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43E275" w14:textId="19560A9E" w:rsidR="0063209F" w:rsidRPr="004F4FA2" w:rsidRDefault="000B4C31" w:rsidP="00B13E8F">
      <w:pPr>
        <w:spacing w:after="240" w:line="360" w:lineRule="auto"/>
        <w:jc w:val="center"/>
        <w:rPr>
          <w:rFonts w:ascii="Times New Roman" w:hAnsi="Times New Roman" w:cs="Times New Roman"/>
          <w:bCs/>
          <w:sz w:val="24"/>
          <w:szCs w:val="24"/>
        </w:rPr>
      </w:pPr>
      <w:bookmarkStart w:id="0" w:name="_GoBack"/>
      <w:bookmarkEnd w:id="0"/>
      <w:r w:rsidRPr="004F4FA2">
        <w:rPr>
          <w:rFonts w:ascii="Times New Roman" w:hAnsi="Times New Roman" w:cs="Times New Roman"/>
          <w:bCs/>
          <w:sz w:val="24"/>
          <w:szCs w:val="24"/>
        </w:rPr>
        <w:t>UZASADNIENIE</w:t>
      </w:r>
    </w:p>
    <w:p w14:paraId="5E535501" w14:textId="77777777" w:rsidR="0063209F" w:rsidRPr="006B2CD4" w:rsidRDefault="00933088" w:rsidP="009C086D">
      <w:pPr>
        <w:pStyle w:val="Akapitzlist"/>
        <w:numPr>
          <w:ilvl w:val="0"/>
          <w:numId w:val="1"/>
        </w:numPr>
        <w:spacing w:before="120" w:after="120" w:line="360" w:lineRule="auto"/>
        <w:ind w:left="426" w:hanging="284"/>
        <w:contextualSpacing w:val="0"/>
        <w:jc w:val="both"/>
        <w:rPr>
          <w:rFonts w:ascii="Times New Roman" w:hAnsi="Times New Roman" w:cs="Times New Roman"/>
          <w:b/>
          <w:bCs/>
          <w:sz w:val="24"/>
          <w:szCs w:val="24"/>
        </w:rPr>
      </w:pPr>
      <w:r w:rsidRPr="006B2CD4">
        <w:rPr>
          <w:rFonts w:ascii="Times New Roman" w:hAnsi="Times New Roman" w:cs="Times New Roman"/>
          <w:b/>
          <w:bCs/>
          <w:sz w:val="24"/>
          <w:szCs w:val="24"/>
        </w:rPr>
        <w:t>Cel projektowanej ustawy</w:t>
      </w:r>
    </w:p>
    <w:p w14:paraId="3203728F" w14:textId="1A81FD95" w:rsidR="009301D6" w:rsidRPr="006B2CD4" w:rsidRDefault="008E4232" w:rsidP="00B856D8">
      <w:pPr>
        <w:spacing w:after="0" w:line="360" w:lineRule="auto"/>
        <w:jc w:val="both"/>
        <w:rPr>
          <w:rFonts w:ascii="Times New Roman" w:eastAsia="Times New Roman" w:hAnsi="Times New Roman" w:cs="Times New Roman"/>
          <w:sz w:val="24"/>
          <w:szCs w:val="24"/>
        </w:rPr>
      </w:pPr>
      <w:r w:rsidRPr="006B2CD4">
        <w:rPr>
          <w:rFonts w:ascii="Times New Roman" w:hAnsi="Times New Roman" w:cs="Times New Roman"/>
          <w:bCs/>
          <w:sz w:val="24"/>
          <w:szCs w:val="24"/>
        </w:rPr>
        <w:t>Projekt</w:t>
      </w:r>
      <w:r w:rsidR="000B4C31" w:rsidRPr="006B2CD4">
        <w:rPr>
          <w:rFonts w:ascii="Times New Roman" w:hAnsi="Times New Roman" w:cs="Times New Roman"/>
          <w:bCs/>
          <w:sz w:val="24"/>
          <w:szCs w:val="24"/>
        </w:rPr>
        <w:t xml:space="preserve"> ustawy o </w:t>
      </w:r>
      <w:r w:rsidR="00191CEE" w:rsidRPr="006B2CD4">
        <w:rPr>
          <w:rFonts w:ascii="Times New Roman" w:hAnsi="Times New Roman" w:cs="Times New Roman"/>
          <w:bCs/>
          <w:sz w:val="24"/>
          <w:szCs w:val="24"/>
        </w:rPr>
        <w:t>zmianie niektórych ustaw w związku z zapewnieniem rozwoju rynku finansowego oraz ochrony inwestorów na tym</w:t>
      </w:r>
      <w:r w:rsidRPr="006B2CD4">
        <w:rPr>
          <w:rFonts w:ascii="Times New Roman" w:hAnsi="Times New Roman" w:cs="Times New Roman"/>
          <w:bCs/>
          <w:sz w:val="24"/>
          <w:szCs w:val="24"/>
        </w:rPr>
        <w:t xml:space="preserve"> rynku, dalej „projekt ustawy”</w:t>
      </w:r>
      <w:r w:rsidR="00E72466" w:rsidRPr="006B2CD4">
        <w:rPr>
          <w:rFonts w:ascii="Times New Roman" w:hAnsi="Times New Roman" w:cs="Times New Roman"/>
          <w:bCs/>
          <w:sz w:val="24"/>
          <w:szCs w:val="24"/>
        </w:rPr>
        <w:t>,</w:t>
      </w:r>
      <w:r w:rsidRPr="006B2CD4">
        <w:rPr>
          <w:rFonts w:ascii="Times New Roman" w:hAnsi="Times New Roman" w:cs="Times New Roman"/>
          <w:bCs/>
          <w:sz w:val="24"/>
          <w:szCs w:val="24"/>
        </w:rPr>
        <w:t xml:space="preserve"> ma</w:t>
      </w:r>
      <w:r w:rsidRPr="006B2CD4">
        <w:rPr>
          <w:rFonts w:ascii="Times New Roman" w:hAnsi="Times New Roman" w:cs="Times New Roman"/>
          <w:bCs/>
          <w:i/>
          <w:sz w:val="24"/>
          <w:szCs w:val="24"/>
        </w:rPr>
        <w:t xml:space="preserve"> </w:t>
      </w:r>
      <w:r w:rsidRPr="006B2CD4">
        <w:rPr>
          <w:rFonts w:ascii="Times New Roman" w:hAnsi="Times New Roman" w:cs="Times New Roman"/>
          <w:bCs/>
          <w:sz w:val="24"/>
          <w:szCs w:val="24"/>
        </w:rPr>
        <w:t xml:space="preserve">na celu </w:t>
      </w:r>
      <w:r w:rsidR="000B4C31" w:rsidRPr="006B2CD4">
        <w:rPr>
          <w:rFonts w:ascii="Times New Roman" w:hAnsi="Times New Roman" w:cs="Times New Roman"/>
          <w:bCs/>
          <w:sz w:val="24"/>
          <w:szCs w:val="24"/>
        </w:rPr>
        <w:t xml:space="preserve">uporządkowanie i usprawnienie funkcjonowania instytucji rynku </w:t>
      </w:r>
      <w:r w:rsidR="00977565" w:rsidRPr="006B2CD4">
        <w:rPr>
          <w:rFonts w:ascii="Times New Roman" w:hAnsi="Times New Roman" w:cs="Times New Roman"/>
          <w:bCs/>
          <w:sz w:val="24"/>
          <w:szCs w:val="24"/>
        </w:rPr>
        <w:t>finansowego</w:t>
      </w:r>
      <w:r w:rsidR="00614D6A" w:rsidRPr="006B2CD4">
        <w:rPr>
          <w:rFonts w:ascii="Times New Roman" w:hAnsi="Times New Roman" w:cs="Times New Roman"/>
          <w:bCs/>
          <w:sz w:val="24"/>
          <w:szCs w:val="24"/>
        </w:rPr>
        <w:t xml:space="preserve">, w szczególności w </w:t>
      </w:r>
      <w:r w:rsidR="00235D15" w:rsidRPr="006B2CD4">
        <w:rPr>
          <w:rFonts w:ascii="Times New Roman" w:hAnsi="Times New Roman" w:cs="Times New Roman"/>
          <w:bCs/>
          <w:sz w:val="24"/>
          <w:szCs w:val="24"/>
        </w:rPr>
        <w:t xml:space="preserve">zakresie </w:t>
      </w:r>
      <w:r w:rsidR="00614D6A" w:rsidRPr="006B2CD4">
        <w:rPr>
          <w:rFonts w:ascii="Times New Roman" w:eastAsia="Times New Roman" w:hAnsi="Times New Roman" w:cs="Times New Roman"/>
          <w:sz w:val="24"/>
          <w:szCs w:val="24"/>
        </w:rPr>
        <w:t>eliminacji barier dostępu do rynku finansowego, usprawnienia nadzoru nad rynkiem finansowym</w:t>
      </w:r>
      <w:r w:rsidR="00614D6A" w:rsidRPr="006B2CD4">
        <w:rPr>
          <w:rFonts w:ascii="Times New Roman" w:eastAsia="Times New Roman" w:hAnsi="Times New Roman" w:cs="Times New Roman"/>
          <w:color w:val="000000" w:themeColor="text1"/>
          <w:sz w:val="24"/>
          <w:szCs w:val="24"/>
        </w:rPr>
        <w:t>, ochrony klientów instytucji finansowych</w:t>
      </w:r>
      <w:r w:rsidR="00C53391" w:rsidRPr="006B2CD4">
        <w:rPr>
          <w:rFonts w:ascii="Times New Roman" w:eastAsia="Times New Roman" w:hAnsi="Times New Roman" w:cs="Times New Roman"/>
          <w:color w:val="000000" w:themeColor="text1"/>
          <w:sz w:val="24"/>
          <w:szCs w:val="24"/>
        </w:rPr>
        <w:t xml:space="preserve">, ochrony akcjonariuszy mniejszościowych i </w:t>
      </w:r>
      <w:r w:rsidR="002A6570" w:rsidRPr="006B2CD4">
        <w:rPr>
          <w:rFonts w:ascii="Times New Roman" w:eastAsia="Times New Roman" w:hAnsi="Times New Roman" w:cs="Times New Roman"/>
          <w:color w:val="000000" w:themeColor="text1"/>
          <w:sz w:val="24"/>
          <w:szCs w:val="24"/>
        </w:rPr>
        <w:t xml:space="preserve">w </w:t>
      </w:r>
      <w:r w:rsidR="00C53391" w:rsidRPr="006B2CD4">
        <w:rPr>
          <w:rFonts w:ascii="Times New Roman" w:eastAsia="Times New Roman" w:hAnsi="Times New Roman" w:cs="Times New Roman"/>
          <w:color w:val="000000" w:themeColor="text1"/>
          <w:sz w:val="24"/>
          <w:szCs w:val="24"/>
        </w:rPr>
        <w:t xml:space="preserve">spółkach publicznych </w:t>
      </w:r>
      <w:r w:rsidR="00614D6A" w:rsidRPr="006B2CD4">
        <w:rPr>
          <w:rFonts w:ascii="Times New Roman" w:eastAsia="Times New Roman" w:hAnsi="Times New Roman" w:cs="Times New Roman"/>
          <w:color w:val="000000" w:themeColor="text1"/>
          <w:sz w:val="24"/>
          <w:szCs w:val="24"/>
        </w:rPr>
        <w:t xml:space="preserve">oraz </w:t>
      </w:r>
      <w:r w:rsidR="00614D6A" w:rsidRPr="006B2CD4">
        <w:rPr>
          <w:rFonts w:ascii="Times New Roman" w:eastAsia="Times New Roman" w:hAnsi="Times New Roman" w:cs="Times New Roman"/>
          <w:sz w:val="24"/>
          <w:szCs w:val="24"/>
        </w:rPr>
        <w:t xml:space="preserve">zwiększenia </w:t>
      </w:r>
      <w:r w:rsidR="00430FD9" w:rsidRPr="006B2CD4">
        <w:rPr>
          <w:rFonts w:ascii="Times New Roman" w:eastAsia="Times New Roman" w:hAnsi="Times New Roman" w:cs="Times New Roman"/>
          <w:sz w:val="24"/>
          <w:szCs w:val="24"/>
        </w:rPr>
        <w:t xml:space="preserve">poziomu </w:t>
      </w:r>
      <w:r w:rsidR="00614D6A" w:rsidRPr="006B2CD4">
        <w:rPr>
          <w:rFonts w:ascii="Times New Roman" w:eastAsia="Times New Roman" w:hAnsi="Times New Roman" w:cs="Times New Roman"/>
          <w:sz w:val="24"/>
          <w:szCs w:val="24"/>
        </w:rPr>
        <w:t>cyfryzacji w realizacji przez Komisję Nadzoru</w:t>
      </w:r>
      <w:r w:rsidRPr="006B2CD4">
        <w:rPr>
          <w:rFonts w:ascii="Times New Roman" w:eastAsia="Times New Roman" w:hAnsi="Times New Roman" w:cs="Times New Roman"/>
          <w:sz w:val="24"/>
          <w:szCs w:val="24"/>
        </w:rPr>
        <w:t xml:space="preserve"> Finansowego</w:t>
      </w:r>
      <w:r w:rsidR="00E86D8D" w:rsidRPr="006B2CD4">
        <w:rPr>
          <w:rFonts w:ascii="Times New Roman" w:eastAsia="Times New Roman" w:hAnsi="Times New Roman" w:cs="Times New Roman"/>
          <w:sz w:val="24"/>
          <w:szCs w:val="24"/>
        </w:rPr>
        <w:t xml:space="preserve"> (</w:t>
      </w:r>
      <w:r w:rsidR="00854A43" w:rsidRPr="006B2CD4">
        <w:rPr>
          <w:rFonts w:ascii="Times New Roman" w:eastAsia="Times New Roman" w:hAnsi="Times New Roman" w:cs="Times New Roman"/>
          <w:sz w:val="24"/>
          <w:szCs w:val="24"/>
        </w:rPr>
        <w:t>dalej „</w:t>
      </w:r>
      <w:r w:rsidR="00E86D8D" w:rsidRPr="006B2CD4">
        <w:rPr>
          <w:rFonts w:ascii="Times New Roman" w:eastAsia="Times New Roman" w:hAnsi="Times New Roman" w:cs="Times New Roman"/>
          <w:sz w:val="24"/>
          <w:szCs w:val="24"/>
        </w:rPr>
        <w:t>KNF</w:t>
      </w:r>
      <w:r w:rsidR="00854A43" w:rsidRPr="006B2CD4">
        <w:rPr>
          <w:rFonts w:ascii="Times New Roman" w:eastAsia="Times New Roman" w:hAnsi="Times New Roman" w:cs="Times New Roman"/>
          <w:sz w:val="24"/>
          <w:szCs w:val="24"/>
        </w:rPr>
        <w:t>”</w:t>
      </w:r>
      <w:r w:rsidR="00E86D8D" w:rsidRPr="006B2CD4">
        <w:rPr>
          <w:rFonts w:ascii="Times New Roman" w:eastAsia="Times New Roman" w:hAnsi="Times New Roman" w:cs="Times New Roman"/>
          <w:sz w:val="24"/>
          <w:szCs w:val="24"/>
        </w:rPr>
        <w:t>)</w:t>
      </w:r>
      <w:r w:rsidR="00854A43" w:rsidRPr="006B2CD4">
        <w:rPr>
          <w:rFonts w:ascii="Times New Roman" w:eastAsia="Times New Roman" w:hAnsi="Times New Roman" w:cs="Times New Roman"/>
          <w:sz w:val="24"/>
          <w:szCs w:val="24"/>
        </w:rPr>
        <w:t xml:space="preserve"> i Urząd Komi</w:t>
      </w:r>
      <w:r w:rsidR="006E3BEC" w:rsidRPr="006B2CD4">
        <w:rPr>
          <w:rFonts w:ascii="Times New Roman" w:eastAsia="Times New Roman" w:hAnsi="Times New Roman" w:cs="Times New Roman"/>
          <w:sz w:val="24"/>
          <w:szCs w:val="24"/>
        </w:rPr>
        <w:t>sji Nadzoru Finansowego (dalej</w:t>
      </w:r>
      <w:r w:rsidR="00854A43" w:rsidRPr="006B2CD4">
        <w:rPr>
          <w:rFonts w:ascii="Times New Roman" w:eastAsia="Times New Roman" w:hAnsi="Times New Roman" w:cs="Times New Roman"/>
          <w:sz w:val="24"/>
          <w:szCs w:val="24"/>
        </w:rPr>
        <w:t xml:space="preserve"> „UKNF”)</w:t>
      </w:r>
      <w:r w:rsidR="00235D15" w:rsidRPr="006B2CD4">
        <w:rPr>
          <w:rFonts w:ascii="Times New Roman" w:eastAsia="Times New Roman" w:hAnsi="Times New Roman" w:cs="Times New Roman"/>
          <w:sz w:val="24"/>
          <w:szCs w:val="24"/>
        </w:rPr>
        <w:t xml:space="preserve"> obowiązków nadzorczych, poprzez </w:t>
      </w:r>
      <w:r w:rsidR="00E3408B" w:rsidRPr="006B2CD4">
        <w:rPr>
          <w:rFonts w:ascii="Times New Roman" w:eastAsia="Times New Roman" w:hAnsi="Times New Roman" w:cs="Times New Roman"/>
          <w:sz w:val="24"/>
          <w:szCs w:val="24"/>
        </w:rPr>
        <w:t>odpowiednie zmiany</w:t>
      </w:r>
      <w:r w:rsidR="00C53391" w:rsidRPr="006B2CD4">
        <w:rPr>
          <w:rFonts w:ascii="Times New Roman" w:eastAsia="Times New Roman" w:hAnsi="Times New Roman" w:cs="Times New Roman"/>
          <w:sz w:val="24"/>
          <w:szCs w:val="24"/>
        </w:rPr>
        <w:t xml:space="preserve"> w </w:t>
      </w:r>
      <w:r w:rsidR="00235D15" w:rsidRPr="006B2CD4">
        <w:rPr>
          <w:rFonts w:ascii="Times New Roman" w:hAnsi="Times New Roman" w:cs="Times New Roman"/>
          <w:bCs/>
          <w:sz w:val="24"/>
          <w:szCs w:val="24"/>
        </w:rPr>
        <w:t>zakresie ustaw go regulujących.</w:t>
      </w:r>
      <w:r w:rsidR="004D1FA5" w:rsidRPr="006B2CD4">
        <w:rPr>
          <w:rFonts w:ascii="Times New Roman" w:hAnsi="Times New Roman" w:cs="Times New Roman"/>
          <w:bCs/>
          <w:sz w:val="24"/>
          <w:szCs w:val="24"/>
        </w:rPr>
        <w:t xml:space="preserve"> </w:t>
      </w:r>
      <w:r w:rsidR="004D1FA5" w:rsidRPr="006B2CD4">
        <w:rPr>
          <w:rFonts w:ascii="Times New Roman" w:eastAsia="Times New Roman" w:hAnsi="Times New Roman" w:cs="Times New Roman"/>
          <w:sz w:val="24"/>
          <w:szCs w:val="24"/>
        </w:rPr>
        <w:t>Zmiany w tym zakresie wynikają z obserwacji zdarzeń zachodzących na rynku finansowym oraz zasadności odbudowy zaufania inwestorów, zwłaszcza detalicznych do tego rynku</w:t>
      </w:r>
      <w:r w:rsidR="003842A3" w:rsidRPr="006B2CD4">
        <w:rPr>
          <w:rFonts w:ascii="Times New Roman" w:eastAsia="Times New Roman" w:hAnsi="Times New Roman" w:cs="Times New Roman"/>
          <w:sz w:val="24"/>
          <w:szCs w:val="24"/>
        </w:rPr>
        <w:t xml:space="preserve"> oraz prowadzą do wniosku, że niezbędna jest przekrojowa i kompleksowa nowelizacja ustaw regulujących różne obszary rynku finansowego</w:t>
      </w:r>
      <w:r w:rsidR="00A20D7A" w:rsidRPr="006B2CD4">
        <w:rPr>
          <w:rFonts w:ascii="Times New Roman" w:eastAsia="Times New Roman" w:hAnsi="Times New Roman" w:cs="Times New Roman"/>
          <w:sz w:val="24"/>
          <w:szCs w:val="24"/>
        </w:rPr>
        <w:t>.</w:t>
      </w:r>
    </w:p>
    <w:p w14:paraId="30AC69F4" w14:textId="5A2D465F" w:rsidR="00706BF5" w:rsidRPr="006B2CD4" w:rsidRDefault="00706BF5" w:rsidP="00B856D8">
      <w:pPr>
        <w:spacing w:after="0" w:line="360" w:lineRule="auto"/>
        <w:jc w:val="both"/>
        <w:rPr>
          <w:rFonts w:ascii="Times New Roman" w:eastAsia="Times New Roman" w:hAnsi="Times New Roman" w:cs="Times New Roman"/>
          <w:sz w:val="24"/>
          <w:szCs w:val="24"/>
        </w:rPr>
      </w:pPr>
      <w:r w:rsidRPr="006B2CD4">
        <w:rPr>
          <w:rFonts w:ascii="Times New Roman" w:hAnsi="Times New Roman" w:cs="Times New Roman"/>
          <w:bCs/>
          <w:sz w:val="24"/>
          <w:szCs w:val="24"/>
        </w:rPr>
        <w:t xml:space="preserve">Zawarte w projekcie ustawy nowelizacje przepisów regulujących prawno-instytucjonalne otoczenie rynku finansowego znajdują uzasadnienie w konieczności ich dostosowania do różnych zachodzących na nim zdarzeń, a także podyktowane są potrzebą spełnienia niektórych postulatów zawartych w Strategii Rozwoju Rynku Finansowego </w:t>
      </w:r>
      <w:r w:rsidRPr="006B2CD4">
        <w:rPr>
          <w:rFonts w:ascii="Times New Roman" w:eastAsia="Times New Roman" w:hAnsi="Times New Roman" w:cs="Times New Roman"/>
          <w:sz w:val="24"/>
          <w:szCs w:val="24"/>
        </w:rPr>
        <w:t xml:space="preserve">(przyjętej w uchwale nr 114 Rady </w:t>
      </w:r>
      <w:r w:rsidRPr="006B2CD4">
        <w:rPr>
          <w:rFonts w:ascii="Times New Roman" w:eastAsia="Times New Roman" w:hAnsi="Times New Roman" w:cs="Times New Roman"/>
          <w:sz w:val="24"/>
          <w:szCs w:val="24"/>
        </w:rPr>
        <w:lastRenderedPageBreak/>
        <w:t xml:space="preserve">Ministrów z dnia 1 października 2019 r. w sprawie przyjęcia Strategii Rozwoju Rynku Kapitałowego </w:t>
      </w:r>
      <w:r w:rsidR="00457862">
        <w:rPr>
          <w:rFonts w:ascii="Times New Roman" w:eastAsia="Times New Roman" w:hAnsi="Times New Roman" w:cs="Times New Roman"/>
          <w:sz w:val="24"/>
          <w:szCs w:val="24"/>
        </w:rPr>
        <w:t>–</w:t>
      </w:r>
      <w:r w:rsidRPr="006B2CD4">
        <w:rPr>
          <w:rFonts w:ascii="Times New Roman" w:eastAsia="Times New Roman" w:hAnsi="Times New Roman" w:cs="Times New Roman"/>
          <w:sz w:val="24"/>
          <w:szCs w:val="24"/>
        </w:rPr>
        <w:t xml:space="preserve"> M.P. poz. 1027), w szczególności w zakresie ułatwienia funkcjonowania podmiotom nadzorowanym przez KNF poprzez uproszczenie procedur licencyjnych oraz obowiązków w zakresie raportowania,</w:t>
      </w:r>
      <w:r w:rsidRPr="006B2CD4" w:rsidDel="00B80FB6">
        <w:rPr>
          <w:rFonts w:ascii="Times New Roman" w:eastAsia="Times New Roman" w:hAnsi="Times New Roman" w:cs="Times New Roman"/>
          <w:sz w:val="24"/>
          <w:szCs w:val="24"/>
        </w:rPr>
        <w:t xml:space="preserve"> </w:t>
      </w:r>
      <w:r w:rsidRPr="006B2CD4">
        <w:rPr>
          <w:rFonts w:ascii="Times New Roman" w:eastAsia="Times New Roman" w:hAnsi="Times New Roman" w:cs="Times New Roman"/>
          <w:sz w:val="24"/>
          <w:szCs w:val="24"/>
        </w:rPr>
        <w:t>ale także w zakresie wzmocnienia ochrony inwestorów indywidualnych. Ponadto, projekt ustawy realizuje</w:t>
      </w:r>
      <w:r w:rsidR="00CA05ED">
        <w:rPr>
          <w:rFonts w:ascii="Times New Roman" w:eastAsia="Times New Roman" w:hAnsi="Times New Roman" w:cs="Times New Roman"/>
          <w:sz w:val="24"/>
          <w:szCs w:val="24"/>
        </w:rPr>
        <w:t xml:space="preserve"> Strategię w zakresie stworzenia</w:t>
      </w:r>
      <w:r w:rsidRPr="006B2CD4">
        <w:rPr>
          <w:rFonts w:ascii="Times New Roman" w:eastAsia="Times New Roman" w:hAnsi="Times New Roman" w:cs="Times New Roman"/>
          <w:sz w:val="24"/>
          <w:szCs w:val="24"/>
        </w:rPr>
        <w:t xml:space="preserve"> warunków regulacyjnych dla rozwoju rynku pożyczek papierów wartościowych.</w:t>
      </w:r>
      <w:r w:rsidR="007C4E21" w:rsidRPr="006B2CD4">
        <w:rPr>
          <w:rFonts w:ascii="Times New Roman" w:eastAsia="Times New Roman" w:hAnsi="Times New Roman" w:cs="Times New Roman"/>
          <w:sz w:val="24"/>
          <w:szCs w:val="24"/>
        </w:rPr>
        <w:t xml:space="preserve"> </w:t>
      </w:r>
    </w:p>
    <w:p w14:paraId="542B6038" w14:textId="66A6FFF6" w:rsidR="0001287A" w:rsidRPr="006B2CD4" w:rsidRDefault="001A056A" w:rsidP="00B856D8">
      <w:pPr>
        <w:spacing w:after="0" w:line="360" w:lineRule="auto"/>
        <w:jc w:val="both"/>
        <w:rPr>
          <w:rFonts w:ascii="Times New Roman" w:eastAsia="Times New Roman" w:hAnsi="Times New Roman" w:cs="Times New Roman"/>
          <w:sz w:val="24"/>
          <w:szCs w:val="24"/>
        </w:rPr>
      </w:pPr>
      <w:r w:rsidRPr="006B2CD4">
        <w:rPr>
          <w:rFonts w:ascii="Times New Roman" w:eastAsia="Times New Roman" w:hAnsi="Times New Roman" w:cs="Times New Roman"/>
          <w:sz w:val="24"/>
          <w:szCs w:val="24"/>
        </w:rPr>
        <w:t>P</w:t>
      </w:r>
      <w:r w:rsidR="0001287A" w:rsidRPr="006B2CD4">
        <w:rPr>
          <w:rFonts w:ascii="Times New Roman" w:eastAsia="Times New Roman" w:hAnsi="Times New Roman" w:cs="Times New Roman"/>
          <w:sz w:val="24"/>
          <w:szCs w:val="24"/>
        </w:rPr>
        <w:t xml:space="preserve">rojekt ustawy zakłada nowelizację </w:t>
      </w:r>
      <w:r w:rsidR="00E35494">
        <w:rPr>
          <w:rFonts w:ascii="Times New Roman" w:eastAsia="Times New Roman" w:hAnsi="Times New Roman" w:cs="Times New Roman"/>
          <w:sz w:val="24"/>
          <w:szCs w:val="24"/>
        </w:rPr>
        <w:t>3</w:t>
      </w:r>
      <w:r w:rsidR="004272CB">
        <w:rPr>
          <w:rFonts w:ascii="Times New Roman" w:eastAsia="Times New Roman" w:hAnsi="Times New Roman" w:cs="Times New Roman"/>
          <w:sz w:val="24"/>
          <w:szCs w:val="24"/>
        </w:rPr>
        <w:t>2</w:t>
      </w:r>
      <w:r w:rsidR="0001287A" w:rsidRPr="006B2CD4">
        <w:rPr>
          <w:rFonts w:ascii="Times New Roman" w:eastAsia="Times New Roman" w:hAnsi="Times New Roman" w:cs="Times New Roman"/>
          <w:sz w:val="24"/>
          <w:szCs w:val="24"/>
        </w:rPr>
        <w:t xml:space="preserve"> ustaw, które wymagają najpilniejszych i najważniejszych zmian legislacyjnych:</w:t>
      </w:r>
    </w:p>
    <w:p w14:paraId="1F1734E3" w14:textId="519CF707" w:rsidR="0001287A" w:rsidRPr="006B2CD4" w:rsidRDefault="0001287A" w:rsidP="00DB03EC">
      <w:pPr>
        <w:pStyle w:val="Akapitzlist"/>
        <w:numPr>
          <w:ilvl w:val="0"/>
          <w:numId w:val="5"/>
        </w:numPr>
        <w:spacing w:after="0" w:line="360" w:lineRule="auto"/>
        <w:ind w:left="567" w:hanging="567"/>
        <w:contextualSpacing w:val="0"/>
        <w:jc w:val="both"/>
        <w:rPr>
          <w:rFonts w:ascii="Times New Roman" w:hAnsi="Times New Roman" w:cs="Times New Roman"/>
          <w:color w:val="000000" w:themeColor="text1"/>
          <w:sz w:val="24"/>
          <w:szCs w:val="24"/>
        </w:rPr>
      </w:pPr>
      <w:r w:rsidRPr="006B2CD4">
        <w:rPr>
          <w:rFonts w:ascii="Times New Roman" w:eastAsia="Times New Roman" w:hAnsi="Times New Roman" w:cs="Times New Roman"/>
          <w:sz w:val="24"/>
          <w:szCs w:val="24"/>
        </w:rPr>
        <w:t xml:space="preserve">ustawy </w:t>
      </w:r>
      <w:r w:rsidRPr="006B2CD4">
        <w:rPr>
          <w:rFonts w:ascii="Times New Roman" w:hAnsi="Times New Roman" w:cs="Times New Roman"/>
          <w:sz w:val="24"/>
          <w:szCs w:val="24"/>
        </w:rPr>
        <w:t>z dnia 12 października 1990 r. o Straży Granicznej (Dz. U. z 2022 r. poz. 1061, z późn. zm.), dalej „ustawa o Straży Granicznej”;</w:t>
      </w:r>
    </w:p>
    <w:p w14:paraId="5854BB8F" w14:textId="7E8CE075" w:rsidR="0001287A" w:rsidRPr="00BE35BC" w:rsidRDefault="0001287A" w:rsidP="00DB03EC">
      <w:pPr>
        <w:pStyle w:val="Akapitzlist"/>
        <w:numPr>
          <w:ilvl w:val="0"/>
          <w:numId w:val="5"/>
        </w:numPr>
        <w:spacing w:after="0" w:line="360" w:lineRule="auto"/>
        <w:ind w:left="567" w:hanging="567"/>
        <w:contextualSpacing w:val="0"/>
        <w:jc w:val="both"/>
        <w:rPr>
          <w:rFonts w:ascii="Times New Roman" w:hAnsi="Times New Roman" w:cs="Times New Roman"/>
          <w:color w:val="000000" w:themeColor="text1"/>
          <w:sz w:val="24"/>
          <w:szCs w:val="24"/>
        </w:rPr>
      </w:pPr>
      <w:r w:rsidRPr="006B2CD4">
        <w:rPr>
          <w:rFonts w:ascii="Times New Roman" w:eastAsia="Times New Roman" w:hAnsi="Times New Roman" w:cs="Times New Roman"/>
          <w:sz w:val="24"/>
          <w:szCs w:val="24"/>
        </w:rPr>
        <w:t>ustawy z dnia 15 lutego 1992 r. o podatku dochodowym od osób prawnych (Dz. U. z 202</w:t>
      </w:r>
      <w:r w:rsidR="00D83C3E">
        <w:rPr>
          <w:rFonts w:ascii="Times New Roman" w:eastAsia="Times New Roman" w:hAnsi="Times New Roman" w:cs="Times New Roman"/>
          <w:sz w:val="24"/>
          <w:szCs w:val="24"/>
        </w:rPr>
        <w:t>2</w:t>
      </w:r>
      <w:r w:rsidRPr="006B2CD4">
        <w:rPr>
          <w:rFonts w:ascii="Times New Roman" w:eastAsia="Times New Roman" w:hAnsi="Times New Roman" w:cs="Times New Roman"/>
          <w:sz w:val="24"/>
          <w:szCs w:val="24"/>
        </w:rPr>
        <w:t xml:space="preserve"> r. poz. </w:t>
      </w:r>
      <w:r w:rsidR="00D83C3E">
        <w:rPr>
          <w:rFonts w:ascii="Times New Roman" w:eastAsia="Times New Roman" w:hAnsi="Times New Roman" w:cs="Times New Roman"/>
          <w:sz w:val="24"/>
          <w:szCs w:val="24"/>
        </w:rPr>
        <w:t>2587</w:t>
      </w:r>
      <w:r w:rsidRPr="006B2CD4">
        <w:rPr>
          <w:rFonts w:ascii="Times New Roman" w:eastAsia="Times New Roman" w:hAnsi="Times New Roman" w:cs="Times New Roman"/>
          <w:sz w:val="24"/>
          <w:szCs w:val="24"/>
        </w:rPr>
        <w:t>, z późn. zm.), dalej „ustawa o CIT”;</w:t>
      </w:r>
    </w:p>
    <w:p w14:paraId="2FADD568" w14:textId="3C58B621" w:rsidR="00BE35BC" w:rsidRPr="00BE35BC" w:rsidRDefault="00BE35BC" w:rsidP="00BE35BC">
      <w:pPr>
        <w:pStyle w:val="Akapitzlist"/>
        <w:numPr>
          <w:ilvl w:val="0"/>
          <w:numId w:val="5"/>
        </w:numPr>
        <w:spacing w:after="0" w:line="360" w:lineRule="auto"/>
        <w:ind w:left="567" w:hanging="567"/>
        <w:contextualSpacing w:val="0"/>
        <w:jc w:val="both"/>
        <w:rPr>
          <w:rFonts w:ascii="Times New Roman" w:hAnsi="Times New Roman" w:cs="Times New Roman"/>
          <w:color w:val="000000" w:themeColor="text1"/>
          <w:sz w:val="24"/>
          <w:szCs w:val="24"/>
        </w:rPr>
      </w:pPr>
      <w:r w:rsidRPr="001345C5">
        <w:rPr>
          <w:rFonts w:ascii="Times New Roman" w:hAnsi="Times New Roman" w:cs="Times New Roman"/>
          <w:color w:val="000000" w:themeColor="text1"/>
          <w:sz w:val="24"/>
          <w:szCs w:val="24"/>
        </w:rPr>
        <w:t>ustaw</w:t>
      </w:r>
      <w:r>
        <w:rPr>
          <w:rFonts w:ascii="Times New Roman" w:hAnsi="Times New Roman" w:cs="Times New Roman"/>
          <w:color w:val="000000" w:themeColor="text1"/>
          <w:sz w:val="24"/>
          <w:szCs w:val="24"/>
        </w:rPr>
        <w:t>y</w:t>
      </w:r>
      <w:r w:rsidRPr="001345C5">
        <w:rPr>
          <w:rFonts w:ascii="Times New Roman" w:hAnsi="Times New Roman" w:cs="Times New Roman"/>
          <w:color w:val="000000" w:themeColor="text1"/>
          <w:sz w:val="24"/>
          <w:szCs w:val="24"/>
        </w:rPr>
        <w:t xml:space="preserve"> z dnia 13 października 1995 r. o zasadach ewidencji i identyfikacji podatników i płatników (Dz. U. z 2022 r. poz. 2500</w:t>
      </w:r>
      <w:r>
        <w:rPr>
          <w:rFonts w:ascii="Times New Roman" w:hAnsi="Times New Roman" w:cs="Times New Roman"/>
          <w:color w:val="000000" w:themeColor="text1"/>
          <w:sz w:val="24"/>
          <w:szCs w:val="24"/>
        </w:rPr>
        <w:t>, z późn. zm.), dalej: „ustawa o zasadach ewidencji i identyfikacji podatników i płatników</w:t>
      </w:r>
      <w:r w:rsidR="0045786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p>
    <w:p w14:paraId="45AC47A6" w14:textId="506FB480" w:rsidR="0001287A" w:rsidRPr="006B2CD4" w:rsidRDefault="0001287A" w:rsidP="00DB03EC">
      <w:pPr>
        <w:pStyle w:val="Akapitzlist"/>
        <w:numPr>
          <w:ilvl w:val="0"/>
          <w:numId w:val="5"/>
        </w:numPr>
        <w:spacing w:after="0" w:line="360" w:lineRule="auto"/>
        <w:ind w:left="567" w:hanging="567"/>
        <w:contextualSpacing w:val="0"/>
        <w:jc w:val="both"/>
        <w:rPr>
          <w:rFonts w:ascii="Times New Roman" w:hAnsi="Times New Roman" w:cs="Times New Roman"/>
          <w:color w:val="000000" w:themeColor="text1"/>
          <w:sz w:val="24"/>
          <w:szCs w:val="24"/>
        </w:rPr>
      </w:pPr>
      <w:r w:rsidRPr="006B2CD4">
        <w:rPr>
          <w:rFonts w:ascii="Times New Roman" w:hAnsi="Times New Roman" w:cs="Times New Roman"/>
          <w:bCs/>
          <w:sz w:val="24"/>
          <w:szCs w:val="24"/>
        </w:rPr>
        <w:t>ustawy z dnia 20 czerwca 1997 r. – Prawo o ruchu d</w:t>
      </w:r>
      <w:r w:rsidR="00D83C3E">
        <w:rPr>
          <w:rFonts w:ascii="Times New Roman" w:hAnsi="Times New Roman" w:cs="Times New Roman"/>
          <w:bCs/>
          <w:sz w:val="24"/>
          <w:szCs w:val="24"/>
        </w:rPr>
        <w:t>rogowym (Dz. U. z 202</w:t>
      </w:r>
      <w:r w:rsidR="00FC69C1">
        <w:rPr>
          <w:rFonts w:ascii="Times New Roman" w:hAnsi="Times New Roman" w:cs="Times New Roman"/>
          <w:bCs/>
          <w:sz w:val="24"/>
          <w:szCs w:val="24"/>
        </w:rPr>
        <w:t>3</w:t>
      </w:r>
      <w:r w:rsidR="00D83C3E">
        <w:rPr>
          <w:rFonts w:ascii="Times New Roman" w:hAnsi="Times New Roman" w:cs="Times New Roman"/>
          <w:bCs/>
          <w:sz w:val="24"/>
          <w:szCs w:val="24"/>
        </w:rPr>
        <w:t xml:space="preserve"> r. poz. </w:t>
      </w:r>
      <w:r w:rsidR="00FC69C1">
        <w:rPr>
          <w:rFonts w:ascii="Times New Roman" w:hAnsi="Times New Roman" w:cs="Times New Roman"/>
          <w:bCs/>
          <w:sz w:val="24"/>
          <w:szCs w:val="24"/>
        </w:rPr>
        <w:t>1047</w:t>
      </w:r>
      <w:r w:rsidR="00EA2FDA">
        <w:rPr>
          <w:rFonts w:ascii="Times New Roman" w:hAnsi="Times New Roman" w:cs="Times New Roman"/>
          <w:bCs/>
          <w:sz w:val="24"/>
          <w:szCs w:val="24"/>
        </w:rPr>
        <w:t>, z późn. zm.</w:t>
      </w:r>
      <w:r w:rsidRPr="006B2CD4">
        <w:rPr>
          <w:rFonts w:ascii="Times New Roman" w:hAnsi="Times New Roman" w:cs="Times New Roman"/>
          <w:bCs/>
          <w:sz w:val="24"/>
          <w:szCs w:val="24"/>
        </w:rPr>
        <w:t>), dalej „ustawa – Prawo o ruchu drogowym</w:t>
      </w:r>
      <w:r w:rsidR="00457862">
        <w:rPr>
          <w:rFonts w:ascii="Times New Roman" w:hAnsi="Times New Roman" w:cs="Times New Roman"/>
          <w:bCs/>
          <w:sz w:val="24"/>
          <w:szCs w:val="24"/>
        </w:rPr>
        <w:t>”</w:t>
      </w:r>
      <w:r w:rsidRPr="006B2CD4">
        <w:rPr>
          <w:rFonts w:ascii="Times New Roman" w:hAnsi="Times New Roman" w:cs="Times New Roman"/>
          <w:bCs/>
          <w:sz w:val="24"/>
          <w:szCs w:val="24"/>
        </w:rPr>
        <w:t>;</w:t>
      </w:r>
    </w:p>
    <w:p w14:paraId="6D17C4DF" w14:textId="0D982150" w:rsidR="0001287A" w:rsidRPr="007433F1" w:rsidRDefault="0001287A" w:rsidP="00DB03EC">
      <w:pPr>
        <w:pStyle w:val="Akapitzlist"/>
        <w:numPr>
          <w:ilvl w:val="0"/>
          <w:numId w:val="5"/>
        </w:numPr>
        <w:spacing w:after="0" w:line="360" w:lineRule="auto"/>
        <w:ind w:left="567" w:hanging="567"/>
        <w:contextualSpacing w:val="0"/>
        <w:jc w:val="both"/>
        <w:rPr>
          <w:rFonts w:ascii="Times New Roman" w:eastAsia="Times New Roman" w:hAnsi="Times New Roman" w:cs="Times New Roman"/>
          <w:sz w:val="24"/>
          <w:szCs w:val="24"/>
        </w:rPr>
      </w:pPr>
      <w:r w:rsidRPr="006B2CD4">
        <w:rPr>
          <w:rFonts w:ascii="Times New Roman" w:hAnsi="Times New Roman" w:cs="Times New Roman"/>
          <w:sz w:val="24"/>
          <w:szCs w:val="24"/>
        </w:rPr>
        <w:t xml:space="preserve">ustawy z dnia 29 sierpnia 1997 r. </w:t>
      </w:r>
      <w:r w:rsidR="0057030D" w:rsidRPr="006B2CD4">
        <w:rPr>
          <w:rFonts w:ascii="Times New Roman" w:hAnsi="Times New Roman" w:cs="Times New Roman"/>
          <w:bCs/>
          <w:sz w:val="24"/>
          <w:szCs w:val="24"/>
        </w:rPr>
        <w:t xml:space="preserve">– </w:t>
      </w:r>
      <w:r w:rsidR="00FD33B9">
        <w:rPr>
          <w:rFonts w:ascii="Times New Roman" w:hAnsi="Times New Roman" w:cs="Times New Roman"/>
          <w:sz w:val="24"/>
          <w:szCs w:val="24"/>
        </w:rPr>
        <w:t>Prawo bankowe (Dz. U. z 2022</w:t>
      </w:r>
      <w:r w:rsidRPr="006B2CD4">
        <w:rPr>
          <w:rFonts w:ascii="Times New Roman" w:hAnsi="Times New Roman" w:cs="Times New Roman"/>
          <w:sz w:val="24"/>
          <w:szCs w:val="24"/>
        </w:rPr>
        <w:t xml:space="preserve"> r. poz. </w:t>
      </w:r>
      <w:r w:rsidR="009B1575">
        <w:rPr>
          <w:rFonts w:ascii="Times New Roman" w:hAnsi="Times New Roman" w:cs="Times New Roman"/>
          <w:sz w:val="24"/>
          <w:szCs w:val="24"/>
        </w:rPr>
        <w:t>2324</w:t>
      </w:r>
      <w:r w:rsidRPr="006B2CD4">
        <w:rPr>
          <w:rFonts w:ascii="Times New Roman" w:hAnsi="Times New Roman" w:cs="Times New Roman"/>
          <w:sz w:val="24"/>
          <w:szCs w:val="24"/>
        </w:rPr>
        <w:t xml:space="preserve">, z późn. zm.), dalej „ustawa </w:t>
      </w:r>
      <w:r w:rsidR="009519E9" w:rsidRPr="006B2CD4">
        <w:rPr>
          <w:rFonts w:ascii="Times New Roman" w:hAnsi="Times New Roman" w:cs="Times New Roman"/>
          <w:bCs/>
          <w:sz w:val="24"/>
          <w:szCs w:val="24"/>
        </w:rPr>
        <w:t>–</w:t>
      </w:r>
      <w:r w:rsidRPr="006B2CD4">
        <w:rPr>
          <w:rFonts w:ascii="Times New Roman" w:hAnsi="Times New Roman" w:cs="Times New Roman"/>
          <w:sz w:val="24"/>
          <w:szCs w:val="24"/>
        </w:rPr>
        <w:t xml:space="preserve"> Prawo bankowe”;</w:t>
      </w:r>
    </w:p>
    <w:p w14:paraId="2633A4A1" w14:textId="38E441EA" w:rsidR="007433F1" w:rsidRPr="007433F1" w:rsidRDefault="007433F1" w:rsidP="00DB03EC">
      <w:pPr>
        <w:pStyle w:val="Akapitzlist"/>
        <w:numPr>
          <w:ilvl w:val="0"/>
          <w:numId w:val="5"/>
        </w:numPr>
        <w:spacing w:after="0" w:line="360" w:lineRule="auto"/>
        <w:ind w:left="567" w:hanging="567"/>
        <w:contextualSpacing w:val="0"/>
        <w:jc w:val="both"/>
        <w:rPr>
          <w:rFonts w:ascii="Times New Roman" w:eastAsia="Times New Roman" w:hAnsi="Times New Roman" w:cs="Times New Roman"/>
          <w:sz w:val="24"/>
          <w:szCs w:val="24"/>
        </w:rPr>
      </w:pPr>
      <w:r w:rsidRPr="007433F1">
        <w:rPr>
          <w:rFonts w:ascii="Times New Roman" w:hAnsi="Times New Roman" w:cs="Times New Roman"/>
          <w:sz w:val="24"/>
          <w:szCs w:val="24"/>
        </w:rPr>
        <w:lastRenderedPageBreak/>
        <w:t>ustawy z dnia 9 września 2000 r. o podatku od czynności cywilnoprawnych (Dz. U. z 202</w:t>
      </w:r>
      <w:r w:rsidR="002D30E5">
        <w:rPr>
          <w:rFonts w:ascii="Times New Roman" w:hAnsi="Times New Roman" w:cs="Times New Roman"/>
          <w:sz w:val="24"/>
          <w:szCs w:val="24"/>
        </w:rPr>
        <w:t>3</w:t>
      </w:r>
      <w:r w:rsidRPr="007433F1">
        <w:rPr>
          <w:rFonts w:ascii="Times New Roman" w:hAnsi="Times New Roman" w:cs="Times New Roman"/>
          <w:sz w:val="24"/>
          <w:szCs w:val="24"/>
        </w:rPr>
        <w:t xml:space="preserve"> r. poz.</w:t>
      </w:r>
      <w:r w:rsidR="002D30E5">
        <w:rPr>
          <w:rFonts w:ascii="Times New Roman" w:hAnsi="Times New Roman" w:cs="Times New Roman"/>
          <w:sz w:val="24"/>
          <w:szCs w:val="24"/>
        </w:rPr>
        <w:t xml:space="preserve"> 170</w:t>
      </w:r>
      <w:r w:rsidRPr="007433F1">
        <w:rPr>
          <w:rFonts w:ascii="Times New Roman" w:hAnsi="Times New Roman" w:cs="Times New Roman"/>
          <w:sz w:val="24"/>
          <w:szCs w:val="24"/>
        </w:rPr>
        <w:t>),</w:t>
      </w:r>
      <w:r>
        <w:rPr>
          <w:rFonts w:ascii="Times New Roman" w:hAnsi="Times New Roman" w:cs="Times New Roman"/>
          <w:sz w:val="24"/>
          <w:szCs w:val="24"/>
        </w:rPr>
        <w:t xml:space="preserve"> dalej „ustawa o podatku od czynności cywilnoprawnych”;</w:t>
      </w:r>
    </w:p>
    <w:p w14:paraId="43E89B51" w14:textId="50DDA313" w:rsidR="0001287A" w:rsidRPr="006B2CD4" w:rsidRDefault="0001287A" w:rsidP="00DB03EC">
      <w:pPr>
        <w:pStyle w:val="Akapitzlist"/>
        <w:numPr>
          <w:ilvl w:val="0"/>
          <w:numId w:val="5"/>
        </w:numPr>
        <w:spacing w:after="0" w:line="360" w:lineRule="auto"/>
        <w:ind w:left="567" w:hanging="567"/>
        <w:contextualSpacing w:val="0"/>
        <w:jc w:val="both"/>
        <w:rPr>
          <w:rStyle w:val="IGPKindeksgrnyipogrubieniekursywa"/>
          <w:rFonts w:ascii="Times New Roman" w:hAnsi="Times New Roman" w:cs="Times New Roman"/>
          <w:b w:val="0"/>
          <w:i w:val="0"/>
          <w:color w:val="000000" w:themeColor="text1"/>
          <w:sz w:val="24"/>
          <w:szCs w:val="24"/>
          <w:vertAlign w:val="baseline"/>
        </w:rPr>
      </w:pPr>
      <w:r w:rsidRPr="006B2CD4">
        <w:rPr>
          <w:rStyle w:val="IGPKindeksgrnyipogrubieniekursywa"/>
          <w:rFonts w:ascii="Times New Roman" w:hAnsi="Times New Roman" w:cs="Times New Roman"/>
          <w:b w:val="0"/>
          <w:i w:val="0"/>
          <w:sz w:val="24"/>
          <w:szCs w:val="24"/>
          <w:vertAlign w:val="baseline"/>
        </w:rPr>
        <w:t xml:space="preserve">ustawy </w:t>
      </w:r>
      <w:r w:rsidR="006D6C57">
        <w:rPr>
          <w:rStyle w:val="IGPKindeksgrnyipogrubieniekursywa"/>
          <w:rFonts w:ascii="Times New Roman" w:hAnsi="Times New Roman" w:cs="Times New Roman"/>
          <w:b w:val="0"/>
          <w:i w:val="0"/>
          <w:sz w:val="24"/>
          <w:szCs w:val="24"/>
          <w:vertAlign w:val="baseline"/>
        </w:rPr>
        <w:t xml:space="preserve">z </w:t>
      </w:r>
      <w:r w:rsidRPr="006B2CD4">
        <w:rPr>
          <w:rStyle w:val="IGPKindeksgrnyipogrubieniekursywa"/>
          <w:rFonts w:ascii="Times New Roman" w:hAnsi="Times New Roman" w:cs="Times New Roman"/>
          <w:b w:val="0"/>
          <w:i w:val="0"/>
          <w:sz w:val="24"/>
          <w:szCs w:val="24"/>
          <w:vertAlign w:val="baseline"/>
        </w:rPr>
        <w:t xml:space="preserve">dnia 26 października 2000 r. o giełdach towarowych </w:t>
      </w:r>
      <w:r w:rsidRPr="006B2CD4">
        <w:rPr>
          <w:rFonts w:ascii="Times New Roman" w:hAnsi="Times New Roman" w:cs="Times New Roman"/>
          <w:sz w:val="24"/>
          <w:szCs w:val="24"/>
        </w:rPr>
        <w:t>(</w:t>
      </w:r>
      <w:r w:rsidR="00B7797B" w:rsidRPr="006B2CD4">
        <w:rPr>
          <w:rFonts w:ascii="Times New Roman" w:hAnsi="Times New Roman" w:cs="Times New Roman"/>
          <w:sz w:val="24"/>
          <w:szCs w:val="24"/>
        </w:rPr>
        <w:t>Dz. U. z 202</w:t>
      </w:r>
      <w:r w:rsidR="006D6C57">
        <w:rPr>
          <w:rFonts w:ascii="Times New Roman" w:hAnsi="Times New Roman" w:cs="Times New Roman"/>
          <w:sz w:val="24"/>
          <w:szCs w:val="24"/>
        </w:rPr>
        <w:t>3</w:t>
      </w:r>
      <w:r w:rsidRPr="006B2CD4">
        <w:rPr>
          <w:rFonts w:ascii="Times New Roman" w:hAnsi="Times New Roman" w:cs="Times New Roman"/>
          <w:sz w:val="24"/>
          <w:szCs w:val="24"/>
        </w:rPr>
        <w:t> r. poz.</w:t>
      </w:r>
      <w:r w:rsidR="006D6C57">
        <w:rPr>
          <w:rFonts w:ascii="Times New Roman" w:hAnsi="Times New Roman" w:cs="Times New Roman"/>
          <w:sz w:val="24"/>
          <w:szCs w:val="24"/>
        </w:rPr>
        <w:t xml:space="preserve"> </w:t>
      </w:r>
      <w:r w:rsidR="00FC69C1">
        <w:rPr>
          <w:rFonts w:ascii="Times New Roman" w:hAnsi="Times New Roman" w:cs="Times New Roman"/>
          <w:sz w:val="24"/>
          <w:szCs w:val="24"/>
        </w:rPr>
        <w:t>380</w:t>
      </w:r>
      <w:r w:rsidRPr="006B2CD4">
        <w:rPr>
          <w:rFonts w:ascii="Times New Roman" w:hAnsi="Times New Roman" w:cs="Times New Roman"/>
          <w:sz w:val="24"/>
          <w:szCs w:val="24"/>
        </w:rPr>
        <w:t>)</w:t>
      </w:r>
      <w:r w:rsidRPr="006B2CD4">
        <w:rPr>
          <w:rStyle w:val="IGPKindeksgrnyipogrubieniekursywa"/>
          <w:rFonts w:ascii="Times New Roman" w:hAnsi="Times New Roman" w:cs="Times New Roman"/>
          <w:b w:val="0"/>
          <w:i w:val="0"/>
          <w:sz w:val="24"/>
          <w:szCs w:val="24"/>
          <w:vertAlign w:val="baseline"/>
        </w:rPr>
        <w:t>, dalej „ustawa o giełdach towarowych”;</w:t>
      </w:r>
    </w:p>
    <w:p w14:paraId="4D9B5974" w14:textId="64753EBE" w:rsidR="0001287A" w:rsidRPr="004A489E" w:rsidRDefault="0001287A" w:rsidP="00DB03EC">
      <w:pPr>
        <w:pStyle w:val="Akapitzlist"/>
        <w:numPr>
          <w:ilvl w:val="0"/>
          <w:numId w:val="5"/>
        </w:numPr>
        <w:spacing w:after="0" w:line="360" w:lineRule="auto"/>
        <w:ind w:left="567" w:hanging="567"/>
        <w:contextualSpacing w:val="0"/>
        <w:jc w:val="both"/>
        <w:rPr>
          <w:rStyle w:val="IGPKindeksgrnyipogrubieniekursywa"/>
          <w:rFonts w:ascii="Times New Roman" w:hAnsi="Times New Roman" w:cs="Times New Roman"/>
          <w:b w:val="0"/>
          <w:i w:val="0"/>
          <w:color w:val="000000" w:themeColor="text1"/>
          <w:sz w:val="24"/>
          <w:szCs w:val="24"/>
          <w:vertAlign w:val="baseline"/>
        </w:rPr>
      </w:pPr>
      <w:r w:rsidRPr="006B2CD4">
        <w:rPr>
          <w:rStyle w:val="IGPKindeksgrnyipogrubieniekursywa"/>
          <w:rFonts w:ascii="Times New Roman" w:hAnsi="Times New Roman" w:cs="Times New Roman"/>
          <w:b w:val="0"/>
          <w:i w:val="0"/>
          <w:sz w:val="24"/>
          <w:szCs w:val="24"/>
          <w:vertAlign w:val="baseline"/>
        </w:rPr>
        <w:t>ustawy z dnia 7 grudnia 2000 r. o funkcjonowaniu banków spółdzielczych, ich zrzeszaniu się i bankach zrzeszają</w:t>
      </w:r>
      <w:r w:rsidR="00B7797B" w:rsidRPr="006B2CD4">
        <w:rPr>
          <w:rStyle w:val="IGPKindeksgrnyipogrubieniekursywa"/>
          <w:rFonts w:ascii="Times New Roman" w:hAnsi="Times New Roman" w:cs="Times New Roman"/>
          <w:b w:val="0"/>
          <w:i w:val="0"/>
          <w:sz w:val="24"/>
          <w:szCs w:val="24"/>
          <w:vertAlign w:val="baseline"/>
        </w:rPr>
        <w:t>cych (Dz. U. z 2022 r. poz.</w:t>
      </w:r>
      <w:r w:rsidR="002C3A82" w:rsidRPr="006B2CD4">
        <w:rPr>
          <w:rStyle w:val="IGPKindeksgrnyipogrubieniekursywa"/>
          <w:rFonts w:ascii="Times New Roman" w:hAnsi="Times New Roman" w:cs="Times New Roman"/>
          <w:b w:val="0"/>
          <w:i w:val="0"/>
          <w:sz w:val="24"/>
          <w:szCs w:val="24"/>
          <w:vertAlign w:val="baseline"/>
        </w:rPr>
        <w:t xml:space="preserve"> 1595</w:t>
      </w:r>
      <w:r w:rsidRPr="006B2CD4">
        <w:rPr>
          <w:rStyle w:val="IGPKindeksgrnyipogrubieniekursywa"/>
          <w:rFonts w:ascii="Times New Roman" w:hAnsi="Times New Roman" w:cs="Times New Roman"/>
          <w:b w:val="0"/>
          <w:i w:val="0"/>
          <w:sz w:val="24"/>
          <w:szCs w:val="24"/>
          <w:vertAlign w:val="baseline"/>
        </w:rPr>
        <w:t xml:space="preserve">), dalej „ustawa </w:t>
      </w:r>
      <w:r w:rsidRPr="006B2CD4">
        <w:rPr>
          <w:rFonts w:ascii="Times New Roman" w:hAnsi="Times New Roman" w:cs="Times New Roman"/>
          <w:sz w:val="24"/>
          <w:szCs w:val="24"/>
        </w:rPr>
        <w:t>o funkcjonowaniu banków spółdzielczych, ich zrzeszaniu się i bankach zrzeszających”</w:t>
      </w:r>
      <w:r w:rsidRPr="006B2CD4">
        <w:rPr>
          <w:rStyle w:val="IGPKindeksgrnyipogrubieniekursywa"/>
          <w:rFonts w:ascii="Times New Roman" w:hAnsi="Times New Roman" w:cs="Times New Roman"/>
          <w:b w:val="0"/>
          <w:i w:val="0"/>
          <w:sz w:val="24"/>
          <w:szCs w:val="24"/>
          <w:vertAlign w:val="baseline"/>
        </w:rPr>
        <w:t>;</w:t>
      </w:r>
    </w:p>
    <w:p w14:paraId="1F66731A" w14:textId="35D5DBF6" w:rsidR="004A489E" w:rsidRPr="006B2CD4" w:rsidRDefault="004A489E" w:rsidP="00DB03EC">
      <w:pPr>
        <w:pStyle w:val="Akapitzlist"/>
        <w:numPr>
          <w:ilvl w:val="0"/>
          <w:numId w:val="5"/>
        </w:numPr>
        <w:spacing w:after="0" w:line="360" w:lineRule="auto"/>
        <w:ind w:left="567" w:hanging="567"/>
        <w:contextualSpacing w:val="0"/>
        <w:jc w:val="both"/>
        <w:rPr>
          <w:rStyle w:val="IGPKindeksgrnyipogrubieniekursywa"/>
          <w:rFonts w:ascii="Times New Roman" w:hAnsi="Times New Roman" w:cs="Times New Roman"/>
          <w:b w:val="0"/>
          <w:i w:val="0"/>
          <w:color w:val="000000" w:themeColor="text1"/>
          <w:sz w:val="24"/>
          <w:szCs w:val="24"/>
          <w:vertAlign w:val="baseline"/>
        </w:rPr>
      </w:pPr>
      <w:r>
        <w:rPr>
          <w:rStyle w:val="IGPKindeksgrnyipogrubieniekursywa"/>
          <w:rFonts w:ascii="Times New Roman" w:hAnsi="Times New Roman" w:cs="Times New Roman"/>
          <w:b w:val="0"/>
          <w:i w:val="0"/>
          <w:sz w:val="24"/>
          <w:szCs w:val="24"/>
          <w:vertAlign w:val="baseline"/>
        </w:rPr>
        <w:t xml:space="preserve">ustawy z dnia 24 sierpnia 2001 r. o ostateczności rozrachunku w systemach płatności i systemach rozrachunku papierów wartościowych oraz zasadach nadzoru nad tymi systemami (Dz. U. z 2022 r. poz. 1581), dalej „ustawa </w:t>
      </w:r>
      <w:r w:rsidRPr="004A489E">
        <w:rPr>
          <w:rFonts w:ascii="Times New Roman" w:hAnsi="Times New Roman" w:cs="Times New Roman"/>
          <w:sz w:val="24"/>
          <w:szCs w:val="24"/>
        </w:rPr>
        <w:t>o ostateczności rozrachunku w systemach płatności i systemach rozrachunku papierów wartościowych oraz zasadach nadzoru nad tymi systemami</w:t>
      </w:r>
      <w:r>
        <w:rPr>
          <w:rFonts w:ascii="Times New Roman" w:hAnsi="Times New Roman" w:cs="Times New Roman"/>
          <w:sz w:val="24"/>
          <w:szCs w:val="24"/>
        </w:rPr>
        <w:t>”;</w:t>
      </w:r>
    </w:p>
    <w:p w14:paraId="5BC3879D" w14:textId="33D406AD" w:rsidR="0001287A" w:rsidRPr="006B2CD4" w:rsidRDefault="0001287A" w:rsidP="00DB03EC">
      <w:pPr>
        <w:pStyle w:val="Akapitzlist"/>
        <w:numPr>
          <w:ilvl w:val="0"/>
          <w:numId w:val="5"/>
        </w:numPr>
        <w:spacing w:after="0" w:line="360" w:lineRule="auto"/>
        <w:ind w:left="567" w:hanging="567"/>
        <w:contextualSpacing w:val="0"/>
        <w:jc w:val="both"/>
        <w:rPr>
          <w:rStyle w:val="IGPKindeksgrnyipogrubieniekursywa"/>
          <w:rFonts w:ascii="Times New Roman" w:hAnsi="Times New Roman" w:cs="Times New Roman"/>
          <w:b w:val="0"/>
          <w:i w:val="0"/>
          <w:color w:val="000000" w:themeColor="text1"/>
          <w:sz w:val="24"/>
          <w:szCs w:val="24"/>
          <w:vertAlign w:val="baseline"/>
        </w:rPr>
      </w:pPr>
      <w:r w:rsidRPr="006B2CD4">
        <w:rPr>
          <w:rStyle w:val="IGPKindeksgrnyipogrubieniekursywa"/>
          <w:rFonts w:ascii="Times New Roman" w:hAnsi="Times New Roman" w:cs="Times New Roman"/>
          <w:b w:val="0"/>
          <w:i w:val="0"/>
          <w:sz w:val="24"/>
          <w:szCs w:val="24"/>
          <w:vertAlign w:val="baseline"/>
        </w:rPr>
        <w:t xml:space="preserve">ustawy z dnia 28 lutego 2003 r. </w:t>
      </w:r>
      <w:r w:rsidR="0057030D" w:rsidRPr="006B2CD4">
        <w:rPr>
          <w:rFonts w:ascii="Times New Roman" w:hAnsi="Times New Roman" w:cs="Times New Roman"/>
          <w:bCs/>
          <w:sz w:val="24"/>
          <w:szCs w:val="24"/>
        </w:rPr>
        <w:t xml:space="preserve">– </w:t>
      </w:r>
      <w:r w:rsidRPr="006B2CD4">
        <w:rPr>
          <w:rStyle w:val="IGPKindeksgrnyipogrubieniekursywa"/>
          <w:rFonts w:ascii="Times New Roman" w:hAnsi="Times New Roman" w:cs="Times New Roman"/>
          <w:b w:val="0"/>
          <w:i w:val="0"/>
          <w:sz w:val="24"/>
          <w:szCs w:val="24"/>
          <w:vertAlign w:val="baseline"/>
        </w:rPr>
        <w:t>Prawo upadłościowe (Dz. U. z 202</w:t>
      </w:r>
      <w:r w:rsidR="00EC10A5" w:rsidRPr="006B2CD4">
        <w:rPr>
          <w:rStyle w:val="IGPKindeksgrnyipogrubieniekursywa"/>
          <w:rFonts w:ascii="Times New Roman" w:hAnsi="Times New Roman" w:cs="Times New Roman"/>
          <w:b w:val="0"/>
          <w:i w:val="0"/>
          <w:sz w:val="24"/>
          <w:szCs w:val="24"/>
          <w:vertAlign w:val="baseline"/>
        </w:rPr>
        <w:t>2</w:t>
      </w:r>
      <w:r w:rsidRPr="006B2CD4">
        <w:rPr>
          <w:rStyle w:val="IGPKindeksgrnyipogrubieniekursywa"/>
          <w:rFonts w:ascii="Times New Roman" w:hAnsi="Times New Roman" w:cs="Times New Roman"/>
          <w:b w:val="0"/>
          <w:i w:val="0"/>
          <w:sz w:val="24"/>
          <w:szCs w:val="24"/>
          <w:vertAlign w:val="baseline"/>
        </w:rPr>
        <w:t xml:space="preserve"> r. poz.</w:t>
      </w:r>
      <w:r w:rsidR="00EC10A5" w:rsidRPr="006B2CD4">
        <w:rPr>
          <w:rStyle w:val="IGPKindeksgrnyipogrubieniekursywa"/>
          <w:rFonts w:ascii="Times New Roman" w:hAnsi="Times New Roman" w:cs="Times New Roman"/>
          <w:b w:val="0"/>
          <w:i w:val="0"/>
          <w:sz w:val="24"/>
          <w:szCs w:val="24"/>
          <w:vertAlign w:val="baseline"/>
        </w:rPr>
        <w:t xml:space="preserve"> 1520</w:t>
      </w:r>
      <w:r w:rsidR="00D3779D">
        <w:rPr>
          <w:rStyle w:val="IGPKindeksgrnyipogrubieniekursywa"/>
          <w:rFonts w:ascii="Times New Roman" w:hAnsi="Times New Roman" w:cs="Times New Roman"/>
          <w:b w:val="0"/>
          <w:i w:val="0"/>
          <w:sz w:val="24"/>
          <w:szCs w:val="24"/>
          <w:vertAlign w:val="baseline"/>
        </w:rPr>
        <w:t xml:space="preserve">, </w:t>
      </w:r>
      <w:r w:rsidR="00D3779D" w:rsidRPr="006B2CD4">
        <w:rPr>
          <w:rFonts w:ascii="Times New Roman" w:hAnsi="Times New Roman" w:cs="Times New Roman"/>
          <w:sz w:val="24"/>
          <w:szCs w:val="24"/>
        </w:rPr>
        <w:t>z późn. zm.</w:t>
      </w:r>
      <w:r w:rsidRPr="006B2CD4">
        <w:rPr>
          <w:rStyle w:val="IGPKindeksgrnyipogrubieniekursywa"/>
          <w:rFonts w:ascii="Times New Roman" w:hAnsi="Times New Roman" w:cs="Times New Roman"/>
          <w:b w:val="0"/>
          <w:i w:val="0"/>
          <w:sz w:val="24"/>
          <w:szCs w:val="24"/>
          <w:vertAlign w:val="baseline"/>
        </w:rPr>
        <w:t xml:space="preserve">), dalej „ustawa </w:t>
      </w:r>
      <w:r w:rsidR="009519E9" w:rsidRPr="006B2CD4">
        <w:rPr>
          <w:rFonts w:ascii="Times New Roman" w:hAnsi="Times New Roman" w:cs="Times New Roman"/>
          <w:bCs/>
          <w:sz w:val="24"/>
          <w:szCs w:val="24"/>
        </w:rPr>
        <w:t>–</w:t>
      </w:r>
      <w:r w:rsidRPr="006B2CD4">
        <w:rPr>
          <w:rStyle w:val="IGPKindeksgrnyipogrubieniekursywa"/>
          <w:rFonts w:ascii="Times New Roman" w:hAnsi="Times New Roman" w:cs="Times New Roman"/>
          <w:b w:val="0"/>
          <w:i w:val="0"/>
          <w:sz w:val="24"/>
          <w:szCs w:val="24"/>
          <w:vertAlign w:val="baseline"/>
        </w:rPr>
        <w:t xml:space="preserve"> Prawo upadłościowe”;</w:t>
      </w:r>
    </w:p>
    <w:p w14:paraId="77366F05" w14:textId="7670F5A6" w:rsidR="0001287A" w:rsidRPr="006B2CD4" w:rsidRDefault="0001287A" w:rsidP="00DB03EC">
      <w:pPr>
        <w:pStyle w:val="Akapitzlist"/>
        <w:numPr>
          <w:ilvl w:val="0"/>
          <w:numId w:val="5"/>
        </w:numPr>
        <w:spacing w:after="0" w:line="360" w:lineRule="auto"/>
        <w:ind w:left="567" w:hanging="567"/>
        <w:contextualSpacing w:val="0"/>
        <w:jc w:val="both"/>
        <w:rPr>
          <w:rFonts w:ascii="Times New Roman" w:hAnsi="Times New Roman" w:cs="Times New Roman"/>
          <w:color w:val="000000" w:themeColor="text1"/>
          <w:sz w:val="24"/>
          <w:szCs w:val="24"/>
        </w:rPr>
      </w:pPr>
      <w:r w:rsidRPr="006B2CD4">
        <w:rPr>
          <w:rFonts w:ascii="Times New Roman" w:hAnsi="Times New Roman" w:cs="Times New Roman"/>
          <w:sz w:val="24"/>
          <w:szCs w:val="24"/>
        </w:rPr>
        <w:t>ustawy z dnia 22 maja 2003 r. o ubezpieczeniach obowiązkowych, Ubezpieczeniowym Funduszu Gwarancyjnym i Polskim Biurze Ubezpieczycieli Komunikacyjnych (Dz. U.</w:t>
      </w:r>
      <w:r w:rsidR="00653C0C">
        <w:rPr>
          <w:rFonts w:ascii="Times New Roman" w:hAnsi="Times New Roman" w:cs="Times New Roman"/>
          <w:sz w:val="24"/>
          <w:szCs w:val="24"/>
        </w:rPr>
        <w:t xml:space="preserve"> </w:t>
      </w:r>
      <w:r w:rsidRPr="006B2CD4">
        <w:rPr>
          <w:rFonts w:ascii="Times New Roman" w:hAnsi="Times New Roman" w:cs="Times New Roman"/>
          <w:sz w:val="24"/>
          <w:szCs w:val="24"/>
        </w:rPr>
        <w:t xml:space="preserve">z 2022 r. poz. </w:t>
      </w:r>
      <w:r w:rsidR="003259AC">
        <w:rPr>
          <w:rFonts w:ascii="Times New Roman" w:hAnsi="Times New Roman" w:cs="Times New Roman"/>
          <w:sz w:val="24"/>
          <w:szCs w:val="24"/>
        </w:rPr>
        <w:t>2277</w:t>
      </w:r>
      <w:r w:rsidRPr="006B2CD4">
        <w:rPr>
          <w:rFonts w:ascii="Times New Roman" w:hAnsi="Times New Roman" w:cs="Times New Roman"/>
          <w:sz w:val="24"/>
          <w:szCs w:val="24"/>
        </w:rPr>
        <w:t>, z późn. zm.)</w:t>
      </w:r>
      <w:r w:rsidRPr="006B2CD4">
        <w:rPr>
          <w:rStyle w:val="IGPKindeksgrnyipogrubieniekursywa"/>
          <w:rFonts w:ascii="Times New Roman" w:hAnsi="Times New Roman" w:cs="Times New Roman"/>
          <w:b w:val="0"/>
          <w:i w:val="0"/>
          <w:sz w:val="24"/>
          <w:szCs w:val="24"/>
          <w:vertAlign w:val="baseline"/>
        </w:rPr>
        <w:t xml:space="preserve">, dalej „ustawa </w:t>
      </w:r>
      <w:r w:rsidRPr="006B2CD4">
        <w:rPr>
          <w:rFonts w:ascii="Times New Roman" w:hAnsi="Times New Roman" w:cs="Times New Roman"/>
          <w:sz w:val="24"/>
          <w:szCs w:val="24"/>
        </w:rPr>
        <w:t>o ubezpieczeniach obowiązkowych, Ubezpieczeniowym Funduszu Gwarancyjnym i Polskim Biurze Ubezpieczycieli Komunikacyjnych”;</w:t>
      </w:r>
    </w:p>
    <w:p w14:paraId="7E4DFC9D" w14:textId="61C9D797" w:rsidR="0001287A" w:rsidRPr="006B2CD4" w:rsidRDefault="0001287A" w:rsidP="00DB03EC">
      <w:pPr>
        <w:pStyle w:val="Akapitzlist"/>
        <w:numPr>
          <w:ilvl w:val="0"/>
          <w:numId w:val="5"/>
        </w:numPr>
        <w:spacing w:after="0" w:line="360" w:lineRule="auto"/>
        <w:ind w:left="567" w:hanging="567"/>
        <w:contextualSpacing w:val="0"/>
        <w:jc w:val="both"/>
        <w:rPr>
          <w:rFonts w:ascii="Times New Roman" w:hAnsi="Times New Roman" w:cs="Times New Roman"/>
          <w:color w:val="000000" w:themeColor="text1"/>
          <w:sz w:val="24"/>
          <w:szCs w:val="24"/>
        </w:rPr>
      </w:pPr>
      <w:r w:rsidRPr="006B2CD4">
        <w:rPr>
          <w:rFonts w:ascii="Times New Roman" w:hAnsi="Times New Roman" w:cs="Times New Roman"/>
          <w:sz w:val="24"/>
          <w:szCs w:val="24"/>
        </w:rPr>
        <w:lastRenderedPageBreak/>
        <w:t>ustawy z dnia 2 kwietnia 2004 r. o niektórych zabezpiecze</w:t>
      </w:r>
      <w:r w:rsidR="00FD33B9">
        <w:rPr>
          <w:rFonts w:ascii="Times New Roman" w:hAnsi="Times New Roman" w:cs="Times New Roman"/>
          <w:sz w:val="24"/>
          <w:szCs w:val="24"/>
        </w:rPr>
        <w:t>niach finansowych (Dz. U. z 2022 r. poz. 13</w:t>
      </w:r>
      <w:r w:rsidRPr="006B2CD4">
        <w:rPr>
          <w:rFonts w:ascii="Times New Roman" w:hAnsi="Times New Roman" w:cs="Times New Roman"/>
          <w:sz w:val="24"/>
          <w:szCs w:val="24"/>
        </w:rPr>
        <w:t>3), dalej „ustawa o niektórych zabezpieczeniach finansowych”;</w:t>
      </w:r>
    </w:p>
    <w:p w14:paraId="22A97F92" w14:textId="6C17E629" w:rsidR="0001287A" w:rsidRPr="006B2CD4" w:rsidRDefault="0001287A" w:rsidP="00DB03EC">
      <w:pPr>
        <w:pStyle w:val="Akapitzlist"/>
        <w:numPr>
          <w:ilvl w:val="0"/>
          <w:numId w:val="5"/>
        </w:numPr>
        <w:spacing w:after="0" w:line="360" w:lineRule="auto"/>
        <w:ind w:left="567" w:hanging="567"/>
        <w:contextualSpacing w:val="0"/>
        <w:jc w:val="both"/>
        <w:rPr>
          <w:rStyle w:val="IGPKindeksgrnyipogrubieniekursywa"/>
          <w:rFonts w:ascii="Times New Roman" w:hAnsi="Times New Roman" w:cs="Times New Roman"/>
          <w:b w:val="0"/>
          <w:i w:val="0"/>
          <w:color w:val="000000" w:themeColor="text1"/>
          <w:sz w:val="24"/>
          <w:szCs w:val="24"/>
          <w:vertAlign w:val="baseline"/>
        </w:rPr>
      </w:pPr>
      <w:r w:rsidRPr="006B2CD4">
        <w:rPr>
          <w:rStyle w:val="IGPKindeksgrnyipogrubieniekursywa"/>
          <w:rFonts w:ascii="Times New Roman" w:hAnsi="Times New Roman" w:cs="Times New Roman"/>
          <w:b w:val="0"/>
          <w:i w:val="0"/>
          <w:sz w:val="24"/>
          <w:szCs w:val="24"/>
          <w:vertAlign w:val="baseline"/>
        </w:rPr>
        <w:t xml:space="preserve">ustawy z dnia 27 maja 2004 r. o funduszach inwestycyjnych i zarządzaniu alternatywnymi funduszami inwestycyjnymi </w:t>
      </w:r>
      <w:r w:rsidR="00D14E7A" w:rsidRPr="006B2CD4">
        <w:rPr>
          <w:rFonts w:ascii="Times New Roman" w:hAnsi="Times New Roman" w:cs="Times New Roman"/>
          <w:sz w:val="24"/>
          <w:szCs w:val="24"/>
        </w:rPr>
        <w:t xml:space="preserve">(Dz. U. </w:t>
      </w:r>
      <w:r w:rsidR="001A5EF1">
        <w:rPr>
          <w:rFonts w:ascii="Times New Roman" w:hAnsi="Times New Roman" w:cs="Times New Roman"/>
          <w:sz w:val="24"/>
          <w:szCs w:val="24"/>
        </w:rPr>
        <w:t>z 202</w:t>
      </w:r>
      <w:r w:rsidR="00732365">
        <w:rPr>
          <w:rFonts w:ascii="Times New Roman" w:hAnsi="Times New Roman" w:cs="Times New Roman"/>
          <w:sz w:val="24"/>
          <w:szCs w:val="24"/>
        </w:rPr>
        <w:t>3</w:t>
      </w:r>
      <w:r w:rsidR="001A5EF1">
        <w:rPr>
          <w:rFonts w:ascii="Times New Roman" w:hAnsi="Times New Roman" w:cs="Times New Roman"/>
          <w:sz w:val="24"/>
          <w:szCs w:val="24"/>
        </w:rPr>
        <w:t xml:space="preserve"> r. poz. 681</w:t>
      </w:r>
      <w:r w:rsidR="00D3779D">
        <w:rPr>
          <w:rFonts w:ascii="Times New Roman" w:hAnsi="Times New Roman" w:cs="Times New Roman"/>
          <w:sz w:val="24"/>
          <w:szCs w:val="24"/>
        </w:rPr>
        <w:t xml:space="preserve">, </w:t>
      </w:r>
      <w:r w:rsidR="00D3779D" w:rsidRPr="006B2CD4">
        <w:rPr>
          <w:rFonts w:ascii="Times New Roman" w:hAnsi="Times New Roman" w:cs="Times New Roman"/>
          <w:sz w:val="24"/>
          <w:szCs w:val="24"/>
        </w:rPr>
        <w:t>z późn. zm.</w:t>
      </w:r>
      <w:r w:rsidRPr="006B2CD4">
        <w:rPr>
          <w:rFonts w:ascii="Times New Roman" w:hAnsi="Times New Roman" w:cs="Times New Roman"/>
          <w:sz w:val="24"/>
          <w:szCs w:val="24"/>
        </w:rPr>
        <w:t>)</w:t>
      </w:r>
      <w:r w:rsidRPr="006B2CD4">
        <w:rPr>
          <w:rStyle w:val="IGPKindeksgrnyipogrubieniekursywa"/>
          <w:rFonts w:ascii="Times New Roman" w:hAnsi="Times New Roman" w:cs="Times New Roman"/>
          <w:b w:val="0"/>
          <w:i w:val="0"/>
          <w:sz w:val="24"/>
          <w:szCs w:val="24"/>
          <w:vertAlign w:val="baseline"/>
        </w:rPr>
        <w:t>, dalej „ustawa o funduszach inwestycyjnych”;</w:t>
      </w:r>
    </w:p>
    <w:p w14:paraId="5B8FB5F1" w14:textId="64936928" w:rsidR="0001287A" w:rsidRPr="006B2CD4" w:rsidRDefault="0001287A" w:rsidP="00DB03EC">
      <w:pPr>
        <w:pStyle w:val="Akapitzlist"/>
        <w:numPr>
          <w:ilvl w:val="0"/>
          <w:numId w:val="5"/>
        </w:numPr>
        <w:spacing w:after="0" w:line="360" w:lineRule="auto"/>
        <w:ind w:left="567" w:hanging="567"/>
        <w:contextualSpacing w:val="0"/>
        <w:jc w:val="both"/>
        <w:rPr>
          <w:rStyle w:val="IGPKindeksgrnyipogrubieniekursywa"/>
          <w:rFonts w:ascii="Times New Roman" w:hAnsi="Times New Roman" w:cs="Times New Roman"/>
          <w:b w:val="0"/>
          <w:i w:val="0"/>
          <w:color w:val="000000" w:themeColor="text1"/>
          <w:sz w:val="24"/>
          <w:szCs w:val="24"/>
          <w:vertAlign w:val="baseline"/>
        </w:rPr>
      </w:pPr>
      <w:r w:rsidRPr="006B2CD4">
        <w:rPr>
          <w:rStyle w:val="IGPKindeksgrnyipogrubieniekursywa"/>
          <w:rFonts w:ascii="Times New Roman" w:hAnsi="Times New Roman" w:cs="Times New Roman"/>
          <w:b w:val="0"/>
          <w:i w:val="0"/>
          <w:sz w:val="24"/>
          <w:szCs w:val="24"/>
          <w:vertAlign w:val="baseline"/>
        </w:rPr>
        <w:t xml:space="preserve">ustawy z dnia 29 lipca 2005 r. o ofercie publicznej i warunkach wprowadzania instrumentów finansowych do zorganizowanego systemu obrotu oraz o spółkach publicznych </w:t>
      </w:r>
      <w:r w:rsidRPr="006B2CD4">
        <w:rPr>
          <w:rFonts w:ascii="Times New Roman" w:hAnsi="Times New Roman" w:cs="Times New Roman"/>
          <w:sz w:val="24"/>
          <w:szCs w:val="24"/>
        </w:rPr>
        <w:t>(Dz. U. z 202</w:t>
      </w:r>
      <w:r w:rsidR="003E60D3">
        <w:rPr>
          <w:rFonts w:ascii="Times New Roman" w:hAnsi="Times New Roman" w:cs="Times New Roman"/>
          <w:sz w:val="24"/>
          <w:szCs w:val="24"/>
        </w:rPr>
        <w:t>2</w:t>
      </w:r>
      <w:r w:rsidRPr="006B2CD4">
        <w:rPr>
          <w:rFonts w:ascii="Times New Roman" w:hAnsi="Times New Roman" w:cs="Times New Roman"/>
          <w:sz w:val="24"/>
          <w:szCs w:val="24"/>
        </w:rPr>
        <w:t xml:space="preserve"> r. poz. </w:t>
      </w:r>
      <w:r w:rsidR="003E60D3">
        <w:rPr>
          <w:rFonts w:ascii="Times New Roman" w:hAnsi="Times New Roman" w:cs="Times New Roman"/>
          <w:sz w:val="24"/>
          <w:szCs w:val="24"/>
        </w:rPr>
        <w:t>2554</w:t>
      </w:r>
      <w:r w:rsidR="00D3779D">
        <w:rPr>
          <w:rFonts w:ascii="Times New Roman" w:hAnsi="Times New Roman" w:cs="Times New Roman"/>
          <w:sz w:val="24"/>
          <w:szCs w:val="24"/>
        </w:rPr>
        <w:t xml:space="preserve">, </w:t>
      </w:r>
      <w:r w:rsidR="00D3779D" w:rsidRPr="006B2CD4">
        <w:rPr>
          <w:rFonts w:ascii="Times New Roman" w:hAnsi="Times New Roman" w:cs="Times New Roman"/>
          <w:sz w:val="24"/>
          <w:szCs w:val="24"/>
        </w:rPr>
        <w:t>z późn. zm.</w:t>
      </w:r>
      <w:r w:rsidRPr="006B2CD4">
        <w:rPr>
          <w:rFonts w:ascii="Times New Roman" w:hAnsi="Times New Roman" w:cs="Times New Roman"/>
          <w:sz w:val="24"/>
          <w:szCs w:val="24"/>
        </w:rPr>
        <w:t>)</w:t>
      </w:r>
      <w:r w:rsidRPr="006B2CD4">
        <w:rPr>
          <w:rStyle w:val="IGPKindeksgrnyipogrubieniekursywa"/>
          <w:rFonts w:ascii="Times New Roman" w:hAnsi="Times New Roman" w:cs="Times New Roman"/>
          <w:b w:val="0"/>
          <w:i w:val="0"/>
          <w:sz w:val="24"/>
          <w:szCs w:val="24"/>
          <w:vertAlign w:val="baseline"/>
        </w:rPr>
        <w:t>, dalej „ustawa o ofercie publicznej”;</w:t>
      </w:r>
    </w:p>
    <w:p w14:paraId="3343B758" w14:textId="638791AD" w:rsidR="0001287A" w:rsidRPr="006B2CD4" w:rsidRDefault="0001287A" w:rsidP="00DB03EC">
      <w:pPr>
        <w:pStyle w:val="Akapitzlist"/>
        <w:numPr>
          <w:ilvl w:val="0"/>
          <w:numId w:val="5"/>
        </w:numPr>
        <w:spacing w:after="0" w:line="360" w:lineRule="auto"/>
        <w:ind w:left="567" w:hanging="567"/>
        <w:contextualSpacing w:val="0"/>
        <w:jc w:val="both"/>
        <w:rPr>
          <w:rStyle w:val="IGPKindeksgrnyipogrubieniekursywa"/>
          <w:rFonts w:ascii="Times New Roman" w:hAnsi="Times New Roman" w:cs="Times New Roman"/>
          <w:b w:val="0"/>
          <w:i w:val="0"/>
          <w:color w:val="000000" w:themeColor="text1"/>
          <w:sz w:val="24"/>
          <w:szCs w:val="24"/>
          <w:vertAlign w:val="baseline"/>
        </w:rPr>
      </w:pPr>
      <w:r w:rsidRPr="006B2CD4">
        <w:rPr>
          <w:rStyle w:val="IGPKindeksgrnyipogrubieniekursywa"/>
          <w:rFonts w:ascii="Times New Roman" w:hAnsi="Times New Roman" w:cs="Times New Roman"/>
          <w:b w:val="0"/>
          <w:i w:val="0"/>
          <w:sz w:val="24"/>
          <w:szCs w:val="24"/>
          <w:vertAlign w:val="baseline"/>
        </w:rPr>
        <w:t xml:space="preserve">ustawy z dnia 29 lipca 2005 r. o obrocie instrumentami finansowymi </w:t>
      </w:r>
      <w:r w:rsidR="009476A3" w:rsidRPr="006B2CD4">
        <w:rPr>
          <w:rFonts w:ascii="Times New Roman" w:hAnsi="Times New Roman" w:cs="Times New Roman"/>
          <w:sz w:val="24"/>
          <w:szCs w:val="24"/>
        </w:rPr>
        <w:t>(Dz. U. z 202</w:t>
      </w:r>
      <w:r w:rsidR="00540A43">
        <w:rPr>
          <w:rFonts w:ascii="Times New Roman" w:hAnsi="Times New Roman" w:cs="Times New Roman"/>
          <w:sz w:val="24"/>
          <w:szCs w:val="24"/>
        </w:rPr>
        <w:t>3</w:t>
      </w:r>
      <w:r w:rsidRPr="006B2CD4">
        <w:rPr>
          <w:rFonts w:ascii="Times New Roman" w:hAnsi="Times New Roman" w:cs="Times New Roman"/>
          <w:sz w:val="24"/>
          <w:szCs w:val="24"/>
        </w:rPr>
        <w:t xml:space="preserve"> r</w:t>
      </w:r>
      <w:r w:rsidR="000F53CA" w:rsidRPr="006B2CD4">
        <w:rPr>
          <w:rFonts w:ascii="Times New Roman" w:hAnsi="Times New Roman" w:cs="Times New Roman"/>
          <w:sz w:val="24"/>
          <w:szCs w:val="24"/>
        </w:rPr>
        <w:t>.</w:t>
      </w:r>
      <w:r w:rsidR="00540A43">
        <w:rPr>
          <w:rFonts w:ascii="Times New Roman" w:hAnsi="Times New Roman" w:cs="Times New Roman"/>
          <w:sz w:val="24"/>
          <w:szCs w:val="24"/>
        </w:rPr>
        <w:t xml:space="preserve"> poz. 646</w:t>
      </w:r>
      <w:r w:rsidR="00D3779D">
        <w:rPr>
          <w:rFonts w:ascii="Times New Roman" w:hAnsi="Times New Roman" w:cs="Times New Roman"/>
          <w:sz w:val="24"/>
          <w:szCs w:val="24"/>
        </w:rPr>
        <w:t xml:space="preserve">, </w:t>
      </w:r>
      <w:r w:rsidR="00D3779D" w:rsidRPr="006B2CD4">
        <w:rPr>
          <w:rFonts w:ascii="Times New Roman" w:hAnsi="Times New Roman" w:cs="Times New Roman"/>
          <w:sz w:val="24"/>
          <w:szCs w:val="24"/>
        </w:rPr>
        <w:t>z późn. zm.</w:t>
      </w:r>
      <w:r w:rsidRPr="006B2CD4">
        <w:rPr>
          <w:rFonts w:ascii="Times New Roman" w:hAnsi="Times New Roman" w:cs="Times New Roman"/>
          <w:sz w:val="24"/>
          <w:szCs w:val="24"/>
        </w:rPr>
        <w:t>)</w:t>
      </w:r>
      <w:r w:rsidRPr="006B2CD4">
        <w:rPr>
          <w:rStyle w:val="IGPKindeksgrnyipogrubieniekursywa"/>
          <w:rFonts w:ascii="Times New Roman" w:hAnsi="Times New Roman" w:cs="Times New Roman"/>
          <w:b w:val="0"/>
          <w:i w:val="0"/>
          <w:sz w:val="24"/>
          <w:szCs w:val="24"/>
          <w:vertAlign w:val="baseline"/>
        </w:rPr>
        <w:t>, dalej „ustawa o obrocie”;</w:t>
      </w:r>
    </w:p>
    <w:p w14:paraId="47DD67CF" w14:textId="1C0D3FB8" w:rsidR="0001287A" w:rsidRPr="00595EBC" w:rsidRDefault="0001287A" w:rsidP="00DB03EC">
      <w:pPr>
        <w:pStyle w:val="Akapitzlist"/>
        <w:numPr>
          <w:ilvl w:val="0"/>
          <w:numId w:val="5"/>
        </w:numPr>
        <w:spacing w:after="0" w:line="360" w:lineRule="auto"/>
        <w:ind w:left="567" w:hanging="567"/>
        <w:contextualSpacing w:val="0"/>
        <w:jc w:val="both"/>
        <w:rPr>
          <w:rStyle w:val="IGPKindeksgrnyipogrubieniekursywa"/>
          <w:rFonts w:ascii="Times New Roman" w:hAnsi="Times New Roman" w:cs="Times New Roman"/>
          <w:b w:val="0"/>
          <w:i w:val="0"/>
          <w:color w:val="000000" w:themeColor="text1"/>
          <w:sz w:val="24"/>
          <w:szCs w:val="24"/>
          <w:vertAlign w:val="baseline"/>
        </w:rPr>
      </w:pPr>
      <w:r w:rsidRPr="006B2CD4">
        <w:rPr>
          <w:rStyle w:val="IGPKindeksgrnyipogrubieniekursywa"/>
          <w:rFonts w:ascii="Times New Roman" w:hAnsi="Times New Roman" w:cs="Times New Roman"/>
          <w:b w:val="0"/>
          <w:i w:val="0"/>
          <w:sz w:val="24"/>
          <w:szCs w:val="24"/>
          <w:vertAlign w:val="baseline"/>
        </w:rPr>
        <w:t xml:space="preserve">ustawy z dnia 29 lipca 2005 r. o nadzorze nad rynkiem kapitałowym </w:t>
      </w:r>
      <w:r w:rsidRPr="006B2CD4">
        <w:rPr>
          <w:rFonts w:ascii="Times New Roman" w:hAnsi="Times New Roman" w:cs="Times New Roman"/>
          <w:sz w:val="24"/>
          <w:szCs w:val="24"/>
        </w:rPr>
        <w:t>(Dz. U. z 202</w:t>
      </w:r>
      <w:r w:rsidR="00375832">
        <w:rPr>
          <w:rFonts w:ascii="Times New Roman" w:hAnsi="Times New Roman" w:cs="Times New Roman"/>
          <w:sz w:val="24"/>
          <w:szCs w:val="24"/>
        </w:rPr>
        <w:t>3</w:t>
      </w:r>
      <w:r w:rsidRPr="006B2CD4">
        <w:rPr>
          <w:rFonts w:ascii="Times New Roman" w:hAnsi="Times New Roman" w:cs="Times New Roman"/>
          <w:sz w:val="24"/>
          <w:szCs w:val="24"/>
        </w:rPr>
        <w:t xml:space="preserve"> r. poz. </w:t>
      </w:r>
      <w:r w:rsidR="00375832">
        <w:rPr>
          <w:rFonts w:ascii="Times New Roman" w:hAnsi="Times New Roman" w:cs="Times New Roman"/>
          <w:sz w:val="24"/>
          <w:szCs w:val="24"/>
        </w:rPr>
        <w:t>188</w:t>
      </w:r>
      <w:r w:rsidR="00704D1E" w:rsidRPr="006B2CD4">
        <w:rPr>
          <w:rFonts w:ascii="Times New Roman" w:hAnsi="Times New Roman" w:cs="Times New Roman"/>
          <w:sz w:val="24"/>
          <w:szCs w:val="24"/>
        </w:rPr>
        <w:t>),</w:t>
      </w:r>
      <w:r w:rsidRPr="006B2CD4">
        <w:rPr>
          <w:rStyle w:val="IGPKindeksgrnyipogrubieniekursywa"/>
          <w:rFonts w:ascii="Times New Roman" w:hAnsi="Times New Roman" w:cs="Times New Roman"/>
          <w:b w:val="0"/>
          <w:i w:val="0"/>
          <w:sz w:val="24"/>
          <w:szCs w:val="24"/>
          <w:vertAlign w:val="baseline"/>
        </w:rPr>
        <w:t xml:space="preserve"> dalej „ustawa o nadzorze nad rynkiem kapitałowym”;</w:t>
      </w:r>
    </w:p>
    <w:p w14:paraId="4CF91AEB" w14:textId="70768C29" w:rsidR="00595EBC" w:rsidRPr="00595EBC" w:rsidRDefault="001A2B95" w:rsidP="00DB03EC">
      <w:pPr>
        <w:pStyle w:val="Akapitzlist"/>
        <w:numPr>
          <w:ilvl w:val="0"/>
          <w:numId w:val="5"/>
        </w:numPr>
        <w:spacing w:after="0" w:line="360" w:lineRule="auto"/>
        <w:ind w:left="567" w:hanging="567"/>
        <w:contextualSpacing w:val="0"/>
        <w:jc w:val="both"/>
        <w:rPr>
          <w:rStyle w:val="IGPKindeksgrnyipogrubieniekursywa"/>
          <w:rFonts w:ascii="Times New Roman" w:hAnsi="Times New Roman" w:cs="Times New Roman"/>
          <w:b w:val="0"/>
          <w:i w:val="0"/>
          <w:color w:val="000000" w:themeColor="text1"/>
          <w:sz w:val="24"/>
          <w:szCs w:val="24"/>
          <w:vertAlign w:val="baseline"/>
        </w:rPr>
      </w:pPr>
      <w:r>
        <w:rPr>
          <w:rStyle w:val="IGPKindeksgrnyipogrubieniekursywa"/>
          <w:rFonts w:ascii="Times New Roman" w:hAnsi="Times New Roman" w:cs="Times New Roman"/>
          <w:b w:val="0"/>
          <w:i w:val="0"/>
          <w:color w:val="000000" w:themeColor="text1"/>
          <w:sz w:val="24"/>
          <w:szCs w:val="24"/>
          <w:vertAlign w:val="baseline"/>
        </w:rPr>
        <w:t xml:space="preserve">ustawy z </w:t>
      </w:r>
      <w:r w:rsidR="00595EBC" w:rsidRPr="00595EBC">
        <w:rPr>
          <w:rFonts w:ascii="Times New Roman" w:hAnsi="Times New Roman" w:cs="Times New Roman"/>
          <w:sz w:val="24"/>
          <w:szCs w:val="24"/>
        </w:rPr>
        <w:t>dnia 9 czerwca 2006 r. o Centralnym Biurze Antykorupcyjnym</w:t>
      </w:r>
      <w:r w:rsidR="00595EBC">
        <w:rPr>
          <w:rFonts w:ascii="Times New Roman" w:hAnsi="Times New Roman" w:cs="Times New Roman"/>
          <w:sz w:val="24"/>
          <w:szCs w:val="24"/>
        </w:rPr>
        <w:t xml:space="preserve"> </w:t>
      </w:r>
      <w:r w:rsidR="00595EBC" w:rsidRPr="00595EBC">
        <w:rPr>
          <w:rFonts w:ascii="Times New Roman" w:hAnsi="Times New Roman" w:cs="Times New Roman"/>
          <w:sz w:val="24"/>
          <w:szCs w:val="24"/>
        </w:rPr>
        <w:t>(Dz. U. z 2022 r. poz. 1900</w:t>
      </w:r>
      <w:r>
        <w:rPr>
          <w:rFonts w:ascii="Times New Roman" w:hAnsi="Times New Roman" w:cs="Times New Roman"/>
          <w:sz w:val="24"/>
          <w:szCs w:val="24"/>
        </w:rPr>
        <w:t>, z późn. zm.</w:t>
      </w:r>
      <w:r w:rsidR="00595EBC" w:rsidRPr="00595EBC">
        <w:rPr>
          <w:rFonts w:ascii="Times New Roman" w:hAnsi="Times New Roman" w:cs="Times New Roman"/>
          <w:sz w:val="24"/>
          <w:szCs w:val="24"/>
        </w:rPr>
        <w:t>)</w:t>
      </w:r>
      <w:r w:rsidR="00595EBC">
        <w:rPr>
          <w:rFonts w:ascii="Times New Roman" w:hAnsi="Times New Roman" w:cs="Times New Roman"/>
          <w:sz w:val="24"/>
          <w:szCs w:val="24"/>
        </w:rPr>
        <w:t xml:space="preserve">, dalej „ustawa </w:t>
      </w:r>
      <w:r w:rsidR="00595EBC" w:rsidRPr="00595EBC">
        <w:rPr>
          <w:rFonts w:ascii="Times New Roman" w:hAnsi="Times New Roman" w:cs="Times New Roman"/>
          <w:sz w:val="24"/>
          <w:szCs w:val="24"/>
        </w:rPr>
        <w:t>o Centralnym Biurze Antykorupcyjnym</w:t>
      </w:r>
      <w:r w:rsidR="00595EBC">
        <w:rPr>
          <w:rFonts w:ascii="Times New Roman" w:hAnsi="Times New Roman" w:cs="Times New Roman"/>
          <w:sz w:val="24"/>
          <w:szCs w:val="24"/>
        </w:rPr>
        <w:t>”;</w:t>
      </w:r>
    </w:p>
    <w:p w14:paraId="13E45CEC" w14:textId="0095AFCD" w:rsidR="0001287A" w:rsidRPr="006B2CD4" w:rsidRDefault="0001287A" w:rsidP="00DB03EC">
      <w:pPr>
        <w:pStyle w:val="Akapitzlist"/>
        <w:numPr>
          <w:ilvl w:val="0"/>
          <w:numId w:val="5"/>
        </w:numPr>
        <w:spacing w:after="0" w:line="360" w:lineRule="auto"/>
        <w:ind w:left="567" w:hanging="567"/>
        <w:contextualSpacing w:val="0"/>
        <w:jc w:val="both"/>
        <w:rPr>
          <w:rStyle w:val="IGPKindeksgrnyipogrubieniekursywa"/>
          <w:rFonts w:ascii="Times New Roman" w:hAnsi="Times New Roman" w:cs="Times New Roman"/>
          <w:b w:val="0"/>
          <w:i w:val="0"/>
          <w:color w:val="000000" w:themeColor="text1"/>
          <w:sz w:val="24"/>
          <w:szCs w:val="24"/>
          <w:vertAlign w:val="baseline"/>
        </w:rPr>
      </w:pPr>
      <w:r w:rsidRPr="006B2CD4">
        <w:rPr>
          <w:rStyle w:val="IGPKindeksgrnyipogrubieniekursywa"/>
          <w:rFonts w:ascii="Times New Roman" w:hAnsi="Times New Roman" w:cs="Times New Roman"/>
          <w:b w:val="0"/>
          <w:i w:val="0"/>
          <w:sz w:val="24"/>
          <w:szCs w:val="24"/>
          <w:vertAlign w:val="baseline"/>
        </w:rPr>
        <w:t xml:space="preserve">ustawy z dnia 21 lipca 2006 r. o nadzorze nad rynkiem finansowym </w:t>
      </w:r>
      <w:r w:rsidRPr="006B2CD4">
        <w:rPr>
          <w:rFonts w:ascii="Times New Roman" w:hAnsi="Times New Roman" w:cs="Times New Roman"/>
          <w:sz w:val="24"/>
          <w:szCs w:val="24"/>
        </w:rPr>
        <w:t>(Dz. U. z 202</w:t>
      </w:r>
      <w:r w:rsidR="001A2B95">
        <w:rPr>
          <w:rFonts w:ascii="Times New Roman" w:hAnsi="Times New Roman" w:cs="Times New Roman"/>
          <w:sz w:val="24"/>
          <w:szCs w:val="24"/>
        </w:rPr>
        <w:t>3</w:t>
      </w:r>
      <w:r w:rsidRPr="006B2CD4">
        <w:rPr>
          <w:rFonts w:ascii="Times New Roman" w:hAnsi="Times New Roman" w:cs="Times New Roman"/>
          <w:sz w:val="24"/>
          <w:szCs w:val="24"/>
        </w:rPr>
        <w:t xml:space="preserve"> r. poz. </w:t>
      </w:r>
      <w:r w:rsidR="001A2B95">
        <w:rPr>
          <w:rFonts w:ascii="Times New Roman" w:hAnsi="Times New Roman" w:cs="Times New Roman"/>
          <w:sz w:val="24"/>
          <w:szCs w:val="24"/>
        </w:rPr>
        <w:t>753</w:t>
      </w:r>
      <w:r w:rsidRPr="006B2CD4">
        <w:rPr>
          <w:rFonts w:ascii="Times New Roman" w:hAnsi="Times New Roman" w:cs="Times New Roman"/>
          <w:sz w:val="24"/>
          <w:szCs w:val="24"/>
        </w:rPr>
        <w:t xml:space="preserve">, z późn. zm.), dalej „ustawa </w:t>
      </w:r>
      <w:r w:rsidRPr="006B2CD4">
        <w:rPr>
          <w:rStyle w:val="IGPKindeksgrnyipogrubieniekursywa"/>
          <w:rFonts w:ascii="Times New Roman" w:hAnsi="Times New Roman" w:cs="Times New Roman"/>
          <w:b w:val="0"/>
          <w:i w:val="0"/>
          <w:sz w:val="24"/>
          <w:szCs w:val="24"/>
          <w:vertAlign w:val="baseline"/>
        </w:rPr>
        <w:t>o nadzorze nad rynkiem finansowym”;</w:t>
      </w:r>
    </w:p>
    <w:p w14:paraId="3ACD92B7" w14:textId="0B8A8EE7" w:rsidR="0001287A" w:rsidRPr="00D07B47" w:rsidRDefault="0001287A" w:rsidP="00DB03EC">
      <w:pPr>
        <w:pStyle w:val="Akapitzlist"/>
        <w:numPr>
          <w:ilvl w:val="0"/>
          <w:numId w:val="5"/>
        </w:numPr>
        <w:spacing w:after="0" w:line="360" w:lineRule="auto"/>
        <w:ind w:left="567" w:hanging="567"/>
        <w:contextualSpacing w:val="0"/>
        <w:jc w:val="both"/>
        <w:rPr>
          <w:rStyle w:val="IGPKindeksgrnyipogrubieniekursywa"/>
          <w:rFonts w:ascii="Times New Roman" w:hAnsi="Times New Roman" w:cs="Times New Roman"/>
          <w:b w:val="0"/>
          <w:i w:val="0"/>
          <w:color w:val="000000" w:themeColor="text1"/>
          <w:sz w:val="24"/>
          <w:szCs w:val="24"/>
          <w:vertAlign w:val="baseline"/>
        </w:rPr>
      </w:pPr>
      <w:r w:rsidRPr="006B2CD4">
        <w:rPr>
          <w:rStyle w:val="IGPKindeksgrnyipogrubieniekursywa"/>
          <w:rFonts w:ascii="Times New Roman" w:hAnsi="Times New Roman" w:cs="Times New Roman"/>
          <w:b w:val="0"/>
          <w:i w:val="0"/>
          <w:sz w:val="24"/>
          <w:szCs w:val="24"/>
          <w:vertAlign w:val="baseline"/>
        </w:rPr>
        <w:t xml:space="preserve">ustawy z dnia 5 listopada 2009 r. o spółdzielczych kasach oszczędnościowo-kredytowych </w:t>
      </w:r>
      <w:r w:rsidRPr="006B2CD4">
        <w:rPr>
          <w:rFonts w:ascii="Times New Roman" w:hAnsi="Times New Roman" w:cs="Times New Roman"/>
          <w:sz w:val="24"/>
          <w:szCs w:val="24"/>
        </w:rPr>
        <w:t>(Dz. U. z 202</w:t>
      </w:r>
      <w:r w:rsidR="006A37E0" w:rsidRPr="006B2CD4">
        <w:rPr>
          <w:rFonts w:ascii="Times New Roman" w:hAnsi="Times New Roman" w:cs="Times New Roman"/>
          <w:sz w:val="24"/>
          <w:szCs w:val="24"/>
        </w:rPr>
        <w:t>2</w:t>
      </w:r>
      <w:r w:rsidRPr="006B2CD4">
        <w:rPr>
          <w:rFonts w:ascii="Times New Roman" w:hAnsi="Times New Roman" w:cs="Times New Roman"/>
          <w:sz w:val="24"/>
          <w:szCs w:val="24"/>
        </w:rPr>
        <w:t xml:space="preserve"> r. poz. </w:t>
      </w:r>
      <w:r w:rsidR="006A37E0" w:rsidRPr="006B2CD4">
        <w:rPr>
          <w:rFonts w:ascii="Times New Roman" w:hAnsi="Times New Roman" w:cs="Times New Roman"/>
          <w:sz w:val="24"/>
          <w:szCs w:val="24"/>
        </w:rPr>
        <w:t>924</w:t>
      </w:r>
      <w:r w:rsidRPr="006B2CD4">
        <w:rPr>
          <w:rFonts w:ascii="Times New Roman" w:eastAsia="Times New Roman" w:hAnsi="Times New Roman" w:cs="Times New Roman"/>
          <w:sz w:val="24"/>
          <w:szCs w:val="24"/>
        </w:rPr>
        <w:t>, z późn. zm.</w:t>
      </w:r>
      <w:r w:rsidRPr="006B2CD4">
        <w:rPr>
          <w:rFonts w:ascii="Times New Roman" w:hAnsi="Times New Roman" w:cs="Times New Roman"/>
          <w:sz w:val="24"/>
          <w:szCs w:val="24"/>
        </w:rPr>
        <w:t>)</w:t>
      </w:r>
      <w:r w:rsidRPr="006B2CD4">
        <w:rPr>
          <w:rStyle w:val="IGPKindeksgrnyipogrubieniekursywa"/>
          <w:rFonts w:ascii="Times New Roman" w:hAnsi="Times New Roman" w:cs="Times New Roman"/>
          <w:b w:val="0"/>
          <w:i w:val="0"/>
          <w:sz w:val="24"/>
          <w:szCs w:val="24"/>
          <w:vertAlign w:val="baseline"/>
        </w:rPr>
        <w:t>, dalej „ustawa o skok”;</w:t>
      </w:r>
    </w:p>
    <w:p w14:paraId="03E232EB" w14:textId="23336007" w:rsidR="00D07B47" w:rsidRPr="006B2CD4" w:rsidRDefault="00D07B47" w:rsidP="00DB03EC">
      <w:pPr>
        <w:pStyle w:val="Akapitzlist"/>
        <w:numPr>
          <w:ilvl w:val="0"/>
          <w:numId w:val="5"/>
        </w:numPr>
        <w:spacing w:after="0" w:line="360" w:lineRule="auto"/>
        <w:ind w:left="567" w:hanging="567"/>
        <w:contextualSpacing w:val="0"/>
        <w:jc w:val="both"/>
        <w:rPr>
          <w:rStyle w:val="IGPKindeksgrnyipogrubieniekursywa"/>
          <w:rFonts w:ascii="Times New Roman" w:hAnsi="Times New Roman" w:cs="Times New Roman"/>
          <w:b w:val="0"/>
          <w:i w:val="0"/>
          <w:color w:val="000000" w:themeColor="text1"/>
          <w:sz w:val="24"/>
          <w:szCs w:val="24"/>
          <w:vertAlign w:val="baseline"/>
        </w:rPr>
      </w:pPr>
      <w:r>
        <w:rPr>
          <w:rFonts w:ascii="Times New Roman" w:hAnsi="Times New Roman" w:cs="Times New Roman"/>
          <w:color w:val="000000" w:themeColor="text1"/>
          <w:sz w:val="24"/>
          <w:szCs w:val="24"/>
        </w:rPr>
        <w:t>ustawy</w:t>
      </w:r>
      <w:r w:rsidRPr="00D07B47">
        <w:rPr>
          <w:rFonts w:ascii="Times New Roman" w:hAnsi="Times New Roman" w:cs="Times New Roman"/>
          <w:color w:val="000000" w:themeColor="text1"/>
          <w:sz w:val="24"/>
          <w:szCs w:val="24"/>
        </w:rPr>
        <w:t xml:space="preserve"> z dnia 12 maja 2011 r. o kredycie konsumenckim (Dz. U. z 202</w:t>
      </w:r>
      <w:r w:rsidR="00D3779D">
        <w:rPr>
          <w:rFonts w:ascii="Times New Roman" w:hAnsi="Times New Roman" w:cs="Times New Roman"/>
          <w:color w:val="000000" w:themeColor="text1"/>
          <w:sz w:val="24"/>
          <w:szCs w:val="24"/>
        </w:rPr>
        <w:t>3</w:t>
      </w:r>
      <w:r w:rsidRPr="00D07B47">
        <w:rPr>
          <w:rFonts w:ascii="Times New Roman" w:hAnsi="Times New Roman" w:cs="Times New Roman"/>
          <w:color w:val="000000" w:themeColor="text1"/>
          <w:sz w:val="24"/>
          <w:szCs w:val="24"/>
        </w:rPr>
        <w:t xml:space="preserve"> r. poz. </w:t>
      </w:r>
      <w:r w:rsidR="00D3779D">
        <w:rPr>
          <w:rFonts w:ascii="Times New Roman" w:hAnsi="Times New Roman" w:cs="Times New Roman"/>
          <w:color w:val="000000" w:themeColor="text1"/>
          <w:sz w:val="24"/>
          <w:szCs w:val="24"/>
        </w:rPr>
        <w:t>1028</w:t>
      </w:r>
      <w:r w:rsidRPr="00D07B47">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dalej „ustawa o kredycie konsumenckim”;</w:t>
      </w:r>
    </w:p>
    <w:p w14:paraId="7B824D2B" w14:textId="3079EA8E" w:rsidR="0001287A" w:rsidRPr="006B2CD4" w:rsidRDefault="0001287A" w:rsidP="00DB03EC">
      <w:pPr>
        <w:pStyle w:val="Akapitzlist"/>
        <w:numPr>
          <w:ilvl w:val="0"/>
          <w:numId w:val="5"/>
        </w:numPr>
        <w:spacing w:after="0" w:line="360" w:lineRule="auto"/>
        <w:ind w:left="567" w:hanging="567"/>
        <w:contextualSpacing w:val="0"/>
        <w:jc w:val="both"/>
        <w:rPr>
          <w:rStyle w:val="IGPKindeksgrnyipogrubieniekursywa"/>
          <w:rFonts w:ascii="Times New Roman" w:hAnsi="Times New Roman" w:cs="Times New Roman"/>
          <w:b w:val="0"/>
          <w:i w:val="0"/>
          <w:color w:val="000000" w:themeColor="text1"/>
          <w:sz w:val="24"/>
          <w:szCs w:val="24"/>
          <w:vertAlign w:val="baseline"/>
        </w:rPr>
      </w:pPr>
      <w:r w:rsidRPr="006B2CD4">
        <w:rPr>
          <w:rStyle w:val="IGPKindeksgrnyipogrubieniekursywa"/>
          <w:rFonts w:ascii="Times New Roman" w:hAnsi="Times New Roman" w:cs="Times New Roman"/>
          <w:b w:val="0"/>
          <w:i w:val="0"/>
          <w:sz w:val="24"/>
          <w:szCs w:val="24"/>
          <w:vertAlign w:val="baseline"/>
        </w:rPr>
        <w:lastRenderedPageBreak/>
        <w:t xml:space="preserve">ustawy z dnia 19 sierpnia 2011 r. o usługach płatniczych </w:t>
      </w:r>
      <w:r w:rsidRPr="006B2CD4">
        <w:rPr>
          <w:rFonts w:ascii="Times New Roman" w:hAnsi="Times New Roman" w:cs="Times New Roman"/>
          <w:sz w:val="24"/>
          <w:szCs w:val="24"/>
        </w:rPr>
        <w:t>(Dz. U. z 202</w:t>
      </w:r>
      <w:r w:rsidR="00F16F59">
        <w:rPr>
          <w:rFonts w:ascii="Times New Roman" w:hAnsi="Times New Roman" w:cs="Times New Roman"/>
          <w:sz w:val="24"/>
          <w:szCs w:val="24"/>
        </w:rPr>
        <w:t>2</w:t>
      </w:r>
      <w:r w:rsidRPr="006B2CD4">
        <w:rPr>
          <w:rFonts w:ascii="Times New Roman" w:hAnsi="Times New Roman" w:cs="Times New Roman"/>
          <w:sz w:val="24"/>
          <w:szCs w:val="24"/>
        </w:rPr>
        <w:t xml:space="preserve"> r. poz. </w:t>
      </w:r>
      <w:r w:rsidR="00F16F59">
        <w:rPr>
          <w:rFonts w:ascii="Times New Roman" w:hAnsi="Times New Roman" w:cs="Times New Roman"/>
          <w:sz w:val="24"/>
          <w:szCs w:val="24"/>
        </w:rPr>
        <w:t>2360</w:t>
      </w:r>
      <w:r w:rsidRPr="006B2CD4">
        <w:rPr>
          <w:rFonts w:ascii="Times New Roman" w:eastAsia="Times New Roman" w:hAnsi="Times New Roman" w:cs="Times New Roman"/>
          <w:sz w:val="24"/>
          <w:szCs w:val="24"/>
        </w:rPr>
        <w:t>, z późn. zm.</w:t>
      </w:r>
      <w:r w:rsidRPr="006B2CD4">
        <w:rPr>
          <w:rFonts w:ascii="Times New Roman" w:hAnsi="Times New Roman" w:cs="Times New Roman"/>
          <w:sz w:val="24"/>
          <w:szCs w:val="24"/>
        </w:rPr>
        <w:t>)</w:t>
      </w:r>
      <w:r w:rsidRPr="006B2CD4">
        <w:rPr>
          <w:rStyle w:val="IGPKindeksgrnyipogrubieniekursywa"/>
          <w:rFonts w:ascii="Times New Roman" w:hAnsi="Times New Roman" w:cs="Times New Roman"/>
          <w:b w:val="0"/>
          <w:i w:val="0"/>
          <w:sz w:val="24"/>
          <w:szCs w:val="24"/>
          <w:vertAlign w:val="baseline"/>
        </w:rPr>
        <w:t>, dalej „ustawa o usługach płatniczych”;</w:t>
      </w:r>
    </w:p>
    <w:p w14:paraId="50D770E4" w14:textId="140A968B" w:rsidR="0001287A" w:rsidRPr="006B2CD4" w:rsidRDefault="0001287A" w:rsidP="00DB03EC">
      <w:pPr>
        <w:pStyle w:val="Akapitzlist"/>
        <w:numPr>
          <w:ilvl w:val="0"/>
          <w:numId w:val="5"/>
        </w:numPr>
        <w:spacing w:after="0" w:line="360" w:lineRule="auto"/>
        <w:ind w:left="567" w:hanging="567"/>
        <w:contextualSpacing w:val="0"/>
        <w:jc w:val="both"/>
        <w:rPr>
          <w:rStyle w:val="IGPKindeksgrnyipogrubieniekursywa"/>
          <w:rFonts w:ascii="Times New Roman" w:hAnsi="Times New Roman" w:cs="Times New Roman"/>
          <w:b w:val="0"/>
          <w:i w:val="0"/>
          <w:color w:val="000000" w:themeColor="text1"/>
          <w:sz w:val="24"/>
          <w:szCs w:val="24"/>
          <w:vertAlign w:val="baseline"/>
        </w:rPr>
      </w:pPr>
      <w:r w:rsidRPr="006B2CD4">
        <w:rPr>
          <w:rFonts w:ascii="Times New Roman" w:hAnsi="Times New Roman" w:cs="Times New Roman"/>
          <w:sz w:val="24"/>
          <w:szCs w:val="24"/>
        </w:rPr>
        <w:t xml:space="preserve">ustawy z dnia 15 stycznia 2015 r. o obligacjach (Dz. U. z 2022 r. poz. </w:t>
      </w:r>
      <w:r w:rsidR="002E405D">
        <w:rPr>
          <w:rFonts w:ascii="Times New Roman" w:hAnsi="Times New Roman" w:cs="Times New Roman"/>
          <w:sz w:val="24"/>
          <w:szCs w:val="24"/>
        </w:rPr>
        <w:t>2244</w:t>
      </w:r>
      <w:r w:rsidR="00D3779D">
        <w:rPr>
          <w:rFonts w:ascii="Times New Roman" w:hAnsi="Times New Roman" w:cs="Times New Roman"/>
          <w:sz w:val="24"/>
          <w:szCs w:val="24"/>
        </w:rPr>
        <w:t xml:space="preserve">, </w:t>
      </w:r>
      <w:r w:rsidR="00D3779D" w:rsidRPr="006B2CD4">
        <w:rPr>
          <w:rFonts w:ascii="Times New Roman" w:hAnsi="Times New Roman" w:cs="Times New Roman"/>
          <w:sz w:val="24"/>
          <w:szCs w:val="24"/>
        </w:rPr>
        <w:t>z późn. zm.</w:t>
      </w:r>
      <w:r w:rsidRPr="006B2CD4">
        <w:rPr>
          <w:rFonts w:ascii="Times New Roman" w:hAnsi="Times New Roman" w:cs="Times New Roman"/>
          <w:sz w:val="24"/>
          <w:szCs w:val="24"/>
        </w:rPr>
        <w:t>)</w:t>
      </w:r>
      <w:r w:rsidR="002E405D">
        <w:rPr>
          <w:rFonts w:ascii="Times New Roman" w:hAnsi="Times New Roman" w:cs="Times New Roman"/>
          <w:sz w:val="24"/>
          <w:szCs w:val="24"/>
        </w:rPr>
        <w:t>, dalej „ustawa o obligacjach”</w:t>
      </w:r>
      <w:r w:rsidRPr="006B2CD4">
        <w:rPr>
          <w:rFonts w:ascii="Times New Roman" w:hAnsi="Times New Roman" w:cs="Times New Roman"/>
          <w:sz w:val="24"/>
          <w:szCs w:val="24"/>
        </w:rPr>
        <w:t>;</w:t>
      </w:r>
    </w:p>
    <w:p w14:paraId="7412C7D9" w14:textId="5F15B4D5" w:rsidR="0001287A" w:rsidRPr="006B2CD4" w:rsidRDefault="0001287A" w:rsidP="00DB03EC">
      <w:pPr>
        <w:pStyle w:val="Akapitzlist"/>
        <w:numPr>
          <w:ilvl w:val="0"/>
          <w:numId w:val="5"/>
        </w:numPr>
        <w:spacing w:after="0" w:line="360" w:lineRule="auto"/>
        <w:ind w:left="567" w:hanging="567"/>
        <w:contextualSpacing w:val="0"/>
        <w:jc w:val="both"/>
        <w:rPr>
          <w:rStyle w:val="IGPKindeksgrnyipogrubieniekursywa"/>
          <w:rFonts w:ascii="Times New Roman" w:hAnsi="Times New Roman" w:cs="Times New Roman"/>
          <w:b w:val="0"/>
          <w:i w:val="0"/>
          <w:color w:val="000000" w:themeColor="text1"/>
          <w:sz w:val="24"/>
          <w:szCs w:val="24"/>
          <w:vertAlign w:val="baseline"/>
        </w:rPr>
      </w:pPr>
      <w:r w:rsidRPr="006B2CD4">
        <w:rPr>
          <w:rStyle w:val="IGPKindeksgrnyipogrubieniekursywa"/>
          <w:rFonts w:ascii="Times New Roman" w:hAnsi="Times New Roman" w:cs="Times New Roman"/>
          <w:b w:val="0"/>
          <w:i w:val="0"/>
          <w:sz w:val="24"/>
          <w:szCs w:val="24"/>
          <w:vertAlign w:val="baseline"/>
        </w:rPr>
        <w:t xml:space="preserve">ustawy z dnia 15 maja 2015 r. </w:t>
      </w:r>
      <w:r w:rsidR="0057030D" w:rsidRPr="006B2CD4">
        <w:rPr>
          <w:rFonts w:ascii="Times New Roman" w:hAnsi="Times New Roman" w:cs="Times New Roman"/>
          <w:bCs/>
          <w:sz w:val="24"/>
          <w:szCs w:val="24"/>
        </w:rPr>
        <w:t xml:space="preserve">– </w:t>
      </w:r>
      <w:r w:rsidRPr="006B2CD4">
        <w:rPr>
          <w:rStyle w:val="IGPKindeksgrnyipogrubieniekursywa"/>
          <w:rFonts w:ascii="Times New Roman" w:hAnsi="Times New Roman" w:cs="Times New Roman"/>
          <w:b w:val="0"/>
          <w:i w:val="0"/>
          <w:sz w:val="24"/>
          <w:szCs w:val="24"/>
          <w:vertAlign w:val="baseline"/>
        </w:rPr>
        <w:t>Prawo restrukturyzacyjne (Dz. U. z 202</w:t>
      </w:r>
      <w:r w:rsidR="002E405D">
        <w:rPr>
          <w:rStyle w:val="IGPKindeksgrnyipogrubieniekursywa"/>
          <w:rFonts w:ascii="Times New Roman" w:hAnsi="Times New Roman" w:cs="Times New Roman"/>
          <w:b w:val="0"/>
          <w:i w:val="0"/>
          <w:sz w:val="24"/>
          <w:szCs w:val="24"/>
          <w:vertAlign w:val="baseline"/>
        </w:rPr>
        <w:t>2</w:t>
      </w:r>
      <w:r w:rsidRPr="006B2CD4">
        <w:rPr>
          <w:rStyle w:val="IGPKindeksgrnyipogrubieniekursywa"/>
          <w:rFonts w:ascii="Times New Roman" w:hAnsi="Times New Roman" w:cs="Times New Roman"/>
          <w:b w:val="0"/>
          <w:i w:val="0"/>
          <w:sz w:val="24"/>
          <w:szCs w:val="24"/>
          <w:vertAlign w:val="baseline"/>
        </w:rPr>
        <w:t xml:space="preserve"> r. poz. </w:t>
      </w:r>
      <w:r w:rsidR="002E405D">
        <w:rPr>
          <w:rStyle w:val="IGPKindeksgrnyipogrubieniekursywa"/>
          <w:rFonts w:ascii="Times New Roman" w:hAnsi="Times New Roman" w:cs="Times New Roman"/>
          <w:b w:val="0"/>
          <w:i w:val="0"/>
          <w:sz w:val="24"/>
          <w:szCs w:val="24"/>
          <w:vertAlign w:val="baseline"/>
        </w:rPr>
        <w:t>2309</w:t>
      </w:r>
      <w:r w:rsidRPr="006B2CD4">
        <w:rPr>
          <w:rStyle w:val="IGPKindeksgrnyipogrubieniekursywa"/>
          <w:rFonts w:ascii="Times New Roman" w:hAnsi="Times New Roman" w:cs="Times New Roman"/>
          <w:b w:val="0"/>
          <w:i w:val="0"/>
          <w:sz w:val="24"/>
          <w:szCs w:val="24"/>
          <w:vertAlign w:val="baseline"/>
        </w:rPr>
        <w:t xml:space="preserve">), dalej „ustawa </w:t>
      </w:r>
      <w:r w:rsidR="009519E9" w:rsidRPr="006B2CD4">
        <w:rPr>
          <w:rFonts w:ascii="Times New Roman" w:hAnsi="Times New Roman" w:cs="Times New Roman"/>
          <w:bCs/>
          <w:sz w:val="24"/>
          <w:szCs w:val="24"/>
        </w:rPr>
        <w:t>–</w:t>
      </w:r>
      <w:r w:rsidRPr="006B2CD4">
        <w:rPr>
          <w:rFonts w:ascii="Times New Roman" w:hAnsi="Times New Roman" w:cs="Times New Roman"/>
          <w:sz w:val="24"/>
          <w:szCs w:val="24"/>
        </w:rPr>
        <w:t xml:space="preserve"> </w:t>
      </w:r>
      <w:r w:rsidRPr="006B2CD4">
        <w:rPr>
          <w:rStyle w:val="IGPKindeksgrnyipogrubieniekursywa"/>
          <w:rFonts w:ascii="Times New Roman" w:hAnsi="Times New Roman" w:cs="Times New Roman"/>
          <w:b w:val="0"/>
          <w:i w:val="0"/>
          <w:sz w:val="24"/>
          <w:szCs w:val="24"/>
          <w:vertAlign w:val="baseline"/>
        </w:rPr>
        <w:t>Prawo restrukturyzacyjne”;</w:t>
      </w:r>
    </w:p>
    <w:p w14:paraId="0F89B4B0" w14:textId="284918ED" w:rsidR="0001287A" w:rsidRPr="006B2CD4" w:rsidRDefault="0001287A" w:rsidP="00DB03EC">
      <w:pPr>
        <w:pStyle w:val="Akapitzlist"/>
        <w:numPr>
          <w:ilvl w:val="0"/>
          <w:numId w:val="5"/>
        </w:numPr>
        <w:spacing w:after="0" w:line="360" w:lineRule="auto"/>
        <w:ind w:left="567" w:hanging="567"/>
        <w:contextualSpacing w:val="0"/>
        <w:jc w:val="both"/>
        <w:rPr>
          <w:rFonts w:ascii="Times New Roman" w:hAnsi="Times New Roman" w:cs="Times New Roman"/>
          <w:color w:val="000000" w:themeColor="text1"/>
          <w:sz w:val="24"/>
          <w:szCs w:val="24"/>
        </w:rPr>
      </w:pPr>
      <w:r w:rsidRPr="006B2CD4">
        <w:rPr>
          <w:rFonts w:ascii="Times New Roman" w:hAnsi="Times New Roman" w:cs="Times New Roman"/>
          <w:sz w:val="24"/>
          <w:szCs w:val="24"/>
        </w:rPr>
        <w:t>ustawy z dnia 5 sierpnia 2015 r. o rozpatrywaniu reklamacji przez podmioty rynku finansowego</w:t>
      </w:r>
      <w:r w:rsidR="00506807">
        <w:rPr>
          <w:rFonts w:ascii="Times New Roman" w:hAnsi="Times New Roman" w:cs="Times New Roman"/>
          <w:sz w:val="24"/>
          <w:szCs w:val="24"/>
        </w:rPr>
        <w:t>,</w:t>
      </w:r>
      <w:r w:rsidR="007C389F">
        <w:rPr>
          <w:rFonts w:ascii="Times New Roman" w:hAnsi="Times New Roman" w:cs="Times New Roman"/>
          <w:sz w:val="24"/>
          <w:szCs w:val="24"/>
        </w:rPr>
        <w:t xml:space="preserve"> </w:t>
      </w:r>
      <w:r w:rsidRPr="006B2CD4">
        <w:rPr>
          <w:rFonts w:ascii="Times New Roman" w:hAnsi="Times New Roman" w:cs="Times New Roman"/>
          <w:sz w:val="24"/>
          <w:szCs w:val="24"/>
        </w:rPr>
        <w:t>o Rzeczniku Finansowym</w:t>
      </w:r>
      <w:r w:rsidR="00506807">
        <w:rPr>
          <w:rFonts w:ascii="Times New Roman" w:hAnsi="Times New Roman" w:cs="Times New Roman"/>
          <w:sz w:val="24"/>
          <w:szCs w:val="24"/>
        </w:rPr>
        <w:t xml:space="preserve"> i o Funduszu Edukacji Finansowej</w:t>
      </w:r>
      <w:r w:rsidRPr="006B2CD4">
        <w:rPr>
          <w:rFonts w:ascii="Times New Roman" w:hAnsi="Times New Roman" w:cs="Times New Roman"/>
          <w:sz w:val="24"/>
          <w:szCs w:val="24"/>
        </w:rPr>
        <w:t xml:space="preserve"> (Dz. U. z 2022 r. poz. 187</w:t>
      </w:r>
      <w:r w:rsidR="004B1CC3" w:rsidRPr="006B2CD4">
        <w:rPr>
          <w:rFonts w:ascii="Times New Roman" w:hAnsi="Times New Roman" w:cs="Times New Roman"/>
          <w:sz w:val="24"/>
          <w:szCs w:val="24"/>
        </w:rPr>
        <w:t>, z późn. zm.</w:t>
      </w:r>
      <w:r w:rsidRPr="006B2CD4">
        <w:rPr>
          <w:rFonts w:ascii="Times New Roman" w:hAnsi="Times New Roman" w:cs="Times New Roman"/>
          <w:sz w:val="24"/>
          <w:szCs w:val="24"/>
        </w:rPr>
        <w:t>), dalej „ustawa o rozpatrywaniu reklamacji przez podmioty rynku finansowego o Rzeczniku Finansowym</w:t>
      </w:r>
      <w:r w:rsidR="00506807">
        <w:rPr>
          <w:rFonts w:ascii="Times New Roman" w:hAnsi="Times New Roman" w:cs="Times New Roman"/>
          <w:sz w:val="24"/>
          <w:szCs w:val="24"/>
        </w:rPr>
        <w:t xml:space="preserve"> i o Funduszu Edukacji Finansowej</w:t>
      </w:r>
      <w:r w:rsidRPr="006B2CD4">
        <w:rPr>
          <w:rFonts w:ascii="Times New Roman" w:hAnsi="Times New Roman" w:cs="Times New Roman"/>
          <w:sz w:val="24"/>
          <w:szCs w:val="24"/>
        </w:rPr>
        <w:t>”;</w:t>
      </w:r>
    </w:p>
    <w:p w14:paraId="30E58A4C" w14:textId="149278CF" w:rsidR="0001287A" w:rsidRPr="006B2CD4" w:rsidRDefault="009C086D" w:rsidP="00DB03EC">
      <w:pPr>
        <w:pStyle w:val="Akapitzlist"/>
        <w:numPr>
          <w:ilvl w:val="0"/>
          <w:numId w:val="5"/>
        </w:numPr>
        <w:spacing w:after="0" w:line="360" w:lineRule="auto"/>
        <w:ind w:left="567" w:hanging="567"/>
        <w:contextualSpacing w:val="0"/>
        <w:jc w:val="both"/>
        <w:rPr>
          <w:rStyle w:val="IGPKindeksgrnyipogrubieniekursywa"/>
          <w:rFonts w:ascii="Times New Roman" w:hAnsi="Times New Roman" w:cs="Times New Roman"/>
          <w:b w:val="0"/>
          <w:i w:val="0"/>
          <w:color w:val="000000" w:themeColor="text1"/>
          <w:sz w:val="24"/>
          <w:szCs w:val="24"/>
          <w:vertAlign w:val="baseline"/>
        </w:rPr>
      </w:pPr>
      <w:r w:rsidRPr="006B2CD4">
        <w:rPr>
          <w:rStyle w:val="IGPKindeksgrnyipogrubieniekursywa"/>
          <w:rFonts w:ascii="Times New Roman" w:hAnsi="Times New Roman" w:cs="Times New Roman"/>
          <w:b w:val="0"/>
          <w:i w:val="0"/>
          <w:color w:val="000000" w:themeColor="text1"/>
          <w:sz w:val="24"/>
          <w:szCs w:val="24"/>
          <w:vertAlign w:val="baseline"/>
        </w:rPr>
        <w:t xml:space="preserve">ustawy </w:t>
      </w:r>
      <w:r w:rsidR="0001287A" w:rsidRPr="006B2CD4">
        <w:rPr>
          <w:rStyle w:val="IGPKindeksgrnyipogrubieniekursywa"/>
          <w:rFonts w:ascii="Times New Roman" w:hAnsi="Times New Roman" w:cs="Times New Roman"/>
          <w:b w:val="0"/>
          <w:i w:val="0"/>
          <w:color w:val="000000" w:themeColor="text1"/>
          <w:sz w:val="24"/>
          <w:szCs w:val="24"/>
          <w:vertAlign w:val="baseline"/>
        </w:rPr>
        <w:t>z dnia 5 sierpnia 2015 r. o nadzorze makroostrożnościowym nad systemem finansowym i zarządzaniu kryzysowym w systemie finansowym (Dz. U. z 202</w:t>
      </w:r>
      <w:r w:rsidR="00B7797B" w:rsidRPr="006B2CD4">
        <w:rPr>
          <w:rStyle w:val="IGPKindeksgrnyipogrubieniekursywa"/>
          <w:rFonts w:ascii="Times New Roman" w:hAnsi="Times New Roman" w:cs="Times New Roman"/>
          <w:b w:val="0"/>
          <w:i w:val="0"/>
          <w:color w:val="000000" w:themeColor="text1"/>
          <w:sz w:val="24"/>
          <w:szCs w:val="24"/>
          <w:vertAlign w:val="baseline"/>
        </w:rPr>
        <w:t>2</w:t>
      </w:r>
      <w:r w:rsidR="0001287A" w:rsidRPr="006B2CD4">
        <w:rPr>
          <w:rStyle w:val="IGPKindeksgrnyipogrubieniekursywa"/>
          <w:rFonts w:ascii="Times New Roman" w:hAnsi="Times New Roman" w:cs="Times New Roman"/>
          <w:b w:val="0"/>
          <w:i w:val="0"/>
          <w:color w:val="000000" w:themeColor="text1"/>
          <w:sz w:val="24"/>
          <w:szCs w:val="24"/>
          <w:vertAlign w:val="baseline"/>
        </w:rPr>
        <w:t xml:space="preserve"> r. poz. </w:t>
      </w:r>
      <w:r w:rsidR="009E0794">
        <w:rPr>
          <w:rStyle w:val="IGPKindeksgrnyipogrubieniekursywa"/>
          <w:rFonts w:ascii="Times New Roman" w:hAnsi="Times New Roman" w:cs="Times New Roman"/>
          <w:b w:val="0"/>
          <w:i w:val="0"/>
          <w:color w:val="000000" w:themeColor="text1"/>
          <w:sz w:val="24"/>
          <w:szCs w:val="24"/>
          <w:vertAlign w:val="baseline"/>
        </w:rPr>
        <w:t>2536</w:t>
      </w:r>
      <w:r w:rsidR="0001287A" w:rsidRPr="006B2CD4">
        <w:rPr>
          <w:rStyle w:val="IGPKindeksgrnyipogrubieniekursywa"/>
          <w:rFonts w:ascii="Times New Roman" w:hAnsi="Times New Roman" w:cs="Times New Roman"/>
          <w:b w:val="0"/>
          <w:i w:val="0"/>
          <w:color w:val="000000" w:themeColor="text1"/>
          <w:sz w:val="24"/>
          <w:szCs w:val="24"/>
          <w:vertAlign w:val="baseline"/>
        </w:rPr>
        <w:t>), dalej „ustawa o nadzorze makroostrożnościowym nad systemem finansowym i zarządzaniu kryzysowym w systemie finansowym”;</w:t>
      </w:r>
    </w:p>
    <w:p w14:paraId="70F74E96" w14:textId="489ECEA4" w:rsidR="0001287A" w:rsidRPr="006B2CD4" w:rsidRDefault="0001287A" w:rsidP="00DB03EC">
      <w:pPr>
        <w:pStyle w:val="Akapitzlist"/>
        <w:numPr>
          <w:ilvl w:val="0"/>
          <w:numId w:val="5"/>
        </w:numPr>
        <w:spacing w:after="0" w:line="360" w:lineRule="auto"/>
        <w:ind w:left="567" w:hanging="567"/>
        <w:contextualSpacing w:val="0"/>
        <w:jc w:val="both"/>
        <w:rPr>
          <w:rStyle w:val="IGPKindeksgrnyipogrubieniekursywa"/>
          <w:rFonts w:ascii="Times New Roman" w:hAnsi="Times New Roman" w:cs="Times New Roman"/>
          <w:b w:val="0"/>
          <w:i w:val="0"/>
          <w:color w:val="000000" w:themeColor="text1"/>
          <w:sz w:val="24"/>
          <w:szCs w:val="24"/>
          <w:vertAlign w:val="baseline"/>
        </w:rPr>
      </w:pPr>
      <w:r w:rsidRPr="006B2CD4">
        <w:rPr>
          <w:rStyle w:val="IGPKindeksgrnyipogrubieniekursywa"/>
          <w:rFonts w:ascii="Times New Roman" w:hAnsi="Times New Roman" w:cs="Times New Roman"/>
          <w:b w:val="0"/>
          <w:i w:val="0"/>
          <w:sz w:val="24"/>
          <w:szCs w:val="24"/>
          <w:vertAlign w:val="baseline"/>
        </w:rPr>
        <w:t xml:space="preserve">ustawy z dnia 11 września 2015 r. o działalności ubezpieczeniowej i reasekuracyjnej </w:t>
      </w:r>
      <w:r w:rsidRPr="006B2CD4">
        <w:rPr>
          <w:rFonts w:ascii="Times New Roman" w:hAnsi="Times New Roman" w:cs="Times New Roman"/>
          <w:sz w:val="24"/>
          <w:szCs w:val="24"/>
        </w:rPr>
        <w:t>(Dz. U. z 202</w:t>
      </w:r>
      <w:r w:rsidR="00F24B47">
        <w:rPr>
          <w:rFonts w:ascii="Times New Roman" w:hAnsi="Times New Roman" w:cs="Times New Roman"/>
          <w:sz w:val="24"/>
          <w:szCs w:val="24"/>
        </w:rPr>
        <w:t>3</w:t>
      </w:r>
      <w:r w:rsidRPr="006B2CD4">
        <w:rPr>
          <w:rFonts w:ascii="Times New Roman" w:hAnsi="Times New Roman" w:cs="Times New Roman"/>
          <w:sz w:val="24"/>
          <w:szCs w:val="24"/>
        </w:rPr>
        <w:t xml:space="preserve"> r. poz. </w:t>
      </w:r>
      <w:r w:rsidR="00F24B47">
        <w:rPr>
          <w:rFonts w:ascii="Times New Roman" w:hAnsi="Times New Roman" w:cs="Times New Roman"/>
          <w:sz w:val="24"/>
          <w:szCs w:val="24"/>
        </w:rPr>
        <w:t>656</w:t>
      </w:r>
      <w:r w:rsidRPr="006B2CD4">
        <w:rPr>
          <w:rFonts w:ascii="Times New Roman" w:hAnsi="Times New Roman" w:cs="Times New Roman"/>
          <w:sz w:val="24"/>
          <w:szCs w:val="24"/>
        </w:rPr>
        <w:t xml:space="preserve">, z późn. zm.), </w:t>
      </w:r>
      <w:r w:rsidRPr="006B2CD4">
        <w:rPr>
          <w:rStyle w:val="IGPKindeksgrnyipogrubieniekursywa"/>
          <w:rFonts w:ascii="Times New Roman" w:hAnsi="Times New Roman" w:cs="Times New Roman"/>
          <w:b w:val="0"/>
          <w:i w:val="0"/>
          <w:sz w:val="24"/>
          <w:szCs w:val="24"/>
          <w:vertAlign w:val="baseline"/>
        </w:rPr>
        <w:t>dalej „ustawa o działalności ubezpieczeniowej i reasekuracyjnej”;</w:t>
      </w:r>
    </w:p>
    <w:p w14:paraId="5A8ECD8C" w14:textId="35DFFDE5" w:rsidR="0001287A" w:rsidRPr="006B2CD4" w:rsidRDefault="0001287A" w:rsidP="00DB03EC">
      <w:pPr>
        <w:pStyle w:val="Akapitzlist"/>
        <w:numPr>
          <w:ilvl w:val="0"/>
          <w:numId w:val="5"/>
        </w:numPr>
        <w:spacing w:after="0" w:line="360" w:lineRule="auto"/>
        <w:ind w:left="567" w:hanging="567"/>
        <w:contextualSpacing w:val="0"/>
        <w:jc w:val="both"/>
        <w:rPr>
          <w:rFonts w:ascii="Times New Roman" w:hAnsi="Times New Roman" w:cs="Times New Roman"/>
          <w:color w:val="000000" w:themeColor="text1"/>
          <w:sz w:val="24"/>
          <w:szCs w:val="24"/>
        </w:rPr>
      </w:pPr>
      <w:r w:rsidRPr="006B2CD4">
        <w:rPr>
          <w:rFonts w:ascii="Times New Roman" w:hAnsi="Times New Roman" w:cs="Times New Roman"/>
          <w:sz w:val="24"/>
          <w:szCs w:val="24"/>
        </w:rPr>
        <w:t>ustawy z dnia 11 maja 2017 r. o biegłych rewidentach, firmach audytorskich oraz nadzorze publicznym (</w:t>
      </w:r>
      <w:r w:rsidR="002B14B2" w:rsidRPr="006B2CD4">
        <w:rPr>
          <w:rFonts w:ascii="Times New Roman" w:hAnsi="Times New Roman" w:cs="Times New Roman"/>
          <w:sz w:val="24"/>
          <w:szCs w:val="24"/>
        </w:rPr>
        <w:t>Dz. U. z 202</w:t>
      </w:r>
      <w:r w:rsidR="002B14B2">
        <w:rPr>
          <w:rFonts w:ascii="Times New Roman" w:hAnsi="Times New Roman" w:cs="Times New Roman"/>
          <w:sz w:val="24"/>
          <w:szCs w:val="24"/>
        </w:rPr>
        <w:t>3</w:t>
      </w:r>
      <w:r w:rsidR="002B14B2" w:rsidRPr="006B2CD4">
        <w:rPr>
          <w:rFonts w:ascii="Times New Roman" w:hAnsi="Times New Roman" w:cs="Times New Roman"/>
          <w:sz w:val="24"/>
          <w:szCs w:val="24"/>
        </w:rPr>
        <w:t xml:space="preserve"> r. poz. 1</w:t>
      </w:r>
      <w:r w:rsidR="002B14B2">
        <w:rPr>
          <w:rFonts w:ascii="Times New Roman" w:hAnsi="Times New Roman" w:cs="Times New Roman"/>
          <w:sz w:val="24"/>
          <w:szCs w:val="24"/>
        </w:rPr>
        <w:t>015</w:t>
      </w:r>
      <w:r w:rsidR="002B14B2" w:rsidRPr="006B2CD4">
        <w:rPr>
          <w:rFonts w:ascii="Times New Roman" w:hAnsi="Times New Roman" w:cs="Times New Roman"/>
          <w:sz w:val="24"/>
          <w:szCs w:val="24"/>
        </w:rPr>
        <w:t>)</w:t>
      </w:r>
      <w:r w:rsidR="00361FA8">
        <w:rPr>
          <w:rFonts w:ascii="Times New Roman" w:hAnsi="Times New Roman" w:cs="Times New Roman"/>
          <w:sz w:val="24"/>
          <w:szCs w:val="24"/>
        </w:rPr>
        <w:t>,</w:t>
      </w:r>
      <w:r w:rsidR="002B14B2">
        <w:rPr>
          <w:rFonts w:ascii="Times New Roman" w:hAnsi="Times New Roman" w:cs="Times New Roman"/>
          <w:sz w:val="24"/>
          <w:szCs w:val="24"/>
        </w:rPr>
        <w:t xml:space="preserve"> </w:t>
      </w:r>
      <w:r w:rsidRPr="006B2CD4">
        <w:rPr>
          <w:rFonts w:ascii="Times New Roman" w:hAnsi="Times New Roman" w:cs="Times New Roman"/>
          <w:sz w:val="24"/>
          <w:szCs w:val="24"/>
        </w:rPr>
        <w:t>dalej „ustawa o biegłych rewidentach”;</w:t>
      </w:r>
    </w:p>
    <w:p w14:paraId="337053D8" w14:textId="63D58FC2" w:rsidR="0001287A" w:rsidRPr="006B2CD4" w:rsidRDefault="0001287A" w:rsidP="00DB03EC">
      <w:pPr>
        <w:pStyle w:val="Akapitzlist"/>
        <w:numPr>
          <w:ilvl w:val="0"/>
          <w:numId w:val="5"/>
        </w:numPr>
        <w:spacing w:after="0" w:line="360" w:lineRule="auto"/>
        <w:ind w:left="567" w:hanging="567"/>
        <w:contextualSpacing w:val="0"/>
        <w:jc w:val="both"/>
        <w:rPr>
          <w:rStyle w:val="IGPKindeksgrnyipogrubieniekursywa"/>
          <w:rFonts w:ascii="Times New Roman" w:hAnsi="Times New Roman" w:cs="Times New Roman"/>
          <w:b w:val="0"/>
          <w:i w:val="0"/>
          <w:color w:val="000000" w:themeColor="text1"/>
          <w:sz w:val="24"/>
          <w:szCs w:val="24"/>
          <w:vertAlign w:val="baseline"/>
        </w:rPr>
      </w:pPr>
      <w:r w:rsidRPr="006B2CD4">
        <w:rPr>
          <w:rStyle w:val="IGPKindeksgrnyipogrubieniekursywa"/>
          <w:rFonts w:ascii="Times New Roman" w:hAnsi="Times New Roman" w:cs="Times New Roman"/>
          <w:b w:val="0"/>
          <w:i w:val="0"/>
          <w:sz w:val="24"/>
          <w:szCs w:val="24"/>
          <w:vertAlign w:val="baseline"/>
        </w:rPr>
        <w:lastRenderedPageBreak/>
        <w:t xml:space="preserve">ustawy z dnia 15 grudnia 2017 r. o dystrybucji ubezpieczeń </w:t>
      </w:r>
      <w:r w:rsidRPr="006B2CD4">
        <w:rPr>
          <w:rFonts w:ascii="Times New Roman" w:hAnsi="Times New Roman" w:cs="Times New Roman"/>
          <w:sz w:val="24"/>
          <w:szCs w:val="24"/>
        </w:rPr>
        <w:t>(Dz. U. z 2022 r. poz. 905</w:t>
      </w:r>
      <w:r w:rsidR="004D0195">
        <w:rPr>
          <w:rFonts w:ascii="Times New Roman" w:hAnsi="Times New Roman" w:cs="Times New Roman"/>
          <w:sz w:val="24"/>
          <w:szCs w:val="24"/>
        </w:rPr>
        <w:t>, z późn. zm.</w:t>
      </w:r>
      <w:r w:rsidRPr="006B2CD4">
        <w:rPr>
          <w:rFonts w:ascii="Times New Roman" w:hAnsi="Times New Roman" w:cs="Times New Roman"/>
          <w:sz w:val="24"/>
          <w:szCs w:val="24"/>
        </w:rPr>
        <w:t>)</w:t>
      </w:r>
      <w:r w:rsidRPr="006B2CD4">
        <w:rPr>
          <w:rStyle w:val="IGPKindeksgrnyipogrubieniekursywa"/>
          <w:rFonts w:ascii="Times New Roman" w:hAnsi="Times New Roman" w:cs="Times New Roman"/>
          <w:b w:val="0"/>
          <w:i w:val="0"/>
          <w:sz w:val="24"/>
          <w:szCs w:val="24"/>
          <w:vertAlign w:val="baseline"/>
        </w:rPr>
        <w:t>, dalej „ustawa o dystrybucji ubezpieczeń”;</w:t>
      </w:r>
    </w:p>
    <w:p w14:paraId="774D5317" w14:textId="75763EB6" w:rsidR="0001287A" w:rsidRPr="006B2CD4" w:rsidRDefault="0001287A" w:rsidP="00DB03EC">
      <w:pPr>
        <w:pStyle w:val="Akapitzlist"/>
        <w:numPr>
          <w:ilvl w:val="0"/>
          <w:numId w:val="5"/>
        </w:numPr>
        <w:spacing w:after="0" w:line="360" w:lineRule="auto"/>
        <w:ind w:left="567" w:hanging="567"/>
        <w:contextualSpacing w:val="0"/>
        <w:jc w:val="both"/>
        <w:rPr>
          <w:rStyle w:val="IGPKindeksgrnyipogrubieniekursywa"/>
          <w:rFonts w:ascii="Times New Roman" w:hAnsi="Times New Roman" w:cs="Times New Roman"/>
          <w:b w:val="0"/>
          <w:i w:val="0"/>
          <w:color w:val="000000" w:themeColor="text1"/>
          <w:sz w:val="24"/>
          <w:szCs w:val="24"/>
          <w:vertAlign w:val="baseline"/>
        </w:rPr>
      </w:pPr>
      <w:r w:rsidRPr="006B2CD4">
        <w:rPr>
          <w:rFonts w:ascii="Times New Roman" w:hAnsi="Times New Roman" w:cs="Times New Roman"/>
          <w:sz w:val="24"/>
          <w:szCs w:val="24"/>
        </w:rPr>
        <w:t>ustawy z dnia 1 marca 2018 r. o przeciwdziałaniu praniu pieniędzy oraz finansowaniu terroryzmu (Dz. U</w:t>
      </w:r>
      <w:r w:rsidR="004310B4">
        <w:rPr>
          <w:rFonts w:ascii="Times New Roman" w:hAnsi="Times New Roman" w:cs="Times New Roman"/>
          <w:sz w:val="24"/>
          <w:szCs w:val="24"/>
        </w:rPr>
        <w:t>.</w:t>
      </w:r>
      <w:r w:rsidRPr="006B2CD4">
        <w:rPr>
          <w:rFonts w:ascii="Times New Roman" w:hAnsi="Times New Roman" w:cs="Times New Roman"/>
          <w:sz w:val="24"/>
          <w:szCs w:val="24"/>
        </w:rPr>
        <w:t xml:space="preserve"> z 202</w:t>
      </w:r>
      <w:r w:rsidR="004B1CC3" w:rsidRPr="006B2CD4">
        <w:rPr>
          <w:rFonts w:ascii="Times New Roman" w:hAnsi="Times New Roman" w:cs="Times New Roman"/>
          <w:sz w:val="24"/>
          <w:szCs w:val="24"/>
        </w:rPr>
        <w:t>2</w:t>
      </w:r>
      <w:r w:rsidRPr="006B2CD4">
        <w:rPr>
          <w:rFonts w:ascii="Times New Roman" w:hAnsi="Times New Roman" w:cs="Times New Roman"/>
          <w:sz w:val="24"/>
          <w:szCs w:val="24"/>
        </w:rPr>
        <w:t xml:space="preserve"> r. poz. </w:t>
      </w:r>
      <w:r w:rsidR="004B1CC3" w:rsidRPr="006B2CD4">
        <w:rPr>
          <w:rFonts w:ascii="Times New Roman" w:hAnsi="Times New Roman" w:cs="Times New Roman"/>
          <w:sz w:val="24"/>
          <w:szCs w:val="24"/>
        </w:rPr>
        <w:t>593</w:t>
      </w:r>
      <w:r w:rsidRPr="006B2CD4">
        <w:rPr>
          <w:rFonts w:ascii="Times New Roman" w:hAnsi="Times New Roman" w:cs="Times New Roman"/>
          <w:sz w:val="24"/>
          <w:szCs w:val="24"/>
        </w:rPr>
        <w:t>, z późn zm.), dalej „ustawa o przeciwdziałaniu praniu pieniędzy oraz finansowaniu terroryzmu”;</w:t>
      </w:r>
    </w:p>
    <w:p w14:paraId="6C79A073" w14:textId="03B64D48" w:rsidR="0001287A" w:rsidRPr="006B2CD4" w:rsidRDefault="0001287A" w:rsidP="00DB03EC">
      <w:pPr>
        <w:pStyle w:val="Akapitzlist"/>
        <w:numPr>
          <w:ilvl w:val="0"/>
          <w:numId w:val="5"/>
        </w:numPr>
        <w:spacing w:after="0" w:line="360" w:lineRule="auto"/>
        <w:ind w:left="567" w:hanging="567"/>
        <w:contextualSpacing w:val="0"/>
        <w:jc w:val="both"/>
        <w:rPr>
          <w:rFonts w:ascii="Times New Roman" w:hAnsi="Times New Roman" w:cs="Times New Roman"/>
          <w:color w:val="000000" w:themeColor="text1"/>
          <w:sz w:val="24"/>
          <w:szCs w:val="24"/>
        </w:rPr>
      </w:pPr>
      <w:r w:rsidRPr="006B2CD4">
        <w:rPr>
          <w:rStyle w:val="IGPKindeksgrnyipogrubieniekursywa"/>
          <w:rFonts w:ascii="Times New Roman" w:hAnsi="Times New Roman" w:cs="Times New Roman"/>
          <w:b w:val="0"/>
          <w:i w:val="0"/>
          <w:sz w:val="24"/>
          <w:szCs w:val="24"/>
          <w:vertAlign w:val="baseline"/>
        </w:rPr>
        <w:t xml:space="preserve">ustawy </w:t>
      </w:r>
      <w:r w:rsidR="00B7503C">
        <w:rPr>
          <w:rStyle w:val="IGPKindeksgrnyipogrubieniekursywa"/>
          <w:rFonts w:ascii="Times New Roman" w:hAnsi="Times New Roman" w:cs="Times New Roman"/>
          <w:b w:val="0"/>
          <w:i w:val="0"/>
          <w:sz w:val="24"/>
          <w:szCs w:val="24"/>
          <w:vertAlign w:val="baseline"/>
        </w:rPr>
        <w:t xml:space="preserve">z </w:t>
      </w:r>
      <w:r w:rsidRPr="006B2CD4">
        <w:rPr>
          <w:rStyle w:val="IGPKindeksgrnyipogrubieniekursywa"/>
          <w:rFonts w:ascii="Times New Roman" w:hAnsi="Times New Roman" w:cs="Times New Roman"/>
          <w:b w:val="0"/>
          <w:i w:val="0"/>
          <w:sz w:val="24"/>
          <w:szCs w:val="24"/>
          <w:vertAlign w:val="baseline"/>
        </w:rPr>
        <w:t xml:space="preserve">dnia 4 października 2018 r. o pracowniczych planach kapitałowych </w:t>
      </w:r>
      <w:r w:rsidRPr="006B2CD4">
        <w:rPr>
          <w:rFonts w:ascii="Times New Roman" w:hAnsi="Times New Roman" w:cs="Times New Roman"/>
          <w:sz w:val="24"/>
          <w:szCs w:val="24"/>
        </w:rPr>
        <w:t xml:space="preserve">(Dz. U. z </w:t>
      </w:r>
      <w:r w:rsidR="00001C64" w:rsidRPr="006B2CD4">
        <w:rPr>
          <w:rFonts w:ascii="Times New Roman" w:hAnsi="Times New Roman" w:cs="Times New Roman"/>
          <w:sz w:val="24"/>
          <w:szCs w:val="24"/>
        </w:rPr>
        <w:t>202</w:t>
      </w:r>
      <w:r w:rsidR="00001C64">
        <w:rPr>
          <w:rFonts w:ascii="Times New Roman" w:hAnsi="Times New Roman" w:cs="Times New Roman"/>
          <w:sz w:val="24"/>
          <w:szCs w:val="24"/>
        </w:rPr>
        <w:t>3</w:t>
      </w:r>
      <w:r w:rsidR="00001C64" w:rsidRPr="006B2CD4">
        <w:rPr>
          <w:rFonts w:ascii="Times New Roman" w:hAnsi="Times New Roman" w:cs="Times New Roman"/>
          <w:sz w:val="24"/>
          <w:szCs w:val="24"/>
        </w:rPr>
        <w:t xml:space="preserve"> </w:t>
      </w:r>
      <w:r w:rsidRPr="006B2CD4">
        <w:rPr>
          <w:rFonts w:ascii="Times New Roman" w:hAnsi="Times New Roman" w:cs="Times New Roman"/>
          <w:sz w:val="24"/>
          <w:szCs w:val="24"/>
        </w:rPr>
        <w:t xml:space="preserve">r. poz. </w:t>
      </w:r>
      <w:r w:rsidR="00001C64">
        <w:rPr>
          <w:rFonts w:ascii="Times New Roman" w:hAnsi="Times New Roman" w:cs="Times New Roman"/>
          <w:sz w:val="24"/>
          <w:szCs w:val="24"/>
        </w:rPr>
        <w:t>46</w:t>
      </w:r>
      <w:r w:rsidRPr="006B2CD4">
        <w:rPr>
          <w:rFonts w:ascii="Times New Roman" w:hAnsi="Times New Roman" w:cs="Times New Roman"/>
          <w:sz w:val="24"/>
          <w:szCs w:val="24"/>
        </w:rPr>
        <w:t xml:space="preserve">), dalej „ustawa </w:t>
      </w:r>
      <w:r w:rsidRPr="006B2CD4">
        <w:rPr>
          <w:rStyle w:val="IGPKindeksgrnyipogrubieniekursywa"/>
          <w:rFonts w:ascii="Times New Roman" w:hAnsi="Times New Roman" w:cs="Times New Roman"/>
          <w:b w:val="0"/>
          <w:i w:val="0"/>
          <w:sz w:val="24"/>
          <w:szCs w:val="24"/>
          <w:vertAlign w:val="baseline"/>
        </w:rPr>
        <w:t>o pracowniczych planach kapitałowych”</w:t>
      </w:r>
      <w:r w:rsidR="00724FA3" w:rsidRPr="006B2CD4">
        <w:rPr>
          <w:rFonts w:ascii="Times New Roman" w:hAnsi="Times New Roman" w:cs="Times New Roman"/>
          <w:sz w:val="24"/>
          <w:szCs w:val="24"/>
        </w:rPr>
        <w:t>;</w:t>
      </w:r>
    </w:p>
    <w:p w14:paraId="29F91871" w14:textId="4E6EC0DB" w:rsidR="0001287A" w:rsidRPr="00FD7322" w:rsidRDefault="00EE7A71" w:rsidP="00485D3C">
      <w:pPr>
        <w:pStyle w:val="Akapitzlist"/>
        <w:numPr>
          <w:ilvl w:val="0"/>
          <w:numId w:val="5"/>
        </w:numPr>
        <w:spacing w:after="0" w:line="360" w:lineRule="auto"/>
        <w:ind w:left="567" w:hanging="567"/>
        <w:contextualSpacing w:val="0"/>
        <w:jc w:val="both"/>
        <w:rPr>
          <w:rFonts w:ascii="Times New Roman" w:hAnsi="Times New Roman" w:cs="Times New Roman"/>
          <w:color w:val="000000" w:themeColor="text1"/>
          <w:sz w:val="24"/>
          <w:szCs w:val="24"/>
        </w:rPr>
      </w:pPr>
      <w:r w:rsidRPr="006B2CD4">
        <w:rPr>
          <w:rFonts w:ascii="Times New Roman" w:hAnsi="Times New Roman" w:cs="Times New Roman"/>
          <w:color w:val="000000" w:themeColor="text1"/>
          <w:sz w:val="24"/>
          <w:szCs w:val="24"/>
        </w:rPr>
        <w:t>ustawy z</w:t>
      </w:r>
      <w:r w:rsidRPr="006B2CD4">
        <w:rPr>
          <w:rFonts w:ascii="Times New Roman" w:hAnsi="Times New Roman" w:cs="Times New Roman"/>
          <w:sz w:val="24"/>
          <w:szCs w:val="24"/>
        </w:rPr>
        <w:t xml:space="preserve"> dnia </w:t>
      </w:r>
      <w:r w:rsidR="00724FA3" w:rsidRPr="006B2CD4">
        <w:rPr>
          <w:rFonts w:ascii="Times New Roman" w:hAnsi="Times New Roman" w:cs="Times New Roman"/>
          <w:sz w:val="24"/>
          <w:szCs w:val="24"/>
        </w:rPr>
        <w:t>2</w:t>
      </w:r>
      <w:r w:rsidRPr="006B2CD4">
        <w:rPr>
          <w:rFonts w:ascii="Times New Roman" w:hAnsi="Times New Roman" w:cs="Times New Roman"/>
          <w:sz w:val="24"/>
          <w:szCs w:val="24"/>
        </w:rPr>
        <w:t xml:space="preserve"> marca 2020 r. o szczególnych rozwiązaniach związanych z zapobieganiem, przeciwdziałaniem i zwalczaniem COVID-19, innych chorób zakaźnych oraz wywołanych nimi sytuacji kryzysowych (Dz. U. </w:t>
      </w:r>
      <w:r w:rsidR="006032DE">
        <w:rPr>
          <w:rFonts w:ascii="Times New Roman" w:hAnsi="Times New Roman" w:cs="Times New Roman"/>
          <w:sz w:val="24"/>
          <w:szCs w:val="24"/>
        </w:rPr>
        <w:t xml:space="preserve">z 2021 r. </w:t>
      </w:r>
      <w:r w:rsidRPr="006B2CD4">
        <w:rPr>
          <w:rFonts w:ascii="Times New Roman" w:hAnsi="Times New Roman" w:cs="Times New Roman"/>
          <w:sz w:val="24"/>
          <w:szCs w:val="24"/>
        </w:rPr>
        <w:t xml:space="preserve">poz. </w:t>
      </w:r>
      <w:r w:rsidR="006032DE">
        <w:rPr>
          <w:rFonts w:ascii="Times New Roman" w:hAnsi="Times New Roman" w:cs="Times New Roman"/>
          <w:sz w:val="24"/>
          <w:szCs w:val="24"/>
        </w:rPr>
        <w:t>2095</w:t>
      </w:r>
      <w:r w:rsidR="007761FB">
        <w:rPr>
          <w:rFonts w:ascii="Times New Roman" w:hAnsi="Times New Roman" w:cs="Times New Roman"/>
          <w:sz w:val="24"/>
          <w:szCs w:val="24"/>
        </w:rPr>
        <w:t>,</w:t>
      </w:r>
      <w:r w:rsidRPr="006B2CD4">
        <w:rPr>
          <w:rFonts w:ascii="Times New Roman" w:hAnsi="Times New Roman" w:cs="Times New Roman"/>
          <w:sz w:val="24"/>
          <w:szCs w:val="24"/>
        </w:rPr>
        <w:t xml:space="preserve"> z późn. zm.</w:t>
      </w:r>
      <w:r w:rsidR="00FD7B23" w:rsidRPr="006B2CD4">
        <w:rPr>
          <w:rFonts w:ascii="Times New Roman" w:hAnsi="Times New Roman" w:cs="Times New Roman"/>
          <w:sz w:val="24"/>
          <w:szCs w:val="24"/>
        </w:rPr>
        <w:t>),</w:t>
      </w:r>
      <w:r w:rsidR="00DE79A1" w:rsidRPr="006B2CD4">
        <w:rPr>
          <w:rFonts w:ascii="Times New Roman" w:hAnsi="Times New Roman" w:cs="Times New Roman"/>
          <w:sz w:val="24"/>
          <w:szCs w:val="24"/>
        </w:rPr>
        <w:t xml:space="preserve"> d</w:t>
      </w:r>
      <w:r w:rsidRPr="006B2CD4">
        <w:rPr>
          <w:rFonts w:ascii="Times New Roman" w:hAnsi="Times New Roman" w:cs="Times New Roman"/>
          <w:sz w:val="24"/>
          <w:szCs w:val="24"/>
        </w:rPr>
        <w:t>alej „</w:t>
      </w:r>
      <w:r w:rsidRPr="006B2CD4">
        <w:rPr>
          <w:rFonts w:ascii="Times New Roman" w:hAnsi="Times New Roman" w:cs="Times New Roman"/>
          <w:color w:val="000000" w:themeColor="text1"/>
          <w:sz w:val="24"/>
          <w:szCs w:val="24"/>
        </w:rPr>
        <w:t>ustawa</w:t>
      </w:r>
      <w:r w:rsidR="003D0904">
        <w:rPr>
          <w:rFonts w:ascii="Times New Roman" w:hAnsi="Times New Roman" w:cs="Times New Roman"/>
          <w:sz w:val="24"/>
          <w:szCs w:val="24"/>
        </w:rPr>
        <w:t xml:space="preserve"> o COVID-19”;</w:t>
      </w:r>
    </w:p>
    <w:p w14:paraId="1145E521" w14:textId="1BCADFA2" w:rsidR="00FD7322" w:rsidRPr="003D0904" w:rsidRDefault="003D0904" w:rsidP="00DB03EC">
      <w:pPr>
        <w:pStyle w:val="Akapitzlist"/>
        <w:numPr>
          <w:ilvl w:val="0"/>
          <w:numId w:val="5"/>
        </w:numPr>
        <w:spacing w:after="120" w:line="360" w:lineRule="auto"/>
        <w:ind w:left="567" w:hanging="567"/>
        <w:contextualSpacing w:val="0"/>
        <w:jc w:val="both"/>
        <w:rPr>
          <w:rFonts w:ascii="Times New Roman" w:hAnsi="Times New Roman" w:cs="Times New Roman"/>
          <w:color w:val="000000" w:themeColor="text1"/>
          <w:sz w:val="24"/>
          <w:szCs w:val="24"/>
        </w:rPr>
      </w:pPr>
      <w:r w:rsidRPr="003D0904">
        <w:rPr>
          <w:rFonts w:ascii="Times New Roman" w:hAnsi="Times New Roman" w:cs="Times New Roman"/>
          <w:sz w:val="24"/>
          <w:szCs w:val="24"/>
        </w:rPr>
        <w:t>ustaw</w:t>
      </w:r>
      <w:r>
        <w:rPr>
          <w:rFonts w:ascii="Times New Roman" w:hAnsi="Times New Roman" w:cs="Times New Roman"/>
          <w:sz w:val="24"/>
          <w:szCs w:val="24"/>
        </w:rPr>
        <w:t>y</w:t>
      </w:r>
      <w:r w:rsidRPr="003D0904">
        <w:rPr>
          <w:rFonts w:ascii="Times New Roman" w:hAnsi="Times New Roman" w:cs="Times New Roman"/>
          <w:sz w:val="24"/>
          <w:szCs w:val="24"/>
        </w:rPr>
        <w:t xml:space="preserve"> z dnia </w:t>
      </w:r>
      <w:r w:rsidR="002253D5" w:rsidRPr="00E42C8B">
        <w:rPr>
          <w:rFonts w:ascii="Times New Roman" w:hAnsi="Times New Roman" w:cs="Times New Roman"/>
          <w:sz w:val="24"/>
          <w:szCs w:val="24"/>
        </w:rPr>
        <w:t xml:space="preserve">7 lipca 2022 r. o finansowaniu społecznościowym dla przedsięwzięć gospodarczych i pomocy kredytobiorcom (Dz. U. </w:t>
      </w:r>
      <w:r w:rsidR="003B57B0">
        <w:rPr>
          <w:rFonts w:ascii="Times New Roman" w:hAnsi="Times New Roman" w:cs="Times New Roman"/>
          <w:sz w:val="24"/>
          <w:szCs w:val="24"/>
        </w:rPr>
        <w:t xml:space="preserve">z 2023 r. </w:t>
      </w:r>
      <w:r w:rsidR="00485D3C">
        <w:rPr>
          <w:rFonts w:ascii="Times New Roman" w:hAnsi="Times New Roman" w:cs="Times New Roman"/>
          <w:sz w:val="24"/>
          <w:szCs w:val="24"/>
        </w:rPr>
        <w:t>poz. 414</w:t>
      </w:r>
      <w:r w:rsidR="002253D5" w:rsidRPr="00E42C8B">
        <w:rPr>
          <w:rFonts w:ascii="Times New Roman" w:hAnsi="Times New Roman" w:cs="Times New Roman"/>
          <w:sz w:val="24"/>
          <w:szCs w:val="24"/>
        </w:rPr>
        <w:t>)</w:t>
      </w:r>
      <w:r w:rsidR="002253D5">
        <w:rPr>
          <w:rFonts w:ascii="Times New Roman" w:hAnsi="Times New Roman" w:cs="Times New Roman"/>
          <w:sz w:val="24"/>
          <w:szCs w:val="24"/>
        </w:rPr>
        <w:t>, dalej „ustawa o crowdfundingu”.</w:t>
      </w:r>
    </w:p>
    <w:p w14:paraId="52541B75" w14:textId="12C28332" w:rsidR="006838B0" w:rsidRPr="006B2CD4" w:rsidRDefault="00DD4060" w:rsidP="00B856D8">
      <w:pPr>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Zaproponowane w niektórych </w:t>
      </w:r>
      <w:r w:rsidR="0001287A" w:rsidRPr="006B2CD4">
        <w:rPr>
          <w:rFonts w:ascii="Times New Roman" w:hAnsi="Times New Roman" w:cs="Times New Roman"/>
          <w:sz w:val="24"/>
          <w:szCs w:val="24"/>
        </w:rPr>
        <w:t xml:space="preserve">ustawach </w:t>
      </w:r>
      <w:r w:rsidRPr="006B2CD4">
        <w:rPr>
          <w:rFonts w:ascii="Times New Roman" w:hAnsi="Times New Roman" w:cs="Times New Roman"/>
          <w:sz w:val="24"/>
          <w:szCs w:val="24"/>
        </w:rPr>
        <w:t xml:space="preserve">zmiany </w:t>
      </w:r>
      <w:r w:rsidR="0001287A" w:rsidRPr="006B2CD4">
        <w:rPr>
          <w:rFonts w:ascii="Times New Roman" w:hAnsi="Times New Roman" w:cs="Times New Roman"/>
          <w:sz w:val="24"/>
          <w:szCs w:val="24"/>
        </w:rPr>
        <w:t>obejmują w szczególności</w:t>
      </w:r>
      <w:r w:rsidR="006838B0" w:rsidRPr="006B2CD4">
        <w:rPr>
          <w:rFonts w:ascii="Times New Roman" w:hAnsi="Times New Roman" w:cs="Times New Roman"/>
          <w:sz w:val="24"/>
          <w:szCs w:val="24"/>
        </w:rPr>
        <w:t>:</w:t>
      </w:r>
      <w:r w:rsidRPr="006B2CD4">
        <w:rPr>
          <w:rFonts w:ascii="Times New Roman" w:hAnsi="Times New Roman" w:cs="Times New Roman"/>
          <w:sz w:val="24"/>
          <w:szCs w:val="24"/>
        </w:rPr>
        <w:t xml:space="preserve"> </w:t>
      </w:r>
    </w:p>
    <w:p w14:paraId="5693AAD7" w14:textId="22955328" w:rsidR="007A174C" w:rsidRPr="006B2CD4" w:rsidRDefault="00DD4060" w:rsidP="00DB03EC">
      <w:pPr>
        <w:pStyle w:val="Akapitzlist"/>
        <w:numPr>
          <w:ilvl w:val="0"/>
          <w:numId w:val="7"/>
        </w:numPr>
        <w:spacing w:after="0" w:line="360" w:lineRule="auto"/>
        <w:contextualSpacing w:val="0"/>
        <w:jc w:val="both"/>
        <w:rPr>
          <w:rFonts w:ascii="Times New Roman" w:hAnsi="Times New Roman" w:cs="Times New Roman"/>
          <w:sz w:val="24"/>
          <w:szCs w:val="24"/>
        </w:rPr>
      </w:pPr>
      <w:r w:rsidRPr="006B2CD4">
        <w:rPr>
          <w:rFonts w:ascii="Times New Roman" w:hAnsi="Times New Roman" w:cs="Times New Roman"/>
          <w:sz w:val="24"/>
          <w:szCs w:val="24"/>
        </w:rPr>
        <w:t xml:space="preserve">ujednolicenie rozwiązań prawnych </w:t>
      </w:r>
      <w:r w:rsidR="00963163" w:rsidRPr="006B2CD4">
        <w:rPr>
          <w:rFonts w:ascii="Times New Roman" w:hAnsi="Times New Roman" w:cs="Times New Roman"/>
          <w:sz w:val="24"/>
          <w:szCs w:val="24"/>
        </w:rPr>
        <w:t>dotyczących</w:t>
      </w:r>
      <w:r w:rsidRPr="006B2CD4">
        <w:rPr>
          <w:rFonts w:ascii="Times New Roman" w:hAnsi="Times New Roman" w:cs="Times New Roman"/>
          <w:sz w:val="24"/>
          <w:szCs w:val="24"/>
        </w:rPr>
        <w:t xml:space="preserve"> uprawnień poszczególnych służb do uzyskiwania informacji zawierających tajemnice prawnie chronione, a także rozszerzenie obowiązku zachowania w tajemnicy informacji o przekazaniu danych uprawnionym służbom. Zmiany te wynikają z propozycji Zespołu zadaniowego ds. opracowania </w:t>
      </w:r>
      <w:r w:rsidRPr="006B2CD4">
        <w:rPr>
          <w:rFonts w:ascii="Times New Roman" w:hAnsi="Times New Roman" w:cs="Times New Roman"/>
          <w:sz w:val="24"/>
          <w:szCs w:val="24"/>
        </w:rPr>
        <w:lastRenderedPageBreak/>
        <w:t xml:space="preserve">metodyki postępowania w związku z zabezpieczeniem majątkowym powołanego w ramach Międzyresortowego Zespołu ds. koordynacji wdrażania, monitorowania i ewaluacji „Programu przeciwdziałania i zwalczania przestępczości gospodarczej na lata </w:t>
      </w:r>
      <w:r w:rsidR="006838B0" w:rsidRPr="006B2CD4">
        <w:rPr>
          <w:rFonts w:ascii="Times New Roman" w:hAnsi="Times New Roman" w:cs="Times New Roman"/>
          <w:sz w:val="24"/>
          <w:szCs w:val="24"/>
        </w:rPr>
        <w:t>2015-2020”,</w:t>
      </w:r>
    </w:p>
    <w:p w14:paraId="74F97112" w14:textId="0A894D13" w:rsidR="006838B0" w:rsidRPr="006B2CD4" w:rsidRDefault="006838B0" w:rsidP="00DB03EC">
      <w:pPr>
        <w:pStyle w:val="Akapitzlist"/>
        <w:numPr>
          <w:ilvl w:val="0"/>
          <w:numId w:val="7"/>
        </w:numPr>
        <w:spacing w:after="0" w:line="360" w:lineRule="auto"/>
        <w:contextualSpacing w:val="0"/>
        <w:jc w:val="both"/>
        <w:rPr>
          <w:rFonts w:ascii="Times New Roman" w:hAnsi="Times New Roman" w:cs="Times New Roman"/>
          <w:sz w:val="24"/>
          <w:szCs w:val="24"/>
        </w:rPr>
      </w:pPr>
      <w:r w:rsidRPr="006B2CD4">
        <w:rPr>
          <w:rFonts w:ascii="Times New Roman" w:hAnsi="Times New Roman" w:cs="Times New Roman"/>
          <w:color w:val="000000"/>
          <w:spacing w:val="-2"/>
          <w:sz w:val="24"/>
          <w:szCs w:val="24"/>
        </w:rPr>
        <w:t xml:space="preserve">wprowadzenie regulacji dotyczących </w:t>
      </w:r>
      <w:r w:rsidRPr="006B2CD4">
        <w:rPr>
          <w:rFonts w:ascii="Times New Roman" w:hAnsi="Times New Roman" w:cs="Times New Roman"/>
          <w:color w:val="000000"/>
          <w:sz w:val="24"/>
          <w:szCs w:val="24"/>
        </w:rPr>
        <w:t>outsourcingu</w:t>
      </w:r>
      <w:r w:rsidRPr="006B2CD4">
        <w:rPr>
          <w:rFonts w:ascii="Times New Roman" w:hAnsi="Times New Roman" w:cs="Times New Roman"/>
          <w:color w:val="000000"/>
          <w:spacing w:val="-2"/>
          <w:sz w:val="24"/>
          <w:szCs w:val="24"/>
        </w:rPr>
        <w:t xml:space="preserve"> i podoutsourcingu bankowego mających na celu uproszczenie obowiązujących procedur oraz dostosowanie ich do Wytycznych Europejskiego Urzędu Nadzoru Bankowego </w:t>
      </w:r>
      <w:r w:rsidRPr="006B2CD4">
        <w:rPr>
          <w:rFonts w:ascii="Times New Roman" w:hAnsi="Times New Roman" w:cs="Times New Roman"/>
          <w:color w:val="000000"/>
          <w:sz w:val="24"/>
          <w:szCs w:val="24"/>
        </w:rPr>
        <w:t>w sprawie outsourcingu (sygn. EBA/GL/2019/02),</w:t>
      </w:r>
    </w:p>
    <w:p w14:paraId="4B9BB6A0" w14:textId="235A498B" w:rsidR="006838B0" w:rsidRPr="006B2CD4" w:rsidRDefault="006838B0" w:rsidP="00DB03EC">
      <w:pPr>
        <w:pStyle w:val="Akapitzlist"/>
        <w:numPr>
          <w:ilvl w:val="0"/>
          <w:numId w:val="7"/>
        </w:numPr>
        <w:spacing w:after="0" w:line="360" w:lineRule="auto"/>
        <w:contextualSpacing w:val="0"/>
        <w:jc w:val="both"/>
        <w:rPr>
          <w:rFonts w:ascii="Times New Roman" w:hAnsi="Times New Roman" w:cs="Times New Roman"/>
          <w:sz w:val="24"/>
          <w:szCs w:val="24"/>
        </w:rPr>
      </w:pPr>
      <w:r w:rsidRPr="006B2CD4">
        <w:rPr>
          <w:rFonts w:ascii="Times New Roman" w:hAnsi="Times New Roman" w:cs="Times New Roman"/>
          <w:color w:val="000000"/>
          <w:sz w:val="24"/>
          <w:szCs w:val="24"/>
        </w:rPr>
        <w:t>nadanie KNF dodatkowych uprawnień w zakresie nakładania kar pieniężnych na podmioty nadzorowane,</w:t>
      </w:r>
    </w:p>
    <w:p w14:paraId="7CF7F8C2" w14:textId="5A7A23BF" w:rsidR="006838B0" w:rsidRPr="006B2CD4" w:rsidRDefault="006838B0" w:rsidP="00DB03EC">
      <w:pPr>
        <w:pStyle w:val="Akapitzlist"/>
        <w:numPr>
          <w:ilvl w:val="0"/>
          <w:numId w:val="7"/>
        </w:numPr>
        <w:spacing w:after="0" w:line="360" w:lineRule="auto"/>
        <w:contextualSpacing w:val="0"/>
        <w:jc w:val="both"/>
        <w:rPr>
          <w:rFonts w:ascii="Times New Roman" w:hAnsi="Times New Roman" w:cs="Times New Roman"/>
          <w:sz w:val="24"/>
          <w:szCs w:val="24"/>
        </w:rPr>
      </w:pPr>
      <w:r w:rsidRPr="006B2CD4">
        <w:rPr>
          <w:rFonts w:ascii="Times New Roman" w:hAnsi="Times New Roman" w:cs="Times New Roman"/>
          <w:bCs/>
          <w:sz w:val="24"/>
          <w:szCs w:val="24"/>
        </w:rPr>
        <w:t xml:space="preserve">umożliwienie </w:t>
      </w:r>
      <w:r w:rsidRPr="006B2CD4">
        <w:rPr>
          <w:rFonts w:ascii="Times New Roman" w:hAnsi="Times New Roman" w:cs="Times New Roman"/>
          <w:color w:val="000000"/>
          <w:spacing w:val="-2"/>
          <w:sz w:val="24"/>
          <w:szCs w:val="24"/>
        </w:rPr>
        <w:t>korzystania</w:t>
      </w:r>
      <w:r w:rsidRPr="006B2CD4">
        <w:rPr>
          <w:rFonts w:ascii="Times New Roman" w:hAnsi="Times New Roman" w:cs="Times New Roman"/>
          <w:bCs/>
          <w:sz w:val="24"/>
          <w:szCs w:val="24"/>
        </w:rPr>
        <w:t xml:space="preserve"> z doręczeń elektronicznych w rozumieniu ustawy z dnia 18 listopada 2020 r. o </w:t>
      </w:r>
      <w:r w:rsidRPr="006B2CD4">
        <w:rPr>
          <w:rFonts w:ascii="Times New Roman" w:hAnsi="Times New Roman" w:cs="Times New Roman"/>
          <w:sz w:val="24"/>
          <w:szCs w:val="24"/>
        </w:rPr>
        <w:t>doręczeniach</w:t>
      </w:r>
      <w:r w:rsidRPr="006B2CD4">
        <w:rPr>
          <w:rFonts w:ascii="Times New Roman" w:hAnsi="Times New Roman" w:cs="Times New Roman"/>
          <w:bCs/>
          <w:sz w:val="24"/>
          <w:szCs w:val="24"/>
        </w:rPr>
        <w:t xml:space="preserve"> elektronicznych (</w:t>
      </w:r>
      <w:r w:rsidRPr="006B2CD4">
        <w:rPr>
          <w:rFonts w:ascii="Times New Roman" w:hAnsi="Times New Roman" w:cs="Times New Roman"/>
          <w:sz w:val="24"/>
          <w:szCs w:val="24"/>
        </w:rPr>
        <w:t>Dz. U. z 202</w:t>
      </w:r>
      <w:r w:rsidR="00D3779D">
        <w:rPr>
          <w:rFonts w:ascii="Times New Roman" w:hAnsi="Times New Roman" w:cs="Times New Roman"/>
          <w:sz w:val="24"/>
          <w:szCs w:val="24"/>
        </w:rPr>
        <w:t>3</w:t>
      </w:r>
      <w:r w:rsidRPr="006B2CD4">
        <w:rPr>
          <w:rFonts w:ascii="Times New Roman" w:hAnsi="Times New Roman" w:cs="Times New Roman"/>
          <w:sz w:val="24"/>
          <w:szCs w:val="24"/>
        </w:rPr>
        <w:t xml:space="preserve"> r. poz. </w:t>
      </w:r>
      <w:r w:rsidR="00D3779D">
        <w:rPr>
          <w:rFonts w:ascii="Times New Roman" w:hAnsi="Times New Roman" w:cs="Times New Roman"/>
          <w:sz w:val="24"/>
          <w:szCs w:val="24"/>
        </w:rPr>
        <w:t>285</w:t>
      </w:r>
      <w:r w:rsidRPr="006B2CD4">
        <w:rPr>
          <w:rFonts w:ascii="Times New Roman" w:hAnsi="Times New Roman" w:cs="Times New Roman"/>
          <w:bCs/>
          <w:sz w:val="24"/>
          <w:szCs w:val="24"/>
        </w:rPr>
        <w:t>) w odniesieniu do czynności kontrolnych i innych czynności nadzorczych KNF niemających formy decyzji administracyjnej</w:t>
      </w:r>
      <w:r w:rsidR="001E5A25" w:rsidRPr="006B2CD4">
        <w:rPr>
          <w:rFonts w:ascii="Times New Roman" w:hAnsi="Times New Roman" w:cs="Times New Roman"/>
          <w:bCs/>
          <w:sz w:val="24"/>
          <w:szCs w:val="24"/>
        </w:rPr>
        <w:t>,</w:t>
      </w:r>
    </w:p>
    <w:p w14:paraId="20653F5D" w14:textId="44087ADF" w:rsidR="009C41EB" w:rsidRPr="006B2CD4" w:rsidRDefault="00706BF5" w:rsidP="00DB03EC">
      <w:pPr>
        <w:pStyle w:val="Akapitzlist"/>
        <w:numPr>
          <w:ilvl w:val="0"/>
          <w:numId w:val="7"/>
        </w:numPr>
        <w:spacing w:after="0" w:line="360" w:lineRule="auto"/>
        <w:contextualSpacing w:val="0"/>
        <w:jc w:val="both"/>
        <w:rPr>
          <w:rFonts w:ascii="Times New Roman" w:hAnsi="Times New Roman" w:cs="Times New Roman"/>
          <w:sz w:val="24"/>
          <w:szCs w:val="24"/>
        </w:rPr>
      </w:pPr>
      <w:r w:rsidRPr="006B2CD4">
        <w:rPr>
          <w:rFonts w:ascii="Times New Roman" w:hAnsi="Times New Roman" w:cs="Times New Roman"/>
          <w:sz w:val="24"/>
          <w:szCs w:val="24"/>
        </w:rPr>
        <w:t>wprowadzenie rozwiązań dotyczących odpowiedzialności byłych firm audytorskich, jednostek zainteresowania publicznego i osób pełniących funkcje w firmach audytorskich i jednostkach zainteresowania publicznego, za naruszenia powstałe w czasie</w:t>
      </w:r>
      <w:r w:rsidR="007761FB">
        <w:rPr>
          <w:rFonts w:ascii="Times New Roman" w:hAnsi="Times New Roman" w:cs="Times New Roman"/>
          <w:sz w:val="24"/>
          <w:szCs w:val="24"/>
        </w:rPr>
        <w:t>, gdy była</w:t>
      </w:r>
      <w:r w:rsidRPr="006B2CD4">
        <w:rPr>
          <w:rFonts w:ascii="Times New Roman" w:hAnsi="Times New Roman" w:cs="Times New Roman"/>
          <w:sz w:val="24"/>
          <w:szCs w:val="24"/>
        </w:rPr>
        <w:t xml:space="preserve"> firmą audytorską, jednostką zainteresowania publicznego</w:t>
      </w:r>
      <w:r w:rsidR="007761FB">
        <w:rPr>
          <w:rFonts w:ascii="Times New Roman" w:hAnsi="Times New Roman" w:cs="Times New Roman"/>
          <w:sz w:val="24"/>
          <w:szCs w:val="24"/>
        </w:rPr>
        <w:t>,</w:t>
      </w:r>
      <w:r w:rsidRPr="006B2CD4">
        <w:rPr>
          <w:rFonts w:ascii="Times New Roman" w:hAnsi="Times New Roman" w:cs="Times New Roman"/>
          <w:sz w:val="24"/>
          <w:szCs w:val="24"/>
        </w:rPr>
        <w:t xml:space="preserve"> czy też pełnienia określonych funkcji w firmie audytorskiej (np. członka zarządu lub rady nadzorczej),</w:t>
      </w:r>
    </w:p>
    <w:p w14:paraId="68643B6A" w14:textId="5E12C138" w:rsidR="004A489E" w:rsidRPr="004A489E" w:rsidRDefault="001E5A25" w:rsidP="00E31591">
      <w:pPr>
        <w:pStyle w:val="Akapitzlist"/>
        <w:numPr>
          <w:ilvl w:val="0"/>
          <w:numId w:val="7"/>
        </w:numPr>
        <w:spacing w:after="0" w:line="360" w:lineRule="auto"/>
        <w:ind w:left="714" w:hanging="357"/>
        <w:contextualSpacing w:val="0"/>
        <w:jc w:val="both"/>
        <w:rPr>
          <w:rFonts w:ascii="Times New Roman" w:hAnsi="Times New Roman" w:cs="Times New Roman"/>
          <w:sz w:val="24"/>
          <w:szCs w:val="24"/>
        </w:rPr>
      </w:pPr>
      <w:r w:rsidRPr="006B2CD4">
        <w:rPr>
          <w:rFonts w:ascii="Times New Roman" w:hAnsi="Times New Roman" w:cs="Times New Roman"/>
          <w:color w:val="000000"/>
          <w:sz w:val="24"/>
          <w:szCs w:val="24"/>
        </w:rPr>
        <w:lastRenderedPageBreak/>
        <w:t xml:space="preserve">nowelizację przepisów dotyczących tzw. rachunków uśpionych (tzn. rachunków osób zmarłych lub rachunków zapomnianych), które wychodzą naprzeciw postulatom zmniejszenia zakresu informacji o tych rachunkach przekazywanych gminom jako potencjalnym dziedziczącym </w:t>
      </w:r>
      <w:r w:rsidR="00457862">
        <w:rPr>
          <w:rFonts w:ascii="Times New Roman" w:hAnsi="Times New Roman" w:cs="Times New Roman"/>
          <w:color w:val="000000"/>
          <w:sz w:val="24"/>
          <w:szCs w:val="24"/>
        </w:rPr>
        <w:t>–</w:t>
      </w:r>
      <w:r w:rsidRPr="006B2CD4">
        <w:rPr>
          <w:rFonts w:ascii="Times New Roman" w:hAnsi="Times New Roman" w:cs="Times New Roman"/>
          <w:color w:val="000000"/>
          <w:sz w:val="24"/>
          <w:szCs w:val="24"/>
        </w:rPr>
        <w:t xml:space="preserve"> do niezbędnego minimum, określenie odbiorcy informacji, oraz wydłużenie okresu, w którym banki i spółdzielcze kasy oszczędnościowo-kredytowe obowiązane będą </w:t>
      </w:r>
      <w:r w:rsidR="007A14A5" w:rsidRPr="006B2CD4">
        <w:rPr>
          <w:rFonts w:ascii="Times New Roman" w:hAnsi="Times New Roman" w:cs="Times New Roman"/>
          <w:color w:val="000000"/>
          <w:sz w:val="24"/>
          <w:szCs w:val="24"/>
        </w:rPr>
        <w:t>do udzielenia takiej informacji</w:t>
      </w:r>
      <w:r w:rsidR="004A489E">
        <w:rPr>
          <w:rFonts w:ascii="Times New Roman" w:hAnsi="Times New Roman" w:cs="Times New Roman"/>
          <w:color w:val="000000"/>
          <w:sz w:val="24"/>
          <w:szCs w:val="24"/>
        </w:rPr>
        <w:t>,</w:t>
      </w:r>
    </w:p>
    <w:p w14:paraId="3AB17A57" w14:textId="77027B2E" w:rsidR="00C063E6" w:rsidRPr="006B2CD4" w:rsidRDefault="004A489E" w:rsidP="004A489E">
      <w:pPr>
        <w:pStyle w:val="Akapitzlist"/>
        <w:numPr>
          <w:ilvl w:val="0"/>
          <w:numId w:val="7"/>
        </w:numPr>
        <w:spacing w:line="360" w:lineRule="auto"/>
        <w:contextualSpacing w:val="0"/>
        <w:jc w:val="both"/>
        <w:rPr>
          <w:rFonts w:ascii="Times New Roman" w:hAnsi="Times New Roman" w:cs="Times New Roman"/>
          <w:sz w:val="24"/>
          <w:szCs w:val="24"/>
        </w:rPr>
      </w:pPr>
      <w:r>
        <w:rPr>
          <w:rFonts w:ascii="Times New Roman" w:hAnsi="Times New Roman" w:cs="Times New Roman"/>
          <w:color w:val="000000"/>
          <w:sz w:val="24"/>
          <w:szCs w:val="24"/>
        </w:rPr>
        <w:t xml:space="preserve">zapewnienie harmonizacji i niezakłóconego stosowania przepisów rozporządzenia Parlamentu Europejskiego i Rady </w:t>
      </w:r>
      <w:r w:rsidRPr="004A489E">
        <w:rPr>
          <w:rFonts w:ascii="Times New Roman" w:hAnsi="Times New Roman" w:cs="Times New Roman"/>
          <w:color w:val="000000"/>
          <w:sz w:val="24"/>
          <w:szCs w:val="24"/>
        </w:rPr>
        <w:t>(UE) 2022/858 z dnia 30 maja 2022 r. w sprawie systemu pilotażowego na potrzeby infrastruktur rynkowych opartych na technologii rozproszonego rejestru, a także zmiany rozporządzeń (UE) nr 600/2014 i (UE) nr 909/2014 oraz dyrektywy 2014/65/UE</w:t>
      </w:r>
      <w:r>
        <w:rPr>
          <w:rFonts w:ascii="Times New Roman" w:hAnsi="Times New Roman" w:cs="Times New Roman"/>
          <w:color w:val="000000"/>
          <w:sz w:val="24"/>
          <w:szCs w:val="24"/>
        </w:rPr>
        <w:t xml:space="preserve"> (Dz. Urz. UE L 151 z 2.6.2022 r. str. 1), dalej „rozporządzenie DLT Pilot Regime”.</w:t>
      </w:r>
    </w:p>
    <w:p w14:paraId="012FB981" w14:textId="77777777" w:rsidR="00617749" w:rsidRPr="006B2CD4" w:rsidRDefault="00AE2E63" w:rsidP="00B856D8">
      <w:pPr>
        <w:pStyle w:val="Akapitzlist"/>
        <w:numPr>
          <w:ilvl w:val="0"/>
          <w:numId w:val="1"/>
        </w:numPr>
        <w:spacing w:after="0" w:line="360" w:lineRule="auto"/>
        <w:ind w:left="568" w:hanging="284"/>
        <w:contextualSpacing w:val="0"/>
        <w:jc w:val="both"/>
        <w:rPr>
          <w:rFonts w:ascii="Times New Roman" w:hAnsi="Times New Roman" w:cs="Times New Roman"/>
          <w:b/>
          <w:bCs/>
          <w:sz w:val="24"/>
          <w:szCs w:val="24"/>
        </w:rPr>
      </w:pPr>
      <w:r w:rsidRPr="006B2CD4">
        <w:rPr>
          <w:rFonts w:ascii="Times New Roman" w:hAnsi="Times New Roman" w:cs="Times New Roman"/>
          <w:b/>
          <w:bCs/>
          <w:sz w:val="24"/>
          <w:szCs w:val="24"/>
        </w:rPr>
        <w:t xml:space="preserve">Zakres przewidywanych regulacji </w:t>
      </w:r>
    </w:p>
    <w:p w14:paraId="2E3D8354" w14:textId="48D7C612" w:rsidR="00C63C44" w:rsidRPr="006B2CD4" w:rsidRDefault="00931C94" w:rsidP="00A05F1C">
      <w:pPr>
        <w:spacing w:before="120" w:after="120" w:line="360" w:lineRule="auto"/>
        <w:jc w:val="both"/>
        <w:rPr>
          <w:rFonts w:ascii="Times New Roman" w:hAnsi="Times New Roman" w:cs="Times New Roman"/>
          <w:b/>
          <w:bCs/>
          <w:sz w:val="24"/>
          <w:szCs w:val="24"/>
        </w:rPr>
      </w:pPr>
      <w:r w:rsidRPr="006B2CD4">
        <w:rPr>
          <w:rFonts w:ascii="Times New Roman" w:hAnsi="Times New Roman" w:cs="Times New Roman"/>
          <w:b/>
          <w:bCs/>
          <w:sz w:val="24"/>
          <w:szCs w:val="24"/>
        </w:rPr>
        <w:t xml:space="preserve">Art. 1. </w:t>
      </w:r>
      <w:r w:rsidR="00C63C44" w:rsidRPr="006B2CD4">
        <w:rPr>
          <w:rFonts w:ascii="Times New Roman" w:hAnsi="Times New Roman" w:cs="Times New Roman"/>
          <w:b/>
          <w:bCs/>
          <w:sz w:val="24"/>
          <w:szCs w:val="24"/>
        </w:rPr>
        <w:t>Zmiany w ustawie o Straży Granicznej</w:t>
      </w:r>
    </w:p>
    <w:p w14:paraId="5D597D92" w14:textId="210D34FB" w:rsidR="003531F6" w:rsidRPr="00E31591" w:rsidRDefault="0013527A" w:rsidP="003531F6">
      <w:pPr>
        <w:spacing w:before="120"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Proponowane zmiany w zakresie art. 10c ustawy o Straży Granicznej mają na celu ujednolicenie przepisów ww. ustawy z regulacjami zawartymi w art. 20 ust. 3</w:t>
      </w:r>
      <w:r w:rsidR="001C45CE" w:rsidRPr="006B2CD4">
        <w:rPr>
          <w:rFonts w:ascii="Times New Roman" w:eastAsia="Calibri" w:hAnsi="Times New Roman" w:cs="Times New Roman"/>
          <w:sz w:val="24"/>
          <w:szCs w:val="24"/>
        </w:rPr>
        <w:t>–</w:t>
      </w:r>
      <w:r w:rsidRPr="006B2CD4">
        <w:rPr>
          <w:rFonts w:ascii="Times New Roman" w:hAnsi="Times New Roman" w:cs="Times New Roman"/>
          <w:bCs/>
          <w:sz w:val="24"/>
          <w:szCs w:val="24"/>
        </w:rPr>
        <w:t>14 ustawy z dnia 6 kwietnia 1990 r. o Policji (Dz. U. z 202</w:t>
      </w:r>
      <w:r w:rsidR="00D3779D">
        <w:rPr>
          <w:rFonts w:ascii="Times New Roman" w:hAnsi="Times New Roman" w:cs="Times New Roman"/>
          <w:bCs/>
          <w:sz w:val="24"/>
          <w:szCs w:val="24"/>
        </w:rPr>
        <w:t>3</w:t>
      </w:r>
      <w:r w:rsidRPr="006B2CD4">
        <w:rPr>
          <w:rFonts w:ascii="Times New Roman" w:hAnsi="Times New Roman" w:cs="Times New Roman"/>
          <w:bCs/>
          <w:sz w:val="24"/>
          <w:szCs w:val="24"/>
        </w:rPr>
        <w:t xml:space="preserve"> r. poz. 1</w:t>
      </w:r>
      <w:r w:rsidR="00D3779D">
        <w:rPr>
          <w:rFonts w:ascii="Times New Roman" w:hAnsi="Times New Roman" w:cs="Times New Roman"/>
          <w:bCs/>
          <w:sz w:val="24"/>
          <w:szCs w:val="24"/>
        </w:rPr>
        <w:t>71</w:t>
      </w:r>
      <w:r w:rsidRPr="006B2CD4">
        <w:rPr>
          <w:rFonts w:ascii="Times New Roman" w:hAnsi="Times New Roman" w:cs="Times New Roman"/>
          <w:bCs/>
          <w:sz w:val="24"/>
          <w:szCs w:val="24"/>
        </w:rPr>
        <w:t>, z późn. zm.). Stanowią one także wypełnienie rekomendacji wynikających z prac Międzyresortowego Zespół do spraw koordynacji wdraża</w:t>
      </w:r>
      <w:r w:rsidRPr="006B2CD4">
        <w:rPr>
          <w:rFonts w:ascii="Times New Roman" w:hAnsi="Times New Roman" w:cs="Times New Roman"/>
          <w:bCs/>
          <w:sz w:val="24"/>
          <w:szCs w:val="24"/>
        </w:rPr>
        <w:lastRenderedPageBreak/>
        <w:t xml:space="preserve">nia, monitorowania i ewaluacji „Programu przeciwdziałania i zwalczania przestępczości gospodarczej na lata 2015–2020”. </w:t>
      </w:r>
      <w:r w:rsidR="003531F6" w:rsidRPr="00E31591">
        <w:rPr>
          <w:rFonts w:ascii="Times New Roman" w:hAnsi="Times New Roman" w:cs="Times New Roman"/>
          <w:bCs/>
          <w:sz w:val="24"/>
          <w:szCs w:val="24"/>
        </w:rPr>
        <w:t>W programie tym wskazano na potrzebę przygotowania zmian prawnych umożliwiających zaangażowanym służbom i instytucjom podniesienie skuteczności wymiany informacji na temat składników majątkowych sprawców przestępstw. Straż Graniczna w kontekście przestępczości gospodarczej o charakterze transgranicznym odgrywa istotną rolę, realizując zadania m.in. w odniesieniu do zwalczania przestępczości podatkowej, prania pieniędzy, przestępczości związanej z naruszeniami praw autorskich i praw pokrewnych, nielegalnego obrotu oraz składowania odpadów oraz substancji niebezpiecznych, a także przestępczości na szkodę interesów finansowych Rzeczypospolitej Polskiej oraz Unii Europejskiej. Straż Graniczna posiada w zakresie swojej właściwości uprawnienia do rozpoznawania, zapobiegania i wykrywania przestępstw i wykroczeń oraz ścigania ich sprawców. Ponadto, Straż Graniczna realizuje zadania zwalczania transgranicznej przestępczości gospodarczej, w zakresie swojej właściwości, wykorzystując w tym celu m.in. ofensywne metody pracy operacyjnej. Zadania te pokrywają się, co do zasady, z zadaniami Policji, z tego względu w projekcie przewidziano ujenolicenie przepisów ustawy o Straży Granicznej z zakresu dostępu Straży Granicznej do tajemnicy prawnie chronionej z regulacjami zawartymi w art. 20 ust. 3</w:t>
      </w:r>
      <w:r w:rsidR="003531F6" w:rsidRPr="00E31591">
        <w:rPr>
          <w:rFonts w:ascii="Times New Roman" w:eastAsia="Calibri" w:hAnsi="Times New Roman" w:cs="Times New Roman"/>
          <w:sz w:val="24"/>
          <w:szCs w:val="24"/>
        </w:rPr>
        <w:t>–</w:t>
      </w:r>
      <w:r w:rsidR="00E31591">
        <w:rPr>
          <w:rFonts w:ascii="Times New Roman" w:hAnsi="Times New Roman" w:cs="Times New Roman"/>
          <w:bCs/>
          <w:sz w:val="24"/>
          <w:szCs w:val="24"/>
        </w:rPr>
        <w:t xml:space="preserve">14 ustawy </w:t>
      </w:r>
      <w:r w:rsidR="003531F6" w:rsidRPr="00E31591">
        <w:rPr>
          <w:rFonts w:ascii="Times New Roman" w:hAnsi="Times New Roman" w:cs="Times New Roman"/>
          <w:bCs/>
          <w:sz w:val="24"/>
          <w:szCs w:val="24"/>
        </w:rPr>
        <w:t>z dnia 6 kwie</w:t>
      </w:r>
      <w:r w:rsidR="004310B4">
        <w:rPr>
          <w:rFonts w:ascii="Times New Roman" w:hAnsi="Times New Roman" w:cs="Times New Roman"/>
          <w:bCs/>
          <w:sz w:val="24"/>
          <w:szCs w:val="24"/>
        </w:rPr>
        <w:t>tnia 1990 r. o Policji</w:t>
      </w:r>
      <w:r w:rsidR="003531F6" w:rsidRPr="00E31591">
        <w:rPr>
          <w:rFonts w:ascii="Times New Roman" w:hAnsi="Times New Roman" w:cs="Times New Roman"/>
          <w:bCs/>
          <w:sz w:val="24"/>
          <w:szCs w:val="24"/>
        </w:rPr>
        <w:t xml:space="preserve">. Ujednolicenie zasad dostępu Straży Granicznej do informacji stanowiących m.in. tajemnicę skarbową, tajemnicę zawodową oraz tajemnicę bankową, z zasadami przewidzianymi dla Policji, przyczyni się do skuteczniejszego zapobiegania </w:t>
      </w:r>
      <w:r w:rsidR="003531F6" w:rsidRPr="00E31591">
        <w:rPr>
          <w:rFonts w:ascii="Times New Roman" w:hAnsi="Times New Roman" w:cs="Times New Roman"/>
          <w:bCs/>
          <w:sz w:val="24"/>
          <w:szCs w:val="24"/>
        </w:rPr>
        <w:lastRenderedPageBreak/>
        <w:t>przez Straż Graniczną przestępstwom lub ich wykrywania, co wpłynie na poprawę bezpieczeństwa na rynku finansowym, a co za tym idzie będzie stymulować dalszy rozwój tego rynku. Proponowane ujednolicenie zasad dostępu do tajemnicy prawnie chronionej pozwoli również na standaryzację tego procesu, co powinno również sprzyjać usprawnieniu pracy sądów, które uczestniczą w tym procesie. W obecnym stanie prawnym kwestie dotyczące uprawnień Policji w zakresie uzyskiwania na etapie czynności operacyjno-rozpoznawczych informacji od podmiotów przetwarzających dane objęte różnego rodzaju tajemnicami są najbardziej adekwatne. Jednocześnie, aby skutecznie i w pełni korzystać z uprawnienia określonego w art. 10c ustawy o Straży Granicznej, konieczne jest równoczesne sformułowanie obowiązku udostępniania takich informacji. Obowiązek taki jest sformułowany w tzw. ustawach branżowych regulujących działalność danego podmiotu. Z kolei w zakresie uzyskiwania przez Straż Graniczną informacji na podstawie art. 10c ustawy o Straży Granicznej obowiązujące regulacje nie są kompletne. Z kolei podmioty dysponujące przedmiotowymi informacjami, aby mogły je udostępnić, muszą mieć w odpowiednich przepisach wskazany wprost taki obowiązek.</w:t>
      </w:r>
    </w:p>
    <w:p w14:paraId="4D3333FD" w14:textId="7E9EC074" w:rsidR="003531F6" w:rsidRPr="003531F6" w:rsidRDefault="003531F6" w:rsidP="003531F6">
      <w:pPr>
        <w:spacing w:before="120" w:after="120" w:line="360" w:lineRule="auto"/>
        <w:jc w:val="both"/>
        <w:rPr>
          <w:rFonts w:ascii="Times New Roman" w:hAnsi="Times New Roman" w:cs="Times New Roman"/>
          <w:bCs/>
          <w:sz w:val="24"/>
          <w:szCs w:val="24"/>
        </w:rPr>
      </w:pPr>
      <w:r w:rsidRPr="00E31591">
        <w:rPr>
          <w:rFonts w:ascii="Times New Roman" w:hAnsi="Times New Roman" w:cs="Times New Roman"/>
          <w:bCs/>
          <w:sz w:val="24"/>
          <w:szCs w:val="24"/>
        </w:rPr>
        <w:t xml:space="preserve">W związku z powyższym konieczne jest wprowadzenie dodatkowych regulacji uzupełniających lukę prawną, która powstała po nadaniu Straży Granicznej uprawnień określonych w art. 10c ustawy o Straży Granicznej. Należy podkreślić, że jak zostało to wskazane wcześniej, zdecydowana większość przestępstw ściganych przez Straż Graniczną ma kontekst ekonomiczny i służy przede wszystkim uzyskiwaniu przez sprawców nielegalnych dochodów (m.in. przemyt towarów, narkotyków, organizowanie nielegalnego przekraczania granicy, handel ludźmi). </w:t>
      </w:r>
      <w:r w:rsidRPr="00E31591">
        <w:rPr>
          <w:rFonts w:ascii="Times New Roman" w:hAnsi="Times New Roman" w:cs="Times New Roman"/>
          <w:bCs/>
          <w:sz w:val="24"/>
          <w:szCs w:val="24"/>
        </w:rPr>
        <w:lastRenderedPageBreak/>
        <w:t>Ujawnienie składników majątkowych przestępców ściganych przez Straż Graniczną jest szczególnie ważne w kontekście późniejszego zabezpieczenia i odzyskania mienia pochodzącego z przestępstwa. Najbardziej skuteczne jest zatem zapewnienie Straży Granicznej dostępu do informacji i danych już na etapie czynności operacyjno-rozpoznawczych (m.in. przez dostęp do informacji w bazach danych wszelkich instytucji), ponieważ na późniejszym etapie prowadzenia postępowania przygotowawczego mienie to najczęściej jest przez podejrzanych bardzo szybko ukrywane (przekazywane osobom trzecim, sprzedawane, lokowane na zagranicznych kontach). Wprowadzenie zmian w zaproponowanym zakresie wpłynie więc pozytywnie na proces ustalania i odzyskiwania mienia pochodzącego z przestępczej działalności grup przestępczych.</w:t>
      </w:r>
      <w:r w:rsidRPr="003531F6">
        <w:rPr>
          <w:rFonts w:ascii="Times New Roman" w:hAnsi="Times New Roman" w:cs="Times New Roman"/>
          <w:bCs/>
          <w:sz w:val="24"/>
          <w:szCs w:val="24"/>
        </w:rPr>
        <w:t xml:space="preserve"> </w:t>
      </w:r>
    </w:p>
    <w:p w14:paraId="5D46FDD2" w14:textId="665BA248" w:rsidR="00C63C44" w:rsidRPr="006B2CD4" w:rsidRDefault="00931C94" w:rsidP="00B856D8">
      <w:pPr>
        <w:spacing w:before="120" w:after="120" w:line="360" w:lineRule="auto"/>
        <w:jc w:val="both"/>
        <w:rPr>
          <w:rFonts w:ascii="Times New Roman" w:hAnsi="Times New Roman" w:cs="Times New Roman"/>
          <w:b/>
          <w:bCs/>
          <w:sz w:val="24"/>
          <w:szCs w:val="24"/>
        </w:rPr>
      </w:pPr>
      <w:r w:rsidRPr="006B2CD4">
        <w:rPr>
          <w:rFonts w:ascii="Times New Roman" w:hAnsi="Times New Roman" w:cs="Times New Roman"/>
          <w:b/>
          <w:bCs/>
          <w:sz w:val="24"/>
          <w:szCs w:val="24"/>
        </w:rPr>
        <w:t xml:space="preserve">Art. 2. </w:t>
      </w:r>
      <w:r w:rsidR="00C63C44" w:rsidRPr="006B2CD4">
        <w:rPr>
          <w:rFonts w:ascii="Times New Roman" w:hAnsi="Times New Roman" w:cs="Times New Roman"/>
          <w:b/>
          <w:bCs/>
          <w:sz w:val="24"/>
          <w:szCs w:val="24"/>
        </w:rPr>
        <w:t>Zmiany w ustawie o CIT</w:t>
      </w:r>
    </w:p>
    <w:p w14:paraId="3F2C2CEF" w14:textId="2760F493" w:rsidR="00C63C44" w:rsidRDefault="00C63C44" w:rsidP="00B856D8">
      <w:pPr>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Zamiany w </w:t>
      </w:r>
      <w:r w:rsidRPr="006B2CD4">
        <w:rPr>
          <w:rFonts w:ascii="Times New Roman" w:eastAsia="Calibri" w:hAnsi="Times New Roman" w:cs="Times New Roman"/>
          <w:sz w:val="24"/>
          <w:szCs w:val="24"/>
        </w:rPr>
        <w:t xml:space="preserve">art. 12 w ust. 4 w pkt 15 w lit. c, w art. 12 ust. 4f i 9, w art. 15 w ust. 1h w pkt 2–4 i ust. 1ha oraz w art. 16 w ust. 1 w pkt 10 w lit. e </w:t>
      </w:r>
      <w:r w:rsidRPr="006B2CD4">
        <w:rPr>
          <w:rFonts w:ascii="Times New Roman" w:hAnsi="Times New Roman" w:cs="Times New Roman"/>
          <w:bCs/>
          <w:sz w:val="24"/>
          <w:szCs w:val="24"/>
        </w:rPr>
        <w:t>ustawy o CIT polegają na zastąpieniu wyrazów „fundusz sekurytyzacyjny” wyrazami „</w:t>
      </w:r>
      <w:r w:rsidR="00B61C9F">
        <w:rPr>
          <w:rFonts w:ascii="Times New Roman" w:hAnsi="Times New Roman" w:cs="Times New Roman"/>
          <w:bCs/>
          <w:sz w:val="24"/>
          <w:szCs w:val="24"/>
        </w:rPr>
        <w:t>fundusz</w:t>
      </w:r>
      <w:r w:rsidRPr="006B2CD4">
        <w:rPr>
          <w:rFonts w:ascii="Times New Roman" w:hAnsi="Times New Roman" w:cs="Times New Roman"/>
          <w:bCs/>
          <w:sz w:val="24"/>
          <w:szCs w:val="24"/>
        </w:rPr>
        <w:t xml:space="preserve"> wierzytelności”, co związane jest z potrzebą zagwarantowania spójności porządku krajowego z rozporządzeniem Parlamentu Europejskiego i Rady (UE) 2017/2402 z dnia 12 grudnia 2017 r. w sprawie ustanowienia ogólnych ram dla sekurytyzacji oraz utworzenia szczególnych ram dla prostych, przejrzystych i standardowych sekurytyzacji (Dz. U. Urz. UE L 347 z 28.12.2017, str. 35)</w:t>
      </w:r>
      <w:r w:rsidR="00E44AFF">
        <w:rPr>
          <w:rFonts w:ascii="Times New Roman" w:hAnsi="Times New Roman" w:cs="Times New Roman"/>
          <w:bCs/>
          <w:sz w:val="24"/>
          <w:szCs w:val="24"/>
        </w:rPr>
        <w:t xml:space="preserve">, </w:t>
      </w:r>
      <w:r w:rsidR="00E44AFF" w:rsidRPr="006B2CD4">
        <w:rPr>
          <w:rFonts w:ascii="Times New Roman" w:hAnsi="Times New Roman" w:cs="Times New Roman"/>
          <w:bCs/>
          <w:sz w:val="24"/>
          <w:szCs w:val="24"/>
        </w:rPr>
        <w:t>dalej „rozporządzenie 2017/2402”</w:t>
      </w:r>
      <w:r w:rsidRPr="006B2CD4">
        <w:rPr>
          <w:rFonts w:ascii="Times New Roman" w:hAnsi="Times New Roman" w:cs="Times New Roman"/>
          <w:bCs/>
          <w:sz w:val="24"/>
          <w:szCs w:val="24"/>
        </w:rPr>
        <w:t>.</w:t>
      </w:r>
    </w:p>
    <w:p w14:paraId="0E2FE027" w14:textId="77777777" w:rsidR="00BE4ADC" w:rsidRDefault="00BE4ADC" w:rsidP="00BE4ADC">
      <w:pPr>
        <w:spacing w:before="120" w:after="120" w:line="360" w:lineRule="auto"/>
        <w:jc w:val="both"/>
        <w:rPr>
          <w:rFonts w:ascii="Times New Roman" w:hAnsi="Times New Roman" w:cs="Times New Roman"/>
          <w:b/>
          <w:bCs/>
          <w:sz w:val="24"/>
          <w:szCs w:val="24"/>
        </w:rPr>
      </w:pPr>
      <w:r w:rsidRPr="00B473C5">
        <w:rPr>
          <w:rFonts w:ascii="Times New Roman" w:hAnsi="Times New Roman" w:cs="Times New Roman"/>
          <w:b/>
          <w:bCs/>
          <w:sz w:val="24"/>
          <w:szCs w:val="24"/>
        </w:rPr>
        <w:lastRenderedPageBreak/>
        <w:t>Art. 3.</w:t>
      </w:r>
      <w:r>
        <w:rPr>
          <w:rFonts w:ascii="Times New Roman" w:hAnsi="Times New Roman" w:cs="Times New Roman"/>
          <w:b/>
          <w:bCs/>
          <w:sz w:val="24"/>
          <w:szCs w:val="24"/>
        </w:rPr>
        <w:t xml:space="preserve"> Zmiany w ustawie o zasadach ewidencji i identyfikacji podatników i płatników </w:t>
      </w:r>
    </w:p>
    <w:p w14:paraId="10E07687" w14:textId="4FA5B1A7" w:rsidR="00BE4ADC" w:rsidRPr="006B2CD4" w:rsidRDefault="00BE4ADC" w:rsidP="00B856D8">
      <w:pPr>
        <w:spacing w:after="0" w:line="360" w:lineRule="auto"/>
        <w:jc w:val="both"/>
        <w:rPr>
          <w:rFonts w:ascii="Times New Roman" w:hAnsi="Times New Roman" w:cs="Times New Roman"/>
          <w:bCs/>
          <w:sz w:val="24"/>
          <w:szCs w:val="24"/>
        </w:rPr>
      </w:pPr>
      <w:r w:rsidRPr="001345C5">
        <w:rPr>
          <w:rFonts w:ascii="Times New Roman" w:hAnsi="Times New Roman" w:cs="Times New Roman"/>
          <w:bCs/>
          <w:sz w:val="24"/>
          <w:szCs w:val="24"/>
        </w:rPr>
        <w:t xml:space="preserve">Zmiany w artykule 15 </w:t>
      </w:r>
      <w:r>
        <w:rPr>
          <w:rFonts w:ascii="Times New Roman" w:hAnsi="Times New Roman" w:cs="Times New Roman"/>
          <w:bCs/>
          <w:sz w:val="24"/>
          <w:szCs w:val="24"/>
        </w:rPr>
        <w:t>ustawy o zasadach ewidencji i identyfikacji podatników i płatników związane są ze zmianami w ustawie o Straży Granicznej. D</w:t>
      </w:r>
      <w:r w:rsidRPr="001345C5">
        <w:rPr>
          <w:rFonts w:ascii="Times New Roman" w:hAnsi="Times New Roman" w:cs="Times New Roman"/>
          <w:bCs/>
          <w:sz w:val="24"/>
          <w:szCs w:val="24"/>
        </w:rPr>
        <w:t xml:space="preserve">otyczą </w:t>
      </w:r>
      <w:r>
        <w:rPr>
          <w:rFonts w:ascii="Times New Roman" w:hAnsi="Times New Roman" w:cs="Times New Roman"/>
          <w:bCs/>
          <w:sz w:val="24"/>
          <w:szCs w:val="24"/>
        </w:rPr>
        <w:t xml:space="preserve">one </w:t>
      </w:r>
      <w:r w:rsidRPr="001345C5">
        <w:rPr>
          <w:rFonts w:ascii="Times New Roman" w:hAnsi="Times New Roman" w:cs="Times New Roman"/>
          <w:bCs/>
          <w:sz w:val="24"/>
          <w:szCs w:val="24"/>
        </w:rPr>
        <w:t>dodania do katalogu podmiotów uprawnionych do pozyskania informacji z Centralnego Rejestru Podmiotów – Krajowej Ewidencji Podatników (CRP KEP) Straży Granicznej. Możliwość udostępnienia informacji o danych podmiotów z CRP KEP wynika z uprawnień Straży Granicznej do prowadzenia przez t</w:t>
      </w:r>
      <w:r>
        <w:rPr>
          <w:rFonts w:ascii="Times New Roman" w:hAnsi="Times New Roman" w:cs="Times New Roman"/>
          <w:bCs/>
          <w:sz w:val="24"/>
          <w:szCs w:val="24"/>
        </w:rPr>
        <w:t xml:space="preserve">ą </w:t>
      </w:r>
      <w:r w:rsidRPr="001345C5">
        <w:rPr>
          <w:rFonts w:ascii="Times New Roman" w:hAnsi="Times New Roman" w:cs="Times New Roman"/>
          <w:bCs/>
          <w:sz w:val="24"/>
          <w:szCs w:val="24"/>
        </w:rPr>
        <w:t xml:space="preserve">formację postępowań przygotowawczych oraz realizacji zadań ustawowych przewidzianych w przepisach ustawy o </w:t>
      </w:r>
      <w:r>
        <w:rPr>
          <w:rFonts w:ascii="Times New Roman" w:hAnsi="Times New Roman" w:cs="Times New Roman"/>
          <w:bCs/>
          <w:sz w:val="24"/>
          <w:szCs w:val="24"/>
        </w:rPr>
        <w:t>S</w:t>
      </w:r>
      <w:r w:rsidRPr="001345C5">
        <w:rPr>
          <w:rFonts w:ascii="Times New Roman" w:hAnsi="Times New Roman" w:cs="Times New Roman"/>
          <w:bCs/>
          <w:sz w:val="24"/>
          <w:szCs w:val="24"/>
        </w:rPr>
        <w:t xml:space="preserve">traży </w:t>
      </w:r>
      <w:r>
        <w:rPr>
          <w:rFonts w:ascii="Times New Roman" w:hAnsi="Times New Roman" w:cs="Times New Roman"/>
          <w:bCs/>
          <w:sz w:val="24"/>
          <w:szCs w:val="24"/>
        </w:rPr>
        <w:t>G</w:t>
      </w:r>
      <w:r w:rsidRPr="001345C5">
        <w:rPr>
          <w:rFonts w:ascii="Times New Roman" w:hAnsi="Times New Roman" w:cs="Times New Roman"/>
          <w:bCs/>
          <w:sz w:val="24"/>
          <w:szCs w:val="24"/>
        </w:rPr>
        <w:t>ranicznej. Proponowana zmiana ma na celu ujednolicenie uprawnień służb do skutecznego wykonywania obowiązków i w razie potrzeby zwracania się z wnioskiem o udostępnienie danych, które pozwolą szybciej i sprawniej prowadzić czynności związane z prowadzonym postępowaniem.</w:t>
      </w:r>
      <w:r>
        <w:rPr>
          <w:rFonts w:ascii="Times New Roman" w:hAnsi="Times New Roman" w:cs="Times New Roman"/>
          <w:bCs/>
          <w:sz w:val="24"/>
          <w:szCs w:val="24"/>
        </w:rPr>
        <w:t xml:space="preserve"> </w:t>
      </w:r>
      <w:r w:rsidRPr="001345C5">
        <w:rPr>
          <w:rFonts w:ascii="Times New Roman" w:hAnsi="Times New Roman" w:cs="Times New Roman"/>
          <w:bCs/>
          <w:sz w:val="24"/>
          <w:szCs w:val="24"/>
        </w:rPr>
        <w:t xml:space="preserve">Jednocześnie </w:t>
      </w:r>
      <w:r>
        <w:rPr>
          <w:rFonts w:ascii="Times New Roman" w:hAnsi="Times New Roman" w:cs="Times New Roman"/>
          <w:bCs/>
          <w:sz w:val="24"/>
          <w:szCs w:val="24"/>
        </w:rPr>
        <w:t>przewidziano</w:t>
      </w:r>
      <w:r w:rsidRPr="001345C5">
        <w:rPr>
          <w:rFonts w:ascii="Times New Roman" w:hAnsi="Times New Roman" w:cs="Times New Roman"/>
          <w:bCs/>
          <w:sz w:val="24"/>
          <w:szCs w:val="24"/>
        </w:rPr>
        <w:t>, że to naczelnik urzędu skarbowego będzie udostępniał dane zarówno Straży Granicznej jak i sądom. Projektowana zmiana ma na celu poprawę</w:t>
      </w:r>
      <w:r>
        <w:rPr>
          <w:rFonts w:ascii="Times New Roman" w:hAnsi="Times New Roman" w:cs="Times New Roman"/>
          <w:bCs/>
          <w:sz w:val="24"/>
          <w:szCs w:val="24"/>
        </w:rPr>
        <w:t xml:space="preserve"> </w:t>
      </w:r>
      <w:r w:rsidRPr="001345C5">
        <w:rPr>
          <w:rFonts w:ascii="Times New Roman" w:hAnsi="Times New Roman" w:cs="Times New Roman"/>
          <w:bCs/>
          <w:sz w:val="24"/>
          <w:szCs w:val="24"/>
        </w:rPr>
        <w:t>jakości danych, które są udostępnianie uprawnionym podmiotom. Naczelnik urzędu skarbowego posiada aktualne informacje dot</w:t>
      </w:r>
      <w:r>
        <w:rPr>
          <w:rFonts w:ascii="Times New Roman" w:hAnsi="Times New Roman" w:cs="Times New Roman"/>
          <w:bCs/>
          <w:sz w:val="24"/>
          <w:szCs w:val="24"/>
        </w:rPr>
        <w:t>yczące</w:t>
      </w:r>
      <w:r w:rsidRPr="001345C5">
        <w:rPr>
          <w:rFonts w:ascii="Times New Roman" w:hAnsi="Times New Roman" w:cs="Times New Roman"/>
          <w:bCs/>
          <w:sz w:val="24"/>
          <w:szCs w:val="24"/>
        </w:rPr>
        <w:t xml:space="preserve"> danego podatnika, o którego danych udostępnienie wnioskuje uprawniony podmiot i jest w stanie zweryfikować czy dane podatnika zawarte w CRP KEP są aktualne na dany dzień (np. czy nie wpłynęło zeznanie podatkowe będące podstawą do aktualizacji danych adresowych).</w:t>
      </w:r>
      <w:r>
        <w:rPr>
          <w:rFonts w:ascii="Times New Roman" w:hAnsi="Times New Roman" w:cs="Times New Roman"/>
          <w:bCs/>
          <w:sz w:val="24"/>
          <w:szCs w:val="24"/>
        </w:rPr>
        <w:t xml:space="preserve"> </w:t>
      </w:r>
      <w:r w:rsidRPr="001345C5">
        <w:rPr>
          <w:rFonts w:ascii="Times New Roman" w:hAnsi="Times New Roman" w:cs="Times New Roman"/>
          <w:bCs/>
          <w:sz w:val="24"/>
          <w:szCs w:val="24"/>
        </w:rPr>
        <w:t xml:space="preserve">Ponadto do katalogu podmiotów, którym dane udostępniane są zarówno przez Szefa KAS jak i naczelnika urzędu skarbowego dodano Szefa Inspektoratu Wewnętrznego Służby Więziennej. Szef Inspektoratu </w:t>
      </w:r>
      <w:r>
        <w:rPr>
          <w:rFonts w:ascii="Times New Roman" w:hAnsi="Times New Roman" w:cs="Times New Roman"/>
          <w:bCs/>
          <w:sz w:val="24"/>
          <w:szCs w:val="24"/>
        </w:rPr>
        <w:t xml:space="preserve">Wewnętrznego </w:t>
      </w:r>
      <w:r w:rsidRPr="001345C5">
        <w:rPr>
          <w:rFonts w:ascii="Times New Roman" w:hAnsi="Times New Roman" w:cs="Times New Roman"/>
          <w:bCs/>
          <w:sz w:val="24"/>
          <w:szCs w:val="24"/>
        </w:rPr>
        <w:t xml:space="preserve">Służby Więziennej posiada uprawnienia do występowania o dane </w:t>
      </w:r>
      <w:r w:rsidRPr="001345C5">
        <w:rPr>
          <w:rFonts w:ascii="Times New Roman" w:hAnsi="Times New Roman" w:cs="Times New Roman"/>
          <w:bCs/>
          <w:sz w:val="24"/>
          <w:szCs w:val="24"/>
        </w:rPr>
        <w:lastRenderedPageBreak/>
        <w:t>zgromadzone w CRP KEP, jednakże przepisy nie wskazują wprost</w:t>
      </w:r>
      <w:r>
        <w:rPr>
          <w:rFonts w:ascii="Times New Roman" w:hAnsi="Times New Roman" w:cs="Times New Roman"/>
          <w:bCs/>
          <w:sz w:val="24"/>
          <w:szCs w:val="24"/>
        </w:rPr>
        <w:t>,</w:t>
      </w:r>
      <w:r w:rsidRPr="001345C5">
        <w:rPr>
          <w:rFonts w:ascii="Times New Roman" w:hAnsi="Times New Roman" w:cs="Times New Roman"/>
          <w:bCs/>
          <w:sz w:val="24"/>
          <w:szCs w:val="24"/>
        </w:rPr>
        <w:t xml:space="preserve"> który z tych organów udostępnia te dane w związku z czym projektowane przepisy przesądzają, że udostępnienie danych jest możliwe zarówno przez Szefa KAS jak i naczelnika urzędu skarbowego.</w:t>
      </w:r>
    </w:p>
    <w:p w14:paraId="4DC968A1" w14:textId="046034F6" w:rsidR="00C63C44" w:rsidRPr="00B473C5" w:rsidRDefault="00931C94" w:rsidP="00E4433E">
      <w:pPr>
        <w:spacing w:before="120" w:after="120" w:line="360" w:lineRule="auto"/>
        <w:jc w:val="both"/>
        <w:rPr>
          <w:rFonts w:ascii="Times New Roman" w:hAnsi="Times New Roman" w:cs="Times New Roman"/>
          <w:b/>
          <w:bCs/>
          <w:sz w:val="24"/>
          <w:szCs w:val="24"/>
        </w:rPr>
      </w:pPr>
      <w:r w:rsidRPr="00B473C5">
        <w:rPr>
          <w:rFonts w:ascii="Times New Roman" w:hAnsi="Times New Roman" w:cs="Times New Roman"/>
          <w:b/>
          <w:bCs/>
          <w:sz w:val="24"/>
          <w:szCs w:val="24"/>
        </w:rPr>
        <w:t xml:space="preserve">Art. </w:t>
      </w:r>
      <w:r w:rsidR="00BE4ADC">
        <w:rPr>
          <w:rFonts w:ascii="Times New Roman" w:hAnsi="Times New Roman" w:cs="Times New Roman"/>
          <w:b/>
          <w:bCs/>
          <w:sz w:val="24"/>
          <w:szCs w:val="24"/>
        </w:rPr>
        <w:t>4</w:t>
      </w:r>
      <w:r w:rsidRPr="00B473C5">
        <w:rPr>
          <w:rFonts w:ascii="Times New Roman" w:hAnsi="Times New Roman" w:cs="Times New Roman"/>
          <w:b/>
          <w:bCs/>
          <w:sz w:val="24"/>
          <w:szCs w:val="24"/>
        </w:rPr>
        <w:t xml:space="preserve">. </w:t>
      </w:r>
      <w:r w:rsidR="009F4511" w:rsidRPr="00B473C5">
        <w:rPr>
          <w:rFonts w:ascii="Times New Roman" w:hAnsi="Times New Roman" w:cs="Times New Roman"/>
          <w:b/>
          <w:bCs/>
          <w:sz w:val="24"/>
          <w:szCs w:val="24"/>
        </w:rPr>
        <w:t>Zmiany w ustawie – Prawo o ruchu drogowym</w:t>
      </w:r>
    </w:p>
    <w:p w14:paraId="3463C93A" w14:textId="58A5FA30" w:rsidR="009F4511" w:rsidRPr="006B2CD4" w:rsidRDefault="005B0436" w:rsidP="00B856D8">
      <w:pPr>
        <w:spacing w:after="0" w:line="360" w:lineRule="auto"/>
        <w:jc w:val="both"/>
        <w:rPr>
          <w:rFonts w:ascii="Times New Roman" w:hAnsi="Times New Roman" w:cs="Times New Roman"/>
          <w:bCs/>
          <w:sz w:val="24"/>
          <w:szCs w:val="24"/>
        </w:rPr>
      </w:pPr>
      <w:r w:rsidRPr="00B473C5">
        <w:rPr>
          <w:rFonts w:ascii="Times New Roman" w:hAnsi="Times New Roman" w:cs="Times New Roman"/>
          <w:bCs/>
          <w:sz w:val="24"/>
          <w:szCs w:val="24"/>
        </w:rPr>
        <w:t xml:space="preserve">Zmiana </w:t>
      </w:r>
      <w:r w:rsidR="001E24F4" w:rsidRPr="00B473C5">
        <w:rPr>
          <w:rFonts w:ascii="Times New Roman" w:hAnsi="Times New Roman" w:cs="Times New Roman"/>
          <w:bCs/>
          <w:sz w:val="24"/>
          <w:szCs w:val="24"/>
        </w:rPr>
        <w:t xml:space="preserve">art. 100ah w ust. 1 w pkt 21 w lit. c ustawy – Prawo o ruchu drogowym ma </w:t>
      </w:r>
      <w:r w:rsidRPr="00B473C5">
        <w:rPr>
          <w:rFonts w:ascii="Times New Roman" w:hAnsi="Times New Roman" w:cs="Times New Roman"/>
          <w:bCs/>
          <w:sz w:val="24"/>
          <w:szCs w:val="24"/>
        </w:rPr>
        <w:t xml:space="preserve">charakter wynikowy związany ze zmianą art. 41 </w:t>
      </w:r>
      <w:r w:rsidR="004B4A6D">
        <w:rPr>
          <w:rFonts w:ascii="Times New Roman" w:hAnsi="Times New Roman" w:cs="Times New Roman"/>
          <w:bCs/>
          <w:sz w:val="24"/>
          <w:szCs w:val="24"/>
        </w:rPr>
        <w:t>w ustawie</w:t>
      </w:r>
      <w:r w:rsidRPr="00B473C5">
        <w:rPr>
          <w:rFonts w:ascii="Times New Roman" w:hAnsi="Times New Roman" w:cs="Times New Roman"/>
          <w:bCs/>
          <w:sz w:val="24"/>
          <w:szCs w:val="24"/>
        </w:rPr>
        <w:t xml:space="preserve"> o działalności ubezpieczeniowej i reasekuracyjne</w:t>
      </w:r>
      <w:r w:rsidR="00B7503C" w:rsidRPr="00B473C5">
        <w:rPr>
          <w:rFonts w:ascii="Times New Roman" w:hAnsi="Times New Roman" w:cs="Times New Roman"/>
          <w:bCs/>
          <w:sz w:val="24"/>
          <w:szCs w:val="24"/>
        </w:rPr>
        <w:t>j</w:t>
      </w:r>
      <w:r w:rsidRPr="00B473C5">
        <w:rPr>
          <w:rFonts w:ascii="Times New Roman" w:hAnsi="Times New Roman" w:cs="Times New Roman"/>
          <w:bCs/>
          <w:sz w:val="24"/>
          <w:szCs w:val="24"/>
        </w:rPr>
        <w:t>, o której mowa w art. 23 projektu ustawy.</w:t>
      </w:r>
    </w:p>
    <w:p w14:paraId="35881C6C" w14:textId="18FFB9B4" w:rsidR="00E010B1" w:rsidRPr="006B2CD4" w:rsidRDefault="00931C94" w:rsidP="00B856D8">
      <w:pPr>
        <w:spacing w:before="120" w:after="120" w:line="360" w:lineRule="auto"/>
        <w:jc w:val="both"/>
        <w:rPr>
          <w:rFonts w:ascii="Times New Roman" w:hAnsi="Times New Roman" w:cs="Times New Roman"/>
          <w:b/>
          <w:bCs/>
          <w:sz w:val="24"/>
          <w:szCs w:val="24"/>
        </w:rPr>
      </w:pPr>
      <w:r w:rsidRPr="006B2CD4">
        <w:rPr>
          <w:rFonts w:ascii="Times New Roman" w:hAnsi="Times New Roman" w:cs="Times New Roman"/>
          <w:b/>
          <w:bCs/>
          <w:sz w:val="24"/>
          <w:szCs w:val="24"/>
        </w:rPr>
        <w:t xml:space="preserve">Art. </w:t>
      </w:r>
      <w:r w:rsidR="00BE4ADC">
        <w:rPr>
          <w:rFonts w:ascii="Times New Roman" w:hAnsi="Times New Roman" w:cs="Times New Roman"/>
          <w:b/>
          <w:bCs/>
          <w:sz w:val="24"/>
          <w:szCs w:val="24"/>
        </w:rPr>
        <w:t>5</w:t>
      </w:r>
      <w:r w:rsidRPr="006B2CD4">
        <w:rPr>
          <w:rFonts w:ascii="Times New Roman" w:hAnsi="Times New Roman" w:cs="Times New Roman"/>
          <w:b/>
          <w:bCs/>
          <w:sz w:val="24"/>
          <w:szCs w:val="24"/>
        </w:rPr>
        <w:t xml:space="preserve">. </w:t>
      </w:r>
      <w:r w:rsidR="00CA1A00" w:rsidRPr="006B2CD4">
        <w:rPr>
          <w:rFonts w:ascii="Times New Roman" w:hAnsi="Times New Roman" w:cs="Times New Roman"/>
          <w:b/>
          <w:bCs/>
          <w:sz w:val="24"/>
          <w:szCs w:val="24"/>
        </w:rPr>
        <w:t xml:space="preserve">Zmiany w ustawie </w:t>
      </w:r>
      <w:r w:rsidR="0057030D" w:rsidRPr="006B2CD4">
        <w:rPr>
          <w:rFonts w:ascii="Times New Roman" w:hAnsi="Times New Roman" w:cs="Times New Roman"/>
          <w:bCs/>
          <w:sz w:val="24"/>
          <w:szCs w:val="24"/>
        </w:rPr>
        <w:t xml:space="preserve">– </w:t>
      </w:r>
      <w:r w:rsidR="00CA1A00" w:rsidRPr="006B2CD4">
        <w:rPr>
          <w:rFonts w:ascii="Times New Roman" w:hAnsi="Times New Roman" w:cs="Times New Roman"/>
          <w:b/>
          <w:bCs/>
          <w:sz w:val="24"/>
          <w:szCs w:val="24"/>
        </w:rPr>
        <w:t xml:space="preserve">Prawo bankowe </w:t>
      </w:r>
    </w:p>
    <w:p w14:paraId="4695DD04" w14:textId="6FFBCED7" w:rsidR="00680CC0" w:rsidRPr="006B2CD4" w:rsidRDefault="00680CC0" w:rsidP="0099684B">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Zaproponowane zmiany w ustawie </w:t>
      </w:r>
      <w:r w:rsidR="0057030D" w:rsidRPr="006B2CD4">
        <w:rPr>
          <w:rFonts w:ascii="Times New Roman" w:hAnsi="Times New Roman" w:cs="Times New Roman"/>
          <w:bCs/>
          <w:sz w:val="24"/>
          <w:szCs w:val="24"/>
        </w:rPr>
        <w:t xml:space="preserve">– </w:t>
      </w:r>
      <w:r w:rsidRPr="006B2CD4">
        <w:rPr>
          <w:rFonts w:ascii="Times New Roman" w:hAnsi="Times New Roman" w:cs="Times New Roman"/>
          <w:sz w:val="24"/>
          <w:szCs w:val="24"/>
        </w:rPr>
        <w:t xml:space="preserve">Prawo bankowe mają na celu, m.in. dostosowanie obecnie obowiązujących regulacji do europejskich standardów wynikających z Wytycznych </w:t>
      </w:r>
      <w:r w:rsidRPr="006B2CD4">
        <w:rPr>
          <w:rFonts w:ascii="Times New Roman" w:hAnsi="Times New Roman" w:cs="Times New Roman"/>
          <w:color w:val="000000" w:themeColor="text1"/>
          <w:sz w:val="24"/>
          <w:szCs w:val="24"/>
        </w:rPr>
        <w:t>Europejskiego Nadzoru Bankowego w sprawie outsourcingu (sygn. EBA/GL/2019/02), dalej „Wytyczne EBA”</w:t>
      </w:r>
      <w:r w:rsidR="007A3E99">
        <w:rPr>
          <w:rFonts w:ascii="Times New Roman" w:hAnsi="Times New Roman" w:cs="Times New Roman"/>
          <w:color w:val="000000" w:themeColor="text1"/>
          <w:sz w:val="24"/>
          <w:szCs w:val="24"/>
        </w:rPr>
        <w:t>,</w:t>
      </w:r>
      <w:r w:rsidRPr="006B2CD4">
        <w:rPr>
          <w:rFonts w:ascii="Times New Roman" w:hAnsi="Times New Roman" w:cs="Times New Roman"/>
          <w:color w:val="000000" w:themeColor="text1"/>
          <w:sz w:val="24"/>
          <w:szCs w:val="24"/>
        </w:rPr>
        <w:t xml:space="preserve"> </w:t>
      </w:r>
      <w:r w:rsidRPr="006B2CD4">
        <w:rPr>
          <w:rFonts w:ascii="Times New Roman" w:hAnsi="Times New Roman" w:cs="Times New Roman"/>
          <w:sz w:val="24"/>
          <w:szCs w:val="24"/>
        </w:rPr>
        <w:t xml:space="preserve">oraz umożliwienie bardziej efektywnego oraz elastycznego korzystania przez banki z instytucji outsourcingu, wynikającego z wieloletnich doświadczeń sektora bankowego. Wprowadzenie tych zmian gwarantuje stabilne i bezpieczne funkcjonowanie banków, </w:t>
      </w:r>
      <w:r w:rsidR="007A3E99">
        <w:rPr>
          <w:rFonts w:ascii="Times New Roman" w:hAnsi="Times New Roman" w:cs="Times New Roman"/>
          <w:sz w:val="24"/>
          <w:szCs w:val="24"/>
        </w:rPr>
        <w:t xml:space="preserve">z uwzględnieniem </w:t>
      </w:r>
      <w:r w:rsidRPr="006B2CD4">
        <w:rPr>
          <w:rFonts w:ascii="Times New Roman" w:hAnsi="Times New Roman" w:cs="Times New Roman"/>
          <w:sz w:val="24"/>
          <w:szCs w:val="24"/>
        </w:rPr>
        <w:t>specyfik</w:t>
      </w:r>
      <w:r w:rsidR="007A3E99">
        <w:rPr>
          <w:rFonts w:ascii="Times New Roman" w:hAnsi="Times New Roman" w:cs="Times New Roman"/>
          <w:sz w:val="24"/>
          <w:szCs w:val="24"/>
        </w:rPr>
        <w:t>i</w:t>
      </w:r>
      <w:r w:rsidRPr="006B2CD4">
        <w:rPr>
          <w:rFonts w:ascii="Times New Roman" w:hAnsi="Times New Roman" w:cs="Times New Roman"/>
          <w:sz w:val="24"/>
          <w:szCs w:val="24"/>
        </w:rPr>
        <w:t xml:space="preserve"> funkcjonowania krajowego sektora bankowego, jak również </w:t>
      </w:r>
      <w:r w:rsidR="007A3E99" w:rsidRPr="006B2CD4">
        <w:rPr>
          <w:rFonts w:ascii="Times New Roman" w:hAnsi="Times New Roman" w:cs="Times New Roman"/>
          <w:sz w:val="24"/>
          <w:szCs w:val="24"/>
        </w:rPr>
        <w:t>zobowiązuj</w:t>
      </w:r>
      <w:r w:rsidR="007A3E99">
        <w:rPr>
          <w:rFonts w:ascii="Times New Roman" w:hAnsi="Times New Roman" w:cs="Times New Roman"/>
          <w:sz w:val="24"/>
          <w:szCs w:val="24"/>
        </w:rPr>
        <w:t>e</w:t>
      </w:r>
      <w:r w:rsidR="007A3E99" w:rsidRPr="006B2CD4">
        <w:rPr>
          <w:rFonts w:ascii="Times New Roman" w:hAnsi="Times New Roman" w:cs="Times New Roman"/>
          <w:sz w:val="24"/>
          <w:szCs w:val="24"/>
        </w:rPr>
        <w:t xml:space="preserve"> </w:t>
      </w:r>
      <w:r w:rsidRPr="006B2CD4">
        <w:rPr>
          <w:rFonts w:ascii="Times New Roman" w:hAnsi="Times New Roman" w:cs="Times New Roman"/>
          <w:sz w:val="24"/>
          <w:szCs w:val="24"/>
        </w:rPr>
        <w:t>do zachowania tajemnicy prawnie chronionej przy powierzaniu czynności outsourcowanych.</w:t>
      </w:r>
    </w:p>
    <w:p w14:paraId="5F6D8B99" w14:textId="2E9F1E8F" w:rsidR="00680CC0" w:rsidRPr="006B2CD4" w:rsidRDefault="00680CC0" w:rsidP="0099684B">
      <w:pPr>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lastRenderedPageBreak/>
        <w:t>Zmian</w:t>
      </w:r>
      <w:r w:rsidR="00776766" w:rsidRPr="006B2CD4">
        <w:rPr>
          <w:rFonts w:ascii="Times New Roman" w:hAnsi="Times New Roman" w:cs="Times New Roman"/>
          <w:bCs/>
          <w:sz w:val="24"/>
          <w:szCs w:val="24"/>
        </w:rPr>
        <w:t>a</w:t>
      </w:r>
      <w:r w:rsidRPr="006B2CD4">
        <w:rPr>
          <w:rFonts w:ascii="Times New Roman" w:hAnsi="Times New Roman" w:cs="Times New Roman"/>
          <w:bCs/>
          <w:sz w:val="24"/>
          <w:szCs w:val="24"/>
        </w:rPr>
        <w:t xml:space="preserve"> przewidzian</w:t>
      </w:r>
      <w:r w:rsidR="00776766" w:rsidRPr="006B2CD4">
        <w:rPr>
          <w:rFonts w:ascii="Times New Roman" w:hAnsi="Times New Roman" w:cs="Times New Roman"/>
          <w:bCs/>
          <w:sz w:val="24"/>
          <w:szCs w:val="24"/>
        </w:rPr>
        <w:t>a</w:t>
      </w:r>
      <w:r w:rsidRPr="006B2CD4">
        <w:rPr>
          <w:rFonts w:ascii="Times New Roman" w:hAnsi="Times New Roman" w:cs="Times New Roman"/>
          <w:bCs/>
          <w:sz w:val="24"/>
          <w:szCs w:val="24"/>
        </w:rPr>
        <w:t xml:space="preserve"> w art. 4 pkt 26 ustawy </w:t>
      </w:r>
      <w:r w:rsidR="0057030D" w:rsidRPr="006B2CD4">
        <w:rPr>
          <w:rFonts w:ascii="Times New Roman" w:hAnsi="Times New Roman" w:cs="Times New Roman"/>
          <w:bCs/>
          <w:sz w:val="24"/>
          <w:szCs w:val="24"/>
        </w:rPr>
        <w:t xml:space="preserve">– </w:t>
      </w:r>
      <w:r w:rsidR="00776766" w:rsidRPr="006B2CD4">
        <w:rPr>
          <w:rFonts w:ascii="Times New Roman" w:hAnsi="Times New Roman" w:cs="Times New Roman"/>
          <w:bCs/>
          <w:sz w:val="24"/>
          <w:szCs w:val="24"/>
        </w:rPr>
        <w:t>Prawo bankowe ma</w:t>
      </w:r>
      <w:r w:rsidRPr="006B2CD4">
        <w:rPr>
          <w:rFonts w:ascii="Times New Roman" w:hAnsi="Times New Roman" w:cs="Times New Roman"/>
          <w:bCs/>
          <w:sz w:val="24"/>
          <w:szCs w:val="24"/>
        </w:rPr>
        <w:t xml:space="preserve"> charakter redakcyjny i wynika ze zmiany terminologii dotyczącej funduszy sekurytyzacyjnych proponowan</w:t>
      </w:r>
      <w:r w:rsidR="00776766" w:rsidRPr="006B2CD4">
        <w:rPr>
          <w:rFonts w:ascii="Times New Roman" w:hAnsi="Times New Roman" w:cs="Times New Roman"/>
          <w:bCs/>
          <w:sz w:val="24"/>
          <w:szCs w:val="24"/>
        </w:rPr>
        <w:t>ej</w:t>
      </w:r>
      <w:r w:rsidRPr="006B2CD4">
        <w:rPr>
          <w:rFonts w:ascii="Times New Roman" w:hAnsi="Times New Roman" w:cs="Times New Roman"/>
          <w:bCs/>
          <w:sz w:val="24"/>
          <w:szCs w:val="24"/>
        </w:rPr>
        <w:t xml:space="preserve"> w ustawie o funduszach inwestycyjnych, do której odwołuje się ustawa </w:t>
      </w:r>
      <w:r w:rsidR="0057030D" w:rsidRPr="006B2CD4">
        <w:rPr>
          <w:rFonts w:ascii="Times New Roman" w:hAnsi="Times New Roman" w:cs="Times New Roman"/>
          <w:bCs/>
          <w:sz w:val="24"/>
          <w:szCs w:val="24"/>
        </w:rPr>
        <w:t xml:space="preserve">– </w:t>
      </w:r>
      <w:r w:rsidRPr="006B2CD4">
        <w:rPr>
          <w:rFonts w:ascii="Times New Roman" w:hAnsi="Times New Roman" w:cs="Times New Roman"/>
          <w:bCs/>
          <w:sz w:val="24"/>
          <w:szCs w:val="24"/>
        </w:rPr>
        <w:t>Prawo bankowe</w:t>
      </w:r>
      <w:r w:rsidR="00545A28">
        <w:rPr>
          <w:rFonts w:ascii="Times New Roman" w:hAnsi="Times New Roman" w:cs="Times New Roman"/>
          <w:bCs/>
          <w:sz w:val="24"/>
          <w:szCs w:val="24"/>
        </w:rPr>
        <w:t>.</w:t>
      </w:r>
    </w:p>
    <w:p w14:paraId="41EE4510" w14:textId="58DC45C2" w:rsidR="006F0CB9" w:rsidRPr="006B2CD4" w:rsidRDefault="006F0CB9" w:rsidP="0099684B">
      <w:pPr>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Zmiany wprowadzane w art. 4 pkt 33a</w:t>
      </w:r>
      <w:r w:rsidR="0012458E" w:rsidRPr="006B2CD4">
        <w:rPr>
          <w:rFonts w:ascii="Times New Roman" w:eastAsia="Calibri" w:hAnsi="Times New Roman" w:cs="Times New Roman"/>
          <w:sz w:val="24"/>
          <w:szCs w:val="24"/>
        </w:rPr>
        <w:t>–</w:t>
      </w:r>
      <w:r w:rsidRPr="006B2CD4">
        <w:rPr>
          <w:rFonts w:ascii="Times New Roman" w:hAnsi="Times New Roman" w:cs="Times New Roman"/>
          <w:bCs/>
          <w:sz w:val="24"/>
          <w:szCs w:val="24"/>
        </w:rPr>
        <w:t>33c, art. 128</w:t>
      </w:r>
      <w:r w:rsidR="00283489">
        <w:rPr>
          <w:rFonts w:ascii="Times New Roman" w:hAnsi="Times New Roman" w:cs="Times New Roman"/>
          <w:bCs/>
          <w:sz w:val="24"/>
          <w:szCs w:val="24"/>
        </w:rPr>
        <w:t>ca</w:t>
      </w:r>
      <w:r w:rsidRPr="006B2CD4">
        <w:rPr>
          <w:rFonts w:ascii="Times New Roman" w:hAnsi="Times New Roman" w:cs="Times New Roman"/>
          <w:bCs/>
          <w:sz w:val="24"/>
          <w:szCs w:val="24"/>
        </w:rPr>
        <w:t xml:space="preserve"> oraz 138 ust. 1 pkt 11</w:t>
      </w:r>
      <w:r w:rsidR="0012458E" w:rsidRPr="006B2CD4">
        <w:rPr>
          <w:rFonts w:ascii="Times New Roman" w:eastAsia="Calibri" w:hAnsi="Times New Roman" w:cs="Times New Roman"/>
          <w:sz w:val="24"/>
          <w:szCs w:val="24"/>
        </w:rPr>
        <w:t>–</w:t>
      </w:r>
      <w:r w:rsidRPr="006B2CD4">
        <w:rPr>
          <w:rFonts w:ascii="Times New Roman" w:hAnsi="Times New Roman" w:cs="Times New Roman"/>
          <w:bCs/>
          <w:sz w:val="24"/>
          <w:szCs w:val="24"/>
        </w:rPr>
        <w:t>12 dotyczą metod wewnętrznych. W zakresie odnos</w:t>
      </w:r>
      <w:r w:rsidR="001B3CF9">
        <w:rPr>
          <w:rFonts w:ascii="Times New Roman" w:hAnsi="Times New Roman" w:cs="Times New Roman"/>
          <w:bCs/>
          <w:sz w:val="24"/>
          <w:szCs w:val="24"/>
        </w:rPr>
        <w:t>zącym się do metod wewnętrznych</w:t>
      </w:r>
      <w:r w:rsidRPr="006B2CD4">
        <w:rPr>
          <w:rFonts w:ascii="Times New Roman" w:hAnsi="Times New Roman" w:cs="Times New Roman"/>
          <w:bCs/>
          <w:sz w:val="24"/>
          <w:szCs w:val="24"/>
        </w:rPr>
        <w:t xml:space="preserve"> art. 20 ust. 1 lit. a Rozporządzenia Parlamentu Europejskiego i Rady (UE) nr 575/2013 z dnia 26 czerwca 2013 r. w sprawie wymogów ostrożnościowych dla instytucji kredytowych i firm inwestycyjnych, zmieniające</w:t>
      </w:r>
      <w:r w:rsidR="007A3E99">
        <w:rPr>
          <w:rFonts w:ascii="Times New Roman" w:hAnsi="Times New Roman" w:cs="Times New Roman"/>
          <w:bCs/>
          <w:sz w:val="24"/>
          <w:szCs w:val="24"/>
        </w:rPr>
        <w:t>go</w:t>
      </w:r>
      <w:r w:rsidRPr="006B2CD4">
        <w:rPr>
          <w:rFonts w:ascii="Times New Roman" w:hAnsi="Times New Roman" w:cs="Times New Roman"/>
          <w:bCs/>
          <w:sz w:val="24"/>
          <w:szCs w:val="24"/>
        </w:rPr>
        <w:t xml:space="preserve"> rozporządzenie (UE) nr 648/2012 (Dz. Urz. UE L 176 z 27.06.2013, str. 1</w:t>
      </w:r>
      <w:r w:rsidR="007E2E25" w:rsidRPr="006B2CD4">
        <w:rPr>
          <w:rFonts w:ascii="Times New Roman" w:hAnsi="Times New Roman" w:cs="Times New Roman"/>
          <w:bCs/>
          <w:sz w:val="24"/>
          <w:szCs w:val="24"/>
        </w:rPr>
        <w:t>, z późn. zm.</w:t>
      </w:r>
      <w:r w:rsidRPr="006B2CD4">
        <w:rPr>
          <w:rFonts w:ascii="Times New Roman" w:hAnsi="Times New Roman" w:cs="Times New Roman"/>
          <w:bCs/>
          <w:sz w:val="24"/>
          <w:szCs w:val="24"/>
        </w:rPr>
        <w:t>), zwanego dalej „rozp</w:t>
      </w:r>
      <w:r w:rsidR="001B3CF9">
        <w:rPr>
          <w:rFonts w:ascii="Times New Roman" w:hAnsi="Times New Roman" w:cs="Times New Roman"/>
          <w:bCs/>
          <w:sz w:val="24"/>
          <w:szCs w:val="24"/>
        </w:rPr>
        <w:t>orządzeniem 575/2013”, wskazuje,</w:t>
      </w:r>
      <w:r w:rsidRPr="006B2CD4">
        <w:rPr>
          <w:rFonts w:ascii="Times New Roman" w:hAnsi="Times New Roman" w:cs="Times New Roman"/>
          <w:bCs/>
          <w:sz w:val="24"/>
          <w:szCs w:val="24"/>
        </w:rPr>
        <w:t xml:space="preserve"> że „właściwe organy współpracują ze sobą, w pełnym porozumieniu w przypadku wniosków o zezwolenia, o których mowa w art. 143 ust. 1, art. 151 ust. 4 i 9, art. 283, art. 312 ust. 2 oraz art. 363, przedłożonych […] w celu podjęcia decyzji o udzieleniu zezwolenia oraz określenia ewentualnych warunków udzielenia takiego zezwolenia.”. Art. 20 ust. 8 rozporządzenia 575/2013 wskazuje natomiast, że Europejski Urząd Nadzoru Bankowego opracowuje projekty wykonawcze standardów technicznych w celu określenia procedury wspólnego podejmowania decyzji, o której mowa powyżej, w odniesieniu do wniosków o udzielenie zezwoleń, o których mowa w art. 143 ust. 1, art. 151 ust. 4 i 9, art. 283, art. 312 ust. 2 i art. 363, w celu usprawnienia procesu wspólnego podejmowania decyzji. Rozporządzenie 2016/100 stanowi materializację delegacji zawartej w art. 20 ust. 8 rozporządzenia 575/2013. Wskazane przepisy art. 143 ust. 1, art. 151 ust. 4 i 9, art. 283, </w:t>
      </w:r>
      <w:r w:rsidRPr="006B2CD4">
        <w:rPr>
          <w:rFonts w:ascii="Times New Roman" w:hAnsi="Times New Roman" w:cs="Times New Roman"/>
          <w:bCs/>
          <w:sz w:val="24"/>
          <w:szCs w:val="24"/>
        </w:rPr>
        <w:lastRenderedPageBreak/>
        <w:t>art. 312 ust. 2 i art. 363 rozporządzenia 575/2013 (do których odwołuje się także rozporządzenie 2016/100) wskazują na wymóg uzyskania zgody właściwego organu na stosowanie metod wewnętrznych. Trzeba zauważyć, że rozporządzenie 2016/100 nie znajdzie zastosowania do decyzji wydawanych wyłącznie przez KNF, bez udziału innych organów nadzoru, czyli poza trybem kolegium organów nadzoru (opisanym w rozporządzeniu 2016/100). W tym przypadku nie jest podejmowana wspólna decyzja, o której mowa w rozporządzeniu 2016/100. W rozporządzeniu 2016/100 wskazuje się na możliwość zawierania w decyzji warunków. Art. 7 ust. 3 lit</w:t>
      </w:r>
      <w:r w:rsidR="00897652">
        <w:rPr>
          <w:rFonts w:ascii="Times New Roman" w:hAnsi="Times New Roman" w:cs="Times New Roman"/>
          <w:bCs/>
          <w:sz w:val="24"/>
          <w:szCs w:val="24"/>
        </w:rPr>
        <w:t>.</w:t>
      </w:r>
      <w:r w:rsidRPr="006B2CD4">
        <w:rPr>
          <w:rFonts w:ascii="Times New Roman" w:hAnsi="Times New Roman" w:cs="Times New Roman"/>
          <w:bCs/>
          <w:sz w:val="24"/>
          <w:szCs w:val="24"/>
        </w:rPr>
        <w:t xml:space="preserve"> i ww. rozporządzenia wskazuje, że „[…] W projekcie wspólnej decyzji podaje się […] wszelkie warunki, które mają być spełnione przez wnioskodawcę, w tym odpowiednie uzasadnienie, przed zastosowaniem zezwolenia, o którym mowa w art. 143 ust. 1, art. 151 ust. 4 i 9, art. 283, art. 312 ust. 2 lub art. 363 rozporządzenia (UE) nr 575/2013”. Terminy w rozumieniu polskiego prawa administracyjnego przewiduje z kolei art. 7 ust. 3 lit. k i l rozporządzenia 2016/100: „[…] W projekcie wspólnej decyzji podaje się […] harmonogram spełniania warunków, […] lub zaleceń” oraz „[…] harmonogram wdrażania projektu wspólnej decyzji w odniesieniu do odpowiednich zezwoleń krajowych”. Zalecenia pojawiają się natomiast w art. 7 ust. 3 lit</w:t>
      </w:r>
      <w:r w:rsidR="007A3E99">
        <w:rPr>
          <w:rFonts w:ascii="Times New Roman" w:hAnsi="Times New Roman" w:cs="Times New Roman"/>
          <w:bCs/>
          <w:sz w:val="24"/>
          <w:szCs w:val="24"/>
        </w:rPr>
        <w:t>.</w:t>
      </w:r>
      <w:r w:rsidRPr="006B2CD4">
        <w:rPr>
          <w:rFonts w:ascii="Times New Roman" w:hAnsi="Times New Roman" w:cs="Times New Roman"/>
          <w:bCs/>
          <w:sz w:val="24"/>
          <w:szCs w:val="24"/>
        </w:rPr>
        <w:t xml:space="preserve"> h rozporządzenia 2016/100: „[…] W projekcie wspólnej decyzji podaje się […] zalecenia dotyczące zaradzenia uchybieniom stwierdzonym podczas oceny wniosku i podejmowania wspólnej decyzji w sprawie wniosku”. Jak wynika z powyższego, uznać należy, że decyzje wydawane w trybie decyzji wspólnych na podstawie rozporządzenia 2016/100, mogą (a w określonych przypadkach muszą) zawierać warunki, terminy (harmonogram) oraz zalecenia. </w:t>
      </w:r>
      <w:r w:rsidRPr="006B2CD4">
        <w:rPr>
          <w:rFonts w:ascii="Times New Roman" w:hAnsi="Times New Roman" w:cs="Times New Roman"/>
          <w:bCs/>
          <w:sz w:val="24"/>
          <w:szCs w:val="24"/>
        </w:rPr>
        <w:lastRenderedPageBreak/>
        <w:t xml:space="preserve">Przepisy wskazujące na uprawnienia KNF w zakresie wydawania decyzji, o których mowa w art. 143 ust. 1, art. 151 ust. 4 i 9, art. 283, art. 312 ust. 2 i art. 363 rozporządzenia 575/2013 nie zawierają analogicznego uregulowania jak te zawarte w rozporządzenia 2016/100. Tym samym zasadnym jest uznanie, że skoro rozporządzenie 575/2013 i ustawa </w:t>
      </w:r>
      <w:r w:rsidR="0057030D" w:rsidRPr="006B2CD4">
        <w:rPr>
          <w:rFonts w:ascii="Times New Roman" w:hAnsi="Times New Roman" w:cs="Times New Roman"/>
          <w:bCs/>
          <w:sz w:val="24"/>
          <w:szCs w:val="24"/>
        </w:rPr>
        <w:t>–</w:t>
      </w:r>
      <w:r w:rsidRPr="006B2CD4">
        <w:rPr>
          <w:rFonts w:ascii="Times New Roman" w:hAnsi="Times New Roman" w:cs="Times New Roman"/>
          <w:bCs/>
          <w:sz w:val="24"/>
          <w:szCs w:val="24"/>
        </w:rPr>
        <w:t xml:space="preserve"> Prawo bankowe nie wskazuj</w:t>
      </w:r>
      <w:r w:rsidR="007A3E99">
        <w:rPr>
          <w:rFonts w:ascii="Times New Roman" w:hAnsi="Times New Roman" w:cs="Times New Roman"/>
          <w:bCs/>
          <w:sz w:val="24"/>
          <w:szCs w:val="24"/>
        </w:rPr>
        <w:t>ą</w:t>
      </w:r>
      <w:r w:rsidRPr="006B2CD4">
        <w:rPr>
          <w:rFonts w:ascii="Times New Roman" w:hAnsi="Times New Roman" w:cs="Times New Roman"/>
          <w:bCs/>
          <w:sz w:val="24"/>
          <w:szCs w:val="24"/>
        </w:rPr>
        <w:t xml:space="preserve"> elementów decyzji w opisanym zakresie to zastosowanie powinny znaleźć ogólne przepisy ustawy z dnia 14 czerwca 1960 r. Kodeks postępowania administracyjnego (Dz. U. z </w:t>
      </w:r>
      <w:r w:rsidR="007326BF" w:rsidRPr="006B2CD4">
        <w:rPr>
          <w:rFonts w:ascii="Times New Roman" w:hAnsi="Times New Roman" w:cs="Times New Roman"/>
          <w:bCs/>
          <w:sz w:val="24"/>
          <w:szCs w:val="24"/>
        </w:rPr>
        <w:t>202</w:t>
      </w:r>
      <w:r w:rsidR="007326BF">
        <w:rPr>
          <w:rFonts w:ascii="Times New Roman" w:hAnsi="Times New Roman" w:cs="Times New Roman"/>
          <w:bCs/>
          <w:sz w:val="24"/>
          <w:szCs w:val="24"/>
        </w:rPr>
        <w:t>3</w:t>
      </w:r>
      <w:r w:rsidR="007326BF" w:rsidRPr="006B2CD4">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r. poz. </w:t>
      </w:r>
      <w:r w:rsidR="007326BF">
        <w:rPr>
          <w:rFonts w:ascii="Times New Roman" w:hAnsi="Times New Roman" w:cs="Times New Roman"/>
          <w:bCs/>
          <w:sz w:val="24"/>
          <w:szCs w:val="24"/>
        </w:rPr>
        <w:t>775</w:t>
      </w:r>
      <w:r w:rsidR="00E87427" w:rsidRPr="006B2CD4">
        <w:rPr>
          <w:rFonts w:ascii="Times New Roman" w:hAnsi="Times New Roman" w:cs="Times New Roman"/>
          <w:bCs/>
          <w:sz w:val="24"/>
          <w:szCs w:val="24"/>
        </w:rPr>
        <w:t xml:space="preserve">, z późn. zm.), zwany dalej </w:t>
      </w:r>
      <w:r w:rsidRPr="006B2CD4">
        <w:rPr>
          <w:rFonts w:ascii="Times New Roman" w:hAnsi="Times New Roman" w:cs="Times New Roman"/>
          <w:bCs/>
          <w:sz w:val="24"/>
          <w:szCs w:val="24"/>
        </w:rPr>
        <w:t>„k</w:t>
      </w:r>
      <w:r w:rsidR="00E87427" w:rsidRPr="006B2CD4">
        <w:rPr>
          <w:rFonts w:ascii="Times New Roman" w:hAnsi="Times New Roman" w:cs="Times New Roman"/>
          <w:bCs/>
          <w:sz w:val="24"/>
          <w:szCs w:val="24"/>
        </w:rPr>
        <w:t>.</w:t>
      </w:r>
      <w:r w:rsidRPr="006B2CD4">
        <w:rPr>
          <w:rFonts w:ascii="Times New Roman" w:hAnsi="Times New Roman" w:cs="Times New Roman"/>
          <w:bCs/>
          <w:sz w:val="24"/>
          <w:szCs w:val="24"/>
        </w:rPr>
        <w:t>p</w:t>
      </w:r>
      <w:r w:rsidR="00E87427" w:rsidRPr="006B2CD4">
        <w:rPr>
          <w:rFonts w:ascii="Times New Roman" w:hAnsi="Times New Roman" w:cs="Times New Roman"/>
          <w:bCs/>
          <w:sz w:val="24"/>
          <w:szCs w:val="24"/>
        </w:rPr>
        <w:t>.</w:t>
      </w:r>
      <w:r w:rsidRPr="006B2CD4">
        <w:rPr>
          <w:rFonts w:ascii="Times New Roman" w:hAnsi="Times New Roman" w:cs="Times New Roman"/>
          <w:bCs/>
          <w:sz w:val="24"/>
          <w:szCs w:val="24"/>
        </w:rPr>
        <w:t>a</w:t>
      </w:r>
      <w:r w:rsidR="00E87427" w:rsidRPr="006B2CD4">
        <w:rPr>
          <w:rFonts w:ascii="Times New Roman" w:hAnsi="Times New Roman" w:cs="Times New Roman"/>
          <w:bCs/>
          <w:sz w:val="24"/>
          <w:szCs w:val="24"/>
        </w:rPr>
        <w:t>.</w:t>
      </w:r>
      <w:r w:rsidRPr="006B2CD4">
        <w:rPr>
          <w:rFonts w:ascii="Times New Roman" w:hAnsi="Times New Roman" w:cs="Times New Roman"/>
          <w:bCs/>
          <w:sz w:val="24"/>
          <w:szCs w:val="24"/>
        </w:rPr>
        <w:t>”, wskazujące na elementy składowe decyzji. Wobec braku warunku, terminu i zalecenia w opisie elementów składowych decyzji (art. 107 § 1 k</w:t>
      </w:r>
      <w:r w:rsidR="00E87427" w:rsidRPr="006B2CD4">
        <w:rPr>
          <w:rFonts w:ascii="Times New Roman" w:hAnsi="Times New Roman" w:cs="Times New Roman"/>
          <w:bCs/>
          <w:sz w:val="24"/>
          <w:szCs w:val="24"/>
        </w:rPr>
        <w:t>.</w:t>
      </w:r>
      <w:r w:rsidRPr="006B2CD4">
        <w:rPr>
          <w:rFonts w:ascii="Times New Roman" w:hAnsi="Times New Roman" w:cs="Times New Roman"/>
          <w:bCs/>
          <w:sz w:val="24"/>
          <w:szCs w:val="24"/>
        </w:rPr>
        <w:t>p</w:t>
      </w:r>
      <w:r w:rsidR="00E87427" w:rsidRPr="006B2CD4">
        <w:rPr>
          <w:rFonts w:ascii="Times New Roman" w:hAnsi="Times New Roman" w:cs="Times New Roman"/>
          <w:bCs/>
          <w:sz w:val="24"/>
          <w:szCs w:val="24"/>
        </w:rPr>
        <w:t>.</w:t>
      </w:r>
      <w:r w:rsidRPr="006B2CD4">
        <w:rPr>
          <w:rFonts w:ascii="Times New Roman" w:hAnsi="Times New Roman" w:cs="Times New Roman"/>
          <w:bCs/>
          <w:sz w:val="24"/>
          <w:szCs w:val="24"/>
        </w:rPr>
        <w:t>a</w:t>
      </w:r>
      <w:r w:rsidR="00E87427" w:rsidRPr="006B2CD4">
        <w:rPr>
          <w:rFonts w:ascii="Times New Roman" w:hAnsi="Times New Roman" w:cs="Times New Roman"/>
          <w:bCs/>
          <w:sz w:val="24"/>
          <w:szCs w:val="24"/>
        </w:rPr>
        <w:t>.</w:t>
      </w:r>
      <w:r w:rsidRPr="006B2CD4">
        <w:rPr>
          <w:rFonts w:ascii="Times New Roman" w:hAnsi="Times New Roman" w:cs="Times New Roman"/>
          <w:bCs/>
          <w:sz w:val="24"/>
          <w:szCs w:val="24"/>
        </w:rPr>
        <w:t xml:space="preserve">) szczególnego znaczenia nabiera § 2 tego przepisu, zgodnie z którym „przepisy szczególne mogą określać także inne składniki, które powinna zawierać decyzja.”. Jak się bowiem przyjmuje przepis ten, dopuszczając możliwość dodania dodatkowych składników do wskazanych wcześniej elementów decyzji administracyjnej, nie stanowi samoistnej podstawy prawnej tych dodatkowych składników. Obowiązek lub możliwość dodania do decyzji dodatkowych składników wynikać musi z przepisów odrębnych. Zatem wobec braku przepisów szczególnych wskazujących, że przedmiotowe decyzje mogą zawierać warunki, termin i zalecenia, uznać należy, że w obecnym stanie prawnym w postępowaniach prowadzonych bez udziału innych organów nadzoru brak jest możliwości wydania decyzji w sprawie zezwolenia na stosowanie metod wewnętrznych z zastrzeżeniem warunku, terminu oraz wydania zalecenia dotyczącego stosowania metod wewnętrznych oraz znacznych rozszerzeń i zmian. W tym stanie rzeczy </w:t>
      </w:r>
      <w:r w:rsidR="007A3E99">
        <w:rPr>
          <w:rFonts w:ascii="Times New Roman" w:hAnsi="Times New Roman" w:cs="Times New Roman"/>
          <w:bCs/>
          <w:sz w:val="24"/>
          <w:szCs w:val="24"/>
        </w:rPr>
        <w:t>na wniosek</w:t>
      </w:r>
      <w:r w:rsidR="007C389F">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UKNF </w:t>
      </w:r>
      <w:r w:rsidR="007A3E99">
        <w:rPr>
          <w:rFonts w:ascii="Times New Roman" w:hAnsi="Times New Roman" w:cs="Times New Roman"/>
          <w:bCs/>
          <w:sz w:val="24"/>
          <w:szCs w:val="24"/>
        </w:rPr>
        <w:t xml:space="preserve">uznano za </w:t>
      </w:r>
      <w:r w:rsidRPr="006B2CD4">
        <w:rPr>
          <w:rFonts w:ascii="Times New Roman" w:hAnsi="Times New Roman" w:cs="Times New Roman"/>
          <w:bCs/>
          <w:sz w:val="24"/>
          <w:szCs w:val="24"/>
        </w:rPr>
        <w:t>zasadn</w:t>
      </w:r>
      <w:r w:rsidR="007A3E99">
        <w:rPr>
          <w:rFonts w:ascii="Times New Roman" w:hAnsi="Times New Roman" w:cs="Times New Roman"/>
          <w:bCs/>
          <w:sz w:val="24"/>
          <w:szCs w:val="24"/>
        </w:rPr>
        <w:t>e</w:t>
      </w:r>
      <w:r w:rsidRPr="006B2CD4">
        <w:rPr>
          <w:rFonts w:ascii="Times New Roman" w:hAnsi="Times New Roman" w:cs="Times New Roman"/>
          <w:bCs/>
          <w:sz w:val="24"/>
          <w:szCs w:val="24"/>
        </w:rPr>
        <w:t xml:space="preserve"> uzupełnienie regulacji o możliwość zawarcia </w:t>
      </w:r>
      <w:r w:rsidRPr="006B2CD4">
        <w:rPr>
          <w:rFonts w:ascii="Times New Roman" w:hAnsi="Times New Roman" w:cs="Times New Roman"/>
          <w:bCs/>
          <w:sz w:val="24"/>
          <w:szCs w:val="24"/>
        </w:rPr>
        <w:lastRenderedPageBreak/>
        <w:t xml:space="preserve">w decyzjach wydawanych przez UKNF warunku, terminu oraz zalecenia. Taka zamiana ma głównie na celu wprowadzenie jednakowej sytuacji prawnej podmiotów ubiegających się o zezwolenie na stosowanie metod wewnętrznych w trybie decyzji wspólnych oraz poza nim. Taka zmiana ma także uzasadnienie faktyczne. Aby otrzymać zezwolenie, bank spełnić musi szereg przesłanek, zarówno w przypadku stosowania metody w wymiarze indywidualnym, jak i skonsolidowanym przez podmioty działające w jednym kraju, czy w wielu krajach (decyzja grupowa wydawana przez jeden organ nadzoru albo wspólna decyzja kolegium nadzorów). Do wniosku bank załącza szeroki zakres dokumentacji. Bank obowiązuje też wymóg kilkuletniego okresu stosowania danego rozwiązania na wewnętrzne potrzeby banku przed możliwością ubiegania się o zezwolenie organu na potrzeby regulacyjne. Możliwość zastosowania warunku, zalecenia czy terminu jest w takiej sytuacji korzystna dla strony postępowania, ponieważ pozwala organowi wydać decyzję zgodną z wolą strony, mimo wykrycia w trakcie postępowania nieznacznych niedociągnięć (zalecenie), czy braków, które mogą być w przewidywanym czasie usunięte (warunek i termin). Bez tej możliwości organ zmuszony byłby, mimo dołożenia przez stronę wielu kosztownych i czasochłonnych starań oraz spełnienia szeregu przesłanek wydać decyzję negatywną, jeżeli nie byłyby spełnione dokładnie wszystkie wymogi. Ponowne ubieganie się strony o zgodę na stosowanie danej metody poprzedzone byłoby kolejną, pełną analizą spełnienia wszystkich przesłanek, co byłoby zarówno czasochłonne, jak i kosztowne dla podmiotów nadzorowanych oraz organu nadzoru. Propozycja w zakresie zmiany definicji metod wewnętrznych ma na celu uzupełnienie definicji o brakujące odwołanie do art. 151 ust. </w:t>
      </w:r>
      <w:r w:rsidRPr="006B2CD4">
        <w:rPr>
          <w:rFonts w:ascii="Times New Roman" w:hAnsi="Times New Roman" w:cs="Times New Roman"/>
          <w:bCs/>
          <w:sz w:val="24"/>
          <w:szCs w:val="24"/>
        </w:rPr>
        <w:lastRenderedPageBreak/>
        <w:t>4 i 9 rozporządzenia 575/2013. Dodanie nowych definicji (propozycja nowego pkt 33b i 33c w art. 4 ust. 1) jest zabiegiem czysto legislacyjnym. Zaproponowany art. 128</w:t>
      </w:r>
      <w:r w:rsidR="005D78BC">
        <w:rPr>
          <w:rFonts w:ascii="Times New Roman" w:hAnsi="Times New Roman" w:cs="Times New Roman"/>
          <w:bCs/>
          <w:sz w:val="24"/>
          <w:szCs w:val="24"/>
        </w:rPr>
        <w:t>ca</w:t>
      </w:r>
      <w:r w:rsidRPr="006B2CD4">
        <w:rPr>
          <w:rFonts w:ascii="Times New Roman" w:hAnsi="Times New Roman" w:cs="Times New Roman"/>
          <w:bCs/>
          <w:sz w:val="24"/>
          <w:szCs w:val="24"/>
        </w:rPr>
        <w:t xml:space="preserve"> ust. 2 w swoim brzmieniu odpowiada regulacjom rozporządzenia Ministra Finansów z </w:t>
      </w:r>
      <w:r w:rsidR="001B3CF9">
        <w:rPr>
          <w:rFonts w:ascii="Times New Roman" w:hAnsi="Times New Roman" w:cs="Times New Roman"/>
          <w:bCs/>
          <w:sz w:val="24"/>
          <w:szCs w:val="24"/>
        </w:rPr>
        <w:t xml:space="preserve">dnia </w:t>
      </w:r>
      <w:r w:rsidRPr="006B2CD4">
        <w:rPr>
          <w:rFonts w:ascii="Times New Roman" w:hAnsi="Times New Roman" w:cs="Times New Roman"/>
          <w:bCs/>
          <w:sz w:val="24"/>
          <w:szCs w:val="24"/>
        </w:rPr>
        <w:t xml:space="preserve">9 czerwca 2021 r. w sprawie zasad tworzenia rezerw na ryzyko związane z działalnością banków (Dz. U. poz. 1238). Przepisy § 2 ust. 5 i § 3 ust. 3 </w:t>
      </w:r>
      <w:r w:rsidR="001B3CF9">
        <w:rPr>
          <w:rFonts w:ascii="Times New Roman" w:hAnsi="Times New Roman" w:cs="Times New Roman"/>
          <w:bCs/>
          <w:sz w:val="24"/>
          <w:szCs w:val="24"/>
        </w:rPr>
        <w:t xml:space="preserve">tego </w:t>
      </w:r>
      <w:r w:rsidRPr="006B2CD4">
        <w:rPr>
          <w:rFonts w:ascii="Times New Roman" w:hAnsi="Times New Roman" w:cs="Times New Roman"/>
          <w:bCs/>
          <w:sz w:val="24"/>
          <w:szCs w:val="24"/>
        </w:rPr>
        <w:t>rozporządzenia stanowią dla KNF normy kompetencyjne do wydania zezwolenia na inną klasyfikację ekspozycji kredytowych, w szczególności na podstawie wewnętrznych systemów ratingów i metod szacowania oczekiwanych strat (§ 2 ust. 5) oraz zezwolenia na utworzenie rezerw celowych oraz odpisów aktualizujących należności związanych z ekspozycjami kredytowymi (§ 3 ust. 3). Obecnie brakuje podstawy ustawowej do wydawania takich zezwoleń. W zakresie odnoszącym się do wydawania zezwoleń KNF, o których mowa w art. 128</w:t>
      </w:r>
      <w:r w:rsidR="005D78BC">
        <w:rPr>
          <w:rFonts w:ascii="Times New Roman" w:hAnsi="Times New Roman" w:cs="Times New Roman"/>
          <w:bCs/>
          <w:sz w:val="24"/>
          <w:szCs w:val="24"/>
        </w:rPr>
        <w:t>ca</w:t>
      </w:r>
      <w:r w:rsidRPr="006B2CD4">
        <w:rPr>
          <w:rFonts w:ascii="Times New Roman" w:hAnsi="Times New Roman" w:cs="Times New Roman"/>
          <w:bCs/>
          <w:sz w:val="24"/>
          <w:szCs w:val="24"/>
        </w:rPr>
        <w:t xml:space="preserve"> ust. 2 propozycji, z uwagi na podobną, jak uwarunkowania wskazane w uzasadnieniu do propozycji zmian art. 128</w:t>
      </w:r>
      <w:r w:rsidR="005D78BC">
        <w:rPr>
          <w:rFonts w:ascii="Times New Roman" w:hAnsi="Times New Roman" w:cs="Times New Roman"/>
          <w:bCs/>
          <w:sz w:val="24"/>
          <w:szCs w:val="24"/>
        </w:rPr>
        <w:t>ca</w:t>
      </w:r>
      <w:r w:rsidRPr="006B2CD4">
        <w:rPr>
          <w:rFonts w:ascii="Times New Roman" w:hAnsi="Times New Roman" w:cs="Times New Roman"/>
          <w:bCs/>
          <w:sz w:val="24"/>
          <w:szCs w:val="24"/>
        </w:rPr>
        <w:t xml:space="preserve"> ust. 1, naturę dokonywanej oceny i działań realizowanych przez organ nadzoru, niezbędne jest zastosowanie analogicznych zasad jak w odniesieniu do metod wewnętrznych.</w:t>
      </w:r>
      <w:r w:rsidR="00E46EC2">
        <w:rPr>
          <w:rFonts w:ascii="Times New Roman" w:hAnsi="Times New Roman" w:cs="Times New Roman"/>
          <w:bCs/>
          <w:sz w:val="24"/>
          <w:szCs w:val="24"/>
        </w:rPr>
        <w:t xml:space="preserve"> </w:t>
      </w:r>
      <w:r w:rsidRPr="006B2CD4">
        <w:rPr>
          <w:rFonts w:ascii="Times New Roman" w:hAnsi="Times New Roman" w:cs="Times New Roman"/>
          <w:bCs/>
          <w:sz w:val="24"/>
          <w:szCs w:val="24"/>
        </w:rPr>
        <w:t>Zasady te w szczególności powinny obejmować możliwość uwzględniania, w ramach decyzji wydawanych przez KNF, warunków i terminów. Jednocześnie, ze względu na szeroki zakres dokonywanej oceny oraz wysoki stopień jej złożoności, w tym konieczność prowadzenia czynności kontrolnych, niezbędnych celem dokonania kompleksowej i rzetelnej oceny, termin na analizę sprawy i w konsekwencji na wydanie decyzji powinien wynosić 6 miesięcy od chwili otrzymania kompletnego wniosku.</w:t>
      </w:r>
    </w:p>
    <w:p w14:paraId="093497D8" w14:textId="0C91EAF5" w:rsidR="005F2741" w:rsidRPr="006B2CD4" w:rsidRDefault="005F2741" w:rsidP="0099684B">
      <w:pPr>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lastRenderedPageBreak/>
        <w:t>Ustawa zawiera również zmiany mające na celu doprowadzenie do sytuacji, gdy podejmowanie przez bank działalności maklerskiej nie będzie wymagało uzyskiwania dodatkowego zezwolenia na prowadzenie tej działalności, lecz będzie się dokonywało poprzez jednolite zezwolenie. Jednocześnie rozszerzenie działalności banku na czynności maklerskie nieobjęte dotychczasowym zezwoleniem będą dokonywały się w trybie zmiany statutu banku. Regulacje te stanowią realizację jednego z elementów Strategii Rozwoju Rynku Kapitałowego przyjętej w dniu 1 października 2019 r. uchwałą nr 114 Rady Ministrów w postaci eliminacji barier organizacyjnych dotyczących świadczenia usług inwestycyjnych w bankach. Jako przeszkodę w aktywnym uczestnictwie banków na rynku kapitałowym wskazuje się konieczność uzyskania, co do zasady, obok licencji bankowej na podstawie przepisów ustawy</w:t>
      </w:r>
      <w:r w:rsidR="00F15AA9" w:rsidRPr="006B2CD4">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 Prawo bankowe, także licencji na działalność maklerską. Ograniczenie to jest postrzegane przez uczestników krajowego rynku kapitałowego jako jedno z istotnych ograniczeń dalszego rozwoju tego rynku. Szerokie uczestnictwo banków w rynku ułatwiłoby uruchomienie nowych jego segmentów, jak segment listów zastawnych, kontraktów terminowych na obligacje lub transakcji zabezpieczających ryzyko stopy procentowej. Ograniczenia w tym zakresie już teraz negatywnie wpływają na płynność instrumentów finansowych, utrudniając tym samym prawidłową ich wycenę. Zmiany art. 5 i art. 6 mają na celu dostosowanie katalogu czynności bankowych do zmienionego stanu prawnego. Uchylenie </w:t>
      </w:r>
      <w:r w:rsidR="001B3CF9" w:rsidRPr="006B2CD4">
        <w:rPr>
          <w:rFonts w:ascii="Times New Roman" w:hAnsi="Times New Roman" w:cs="Times New Roman"/>
          <w:bCs/>
          <w:sz w:val="24"/>
          <w:szCs w:val="24"/>
        </w:rPr>
        <w:t>w art. 5</w:t>
      </w:r>
      <w:r w:rsidR="001B3CF9">
        <w:rPr>
          <w:rFonts w:ascii="Times New Roman" w:hAnsi="Times New Roman" w:cs="Times New Roman"/>
          <w:bCs/>
          <w:sz w:val="24"/>
          <w:szCs w:val="24"/>
        </w:rPr>
        <w:t xml:space="preserve"> </w:t>
      </w:r>
      <w:r w:rsidR="001B3CF9" w:rsidRPr="006B2CD4">
        <w:rPr>
          <w:rFonts w:ascii="Times New Roman" w:hAnsi="Times New Roman" w:cs="Times New Roman"/>
          <w:bCs/>
          <w:sz w:val="24"/>
          <w:szCs w:val="24"/>
        </w:rPr>
        <w:t xml:space="preserve">w ust. 2 </w:t>
      </w:r>
      <w:r w:rsidRPr="006B2CD4">
        <w:rPr>
          <w:rFonts w:ascii="Times New Roman" w:hAnsi="Times New Roman" w:cs="Times New Roman"/>
          <w:bCs/>
          <w:sz w:val="24"/>
          <w:szCs w:val="24"/>
        </w:rPr>
        <w:t>pkt 4 skutkuje usunięciem „terminowych operacji finansowych” z katalogu czynności, które stanowią czynności bankowe, o ile są wy</w:t>
      </w:r>
      <w:r w:rsidRPr="006B2CD4">
        <w:rPr>
          <w:rFonts w:ascii="Times New Roman" w:hAnsi="Times New Roman" w:cs="Times New Roman"/>
          <w:bCs/>
          <w:sz w:val="24"/>
          <w:szCs w:val="24"/>
        </w:rPr>
        <w:lastRenderedPageBreak/>
        <w:t xml:space="preserve">konywane przez banki. Z kolei uchylenie pkt 1 i 2 w art. 6 </w:t>
      </w:r>
      <w:r w:rsidR="001B3CF9">
        <w:rPr>
          <w:rFonts w:ascii="Times New Roman" w:hAnsi="Times New Roman" w:cs="Times New Roman"/>
          <w:bCs/>
          <w:sz w:val="24"/>
          <w:szCs w:val="24"/>
        </w:rPr>
        <w:t>w ust. 1</w:t>
      </w:r>
      <w:r w:rsidR="001B3CF9" w:rsidRPr="006B2CD4">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skutkuje usunięciem czynności polegających na „obejmowaniu lub nabywaniu akcji i praw z akcji, udziałów innej osoby prawnej i jednostek uczestnictwa w funduszach inwestycyjnych” i na „zaciąganiu zobowiązań związanych z emisją papierów wartościowych” z katalogu czynności, do wykonywania których uprawniony jest bank. Uprawnienie banków do wykonywania czynności określonych w art. 69 ust. 2 pkt 3 ustawy z dnia 29 lipca 2005 r. o obrocie instrumentami finansowymi na warunkach wskazanych w art. 70 ust. 1 pkt 4 tej ustawy, realizowane poprzez zmianę brzmienia pkt 3 w ust. 1 w art. 6 stanowi konsekwencję nowego statusu prawnego banków, umożliwiającego im wykonywanie czynności zarezerwowanych dotychczas dla firm inwestycyjnych na podstawie jednolitej licencji bankowej. </w:t>
      </w:r>
    </w:p>
    <w:p w14:paraId="4D26F6C7" w14:textId="55702DFC" w:rsidR="00680CC0" w:rsidRPr="006B2CD4" w:rsidRDefault="00680CC0" w:rsidP="0099684B">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W art. 6a w </w:t>
      </w:r>
      <w:r w:rsidRPr="006B2CD4">
        <w:rPr>
          <w:rFonts w:ascii="Times New Roman" w:hAnsi="Times New Roman" w:cs="Times New Roman"/>
          <w:bCs/>
          <w:sz w:val="24"/>
          <w:szCs w:val="24"/>
        </w:rPr>
        <w:t>ust</w:t>
      </w:r>
      <w:r w:rsidRPr="006B2CD4">
        <w:rPr>
          <w:rFonts w:ascii="Times New Roman" w:hAnsi="Times New Roman" w:cs="Times New Roman"/>
          <w:sz w:val="24"/>
          <w:szCs w:val="24"/>
        </w:rPr>
        <w:t xml:space="preserve">. 1 w pkt 1 w lit. f ustawy </w:t>
      </w:r>
      <w:r w:rsidR="0057030D" w:rsidRPr="006B2CD4">
        <w:rPr>
          <w:rFonts w:ascii="Times New Roman" w:hAnsi="Times New Roman" w:cs="Times New Roman"/>
          <w:bCs/>
          <w:sz w:val="24"/>
          <w:szCs w:val="24"/>
        </w:rPr>
        <w:t>–</w:t>
      </w:r>
      <w:r w:rsidRPr="006B2CD4">
        <w:rPr>
          <w:rFonts w:ascii="Times New Roman" w:hAnsi="Times New Roman" w:cs="Times New Roman"/>
          <w:sz w:val="24"/>
          <w:szCs w:val="24"/>
        </w:rPr>
        <w:t xml:space="preserve"> Prawo bankowe proponuje się rozszerzenie możliwości powierzenia czynności w zakresie pośrednictwa w odniesieniu do umów o inne, niż karty płatnicze, instrumenty płatnicze (np. pieniądz elektroniczny). Usługi bankowości elektronicznej są w praktyce rynkowej świadczone dla znaczącej liczby klientów korzystających z innych usług (np. prowadzenie rachunków bankowych), łącznie z tymi innymi usługami, stąd wydaje się uzasadnione rozszerzenie zakresu czynności outsourcowanych również o te usługi. Ponadto zmiana przepisu ma na celu usunięcie ograniczenia zawierania przedmiotowych umów za pośrednictwem agenta tylko z małymi i mikro przedsiębiorcami i umożliwienie zawierania tych umów ze wszystkimi przedsiębiorcami.</w:t>
      </w:r>
    </w:p>
    <w:p w14:paraId="3E6AB060" w14:textId="1EBADCA1" w:rsidR="00E3724D" w:rsidRPr="006B2CD4" w:rsidRDefault="00680CC0" w:rsidP="0099684B">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lastRenderedPageBreak/>
        <w:t xml:space="preserve">W art. 6a w ust. 1 w pkt 1 w lit. m ustawy </w:t>
      </w:r>
      <w:r w:rsidR="0057030D" w:rsidRPr="006B2CD4">
        <w:rPr>
          <w:rFonts w:ascii="Times New Roman" w:hAnsi="Times New Roman" w:cs="Times New Roman"/>
          <w:bCs/>
          <w:sz w:val="24"/>
          <w:szCs w:val="24"/>
        </w:rPr>
        <w:t>–</w:t>
      </w:r>
      <w:r w:rsidRPr="006B2CD4">
        <w:rPr>
          <w:rFonts w:ascii="Times New Roman" w:hAnsi="Times New Roman" w:cs="Times New Roman"/>
          <w:sz w:val="24"/>
          <w:szCs w:val="24"/>
        </w:rPr>
        <w:t xml:space="preserve"> Prawo bankowe zaproponowana zmiana ma na celu wprowadzenie obowiązku zawiadamiania KNF o outsourcowaniu „innych czynności” przez bank w miejsce obowiązku uzyskiwania zezwolenia organu nadzoru. Zmiana ta pozwoli na ujednolicenie formy informowania KNF o planowanym powierzeniu czynności w drodze outsourcingu bez względu na siedzibę przedsiębiorcy, któremu są te czynności powierzane.</w:t>
      </w:r>
    </w:p>
    <w:p w14:paraId="25B61EF2" w14:textId="54373FCD" w:rsidR="00680CC0" w:rsidRPr="006B2CD4" w:rsidRDefault="00680CC0" w:rsidP="0099684B">
      <w:pPr>
        <w:pStyle w:val="PKTpunkt"/>
        <w:spacing w:after="120"/>
        <w:ind w:left="0" w:firstLine="0"/>
        <w:rPr>
          <w:rFonts w:ascii="Times New Roman" w:hAnsi="Times New Roman" w:cs="Times New Roman"/>
          <w:szCs w:val="24"/>
        </w:rPr>
      </w:pPr>
      <w:r w:rsidRPr="006B2CD4">
        <w:rPr>
          <w:rFonts w:ascii="Times New Roman" w:hAnsi="Times New Roman" w:cs="Times New Roman"/>
          <w:szCs w:val="24"/>
        </w:rPr>
        <w:t xml:space="preserve">W art. 6a w ust. 2 ustawy </w:t>
      </w:r>
      <w:r w:rsidR="0057030D" w:rsidRPr="006B2CD4">
        <w:rPr>
          <w:rFonts w:ascii="Times New Roman" w:hAnsi="Times New Roman" w:cs="Times New Roman"/>
          <w:szCs w:val="24"/>
        </w:rPr>
        <w:t>–</w:t>
      </w:r>
      <w:r w:rsidRPr="006B2CD4">
        <w:rPr>
          <w:rFonts w:ascii="Times New Roman" w:hAnsi="Times New Roman" w:cs="Times New Roman"/>
          <w:szCs w:val="24"/>
        </w:rPr>
        <w:t xml:space="preserve"> Prawo bankowe proponuje się zmianę polegającą na tym, aby powierzenie czynności wskazanych w art. 6a w ust. 1 w pkt 1 w lit. g‒j nie wymagało zachowania formy umowy agencyjnej. Zgodnie z art. 758 § 1 ustawy z dnia 23 kwietnia 1964 r. – Kodeks cywilny (Dz. U. z 202</w:t>
      </w:r>
      <w:r w:rsidR="0088626E" w:rsidRPr="006B2CD4">
        <w:rPr>
          <w:rFonts w:ascii="Times New Roman" w:hAnsi="Times New Roman" w:cs="Times New Roman"/>
          <w:szCs w:val="24"/>
        </w:rPr>
        <w:t>2 r. poz. 136</w:t>
      </w:r>
      <w:r w:rsidR="007326BF">
        <w:rPr>
          <w:rFonts w:ascii="Times New Roman" w:hAnsi="Times New Roman" w:cs="Times New Roman"/>
          <w:szCs w:val="24"/>
        </w:rPr>
        <w:t>0, z późn. zm.</w:t>
      </w:r>
      <w:r w:rsidRPr="006B2CD4">
        <w:rPr>
          <w:rFonts w:ascii="Times New Roman" w:hAnsi="Times New Roman" w:cs="Times New Roman"/>
          <w:szCs w:val="24"/>
        </w:rPr>
        <w:t>), dalej „k.c.”</w:t>
      </w:r>
      <w:r w:rsidR="001B3CF9">
        <w:rPr>
          <w:rFonts w:ascii="Times New Roman" w:hAnsi="Times New Roman" w:cs="Times New Roman"/>
          <w:szCs w:val="24"/>
        </w:rPr>
        <w:t>,</w:t>
      </w:r>
      <w:r w:rsidRPr="006B2CD4">
        <w:rPr>
          <w:rFonts w:ascii="Times New Roman" w:hAnsi="Times New Roman" w:cs="Times New Roman"/>
          <w:szCs w:val="24"/>
        </w:rPr>
        <w:t xml:space="preserve"> na podstawie umowy agencyjnej agent zobowiązuje się, w zakresie działalności swego przedsiębiorstwa, do stałego pośredniczenia, za wynagrodzeniem, przy zawieraniu z klientami umów na rzecz dającego zlecenie przedsiębiorcy albo do zawierania ich w jego imieniu. Natomiast, pośrednictwo w zakresie czynności, o których mowa w art. 6a w ust. 1 w pkt 1 w lit. g‒j, nie polega ani na pośredniczeniu w zawieraniu umów z klientami outsourcera, ani na zawieraniu ich w jego imieniu, lecz przede wszystkim na wykonywaniu wymienionych czynności (np. przyjmowaniu wpłat czy dokonywaniu wypłat). W praktyce rynkowej, banki współpracują w ramach tzw. „zastępczej obsługi kasowej”, umożliwiając klientom banku ‒ outsourcera dokonywanie wpłat czy wypłat z i na rachunki prowadzone przez bank ‒ outsourcera w ramach obsługi kasowej w oddziałach banku ‒ insourcera. Bank ‒ insourcer nie pośredniczy w tym zakresie ani w zawieraniu umów z klientami, ani nie zawiera ich w imieniu banku ‒ outsourcera. Z powyższych </w:t>
      </w:r>
      <w:r w:rsidRPr="006B2CD4">
        <w:rPr>
          <w:rFonts w:ascii="Times New Roman" w:hAnsi="Times New Roman" w:cs="Times New Roman"/>
          <w:szCs w:val="24"/>
        </w:rPr>
        <w:lastRenderedPageBreak/>
        <w:t>względów bezwzględny wymóg stosowania formy umowy agencyjnej może okazać się nieadekwatny do powierzenia czynności, o których mowa w art. 6a w ust. 1 w pkt 1 w lit. g</w:t>
      </w:r>
      <w:r w:rsidR="00E52942" w:rsidRPr="006B2CD4">
        <w:rPr>
          <w:rFonts w:ascii="Times New Roman" w:hAnsi="Times New Roman" w:cs="Times New Roman"/>
          <w:szCs w:val="24"/>
        </w:rPr>
        <w:t>‒</w:t>
      </w:r>
      <w:r w:rsidRPr="006B2CD4">
        <w:rPr>
          <w:rFonts w:ascii="Times New Roman" w:hAnsi="Times New Roman" w:cs="Times New Roman"/>
          <w:szCs w:val="24"/>
        </w:rPr>
        <w:t>j.</w:t>
      </w:r>
    </w:p>
    <w:p w14:paraId="56CDFC8F" w14:textId="07E40544" w:rsidR="00680CC0" w:rsidRPr="006B2CD4" w:rsidRDefault="00680CC0" w:rsidP="0099684B">
      <w:pPr>
        <w:pStyle w:val="PKTpunkt"/>
        <w:spacing w:after="120"/>
        <w:ind w:left="0" w:firstLine="0"/>
        <w:rPr>
          <w:rFonts w:ascii="Times New Roman" w:hAnsi="Times New Roman" w:cs="Times New Roman"/>
          <w:szCs w:val="24"/>
        </w:rPr>
      </w:pPr>
      <w:r w:rsidRPr="006B2CD4">
        <w:rPr>
          <w:rFonts w:ascii="Times New Roman" w:hAnsi="Times New Roman" w:cs="Times New Roman"/>
          <w:szCs w:val="24"/>
        </w:rPr>
        <w:t>Zmiany przewidziane w art. 6a ust</w:t>
      </w:r>
      <w:r w:rsidR="00457862">
        <w:rPr>
          <w:rFonts w:ascii="Times New Roman" w:hAnsi="Times New Roman" w:cs="Times New Roman"/>
          <w:szCs w:val="24"/>
        </w:rPr>
        <w:t>.</w:t>
      </w:r>
      <w:r w:rsidRPr="006B2CD4">
        <w:rPr>
          <w:rFonts w:ascii="Times New Roman" w:hAnsi="Times New Roman" w:cs="Times New Roman"/>
          <w:szCs w:val="24"/>
        </w:rPr>
        <w:t xml:space="preserve"> 4 ustawy </w:t>
      </w:r>
      <w:r w:rsidR="0057030D" w:rsidRPr="006B2CD4">
        <w:rPr>
          <w:rFonts w:ascii="Times New Roman" w:hAnsi="Times New Roman" w:cs="Times New Roman"/>
          <w:szCs w:val="24"/>
        </w:rPr>
        <w:t>–</w:t>
      </w:r>
      <w:r w:rsidRPr="006B2CD4">
        <w:rPr>
          <w:rFonts w:ascii="Times New Roman" w:hAnsi="Times New Roman" w:cs="Times New Roman"/>
          <w:szCs w:val="24"/>
        </w:rPr>
        <w:t xml:space="preserve"> Prawo bankowe wynikają z rezygnacji ze stosowania zezwolenia KNF wobec powierzenia przez bank wykonywania „innych czynności” w drodze outsourcingu bankowego przy jednoczesnym zachowaniu wymogów odnośnie możliwości outsourcowania powyższych czynności tj. prowadzenie działalności bankowej w sposób ostrożny i stabilny lub istotne obniżenie kosztów tej działalności.</w:t>
      </w:r>
    </w:p>
    <w:p w14:paraId="4DF246E8" w14:textId="03E40DD3" w:rsidR="00680CC0" w:rsidRDefault="00680CC0" w:rsidP="0099684B">
      <w:pPr>
        <w:pStyle w:val="PKTpunkt"/>
        <w:spacing w:after="120"/>
        <w:ind w:left="0" w:firstLine="0"/>
        <w:rPr>
          <w:rFonts w:ascii="Times New Roman" w:hAnsi="Times New Roman" w:cs="Times New Roman"/>
          <w:szCs w:val="24"/>
        </w:rPr>
      </w:pPr>
      <w:r w:rsidRPr="006B2CD4">
        <w:rPr>
          <w:rFonts w:ascii="Times New Roman" w:hAnsi="Times New Roman" w:cs="Times New Roman"/>
          <w:szCs w:val="24"/>
        </w:rPr>
        <w:t xml:space="preserve">Uchylenie ust. </w:t>
      </w:r>
      <w:r w:rsidR="00B94131">
        <w:rPr>
          <w:rFonts w:ascii="Times New Roman" w:hAnsi="Times New Roman" w:cs="Times New Roman"/>
          <w:szCs w:val="24"/>
        </w:rPr>
        <w:t xml:space="preserve">5 i </w:t>
      </w:r>
      <w:r w:rsidRPr="006B2CD4">
        <w:rPr>
          <w:rFonts w:ascii="Times New Roman" w:hAnsi="Times New Roman" w:cs="Times New Roman"/>
          <w:szCs w:val="24"/>
        </w:rPr>
        <w:t xml:space="preserve">6 w art. 6a ustawy </w:t>
      </w:r>
      <w:r w:rsidR="0057030D" w:rsidRPr="006B2CD4">
        <w:rPr>
          <w:rFonts w:ascii="Times New Roman" w:hAnsi="Times New Roman" w:cs="Times New Roman"/>
          <w:szCs w:val="24"/>
        </w:rPr>
        <w:t>–</w:t>
      </w:r>
      <w:r w:rsidRPr="006B2CD4">
        <w:rPr>
          <w:rFonts w:ascii="Times New Roman" w:hAnsi="Times New Roman" w:cs="Times New Roman"/>
          <w:szCs w:val="24"/>
        </w:rPr>
        <w:t xml:space="preserve"> Prawo bankowe związane jest z rezygnacją ze stosowania zezwolenia KNF wobec powierzenia przez bank wykonywania „innych czynności” w drodze outsourcingu bankowego jak również postępowania w sprawie wniosku o udzielenie przedmiotowego zezwolenia.</w:t>
      </w:r>
    </w:p>
    <w:p w14:paraId="6CD64D23" w14:textId="418FAA62" w:rsidR="00A91F1F" w:rsidRPr="006B2CD4" w:rsidRDefault="00A91F1F" w:rsidP="0099684B">
      <w:pPr>
        <w:pStyle w:val="PKTpunkt"/>
        <w:spacing w:after="120"/>
        <w:ind w:left="0" w:firstLine="0"/>
        <w:rPr>
          <w:rFonts w:ascii="Times New Roman" w:hAnsi="Times New Roman" w:cs="Times New Roman"/>
          <w:szCs w:val="24"/>
        </w:rPr>
      </w:pPr>
      <w:r>
        <w:rPr>
          <w:rFonts w:ascii="Times New Roman" w:hAnsi="Times New Roman" w:cs="Times New Roman"/>
          <w:szCs w:val="24"/>
        </w:rPr>
        <w:t>Zmiana art. 6a ust. 7 pkt 1 ustawy – Prawo bankowe ma na celu umożliwienie podpowierzania świadczenia głównego będącego przedmiotem outsoucingu bankowego. Należy podkreślić, że ocena czy określone czynności służą realizacji świadczenia głównego, bądź też stanowią samo świadczenie główne wywołuje wiele wątpliwości interpretacyjnych i niejednokrotnie uniemożliwia podjęcie współpracy z dostawcami. Podoutsourcing zgodnie z art. 6a ust. 7 pkt 1 ustawy odbywa się zachowaniem warunków ostrożnościowych, o których mowa w</w:t>
      </w:r>
      <w:r w:rsidR="007C389F">
        <w:rPr>
          <w:rFonts w:ascii="Times New Roman" w:hAnsi="Times New Roman" w:cs="Times New Roman"/>
          <w:szCs w:val="24"/>
        </w:rPr>
        <w:t xml:space="preserve"> </w:t>
      </w:r>
      <w:r>
        <w:rPr>
          <w:rFonts w:ascii="Times New Roman" w:hAnsi="Times New Roman" w:cs="Times New Roman"/>
          <w:szCs w:val="24"/>
        </w:rPr>
        <w:t>art. 6c ustawy, tj. m in. podpowierzanie wykonywania określonych czynności nie może wpływać nie</w:t>
      </w:r>
      <w:r>
        <w:rPr>
          <w:rFonts w:ascii="Times New Roman" w:hAnsi="Times New Roman" w:cs="Times New Roman"/>
          <w:szCs w:val="24"/>
        </w:rPr>
        <w:lastRenderedPageBreak/>
        <w:t>korzystnie na prowadzenie przez bank działalności zgodnie z przepisami prawa, ostrożne i stabilne zarządzanie bankiem, ochronę tajemnicy prawnie chronionej.</w:t>
      </w:r>
      <w:r w:rsidR="007C389F">
        <w:rPr>
          <w:rFonts w:ascii="Times New Roman" w:hAnsi="Times New Roman" w:cs="Times New Roman"/>
          <w:szCs w:val="24"/>
        </w:rPr>
        <w:t xml:space="preserve"> </w:t>
      </w:r>
      <w:r>
        <w:rPr>
          <w:rFonts w:ascii="Times New Roman" w:hAnsi="Times New Roman" w:cs="Times New Roman"/>
          <w:szCs w:val="24"/>
        </w:rPr>
        <w:t xml:space="preserve">Ponadto, zmiana art. 6a ust. 7 pkt 1 ustawy – Prawo bankowe przewiduje możliwość podoutsourcingu bankowego na podstawie pisemnej ogólnej lub szczegółowej zgody banku, analogicznie jak ma to miejsce przy podpowierzaniu danych osobowych w Ogólnym rozporządzeniu o ochronie danych (RODO). Powyższy model udzielania pisemnej ogólnej lub szczegółowej zgody instytucji na podpowierzanie czynności przewidują Wytyczne EBA, tj. wytyczna nr 78. Decyzja odnośnie zasad korzystania z usług poddostawców (pisemna ogólna – na daną kategorię podoutsourcerów np. grupę kapitałową lub szczegółowa zgoda banku – na konkretnego podoutsourcera) powinna być dokonywana przez bank z uwzględnieniem wyników szacowania ryzykiem związanego z konkretnym przypadkiem outsourcingu. Takie rozwiązanie pozwoli bankom na stosowanie bardziej elastycznych i powszechnie stosowanych w praktyce form </w:t>
      </w:r>
      <w:r w:rsidR="00E31591">
        <w:rPr>
          <w:rFonts w:ascii="Times New Roman" w:hAnsi="Times New Roman" w:cs="Times New Roman"/>
          <w:szCs w:val="24"/>
        </w:rPr>
        <w:t>zarządzania</w:t>
      </w:r>
      <w:r>
        <w:rPr>
          <w:rFonts w:ascii="Times New Roman" w:hAnsi="Times New Roman" w:cs="Times New Roman"/>
          <w:szCs w:val="24"/>
        </w:rPr>
        <w:t xml:space="preserve"> poddostawcami, co powinno ułatwić wprowadzanie w bankach innowacyjnych usług IT równocześnie zapewniając bankom efektywną kontrolę nad danym przypadkiem podoutsourcingu.</w:t>
      </w:r>
    </w:p>
    <w:p w14:paraId="50304E7F" w14:textId="16CC72D6" w:rsidR="0066274B" w:rsidRDefault="00680CC0" w:rsidP="0066274B">
      <w:pPr>
        <w:spacing w:after="120" w:line="360" w:lineRule="auto"/>
        <w:jc w:val="both"/>
        <w:rPr>
          <w:rFonts w:ascii="Times New Roman" w:hAnsi="Times New Roman" w:cs="Times New Roman"/>
          <w:i/>
          <w:sz w:val="24"/>
          <w:szCs w:val="24"/>
        </w:rPr>
      </w:pPr>
      <w:r w:rsidRPr="006B2CD4">
        <w:rPr>
          <w:rFonts w:ascii="Times New Roman" w:hAnsi="Times New Roman" w:cs="Times New Roman"/>
          <w:sz w:val="24"/>
          <w:szCs w:val="24"/>
        </w:rPr>
        <w:t>W art. 6a</w:t>
      </w:r>
      <w:r w:rsidRPr="006B2CD4">
        <w:rPr>
          <w:rFonts w:ascii="Times New Roman" w:hAnsi="Times New Roman" w:cs="Times New Roman"/>
          <w:b/>
          <w:sz w:val="24"/>
          <w:szCs w:val="24"/>
        </w:rPr>
        <w:t xml:space="preserve"> </w:t>
      </w:r>
      <w:r w:rsidR="0057030D" w:rsidRPr="006B2CD4">
        <w:rPr>
          <w:rFonts w:ascii="Times New Roman" w:hAnsi="Times New Roman" w:cs="Times New Roman"/>
          <w:sz w:val="24"/>
          <w:szCs w:val="24"/>
        </w:rPr>
        <w:t xml:space="preserve">ustawy </w:t>
      </w:r>
      <w:r w:rsidR="0057030D" w:rsidRPr="006B2CD4">
        <w:rPr>
          <w:rFonts w:ascii="Times New Roman" w:hAnsi="Times New Roman" w:cs="Times New Roman"/>
          <w:bCs/>
          <w:sz w:val="24"/>
          <w:szCs w:val="24"/>
        </w:rPr>
        <w:t xml:space="preserve">– </w:t>
      </w:r>
      <w:r w:rsidRPr="006B2CD4">
        <w:rPr>
          <w:rFonts w:ascii="Times New Roman" w:hAnsi="Times New Roman" w:cs="Times New Roman"/>
          <w:sz w:val="24"/>
          <w:szCs w:val="24"/>
        </w:rPr>
        <w:t>Prawo bankowe dodanie</w:t>
      </w:r>
      <w:r w:rsidRPr="006B2CD4">
        <w:rPr>
          <w:rFonts w:ascii="Times New Roman" w:hAnsi="Times New Roman" w:cs="Times New Roman"/>
          <w:b/>
          <w:sz w:val="24"/>
          <w:szCs w:val="24"/>
        </w:rPr>
        <w:t xml:space="preserve"> </w:t>
      </w:r>
      <w:r w:rsidRPr="006B2CD4">
        <w:rPr>
          <w:rFonts w:ascii="Times New Roman" w:hAnsi="Times New Roman" w:cs="Times New Roman"/>
          <w:sz w:val="24"/>
          <w:szCs w:val="24"/>
        </w:rPr>
        <w:t xml:space="preserve">ust. 7a, nawiązuje do </w:t>
      </w:r>
      <w:r w:rsidRPr="006B2CD4">
        <w:rPr>
          <w:rFonts w:ascii="Times New Roman" w:hAnsi="Times New Roman" w:cs="Times New Roman"/>
          <w:color w:val="000000" w:themeColor="text1"/>
          <w:sz w:val="24"/>
          <w:szCs w:val="24"/>
        </w:rPr>
        <w:t>Wytycznych EBA</w:t>
      </w:r>
      <w:r w:rsidRPr="006B2CD4">
        <w:rPr>
          <w:rFonts w:ascii="Times New Roman" w:hAnsi="Times New Roman" w:cs="Times New Roman"/>
          <w:sz w:val="24"/>
          <w:szCs w:val="24"/>
        </w:rPr>
        <w:t xml:space="preserve">, umożliwiających podoutsourcing w zasadzie w pełnym zakresie. </w:t>
      </w:r>
      <w:r w:rsidR="005927D1">
        <w:rPr>
          <w:rFonts w:ascii="Times New Roman" w:hAnsi="Times New Roman" w:cs="Times New Roman"/>
          <w:sz w:val="24"/>
          <w:szCs w:val="24"/>
        </w:rPr>
        <w:t>Negatywne skutki</w:t>
      </w:r>
      <w:r w:rsidR="005927D1" w:rsidRPr="006B2CD4">
        <w:rPr>
          <w:rFonts w:ascii="Times New Roman" w:hAnsi="Times New Roman" w:cs="Times New Roman"/>
          <w:sz w:val="24"/>
          <w:szCs w:val="24"/>
        </w:rPr>
        <w:t xml:space="preserve"> </w:t>
      </w:r>
      <w:r w:rsidR="005927D1">
        <w:rPr>
          <w:rFonts w:ascii="Times New Roman" w:hAnsi="Times New Roman" w:cs="Times New Roman"/>
          <w:sz w:val="24"/>
          <w:szCs w:val="24"/>
        </w:rPr>
        <w:t>o</w:t>
      </w:r>
      <w:r w:rsidR="005927D1" w:rsidRPr="006B2CD4">
        <w:rPr>
          <w:rFonts w:ascii="Times New Roman" w:hAnsi="Times New Roman" w:cs="Times New Roman"/>
          <w:sz w:val="24"/>
          <w:szCs w:val="24"/>
        </w:rPr>
        <w:t>becnie obowiązując</w:t>
      </w:r>
      <w:r w:rsidR="005927D1">
        <w:rPr>
          <w:rFonts w:ascii="Times New Roman" w:hAnsi="Times New Roman" w:cs="Times New Roman"/>
          <w:sz w:val="24"/>
          <w:szCs w:val="24"/>
        </w:rPr>
        <w:t>ego</w:t>
      </w:r>
      <w:r w:rsidR="005927D1" w:rsidRPr="006B2CD4">
        <w:rPr>
          <w:rFonts w:ascii="Times New Roman" w:hAnsi="Times New Roman" w:cs="Times New Roman"/>
          <w:sz w:val="24"/>
          <w:szCs w:val="24"/>
        </w:rPr>
        <w:t xml:space="preserve"> zakaz</w:t>
      </w:r>
      <w:r w:rsidR="005927D1">
        <w:rPr>
          <w:rFonts w:ascii="Times New Roman" w:hAnsi="Times New Roman" w:cs="Times New Roman"/>
          <w:sz w:val="24"/>
          <w:szCs w:val="24"/>
        </w:rPr>
        <w:t>u</w:t>
      </w:r>
      <w:r w:rsidR="005927D1" w:rsidRPr="006B2CD4">
        <w:rPr>
          <w:rFonts w:ascii="Times New Roman" w:hAnsi="Times New Roman" w:cs="Times New Roman"/>
          <w:sz w:val="24"/>
          <w:szCs w:val="24"/>
        </w:rPr>
        <w:t xml:space="preserve"> dalszego powierzenia czynności w ramach podoutsourcingu</w:t>
      </w:r>
      <w:r w:rsidR="005927D1">
        <w:rPr>
          <w:rFonts w:ascii="Times New Roman" w:hAnsi="Times New Roman" w:cs="Times New Roman"/>
          <w:sz w:val="24"/>
          <w:szCs w:val="24"/>
        </w:rPr>
        <w:t xml:space="preserve"> widoczne są zwłaszcza w obszarze działalności fintechowej i wiążą się ze</w:t>
      </w:r>
      <w:r w:rsidR="005927D1" w:rsidRPr="006B2CD4">
        <w:rPr>
          <w:rFonts w:ascii="Times New Roman" w:hAnsi="Times New Roman" w:cs="Times New Roman"/>
          <w:sz w:val="24"/>
          <w:szCs w:val="24"/>
        </w:rPr>
        <w:t xml:space="preserve"> znaczn</w:t>
      </w:r>
      <w:r w:rsidR="005927D1">
        <w:rPr>
          <w:rFonts w:ascii="Times New Roman" w:hAnsi="Times New Roman" w:cs="Times New Roman"/>
          <w:sz w:val="24"/>
          <w:szCs w:val="24"/>
        </w:rPr>
        <w:t>ym</w:t>
      </w:r>
      <w:r w:rsidR="005927D1" w:rsidRPr="006B2CD4">
        <w:rPr>
          <w:rFonts w:ascii="Times New Roman" w:hAnsi="Times New Roman" w:cs="Times New Roman"/>
          <w:sz w:val="24"/>
          <w:szCs w:val="24"/>
        </w:rPr>
        <w:t xml:space="preserve"> ogranicz</w:t>
      </w:r>
      <w:r w:rsidR="005927D1">
        <w:rPr>
          <w:rFonts w:ascii="Times New Roman" w:hAnsi="Times New Roman" w:cs="Times New Roman"/>
          <w:sz w:val="24"/>
          <w:szCs w:val="24"/>
        </w:rPr>
        <w:t>eniem</w:t>
      </w:r>
      <w:r w:rsidR="005927D1" w:rsidRPr="006B2CD4">
        <w:rPr>
          <w:rFonts w:ascii="Times New Roman" w:hAnsi="Times New Roman" w:cs="Times New Roman"/>
          <w:sz w:val="24"/>
          <w:szCs w:val="24"/>
        </w:rPr>
        <w:t xml:space="preserve"> możliwoś</w:t>
      </w:r>
      <w:r w:rsidR="005927D1">
        <w:rPr>
          <w:rFonts w:ascii="Times New Roman" w:hAnsi="Times New Roman" w:cs="Times New Roman"/>
          <w:sz w:val="24"/>
          <w:szCs w:val="24"/>
        </w:rPr>
        <w:t>ci</w:t>
      </w:r>
      <w:r w:rsidR="005927D1" w:rsidRPr="006B2CD4">
        <w:rPr>
          <w:rFonts w:ascii="Times New Roman" w:hAnsi="Times New Roman" w:cs="Times New Roman"/>
          <w:sz w:val="24"/>
          <w:szCs w:val="24"/>
        </w:rPr>
        <w:t xml:space="preserve"> banków do korzystania z profesjonalnych dostawców w sektorze fintech i wykorzystywania najnowszych rozwiązań technologicznych. </w:t>
      </w:r>
      <w:r w:rsidRPr="006B2CD4">
        <w:rPr>
          <w:rFonts w:ascii="Times New Roman" w:hAnsi="Times New Roman" w:cs="Times New Roman"/>
          <w:sz w:val="24"/>
          <w:szCs w:val="24"/>
        </w:rPr>
        <w:t xml:space="preserve">W innych krajach członkowskich UE nie są </w:t>
      </w:r>
      <w:r w:rsidRPr="006B2CD4">
        <w:rPr>
          <w:rFonts w:ascii="Times New Roman" w:hAnsi="Times New Roman" w:cs="Times New Roman"/>
          <w:sz w:val="24"/>
          <w:szCs w:val="24"/>
        </w:rPr>
        <w:lastRenderedPageBreak/>
        <w:t>stosowane limity w zakresie stopni podoutsourcingu bankowego. Przyjęte w innych państwach rozwiązania często wymagają odpowiedniego zarządzania ryzykiem przez banki zlecające czynności w drodze outsourcingu, w tym poprzez zawarcie odpowiedniej umowy między podmiotem zlecającym, a podmiotem przyjmującym zlecenie. Celem projektodawcy jest wprowadzenie możliwości stosowania podoutsourcingu nieograniczonego poziomowo przy zachowaniu odpo</w:t>
      </w:r>
      <w:r w:rsidR="00531AAA">
        <w:rPr>
          <w:rFonts w:ascii="Times New Roman" w:hAnsi="Times New Roman" w:cs="Times New Roman"/>
          <w:sz w:val="24"/>
          <w:szCs w:val="24"/>
        </w:rPr>
        <w:t>wiednich norm ostrożnościowych. N</w:t>
      </w:r>
      <w:r w:rsidRPr="006B2CD4">
        <w:rPr>
          <w:rFonts w:ascii="Times New Roman" w:hAnsi="Times New Roman" w:cs="Times New Roman"/>
          <w:sz w:val="24"/>
          <w:szCs w:val="24"/>
        </w:rPr>
        <w:t xml:space="preserve">a każdy podoutsourcing wymagana jest pisemna </w:t>
      </w:r>
      <w:r w:rsidR="00531AAA">
        <w:rPr>
          <w:rFonts w:ascii="Times New Roman" w:hAnsi="Times New Roman" w:cs="Times New Roman"/>
          <w:sz w:val="24"/>
          <w:szCs w:val="24"/>
        </w:rPr>
        <w:t xml:space="preserve">ogólna lub szczegółowa </w:t>
      </w:r>
      <w:r w:rsidRPr="006B2CD4">
        <w:rPr>
          <w:rFonts w:ascii="Times New Roman" w:hAnsi="Times New Roman" w:cs="Times New Roman"/>
          <w:sz w:val="24"/>
          <w:szCs w:val="24"/>
        </w:rPr>
        <w:t>zgoda banku oraz kwestia dopuszczalności tworzenia łańcucha umów podoutsourcingu będzie wynikać z zawartej umowy outsourcingowej, co z kolei powinno mieć wpływ na dokonywaną przed zawarciem umowy ocenę ryzyka związanego z tą umową. Ponadto zastosowanie będą miały przepisy ostrożnościowe wyrażone w art. 6c tj. m.in. określenie warun</w:t>
      </w:r>
      <w:r w:rsidR="0066274B">
        <w:rPr>
          <w:rFonts w:ascii="Times New Roman" w:hAnsi="Times New Roman" w:cs="Times New Roman"/>
          <w:sz w:val="24"/>
          <w:szCs w:val="24"/>
        </w:rPr>
        <w:t>ków dokonywania podoutsourcingu (brak niekorzystnego wpływu podoutsourcowania czynności na prowadzenie przez bank działalności zgodnie z przepisami prawa</w:t>
      </w:r>
      <w:r w:rsidR="0066274B" w:rsidRPr="006B2CD4">
        <w:rPr>
          <w:rFonts w:ascii="Times New Roman" w:hAnsi="Times New Roman" w:cs="Times New Roman"/>
          <w:sz w:val="24"/>
          <w:szCs w:val="24"/>
        </w:rPr>
        <w:t>,</w:t>
      </w:r>
      <w:r w:rsidR="0066274B">
        <w:rPr>
          <w:rFonts w:ascii="Times New Roman" w:hAnsi="Times New Roman" w:cs="Times New Roman"/>
          <w:sz w:val="24"/>
          <w:szCs w:val="24"/>
        </w:rPr>
        <w:t xml:space="preserve"> ostrożne i stabilne zarządzanie bankiem, skuteczność systemu kontroli wewnętrznej w banku, możliwość wykonywania obowiązków przez biegłego rewidenta upoważnionego do badania sprawozdań finansowych banku na podstawie zawartej z bankiem umowy oraz ochronę tajemnicy prawnie chronionej), uwzględnienie przez bank ryzyka związanego z podpowierzaniem czynności w systemie zarządzania ryzykiem,</w:t>
      </w:r>
      <w:r w:rsidR="007C389F">
        <w:rPr>
          <w:rFonts w:ascii="Times New Roman" w:hAnsi="Times New Roman" w:cs="Times New Roman"/>
          <w:sz w:val="24"/>
          <w:szCs w:val="24"/>
        </w:rPr>
        <w:t xml:space="preserve"> </w:t>
      </w:r>
      <w:r w:rsidRPr="006B2CD4">
        <w:rPr>
          <w:rFonts w:ascii="Times New Roman" w:hAnsi="Times New Roman" w:cs="Times New Roman"/>
          <w:sz w:val="24"/>
          <w:szCs w:val="24"/>
        </w:rPr>
        <w:t xml:space="preserve">obowiązek ewidencji umów outsourcingowych, podoutsourcingowych przez bank jak również możliwość żądania przedstawienia </w:t>
      </w:r>
      <w:r w:rsidR="007328F3">
        <w:rPr>
          <w:rFonts w:ascii="Times New Roman" w:hAnsi="Times New Roman" w:cs="Times New Roman"/>
          <w:sz w:val="24"/>
          <w:szCs w:val="24"/>
        </w:rPr>
        <w:t xml:space="preserve">określonych </w:t>
      </w:r>
      <w:r w:rsidRPr="006B2CD4">
        <w:rPr>
          <w:rFonts w:ascii="Times New Roman" w:hAnsi="Times New Roman" w:cs="Times New Roman"/>
          <w:sz w:val="24"/>
          <w:szCs w:val="24"/>
        </w:rPr>
        <w:t>dokumentów, złożenia wyjaśnień dotyczących realizacji zawieranych umów oraz zmiany lub rozwiąza</w:t>
      </w:r>
      <w:r w:rsidRPr="006B2CD4">
        <w:rPr>
          <w:rFonts w:ascii="Times New Roman" w:hAnsi="Times New Roman" w:cs="Times New Roman"/>
          <w:sz w:val="24"/>
          <w:szCs w:val="24"/>
        </w:rPr>
        <w:lastRenderedPageBreak/>
        <w:t>nia przez KNF przedmiotowych umów w przypadkach określonych w ustawie. Na każdy podoutsourcing poza</w:t>
      </w:r>
      <w:r w:rsidR="009B0F77">
        <w:rPr>
          <w:rFonts w:ascii="Times New Roman" w:hAnsi="Times New Roman" w:cs="Times New Roman"/>
          <w:sz w:val="24"/>
          <w:szCs w:val="24"/>
        </w:rPr>
        <w:t xml:space="preserve"> UE</w:t>
      </w:r>
      <w:r w:rsidRPr="006B2CD4">
        <w:rPr>
          <w:rFonts w:ascii="Times New Roman" w:hAnsi="Times New Roman" w:cs="Times New Roman"/>
          <w:sz w:val="24"/>
          <w:szCs w:val="24"/>
        </w:rPr>
        <w:t xml:space="preserve"> KNF będzie mogła zgłosić sprzeciw, który został szeroko uregulowany w projektowanym art. 6d.</w:t>
      </w:r>
      <w:r w:rsidR="0066274B">
        <w:rPr>
          <w:rFonts w:ascii="Times New Roman" w:hAnsi="Times New Roman" w:cs="Times New Roman"/>
          <w:sz w:val="24"/>
          <w:szCs w:val="24"/>
        </w:rPr>
        <w:t xml:space="preserve"> Strony umowy outsourcingowej, podoutsourcingowej powinny mieć na uwadze ryzyko wynikające z powierzenia danych czynności i mitygować je odpowiednimi postanowieniami kontraktowymi, na co wskazuje Urząd Komisji Nadzoru Finansowego w wydanym stanowisku z dnia 16 września 2019 r. </w:t>
      </w:r>
      <w:r w:rsidR="0066274B">
        <w:rPr>
          <w:rFonts w:ascii="Times New Roman" w:hAnsi="Times New Roman" w:cs="Times New Roman"/>
          <w:i/>
          <w:sz w:val="24"/>
          <w:szCs w:val="24"/>
        </w:rPr>
        <w:t>S</w:t>
      </w:r>
      <w:r w:rsidR="0066274B" w:rsidRPr="00185E61">
        <w:rPr>
          <w:rFonts w:ascii="Times New Roman" w:hAnsi="Times New Roman" w:cs="Times New Roman"/>
          <w:i/>
          <w:sz w:val="24"/>
          <w:szCs w:val="24"/>
        </w:rPr>
        <w:t>tanowisko UKNF dotyczące wybranych zagadnień związanych z wejściem w życie Wytycznych EBA w sprawie outsourcingu i ich uwzględnianiem w działalności banków</w:t>
      </w:r>
      <w:r w:rsidR="0066274B">
        <w:rPr>
          <w:rFonts w:ascii="Times New Roman" w:hAnsi="Times New Roman" w:cs="Times New Roman"/>
          <w:sz w:val="24"/>
          <w:szCs w:val="24"/>
        </w:rPr>
        <w:t xml:space="preserve">. Przykładowo 31. punkt powyższego pisma stanowi: </w:t>
      </w:r>
      <w:r w:rsidR="0066274B" w:rsidRPr="00185E61">
        <w:rPr>
          <w:rFonts w:ascii="Times New Roman" w:hAnsi="Times New Roman" w:cs="Times New Roman"/>
          <w:i/>
          <w:sz w:val="24"/>
          <w:szCs w:val="24"/>
        </w:rPr>
        <w:t>Umowa, w ramach której zostaje powierzone wykonywanie czynności, powinna zawierać zobowiązanie, że dostawca usług zapewni ochronę informacji poufnych, osobowych lub innych informacji szczególnie chronionych i spełnia wszystkie wymogi prawne dotyczące ochrony danych, które mają zastosowanie do banków (np. ochrona danych osobowych, oraz w stosownych przypadkach przestrzeganie obowiązku zachowania tajemnicy bankowej lub podobnych obowiązków w zakresie poufności w odniesieniu do informacji klientów).</w:t>
      </w:r>
    </w:p>
    <w:p w14:paraId="629702E7" w14:textId="055F4496" w:rsidR="00680CC0" w:rsidRPr="006B2CD4" w:rsidRDefault="0066274B" w:rsidP="0099684B">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Dodanie w art. 6a ust. 7b nawiązuje do pisemnej ogólnej lub szczegółowej zgody banku na podpowierzanie czynności w ramach outsourcingu bankowego, o której mowa w zmianie art. 6a ust. 7 pkt 1 ustawy – Prawo bankowe. W przypadku udzielenia ogólnej pisemnej zgody banku przedsiębiorca, o którym mowa w art. 6a ust. 1 informuje bank o zamierzonych zmianach w zakresie dodania, zastąpienia poddostawców, umożliwiając jednocześnie bankowi wy</w:t>
      </w:r>
      <w:r>
        <w:rPr>
          <w:rFonts w:ascii="Times New Roman" w:hAnsi="Times New Roman" w:cs="Times New Roman"/>
          <w:sz w:val="24"/>
          <w:szCs w:val="24"/>
        </w:rPr>
        <w:lastRenderedPageBreak/>
        <w:t xml:space="preserve">rażenie sprzeciwu wobec takich zmian. Kwestie w zakresie powyższych obowiązków informacyjnych przedsiębiorcy, jak również warunki wyrażenia sprzeciwu przez bank powinny zostać sprecyzowane w zawieranej umowie outsourcingowej. Analogiczne rozwiązanie zostało przewidziane przy podpowierzaniu danych osobowych w Ogólnym rozporządzeniu o ochronie danych (RODO). </w:t>
      </w:r>
    </w:p>
    <w:p w14:paraId="565742D7" w14:textId="38A56324" w:rsidR="00680CC0" w:rsidRPr="006B2CD4" w:rsidRDefault="00680CC0" w:rsidP="0099684B">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Uchylenie ust. 9 w art. 6a ustawy </w:t>
      </w:r>
      <w:r w:rsidR="0057030D" w:rsidRPr="006B2CD4">
        <w:rPr>
          <w:rFonts w:ascii="Times New Roman" w:hAnsi="Times New Roman" w:cs="Times New Roman"/>
          <w:bCs/>
          <w:sz w:val="24"/>
          <w:szCs w:val="24"/>
        </w:rPr>
        <w:t>–</w:t>
      </w:r>
      <w:r w:rsidRPr="006B2CD4">
        <w:rPr>
          <w:rFonts w:ascii="Times New Roman" w:hAnsi="Times New Roman" w:cs="Times New Roman"/>
          <w:sz w:val="24"/>
          <w:szCs w:val="24"/>
        </w:rPr>
        <w:t xml:space="preserve"> Prawo bankowe związane j</w:t>
      </w:r>
      <w:r w:rsidR="00D03CEE">
        <w:rPr>
          <w:rFonts w:ascii="Times New Roman" w:hAnsi="Times New Roman" w:cs="Times New Roman"/>
          <w:sz w:val="24"/>
          <w:szCs w:val="24"/>
        </w:rPr>
        <w:t>est z rezygnacją ze stosowania r</w:t>
      </w:r>
      <w:r w:rsidRPr="006B2CD4">
        <w:rPr>
          <w:rFonts w:ascii="Times New Roman" w:hAnsi="Times New Roman" w:cs="Times New Roman"/>
          <w:sz w:val="24"/>
          <w:szCs w:val="24"/>
        </w:rPr>
        <w:t xml:space="preserve">ozporządzenia Ministra Rozwoju i Finansów </w:t>
      </w:r>
      <w:r w:rsidR="00EF5D25" w:rsidRPr="006B2CD4">
        <w:rPr>
          <w:rFonts w:ascii="Times New Roman" w:hAnsi="Times New Roman" w:cs="Times New Roman"/>
          <w:sz w:val="24"/>
          <w:szCs w:val="24"/>
        </w:rPr>
        <w:t xml:space="preserve">z dnia 10 maja 2017 r. </w:t>
      </w:r>
      <w:r w:rsidRPr="006B2CD4">
        <w:rPr>
          <w:rFonts w:ascii="Times New Roman" w:hAnsi="Times New Roman" w:cs="Times New Roman"/>
          <w:sz w:val="24"/>
          <w:szCs w:val="24"/>
        </w:rPr>
        <w:t>w sprawie wykazu dokumentów dołączanych przez bank do wniosku o wydanie zezwolenia na powierzenie przedsiębiorcy lub przedsiębiorcy zagranicznemu wykonywania pośrednictwa w zakresie niektórych czynności</w:t>
      </w:r>
      <w:r w:rsidR="00EF5D25" w:rsidRPr="006B2CD4">
        <w:rPr>
          <w:rFonts w:ascii="Times New Roman" w:hAnsi="Times New Roman" w:cs="Times New Roman"/>
          <w:sz w:val="24"/>
          <w:szCs w:val="24"/>
        </w:rPr>
        <w:t xml:space="preserve"> (Dz. U. poz. 960)</w:t>
      </w:r>
      <w:r w:rsidRPr="006B2CD4">
        <w:rPr>
          <w:rFonts w:ascii="Times New Roman" w:hAnsi="Times New Roman" w:cs="Times New Roman"/>
          <w:sz w:val="24"/>
          <w:szCs w:val="24"/>
        </w:rPr>
        <w:t>. Kwestia dotycząca załączanych dokumentów została wyczerpująco uregulowana w art. 6d ust. 1a.</w:t>
      </w:r>
    </w:p>
    <w:p w14:paraId="6CAC13A9" w14:textId="4F042D0A" w:rsidR="00680CC0" w:rsidRPr="006B2CD4" w:rsidRDefault="00680CC0" w:rsidP="00F66B12">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Zmiana art. 6b ust. 1 i 2, art. 6c ust. 1 pkt 2 i 3, ust. 3, ust. 5, 7 i 8, art. 6e, art. 111b ust. 1, art. 138 ust. 7 pkt 2</w:t>
      </w:r>
      <w:r w:rsidR="001E5A25" w:rsidRPr="006B2CD4">
        <w:rPr>
          <w:rFonts w:ascii="Times New Roman" w:hAnsi="Times New Roman" w:cs="Times New Roman"/>
          <w:sz w:val="24"/>
          <w:szCs w:val="24"/>
        </w:rPr>
        <w:t xml:space="preserve"> oraz </w:t>
      </w:r>
      <w:r w:rsidRPr="006B2CD4">
        <w:rPr>
          <w:rFonts w:ascii="Times New Roman" w:hAnsi="Times New Roman" w:cs="Times New Roman"/>
          <w:sz w:val="24"/>
          <w:szCs w:val="24"/>
        </w:rPr>
        <w:t xml:space="preserve">art. 104 ust. 2 pkt 2 lit. b ustawy </w:t>
      </w:r>
      <w:r w:rsidR="0057030D" w:rsidRPr="006B2CD4">
        <w:rPr>
          <w:rFonts w:ascii="Times New Roman" w:hAnsi="Times New Roman" w:cs="Times New Roman"/>
          <w:bCs/>
          <w:sz w:val="24"/>
          <w:szCs w:val="24"/>
        </w:rPr>
        <w:t>–</w:t>
      </w:r>
      <w:r w:rsidRPr="006B2CD4">
        <w:rPr>
          <w:rFonts w:ascii="Times New Roman" w:hAnsi="Times New Roman" w:cs="Times New Roman"/>
          <w:sz w:val="24"/>
          <w:szCs w:val="24"/>
        </w:rPr>
        <w:t xml:space="preserve"> Prawo bankowe ma na celu uwzględnienie w powyższych przepisach </w:t>
      </w:r>
      <w:r w:rsidR="0057030D" w:rsidRPr="006B2CD4">
        <w:rPr>
          <w:rFonts w:ascii="Times New Roman" w:hAnsi="Times New Roman" w:cs="Times New Roman"/>
          <w:sz w:val="24"/>
          <w:szCs w:val="24"/>
        </w:rPr>
        <w:t xml:space="preserve">dodanego art. 6a ust. 7a ustawy </w:t>
      </w:r>
      <w:r w:rsidR="0057030D" w:rsidRPr="006B2CD4">
        <w:rPr>
          <w:rFonts w:ascii="Times New Roman" w:hAnsi="Times New Roman" w:cs="Times New Roman"/>
          <w:bCs/>
          <w:sz w:val="24"/>
          <w:szCs w:val="24"/>
        </w:rPr>
        <w:t xml:space="preserve">– </w:t>
      </w:r>
      <w:r w:rsidRPr="006B2CD4">
        <w:rPr>
          <w:rFonts w:ascii="Times New Roman" w:hAnsi="Times New Roman" w:cs="Times New Roman"/>
          <w:sz w:val="24"/>
          <w:szCs w:val="24"/>
        </w:rPr>
        <w:t>Prawo bankowe.</w:t>
      </w:r>
    </w:p>
    <w:p w14:paraId="207B2745" w14:textId="6E40C0EE" w:rsidR="00680CC0" w:rsidRPr="006B2CD4" w:rsidRDefault="00680CC0" w:rsidP="0099684B">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Zmiana art. 6b ust. 1 ustawy</w:t>
      </w:r>
      <w:r w:rsidR="0057030D" w:rsidRPr="006B2CD4">
        <w:rPr>
          <w:rFonts w:ascii="Times New Roman" w:hAnsi="Times New Roman" w:cs="Times New Roman"/>
          <w:sz w:val="24"/>
          <w:szCs w:val="24"/>
        </w:rPr>
        <w:t xml:space="preserve"> </w:t>
      </w:r>
      <w:r w:rsidR="0057030D" w:rsidRPr="006B2CD4">
        <w:rPr>
          <w:rFonts w:ascii="Times New Roman" w:hAnsi="Times New Roman" w:cs="Times New Roman"/>
          <w:bCs/>
          <w:sz w:val="24"/>
          <w:szCs w:val="24"/>
        </w:rPr>
        <w:t xml:space="preserve">– </w:t>
      </w:r>
      <w:r w:rsidRPr="006B2CD4">
        <w:rPr>
          <w:rFonts w:ascii="Times New Roman" w:hAnsi="Times New Roman" w:cs="Times New Roman"/>
          <w:sz w:val="24"/>
          <w:szCs w:val="24"/>
        </w:rPr>
        <w:t xml:space="preserve">Prawo bankowe ma na celu wprowadzenie możliwości ograniczenia odpowiedzialności przedsiębiorcy lub przedsiębiorcy zagranicznego, o którym mowa w art. 6a ust. 1 wobec banku za szkody wyrządzone klientom wskutek niewykonania lub nienależytego wykonania umów dotyczących outsourcingu bankowego, analogicznie jak ma to </w:t>
      </w:r>
      <w:r w:rsidRPr="006B2CD4">
        <w:rPr>
          <w:rFonts w:ascii="Times New Roman" w:hAnsi="Times New Roman" w:cs="Times New Roman"/>
          <w:sz w:val="24"/>
          <w:szCs w:val="24"/>
        </w:rPr>
        <w:lastRenderedPageBreak/>
        <w:t>miejsce przy outsourcingu firm inwestycyjnych w ustawie z dnia 29 lipca 2005 r. o obrocie instrumentami finansowymi.</w:t>
      </w:r>
    </w:p>
    <w:p w14:paraId="2F9E32B2" w14:textId="3BBB04C7" w:rsidR="00680CC0" w:rsidRPr="006B2CD4" w:rsidRDefault="00680CC0" w:rsidP="0099684B">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Dodanie w art. 6b ust. 3 ma na celu zaznaczenie, że umowa outsourcingowa, do której zastosowanie mają przepisy prawa obcego powinna zawierać postanowienia odpowiadające odpowiednim przepisom </w:t>
      </w:r>
      <w:r w:rsidR="00034B64" w:rsidRPr="006B2CD4">
        <w:rPr>
          <w:rFonts w:ascii="Times New Roman" w:hAnsi="Times New Roman" w:cs="Times New Roman"/>
          <w:sz w:val="24"/>
          <w:szCs w:val="24"/>
        </w:rPr>
        <w:t>k.c.</w:t>
      </w:r>
      <w:r w:rsidRPr="006B2CD4">
        <w:rPr>
          <w:rFonts w:ascii="Times New Roman" w:hAnsi="Times New Roman" w:cs="Times New Roman"/>
          <w:sz w:val="24"/>
          <w:szCs w:val="24"/>
        </w:rPr>
        <w:t>, regulującym kwestię odpowiedzialności dłużnika z tytułu niewykonania zobowiązań.</w:t>
      </w:r>
    </w:p>
    <w:p w14:paraId="630BAC15" w14:textId="728B5619" w:rsidR="00680CC0" w:rsidRPr="006B2CD4" w:rsidRDefault="00F15AA9" w:rsidP="00BA62C7">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W dodanym ust. 4 w art. 6b </w:t>
      </w:r>
      <w:r w:rsidR="00680CC0" w:rsidRPr="006B2CD4">
        <w:rPr>
          <w:rFonts w:ascii="Times New Roman" w:hAnsi="Times New Roman" w:cs="Times New Roman"/>
          <w:sz w:val="24"/>
          <w:szCs w:val="24"/>
        </w:rPr>
        <w:t>uwzględniony został obowiązek uzyskania przez bank zabezpieczeń wierzytelności obejmującej roszczenie o naprawienie szkody przysługujące bankowi względem podwykonawcy. Powyższa wierzytelność zostaje zabezpieczona poprzez przyjęcie pełnej odpowiedzialności przedsiębiorcy lub przedsiębiorcy zagranicznego za koszty związane z wypłatą odszkodowania z tytułu roszczeń klientów lub osób trzecich o naprawienie szkody wyrządzonej wskutek niewykonania lub nienależytego wykonania umowy, o której mowa w art. 6a ust. 1, przez przedsiębiorcę lub przedsiębiorcę zagranicznego w zakresie, w jakim nie poniósłby odpowiedzialności lub zawarcie odpowiedniej umowy ubezpieczenia odpowiedzialności cywilnej, gwarancji ubezpieczeniowej, gwarancji bankowej lub posiadanie odpowiednich funduszy własnych.</w:t>
      </w:r>
    </w:p>
    <w:p w14:paraId="4D95CA8C" w14:textId="06FBE357" w:rsidR="007D64EA" w:rsidRDefault="007D64EA" w:rsidP="00BA62C7">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Zmiana art. 6c ust. 4 ustawy </w:t>
      </w:r>
      <w:r w:rsidR="0057030D" w:rsidRPr="006B2CD4">
        <w:rPr>
          <w:rFonts w:ascii="Times New Roman" w:hAnsi="Times New Roman" w:cs="Times New Roman"/>
          <w:bCs/>
          <w:sz w:val="24"/>
          <w:szCs w:val="24"/>
        </w:rPr>
        <w:t xml:space="preserve">– </w:t>
      </w:r>
      <w:r w:rsidRPr="006B2CD4">
        <w:rPr>
          <w:rFonts w:ascii="Times New Roman" w:hAnsi="Times New Roman" w:cs="Times New Roman"/>
          <w:sz w:val="24"/>
          <w:szCs w:val="24"/>
        </w:rPr>
        <w:t>Prawo bankowe rozszerza katalog dokumentów, o które KNF może wezwać bank w związku z zawieraną umową outsourcingową, podoutsourcingową. Do</w:t>
      </w:r>
      <w:r w:rsidRPr="006B2CD4">
        <w:rPr>
          <w:rFonts w:ascii="Times New Roman" w:hAnsi="Times New Roman" w:cs="Times New Roman"/>
          <w:sz w:val="24"/>
          <w:szCs w:val="24"/>
        </w:rPr>
        <w:lastRenderedPageBreak/>
        <w:t>datkowe dokumenty mają na celu zapewnienie KNF dostępu do stosownych informacji w konkretnych przypadkach powierzenia czynności w drodze outsourcingu</w:t>
      </w:r>
      <w:r w:rsidR="007A3E99">
        <w:rPr>
          <w:rFonts w:ascii="Times New Roman" w:hAnsi="Times New Roman" w:cs="Times New Roman"/>
          <w:sz w:val="24"/>
          <w:szCs w:val="24"/>
        </w:rPr>
        <w:t xml:space="preserve"> lub</w:t>
      </w:r>
      <w:r w:rsidR="00741330">
        <w:rPr>
          <w:rFonts w:ascii="Times New Roman" w:hAnsi="Times New Roman" w:cs="Times New Roman"/>
          <w:sz w:val="24"/>
          <w:szCs w:val="24"/>
        </w:rPr>
        <w:t xml:space="preserve"> podoutsourcingu bankowego, celem oceny rzetelności wykonywania przedmiotowych umów ze wzgl</w:t>
      </w:r>
      <w:r w:rsidR="007328F3">
        <w:rPr>
          <w:rFonts w:ascii="Times New Roman" w:hAnsi="Times New Roman" w:cs="Times New Roman"/>
          <w:sz w:val="24"/>
          <w:szCs w:val="24"/>
        </w:rPr>
        <w:t>ędu na ostrożne i stabilne zarzą</w:t>
      </w:r>
      <w:r w:rsidR="00741330">
        <w:rPr>
          <w:rFonts w:ascii="Times New Roman" w:hAnsi="Times New Roman" w:cs="Times New Roman"/>
          <w:sz w:val="24"/>
          <w:szCs w:val="24"/>
        </w:rPr>
        <w:t>dzanie bankiem.</w:t>
      </w:r>
    </w:p>
    <w:p w14:paraId="581A61C1" w14:textId="07251BD6" w:rsidR="00607E9B" w:rsidRDefault="00607E9B" w:rsidP="00BA62C7">
      <w:pPr>
        <w:spacing w:after="120" w:line="360" w:lineRule="auto"/>
        <w:jc w:val="both"/>
        <w:rPr>
          <w:rFonts w:ascii="Times New Roman" w:hAnsi="Times New Roman" w:cs="Times New Roman"/>
          <w:sz w:val="24"/>
          <w:szCs w:val="24"/>
        </w:rPr>
      </w:pPr>
      <w:r w:rsidRPr="00B473C5">
        <w:rPr>
          <w:rFonts w:ascii="Times New Roman" w:hAnsi="Times New Roman" w:cs="Times New Roman"/>
          <w:sz w:val="24"/>
          <w:szCs w:val="24"/>
        </w:rPr>
        <w:t>Dodane ust. 4a – 4c w art. 6c ustawy – Prawo bankowe wskazują na obowiązek przedsiębiorcy lub przedsiębiorcy zagranicznego do pozyskania odpowiedniego dokumentu z właściwego ze względu na państwo ojczyste, państwo stałego zamieszkania lub siedzibę tego przedsiębiorcy rejestru karnego. Uwzględniona została sytuacja braku możliwości złożenia odpowiedniego dokumentu z rejestru karnego, wtedy wymagane jest złożenie odpowiednich oświadczeń przedsiębiorcy lub przedsiębiorcy zagranicznego wraz z urzędowym poświadczeniem, potwierdzającym powyższą sytuację. Przepisy dodatkowo wyjaśniają, co należy rozumieć pod pojęciem „siedziba” przedsiębiorcy lub przedsiębiorcy zagranicznego będącego osobą prawną lub jednostką organizacyjną niebędącą osobą prawną posiadającą zdolność prawną.</w:t>
      </w:r>
    </w:p>
    <w:p w14:paraId="1105A925" w14:textId="674812DB" w:rsidR="007328F3" w:rsidRPr="006B2CD4" w:rsidRDefault="007328F3" w:rsidP="007328F3">
      <w:pPr>
        <w:spacing w:after="120" w:line="360" w:lineRule="auto"/>
        <w:jc w:val="both"/>
        <w:rPr>
          <w:rFonts w:ascii="Times New Roman" w:hAnsi="Times New Roman" w:cs="Times New Roman"/>
          <w:sz w:val="24"/>
          <w:szCs w:val="24"/>
        </w:rPr>
      </w:pPr>
      <w:r w:rsidRPr="00B473C5">
        <w:rPr>
          <w:rFonts w:ascii="Times New Roman" w:hAnsi="Times New Roman" w:cs="Times New Roman"/>
          <w:sz w:val="24"/>
          <w:szCs w:val="24"/>
        </w:rPr>
        <w:t>Zmiana art. 6d ust</w:t>
      </w:r>
      <w:r w:rsidR="00457862">
        <w:rPr>
          <w:rFonts w:ascii="Times New Roman" w:hAnsi="Times New Roman" w:cs="Times New Roman"/>
          <w:sz w:val="24"/>
          <w:szCs w:val="24"/>
        </w:rPr>
        <w:t>.</w:t>
      </w:r>
      <w:r w:rsidRPr="00B473C5">
        <w:rPr>
          <w:rFonts w:ascii="Times New Roman" w:hAnsi="Times New Roman" w:cs="Times New Roman"/>
          <w:sz w:val="24"/>
          <w:szCs w:val="24"/>
        </w:rPr>
        <w:t xml:space="preserve"> 1 ustawy </w:t>
      </w:r>
      <w:r w:rsidRPr="00B473C5">
        <w:rPr>
          <w:rFonts w:ascii="Times New Roman" w:hAnsi="Times New Roman" w:cs="Times New Roman"/>
          <w:bCs/>
          <w:sz w:val="24"/>
          <w:szCs w:val="24"/>
        </w:rPr>
        <w:t>–</w:t>
      </w:r>
      <w:r w:rsidRPr="00B473C5">
        <w:rPr>
          <w:rFonts w:ascii="Times New Roman" w:hAnsi="Times New Roman" w:cs="Times New Roman"/>
          <w:sz w:val="24"/>
          <w:szCs w:val="24"/>
        </w:rPr>
        <w:t xml:space="preserve"> Prawo bankowe ma na celu implementację punktu 59 Wytycznych EBA</w:t>
      </w:r>
      <w:r w:rsidRPr="00B473C5">
        <w:rPr>
          <w:rFonts w:ascii="Times New Roman" w:hAnsi="Times New Roman" w:cs="Times New Roman"/>
          <w:color w:val="000000" w:themeColor="text1"/>
          <w:sz w:val="24"/>
          <w:szCs w:val="24"/>
        </w:rPr>
        <w:t xml:space="preserve">, </w:t>
      </w:r>
      <w:r w:rsidRPr="00B473C5">
        <w:rPr>
          <w:rFonts w:ascii="Times New Roman" w:hAnsi="Times New Roman" w:cs="Times New Roman"/>
          <w:sz w:val="24"/>
          <w:szCs w:val="24"/>
        </w:rPr>
        <w:t>który stanowi, że instytucje i instytucje płatnicze powinny jedynie informować w formie zawiadomienia KNF o istotnych zmianach lub poważnych zdarzeniach dotyczących umów outsourcingu, które mogą mieć istotny wpływ na ciągłość prowadzenia działalności. Zawarcie umowy outsourcingowej, podoutsourcingowej z przedsiębiorcą zagranicznym niemającym miejsca stałego zamieszkania lub nieposiadającym siedziby</w:t>
      </w:r>
      <w:r w:rsidRPr="006B2CD4">
        <w:rPr>
          <w:rFonts w:ascii="Times New Roman" w:hAnsi="Times New Roman" w:cs="Times New Roman"/>
          <w:sz w:val="24"/>
          <w:szCs w:val="24"/>
        </w:rPr>
        <w:t xml:space="preserve"> na terytorium państwa członkowskiego lub umowy przewidującej, że powierzone czynności będą wykonywane poza </w:t>
      </w:r>
      <w:r w:rsidRPr="006B2CD4">
        <w:rPr>
          <w:rFonts w:ascii="Times New Roman" w:hAnsi="Times New Roman" w:cs="Times New Roman"/>
          <w:sz w:val="24"/>
          <w:szCs w:val="24"/>
        </w:rPr>
        <w:lastRenderedPageBreak/>
        <w:t>terytorium państwa członkowskiego</w:t>
      </w:r>
      <w:r>
        <w:rPr>
          <w:rFonts w:ascii="Times New Roman" w:hAnsi="Times New Roman" w:cs="Times New Roman"/>
          <w:sz w:val="24"/>
          <w:szCs w:val="24"/>
        </w:rPr>
        <w:t xml:space="preserve">, jak również zawarcie umowy outsourcingowej z przedsiębiorcą lub przedsiębiorcą zagranicznym na wykonywanie, zgodnie z art. 6a ust. 1 pkt 1 lit. m ustawy – Prawo bankowe, tzw. „innych czynności” niż określonych w katalogu czynności outsourcowanych, </w:t>
      </w:r>
      <w:r w:rsidRPr="006B2CD4">
        <w:rPr>
          <w:rFonts w:ascii="Times New Roman" w:hAnsi="Times New Roman" w:cs="Times New Roman"/>
          <w:sz w:val="24"/>
          <w:szCs w:val="24"/>
        </w:rPr>
        <w:t>stanowi niewątpliwie poważne zdarzenie dotyczące umów outsourcingu. Analogiczne zapisy odnoszące się do wymogu zawiadamiania KNF zostały już wprowadzone w innych przepisach krajowych. Zgodnie z art. 81d</w:t>
      </w:r>
      <w:r w:rsidRPr="006B2CD4">
        <w:rPr>
          <w:rFonts w:ascii="Times New Roman" w:hAnsi="Times New Roman" w:cs="Times New Roman"/>
          <w:i/>
          <w:sz w:val="24"/>
          <w:szCs w:val="24"/>
        </w:rPr>
        <w:t xml:space="preserve"> </w:t>
      </w:r>
      <w:r w:rsidRPr="006B2CD4">
        <w:rPr>
          <w:rFonts w:ascii="Times New Roman" w:hAnsi="Times New Roman" w:cs="Times New Roman"/>
          <w:sz w:val="24"/>
          <w:szCs w:val="24"/>
        </w:rPr>
        <w:t>ustawy z dnia 29 lipca 2005 r. o obrocie instrumentami finansowymi firma inwestycyjna zawiadamia KNF o zamiarze zawarcia umowy dotyczącej powierzania podstawowych lub istotnych funkcji operacyjnych.</w:t>
      </w:r>
    </w:p>
    <w:p w14:paraId="46AE91E4" w14:textId="7A97E591" w:rsidR="007328F3" w:rsidRDefault="007328F3" w:rsidP="007328F3">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W art. 6d ustawy </w:t>
      </w:r>
      <w:r w:rsidRPr="006B2CD4">
        <w:rPr>
          <w:rFonts w:ascii="Times New Roman" w:hAnsi="Times New Roman" w:cs="Times New Roman"/>
          <w:bCs/>
          <w:sz w:val="24"/>
          <w:szCs w:val="24"/>
        </w:rPr>
        <w:t>–</w:t>
      </w:r>
      <w:r w:rsidRPr="006B2CD4">
        <w:rPr>
          <w:rFonts w:ascii="Times New Roman" w:hAnsi="Times New Roman" w:cs="Times New Roman"/>
          <w:sz w:val="24"/>
          <w:szCs w:val="24"/>
        </w:rPr>
        <w:t xml:space="preserve"> Prawo bankowe dodanie ust. 1</w:t>
      </w:r>
      <w:r>
        <w:rPr>
          <w:rFonts w:ascii="Times New Roman" w:hAnsi="Times New Roman" w:cs="Times New Roman"/>
          <w:sz w:val="24"/>
          <w:szCs w:val="24"/>
        </w:rPr>
        <w:t>a</w:t>
      </w:r>
      <w:r w:rsidRPr="006B2CD4">
        <w:rPr>
          <w:rFonts w:ascii="Times New Roman" w:hAnsi="Times New Roman" w:cs="Times New Roman"/>
          <w:sz w:val="24"/>
          <w:szCs w:val="24"/>
        </w:rPr>
        <w:t xml:space="preserve"> ma na celu wskazanie dokumentów, które bank jest zobowiązany załączyć do zawiadomienia określonego w ust. 1. tj. określone dokumenty dotyczące działalności gospodarczej przedsiębiorcy jak również projekt umowy outsourcingowej</w:t>
      </w:r>
      <w:r>
        <w:rPr>
          <w:rFonts w:ascii="Times New Roman" w:hAnsi="Times New Roman" w:cs="Times New Roman"/>
          <w:sz w:val="24"/>
          <w:szCs w:val="24"/>
        </w:rPr>
        <w:t>.</w:t>
      </w:r>
    </w:p>
    <w:p w14:paraId="00B7C307" w14:textId="77777777" w:rsidR="00B94131" w:rsidRDefault="007328F3" w:rsidP="007328F3">
      <w:pPr>
        <w:pStyle w:val="PKTpunkt"/>
        <w:spacing w:after="120"/>
        <w:ind w:left="0" w:firstLine="0"/>
        <w:rPr>
          <w:rFonts w:ascii="Times New Roman" w:hAnsi="Times New Roman" w:cs="Times New Roman"/>
          <w:szCs w:val="24"/>
        </w:rPr>
      </w:pPr>
      <w:r>
        <w:rPr>
          <w:rFonts w:ascii="Times New Roman" w:hAnsi="Times New Roman" w:cs="Times New Roman"/>
          <w:szCs w:val="24"/>
        </w:rPr>
        <w:t>W art. 6d ustawy – Prawo bankowe dodanie ust. 1b ma na celu nadanie uprawnienia KNF do wezwania banku do uzupełnienia dokumentów dołączanych do zawiadomienia w wyznaczonym terminie, nie krótszym niż 7 dni, od dnia otrzymania wezwania. Powyżej wskazany termin powinien być adekwatny do zakresu żądania uzupełnienia braków.</w:t>
      </w:r>
    </w:p>
    <w:p w14:paraId="321FAA7A" w14:textId="0F76CF6E" w:rsidR="007328F3" w:rsidRDefault="00B94131" w:rsidP="007328F3">
      <w:pPr>
        <w:pStyle w:val="PKTpunkt"/>
        <w:spacing w:after="120"/>
        <w:ind w:left="0" w:firstLine="0"/>
        <w:rPr>
          <w:rFonts w:ascii="Times New Roman" w:hAnsi="Times New Roman" w:cs="Times New Roman"/>
          <w:szCs w:val="24"/>
        </w:rPr>
      </w:pPr>
      <w:r>
        <w:rPr>
          <w:rFonts w:ascii="Times New Roman" w:hAnsi="Times New Roman" w:cs="Times New Roman"/>
          <w:szCs w:val="24"/>
        </w:rPr>
        <w:t xml:space="preserve"> W dodanym ust. 1c w art. 6d</w:t>
      </w:r>
      <w:r w:rsidR="007328F3">
        <w:rPr>
          <w:rFonts w:ascii="Times New Roman" w:hAnsi="Times New Roman" w:cs="Times New Roman"/>
          <w:szCs w:val="24"/>
        </w:rPr>
        <w:t xml:space="preserve"> wskazane zostało, że postępowanie w przedmiocie wydania ewentualnego sprzeciwu zostanie wszczęte z chwilą otrzymania przez KNF wszystkich wy</w:t>
      </w:r>
      <w:r w:rsidR="007328F3">
        <w:rPr>
          <w:rFonts w:ascii="Times New Roman" w:hAnsi="Times New Roman" w:cs="Times New Roman"/>
          <w:szCs w:val="24"/>
        </w:rPr>
        <w:lastRenderedPageBreak/>
        <w:t>maganych dokumentów</w:t>
      </w:r>
      <w:r>
        <w:rPr>
          <w:rFonts w:ascii="Times New Roman" w:hAnsi="Times New Roman" w:cs="Times New Roman"/>
          <w:szCs w:val="24"/>
        </w:rPr>
        <w:t>, dołączanych do zawiadomienia</w:t>
      </w:r>
      <w:r w:rsidR="007328F3">
        <w:rPr>
          <w:rFonts w:ascii="Times New Roman" w:hAnsi="Times New Roman" w:cs="Times New Roman"/>
          <w:szCs w:val="24"/>
        </w:rPr>
        <w:t>. Komisja Nadzoru Finansowego niezwłocznie po ich otrzymaniu ma obowiązek do poinformowania banku</w:t>
      </w:r>
      <w:r>
        <w:rPr>
          <w:rFonts w:ascii="Times New Roman" w:hAnsi="Times New Roman" w:cs="Times New Roman"/>
          <w:szCs w:val="24"/>
        </w:rPr>
        <w:t xml:space="preserve"> o wszczęciu postępowania oraz</w:t>
      </w:r>
      <w:r w:rsidR="007328F3">
        <w:rPr>
          <w:rFonts w:ascii="Times New Roman" w:hAnsi="Times New Roman" w:cs="Times New Roman"/>
          <w:szCs w:val="24"/>
        </w:rPr>
        <w:t xml:space="preserve"> o dacie upływu terminu postępowania, w związku z doręczeniem decyzji w przedmiocie ewentualnego sprzeciwu.</w:t>
      </w:r>
    </w:p>
    <w:p w14:paraId="03DBCB36" w14:textId="158B1756" w:rsidR="007328F3" w:rsidRDefault="00B94131" w:rsidP="007328F3">
      <w:pPr>
        <w:pStyle w:val="PKTpunkt"/>
        <w:spacing w:after="120"/>
        <w:ind w:left="0" w:firstLine="0"/>
        <w:rPr>
          <w:rFonts w:ascii="Times New Roman" w:hAnsi="Times New Roman" w:cs="Times New Roman"/>
          <w:szCs w:val="24"/>
        </w:rPr>
      </w:pPr>
      <w:r>
        <w:rPr>
          <w:rFonts w:ascii="Times New Roman" w:hAnsi="Times New Roman" w:cs="Times New Roman"/>
          <w:szCs w:val="24"/>
        </w:rPr>
        <w:t>Zgodnie z dodanym ust. 1d</w:t>
      </w:r>
      <w:r w:rsidR="007328F3">
        <w:rPr>
          <w:rFonts w:ascii="Times New Roman" w:hAnsi="Times New Roman" w:cs="Times New Roman"/>
          <w:szCs w:val="24"/>
        </w:rPr>
        <w:t xml:space="preserve"> KNF może wezwać bank do przekazania dodatkowych informacji lub dokumentów, o których mowa w art. 6c ust. 4 ustawy – Prawo bankowe w wyznaczonym terminie nie krótszym niż 20 dni o dnia jego otrzymania przez bank. Żądanie to zawiesza bieg terminu postępowania od dnia jego wysłania do dnia otrzymania wszystkich żądanych informacji lub dokumentów, nie dłużej jednak niż do upływu terminu na ich przekazanie. Bank będzie zobowiązany dostarczyć żądane dodatkowe dokumenty w wyznaczonym terminie, ale jeżeli dostarczy je szybciej niż to wynika z wyznaczonego terminu, to bieg terminu postępowania zostanie odwieszony. Komisja Nadzoru Finansowego niezwłocznie po ich otrzymaniu ma obowiązek do poinformowania banku o dacie upływu terminu postępowania, w związku z doręczeniem decyzji w przedmiocie ewentualnego sprzeciwu.</w:t>
      </w:r>
    </w:p>
    <w:p w14:paraId="4AEC3879" w14:textId="058B7321" w:rsidR="007328F3" w:rsidRDefault="007328F3" w:rsidP="007328F3">
      <w:pPr>
        <w:pStyle w:val="PKTpunkt"/>
        <w:spacing w:after="120"/>
        <w:ind w:left="0" w:firstLine="0"/>
        <w:rPr>
          <w:rFonts w:ascii="Times New Roman" w:hAnsi="Times New Roman" w:cs="Times New Roman"/>
          <w:szCs w:val="24"/>
        </w:rPr>
      </w:pPr>
      <w:r w:rsidRPr="00301A6A">
        <w:rPr>
          <w:rFonts w:ascii="Times New Roman" w:hAnsi="Times New Roman" w:cs="Times New Roman"/>
          <w:szCs w:val="24"/>
        </w:rPr>
        <w:t>Do</w:t>
      </w:r>
      <w:r w:rsidR="00B94131">
        <w:rPr>
          <w:rFonts w:ascii="Times New Roman" w:hAnsi="Times New Roman" w:cs="Times New Roman"/>
          <w:szCs w:val="24"/>
        </w:rPr>
        <w:t>dany ust. 1e</w:t>
      </w:r>
      <w:r>
        <w:rPr>
          <w:rFonts w:ascii="Times New Roman" w:hAnsi="Times New Roman" w:cs="Times New Roman"/>
          <w:szCs w:val="24"/>
        </w:rPr>
        <w:t xml:space="preserve"> w art. 6d ustawy – Prawo bankowe ma na celu nadanie uprawnienia KNF do powtórnego wezwania banku do przekazania dodatkowych informacji lub dokumentów w związku z możliwością wydania ewentualnego sprzeciwu na outsourcowanie, podoutsourcowanie czynności. KNF przysługuje możliwość wezwania o dodatkowe informacje lub dokumenty do 10. dnia roboczego przed upływem terminu na doręczenie decyzji w przedmiocie sprzeciwu. Dokumenty te powinny być przekazane w terminie nie krótszym niż 20 dni od dnia </w:t>
      </w:r>
      <w:r>
        <w:rPr>
          <w:rFonts w:ascii="Times New Roman" w:hAnsi="Times New Roman" w:cs="Times New Roman"/>
          <w:szCs w:val="24"/>
        </w:rPr>
        <w:lastRenderedPageBreak/>
        <w:t>otrzymania wezwania. Bieg terminu na doręczenie decyzji w przedmiocie sprzeciwu ulega zawieszeniu na czas od dnia wysłania do dnia otrzymania wszystkich żądanych informacji lub dokumentów, nie dłużej niż do upływu terminu na ich przekazanie.</w:t>
      </w:r>
      <w:r w:rsidRPr="00542095">
        <w:rPr>
          <w:rFonts w:ascii="Times New Roman" w:hAnsi="Times New Roman" w:cs="Times New Roman"/>
          <w:szCs w:val="24"/>
        </w:rPr>
        <w:t xml:space="preserve"> </w:t>
      </w:r>
      <w:r>
        <w:rPr>
          <w:rFonts w:ascii="Times New Roman" w:hAnsi="Times New Roman" w:cs="Times New Roman"/>
          <w:szCs w:val="24"/>
        </w:rPr>
        <w:t>Bank będzie zobowiązany dostarczyć żądane dodatkowe dokumenty w wyznaczonym terminie, ale jeżeli dostarczy je szybciej niż to wynika z wyznaczonego terminu, to bieg terminu postępowania zostanie odwieszony. Komisja Nadzoru Finansowego niezwłocznie po ich otrzymaniu ma obowiązek do poinformowania banku o dacie upływu terminu postępowania, w związku z doręczeniem decyzji w przedmiocie ewentualnego sprzeciwu.</w:t>
      </w:r>
    </w:p>
    <w:p w14:paraId="633F64E1" w14:textId="28F153D9" w:rsidR="007328F3" w:rsidRDefault="007328F3" w:rsidP="007328F3">
      <w:pPr>
        <w:pStyle w:val="PKTpunkt"/>
        <w:spacing w:after="120"/>
        <w:ind w:left="0" w:firstLine="0"/>
        <w:rPr>
          <w:rFonts w:ascii="Times New Roman" w:hAnsi="Times New Roman" w:cs="Times New Roman"/>
          <w:szCs w:val="24"/>
        </w:rPr>
      </w:pPr>
      <w:r w:rsidRPr="006B2CD4">
        <w:rPr>
          <w:rFonts w:ascii="Times New Roman" w:hAnsi="Times New Roman" w:cs="Times New Roman"/>
          <w:szCs w:val="24"/>
        </w:rPr>
        <w:t>Dodany ust. 1</w:t>
      </w:r>
      <w:r w:rsidR="00B94131">
        <w:rPr>
          <w:rFonts w:ascii="Times New Roman" w:hAnsi="Times New Roman" w:cs="Times New Roman"/>
          <w:szCs w:val="24"/>
        </w:rPr>
        <w:t>f</w:t>
      </w:r>
      <w:r w:rsidRPr="006B2CD4">
        <w:rPr>
          <w:rFonts w:ascii="Times New Roman" w:hAnsi="Times New Roman" w:cs="Times New Roman"/>
          <w:szCs w:val="24"/>
        </w:rPr>
        <w:t xml:space="preserve"> w art. 6d ustawy – Prawo bankowe ma na celu przyznanie uprawnienia KNF do zgłoszenia ewentualnego sprzeciwu wobec zamiaru zawarcia umowy outsourcingu, podoutsourcingu bankowego w określonych przypadkach tj. m.in. nieuzupełnienie w terminie braków w dokumentach, uniemożliwienie KNF wykonywania efektywnego nadzoru, niekorzystny wpływ planowanego outsourcingu, podoutsourcingu bankowego na </w:t>
      </w:r>
      <w:r>
        <w:rPr>
          <w:rFonts w:ascii="Times New Roman" w:hAnsi="Times New Roman" w:cs="Times New Roman"/>
          <w:szCs w:val="24"/>
        </w:rPr>
        <w:t xml:space="preserve">ostrożne i stabilne zarządzanie </w:t>
      </w:r>
      <w:r w:rsidRPr="006B2CD4">
        <w:rPr>
          <w:rFonts w:ascii="Times New Roman" w:hAnsi="Times New Roman" w:cs="Times New Roman"/>
          <w:szCs w:val="24"/>
        </w:rPr>
        <w:t>bank</w:t>
      </w:r>
      <w:r>
        <w:rPr>
          <w:rFonts w:ascii="Times New Roman" w:hAnsi="Times New Roman" w:cs="Times New Roman"/>
          <w:szCs w:val="24"/>
        </w:rPr>
        <w:t>iem</w:t>
      </w:r>
      <w:r w:rsidRPr="006B2CD4">
        <w:rPr>
          <w:rFonts w:ascii="Times New Roman" w:hAnsi="Times New Roman" w:cs="Times New Roman"/>
          <w:szCs w:val="24"/>
        </w:rPr>
        <w:t>.</w:t>
      </w:r>
    </w:p>
    <w:p w14:paraId="120DED4C" w14:textId="373EA4A4" w:rsidR="007328F3" w:rsidRDefault="007328F3" w:rsidP="007328F3">
      <w:pPr>
        <w:spacing w:after="120" w:line="360" w:lineRule="auto"/>
        <w:jc w:val="both"/>
        <w:rPr>
          <w:rFonts w:ascii="Times New Roman" w:hAnsi="Times New Roman" w:cs="Times New Roman"/>
          <w:sz w:val="24"/>
          <w:szCs w:val="24"/>
        </w:rPr>
      </w:pPr>
      <w:r>
        <w:rPr>
          <w:rFonts w:ascii="Times New Roman" w:hAnsi="Times New Roman" w:cs="Times New Roman"/>
          <w:szCs w:val="24"/>
        </w:rPr>
        <w:t xml:space="preserve">W </w:t>
      </w:r>
      <w:r w:rsidR="007C1746">
        <w:rPr>
          <w:rFonts w:ascii="Times New Roman" w:hAnsi="Times New Roman" w:cs="Times New Roman"/>
          <w:sz w:val="24"/>
          <w:szCs w:val="24"/>
        </w:rPr>
        <w:t>art.</w:t>
      </w:r>
      <w:r w:rsidR="007C389F">
        <w:rPr>
          <w:rFonts w:ascii="Times New Roman" w:hAnsi="Times New Roman" w:cs="Times New Roman"/>
          <w:szCs w:val="24"/>
        </w:rPr>
        <w:t xml:space="preserve"> </w:t>
      </w:r>
      <w:r>
        <w:rPr>
          <w:rFonts w:ascii="Times New Roman" w:hAnsi="Times New Roman" w:cs="Times New Roman"/>
          <w:sz w:val="24"/>
          <w:szCs w:val="24"/>
        </w:rPr>
        <w:t>6d doda</w:t>
      </w:r>
      <w:r w:rsidR="00B94131">
        <w:rPr>
          <w:rFonts w:ascii="Times New Roman" w:hAnsi="Times New Roman" w:cs="Times New Roman"/>
          <w:sz w:val="24"/>
          <w:szCs w:val="24"/>
        </w:rPr>
        <w:t>nie ust. 1g przewiduje możliwość doręczenia</w:t>
      </w:r>
      <w:r>
        <w:rPr>
          <w:rFonts w:ascii="Times New Roman" w:hAnsi="Times New Roman" w:cs="Times New Roman"/>
          <w:sz w:val="24"/>
          <w:szCs w:val="24"/>
        </w:rPr>
        <w:t xml:space="preserve"> przez KNF decyzji o braku podstaw do zgłoszenia sprzeciwu, jeżeli stwierdzi, że nie zachodzą okoliczności umożliwiające jego wydanie, w terminie określonym na doręczenie decyzji w przedmiocie sprzeciwu.</w:t>
      </w:r>
    </w:p>
    <w:p w14:paraId="3B55431E" w14:textId="14AF7619" w:rsidR="007328F3" w:rsidRDefault="007328F3" w:rsidP="007328F3">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Dodany ust. </w:t>
      </w:r>
      <w:r w:rsidR="00B94131">
        <w:rPr>
          <w:rFonts w:ascii="Times New Roman" w:hAnsi="Times New Roman" w:cs="Times New Roman"/>
          <w:sz w:val="24"/>
          <w:szCs w:val="24"/>
        </w:rPr>
        <w:t>1h</w:t>
      </w:r>
      <w:r>
        <w:rPr>
          <w:rFonts w:ascii="Times New Roman" w:hAnsi="Times New Roman" w:cs="Times New Roman"/>
          <w:sz w:val="24"/>
          <w:szCs w:val="24"/>
        </w:rPr>
        <w:t xml:space="preserve"> w art. 6d</w:t>
      </w:r>
      <w:r w:rsidR="007C389F">
        <w:rPr>
          <w:rFonts w:ascii="Times New Roman" w:hAnsi="Times New Roman" w:cs="Times New Roman"/>
          <w:sz w:val="24"/>
          <w:szCs w:val="24"/>
        </w:rPr>
        <w:t xml:space="preserve"> </w:t>
      </w:r>
      <w:r>
        <w:rPr>
          <w:rFonts w:ascii="Times New Roman" w:hAnsi="Times New Roman" w:cs="Times New Roman"/>
          <w:sz w:val="24"/>
          <w:szCs w:val="24"/>
        </w:rPr>
        <w:t>wskazuje termin na doręczenie decyzji w przedmiocie sprzeciwu, który biegnie od dnia wszczęcia postępowania tj. otrzymania zawiadomienia i wszystkich wymaganych dokumentów do niego dołączanych, o których mowa w ust. 1a. Termin ten wynosi 30 dni roboczych, a w przypadku skomplikowanej sprawy 60 dni roboczych. Powyższe terminy ulegają odpowiednio zawieszeniu w związku z wzywaniem o dodatkowe dok</w:t>
      </w:r>
      <w:r w:rsidR="00B94131">
        <w:rPr>
          <w:rFonts w:ascii="Times New Roman" w:hAnsi="Times New Roman" w:cs="Times New Roman"/>
          <w:sz w:val="24"/>
          <w:szCs w:val="24"/>
        </w:rPr>
        <w:t>umenty, o których mowa w ust. 1d i 1e</w:t>
      </w:r>
      <w:r>
        <w:rPr>
          <w:rFonts w:ascii="Times New Roman" w:hAnsi="Times New Roman" w:cs="Times New Roman"/>
          <w:sz w:val="24"/>
          <w:szCs w:val="24"/>
        </w:rPr>
        <w:t>.</w:t>
      </w:r>
      <w:r w:rsidR="007C389F">
        <w:rPr>
          <w:rFonts w:ascii="Times New Roman" w:hAnsi="Times New Roman" w:cs="Times New Roman"/>
          <w:sz w:val="24"/>
          <w:szCs w:val="24"/>
        </w:rPr>
        <w:t xml:space="preserve"> </w:t>
      </w:r>
      <w:r>
        <w:rPr>
          <w:rFonts w:ascii="Times New Roman" w:hAnsi="Times New Roman" w:cs="Times New Roman"/>
          <w:sz w:val="24"/>
          <w:szCs w:val="24"/>
        </w:rPr>
        <w:t>O przedłużeniu terminu na doręczenie ewentualnego sprzeciwu do 60 dni roboczych od dnia otrzymania zawiadomienia i wszystkich wymaganych dokumentów bank zostanie wcześniej poinformowany.</w:t>
      </w:r>
    </w:p>
    <w:p w14:paraId="50FCACD1" w14:textId="03B4DEFA" w:rsidR="007328F3" w:rsidRPr="006B2CD4" w:rsidRDefault="00750D31" w:rsidP="007328F3">
      <w:pPr>
        <w:pStyle w:val="PKTpunkt"/>
        <w:spacing w:after="120"/>
        <w:ind w:left="0" w:firstLine="0"/>
        <w:rPr>
          <w:rFonts w:ascii="Times New Roman" w:hAnsi="Times New Roman" w:cs="Times New Roman"/>
          <w:szCs w:val="24"/>
        </w:rPr>
      </w:pPr>
      <w:r>
        <w:rPr>
          <w:rFonts w:ascii="Times New Roman" w:hAnsi="Times New Roman" w:cs="Times New Roman"/>
          <w:szCs w:val="24"/>
        </w:rPr>
        <w:t>W art. 6d dodany ust. 1i</w:t>
      </w:r>
      <w:r w:rsidR="007328F3">
        <w:rPr>
          <w:rFonts w:ascii="Times New Roman" w:hAnsi="Times New Roman" w:cs="Times New Roman"/>
          <w:szCs w:val="24"/>
        </w:rPr>
        <w:t xml:space="preserve"> wyjaśnia, że doręczenie decyzji</w:t>
      </w:r>
      <w:r>
        <w:rPr>
          <w:rFonts w:ascii="Times New Roman" w:hAnsi="Times New Roman" w:cs="Times New Roman"/>
          <w:szCs w:val="24"/>
        </w:rPr>
        <w:t>, kończącej postępowanie</w:t>
      </w:r>
      <w:r w:rsidR="007328F3">
        <w:rPr>
          <w:rFonts w:ascii="Times New Roman" w:hAnsi="Times New Roman" w:cs="Times New Roman"/>
          <w:szCs w:val="24"/>
        </w:rPr>
        <w:t xml:space="preserve"> w przedmiocie sprzeciwu jest równoznaczne z nadaniem jej w placówce pocztowej operatora pocztowego albo wysłaniem na adres do doręczeń elektronicznych.</w:t>
      </w:r>
    </w:p>
    <w:p w14:paraId="087E9C61" w14:textId="78F038D9" w:rsidR="007328F3" w:rsidRPr="006B2CD4" w:rsidRDefault="007328F3" w:rsidP="007328F3">
      <w:pPr>
        <w:pStyle w:val="PKTpunkt"/>
        <w:spacing w:after="120"/>
        <w:ind w:left="0" w:firstLine="0"/>
        <w:rPr>
          <w:rFonts w:ascii="Times New Roman" w:hAnsi="Times New Roman" w:cs="Times New Roman"/>
          <w:szCs w:val="24"/>
        </w:rPr>
      </w:pPr>
      <w:r w:rsidRPr="006B2CD4">
        <w:rPr>
          <w:rFonts w:ascii="Times New Roman" w:hAnsi="Times New Roman" w:cs="Times New Roman"/>
          <w:szCs w:val="24"/>
        </w:rPr>
        <w:t>Dodany ust. 1</w:t>
      </w:r>
      <w:r w:rsidR="00750D31">
        <w:rPr>
          <w:rFonts w:ascii="Times New Roman" w:hAnsi="Times New Roman" w:cs="Times New Roman"/>
          <w:szCs w:val="24"/>
        </w:rPr>
        <w:t>j</w:t>
      </w:r>
      <w:r w:rsidRPr="006B2CD4">
        <w:rPr>
          <w:rFonts w:ascii="Times New Roman" w:hAnsi="Times New Roman" w:cs="Times New Roman"/>
          <w:szCs w:val="24"/>
        </w:rPr>
        <w:t xml:space="preserve"> w art. 6d ustawy – Prawo bankowe podkreśla fakt, że jeżeli KNF nie doręczy sprzeciwu w określonym terminie,</w:t>
      </w:r>
      <w:r>
        <w:rPr>
          <w:rFonts w:ascii="Times New Roman" w:hAnsi="Times New Roman" w:cs="Times New Roman"/>
          <w:szCs w:val="24"/>
        </w:rPr>
        <w:t xml:space="preserve"> uwzględniając w szczególności przepisy mówiące o jego zawieszeniu na czas wzywania o dodatkowe dokumenty, albo</w:t>
      </w:r>
      <w:r w:rsidR="00750D31">
        <w:rPr>
          <w:rFonts w:ascii="Times New Roman" w:hAnsi="Times New Roman" w:cs="Times New Roman"/>
          <w:szCs w:val="24"/>
        </w:rPr>
        <w:t xml:space="preserve"> przed upływem tego terminu doręczy</w:t>
      </w:r>
      <w:r>
        <w:rPr>
          <w:rFonts w:ascii="Times New Roman" w:hAnsi="Times New Roman" w:cs="Times New Roman"/>
          <w:szCs w:val="24"/>
        </w:rPr>
        <w:t xml:space="preserve"> decyzję o stwierdzeniu braku podstaw do zgłoszenia sprzeciwu,</w:t>
      </w:r>
      <w:r w:rsidRPr="006B2CD4">
        <w:rPr>
          <w:rFonts w:ascii="Times New Roman" w:hAnsi="Times New Roman" w:cs="Times New Roman"/>
          <w:szCs w:val="24"/>
        </w:rPr>
        <w:t xml:space="preserve"> to umowa outsourcingu lub podoutsourcingu bankowego może zostać zawarta.</w:t>
      </w:r>
    </w:p>
    <w:p w14:paraId="7C41EF87" w14:textId="5069698A" w:rsidR="007328F3" w:rsidRPr="006B2CD4" w:rsidRDefault="007328F3" w:rsidP="007328F3">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W art. 6d ustawy </w:t>
      </w:r>
      <w:r w:rsidRPr="006B2CD4">
        <w:rPr>
          <w:rFonts w:ascii="Times New Roman" w:hAnsi="Times New Roman" w:cs="Times New Roman"/>
          <w:bCs/>
          <w:sz w:val="24"/>
          <w:szCs w:val="24"/>
        </w:rPr>
        <w:t xml:space="preserve">– </w:t>
      </w:r>
      <w:r w:rsidRPr="006B2CD4">
        <w:rPr>
          <w:rFonts w:ascii="Times New Roman" w:hAnsi="Times New Roman" w:cs="Times New Roman"/>
          <w:sz w:val="24"/>
          <w:szCs w:val="24"/>
        </w:rPr>
        <w:t>Prawo bankowe dodanie ust. 1</w:t>
      </w:r>
      <w:r w:rsidR="00750D31">
        <w:rPr>
          <w:rFonts w:ascii="Times New Roman" w:hAnsi="Times New Roman" w:cs="Times New Roman"/>
          <w:sz w:val="24"/>
          <w:szCs w:val="24"/>
        </w:rPr>
        <w:t>k</w:t>
      </w:r>
      <w:r w:rsidRPr="006B2CD4">
        <w:rPr>
          <w:rFonts w:ascii="Times New Roman" w:hAnsi="Times New Roman" w:cs="Times New Roman"/>
          <w:sz w:val="24"/>
          <w:szCs w:val="24"/>
        </w:rPr>
        <w:t xml:space="preserve"> ma na celu wprowadzenie zawiadamiania o istotnej zmianie umowy outsourcingu, podoutsourcingu bankowego przez banki KNF, wyjaśniając jednocześnie co należy rozumieć przez pojęcie „istotna zmiana”.</w:t>
      </w:r>
    </w:p>
    <w:p w14:paraId="776E5F5F" w14:textId="3C4842EA" w:rsidR="007328F3" w:rsidRPr="00B473C5" w:rsidRDefault="007328F3" w:rsidP="007328F3">
      <w:pPr>
        <w:pStyle w:val="PKTpunkt"/>
        <w:spacing w:after="120"/>
        <w:ind w:left="0" w:firstLine="0"/>
        <w:rPr>
          <w:rFonts w:ascii="Times New Roman" w:hAnsi="Times New Roman" w:cs="Times New Roman"/>
          <w:szCs w:val="24"/>
        </w:rPr>
      </w:pPr>
      <w:r w:rsidRPr="006B2CD4">
        <w:rPr>
          <w:rFonts w:ascii="Times New Roman" w:hAnsi="Times New Roman" w:cs="Times New Roman"/>
          <w:szCs w:val="24"/>
        </w:rPr>
        <w:lastRenderedPageBreak/>
        <w:t>Dodany ust. 1</w:t>
      </w:r>
      <w:r w:rsidR="00750D31">
        <w:rPr>
          <w:rFonts w:ascii="Times New Roman" w:hAnsi="Times New Roman" w:cs="Times New Roman"/>
          <w:szCs w:val="24"/>
        </w:rPr>
        <w:t>l</w:t>
      </w:r>
      <w:r w:rsidRPr="006B2CD4">
        <w:rPr>
          <w:rFonts w:ascii="Times New Roman" w:hAnsi="Times New Roman" w:cs="Times New Roman"/>
          <w:szCs w:val="24"/>
        </w:rPr>
        <w:t xml:space="preserve"> w art. 6d ustawy – Prawo bankowe reguluje kwestię stosowania do zawiadamiania o istotnej zmianie umowy outsourcingu, podoutsourcingu bankowego odpowiednich przepisów art. 6d dotyczących m.in. kwestii dokumentów składanych do zawiadomienia, możliwości wezwania o uzupełnienie dokumentów jak również możliwości wyrażenia sprzeciwu przez KNF.</w:t>
      </w:r>
    </w:p>
    <w:p w14:paraId="7E020946" w14:textId="24332231" w:rsidR="00680CC0" w:rsidRPr="006B2CD4" w:rsidRDefault="00680CC0" w:rsidP="00557CC5">
      <w:pPr>
        <w:pStyle w:val="PKTpunkt"/>
        <w:spacing w:after="120"/>
        <w:ind w:left="0" w:firstLine="0"/>
        <w:rPr>
          <w:rFonts w:ascii="Times New Roman" w:hAnsi="Times New Roman" w:cs="Times New Roman"/>
          <w:szCs w:val="24"/>
        </w:rPr>
      </w:pPr>
      <w:r w:rsidRPr="006B2CD4">
        <w:rPr>
          <w:rFonts w:ascii="Times New Roman" w:hAnsi="Times New Roman" w:cs="Times New Roman"/>
          <w:szCs w:val="24"/>
        </w:rPr>
        <w:t>Uchylenie ust. 2,</w:t>
      </w:r>
      <w:r w:rsidR="0012458E" w:rsidRPr="006B2CD4">
        <w:rPr>
          <w:rFonts w:ascii="Times New Roman" w:hAnsi="Times New Roman" w:cs="Times New Roman"/>
          <w:szCs w:val="24"/>
        </w:rPr>
        <w:t xml:space="preserve"> </w:t>
      </w:r>
      <w:r w:rsidRPr="006B2CD4">
        <w:rPr>
          <w:rFonts w:ascii="Times New Roman" w:hAnsi="Times New Roman" w:cs="Times New Roman"/>
          <w:szCs w:val="24"/>
        </w:rPr>
        <w:t>3 i 4 w art. 6d ustawy</w:t>
      </w:r>
      <w:r w:rsidR="0057030D" w:rsidRPr="006B2CD4">
        <w:rPr>
          <w:rFonts w:ascii="Times New Roman" w:hAnsi="Times New Roman" w:cs="Times New Roman"/>
          <w:szCs w:val="24"/>
        </w:rPr>
        <w:t xml:space="preserve"> – </w:t>
      </w:r>
      <w:r w:rsidRPr="006B2CD4">
        <w:rPr>
          <w:rFonts w:ascii="Times New Roman" w:hAnsi="Times New Roman" w:cs="Times New Roman"/>
          <w:szCs w:val="24"/>
        </w:rPr>
        <w:t>Prawo bankowe wynika z rezygnacji ze stosowania zezwolenia KNF wobec powierzenia przez bank wykonywania czynności na podstawie umowy outsourcingu, podoutsourcingu bankowego przedsiębiorcy zagranicznemu, niemającemu miejsca stałego zamieszkania lub nieposiadającym siedziby na terytorium państwa członkowskiego lub gdy powierzone czynności będą wykonywane poza terytorium państwa członkowskiego. Wobec powyżej wskazanego outsourcowania, podoutsourcowania czynności będzie miało zastosowanie zawiadomienie KNF z szeroko rozbudowaną procedurą, określoną w art. 6d ustawy</w:t>
      </w:r>
      <w:r w:rsidR="0057030D" w:rsidRPr="006B2CD4">
        <w:rPr>
          <w:rFonts w:ascii="Times New Roman" w:hAnsi="Times New Roman" w:cs="Times New Roman"/>
          <w:szCs w:val="24"/>
        </w:rPr>
        <w:t xml:space="preserve"> – </w:t>
      </w:r>
      <w:r w:rsidRPr="006B2CD4">
        <w:rPr>
          <w:rFonts w:ascii="Times New Roman" w:hAnsi="Times New Roman" w:cs="Times New Roman"/>
          <w:szCs w:val="24"/>
        </w:rPr>
        <w:t>Prawo bankowe.</w:t>
      </w:r>
    </w:p>
    <w:p w14:paraId="2F2AAB7B" w14:textId="0DD91EAB" w:rsidR="00680CC0" w:rsidRPr="006B2CD4" w:rsidRDefault="00680CC0" w:rsidP="00557CC5">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Dodanie art. </w:t>
      </w:r>
      <w:r w:rsidR="00CD07B1" w:rsidRPr="006B2CD4">
        <w:rPr>
          <w:rFonts w:ascii="Times New Roman" w:hAnsi="Times New Roman" w:cs="Times New Roman"/>
          <w:sz w:val="24"/>
          <w:szCs w:val="24"/>
        </w:rPr>
        <w:t>6da</w:t>
      </w:r>
      <w:r w:rsidRPr="006B2CD4">
        <w:rPr>
          <w:rFonts w:ascii="Times New Roman" w:hAnsi="Times New Roman" w:cs="Times New Roman"/>
          <w:sz w:val="24"/>
          <w:szCs w:val="24"/>
        </w:rPr>
        <w:t xml:space="preserve"> </w:t>
      </w:r>
      <w:r w:rsidR="00E31EAE" w:rsidRPr="006B2CD4">
        <w:rPr>
          <w:rFonts w:ascii="Times New Roman" w:hAnsi="Times New Roman" w:cs="Times New Roman"/>
          <w:sz w:val="24"/>
          <w:szCs w:val="24"/>
        </w:rPr>
        <w:t xml:space="preserve">w </w:t>
      </w:r>
      <w:r w:rsidRPr="006B2CD4">
        <w:rPr>
          <w:rFonts w:ascii="Times New Roman" w:hAnsi="Times New Roman" w:cs="Times New Roman"/>
          <w:sz w:val="24"/>
          <w:szCs w:val="24"/>
        </w:rPr>
        <w:t>ustawie</w:t>
      </w:r>
      <w:r w:rsidR="00A1288D" w:rsidRPr="006B2CD4">
        <w:rPr>
          <w:rFonts w:ascii="Times New Roman" w:hAnsi="Times New Roman" w:cs="Times New Roman"/>
          <w:sz w:val="24"/>
          <w:szCs w:val="24"/>
        </w:rPr>
        <w:t xml:space="preserve"> </w:t>
      </w:r>
      <w:r w:rsidR="00A1288D" w:rsidRPr="006B2CD4">
        <w:rPr>
          <w:rFonts w:ascii="Times New Roman" w:hAnsi="Times New Roman" w:cs="Times New Roman"/>
          <w:bCs/>
          <w:sz w:val="24"/>
          <w:szCs w:val="24"/>
        </w:rPr>
        <w:t xml:space="preserve">– </w:t>
      </w:r>
      <w:r w:rsidRPr="006B2CD4">
        <w:rPr>
          <w:rFonts w:ascii="Times New Roman" w:hAnsi="Times New Roman" w:cs="Times New Roman"/>
          <w:sz w:val="24"/>
          <w:szCs w:val="24"/>
        </w:rPr>
        <w:t>Prawo bankowe wyłączy stosowanie przepisów ograniczających outsourcing dotyczących procedury zawiadamiania KNF o powierzeniu „innych czynności” jak również zawiadamiania KNF o powierzeniu czynności w drodze outsourcingu awaryjnego w sytuacji, gdy dostawcą usług dla banku jest inny bank, instytucja kredytowa</w:t>
      </w:r>
      <w:r w:rsidR="00BA6717">
        <w:rPr>
          <w:rFonts w:ascii="Times New Roman" w:hAnsi="Times New Roman" w:cs="Times New Roman"/>
          <w:sz w:val="24"/>
          <w:szCs w:val="24"/>
        </w:rPr>
        <w:t xml:space="preserve">, dostawca usług płatniczych </w:t>
      </w:r>
      <w:r w:rsidRPr="006B2CD4">
        <w:rPr>
          <w:rFonts w:ascii="Times New Roman" w:hAnsi="Times New Roman" w:cs="Times New Roman"/>
          <w:sz w:val="24"/>
          <w:szCs w:val="24"/>
        </w:rPr>
        <w:t>(są to podmioty poddane nadzorowi bankowemu, przestrzegające restrykcyjnych zasad z zakresu ochrony tajemnicy bankowej, danych osobowych, informacji poufnych itp.)</w:t>
      </w:r>
      <w:r w:rsidR="00135A5C">
        <w:rPr>
          <w:rFonts w:ascii="Times New Roman" w:hAnsi="Times New Roman" w:cs="Times New Roman"/>
          <w:sz w:val="24"/>
          <w:szCs w:val="24"/>
        </w:rPr>
        <w:t xml:space="preserve">, z </w:t>
      </w:r>
      <w:r w:rsidR="00135A5C">
        <w:rPr>
          <w:rFonts w:ascii="Times New Roman" w:hAnsi="Times New Roman" w:cs="Times New Roman"/>
          <w:sz w:val="24"/>
          <w:szCs w:val="24"/>
        </w:rPr>
        <w:lastRenderedPageBreak/>
        <w:t>wyjątkiem przypadków o których mowa w art. 6db</w:t>
      </w:r>
      <w:r w:rsidRPr="006B2CD4">
        <w:rPr>
          <w:rFonts w:ascii="Times New Roman" w:hAnsi="Times New Roman" w:cs="Times New Roman"/>
          <w:sz w:val="24"/>
          <w:szCs w:val="24"/>
        </w:rPr>
        <w:t>. W stosunku do banków jak również instytucji kredytowych</w:t>
      </w:r>
      <w:r w:rsidR="00BA6717">
        <w:rPr>
          <w:rFonts w:ascii="Times New Roman" w:hAnsi="Times New Roman" w:cs="Times New Roman"/>
          <w:sz w:val="24"/>
          <w:szCs w:val="24"/>
        </w:rPr>
        <w:t>, dostawców usług płatniczych</w:t>
      </w:r>
      <w:r w:rsidRPr="006B2CD4">
        <w:rPr>
          <w:rFonts w:ascii="Times New Roman" w:hAnsi="Times New Roman" w:cs="Times New Roman"/>
          <w:sz w:val="24"/>
          <w:szCs w:val="24"/>
        </w:rPr>
        <w:t xml:space="preserve"> nie ma potrzeby stosowania tych samych standardów co wobec </w:t>
      </w:r>
      <w:r w:rsidR="00BA6717">
        <w:rPr>
          <w:rFonts w:ascii="Times New Roman" w:hAnsi="Times New Roman" w:cs="Times New Roman"/>
          <w:sz w:val="24"/>
          <w:szCs w:val="24"/>
        </w:rPr>
        <w:t>i</w:t>
      </w:r>
      <w:r w:rsidR="00D44FFE">
        <w:rPr>
          <w:rFonts w:ascii="Times New Roman" w:hAnsi="Times New Roman" w:cs="Times New Roman"/>
          <w:sz w:val="24"/>
          <w:szCs w:val="24"/>
        </w:rPr>
        <w:t>nneg</w:t>
      </w:r>
      <w:r w:rsidR="00D53C57">
        <w:rPr>
          <w:rFonts w:ascii="Times New Roman" w:hAnsi="Times New Roman" w:cs="Times New Roman"/>
          <w:sz w:val="24"/>
          <w:szCs w:val="24"/>
        </w:rPr>
        <w:t xml:space="preserve">o </w:t>
      </w:r>
      <w:r w:rsidRPr="006B2CD4">
        <w:rPr>
          <w:rFonts w:ascii="Times New Roman" w:hAnsi="Times New Roman" w:cs="Times New Roman"/>
          <w:sz w:val="24"/>
          <w:szCs w:val="24"/>
        </w:rPr>
        <w:t xml:space="preserve">dostawcy. </w:t>
      </w:r>
    </w:p>
    <w:p w14:paraId="13015AA3" w14:textId="63D9ED99" w:rsidR="00680CC0" w:rsidRPr="006B2CD4" w:rsidRDefault="00680CC0" w:rsidP="00557CC5">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Art. 6db ustawy</w:t>
      </w:r>
      <w:r w:rsidR="00670691" w:rsidRPr="006B2CD4">
        <w:rPr>
          <w:rFonts w:ascii="Times New Roman" w:hAnsi="Times New Roman" w:cs="Times New Roman"/>
          <w:bCs/>
          <w:sz w:val="24"/>
          <w:szCs w:val="24"/>
        </w:rPr>
        <w:t xml:space="preserve"> – </w:t>
      </w:r>
      <w:r w:rsidRPr="006B2CD4">
        <w:rPr>
          <w:rFonts w:ascii="Times New Roman" w:hAnsi="Times New Roman" w:cs="Times New Roman"/>
          <w:bCs/>
          <w:sz w:val="24"/>
          <w:szCs w:val="24"/>
        </w:rPr>
        <w:t xml:space="preserve">Prawo bankowe </w:t>
      </w:r>
      <w:r w:rsidR="002472E6" w:rsidRPr="006B2CD4">
        <w:rPr>
          <w:rFonts w:ascii="Times New Roman" w:hAnsi="Times New Roman" w:cs="Times New Roman"/>
          <w:bCs/>
          <w:sz w:val="24"/>
          <w:szCs w:val="24"/>
        </w:rPr>
        <w:t>dotyczy</w:t>
      </w:r>
      <w:r w:rsidRPr="006B2CD4">
        <w:rPr>
          <w:rFonts w:ascii="Times New Roman" w:hAnsi="Times New Roman" w:cs="Times New Roman"/>
          <w:bCs/>
          <w:sz w:val="24"/>
          <w:szCs w:val="24"/>
        </w:rPr>
        <w:t xml:space="preserve"> szczególnego przypadku powierzania przez banki hipoteczne wykonywania czynności bankom krajowym spełniającym wskazane ustawowe kryteria.</w:t>
      </w:r>
    </w:p>
    <w:p w14:paraId="09BFE9C5" w14:textId="4D082141" w:rsidR="00680CC0" w:rsidRPr="006B2CD4" w:rsidRDefault="00680CC0" w:rsidP="00557CC5">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Należy wskazać, że funkcjonujący w Polsce model bankowości hipotecznej opiera się na wyodrębnionych bankach specjalistycznych, jakimi są banki hipoteczne uprawnione do emisji listów zastawnych, dla których podstawę prawną działalności stanowią przepisy ustawy z dnia 29 sierpnia 1997 r. o listach zastawnych i bankach hipotecznych (Dz. U. z 202</w:t>
      </w:r>
      <w:r w:rsidR="007326BF">
        <w:rPr>
          <w:rFonts w:ascii="Times New Roman" w:hAnsi="Times New Roman" w:cs="Times New Roman"/>
          <w:bCs/>
          <w:sz w:val="24"/>
          <w:szCs w:val="24"/>
        </w:rPr>
        <w:t>3</w:t>
      </w:r>
      <w:r w:rsidRPr="006B2CD4">
        <w:rPr>
          <w:rFonts w:ascii="Times New Roman" w:hAnsi="Times New Roman" w:cs="Times New Roman"/>
          <w:bCs/>
          <w:sz w:val="24"/>
          <w:szCs w:val="24"/>
        </w:rPr>
        <w:t xml:space="preserve"> r. poz. </w:t>
      </w:r>
      <w:r w:rsidR="007326BF">
        <w:rPr>
          <w:rFonts w:ascii="Times New Roman" w:hAnsi="Times New Roman" w:cs="Times New Roman"/>
          <w:bCs/>
          <w:sz w:val="24"/>
          <w:szCs w:val="24"/>
        </w:rPr>
        <w:t>110</w:t>
      </w:r>
      <w:r w:rsidRPr="006B2CD4">
        <w:rPr>
          <w:rFonts w:ascii="Times New Roman" w:hAnsi="Times New Roman" w:cs="Times New Roman"/>
          <w:bCs/>
          <w:sz w:val="24"/>
          <w:szCs w:val="24"/>
        </w:rPr>
        <w:t xml:space="preserve">). Potencjał obniżenia kosztowego funkcjonowania takich instytucji może być zrealizowany m.in. poprzez dopuszczenie możliwości stosowania szerszego zakresu outsourcingu niż wynikający z obecnych regulacji ustawy </w:t>
      </w:r>
      <w:r w:rsidR="00670691" w:rsidRPr="006B2CD4">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Prawo bankowe. Pozytywny wpływ takich rozwiązań na parametry finansowe banków hipotecznych został wykazany po przeprowadzeniu stosownych nadzorczych analiz i kalkulacji. Dodatkowo do przyjęcia takiego modelu przyczyniła się sytuacja, która ukształtowała się na rynku banków hipotecznych w Polsce, gdzie w praktyce banki hipoteczne należą w 100% do banków krajowych (uniwersalnych). W związku z powyższym projekt </w:t>
      </w:r>
      <w:r w:rsidRPr="006B2CD4">
        <w:rPr>
          <w:rFonts w:ascii="Times New Roman" w:hAnsi="Times New Roman" w:cs="Times New Roman"/>
          <w:sz w:val="24"/>
          <w:szCs w:val="24"/>
        </w:rPr>
        <w:t>przewiduje, w art. 6db ust. 1 ustawy</w:t>
      </w:r>
      <w:r w:rsidR="00670691" w:rsidRPr="006B2CD4">
        <w:rPr>
          <w:rFonts w:ascii="Times New Roman" w:hAnsi="Times New Roman" w:cs="Times New Roman"/>
          <w:sz w:val="24"/>
          <w:szCs w:val="24"/>
        </w:rPr>
        <w:t xml:space="preserve"> </w:t>
      </w:r>
      <w:r w:rsidR="00670691" w:rsidRPr="006B2CD4">
        <w:rPr>
          <w:rFonts w:ascii="Times New Roman" w:hAnsi="Times New Roman" w:cs="Times New Roman"/>
          <w:bCs/>
          <w:sz w:val="24"/>
          <w:szCs w:val="24"/>
        </w:rPr>
        <w:t xml:space="preserve">– </w:t>
      </w:r>
      <w:r w:rsidRPr="006B2CD4">
        <w:rPr>
          <w:rFonts w:ascii="Times New Roman" w:hAnsi="Times New Roman" w:cs="Times New Roman"/>
          <w:sz w:val="24"/>
          <w:szCs w:val="24"/>
        </w:rPr>
        <w:t xml:space="preserve">Prawo bankowe, że w </w:t>
      </w:r>
      <w:r w:rsidRPr="006B2CD4">
        <w:rPr>
          <w:rFonts w:ascii="Times New Roman" w:hAnsi="Times New Roman" w:cs="Times New Roman"/>
          <w:bCs/>
          <w:sz w:val="24"/>
          <w:szCs w:val="24"/>
        </w:rPr>
        <w:t xml:space="preserve">przypadku powierzenia czynności pomiędzy bankiem hipotecznym a bankiem krajowym, który jest </w:t>
      </w:r>
      <w:r w:rsidR="00391D39">
        <w:rPr>
          <w:rFonts w:ascii="Times New Roman" w:hAnsi="Times New Roman" w:cs="Times New Roman"/>
          <w:bCs/>
          <w:sz w:val="24"/>
          <w:szCs w:val="24"/>
        </w:rPr>
        <w:t xml:space="preserve">jedynym </w:t>
      </w:r>
      <w:r w:rsidRPr="006B2CD4">
        <w:rPr>
          <w:rFonts w:ascii="Times New Roman" w:hAnsi="Times New Roman" w:cs="Times New Roman"/>
          <w:bCs/>
          <w:sz w:val="24"/>
          <w:szCs w:val="24"/>
        </w:rPr>
        <w:t>akcjo</w:t>
      </w:r>
      <w:r w:rsidR="00FA7CBB">
        <w:rPr>
          <w:rFonts w:ascii="Times New Roman" w:hAnsi="Times New Roman" w:cs="Times New Roman"/>
          <w:bCs/>
          <w:sz w:val="24"/>
          <w:szCs w:val="24"/>
        </w:rPr>
        <w:t>na</w:t>
      </w:r>
      <w:r w:rsidR="00FA7CBB">
        <w:rPr>
          <w:rFonts w:ascii="Times New Roman" w:hAnsi="Times New Roman" w:cs="Times New Roman"/>
          <w:bCs/>
          <w:sz w:val="24"/>
          <w:szCs w:val="24"/>
        </w:rPr>
        <w:lastRenderedPageBreak/>
        <w:t>riuszem</w:t>
      </w:r>
      <w:r w:rsidRPr="006B2CD4">
        <w:rPr>
          <w:rFonts w:ascii="Times New Roman" w:eastAsia="Times New Roman" w:hAnsi="Times New Roman" w:cs="Times New Roman"/>
          <w:sz w:val="24"/>
          <w:szCs w:val="24"/>
        </w:rPr>
        <w:t xml:space="preserve">, </w:t>
      </w:r>
      <w:r w:rsidRPr="006B2CD4">
        <w:rPr>
          <w:rFonts w:ascii="Times New Roman" w:hAnsi="Times New Roman" w:cs="Times New Roman"/>
          <w:bCs/>
          <w:sz w:val="24"/>
          <w:szCs w:val="24"/>
        </w:rPr>
        <w:t>nie ma zastosowania art. 6a ust. 3 ustawy</w:t>
      </w:r>
      <w:r w:rsidR="00670691" w:rsidRPr="006B2CD4">
        <w:rPr>
          <w:rFonts w:ascii="Times New Roman" w:hAnsi="Times New Roman" w:cs="Times New Roman"/>
          <w:bCs/>
          <w:sz w:val="24"/>
          <w:szCs w:val="24"/>
        </w:rPr>
        <w:t xml:space="preserve"> – </w:t>
      </w:r>
      <w:r w:rsidRPr="006B2CD4">
        <w:rPr>
          <w:rFonts w:ascii="Times New Roman" w:hAnsi="Times New Roman" w:cs="Times New Roman"/>
          <w:bCs/>
          <w:sz w:val="24"/>
          <w:szCs w:val="24"/>
        </w:rPr>
        <w:t>Prawo bankowe</w:t>
      </w:r>
      <w:r w:rsidRPr="006B2CD4">
        <w:rPr>
          <w:rFonts w:ascii="Times New Roman" w:hAnsi="Times New Roman" w:cs="Times New Roman"/>
          <w:sz w:val="24"/>
          <w:szCs w:val="24"/>
        </w:rPr>
        <w:t xml:space="preserve">. </w:t>
      </w:r>
      <w:r w:rsidRPr="006B2CD4">
        <w:rPr>
          <w:rFonts w:ascii="Times New Roman" w:hAnsi="Times New Roman" w:cs="Times New Roman"/>
          <w:bCs/>
          <w:sz w:val="24"/>
          <w:szCs w:val="24"/>
        </w:rPr>
        <w:t>W konsekwencji rozszerzenia dopuszczalnego zakresu przedmiotowego outsourcingu pokrywającego się z zakresem określonym w Wytycznych EBA, możliwy byłby outsourcing większości funkcji banku (tj. procesów, usług i działań) przy zachowaniu podziału funkcji na krytyczne lub istotne oraz pozostałe, co umożliwi outsourcowanie m.in. części funkcji zarządzania ryzykiem w ramach grupy kapitałowej.</w:t>
      </w:r>
      <w:r w:rsidR="00557CC5" w:rsidRPr="006B2CD4">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Propozycja regulacyjna przewiduje </w:t>
      </w:r>
      <w:r w:rsidR="0070702E" w:rsidRPr="006B2CD4">
        <w:rPr>
          <w:rFonts w:ascii="Times New Roman" w:hAnsi="Times New Roman" w:cs="Times New Roman"/>
          <w:bCs/>
          <w:sz w:val="24"/>
          <w:szCs w:val="24"/>
        </w:rPr>
        <w:t xml:space="preserve">możliwość zgłoszenia sprzeciwu </w:t>
      </w:r>
      <w:r w:rsidRPr="006B2CD4">
        <w:rPr>
          <w:rFonts w:ascii="Times New Roman" w:hAnsi="Times New Roman" w:cs="Times New Roman"/>
          <w:bCs/>
          <w:sz w:val="24"/>
          <w:szCs w:val="24"/>
        </w:rPr>
        <w:t xml:space="preserve">KNF na powierzenie wykonywania czynności, o których mowa w art. 6a ust. 3 (projektowany art. 6db ust. </w:t>
      </w:r>
      <w:r w:rsidR="0070702E" w:rsidRPr="006B2CD4">
        <w:rPr>
          <w:rFonts w:ascii="Times New Roman" w:hAnsi="Times New Roman" w:cs="Times New Roman"/>
          <w:bCs/>
          <w:sz w:val="24"/>
          <w:szCs w:val="24"/>
        </w:rPr>
        <w:t xml:space="preserve">3 </w:t>
      </w:r>
      <w:r w:rsidRPr="006B2CD4">
        <w:rPr>
          <w:rFonts w:ascii="Times New Roman" w:hAnsi="Times New Roman" w:cs="Times New Roman"/>
          <w:bCs/>
          <w:sz w:val="24"/>
          <w:szCs w:val="24"/>
        </w:rPr>
        <w:t xml:space="preserve">ustawy </w:t>
      </w:r>
      <w:r w:rsidR="00670691" w:rsidRPr="006B2CD4">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Prawo bankowe). Wyjaśnienia wymaga, że przyjęty w projekcie </w:t>
      </w:r>
      <w:r w:rsidR="00B754F2" w:rsidRPr="006B2CD4">
        <w:rPr>
          <w:rFonts w:ascii="Times New Roman" w:hAnsi="Times New Roman" w:cs="Times New Roman"/>
          <w:bCs/>
          <w:sz w:val="24"/>
          <w:szCs w:val="24"/>
        </w:rPr>
        <w:t xml:space="preserve">rygor sprzeciwu </w:t>
      </w:r>
      <w:r w:rsidRPr="006B2CD4">
        <w:rPr>
          <w:rFonts w:ascii="Times New Roman" w:hAnsi="Times New Roman" w:cs="Times New Roman"/>
          <w:bCs/>
          <w:sz w:val="24"/>
          <w:szCs w:val="24"/>
        </w:rPr>
        <w:t>KNF w przypadku powierzania przez bank hipoteczny czynności wymienionych w art. 6a ust. 3 ustawy</w:t>
      </w:r>
      <w:r w:rsidR="00670691" w:rsidRPr="006B2CD4">
        <w:rPr>
          <w:rFonts w:ascii="Times New Roman" w:hAnsi="Times New Roman" w:cs="Times New Roman"/>
          <w:bCs/>
          <w:sz w:val="24"/>
          <w:szCs w:val="24"/>
        </w:rPr>
        <w:t xml:space="preserve"> – </w:t>
      </w:r>
      <w:r w:rsidRPr="006B2CD4">
        <w:rPr>
          <w:rFonts w:ascii="Times New Roman" w:hAnsi="Times New Roman" w:cs="Times New Roman"/>
          <w:bCs/>
          <w:sz w:val="24"/>
          <w:szCs w:val="24"/>
        </w:rPr>
        <w:t xml:space="preserve">Prawo bankowe uzasadniony jest szczególnym </w:t>
      </w:r>
      <w:r w:rsidR="00B754F2" w:rsidRPr="006B2CD4">
        <w:rPr>
          <w:rFonts w:ascii="Times New Roman" w:hAnsi="Times New Roman" w:cs="Times New Roman"/>
          <w:bCs/>
          <w:sz w:val="24"/>
          <w:szCs w:val="24"/>
        </w:rPr>
        <w:t xml:space="preserve">charakterem tych czynności. </w:t>
      </w:r>
      <w:r w:rsidRPr="006B2CD4">
        <w:rPr>
          <w:rFonts w:ascii="Times New Roman" w:hAnsi="Times New Roman" w:cs="Times New Roman"/>
          <w:bCs/>
          <w:sz w:val="24"/>
          <w:szCs w:val="24"/>
        </w:rPr>
        <w:t>W tym kontekście podkreślić należy, że przepis w art. 6a ust. 3 statuuje ustawowe wyłączenia z zakresu outsourcingu stosowanego przez banki, dotyczące obszarów takich jak zarządzanie bankiem w rozumieniu art. 368 § 1 ustawy z dnia 15 września 2000 r. – Kodeks spółek handlo</w:t>
      </w:r>
      <w:r w:rsidR="0088626E" w:rsidRPr="006B2CD4">
        <w:rPr>
          <w:rFonts w:ascii="Times New Roman" w:hAnsi="Times New Roman" w:cs="Times New Roman"/>
          <w:bCs/>
          <w:sz w:val="24"/>
          <w:szCs w:val="24"/>
        </w:rPr>
        <w:t>wych (Dz. U. z 2022 r. poz. 1467</w:t>
      </w:r>
      <w:r w:rsidRPr="006B2CD4">
        <w:rPr>
          <w:rFonts w:ascii="Times New Roman" w:hAnsi="Times New Roman" w:cs="Times New Roman"/>
          <w:bCs/>
          <w:sz w:val="24"/>
          <w:szCs w:val="24"/>
        </w:rPr>
        <w:t>, z późn. zm.), dalej „k.s.h.”</w:t>
      </w:r>
      <w:r w:rsidR="00FA7CBB">
        <w:rPr>
          <w:rFonts w:ascii="Times New Roman" w:hAnsi="Times New Roman" w:cs="Times New Roman"/>
          <w:bCs/>
          <w:sz w:val="24"/>
          <w:szCs w:val="24"/>
        </w:rPr>
        <w:t>,</w:t>
      </w:r>
      <w:r w:rsidRPr="006B2CD4">
        <w:rPr>
          <w:rFonts w:ascii="Times New Roman" w:hAnsi="Times New Roman" w:cs="Times New Roman"/>
          <w:bCs/>
          <w:sz w:val="24"/>
          <w:szCs w:val="24"/>
        </w:rPr>
        <w:t xml:space="preserve"> oraz przeprowadzanie audytu wewnętrznego banku. Projektodawca, jak wcześniej wspomniano, uwzględniając właścicielskie uprawnienia, w tym istniejące operacyjne oraz funkcjonalne więzi pomiędzy bankiem hipotecznym oraz jego spółką - matką, zaproponował uchylenie zakazu outsourcingu określonego w art. 6a ust. 3, przy jednoczesnym </w:t>
      </w:r>
      <w:r w:rsidR="00B754F2" w:rsidRPr="006B2CD4">
        <w:rPr>
          <w:rFonts w:ascii="Times New Roman" w:hAnsi="Times New Roman" w:cs="Times New Roman"/>
          <w:bCs/>
          <w:sz w:val="24"/>
          <w:szCs w:val="24"/>
        </w:rPr>
        <w:t xml:space="preserve">zagwarantowaniu jednakże uprawnienia do zgłoszenia sprzeciwu KNF. Wskazać należy, że w ramach procedury związanej z zawiadamianiem KNF przez bank hipoteczny o powierzeniu wykonywania czynności objętych art. 6a ust. </w:t>
      </w:r>
      <w:r w:rsidR="00B754F2" w:rsidRPr="006B2CD4">
        <w:rPr>
          <w:rFonts w:ascii="Times New Roman" w:hAnsi="Times New Roman" w:cs="Times New Roman"/>
          <w:bCs/>
          <w:sz w:val="24"/>
          <w:szCs w:val="24"/>
        </w:rPr>
        <w:lastRenderedPageBreak/>
        <w:t>3 ustawy</w:t>
      </w:r>
      <w:r w:rsidR="00670691" w:rsidRPr="006B2CD4">
        <w:rPr>
          <w:rFonts w:ascii="Times New Roman" w:hAnsi="Times New Roman" w:cs="Times New Roman"/>
          <w:bCs/>
          <w:sz w:val="24"/>
          <w:szCs w:val="24"/>
        </w:rPr>
        <w:t xml:space="preserve"> – </w:t>
      </w:r>
      <w:r w:rsidR="00B754F2" w:rsidRPr="006B2CD4">
        <w:rPr>
          <w:rFonts w:ascii="Times New Roman" w:hAnsi="Times New Roman" w:cs="Times New Roman"/>
          <w:bCs/>
          <w:sz w:val="24"/>
          <w:szCs w:val="24"/>
        </w:rPr>
        <w:t>Prawo bankowe, organ nadzoru nad rynkiem finansowym będzie mógł dokonać, z perspektywy nadzorczej, oceny umowy, której przedmiotem są te czynności oraz ocenić czy zachodzą przesłanki do zgłoszenia sprzeciwu, wskazane w art. 6db ust. 3.</w:t>
      </w:r>
      <w:r w:rsidR="00557CC5" w:rsidRPr="006B2CD4">
        <w:rPr>
          <w:rFonts w:ascii="Times New Roman" w:hAnsi="Times New Roman" w:cs="Times New Roman"/>
          <w:bCs/>
          <w:sz w:val="24"/>
          <w:szCs w:val="24"/>
        </w:rPr>
        <w:t xml:space="preserve"> </w:t>
      </w:r>
      <w:r w:rsidR="00B754F2" w:rsidRPr="006B2CD4">
        <w:rPr>
          <w:rFonts w:ascii="Times New Roman" w:hAnsi="Times New Roman" w:cs="Times New Roman"/>
          <w:bCs/>
          <w:sz w:val="24"/>
          <w:szCs w:val="24"/>
        </w:rPr>
        <w:t>Warto dodać, że w myśl art. 6db ust. 2 bank hipoteczny ponosi pełną odpowiedzialność za zobowiązania wynikające z</w:t>
      </w:r>
      <w:r w:rsidR="00391D39">
        <w:rPr>
          <w:rFonts w:ascii="Times New Roman" w:hAnsi="Times New Roman" w:cs="Times New Roman"/>
          <w:bCs/>
          <w:sz w:val="24"/>
          <w:szCs w:val="24"/>
        </w:rPr>
        <w:t xml:space="preserve"> czynności</w:t>
      </w:r>
      <w:r w:rsidR="00B754F2" w:rsidRPr="006B2CD4">
        <w:rPr>
          <w:rFonts w:ascii="Times New Roman" w:hAnsi="Times New Roman" w:cs="Times New Roman"/>
          <w:bCs/>
          <w:sz w:val="24"/>
          <w:szCs w:val="24"/>
        </w:rPr>
        <w:t xml:space="preserve"> powierzonych </w:t>
      </w:r>
      <w:r w:rsidR="00391D39">
        <w:rPr>
          <w:rFonts w:ascii="Times New Roman" w:hAnsi="Times New Roman" w:cs="Times New Roman"/>
          <w:bCs/>
          <w:sz w:val="24"/>
          <w:szCs w:val="24"/>
        </w:rPr>
        <w:t>w sposób określony</w:t>
      </w:r>
      <w:r w:rsidR="00B754F2" w:rsidRPr="006B2CD4">
        <w:rPr>
          <w:rFonts w:ascii="Times New Roman" w:hAnsi="Times New Roman" w:cs="Times New Roman"/>
          <w:bCs/>
          <w:sz w:val="24"/>
          <w:szCs w:val="24"/>
        </w:rPr>
        <w:t xml:space="preserve"> w art. 6a ust. 3 ustawy </w:t>
      </w:r>
      <w:r w:rsidR="00670691" w:rsidRPr="006B2CD4">
        <w:rPr>
          <w:rFonts w:ascii="Times New Roman" w:hAnsi="Times New Roman" w:cs="Times New Roman"/>
          <w:bCs/>
          <w:sz w:val="24"/>
          <w:szCs w:val="24"/>
        </w:rPr>
        <w:t xml:space="preserve">– </w:t>
      </w:r>
      <w:r w:rsidR="00B754F2" w:rsidRPr="006B2CD4">
        <w:rPr>
          <w:rFonts w:ascii="Times New Roman" w:hAnsi="Times New Roman" w:cs="Times New Roman"/>
          <w:bCs/>
          <w:sz w:val="24"/>
          <w:szCs w:val="24"/>
        </w:rPr>
        <w:t>Prawo bankowe.</w:t>
      </w:r>
    </w:p>
    <w:p w14:paraId="2277D6A0" w14:textId="5723ED5C" w:rsidR="00680CC0" w:rsidRPr="006B2CD4" w:rsidRDefault="00680CC0" w:rsidP="00557CC5">
      <w:pPr>
        <w:pStyle w:val="ZUSTzmustartykuempunktem"/>
        <w:spacing w:after="120"/>
        <w:ind w:left="0" w:firstLine="0"/>
        <w:rPr>
          <w:rFonts w:ascii="Times New Roman" w:hAnsi="Times New Roman" w:cs="Times New Roman"/>
          <w:bCs/>
          <w:szCs w:val="24"/>
        </w:rPr>
      </w:pPr>
      <w:r w:rsidRPr="006B2CD4">
        <w:rPr>
          <w:rFonts w:ascii="Times New Roman" w:hAnsi="Times New Roman" w:cs="Times New Roman"/>
          <w:bCs/>
          <w:szCs w:val="24"/>
        </w:rPr>
        <w:t>Podsumowując, projektowane rozwiązania w art. 6db ustawy</w:t>
      </w:r>
      <w:r w:rsidR="00670691" w:rsidRPr="006B2CD4">
        <w:rPr>
          <w:rFonts w:ascii="Times New Roman" w:hAnsi="Times New Roman" w:cs="Times New Roman"/>
          <w:bCs/>
          <w:szCs w:val="24"/>
        </w:rPr>
        <w:t xml:space="preserve"> – </w:t>
      </w:r>
      <w:r w:rsidRPr="006B2CD4">
        <w:rPr>
          <w:rFonts w:ascii="Times New Roman" w:hAnsi="Times New Roman" w:cs="Times New Roman"/>
          <w:bCs/>
          <w:szCs w:val="24"/>
        </w:rPr>
        <w:t xml:space="preserve">Prawo bankowe stanowią regulację szczególną dla banków hipotecznych, które w 100% należą do banku krajowego banku matki. Oznacza to, że wszystkie </w:t>
      </w:r>
      <w:r w:rsidR="007A3E99">
        <w:rPr>
          <w:rFonts w:ascii="Times New Roman" w:hAnsi="Times New Roman" w:cs="Times New Roman"/>
          <w:bCs/>
          <w:szCs w:val="24"/>
        </w:rPr>
        <w:t xml:space="preserve">banki </w:t>
      </w:r>
      <w:r w:rsidRPr="006B2CD4">
        <w:rPr>
          <w:rFonts w:ascii="Times New Roman" w:hAnsi="Times New Roman" w:cs="Times New Roman"/>
          <w:bCs/>
          <w:szCs w:val="24"/>
        </w:rPr>
        <w:t>hipoteczne w zakresie outsourcingu działać będą nadal na gruncie przepisów art. 6a–6d</w:t>
      </w:r>
      <w:r w:rsidR="00B754F2" w:rsidRPr="006B2CD4">
        <w:rPr>
          <w:rFonts w:ascii="Times New Roman" w:hAnsi="Times New Roman" w:cs="Times New Roman"/>
          <w:bCs/>
          <w:szCs w:val="24"/>
        </w:rPr>
        <w:t>c</w:t>
      </w:r>
      <w:r w:rsidRPr="006B2CD4">
        <w:rPr>
          <w:rFonts w:ascii="Times New Roman" w:hAnsi="Times New Roman" w:cs="Times New Roman"/>
          <w:bCs/>
          <w:szCs w:val="24"/>
        </w:rPr>
        <w:t xml:space="preserve"> ustawy</w:t>
      </w:r>
      <w:r w:rsidR="00670691" w:rsidRPr="006B2CD4">
        <w:rPr>
          <w:rFonts w:ascii="Times New Roman" w:hAnsi="Times New Roman" w:cs="Times New Roman"/>
          <w:bCs/>
          <w:szCs w:val="24"/>
        </w:rPr>
        <w:t xml:space="preserve"> – </w:t>
      </w:r>
      <w:r w:rsidRPr="006B2CD4">
        <w:rPr>
          <w:rFonts w:ascii="Times New Roman" w:hAnsi="Times New Roman" w:cs="Times New Roman"/>
          <w:bCs/>
          <w:szCs w:val="24"/>
        </w:rPr>
        <w:t>Prawo bankowe, przy czym banki hipoteczne ze strukturą własności 100% udziałowiec bank-matka mogą poszerzać zakres powierzenia tym bankom o dodatkowe czynności związane z wyłączeniem art. 6a ust. 3, przy spełnieniu warunków określonych w art. 6db.</w:t>
      </w:r>
    </w:p>
    <w:p w14:paraId="6A718A78" w14:textId="4CEB5697" w:rsidR="00680CC0" w:rsidRPr="006B2CD4" w:rsidRDefault="00680CC0" w:rsidP="00557CC5">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Dodanie art. 6dc ust. 1 w ustawie</w:t>
      </w:r>
      <w:r w:rsidR="00670691" w:rsidRPr="006B2CD4">
        <w:rPr>
          <w:rFonts w:ascii="Times New Roman" w:hAnsi="Times New Roman" w:cs="Times New Roman"/>
          <w:sz w:val="24"/>
          <w:szCs w:val="24"/>
        </w:rPr>
        <w:t xml:space="preserve"> </w:t>
      </w:r>
      <w:r w:rsidR="00670691" w:rsidRPr="006B2CD4">
        <w:rPr>
          <w:rFonts w:ascii="Times New Roman" w:hAnsi="Times New Roman" w:cs="Times New Roman"/>
          <w:bCs/>
          <w:sz w:val="24"/>
          <w:szCs w:val="24"/>
        </w:rPr>
        <w:t xml:space="preserve">– </w:t>
      </w:r>
      <w:r w:rsidRPr="006B2CD4">
        <w:rPr>
          <w:rFonts w:ascii="Times New Roman" w:hAnsi="Times New Roman" w:cs="Times New Roman"/>
          <w:sz w:val="24"/>
          <w:szCs w:val="24"/>
        </w:rPr>
        <w:t>Prawo bankowe ma na celu umożliwienie przejścia na komunikację elektroniczną, w ramach digitalizacji procesów pomiędzy KNF, a podmiotami podlegającymi nadzorowi. Rozwiązanie to niewątpliwie obniży koszty po stronie banków i usprawni proces weryfikacyjny po stronie organu nadzoru.</w:t>
      </w:r>
    </w:p>
    <w:p w14:paraId="20DA0F56" w14:textId="31503845" w:rsidR="00680CC0" w:rsidRPr="006B2CD4" w:rsidRDefault="00680CC0" w:rsidP="00557CC5">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Dodanie art. 6dc ust. 2 w ustawie</w:t>
      </w:r>
      <w:r w:rsidR="00670691" w:rsidRPr="006B2CD4">
        <w:rPr>
          <w:rFonts w:ascii="Times New Roman" w:hAnsi="Times New Roman" w:cs="Times New Roman"/>
          <w:sz w:val="24"/>
          <w:szCs w:val="24"/>
        </w:rPr>
        <w:t xml:space="preserve"> </w:t>
      </w:r>
      <w:r w:rsidR="00670691" w:rsidRPr="006B2CD4">
        <w:rPr>
          <w:rFonts w:ascii="Times New Roman" w:hAnsi="Times New Roman" w:cs="Times New Roman"/>
          <w:bCs/>
          <w:sz w:val="24"/>
          <w:szCs w:val="24"/>
        </w:rPr>
        <w:t xml:space="preserve">– </w:t>
      </w:r>
      <w:r w:rsidRPr="006B2CD4">
        <w:rPr>
          <w:rFonts w:ascii="Times New Roman" w:hAnsi="Times New Roman" w:cs="Times New Roman"/>
          <w:sz w:val="24"/>
          <w:szCs w:val="24"/>
        </w:rPr>
        <w:t xml:space="preserve">Prawo bankowe podkreśla wymóg sporządzenia dokumentów w języku polskim lub ich przetłumaczenia na język polski. Ponadto, powyższy wymóg </w:t>
      </w:r>
      <w:r w:rsidRPr="006B2CD4">
        <w:rPr>
          <w:rFonts w:ascii="Times New Roman" w:hAnsi="Times New Roman" w:cs="Times New Roman"/>
          <w:sz w:val="24"/>
          <w:szCs w:val="24"/>
        </w:rPr>
        <w:lastRenderedPageBreak/>
        <w:t>obejmuje przetłumaczenie dokumentów przez tłumacza przysięgłego lub właściwego konsula Rzeczypospolitej Polskiej.</w:t>
      </w:r>
    </w:p>
    <w:p w14:paraId="5517684E" w14:textId="261C52B8" w:rsidR="004F1D30" w:rsidRPr="006B2CD4" w:rsidRDefault="004F1D30" w:rsidP="00557CC5">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Uchylenie art. 7a ustawy </w:t>
      </w:r>
      <w:r w:rsidR="00670691" w:rsidRPr="006B2CD4">
        <w:rPr>
          <w:rFonts w:ascii="Times New Roman" w:hAnsi="Times New Roman" w:cs="Times New Roman"/>
          <w:bCs/>
          <w:sz w:val="24"/>
          <w:szCs w:val="24"/>
        </w:rPr>
        <w:t xml:space="preserve">– </w:t>
      </w:r>
      <w:r w:rsidRPr="006B2CD4">
        <w:rPr>
          <w:rFonts w:ascii="Times New Roman" w:hAnsi="Times New Roman" w:cs="Times New Roman"/>
          <w:sz w:val="24"/>
          <w:szCs w:val="24"/>
        </w:rPr>
        <w:t xml:space="preserve">Prawo bankowe wynika z wprowadzenia jednolitej licencji bankowej i </w:t>
      </w:r>
      <w:r w:rsidR="007A3E99">
        <w:rPr>
          <w:rFonts w:ascii="Times New Roman" w:hAnsi="Times New Roman" w:cs="Times New Roman"/>
          <w:sz w:val="24"/>
          <w:szCs w:val="24"/>
        </w:rPr>
        <w:t xml:space="preserve">jest </w:t>
      </w:r>
      <w:r w:rsidRPr="006B2CD4">
        <w:rPr>
          <w:rFonts w:ascii="Times New Roman" w:hAnsi="Times New Roman" w:cs="Times New Roman"/>
          <w:sz w:val="24"/>
          <w:szCs w:val="24"/>
        </w:rPr>
        <w:t>związane z uchyleniem pkt 4 w ust. 2 w art. 5, w efekcie którego wyłączenie stosowania wybranych przepisów ustawowych w odniesieniu do terminowych operacji finansowych stało się bezzasadne.</w:t>
      </w:r>
    </w:p>
    <w:p w14:paraId="3D33B926" w14:textId="117855D0" w:rsidR="00680CC0" w:rsidRPr="006B2CD4" w:rsidRDefault="00680CC0" w:rsidP="00D0671F">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Proponowane zmiany w art. 10a ustawy</w:t>
      </w:r>
      <w:r w:rsidR="00670691" w:rsidRPr="006B2CD4">
        <w:rPr>
          <w:rFonts w:ascii="Times New Roman" w:hAnsi="Times New Roman" w:cs="Times New Roman"/>
          <w:sz w:val="24"/>
          <w:szCs w:val="24"/>
        </w:rPr>
        <w:t xml:space="preserve"> </w:t>
      </w:r>
      <w:r w:rsidR="00670691" w:rsidRPr="006B2CD4">
        <w:rPr>
          <w:rFonts w:ascii="Times New Roman" w:hAnsi="Times New Roman" w:cs="Times New Roman"/>
          <w:bCs/>
          <w:sz w:val="24"/>
          <w:szCs w:val="24"/>
        </w:rPr>
        <w:t xml:space="preserve">– </w:t>
      </w:r>
      <w:r w:rsidRPr="006B2CD4">
        <w:rPr>
          <w:rFonts w:ascii="Times New Roman" w:hAnsi="Times New Roman" w:cs="Times New Roman"/>
          <w:sz w:val="24"/>
          <w:szCs w:val="24"/>
        </w:rPr>
        <w:t>Prawo bankowe pozwolą zlikwidować obecnie istniejące wątpliwości interpretacyjne dotyczące rynku ubezpieczeniowego i emerytalnego w obecnych przepisach ustawy</w:t>
      </w:r>
      <w:r w:rsidR="00670691" w:rsidRPr="006B2CD4">
        <w:rPr>
          <w:rFonts w:ascii="Times New Roman" w:hAnsi="Times New Roman" w:cs="Times New Roman"/>
          <w:sz w:val="24"/>
          <w:szCs w:val="24"/>
        </w:rPr>
        <w:t xml:space="preserve"> </w:t>
      </w:r>
      <w:r w:rsidR="00670691" w:rsidRPr="006B2CD4">
        <w:rPr>
          <w:rFonts w:ascii="Times New Roman" w:hAnsi="Times New Roman" w:cs="Times New Roman"/>
          <w:bCs/>
          <w:sz w:val="24"/>
          <w:szCs w:val="24"/>
        </w:rPr>
        <w:t xml:space="preserve">– </w:t>
      </w:r>
      <w:r w:rsidRPr="006B2CD4">
        <w:rPr>
          <w:rFonts w:ascii="Times New Roman" w:hAnsi="Times New Roman" w:cs="Times New Roman"/>
          <w:sz w:val="24"/>
          <w:szCs w:val="24"/>
        </w:rPr>
        <w:t xml:space="preserve">Prawo bankowe w zakresie wyjątków od tajemnicy zawodowej i bankowej. Zaproponowane rozwiązania będą analogicznie do tych przewidzianych dla rynku kapitałowego. W konsekwencji tych zmian możliwe będzie przekazywanie przez UKNF informacji w odpowiedzi na napływające zapytania od organów nadzoru finansowego z innych krajów Unii Europejskiej, na które obecnie odpowiedź nie może być udzielona. Proponowane rozwiązania zakładają więc wpisanie Europejskiego Urzędu Nadzoru Ubezpieczeń i Pracowniczych Programów Emerytalnych (dalej „EIOPA”) do katalogu instytucji, którym możliwe jest udzielenie objętych tajemnicą zawodową informacji niezbędnych do realizacji ich zadań, jeżeli obowiązek taki wynika z przepisów dotyczących utworzenia i działalności tych podmiotów, a także umożliwienie przekazania informacji objętych tajemnicą zawodową do właściwych władz nadzorczych sprawujących nadzór nad rynkiem </w:t>
      </w:r>
      <w:r w:rsidRPr="006B2CD4">
        <w:rPr>
          <w:rFonts w:ascii="Times New Roman" w:hAnsi="Times New Roman" w:cs="Times New Roman"/>
          <w:bCs/>
          <w:iCs/>
          <w:sz w:val="24"/>
          <w:szCs w:val="24"/>
        </w:rPr>
        <w:t xml:space="preserve">ubezpieczeniowym lub emerytalnym </w:t>
      </w:r>
      <w:r w:rsidRPr="006B2CD4">
        <w:rPr>
          <w:rFonts w:ascii="Times New Roman" w:hAnsi="Times New Roman" w:cs="Times New Roman"/>
          <w:sz w:val="24"/>
          <w:szCs w:val="24"/>
        </w:rPr>
        <w:t xml:space="preserve">oraz w sprawach związanych z wykonywaniem tego nadzoru, jeżeli wskutek tego nie </w:t>
      </w:r>
      <w:r w:rsidRPr="006B2CD4">
        <w:rPr>
          <w:rFonts w:ascii="Times New Roman" w:hAnsi="Times New Roman" w:cs="Times New Roman"/>
          <w:sz w:val="24"/>
          <w:szCs w:val="24"/>
        </w:rPr>
        <w:lastRenderedPageBreak/>
        <w:t xml:space="preserve">zostanie naruszony interes gospodarczy Rzeczypospolitej Polskiej, zapewnione jest wykorzystanie informacji tylko na potrzeby sprawowanego nadzoru nad rynkiem </w:t>
      </w:r>
      <w:r w:rsidRPr="006B2CD4">
        <w:rPr>
          <w:rFonts w:ascii="Times New Roman" w:hAnsi="Times New Roman" w:cs="Times New Roman"/>
          <w:bCs/>
          <w:iCs/>
          <w:sz w:val="24"/>
          <w:szCs w:val="24"/>
        </w:rPr>
        <w:t xml:space="preserve">ubezpieczeniowym lub emerytalnym </w:t>
      </w:r>
      <w:r w:rsidRPr="006B2CD4">
        <w:rPr>
          <w:rFonts w:ascii="Times New Roman" w:hAnsi="Times New Roman" w:cs="Times New Roman"/>
          <w:sz w:val="24"/>
          <w:szCs w:val="24"/>
        </w:rPr>
        <w:t>lub w sprawach związanych z jego wykonywaniem, oraz KNF wyraził swoją uprzednią zgodę na przekazanie takich informacji.</w:t>
      </w:r>
    </w:p>
    <w:p w14:paraId="0452B974" w14:textId="47329BC3" w:rsidR="00680CC0" w:rsidRDefault="00680CC0" w:rsidP="00D0671F">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Dodanie w art. 11 w ust. 2 ustawy</w:t>
      </w:r>
      <w:r w:rsidR="00670691" w:rsidRPr="006B2CD4">
        <w:rPr>
          <w:rFonts w:ascii="Times New Roman" w:hAnsi="Times New Roman" w:cs="Times New Roman"/>
          <w:sz w:val="24"/>
          <w:szCs w:val="24"/>
        </w:rPr>
        <w:t xml:space="preserve"> </w:t>
      </w:r>
      <w:r w:rsidR="00670691" w:rsidRPr="006B2CD4">
        <w:rPr>
          <w:rFonts w:ascii="Times New Roman" w:hAnsi="Times New Roman" w:cs="Times New Roman"/>
          <w:bCs/>
          <w:sz w:val="24"/>
          <w:szCs w:val="24"/>
        </w:rPr>
        <w:t xml:space="preserve">– </w:t>
      </w:r>
      <w:r w:rsidRPr="006B2CD4">
        <w:rPr>
          <w:rFonts w:ascii="Times New Roman" w:hAnsi="Times New Roman" w:cs="Times New Roman"/>
          <w:sz w:val="24"/>
          <w:szCs w:val="24"/>
        </w:rPr>
        <w:t>Prawo bankowe pkt 29 i 30 rozszerzy katalog decyzji KNF posiadających moc ostatecznych decyzji administracyjnych i podlegających natychmiastowemu wykonaniu o sprzeciw wobec z</w:t>
      </w:r>
      <w:r w:rsidR="006A03A7">
        <w:rPr>
          <w:rFonts w:ascii="Times New Roman" w:hAnsi="Times New Roman" w:cs="Times New Roman"/>
          <w:sz w:val="24"/>
          <w:szCs w:val="24"/>
        </w:rPr>
        <w:t xml:space="preserve">awarcia umowy outsourcingu </w:t>
      </w:r>
      <w:r w:rsidRPr="006B2CD4">
        <w:rPr>
          <w:rFonts w:ascii="Times New Roman" w:hAnsi="Times New Roman" w:cs="Times New Roman"/>
          <w:sz w:val="24"/>
          <w:szCs w:val="24"/>
        </w:rPr>
        <w:t>bankowego wobec tzw. „innych czynności” określonych w art. 6a ust. 1 pkt 1 lit. m</w:t>
      </w:r>
      <w:r w:rsidR="006F384D">
        <w:rPr>
          <w:rFonts w:ascii="Times New Roman" w:hAnsi="Times New Roman" w:cs="Times New Roman"/>
          <w:sz w:val="24"/>
          <w:szCs w:val="24"/>
        </w:rPr>
        <w:t>,</w:t>
      </w:r>
      <w:r w:rsidRPr="006B2CD4">
        <w:rPr>
          <w:rFonts w:ascii="Times New Roman" w:hAnsi="Times New Roman" w:cs="Times New Roman"/>
          <w:sz w:val="24"/>
          <w:szCs w:val="24"/>
        </w:rPr>
        <w:t xml:space="preserve"> jak również o sprzeciw wobec zawarcia umów</w:t>
      </w:r>
      <w:r w:rsidR="006A03A7">
        <w:rPr>
          <w:rFonts w:ascii="Times New Roman" w:hAnsi="Times New Roman" w:cs="Times New Roman"/>
          <w:sz w:val="24"/>
          <w:szCs w:val="24"/>
        </w:rPr>
        <w:t xml:space="preserve"> powierzających wykonywanie określonych czynności, zawartych</w:t>
      </w:r>
      <w:r w:rsidRPr="006B2CD4">
        <w:rPr>
          <w:rFonts w:ascii="Times New Roman" w:hAnsi="Times New Roman" w:cs="Times New Roman"/>
          <w:sz w:val="24"/>
          <w:szCs w:val="24"/>
        </w:rPr>
        <w:t xml:space="preserve"> z przedsiębiorcą zagranicznym niemającym miejsca stałego zamieszkania lub nieposiadającym siedziby na terytorium państwa członkowskiego lub</w:t>
      </w:r>
      <w:r w:rsidR="006A03A7">
        <w:rPr>
          <w:rFonts w:ascii="Times New Roman" w:hAnsi="Times New Roman" w:cs="Times New Roman"/>
          <w:sz w:val="24"/>
          <w:szCs w:val="24"/>
        </w:rPr>
        <w:t xml:space="preserve"> przewidujących, </w:t>
      </w:r>
      <w:r w:rsidRPr="006B2CD4">
        <w:rPr>
          <w:rFonts w:ascii="Times New Roman" w:hAnsi="Times New Roman" w:cs="Times New Roman"/>
          <w:sz w:val="24"/>
          <w:szCs w:val="24"/>
        </w:rPr>
        <w:t>że powierzone czynności będą wykonywane poza terytorium państwa członkowskiego. W ten sposób instytucja sprzeciwu będzie stanowić efektywny środek nadzoru.</w:t>
      </w:r>
    </w:p>
    <w:p w14:paraId="589F9830" w14:textId="5C1C647A" w:rsidR="00750D31" w:rsidRDefault="00750D31" w:rsidP="00750D31">
      <w:pPr>
        <w:spacing w:line="360" w:lineRule="auto"/>
        <w:contextualSpacing/>
        <w:rPr>
          <w:rFonts w:ascii="Times New Roman" w:hAnsi="Times New Roman" w:cs="Times New Roman"/>
          <w:sz w:val="24"/>
          <w:szCs w:val="24"/>
        </w:rPr>
      </w:pPr>
      <w:r w:rsidRPr="007E77AC">
        <w:rPr>
          <w:rFonts w:ascii="Times New Roman" w:hAnsi="Times New Roman" w:cs="Times New Roman"/>
          <w:sz w:val="24"/>
          <w:szCs w:val="24"/>
        </w:rPr>
        <w:t>Zmiana art. 11 b ust. 1 ustawy – Prawo bankowe ma na celu uwzgl</w:t>
      </w:r>
      <w:r w:rsidR="00BC0446">
        <w:rPr>
          <w:rFonts w:ascii="Times New Roman" w:hAnsi="Times New Roman" w:cs="Times New Roman"/>
          <w:sz w:val="24"/>
          <w:szCs w:val="24"/>
        </w:rPr>
        <w:t>ędnienie faktu odwołania się do</w:t>
      </w:r>
      <w:r w:rsidRPr="007E77AC">
        <w:rPr>
          <w:rFonts w:ascii="Times New Roman" w:hAnsi="Times New Roman" w:cs="Times New Roman"/>
          <w:sz w:val="24"/>
          <w:szCs w:val="24"/>
        </w:rPr>
        <w:t xml:space="preserve"> adresu do doręczeń elektronicznych oraz bazy adresów elektronicznych we wcześniejszych przepisach ustawy.</w:t>
      </w:r>
    </w:p>
    <w:p w14:paraId="57B5A089" w14:textId="77777777" w:rsidR="00750D31" w:rsidRPr="006B2CD4" w:rsidRDefault="00750D31" w:rsidP="00750D31">
      <w:pPr>
        <w:spacing w:line="360" w:lineRule="auto"/>
        <w:contextualSpacing/>
        <w:rPr>
          <w:rFonts w:ascii="Times New Roman" w:hAnsi="Times New Roman" w:cs="Times New Roman"/>
          <w:sz w:val="24"/>
          <w:szCs w:val="24"/>
        </w:rPr>
      </w:pPr>
    </w:p>
    <w:p w14:paraId="46AC7D52" w14:textId="03B9BCE0" w:rsidR="00265F0F" w:rsidRPr="006B2CD4" w:rsidRDefault="00265F0F" w:rsidP="00D0671F">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Zgodnie z obecnie obowiązującym art. 22d ust. 1 ustawy </w:t>
      </w:r>
      <w:r w:rsidR="00670691" w:rsidRPr="006B2CD4">
        <w:rPr>
          <w:rFonts w:ascii="Times New Roman" w:hAnsi="Times New Roman" w:cs="Times New Roman"/>
          <w:bCs/>
          <w:sz w:val="24"/>
          <w:szCs w:val="24"/>
        </w:rPr>
        <w:t xml:space="preserve">– </w:t>
      </w:r>
      <w:r w:rsidRPr="006B2CD4">
        <w:rPr>
          <w:rFonts w:ascii="Times New Roman" w:hAnsi="Times New Roman" w:cs="Times New Roman"/>
          <w:sz w:val="24"/>
          <w:szCs w:val="24"/>
        </w:rPr>
        <w:t>Prawo bankowe w przypadku</w:t>
      </w:r>
      <w:r w:rsidR="006F384D">
        <w:rPr>
          <w:rFonts w:ascii="Times New Roman" w:hAnsi="Times New Roman" w:cs="Times New Roman"/>
          <w:sz w:val="24"/>
          <w:szCs w:val="24"/>
        </w:rPr>
        <w:t>,</w:t>
      </w:r>
      <w:r w:rsidRPr="006B2CD4">
        <w:rPr>
          <w:rFonts w:ascii="Times New Roman" w:hAnsi="Times New Roman" w:cs="Times New Roman"/>
          <w:sz w:val="24"/>
          <w:szCs w:val="24"/>
        </w:rPr>
        <w:t xml:space="preserve"> gdy członek rady nadzorczej lub zarządu banku, finansowej spółki holdingowej lub finansowej spółki holdingowej o działalności mieszanej nie spełnia wymogów określonych w art. 22aa </w:t>
      </w:r>
      <w:r w:rsidRPr="006B2CD4">
        <w:rPr>
          <w:rFonts w:ascii="Times New Roman" w:hAnsi="Times New Roman" w:cs="Times New Roman"/>
          <w:sz w:val="24"/>
          <w:szCs w:val="24"/>
        </w:rPr>
        <w:lastRenderedPageBreak/>
        <w:t>ustawy</w:t>
      </w:r>
      <w:r w:rsidR="00670691" w:rsidRPr="006B2CD4">
        <w:rPr>
          <w:rFonts w:ascii="Times New Roman" w:hAnsi="Times New Roman" w:cs="Times New Roman"/>
          <w:sz w:val="24"/>
          <w:szCs w:val="24"/>
        </w:rPr>
        <w:t xml:space="preserve"> </w:t>
      </w:r>
      <w:r w:rsidR="00670691" w:rsidRPr="006B2CD4">
        <w:rPr>
          <w:rFonts w:ascii="Times New Roman" w:hAnsi="Times New Roman" w:cs="Times New Roman"/>
          <w:bCs/>
          <w:sz w:val="24"/>
          <w:szCs w:val="24"/>
        </w:rPr>
        <w:t xml:space="preserve">– </w:t>
      </w:r>
      <w:r w:rsidRPr="006B2CD4">
        <w:rPr>
          <w:rFonts w:ascii="Times New Roman" w:hAnsi="Times New Roman" w:cs="Times New Roman"/>
          <w:sz w:val="24"/>
          <w:szCs w:val="24"/>
        </w:rPr>
        <w:t>Prawo bankowe, KNF mogła wystąpić do właściwego organu banku, finansowej spółki holdingowej lub finansowej spółki holdingowej o działalności mieszanej z wnioskiem o jego odwołanie albo, w drodze decyzji, odwołać członka rady nadzorczej lub zarządu danego podmiotu. Wyraz „albo”, którym posłużono się w przepisie sugeruje, że KNF w przypadku spełnienia przesłanek tego przepisu może skorzystania tylko z jednej możliwości działania przewidzianego w przepisie tj. złożenia wniosku o odwołanie albo wydania decyzji w przedmiocie odwołania. Celem zmiany przepisu jest umożliwienie KNF łączenia ww. środków dzięki czemu obok możliwości bezpośredniej reakcji w postaci wydania decyzji odwołującej członka organu KNF będzie posiadał możliwość uprzedniego wystąpienia do strony o odwołanie członka organu przed zastosowaniem ww. trybu administracyjnego.</w:t>
      </w:r>
    </w:p>
    <w:p w14:paraId="48823809" w14:textId="5B76547A" w:rsidR="00265F0F" w:rsidRPr="006B2CD4" w:rsidRDefault="00265F0F" w:rsidP="00D0671F">
      <w:pPr>
        <w:spacing w:after="120" w:line="360" w:lineRule="auto"/>
        <w:jc w:val="both"/>
        <w:rPr>
          <w:rFonts w:ascii="Times New Roman" w:hAnsi="Times New Roman" w:cs="Times New Roman"/>
          <w:iCs/>
          <w:sz w:val="24"/>
          <w:szCs w:val="24"/>
        </w:rPr>
      </w:pPr>
      <w:r w:rsidRPr="006B2CD4">
        <w:rPr>
          <w:rFonts w:ascii="Times New Roman" w:hAnsi="Times New Roman" w:cs="Times New Roman"/>
          <w:iCs/>
          <w:sz w:val="24"/>
          <w:szCs w:val="24"/>
        </w:rPr>
        <w:t>Zmiana art. 25n ust. 5a ustawy</w:t>
      </w:r>
      <w:r w:rsidR="00670691" w:rsidRPr="006B2CD4">
        <w:rPr>
          <w:rFonts w:ascii="Times New Roman" w:hAnsi="Times New Roman" w:cs="Times New Roman"/>
          <w:iCs/>
          <w:sz w:val="24"/>
          <w:szCs w:val="24"/>
        </w:rPr>
        <w:t xml:space="preserve"> </w:t>
      </w:r>
      <w:r w:rsidR="00670691" w:rsidRPr="006B2CD4">
        <w:rPr>
          <w:rFonts w:ascii="Times New Roman" w:hAnsi="Times New Roman" w:cs="Times New Roman"/>
          <w:bCs/>
          <w:sz w:val="24"/>
          <w:szCs w:val="24"/>
        </w:rPr>
        <w:t xml:space="preserve">– </w:t>
      </w:r>
      <w:r w:rsidRPr="006B2CD4">
        <w:rPr>
          <w:rFonts w:ascii="Times New Roman" w:hAnsi="Times New Roman" w:cs="Times New Roman"/>
          <w:iCs/>
          <w:sz w:val="24"/>
          <w:szCs w:val="24"/>
        </w:rPr>
        <w:t xml:space="preserve">Prawo bankowe ma na celu usunięcie sprzeczności z prawem unijnym w zakresie określenia górnej granicy wysokości kary pieniężnej, tj. z określoną w </w:t>
      </w:r>
      <w:r w:rsidR="00A354A0" w:rsidRPr="006B2CD4">
        <w:rPr>
          <w:rFonts w:ascii="Times New Roman" w:hAnsi="Times New Roman" w:cs="Times New Roman"/>
          <w:iCs/>
          <w:sz w:val="24"/>
          <w:szCs w:val="24"/>
        </w:rPr>
        <w:t>Dyrektywie</w:t>
      </w:r>
      <w:r w:rsidRPr="006B2CD4">
        <w:rPr>
          <w:rFonts w:ascii="Times New Roman" w:hAnsi="Times New Roman" w:cs="Times New Roman"/>
          <w:iCs/>
          <w:sz w:val="24"/>
          <w:szCs w:val="24"/>
        </w:rPr>
        <w:t xml:space="preserve"> Parlamentu Europejskiego i Rady 2013/36/UE z dnia 26 czerwca 2013 r. w sprawie warunków dopuszczenia instytucji kredytowych do działalności oraz nadzoru ostrożnościowego nad instytucjami kredytowymi i fir</w:t>
      </w:r>
      <w:r w:rsidR="00D03803" w:rsidRPr="006B2CD4">
        <w:rPr>
          <w:rFonts w:ascii="Times New Roman" w:hAnsi="Times New Roman" w:cs="Times New Roman"/>
          <w:iCs/>
          <w:sz w:val="24"/>
          <w:szCs w:val="24"/>
        </w:rPr>
        <w:t>mami inwestycyjnymi, zmieniającej</w:t>
      </w:r>
      <w:r w:rsidRPr="006B2CD4">
        <w:rPr>
          <w:rFonts w:ascii="Times New Roman" w:hAnsi="Times New Roman" w:cs="Times New Roman"/>
          <w:iCs/>
          <w:sz w:val="24"/>
          <w:szCs w:val="24"/>
        </w:rPr>
        <w:t xml:space="preserve"> d</w:t>
      </w:r>
      <w:r w:rsidR="00D03803" w:rsidRPr="006B2CD4">
        <w:rPr>
          <w:rFonts w:ascii="Times New Roman" w:hAnsi="Times New Roman" w:cs="Times New Roman"/>
          <w:iCs/>
          <w:sz w:val="24"/>
          <w:szCs w:val="24"/>
        </w:rPr>
        <w:t>yrektywę 2002/87/WE i uchylającej</w:t>
      </w:r>
      <w:r w:rsidRPr="006B2CD4">
        <w:rPr>
          <w:rFonts w:ascii="Times New Roman" w:hAnsi="Times New Roman" w:cs="Times New Roman"/>
          <w:iCs/>
          <w:sz w:val="24"/>
          <w:szCs w:val="24"/>
        </w:rPr>
        <w:t xml:space="preserve"> dyrektyw</w:t>
      </w:r>
      <w:r w:rsidR="00D03803" w:rsidRPr="006B2CD4">
        <w:rPr>
          <w:rFonts w:ascii="Times New Roman" w:hAnsi="Times New Roman" w:cs="Times New Roman"/>
          <w:iCs/>
          <w:sz w:val="24"/>
          <w:szCs w:val="24"/>
        </w:rPr>
        <w:t>ę</w:t>
      </w:r>
      <w:r w:rsidRPr="006B2CD4">
        <w:rPr>
          <w:rFonts w:ascii="Times New Roman" w:hAnsi="Times New Roman" w:cs="Times New Roman"/>
          <w:iCs/>
          <w:sz w:val="24"/>
          <w:szCs w:val="24"/>
        </w:rPr>
        <w:t xml:space="preserve"> 2006/48/WE oraz 2006/49/WE (Dz. Urz. UE L 176 z 27.06.2013, str. 338,</w:t>
      </w:r>
      <w:r w:rsidR="00E72144" w:rsidRPr="006B2CD4">
        <w:rPr>
          <w:rFonts w:ascii="Times New Roman" w:hAnsi="Times New Roman" w:cs="Times New Roman"/>
          <w:iCs/>
          <w:sz w:val="24"/>
          <w:szCs w:val="24"/>
        </w:rPr>
        <w:t xml:space="preserve"> z późn. zm.</w:t>
      </w:r>
      <w:r w:rsidRPr="006B2CD4">
        <w:rPr>
          <w:rFonts w:ascii="Times New Roman" w:hAnsi="Times New Roman" w:cs="Times New Roman"/>
          <w:iCs/>
          <w:sz w:val="24"/>
          <w:szCs w:val="24"/>
        </w:rPr>
        <w:t>);</w:t>
      </w:r>
      <w:r w:rsidR="001D7D60" w:rsidRPr="006B2CD4">
        <w:rPr>
          <w:rFonts w:ascii="Times New Roman" w:hAnsi="Times New Roman" w:cs="Times New Roman"/>
          <w:iCs/>
          <w:sz w:val="24"/>
          <w:szCs w:val="24"/>
        </w:rPr>
        <w:t xml:space="preserve"> </w:t>
      </w:r>
      <w:r w:rsidR="000E13EB" w:rsidRPr="006B2CD4">
        <w:rPr>
          <w:rFonts w:ascii="Times New Roman" w:hAnsi="Times New Roman" w:cs="Times New Roman"/>
          <w:iCs/>
          <w:sz w:val="24"/>
          <w:szCs w:val="24"/>
        </w:rPr>
        <w:t xml:space="preserve">dalej </w:t>
      </w:r>
      <w:r w:rsidRPr="006B2CD4">
        <w:rPr>
          <w:rFonts w:ascii="Times New Roman" w:hAnsi="Times New Roman" w:cs="Times New Roman"/>
          <w:iCs/>
          <w:sz w:val="24"/>
          <w:szCs w:val="24"/>
        </w:rPr>
        <w:t>„dyrektyw</w:t>
      </w:r>
      <w:r w:rsidR="001D7D60" w:rsidRPr="006B2CD4">
        <w:rPr>
          <w:rFonts w:ascii="Times New Roman" w:hAnsi="Times New Roman" w:cs="Times New Roman"/>
          <w:iCs/>
          <w:sz w:val="24"/>
          <w:szCs w:val="24"/>
        </w:rPr>
        <w:t>a</w:t>
      </w:r>
      <w:r w:rsidRPr="006B2CD4">
        <w:rPr>
          <w:rFonts w:ascii="Times New Roman" w:hAnsi="Times New Roman" w:cs="Times New Roman"/>
          <w:iCs/>
          <w:sz w:val="24"/>
          <w:szCs w:val="24"/>
        </w:rPr>
        <w:t xml:space="preserve"> CRD IV” maksymalną wysokością kary administracyjnej określoną względem osób fizycznych (5 mln euro) oraz dla osób prawnych </w:t>
      </w:r>
      <w:r w:rsidRPr="006B2CD4">
        <w:rPr>
          <w:rFonts w:ascii="Times New Roman" w:hAnsi="Times New Roman" w:cs="Times New Roman"/>
          <w:iCs/>
          <w:sz w:val="24"/>
          <w:szCs w:val="24"/>
        </w:rPr>
        <w:lastRenderedPageBreak/>
        <w:t>10% całkowitych rocznych obrotów netto przedsiębiorstwa w poprzednim roku obrachunkowym (odpowiednio art. 66 ust. 2 lit. c i d dyrektywy CRD IV). Propozycja zmiany usuwa tę sprzeczność.</w:t>
      </w:r>
    </w:p>
    <w:p w14:paraId="45C0FDBC" w14:textId="67114AA1" w:rsidR="00C12017" w:rsidRDefault="00C12017" w:rsidP="00D0671F">
      <w:pPr>
        <w:spacing w:after="120" w:line="360" w:lineRule="auto"/>
        <w:jc w:val="both"/>
        <w:rPr>
          <w:rFonts w:ascii="Times New Roman" w:hAnsi="Times New Roman" w:cs="Times New Roman"/>
          <w:iCs/>
          <w:sz w:val="24"/>
          <w:szCs w:val="24"/>
        </w:rPr>
      </w:pPr>
      <w:r w:rsidRPr="006B2CD4">
        <w:rPr>
          <w:rFonts w:ascii="Times New Roman" w:hAnsi="Times New Roman" w:cs="Times New Roman"/>
          <w:iCs/>
          <w:sz w:val="24"/>
          <w:szCs w:val="24"/>
        </w:rPr>
        <w:t xml:space="preserve">Nowe brzmienie nadane pkt 2 w ust. 1 w art. 31 uzupełnia zawartość wniosku o wydanie zezwolenia na utworzenie banku, kierowanego do </w:t>
      </w:r>
      <w:r w:rsidR="009676E9" w:rsidRPr="006B2CD4">
        <w:rPr>
          <w:rFonts w:ascii="Times New Roman" w:hAnsi="Times New Roman" w:cs="Times New Roman"/>
          <w:iCs/>
          <w:sz w:val="24"/>
          <w:szCs w:val="24"/>
        </w:rPr>
        <w:t>KNF</w:t>
      </w:r>
      <w:r w:rsidRPr="006B2CD4">
        <w:rPr>
          <w:rFonts w:ascii="Times New Roman" w:hAnsi="Times New Roman" w:cs="Times New Roman"/>
          <w:iCs/>
          <w:sz w:val="24"/>
          <w:szCs w:val="24"/>
        </w:rPr>
        <w:t xml:space="preserve">, o czynności, których wykonywanie umożliwia bankom wprowadzenie jednolitej licencji bankowej. Analogiczna zmiana pkt 2 w ust. 3 w art. 31 uzupełnia zawartość projektu statutu banku, który załącza się do wniosku o wydanie zezwolenia na utworzenie banku. </w:t>
      </w:r>
    </w:p>
    <w:p w14:paraId="52FDAAF8" w14:textId="06C28331" w:rsidR="00BE4ADC" w:rsidRDefault="009D020E" w:rsidP="00D0671F">
      <w:pPr>
        <w:spacing w:after="120"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Zmiany w art. 34 mają charakter redakcyjny i dostosowawczy do przewidzianych projektem ustawy zmian w zakresie jednolitej licencji bankowej. W ust. 1 zmiana </w:t>
      </w:r>
      <w:r w:rsidRPr="008301FB">
        <w:rPr>
          <w:rFonts w:ascii="Times New Roman" w:hAnsi="Times New Roman" w:cs="Times New Roman"/>
          <w:iCs/>
          <w:sz w:val="24"/>
          <w:szCs w:val="24"/>
        </w:rPr>
        <w:t>wyraz</w:t>
      </w:r>
      <w:r>
        <w:rPr>
          <w:rFonts w:ascii="Times New Roman" w:hAnsi="Times New Roman" w:cs="Times New Roman"/>
          <w:iCs/>
          <w:sz w:val="24"/>
          <w:szCs w:val="24"/>
        </w:rPr>
        <w:t>ów</w:t>
      </w:r>
      <w:r w:rsidRPr="008301FB">
        <w:rPr>
          <w:rFonts w:ascii="Times New Roman" w:hAnsi="Times New Roman" w:cs="Times New Roman"/>
          <w:iCs/>
          <w:sz w:val="24"/>
          <w:szCs w:val="24"/>
        </w:rPr>
        <w:t xml:space="preserve"> „działalność, do wykonywania której bank jest upoważniony” wyrazami „przedmiot działalności, do wykonywania którego bank jest upoważniony”</w:t>
      </w:r>
      <w:r>
        <w:rPr>
          <w:rFonts w:ascii="Times New Roman" w:hAnsi="Times New Roman" w:cs="Times New Roman"/>
          <w:iCs/>
          <w:sz w:val="24"/>
          <w:szCs w:val="24"/>
        </w:rPr>
        <w:t xml:space="preserve"> wynika z wprowadzanej projektem terminologii, zgodnie z którą np. w zmienianym art. 31 ust. 1 pkt 2 i 3 mowa jest o przedmiocie działalności, a nie działalności, której dotyczy wniosek o wydanie zezwolenia na utworzenie banku. W ust. 3 dodano odesłanie również do nowego ust. 2aa w art. 36 ust. 2aa. Zmiana ta wynika z faktu, że art. 36 ust. 2aa określa dodatkowe dokumenty dołączane do wniosku o </w:t>
      </w:r>
      <w:r w:rsidRPr="002C392F">
        <w:rPr>
          <w:rFonts w:ascii="Times New Roman" w:hAnsi="Times New Roman" w:cs="Times New Roman"/>
          <w:iCs/>
          <w:sz w:val="24"/>
          <w:szCs w:val="24"/>
        </w:rPr>
        <w:t>wydanie zezwolenia na rozpoczęcie przez bank działalności</w:t>
      </w:r>
      <w:r>
        <w:rPr>
          <w:rFonts w:ascii="Times New Roman" w:hAnsi="Times New Roman" w:cs="Times New Roman"/>
          <w:iCs/>
          <w:sz w:val="24"/>
          <w:szCs w:val="24"/>
        </w:rPr>
        <w:t xml:space="preserve"> w przypadku, gdy przedmiotem działalności banku będą również czynności maklerskie. Zasadne bowiem jest, aby w sytuacji gdy wniosek o wydanie zezwolenia na zmianę statutu banku dotyczy wykonywania czynności maklerskich, również do tego wniosku dołączane były odpowiednie dokumenty związane z wykonywaniem tych </w:t>
      </w:r>
      <w:r>
        <w:rPr>
          <w:rFonts w:ascii="Times New Roman" w:hAnsi="Times New Roman" w:cs="Times New Roman"/>
          <w:iCs/>
          <w:sz w:val="24"/>
          <w:szCs w:val="24"/>
        </w:rPr>
        <w:lastRenderedPageBreak/>
        <w:t xml:space="preserve">czynności. Tak jak ma to miejsce obecnie w zmienianym </w:t>
      </w:r>
      <w:r w:rsidRPr="0009250B">
        <w:rPr>
          <w:rFonts w:ascii="Times New Roman" w:hAnsi="Times New Roman" w:cs="Times New Roman"/>
          <w:iCs/>
          <w:sz w:val="24"/>
          <w:szCs w:val="24"/>
        </w:rPr>
        <w:t>ust. 3 nie zaw</w:t>
      </w:r>
      <w:r>
        <w:rPr>
          <w:rFonts w:ascii="Times New Roman" w:hAnsi="Times New Roman" w:cs="Times New Roman"/>
          <w:iCs/>
          <w:sz w:val="24"/>
          <w:szCs w:val="24"/>
        </w:rPr>
        <w:t xml:space="preserve">arto </w:t>
      </w:r>
      <w:r w:rsidRPr="0009250B">
        <w:rPr>
          <w:rFonts w:ascii="Times New Roman" w:hAnsi="Times New Roman" w:cs="Times New Roman"/>
          <w:iCs/>
          <w:sz w:val="24"/>
          <w:szCs w:val="24"/>
        </w:rPr>
        <w:t xml:space="preserve">odwołania do art. 36 ust. 2b, </w:t>
      </w:r>
      <w:r>
        <w:rPr>
          <w:rFonts w:ascii="Times New Roman" w:hAnsi="Times New Roman" w:cs="Times New Roman"/>
          <w:iCs/>
          <w:sz w:val="24"/>
          <w:szCs w:val="24"/>
        </w:rPr>
        <w:t xml:space="preserve">gdyż </w:t>
      </w:r>
      <w:r w:rsidRPr="0009250B">
        <w:rPr>
          <w:rFonts w:ascii="Times New Roman" w:hAnsi="Times New Roman" w:cs="Times New Roman"/>
          <w:iCs/>
          <w:sz w:val="24"/>
          <w:szCs w:val="24"/>
        </w:rPr>
        <w:t>dokumenty, o których mowa w tym przepisie, pozostają bez związku ze zmianą statutu banku hipotecznego.</w:t>
      </w:r>
      <w:r>
        <w:rPr>
          <w:rFonts w:ascii="Times New Roman" w:hAnsi="Times New Roman" w:cs="Times New Roman"/>
          <w:iCs/>
          <w:sz w:val="24"/>
          <w:szCs w:val="24"/>
        </w:rPr>
        <w:t xml:space="preserve"> Dodawany </w:t>
      </w:r>
      <w:r w:rsidRPr="006B2CD4">
        <w:rPr>
          <w:rFonts w:ascii="Times New Roman" w:hAnsi="Times New Roman" w:cs="Times New Roman"/>
          <w:iCs/>
          <w:sz w:val="24"/>
          <w:szCs w:val="24"/>
        </w:rPr>
        <w:t>ust. 4, odnos</w:t>
      </w:r>
      <w:r>
        <w:rPr>
          <w:rFonts w:ascii="Times New Roman" w:hAnsi="Times New Roman" w:cs="Times New Roman"/>
          <w:iCs/>
          <w:sz w:val="24"/>
          <w:szCs w:val="24"/>
        </w:rPr>
        <w:t>i</w:t>
      </w:r>
      <w:r w:rsidRPr="006B2CD4">
        <w:rPr>
          <w:rFonts w:ascii="Times New Roman" w:hAnsi="Times New Roman" w:cs="Times New Roman"/>
          <w:iCs/>
          <w:sz w:val="24"/>
          <w:szCs w:val="24"/>
        </w:rPr>
        <w:t xml:space="preserve"> się do przypadku niepodjęcia lub zaprzestania przez bank wykonywania </w:t>
      </w:r>
      <w:r>
        <w:rPr>
          <w:rFonts w:ascii="Times New Roman" w:hAnsi="Times New Roman" w:cs="Times New Roman"/>
          <w:iCs/>
          <w:sz w:val="24"/>
          <w:szCs w:val="24"/>
        </w:rPr>
        <w:t>czynności</w:t>
      </w:r>
      <w:r w:rsidRPr="006B2CD4">
        <w:rPr>
          <w:rFonts w:ascii="Times New Roman" w:hAnsi="Times New Roman" w:cs="Times New Roman"/>
          <w:iCs/>
          <w:sz w:val="24"/>
          <w:szCs w:val="24"/>
        </w:rPr>
        <w:t xml:space="preserve"> określonej w przedmiocie działalności zawartym w statucie, przez okres 12 miesięcy. Zgodnie z wprowadzanym przepisem, bank jest zobowiązany</w:t>
      </w:r>
      <w:r>
        <w:rPr>
          <w:rFonts w:ascii="Times New Roman" w:hAnsi="Times New Roman" w:cs="Times New Roman"/>
          <w:iCs/>
          <w:sz w:val="24"/>
          <w:szCs w:val="24"/>
        </w:rPr>
        <w:t xml:space="preserve"> </w:t>
      </w:r>
      <w:r w:rsidRPr="006B2CD4">
        <w:rPr>
          <w:rFonts w:ascii="Times New Roman" w:hAnsi="Times New Roman" w:cs="Times New Roman"/>
          <w:iCs/>
          <w:sz w:val="24"/>
          <w:szCs w:val="24"/>
        </w:rPr>
        <w:t xml:space="preserve">do wystąpienia z wnioskiem o zmianę statutu </w:t>
      </w:r>
      <w:r>
        <w:rPr>
          <w:rFonts w:ascii="Times New Roman" w:hAnsi="Times New Roman" w:cs="Times New Roman"/>
          <w:iCs/>
          <w:sz w:val="24"/>
          <w:szCs w:val="24"/>
        </w:rPr>
        <w:t>w zakresie wykreślenia niewykonywanej czynności,</w:t>
      </w:r>
      <w:r w:rsidRPr="006B2CD4">
        <w:rPr>
          <w:rFonts w:ascii="Times New Roman" w:hAnsi="Times New Roman" w:cs="Times New Roman"/>
          <w:iCs/>
          <w:sz w:val="24"/>
          <w:szCs w:val="24"/>
        </w:rPr>
        <w:t xml:space="preserve"> co stanowi regulację analogiczną do regulacji obowiązujących firmy inwestycyjne</w:t>
      </w:r>
      <w:r>
        <w:rPr>
          <w:rFonts w:ascii="Times New Roman" w:hAnsi="Times New Roman" w:cs="Times New Roman"/>
          <w:iCs/>
          <w:sz w:val="24"/>
          <w:szCs w:val="24"/>
        </w:rPr>
        <w:t>, które nie wykonują czynności objętych zezwoleniem</w:t>
      </w:r>
      <w:r w:rsidRPr="006B2CD4">
        <w:rPr>
          <w:rFonts w:ascii="Times New Roman" w:hAnsi="Times New Roman" w:cs="Times New Roman"/>
          <w:iCs/>
          <w:sz w:val="24"/>
          <w:szCs w:val="24"/>
        </w:rPr>
        <w:t xml:space="preserve">. </w:t>
      </w:r>
    </w:p>
    <w:p w14:paraId="4DE29969" w14:textId="046872F4" w:rsidR="0079773A" w:rsidRDefault="00F46B3B" w:rsidP="00D0671F">
      <w:pPr>
        <w:spacing w:after="120" w:line="360" w:lineRule="auto"/>
        <w:jc w:val="both"/>
        <w:rPr>
          <w:rFonts w:ascii="Times New Roman" w:hAnsi="Times New Roman" w:cs="Times New Roman"/>
          <w:iCs/>
          <w:sz w:val="24"/>
          <w:szCs w:val="24"/>
        </w:rPr>
      </w:pPr>
      <w:r w:rsidRPr="00F46B3B">
        <w:rPr>
          <w:rFonts w:ascii="Times New Roman" w:hAnsi="Times New Roman" w:cs="Times New Roman"/>
          <w:iCs/>
          <w:sz w:val="24"/>
          <w:szCs w:val="24"/>
        </w:rPr>
        <w:t>Zmiany w art. 36 ust. 2a pkt 1 i 2, wynikają z przewidzianej projektem możliwości wykonywania przez banki, o których mowa w art. 70 ust. 2 ustawy o obrocie instrumentami czynności, o których mowa w art. 69 ust. 4 tej ustawy. Dzięki tej zmianie Komisja Nadzoru Finansowego otrzyma od banku zamierzającego prowadzić działalność na podstawie art. 70 ust. 2 ustawy o obrocie instrumentami finansowymi dokumenty i procedury właściwe dla świadczenia usług, o których mowa w art. 69 ust. 4 tej ustawy, a co za tym idzie organ ten będzie mógł przeprowadzić właściwą ocenę przygotowania banku do świadczenia tych usług.</w:t>
      </w:r>
    </w:p>
    <w:p w14:paraId="7E111244" w14:textId="2B78F0C5" w:rsidR="00C12017" w:rsidRPr="006B2CD4" w:rsidRDefault="00C12017" w:rsidP="00D0671F">
      <w:pPr>
        <w:spacing w:after="120" w:line="360" w:lineRule="auto"/>
        <w:jc w:val="both"/>
        <w:rPr>
          <w:rFonts w:ascii="Times New Roman" w:hAnsi="Times New Roman" w:cs="Times New Roman"/>
          <w:iCs/>
          <w:sz w:val="24"/>
          <w:szCs w:val="24"/>
        </w:rPr>
      </w:pPr>
      <w:r w:rsidRPr="006B2CD4">
        <w:rPr>
          <w:rFonts w:ascii="Times New Roman" w:hAnsi="Times New Roman" w:cs="Times New Roman"/>
          <w:iCs/>
          <w:sz w:val="24"/>
          <w:szCs w:val="24"/>
        </w:rPr>
        <w:t xml:space="preserve">Dodanie ust. 2b w art. 36 ma na celu uzupełnienie katalogu dokumentów załączanych do wniosku o wydanie zezwolenia na rozpoczęcie działalności przez bank o dokumenty, o których mowa w art. 111 ust. 2 ustawy z dnia 29 lipca 2005 r. o obrocie instrumentami finansowymi – w przypadku, gdy przedmiotem działalności banku mają być czynności, o których mowa w art. 69 ust. 2 tej ustawy wykonywane na zasadach określonych w art. 111 tej ustawy lub </w:t>
      </w:r>
      <w:r w:rsidRPr="006B2CD4">
        <w:rPr>
          <w:rFonts w:ascii="Times New Roman" w:hAnsi="Times New Roman" w:cs="Times New Roman"/>
          <w:iCs/>
          <w:sz w:val="24"/>
          <w:szCs w:val="24"/>
        </w:rPr>
        <w:lastRenderedPageBreak/>
        <w:t xml:space="preserve">w art. 69 ust. 4 tej ustawy, które bank zamierza wykonywać w związku z wykonywaniem czynności, o których mowa w art. 69 ust. 2 tej ustawy na zasadach określonych w art. 111 tej ustawy. </w:t>
      </w:r>
    </w:p>
    <w:p w14:paraId="24910D23" w14:textId="52CF809C" w:rsidR="0033756A" w:rsidRDefault="0033756A" w:rsidP="00D0671F">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Zmiana art. 42e ust. 6 ustawy</w:t>
      </w:r>
      <w:r w:rsidR="00670691" w:rsidRPr="006B2CD4">
        <w:rPr>
          <w:rFonts w:ascii="Times New Roman" w:hAnsi="Times New Roman" w:cs="Times New Roman"/>
          <w:sz w:val="24"/>
          <w:szCs w:val="24"/>
        </w:rPr>
        <w:t xml:space="preserve"> </w:t>
      </w:r>
      <w:r w:rsidR="00670691" w:rsidRPr="006B2CD4">
        <w:rPr>
          <w:rFonts w:ascii="Times New Roman" w:hAnsi="Times New Roman" w:cs="Times New Roman"/>
          <w:bCs/>
          <w:sz w:val="24"/>
          <w:szCs w:val="24"/>
        </w:rPr>
        <w:t xml:space="preserve">– </w:t>
      </w:r>
      <w:r w:rsidRPr="006B2CD4">
        <w:rPr>
          <w:rFonts w:ascii="Times New Roman" w:hAnsi="Times New Roman" w:cs="Times New Roman"/>
          <w:sz w:val="24"/>
          <w:szCs w:val="24"/>
        </w:rPr>
        <w:t>Prawo bankowe ma na celu uwzględnienie w powyższym przepisie zmiany art. 6d ust. 1 oraz art. 6a ust</w:t>
      </w:r>
      <w:r w:rsidR="00457862">
        <w:rPr>
          <w:rFonts w:ascii="Times New Roman" w:hAnsi="Times New Roman" w:cs="Times New Roman"/>
          <w:sz w:val="24"/>
          <w:szCs w:val="24"/>
        </w:rPr>
        <w:t>.</w:t>
      </w:r>
      <w:r w:rsidRPr="006B2CD4">
        <w:rPr>
          <w:rFonts w:ascii="Times New Roman" w:hAnsi="Times New Roman" w:cs="Times New Roman"/>
          <w:sz w:val="24"/>
          <w:szCs w:val="24"/>
        </w:rPr>
        <w:t xml:space="preserve"> 1 pkt 1 lit. m ustawy</w:t>
      </w:r>
      <w:r w:rsidR="00670691" w:rsidRPr="006B2CD4">
        <w:rPr>
          <w:rFonts w:ascii="Times New Roman" w:hAnsi="Times New Roman" w:cs="Times New Roman"/>
          <w:sz w:val="24"/>
          <w:szCs w:val="24"/>
        </w:rPr>
        <w:t xml:space="preserve"> </w:t>
      </w:r>
      <w:r w:rsidR="00670691" w:rsidRPr="006B2CD4">
        <w:rPr>
          <w:rFonts w:ascii="Times New Roman" w:hAnsi="Times New Roman" w:cs="Times New Roman"/>
          <w:bCs/>
          <w:sz w:val="24"/>
          <w:szCs w:val="24"/>
        </w:rPr>
        <w:t xml:space="preserve">– </w:t>
      </w:r>
      <w:r w:rsidRPr="006B2CD4">
        <w:rPr>
          <w:rFonts w:ascii="Times New Roman" w:hAnsi="Times New Roman" w:cs="Times New Roman"/>
          <w:sz w:val="24"/>
          <w:szCs w:val="24"/>
        </w:rPr>
        <w:t>Prawo bankowe w zakresie powierzenia czynności przedsiębiorcy lub przedsiębiorcy zagranicznemu w drodze outsourci</w:t>
      </w:r>
      <w:r w:rsidR="00457862">
        <w:rPr>
          <w:rFonts w:ascii="Times New Roman" w:hAnsi="Times New Roman" w:cs="Times New Roman"/>
          <w:sz w:val="24"/>
          <w:szCs w:val="24"/>
        </w:rPr>
        <w:t>ngu, podoutsourcingu bankowego –</w:t>
      </w:r>
      <w:r w:rsidRPr="006B2CD4">
        <w:rPr>
          <w:rFonts w:ascii="Times New Roman" w:hAnsi="Times New Roman" w:cs="Times New Roman"/>
          <w:sz w:val="24"/>
          <w:szCs w:val="24"/>
        </w:rPr>
        <w:t xml:space="preserve"> wprowadzenie zawiadomienia w miejsce obowiązku uzyskiwania zezwolenia KNF. </w:t>
      </w:r>
    </w:p>
    <w:p w14:paraId="45C92F65" w14:textId="4AF99D92" w:rsidR="004D1401" w:rsidRDefault="004D1401" w:rsidP="00D0671F">
      <w:pPr>
        <w:spacing w:after="120" w:line="360" w:lineRule="auto"/>
        <w:jc w:val="both"/>
        <w:rPr>
          <w:rFonts w:ascii="Times New Roman" w:hAnsi="Times New Roman" w:cs="Times New Roman"/>
          <w:sz w:val="24"/>
          <w:szCs w:val="24"/>
        </w:rPr>
      </w:pPr>
      <w:r w:rsidRPr="002659BC">
        <w:rPr>
          <w:rFonts w:ascii="Times New Roman" w:hAnsi="Times New Roman" w:cs="Times New Roman"/>
          <w:sz w:val="24"/>
          <w:szCs w:val="24"/>
        </w:rPr>
        <w:t>Zmiana w art. 48k ma na celu umożliwi</w:t>
      </w:r>
      <w:r w:rsidRPr="00044157">
        <w:rPr>
          <w:rFonts w:ascii="Times New Roman" w:hAnsi="Times New Roman" w:cs="Times New Roman"/>
          <w:sz w:val="24"/>
          <w:szCs w:val="24"/>
        </w:rPr>
        <w:t xml:space="preserve">enie sporządzania dokumentów związanych z procesem czynności kontrolnych w </w:t>
      </w:r>
      <w:r w:rsidRPr="005360DD">
        <w:rPr>
          <w:rFonts w:ascii="Times New Roman" w:hAnsi="Times New Roman" w:cs="Times New Roman"/>
          <w:sz w:val="24"/>
          <w:szCs w:val="24"/>
        </w:rPr>
        <w:t>oddziałach instytucji kredytowych</w:t>
      </w:r>
      <w:r w:rsidRPr="002659BC">
        <w:rPr>
          <w:rFonts w:ascii="Times New Roman" w:hAnsi="Times New Roman" w:cs="Times New Roman"/>
          <w:sz w:val="24"/>
          <w:szCs w:val="24"/>
        </w:rPr>
        <w:t xml:space="preserve"> w wersji elektronicznej oraz umożliwić w ich przypadku doręczenia elektroniczne</w:t>
      </w:r>
      <w:r>
        <w:rPr>
          <w:rFonts w:ascii="Times New Roman" w:hAnsi="Times New Roman" w:cs="Times New Roman"/>
          <w:sz w:val="24"/>
          <w:szCs w:val="24"/>
        </w:rPr>
        <w:t>.</w:t>
      </w:r>
    </w:p>
    <w:p w14:paraId="1C1BCA5A" w14:textId="7C12BF40" w:rsidR="0067057F" w:rsidRPr="006B2CD4" w:rsidRDefault="0067057F" w:rsidP="00D0671F">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Proponowana zmiana brzmienia art. 70a ustawy – Prawo bankowe została zaprojektowana w celu wprowadzenia nowych instytucji prawnych, a mianowicie </w:t>
      </w:r>
      <w:r w:rsidRPr="00915020">
        <w:rPr>
          <w:rFonts w:ascii="Times New Roman" w:hAnsi="Times New Roman" w:cs="Times New Roman"/>
          <w:sz w:val="24"/>
          <w:szCs w:val="24"/>
        </w:rPr>
        <w:t>bankowego pouczenia o możliwości uzyskania wyjaśnień oraz terminu złożenia wniosku o wyjaśnienia.</w:t>
      </w:r>
      <w:r>
        <w:rPr>
          <w:rFonts w:ascii="Times New Roman" w:hAnsi="Times New Roman" w:cs="Times New Roman"/>
          <w:sz w:val="24"/>
          <w:szCs w:val="24"/>
        </w:rPr>
        <w:t xml:space="preserve"> Projektowane rozwiązanie zostało utworzone w celu zaprowadzenia spójności w przepisach, dzięki któremu banki zostaną zobowiązane, poprzez jasne oraz precyzyjne przepisy, do pouczenia o prawie do złożenia wniosku o wyjaśnienia dotyczącego dokonanego przez bank lub inną instytucję ustawowo upoważnioną do udzielania kredytu oceny zdolności kredytowej wnioskującego. Dodat</w:t>
      </w:r>
      <w:r>
        <w:rPr>
          <w:rFonts w:ascii="Times New Roman" w:hAnsi="Times New Roman" w:cs="Times New Roman"/>
          <w:sz w:val="24"/>
          <w:szCs w:val="24"/>
        </w:rPr>
        <w:lastRenderedPageBreak/>
        <w:t>kowo powyższe instytucje, zgodnie z projektowanym przepisem, zostały zobligowane do poinformowania podmiotu ubiegającego się o kredyt o terminie na złożenie takiego wniosku. Sposób poinformowania takiego podmiotu został zdefiniowany w projektowanym artykule jako przekazany na trwałym nośniku oraz sformułowany w jasny i prosty język, który jest zrozumiały dla przeciętnego klienta zapoznającego się z oceną zdolności kredytowej. Proponowany przepis wprowadza prawo pobierania opłaty przez instytucję ustawowo upoważnioną do udzielania kredytów za sporządzenie wyjaśnienia, które zostało złożone przez przedsiębiorcę, jednak projektowany przepis nie ma zastosowania do osób fizycznych. Ponadto projektowany przepis nakłada na banki oraz inne instytucje ustawowo upoważnione do udzielenia kredytów obowiązek na udzielenie odpowiedzi niezwłocznie, nie później jednak niż w terminie 30 dni od daty otrzymania wniosku. Dodatkowo powyższe rozwiązania znajdują zastosowanie również do przedsiębiorcy ubiegającego się o pożyczkę pieniężną oraz do udzielania wyjaśnień w przypadku dokonywania oceny zdolności kredytowej</w:t>
      </w:r>
      <w:r w:rsidR="00FA7CBB">
        <w:rPr>
          <w:rFonts w:ascii="Times New Roman" w:hAnsi="Times New Roman" w:cs="Times New Roman"/>
          <w:sz w:val="24"/>
          <w:szCs w:val="24"/>
        </w:rPr>
        <w:t>,</w:t>
      </w:r>
      <w:r>
        <w:rPr>
          <w:rFonts w:ascii="Times New Roman" w:hAnsi="Times New Roman" w:cs="Times New Roman"/>
          <w:sz w:val="24"/>
          <w:szCs w:val="24"/>
        </w:rPr>
        <w:t xml:space="preserve"> jak i do analizy ryzyka kredytowego, które oparte jest wyłącznie na zautomatyzowanym przetwarzaniu, o którym mowa w art. 105a ust. 1a ustawy – Prawo bankowe. </w:t>
      </w:r>
    </w:p>
    <w:p w14:paraId="6CBAE9EB" w14:textId="59FDE3A3" w:rsidR="00680CC0" w:rsidRDefault="00680CC0" w:rsidP="00D0671F">
      <w:pPr>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Dodanie art. 88ma w ustawie </w:t>
      </w:r>
      <w:r w:rsidR="00670691" w:rsidRPr="006B2CD4">
        <w:rPr>
          <w:rFonts w:ascii="Times New Roman" w:hAnsi="Times New Roman" w:cs="Times New Roman"/>
          <w:bCs/>
          <w:sz w:val="24"/>
          <w:szCs w:val="24"/>
        </w:rPr>
        <w:t xml:space="preserve">– </w:t>
      </w:r>
      <w:r w:rsidRPr="006B2CD4">
        <w:rPr>
          <w:rFonts w:ascii="Times New Roman" w:hAnsi="Times New Roman" w:cs="Times New Roman"/>
          <w:bCs/>
          <w:sz w:val="24"/>
          <w:szCs w:val="24"/>
        </w:rPr>
        <w:t>Prawo bankowe ma na celu zapewnienie KNF jako organowi właściwemu w rozumieniu art. 39 ust. 3 rozporządzenia Parlamentu Europejskiego i Rady (UE) nr 600/2014 z dnia 15 maja 2014 r. w sprawie rynków instrumentów finansowych oraz zmieniającego rozporządzenie (EU) nr 648/2012 (Dz. Urz. UE L 173/84 z 12.06.2014), dalej „roz</w:t>
      </w:r>
      <w:r w:rsidRPr="006B2CD4">
        <w:rPr>
          <w:rFonts w:ascii="Times New Roman" w:hAnsi="Times New Roman" w:cs="Times New Roman"/>
          <w:bCs/>
          <w:sz w:val="24"/>
          <w:szCs w:val="24"/>
        </w:rPr>
        <w:lastRenderedPageBreak/>
        <w:t>porządzenie 600/2014”</w:t>
      </w:r>
      <w:r w:rsidR="00FA7CBB">
        <w:rPr>
          <w:rFonts w:ascii="Times New Roman" w:hAnsi="Times New Roman" w:cs="Times New Roman"/>
          <w:bCs/>
          <w:sz w:val="24"/>
          <w:szCs w:val="24"/>
        </w:rPr>
        <w:t>,</w:t>
      </w:r>
      <w:r w:rsidRPr="006B2CD4">
        <w:rPr>
          <w:rFonts w:ascii="Times New Roman" w:hAnsi="Times New Roman" w:cs="Times New Roman"/>
          <w:bCs/>
          <w:sz w:val="24"/>
          <w:szCs w:val="24"/>
        </w:rPr>
        <w:t xml:space="preserve"> efektywności w zakresie monitorowania rynku lokat strukturyzowanych, które są rekomendowane, oferowane lub co do których możliwe jest zawarcie umowy na terytorium Rzeczypospolitej Polskiej przez bank (także w wypadku wykonywania takich czynności przez bank na terytorium innego państwa) oraz sprawowania przez KNF nadzoru w tym zakresie. Ze względu na to, że rozporządzenie 600/2014 nie przewiduje dokładnego zakresu sprawowanego nadzoru w związku z lokatami strukturyzowanymi, uzasadnione jest przewidzenie w tym obszarze konkretnych, szczególnych dla polskiego sektora bankowego zasad i wprowadzenie na gruncie polskiego prawa obowiązku sprawozdawczego dla podmiotów nadzorowanych. Zakres informacji przekazywany KNF ma dotyczyć rozpoczęcia, ograniczenia i zaprzestania prowadzenia działalności w tym zakresie, istotnego naruszenia przepisów związanych z prowadzeniem tej działalności oraz oferowanych lub zawieranych lokat strukturyzowanych. Dokładne wymogi, w tym szczegółowy zakres informacji dotyczący prowadzonej przez bank działalności związanej z lokatami strukturyzowanymi oraz terminami i sposobem ich przekazywania, będzie podlegał dalszym konsultacjom i zostanie określony, zgodnie z propozycją zawartą w art. 88ma ust. 2 ustawy</w:t>
      </w:r>
      <w:r w:rsidR="00762E6D" w:rsidRPr="006B2CD4">
        <w:rPr>
          <w:rFonts w:ascii="Times New Roman" w:hAnsi="Times New Roman" w:cs="Times New Roman"/>
          <w:bCs/>
          <w:sz w:val="24"/>
          <w:szCs w:val="24"/>
        </w:rPr>
        <w:t xml:space="preserve"> </w:t>
      </w:r>
      <w:r w:rsidR="00670691" w:rsidRPr="006B2CD4">
        <w:rPr>
          <w:rFonts w:ascii="Times New Roman" w:hAnsi="Times New Roman" w:cs="Times New Roman"/>
          <w:bCs/>
          <w:sz w:val="24"/>
          <w:szCs w:val="24"/>
        </w:rPr>
        <w:t xml:space="preserve">– </w:t>
      </w:r>
      <w:r w:rsidRPr="006B2CD4">
        <w:rPr>
          <w:rFonts w:ascii="Times New Roman" w:hAnsi="Times New Roman" w:cs="Times New Roman"/>
          <w:bCs/>
          <w:sz w:val="24"/>
          <w:szCs w:val="24"/>
        </w:rPr>
        <w:t>Prawo bankowe.</w:t>
      </w:r>
    </w:p>
    <w:p w14:paraId="496C2A7A" w14:textId="03BC99D3" w:rsidR="00192454" w:rsidRPr="006B2CD4" w:rsidRDefault="00192454" w:rsidP="00D0671F">
      <w:p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Dodanie do Prawa bankowego po rozdziale 6a rozdziału 6b stanowi realizację </w:t>
      </w:r>
      <w:r w:rsidRPr="0016449D">
        <w:rPr>
          <w:rFonts w:ascii="Times New Roman" w:hAnsi="Times New Roman" w:cs="Times New Roman"/>
          <w:sz w:val="24"/>
          <w:szCs w:val="24"/>
        </w:rPr>
        <w:t>SRRK</w:t>
      </w:r>
      <w:r>
        <w:rPr>
          <w:rFonts w:ascii="Times New Roman" w:hAnsi="Times New Roman" w:cs="Times New Roman"/>
          <w:sz w:val="24"/>
          <w:szCs w:val="24"/>
        </w:rPr>
        <w:t xml:space="preserve"> w zakresie rozwoju</w:t>
      </w:r>
      <w:r w:rsidRPr="0016449D">
        <w:rPr>
          <w:rFonts w:ascii="Times New Roman" w:hAnsi="Times New Roman" w:cs="Times New Roman"/>
          <w:sz w:val="24"/>
          <w:szCs w:val="24"/>
        </w:rPr>
        <w:t xml:space="preserve"> krajowej oferty produktów inwestycyjnych. Produkty strukturyzowane zostały zidentyfikowane jako kategoria, która może wymagać nowych rozwiązań legislacyjnych ze względu na brak odpowiedniej regulacji i dostępności w Polsce.</w:t>
      </w:r>
      <w:r>
        <w:rPr>
          <w:rFonts w:ascii="Times New Roman" w:hAnsi="Times New Roman" w:cs="Times New Roman"/>
          <w:bCs/>
          <w:sz w:val="24"/>
          <w:szCs w:val="24"/>
        </w:rPr>
        <w:t xml:space="preserve"> </w:t>
      </w:r>
      <w:r w:rsidRPr="0016449D">
        <w:rPr>
          <w:rFonts w:ascii="Times New Roman" w:hAnsi="Times New Roman" w:cs="Times New Roman"/>
          <w:sz w:val="24"/>
          <w:szCs w:val="24"/>
        </w:rPr>
        <w:t xml:space="preserve">Przyjmuje się, że produkt strukturyzowany to instrument o charakterze inwestycyjnym, składający się z kilku innych, </w:t>
      </w:r>
      <w:r w:rsidRPr="0016449D">
        <w:rPr>
          <w:rFonts w:ascii="Times New Roman" w:hAnsi="Times New Roman" w:cs="Times New Roman"/>
          <w:sz w:val="24"/>
          <w:szCs w:val="24"/>
        </w:rPr>
        <w:lastRenderedPageBreak/>
        <w:t>różniących się od siebie instrumentów o prostszej konstrukcji. Pośród jego cech wymienia się (i) stopę zwrotu opartą o z góry ustaloną formułę (lecz o zmiennej wysokości), (ii) (zwykle) pełną lub częściową ochronę kapitału, (iv) wbudowany instrument pochodny, oraz (v) ustalony czasu trwania inwestycji. Komercyjne nazwy produktów emitowanych lub dystrybuowanych w Polsce to np.: certyfikaty depozytowe, strukturyzowane certyfikaty depozytowe, obligacje strukturyzowane, certyfikaty strukturyzowane.</w:t>
      </w:r>
      <w:r>
        <w:rPr>
          <w:rFonts w:ascii="Times New Roman" w:hAnsi="Times New Roman" w:cs="Times New Roman"/>
          <w:bCs/>
          <w:sz w:val="24"/>
          <w:szCs w:val="24"/>
        </w:rPr>
        <w:t xml:space="preserve"> </w:t>
      </w:r>
      <w:r w:rsidRPr="00AE2C1D">
        <w:rPr>
          <w:rFonts w:ascii="Times New Roman" w:hAnsi="Times New Roman" w:cs="Times New Roman"/>
          <w:sz w:val="24"/>
          <w:szCs w:val="24"/>
        </w:rPr>
        <w:t>Przeprowadzone</w:t>
      </w:r>
      <w:r>
        <w:rPr>
          <w:rFonts w:ascii="Times New Roman" w:hAnsi="Times New Roman" w:cs="Times New Roman"/>
          <w:sz w:val="24"/>
          <w:szCs w:val="24"/>
        </w:rPr>
        <w:t xml:space="preserve"> przez właściwe organy administracji publicznej i ośrodki badawcze</w:t>
      </w:r>
      <w:r w:rsidRPr="00AE2C1D">
        <w:rPr>
          <w:rFonts w:ascii="Times New Roman" w:hAnsi="Times New Roman" w:cs="Times New Roman"/>
          <w:sz w:val="24"/>
          <w:szCs w:val="24"/>
        </w:rPr>
        <w:t xml:space="preserve"> analizy krajowego rynku ujawniły dominację dystrybucji produktów emitowanych pod prawem obcym (np. niemieckim, angielskim). Produkty krajowe przybierają natomiast formę lokat strukturyzowanych oraz bankowych papierów wartościowych (BPW), w tym od niedawna BPW emitowanych w oparciu o prospekt, z właściwymi dla tych form ograniczeniami.</w:t>
      </w:r>
      <w:r>
        <w:rPr>
          <w:rFonts w:ascii="Times New Roman" w:hAnsi="Times New Roman" w:cs="Times New Roman"/>
          <w:bCs/>
          <w:sz w:val="24"/>
          <w:szCs w:val="24"/>
        </w:rPr>
        <w:t xml:space="preserve"> J</w:t>
      </w:r>
      <w:r w:rsidRPr="00AE2C1D">
        <w:rPr>
          <w:rFonts w:ascii="Times New Roman" w:hAnsi="Times New Roman" w:cs="Times New Roman"/>
          <w:sz w:val="24"/>
          <w:szCs w:val="24"/>
        </w:rPr>
        <w:t>ako główną barierę rozwoju krajowego ryn</w:t>
      </w:r>
      <w:r>
        <w:rPr>
          <w:rFonts w:ascii="Times New Roman" w:hAnsi="Times New Roman" w:cs="Times New Roman"/>
          <w:sz w:val="24"/>
          <w:szCs w:val="24"/>
        </w:rPr>
        <w:t xml:space="preserve">ku produktów strukturyzowanych wskazać należy </w:t>
      </w:r>
      <w:r w:rsidRPr="00AE2C1D">
        <w:rPr>
          <w:rFonts w:ascii="Times New Roman" w:hAnsi="Times New Roman" w:cs="Times New Roman"/>
          <w:sz w:val="24"/>
          <w:szCs w:val="24"/>
        </w:rPr>
        <w:t>brak pewności prawnej. Wskazywano wręcz na brak możliwości emitowania produktów strukturyzowanych, z uwagi na zasadę zamkniętego katalogu papierów wartościowych i brak odpowiednich podstaw materialnych. W odbiorze uczestników konsultacji taką podstawą nie jest w szczególności art. 3 ust. 29a ustawy o obrocie, który od listopada 2019 r. definiuje giełdowe prawa pochodne (GPP).</w:t>
      </w:r>
      <w:r>
        <w:rPr>
          <w:rFonts w:ascii="Times New Roman" w:hAnsi="Times New Roman" w:cs="Times New Roman"/>
          <w:bCs/>
          <w:sz w:val="24"/>
          <w:szCs w:val="24"/>
        </w:rPr>
        <w:t xml:space="preserve"> </w:t>
      </w:r>
      <w:r w:rsidRPr="00AE2C1D">
        <w:rPr>
          <w:rFonts w:ascii="Times New Roman" w:hAnsi="Times New Roman" w:cs="Times New Roman"/>
          <w:sz w:val="24"/>
          <w:szCs w:val="24"/>
        </w:rPr>
        <w:t>Uczestnicy konsultacji</w:t>
      </w:r>
      <w:r>
        <w:rPr>
          <w:rFonts w:ascii="Times New Roman" w:hAnsi="Times New Roman" w:cs="Times New Roman"/>
          <w:sz w:val="24"/>
          <w:szCs w:val="24"/>
        </w:rPr>
        <w:t>, tacy jak Związek Banków Polskich</w:t>
      </w:r>
      <w:r w:rsidRPr="00AE2C1D">
        <w:rPr>
          <w:rFonts w:ascii="Times New Roman" w:hAnsi="Times New Roman" w:cs="Times New Roman"/>
          <w:sz w:val="24"/>
          <w:szCs w:val="24"/>
        </w:rPr>
        <w:t xml:space="preserve"> postulowali m.in. </w:t>
      </w:r>
      <w:r w:rsidRPr="00AE2C1D">
        <w:rPr>
          <w:rFonts w:ascii="Times New Roman" w:hAnsi="Times New Roman" w:cs="Times New Roman"/>
          <w:iCs/>
          <w:sz w:val="24"/>
          <w:szCs w:val="24"/>
        </w:rPr>
        <w:t>stworzenie i uregulowanie innej, zbliżonej formy prawnej do lokaty strukturyzowanej, która pozwoli na konstrukcję produktu analogicznie jak w</w:t>
      </w:r>
      <w:r w:rsidR="007C389F">
        <w:rPr>
          <w:rFonts w:ascii="Times New Roman" w:hAnsi="Times New Roman" w:cs="Times New Roman"/>
          <w:iCs/>
          <w:sz w:val="24"/>
          <w:szCs w:val="24"/>
        </w:rPr>
        <w:t xml:space="preserve"> </w:t>
      </w:r>
      <w:r w:rsidRPr="00AE2C1D">
        <w:rPr>
          <w:rFonts w:ascii="Times New Roman" w:hAnsi="Times New Roman" w:cs="Times New Roman"/>
          <w:iCs/>
          <w:sz w:val="24"/>
          <w:szCs w:val="24"/>
        </w:rPr>
        <w:t>formie lokaty strukturyzowanej zachowując korzystne dla klienta rozwiązania, ale przy wprowadzeniu częściowej gwarancji kapitału w dacie zapadalności produktu</w:t>
      </w:r>
      <w:r w:rsidRPr="00AE2C1D">
        <w:rPr>
          <w:rFonts w:ascii="Times New Roman" w:hAnsi="Times New Roman" w:cs="Times New Roman"/>
          <w:i/>
          <w:iCs/>
          <w:sz w:val="24"/>
          <w:szCs w:val="24"/>
        </w:rPr>
        <w:t>.</w:t>
      </w:r>
      <w:r>
        <w:rPr>
          <w:rFonts w:ascii="Times New Roman" w:hAnsi="Times New Roman" w:cs="Times New Roman"/>
          <w:sz w:val="24"/>
          <w:szCs w:val="24"/>
        </w:rPr>
        <w:t>. Wskazuje się</w:t>
      </w:r>
      <w:r w:rsidRPr="00AE2C1D">
        <w:rPr>
          <w:rFonts w:ascii="Times New Roman" w:hAnsi="Times New Roman" w:cs="Times New Roman"/>
          <w:sz w:val="24"/>
          <w:szCs w:val="24"/>
        </w:rPr>
        <w:t xml:space="preserve"> </w:t>
      </w:r>
      <w:r w:rsidRPr="00AE2C1D">
        <w:rPr>
          <w:rFonts w:ascii="Times New Roman" w:hAnsi="Times New Roman" w:cs="Times New Roman"/>
          <w:sz w:val="24"/>
          <w:szCs w:val="24"/>
        </w:rPr>
        <w:lastRenderedPageBreak/>
        <w:t>również, że przy założeniu, że art. 3 ust. 29a ustawy o obrocie rzeczywiście stanowi podstawę materialną emisji GPP, możliwa byłaby w Polsce emisja produktów z dźwignią finansową tzw. Ce</w:t>
      </w:r>
      <w:r>
        <w:rPr>
          <w:rFonts w:ascii="Times New Roman" w:hAnsi="Times New Roman" w:cs="Times New Roman"/>
          <w:sz w:val="24"/>
          <w:szCs w:val="24"/>
        </w:rPr>
        <w:t>rtyfikatów Turbo (</w:t>
      </w:r>
      <w:r w:rsidRPr="00AE2C1D">
        <w:rPr>
          <w:rFonts w:ascii="Times New Roman" w:hAnsi="Times New Roman" w:cs="Times New Roman"/>
          <w:sz w:val="24"/>
          <w:szCs w:val="24"/>
        </w:rPr>
        <w:t>Certyfikaty Turbo to produkty o największym, 35% udziale w obrocie certyfikatami strukturyzowanymi na GPW wg pisma IDM z 24 lipca 2020 r.). Dotychczas nie nastąpiła jednak żadna emisja na podstawie art. 3 ust. 29a ustawy o obrocie.</w:t>
      </w:r>
      <w:r>
        <w:rPr>
          <w:rFonts w:ascii="Times New Roman" w:hAnsi="Times New Roman" w:cs="Times New Roman"/>
          <w:sz w:val="24"/>
          <w:szCs w:val="24"/>
        </w:rPr>
        <w:t xml:space="preserve"> </w:t>
      </w:r>
    </w:p>
    <w:p w14:paraId="59ACD36E" w14:textId="24443B58" w:rsidR="00680CC0" w:rsidRDefault="00680CC0" w:rsidP="00B856D8">
      <w:pPr>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Zmia</w:t>
      </w:r>
      <w:r w:rsidR="00670691" w:rsidRPr="006B2CD4">
        <w:rPr>
          <w:rFonts w:ascii="Times New Roman" w:hAnsi="Times New Roman" w:cs="Times New Roman"/>
          <w:bCs/>
          <w:sz w:val="24"/>
          <w:szCs w:val="24"/>
        </w:rPr>
        <w:t xml:space="preserve">ny w art. 92a ust. 1 i 3 ustawy – </w:t>
      </w:r>
      <w:r w:rsidRPr="006B2CD4">
        <w:rPr>
          <w:rFonts w:ascii="Times New Roman" w:hAnsi="Times New Roman" w:cs="Times New Roman"/>
          <w:bCs/>
          <w:sz w:val="24"/>
          <w:szCs w:val="24"/>
        </w:rPr>
        <w:t>Prawo bankowe mają charakter redakcyjny i wynikają ze zmiany terminologii dotyczącej funduszy sekurytyzacyjnych proponowanych w ustawie o funduszach inwestycyjnych, do której odwołuje się ustawa</w:t>
      </w:r>
      <w:r w:rsidR="00670691" w:rsidRPr="006B2CD4">
        <w:rPr>
          <w:rFonts w:ascii="Times New Roman" w:hAnsi="Times New Roman" w:cs="Times New Roman"/>
          <w:bCs/>
          <w:sz w:val="24"/>
          <w:szCs w:val="24"/>
        </w:rPr>
        <w:t xml:space="preserve"> – </w:t>
      </w:r>
      <w:r w:rsidRPr="006B2CD4">
        <w:rPr>
          <w:rFonts w:ascii="Times New Roman" w:hAnsi="Times New Roman" w:cs="Times New Roman"/>
          <w:bCs/>
          <w:sz w:val="24"/>
          <w:szCs w:val="24"/>
        </w:rPr>
        <w:t>Prawo bankowe.</w:t>
      </w:r>
    </w:p>
    <w:p w14:paraId="179DF5B2" w14:textId="77777777" w:rsidR="00FE587E" w:rsidRPr="006B2CD4" w:rsidRDefault="00FE587E" w:rsidP="00B856D8">
      <w:pPr>
        <w:spacing w:after="0" w:line="360" w:lineRule="auto"/>
        <w:jc w:val="both"/>
        <w:rPr>
          <w:rFonts w:ascii="Times New Roman" w:hAnsi="Times New Roman" w:cs="Times New Roman"/>
          <w:bCs/>
          <w:sz w:val="24"/>
          <w:szCs w:val="24"/>
        </w:rPr>
      </w:pPr>
    </w:p>
    <w:p w14:paraId="563814ED" w14:textId="51EC8245" w:rsidR="00680CC0" w:rsidRPr="006B2CD4" w:rsidRDefault="00680CC0" w:rsidP="00D0671F">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Zmiana przepisów w zakresie zmian art. 104 i 105 ustawy</w:t>
      </w:r>
      <w:r w:rsidR="00670691" w:rsidRPr="006B2CD4">
        <w:rPr>
          <w:rFonts w:ascii="Times New Roman" w:hAnsi="Times New Roman" w:cs="Times New Roman"/>
          <w:sz w:val="24"/>
          <w:szCs w:val="24"/>
        </w:rPr>
        <w:t xml:space="preserve"> </w:t>
      </w:r>
      <w:r w:rsidR="00670691" w:rsidRPr="006B2CD4">
        <w:rPr>
          <w:rFonts w:ascii="Times New Roman" w:hAnsi="Times New Roman" w:cs="Times New Roman"/>
          <w:bCs/>
          <w:sz w:val="24"/>
          <w:szCs w:val="24"/>
        </w:rPr>
        <w:t xml:space="preserve">– </w:t>
      </w:r>
      <w:r w:rsidRPr="006B2CD4">
        <w:rPr>
          <w:rFonts w:ascii="Times New Roman" w:hAnsi="Times New Roman" w:cs="Times New Roman"/>
          <w:sz w:val="24"/>
          <w:szCs w:val="24"/>
        </w:rPr>
        <w:t>Prawo bankowe ma na celu wdrożenie postulatów Zespołu zadaniowego ds. opracowania metodyki postępowania w związku z zabezpieczeniem majątkowym. Proponowane zmiany mają na celu wprowadzenie rozwiązań prawnych umożliwiających skuteczne działanie instytucji państwowych zaangażowanych w przeciwdziałanie i zwalczanie przestępczości gospodarczej oraz ujednolicenie kompetencji poszczególnych służb.</w:t>
      </w:r>
    </w:p>
    <w:p w14:paraId="4087AC80" w14:textId="610350D4" w:rsidR="00680CC0" w:rsidRPr="006B2CD4" w:rsidRDefault="00680CC0" w:rsidP="00D0671F">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Proponowana zmi</w:t>
      </w:r>
      <w:r w:rsidR="00670691" w:rsidRPr="006B2CD4">
        <w:rPr>
          <w:rFonts w:ascii="Times New Roman" w:hAnsi="Times New Roman" w:cs="Times New Roman"/>
          <w:sz w:val="24"/>
          <w:szCs w:val="24"/>
        </w:rPr>
        <w:t xml:space="preserve">ana w art. 104 ust. 4a ustawy </w:t>
      </w:r>
      <w:r w:rsidR="00670691" w:rsidRPr="006B2CD4">
        <w:rPr>
          <w:rFonts w:ascii="Times New Roman" w:hAnsi="Times New Roman" w:cs="Times New Roman"/>
          <w:bCs/>
          <w:sz w:val="24"/>
          <w:szCs w:val="24"/>
        </w:rPr>
        <w:t xml:space="preserve">– </w:t>
      </w:r>
      <w:r w:rsidRPr="006B2CD4">
        <w:rPr>
          <w:rFonts w:ascii="Times New Roman" w:hAnsi="Times New Roman" w:cs="Times New Roman"/>
          <w:sz w:val="24"/>
          <w:szCs w:val="24"/>
        </w:rPr>
        <w:t xml:space="preserve">Prawo bankowe ma na celu rozszerzenie grupy organów, którym bank, osoby w nim zatrudnione oraz osoby, za których pośrednictwem bank wykonuje czynności bankowe, są obowiązane zachować w tajemnicy informacje dotyczące udzielania informacji oraz zawiadomienia na zasadach określonych w poszczególnych </w:t>
      </w:r>
      <w:r w:rsidRPr="006B2CD4">
        <w:rPr>
          <w:rFonts w:ascii="Times New Roman" w:hAnsi="Times New Roman" w:cs="Times New Roman"/>
          <w:sz w:val="24"/>
          <w:szCs w:val="24"/>
        </w:rPr>
        <w:lastRenderedPageBreak/>
        <w:t xml:space="preserve">ustawach o Żandarmerię Wojskową, Straż Graniczną, Szefa Centralnego Biura Antykorupcyjnego, Szefa Agencji Bezpieczeństwa Wewnętrznego oraz </w:t>
      </w:r>
      <w:r w:rsidR="00E129AE">
        <w:rPr>
          <w:rFonts w:ascii="Times New Roman" w:hAnsi="Times New Roman" w:cs="Times New Roman"/>
          <w:sz w:val="24"/>
          <w:szCs w:val="24"/>
        </w:rPr>
        <w:t>Inspektora</w:t>
      </w:r>
      <w:r w:rsidR="00E129AE" w:rsidRPr="006B2CD4">
        <w:rPr>
          <w:rFonts w:ascii="Times New Roman" w:hAnsi="Times New Roman" w:cs="Times New Roman"/>
          <w:sz w:val="24"/>
          <w:szCs w:val="24"/>
        </w:rPr>
        <w:t xml:space="preserve"> </w:t>
      </w:r>
      <w:r w:rsidRPr="006B2CD4">
        <w:rPr>
          <w:rFonts w:ascii="Times New Roman" w:hAnsi="Times New Roman" w:cs="Times New Roman"/>
          <w:sz w:val="24"/>
          <w:szCs w:val="24"/>
        </w:rPr>
        <w:t>Nadzoru Wewnętrznego.</w:t>
      </w:r>
    </w:p>
    <w:p w14:paraId="61B934E5" w14:textId="01C28B81" w:rsidR="00680CC0" w:rsidRPr="006B2CD4" w:rsidRDefault="00680CC0" w:rsidP="00D0671F">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Zgodnie ze zmianą w art</w:t>
      </w:r>
      <w:r w:rsidR="00670691" w:rsidRPr="006B2CD4">
        <w:rPr>
          <w:rFonts w:ascii="Times New Roman" w:hAnsi="Times New Roman" w:cs="Times New Roman"/>
          <w:sz w:val="24"/>
          <w:szCs w:val="24"/>
        </w:rPr>
        <w:t xml:space="preserve">. 105 w ust. 1 w pkt 2 ustawy </w:t>
      </w:r>
      <w:r w:rsidR="00670691" w:rsidRPr="006B2CD4">
        <w:rPr>
          <w:rFonts w:ascii="Times New Roman" w:hAnsi="Times New Roman" w:cs="Times New Roman"/>
          <w:bCs/>
          <w:sz w:val="24"/>
          <w:szCs w:val="24"/>
        </w:rPr>
        <w:t xml:space="preserve">– </w:t>
      </w:r>
      <w:r w:rsidRPr="006B2CD4">
        <w:rPr>
          <w:rFonts w:ascii="Times New Roman" w:hAnsi="Times New Roman" w:cs="Times New Roman"/>
          <w:sz w:val="24"/>
          <w:szCs w:val="24"/>
        </w:rPr>
        <w:t>Prawo bankowe rozszerzona została grupa organów, na żądanie których bank ma obowiązek udzielenia informacji stanowiących tajemnicę bankową o Straż Graniczną, jeżeli jest to konieczne dla skutecznego zapobieżenia przestępstwom, ich wykrycia albo ustalenia sprawców i uzyskania dowodów, na zasadach i w trybie określonych w art</w:t>
      </w:r>
      <w:r w:rsidR="00FE587E">
        <w:rPr>
          <w:rFonts w:ascii="Times New Roman" w:hAnsi="Times New Roman" w:cs="Times New Roman"/>
          <w:sz w:val="24"/>
          <w:szCs w:val="24"/>
        </w:rPr>
        <w:t>. 10c ustawy o Straży Granicznej</w:t>
      </w:r>
      <w:r w:rsidRPr="006B2CD4">
        <w:rPr>
          <w:rFonts w:ascii="Times New Roman" w:hAnsi="Times New Roman" w:cs="Times New Roman"/>
          <w:sz w:val="24"/>
          <w:szCs w:val="24"/>
        </w:rPr>
        <w:t>. Dodatkowo zmianie uległy przesłanki, na podstawie których bank ma obowiązek udzielenia ww. informacji Szefowi Centralnego Biura Antykorupcyjnego, tj. jeżeli jest to konieczne dla skutecznego zapobieżenia przestępstwom, ich wykrycia albo ustalenia sprawców i uzyskania dowodów, a także wykryci</w:t>
      </w:r>
      <w:r w:rsidR="003E6F60">
        <w:rPr>
          <w:rFonts w:ascii="Times New Roman" w:hAnsi="Times New Roman" w:cs="Times New Roman"/>
          <w:sz w:val="24"/>
          <w:szCs w:val="24"/>
        </w:rPr>
        <w:t>s</w:t>
      </w:r>
      <w:r w:rsidRPr="006B2CD4">
        <w:rPr>
          <w:rFonts w:ascii="Times New Roman" w:hAnsi="Times New Roman" w:cs="Times New Roman"/>
          <w:sz w:val="24"/>
          <w:szCs w:val="24"/>
        </w:rPr>
        <w:t>a i identyfikacji przedmiotów i innych korzyści majątkowych pochodzących z przestępstwa albo ich równowartości, oraz w celu kontroli prawdziwości oświadczeń majątkowych, w trybie i na zasadach określonych w art. 23 ustawy o Centralnym Biurze Antykorupcyjnym oraz Szefowi Agencji Bezpieczeństwa Wewnętrznego, tj. jeżeli jest to konieczne do skutecznego zapobieżenia przestępstwom, ich wykrycia albo ustalenia sprawców i uzyskania dowodów, a także wykrycia i identyfikacji przedmiotów i innych korzyści majątkowych pochodzących przestępstwa albo ich równowartości, w trybie i na zasadach określonych w art. 34a ustawy o Agencji Bezpieczeństwa Wewnętrzne</w:t>
      </w:r>
      <w:r w:rsidR="00FE587E">
        <w:rPr>
          <w:rFonts w:ascii="Times New Roman" w:hAnsi="Times New Roman" w:cs="Times New Roman"/>
          <w:sz w:val="24"/>
          <w:szCs w:val="24"/>
        </w:rPr>
        <w:t>go oraz Agencji Wywiadu</w:t>
      </w:r>
      <w:r w:rsidRPr="006B2CD4">
        <w:rPr>
          <w:rFonts w:ascii="Times New Roman" w:hAnsi="Times New Roman" w:cs="Times New Roman"/>
          <w:sz w:val="24"/>
          <w:szCs w:val="24"/>
        </w:rPr>
        <w:t>.</w:t>
      </w:r>
      <w:r w:rsidR="00D0671F" w:rsidRPr="006B2CD4">
        <w:rPr>
          <w:rFonts w:ascii="Times New Roman" w:hAnsi="Times New Roman" w:cs="Times New Roman"/>
          <w:sz w:val="24"/>
          <w:szCs w:val="24"/>
        </w:rPr>
        <w:t xml:space="preserve"> </w:t>
      </w:r>
      <w:r w:rsidRPr="006B2CD4">
        <w:rPr>
          <w:rFonts w:ascii="Times New Roman" w:hAnsi="Times New Roman" w:cs="Times New Roman"/>
          <w:sz w:val="24"/>
          <w:szCs w:val="24"/>
        </w:rPr>
        <w:t>Proponowane zmiany</w:t>
      </w:r>
      <w:r w:rsidR="00670691" w:rsidRPr="006B2CD4">
        <w:rPr>
          <w:rFonts w:ascii="Times New Roman" w:hAnsi="Times New Roman" w:cs="Times New Roman"/>
          <w:sz w:val="24"/>
          <w:szCs w:val="24"/>
        </w:rPr>
        <w:t xml:space="preserve"> w art. 105 ust. 1 pkt 2 ustawy </w:t>
      </w:r>
      <w:r w:rsidR="00670691" w:rsidRPr="006B2CD4">
        <w:rPr>
          <w:rFonts w:ascii="Times New Roman" w:hAnsi="Times New Roman" w:cs="Times New Roman"/>
          <w:bCs/>
          <w:sz w:val="24"/>
          <w:szCs w:val="24"/>
        </w:rPr>
        <w:t xml:space="preserve">– </w:t>
      </w:r>
      <w:r w:rsidRPr="006B2CD4">
        <w:rPr>
          <w:rFonts w:ascii="Times New Roman" w:hAnsi="Times New Roman" w:cs="Times New Roman"/>
          <w:sz w:val="24"/>
          <w:szCs w:val="24"/>
        </w:rPr>
        <w:t xml:space="preserve">Prawo bankowe uzupełniają także pakiet zmian dotyczących możliwości udzielania informacji objętych tajemnicą bankową w zakresie rynku ubezpieczeniowego i </w:t>
      </w:r>
      <w:r w:rsidRPr="006B2CD4">
        <w:rPr>
          <w:rFonts w:ascii="Times New Roman" w:hAnsi="Times New Roman" w:cs="Times New Roman"/>
          <w:sz w:val="24"/>
          <w:szCs w:val="24"/>
        </w:rPr>
        <w:lastRenderedPageBreak/>
        <w:t xml:space="preserve">emerytalnego. Zaproponowane zmiany zakładają umożliwienie udzielenia przez KNF informacji stanowiących tajemnicę bankową po otrzymaniu przez KNF wniosku o przekazanie informacji niezbędnych do prawidłowego wykonywania zadań w zakresie sprawowanego nadzoru nad rynkiem </w:t>
      </w:r>
      <w:r w:rsidRPr="006B2CD4">
        <w:rPr>
          <w:rFonts w:ascii="Times New Roman" w:hAnsi="Times New Roman" w:cs="Times New Roman"/>
          <w:bCs/>
          <w:iCs/>
          <w:sz w:val="24"/>
          <w:szCs w:val="24"/>
        </w:rPr>
        <w:t xml:space="preserve">ubezpieczeniowym lub emerytalnym </w:t>
      </w:r>
      <w:r w:rsidRPr="006B2CD4">
        <w:rPr>
          <w:rFonts w:ascii="Times New Roman" w:hAnsi="Times New Roman" w:cs="Times New Roman"/>
          <w:sz w:val="24"/>
          <w:szCs w:val="24"/>
        </w:rPr>
        <w:t xml:space="preserve">od organu nadzoru nad rynkiem </w:t>
      </w:r>
      <w:r w:rsidRPr="006B2CD4">
        <w:rPr>
          <w:rFonts w:ascii="Times New Roman" w:hAnsi="Times New Roman" w:cs="Times New Roman"/>
          <w:bCs/>
          <w:iCs/>
          <w:sz w:val="24"/>
          <w:szCs w:val="24"/>
        </w:rPr>
        <w:t>ubezpieczeniowym lub emerytalnym</w:t>
      </w:r>
      <w:r w:rsidRPr="006B2CD4">
        <w:rPr>
          <w:rFonts w:ascii="Times New Roman" w:hAnsi="Times New Roman" w:cs="Times New Roman"/>
          <w:sz w:val="24"/>
          <w:szCs w:val="24"/>
        </w:rPr>
        <w:t xml:space="preserve">, z którym zawarto odpowiednie porozumienie zgodnie z ustawą z </w:t>
      </w:r>
      <w:r w:rsidRPr="006B2CD4">
        <w:rPr>
          <w:rFonts w:ascii="Times New Roman" w:hAnsi="Times New Roman" w:cs="Times New Roman"/>
          <w:bCs/>
          <w:iCs/>
          <w:sz w:val="24"/>
          <w:szCs w:val="24"/>
        </w:rPr>
        <w:t>dnia 22 maja 2003 r</w:t>
      </w:r>
      <w:r w:rsidR="00FE587E">
        <w:rPr>
          <w:rFonts w:ascii="Times New Roman" w:hAnsi="Times New Roman" w:cs="Times New Roman"/>
          <w:bCs/>
          <w:iCs/>
          <w:sz w:val="24"/>
          <w:szCs w:val="24"/>
        </w:rPr>
        <w:t>. o nadzorze ubezpieczeniowym i </w:t>
      </w:r>
      <w:r w:rsidRPr="006B2CD4">
        <w:rPr>
          <w:rFonts w:ascii="Times New Roman" w:hAnsi="Times New Roman" w:cs="Times New Roman"/>
          <w:bCs/>
          <w:iCs/>
          <w:sz w:val="24"/>
          <w:szCs w:val="24"/>
        </w:rPr>
        <w:t>emerytalnym (Dz. U. z 2019 r. poz. 207).</w:t>
      </w:r>
    </w:p>
    <w:p w14:paraId="192F11E1" w14:textId="62E2EDC7" w:rsidR="00680CC0" w:rsidRPr="006B2CD4" w:rsidRDefault="00670691" w:rsidP="00D0671F">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Zmiana art. 105b ustawy </w:t>
      </w:r>
      <w:r w:rsidRPr="006B2CD4">
        <w:rPr>
          <w:rFonts w:ascii="Times New Roman" w:hAnsi="Times New Roman" w:cs="Times New Roman"/>
          <w:bCs/>
          <w:sz w:val="24"/>
          <w:szCs w:val="24"/>
        </w:rPr>
        <w:t xml:space="preserve">– </w:t>
      </w:r>
      <w:r w:rsidR="00680CC0" w:rsidRPr="006B2CD4">
        <w:rPr>
          <w:rFonts w:ascii="Times New Roman" w:hAnsi="Times New Roman" w:cs="Times New Roman"/>
          <w:sz w:val="24"/>
          <w:szCs w:val="24"/>
        </w:rPr>
        <w:t>Prawo bankowe, zgodnie z którym wskazane podmioty, w granicach uprawnień wynikających z tych przepisów, a także gmina, po uzyskaniu informacji, o której mowa w art. 111c tej ustawy, z której wynika, że posiadacz rachunku zmarł, są uprawnione do uzyskania zbiorczej informacji, o której m</w:t>
      </w:r>
      <w:r w:rsidRPr="006B2CD4">
        <w:rPr>
          <w:rFonts w:ascii="Times New Roman" w:hAnsi="Times New Roman" w:cs="Times New Roman"/>
          <w:sz w:val="24"/>
          <w:szCs w:val="24"/>
        </w:rPr>
        <w:t xml:space="preserve">owa w art. 92ba ust. 1 ustawy </w:t>
      </w:r>
      <w:r w:rsidRPr="006B2CD4">
        <w:rPr>
          <w:rFonts w:ascii="Times New Roman" w:hAnsi="Times New Roman" w:cs="Times New Roman"/>
          <w:bCs/>
          <w:sz w:val="24"/>
          <w:szCs w:val="24"/>
        </w:rPr>
        <w:t xml:space="preserve">– </w:t>
      </w:r>
      <w:r w:rsidR="00680CC0" w:rsidRPr="006B2CD4">
        <w:rPr>
          <w:rFonts w:ascii="Times New Roman" w:hAnsi="Times New Roman" w:cs="Times New Roman"/>
          <w:sz w:val="24"/>
          <w:szCs w:val="24"/>
        </w:rPr>
        <w:t>Prawo bankowe, w dowolnym banku został poszerzony o Straż Graniczą, Szefa Agencji Bezpieczeństwa Wewnętrznego oraz Inspektora Nadzoru Wewnętrznego.</w:t>
      </w:r>
    </w:p>
    <w:p w14:paraId="3DCDB2AA" w14:textId="3537F8F3" w:rsidR="00680CC0" w:rsidRPr="006B2CD4" w:rsidRDefault="00680CC0" w:rsidP="00D0671F">
      <w:pPr>
        <w:spacing w:after="120" w:line="360" w:lineRule="auto"/>
        <w:jc w:val="both"/>
        <w:rPr>
          <w:rFonts w:ascii="Times New Roman" w:hAnsi="Times New Roman" w:cs="Times New Roman"/>
          <w:sz w:val="24"/>
          <w:szCs w:val="24"/>
          <w:u w:val="single"/>
        </w:rPr>
      </w:pPr>
      <w:r w:rsidRPr="006B2CD4">
        <w:rPr>
          <w:rFonts w:ascii="Times New Roman" w:hAnsi="Times New Roman" w:cs="Times New Roman"/>
          <w:bCs/>
          <w:sz w:val="24"/>
          <w:szCs w:val="24"/>
        </w:rPr>
        <w:t>Obecnie obowiązu</w:t>
      </w:r>
      <w:r w:rsidR="00670691" w:rsidRPr="006B2CD4">
        <w:rPr>
          <w:rFonts w:ascii="Times New Roman" w:hAnsi="Times New Roman" w:cs="Times New Roman"/>
          <w:bCs/>
          <w:sz w:val="24"/>
          <w:szCs w:val="24"/>
        </w:rPr>
        <w:t xml:space="preserve">jący przepis art. 111c ustawy – </w:t>
      </w:r>
      <w:r w:rsidRPr="006B2CD4">
        <w:rPr>
          <w:rFonts w:ascii="Times New Roman" w:hAnsi="Times New Roman" w:cs="Times New Roman"/>
          <w:bCs/>
          <w:sz w:val="24"/>
          <w:szCs w:val="24"/>
        </w:rPr>
        <w:t xml:space="preserve">Prawo bankowe nakłada na banki </w:t>
      </w:r>
      <w:r w:rsidRPr="006B2CD4">
        <w:rPr>
          <w:rFonts w:ascii="Times New Roman" w:hAnsi="Times New Roman" w:cs="Times New Roman"/>
          <w:sz w:val="24"/>
          <w:szCs w:val="24"/>
        </w:rPr>
        <w:t>obowiązki informacyjne wobec gminy ostatniego miejsca zamieszkania posiadacza rachunku bankowego w przypadku wygaśnięcia lub rozwiązania rachunku bankowego z przyczyn, o których mo</w:t>
      </w:r>
      <w:r w:rsidR="00670691" w:rsidRPr="006B2CD4">
        <w:rPr>
          <w:rFonts w:ascii="Times New Roman" w:hAnsi="Times New Roman" w:cs="Times New Roman"/>
          <w:sz w:val="24"/>
          <w:szCs w:val="24"/>
        </w:rPr>
        <w:t xml:space="preserve">wa w art. 59a ust. 1‒3 ustawy </w:t>
      </w:r>
      <w:r w:rsidR="00670691" w:rsidRPr="006B2CD4">
        <w:rPr>
          <w:rFonts w:ascii="Times New Roman" w:hAnsi="Times New Roman" w:cs="Times New Roman"/>
          <w:bCs/>
          <w:sz w:val="24"/>
          <w:szCs w:val="24"/>
        </w:rPr>
        <w:t xml:space="preserve">– </w:t>
      </w:r>
      <w:r w:rsidR="00457862">
        <w:rPr>
          <w:rFonts w:ascii="Times New Roman" w:hAnsi="Times New Roman" w:cs="Times New Roman"/>
          <w:sz w:val="24"/>
          <w:szCs w:val="24"/>
        </w:rPr>
        <w:t>Prawo bankowe –</w:t>
      </w:r>
      <w:r w:rsidRPr="006B2CD4">
        <w:rPr>
          <w:rFonts w:ascii="Times New Roman" w:hAnsi="Times New Roman" w:cs="Times New Roman"/>
          <w:sz w:val="24"/>
          <w:szCs w:val="24"/>
        </w:rPr>
        <w:t xml:space="preserve"> w związku z możliwością nabycia przez nią prawa do środków pieniężnych zgromadzonych na rachunku, zgodnie z art. 935 k.c. Należy zauważyć, iż zakres informacji udzielanych gminie na podstawie art. 111c jest szeroki i obej</w:t>
      </w:r>
      <w:r w:rsidRPr="006B2CD4">
        <w:rPr>
          <w:rFonts w:ascii="Times New Roman" w:hAnsi="Times New Roman" w:cs="Times New Roman"/>
          <w:sz w:val="24"/>
          <w:szCs w:val="24"/>
        </w:rPr>
        <w:lastRenderedPageBreak/>
        <w:t xml:space="preserve">muje oprócz daty powzięcia przez bank informacji o śmierci posiadacza rachunku, datę wydania ostatniej dyspozycji dotyczącej tego rachunku, wysokość środków pieniężnych na rachunku, kwoty i tytuły wypłat dokonanych z rachunku, ze wskazaniem źródła i podstawy ustaleń banku. </w:t>
      </w:r>
      <w:r w:rsidRPr="006B2CD4">
        <w:rPr>
          <w:rFonts w:ascii="Times New Roman" w:hAnsi="Times New Roman" w:cs="Times New Roman"/>
          <w:iCs/>
          <w:sz w:val="24"/>
          <w:szCs w:val="24"/>
        </w:rPr>
        <w:t xml:space="preserve">Zgodnie z aktualnym brzmieniem przepisu, ww. </w:t>
      </w:r>
      <w:r w:rsidRPr="006B2CD4">
        <w:rPr>
          <w:rFonts w:ascii="Times New Roman" w:hAnsi="Times New Roman" w:cs="Times New Roman"/>
          <w:sz w:val="24"/>
          <w:szCs w:val="24"/>
        </w:rPr>
        <w:t>wymogi informacyjne dotyczą przypadku śmierci posiadacza rachunku bankowego oraz upływu 10 lat od daty wydania ostatniej dyspozycji dotyczącej rachunku. Do gmin trafiają zatem informacje dotyczące zarówno osób, które faktycznie nie żyją, jak również dotyczące osób żyjących, które mogły zapomnieć o swoim rachunku bankowym (upływ terminu 10 lat od ostatniej dyspozycji). W takim przypadku nie nastąpi dziedziczenie i gmina nie będzie spadkobiercą takiego rachunku. Istotną zmianą wprowadzaną w ramach projektowanego artykułu jest zatem zwolnienie z nałożonego na banki obowiązku informowania gmin o rachunkach bankowych posiadanych przez osoby żyjące, wygasłych z powodu braku aktywności na rachunku. Ponadto, proponuje się stosowną modyfikację obowiązków informacyjnych wobec gminy w przypadku śmierci posiadacza rachunku, poprzez ograniczenie przekazywanych informacji do daty powzięcia przez bank informacji o śmierci posiadacza rachunku bankowego, wraz z informacją o możliwości nabycia środków pieniężnych, zgodnie z art. 935 k.c. W świetle projektowanego przepisu bank nie jest obowiązany do informowania gminy, jeśli łączna wysokość środków pieniężnych zgromadzonych na rachunku lub rachunkach posiadacza prowadzonych przez bank jest niższa lub równa 1/10 minimalnego wynagrodzenia za pracę, o którym mowa w ustawie z dnia 10 października 2002 r. o minimalnym wynagrodzeniu za pracę (Dz. U. z 2020 r. poz. 22</w:t>
      </w:r>
      <w:r w:rsidR="007326BF">
        <w:rPr>
          <w:rFonts w:ascii="Times New Roman" w:hAnsi="Times New Roman" w:cs="Times New Roman"/>
          <w:sz w:val="24"/>
          <w:szCs w:val="24"/>
        </w:rPr>
        <w:t>07</w:t>
      </w:r>
      <w:r w:rsidRPr="006B2CD4">
        <w:rPr>
          <w:rFonts w:ascii="Times New Roman" w:hAnsi="Times New Roman" w:cs="Times New Roman"/>
          <w:sz w:val="24"/>
          <w:szCs w:val="24"/>
        </w:rPr>
        <w:t xml:space="preserve">). Tego rodzaju </w:t>
      </w:r>
      <w:r w:rsidRPr="006B2CD4">
        <w:rPr>
          <w:rFonts w:ascii="Times New Roman" w:hAnsi="Times New Roman" w:cs="Times New Roman"/>
          <w:sz w:val="24"/>
          <w:szCs w:val="24"/>
        </w:rPr>
        <w:lastRenderedPageBreak/>
        <w:t xml:space="preserve">rozwiązanie uwzględnia postulaty zgłaszane m.in. przez gminy w odniesieniu do znikomych środków pozostających na rachunkach, w których wskazywano na kwestie konieczności ponoszenia przez gminę kosztów związanych z uzyskaniem tytułu prawnego do spadku. </w:t>
      </w:r>
      <w:r w:rsidR="002A6570" w:rsidRPr="006B2CD4">
        <w:rPr>
          <w:rFonts w:ascii="Times New Roman" w:hAnsi="Times New Roman" w:cs="Times New Roman"/>
          <w:sz w:val="24"/>
          <w:szCs w:val="24"/>
        </w:rPr>
        <w:t xml:space="preserve">Nowe brzmienie przepisu zakłada wydłużenie okresu realizacji przez bank obowiązku informacyjnego do 2 lat. Intencją tej zmiany jest umożliwienie wykonania uprawnień przysługujących osobom posiadającym tytuł prawny do spadku po posiadaczu rachunku, tj. osobom posiadającym prawomocne postanowienie sądu o stwierdzeniu nabycia spadku bądź notarialne poświadczenie dziedziczenia, przed zawiadomieniem gminy. Natomiast sytuacja, w której w ciągu 2 lat od powzięcia przez bank informacji o śmierci posiadacza rachunku nie udało się zakończyć postępowania spadkowego pozostaje bez wpływu na obowiązek informacyjny banku wobec organu gminy. W obecnym stanie prawnym zawiadamianie gmin dotyczy każdego przypadku rozwiązania umowy, bez określonej karencji czasowej. </w:t>
      </w:r>
      <w:r w:rsidRPr="006B2CD4">
        <w:rPr>
          <w:rFonts w:ascii="Times New Roman" w:hAnsi="Times New Roman" w:cs="Times New Roman"/>
          <w:sz w:val="24"/>
          <w:szCs w:val="24"/>
        </w:rPr>
        <w:t xml:space="preserve">Obecnie obowiązujące przepisy nie określają także podmiotu (organu), który powinien być uprawniony do odbierania informacji przekazywanych na podstawie art. 111c </w:t>
      </w:r>
      <w:r w:rsidR="00670691" w:rsidRPr="006B2CD4">
        <w:rPr>
          <w:rFonts w:ascii="Times New Roman" w:hAnsi="Times New Roman" w:cs="Times New Roman"/>
          <w:bCs/>
          <w:sz w:val="24"/>
          <w:szCs w:val="24"/>
        </w:rPr>
        <w:t xml:space="preserve">ustaw – </w:t>
      </w:r>
      <w:r w:rsidRPr="006B2CD4">
        <w:rPr>
          <w:rFonts w:ascii="Times New Roman" w:hAnsi="Times New Roman" w:cs="Times New Roman"/>
          <w:bCs/>
          <w:sz w:val="24"/>
          <w:szCs w:val="24"/>
        </w:rPr>
        <w:t>Prawo bankowe</w:t>
      </w:r>
      <w:r w:rsidRPr="006B2CD4">
        <w:rPr>
          <w:rFonts w:ascii="Times New Roman" w:hAnsi="Times New Roman" w:cs="Times New Roman"/>
          <w:sz w:val="24"/>
          <w:szCs w:val="24"/>
        </w:rPr>
        <w:t xml:space="preserve">. Zmiana art. 111c </w:t>
      </w:r>
      <w:r w:rsidR="00F15AA9" w:rsidRPr="006B2CD4">
        <w:rPr>
          <w:rFonts w:ascii="Times New Roman" w:hAnsi="Times New Roman" w:cs="Times New Roman"/>
          <w:bCs/>
          <w:sz w:val="24"/>
          <w:szCs w:val="24"/>
        </w:rPr>
        <w:t xml:space="preserve">ustawy – </w:t>
      </w:r>
      <w:r w:rsidRPr="006B2CD4">
        <w:rPr>
          <w:rFonts w:ascii="Times New Roman" w:hAnsi="Times New Roman" w:cs="Times New Roman"/>
          <w:bCs/>
          <w:sz w:val="24"/>
          <w:szCs w:val="24"/>
        </w:rPr>
        <w:t>Prawo bankowe</w:t>
      </w:r>
      <w:r w:rsidRPr="006B2CD4">
        <w:rPr>
          <w:rFonts w:ascii="Times New Roman" w:hAnsi="Times New Roman" w:cs="Times New Roman"/>
          <w:sz w:val="24"/>
          <w:szCs w:val="24"/>
        </w:rPr>
        <w:t xml:space="preserve"> przewiduje doprecyzowanie kwestii podmiotu (organu), do którego adresowane winny być informacje przekazywane przez bank do gmin ostatniego miejsca zamieszkania posiadacza rachunku bankowego, poprzez wskazanie, że podmiotem uprawnionym do odbierania ww. informacji jest organ wykonawczy tej gminy. </w:t>
      </w:r>
    </w:p>
    <w:p w14:paraId="174BFA01" w14:textId="227494DB" w:rsidR="00680CC0" w:rsidRPr="006B2CD4" w:rsidRDefault="00680CC0" w:rsidP="00D0671F">
      <w:pPr>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lastRenderedPageBreak/>
        <w:t>Celem dodania w art. 133 ust. 3b</w:t>
      </w:r>
      <w:r w:rsidRPr="006B2CD4">
        <w:rPr>
          <w:rFonts w:ascii="Times New Roman" w:hAnsi="Times New Roman" w:cs="Times New Roman"/>
          <w:sz w:val="24"/>
          <w:szCs w:val="24"/>
        </w:rPr>
        <w:t>‒</w:t>
      </w:r>
      <w:r w:rsidR="00670691" w:rsidRPr="006B2CD4">
        <w:rPr>
          <w:rFonts w:ascii="Times New Roman" w:hAnsi="Times New Roman" w:cs="Times New Roman"/>
          <w:bCs/>
          <w:sz w:val="24"/>
          <w:szCs w:val="24"/>
        </w:rPr>
        <w:t>3</w:t>
      </w:r>
      <w:r w:rsidR="00FF416B">
        <w:rPr>
          <w:rFonts w:ascii="Times New Roman" w:hAnsi="Times New Roman" w:cs="Times New Roman"/>
          <w:bCs/>
          <w:sz w:val="24"/>
          <w:szCs w:val="24"/>
        </w:rPr>
        <w:t>e</w:t>
      </w:r>
      <w:r w:rsidR="00670691" w:rsidRPr="006B2CD4">
        <w:rPr>
          <w:rFonts w:ascii="Times New Roman" w:hAnsi="Times New Roman" w:cs="Times New Roman"/>
          <w:bCs/>
          <w:sz w:val="24"/>
          <w:szCs w:val="24"/>
        </w:rPr>
        <w:t xml:space="preserve"> ustawy – </w:t>
      </w:r>
      <w:r w:rsidRPr="006B2CD4">
        <w:rPr>
          <w:rFonts w:ascii="Times New Roman" w:hAnsi="Times New Roman" w:cs="Times New Roman"/>
          <w:bCs/>
          <w:sz w:val="24"/>
          <w:szCs w:val="24"/>
        </w:rPr>
        <w:t>Prawo bankowe jest wprowadzenie rozwiązań w zakresie zmiany zakresu kontroli działalności gospodarczej przedsiębiorcy. Regulacja dotycząca trybu prowadzenia cz</w:t>
      </w:r>
      <w:r w:rsidR="00670691" w:rsidRPr="006B2CD4">
        <w:rPr>
          <w:rFonts w:ascii="Times New Roman" w:hAnsi="Times New Roman" w:cs="Times New Roman"/>
          <w:bCs/>
          <w:sz w:val="24"/>
          <w:szCs w:val="24"/>
        </w:rPr>
        <w:t xml:space="preserve">ynności kontrolnych w ustawie – </w:t>
      </w:r>
      <w:r w:rsidRPr="006B2CD4">
        <w:rPr>
          <w:rFonts w:ascii="Times New Roman" w:hAnsi="Times New Roman" w:cs="Times New Roman"/>
          <w:bCs/>
          <w:sz w:val="24"/>
          <w:szCs w:val="24"/>
        </w:rPr>
        <w:t xml:space="preserve">Prawo bankowe jest bardzo ograniczona. Większość regulacji wynika z przepisów rozdziału 5 ustawy z dnia 6 marca </w:t>
      </w:r>
      <w:r w:rsidR="00BC0446">
        <w:rPr>
          <w:rFonts w:ascii="Times New Roman" w:hAnsi="Times New Roman" w:cs="Times New Roman"/>
          <w:bCs/>
          <w:sz w:val="24"/>
          <w:szCs w:val="24"/>
        </w:rPr>
        <w:t>2018 </w:t>
      </w:r>
      <w:r w:rsidRPr="006B2CD4">
        <w:rPr>
          <w:rFonts w:ascii="Times New Roman" w:hAnsi="Times New Roman" w:cs="Times New Roman"/>
          <w:bCs/>
          <w:sz w:val="24"/>
          <w:szCs w:val="24"/>
        </w:rPr>
        <w:t xml:space="preserve">r. </w:t>
      </w:r>
      <w:r w:rsidR="00457862">
        <w:rPr>
          <w:rFonts w:ascii="Times New Roman" w:hAnsi="Times New Roman" w:cs="Times New Roman"/>
          <w:sz w:val="24"/>
          <w:szCs w:val="24"/>
        </w:rPr>
        <w:t>–</w:t>
      </w:r>
      <w:r w:rsidRPr="006B2CD4">
        <w:rPr>
          <w:rFonts w:ascii="Times New Roman" w:hAnsi="Times New Roman" w:cs="Times New Roman"/>
          <w:sz w:val="24"/>
          <w:szCs w:val="24"/>
        </w:rPr>
        <w:t xml:space="preserve"> </w:t>
      </w:r>
      <w:r w:rsidRPr="006B2CD4">
        <w:rPr>
          <w:rFonts w:ascii="Times New Roman" w:hAnsi="Times New Roman" w:cs="Times New Roman"/>
          <w:bCs/>
          <w:sz w:val="24"/>
          <w:szCs w:val="24"/>
        </w:rPr>
        <w:t>Prawo przedsiębiorców (Dz. U</w:t>
      </w:r>
      <w:r w:rsidR="00111DDF">
        <w:rPr>
          <w:rFonts w:ascii="Times New Roman" w:hAnsi="Times New Roman" w:cs="Times New Roman"/>
          <w:bCs/>
          <w:sz w:val="24"/>
          <w:szCs w:val="24"/>
        </w:rPr>
        <w:t>.</w:t>
      </w:r>
      <w:r w:rsidRPr="006B2CD4">
        <w:rPr>
          <w:rFonts w:ascii="Times New Roman" w:hAnsi="Times New Roman" w:cs="Times New Roman"/>
          <w:bCs/>
          <w:sz w:val="24"/>
          <w:szCs w:val="24"/>
        </w:rPr>
        <w:t xml:space="preserve"> z 202</w:t>
      </w:r>
      <w:r w:rsidR="00A4555E">
        <w:rPr>
          <w:rFonts w:ascii="Times New Roman" w:hAnsi="Times New Roman" w:cs="Times New Roman"/>
          <w:bCs/>
          <w:sz w:val="24"/>
          <w:szCs w:val="24"/>
        </w:rPr>
        <w:t>3</w:t>
      </w:r>
      <w:r w:rsidRPr="006B2CD4">
        <w:rPr>
          <w:rFonts w:ascii="Times New Roman" w:hAnsi="Times New Roman" w:cs="Times New Roman"/>
          <w:bCs/>
          <w:sz w:val="24"/>
          <w:szCs w:val="24"/>
        </w:rPr>
        <w:t xml:space="preserve"> r. poz.</w:t>
      </w:r>
      <w:r w:rsidR="00A4555E">
        <w:rPr>
          <w:rFonts w:ascii="Times New Roman" w:hAnsi="Times New Roman" w:cs="Times New Roman"/>
          <w:bCs/>
          <w:sz w:val="24"/>
          <w:szCs w:val="24"/>
        </w:rPr>
        <w:t xml:space="preserve"> 221</w:t>
      </w:r>
      <w:r w:rsidR="007326BF">
        <w:rPr>
          <w:rFonts w:ascii="Times New Roman" w:hAnsi="Times New Roman" w:cs="Times New Roman"/>
          <w:bCs/>
          <w:sz w:val="24"/>
          <w:szCs w:val="24"/>
        </w:rPr>
        <w:t xml:space="preserve">, </w:t>
      </w:r>
      <w:r w:rsidR="007326BF" w:rsidRPr="007326BF">
        <w:rPr>
          <w:rFonts w:ascii="Times New Roman" w:hAnsi="Times New Roman" w:cs="Times New Roman"/>
          <w:bCs/>
          <w:sz w:val="24"/>
          <w:szCs w:val="24"/>
        </w:rPr>
        <w:t>z późn. zm.</w:t>
      </w:r>
      <w:r w:rsidR="00670691" w:rsidRPr="006B2CD4">
        <w:rPr>
          <w:rFonts w:ascii="Times New Roman" w:hAnsi="Times New Roman" w:cs="Times New Roman"/>
          <w:bCs/>
          <w:sz w:val="24"/>
          <w:szCs w:val="24"/>
        </w:rPr>
        <w:t xml:space="preserve">), do których ustawa – </w:t>
      </w:r>
      <w:r w:rsidRPr="006B2CD4">
        <w:rPr>
          <w:rFonts w:ascii="Times New Roman" w:hAnsi="Times New Roman" w:cs="Times New Roman"/>
          <w:bCs/>
          <w:sz w:val="24"/>
          <w:szCs w:val="24"/>
        </w:rPr>
        <w:t xml:space="preserve">Prawo bankowe odsyła. W zakresie doręczeń elektronicznych przepisy zostały oparte na nowym brzmieniu art. 36 ust. 1 i 2a ustawy o nadzorze nad rynkiem kapitałowym zawartym w ustawie z dnia 18 listopada 2020 r. o doręczeniach elektronicznych (Dz. U. z </w:t>
      </w:r>
      <w:r w:rsidR="00062FE0" w:rsidRPr="006B2CD4">
        <w:rPr>
          <w:rFonts w:ascii="Times New Roman" w:hAnsi="Times New Roman" w:cs="Times New Roman"/>
          <w:bCs/>
          <w:sz w:val="24"/>
          <w:szCs w:val="24"/>
        </w:rPr>
        <w:t xml:space="preserve">2022 </w:t>
      </w:r>
      <w:r w:rsidRPr="006B2CD4">
        <w:rPr>
          <w:rFonts w:ascii="Times New Roman" w:hAnsi="Times New Roman" w:cs="Times New Roman"/>
          <w:bCs/>
          <w:sz w:val="24"/>
          <w:szCs w:val="24"/>
        </w:rPr>
        <w:t xml:space="preserve">r. poz. </w:t>
      </w:r>
      <w:r w:rsidR="00062FE0" w:rsidRPr="006B2CD4">
        <w:rPr>
          <w:rFonts w:ascii="Times New Roman" w:hAnsi="Times New Roman" w:cs="Times New Roman"/>
          <w:bCs/>
          <w:sz w:val="24"/>
          <w:szCs w:val="24"/>
        </w:rPr>
        <w:t>569</w:t>
      </w:r>
      <w:r w:rsidR="00906A6F" w:rsidRPr="006B2CD4">
        <w:rPr>
          <w:rFonts w:ascii="Times New Roman" w:hAnsi="Times New Roman" w:cs="Times New Roman"/>
          <w:bCs/>
          <w:sz w:val="24"/>
          <w:szCs w:val="24"/>
        </w:rPr>
        <w:t>, z późn. zm.</w:t>
      </w:r>
      <w:r w:rsidRPr="006B2CD4">
        <w:rPr>
          <w:rFonts w:ascii="Times New Roman" w:hAnsi="Times New Roman" w:cs="Times New Roman"/>
          <w:bCs/>
          <w:sz w:val="24"/>
          <w:szCs w:val="24"/>
        </w:rPr>
        <w:t>), dalej „ustawa o doręczeniach elektronicznych”, która we</w:t>
      </w:r>
      <w:r w:rsidR="005778EA" w:rsidRPr="006B2CD4">
        <w:rPr>
          <w:rFonts w:ascii="Times New Roman" w:hAnsi="Times New Roman" w:cs="Times New Roman"/>
          <w:bCs/>
          <w:sz w:val="24"/>
          <w:szCs w:val="24"/>
        </w:rPr>
        <w:t xml:space="preserve">szła </w:t>
      </w:r>
      <w:r w:rsidRPr="006B2CD4">
        <w:rPr>
          <w:rFonts w:ascii="Times New Roman" w:hAnsi="Times New Roman" w:cs="Times New Roman"/>
          <w:bCs/>
          <w:sz w:val="24"/>
          <w:szCs w:val="24"/>
        </w:rPr>
        <w:t xml:space="preserve">w życie z dniem 5 października 2021 roku. Przyznanie uprawnień KNF w takiej formie pozwoli na bardziej efektywne realizowanie czynności kontrolnych. </w:t>
      </w:r>
    </w:p>
    <w:p w14:paraId="27F3039C" w14:textId="7573D85A" w:rsidR="00392ECB" w:rsidRDefault="00392ECB" w:rsidP="00D0671F">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Art. 138 ust. 3 pkt 2a ustawy</w:t>
      </w:r>
      <w:r w:rsidR="007D0A58" w:rsidRPr="006B2CD4">
        <w:rPr>
          <w:rFonts w:ascii="Times New Roman" w:hAnsi="Times New Roman" w:cs="Times New Roman"/>
          <w:sz w:val="24"/>
          <w:szCs w:val="24"/>
        </w:rPr>
        <w:t xml:space="preserve"> </w:t>
      </w:r>
      <w:r w:rsidR="007D0A58" w:rsidRPr="006B2CD4">
        <w:rPr>
          <w:rFonts w:ascii="Times New Roman" w:hAnsi="Times New Roman" w:cs="Times New Roman"/>
          <w:bCs/>
          <w:sz w:val="24"/>
          <w:szCs w:val="24"/>
        </w:rPr>
        <w:t xml:space="preserve">– </w:t>
      </w:r>
      <w:r w:rsidRPr="006B2CD4">
        <w:rPr>
          <w:rFonts w:ascii="Times New Roman" w:hAnsi="Times New Roman" w:cs="Times New Roman"/>
          <w:sz w:val="24"/>
          <w:szCs w:val="24"/>
        </w:rPr>
        <w:t xml:space="preserve">Prawo bankowe w obecnym brzmieniu daje możliwość nakładania kar pieniężnych na osoby </w:t>
      </w:r>
      <w:r w:rsidRPr="006B2CD4">
        <w:rPr>
          <w:rFonts w:ascii="Times New Roman" w:hAnsi="Times New Roman" w:cs="Times New Roman"/>
          <w:iCs/>
          <w:sz w:val="24"/>
          <w:szCs w:val="24"/>
        </w:rPr>
        <w:t>odpowiedzialne za naruszenie przepisów regulujących działalność banku</w:t>
      </w:r>
      <w:r w:rsidRPr="006B2CD4">
        <w:rPr>
          <w:rFonts w:ascii="Times New Roman" w:hAnsi="Times New Roman" w:cs="Times New Roman"/>
          <w:sz w:val="24"/>
          <w:szCs w:val="24"/>
        </w:rPr>
        <w:t xml:space="preserve">. Projektowane zmiany przewidują rozszerzenie możliwości nakładania kar pieniężnych również na osoby pełniące w okresie trwania naruszenia funkcje </w:t>
      </w:r>
      <w:r w:rsidR="006C7FC4" w:rsidRPr="00C04B17">
        <w:rPr>
          <w:rFonts w:ascii="Times New Roman" w:hAnsi="Times New Roman" w:cs="Times New Roman"/>
          <w:sz w:val="24"/>
          <w:szCs w:val="24"/>
        </w:rPr>
        <w:t>członka rady nadzorczej banku bezpośrednio nadzorującego obszar w okresie trwania naruszenia lub członka zarządu banku odpowiedzialnego za stwierdzone naruszenie w okresie trwania naruszenia</w:t>
      </w:r>
      <w:r w:rsidRPr="006B2CD4">
        <w:rPr>
          <w:rFonts w:ascii="Times New Roman" w:hAnsi="Times New Roman" w:cs="Times New Roman"/>
          <w:sz w:val="24"/>
          <w:szCs w:val="24"/>
        </w:rPr>
        <w:t>. Dostosuje to zakres obowiązującej normy sankcyjnej do zmieniającej się sytuacji coraz poważniejszych naruszeń stwierdzanych w działalności banków, które powinny być identyfikowane oraz eliminowane przez zarząd i radę nadzorczą spółki</w:t>
      </w:r>
      <w:r w:rsidR="006C7FC4">
        <w:rPr>
          <w:rFonts w:ascii="Times New Roman" w:hAnsi="Times New Roman" w:cs="Times New Roman"/>
          <w:sz w:val="24"/>
          <w:szCs w:val="24"/>
        </w:rPr>
        <w:t xml:space="preserve"> w szczególności osoby odpowiedzialne za dany </w:t>
      </w:r>
      <w:r w:rsidR="006C7FC4">
        <w:rPr>
          <w:rFonts w:ascii="Times New Roman" w:hAnsi="Times New Roman" w:cs="Times New Roman"/>
          <w:sz w:val="24"/>
          <w:szCs w:val="24"/>
        </w:rPr>
        <w:lastRenderedPageBreak/>
        <w:t>obszar</w:t>
      </w:r>
      <w:r w:rsidRPr="006B2CD4">
        <w:rPr>
          <w:rFonts w:ascii="Times New Roman" w:hAnsi="Times New Roman" w:cs="Times New Roman"/>
          <w:sz w:val="24"/>
          <w:szCs w:val="24"/>
        </w:rPr>
        <w:t>. Zmiana przepisów ma również na celu ujednolicenie zasad odpowiedzialności zarówno byłych jak i obecnych członków organów podmiotów nadzorowanych w różnych sektorach rynku finansowego. Nowe brzmienie przepisu będzie spójne z art. 141 ust. 1 ustawy</w:t>
      </w:r>
      <w:r w:rsidR="007D0A58" w:rsidRPr="006B2CD4">
        <w:rPr>
          <w:rFonts w:ascii="Times New Roman" w:hAnsi="Times New Roman" w:cs="Times New Roman"/>
          <w:sz w:val="24"/>
          <w:szCs w:val="24"/>
        </w:rPr>
        <w:t xml:space="preserve"> </w:t>
      </w:r>
      <w:r w:rsidR="007D0A58" w:rsidRPr="006B2CD4">
        <w:rPr>
          <w:rFonts w:ascii="Times New Roman" w:hAnsi="Times New Roman" w:cs="Times New Roman"/>
          <w:bCs/>
          <w:sz w:val="24"/>
          <w:szCs w:val="24"/>
        </w:rPr>
        <w:t xml:space="preserve">– </w:t>
      </w:r>
      <w:r w:rsidRPr="006B2CD4">
        <w:rPr>
          <w:rFonts w:ascii="Times New Roman" w:hAnsi="Times New Roman" w:cs="Times New Roman"/>
          <w:sz w:val="24"/>
          <w:szCs w:val="24"/>
        </w:rPr>
        <w:t xml:space="preserve">Prawo </w:t>
      </w:r>
      <w:r w:rsidR="00512F21" w:rsidRPr="006B2CD4">
        <w:rPr>
          <w:rFonts w:ascii="Times New Roman" w:hAnsi="Times New Roman" w:cs="Times New Roman"/>
          <w:sz w:val="24"/>
          <w:szCs w:val="24"/>
        </w:rPr>
        <w:t>b</w:t>
      </w:r>
      <w:r w:rsidRPr="006B2CD4">
        <w:rPr>
          <w:rFonts w:ascii="Times New Roman" w:hAnsi="Times New Roman" w:cs="Times New Roman"/>
          <w:sz w:val="24"/>
          <w:szCs w:val="24"/>
        </w:rPr>
        <w:t>ankowe, który przewiduje odpowiedzialność zarówno członków zarządu</w:t>
      </w:r>
      <w:r w:rsidR="00111DDF">
        <w:rPr>
          <w:rFonts w:ascii="Times New Roman" w:hAnsi="Times New Roman" w:cs="Times New Roman"/>
          <w:sz w:val="24"/>
          <w:szCs w:val="24"/>
        </w:rPr>
        <w:t>,</w:t>
      </w:r>
      <w:r w:rsidRPr="006B2CD4">
        <w:rPr>
          <w:rFonts w:ascii="Times New Roman" w:hAnsi="Times New Roman" w:cs="Times New Roman"/>
          <w:sz w:val="24"/>
          <w:szCs w:val="24"/>
        </w:rPr>
        <w:t xml:space="preserve"> jak i rady nadzorczej banku za określone w tym przepisie rodzajowe kategorie naruszeń</w:t>
      </w:r>
      <w:r w:rsidR="00E655AA" w:rsidRPr="006B2CD4">
        <w:rPr>
          <w:rFonts w:ascii="Times New Roman" w:hAnsi="Times New Roman" w:cs="Times New Roman"/>
          <w:sz w:val="24"/>
          <w:szCs w:val="24"/>
        </w:rPr>
        <w:t>.</w:t>
      </w:r>
    </w:p>
    <w:p w14:paraId="3FEF9945" w14:textId="3F9C9F81" w:rsidR="00FF416B" w:rsidRPr="006B2CD4" w:rsidRDefault="00FF416B" w:rsidP="00D0671F">
      <w:pPr>
        <w:spacing w:after="120" w:line="360" w:lineRule="auto"/>
        <w:jc w:val="both"/>
        <w:rPr>
          <w:rFonts w:ascii="Times New Roman" w:hAnsi="Times New Roman" w:cs="Times New Roman"/>
          <w:bCs/>
          <w:sz w:val="24"/>
          <w:szCs w:val="24"/>
        </w:rPr>
      </w:pPr>
      <w:r>
        <w:rPr>
          <w:rFonts w:ascii="Times New Roman" w:hAnsi="Times New Roman" w:cs="Times New Roman"/>
          <w:sz w:val="24"/>
          <w:szCs w:val="24"/>
        </w:rPr>
        <w:t>Zmiana w art. 138 ust. 3 pkt 3a ma na doprecyzowanie przepisów</w:t>
      </w:r>
      <w:r w:rsidR="00111DDF">
        <w:rPr>
          <w:rFonts w:ascii="Times New Roman" w:hAnsi="Times New Roman" w:cs="Times New Roman"/>
          <w:sz w:val="24"/>
          <w:szCs w:val="24"/>
        </w:rPr>
        <w:t>,</w:t>
      </w:r>
      <w:r>
        <w:rPr>
          <w:rFonts w:ascii="Times New Roman" w:hAnsi="Times New Roman" w:cs="Times New Roman"/>
          <w:sz w:val="24"/>
          <w:szCs w:val="24"/>
        </w:rPr>
        <w:t xml:space="preserve"> zgodnie z którymi </w:t>
      </w:r>
      <w:r w:rsidRPr="000E7055">
        <w:rPr>
          <w:rFonts w:ascii="Times New Roman" w:hAnsi="Times New Roman" w:cs="Times New Roman"/>
          <w:sz w:val="24"/>
          <w:szCs w:val="24"/>
        </w:rPr>
        <w:t>Komisja Nadzoru Finansowego, po uprze</w:t>
      </w:r>
      <w:r>
        <w:rPr>
          <w:rFonts w:ascii="Times New Roman" w:hAnsi="Times New Roman" w:cs="Times New Roman"/>
          <w:sz w:val="24"/>
          <w:szCs w:val="24"/>
        </w:rPr>
        <w:t>dnim upomnieniu na piśmie, może</w:t>
      </w:r>
      <w:r w:rsidRPr="000E7055">
        <w:rPr>
          <w:rFonts w:ascii="Times New Roman" w:hAnsi="Times New Roman" w:cs="Times New Roman"/>
          <w:sz w:val="24"/>
          <w:szCs w:val="24"/>
        </w:rPr>
        <w:t xml:space="preserve"> nałożyć na bank karę pieniężną w wysokości do 10% całkowitego rocznego przychodu wykazanego w ostatnim zbadanym sprawozdaniu finansowym za rok obrotowy, a w przypa</w:t>
      </w:r>
      <w:r w:rsidR="00457862">
        <w:rPr>
          <w:rFonts w:ascii="Times New Roman" w:hAnsi="Times New Roman" w:cs="Times New Roman"/>
          <w:sz w:val="24"/>
          <w:szCs w:val="24"/>
        </w:rPr>
        <w:t>dku braku takiego sprawozdania –</w:t>
      </w:r>
      <w:r w:rsidRPr="000E7055">
        <w:rPr>
          <w:rFonts w:ascii="Times New Roman" w:hAnsi="Times New Roman" w:cs="Times New Roman"/>
          <w:sz w:val="24"/>
          <w:szCs w:val="24"/>
        </w:rPr>
        <w:t xml:space="preserve"> karę pieniężną w wysokości do 10% prognozowanego całkowitego rocznego przychodu określonego na podstawie sytuacji ekonomiczno-finansowej banku.</w:t>
      </w:r>
    </w:p>
    <w:p w14:paraId="58C2AE76" w14:textId="2E4DFE19" w:rsidR="00680CC0" w:rsidRDefault="00680CC0" w:rsidP="00D0671F">
      <w:pPr>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Za wprowadzeniem zmian w art. 138 ust. 7aa, 7c i 8 ustawy </w:t>
      </w:r>
      <w:r w:rsidR="007D0A58" w:rsidRPr="006B2CD4">
        <w:rPr>
          <w:rFonts w:ascii="Times New Roman" w:hAnsi="Times New Roman" w:cs="Times New Roman"/>
          <w:bCs/>
          <w:sz w:val="24"/>
          <w:szCs w:val="24"/>
        </w:rPr>
        <w:t>–</w:t>
      </w:r>
      <w:r w:rsidRPr="006B2CD4">
        <w:rPr>
          <w:rFonts w:ascii="Times New Roman" w:hAnsi="Times New Roman" w:cs="Times New Roman"/>
          <w:sz w:val="24"/>
          <w:szCs w:val="24"/>
        </w:rPr>
        <w:t xml:space="preserve"> </w:t>
      </w:r>
      <w:r w:rsidRPr="006B2CD4">
        <w:rPr>
          <w:rFonts w:ascii="Times New Roman" w:hAnsi="Times New Roman" w:cs="Times New Roman"/>
          <w:bCs/>
          <w:sz w:val="24"/>
          <w:szCs w:val="24"/>
        </w:rPr>
        <w:t>Prawo bankowe przemawia fakt, że przepisy dyrektywy Parlamentu Europejskiego i Rady 2014/65/UE z dnia 15 maja 2014 r. w sprawie rynków instrumentów finansowych oraz zmieniająca dyrektywę 2002/92/WE i dyrektywę 2011/61/UE (Dz. Urz. UE L 173 z 12.06.2014 r., s</w:t>
      </w:r>
      <w:r w:rsidR="00C85475" w:rsidRPr="006B2CD4">
        <w:rPr>
          <w:rFonts w:ascii="Times New Roman" w:hAnsi="Times New Roman" w:cs="Times New Roman"/>
          <w:bCs/>
          <w:sz w:val="24"/>
          <w:szCs w:val="24"/>
        </w:rPr>
        <w:t>tr</w:t>
      </w:r>
      <w:r w:rsidRPr="006B2CD4">
        <w:rPr>
          <w:rFonts w:ascii="Times New Roman" w:hAnsi="Times New Roman" w:cs="Times New Roman"/>
          <w:bCs/>
          <w:sz w:val="24"/>
          <w:szCs w:val="24"/>
        </w:rPr>
        <w:t>. 349), dalej „dyrektywa MiFID II”, dotyczące sankcji administracyjnych mają również zastosowanie do instytucji kredytowych. Do banków prowadzących działalność na podstawie art. 70 ust. 2 ustawy o obrocie instrumentami finansowymi powinny mieć również zastosowanie te same kary, jakie dyrektywa MiFID II przewiduje dla firm inwestycyjnych.</w:t>
      </w:r>
    </w:p>
    <w:p w14:paraId="52E4760B" w14:textId="46B12597" w:rsidR="00192454" w:rsidRPr="00192454" w:rsidRDefault="00192454" w:rsidP="00192454">
      <w:pPr>
        <w:spacing w:line="360" w:lineRule="auto"/>
        <w:jc w:val="both"/>
        <w:rPr>
          <w:rFonts w:ascii="Times New Roman" w:hAnsi="Times New Roman" w:cs="Times New Roman"/>
          <w:sz w:val="24"/>
          <w:szCs w:val="24"/>
        </w:rPr>
      </w:pPr>
      <w:r>
        <w:rPr>
          <w:rFonts w:ascii="Times New Roman" w:hAnsi="Times New Roman" w:cs="Times New Roman"/>
          <w:bCs/>
          <w:sz w:val="24"/>
          <w:szCs w:val="24"/>
        </w:rPr>
        <w:lastRenderedPageBreak/>
        <w:t xml:space="preserve">Dodanie art. 138 ust. 7ab – 7ag, ust. 7b oraz ust. 8 i wynikające z tego zmiany wynikowe w ust. 7c, 7d i 7e </w:t>
      </w:r>
      <w:r>
        <w:rPr>
          <w:rFonts w:ascii="Times New Roman" w:hAnsi="Times New Roman" w:cs="Times New Roman"/>
          <w:sz w:val="24"/>
          <w:szCs w:val="24"/>
        </w:rPr>
        <w:t>uzasadnione jest tym, że p</w:t>
      </w:r>
      <w:r w:rsidRPr="000F6484">
        <w:rPr>
          <w:rFonts w:ascii="Times New Roman" w:hAnsi="Times New Roman" w:cs="Times New Roman"/>
          <w:sz w:val="24"/>
          <w:szCs w:val="24"/>
        </w:rPr>
        <w:t>rzepisy dotyczące tz</w:t>
      </w:r>
      <w:r>
        <w:rPr>
          <w:rFonts w:ascii="Times New Roman" w:hAnsi="Times New Roman" w:cs="Times New Roman"/>
          <w:sz w:val="24"/>
          <w:szCs w:val="24"/>
        </w:rPr>
        <w:t>w. jednolitej licencji bankowej</w:t>
      </w:r>
      <w:r w:rsidRPr="000F6484">
        <w:rPr>
          <w:rFonts w:ascii="Times New Roman" w:hAnsi="Times New Roman" w:cs="Times New Roman"/>
          <w:sz w:val="24"/>
          <w:szCs w:val="24"/>
        </w:rPr>
        <w:t xml:space="preserve"> powinny również regulować zasady na jakich bank państwowy może prowadzić działalność maklerską. Statut banku państwowego, odrębnie od statutów banków prowadzących działalność w innej formie prawnej, nie jest uchwalany przez organ tego banku, lecz jest nadawany rozporządzeniem właściwego ministra po zasięgnięciu opinii KNF (art. 19 Prawa bankowego). Procedura przewidziana dla innych banków nie znajdzie zastosowania do banku państwowego. Stąd niezbędne jest wprowadzenie odrębnej procedury uzyskiwania decyzji administracyjnej zezwalającej na prowadzenie działalności maklerskiej bankowi państwowemu i umożliwiającej KNF zweryfikowanie przygotowania banku do prowadzenia takiej działalności. Taka procedura zapewni równy dostęp do rynku i możliwości świadczenia usług wszystkim bankom krajowym, a przede wszystkim zapewni prawidłowe funkcjonowanie rynku kapitałowego, w szczególności bezpieczeństwo obrotu oraz ochronę inwestorów i innych jego uczestników, a także przestrzeganie reguł uczciwego obrotu. Do banku państwowego, w zakresie działalności maklerskiej, powinny mieć zastosowanie przepisy ustawy, rozporządzeń UE dotyczące banku prowadzącego działalność maklerską. Proponowane zmiany odpowiadają na potrzebę zrównania praw i obowiązków banku państwowego prowadzącego działalność maklerską z prawami i obowiązkami innych podmiotów prowadzących taką działalność. W związku z wprowadzeniem zmian</w:t>
      </w:r>
      <w:r w:rsidR="007C389F">
        <w:rPr>
          <w:rFonts w:ascii="Times New Roman" w:hAnsi="Times New Roman" w:cs="Times New Roman"/>
          <w:sz w:val="24"/>
          <w:szCs w:val="24"/>
        </w:rPr>
        <w:t xml:space="preserve"> </w:t>
      </w:r>
      <w:r w:rsidRPr="000F6484">
        <w:rPr>
          <w:rFonts w:ascii="Times New Roman" w:hAnsi="Times New Roman" w:cs="Times New Roman"/>
          <w:sz w:val="24"/>
          <w:szCs w:val="24"/>
        </w:rPr>
        <w:t>w zakresie jednolitej licencji bankowej a także mając na uwadze potrzebę zapewnienia jednolitego podejścia</w:t>
      </w:r>
      <w:r w:rsidR="007C389F">
        <w:rPr>
          <w:rFonts w:ascii="Times New Roman" w:hAnsi="Times New Roman" w:cs="Times New Roman"/>
          <w:sz w:val="24"/>
          <w:szCs w:val="24"/>
        </w:rPr>
        <w:t xml:space="preserve"> </w:t>
      </w:r>
      <w:r w:rsidRPr="000F6484">
        <w:rPr>
          <w:rFonts w:ascii="Times New Roman" w:hAnsi="Times New Roman" w:cs="Times New Roman"/>
          <w:sz w:val="24"/>
          <w:szCs w:val="24"/>
        </w:rPr>
        <w:t xml:space="preserve">w zakresie sankcji dla banków, o których mowa w art. 70 ust. </w:t>
      </w:r>
      <w:r>
        <w:rPr>
          <w:rFonts w:ascii="Times New Roman" w:hAnsi="Times New Roman" w:cs="Times New Roman"/>
          <w:sz w:val="24"/>
          <w:szCs w:val="24"/>
        </w:rPr>
        <w:t xml:space="preserve">2 </w:t>
      </w:r>
      <w:r>
        <w:rPr>
          <w:rFonts w:ascii="Times New Roman" w:hAnsi="Times New Roman" w:cs="Times New Roman"/>
          <w:sz w:val="24"/>
          <w:szCs w:val="24"/>
        </w:rPr>
        <w:lastRenderedPageBreak/>
        <w:t>u</w:t>
      </w:r>
      <w:r w:rsidRPr="000F6484">
        <w:rPr>
          <w:rFonts w:ascii="Times New Roman" w:hAnsi="Times New Roman" w:cs="Times New Roman"/>
          <w:sz w:val="24"/>
          <w:szCs w:val="24"/>
        </w:rPr>
        <w:t>stawy o obrocie zasadnym jest zachowanie tych samych zasad dotyczących sankcjonowania podmiotów naruszających zasady świadczenia usług maklerskich i tych świadczonych przez banki, o</w:t>
      </w:r>
      <w:r>
        <w:rPr>
          <w:rFonts w:ascii="Times New Roman" w:hAnsi="Times New Roman" w:cs="Times New Roman"/>
          <w:sz w:val="24"/>
          <w:szCs w:val="24"/>
        </w:rPr>
        <w:t xml:space="preserve"> których mowa w art. 70 ust. 2 u</w:t>
      </w:r>
      <w:r w:rsidRPr="000F6484">
        <w:rPr>
          <w:rFonts w:ascii="Times New Roman" w:hAnsi="Times New Roman" w:cs="Times New Roman"/>
          <w:sz w:val="24"/>
          <w:szCs w:val="24"/>
        </w:rPr>
        <w:t>stawy o obrocie.</w:t>
      </w:r>
    </w:p>
    <w:p w14:paraId="3C18ADD7" w14:textId="7502E615" w:rsidR="00325ED7" w:rsidRPr="006B2CD4" w:rsidRDefault="00680CC0" w:rsidP="00E4433E">
      <w:pPr>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Aktualnie na podstawie art. 141 ustawy </w:t>
      </w:r>
      <w:r w:rsidR="007D0A58" w:rsidRPr="006B2CD4">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Prawo bankowe, możliwe jest nałożenie sankcji za ograniczony katalog naruszeń przepisów prawa, a możliwość ponoszenia odpowiedzialności jest uwarunkowana aktualnym posiadaniem statusu członka zarządu. Dodatkowo art. 141 ust. 2 tej ustawy zawierał przepisy odnoszące się do kwestii możliwości wszczęcia postępowania i nałożenia kary, które zostały uchwalone przed wprowadzeniem </w:t>
      </w:r>
      <w:r w:rsidR="00E87427" w:rsidRPr="006B2CD4">
        <w:rPr>
          <w:rFonts w:ascii="Times New Roman" w:hAnsi="Times New Roman" w:cs="Times New Roman"/>
          <w:bCs/>
          <w:sz w:val="24"/>
          <w:szCs w:val="24"/>
        </w:rPr>
        <w:t xml:space="preserve">k.p.a. </w:t>
      </w:r>
      <w:r w:rsidRPr="006B2CD4">
        <w:rPr>
          <w:rFonts w:ascii="Times New Roman" w:hAnsi="Times New Roman" w:cs="Times New Roman"/>
          <w:bCs/>
          <w:sz w:val="24"/>
          <w:szCs w:val="24"/>
        </w:rPr>
        <w:t xml:space="preserve">Działu IVA dotyczącego administracyjnych kar pieniężnych i są bardziej korzystne dla sprawców naruszeń, przewidując krótszy okres przedawnienia niż zasady ogólne przewidziane w tym dziale </w:t>
      </w:r>
      <w:r w:rsidR="00E87427" w:rsidRPr="006B2CD4">
        <w:rPr>
          <w:rFonts w:ascii="Times New Roman" w:hAnsi="Times New Roman" w:cs="Times New Roman"/>
          <w:bCs/>
          <w:sz w:val="24"/>
          <w:szCs w:val="24"/>
        </w:rPr>
        <w:t>k.p.a.</w:t>
      </w:r>
      <w:r w:rsidRPr="006B2CD4">
        <w:rPr>
          <w:rFonts w:ascii="Times New Roman" w:hAnsi="Times New Roman" w:cs="Times New Roman"/>
          <w:bCs/>
          <w:sz w:val="24"/>
          <w:szCs w:val="24"/>
        </w:rPr>
        <w:t xml:space="preserve"> Równocześnie, art. 138 ust. 7a ustawy </w:t>
      </w:r>
      <w:r w:rsidR="007D0A58" w:rsidRPr="006B2CD4">
        <w:rPr>
          <w:rFonts w:ascii="Times New Roman" w:hAnsi="Times New Roman" w:cs="Times New Roman"/>
          <w:bCs/>
          <w:sz w:val="24"/>
          <w:szCs w:val="24"/>
        </w:rPr>
        <w:t xml:space="preserve">– </w:t>
      </w:r>
      <w:r w:rsidRPr="006B2CD4">
        <w:rPr>
          <w:rFonts w:ascii="Times New Roman" w:hAnsi="Times New Roman" w:cs="Times New Roman"/>
          <w:bCs/>
          <w:sz w:val="24"/>
          <w:szCs w:val="24"/>
        </w:rPr>
        <w:t>Prawo bankowe przewiduje niezwykle szeroki zakres możliwych naruszeń prawa w zakresie lokat strukturyzowanych, jakie mogą skutkować nałożeniem sankcji na osobę odpowiedzialną za popełnione naruszenie, a możliwość ponoszenia odpowiedzialności nie wymaga aktualnego sprawowania funkcji w podmiocie, w którym naruszenie miało miejsce. W ocenie projektodawcy zasadne byłoby zatem wprowadzenie przepisów wzorowanych na art. 138 ust. 7a tej ustawy pozwalających na nałożenie sankcji na członków zarządu banku</w:t>
      </w:r>
      <w:r w:rsidR="00BB2CF7" w:rsidRPr="006B2CD4">
        <w:rPr>
          <w:rFonts w:ascii="Times New Roman" w:hAnsi="Times New Roman" w:cs="Times New Roman"/>
          <w:bCs/>
          <w:sz w:val="24"/>
          <w:szCs w:val="24"/>
        </w:rPr>
        <w:t xml:space="preserve"> lub rady nadzorczej banku</w:t>
      </w:r>
      <w:r w:rsidRPr="006B2CD4">
        <w:rPr>
          <w:rFonts w:ascii="Times New Roman" w:hAnsi="Times New Roman" w:cs="Times New Roman"/>
          <w:bCs/>
          <w:sz w:val="24"/>
          <w:szCs w:val="24"/>
        </w:rPr>
        <w:t xml:space="preserve"> – odpowiedzialnych za naruszenie przepisów prawa, które mogłyby być stosowane również po zaprzestaniu wykonywania funkcji lub zajmowania stanowiska przez osobę odpowiedzialną za dane naruszenie.</w:t>
      </w:r>
      <w:r w:rsidR="00D0671F" w:rsidRPr="006B2CD4">
        <w:rPr>
          <w:rFonts w:ascii="Times New Roman" w:hAnsi="Times New Roman" w:cs="Times New Roman"/>
          <w:bCs/>
          <w:sz w:val="24"/>
          <w:szCs w:val="24"/>
        </w:rPr>
        <w:t xml:space="preserve"> </w:t>
      </w:r>
      <w:r w:rsidR="00325ED7" w:rsidRPr="006B2CD4">
        <w:rPr>
          <w:rFonts w:ascii="Times New Roman" w:hAnsi="Times New Roman" w:cs="Times New Roman"/>
          <w:bCs/>
          <w:sz w:val="24"/>
          <w:szCs w:val="24"/>
        </w:rPr>
        <w:t>Mając na uwadze powyższe</w:t>
      </w:r>
      <w:r w:rsidR="00C358FF">
        <w:rPr>
          <w:rFonts w:ascii="Times New Roman" w:hAnsi="Times New Roman" w:cs="Times New Roman"/>
          <w:bCs/>
          <w:sz w:val="24"/>
          <w:szCs w:val="24"/>
        </w:rPr>
        <w:t>,</w:t>
      </w:r>
      <w:r w:rsidR="00325ED7" w:rsidRPr="006B2CD4">
        <w:rPr>
          <w:rFonts w:ascii="Times New Roman" w:hAnsi="Times New Roman" w:cs="Times New Roman"/>
          <w:bCs/>
          <w:sz w:val="24"/>
          <w:szCs w:val="24"/>
        </w:rPr>
        <w:t xml:space="preserve"> pro</w:t>
      </w:r>
      <w:r w:rsidR="00325ED7" w:rsidRPr="006B2CD4">
        <w:rPr>
          <w:rFonts w:ascii="Times New Roman" w:hAnsi="Times New Roman" w:cs="Times New Roman"/>
          <w:bCs/>
          <w:sz w:val="24"/>
          <w:szCs w:val="24"/>
        </w:rPr>
        <w:lastRenderedPageBreak/>
        <w:t>ponuj</w:t>
      </w:r>
      <w:r w:rsidR="00C358FF">
        <w:rPr>
          <w:rFonts w:ascii="Times New Roman" w:hAnsi="Times New Roman" w:cs="Times New Roman"/>
          <w:bCs/>
          <w:sz w:val="24"/>
          <w:szCs w:val="24"/>
        </w:rPr>
        <w:t>e</w:t>
      </w:r>
      <w:r w:rsidR="00325ED7" w:rsidRPr="006B2CD4">
        <w:rPr>
          <w:rFonts w:ascii="Times New Roman" w:hAnsi="Times New Roman" w:cs="Times New Roman"/>
          <w:bCs/>
          <w:sz w:val="24"/>
          <w:szCs w:val="24"/>
        </w:rPr>
        <w:t xml:space="preserve"> się wykreślenie w art. 141 ust</w:t>
      </w:r>
      <w:r w:rsidR="00457862">
        <w:rPr>
          <w:rFonts w:ascii="Times New Roman" w:hAnsi="Times New Roman" w:cs="Times New Roman"/>
          <w:bCs/>
          <w:sz w:val="24"/>
          <w:szCs w:val="24"/>
        </w:rPr>
        <w:t>.</w:t>
      </w:r>
      <w:r w:rsidR="00325ED7" w:rsidRPr="006B2CD4">
        <w:rPr>
          <w:rFonts w:ascii="Times New Roman" w:hAnsi="Times New Roman" w:cs="Times New Roman"/>
          <w:bCs/>
          <w:sz w:val="24"/>
          <w:szCs w:val="24"/>
        </w:rPr>
        <w:t xml:space="preserve"> 1a wyrazów „w stosownych przypadkach”, co jest podyktowane koniecznością stosowania przesłanek wymiaru kary przy każdorazowym stosowaniu kary pieniężnej.</w:t>
      </w:r>
    </w:p>
    <w:p w14:paraId="19D1E88D" w14:textId="660C3C23" w:rsidR="00325ED7" w:rsidRPr="006B2CD4" w:rsidRDefault="00325ED7" w:rsidP="00B856D8">
      <w:pPr>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Dodatkowo zmiana art. 141 ust. 2 uzasadniona faktem uregulowania kwestii przedawnienia w zakresie możliwości zastosowania administracyjnych kar pieniężnych w art. 189g k</w:t>
      </w:r>
      <w:r w:rsidR="00E87427" w:rsidRPr="006B2CD4">
        <w:rPr>
          <w:rFonts w:ascii="Times New Roman" w:hAnsi="Times New Roman" w:cs="Times New Roman"/>
          <w:bCs/>
          <w:sz w:val="24"/>
          <w:szCs w:val="24"/>
        </w:rPr>
        <w:t>.</w:t>
      </w:r>
      <w:r w:rsidRPr="006B2CD4">
        <w:rPr>
          <w:rFonts w:ascii="Times New Roman" w:hAnsi="Times New Roman" w:cs="Times New Roman"/>
          <w:bCs/>
          <w:sz w:val="24"/>
          <w:szCs w:val="24"/>
        </w:rPr>
        <w:t>p</w:t>
      </w:r>
      <w:r w:rsidR="00E87427" w:rsidRPr="006B2CD4">
        <w:rPr>
          <w:rFonts w:ascii="Times New Roman" w:hAnsi="Times New Roman" w:cs="Times New Roman"/>
          <w:bCs/>
          <w:sz w:val="24"/>
          <w:szCs w:val="24"/>
        </w:rPr>
        <w:t>.</w:t>
      </w:r>
      <w:r w:rsidRPr="006B2CD4">
        <w:rPr>
          <w:rFonts w:ascii="Times New Roman" w:hAnsi="Times New Roman" w:cs="Times New Roman"/>
          <w:bCs/>
          <w:sz w:val="24"/>
          <w:szCs w:val="24"/>
        </w:rPr>
        <w:t>a. Zgodnie z brzmieniem przepisu „administracyjna kara pieniężna nie może zostać nałożona, jeżeli upłynęło pięć lat od dnia naruszenia prawa albo wystąpienia skutków naruszenia prawa”. Obecny termin przedawnienia nie jest dostosowany do stopnia skomplikowania spraw z zakresu rynku bankowego i może uniemożliwiać pociągnięcie do odpowiedzialności administracyjnej. Nie ma uzasadnienia do skracania terminu przedawnienia w przypadku skomplikowanej materii rynku finansowego, biorąc pod uwagę pięcioletnie terminy przedawnienia spraw w k</w:t>
      </w:r>
      <w:r w:rsidR="00E87427" w:rsidRPr="006B2CD4">
        <w:rPr>
          <w:rFonts w:ascii="Times New Roman" w:hAnsi="Times New Roman" w:cs="Times New Roman"/>
          <w:bCs/>
          <w:sz w:val="24"/>
          <w:szCs w:val="24"/>
        </w:rPr>
        <w:t>.</w:t>
      </w:r>
      <w:r w:rsidRPr="006B2CD4">
        <w:rPr>
          <w:rFonts w:ascii="Times New Roman" w:hAnsi="Times New Roman" w:cs="Times New Roman"/>
          <w:bCs/>
          <w:sz w:val="24"/>
          <w:szCs w:val="24"/>
        </w:rPr>
        <w:t>p</w:t>
      </w:r>
      <w:r w:rsidR="00E87427" w:rsidRPr="006B2CD4">
        <w:rPr>
          <w:rFonts w:ascii="Times New Roman" w:hAnsi="Times New Roman" w:cs="Times New Roman"/>
          <w:bCs/>
          <w:sz w:val="24"/>
          <w:szCs w:val="24"/>
        </w:rPr>
        <w:t>.</w:t>
      </w:r>
      <w:r w:rsidRPr="006B2CD4">
        <w:rPr>
          <w:rFonts w:ascii="Times New Roman" w:hAnsi="Times New Roman" w:cs="Times New Roman"/>
          <w:bCs/>
          <w:sz w:val="24"/>
          <w:szCs w:val="24"/>
        </w:rPr>
        <w:t>a.</w:t>
      </w:r>
    </w:p>
    <w:p w14:paraId="779F7A03" w14:textId="529D8DFA" w:rsidR="00325ED7" w:rsidRPr="006B2CD4" w:rsidRDefault="00325ED7" w:rsidP="00D0671F">
      <w:pPr>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Zgodnie z proponowanym brzmieniem art. 141 ust. 2 będzie możliwość nałożenia sankcji określonych w art. 141 ust</w:t>
      </w:r>
      <w:r w:rsidR="00457862">
        <w:rPr>
          <w:rFonts w:ascii="Times New Roman" w:hAnsi="Times New Roman" w:cs="Times New Roman"/>
          <w:bCs/>
          <w:sz w:val="24"/>
          <w:szCs w:val="24"/>
        </w:rPr>
        <w:t>.</w:t>
      </w:r>
      <w:r w:rsidRPr="006B2CD4">
        <w:rPr>
          <w:rFonts w:ascii="Times New Roman" w:hAnsi="Times New Roman" w:cs="Times New Roman"/>
          <w:bCs/>
          <w:sz w:val="24"/>
          <w:szCs w:val="24"/>
        </w:rPr>
        <w:t xml:space="preserve"> 1 ustawy </w:t>
      </w:r>
      <w:r w:rsidR="007D0A58" w:rsidRPr="006B2CD4">
        <w:rPr>
          <w:rFonts w:ascii="Times New Roman" w:hAnsi="Times New Roman" w:cs="Times New Roman"/>
          <w:bCs/>
          <w:sz w:val="24"/>
          <w:szCs w:val="24"/>
        </w:rPr>
        <w:t xml:space="preserve">– </w:t>
      </w:r>
      <w:r w:rsidRPr="006B2CD4">
        <w:rPr>
          <w:rFonts w:ascii="Times New Roman" w:hAnsi="Times New Roman" w:cs="Times New Roman"/>
          <w:bCs/>
          <w:sz w:val="24"/>
          <w:szCs w:val="24"/>
        </w:rPr>
        <w:t>Prawo bankowe wobec byłego członka rady nadzorczej banku</w:t>
      </w:r>
      <w:r w:rsidRPr="006B2CD4">
        <w:rPr>
          <w:rFonts w:ascii="Times New Roman" w:hAnsi="Times New Roman" w:cs="Times New Roman"/>
          <w:sz w:val="24"/>
          <w:szCs w:val="24"/>
        </w:rPr>
        <w:t xml:space="preserve"> </w:t>
      </w:r>
      <w:r w:rsidRPr="006B2CD4">
        <w:rPr>
          <w:rFonts w:ascii="Times New Roman" w:hAnsi="Times New Roman" w:cs="Times New Roman"/>
          <w:bCs/>
          <w:sz w:val="24"/>
          <w:szCs w:val="24"/>
        </w:rPr>
        <w:t>jeżeli naruszenie miało miejsce w trakcie pełnienia tej funkcji.</w:t>
      </w:r>
    </w:p>
    <w:p w14:paraId="3B94ADDB" w14:textId="10BB39FD" w:rsidR="00680CC0" w:rsidRPr="006B2CD4" w:rsidRDefault="007D0A58" w:rsidP="00D0671F">
      <w:pPr>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Zmiany w art. 141s ustawy – </w:t>
      </w:r>
      <w:r w:rsidR="00680CC0" w:rsidRPr="006B2CD4">
        <w:rPr>
          <w:rFonts w:ascii="Times New Roman" w:hAnsi="Times New Roman" w:cs="Times New Roman"/>
          <w:bCs/>
          <w:sz w:val="24"/>
          <w:szCs w:val="24"/>
        </w:rPr>
        <w:t>Prawo bankowe zmierzają do rozszerzenia obowiązku informowania przez bank o działaniach dotycząc</w:t>
      </w:r>
      <w:r w:rsidR="00111DDF">
        <w:rPr>
          <w:rFonts w:ascii="Times New Roman" w:hAnsi="Times New Roman" w:cs="Times New Roman"/>
          <w:bCs/>
          <w:sz w:val="24"/>
          <w:szCs w:val="24"/>
        </w:rPr>
        <w:t>ych planu naprawy nie tylko KNF</w:t>
      </w:r>
      <w:r w:rsidR="00680CC0" w:rsidRPr="006B2CD4">
        <w:rPr>
          <w:rFonts w:ascii="Times New Roman" w:hAnsi="Times New Roman" w:cs="Times New Roman"/>
          <w:bCs/>
          <w:sz w:val="24"/>
          <w:szCs w:val="24"/>
        </w:rPr>
        <w:t xml:space="preserve">, ale także Bankowego Funduszu Gwarancyjnego (dalej „BFG”). W obecnym stanie prawnym, podjęcie przez bank działań, określonych w planie naprawy, pomimo nieosiągnięcia poziomów wskaźników, o których mowa </w:t>
      </w:r>
      <w:r w:rsidRPr="006B2CD4">
        <w:rPr>
          <w:rFonts w:ascii="Times New Roman" w:hAnsi="Times New Roman" w:cs="Times New Roman"/>
          <w:bCs/>
          <w:sz w:val="24"/>
          <w:szCs w:val="24"/>
        </w:rPr>
        <w:t xml:space="preserve">w art. 141m ust. 3 pkt 2 ustawy – </w:t>
      </w:r>
      <w:r w:rsidR="00680CC0" w:rsidRPr="006B2CD4">
        <w:rPr>
          <w:rFonts w:ascii="Times New Roman" w:hAnsi="Times New Roman" w:cs="Times New Roman"/>
          <w:bCs/>
          <w:sz w:val="24"/>
          <w:szCs w:val="24"/>
        </w:rPr>
        <w:t xml:space="preserve">Prawo bankowe, wiąże się z obowiązkiem </w:t>
      </w:r>
      <w:r w:rsidR="00680CC0" w:rsidRPr="006B2CD4">
        <w:rPr>
          <w:rFonts w:ascii="Times New Roman" w:hAnsi="Times New Roman" w:cs="Times New Roman"/>
          <w:bCs/>
          <w:sz w:val="24"/>
          <w:szCs w:val="24"/>
        </w:rPr>
        <w:lastRenderedPageBreak/>
        <w:t>poinformowania tylko KNF (art. 141s ust. 1 tej ustawy). Procedura wyrażenia zgody przez KNF na odstąpienie od podjęcia działania, określonego w planie naprawy, pomimo osiągnięcia przez bank poziomów wskaźników (art. 141s ust. 2 tej ustawy) również nie przewiduje obowiązku informowania BFG. Zaprop</w:t>
      </w:r>
      <w:r w:rsidRPr="006B2CD4">
        <w:rPr>
          <w:rFonts w:ascii="Times New Roman" w:hAnsi="Times New Roman" w:cs="Times New Roman"/>
          <w:bCs/>
          <w:sz w:val="24"/>
          <w:szCs w:val="24"/>
        </w:rPr>
        <w:t xml:space="preserve">onowana zmiana art. 141s ustawy – </w:t>
      </w:r>
      <w:r w:rsidR="00680CC0" w:rsidRPr="006B2CD4">
        <w:rPr>
          <w:rFonts w:ascii="Times New Roman" w:hAnsi="Times New Roman" w:cs="Times New Roman"/>
          <w:bCs/>
          <w:sz w:val="24"/>
          <w:szCs w:val="24"/>
        </w:rPr>
        <w:t>Prawo bankowe polega na doprecyzowaniu, że obowiązek informacyjnego banku obejmuje także przekazanie informacji BFG. Określenie tej kwestii w akcie prawa powszechnie obowiązującym, gwarantuje uzyskiwanie przez BFG bieżących informacji, niezbędnych do skutecznego wykonywania kompetencji organu resolution. Uzyskanie przedmiotowych informacji jest szczególnie istotne wówczas, gdy konieczność stosowania planu naprawy wiąże się z niedochowaniem wymogów płynnościowych. Taka sytuacja może wymagać niezwłocznego skorzystania przez BFG z innych kompetencji organu resolution. Zarazem proponowana zmiana stanowi w istocie uszczegółowienie obowiązków informacyjnych, ciążących na bankach de lege lata.</w:t>
      </w:r>
    </w:p>
    <w:p w14:paraId="1B83ADFA" w14:textId="35401175" w:rsidR="00680CC0" w:rsidRDefault="00680CC0" w:rsidP="00F15AA9">
      <w:pPr>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W zakresie zmiany w art. 171 w ust. 2 ustawy </w:t>
      </w:r>
      <w:r w:rsidR="007D0A58" w:rsidRPr="006B2CD4">
        <w:rPr>
          <w:rFonts w:ascii="Times New Roman" w:hAnsi="Times New Roman" w:cs="Times New Roman"/>
          <w:bCs/>
          <w:sz w:val="24"/>
          <w:szCs w:val="24"/>
        </w:rPr>
        <w:t xml:space="preserve">– </w:t>
      </w:r>
      <w:r w:rsidRPr="006B2CD4">
        <w:rPr>
          <w:rFonts w:ascii="Times New Roman" w:hAnsi="Times New Roman" w:cs="Times New Roman"/>
          <w:bCs/>
          <w:sz w:val="24"/>
          <w:szCs w:val="24"/>
        </w:rPr>
        <w:t>Prawo bankowe zauważenia wymaga, że zarówno w orzecznictwie, jak i literaturze, wątpliwości budzi zakres hipotezy wskazanej w tym przepisie, tj. określenie kto i w jakich warunkach będzie ponosił odpowiedzialność karną, ponieważ z literalnego brzmienia przepisu wynika, że znamieniem tego przestępstwa jest prowadzenie działalności zarobkowej wbre</w:t>
      </w:r>
      <w:r w:rsidR="007D0A58" w:rsidRPr="006B2CD4">
        <w:rPr>
          <w:rFonts w:ascii="Times New Roman" w:hAnsi="Times New Roman" w:cs="Times New Roman"/>
          <w:bCs/>
          <w:sz w:val="24"/>
          <w:szCs w:val="24"/>
        </w:rPr>
        <w:t xml:space="preserve">w warunkom określonym w ustawie – </w:t>
      </w:r>
      <w:r w:rsidRPr="006B2CD4">
        <w:rPr>
          <w:rFonts w:ascii="Times New Roman" w:hAnsi="Times New Roman" w:cs="Times New Roman"/>
          <w:bCs/>
          <w:sz w:val="24"/>
          <w:szCs w:val="24"/>
        </w:rPr>
        <w:t>Prawo bankowe, a nie używanie wyrazów „bank” lub „kasa” wbrew warunkom określonym w tej ustawie. Sąd Najwyższy w postanowieniu z dnia 30 czerwca 2008 r. (I KZP 9/08) wskazał, iż: „[…] ele</w:t>
      </w:r>
      <w:r w:rsidRPr="006B2CD4">
        <w:rPr>
          <w:rFonts w:ascii="Times New Roman" w:hAnsi="Times New Roman" w:cs="Times New Roman"/>
          <w:bCs/>
          <w:sz w:val="24"/>
          <w:szCs w:val="24"/>
        </w:rPr>
        <w:lastRenderedPageBreak/>
        <w:t xml:space="preserve">mentarne reguły wykładni językowej nakazują przyjąć, iż umiejscowienie znaków interpunkcyjnych w przepisie art. 171 ust. 2 ustawy </w:t>
      </w:r>
      <w:r w:rsidR="007D0A58" w:rsidRPr="006B2CD4">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Prawo bankowe, doprowadziło do takiego skonstruowania zespołu znamion czynu zabronionego, przy którym dla przypisania tego występku niezbędne jest stwierdzenie, że sprawca swoim działaniem wypełnił wszystkie warunki sformułowane w zdaniu podrzędnie złożonym. Jednym z elementów tego zdania złożonego jest zaś równoważnik zdania „prowadząc działalność zarobkową wbrew warunkom określonym w ustawie”, który to element zespołu znamion musi być traktowany jako całość, albowiem przyjęcie odmiennego założenia naruszałoby nie tylko podstawowe reguły ortografii i gramatyki języka polskiego, ale także reguły logiki. Sąd ad quem dostrzega także i to, iż w piśmiennictwie zdecydowanie przeważa pogląd co do tego, że aczkolwiek takie umiejscowienie znaków interpunkcyjnych może prowadzić do wniosku, iż ustawodawca popełnił błąd legislacyjny, tym niemniej naprawienie tej omyłki może nastąpić tylko w drodze nowelizacji ustawy, a nie w wyniku interpretacji, która zmieniałaby, a więc w istocie rzeczy negowałaby, zupełnie jednoznaczną treść przepisu (por. np. K. Płończyk, P. Podlasko w: F. Zoll red.: Prawo bankowe. Komentarz, Kraków 2005, t. II, s. 787-788; E. Fojcik-Mastalska w: E. Fojcik-Mastalska red.: Prawo bankowe. Komentarz, Warszawa 2007, s. 800-801; E. Kryński w: W. Góralczyk jr. red.: Prawo bankowe. Komentarz, Warszawa 1999, s. 536; L. Mazur: Prawo bankowe. Komentarz. Krótkie komentarze Becka, Warszawa 2005, s. 641).”. Mając na uwadze powyższą argumentację, należy wskazać, że dokonanie nowelizacji poprzez dodanie znaku interpunkcyjnego w </w:t>
      </w:r>
      <w:r w:rsidRPr="006B2CD4">
        <w:rPr>
          <w:rFonts w:ascii="Times New Roman" w:hAnsi="Times New Roman" w:cs="Times New Roman"/>
          <w:bCs/>
          <w:sz w:val="24"/>
          <w:szCs w:val="24"/>
        </w:rPr>
        <w:lastRenderedPageBreak/>
        <w:t>ust. 2 jest konieczne i uzasadnione, a także oczekiwane od dłuższego czasu przez UKNF, organy ścigania i wymiar sprawiedliwości.</w:t>
      </w:r>
    </w:p>
    <w:p w14:paraId="38C4F659" w14:textId="112972B3" w:rsidR="00F40C2F" w:rsidRDefault="00F40C2F" w:rsidP="00F40C2F">
      <w:pPr>
        <w:shd w:val="clear" w:color="auto" w:fill="FFFFFF" w:themeFill="background1"/>
        <w:spacing w:before="120" w:after="12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Art. </w:t>
      </w:r>
      <w:r w:rsidR="009D020E">
        <w:rPr>
          <w:rFonts w:ascii="Times New Roman" w:hAnsi="Times New Roman" w:cs="Times New Roman"/>
          <w:b/>
          <w:bCs/>
          <w:sz w:val="24"/>
          <w:szCs w:val="24"/>
        </w:rPr>
        <w:t>6</w:t>
      </w:r>
      <w:r>
        <w:rPr>
          <w:rFonts w:ascii="Times New Roman" w:hAnsi="Times New Roman" w:cs="Times New Roman"/>
          <w:b/>
          <w:bCs/>
          <w:sz w:val="24"/>
          <w:szCs w:val="24"/>
        </w:rPr>
        <w:t>. Zmiany w ustawie o podatku od czynności cywilnoprawnych</w:t>
      </w:r>
    </w:p>
    <w:p w14:paraId="2F4C82BD" w14:textId="5A595DEB" w:rsidR="00742CAB" w:rsidRPr="006B2CD4" w:rsidRDefault="00F40C2F" w:rsidP="00F40C2F">
      <w:pPr>
        <w:shd w:val="clear" w:color="auto" w:fill="FFFFFF" w:themeFill="background1"/>
        <w:spacing w:before="120" w:after="12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Wprowadzenie zmiany w ustawie z dnia 9 września 2000 r. o podatku od czynności cywilnoprawnych uzasadnione jest zrównaniem obowiązków podatkowych banków państwowych prowadzących działalność maklerską oraz ich klientów względem firm inwestycyjnych oraz ich klientów. Zmiana zapewnia równe traktowanie wymienionych grup podmiotów poprzez zastosowanie tożsamego zwolnienia przedmiotowego, a także wyeliminowanie wątpliwości interpretacyjnych. </w:t>
      </w:r>
    </w:p>
    <w:p w14:paraId="455DB7C7" w14:textId="7AF6E9C9" w:rsidR="008D4B61" w:rsidRPr="006B2CD4" w:rsidRDefault="00931C94" w:rsidP="00B856D8">
      <w:pPr>
        <w:shd w:val="clear" w:color="auto" w:fill="FFFFFF" w:themeFill="background1"/>
        <w:spacing w:before="120" w:after="120" w:line="360" w:lineRule="auto"/>
        <w:jc w:val="both"/>
        <w:rPr>
          <w:rFonts w:ascii="Times New Roman" w:hAnsi="Times New Roman" w:cs="Times New Roman"/>
          <w:b/>
          <w:bCs/>
          <w:sz w:val="24"/>
          <w:szCs w:val="24"/>
        </w:rPr>
      </w:pPr>
      <w:r w:rsidRPr="006B2CD4">
        <w:rPr>
          <w:rFonts w:ascii="Times New Roman" w:hAnsi="Times New Roman" w:cs="Times New Roman"/>
          <w:b/>
          <w:bCs/>
          <w:sz w:val="24"/>
          <w:szCs w:val="24"/>
        </w:rPr>
        <w:t xml:space="preserve">Art. </w:t>
      </w:r>
      <w:r w:rsidR="009D020E">
        <w:rPr>
          <w:rFonts w:ascii="Times New Roman" w:hAnsi="Times New Roman" w:cs="Times New Roman"/>
          <w:b/>
          <w:bCs/>
          <w:sz w:val="24"/>
          <w:szCs w:val="24"/>
        </w:rPr>
        <w:t>7</w:t>
      </w:r>
      <w:r w:rsidRPr="006B2CD4">
        <w:rPr>
          <w:rFonts w:ascii="Times New Roman" w:hAnsi="Times New Roman" w:cs="Times New Roman"/>
          <w:b/>
          <w:bCs/>
          <w:sz w:val="24"/>
          <w:szCs w:val="24"/>
        </w:rPr>
        <w:t xml:space="preserve">. </w:t>
      </w:r>
      <w:r w:rsidR="008D4B61" w:rsidRPr="006B2CD4">
        <w:rPr>
          <w:rFonts w:ascii="Times New Roman" w:hAnsi="Times New Roman" w:cs="Times New Roman"/>
          <w:b/>
          <w:bCs/>
          <w:sz w:val="24"/>
          <w:szCs w:val="24"/>
        </w:rPr>
        <w:t>Zmiany w ustawie o giełdach towarowych</w:t>
      </w:r>
    </w:p>
    <w:p w14:paraId="55D872CC" w14:textId="298D04CC" w:rsidR="004C3D7B" w:rsidRPr="006B2CD4" w:rsidRDefault="004C3D7B" w:rsidP="004C3D7B">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Zmiany w ustawie o giełdach towarowych w art. 9 ust. 9, art. 50b ust. 1 pkt 2, towarzyszące im zmiany wynikowe w art. 26 ust. 7 i art. 51a ust. 1, dodanie w art. 51a ust. 6 oraz uchylenie w art. 26 ust. 6, w art. 50b ust. 4–9 mają na celu ograniczenie nadmiernego formalizmu przejawiającego się w wymogu uzyskania przez przedsiębiorstwa energetyczne oraz będących osobami prawnymi odbiorców uprawnionych do zmiany sprzedawcy w rozumieniu ustawy z dnia 10 kwietnia 1997 r. – Prawo energetyczne (Dz. U. z 2022 r. poz. 1385</w:t>
      </w:r>
      <w:r w:rsidR="006032DE">
        <w:rPr>
          <w:rFonts w:ascii="Times New Roman" w:hAnsi="Times New Roman" w:cs="Times New Roman"/>
          <w:bCs/>
          <w:sz w:val="24"/>
          <w:szCs w:val="24"/>
        </w:rPr>
        <w:t>, z późn. zm.</w:t>
      </w:r>
      <w:r w:rsidRPr="006B2CD4">
        <w:rPr>
          <w:rFonts w:ascii="Times New Roman" w:hAnsi="Times New Roman" w:cs="Times New Roman"/>
          <w:bCs/>
          <w:sz w:val="24"/>
          <w:szCs w:val="24"/>
        </w:rPr>
        <w:t xml:space="preserve">) zezwolenia </w:t>
      </w:r>
      <w:r w:rsidR="00370539" w:rsidRPr="006B2CD4">
        <w:rPr>
          <w:rFonts w:ascii="Times New Roman" w:hAnsi="Times New Roman" w:cs="Times New Roman"/>
          <w:bCs/>
          <w:sz w:val="24"/>
          <w:szCs w:val="24"/>
        </w:rPr>
        <w:t>KNF</w:t>
      </w:r>
      <w:r w:rsidRPr="006B2CD4">
        <w:rPr>
          <w:rFonts w:ascii="Times New Roman" w:hAnsi="Times New Roman" w:cs="Times New Roman"/>
          <w:bCs/>
          <w:sz w:val="24"/>
          <w:szCs w:val="24"/>
        </w:rPr>
        <w:t xml:space="preserve"> na zawieranie transakcji giełdowych, których przedmiotem są towary giełdowe. Ułatwienie wskazanym podmiotom dostępu do rynku towarów giełdowych sprzyja przy tym efektyw</w:t>
      </w:r>
      <w:r w:rsidRPr="006B2CD4">
        <w:rPr>
          <w:rFonts w:ascii="Times New Roman" w:hAnsi="Times New Roman" w:cs="Times New Roman"/>
          <w:bCs/>
          <w:sz w:val="24"/>
          <w:szCs w:val="24"/>
        </w:rPr>
        <w:lastRenderedPageBreak/>
        <w:t xml:space="preserve">ności tego rynku. Działalność wykonywana na podstawie przedmiotowego zezwolenia sprowadza się do zawierania transakcji we własnym imieniu i na własny rachunek na rynku kasowym (spot), nie stwarza zatem ryzyk charakterystycznych dla działalności na rzecz klientów lub na rynku kontraktów terminowych. Zakres uzyskanego w oparciu o uchylane przepisy zezwolenia, a więc i nadzoru sprawowanego przez </w:t>
      </w:r>
      <w:r w:rsidR="00370539" w:rsidRPr="006B2CD4">
        <w:rPr>
          <w:rFonts w:ascii="Times New Roman" w:hAnsi="Times New Roman" w:cs="Times New Roman"/>
          <w:bCs/>
          <w:sz w:val="24"/>
          <w:szCs w:val="24"/>
        </w:rPr>
        <w:t>KNF</w:t>
      </w:r>
      <w:r w:rsidRPr="006B2CD4">
        <w:rPr>
          <w:rFonts w:ascii="Times New Roman" w:hAnsi="Times New Roman" w:cs="Times New Roman"/>
          <w:bCs/>
          <w:sz w:val="24"/>
          <w:szCs w:val="24"/>
        </w:rPr>
        <w:t>, pozostaje przy tym niezwykle wąski i sprowadza się do prowadzenia przez podmioty własnych rachunków lub rejestrów towarów giełdowych, na które uzyskały zezwolenie. Szczegółowe warunki zawierania transakcji pozostają przy tym pod bieżącym nadzorem właściwej giełdy towarowej oraz giełdowej izby rozliczeniowej. Wreszcie, proponowana zmiana uzupełnia zwolnienie określone w art. 9 ust. 6a zmienianej ustawy, który to przepis już w aktualnym stanie prawnym pozwala na wykonywanie działalności maklerskiej bez zezwolenia na rzecz podmiotów należących do tej samej grupy kapitałowej. Wykonywanie takiej działalności na własną rzecz tym bardziej więc nie powinno być obarczone obowiązkiem uzyskania zezwolenia.</w:t>
      </w:r>
    </w:p>
    <w:p w14:paraId="6BB8E96D" w14:textId="07D7EA7C" w:rsidR="004C3D7B" w:rsidRPr="006B2CD4" w:rsidRDefault="004C3D7B" w:rsidP="004C3D7B">
      <w:pPr>
        <w:shd w:val="clear" w:color="auto" w:fill="FFFFFF" w:themeFill="background1"/>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Dodanie w ustawie o giełdach towarowych w art. 14 ust. 3b ma na celu wyłączenie środków służącym rozliczaniu transakcji znajdującym się w gestii organizatora procesu posttransakcyjnego ze skutków prawnych zawieszenia lub ograniczenia dokonywania przez te podmioty spłaty zadłużenia albo ograniczających jego zdolność swobodnego rozporządzania mieniem. Propozycja tej regulacji uzupełnia funkcjonującą od 2004 roku regulację art. 50c ustawy</w:t>
      </w:r>
      <w:r w:rsidR="006032DE">
        <w:rPr>
          <w:rFonts w:ascii="Times New Roman" w:hAnsi="Times New Roman" w:cs="Times New Roman"/>
          <w:bCs/>
          <w:sz w:val="24"/>
          <w:szCs w:val="24"/>
        </w:rPr>
        <w:t xml:space="preserve"> </w:t>
      </w:r>
      <w:r w:rsidR="006032DE" w:rsidRPr="006B2CD4">
        <w:rPr>
          <w:rFonts w:ascii="Times New Roman" w:hAnsi="Times New Roman" w:cs="Times New Roman"/>
          <w:bCs/>
          <w:sz w:val="24"/>
          <w:szCs w:val="24"/>
        </w:rPr>
        <w:t>o giełdach towarowych</w:t>
      </w:r>
      <w:r w:rsidRPr="006B2CD4">
        <w:rPr>
          <w:rFonts w:ascii="Times New Roman" w:hAnsi="Times New Roman" w:cs="Times New Roman"/>
          <w:bCs/>
          <w:sz w:val="24"/>
          <w:szCs w:val="24"/>
        </w:rPr>
        <w:t>, poprzez dodanie do już funkcjonującego katalogu, podmiotów odpo</w:t>
      </w:r>
      <w:r w:rsidRPr="006B2CD4">
        <w:rPr>
          <w:rFonts w:ascii="Times New Roman" w:hAnsi="Times New Roman" w:cs="Times New Roman"/>
          <w:bCs/>
          <w:sz w:val="24"/>
          <w:szCs w:val="24"/>
        </w:rPr>
        <w:lastRenderedPageBreak/>
        <w:t xml:space="preserve">wiedzialnych za rozliczanie transakcji. Umiejscowienie danej jednostki redakcyjnej zdeterminowane zostało tytułem rozdziału ustawy „Tworzenie i ustrój organizacyjny giełdowej izby rozrachunkowej”. </w:t>
      </w:r>
    </w:p>
    <w:p w14:paraId="2FDFFB53" w14:textId="316FF06D" w:rsidR="004C3D7B" w:rsidRDefault="004C3D7B" w:rsidP="004C3D7B">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Zmiany w art. 15 ustawy o giełdach towarowych polegające na uchyleniu ust. 1, nowelizacji brzmienia ust. 6 i dodaniu po ust. 6 ust. 6a mają natomiast na celu usprawnienie funkcjonowania giełdowych izb rozrachunkowych oraz umożliwienie dalszego rozwoju świadczenia usług przez te podmioty. Uchylenie art. 15 ust. 1 ustawy o giełdach towarowych umożliwi giełdowym izbom rozrachunkowym świadczenie usług</w:t>
      </w:r>
      <w:r w:rsidR="006032DE">
        <w:rPr>
          <w:rFonts w:ascii="Times New Roman" w:hAnsi="Times New Roman" w:cs="Times New Roman"/>
          <w:bCs/>
          <w:sz w:val="24"/>
          <w:szCs w:val="24"/>
        </w:rPr>
        <w:t>,</w:t>
      </w:r>
      <w:r w:rsidRPr="006B2CD4">
        <w:rPr>
          <w:rFonts w:ascii="Times New Roman" w:hAnsi="Times New Roman" w:cs="Times New Roman"/>
          <w:bCs/>
          <w:sz w:val="24"/>
          <w:szCs w:val="24"/>
        </w:rPr>
        <w:t xml:space="preserve"> w szczególności na rzecz spółek prowadzących giełdy towarowe, podmiotów uczestniczących w obrocie transgranicznym oraz operatorów systemów przesyłowych na podstawie odrębnych umów, bez konieczności uzyskania statusu członka izby. Z kolei obecne brzmienie art. 15 ust. 6 </w:t>
      </w:r>
      <w:r w:rsidR="006032DE" w:rsidRPr="006B2CD4">
        <w:rPr>
          <w:rFonts w:ascii="Times New Roman" w:hAnsi="Times New Roman" w:cs="Times New Roman"/>
          <w:bCs/>
          <w:sz w:val="24"/>
          <w:szCs w:val="24"/>
        </w:rPr>
        <w:t xml:space="preserve">ustawy o giełdach towarowych </w:t>
      </w:r>
      <w:r w:rsidRPr="006B2CD4">
        <w:rPr>
          <w:rFonts w:ascii="Times New Roman" w:hAnsi="Times New Roman" w:cs="Times New Roman"/>
          <w:bCs/>
          <w:sz w:val="24"/>
          <w:szCs w:val="24"/>
        </w:rPr>
        <w:t xml:space="preserve">generuje istotne problemy interpretacyjne, ponieważ może być on interpretowany przez uczestników obrotu jako zobowiązanie giełdowej izby rozrachunkowej do prowadzenia swojej działalności w formule CCP (gwarancja zobowiązań), co wymaga uzyskania odrębnego zezwolenia. Wprowadzona zmiana wpłynie na bezpieczeństwo obrotu, poprzez wyraźne określenie obowiązków giełdowej izby rozrachunkowej. W kontekście dodania do ustawy o giełdach towarowych w art. 15 ust. 6a wskazać należy, że zgodnie z rozporządzeniem Komisji (UE) 2015/1222 z dnia 24 lipca 2015 r. ustanawiającym wytyczne dotyczące alokacji przesyłowych i zarządzania ograniczeniami przesyłowymi (Dz. Urz. UE L 197 z 25.7.2015 r. s. 24) zdefiniowani w art. 2 pkt 23 wyznaczeni operatorzy rynku energii elektrycznej czyli m.in. Towarowa </w:t>
      </w:r>
      <w:r w:rsidRPr="006B2CD4">
        <w:rPr>
          <w:rFonts w:ascii="Times New Roman" w:hAnsi="Times New Roman" w:cs="Times New Roman"/>
          <w:bCs/>
          <w:sz w:val="24"/>
          <w:szCs w:val="24"/>
        </w:rPr>
        <w:lastRenderedPageBreak/>
        <w:t>Giełda Energii S.A. (TGE) (odpowiedzialna za transgraniczne łączenie rynków dnia następnego/bieżącego) mogą działać jako kontrahent centralny bądź przekazać te zadania wyznaczonym podmiotom. Izba Rozliczeniowa Giełd Towarowych S.A. jako profesjonalna spółka obsługująca posttransakcyjne aspekty transakcji zawieranych na platformach organizowanych przez TGE, powinna w sposób wyraźny być uprawniona (lecz nie zobowiązana) do przejęcia od TGE ryzyka rozliczeniowego. Niewprowadzenie takiej zmiany oznacza bowiem pozostawienie istotnego dla rynku energii zagadnienia obrotu transgranicznego, w obszarze niepewności prawnej.</w:t>
      </w:r>
    </w:p>
    <w:p w14:paraId="588131FE" w14:textId="77777777" w:rsidR="00120368" w:rsidRPr="001B4B90" w:rsidRDefault="00120368" w:rsidP="00120368">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Nowelizacja art. 15 ust. 3 ustawy o giełdach towarowych wynika z tego, że p</w:t>
      </w:r>
      <w:r w:rsidRPr="00366773">
        <w:rPr>
          <w:rFonts w:ascii="Times New Roman" w:hAnsi="Times New Roman"/>
          <w:bCs/>
          <w:sz w:val="24"/>
        </w:rPr>
        <w:t xml:space="preserve">rzepis ten budzi wątpliwości interpretacyjne w zakresie trybu postępowania w przypadku praktycznego jego stosowania. Mając to na uwadze w projekcie przewidziano, że warunki uzyskania statusu członka giełdowej izby rozrachunkowej, również w przypadku podmiotów zagranicznych, określane zostaną w regulaminie giełdowej izby rozrachunkowej (którego zmiana wymaga zgody/niezgłoszenia sprzeciwu Komisji), co jest uzasadnione ze względu na brzmienie z art. 16 ust. 1 ustawy o giełdach towarowych „Prawa i obowiązki członków giełdowej izby rozrachunkowej określa regulamin (…)”. Dodatkowo, wprowadzona zmiana usprawni </w:t>
      </w:r>
      <w:r w:rsidRPr="00366773">
        <w:rPr>
          <w:rFonts w:ascii="Times New Roman" w:hAnsi="Times New Roman" w:cs="Times New Roman"/>
          <w:bCs/>
          <w:sz w:val="24"/>
          <w:szCs w:val="24"/>
        </w:rPr>
        <w:t xml:space="preserve">prowadzenie postępowań administracyjnych przez KNF jak i zapewni pewność prawną w interpretacji obowiązków po stronie </w:t>
      </w:r>
      <w:r w:rsidRPr="00561771">
        <w:rPr>
          <w:rFonts w:ascii="Times New Roman" w:hAnsi="Times New Roman" w:cs="Times New Roman"/>
          <w:bCs/>
          <w:sz w:val="24"/>
          <w:szCs w:val="24"/>
        </w:rPr>
        <w:t>giełdowej izby rozrachunkowej</w:t>
      </w:r>
      <w:r w:rsidRPr="001B4B90">
        <w:rPr>
          <w:rFonts w:ascii="Times New Roman" w:hAnsi="Times New Roman" w:cs="Times New Roman"/>
          <w:bCs/>
          <w:sz w:val="24"/>
          <w:szCs w:val="24"/>
        </w:rPr>
        <w:t>.</w:t>
      </w:r>
    </w:p>
    <w:p w14:paraId="3696CFA0" w14:textId="78F7048F" w:rsidR="00120368" w:rsidRPr="006B2CD4" w:rsidRDefault="00120368" w:rsidP="004C3D7B">
      <w:pPr>
        <w:shd w:val="clear" w:color="auto" w:fill="FFFFFF" w:themeFill="background1"/>
        <w:spacing w:after="120" w:line="360" w:lineRule="auto"/>
        <w:jc w:val="both"/>
        <w:rPr>
          <w:rFonts w:ascii="Times New Roman" w:hAnsi="Times New Roman" w:cs="Times New Roman"/>
          <w:bCs/>
          <w:sz w:val="24"/>
          <w:szCs w:val="24"/>
        </w:rPr>
      </w:pPr>
      <w:r w:rsidRPr="001B4B90">
        <w:rPr>
          <w:rFonts w:ascii="Times New Roman" w:hAnsi="Times New Roman" w:cs="Times New Roman"/>
          <w:bCs/>
          <w:sz w:val="24"/>
          <w:szCs w:val="24"/>
        </w:rPr>
        <w:lastRenderedPageBreak/>
        <w:t>D</w:t>
      </w:r>
      <w:r w:rsidRPr="009A2294">
        <w:rPr>
          <w:rFonts w:ascii="Times New Roman" w:hAnsi="Times New Roman" w:cs="Times New Roman"/>
          <w:bCs/>
          <w:sz w:val="24"/>
          <w:szCs w:val="24"/>
        </w:rPr>
        <w:t>odanie w ustawie o gie</w:t>
      </w:r>
      <w:r w:rsidRPr="00F81DB5">
        <w:rPr>
          <w:rFonts w:ascii="Times New Roman" w:hAnsi="Times New Roman" w:cs="Times New Roman"/>
          <w:bCs/>
          <w:sz w:val="24"/>
          <w:szCs w:val="24"/>
        </w:rPr>
        <w:t xml:space="preserve">łdach towarowych art. 18 ust. </w:t>
      </w:r>
      <w:r w:rsidRPr="002E5654">
        <w:rPr>
          <w:rFonts w:ascii="Times New Roman" w:hAnsi="Times New Roman" w:cs="Times New Roman"/>
          <w:bCs/>
          <w:sz w:val="24"/>
          <w:szCs w:val="24"/>
        </w:rPr>
        <w:t xml:space="preserve">1a </w:t>
      </w:r>
      <w:r w:rsidRPr="00366773">
        <w:rPr>
          <w:rFonts w:ascii="Times New Roman" w:hAnsi="Times New Roman" w:cs="Times New Roman"/>
          <w:sz w:val="24"/>
          <w:szCs w:val="24"/>
        </w:rPr>
        <w:t>jest zmianą rozstrzygającą, gdyż dotychczasowe przepisy wywołują wątpliwość co do możliwości wykonywania przez podmioty będące CCP funkcji giełdowej izby rozrachunkowej, podczas gdy zgodnie z przepisami rozporządzenia Parlamentu Europejskiego i Rady (UE) Nr 648 /2012 z dnia 4 lipca 2012 r. w sprawie instrumentów pochodnych będących przedmiotem obrotu poza rynkiem regulowanym, kontrahentów centralnych i repozytoriów transakcji, mogą one prowadzić działalność po uzyskaniu lub rozszerzeniu zezwolenia na świadczenie usług rozliczeniowych jako CCP. W związku z tym zasadne jest rozszerzenie katalogu podmiotów mogących wykonywać funkcję giełdowej izby rozrachunkowej.</w:t>
      </w:r>
    </w:p>
    <w:p w14:paraId="3EB97B64" w14:textId="77777777" w:rsidR="004C3D7B" w:rsidRDefault="004C3D7B" w:rsidP="004C3D7B">
      <w:pPr>
        <w:shd w:val="clear" w:color="auto" w:fill="FFFFFF" w:themeFill="background1"/>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Nowelizacja art. 50c ust. 1 ustawy o giełdach towarowych zapewnia odpowiedni zakres bezpieczeństwa rynków rozliczanych przez giełdową izbę rozrachunkową poprzez objęcie projektowanym brzmieniem art. 50c ust. 1 ustawy o giełdach towarowych nie tylko członków, ale i samej giełdowej izby rozrachunkowej. Wprowadzenie przepisu wprost wyłączającego z masy upadłości spółki prowadzącej giełdową izbę rozrachunkową środki potrzebne do realizacji zobowiązań wynikających z rozliczeń transakcji jest bowiem szczególnie istotne dla zapewnienia bezpieczeństwa funkcjonowania giełdowego rynku towarowego.</w:t>
      </w:r>
    </w:p>
    <w:p w14:paraId="27FD235D" w14:textId="77777777" w:rsidR="00D31093" w:rsidRDefault="00D31093" w:rsidP="00D31093">
      <w:pPr>
        <w:shd w:val="clear" w:color="auto" w:fill="FFFFFF" w:themeFill="background1"/>
        <w:spacing w:before="120" w:after="0" w:line="360" w:lineRule="auto"/>
        <w:jc w:val="both"/>
        <w:rPr>
          <w:rFonts w:ascii="Times New Roman" w:hAnsi="Times New Roman" w:cs="Times New Roman"/>
          <w:bCs/>
          <w:sz w:val="24"/>
          <w:szCs w:val="24"/>
        </w:rPr>
      </w:pPr>
      <w:r>
        <w:rPr>
          <w:rFonts w:ascii="Times New Roman" w:hAnsi="Times New Roman" w:cs="Times New Roman"/>
          <w:bCs/>
          <w:sz w:val="24"/>
          <w:szCs w:val="24"/>
        </w:rPr>
        <w:t>Dodanie w art. 54 w ust. 1 pkt 7c ustawy o giełdach towarowych, tj. umożliwienie przekazywania informacji stanowiących tajemnicę zawodową w myśl tej ustawy na żądanie Straży Gra</w:t>
      </w:r>
      <w:r>
        <w:rPr>
          <w:rFonts w:ascii="Times New Roman" w:hAnsi="Times New Roman" w:cs="Times New Roman"/>
          <w:bCs/>
          <w:sz w:val="24"/>
          <w:szCs w:val="24"/>
        </w:rPr>
        <w:lastRenderedPageBreak/>
        <w:t xml:space="preserve">nicznej wynika z projektowanego dostępu tej formacji do tych informacji </w:t>
      </w:r>
      <w:r w:rsidRPr="001345C5">
        <w:rPr>
          <w:rFonts w:ascii="Times New Roman" w:hAnsi="Times New Roman" w:cs="Times New Roman"/>
          <w:bCs/>
          <w:sz w:val="24"/>
          <w:szCs w:val="24"/>
        </w:rPr>
        <w:t>na podstawie projektowanego art. 10c ustawy z dnia 12 października 1990 r. o Straży Granicznej</w:t>
      </w:r>
      <w:r>
        <w:rPr>
          <w:rFonts w:ascii="Times New Roman" w:hAnsi="Times New Roman" w:cs="Times New Roman"/>
          <w:bCs/>
          <w:sz w:val="24"/>
          <w:szCs w:val="24"/>
        </w:rPr>
        <w:t>. Zmiana ta ma zatem charakter wynikowy.</w:t>
      </w:r>
    </w:p>
    <w:p w14:paraId="538A8286" w14:textId="04C2A54A" w:rsidR="00D131A8" w:rsidRPr="00506155" w:rsidRDefault="00506155" w:rsidP="004C3D7B">
      <w:pPr>
        <w:shd w:val="clear" w:color="auto" w:fill="FFFFFF" w:themeFill="background1"/>
        <w:spacing w:before="120" w:after="120" w:line="360" w:lineRule="auto"/>
        <w:jc w:val="both"/>
        <w:rPr>
          <w:rFonts w:ascii="Times New Roman" w:hAnsi="Times New Roman" w:cs="Times New Roman"/>
          <w:b/>
          <w:bCs/>
          <w:sz w:val="24"/>
          <w:szCs w:val="24"/>
        </w:rPr>
      </w:pPr>
      <w:r w:rsidRPr="006B2CD4">
        <w:rPr>
          <w:rFonts w:ascii="Times New Roman" w:hAnsi="Times New Roman" w:cs="Times New Roman"/>
          <w:bCs/>
          <w:sz w:val="24"/>
          <w:szCs w:val="24"/>
        </w:rPr>
        <w:t>Zmiana w art. 55a ustawy o giełdach towarowych, polegająca na dodaniu nowego pkt 4a, ma na celu zapewnienie możliwości przekazywania informacji stanowiących informację zawodową bez naruszenia obowiązku jej zachowania przez spółkę prowadzącą giełdę towarową oraz przez spółkę prowadzącą giełdową izbę rozrachunkową, operatorom systemów przesyłowych, tj. podmiot</w:t>
      </w:r>
      <w:r>
        <w:rPr>
          <w:rFonts w:ascii="Times New Roman" w:hAnsi="Times New Roman" w:cs="Times New Roman"/>
          <w:bCs/>
          <w:sz w:val="24"/>
          <w:szCs w:val="24"/>
        </w:rPr>
        <w:t>om</w:t>
      </w:r>
      <w:r w:rsidRPr="006B2CD4">
        <w:rPr>
          <w:rFonts w:ascii="Times New Roman" w:hAnsi="Times New Roman" w:cs="Times New Roman"/>
          <w:bCs/>
          <w:sz w:val="24"/>
          <w:szCs w:val="24"/>
        </w:rPr>
        <w:t>, które pełnią istotną rolę w obrocie energią elektryczną i gazem. Rozszerzenie kręgu podmiotów, którym przekazanie informacji stanowiących tajemnicę zawodową nie narusza obowiązku jej zachowania</w:t>
      </w:r>
      <w:r>
        <w:rPr>
          <w:rFonts w:ascii="Times New Roman" w:hAnsi="Times New Roman" w:cs="Times New Roman"/>
          <w:bCs/>
          <w:sz w:val="24"/>
          <w:szCs w:val="24"/>
        </w:rPr>
        <w:t>,</w:t>
      </w:r>
      <w:r w:rsidRPr="006B2CD4">
        <w:rPr>
          <w:rFonts w:ascii="Times New Roman" w:hAnsi="Times New Roman" w:cs="Times New Roman"/>
          <w:bCs/>
          <w:sz w:val="24"/>
          <w:szCs w:val="24"/>
        </w:rPr>
        <w:t xml:space="preserve"> podyktowane jest</w:t>
      </w:r>
      <w:r w:rsidR="007C389F">
        <w:rPr>
          <w:rFonts w:ascii="Times New Roman" w:hAnsi="Times New Roman" w:cs="Times New Roman"/>
          <w:bCs/>
          <w:sz w:val="24"/>
          <w:szCs w:val="24"/>
        </w:rPr>
        <w:t xml:space="preserve"> </w:t>
      </w:r>
      <w:r w:rsidRPr="00883972">
        <w:rPr>
          <w:rFonts w:ascii="Times New Roman" w:hAnsi="Times New Roman" w:cs="Times New Roman"/>
          <w:bCs/>
          <w:sz w:val="24"/>
          <w:szCs w:val="24"/>
        </w:rPr>
        <w:t>w szczególności pełnioną przez nich funkcję operatora informacji rynku energii. Rozszerzenie katalogu podmiotów objętych art. 55a stanowi więc uzupełnienie luki, która uniemożliwiała operatorom niezakłóconą realizację tego nałożonego na nie ustawowo obowiązku.</w:t>
      </w:r>
      <w:r>
        <w:rPr>
          <w:rFonts w:ascii="Times New Roman" w:hAnsi="Times New Roman" w:cs="Times New Roman"/>
          <w:bCs/>
          <w:sz w:val="24"/>
          <w:szCs w:val="24"/>
        </w:rPr>
        <w:t xml:space="preserve"> </w:t>
      </w:r>
      <w:r w:rsidRPr="00883972">
        <w:rPr>
          <w:rFonts w:ascii="Times New Roman" w:hAnsi="Times New Roman" w:cs="Times New Roman"/>
          <w:bCs/>
          <w:sz w:val="24"/>
          <w:szCs w:val="24"/>
        </w:rPr>
        <w:t>Dodatkowo, zwiększeniu ulegnie poziom ogólnego bezpieczeństwa obrotu energią elektryczną i gazem, a w szerszym wymiarz</w:t>
      </w:r>
      <w:r>
        <w:rPr>
          <w:rFonts w:ascii="Times New Roman" w:hAnsi="Times New Roman" w:cs="Times New Roman"/>
          <w:bCs/>
          <w:sz w:val="24"/>
          <w:szCs w:val="24"/>
        </w:rPr>
        <w:t>e całego sektora energetycznego</w:t>
      </w:r>
      <w:r w:rsidR="004C3D7B" w:rsidRPr="006B2CD4">
        <w:rPr>
          <w:rFonts w:ascii="Times New Roman" w:hAnsi="Times New Roman" w:cs="Times New Roman"/>
          <w:bCs/>
          <w:sz w:val="24"/>
          <w:szCs w:val="24"/>
        </w:rPr>
        <w:t>.</w:t>
      </w:r>
    </w:p>
    <w:p w14:paraId="61E11D6F" w14:textId="16082B7C" w:rsidR="001878E0" w:rsidRPr="00B473C5" w:rsidRDefault="001E7A30" w:rsidP="00B856D8">
      <w:pPr>
        <w:shd w:val="clear" w:color="auto" w:fill="FFFFFF" w:themeFill="background1"/>
        <w:spacing w:before="120" w:after="120" w:line="360" w:lineRule="auto"/>
        <w:jc w:val="both"/>
        <w:rPr>
          <w:rFonts w:ascii="Times New Roman" w:hAnsi="Times New Roman" w:cs="Times New Roman"/>
          <w:b/>
          <w:bCs/>
          <w:sz w:val="24"/>
          <w:szCs w:val="24"/>
        </w:rPr>
      </w:pPr>
      <w:r w:rsidRPr="00B473C5">
        <w:rPr>
          <w:rFonts w:ascii="Times New Roman" w:hAnsi="Times New Roman" w:cs="Times New Roman"/>
          <w:b/>
          <w:bCs/>
          <w:sz w:val="24"/>
          <w:szCs w:val="24"/>
        </w:rPr>
        <w:t xml:space="preserve">Art. </w:t>
      </w:r>
      <w:r w:rsidR="00506155">
        <w:rPr>
          <w:rFonts w:ascii="Times New Roman" w:hAnsi="Times New Roman" w:cs="Times New Roman"/>
          <w:b/>
          <w:bCs/>
          <w:sz w:val="24"/>
          <w:szCs w:val="24"/>
        </w:rPr>
        <w:t>8</w:t>
      </w:r>
      <w:r w:rsidRPr="00B473C5">
        <w:rPr>
          <w:rFonts w:ascii="Times New Roman" w:hAnsi="Times New Roman" w:cs="Times New Roman"/>
          <w:b/>
          <w:bCs/>
          <w:sz w:val="24"/>
          <w:szCs w:val="24"/>
        </w:rPr>
        <w:t xml:space="preserve">. </w:t>
      </w:r>
      <w:r w:rsidR="001878E0" w:rsidRPr="00B473C5">
        <w:rPr>
          <w:rFonts w:ascii="Times New Roman" w:hAnsi="Times New Roman" w:cs="Times New Roman"/>
          <w:b/>
          <w:bCs/>
          <w:sz w:val="24"/>
          <w:szCs w:val="24"/>
        </w:rPr>
        <w:t>Zmiany w ustawie o funkcjonowaniu banków spółdzielczych, ich zrzeszaniu się i bankach zrzeszających</w:t>
      </w:r>
    </w:p>
    <w:p w14:paraId="231B920F" w14:textId="2D2BBA33" w:rsidR="00D310BC" w:rsidRDefault="00D310BC" w:rsidP="00B856D8">
      <w:pPr>
        <w:tabs>
          <w:tab w:val="left" w:pos="426"/>
        </w:tabs>
        <w:spacing w:after="0" w:line="360" w:lineRule="auto"/>
        <w:jc w:val="both"/>
        <w:rPr>
          <w:rFonts w:ascii="Times New Roman" w:hAnsi="Times New Roman" w:cs="Times New Roman"/>
          <w:sz w:val="24"/>
          <w:szCs w:val="24"/>
        </w:rPr>
      </w:pPr>
      <w:r w:rsidRPr="00B473C5">
        <w:rPr>
          <w:rFonts w:ascii="Times New Roman" w:hAnsi="Times New Roman" w:cs="Times New Roman"/>
          <w:sz w:val="24"/>
          <w:szCs w:val="24"/>
        </w:rPr>
        <w:t xml:space="preserve">Celem zmiany w art. 2b jest derogacja przepisu, który ogranicza możliwość przeprowadzania posiedzeń zarządu, rady nadzorczej, walnego zgromadzenia, zebrania przedstawicieli albo </w:t>
      </w:r>
      <w:r w:rsidRPr="00B473C5">
        <w:rPr>
          <w:rFonts w:ascii="Times New Roman" w:hAnsi="Times New Roman" w:cs="Times New Roman"/>
          <w:sz w:val="24"/>
          <w:szCs w:val="24"/>
        </w:rPr>
        <w:lastRenderedPageBreak/>
        <w:t>grup członkowskich banków spółdzielczych i jednostek zarządzających systemami ochrony i podejmowania uchwał przez te organy przy wykorzystaniu środków bezpośredniego porozumiewania się na odległość jedynie do okresu obowiązywania stanu zagrożenia epidemicznego, stanu epidemii, stanu wyjątkowego albo</w:t>
      </w:r>
      <w:r w:rsidR="00B473C5">
        <w:rPr>
          <w:rFonts w:ascii="Times New Roman" w:hAnsi="Times New Roman" w:cs="Times New Roman"/>
          <w:sz w:val="24"/>
          <w:szCs w:val="24"/>
        </w:rPr>
        <w:t xml:space="preserve"> stanu klęski żywiołowej oraz w </w:t>
      </w:r>
      <w:r w:rsidRPr="00B473C5">
        <w:rPr>
          <w:rFonts w:ascii="Times New Roman" w:hAnsi="Times New Roman" w:cs="Times New Roman"/>
          <w:sz w:val="24"/>
          <w:szCs w:val="24"/>
        </w:rPr>
        <w:t>okresie do 90 dni następujących po ich odwołaniu. Instytucja przeprowadzania posiedzeń organów przy wykorzystaniu środków bezpośredniego porozumiewania się na odległość oraz podejmowania uchwał przez organy w ten sposób jest instytucją nad wymiar użyteczną i powinna zostać trwale wprowadzona do ustawy o funkcjonowaniu banków spółdzielczych, ich zrzeszaniu się i bankach zrzeszających.</w:t>
      </w:r>
    </w:p>
    <w:p w14:paraId="1EBA63BF" w14:textId="047F7FB2" w:rsidR="00FC64C0" w:rsidRPr="00140E29" w:rsidRDefault="00FC64C0" w:rsidP="00FC64C0">
      <w:pPr>
        <w:tabs>
          <w:tab w:val="left" w:pos="426"/>
        </w:tabs>
        <w:spacing w:after="0" w:line="360" w:lineRule="auto"/>
        <w:jc w:val="both"/>
        <w:rPr>
          <w:rFonts w:ascii="Times New Roman" w:hAnsi="Times New Roman" w:cs="Times New Roman"/>
          <w:sz w:val="24"/>
          <w:szCs w:val="24"/>
          <w:shd w:val="clear" w:color="auto" w:fill="FFFFFF"/>
        </w:rPr>
      </w:pPr>
      <w:r w:rsidRPr="00140E29">
        <w:rPr>
          <w:rFonts w:ascii="Times New Roman" w:hAnsi="Times New Roman" w:cs="Times New Roman"/>
          <w:sz w:val="24"/>
          <w:szCs w:val="24"/>
        </w:rPr>
        <w:t xml:space="preserve">W </w:t>
      </w:r>
      <w:r>
        <w:rPr>
          <w:rFonts w:ascii="Times New Roman" w:hAnsi="Times New Roman" w:cs="Times New Roman"/>
          <w:sz w:val="24"/>
          <w:szCs w:val="24"/>
        </w:rPr>
        <w:t xml:space="preserve">związku z powyższym w </w:t>
      </w:r>
      <w:r w:rsidRPr="00140E29">
        <w:rPr>
          <w:rFonts w:ascii="Times New Roman" w:hAnsi="Times New Roman" w:cs="Times New Roman"/>
          <w:sz w:val="24"/>
          <w:szCs w:val="24"/>
        </w:rPr>
        <w:t xml:space="preserve">art. 2b ust. 5 ustawy o </w:t>
      </w:r>
      <w:r w:rsidRPr="00DF7BA1">
        <w:rPr>
          <w:rFonts w:ascii="Times New Roman" w:hAnsi="Times New Roman" w:cs="Times New Roman"/>
          <w:sz w:val="24"/>
          <w:szCs w:val="24"/>
        </w:rPr>
        <w:t>funkcjonowaniu banków spółdzielczych, ich zrzeszaniu się i bankach zrzeszających</w:t>
      </w:r>
      <w:r w:rsidRPr="00140E29">
        <w:rPr>
          <w:rFonts w:ascii="Times New Roman" w:hAnsi="Times New Roman" w:cs="Times New Roman"/>
          <w:sz w:val="24"/>
          <w:szCs w:val="24"/>
        </w:rPr>
        <w:t xml:space="preserve"> niezbędne jest uzupełnienie katalogu organów uprawnionych do </w:t>
      </w:r>
      <w:r w:rsidRPr="00140E29">
        <w:rPr>
          <w:rFonts w:ascii="Times New Roman" w:hAnsi="Times New Roman" w:cs="Times New Roman"/>
          <w:sz w:val="24"/>
          <w:szCs w:val="24"/>
          <w:shd w:val="clear" w:color="auto" w:fill="FFFFFF"/>
        </w:rPr>
        <w:t>podejmowania uchwał w trybie pisemnym lub przy wykorzystaniu środków bezpośredniego porozumiewania się na odległość o zebranie przedstawicieli. Brak wyraźnego wskazania tego organu w przedmiotowym przepisie powoduje wątpliwości interpretacyjne utrudniające jego stosowanie w praktyce.</w:t>
      </w:r>
      <w:r w:rsidR="007C389F">
        <w:rPr>
          <w:rFonts w:ascii="Times New Roman" w:hAnsi="Times New Roman" w:cs="Times New Roman"/>
          <w:sz w:val="24"/>
          <w:szCs w:val="24"/>
          <w:shd w:val="clear" w:color="auto" w:fill="FFFFFF"/>
        </w:rPr>
        <w:t xml:space="preserve"> </w:t>
      </w:r>
    </w:p>
    <w:p w14:paraId="54EC16B5" w14:textId="37690B51" w:rsidR="00FC64C0" w:rsidRDefault="00FC64C0" w:rsidP="00B856D8">
      <w:pPr>
        <w:tabs>
          <w:tab w:val="left" w:pos="426"/>
        </w:tabs>
        <w:spacing w:after="0" w:line="360" w:lineRule="auto"/>
        <w:jc w:val="both"/>
        <w:rPr>
          <w:rFonts w:ascii="Times New Roman" w:hAnsi="Times New Roman" w:cs="Times New Roman"/>
          <w:sz w:val="24"/>
          <w:szCs w:val="24"/>
        </w:rPr>
      </w:pPr>
      <w:r w:rsidRPr="00140E29">
        <w:rPr>
          <w:rFonts w:ascii="Times New Roman" w:hAnsi="Times New Roman" w:cs="Times New Roman"/>
          <w:sz w:val="24"/>
          <w:szCs w:val="24"/>
        </w:rPr>
        <w:t>W związku ze skreśleniem ust. 6 w art. 2b konieczne jest konsekwentne skreślenie w ust. 7 odwołania do okresu obowiązywania stanu zagrożenia epidemicznego, stanu epidemii albo stanu klęski żywiołowej.</w:t>
      </w:r>
    </w:p>
    <w:p w14:paraId="2B4D9A98" w14:textId="3A137289" w:rsidR="00D53C57" w:rsidRPr="00B473C5" w:rsidRDefault="00D53C57" w:rsidP="00B856D8">
      <w:pPr>
        <w:tabs>
          <w:tab w:val="left" w:pos="42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Dodany ust. 13 w art. 22 b ustawy o funkcjonowaniu banków spółdzielczych, ich zrzeszaniu się i bankach zrzeszających ma na celu usunięcie wątpliwości interpretacyjnych poprzez jednoznaczne wskazanie, że wykonywanie przez jednostkę zarządzającą systemem ochrony czynności na podstawie umowy systemu ochrony, zatwierdzonej przez Komisję Nadzoru Finansowego, nie podlega rygorom określonym</w:t>
      </w:r>
      <w:r w:rsidR="007C389F">
        <w:rPr>
          <w:rFonts w:ascii="Times New Roman" w:hAnsi="Times New Roman" w:cs="Times New Roman"/>
          <w:sz w:val="24"/>
          <w:szCs w:val="24"/>
        </w:rPr>
        <w:t xml:space="preserve"> </w:t>
      </w:r>
      <w:r>
        <w:rPr>
          <w:rFonts w:ascii="Times New Roman" w:hAnsi="Times New Roman" w:cs="Times New Roman"/>
          <w:sz w:val="24"/>
          <w:szCs w:val="24"/>
        </w:rPr>
        <w:t>w przepisach ustawy – Prawo bankowe dla umów outsourcingowych.</w:t>
      </w:r>
    </w:p>
    <w:p w14:paraId="0BFCEF87" w14:textId="4E06960A" w:rsidR="00D310BC" w:rsidRPr="00B473C5" w:rsidRDefault="00D310BC" w:rsidP="00B856D8">
      <w:pPr>
        <w:pStyle w:val="Akapitzlist"/>
        <w:tabs>
          <w:tab w:val="left" w:pos="426"/>
        </w:tabs>
        <w:spacing w:after="0" w:line="360" w:lineRule="auto"/>
        <w:ind w:left="0"/>
        <w:contextualSpacing w:val="0"/>
        <w:jc w:val="both"/>
        <w:rPr>
          <w:rFonts w:ascii="Times New Roman" w:hAnsi="Times New Roman" w:cs="Times New Roman"/>
          <w:sz w:val="24"/>
          <w:szCs w:val="24"/>
        </w:rPr>
      </w:pPr>
      <w:r w:rsidRPr="00B473C5">
        <w:rPr>
          <w:rFonts w:ascii="Times New Roman" w:hAnsi="Times New Roman" w:cs="Times New Roman"/>
          <w:sz w:val="24"/>
          <w:szCs w:val="24"/>
        </w:rPr>
        <w:t xml:space="preserve">Przepis art. 22j ust. 4 pkt 1 ustawy o funkcjonowaniu banków spółdzielczych, ich zrzeszaniu się i bankach zrzeszających, poprzez wskazanie uprawnienia dla organu zarządzającego systemem ochrony, zgodnie z którym organ ten może wystąpić do KNF o ustanowienie kuratora nadzorującego wykonanie programu postępowania naprawczego </w:t>
      </w:r>
      <w:r w:rsidR="00177B0F" w:rsidRPr="00B473C5">
        <w:rPr>
          <w:rFonts w:ascii="Times New Roman" w:hAnsi="Times New Roman" w:cs="Times New Roman"/>
          <w:sz w:val="24"/>
          <w:szCs w:val="24"/>
        </w:rPr>
        <w:t>(dalej „</w:t>
      </w:r>
      <w:r w:rsidRPr="00B473C5">
        <w:rPr>
          <w:rFonts w:ascii="Times New Roman" w:hAnsi="Times New Roman" w:cs="Times New Roman"/>
          <w:sz w:val="24"/>
          <w:szCs w:val="24"/>
        </w:rPr>
        <w:t>ppn</w:t>
      </w:r>
      <w:r w:rsidR="00177B0F" w:rsidRPr="00B473C5">
        <w:rPr>
          <w:rFonts w:ascii="Times New Roman" w:hAnsi="Times New Roman" w:cs="Times New Roman"/>
          <w:sz w:val="24"/>
          <w:szCs w:val="24"/>
        </w:rPr>
        <w:t>”</w:t>
      </w:r>
      <w:r w:rsidRPr="00B473C5">
        <w:rPr>
          <w:rFonts w:ascii="Times New Roman" w:hAnsi="Times New Roman" w:cs="Times New Roman"/>
          <w:sz w:val="24"/>
          <w:szCs w:val="24"/>
        </w:rPr>
        <w:t>), odwołuje się do nieistniejącej już instytucji programu postępowania naprawczego.</w:t>
      </w:r>
      <w:r w:rsidR="00976D1F" w:rsidRPr="00B473C5">
        <w:rPr>
          <w:rFonts w:ascii="Times New Roman" w:hAnsi="Times New Roman" w:cs="Times New Roman"/>
          <w:sz w:val="24"/>
          <w:szCs w:val="24"/>
        </w:rPr>
        <w:t xml:space="preserve"> </w:t>
      </w:r>
      <w:r w:rsidRPr="00B473C5">
        <w:rPr>
          <w:rFonts w:ascii="Times New Roman" w:hAnsi="Times New Roman" w:cs="Times New Roman"/>
          <w:sz w:val="24"/>
          <w:szCs w:val="24"/>
        </w:rPr>
        <w:t xml:space="preserve">Obecna przesłanka ustanowienia kuratora oparta jest na instytucji programu postępowania naprawczego, który banki miały obowiązek opracować i realizować na podstawie przepisu m.in. art. 142 ustawy </w:t>
      </w:r>
      <w:r w:rsidR="007D0A58" w:rsidRPr="00B473C5">
        <w:rPr>
          <w:rFonts w:ascii="Times New Roman" w:hAnsi="Times New Roman" w:cs="Times New Roman"/>
          <w:bCs/>
          <w:sz w:val="24"/>
          <w:szCs w:val="24"/>
        </w:rPr>
        <w:t xml:space="preserve">– </w:t>
      </w:r>
      <w:r w:rsidRPr="00B473C5">
        <w:rPr>
          <w:rFonts w:ascii="Times New Roman" w:hAnsi="Times New Roman" w:cs="Times New Roman"/>
          <w:sz w:val="24"/>
          <w:szCs w:val="24"/>
        </w:rPr>
        <w:t xml:space="preserve">Prawo bankowe. Przepis ten uległ jednak zmianie w 2016 r. poprzez normatywne zastąpienie dotychczasowego reżimu realizacji programu postępowania naprawczego reżimem planów naprawy w ramach wdrożenia do polskiego prawa dyrektywy </w:t>
      </w:r>
      <w:r w:rsidR="001D0A00" w:rsidRPr="00B473C5">
        <w:rPr>
          <w:rFonts w:ascii="Times New Roman" w:hAnsi="Times New Roman" w:cs="Times New Roman"/>
          <w:sz w:val="24"/>
          <w:szCs w:val="24"/>
        </w:rPr>
        <w:t xml:space="preserve">Parlamentu Europejskiego i Rady 2014/59/UE z dnia 15 maja 2014 r. ustanawiającej ramy na potrzeby prowadzenia działań naprawczych oraz restrukturyzacji i uporządkowanej likwidacji w odniesieniu do instytucji kredytowych i firm inwestycyjnych oraz zmieniającej dyrektywę Rady 82/891/EWG i dyrektywy Parlamentu Europejskiego i Rady 2001/24/WE, 2002/47/WE, 2004/25/WE, 2005/56/WE, </w:t>
      </w:r>
      <w:r w:rsidR="001D0A00" w:rsidRPr="00B473C5">
        <w:rPr>
          <w:rFonts w:ascii="Times New Roman" w:hAnsi="Times New Roman" w:cs="Times New Roman"/>
          <w:sz w:val="24"/>
          <w:szCs w:val="24"/>
        </w:rPr>
        <w:lastRenderedPageBreak/>
        <w:t>2007/36/WE, 2011/35/UE, 2012/30/UE i 2013/36/EU oraz rozporządzenia Parlamentu Europejskiego i Rady (UE) nr 1093/2010 i (UE) nr 648/2012 (Dz. Urz. UE L 173 z 12.06.2014, str. 190, z późn. zm.)</w:t>
      </w:r>
      <w:r w:rsidRPr="00B473C5">
        <w:rPr>
          <w:rFonts w:ascii="Times New Roman" w:hAnsi="Times New Roman" w:cs="Times New Roman"/>
          <w:sz w:val="24"/>
          <w:szCs w:val="24"/>
        </w:rPr>
        <w:t>, jednak pomimo wprowadzenia planów naprawy oraz grupowych planów naprawy do regulacji obowiązującej m.in. banki krajowe, analogiczna zmiana nie została dokonana w ustawy o funkcjonowaniu banków spółdzielczych, ich zrzeszaniu się i bankach zrzeszających dotyczącej podmiotowo banków spółdzielczych. Brak odpowiedniej zmiany art. 22j ust. 4 ww. ustawy i utrzymanie do dzisiaj ppn czyni ten przepis martwym, bowiem z jednej strony od 9 października 2016 r</w:t>
      </w:r>
      <w:r w:rsidR="001D0A00" w:rsidRPr="00B473C5">
        <w:rPr>
          <w:rFonts w:ascii="Times New Roman" w:hAnsi="Times New Roman" w:cs="Times New Roman"/>
          <w:sz w:val="24"/>
          <w:szCs w:val="24"/>
        </w:rPr>
        <w:t>.</w:t>
      </w:r>
      <w:r w:rsidRPr="00B473C5">
        <w:rPr>
          <w:rFonts w:ascii="Times New Roman" w:hAnsi="Times New Roman" w:cs="Times New Roman"/>
          <w:sz w:val="24"/>
          <w:szCs w:val="24"/>
        </w:rPr>
        <w:t xml:space="preserve">, banki nie miały już podstawy do opracowywania nowych ppn i ich realizacji, ponadto z uwagi na przepis przejściowy art. 381 ust. 5 ustawy zmieniającej </w:t>
      </w:r>
      <w:r w:rsidR="007D0A58" w:rsidRPr="00B473C5">
        <w:rPr>
          <w:rFonts w:ascii="Times New Roman" w:hAnsi="Times New Roman" w:cs="Times New Roman"/>
          <w:sz w:val="24"/>
          <w:szCs w:val="24"/>
        </w:rPr>
        <w:t xml:space="preserve">ustawę </w:t>
      </w:r>
      <w:r w:rsidR="007D0A58" w:rsidRPr="00B473C5">
        <w:rPr>
          <w:rFonts w:ascii="Times New Roman" w:hAnsi="Times New Roman" w:cs="Times New Roman"/>
          <w:bCs/>
          <w:sz w:val="24"/>
          <w:szCs w:val="24"/>
        </w:rPr>
        <w:t xml:space="preserve">– </w:t>
      </w:r>
      <w:r w:rsidRPr="00B473C5">
        <w:rPr>
          <w:rFonts w:ascii="Times New Roman" w:hAnsi="Times New Roman" w:cs="Times New Roman"/>
          <w:sz w:val="24"/>
          <w:szCs w:val="24"/>
        </w:rPr>
        <w:t>Prawo bankowe w za</w:t>
      </w:r>
      <w:r w:rsidR="002423A9">
        <w:rPr>
          <w:rFonts w:ascii="Times New Roman" w:hAnsi="Times New Roman" w:cs="Times New Roman"/>
          <w:sz w:val="24"/>
          <w:szCs w:val="24"/>
        </w:rPr>
        <w:t>kresie wprowadzenia przepisów o </w:t>
      </w:r>
      <w:r w:rsidRPr="00B473C5">
        <w:rPr>
          <w:rFonts w:ascii="Times New Roman" w:hAnsi="Times New Roman" w:cs="Times New Roman"/>
          <w:sz w:val="24"/>
          <w:szCs w:val="24"/>
        </w:rPr>
        <w:t>planach naprawy, banki kończące realizację dotychczas zatwierdzonych ppn zostały zobowiązane do opracowania planów naprawy w terminie 3 miesięcy (6 miesięcy w przypadku grupowego planu naprawy) od zakończenia realizacji programu postępowania naprawczego. Obecnie wszystkie banki-uczestnicy IPS objęci są grupowym planem naprawy (dalej</w:t>
      </w:r>
      <w:r w:rsidR="00177B0F" w:rsidRPr="00B473C5">
        <w:rPr>
          <w:rFonts w:ascii="Times New Roman" w:hAnsi="Times New Roman" w:cs="Times New Roman"/>
          <w:sz w:val="24"/>
          <w:szCs w:val="24"/>
        </w:rPr>
        <w:t xml:space="preserve"> „</w:t>
      </w:r>
      <w:r w:rsidRPr="00B473C5">
        <w:rPr>
          <w:rFonts w:ascii="Times New Roman" w:hAnsi="Times New Roman" w:cs="Times New Roman"/>
          <w:sz w:val="24"/>
          <w:szCs w:val="24"/>
        </w:rPr>
        <w:t>gpn</w:t>
      </w:r>
      <w:r w:rsidR="00177B0F" w:rsidRPr="00B473C5">
        <w:rPr>
          <w:rFonts w:ascii="Times New Roman" w:hAnsi="Times New Roman" w:cs="Times New Roman"/>
          <w:sz w:val="24"/>
          <w:szCs w:val="24"/>
        </w:rPr>
        <w:t>”</w:t>
      </w:r>
      <w:r w:rsidRPr="00B473C5">
        <w:rPr>
          <w:rFonts w:ascii="Times New Roman" w:hAnsi="Times New Roman" w:cs="Times New Roman"/>
          <w:sz w:val="24"/>
          <w:szCs w:val="24"/>
        </w:rPr>
        <w:t>), zatwierdzonym przez KNF na wniosek IPS. Na podstawie grupowych planów naprawy pojedyncze banki spółdzielcze realizują tzw. wewnętrzne plany naprawy (dalej</w:t>
      </w:r>
      <w:r w:rsidR="00177B0F" w:rsidRPr="00B473C5">
        <w:rPr>
          <w:rFonts w:ascii="Times New Roman" w:hAnsi="Times New Roman" w:cs="Times New Roman"/>
          <w:sz w:val="24"/>
          <w:szCs w:val="24"/>
        </w:rPr>
        <w:t xml:space="preserve"> „</w:t>
      </w:r>
      <w:r w:rsidRPr="00B473C5">
        <w:rPr>
          <w:rFonts w:ascii="Times New Roman" w:hAnsi="Times New Roman" w:cs="Times New Roman"/>
          <w:sz w:val="24"/>
          <w:szCs w:val="24"/>
        </w:rPr>
        <w:t>wpn</w:t>
      </w:r>
      <w:r w:rsidR="00177B0F" w:rsidRPr="00B473C5">
        <w:rPr>
          <w:rFonts w:ascii="Times New Roman" w:hAnsi="Times New Roman" w:cs="Times New Roman"/>
          <w:sz w:val="24"/>
          <w:szCs w:val="24"/>
        </w:rPr>
        <w:t>”</w:t>
      </w:r>
      <w:r w:rsidRPr="00B473C5">
        <w:rPr>
          <w:rFonts w:ascii="Times New Roman" w:hAnsi="Times New Roman" w:cs="Times New Roman"/>
          <w:sz w:val="24"/>
          <w:szCs w:val="24"/>
        </w:rPr>
        <w:t xml:space="preserve">), które są poza reżimem prawa bankowego, bo są to wewnętrzne plany realizowane w ramach gpn i dla sprawnego i efektywnego wdrożenia oraz realizacji tego typu planu naprawy niezbędne są środki dyscyplinujące uczestników IPS, tak aby ograniczyć ryzyko problemów systemowych i konieczność uruchamiania gpn. Ze </w:t>
      </w:r>
      <w:r w:rsidRPr="00B473C5">
        <w:rPr>
          <w:rFonts w:ascii="Times New Roman" w:hAnsi="Times New Roman" w:cs="Times New Roman"/>
          <w:sz w:val="24"/>
          <w:szCs w:val="24"/>
        </w:rPr>
        <w:lastRenderedPageBreak/>
        <w:t>względu na charakterystykę i specyfikę przyjętych wpn</w:t>
      </w:r>
      <w:r w:rsidR="00653C0C">
        <w:rPr>
          <w:rFonts w:ascii="Times New Roman" w:hAnsi="Times New Roman" w:cs="Times New Roman"/>
          <w:sz w:val="24"/>
          <w:szCs w:val="24"/>
        </w:rPr>
        <w:t xml:space="preserve"> </w:t>
      </w:r>
      <w:r w:rsidRPr="00B473C5">
        <w:rPr>
          <w:rFonts w:ascii="Times New Roman" w:hAnsi="Times New Roman" w:cs="Times New Roman"/>
          <w:sz w:val="24"/>
          <w:szCs w:val="24"/>
        </w:rPr>
        <w:t>i brak ich uregulowania w powszechnie obowiązujących przepisach prawa, nie mogą one być wprost przywołane w art. 22j ust. 4 ustawy o funkcjonowaniu banków spółdzielczych, ich zrzeszaniu się i bankach zrzeszających, ze względu jednak na funkcję, jaką pełnią w ramach gpn, związaną z wdrażaniem konkretnych działań naprawczych, powinny być podstawą dla działań nadzorczych i powinny być zdefiniowane jako działania naprawcze w banku będącym uczestnikiem systemu ochrony, objęte planem w ramach grupowego planu naprawy systemu ochrony. Zmiany będące przedmiotem niniejszej inicjatywy dotyczą więc środka odnoszącego się do wewnętrznych planów naprawy i być tak normatywnie zdefiniowane, aby stanowić pojęcie odrębne od ppn oraz od planów naprawy.</w:t>
      </w:r>
      <w:r w:rsidR="00976D1F" w:rsidRPr="00B473C5">
        <w:rPr>
          <w:rFonts w:ascii="Times New Roman" w:hAnsi="Times New Roman" w:cs="Times New Roman"/>
          <w:sz w:val="24"/>
          <w:szCs w:val="24"/>
        </w:rPr>
        <w:t xml:space="preserve"> </w:t>
      </w:r>
      <w:r w:rsidRPr="00B473C5">
        <w:rPr>
          <w:rFonts w:ascii="Times New Roman" w:hAnsi="Times New Roman" w:cs="Times New Roman"/>
          <w:sz w:val="24"/>
          <w:szCs w:val="24"/>
        </w:rPr>
        <w:t xml:space="preserve">W obecnej sytuacji, gdy banki spółdzielcze nie realizują już ppn, znaczenie praktyczne ww. przepisu jest znikome. Wobec tego, za konieczne działanie uznana została zmiana brzmienia art. 22j ust. 4 ustawy o funkcjonowaniu banków spółdzielczych, ich zrzeszaniu się i bankach zrzeszających, polegająca na wprowadzeniu możliwości zastosowania powyższych środków prawnych w sytuacji nieprawidłowości w realizacji przez banki działań naprawczych, objętych planem w ramach grupowego planu naprawy systemu ochrony zamiast programów postępowania naprawczego. W tej sytuacji działania zmierzające do uwzględnienia aktualnego stanu prawnego są celowe i pożądane. Zaktualizowanie brzmienia tego przepisu wraz z brzmieniem art. 22ja, art. 22jb oraz art. 22jc będzie przede wszystkim pożądana z punktu widzenia systemu ochrony i członków zarządu jednostek zarządzających systemem ochrony. Aktualizacja ta ustaliłaby w sposób wyraźny ich kompetencję do wnioskowania o zainicjowanie przez </w:t>
      </w:r>
      <w:r w:rsidRPr="00B473C5">
        <w:rPr>
          <w:rFonts w:ascii="Times New Roman" w:hAnsi="Times New Roman" w:cs="Times New Roman"/>
          <w:sz w:val="24"/>
          <w:szCs w:val="24"/>
        </w:rPr>
        <w:lastRenderedPageBreak/>
        <w:t xml:space="preserve">KNF wskazanego w przedmiotowym przepisie środka nadzorczego, chroniąc ich przed odpowiedzialnością wewnętrzną wobec członków systemu ochrony za podjęcie tej czynności. Same bowiem działania KNF ukierunkowane na ustanowienie kuratora albo zarządu komisarycznego, zgodnie z art. 144 ust. 1 ustawy </w:t>
      </w:r>
      <w:r w:rsidR="007D0A58" w:rsidRPr="00B473C5">
        <w:rPr>
          <w:rFonts w:ascii="Times New Roman" w:hAnsi="Times New Roman" w:cs="Times New Roman"/>
          <w:bCs/>
          <w:sz w:val="24"/>
          <w:szCs w:val="24"/>
        </w:rPr>
        <w:t xml:space="preserve">– </w:t>
      </w:r>
      <w:r w:rsidRPr="00B473C5">
        <w:rPr>
          <w:rFonts w:ascii="Times New Roman" w:hAnsi="Times New Roman" w:cs="Times New Roman"/>
          <w:sz w:val="24"/>
          <w:szCs w:val="24"/>
        </w:rPr>
        <w:t xml:space="preserve">Prawo bankowe i art. 145 ust. 1 ustawy </w:t>
      </w:r>
      <w:r w:rsidR="007D0A58" w:rsidRPr="00B473C5">
        <w:rPr>
          <w:rFonts w:ascii="Times New Roman" w:hAnsi="Times New Roman" w:cs="Times New Roman"/>
          <w:bCs/>
          <w:sz w:val="24"/>
          <w:szCs w:val="24"/>
        </w:rPr>
        <w:t xml:space="preserve">– </w:t>
      </w:r>
      <w:r w:rsidRPr="00B473C5">
        <w:rPr>
          <w:rFonts w:ascii="Times New Roman" w:hAnsi="Times New Roman" w:cs="Times New Roman"/>
          <w:sz w:val="24"/>
          <w:szCs w:val="24"/>
        </w:rPr>
        <w:t>Prawo bankowe odpowiednio, są działaniami podejmowanymi z urzędu, a więc niezależnie od jakichkolwiek wniosków, czy postulatów podmiotów trzecich. Należy podkreślić przy tym, że obecnie art. 144 ust. 1 i art. 145 ust. 1 ustawy</w:t>
      </w:r>
      <w:r w:rsidR="007D0A58" w:rsidRPr="00B473C5">
        <w:rPr>
          <w:rFonts w:ascii="Times New Roman" w:hAnsi="Times New Roman" w:cs="Times New Roman"/>
          <w:sz w:val="24"/>
          <w:szCs w:val="24"/>
        </w:rPr>
        <w:t xml:space="preserve"> </w:t>
      </w:r>
      <w:r w:rsidR="007D0A58" w:rsidRPr="00B473C5">
        <w:rPr>
          <w:rFonts w:ascii="Times New Roman" w:hAnsi="Times New Roman" w:cs="Times New Roman"/>
          <w:bCs/>
          <w:sz w:val="24"/>
          <w:szCs w:val="24"/>
        </w:rPr>
        <w:t xml:space="preserve">– </w:t>
      </w:r>
      <w:r w:rsidRPr="00B473C5">
        <w:rPr>
          <w:rFonts w:ascii="Times New Roman" w:hAnsi="Times New Roman" w:cs="Times New Roman"/>
          <w:sz w:val="24"/>
          <w:szCs w:val="24"/>
        </w:rPr>
        <w:t>Prawo bankowe są jedynymi podstawami prawnymi zastosowania wobec banków wskazanych w nich środków nadzoru. Samodzielnej podstawy ustanowienia kuratora, albo zarządu komisarycznego nie może stanowić obecnie wpn danego banku spółdzielczego-uczestnika systemu ochrony, wynikający z grupowego planu naprawy, przyjętego w systemie ochrony, gdyż nie jest on instytucją identyfikowaną ani w przepisach ustawy</w:t>
      </w:r>
      <w:r w:rsidR="007D0A58" w:rsidRPr="00B473C5">
        <w:rPr>
          <w:rFonts w:ascii="Times New Roman" w:hAnsi="Times New Roman" w:cs="Times New Roman"/>
          <w:sz w:val="24"/>
          <w:szCs w:val="24"/>
        </w:rPr>
        <w:t xml:space="preserve"> </w:t>
      </w:r>
      <w:r w:rsidR="007D0A58" w:rsidRPr="00B473C5">
        <w:rPr>
          <w:rFonts w:ascii="Times New Roman" w:hAnsi="Times New Roman" w:cs="Times New Roman"/>
          <w:bCs/>
          <w:sz w:val="24"/>
          <w:szCs w:val="24"/>
        </w:rPr>
        <w:t xml:space="preserve">– </w:t>
      </w:r>
      <w:r w:rsidRPr="00B473C5">
        <w:rPr>
          <w:rFonts w:ascii="Times New Roman" w:hAnsi="Times New Roman" w:cs="Times New Roman"/>
          <w:sz w:val="24"/>
          <w:szCs w:val="24"/>
        </w:rPr>
        <w:t>Prawo bankowe, jak też w przepisach ustawy o funkcjonowaniu banków spółdzielczych, ich zrzeszaniu się i bankach zrzeszających.</w:t>
      </w:r>
    </w:p>
    <w:p w14:paraId="017DCB6A" w14:textId="00C887CD" w:rsidR="00D310BC" w:rsidRPr="00B473C5" w:rsidRDefault="00D310BC" w:rsidP="00B856D8">
      <w:pPr>
        <w:pStyle w:val="Akapitzlist"/>
        <w:tabs>
          <w:tab w:val="left" w:pos="426"/>
        </w:tabs>
        <w:spacing w:after="0" w:line="360" w:lineRule="auto"/>
        <w:ind w:left="0"/>
        <w:contextualSpacing w:val="0"/>
        <w:jc w:val="both"/>
        <w:rPr>
          <w:rFonts w:ascii="Times New Roman" w:hAnsi="Times New Roman" w:cs="Times New Roman"/>
          <w:sz w:val="24"/>
          <w:szCs w:val="24"/>
        </w:rPr>
      </w:pPr>
      <w:r w:rsidRPr="00B473C5">
        <w:rPr>
          <w:rFonts w:ascii="Times New Roman" w:hAnsi="Times New Roman" w:cs="Times New Roman"/>
          <w:sz w:val="24"/>
          <w:szCs w:val="24"/>
        </w:rPr>
        <w:t xml:space="preserve">Aby było możliwe ustanowienie kuratora albo zarządu komisarycznego w stanie faktycznym, gdy w banku spółdzielczym nie doszło do zaistnienia sytuacji, o której mowa w art. 138 ust. 3 ustawy </w:t>
      </w:r>
      <w:r w:rsidR="007D0A58" w:rsidRPr="00B473C5">
        <w:rPr>
          <w:rFonts w:ascii="Times New Roman" w:hAnsi="Times New Roman" w:cs="Times New Roman"/>
          <w:bCs/>
          <w:sz w:val="24"/>
          <w:szCs w:val="24"/>
        </w:rPr>
        <w:t xml:space="preserve">– </w:t>
      </w:r>
      <w:r w:rsidRPr="00B473C5">
        <w:rPr>
          <w:rFonts w:ascii="Times New Roman" w:hAnsi="Times New Roman" w:cs="Times New Roman"/>
          <w:sz w:val="24"/>
          <w:szCs w:val="24"/>
        </w:rPr>
        <w:t xml:space="preserve">Prawo bankowe, w związku z wystąpieniem okoliczności wskazanych w art. 142 ust. 1 tej ustawy (w celu poprawy jego sytuacji, lub zapewnienia efektywności wdrażanego planu naprawy) niezbędne jest ustalenie odrębnych ustawowych przesłanek ustanowienia kuratora albo zarządu komisarycznego dla wskazywanych tutaj banków spółdzielczych, w tym umożliwienie podjęcia postępowania w tych sprawach na wniosek IPS. Postulat ten obejmuje zatem </w:t>
      </w:r>
      <w:r w:rsidRPr="00B473C5">
        <w:rPr>
          <w:rFonts w:ascii="Times New Roman" w:hAnsi="Times New Roman" w:cs="Times New Roman"/>
          <w:sz w:val="24"/>
          <w:szCs w:val="24"/>
        </w:rPr>
        <w:lastRenderedPageBreak/>
        <w:t>możliwość uwzględnienia w przedmiotowych przepisach wniosku IPS o ustanowienie kuratora albo zarządu komisarycznego w przypadku braku realizacji działań naprawczych przez bank-uczestnika IPS w ramach realizacji wpn, w wykonaniu działań przewidzianych grupowym planem naprawy systemu ochronny.</w:t>
      </w:r>
    </w:p>
    <w:p w14:paraId="51F14BEB" w14:textId="77777777" w:rsidR="00D310BC" w:rsidRPr="00B473C5" w:rsidRDefault="00D310BC" w:rsidP="00B856D8">
      <w:pPr>
        <w:pStyle w:val="Akapitzlist"/>
        <w:tabs>
          <w:tab w:val="left" w:pos="426"/>
        </w:tabs>
        <w:spacing w:after="0" w:line="360" w:lineRule="auto"/>
        <w:ind w:left="0"/>
        <w:contextualSpacing w:val="0"/>
        <w:jc w:val="both"/>
        <w:rPr>
          <w:rFonts w:ascii="Times New Roman" w:hAnsi="Times New Roman" w:cs="Times New Roman"/>
          <w:sz w:val="24"/>
          <w:szCs w:val="24"/>
        </w:rPr>
      </w:pPr>
      <w:r w:rsidRPr="00B473C5">
        <w:rPr>
          <w:rFonts w:ascii="Times New Roman" w:hAnsi="Times New Roman" w:cs="Times New Roman"/>
          <w:sz w:val="24"/>
          <w:szCs w:val="24"/>
        </w:rPr>
        <w:t>Zaproponowane zmiany dotyczą dodatkowych przesłanek ustanowienia kuratora i zarządu komisarycznego w art. 22j ust. 4 pkt 1, art. 22ja, art. 22jb oraz art. 22jc ustawy o funkcjonowaniu banków spółdzielczych, ich zrzeszaniu się i bankach zrzeszających, w zakresie podstaw do występowania przez system ochrony o ustanowienie kuratora przez KNF, mają na celu uczynienie tychże przepisów zgodnymi z obecnymi regulacjami dotyczącymi planów naprawy oraz możliwymi do zastosowania w praktyce.</w:t>
      </w:r>
    </w:p>
    <w:p w14:paraId="30FA48DF" w14:textId="65C67BA3" w:rsidR="00D310BC" w:rsidRPr="00B473C5" w:rsidRDefault="00D310BC" w:rsidP="00B856D8">
      <w:pPr>
        <w:pStyle w:val="Akapitzlist"/>
        <w:tabs>
          <w:tab w:val="left" w:pos="426"/>
        </w:tabs>
        <w:spacing w:after="0" w:line="360" w:lineRule="auto"/>
        <w:ind w:left="0"/>
        <w:contextualSpacing w:val="0"/>
        <w:jc w:val="both"/>
        <w:rPr>
          <w:rFonts w:ascii="Times New Roman" w:hAnsi="Times New Roman" w:cs="Times New Roman"/>
          <w:sz w:val="24"/>
          <w:szCs w:val="24"/>
        </w:rPr>
      </w:pPr>
      <w:r w:rsidRPr="00B473C5">
        <w:rPr>
          <w:rFonts w:ascii="Times New Roman" w:hAnsi="Times New Roman" w:cs="Times New Roman"/>
          <w:sz w:val="24"/>
          <w:szCs w:val="24"/>
        </w:rPr>
        <w:t xml:space="preserve">W uzupełnieniu działań nadzorczych wobec IPS w ustawie o funkcjonowaniu banków spółdzielczych, ich zrzeszaniu się i bankach zrzeszających powinna być przewidziana możliwość udzielania upomnień członkom organów zarządzających IPS. Obecnie ww. ustawa nie przewiduje gradacji działań nadzorczych KNF w ramach nadzoru sprawowanego nad funkcjonowaniem systemów ochrony, w odróżnieniu od hierarchizacji środków m.in. nad bankami, wynikającej z art. 138 ust. 3 </w:t>
      </w:r>
      <w:r w:rsidR="007D0A58" w:rsidRPr="00B473C5">
        <w:rPr>
          <w:rFonts w:ascii="Times New Roman" w:hAnsi="Times New Roman" w:cs="Times New Roman"/>
          <w:sz w:val="24"/>
          <w:szCs w:val="24"/>
        </w:rPr>
        <w:t xml:space="preserve">ustawy </w:t>
      </w:r>
      <w:r w:rsidR="007D0A58" w:rsidRPr="00B473C5">
        <w:rPr>
          <w:rFonts w:ascii="Times New Roman" w:hAnsi="Times New Roman" w:cs="Times New Roman"/>
          <w:bCs/>
          <w:sz w:val="24"/>
          <w:szCs w:val="24"/>
        </w:rPr>
        <w:t xml:space="preserve">– </w:t>
      </w:r>
      <w:r w:rsidRPr="00B473C5">
        <w:rPr>
          <w:rFonts w:ascii="Times New Roman" w:hAnsi="Times New Roman" w:cs="Times New Roman"/>
          <w:sz w:val="24"/>
          <w:szCs w:val="24"/>
        </w:rPr>
        <w:t>Praw</w:t>
      </w:r>
      <w:r w:rsidR="00DC4920" w:rsidRPr="00B473C5">
        <w:rPr>
          <w:rFonts w:ascii="Times New Roman" w:hAnsi="Times New Roman" w:cs="Times New Roman"/>
          <w:sz w:val="24"/>
          <w:szCs w:val="24"/>
        </w:rPr>
        <w:t>o bankowe</w:t>
      </w:r>
      <w:r w:rsidRPr="00B473C5">
        <w:rPr>
          <w:rFonts w:ascii="Times New Roman" w:hAnsi="Times New Roman" w:cs="Times New Roman"/>
          <w:sz w:val="24"/>
          <w:szCs w:val="24"/>
        </w:rPr>
        <w:t>.</w:t>
      </w:r>
    </w:p>
    <w:p w14:paraId="2DC215D7" w14:textId="625D8254" w:rsidR="00D310BC" w:rsidRPr="00B473C5" w:rsidRDefault="00D310BC" w:rsidP="00B856D8">
      <w:pPr>
        <w:pStyle w:val="Akapitzlist"/>
        <w:tabs>
          <w:tab w:val="left" w:pos="426"/>
        </w:tabs>
        <w:spacing w:after="0" w:line="360" w:lineRule="auto"/>
        <w:ind w:left="0"/>
        <w:contextualSpacing w:val="0"/>
        <w:jc w:val="both"/>
        <w:rPr>
          <w:rFonts w:ascii="Times New Roman" w:hAnsi="Times New Roman" w:cs="Times New Roman"/>
          <w:sz w:val="24"/>
          <w:szCs w:val="24"/>
        </w:rPr>
      </w:pPr>
      <w:r w:rsidRPr="00B473C5">
        <w:rPr>
          <w:rFonts w:ascii="Times New Roman" w:hAnsi="Times New Roman" w:cs="Times New Roman"/>
          <w:sz w:val="24"/>
          <w:szCs w:val="24"/>
        </w:rPr>
        <w:t xml:space="preserve">Przepis art. 22n ust. 4 i 5 ustawy o funkcjonowaniu banków spółdzielczych, ich zrzeszaniu się i bankach zrzeszających pozwala na zastosowanie zalecenia oraz daleko idących środków w postaci odwoływania członków zarządu, pomijając stosowany często w praktyce nadzoru bankowego i skuteczny środek oddziaływania nadzorczego w postaci upomnienia. Należy dostrzec </w:t>
      </w:r>
      <w:r w:rsidRPr="00B473C5">
        <w:rPr>
          <w:rFonts w:ascii="Times New Roman" w:hAnsi="Times New Roman" w:cs="Times New Roman"/>
          <w:sz w:val="24"/>
          <w:szCs w:val="24"/>
        </w:rPr>
        <w:lastRenderedPageBreak/>
        <w:t>konieczność wprowadzenia podstawy dla stosowania upomnienia również wobec organów systemów ochrony, dlatego, że nie każde negatywne działanie IPS „zasługuje” na stosowanie obecnie możliwych, daleko idących środków dotyczących zmian w składzie organów statutowych lub uchylenia decyzji o uznaniu systemów ochrony. Uprzednie upomnienie w art. 22n ust. 5 ustawy o funkcjonowaniu banków spółdzielczych, ich zrzeszaniu się i bankach zrzeszających, pełniłoby skutecznie rolę „żółtej kartki” i w wielu przypadkach zapewne pozwalałoby osiągnąć cele nadzoru i zapobiec dalszym naruszeniom bez władczej i daleko posuniętej w skutkach ingerencji nadzorczej wobec organów IPS, podejmowanej w formach wskazanych w art. 22n ust. 5 pkt 1</w:t>
      </w:r>
      <w:r w:rsidR="004E7E87" w:rsidRPr="00B473C5">
        <w:rPr>
          <w:rFonts w:ascii="Times New Roman" w:hAnsi="Times New Roman" w:cs="Times New Roman"/>
          <w:sz w:val="24"/>
          <w:szCs w:val="24"/>
        </w:rPr>
        <w:t>‒</w:t>
      </w:r>
      <w:r w:rsidRPr="00B473C5">
        <w:rPr>
          <w:rFonts w:ascii="Times New Roman" w:hAnsi="Times New Roman" w:cs="Times New Roman"/>
          <w:sz w:val="24"/>
          <w:szCs w:val="24"/>
        </w:rPr>
        <w:t xml:space="preserve">3. Przyjęcie w ustawie o funkcjonowaniu banków spółdzielczych, ich zrzeszaniu się i bankach zrzeszających rozwiązania analogicznego do istniejącego na podstawie art. 138 ust. 3 ustawy </w:t>
      </w:r>
      <w:r w:rsidR="007D0A58" w:rsidRPr="00B473C5">
        <w:rPr>
          <w:rFonts w:ascii="Times New Roman" w:hAnsi="Times New Roman" w:cs="Times New Roman"/>
          <w:bCs/>
          <w:sz w:val="24"/>
          <w:szCs w:val="24"/>
        </w:rPr>
        <w:t xml:space="preserve">– </w:t>
      </w:r>
      <w:r w:rsidRPr="00B473C5">
        <w:rPr>
          <w:rFonts w:ascii="Times New Roman" w:hAnsi="Times New Roman" w:cs="Times New Roman"/>
          <w:sz w:val="24"/>
          <w:szCs w:val="24"/>
        </w:rPr>
        <w:t>Prawo bankowe, pozwalałoby stosować spójne podejście w stosowaniu środków nadzoru wobec banków spółdzielczych, jak i organów systemu ochrony, w ramach wykonywanego nadzoru nad funkcjonowaniem systemu ochrony.</w:t>
      </w:r>
    </w:p>
    <w:p w14:paraId="2AE72552" w14:textId="48223FE0" w:rsidR="004A489E" w:rsidRDefault="00E31591" w:rsidP="00B856D8">
      <w:pPr>
        <w:shd w:val="clear" w:color="auto" w:fill="FFFFFF" w:themeFill="background1"/>
        <w:spacing w:before="120" w:after="12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Art. </w:t>
      </w:r>
      <w:r w:rsidR="00E55C4A">
        <w:rPr>
          <w:rFonts w:ascii="Times New Roman" w:hAnsi="Times New Roman" w:cs="Times New Roman"/>
          <w:b/>
          <w:bCs/>
          <w:sz w:val="24"/>
          <w:szCs w:val="24"/>
        </w:rPr>
        <w:t>9</w:t>
      </w:r>
      <w:r>
        <w:rPr>
          <w:rFonts w:ascii="Times New Roman" w:hAnsi="Times New Roman" w:cs="Times New Roman"/>
          <w:b/>
          <w:bCs/>
          <w:sz w:val="24"/>
          <w:szCs w:val="24"/>
        </w:rPr>
        <w:t xml:space="preserve">. </w:t>
      </w:r>
      <w:r w:rsidR="004A489E">
        <w:rPr>
          <w:rFonts w:ascii="Times New Roman" w:hAnsi="Times New Roman" w:cs="Times New Roman"/>
          <w:b/>
          <w:bCs/>
          <w:sz w:val="24"/>
          <w:szCs w:val="24"/>
        </w:rPr>
        <w:t>Zmiany w ustawie o ostateczności rozrachunku w systemach płatności i systemach rozrachunku papierów wartościowych oraz zasadach nadzoru nad tymi systemami</w:t>
      </w:r>
    </w:p>
    <w:p w14:paraId="4643C7FA" w14:textId="501331BE" w:rsidR="004A489E" w:rsidRPr="002F0532" w:rsidRDefault="002F0532" w:rsidP="00B856D8">
      <w:pPr>
        <w:shd w:val="clear" w:color="auto" w:fill="FFFFFF" w:themeFill="background1"/>
        <w:spacing w:before="120" w:after="12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Nowelizacja ustawy o ostateczności rozrachunku </w:t>
      </w:r>
      <w:r w:rsidRPr="002F0532">
        <w:rPr>
          <w:rFonts w:ascii="Times New Roman" w:hAnsi="Times New Roman" w:cs="Times New Roman"/>
          <w:bCs/>
          <w:sz w:val="24"/>
          <w:szCs w:val="24"/>
        </w:rPr>
        <w:t xml:space="preserve">w systemach płatności i systemach rozrachunku papierów wartościowych oraz zasadach nadzoru nad tymi systemami polegająca na dodaniu w art. 16 ust. 2a </w:t>
      </w:r>
      <w:r w:rsidRPr="002F0532">
        <w:rPr>
          <w:rFonts w:ascii="Times New Roman" w:hAnsi="Times New Roman" w:cs="Times New Roman"/>
          <w:sz w:val="24"/>
          <w:szCs w:val="24"/>
        </w:rPr>
        <w:t xml:space="preserve">przesądza, że prowadzenie systemu rozrachunku papierów wartościowych będących instrumentami finansowymi obsługiwanymi przez </w:t>
      </w:r>
      <w:r>
        <w:rPr>
          <w:rFonts w:ascii="Times New Roman" w:hAnsi="Times New Roman" w:cs="Times New Roman"/>
          <w:sz w:val="24"/>
          <w:szCs w:val="24"/>
        </w:rPr>
        <w:t>technologię rozproszonego rejestru (DLT)</w:t>
      </w:r>
      <w:r w:rsidRPr="002F0532">
        <w:rPr>
          <w:rFonts w:ascii="Times New Roman" w:hAnsi="Times New Roman" w:cs="Times New Roman"/>
          <w:sz w:val="24"/>
          <w:szCs w:val="24"/>
        </w:rPr>
        <w:t xml:space="preserve"> jest dopuszczalne również na podstawie zezwolen</w:t>
      </w:r>
      <w:r>
        <w:rPr>
          <w:rFonts w:ascii="Times New Roman" w:hAnsi="Times New Roman" w:cs="Times New Roman"/>
          <w:sz w:val="24"/>
          <w:szCs w:val="24"/>
        </w:rPr>
        <w:t xml:space="preserve">ia Komisji na prowadzenie </w:t>
      </w:r>
      <w:r w:rsidRPr="002F0532">
        <w:rPr>
          <w:rFonts w:ascii="Times New Roman" w:hAnsi="Times New Roman" w:cs="Times New Roman"/>
          <w:sz w:val="24"/>
          <w:szCs w:val="24"/>
        </w:rPr>
        <w:lastRenderedPageBreak/>
        <w:t>system</w:t>
      </w:r>
      <w:r>
        <w:rPr>
          <w:rFonts w:ascii="Times New Roman" w:hAnsi="Times New Roman" w:cs="Times New Roman"/>
          <w:sz w:val="24"/>
          <w:szCs w:val="24"/>
        </w:rPr>
        <w:t>u rozrachunku opartego</w:t>
      </w:r>
      <w:r w:rsidRPr="002F0532">
        <w:rPr>
          <w:rFonts w:ascii="Times New Roman" w:hAnsi="Times New Roman" w:cs="Times New Roman"/>
          <w:sz w:val="24"/>
          <w:szCs w:val="24"/>
        </w:rPr>
        <w:t xml:space="preserve"> na DLT</w:t>
      </w:r>
      <w:r>
        <w:rPr>
          <w:rFonts w:ascii="Times New Roman" w:hAnsi="Times New Roman" w:cs="Times New Roman"/>
          <w:sz w:val="24"/>
          <w:szCs w:val="24"/>
        </w:rPr>
        <w:t xml:space="preserve"> (SS oparty na DLT)</w:t>
      </w:r>
      <w:r w:rsidRPr="002F0532">
        <w:rPr>
          <w:rFonts w:ascii="Times New Roman" w:hAnsi="Times New Roman" w:cs="Times New Roman"/>
          <w:sz w:val="24"/>
          <w:szCs w:val="24"/>
        </w:rPr>
        <w:t xml:space="preserve"> lub</w:t>
      </w:r>
      <w:r>
        <w:rPr>
          <w:rFonts w:ascii="Times New Roman" w:hAnsi="Times New Roman" w:cs="Times New Roman"/>
          <w:sz w:val="24"/>
          <w:szCs w:val="24"/>
        </w:rPr>
        <w:t xml:space="preserve"> systemu obrotu i rozrachunku opartego na DLT</w:t>
      </w:r>
      <w:r w:rsidRPr="002F0532">
        <w:rPr>
          <w:rFonts w:ascii="Times New Roman" w:hAnsi="Times New Roman" w:cs="Times New Roman"/>
          <w:sz w:val="24"/>
          <w:szCs w:val="24"/>
        </w:rPr>
        <w:t xml:space="preserve"> </w:t>
      </w:r>
      <w:r>
        <w:rPr>
          <w:rFonts w:ascii="Times New Roman" w:hAnsi="Times New Roman" w:cs="Times New Roman"/>
          <w:sz w:val="24"/>
          <w:szCs w:val="24"/>
        </w:rPr>
        <w:t>(</w:t>
      </w:r>
      <w:r w:rsidRPr="002F0532">
        <w:rPr>
          <w:rFonts w:ascii="Times New Roman" w:hAnsi="Times New Roman" w:cs="Times New Roman"/>
          <w:sz w:val="24"/>
          <w:szCs w:val="24"/>
        </w:rPr>
        <w:t xml:space="preserve">TSS </w:t>
      </w:r>
      <w:r>
        <w:rPr>
          <w:rFonts w:ascii="Times New Roman" w:hAnsi="Times New Roman" w:cs="Times New Roman"/>
          <w:sz w:val="24"/>
          <w:szCs w:val="24"/>
        </w:rPr>
        <w:t xml:space="preserve">oparty na </w:t>
      </w:r>
      <w:r w:rsidRPr="002F0532">
        <w:rPr>
          <w:rFonts w:ascii="Times New Roman" w:hAnsi="Times New Roman" w:cs="Times New Roman"/>
          <w:sz w:val="24"/>
          <w:szCs w:val="24"/>
        </w:rPr>
        <w:t>DLT</w:t>
      </w:r>
      <w:r>
        <w:rPr>
          <w:rFonts w:ascii="Times New Roman" w:hAnsi="Times New Roman" w:cs="Times New Roman"/>
          <w:sz w:val="24"/>
          <w:szCs w:val="24"/>
        </w:rPr>
        <w:t>)</w:t>
      </w:r>
      <w:r w:rsidRPr="002F0532">
        <w:rPr>
          <w:rFonts w:ascii="Times New Roman" w:hAnsi="Times New Roman" w:cs="Times New Roman"/>
          <w:sz w:val="24"/>
          <w:szCs w:val="24"/>
        </w:rPr>
        <w:t>.</w:t>
      </w:r>
      <w:r>
        <w:rPr>
          <w:rFonts w:ascii="Times New Roman" w:hAnsi="Times New Roman" w:cs="Times New Roman"/>
          <w:sz w:val="24"/>
          <w:szCs w:val="24"/>
        </w:rPr>
        <w:t xml:space="preserve"> Zmiana ta związana jest z harmonizacją polskiego ustawodawstwa do przepisów rozporządzenia DLT Pilot Regime. </w:t>
      </w:r>
    </w:p>
    <w:p w14:paraId="7C2040F4" w14:textId="6B6E8CA2" w:rsidR="0061486C" w:rsidRPr="00B473C5" w:rsidRDefault="007C18F7" w:rsidP="00B856D8">
      <w:pPr>
        <w:shd w:val="clear" w:color="auto" w:fill="FFFFFF" w:themeFill="background1"/>
        <w:spacing w:before="120" w:after="120" w:line="360" w:lineRule="auto"/>
        <w:jc w:val="both"/>
        <w:rPr>
          <w:rFonts w:ascii="Times New Roman" w:hAnsi="Times New Roman" w:cs="Times New Roman"/>
          <w:b/>
          <w:bCs/>
          <w:sz w:val="24"/>
          <w:szCs w:val="24"/>
        </w:rPr>
      </w:pPr>
      <w:r w:rsidRPr="00B473C5">
        <w:rPr>
          <w:rFonts w:ascii="Times New Roman" w:hAnsi="Times New Roman" w:cs="Times New Roman"/>
          <w:b/>
          <w:bCs/>
          <w:sz w:val="24"/>
          <w:szCs w:val="24"/>
        </w:rPr>
        <w:t xml:space="preserve">Art. </w:t>
      </w:r>
      <w:r w:rsidR="00AB5F90">
        <w:rPr>
          <w:rFonts w:ascii="Times New Roman" w:hAnsi="Times New Roman" w:cs="Times New Roman"/>
          <w:b/>
          <w:bCs/>
          <w:sz w:val="24"/>
          <w:szCs w:val="24"/>
        </w:rPr>
        <w:t>10</w:t>
      </w:r>
      <w:r w:rsidRPr="00B473C5">
        <w:rPr>
          <w:rFonts w:ascii="Times New Roman" w:hAnsi="Times New Roman" w:cs="Times New Roman"/>
          <w:b/>
          <w:bCs/>
          <w:sz w:val="24"/>
          <w:szCs w:val="24"/>
        </w:rPr>
        <w:t xml:space="preserve">. </w:t>
      </w:r>
      <w:r w:rsidR="0061486C" w:rsidRPr="00B473C5">
        <w:rPr>
          <w:rFonts w:ascii="Times New Roman" w:hAnsi="Times New Roman" w:cs="Times New Roman"/>
          <w:b/>
          <w:bCs/>
          <w:sz w:val="24"/>
          <w:szCs w:val="24"/>
        </w:rPr>
        <w:t xml:space="preserve">Zmiany w ustawie </w:t>
      </w:r>
      <w:r w:rsidR="007D0A58" w:rsidRPr="00B473C5">
        <w:rPr>
          <w:rFonts w:ascii="Times New Roman" w:hAnsi="Times New Roman" w:cs="Times New Roman"/>
          <w:bCs/>
          <w:sz w:val="24"/>
          <w:szCs w:val="24"/>
        </w:rPr>
        <w:t>–</w:t>
      </w:r>
      <w:r w:rsidR="00F645B3" w:rsidRPr="00B473C5">
        <w:rPr>
          <w:rFonts w:ascii="Times New Roman" w:hAnsi="Times New Roman" w:cs="Times New Roman"/>
          <w:sz w:val="24"/>
          <w:szCs w:val="24"/>
        </w:rPr>
        <w:t xml:space="preserve"> </w:t>
      </w:r>
      <w:r w:rsidR="0061486C" w:rsidRPr="00B473C5">
        <w:rPr>
          <w:rFonts w:ascii="Times New Roman" w:hAnsi="Times New Roman" w:cs="Times New Roman"/>
          <w:b/>
          <w:bCs/>
          <w:sz w:val="24"/>
          <w:szCs w:val="24"/>
        </w:rPr>
        <w:t xml:space="preserve">Prawo </w:t>
      </w:r>
      <w:r w:rsidR="00F032B7" w:rsidRPr="00B473C5">
        <w:rPr>
          <w:rFonts w:ascii="Times New Roman" w:hAnsi="Times New Roman" w:cs="Times New Roman"/>
          <w:b/>
          <w:bCs/>
          <w:sz w:val="24"/>
          <w:szCs w:val="24"/>
        </w:rPr>
        <w:t>upadłościowe</w:t>
      </w:r>
    </w:p>
    <w:p w14:paraId="0329FB11" w14:textId="0121626D" w:rsidR="006F384D" w:rsidRPr="006B2CD4" w:rsidRDefault="00F032B7" w:rsidP="00B856D8">
      <w:pPr>
        <w:shd w:val="clear" w:color="auto" w:fill="FFFFFF" w:themeFill="background1"/>
        <w:spacing w:after="0" w:line="360" w:lineRule="auto"/>
        <w:jc w:val="both"/>
        <w:rPr>
          <w:rFonts w:ascii="Times New Roman" w:hAnsi="Times New Roman" w:cs="Times New Roman"/>
          <w:bCs/>
          <w:sz w:val="24"/>
          <w:szCs w:val="24"/>
        </w:rPr>
      </w:pPr>
      <w:r w:rsidRPr="00B473C5">
        <w:rPr>
          <w:rFonts w:ascii="Times New Roman" w:hAnsi="Times New Roman" w:cs="Times New Roman"/>
          <w:bCs/>
          <w:sz w:val="24"/>
          <w:szCs w:val="24"/>
        </w:rPr>
        <w:t xml:space="preserve">Zmiana w art. 65a </w:t>
      </w:r>
      <w:r w:rsidR="00162F1F" w:rsidRPr="00B473C5">
        <w:rPr>
          <w:rFonts w:ascii="Times New Roman" w:hAnsi="Times New Roman" w:cs="Times New Roman"/>
          <w:bCs/>
          <w:sz w:val="24"/>
          <w:szCs w:val="24"/>
        </w:rPr>
        <w:t xml:space="preserve">ustawy </w:t>
      </w:r>
      <w:r w:rsidR="007D0A58" w:rsidRPr="00B473C5">
        <w:rPr>
          <w:rFonts w:ascii="Times New Roman" w:hAnsi="Times New Roman" w:cs="Times New Roman"/>
          <w:bCs/>
          <w:sz w:val="24"/>
          <w:szCs w:val="24"/>
        </w:rPr>
        <w:t>–</w:t>
      </w:r>
      <w:r w:rsidR="00F645B3" w:rsidRPr="00B473C5">
        <w:rPr>
          <w:rFonts w:ascii="Times New Roman" w:hAnsi="Times New Roman" w:cs="Times New Roman"/>
          <w:sz w:val="24"/>
          <w:szCs w:val="24"/>
        </w:rPr>
        <w:t xml:space="preserve"> </w:t>
      </w:r>
      <w:r w:rsidR="00162F1F" w:rsidRPr="00B473C5">
        <w:rPr>
          <w:rFonts w:ascii="Times New Roman" w:hAnsi="Times New Roman" w:cs="Times New Roman"/>
          <w:bCs/>
          <w:sz w:val="24"/>
          <w:szCs w:val="24"/>
        </w:rPr>
        <w:t xml:space="preserve">Prawo upadłościowe polega na zastąpieniu </w:t>
      </w:r>
      <w:r w:rsidR="0042256A" w:rsidRPr="00B473C5">
        <w:rPr>
          <w:rFonts w:ascii="Times New Roman" w:hAnsi="Times New Roman" w:cs="Times New Roman"/>
          <w:bCs/>
          <w:sz w:val="24"/>
          <w:szCs w:val="24"/>
        </w:rPr>
        <w:t>wyrazów „</w:t>
      </w:r>
      <w:r w:rsidR="00162F1F" w:rsidRPr="00B473C5">
        <w:rPr>
          <w:rFonts w:ascii="Times New Roman" w:hAnsi="Times New Roman" w:cs="Times New Roman"/>
          <w:bCs/>
          <w:sz w:val="24"/>
          <w:szCs w:val="24"/>
        </w:rPr>
        <w:t>fundusz sekurytyzacyjn</w:t>
      </w:r>
      <w:r w:rsidR="0042256A" w:rsidRPr="00B473C5">
        <w:rPr>
          <w:rFonts w:ascii="Times New Roman" w:hAnsi="Times New Roman" w:cs="Times New Roman"/>
          <w:bCs/>
          <w:sz w:val="24"/>
          <w:szCs w:val="24"/>
        </w:rPr>
        <w:t>y</w:t>
      </w:r>
      <w:r w:rsidR="00162F1F" w:rsidRPr="00B473C5">
        <w:rPr>
          <w:rFonts w:ascii="Times New Roman" w:hAnsi="Times New Roman" w:cs="Times New Roman"/>
          <w:bCs/>
          <w:sz w:val="24"/>
          <w:szCs w:val="24"/>
        </w:rPr>
        <w:t>”</w:t>
      </w:r>
      <w:r w:rsidR="0042256A" w:rsidRPr="00B473C5">
        <w:rPr>
          <w:rFonts w:ascii="Times New Roman" w:hAnsi="Times New Roman" w:cs="Times New Roman"/>
          <w:bCs/>
          <w:sz w:val="24"/>
          <w:szCs w:val="24"/>
        </w:rPr>
        <w:t xml:space="preserve"> wyrazami</w:t>
      </w:r>
      <w:r w:rsidR="00162F1F" w:rsidRPr="00B473C5">
        <w:rPr>
          <w:rFonts w:ascii="Times New Roman" w:hAnsi="Times New Roman" w:cs="Times New Roman"/>
          <w:bCs/>
          <w:sz w:val="24"/>
          <w:szCs w:val="24"/>
        </w:rPr>
        <w:t xml:space="preserve"> „fundusz wierzytelności”, co związane jest z potrzebą zagwarantowania spójności porządku krajowego z </w:t>
      </w:r>
      <w:r w:rsidR="00E44AFF" w:rsidRPr="00B473C5">
        <w:rPr>
          <w:rFonts w:ascii="Times New Roman" w:hAnsi="Times New Roman" w:cs="Times New Roman"/>
          <w:bCs/>
          <w:sz w:val="24"/>
          <w:szCs w:val="24"/>
        </w:rPr>
        <w:t xml:space="preserve">rozporządzeniem </w:t>
      </w:r>
      <w:r w:rsidR="000939E0" w:rsidRPr="00B473C5">
        <w:rPr>
          <w:rFonts w:ascii="Times New Roman" w:hAnsi="Times New Roman" w:cs="Times New Roman"/>
          <w:bCs/>
          <w:sz w:val="24"/>
          <w:szCs w:val="24"/>
        </w:rPr>
        <w:t>2017/2402</w:t>
      </w:r>
      <w:r w:rsidR="00162F1F" w:rsidRPr="00B473C5">
        <w:rPr>
          <w:rFonts w:ascii="Times New Roman" w:hAnsi="Times New Roman" w:cs="Times New Roman"/>
          <w:bCs/>
          <w:sz w:val="24"/>
          <w:szCs w:val="24"/>
        </w:rPr>
        <w:t xml:space="preserve">. Podobna zmiana obejmuje także ustawę </w:t>
      </w:r>
      <w:r w:rsidR="007D0A58" w:rsidRPr="00B473C5">
        <w:rPr>
          <w:rFonts w:ascii="Times New Roman" w:hAnsi="Times New Roman" w:cs="Times New Roman"/>
          <w:bCs/>
          <w:sz w:val="24"/>
          <w:szCs w:val="24"/>
        </w:rPr>
        <w:t>–</w:t>
      </w:r>
      <w:r w:rsidR="001C7A89" w:rsidRPr="00B473C5">
        <w:rPr>
          <w:rFonts w:ascii="Times New Roman" w:hAnsi="Times New Roman" w:cs="Times New Roman"/>
          <w:sz w:val="24"/>
          <w:szCs w:val="24"/>
        </w:rPr>
        <w:t xml:space="preserve"> </w:t>
      </w:r>
      <w:r w:rsidR="00162F1F" w:rsidRPr="00B473C5">
        <w:rPr>
          <w:rFonts w:ascii="Times New Roman" w:hAnsi="Times New Roman" w:cs="Times New Roman"/>
          <w:bCs/>
          <w:sz w:val="24"/>
          <w:szCs w:val="24"/>
        </w:rPr>
        <w:t>Prawo restrukturyzacyjne.</w:t>
      </w:r>
      <w:r w:rsidR="00162F1F" w:rsidRPr="006B2CD4">
        <w:rPr>
          <w:rFonts w:ascii="Times New Roman" w:hAnsi="Times New Roman" w:cs="Times New Roman"/>
          <w:bCs/>
          <w:sz w:val="24"/>
          <w:szCs w:val="24"/>
        </w:rPr>
        <w:t xml:space="preserve"> </w:t>
      </w:r>
    </w:p>
    <w:p w14:paraId="5888E999" w14:textId="67BF4AB3" w:rsidR="009B1A4A" w:rsidRDefault="00DA23CE" w:rsidP="00B856D8">
      <w:pPr>
        <w:shd w:val="clear" w:color="auto" w:fill="FFFFFF" w:themeFill="background1"/>
        <w:spacing w:before="120" w:after="120" w:line="360" w:lineRule="auto"/>
        <w:jc w:val="both"/>
        <w:rPr>
          <w:rFonts w:ascii="Times New Roman" w:hAnsi="Times New Roman" w:cs="Times New Roman"/>
          <w:b/>
          <w:sz w:val="24"/>
          <w:szCs w:val="24"/>
        </w:rPr>
      </w:pPr>
      <w:r w:rsidRPr="006B2CD4">
        <w:rPr>
          <w:rFonts w:ascii="Times New Roman" w:hAnsi="Times New Roman" w:cs="Times New Roman"/>
          <w:b/>
          <w:bCs/>
          <w:sz w:val="24"/>
          <w:szCs w:val="24"/>
        </w:rPr>
        <w:t xml:space="preserve">Art. </w:t>
      </w:r>
      <w:r w:rsidR="002F0532">
        <w:rPr>
          <w:rFonts w:ascii="Times New Roman" w:hAnsi="Times New Roman" w:cs="Times New Roman"/>
          <w:b/>
          <w:bCs/>
          <w:sz w:val="24"/>
          <w:szCs w:val="24"/>
        </w:rPr>
        <w:t>1</w:t>
      </w:r>
      <w:r w:rsidR="00AB5F90">
        <w:rPr>
          <w:rFonts w:ascii="Times New Roman" w:hAnsi="Times New Roman" w:cs="Times New Roman"/>
          <w:b/>
          <w:bCs/>
          <w:sz w:val="24"/>
          <w:szCs w:val="24"/>
        </w:rPr>
        <w:t>1</w:t>
      </w:r>
      <w:r w:rsidRPr="006B2CD4">
        <w:rPr>
          <w:rFonts w:ascii="Times New Roman" w:hAnsi="Times New Roman" w:cs="Times New Roman"/>
          <w:b/>
          <w:bCs/>
          <w:sz w:val="24"/>
          <w:szCs w:val="24"/>
        </w:rPr>
        <w:t xml:space="preserve">. </w:t>
      </w:r>
      <w:r w:rsidR="001A53CF" w:rsidRPr="006B2CD4">
        <w:rPr>
          <w:rFonts w:ascii="Times New Roman" w:hAnsi="Times New Roman" w:cs="Times New Roman"/>
          <w:b/>
          <w:sz w:val="24"/>
          <w:szCs w:val="24"/>
        </w:rPr>
        <w:t>Zmiany w ustawie o ubezpieczeniach obowiązkowych, Ubezpieczeniowym Funduszu Gwarancyjnym i Polskim Biurze Ubezpieczycieli Komunikacyjnych</w:t>
      </w:r>
    </w:p>
    <w:p w14:paraId="729040F0" w14:textId="2F1FC374" w:rsidR="00C90711" w:rsidRPr="006B2CD4" w:rsidRDefault="00C90711" w:rsidP="00C90711">
      <w:pPr>
        <w:pStyle w:val="Bezodstpw"/>
        <w:spacing w:after="120"/>
        <w:jc w:val="both"/>
        <w:rPr>
          <w:rFonts w:ascii="Times New Roman" w:hAnsi="Times New Roman"/>
        </w:rPr>
      </w:pPr>
      <w:r w:rsidRPr="006B2CD4">
        <w:rPr>
          <w:rFonts w:ascii="Times New Roman" w:hAnsi="Times New Roman"/>
        </w:rPr>
        <w:t>W art. 8 ustawy o ubezpieczeniach obowiązkowych, Ubezpieczeniowym Funduszu Gwarancyjnym i Polskim Biurze Ubezpieczycieli Komunikacyjnych proponuje się u</w:t>
      </w:r>
      <w:r w:rsidR="00B36F24">
        <w:rPr>
          <w:rFonts w:ascii="Times New Roman" w:hAnsi="Times New Roman"/>
        </w:rPr>
        <w:t>chyleni</w:t>
      </w:r>
      <w:r w:rsidRPr="006B2CD4">
        <w:rPr>
          <w:rFonts w:ascii="Times New Roman" w:hAnsi="Times New Roman"/>
        </w:rPr>
        <w:t xml:space="preserve">e ust. 2 i 3. Zgodnie z obowiązującymi regulacjami zawartymi w tych przepisach zakłady ubezpieczeń zobowiązane są do przekazywania organowi nadzoru informacji dotyczących każdorazowych zmian taryf składek ubezpieczeń obowiązkowych. Aktualna praktyka w zakresie taryfikacji wskazuje, że zmiany taryf dokonywane są dosyć często, w odniesieniu do wybranych segmentów portfela, albo stosowane są systemy taryfikacji, które są na bieżąco dostosowywane do rozwoju portfela. W praktyce utrudnia to identyfikację momentu zmiany taryfy, a tym samym realizacji obowiązku informacyjnego wobec organu nadzoru. Z punktu </w:t>
      </w:r>
      <w:r w:rsidRPr="006B2CD4">
        <w:rPr>
          <w:rFonts w:ascii="Times New Roman" w:hAnsi="Times New Roman"/>
        </w:rPr>
        <w:lastRenderedPageBreak/>
        <w:t>widzenia praktyki nadzorczej dużo bardziej efektywne jest przeprowadzenie okresowej adekwatności taryf przy wykorzystaniu uprawnień do żądania przekazywania przez zakłady ubezpieczeń określonych informacji i wyjaśnień dotyczących ich działalności, niż śledzenie samych formalnych zmian taryf. W związku z tym proponuje się usunięcie ww. regulacji.</w:t>
      </w:r>
    </w:p>
    <w:p w14:paraId="23181F1D" w14:textId="77777777" w:rsidR="00C90711" w:rsidRPr="006B2CD4" w:rsidRDefault="00C90711" w:rsidP="00C90711">
      <w:pPr>
        <w:pStyle w:val="Bezodstpw"/>
        <w:spacing w:after="120"/>
        <w:jc w:val="both"/>
        <w:rPr>
          <w:rFonts w:ascii="Times New Roman" w:hAnsi="Times New Roman"/>
        </w:rPr>
      </w:pPr>
      <w:r w:rsidRPr="006B2CD4">
        <w:rPr>
          <w:rFonts w:ascii="Times New Roman" w:hAnsi="Times New Roman"/>
        </w:rPr>
        <w:t xml:space="preserve">Propozycja zmiany </w:t>
      </w:r>
      <w:r>
        <w:rPr>
          <w:rFonts w:ascii="Times New Roman" w:hAnsi="Times New Roman"/>
        </w:rPr>
        <w:t xml:space="preserve">brzmienia </w:t>
      </w:r>
      <w:r w:rsidRPr="006B2CD4">
        <w:rPr>
          <w:rFonts w:ascii="Times New Roman" w:hAnsi="Times New Roman"/>
        </w:rPr>
        <w:t xml:space="preserve">art. 22a ust. 2 ustawy o ubezpieczeniach obowiązkowych, Ubezpieczeniowym Funduszu Gwarancyjnym i Polskim Biurze Ubezpieczycieli Komunikacyjnych dotyczy uzupełnienia obowiązku informacyjnego realizowanego przez zakłady ubezpieczeń. W związku z wejściem w życie regulacji zawartych w przepisach ustawy z dnia 19 lipca 2019 r. </w:t>
      </w:r>
      <w:r w:rsidRPr="006B2CD4">
        <w:rPr>
          <w:rFonts w:ascii="Times New Roman" w:hAnsi="Times New Roman"/>
          <w:bCs/>
        </w:rPr>
        <w:t>o szczególnych uprawnieniach osób poszkodowanych w przypadku wyczerpania sumy gwarancyjnej ustalonej na podstawie przepisów obowiązujących przed dniem 1 stycznia 2006 r. (Dz. U. poz. 1631)</w:t>
      </w:r>
      <w:r w:rsidRPr="006B2CD4">
        <w:rPr>
          <w:rFonts w:ascii="Times New Roman" w:hAnsi="Times New Roman"/>
        </w:rPr>
        <w:t xml:space="preserve"> proponuje się uzupełnienie obowiązku informacyjnego realizowanego przez zakłady ubezpieczeń, w przypadku wyczerpywania się sumy gwarancyjnej o informację na temat przysługujących niektórym rentobiorcom nowych uprawnieniach – informacja o możliwości zgłoszenia do Ubezpieczeniowego Funduszu Gwarancyjnego (dalej „UFG”) roszczeń o wypłatę renty.</w:t>
      </w:r>
    </w:p>
    <w:p w14:paraId="6F6E72F9" w14:textId="77777777" w:rsidR="00C90711" w:rsidRPr="006B2CD4" w:rsidRDefault="00C90711" w:rsidP="00C90711">
      <w:pPr>
        <w:pStyle w:val="Bezodstpw"/>
        <w:spacing w:after="120"/>
        <w:jc w:val="both"/>
        <w:rPr>
          <w:rFonts w:ascii="Times New Roman" w:hAnsi="Times New Roman"/>
          <w:bCs/>
        </w:rPr>
      </w:pPr>
      <w:r w:rsidRPr="006B2CD4">
        <w:rPr>
          <w:rFonts w:ascii="Times New Roman" w:hAnsi="Times New Roman"/>
        </w:rPr>
        <w:t xml:space="preserve">Zaproponowana zmiana </w:t>
      </w:r>
      <w:r>
        <w:rPr>
          <w:rFonts w:ascii="Times New Roman" w:hAnsi="Times New Roman"/>
        </w:rPr>
        <w:t xml:space="preserve">brzmienia </w:t>
      </w:r>
      <w:r w:rsidRPr="006B2CD4">
        <w:rPr>
          <w:rFonts w:ascii="Times New Roman" w:hAnsi="Times New Roman"/>
        </w:rPr>
        <w:t xml:space="preserve">art. 87 ust. 1a ustawy o ubezpieczeniach obowiązkowych, Ubezpieczeniowym Funduszu Gwarancyjnym i Polskim Biurze Ubezpieczycieli Komunikacyjnych dotyczy wprowadzenia regulacji </w:t>
      </w:r>
      <w:r w:rsidRPr="006B2CD4">
        <w:rPr>
          <w:rFonts w:ascii="Times New Roman" w:hAnsi="Times New Roman"/>
          <w:bCs/>
        </w:rPr>
        <w:t>uprawniającej organy kontroli do</w:t>
      </w:r>
      <w:r>
        <w:rPr>
          <w:rFonts w:ascii="Times New Roman" w:hAnsi="Times New Roman"/>
          <w:bCs/>
        </w:rPr>
        <w:t> </w:t>
      </w:r>
      <w:r w:rsidRPr="006B2CD4">
        <w:rPr>
          <w:rFonts w:ascii="Times New Roman" w:hAnsi="Times New Roman"/>
          <w:bCs/>
        </w:rPr>
        <w:t>weryfikowania informacji w bazie Ośrodka Informacji UFG. Aktualnie informacje o</w:t>
      </w:r>
      <w:r>
        <w:rPr>
          <w:rFonts w:ascii="Times New Roman" w:hAnsi="Times New Roman"/>
          <w:bCs/>
        </w:rPr>
        <w:t> </w:t>
      </w:r>
      <w:r w:rsidRPr="006B2CD4">
        <w:rPr>
          <w:rFonts w:ascii="Times New Roman" w:hAnsi="Times New Roman"/>
          <w:bCs/>
        </w:rPr>
        <w:t>polisach w Ośrodku Informacji, o którym mowa w art. 102 ust. 1 ustawy</w:t>
      </w:r>
      <w:r>
        <w:rPr>
          <w:rFonts w:ascii="Times New Roman" w:hAnsi="Times New Roman"/>
          <w:bCs/>
        </w:rPr>
        <w:t>,</w:t>
      </w:r>
      <w:r w:rsidRPr="006B2CD4">
        <w:rPr>
          <w:rFonts w:ascii="Times New Roman" w:hAnsi="Times New Roman"/>
          <w:bCs/>
        </w:rPr>
        <w:t xml:space="preserve"> są bardziej </w:t>
      </w:r>
      <w:r w:rsidRPr="006B2CD4">
        <w:rPr>
          <w:rFonts w:ascii="Times New Roman" w:hAnsi="Times New Roman"/>
          <w:bCs/>
        </w:rPr>
        <w:lastRenderedPageBreak/>
        <w:t xml:space="preserve">kompletne niż w centralnej ewidencji pojazdów, przede wszystkim z uwagi na bardziej restrykcyjne kryteria walidacji poprawności danych po stronie ewidencji. Ponadto organy kontrolne zgłaszały do UFG potrzebę wprowadzenia przepisu, który uprawniałby te organy podczas kontroli spełnienia obowiązku ubezpieczenia do weryfikacji danych w bazie Ośrodka Informacji. Wprowadzenie proponowanego </w:t>
      </w:r>
      <w:r w:rsidRPr="006B2CD4">
        <w:rPr>
          <w:rFonts w:ascii="Times New Roman" w:hAnsi="Times New Roman"/>
        </w:rPr>
        <w:t>przepisu</w:t>
      </w:r>
      <w:r w:rsidRPr="006B2CD4">
        <w:rPr>
          <w:rFonts w:ascii="Times New Roman" w:hAnsi="Times New Roman"/>
          <w:bCs/>
        </w:rPr>
        <w:t xml:space="preserve"> pozwoli na ograniczenie liczby przypadków, w których zgłoszenie braku OC okazało się nieuzasadnione. </w:t>
      </w:r>
    </w:p>
    <w:p w14:paraId="7B3DB9AF" w14:textId="77777777" w:rsidR="00C90711" w:rsidRPr="006B2CD4" w:rsidRDefault="00C90711" w:rsidP="00C90711">
      <w:pPr>
        <w:pStyle w:val="Bezodstpw"/>
        <w:spacing w:after="120"/>
        <w:jc w:val="both"/>
        <w:rPr>
          <w:rFonts w:ascii="Times New Roman" w:hAnsi="Times New Roman"/>
        </w:rPr>
      </w:pPr>
      <w:r w:rsidRPr="006B2CD4">
        <w:rPr>
          <w:rFonts w:ascii="Times New Roman" w:hAnsi="Times New Roman"/>
        </w:rPr>
        <w:t>Propozycje zmian w art. 90 ustawy o ubezpieczeniach obowiązkowych, Ubezpieczeniowym Funduszu Gwarancyjnym i Polskim Biurze Ubezpieczycieli Komunikacyjnych dotyczą regulacji odnoszących się do opłaty za niezawarcie umowy ubezpieczenia obowiązkowego. Przedmiotowa propozycja polega na doprecyzowaniu</w:t>
      </w:r>
      <w:r>
        <w:rPr>
          <w:rFonts w:ascii="Times New Roman" w:hAnsi="Times New Roman"/>
        </w:rPr>
        <w:t>,</w:t>
      </w:r>
      <w:r w:rsidRPr="006B2CD4">
        <w:rPr>
          <w:rFonts w:ascii="Times New Roman" w:hAnsi="Times New Roman"/>
        </w:rPr>
        <w:t xml:space="preserve"> w jakich przypadkach opłata nie jest wymagalna i nie jest pobierana oraz będzie stanowiła złagodzenie dotychczas przyjętego systemowo „ciężaru dowodu”. Dotychczasowa konstrukcja przepisu wskazywała bowiem, że osoba, która otrzymała wezwania</w:t>
      </w:r>
      <w:r>
        <w:rPr>
          <w:rFonts w:ascii="Times New Roman" w:hAnsi="Times New Roman"/>
        </w:rPr>
        <w:t>,</w:t>
      </w:r>
      <w:r w:rsidRPr="006B2CD4">
        <w:rPr>
          <w:rFonts w:ascii="Times New Roman" w:hAnsi="Times New Roman"/>
        </w:rPr>
        <w:t xml:space="preserve"> musiała albo uiścić opłatę albo wskazać, że spełniła obowiązek. Jest to rozwiązanie niedopuszczające innych alternatyw wykazania braku obowiązku ubezpieczenia, czyli albo opłata albo dostarczenie polisy. W praktyce jednak należy dopuszczać inne przypadki, jak np. fakt nieistnienia w ogóle takiego obowiązku. Propozycja umożliwi wykazanie </w:t>
      </w:r>
      <w:r w:rsidRPr="006B2CD4">
        <w:rPr>
          <w:rFonts w:ascii="Times New Roman" w:hAnsi="Times New Roman"/>
          <w:bCs/>
        </w:rPr>
        <w:t>nieistnienia</w:t>
      </w:r>
      <w:r w:rsidRPr="006B2CD4">
        <w:rPr>
          <w:rFonts w:ascii="Times New Roman" w:hAnsi="Times New Roman"/>
        </w:rPr>
        <w:t xml:space="preserve"> obowiązku ubezpieczenia. </w:t>
      </w:r>
    </w:p>
    <w:p w14:paraId="4F1874CE" w14:textId="77777777" w:rsidR="00D42138" w:rsidRPr="00D42138" w:rsidRDefault="00C90711" w:rsidP="00D42138">
      <w:pPr>
        <w:pStyle w:val="Bezodstpw"/>
        <w:jc w:val="both"/>
        <w:rPr>
          <w:rFonts w:ascii="Times New Roman" w:hAnsi="Times New Roman"/>
        </w:rPr>
      </w:pPr>
      <w:r w:rsidRPr="006B2CD4">
        <w:rPr>
          <w:rFonts w:ascii="Times New Roman" w:hAnsi="Times New Roman"/>
        </w:rPr>
        <w:t xml:space="preserve">Kolejna grupa zmian dotyczy doprecyzowania regulacji odnoszących się do członkostwa zakładów ubezpieczeń w UFG. Wykonywanie działalności ubezpieczeniowej przez zakład ubezpieczeń </w:t>
      </w:r>
      <w:r>
        <w:rPr>
          <w:rFonts w:ascii="Times New Roman" w:hAnsi="Times New Roman"/>
        </w:rPr>
        <w:t xml:space="preserve">posiadający zezwolenie na wykonywanie takiej działalności w grupach </w:t>
      </w:r>
      <w:r>
        <w:rPr>
          <w:rFonts w:ascii="Times New Roman" w:hAnsi="Times New Roman"/>
        </w:rPr>
        <w:lastRenderedPageBreak/>
        <w:t xml:space="preserve">obejmujących ubezpieczenia obowiązkowe, o których mowa w art. 4 pkt 1 i 2 ustawy, </w:t>
      </w:r>
      <w:r w:rsidRPr="006B2CD4">
        <w:rPr>
          <w:rFonts w:ascii="Times New Roman" w:hAnsi="Times New Roman"/>
        </w:rPr>
        <w:t>nie zawsze oznacza, że zakład ubezpieczeń staje się członkiem UFG. W</w:t>
      </w:r>
      <w:r>
        <w:rPr>
          <w:rFonts w:ascii="Times New Roman" w:hAnsi="Times New Roman"/>
        </w:rPr>
        <w:t> </w:t>
      </w:r>
      <w:r w:rsidRPr="006B2CD4">
        <w:rPr>
          <w:rFonts w:ascii="Times New Roman" w:hAnsi="Times New Roman"/>
        </w:rPr>
        <w:t>związku z tym proponuje się odniesienie do faktycznego wykonywania działalności ubezpieczeniowej w ramach ubezpieczeń obowiązkowych, o których mowa w art. 4 pkt 1 i 2 ustawy (zmiana ust. 1 i 2 w art. 97). Dodatkowo uzasadnione jest uzupełnienie przesłanek wcześniejszego ustania członkostwa w UFG dla zakładów ubezpieczeń, które przekazały portfel ubezpieczeń obowiązkowych, o których mowa w art. 4 pkt 1 i 2 ustawy, innemu zakładowi ubezpieczeń. Bez tego zapisu zakład, który nie posiada już portfela ubezpieczeń obowiązkowych, ale nie jest w upadłości czy likwidacji</w:t>
      </w:r>
      <w:r>
        <w:rPr>
          <w:rFonts w:ascii="Times New Roman" w:hAnsi="Times New Roman"/>
        </w:rPr>
        <w:t>,</w:t>
      </w:r>
      <w:r w:rsidRPr="006B2CD4">
        <w:rPr>
          <w:rFonts w:ascii="Times New Roman" w:hAnsi="Times New Roman"/>
        </w:rPr>
        <w:t xml:space="preserve"> pozostaje członkiem UFG i może wpływać na wyniki głosowań i podejmowane decyzje (zmiana w ust. 7 w art. 97). </w:t>
      </w:r>
      <w:r w:rsidR="00D42138" w:rsidRPr="00D42138">
        <w:rPr>
          <w:rFonts w:ascii="Times New Roman" w:hAnsi="Times New Roman"/>
        </w:rPr>
        <w:t xml:space="preserve">Ponadto w związku z odniesieniem się do faktycznego wykonywania działalności ubezpieczeniowej przez zakład ubezpieczeń, w zakresie członkostwa takiego zakładu w UFG, proponuje się doprecyzowanie przesłanki wcześniejszego ustania członkostwa w UFG wskazanej w art. 97 ust. 7 pkt 1 ustawy. </w:t>
      </w:r>
    </w:p>
    <w:p w14:paraId="23A43FCE" w14:textId="03E490B2" w:rsidR="00C90711" w:rsidRPr="006B2CD4" w:rsidRDefault="00C90711" w:rsidP="00C90711">
      <w:pPr>
        <w:pStyle w:val="Bezodstpw"/>
        <w:jc w:val="both"/>
        <w:rPr>
          <w:rFonts w:ascii="Times New Roman" w:hAnsi="Times New Roman"/>
          <w:bCs/>
        </w:rPr>
      </w:pPr>
      <w:r w:rsidRPr="006B2CD4">
        <w:rPr>
          <w:rFonts w:ascii="Times New Roman" w:hAnsi="Times New Roman"/>
          <w:bCs/>
        </w:rPr>
        <w:t xml:space="preserve">Propozycje zmian w </w:t>
      </w:r>
      <w:r>
        <w:rPr>
          <w:rFonts w:ascii="Times New Roman" w:hAnsi="Times New Roman"/>
          <w:bCs/>
        </w:rPr>
        <w:t xml:space="preserve">zakresie </w:t>
      </w:r>
      <w:r w:rsidRPr="006B2CD4">
        <w:rPr>
          <w:rFonts w:ascii="Times New Roman" w:hAnsi="Times New Roman"/>
          <w:bCs/>
        </w:rPr>
        <w:t>art. 97 ust. 1a i 3, art. 97a, art. 102a ust. 3 i 4 oraz ust. 7</w:t>
      </w:r>
      <w:r>
        <w:rPr>
          <w:rFonts w:ascii="Times New Roman" w:hAnsi="Times New Roman"/>
          <w:bCs/>
        </w:rPr>
        <w:t xml:space="preserve"> i 8</w:t>
      </w:r>
      <w:r w:rsidRPr="006B2CD4">
        <w:rPr>
          <w:rFonts w:ascii="Times New Roman" w:hAnsi="Times New Roman"/>
          <w:bCs/>
        </w:rPr>
        <w:t>, art. 117 ust. 2 pkt 3a oraz ust. 7</w:t>
      </w:r>
      <w:r w:rsidRPr="006B2CD4">
        <w:rPr>
          <w:rFonts w:ascii="Times New Roman" w:hAnsi="Times New Roman"/>
        </w:rPr>
        <w:t>‒</w:t>
      </w:r>
      <w:r w:rsidRPr="006B2CD4">
        <w:rPr>
          <w:rFonts w:ascii="Times New Roman" w:hAnsi="Times New Roman"/>
          <w:bCs/>
        </w:rPr>
        <w:t>9 ustawy o ubezpieczeniach obowiązkowych, Ubezpieczeniowym Funduszu Gwarancyjnym i Polskim Biurze Ubezpieczycieli Komunikacyjnych mają na celu wprowadzenie zmian w obszarze przekształcenia członkostwa zakładów ubezpieczeń na uczestnictwo</w:t>
      </w:r>
      <w:r w:rsidR="00660814">
        <w:rPr>
          <w:rFonts w:ascii="Times New Roman" w:hAnsi="Times New Roman"/>
          <w:bCs/>
        </w:rPr>
        <w:t xml:space="preserve">, </w:t>
      </w:r>
      <w:r w:rsidRPr="006B2CD4">
        <w:rPr>
          <w:rFonts w:ascii="Times New Roman" w:hAnsi="Times New Roman"/>
          <w:bCs/>
        </w:rPr>
        <w:t>w związku z korzystaniem z informatycznej bazy danych UFG, o której mowa w</w:t>
      </w:r>
      <w:r>
        <w:rPr>
          <w:rFonts w:ascii="Times New Roman" w:hAnsi="Times New Roman"/>
          <w:bCs/>
        </w:rPr>
        <w:t> </w:t>
      </w:r>
      <w:r w:rsidRPr="006B2CD4">
        <w:rPr>
          <w:rFonts w:ascii="Times New Roman" w:hAnsi="Times New Roman"/>
          <w:bCs/>
        </w:rPr>
        <w:t xml:space="preserve">art. 102a </w:t>
      </w:r>
      <w:r w:rsidRPr="006B2CD4">
        <w:rPr>
          <w:rFonts w:ascii="Times New Roman" w:hAnsi="Times New Roman"/>
        </w:rPr>
        <w:t>ustawy</w:t>
      </w:r>
      <w:r w:rsidR="00660814">
        <w:rPr>
          <w:rFonts w:ascii="Times New Roman" w:hAnsi="Times New Roman"/>
          <w:bCs/>
        </w:rPr>
        <w:t xml:space="preserve">. </w:t>
      </w:r>
    </w:p>
    <w:p w14:paraId="6F3089EA" w14:textId="18FDFB5A" w:rsidR="00C90711" w:rsidRPr="006B2CD4" w:rsidRDefault="00C90711" w:rsidP="00C90711">
      <w:pPr>
        <w:pStyle w:val="Bezodstpw"/>
        <w:jc w:val="both"/>
        <w:rPr>
          <w:rFonts w:ascii="Times New Roman" w:hAnsi="Times New Roman"/>
          <w:bCs/>
        </w:rPr>
      </w:pPr>
      <w:r w:rsidRPr="006B2CD4">
        <w:rPr>
          <w:rFonts w:ascii="Times New Roman" w:hAnsi="Times New Roman"/>
          <w:bCs/>
        </w:rPr>
        <w:t>Na podstawie art. 97 ust. 1 i 2 ustawy członkami U</w:t>
      </w:r>
      <w:r>
        <w:rPr>
          <w:rFonts w:ascii="Times New Roman" w:hAnsi="Times New Roman"/>
          <w:bCs/>
        </w:rPr>
        <w:t>FG</w:t>
      </w:r>
      <w:r w:rsidRPr="006B2CD4">
        <w:rPr>
          <w:rFonts w:ascii="Times New Roman" w:hAnsi="Times New Roman"/>
          <w:bCs/>
        </w:rPr>
        <w:t xml:space="preserve"> są zakłady ubezpieczeń (w tym </w:t>
      </w:r>
      <w:r w:rsidRPr="006B2CD4">
        <w:rPr>
          <w:rFonts w:ascii="Times New Roman" w:hAnsi="Times New Roman"/>
          <w:bCs/>
        </w:rPr>
        <w:lastRenderedPageBreak/>
        <w:t>zagraniczne zakłady ubezpieczeń) wykonujące działalność na terytorium Rzeczpospolitej Polskiej w grupach obejmujących ubezpieczeni</w:t>
      </w:r>
      <w:r>
        <w:rPr>
          <w:rFonts w:ascii="Times New Roman" w:hAnsi="Times New Roman"/>
          <w:bCs/>
        </w:rPr>
        <w:t>e</w:t>
      </w:r>
      <w:r w:rsidRPr="006B2CD4">
        <w:rPr>
          <w:rFonts w:ascii="Times New Roman" w:hAnsi="Times New Roman"/>
          <w:bCs/>
        </w:rPr>
        <w:t xml:space="preserve"> obowiązkowe odpowiedzialności cywilnej posiadaczy pojazdów mechanicznych za szkody powstałe w związku z ruchem tych pojazdów oraz ubezpieczenie odpowiedzialności cywilnej rolników z tytułu posiadania gospodarstwa rolnego. Dodatkowo zgodnie z art. 97 ust. 1a </w:t>
      </w:r>
      <w:r>
        <w:rPr>
          <w:rFonts w:ascii="Times New Roman" w:hAnsi="Times New Roman"/>
          <w:bCs/>
        </w:rPr>
        <w:t>u</w:t>
      </w:r>
      <w:r w:rsidRPr="006B2CD4">
        <w:rPr>
          <w:rFonts w:ascii="Times New Roman" w:hAnsi="Times New Roman"/>
          <w:bCs/>
        </w:rPr>
        <w:t>stawy, na podstawie złożonej deklaracji członkiem UFG może stać się zakład ubezpieczeń wykonujący działalność w zakresie ubezpieczeń, o których mowa w dziale I lub II załącznika do ustawy o działalności ubezpieczeniowej i reasekuracyjnej. Oznacza to, że zakłady ubezpieczeń prowadzące działalność w zakresie ww. ubezpieczeń obowiązkowych OC i będące członkami UFG z mocy prawa</w:t>
      </w:r>
      <w:r w:rsidR="00D13427">
        <w:rPr>
          <w:rFonts w:ascii="Times New Roman" w:hAnsi="Times New Roman"/>
          <w:bCs/>
        </w:rPr>
        <w:t>,</w:t>
      </w:r>
      <w:r w:rsidRPr="006B2CD4">
        <w:rPr>
          <w:rFonts w:ascii="Times New Roman" w:hAnsi="Times New Roman"/>
          <w:bCs/>
        </w:rPr>
        <w:t xml:space="preserve"> są członkami UFG na tych samych prawach i zasadach</w:t>
      </w:r>
      <w:r w:rsidR="00D13427">
        <w:rPr>
          <w:rFonts w:ascii="Times New Roman" w:hAnsi="Times New Roman"/>
          <w:bCs/>
        </w:rPr>
        <w:t>,</w:t>
      </w:r>
      <w:r w:rsidRPr="006B2CD4">
        <w:rPr>
          <w:rFonts w:ascii="Times New Roman" w:hAnsi="Times New Roman"/>
          <w:bCs/>
        </w:rPr>
        <w:t xml:space="preserve"> co zakłady ubezpieczeń mogące dobrowolnie przystąpić do członkostwa w UFG.</w:t>
      </w:r>
    </w:p>
    <w:p w14:paraId="3427CC2C" w14:textId="77777777" w:rsidR="00C90711" w:rsidRPr="006B2CD4" w:rsidRDefault="00C90711" w:rsidP="00C90711">
      <w:pPr>
        <w:pStyle w:val="Bezodstpw"/>
        <w:jc w:val="both"/>
        <w:rPr>
          <w:rFonts w:ascii="Times New Roman" w:hAnsi="Times New Roman"/>
          <w:bCs/>
        </w:rPr>
      </w:pPr>
      <w:r w:rsidRPr="006B2CD4">
        <w:rPr>
          <w:rFonts w:ascii="Times New Roman" w:hAnsi="Times New Roman"/>
          <w:bCs/>
        </w:rPr>
        <w:t>Mając powyższe na uwadze zachodzi potrzeba rozgraniczenia członkostwa w UFG (powstającego z mocy prawa) dla zakładów ubezpieczeń prowadzących działalność w obszarze ubezpieczeń OC komunikacyjnych i OC rolników i uczestnictwa w bazie – na zasadzie kontraktowej, w związku z z</w:t>
      </w:r>
      <w:r>
        <w:rPr>
          <w:rFonts w:ascii="Times New Roman" w:hAnsi="Times New Roman"/>
          <w:bCs/>
        </w:rPr>
        <w:t>a</w:t>
      </w:r>
      <w:r w:rsidRPr="006B2CD4">
        <w:rPr>
          <w:rFonts w:ascii="Times New Roman" w:hAnsi="Times New Roman"/>
          <w:bCs/>
        </w:rPr>
        <w:t>wartą umową – zakładów ubezpieczeń działu I lub II załącznika do ustawy o działalności ubezpieczeniowej i reasekuracyjnej.</w:t>
      </w:r>
    </w:p>
    <w:p w14:paraId="75D078B1" w14:textId="77777777" w:rsidR="00C90711" w:rsidRPr="006B2CD4" w:rsidRDefault="00C90711" w:rsidP="00C90711">
      <w:pPr>
        <w:pStyle w:val="Bezodstpw"/>
        <w:jc w:val="both"/>
        <w:rPr>
          <w:rFonts w:ascii="Times New Roman" w:hAnsi="Times New Roman"/>
          <w:bCs/>
        </w:rPr>
      </w:pPr>
      <w:r w:rsidRPr="006B2CD4">
        <w:rPr>
          <w:rFonts w:ascii="Times New Roman" w:hAnsi="Times New Roman"/>
          <w:bCs/>
        </w:rPr>
        <w:t xml:space="preserve">Zakłady ubezpieczeń będące członkami </w:t>
      </w:r>
      <w:r>
        <w:rPr>
          <w:rFonts w:ascii="Times New Roman" w:hAnsi="Times New Roman"/>
          <w:bCs/>
        </w:rPr>
        <w:t xml:space="preserve">UFG </w:t>
      </w:r>
      <w:r w:rsidRPr="006B2CD4">
        <w:rPr>
          <w:rFonts w:ascii="Times New Roman" w:hAnsi="Times New Roman"/>
          <w:bCs/>
        </w:rPr>
        <w:t>na podstawie art. 97 ust. 1 i 2 ustawy, oraz których członkostwo wynika z zadań, o których mowa w art. 98, są innymi zakładami niż te, o których uczestnictwie w UFG mowa na podstawie art. 97 ust. 1a</w:t>
      </w:r>
      <w:r>
        <w:rPr>
          <w:rFonts w:ascii="Times New Roman" w:hAnsi="Times New Roman"/>
          <w:bCs/>
        </w:rPr>
        <w:t xml:space="preserve"> ustawy</w:t>
      </w:r>
      <w:r w:rsidRPr="006B2CD4">
        <w:rPr>
          <w:rFonts w:ascii="Times New Roman" w:hAnsi="Times New Roman"/>
          <w:bCs/>
        </w:rPr>
        <w:t xml:space="preserve">. Przynależność tych zakładów do UFG jest bowiem zupełnie odmienna zarówno w sensie przedmiotowym (dostęp </w:t>
      </w:r>
      <w:r w:rsidRPr="006B2CD4">
        <w:rPr>
          <w:rFonts w:ascii="Times New Roman" w:hAnsi="Times New Roman"/>
          <w:bCs/>
        </w:rPr>
        <w:lastRenderedPageBreak/>
        <w:t>do innych baz, inny zakres umów ubezpieczenia), jak i podmiotowym (inne zakłady ubezpieczeń – w pierwszym przypadku zakłady ubezpieczeń prowadzące działalność w zakresie OC komunikacyjnego i</w:t>
      </w:r>
      <w:r>
        <w:rPr>
          <w:rFonts w:ascii="Times New Roman" w:hAnsi="Times New Roman"/>
          <w:bCs/>
        </w:rPr>
        <w:t> </w:t>
      </w:r>
      <w:r w:rsidRPr="006B2CD4">
        <w:rPr>
          <w:rFonts w:ascii="Times New Roman" w:hAnsi="Times New Roman"/>
          <w:bCs/>
        </w:rPr>
        <w:t>zakłady życiowe w upadłości, a w drugim przypadku zakłady ubezpieczeń majątkowe i</w:t>
      </w:r>
      <w:r>
        <w:rPr>
          <w:rFonts w:ascii="Times New Roman" w:hAnsi="Times New Roman"/>
          <w:bCs/>
        </w:rPr>
        <w:t> </w:t>
      </w:r>
      <w:r w:rsidRPr="006B2CD4">
        <w:rPr>
          <w:rFonts w:ascii="Times New Roman" w:hAnsi="Times New Roman"/>
          <w:bCs/>
        </w:rPr>
        <w:t>życiowe). Zrównanie członkostwa w UFG zakładów ubezpieczeń majątkowych i życiowych, z zakładami ubezpieczeń, których członkostwo powstaje z mocy prawa, mogłoby wpływać na zakres podstawowej działalności UFG. Przedstawiona propozycja zmian nie będzie wpływała na dotychczasowe zasady współpracy UFG z zakładami ubezpieczeń. W konsekwencji zaproponowanych zmian zakłady ubezpieczeń nie będą ponosiły żadnych dodatkowych ciężarów. Zaproponowane zmiany mają zatem charakter porządkowy</w:t>
      </w:r>
      <w:r>
        <w:rPr>
          <w:rFonts w:ascii="Times New Roman" w:hAnsi="Times New Roman"/>
          <w:bCs/>
        </w:rPr>
        <w:t>,</w:t>
      </w:r>
      <w:r w:rsidRPr="006B2CD4">
        <w:rPr>
          <w:rFonts w:ascii="Times New Roman" w:hAnsi="Times New Roman"/>
          <w:bCs/>
        </w:rPr>
        <w:t xml:space="preserve"> a odpowiednie usystematyzowanie zasad przynależności do UFG będzie miało znaczenie dla ich właściwego wykonywania. </w:t>
      </w:r>
    </w:p>
    <w:p w14:paraId="59B30DCB" w14:textId="77777777" w:rsidR="00C90711" w:rsidRPr="006B2CD4" w:rsidRDefault="00C90711" w:rsidP="00C90711">
      <w:pPr>
        <w:pStyle w:val="Bezodstpw"/>
        <w:jc w:val="both"/>
        <w:rPr>
          <w:rFonts w:ascii="Times New Roman" w:hAnsi="Times New Roman"/>
          <w:bCs/>
        </w:rPr>
      </w:pPr>
      <w:r w:rsidRPr="006B2CD4">
        <w:rPr>
          <w:rFonts w:ascii="Times New Roman" w:hAnsi="Times New Roman"/>
          <w:bCs/>
        </w:rPr>
        <w:t>Dodatkowo proponuje się</w:t>
      </w:r>
      <w:r>
        <w:rPr>
          <w:rFonts w:ascii="Times New Roman" w:hAnsi="Times New Roman"/>
          <w:bCs/>
        </w:rPr>
        <w:t>,</w:t>
      </w:r>
      <w:r w:rsidRPr="006B2CD4">
        <w:rPr>
          <w:rFonts w:ascii="Times New Roman" w:hAnsi="Times New Roman"/>
          <w:bCs/>
        </w:rPr>
        <w:t xml:space="preserve"> aby przepisy ustawy przewidywały dla zakładów ubezpieczeń będących uczestnikami informatycznej bazy danych, o której mowa w art. 102a ustawy, możliwość zawarcia umowy z UFG, która pozwoli szczegółowo uregulować </w:t>
      </w:r>
      <w:r>
        <w:rPr>
          <w:rFonts w:ascii="Times New Roman" w:hAnsi="Times New Roman"/>
          <w:bCs/>
        </w:rPr>
        <w:t xml:space="preserve">tryb </w:t>
      </w:r>
      <w:r w:rsidRPr="006B2CD4">
        <w:rPr>
          <w:rFonts w:ascii="Times New Roman" w:hAnsi="Times New Roman"/>
          <w:bCs/>
        </w:rPr>
        <w:t xml:space="preserve">wymiany danych, w tym w szczególności </w:t>
      </w:r>
      <w:r>
        <w:rPr>
          <w:rFonts w:ascii="Times New Roman" w:hAnsi="Times New Roman"/>
          <w:bCs/>
        </w:rPr>
        <w:t xml:space="preserve">wymagania dotyczące </w:t>
      </w:r>
      <w:r w:rsidRPr="006B2CD4">
        <w:rPr>
          <w:rFonts w:ascii="Times New Roman" w:hAnsi="Times New Roman"/>
          <w:bCs/>
        </w:rPr>
        <w:t xml:space="preserve">bezpieczeństwa wymiany danych </w:t>
      </w:r>
      <w:r w:rsidRPr="006B2CD4">
        <w:rPr>
          <w:rFonts w:ascii="Times New Roman" w:hAnsi="Times New Roman"/>
        </w:rPr>
        <w:t>informacji</w:t>
      </w:r>
      <w:r w:rsidRPr="006B2CD4">
        <w:rPr>
          <w:rFonts w:ascii="Times New Roman" w:hAnsi="Times New Roman"/>
          <w:bCs/>
        </w:rPr>
        <w:t>.</w:t>
      </w:r>
    </w:p>
    <w:p w14:paraId="45250960" w14:textId="6CE253CC" w:rsidR="00C90711" w:rsidRPr="006B2CD4" w:rsidRDefault="00C90711" w:rsidP="00C90711">
      <w:pPr>
        <w:pStyle w:val="Bezodstpw"/>
        <w:spacing w:after="120"/>
        <w:jc w:val="both"/>
        <w:rPr>
          <w:rFonts w:ascii="Times New Roman" w:hAnsi="Times New Roman"/>
          <w:bCs/>
        </w:rPr>
      </w:pPr>
      <w:r w:rsidRPr="006B2CD4">
        <w:rPr>
          <w:rFonts w:ascii="Times New Roman" w:hAnsi="Times New Roman"/>
        </w:rPr>
        <w:t>Dodatkowo, w związku z powyższymi zmianami</w:t>
      </w:r>
      <w:r>
        <w:rPr>
          <w:rFonts w:ascii="Times New Roman" w:hAnsi="Times New Roman"/>
        </w:rPr>
        <w:t>,</w:t>
      </w:r>
      <w:r w:rsidRPr="006B2CD4">
        <w:rPr>
          <w:rFonts w:ascii="Times New Roman" w:hAnsi="Times New Roman"/>
        </w:rPr>
        <w:t xml:space="preserve"> proponuje się wprowadzenie przepisu przejściowego na podstawie którego, z</w:t>
      </w:r>
      <w:r w:rsidRPr="006B2CD4">
        <w:rPr>
          <w:rFonts w:ascii="Times New Roman" w:hAnsi="Times New Roman"/>
          <w:bCs/>
        </w:rPr>
        <w:t xml:space="preserve"> dniem wejścia w życie ustawy przestaną być członkami </w:t>
      </w:r>
      <w:r>
        <w:rPr>
          <w:rFonts w:ascii="Times New Roman" w:hAnsi="Times New Roman"/>
          <w:bCs/>
        </w:rPr>
        <w:t>U</w:t>
      </w:r>
      <w:r w:rsidRPr="006B2CD4">
        <w:rPr>
          <w:rFonts w:ascii="Times New Roman" w:hAnsi="Times New Roman"/>
          <w:bCs/>
        </w:rPr>
        <w:t>F</w:t>
      </w:r>
      <w:r>
        <w:rPr>
          <w:rFonts w:ascii="Times New Roman" w:hAnsi="Times New Roman"/>
          <w:bCs/>
        </w:rPr>
        <w:t>G</w:t>
      </w:r>
      <w:r w:rsidRPr="006B2CD4">
        <w:rPr>
          <w:rFonts w:ascii="Times New Roman" w:hAnsi="Times New Roman"/>
          <w:bCs/>
        </w:rPr>
        <w:t xml:space="preserve"> zakłady ubezpieczeń, które przed dniem wejścia w życie ustawy złożyły deklarację członkowską na podstawie art. 97 ust. 1a ustawy o ubezpieczeniach obowiązkowych, </w:t>
      </w:r>
      <w:r w:rsidRPr="006B2CD4">
        <w:rPr>
          <w:rFonts w:ascii="Times New Roman" w:hAnsi="Times New Roman"/>
          <w:bCs/>
        </w:rPr>
        <w:lastRenderedPageBreak/>
        <w:t>Ubezpieczeniowym Funduszu Gwarancyjnym i Polskim Biurze Ubezpieczycieli Komunikacyjnych (</w:t>
      </w:r>
      <w:r w:rsidRPr="00610032">
        <w:rPr>
          <w:rFonts w:ascii="Times New Roman" w:hAnsi="Times New Roman"/>
          <w:bCs/>
        </w:rPr>
        <w:t xml:space="preserve">art. </w:t>
      </w:r>
      <w:r w:rsidR="00AB5F90">
        <w:rPr>
          <w:rFonts w:ascii="Times New Roman" w:hAnsi="Times New Roman"/>
          <w:bCs/>
        </w:rPr>
        <w:t>40</w:t>
      </w:r>
      <w:r w:rsidRPr="006B2CD4">
        <w:rPr>
          <w:rFonts w:ascii="Times New Roman" w:hAnsi="Times New Roman"/>
          <w:bCs/>
        </w:rPr>
        <w:t xml:space="preserve"> projektowanej ustawy). Jednocześnie</w:t>
      </w:r>
      <w:r>
        <w:rPr>
          <w:rFonts w:ascii="Times New Roman" w:hAnsi="Times New Roman"/>
          <w:bCs/>
        </w:rPr>
        <w:t>,</w:t>
      </w:r>
      <w:r w:rsidRPr="006B2CD4">
        <w:rPr>
          <w:rFonts w:ascii="Times New Roman" w:hAnsi="Times New Roman"/>
          <w:bCs/>
        </w:rPr>
        <w:t xml:space="preserve"> na podstawie </w:t>
      </w:r>
      <w:r w:rsidRPr="00610032">
        <w:rPr>
          <w:rFonts w:ascii="Times New Roman" w:hAnsi="Times New Roman"/>
          <w:bCs/>
        </w:rPr>
        <w:t>art. 3</w:t>
      </w:r>
      <w:r w:rsidR="00D13427">
        <w:rPr>
          <w:rFonts w:ascii="Times New Roman" w:hAnsi="Times New Roman"/>
          <w:bCs/>
        </w:rPr>
        <w:t>7</w:t>
      </w:r>
      <w:r>
        <w:rPr>
          <w:rFonts w:ascii="Times New Roman" w:hAnsi="Times New Roman"/>
          <w:bCs/>
        </w:rPr>
        <w:t xml:space="preserve"> ust. 1</w:t>
      </w:r>
      <w:r w:rsidR="007C389F">
        <w:rPr>
          <w:rFonts w:ascii="Times New Roman" w:hAnsi="Times New Roman"/>
          <w:bCs/>
        </w:rPr>
        <w:t xml:space="preserve"> </w:t>
      </w:r>
      <w:r w:rsidRPr="006B2CD4">
        <w:rPr>
          <w:rFonts w:ascii="Times New Roman" w:hAnsi="Times New Roman"/>
          <w:bCs/>
        </w:rPr>
        <w:t>projektowanej ustawy</w:t>
      </w:r>
      <w:r>
        <w:rPr>
          <w:rFonts w:ascii="Times New Roman" w:hAnsi="Times New Roman"/>
          <w:bCs/>
        </w:rPr>
        <w:t>,</w:t>
      </w:r>
      <w:r w:rsidRPr="006B2CD4">
        <w:rPr>
          <w:rFonts w:ascii="Times New Roman" w:hAnsi="Times New Roman"/>
          <w:bCs/>
        </w:rPr>
        <w:t xml:space="preserve"> zostanie utrzymane w mocy dotychczas obowiązujące rozporządzenie Ministra Finansów z dnia 11 marca 2020 r. w sprawie wysokości składki wnoszonej przez zakłady ubezpieczeń na rzecz Ubezpieczeniowego Funduszu Gwarancyjnego oraz terminów uiszczania tej składki (Dz.</w:t>
      </w:r>
      <w:r>
        <w:rPr>
          <w:rFonts w:ascii="Times New Roman" w:hAnsi="Times New Roman"/>
          <w:bCs/>
        </w:rPr>
        <w:t xml:space="preserve"> </w:t>
      </w:r>
      <w:r w:rsidRPr="006B2CD4">
        <w:rPr>
          <w:rFonts w:ascii="Times New Roman" w:hAnsi="Times New Roman"/>
          <w:bCs/>
        </w:rPr>
        <w:t>U. z 2020 r. poz. 484)</w:t>
      </w:r>
      <w:r w:rsidR="00D13427">
        <w:rPr>
          <w:rFonts w:ascii="Times New Roman" w:hAnsi="Times New Roman"/>
          <w:bCs/>
        </w:rPr>
        <w:t>,</w:t>
      </w:r>
      <w:r w:rsidRPr="006B2CD4">
        <w:rPr>
          <w:rFonts w:ascii="Times New Roman" w:hAnsi="Times New Roman"/>
          <w:bCs/>
        </w:rPr>
        <w:t xml:space="preserve"> do dnia wejścia w życie nowych regulacji w</w:t>
      </w:r>
      <w:r>
        <w:rPr>
          <w:rFonts w:ascii="Times New Roman" w:hAnsi="Times New Roman"/>
          <w:bCs/>
        </w:rPr>
        <w:t> </w:t>
      </w:r>
      <w:r w:rsidRPr="006B2CD4">
        <w:rPr>
          <w:rFonts w:ascii="Times New Roman" w:hAnsi="Times New Roman"/>
          <w:bCs/>
        </w:rPr>
        <w:t xml:space="preserve">tym zakresie. </w:t>
      </w:r>
    </w:p>
    <w:p w14:paraId="38E57F8B" w14:textId="77777777" w:rsidR="00C90711" w:rsidRPr="006B2CD4" w:rsidRDefault="00C90711" w:rsidP="00C90711">
      <w:pPr>
        <w:pStyle w:val="Bezodstpw"/>
        <w:spacing w:after="120"/>
        <w:jc w:val="both"/>
        <w:rPr>
          <w:rFonts w:ascii="Times New Roman" w:hAnsi="Times New Roman"/>
        </w:rPr>
      </w:pPr>
      <w:r w:rsidRPr="006B2CD4">
        <w:rPr>
          <w:rFonts w:ascii="Times New Roman" w:hAnsi="Times New Roman"/>
        </w:rPr>
        <w:t xml:space="preserve">Zaproponowana zmiana w art. 102 ustawy </w:t>
      </w:r>
      <w:r w:rsidRPr="006B2CD4">
        <w:rPr>
          <w:rFonts w:ascii="Times New Roman" w:hAnsi="Times New Roman"/>
          <w:bCs/>
        </w:rPr>
        <w:t>o ubezpieczeniach obowiązkowych, Ubezpieczeniowym Funduszu Gwarancyjnym i Polskim Biurze Ubezpieczycieli Komunikacyjnych</w:t>
      </w:r>
      <w:r w:rsidRPr="006B2CD4">
        <w:rPr>
          <w:rFonts w:ascii="Times New Roman" w:hAnsi="Times New Roman"/>
        </w:rPr>
        <w:t xml:space="preserve"> wynika z faktu, iż obowiązująca ustawa nie przewiduje sankcji za</w:t>
      </w:r>
      <w:r>
        <w:rPr>
          <w:rFonts w:ascii="Times New Roman" w:hAnsi="Times New Roman"/>
        </w:rPr>
        <w:t> </w:t>
      </w:r>
      <w:r w:rsidRPr="006B2CD4">
        <w:rPr>
          <w:rFonts w:ascii="Times New Roman" w:hAnsi="Times New Roman"/>
        </w:rPr>
        <w:t>niewykonywanie obowiązków związanych z zasilaniem Ośrodka Informacji UFG oraz</w:t>
      </w:r>
      <w:r>
        <w:rPr>
          <w:rFonts w:ascii="Times New Roman" w:hAnsi="Times New Roman"/>
        </w:rPr>
        <w:t> </w:t>
      </w:r>
      <w:r w:rsidRPr="006B2CD4">
        <w:rPr>
          <w:rFonts w:ascii="Times New Roman" w:hAnsi="Times New Roman"/>
        </w:rPr>
        <w:t>aktualizacją przekazywanych danych. Z uzyskanych informacji wynika, iż dotychczasowe doświadczenia nadzorcze wskazują, że zasadne jest wyposażenie organu nadzoru w takie uprawnienia, zarówno w odniesieniu do krajowych, jak i zagranicznych zakładów ubezpieczeń. W związku z tym proponuje się wprowadzenie normy, która będzie stanowiła podstawę do</w:t>
      </w:r>
      <w:r>
        <w:rPr>
          <w:rFonts w:ascii="Times New Roman" w:hAnsi="Times New Roman"/>
        </w:rPr>
        <w:t> </w:t>
      </w:r>
      <w:r w:rsidRPr="006B2CD4">
        <w:rPr>
          <w:rFonts w:ascii="Times New Roman" w:hAnsi="Times New Roman"/>
        </w:rPr>
        <w:t xml:space="preserve">zastosowania środków nadzorczych przez organ nadzoru w przypadku naruszenia terminu do przekazania/aktualizacji </w:t>
      </w:r>
      <w:r w:rsidRPr="006B2CD4">
        <w:rPr>
          <w:rFonts w:ascii="Times New Roman" w:hAnsi="Times New Roman"/>
          <w:bCs/>
        </w:rPr>
        <w:t>określonych</w:t>
      </w:r>
      <w:r w:rsidRPr="006B2CD4">
        <w:rPr>
          <w:rFonts w:ascii="Times New Roman" w:hAnsi="Times New Roman"/>
        </w:rPr>
        <w:t xml:space="preserve"> danych. </w:t>
      </w:r>
    </w:p>
    <w:p w14:paraId="575ABEE7" w14:textId="5AB314E0" w:rsidR="00C90711" w:rsidRDefault="00C90711" w:rsidP="00C90711">
      <w:pPr>
        <w:pStyle w:val="Bezodstpw"/>
        <w:spacing w:after="120"/>
        <w:jc w:val="both"/>
        <w:rPr>
          <w:rFonts w:ascii="Times New Roman" w:hAnsi="Times New Roman"/>
          <w:bCs/>
        </w:rPr>
      </w:pPr>
      <w:r w:rsidRPr="006B2CD4">
        <w:rPr>
          <w:rFonts w:ascii="Times New Roman" w:hAnsi="Times New Roman"/>
        </w:rPr>
        <w:t xml:space="preserve">Proponowane zmiany w art. 104 ust. 1 ustawy </w:t>
      </w:r>
      <w:r w:rsidRPr="006B2CD4">
        <w:rPr>
          <w:rFonts w:ascii="Times New Roman" w:hAnsi="Times New Roman"/>
          <w:bCs/>
        </w:rPr>
        <w:t>o ubezpieczeniach obowiązkowych, Ubezpieczeniowym Funduszu Gwarancyjnym i Polskim Biurze Ubezpieczycieli Komunikacyjnych</w:t>
      </w:r>
      <w:r w:rsidRPr="006B2CD4">
        <w:rPr>
          <w:rFonts w:ascii="Times New Roman" w:hAnsi="Times New Roman"/>
        </w:rPr>
        <w:t xml:space="preserve"> mają na celu umożliwienie uzyskania przez Biuro Nadzoru Wewnętrznego </w:t>
      </w:r>
      <w:r>
        <w:rPr>
          <w:rFonts w:ascii="Times New Roman" w:hAnsi="Times New Roman"/>
        </w:rPr>
        <w:lastRenderedPageBreak/>
        <w:t xml:space="preserve">oraz Straż Graniczną </w:t>
      </w:r>
      <w:r w:rsidRPr="006B2CD4">
        <w:rPr>
          <w:rFonts w:ascii="Times New Roman" w:hAnsi="Times New Roman"/>
        </w:rPr>
        <w:t xml:space="preserve">danych z ośrodka informacji prowadzonego przez UFG. </w:t>
      </w:r>
      <w:r w:rsidRPr="006B2CD4">
        <w:rPr>
          <w:rFonts w:ascii="Times New Roman" w:hAnsi="Times New Roman"/>
          <w:bCs/>
        </w:rPr>
        <w:t>Na podstawie art. 11a ust. 3 pkt 7 ustawy z dnia 21 czerwca 1996 r. o szczególnych formach sprawowania nadzoru przez ministra właściwego do spraw wewnętrznych (Dz. U. z 202</w:t>
      </w:r>
      <w:r w:rsidR="007326BF">
        <w:rPr>
          <w:rFonts w:ascii="Times New Roman" w:hAnsi="Times New Roman"/>
          <w:bCs/>
        </w:rPr>
        <w:t>2</w:t>
      </w:r>
      <w:r w:rsidRPr="006B2CD4">
        <w:rPr>
          <w:rFonts w:ascii="Times New Roman" w:hAnsi="Times New Roman"/>
          <w:bCs/>
        </w:rPr>
        <w:t xml:space="preserve"> r. poz. </w:t>
      </w:r>
      <w:r>
        <w:rPr>
          <w:rFonts w:ascii="Times New Roman" w:hAnsi="Times New Roman"/>
          <w:bCs/>
        </w:rPr>
        <w:t>2</w:t>
      </w:r>
      <w:r w:rsidR="007326BF">
        <w:rPr>
          <w:rFonts w:ascii="Times New Roman" w:hAnsi="Times New Roman"/>
          <w:bCs/>
        </w:rPr>
        <w:t>487</w:t>
      </w:r>
      <w:r>
        <w:rPr>
          <w:rFonts w:ascii="Times New Roman" w:hAnsi="Times New Roman"/>
          <w:bCs/>
        </w:rPr>
        <w:t>, z późn. zm.</w:t>
      </w:r>
      <w:r w:rsidRPr="006B2CD4">
        <w:rPr>
          <w:rFonts w:ascii="Times New Roman" w:hAnsi="Times New Roman"/>
          <w:bCs/>
        </w:rPr>
        <w:t>),</w:t>
      </w:r>
      <w:r w:rsidRPr="006B2CD4">
        <w:rPr>
          <w:rFonts w:ascii="Times New Roman" w:hAnsi="Times New Roman"/>
          <w:bCs/>
          <w:i/>
        </w:rPr>
        <w:t xml:space="preserve"> </w:t>
      </w:r>
      <w:r w:rsidRPr="006B2CD4">
        <w:rPr>
          <w:rFonts w:ascii="Times New Roman" w:hAnsi="Times New Roman"/>
          <w:bCs/>
        </w:rPr>
        <w:t>Inspektor Nadzoru Wewnętrznego realizuje m.in. zadanie polegające na rozpoznawaniu, zapobieganiu i wykrywaniu popełnianych przez funkcjonariuszy Policji, Straży</w:t>
      </w:r>
      <w:r>
        <w:rPr>
          <w:rFonts w:ascii="Times New Roman" w:hAnsi="Times New Roman"/>
          <w:bCs/>
        </w:rPr>
        <w:t xml:space="preserve"> </w:t>
      </w:r>
      <w:r w:rsidRPr="006B2CD4">
        <w:rPr>
          <w:rFonts w:ascii="Times New Roman" w:hAnsi="Times New Roman"/>
          <w:bCs/>
        </w:rPr>
        <w:t>Granicznej i Służby Ochrony Państwa oraz strażaków Państwowej Straży Pożarnej, a także pracowników zatrudnionych w tych służbach, umyślnych, ściganych z oskarżenia publicznego przestępstw oraz przestępstw skarbowych. Jednocześnie zgodnie z art. 11m ww. ustawy zadanie to może być realizowane w formie czynności operacyjno-rozpoznawczych. W kręgu zainteresowania Biura Nadzoru Wewnętrznego jest także przestępczość, która godzi w działalność ubezpieczeniową. Wprowadzenie proponowanej zmiany powinno korzystnie wpłynąć na rozpoznanie i wykrywanie tego rodzaju przestępczości.</w:t>
      </w:r>
      <w:r>
        <w:rPr>
          <w:rFonts w:ascii="Times New Roman" w:hAnsi="Times New Roman"/>
          <w:bCs/>
        </w:rPr>
        <w:t xml:space="preserve"> </w:t>
      </w:r>
    </w:p>
    <w:p w14:paraId="4F5A81BA" w14:textId="77777777" w:rsidR="00C90711" w:rsidRPr="003E1385" w:rsidRDefault="00C90711" w:rsidP="00C90711">
      <w:pPr>
        <w:pStyle w:val="Bezodstpw"/>
        <w:spacing w:after="120"/>
        <w:jc w:val="both"/>
        <w:rPr>
          <w:rFonts w:ascii="Times New Roman" w:hAnsi="Times New Roman"/>
          <w:bCs/>
        </w:rPr>
      </w:pPr>
      <w:r w:rsidRPr="003E1385">
        <w:rPr>
          <w:rFonts w:ascii="Times New Roman" w:hAnsi="Times New Roman"/>
          <w:bCs/>
        </w:rPr>
        <w:t xml:space="preserve">Umożliwienie uzyskania przez Straż Graniczną danych z ośrodka informacji prowadzonego przez UFG stanowi uzupełnienie uprawnienia tych służb do korzystania z określonych informacji wskazanych w przepisach ustawy o Straży Granicznej. </w:t>
      </w:r>
    </w:p>
    <w:p w14:paraId="5E2FA64B" w14:textId="2660EC39" w:rsidR="00C90711" w:rsidRPr="006B2CD4" w:rsidRDefault="00C90711" w:rsidP="00C90711">
      <w:pPr>
        <w:pStyle w:val="Bezodstpw"/>
        <w:spacing w:after="120"/>
        <w:jc w:val="both"/>
        <w:rPr>
          <w:rFonts w:ascii="Times New Roman" w:hAnsi="Times New Roman"/>
        </w:rPr>
      </w:pPr>
      <w:r w:rsidRPr="006B2CD4">
        <w:rPr>
          <w:rFonts w:ascii="Times New Roman" w:hAnsi="Times New Roman"/>
        </w:rPr>
        <w:t xml:space="preserve">Propozycja zmiany w zakresie art. 105 ust. 4 ustawy </w:t>
      </w:r>
      <w:r w:rsidRPr="006B2CD4">
        <w:rPr>
          <w:rFonts w:ascii="Times New Roman" w:hAnsi="Times New Roman"/>
          <w:bCs/>
        </w:rPr>
        <w:t>o ubezpieczeniach obowiązkowych, Ubezpieczeniowym Funduszu Gwarancyjnym i Polskim Biurze Ubezpieczycieli Komunikacyjnych</w:t>
      </w:r>
      <w:r w:rsidRPr="006B2CD4">
        <w:rPr>
          <w:rFonts w:ascii="Times New Roman" w:hAnsi="Times New Roman"/>
        </w:rPr>
        <w:t xml:space="preserve"> ma na celu wprowadzenie terminu do aktualizacji przez zakłady ubezpieczeń danych przekazywanych do UFG. Zgodnie z zaproponowanym brzmieniem zakłady ubezpieczeń przekazujące dane do UFG będą zobowiązane do ich aktualizacji w </w:t>
      </w:r>
      <w:r w:rsidRPr="006B2CD4">
        <w:rPr>
          <w:rFonts w:ascii="Times New Roman" w:hAnsi="Times New Roman"/>
        </w:rPr>
        <w:lastRenderedPageBreak/>
        <w:t xml:space="preserve">terminie 7 dni od daty uzyskania informacji o zajściu zdarzenia będącego przyczyną aktualizacji. </w:t>
      </w:r>
    </w:p>
    <w:p w14:paraId="650B7066" w14:textId="48B9A2D5" w:rsidR="00C90711" w:rsidRPr="006B2CD4" w:rsidRDefault="00C90711" w:rsidP="00C90711">
      <w:pPr>
        <w:pStyle w:val="Bezodstpw"/>
        <w:jc w:val="both"/>
        <w:rPr>
          <w:rFonts w:ascii="Times New Roman" w:hAnsi="Times New Roman"/>
        </w:rPr>
      </w:pPr>
      <w:r w:rsidRPr="006B2CD4">
        <w:rPr>
          <w:rFonts w:ascii="Times New Roman" w:hAnsi="Times New Roman"/>
        </w:rPr>
        <w:t xml:space="preserve">Propozycje zmian dotyczące dodania art. 105b, zmian w zakresie </w:t>
      </w:r>
      <w:r w:rsidR="00D13427">
        <w:rPr>
          <w:rFonts w:ascii="Times New Roman" w:hAnsi="Times New Roman"/>
        </w:rPr>
        <w:t xml:space="preserve">art. 98c, </w:t>
      </w:r>
      <w:r w:rsidRPr="006B2CD4">
        <w:rPr>
          <w:rFonts w:ascii="Times New Roman" w:hAnsi="Times New Roman"/>
        </w:rPr>
        <w:t xml:space="preserve">art. 122 ust. 1, art. 136, art. 136b pkt 5 ustawy </w:t>
      </w:r>
      <w:r w:rsidRPr="006B2CD4">
        <w:rPr>
          <w:rFonts w:ascii="Times New Roman" w:hAnsi="Times New Roman"/>
          <w:bCs/>
        </w:rPr>
        <w:t xml:space="preserve">o ubezpieczeniach obowiązkowych, Ubezpieczeniowym Funduszu Gwarancyjnym i Polskim Biurze Ubezpieczycieli Komunikacyjnych dotyczą przekazania dla UFG z Polskiego Biura Ubezpieczycieli Komunikacyjnych (dalej „PBUK”) zadania związanego z pozyskiwaniem informacji z tzw. „notatek policyjnych”. </w:t>
      </w:r>
    </w:p>
    <w:p w14:paraId="02E3DB24" w14:textId="77777777" w:rsidR="00C90711" w:rsidRPr="006B2CD4" w:rsidRDefault="00C90711" w:rsidP="00C90711">
      <w:pPr>
        <w:pStyle w:val="Bezodstpw"/>
        <w:jc w:val="both"/>
        <w:rPr>
          <w:rFonts w:ascii="Times New Roman" w:hAnsi="Times New Roman"/>
        </w:rPr>
      </w:pPr>
      <w:r w:rsidRPr="006B2CD4">
        <w:rPr>
          <w:rFonts w:ascii="Times New Roman" w:hAnsi="Times New Roman"/>
          <w:bCs/>
        </w:rPr>
        <w:t>Obecnie wymiana danych, o których mowa w art. 136 ust. 3 ustawy</w:t>
      </w:r>
      <w:r>
        <w:rPr>
          <w:rFonts w:ascii="Times New Roman" w:hAnsi="Times New Roman"/>
          <w:bCs/>
        </w:rPr>
        <w:t>,</w:t>
      </w:r>
      <w:r w:rsidRPr="006B2CD4">
        <w:rPr>
          <w:rFonts w:ascii="Times New Roman" w:hAnsi="Times New Roman"/>
          <w:bCs/>
        </w:rPr>
        <w:t xml:space="preserve"> odbywa się za pośrednictwem systemu teleinformatycznego UFG, który pełni w tym zakresie rolę procesora danych. Dane z tzw. „notatek policyjnych” przekazywane są przez Policję do PBUK za pośrednictwem systemów UFG, a następnie, w zgodzie z art. 136 ust. 5 ustawy, również przy wykorzystaniu systemów UFG dane te są udostępniane zakładom ubezpieczeń. Rozwiązanie to pozwala na wymianę danych pomiędzy Policją, PBUK a zakładami ubezpieczeń, co stanowi istotne udogodnienie dla wszystkich podmiotów uczestniczących w tym procesie. Przed wprowadzeniem obecnego rozwiązania, angażującego systemy informatyczne UFG, dane te przekazywane były na płytach CD w terminie ok. 30 dni od zaistnienia zdarzenia, z którego sporządzono notatkę policyjną.</w:t>
      </w:r>
    </w:p>
    <w:p w14:paraId="7A5A9EA2" w14:textId="30FC9985" w:rsidR="00C90711" w:rsidRPr="006B2CD4" w:rsidRDefault="00C90711" w:rsidP="00C90711">
      <w:pPr>
        <w:pStyle w:val="Bezodstpw"/>
        <w:jc w:val="both"/>
        <w:rPr>
          <w:rFonts w:ascii="Times New Roman" w:hAnsi="Times New Roman"/>
          <w:bCs/>
        </w:rPr>
      </w:pPr>
      <w:r w:rsidRPr="006B2CD4">
        <w:rPr>
          <w:rFonts w:ascii="Times New Roman" w:hAnsi="Times New Roman"/>
          <w:bCs/>
        </w:rPr>
        <w:t>Mając na uwadze rolę</w:t>
      </w:r>
      <w:r>
        <w:rPr>
          <w:rFonts w:ascii="Times New Roman" w:hAnsi="Times New Roman"/>
          <w:bCs/>
        </w:rPr>
        <w:t>,</w:t>
      </w:r>
      <w:r w:rsidRPr="006B2CD4">
        <w:rPr>
          <w:rFonts w:ascii="Times New Roman" w:hAnsi="Times New Roman"/>
          <w:bCs/>
        </w:rPr>
        <w:t xml:space="preserve"> jaką spełnia UFG w wymianie ww. danych</w:t>
      </w:r>
      <w:r>
        <w:rPr>
          <w:rFonts w:ascii="Times New Roman" w:hAnsi="Times New Roman"/>
          <w:bCs/>
        </w:rPr>
        <w:t>,</w:t>
      </w:r>
      <w:r w:rsidRPr="006B2CD4">
        <w:rPr>
          <w:rFonts w:ascii="Times New Roman" w:hAnsi="Times New Roman"/>
          <w:bCs/>
        </w:rPr>
        <w:t xml:space="preserve"> proponuje się aby zadanie, o którym mowa w art. 136 ustawy</w:t>
      </w:r>
      <w:r>
        <w:rPr>
          <w:rFonts w:ascii="Times New Roman" w:hAnsi="Times New Roman"/>
          <w:bCs/>
        </w:rPr>
        <w:t>,</w:t>
      </w:r>
      <w:r w:rsidRPr="006B2CD4">
        <w:rPr>
          <w:rFonts w:ascii="Times New Roman" w:hAnsi="Times New Roman"/>
          <w:bCs/>
        </w:rPr>
        <w:t xml:space="preserve"> zostało powierzone UFG. Z uwagi na rozbudowaną infrastrukturę informatyczną oraz szerokie doświadczenie UFG w zakresie przetwarzania i </w:t>
      </w:r>
      <w:r w:rsidRPr="006B2CD4">
        <w:rPr>
          <w:rFonts w:ascii="Times New Roman" w:hAnsi="Times New Roman"/>
          <w:bCs/>
        </w:rPr>
        <w:lastRenderedPageBreak/>
        <w:t>wymiany danych z zakładami ubezpieczeń oraz innymi uprawnionymi podmiotami, UFG posiada odpowiednią wiedzę i zaplecze, aby dać gwarancję najbardziej efektywnej realizacji ww. zadania ustawowego. Nabiera to tym większego znaczenia, że już w obecnym procesie UFG pełni nieodzowną rolę wymiany informacji z Policją i zakładami ubezpieczeń, pozwalając</w:t>
      </w:r>
      <w:r>
        <w:rPr>
          <w:rFonts w:ascii="Times New Roman" w:hAnsi="Times New Roman"/>
          <w:bCs/>
        </w:rPr>
        <w:t>ą</w:t>
      </w:r>
      <w:r w:rsidRPr="006B2CD4">
        <w:rPr>
          <w:rFonts w:ascii="Times New Roman" w:hAnsi="Times New Roman"/>
          <w:bCs/>
        </w:rPr>
        <w:t xml:space="preserve"> na udostępnienie danych o zdarzeniu w kilka minut od jego zaistnienia.</w:t>
      </w:r>
    </w:p>
    <w:p w14:paraId="0184B3A7" w14:textId="419C44B1" w:rsidR="00C90711" w:rsidRPr="006B2CD4" w:rsidRDefault="00C90711" w:rsidP="00C90711">
      <w:pPr>
        <w:pStyle w:val="Bezodstpw"/>
        <w:spacing w:after="120"/>
        <w:jc w:val="both"/>
        <w:rPr>
          <w:rFonts w:ascii="Times New Roman" w:hAnsi="Times New Roman"/>
          <w:bCs/>
        </w:rPr>
      </w:pPr>
      <w:r w:rsidRPr="006B2CD4">
        <w:rPr>
          <w:rFonts w:ascii="Times New Roman" w:hAnsi="Times New Roman"/>
          <w:bCs/>
        </w:rPr>
        <w:t>Dodatkowo, z uwagi na zasób posiadanych przez UFG danych o ubezpieczeniach komunikacyjnych oraz bieżącą komunikację z zakładami ubezpieczeń, powierzenie UFG zadania, o którym mowa w art. 136 tej ustawy, pozwoli na zwiększenie użyteczności informacji o „notatkach policyjnych”. Powierzając to zadanie UFG, stworzona zostałaby możliwość wsparcia zakładów ubezpieczeń zarówno w zakresie likwidacji szkód, jak i przeciwdziałani</w:t>
      </w:r>
      <w:r>
        <w:rPr>
          <w:rFonts w:ascii="Times New Roman" w:hAnsi="Times New Roman"/>
          <w:bCs/>
        </w:rPr>
        <w:t>a</w:t>
      </w:r>
      <w:r w:rsidRPr="006B2CD4">
        <w:rPr>
          <w:rFonts w:ascii="Times New Roman" w:hAnsi="Times New Roman"/>
          <w:bCs/>
        </w:rPr>
        <w:t xml:space="preserve"> przestępczości ubezpieczeniowej, co w konsekwencji przekładałoby się również na zwiększenie zaufania do rynku ubezpieczeniowego i poprawę bezpieczeństwa ruchu drogowego. Przyjęty natomiast obecnie model współpracy pomiędzy PBUK, Policją a UFG, gdzie UFG pełni rolę procesora danych, z powodu uwarunkowań prawnych wstrzymuje możliwości pełniejszego wykorzystania danych z „notatek policyjnych”, jakie istniałyby</w:t>
      </w:r>
      <w:r>
        <w:rPr>
          <w:rFonts w:ascii="Times New Roman" w:hAnsi="Times New Roman"/>
          <w:bCs/>
        </w:rPr>
        <w:t>,</w:t>
      </w:r>
      <w:r w:rsidRPr="006B2CD4">
        <w:rPr>
          <w:rFonts w:ascii="Times New Roman" w:hAnsi="Times New Roman"/>
          <w:bCs/>
        </w:rPr>
        <w:t xml:space="preserve"> gdyby to UFG było administratorem tych danych. </w:t>
      </w:r>
      <w:r w:rsidR="00D13427" w:rsidRPr="00D13427">
        <w:rPr>
          <w:rFonts w:ascii="Times New Roman" w:hAnsi="Times New Roman"/>
          <w:bCs/>
        </w:rPr>
        <w:t>W związku z powyższym konieczne pozostaje uwzględnienie możliwości przetwarzania przez UFG danych o „notatkach policyjnych” z okresu poprzedzającego przekazanie tego zadania do UFG.</w:t>
      </w:r>
      <w:r w:rsidR="00D13427">
        <w:rPr>
          <w:rFonts w:ascii="Times New Roman" w:hAnsi="Times New Roman"/>
          <w:bCs/>
        </w:rPr>
        <w:t xml:space="preserve"> </w:t>
      </w:r>
      <w:r w:rsidRPr="006B2CD4">
        <w:rPr>
          <w:rFonts w:ascii="Times New Roman" w:hAnsi="Times New Roman"/>
          <w:bCs/>
        </w:rPr>
        <w:t xml:space="preserve">W </w:t>
      </w:r>
      <w:r w:rsidR="00D13427">
        <w:rPr>
          <w:rFonts w:ascii="Times New Roman" w:hAnsi="Times New Roman"/>
          <w:bCs/>
        </w:rPr>
        <w:t xml:space="preserve">tym zakresie </w:t>
      </w:r>
      <w:r w:rsidRPr="006B2CD4">
        <w:rPr>
          <w:rFonts w:ascii="Times New Roman" w:hAnsi="Times New Roman"/>
          <w:bCs/>
        </w:rPr>
        <w:t>proponuje się wprowadzenie przepisu przejściowego</w:t>
      </w:r>
      <w:r>
        <w:rPr>
          <w:rFonts w:ascii="Times New Roman" w:hAnsi="Times New Roman"/>
          <w:bCs/>
        </w:rPr>
        <w:t>,</w:t>
      </w:r>
      <w:r w:rsidRPr="006B2CD4">
        <w:rPr>
          <w:rFonts w:ascii="Times New Roman" w:hAnsi="Times New Roman"/>
          <w:bCs/>
        </w:rPr>
        <w:t xml:space="preserve"> na podstawie którego PBUK przekaże UFG określone dane i informacje (art. 3</w:t>
      </w:r>
      <w:r w:rsidR="00AB5F90">
        <w:rPr>
          <w:rFonts w:ascii="Times New Roman" w:hAnsi="Times New Roman"/>
          <w:bCs/>
        </w:rPr>
        <w:t>9</w:t>
      </w:r>
      <w:r w:rsidRPr="006B2CD4">
        <w:rPr>
          <w:rFonts w:ascii="Times New Roman" w:hAnsi="Times New Roman"/>
          <w:bCs/>
        </w:rPr>
        <w:t xml:space="preserve"> projektowanej ustawy). </w:t>
      </w:r>
    </w:p>
    <w:p w14:paraId="5AECCF61" w14:textId="77777777" w:rsidR="00C90711" w:rsidRPr="006B2CD4" w:rsidRDefault="00C90711" w:rsidP="00C90711">
      <w:pPr>
        <w:pStyle w:val="Bezodstpw"/>
        <w:spacing w:after="120"/>
        <w:jc w:val="both"/>
        <w:rPr>
          <w:rFonts w:ascii="Times New Roman" w:hAnsi="Times New Roman"/>
        </w:rPr>
      </w:pPr>
      <w:r w:rsidRPr="006B2CD4">
        <w:rPr>
          <w:rFonts w:ascii="Times New Roman" w:hAnsi="Times New Roman"/>
        </w:rPr>
        <w:lastRenderedPageBreak/>
        <w:t>Propozycja zmiany ust. 1 w art. 106 ustawy o ubezpieczeniach obowiązkowych, Ubezpieczeniowym Funduszu Gwarancyjnym i Polskim Biurze Ubezpieczycieli Komunikacyjnych wynika z faktu, iż obecna norma w pewnym sensie dyskryminuje tych poszkodowanych, którzy są zapobiegliwi i zawarli ubezpieczenia dobrowolne (np. AC, Assisstance, ubezpieczenie mienia), bowiem w przypadku szkody spowodowanej przez nieubezpieczonego lub nieustalonego sprawcę nie otrzymają oni odszkodowania z UFG</w:t>
      </w:r>
      <w:r>
        <w:rPr>
          <w:rFonts w:ascii="Times New Roman" w:hAnsi="Times New Roman"/>
        </w:rPr>
        <w:t>,</w:t>
      </w:r>
      <w:r w:rsidRPr="006B2CD4">
        <w:rPr>
          <w:rFonts w:ascii="Times New Roman" w:hAnsi="Times New Roman"/>
        </w:rPr>
        <w:t xml:space="preserve"> tylko są zmuszeni skorzystać z posiadanego ubezpieczenia dobrowolnego. UFG ma obowiązek wyrównać im szkodę, która nie znajduje pokrycia w ubezpieczeniu dobrowolnym</w:t>
      </w:r>
      <w:r>
        <w:rPr>
          <w:rFonts w:ascii="Times New Roman" w:hAnsi="Times New Roman"/>
        </w:rPr>
        <w:t>,</w:t>
      </w:r>
      <w:r w:rsidRPr="006B2CD4">
        <w:rPr>
          <w:rFonts w:ascii="Times New Roman" w:hAnsi="Times New Roman"/>
        </w:rPr>
        <w:t xml:space="preserve"> i</w:t>
      </w:r>
      <w:r>
        <w:rPr>
          <w:rFonts w:ascii="Times New Roman" w:hAnsi="Times New Roman"/>
        </w:rPr>
        <w:t> </w:t>
      </w:r>
      <w:r w:rsidRPr="006B2CD4">
        <w:rPr>
          <w:rFonts w:ascii="Times New Roman" w:hAnsi="Times New Roman"/>
        </w:rPr>
        <w:t>zrefundować utracone zniżki za bezszkodowość</w:t>
      </w:r>
      <w:r>
        <w:rPr>
          <w:rFonts w:ascii="Times New Roman" w:hAnsi="Times New Roman"/>
        </w:rPr>
        <w:t>. P</w:t>
      </w:r>
      <w:r w:rsidRPr="006B2CD4">
        <w:rPr>
          <w:rFonts w:ascii="Times New Roman" w:hAnsi="Times New Roman"/>
        </w:rPr>
        <w:t xml:space="preserve">raktyka </w:t>
      </w:r>
      <w:r>
        <w:rPr>
          <w:rFonts w:ascii="Times New Roman" w:hAnsi="Times New Roman"/>
        </w:rPr>
        <w:t xml:space="preserve">jednak </w:t>
      </w:r>
      <w:r w:rsidRPr="006B2CD4">
        <w:rPr>
          <w:rFonts w:ascii="Times New Roman" w:hAnsi="Times New Roman"/>
        </w:rPr>
        <w:t>pokazuje, że proces ten wymaga identyfikacji polis dobrowolnych poszkodowanego i sprawdzenia zakresu posiadanej ochrony, w tym różnic w stosunku do ochrony przysługującej mu z ubezpieczenia OC posiadaczy pojazdów mechanicznych lub OC rolnika, co często powoduje wydłużenie procesu likwidacji. Dodatkowo, w przypadku AC czy Assistance</w:t>
      </w:r>
      <w:r>
        <w:rPr>
          <w:rFonts w:ascii="Times New Roman" w:hAnsi="Times New Roman"/>
        </w:rPr>
        <w:t>,</w:t>
      </w:r>
      <w:r w:rsidRPr="006B2CD4">
        <w:rPr>
          <w:rFonts w:ascii="Times New Roman" w:hAnsi="Times New Roman"/>
        </w:rPr>
        <w:t xml:space="preserve"> postanowienia Ogólnych Warunków Ubezpieczenia przewidują zwykle konieczność uprzedniego uzyskania zgody call center zakładu ubezpieczeń, który jest wystawcą takiej polisy</w:t>
      </w:r>
      <w:r>
        <w:rPr>
          <w:rFonts w:ascii="Times New Roman" w:hAnsi="Times New Roman"/>
        </w:rPr>
        <w:t>,</w:t>
      </w:r>
      <w:r w:rsidRPr="006B2CD4">
        <w:rPr>
          <w:rFonts w:ascii="Times New Roman" w:hAnsi="Times New Roman"/>
        </w:rPr>
        <w:t xml:space="preserve"> na wykorzystanie pewnych usług (np. holowanie, parkowanie). Niewykonanie takiej czynności skutkuje odmową pokrycia kosztów takiej usługi przez zakład ubezpieczeń. Tymczasem na miejscu wypadku poszkodowany nie zawsze ma możliwość jednoznacznej oceny, czy ma do czynienia z ubezpieczonym czy nieubezpieczonym sprawcą, by świadomie rozstrzygnąć, czy powinien skorzystać z</w:t>
      </w:r>
      <w:r>
        <w:rPr>
          <w:rFonts w:ascii="Times New Roman" w:hAnsi="Times New Roman"/>
        </w:rPr>
        <w:t> </w:t>
      </w:r>
      <w:r w:rsidRPr="006B2CD4">
        <w:rPr>
          <w:rFonts w:ascii="Times New Roman" w:hAnsi="Times New Roman"/>
        </w:rPr>
        <w:t xml:space="preserve">określonych usług z własnej polisy czy z polisy sprawcy. </w:t>
      </w:r>
      <w:r>
        <w:rPr>
          <w:rFonts w:ascii="Times New Roman" w:hAnsi="Times New Roman"/>
        </w:rPr>
        <w:t>W chwili obecnej</w:t>
      </w:r>
      <w:r w:rsidRPr="006B2CD4">
        <w:rPr>
          <w:rFonts w:ascii="Times New Roman" w:hAnsi="Times New Roman"/>
        </w:rPr>
        <w:t xml:space="preserve"> UFG</w:t>
      </w:r>
      <w:r>
        <w:rPr>
          <w:rFonts w:ascii="Times New Roman" w:hAnsi="Times New Roman"/>
        </w:rPr>
        <w:t>,</w:t>
      </w:r>
      <w:r w:rsidRPr="006B2CD4">
        <w:rPr>
          <w:rFonts w:ascii="Times New Roman" w:hAnsi="Times New Roman"/>
        </w:rPr>
        <w:t xml:space="preserve"> ze względu </w:t>
      </w:r>
      <w:r w:rsidRPr="006B2CD4">
        <w:rPr>
          <w:rFonts w:ascii="Times New Roman" w:hAnsi="Times New Roman"/>
        </w:rPr>
        <w:lastRenderedPageBreak/>
        <w:t>na treść art. 106 tej ustawy (tj. jeżeli poszkodowany może zaspokoić swoje roszczenie z umowy dobrowolnej)</w:t>
      </w:r>
      <w:r>
        <w:rPr>
          <w:rFonts w:ascii="Times New Roman" w:hAnsi="Times New Roman"/>
        </w:rPr>
        <w:t>,</w:t>
      </w:r>
      <w:r w:rsidRPr="006B2CD4">
        <w:rPr>
          <w:rFonts w:ascii="Times New Roman" w:hAnsi="Times New Roman"/>
        </w:rPr>
        <w:t xml:space="preserve"> jest zmuszony odmówić pokrycia takich kosztów nawet wtedy, gdy są one zasadne, ponieważ poszkodowany miał teoretycznie możliwość pokrycia ich z własnej umowy dobrowolnej. Taki sposób interpretacji tego przepisu potwierdza również orzecznictwo sądowe (wystarczająca jest możliwość pokrycia szkody z ubezpieczenia dobrowolnego, a nie świadoma decyzja poszkodowanego w tym zakresie). Niektórzy poszkodowani, uprawnieni do uzyskania świadczenia z UFG, mogą więc być w takich sytuacjach traktowani w związku z aktualnym brzmieniem przepisu gorzej niż ci, którzy nie posiadają umów dobrowolnych, co nie wydaje się sprawiedliwe. W związku z tym proponuje się doprecyzowanie obecnej normy i wskazanie, iż w sytuacji gdy poszkodowany, w przypadku szkody w mieniu, zaspokoił swoje roszczenie z posiadanej umowy ubezpieczenia dobrowolnego, UFG wyrównuje szkodę w części, w której nie została ona zaspokojona z ubezpieczenia dobrowolnego, wraz z uwzględnieniem utraconych zniżek składki oraz prawa do </w:t>
      </w:r>
      <w:r w:rsidRPr="006B2CD4">
        <w:rPr>
          <w:rFonts w:ascii="Times New Roman" w:hAnsi="Times New Roman"/>
          <w:bCs/>
        </w:rPr>
        <w:t>zniżek</w:t>
      </w:r>
      <w:r w:rsidRPr="006B2CD4">
        <w:rPr>
          <w:rFonts w:ascii="Times New Roman" w:hAnsi="Times New Roman"/>
        </w:rPr>
        <w:t xml:space="preserve"> składki. </w:t>
      </w:r>
    </w:p>
    <w:p w14:paraId="49DCA18B" w14:textId="77777777" w:rsidR="00C90711" w:rsidRPr="006B2CD4" w:rsidRDefault="00C90711" w:rsidP="00C90711">
      <w:pPr>
        <w:pStyle w:val="Bezodstpw"/>
        <w:spacing w:after="120"/>
        <w:jc w:val="both"/>
        <w:rPr>
          <w:rFonts w:ascii="Times New Roman" w:hAnsi="Times New Roman"/>
        </w:rPr>
      </w:pPr>
      <w:r w:rsidRPr="006B2CD4">
        <w:rPr>
          <w:rFonts w:ascii="Times New Roman" w:hAnsi="Times New Roman"/>
        </w:rPr>
        <w:t>Propozycje zmian w art. 108 ustawy o ubezpieczeniach obowiązkowych, Ubezpieczeniowym Funduszu Gwarancyjnym i Polskim Biurze Ubezpieczycieli Komunikacyjnych mają na celu doprecyzowanie terminu przeprowadzania likwidacji szkód na rzecz UFG przez zakłady ubezpieczeń oraz wprowadzeni</w:t>
      </w:r>
      <w:r>
        <w:rPr>
          <w:rFonts w:ascii="Times New Roman" w:hAnsi="Times New Roman"/>
        </w:rPr>
        <w:t>e</w:t>
      </w:r>
      <w:r w:rsidRPr="006B2CD4">
        <w:rPr>
          <w:rFonts w:ascii="Times New Roman" w:hAnsi="Times New Roman"/>
        </w:rPr>
        <w:t xml:space="preserve"> uprawnienia dla organu nadzoru do zastosowania sankcji za nieterminową likwidację takich szkód. Zgodnie z obwiązującym brzmieniem art. 108 ust. 1 tej ustawy uprawniony do odszkodowania zgłasza swoje roszczenia do UFG przez którykolwiek zakład ubezpieczeń wykonujący działalność ubezpieczeniową w grupach obejmujących </w:t>
      </w:r>
      <w:r w:rsidRPr="006B2CD4">
        <w:rPr>
          <w:rFonts w:ascii="Times New Roman" w:hAnsi="Times New Roman"/>
        </w:rPr>
        <w:lastRenderedPageBreak/>
        <w:t>ubezpieczenia obowiązkowe, o który</w:t>
      </w:r>
      <w:r>
        <w:rPr>
          <w:rFonts w:ascii="Times New Roman" w:hAnsi="Times New Roman"/>
        </w:rPr>
        <w:t>ch</w:t>
      </w:r>
      <w:r w:rsidRPr="006B2CD4">
        <w:rPr>
          <w:rFonts w:ascii="Times New Roman" w:hAnsi="Times New Roman"/>
        </w:rPr>
        <w:t xml:space="preserve"> mowa w art. 4 pkt 1 i 2 tej ustawy. Zakład ubezpieczeń nie może odmówić przyjęcia zgłoszenia szkody. Zakład ubezpieczeń, po otrzymaniu zgłoszenia roszczenia, przeprowadza postępowanie w zakresie ustalenia zasadności i wysokości dochodzonych roszczeń i niezwłocznie przesyła zebraną dokumentację do UFG, powiadamiając o tym osobę zgłaszającą roszczenie. Dane będące w posiadaniu organu nadzoru wskazują na nieprawidłowości w zakresie jakości i terminowości likwidacji szkód przez zakłady ubezpieczeń na rzecz UFG (znaczny odsetek szkód, w których błędnie ustalana jest odpowiedzialność UFG</w:t>
      </w:r>
      <w:r>
        <w:rPr>
          <w:rFonts w:ascii="Times New Roman" w:hAnsi="Times New Roman"/>
        </w:rPr>
        <w:t>,</w:t>
      </w:r>
      <w:r w:rsidRPr="006B2CD4">
        <w:rPr>
          <w:rFonts w:ascii="Times New Roman" w:hAnsi="Times New Roman"/>
        </w:rPr>
        <w:t xml:space="preserve"> lub szkód likwidowanych z opóźnieniem). Powoduje to w efekcie wydłużenie czasu oczekiwania przez osoby poszkodowane przez nieustalonych lub nieubezpieczonych sprawców na odszkodowanie i naruszanie tym samym ich interesów. Wskazane jest wyraźne zobowiązanie zakładów ubezpieczeń do likwidacji szkód dla UFG w</w:t>
      </w:r>
      <w:r>
        <w:rPr>
          <w:rFonts w:ascii="Times New Roman" w:hAnsi="Times New Roman"/>
        </w:rPr>
        <w:t> </w:t>
      </w:r>
      <w:r w:rsidRPr="006B2CD4">
        <w:rPr>
          <w:rFonts w:ascii="Times New Roman" w:hAnsi="Times New Roman"/>
        </w:rPr>
        <w:t>terminach analogicznych jak obowiązujące zakłady ubezpieczeń dla ich własnych szkód oraz uprawnienie dla organu nadzoru do zastosowania sankcji za nieterminową likwidację szkód na rzecz UFG, zarówno w stosunku do krajowych jak i zagranicznych zakładów ubezpieczeń. Jest to uzasadnione także tym, iż zgodnie z art. 109 ust. 3 tej ustawy odpowiedzialność za zwłokę w spełnieniu świadczenia ponoszą odpowiednio UFG i zakład ubezpieczeń, każdy w swoim zakresie. Aktualnie nie jest jednak precyzyjnie określony termin przeprowadzenia likwidacji na rzecz UFG przez zakład ubezpieczeń.</w:t>
      </w:r>
    </w:p>
    <w:p w14:paraId="302E269E" w14:textId="32B98D68" w:rsidR="00C90711" w:rsidRPr="006B2CD4" w:rsidRDefault="00C90711" w:rsidP="00C90711">
      <w:pPr>
        <w:pStyle w:val="Bezodstpw"/>
        <w:jc w:val="both"/>
        <w:rPr>
          <w:rFonts w:ascii="Times New Roman" w:hAnsi="Times New Roman"/>
        </w:rPr>
      </w:pPr>
      <w:r w:rsidRPr="006B2CD4">
        <w:rPr>
          <w:rFonts w:ascii="Times New Roman" w:hAnsi="Times New Roman"/>
        </w:rPr>
        <w:t xml:space="preserve">Dodatkowo proponuje się uzupełnienie art. 108 ust. 2 ustawy o wskazanie, iż do postępowania zakładu ubezpieczeń stosuje się odpowiednio art. 29 ust. 1 i ust. 6‒9 ustawy o działalności </w:t>
      </w:r>
      <w:r w:rsidRPr="006B2CD4">
        <w:rPr>
          <w:rFonts w:ascii="Times New Roman" w:hAnsi="Times New Roman"/>
        </w:rPr>
        <w:lastRenderedPageBreak/>
        <w:t>ubezpieczeniowej i reasekuracyjnej. Niniejsze uzupełnienie z jednej strony pozwoli zaznaczyć, iż działania zakładu ubezpieczeń w związku z ustalaniem stanu faktycznego związanego z</w:t>
      </w:r>
      <w:r>
        <w:rPr>
          <w:rFonts w:ascii="Times New Roman" w:hAnsi="Times New Roman"/>
        </w:rPr>
        <w:t> </w:t>
      </w:r>
      <w:r w:rsidRPr="006B2CD4">
        <w:rPr>
          <w:rFonts w:ascii="Times New Roman" w:hAnsi="Times New Roman"/>
        </w:rPr>
        <w:t>roszczeniem złożonym do UFG nie mogą być postrzegane jako likwidacja szkody w ramach umowy ubezpieczenia zawartej przez ten zakład. Z drugiej strony należy również dążyć do tego, by fakt, iż sprawca szkody nie został ustalony</w:t>
      </w:r>
      <w:r>
        <w:rPr>
          <w:rFonts w:ascii="Times New Roman" w:hAnsi="Times New Roman"/>
        </w:rPr>
        <w:t>,</w:t>
      </w:r>
      <w:r w:rsidRPr="006B2CD4">
        <w:rPr>
          <w:rFonts w:ascii="Times New Roman" w:hAnsi="Times New Roman"/>
        </w:rPr>
        <w:t xml:space="preserve"> bądź też nie posiadał ubezpieczenia obowiązkowego, nie powodował, że poszkodowany jego działaniem znajdzie się w pozycji gorszej</w:t>
      </w:r>
      <w:r>
        <w:rPr>
          <w:rFonts w:ascii="Times New Roman" w:hAnsi="Times New Roman"/>
        </w:rPr>
        <w:t>,</w:t>
      </w:r>
      <w:r w:rsidRPr="006B2CD4">
        <w:rPr>
          <w:rFonts w:ascii="Times New Roman" w:hAnsi="Times New Roman"/>
        </w:rPr>
        <w:t xml:space="preserve"> niż byłby, gdyby domagał się naprawienia szkody w ramach umowy ubezpieczenia obowiązkowego. Z punktu widzenia poszkodowanego obojętne jest to, czy zakład likwiduje szkodę w ramach zawartej przez siebie umowy ubezpieczenia, czy też prowadzi likwidację w</w:t>
      </w:r>
      <w:r>
        <w:rPr>
          <w:rFonts w:ascii="Times New Roman" w:hAnsi="Times New Roman"/>
        </w:rPr>
        <w:t> </w:t>
      </w:r>
      <w:r w:rsidRPr="006B2CD4">
        <w:rPr>
          <w:rFonts w:ascii="Times New Roman" w:hAnsi="Times New Roman"/>
        </w:rPr>
        <w:t xml:space="preserve">ciężar odpowiedzialności innego podmiotu (w tym przypadku UFG). Istotne jest natomiast, by zakład prowadzący swoje postępowanie działał możliwie sprawnie, pozyskując i analizując informacje niezbędne do ustalenia zasadności roszczenia i wartości odszkodowania. W przypadku zakładu ubezpieczeń likwidującego szkodę w ciężar własnej odpowiedzialności, takiego aktywnego działania wymaga art. 29 ust. 1 ustawy o działalności ubezpieczeniowej i reasekuracyjnej, poprzez wymóg poinformowania m.in. składającego roszczenie o tym, jakie dokumenty są niezbędne do przeprowadzenia likwidacji. Obecnie jednak przepis ten nie może być stosowany do postępowania prowadzonego na podstawie art. 108 ust. 2 ustawy o ubezpieczeniach obowiązkowych, </w:t>
      </w:r>
      <w:r w:rsidRPr="006B2CD4">
        <w:rPr>
          <w:rFonts w:ascii="Times New Roman" w:hAnsi="Times New Roman"/>
          <w:bCs/>
        </w:rPr>
        <w:t>Ubezpieczeniowym Funduszu Gwarancyjnym i Polskim Biurze Ubezpieczycieli Komunikacyjnych</w:t>
      </w:r>
      <w:r>
        <w:rPr>
          <w:rFonts w:ascii="Times New Roman" w:hAnsi="Times New Roman"/>
          <w:bCs/>
        </w:rPr>
        <w:t>,</w:t>
      </w:r>
      <w:r w:rsidRPr="006B2CD4">
        <w:rPr>
          <w:rFonts w:ascii="Times New Roman" w:hAnsi="Times New Roman"/>
        </w:rPr>
        <w:t xml:space="preserve"> gdyż art. 29 ustawy o działalności ubezpieczeniowej</w:t>
      </w:r>
      <w:r>
        <w:rPr>
          <w:rFonts w:ascii="Times New Roman" w:hAnsi="Times New Roman"/>
        </w:rPr>
        <w:t xml:space="preserve"> </w:t>
      </w:r>
      <w:r w:rsidRPr="006B2CD4">
        <w:rPr>
          <w:rFonts w:ascii="Times New Roman" w:hAnsi="Times New Roman"/>
        </w:rPr>
        <w:t xml:space="preserve">i reasekuracyjnej reguluje postępowanie zmierzające do </w:t>
      </w:r>
      <w:r w:rsidRPr="006B2CD4">
        <w:rPr>
          <w:rFonts w:ascii="Times New Roman" w:hAnsi="Times New Roman"/>
        </w:rPr>
        <w:lastRenderedPageBreak/>
        <w:t>ustalenia/wykluczenia odpowiedzialności zakładu ubezpieczeń z tytułu umowy ubezpieczenia.</w:t>
      </w:r>
    </w:p>
    <w:p w14:paraId="758C3C0F" w14:textId="77777777" w:rsidR="00C90711" w:rsidRPr="006B2CD4" w:rsidRDefault="00C90711" w:rsidP="00C90711">
      <w:pPr>
        <w:pStyle w:val="Bezodstpw"/>
        <w:jc w:val="both"/>
        <w:rPr>
          <w:rFonts w:ascii="Times New Roman" w:hAnsi="Times New Roman"/>
        </w:rPr>
      </w:pPr>
      <w:r w:rsidRPr="006B2CD4">
        <w:rPr>
          <w:rFonts w:ascii="Times New Roman" w:hAnsi="Times New Roman"/>
        </w:rPr>
        <w:t>Jednocześnie poszkodowany nie powinien być pozbawiony wglądu w działania zakładu prowadzącego postępowanie w trybie art. 108 ust. 2 ustawy</w:t>
      </w:r>
      <w:r>
        <w:rPr>
          <w:rFonts w:ascii="Times New Roman" w:hAnsi="Times New Roman"/>
        </w:rPr>
        <w:t xml:space="preserve"> </w:t>
      </w:r>
      <w:r w:rsidRPr="006B2CD4">
        <w:rPr>
          <w:rFonts w:ascii="Times New Roman" w:hAnsi="Times New Roman"/>
        </w:rPr>
        <w:t xml:space="preserve">– powinien mieć zagwarantowane prawo dostępu do dokumentacji zgromadzonej przez zakład, tak jak ma to miejsce w przypadku likwidacji szkód w ciężar odpowiedzialności zakładu </w:t>
      </w:r>
      <w:r w:rsidRPr="006B2CD4">
        <w:rPr>
          <w:rFonts w:ascii="Times New Roman" w:hAnsi="Times New Roman"/>
          <w:bCs/>
        </w:rPr>
        <w:t>ubezpieczeń</w:t>
      </w:r>
      <w:r w:rsidRPr="006B2CD4">
        <w:rPr>
          <w:rFonts w:ascii="Times New Roman" w:hAnsi="Times New Roman"/>
        </w:rPr>
        <w:t>.</w:t>
      </w:r>
    </w:p>
    <w:p w14:paraId="1FE9024A" w14:textId="77777777" w:rsidR="00C90711" w:rsidRPr="006B2CD4" w:rsidRDefault="00C90711" w:rsidP="00C90711">
      <w:pPr>
        <w:pStyle w:val="Bezodstpw"/>
        <w:spacing w:after="120"/>
        <w:jc w:val="both"/>
        <w:rPr>
          <w:rFonts w:ascii="Times New Roman" w:hAnsi="Times New Roman"/>
        </w:rPr>
      </w:pPr>
      <w:r w:rsidRPr="006B2CD4">
        <w:rPr>
          <w:rFonts w:ascii="Times New Roman" w:hAnsi="Times New Roman"/>
        </w:rPr>
        <w:t>W związku z powyższym proponuje się wskazanie, że do postępowania prowadzonego na rzecz UFG w trybie art. 108 ust. 2 ustawy o ubezpieczeniach obowiązkowych</w:t>
      </w:r>
      <w:r>
        <w:rPr>
          <w:rFonts w:ascii="Times New Roman" w:hAnsi="Times New Roman"/>
        </w:rPr>
        <w:t xml:space="preserve">, </w:t>
      </w:r>
      <w:r w:rsidRPr="006B2CD4">
        <w:rPr>
          <w:rFonts w:ascii="Times New Roman" w:hAnsi="Times New Roman"/>
          <w:bCs/>
        </w:rPr>
        <w:t>Ubezpieczeniowym Funduszu Gwarancyjnym i Polskim Biurze Ubezpieczycieli Komunikacyjnych</w:t>
      </w:r>
      <w:r w:rsidRPr="006B2CD4">
        <w:rPr>
          <w:rFonts w:ascii="Times New Roman" w:hAnsi="Times New Roman"/>
        </w:rPr>
        <w:t xml:space="preserve"> stosuje się odpowiednio art. 29 ust. 1 ustawy o działalności ubezpieczeniowej i reasekuracyjnej (celem zapewnienia aktywnego prowadzenia postępowania przez zakład, w tym również ustalenia stanu faktycznego sprawy – czego nie wymaga obecne brzmienie art. 108 ust. 2) oraz art. 29 ust. 6‒9 tej samej ustawy (celem zapewnienia dostępu do dokumentacji gromadzonej przez zakład ubezpieczeń)</w:t>
      </w:r>
      <w:r>
        <w:rPr>
          <w:rFonts w:ascii="Times New Roman" w:hAnsi="Times New Roman"/>
        </w:rPr>
        <w:t xml:space="preserve">, z zastrzeżeniem o ile akta sprawy zostaną przekazane do UFG w terminie krótszym niż 7 dni. W wyniku dodania przedmiotowego terminu to Ubezpieczeniowy Fundusz Gwarancyjny będzie przekazywał informacje w zakresie dokumentów, o których mowa w art. 29 ust. 1 </w:t>
      </w:r>
      <w:r w:rsidRPr="00967E9C">
        <w:rPr>
          <w:rFonts w:ascii="Times New Roman" w:hAnsi="Times New Roman"/>
        </w:rPr>
        <w:t>ustawy o działalności ubezpieczeniowej i reasekuracyjnej</w:t>
      </w:r>
      <w:r>
        <w:rPr>
          <w:rFonts w:ascii="Times New Roman" w:hAnsi="Times New Roman"/>
        </w:rPr>
        <w:t xml:space="preserve">, a tym samym roszczący będą mieli jasność co do podmiotu odpowiedzialnego za szkodę oraz zakresu dokumentów niezbędnych do zakończenia postępowania likwidacyjnego. </w:t>
      </w:r>
    </w:p>
    <w:p w14:paraId="490987A8" w14:textId="77777777" w:rsidR="00C90711" w:rsidRPr="006B2CD4" w:rsidRDefault="00C90711" w:rsidP="00C90711">
      <w:pPr>
        <w:pStyle w:val="Bezodstpw"/>
        <w:spacing w:after="120"/>
        <w:jc w:val="both"/>
        <w:rPr>
          <w:rFonts w:ascii="Times New Roman" w:hAnsi="Times New Roman"/>
          <w:bCs/>
        </w:rPr>
      </w:pPr>
      <w:r w:rsidRPr="006B2CD4">
        <w:rPr>
          <w:rFonts w:ascii="Times New Roman" w:hAnsi="Times New Roman"/>
        </w:rPr>
        <w:t>P</w:t>
      </w:r>
      <w:r w:rsidRPr="006B2CD4">
        <w:rPr>
          <w:rFonts w:ascii="Times New Roman" w:hAnsi="Times New Roman"/>
          <w:bCs/>
        </w:rPr>
        <w:t xml:space="preserve">ropozycja uzupełnienia treści art. 109 ust. 1 ustawy o ubezpieczeniach obowiązkowych, </w:t>
      </w:r>
      <w:r w:rsidRPr="006B2CD4">
        <w:rPr>
          <w:rFonts w:ascii="Times New Roman" w:hAnsi="Times New Roman"/>
          <w:bCs/>
        </w:rPr>
        <w:lastRenderedPageBreak/>
        <w:t xml:space="preserve">Ubezpieczeniowym Funduszu Gwarancyjnym i Polskim Biurze Ubezpieczycieli Komunikacyjnych ma na celu usunięcie oczywistej omyłki funkcjonującej w dotychczasowym brzmieniu tego przepisu. Z treści art. 109 ust. 1 wynikało, że UFG ma obowiązek zaspokoić roszczenie, o którym mowa w art. 98 ust. 1 i 1a w terminie 30 dni od </w:t>
      </w:r>
      <w:r>
        <w:rPr>
          <w:rFonts w:ascii="Times New Roman" w:hAnsi="Times New Roman"/>
          <w:bCs/>
        </w:rPr>
        <w:t xml:space="preserve">dnia </w:t>
      </w:r>
      <w:r w:rsidRPr="006B2CD4">
        <w:rPr>
          <w:rFonts w:ascii="Times New Roman" w:hAnsi="Times New Roman"/>
          <w:bCs/>
        </w:rPr>
        <w:t>otrzymania akt szkody od zakładu ubezpieczeń lub syndyka upadłości. Wskazać jednak należy, że ani w przypadku, o</w:t>
      </w:r>
      <w:r>
        <w:rPr>
          <w:rFonts w:ascii="Times New Roman" w:hAnsi="Times New Roman"/>
          <w:bCs/>
        </w:rPr>
        <w:t> </w:t>
      </w:r>
      <w:r w:rsidRPr="006B2CD4">
        <w:rPr>
          <w:rFonts w:ascii="Times New Roman" w:hAnsi="Times New Roman"/>
          <w:bCs/>
        </w:rPr>
        <w:t>którym mowa w art. 98 ust. 1, ani ust. 1a nie może być mowy o przekazaniu do UFG akt szkody przez syndyka masy upadłości. Zadania UFG związane z upadłością zakładu ubezpieczeń, a tym samym uwzględniające rolę syndyka masy upadłości, określone są w art. 98 ust. 2. W związku z tym zachodzi konieczność doprecyzowania dotychczasowej treści przepisu art. 109 ust. 1 o rozszerzenie odwołania również do art. 98 ust. 2, tak aby nie po</w:t>
      </w:r>
      <w:r>
        <w:rPr>
          <w:rFonts w:ascii="Times New Roman" w:hAnsi="Times New Roman"/>
          <w:bCs/>
        </w:rPr>
        <w:t>w</w:t>
      </w:r>
      <w:r w:rsidRPr="006B2CD4">
        <w:rPr>
          <w:rFonts w:ascii="Times New Roman" w:hAnsi="Times New Roman"/>
          <w:bCs/>
        </w:rPr>
        <w:t>stawały wątpliwości</w:t>
      </w:r>
      <w:r>
        <w:rPr>
          <w:rFonts w:ascii="Times New Roman" w:hAnsi="Times New Roman"/>
          <w:bCs/>
        </w:rPr>
        <w:t>,</w:t>
      </w:r>
      <w:r w:rsidRPr="006B2CD4">
        <w:rPr>
          <w:rFonts w:ascii="Times New Roman" w:hAnsi="Times New Roman"/>
          <w:bCs/>
        </w:rPr>
        <w:t xml:space="preserve"> w jakim terminie UFG zobowiązany jest do zaspokojenia roszczenia. </w:t>
      </w:r>
    </w:p>
    <w:p w14:paraId="0DA60968" w14:textId="788D8769" w:rsidR="00C90711" w:rsidRPr="006B2CD4" w:rsidRDefault="00C90711" w:rsidP="00C90711">
      <w:pPr>
        <w:pStyle w:val="Bezodstpw"/>
        <w:spacing w:after="120"/>
        <w:jc w:val="both"/>
        <w:rPr>
          <w:rFonts w:ascii="Times New Roman" w:hAnsi="Times New Roman"/>
        </w:rPr>
      </w:pPr>
      <w:r w:rsidRPr="006B2CD4">
        <w:rPr>
          <w:rFonts w:ascii="Times New Roman" w:hAnsi="Times New Roman"/>
        </w:rPr>
        <w:t>Dodatkowo poprzez dodanie ust. 4 i 5 do art. 109 ustawy o ubezpieczeniach obowiązkowych, Ubezpieczeniowym Funduszu Gwarancyjnym i Polskim Biurze Ubezpieczycieli Komunikacyjnych proponuje się wprowadzenie dla UFG, analogicznego jak dla zakładów ubezpieczeń, obowiązku informacyjnego o możliwości wyczerpania się określonej w umowie ubezpieczenia sumy gwarancyjnej, przekazywanego do poszkodowanych i uprawnionych. Ponadto w związku z wejściem w życie ustawy o tzw. rentach szczególnych wskazane jest uzupełnienie obowiązku informacyjnego, który miałby być realizowany także przez UFG w</w:t>
      </w:r>
      <w:r>
        <w:rPr>
          <w:rFonts w:ascii="Times New Roman" w:hAnsi="Times New Roman"/>
        </w:rPr>
        <w:t> </w:t>
      </w:r>
      <w:r w:rsidRPr="006B2CD4">
        <w:rPr>
          <w:rFonts w:ascii="Times New Roman" w:hAnsi="Times New Roman"/>
        </w:rPr>
        <w:t>przypadku wyczerpywania się sumy gwarancyjnej</w:t>
      </w:r>
      <w:r>
        <w:rPr>
          <w:rFonts w:ascii="Times New Roman" w:hAnsi="Times New Roman"/>
        </w:rPr>
        <w:t>,</w:t>
      </w:r>
      <w:r w:rsidRPr="006B2CD4">
        <w:rPr>
          <w:rFonts w:ascii="Times New Roman" w:hAnsi="Times New Roman"/>
        </w:rPr>
        <w:t xml:space="preserve"> o informację </w:t>
      </w:r>
      <w:r w:rsidR="00D13427">
        <w:rPr>
          <w:rFonts w:ascii="Times New Roman" w:hAnsi="Times New Roman"/>
        </w:rPr>
        <w:t xml:space="preserve">dotyczące </w:t>
      </w:r>
      <w:r w:rsidRPr="006B2CD4">
        <w:rPr>
          <w:rFonts w:ascii="Times New Roman" w:hAnsi="Times New Roman"/>
        </w:rPr>
        <w:t xml:space="preserve">przysługujących niektórym rentobiorcom nowych </w:t>
      </w:r>
      <w:r w:rsidRPr="006B2CD4">
        <w:rPr>
          <w:rFonts w:ascii="Times New Roman" w:hAnsi="Times New Roman"/>
          <w:bCs/>
        </w:rPr>
        <w:t>uprawnieniach</w:t>
      </w:r>
      <w:r w:rsidRPr="006B2CD4">
        <w:rPr>
          <w:rFonts w:ascii="Times New Roman" w:hAnsi="Times New Roman"/>
        </w:rPr>
        <w:t>.</w:t>
      </w:r>
    </w:p>
    <w:p w14:paraId="35C3984C" w14:textId="77777777" w:rsidR="00C90711" w:rsidRPr="006B2CD4" w:rsidRDefault="00C90711" w:rsidP="00C90711">
      <w:pPr>
        <w:pStyle w:val="Bezodstpw"/>
        <w:jc w:val="both"/>
        <w:rPr>
          <w:rFonts w:ascii="Times New Roman" w:hAnsi="Times New Roman"/>
        </w:rPr>
      </w:pPr>
      <w:r w:rsidRPr="006B2CD4">
        <w:rPr>
          <w:rFonts w:ascii="Times New Roman" w:hAnsi="Times New Roman"/>
        </w:rPr>
        <w:lastRenderedPageBreak/>
        <w:t xml:space="preserve">Propozycje zmian w art. 111 ustawy o ubezpieczeniach obowiązkowych, Ubezpieczeniowym Funduszu Gwarancyjnym i Polskim Biurze Ubezpieczycieli Komunikacyjnych dotyczą </w:t>
      </w:r>
      <w:r w:rsidRPr="006B2CD4">
        <w:rPr>
          <w:rFonts w:ascii="Times New Roman" w:hAnsi="Times New Roman"/>
          <w:bCs/>
        </w:rPr>
        <w:t>doprecyzowania regulacji związanych z wypłatami świadczeń na rzecz podmiotów uprawnionych w związku z upadłością zakładu ubezpieczeń oraz odniesienia do analogicznego stosowania regulacji z art. 108 ust. 2–5 w stosunku do postępowań w przypadku ogłoszenia upadłości zakładu ubezpieczeń.</w:t>
      </w:r>
      <w:r w:rsidRPr="006B2CD4">
        <w:rPr>
          <w:rFonts w:ascii="Times New Roman" w:hAnsi="Times New Roman"/>
        </w:rPr>
        <w:t xml:space="preserve"> </w:t>
      </w:r>
      <w:r w:rsidRPr="006B2CD4">
        <w:rPr>
          <w:rFonts w:ascii="Times New Roman" w:hAnsi="Times New Roman"/>
          <w:bCs/>
        </w:rPr>
        <w:t>W związku z ostatnią upadłością Gefiona oraz korzystając z</w:t>
      </w:r>
      <w:r>
        <w:rPr>
          <w:rFonts w:ascii="Times New Roman" w:hAnsi="Times New Roman"/>
          <w:bCs/>
        </w:rPr>
        <w:t> </w:t>
      </w:r>
      <w:r w:rsidRPr="006B2CD4">
        <w:rPr>
          <w:rFonts w:ascii="Times New Roman" w:hAnsi="Times New Roman"/>
          <w:bCs/>
        </w:rPr>
        <w:t>doświadczeń UFG związanych z wypłatami świadczeń na rzecz podmiotów uprawnionych w</w:t>
      </w:r>
      <w:r>
        <w:rPr>
          <w:rFonts w:ascii="Times New Roman" w:hAnsi="Times New Roman"/>
          <w:bCs/>
        </w:rPr>
        <w:t> </w:t>
      </w:r>
      <w:r w:rsidRPr="006B2CD4">
        <w:rPr>
          <w:rFonts w:ascii="Times New Roman" w:hAnsi="Times New Roman"/>
          <w:bCs/>
        </w:rPr>
        <w:t>związku z tą upadłością, zachodzi konieczność doprecyzowania brzmienia art. 111 ust. 1</w:t>
      </w:r>
      <w:r>
        <w:rPr>
          <w:rFonts w:ascii="Times New Roman" w:hAnsi="Times New Roman"/>
          <w:bCs/>
        </w:rPr>
        <w:t>.</w:t>
      </w:r>
      <w:r w:rsidRPr="006B2CD4">
        <w:rPr>
          <w:rFonts w:ascii="Times New Roman" w:hAnsi="Times New Roman"/>
          <w:bCs/>
        </w:rPr>
        <w:t xml:space="preserve"> Wprowadzenie proponowanych zmian w zakresie art. 111 ust. 1 ustawy pozwoli rozstrzygnąć pojawiające się obecnie wątpliwości interpretacyjne. Obecnie bowiem przepisy nie dość precyzyjnie określają, jaki zakres akt szkody UFG przejmuje od syndyka. Można bowiem z jednej strony uznać, że dotychczasowy przepis dotyczy wyłącznie akt szkody, w stosunku do których zgłoszone zostało roszczenie, ale nie została zrealizowana wypłata świadczenia. Z drugiej natomiast strony można uznać, że na podstawie dotychczasowego brzmienia art. 111 ust. 1 ustawy syndyk winien przekazać do UFG akta szkody również do szkód, w stosunku do których istnieje jeszcze możliwość zgłoszenia jakiegokolwiek roszczenia lub odwołania w zakresie wypłaconego uprzednio świadczenia. Mając na uwadze interes poszkodowanych, uzasadnione jest podejście, zgodnie z którym syndyk masy upadłości przekazywałby do UFG akta wszystkich szkód, tj. zarówno te</w:t>
      </w:r>
      <w:r>
        <w:rPr>
          <w:rFonts w:ascii="Times New Roman" w:hAnsi="Times New Roman"/>
          <w:bCs/>
        </w:rPr>
        <w:t>,</w:t>
      </w:r>
      <w:r w:rsidRPr="006B2CD4">
        <w:rPr>
          <w:rFonts w:ascii="Times New Roman" w:hAnsi="Times New Roman"/>
          <w:bCs/>
        </w:rPr>
        <w:t xml:space="preserve"> w których zgłoszono roszczenie, ale nie zostało wypłacone świadczenie, jak również te akta szkody, w których wypłacono świadczenie, jednak </w:t>
      </w:r>
      <w:r w:rsidRPr="006B2CD4">
        <w:rPr>
          <w:rFonts w:ascii="Times New Roman" w:hAnsi="Times New Roman"/>
          <w:bCs/>
        </w:rPr>
        <w:lastRenderedPageBreak/>
        <w:t>istnieje możliwość odwołania lub zgłoszenia dodatkowych roszczeń. W związku z tym zasadne jest, aby do UFG przekazywane były akta wszystkich szkód</w:t>
      </w:r>
      <w:r>
        <w:rPr>
          <w:rFonts w:ascii="Times New Roman" w:hAnsi="Times New Roman"/>
          <w:bCs/>
        </w:rPr>
        <w:t>.</w:t>
      </w:r>
      <w:r w:rsidRPr="006B2CD4">
        <w:rPr>
          <w:rFonts w:ascii="Times New Roman" w:hAnsi="Times New Roman"/>
          <w:bCs/>
        </w:rPr>
        <w:t xml:space="preserve"> </w:t>
      </w:r>
    </w:p>
    <w:p w14:paraId="2BB67A52" w14:textId="7FF4E9E3" w:rsidR="00C90711" w:rsidRPr="006B2CD4" w:rsidRDefault="00C90711" w:rsidP="00C90711">
      <w:pPr>
        <w:pStyle w:val="Bezodstpw"/>
        <w:spacing w:after="120"/>
        <w:jc w:val="both"/>
        <w:rPr>
          <w:rFonts w:ascii="Times New Roman" w:hAnsi="Times New Roman"/>
          <w:bCs/>
        </w:rPr>
      </w:pPr>
      <w:r w:rsidRPr="006B2CD4">
        <w:rPr>
          <w:rFonts w:ascii="Times New Roman" w:hAnsi="Times New Roman"/>
          <w:bCs/>
        </w:rPr>
        <w:t>W wyniku proponowanych zmian UFG miałby zapewnioną możliwość sprawnej obsługi roszczeń, w których zachodzić będą podstawy odpowiedzialności UFG. Jednocześnie UFG miałby również pełniejszą możliwość prawidłowego ustalenia należnego świadczenia, ponieważ dysponowałby informacjami o ewentualnych wypłatach świadczeń (co do rodzaju i</w:t>
      </w:r>
      <w:r>
        <w:rPr>
          <w:rFonts w:ascii="Times New Roman" w:hAnsi="Times New Roman"/>
          <w:bCs/>
        </w:rPr>
        <w:t> </w:t>
      </w:r>
      <w:r w:rsidRPr="006B2CD4">
        <w:rPr>
          <w:rFonts w:ascii="Times New Roman" w:hAnsi="Times New Roman"/>
          <w:bCs/>
        </w:rPr>
        <w:t>wysokości) sprzed dnia ogłoszenia upadłości danego zakładu ubezpieczeń. Dodatkowo, jeżeli uprawniony zgłosiłby roszczenie lub odwołanie nawet kilka lat po otrzymaniu lub odmowie świadczenia przed ogłoszeniem upadłości, wówczas możliwość uzyskania akt szkody z upadłego zakładu ubezpieczeń w praktyce mogłaby okazać się bardzo utrudniona lub nawet niemożliwa. Wtedy też UFG nie będzie miał możliwości oszacowania należnego do wypłacenia świadczenia. W związku z tym wydaje się być w pełni uzasadnione, aby syndyk przekazywał do UFG akta szkody w stosunku do wszystkich szkód</w:t>
      </w:r>
      <w:r>
        <w:rPr>
          <w:rFonts w:ascii="Times New Roman" w:hAnsi="Times New Roman"/>
          <w:bCs/>
        </w:rPr>
        <w:t>,</w:t>
      </w:r>
      <w:r w:rsidRPr="006B2CD4">
        <w:rPr>
          <w:rFonts w:ascii="Times New Roman" w:hAnsi="Times New Roman"/>
          <w:bCs/>
        </w:rPr>
        <w:t xml:space="preserve"> gdzie zostało zgłoszone lub może zostać zgłoszone jakiekolwiek roszczenie. </w:t>
      </w:r>
    </w:p>
    <w:p w14:paraId="127F660C" w14:textId="77777777" w:rsidR="00C90711" w:rsidRPr="006B2CD4" w:rsidRDefault="00C90711" w:rsidP="00C90711">
      <w:pPr>
        <w:pStyle w:val="Bezodstpw"/>
        <w:jc w:val="both"/>
        <w:rPr>
          <w:rFonts w:ascii="Times New Roman" w:hAnsi="Times New Roman"/>
        </w:rPr>
      </w:pPr>
      <w:r w:rsidRPr="006B2CD4">
        <w:rPr>
          <w:rFonts w:ascii="Times New Roman" w:hAnsi="Times New Roman"/>
        </w:rPr>
        <w:t xml:space="preserve">W związku z propozycją zmian do art. 108 ustawy o ubezpieczeniach obowiązkowych, Ubezpieczeniowym Funduszu Gwarancyjnym i Polskim Biurze Ubezpieczycieli Komunikacyjnych proponuje się również wprowadzenie analogicznych regulacji do postępowań w przypadku ogłoszenia upadłości zakładu ubezpieczeń, o których mowa w art. 111 ust. 2 ustawy. Zgodnie z obecnym art. 111 ust. 2 tej ustawy, w sprawach, w których szkody nie zostały zgłoszone do zakładu ubezpieczeń przed ogłoszeniem jego upadłości, UFG </w:t>
      </w:r>
      <w:r w:rsidRPr="006B2CD4">
        <w:rPr>
          <w:rFonts w:ascii="Times New Roman" w:hAnsi="Times New Roman"/>
        </w:rPr>
        <w:lastRenderedPageBreak/>
        <w:t>przyjmuje zgłoszenie szkody oraz wypłaca poszkodowanym i uprawnionym świadczenia po ustaleniu odpowiedzialności i wysokości świadczenia. Poszkodowany i uprawniony do odszkodowania zgłasza swoje roszczenia do UFG przez którykolwiek zakład ubezpieczeń wykonujący działalność ubezpieczeniową w grupach obejmujących ubezpieczenia obowiązkowe, o który</w:t>
      </w:r>
      <w:r>
        <w:rPr>
          <w:rFonts w:ascii="Times New Roman" w:hAnsi="Times New Roman"/>
        </w:rPr>
        <w:t>ch</w:t>
      </w:r>
      <w:r w:rsidRPr="006B2CD4">
        <w:rPr>
          <w:rFonts w:ascii="Times New Roman" w:hAnsi="Times New Roman"/>
        </w:rPr>
        <w:t xml:space="preserve"> mowa w art. 4 pkt 1 i 2. Zakład ubezpieczeń nie może odmówić przyjęcia zgłoszenia szkody. </w:t>
      </w:r>
    </w:p>
    <w:p w14:paraId="3C7A8E0F" w14:textId="77777777" w:rsidR="00C90711" w:rsidRPr="006B2CD4" w:rsidRDefault="00C90711" w:rsidP="00C90711">
      <w:pPr>
        <w:pStyle w:val="Bezodstpw"/>
        <w:spacing w:after="120"/>
        <w:jc w:val="both"/>
        <w:rPr>
          <w:rFonts w:ascii="Times New Roman" w:hAnsi="Times New Roman"/>
        </w:rPr>
      </w:pPr>
      <w:r w:rsidRPr="006B2CD4">
        <w:rPr>
          <w:rFonts w:ascii="Times New Roman" w:hAnsi="Times New Roman"/>
        </w:rPr>
        <w:t>Podobnie jak przy uzasadnieniu do proponowanej zmiany art. 108 ustawy o ubezpieczeniach obowiązkowych, Ubezpieczeniowym Funduszu Gwarancyjnym i Polskim Biurze Ubezpieczycieli Komunikacyjnych dane będące w posiadaniu UKNF wskazują na nieprawidłowości w zakresie jakości i terminowości likwidacji szkód przez zakłady na rzez UFG (znaczny odsetek szkód, w których błędnie ustalana jest odpowiedzialność UFG</w:t>
      </w:r>
      <w:r>
        <w:rPr>
          <w:rFonts w:ascii="Times New Roman" w:hAnsi="Times New Roman"/>
        </w:rPr>
        <w:t>,</w:t>
      </w:r>
      <w:r w:rsidRPr="006B2CD4">
        <w:rPr>
          <w:rFonts w:ascii="Times New Roman" w:hAnsi="Times New Roman"/>
        </w:rPr>
        <w:t xml:space="preserve"> lub szkód likwidowanych z opóźnieniem). Powoduje to w efekcie wydłużenie czasu oczekiwania przez poszkodowanych na odszkodowanie i naruszanie tym samym ich interesów. Wskazane jest wyraźne zobowiązanie zakładów ubezpieczeń do likwidacji szkód dla UFG w terminach analogicznych jak obowiązujące zakłady ubezpieczeń dla ich własnych szkód oraz uprawnienie dla organu nadzoru do zastosowania sankcji za nieterminową likwidację szkód na rzecz UFG</w:t>
      </w:r>
      <w:r>
        <w:rPr>
          <w:rFonts w:ascii="Times New Roman" w:hAnsi="Times New Roman"/>
        </w:rPr>
        <w:t>,</w:t>
      </w:r>
      <w:r w:rsidRPr="006B2CD4">
        <w:rPr>
          <w:rFonts w:ascii="Times New Roman" w:hAnsi="Times New Roman"/>
        </w:rPr>
        <w:t xml:space="preserve"> zarówno w stosunku do krajowych, jak i zagranicznych zakładów ubezpieczeń. Jest to uzasadnione także tym, iż zgodnie z art. 109 ust. 3 ustawy o ubezpieczeniach obowiązkowych, Ubezpieczeniowym Funduszu Gwarancyjnym i Polskim Biurze Ubezpieczycieli Komunikacyjnych odpowiedzialność za zwłokę w spełnieniu świadczenia </w:t>
      </w:r>
      <w:r w:rsidRPr="006B2CD4">
        <w:rPr>
          <w:rFonts w:ascii="Times New Roman" w:hAnsi="Times New Roman"/>
        </w:rPr>
        <w:lastRenderedPageBreak/>
        <w:t>ponoszą odpowiednio UFG i zakład ubezpieczeń, każdy w swoim zakresie. Aktualnie nie jest jednak precyzyjnie określony termin przeprowadzenia likwidacji na rzecz UFG przez zakład ubezpieczeń. W związku z powyższym proponuje się dodanie w art. 111 w ust. 2 tej ustawy normy wskazującej, iż przepisy art. 108 ust. 2‒5 stosuje się odpowiednio. Przedmiotowa zmiana umożliwi stosowanie w sposób analogiczny regulacji dodanych do art. 108 przy postępowaniach w przypadku ogłoszenia upadłości zakładu ubezpieczeń.</w:t>
      </w:r>
    </w:p>
    <w:p w14:paraId="44A8BC07" w14:textId="123320C4" w:rsidR="00C90711" w:rsidRPr="006B2CD4" w:rsidRDefault="00C90711" w:rsidP="00C90711">
      <w:pPr>
        <w:pStyle w:val="Bezodstpw"/>
        <w:spacing w:after="120"/>
        <w:jc w:val="both"/>
        <w:rPr>
          <w:rFonts w:ascii="Times New Roman" w:hAnsi="Times New Roman"/>
          <w:bCs/>
        </w:rPr>
      </w:pPr>
      <w:r w:rsidRPr="006B2CD4">
        <w:rPr>
          <w:rFonts w:ascii="Times New Roman" w:hAnsi="Times New Roman"/>
          <w:bCs/>
        </w:rPr>
        <w:t xml:space="preserve">Doprecyzowanie brzmienia art. 117 ust. 1 ustawy ma na celu wyeliminowanie wątpliwości interpretacyjnych co do zasad i źródeł pokrywania kosztów działalności UFG, biorąc pod uwagę realizowane przez UFG zadania wynikające z innych przepisów szczególnych. Wskazać bowiem należy, że w Rozdziale 7 ustawy o ubezpieczeniach obowiązkowych, </w:t>
      </w:r>
      <w:r w:rsidRPr="006B2CD4">
        <w:rPr>
          <w:rFonts w:ascii="Times New Roman" w:hAnsi="Times New Roman"/>
        </w:rPr>
        <w:t xml:space="preserve">Ubezpieczeniowym Funduszu Gwarancyjnym i Polskim Biurze Ubezpieczycieli Komunikacyjnych </w:t>
      </w:r>
      <w:r w:rsidRPr="006B2CD4">
        <w:rPr>
          <w:rFonts w:ascii="Times New Roman" w:hAnsi="Times New Roman"/>
          <w:bCs/>
        </w:rPr>
        <w:t>funkcjonuje art. 98a, który traktuje o wykonywaniu przez UFG dodatkowych zadań, związanych z obsługą Turystycznego Funduszu Gwarancyjnego, Turystycznego Funduszu Zwrotów, Turystycznego Funduszu Pomocowego, jak również Deweloperskiego Funduszu Gwarancyjnego. Wskazane fundusze uregulowane są jednak w</w:t>
      </w:r>
      <w:r>
        <w:rPr>
          <w:rFonts w:ascii="Times New Roman" w:hAnsi="Times New Roman"/>
          <w:bCs/>
        </w:rPr>
        <w:t> </w:t>
      </w:r>
      <w:r w:rsidRPr="006B2CD4">
        <w:rPr>
          <w:rFonts w:ascii="Times New Roman" w:hAnsi="Times New Roman"/>
          <w:bCs/>
        </w:rPr>
        <w:t xml:space="preserve">odrębnych ustawach, które określają w jaki sposób pokrywane są koszty działalności tych dodatkowych funduszy. Obecnie funkcjonujące przepisy zapewniają również pełną rozdzielność finansową pomiędzy UFG, a jakimkolwiek innym obsługiwanym przez niego dodatkowym funduszem. Zatem obecne brzmienie art. 117 ust. 1, odwołujące się w sposób ogólny do zadań UFG, o których mowa w Rozdziale 7 ustawy, podczas gdy znajdujący się </w:t>
      </w:r>
      <w:r w:rsidRPr="006B2CD4">
        <w:rPr>
          <w:rFonts w:ascii="Times New Roman" w:hAnsi="Times New Roman"/>
          <w:bCs/>
        </w:rPr>
        <w:lastRenderedPageBreak/>
        <w:t>w</w:t>
      </w:r>
      <w:r>
        <w:rPr>
          <w:rFonts w:ascii="Times New Roman" w:hAnsi="Times New Roman"/>
          <w:bCs/>
        </w:rPr>
        <w:t> </w:t>
      </w:r>
      <w:r w:rsidRPr="006B2CD4">
        <w:rPr>
          <w:rFonts w:ascii="Times New Roman" w:hAnsi="Times New Roman"/>
          <w:bCs/>
        </w:rPr>
        <w:t>tym rozdziale art. 98a wskazuje na zadania UFG związane z obsługą dodatkowych funduszy, może prowadzić do błędnych wniosków w zakresie pokrywania kosztów działalności UFG. W świetle tego zachodzi konieczność wyłączenia ze stosowania art. 117 ust. 1 art. 98a, dla zapewnienia pełnej przejrzystości rachunkowej UFG.</w:t>
      </w:r>
    </w:p>
    <w:p w14:paraId="6E0FE34F" w14:textId="16562668" w:rsidR="00C90711" w:rsidRPr="00C90711" w:rsidRDefault="00C90711" w:rsidP="00C90711">
      <w:pPr>
        <w:pStyle w:val="Bezodstpw"/>
        <w:jc w:val="both"/>
        <w:rPr>
          <w:rFonts w:ascii="Times New Roman" w:hAnsi="Times New Roman"/>
          <w:bCs/>
        </w:rPr>
      </w:pPr>
      <w:r w:rsidRPr="006B2CD4">
        <w:rPr>
          <w:rFonts w:ascii="Times New Roman" w:hAnsi="Times New Roman"/>
          <w:bCs/>
        </w:rPr>
        <w:t>Pozostałe propozycje zmian w art. 117 (ust. 2 pkt 3a, ust. 7</w:t>
      </w:r>
      <w:r w:rsidRPr="006B2CD4">
        <w:rPr>
          <w:rFonts w:ascii="Times New Roman" w:hAnsi="Times New Roman"/>
        </w:rPr>
        <w:t>‒</w:t>
      </w:r>
      <w:r w:rsidRPr="006B2CD4">
        <w:rPr>
          <w:rFonts w:ascii="Times New Roman" w:hAnsi="Times New Roman"/>
          <w:bCs/>
        </w:rPr>
        <w:t>9) wynikają ze wskazanych powyżej zmian związanych z przekształceniem członkostwa zakładów ubezpieczeń na uczestnictwo w informatycznej baz</w:t>
      </w:r>
      <w:r w:rsidR="00D13427">
        <w:rPr>
          <w:rFonts w:ascii="Times New Roman" w:hAnsi="Times New Roman"/>
          <w:bCs/>
        </w:rPr>
        <w:t>ie</w:t>
      </w:r>
      <w:r w:rsidRPr="006B2CD4">
        <w:rPr>
          <w:rFonts w:ascii="Times New Roman" w:hAnsi="Times New Roman"/>
          <w:bCs/>
        </w:rPr>
        <w:t xml:space="preserve"> danych, o której mowa w art. 102a ustawy. </w:t>
      </w:r>
    </w:p>
    <w:p w14:paraId="6A94F1B3" w14:textId="6C82F1E6" w:rsidR="003E2A55" w:rsidRPr="006B2CD4" w:rsidRDefault="001665D0" w:rsidP="00B856D8">
      <w:pPr>
        <w:pStyle w:val="Bezodstpw"/>
        <w:spacing w:before="120" w:after="120"/>
        <w:jc w:val="both"/>
        <w:rPr>
          <w:rFonts w:ascii="Times New Roman" w:hAnsi="Times New Roman"/>
          <w:b/>
        </w:rPr>
      </w:pPr>
      <w:r w:rsidRPr="006B2CD4">
        <w:rPr>
          <w:rFonts w:ascii="Times New Roman" w:hAnsi="Times New Roman"/>
          <w:b/>
        </w:rPr>
        <w:t>Art. 1</w:t>
      </w:r>
      <w:r w:rsidR="00AB5F90">
        <w:rPr>
          <w:rFonts w:ascii="Times New Roman" w:hAnsi="Times New Roman"/>
          <w:b/>
        </w:rPr>
        <w:t>2</w:t>
      </w:r>
      <w:r w:rsidRPr="006B2CD4">
        <w:rPr>
          <w:rFonts w:ascii="Times New Roman" w:hAnsi="Times New Roman"/>
          <w:b/>
        </w:rPr>
        <w:t xml:space="preserve">. </w:t>
      </w:r>
      <w:r w:rsidR="003E2A55" w:rsidRPr="006B2CD4">
        <w:rPr>
          <w:rFonts w:ascii="Times New Roman" w:hAnsi="Times New Roman"/>
          <w:b/>
        </w:rPr>
        <w:t xml:space="preserve">Zmiany w ustawie o niektórych zabezpieczeniach finansowych </w:t>
      </w:r>
    </w:p>
    <w:p w14:paraId="0186837E" w14:textId="4B617E05" w:rsidR="004B599D" w:rsidRPr="006B2CD4" w:rsidRDefault="004B599D" w:rsidP="004B599D">
      <w:pPr>
        <w:pStyle w:val="Bezodstpw"/>
        <w:spacing w:after="120"/>
        <w:jc w:val="both"/>
        <w:rPr>
          <w:rFonts w:ascii="Times New Roman" w:hAnsi="Times New Roman"/>
        </w:rPr>
      </w:pPr>
      <w:r w:rsidRPr="006B2CD4">
        <w:rPr>
          <w:rFonts w:ascii="Times New Roman" w:hAnsi="Times New Roman"/>
        </w:rPr>
        <w:t xml:space="preserve">Zmiana art. 2 ust. 1 pkt 6 ustawy o niektórych zabezpieczeniach finansowych rozszerza zakres stosowania tej ustawy o specjalistyczne fundusze inwestycyjne otwarte (SFIO) oraz fundusze inwestycyjne zamknięte (FIZ). Umożliwienie SFIO i FIZ przyjmowania zabezpieczeń finansowych, w szczególności w postaci zastawu finansowego, pozytywnie wpłynie na bezpieczeństwo działania tych podmiotów. W obecnym stanie prawnym, SFIO lub FIZ lokujący aktywa w wierzytelność zabezpieczoną zastawem finansowym, w praktyce nie nabywa zastawu finansowego i zastaw wygasa. W przypadku niewypłacalności dłużnika, podmioty będące beneficjentami zabezpieczeń finansowych (np. banki, SKOKi, towarzystwa emerytalne) stoją na uprzywilejowanej pozycji wobec funduszu inwestycyjnego innego niż FIO. Wskazane ograniczenie stanowi prawną blokadę dla uczestnictwa funduszy w finansowaniach konsorcjalnych. Jest to dodatkowo istotne w świetle raportu Komisji </w:t>
      </w:r>
      <w:r w:rsidRPr="006B2CD4">
        <w:rPr>
          <w:rFonts w:ascii="Times New Roman" w:hAnsi="Times New Roman"/>
        </w:rPr>
        <w:lastRenderedPageBreak/>
        <w:t xml:space="preserve">Europejskiej dotyczącego finansowań konsorcjalnych, w którym wskazano na problematykę relatywnie niskiej liczby potencjalnych podmiotów mogących udzielić finansowania na polskim rynku. Wprowadzenie możliwości ustanawiania zabezpieczeń finansowych na rzecz SFIO i FIZ byłoby więc korzystne nie tylko dla uczestników funduszy, ale całego rynku finansowego. Dopuszczenie ustanawiania zastawu finansowego na rzecz FIZ zwiększa bezpieczeństwo działania tych funduszy. Zabezpieczając swoje wierzytelności (np. z tytułu obligacji lub pożyczki zastawem finansowym), FIZ ma możliwość obniżenia profilu ryzyka </w:t>
      </w:r>
      <w:r w:rsidR="00654FF6">
        <w:rPr>
          <w:rFonts w:ascii="Times New Roman" w:hAnsi="Times New Roman"/>
        </w:rPr>
        <w:t>transakcji. Zaletą</w:t>
      </w:r>
      <w:r w:rsidRPr="006B2CD4">
        <w:rPr>
          <w:rFonts w:ascii="Times New Roman" w:hAnsi="Times New Roman"/>
        </w:rPr>
        <w:t xml:space="preserve"> zastawu fi</w:t>
      </w:r>
      <w:r w:rsidR="00654FF6">
        <w:rPr>
          <w:rFonts w:ascii="Times New Roman" w:hAnsi="Times New Roman"/>
        </w:rPr>
        <w:t>nansowego jest</w:t>
      </w:r>
      <w:r w:rsidRPr="006B2CD4">
        <w:rPr>
          <w:rFonts w:ascii="Times New Roman" w:hAnsi="Times New Roman"/>
        </w:rPr>
        <w:t xml:space="preserve"> skuteczność z chwilą podpisania i możliwość sprawnej egzekucji należności, np. poprzez przejęcie na własność przedmio</w:t>
      </w:r>
      <w:r w:rsidR="00654FF6">
        <w:rPr>
          <w:rFonts w:ascii="Times New Roman" w:hAnsi="Times New Roman"/>
        </w:rPr>
        <w:t>tu zabezpieczenia. Alternatywą dla zastawu finansowego jest</w:t>
      </w:r>
      <w:r w:rsidRPr="006B2CD4">
        <w:rPr>
          <w:rFonts w:ascii="Times New Roman" w:hAnsi="Times New Roman"/>
        </w:rPr>
        <w:t xml:space="preserve"> zastaw rejestrowy, który również umożliwia sprawną egzekucję należności, np. poprzez przejęcie na własność przedmiotu zabezpieczenia, ale jest skuteczny dopiero z chwilą zarejestrowania, oraz zastaw cywilny, który wprawdzie jest skuteczny z chwilą podpisania, ale jedyną formą egzekucji jest egzekucja komornicza. Z punktu widzenia możliwości uczestnictwa FIZ w finansowaniach konsorcjalnych, brak zabezpieczeń stanowi znaczne utrudnienie w realizacji inwestycji. Projektowana nowelizacja umożliwi FIZ otrzymywanie tych samych zabezpieczeń co inni konsorcjanci, a więc uzyskanie takiej samej pozycji i pożądanego profilu ryzyka.</w:t>
      </w:r>
    </w:p>
    <w:p w14:paraId="6D4188BB" w14:textId="5B7D545F" w:rsidR="008D0D42" w:rsidRDefault="001665D0" w:rsidP="00B856D8">
      <w:pPr>
        <w:pStyle w:val="Bezodstpw"/>
        <w:spacing w:before="120" w:after="120"/>
        <w:jc w:val="both"/>
        <w:rPr>
          <w:rFonts w:ascii="Times New Roman" w:hAnsi="Times New Roman"/>
          <w:b/>
          <w:bCs/>
        </w:rPr>
      </w:pPr>
      <w:r w:rsidRPr="006B2CD4">
        <w:rPr>
          <w:rFonts w:ascii="Times New Roman" w:hAnsi="Times New Roman"/>
          <w:b/>
          <w:bCs/>
        </w:rPr>
        <w:t>Art. 1</w:t>
      </w:r>
      <w:r w:rsidR="00AB5F90">
        <w:rPr>
          <w:rFonts w:ascii="Times New Roman" w:hAnsi="Times New Roman"/>
          <w:b/>
          <w:bCs/>
        </w:rPr>
        <w:t>3</w:t>
      </w:r>
      <w:r w:rsidRPr="006B2CD4">
        <w:rPr>
          <w:rFonts w:ascii="Times New Roman" w:hAnsi="Times New Roman"/>
          <w:b/>
          <w:bCs/>
        </w:rPr>
        <w:t xml:space="preserve">. </w:t>
      </w:r>
      <w:r w:rsidR="008D0D42" w:rsidRPr="006B2CD4">
        <w:rPr>
          <w:rFonts w:ascii="Times New Roman" w:hAnsi="Times New Roman"/>
          <w:b/>
          <w:bCs/>
        </w:rPr>
        <w:t xml:space="preserve">Zmiany w ustawie o funduszach inwestycyjnych </w:t>
      </w:r>
    </w:p>
    <w:p w14:paraId="0106CFA5" w14:textId="77777777" w:rsidR="00DB03EC" w:rsidRPr="006B2CD4" w:rsidRDefault="00DB03EC" w:rsidP="00DB03EC">
      <w:pPr>
        <w:shd w:val="clear" w:color="auto" w:fill="FFFFFF" w:themeFill="background1"/>
        <w:tabs>
          <w:tab w:val="left" w:pos="426"/>
        </w:tabs>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Zaproponowane w ustawie o funduszach inwestycyjnych nowelizacje mają na celu:</w:t>
      </w:r>
    </w:p>
    <w:p w14:paraId="7D589D44" w14:textId="77777777" w:rsidR="00DB03EC" w:rsidRPr="006B2CD4" w:rsidRDefault="00DB03EC" w:rsidP="00DB03EC">
      <w:pPr>
        <w:pStyle w:val="Akapitzlist"/>
        <w:numPr>
          <w:ilvl w:val="0"/>
          <w:numId w:val="2"/>
        </w:numPr>
        <w:shd w:val="clear" w:color="auto" w:fill="FFFFFF" w:themeFill="background1"/>
        <w:spacing w:line="360" w:lineRule="auto"/>
        <w:ind w:left="426" w:hanging="426"/>
        <w:jc w:val="both"/>
        <w:rPr>
          <w:rFonts w:ascii="Times New Roman" w:hAnsi="Times New Roman" w:cs="Times New Roman"/>
          <w:bCs/>
          <w:sz w:val="24"/>
          <w:szCs w:val="24"/>
        </w:rPr>
      </w:pPr>
      <w:r w:rsidRPr="006B2CD4">
        <w:rPr>
          <w:rFonts w:ascii="Times New Roman" w:hAnsi="Times New Roman" w:cs="Times New Roman"/>
          <w:bCs/>
          <w:sz w:val="24"/>
          <w:szCs w:val="24"/>
        </w:rPr>
        <w:lastRenderedPageBreak/>
        <w:t>wprowadzenie zmian dotyczących funduszy sekurytyzacyjnych (art. 2 pkt 30, 31 i 32, art. 22 ust. 1 pkt 11, art. 46 ust. 2a, art. 50 ust. 8, art. 65, art. 117b ust. 1 pkt 9, art. 145 ust. 3, art. 183, art. 184, art. 185, art. 186, art. 187, art. 188, art. 188a ust. 1</w:t>
      </w:r>
      <w:r w:rsidRPr="006B2CD4">
        <w:rPr>
          <w:rFonts w:ascii="Times New Roman" w:hAnsi="Times New Roman" w:cs="Times New Roman"/>
          <w:sz w:val="24"/>
          <w:szCs w:val="24"/>
        </w:rPr>
        <w:t>‒</w:t>
      </w:r>
      <w:r w:rsidRPr="006B2CD4">
        <w:rPr>
          <w:rFonts w:ascii="Times New Roman" w:hAnsi="Times New Roman" w:cs="Times New Roman"/>
          <w:bCs/>
          <w:sz w:val="24"/>
          <w:szCs w:val="24"/>
        </w:rPr>
        <w:t>3, art. 189, art. 190, art. 191</w:t>
      </w:r>
      <w:r w:rsidRPr="006B2CD4">
        <w:rPr>
          <w:rFonts w:ascii="Times New Roman" w:hAnsi="Times New Roman" w:cs="Times New Roman"/>
          <w:sz w:val="24"/>
          <w:szCs w:val="24"/>
        </w:rPr>
        <w:t>‒</w:t>
      </w:r>
      <w:r w:rsidRPr="006B2CD4">
        <w:rPr>
          <w:rFonts w:ascii="Times New Roman" w:hAnsi="Times New Roman" w:cs="Times New Roman"/>
          <w:bCs/>
          <w:sz w:val="24"/>
          <w:szCs w:val="24"/>
        </w:rPr>
        <w:t>193, art. 194, art. 195, art. 225a ust. 1 pkt 5, art. 226 ust. 1 pkt 7, art. 227a, art. 234</w:t>
      </w:r>
      <w:r>
        <w:rPr>
          <w:rFonts w:ascii="Times New Roman" w:hAnsi="Times New Roman" w:cs="Times New Roman"/>
          <w:bCs/>
          <w:sz w:val="24"/>
          <w:szCs w:val="24"/>
        </w:rPr>
        <w:t>, art. 281 ust. 2</w:t>
      </w:r>
      <w:r w:rsidRPr="006B2CD4">
        <w:rPr>
          <w:rFonts w:ascii="Times New Roman" w:hAnsi="Times New Roman" w:cs="Times New Roman"/>
          <w:bCs/>
          <w:sz w:val="24"/>
          <w:szCs w:val="24"/>
        </w:rPr>
        <w:t xml:space="preserve"> ustawy o funduszach inwestycyjnych)</w:t>
      </w:r>
    </w:p>
    <w:p w14:paraId="4B963FFA" w14:textId="53174F9B" w:rsidR="00DB03EC" w:rsidRPr="006B2CD4" w:rsidRDefault="00DB03EC" w:rsidP="00DB03EC">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Mając na uwadze, że przepisy rozporządzenia 2017/2402 definiują pojęcie sekurytyzacji, jak również w sposób kompleksowy normują sam proces sekurytyzacji, </w:t>
      </w:r>
      <w:r w:rsidR="00654FF6">
        <w:rPr>
          <w:rFonts w:ascii="Times New Roman" w:hAnsi="Times New Roman" w:cs="Times New Roman"/>
          <w:bCs/>
          <w:sz w:val="24"/>
          <w:szCs w:val="24"/>
        </w:rPr>
        <w:t>przy uwzględnieniu wszelkich transakcji lub programów</w:t>
      </w:r>
      <w:r w:rsidRPr="006B2CD4">
        <w:rPr>
          <w:rFonts w:ascii="Times New Roman" w:hAnsi="Times New Roman" w:cs="Times New Roman"/>
          <w:bCs/>
          <w:sz w:val="24"/>
          <w:szCs w:val="24"/>
        </w:rPr>
        <w:t>, w wyniku których ryzyko kredytowe związane z ekspozycją lub pulą ekspozycji ulega podziałowi na transze, zachodzi konieczność modyfikacji krajowych przepisów odnoszących się do instytucji funduszy sekurytyzacyjnych.</w:t>
      </w:r>
    </w:p>
    <w:p w14:paraId="5E212C04" w14:textId="77777777" w:rsidR="00DB03EC" w:rsidRPr="006B2CD4" w:rsidRDefault="00DB03EC" w:rsidP="00DB03EC">
      <w:pPr>
        <w:shd w:val="clear" w:color="auto" w:fill="FFFFFF" w:themeFill="background1"/>
        <w:spacing w:before="120"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Ustawa o funduszach inwestycyjnych przewiduje możliwość utworzenia szczególnego typu funduszu inwestycyjnego zamkniętego </w:t>
      </w:r>
      <w:r w:rsidRPr="006B2CD4">
        <w:rPr>
          <w:rFonts w:ascii="Times New Roman" w:eastAsia="Times New Roman" w:hAnsi="Times New Roman" w:cs="Times New Roman"/>
          <w:bCs/>
          <w:sz w:val="24"/>
          <w:szCs w:val="24"/>
        </w:rPr>
        <w:t>–</w:t>
      </w:r>
      <w:r w:rsidRPr="006B2CD4">
        <w:rPr>
          <w:rFonts w:ascii="Times New Roman" w:hAnsi="Times New Roman" w:cs="Times New Roman"/>
          <w:bCs/>
          <w:sz w:val="24"/>
          <w:szCs w:val="24"/>
        </w:rPr>
        <w:t xml:space="preserve"> funduszu sekurytyzacyjnego. Zaproponowane w tym obszarze rozwiązania miały na celu uruchomienie na polskim rynku procesu sekurytyzacji wierzytelności przy wykorzystaniu funduszy inwestycyjnych jako podmiotów nadzorowanych przez KNF. Ustawa o funduszach inwestycyjnych przewidywała dwa rodzaje funduszy sekurytyzacyjnych </w:t>
      </w:r>
      <w:r w:rsidRPr="006B2CD4">
        <w:rPr>
          <w:rFonts w:ascii="Times New Roman" w:eastAsia="Times New Roman" w:hAnsi="Times New Roman" w:cs="Times New Roman"/>
          <w:bCs/>
          <w:sz w:val="24"/>
          <w:szCs w:val="24"/>
        </w:rPr>
        <w:t>–</w:t>
      </w:r>
      <w:r w:rsidRPr="006B2CD4">
        <w:rPr>
          <w:rFonts w:ascii="Times New Roman" w:hAnsi="Times New Roman" w:cs="Times New Roman"/>
          <w:bCs/>
          <w:sz w:val="24"/>
          <w:szCs w:val="24"/>
        </w:rPr>
        <w:t xml:space="preserve"> standaryzowany fundusz sekurytyzacyjny oraz niestandaryzowany fundusz sekurytyzacyjny, które zgodnie z założeniem miały różnić się konstrukcją oraz zakładanym poziomem ryzyka związanego z emitowanymi przez nie certyfikatami inwestycyjnymi. Do dnia dzisiejszego nie został utworzony żaden standaryzowany fundusz sekurytyzacyjny.</w:t>
      </w:r>
    </w:p>
    <w:p w14:paraId="39A27942" w14:textId="4055C0C8" w:rsidR="00DB03EC" w:rsidRPr="006B2CD4" w:rsidRDefault="00DB03EC" w:rsidP="00DB03EC">
      <w:pPr>
        <w:shd w:val="clear" w:color="auto" w:fill="FFFFFF" w:themeFill="background1"/>
        <w:spacing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lastRenderedPageBreak/>
        <w:t>Analiza krajowych regulacji prowadzi do wniosku, że działalność prowadzona przez dany fundusz sekurytyzacyjny może, ale nie musi, wypełniać znamion sekurytyzacji, o której mowa w rozporządzeniu 2017/2402. Z uwagi na powyższe, a także fakt, iż rozporządzenie 2017/2402 jako bezpośrednio stosowany akt prawa unijnego stanowi element polskiego porządku prawnego, posługiwanie się przez ustawę o funduszach inwestycyjnych określeniem „sekurytyzacyjne”, zwłaszcza w nazwie szczególnego typu funduszu, może wprowadzać w błąd. Chcąc uniknąć sytuacji utrzymującej się zbieżności w nazewnictwie instytucji prawa polskiego oraz prawa unijnego, które mają różne zakresy definicji, jak również potencjalnych wątpliwości co do relacji pomiędzy przepisami prawa polskiego i unijnego, proponuje się dokonanie zmian, polegających na rezygnacji ze stosowania w ustawie o funduszach inwestycyjnych pojęcia „sekurytyzacja”. W konsekwencji zachowane zostałyby dotychczas funkcjonujące na gruncie prawa polskiego konstrukcje funduszy inwestycyjnych inwestujących w wierzytelności (z ekspozycją na ryzyko związane z wierzytelnościami), a z drugiej strony, w razie spełnienia przesłanek zawartych w rozporządzeniu 2017/2402, do działalności funduszy inwestycyjnych</w:t>
      </w:r>
      <w:r w:rsidR="00654FF6">
        <w:rPr>
          <w:rFonts w:ascii="Times New Roman" w:hAnsi="Times New Roman" w:cs="Times New Roman"/>
          <w:bCs/>
          <w:sz w:val="24"/>
          <w:szCs w:val="24"/>
        </w:rPr>
        <w:t>,</w:t>
      </w:r>
      <w:r w:rsidRPr="006B2CD4">
        <w:rPr>
          <w:rFonts w:ascii="Times New Roman" w:hAnsi="Times New Roman" w:cs="Times New Roman"/>
          <w:bCs/>
          <w:sz w:val="24"/>
          <w:szCs w:val="24"/>
        </w:rPr>
        <w:t xml:space="preserve"> czy innych podmiotów zastosowanie miałyby właściwe w tym zakresie przepisy prawa unijnego. Jednocześnie należy zauważyć, iż z uwagi na ograniczone doświadczenia związane ze stosowaniem przepisów rozporządzenia 2017/2402, czy brak utrwalonej praktyki w tym zakresie, na obecnym etapie przedwczesne byłoby proponowane dalej idących zmian w zakresie „funduszy sekurytyzacyjnych”.</w:t>
      </w:r>
    </w:p>
    <w:p w14:paraId="2912B0B8" w14:textId="6CBAECF1" w:rsidR="00DB03EC" w:rsidRPr="006B2CD4" w:rsidRDefault="00DB03EC" w:rsidP="00DB03EC">
      <w:pPr>
        <w:pStyle w:val="Akapitzlist"/>
        <w:numPr>
          <w:ilvl w:val="0"/>
          <w:numId w:val="2"/>
        </w:numPr>
        <w:shd w:val="clear" w:color="auto" w:fill="FFFFFF" w:themeFill="background1"/>
        <w:tabs>
          <w:tab w:val="left" w:pos="993"/>
        </w:tabs>
        <w:spacing w:line="360" w:lineRule="auto"/>
        <w:ind w:left="426" w:hanging="426"/>
        <w:jc w:val="both"/>
        <w:rPr>
          <w:rFonts w:ascii="Times New Roman" w:hAnsi="Times New Roman" w:cs="Times New Roman"/>
          <w:bCs/>
          <w:sz w:val="24"/>
          <w:szCs w:val="24"/>
        </w:rPr>
      </w:pPr>
      <w:r w:rsidRPr="006B2CD4">
        <w:rPr>
          <w:rFonts w:ascii="Times New Roman" w:hAnsi="Times New Roman" w:cs="Times New Roman"/>
          <w:bCs/>
          <w:sz w:val="24"/>
          <w:szCs w:val="24"/>
        </w:rPr>
        <w:lastRenderedPageBreak/>
        <w:t xml:space="preserve">propozycje w zakresie zarządzających alternatywnymi spółkami inwestycyjnymi (dalej „ASI”; </w:t>
      </w:r>
      <w:r>
        <w:rPr>
          <w:rFonts w:ascii="Times New Roman" w:hAnsi="Times New Roman" w:cs="Times New Roman"/>
          <w:bCs/>
          <w:sz w:val="24"/>
          <w:szCs w:val="24"/>
        </w:rPr>
        <w:t>art. 2 pkt 28a lit. b, art. 8a ust. 4, art. 8c,</w:t>
      </w:r>
      <w:r w:rsidR="00924B4C">
        <w:rPr>
          <w:rFonts w:ascii="Times New Roman" w:hAnsi="Times New Roman" w:cs="Times New Roman"/>
          <w:bCs/>
          <w:sz w:val="24"/>
          <w:szCs w:val="24"/>
        </w:rPr>
        <w:t xml:space="preserve"> </w:t>
      </w:r>
      <w:r>
        <w:rPr>
          <w:rFonts w:ascii="Times New Roman" w:hAnsi="Times New Roman" w:cs="Times New Roman"/>
          <w:bCs/>
          <w:sz w:val="24"/>
          <w:szCs w:val="24"/>
        </w:rPr>
        <w:t xml:space="preserve">art. 70a, art., 70d ust. 7, art. 70f, art. 70k, art. 70l, art. 70s, art. 70t, </w:t>
      </w:r>
      <w:r w:rsidR="00622D1C">
        <w:rPr>
          <w:rFonts w:ascii="Times New Roman" w:hAnsi="Times New Roman" w:cs="Times New Roman"/>
          <w:bCs/>
          <w:sz w:val="24"/>
          <w:szCs w:val="24"/>
        </w:rPr>
        <w:t>art. 70x,</w:t>
      </w:r>
      <w:r>
        <w:rPr>
          <w:rFonts w:ascii="Times New Roman" w:hAnsi="Times New Roman" w:cs="Times New Roman"/>
          <w:bCs/>
          <w:sz w:val="24"/>
          <w:szCs w:val="24"/>
        </w:rPr>
        <w:t xml:space="preserve"> </w:t>
      </w:r>
      <w:r w:rsidRPr="006B2CD4">
        <w:rPr>
          <w:rFonts w:ascii="Times New Roman" w:hAnsi="Times New Roman" w:cs="Times New Roman"/>
          <w:bCs/>
          <w:sz w:val="24"/>
          <w:szCs w:val="24"/>
        </w:rPr>
        <w:t>art. 70zb, art. 70zc, art. 70zd, art. 70zf,</w:t>
      </w:r>
      <w:r>
        <w:rPr>
          <w:rFonts w:ascii="Times New Roman" w:hAnsi="Times New Roman" w:cs="Times New Roman"/>
          <w:bCs/>
          <w:sz w:val="24"/>
          <w:szCs w:val="24"/>
        </w:rPr>
        <w:t xml:space="preserve"> art. 81d,</w:t>
      </w:r>
      <w:r w:rsidRPr="006B2CD4">
        <w:rPr>
          <w:rFonts w:ascii="Times New Roman" w:hAnsi="Times New Roman" w:cs="Times New Roman"/>
          <w:bCs/>
          <w:sz w:val="24"/>
          <w:szCs w:val="24"/>
        </w:rPr>
        <w:t xml:space="preserve"> </w:t>
      </w:r>
      <w:r>
        <w:rPr>
          <w:rFonts w:ascii="Times New Roman" w:hAnsi="Times New Roman" w:cs="Times New Roman"/>
          <w:bCs/>
          <w:sz w:val="24"/>
          <w:szCs w:val="24"/>
        </w:rPr>
        <w:t>art. 229d, art. 263a, art. 263b ust. 2 pkt 7, art. 263</w:t>
      </w:r>
      <w:r w:rsidR="00090195">
        <w:rPr>
          <w:rFonts w:ascii="Times New Roman" w:hAnsi="Times New Roman" w:cs="Times New Roman"/>
          <w:bCs/>
          <w:sz w:val="24"/>
          <w:szCs w:val="24"/>
        </w:rPr>
        <w:t>c</w:t>
      </w:r>
      <w:r>
        <w:rPr>
          <w:rFonts w:ascii="Times New Roman" w:hAnsi="Times New Roman" w:cs="Times New Roman"/>
          <w:bCs/>
          <w:sz w:val="24"/>
          <w:szCs w:val="24"/>
        </w:rPr>
        <w:t xml:space="preserve"> ust. 2 pkt 5, </w:t>
      </w:r>
      <w:r w:rsidRPr="006B2CD4">
        <w:rPr>
          <w:rFonts w:ascii="Times New Roman" w:hAnsi="Times New Roman" w:cs="Times New Roman"/>
          <w:bCs/>
          <w:sz w:val="24"/>
          <w:szCs w:val="24"/>
        </w:rPr>
        <w:t>art. 280 ust. 1, art. 282 ust. 3c)</w:t>
      </w:r>
    </w:p>
    <w:p w14:paraId="13B43F23" w14:textId="7E72C600" w:rsidR="006F0D6B" w:rsidRDefault="00DB03EC" w:rsidP="00533050">
      <w:pPr>
        <w:shd w:val="clear" w:color="auto" w:fill="FFFFFF" w:themeFill="background1"/>
        <w:spacing w:before="120" w:after="120" w:line="360" w:lineRule="auto"/>
        <w:jc w:val="both"/>
        <w:rPr>
          <w:rFonts w:ascii="Times New Roman" w:hAnsi="Times New Roman" w:cs="Times New Roman"/>
          <w:sz w:val="24"/>
          <w:szCs w:val="24"/>
        </w:rPr>
      </w:pPr>
      <w:r w:rsidRPr="006B2CD4">
        <w:rPr>
          <w:rFonts w:ascii="Times New Roman" w:hAnsi="Times New Roman" w:cs="Times New Roman"/>
          <w:bCs/>
          <w:sz w:val="24"/>
          <w:szCs w:val="24"/>
        </w:rPr>
        <w:t>Zmiana w zakresie zarządzających ASI dotyczy nowelizacji brzmienia art. 70zb, art. 70zc, art. 70zd</w:t>
      </w:r>
      <w:r>
        <w:rPr>
          <w:rFonts w:ascii="Times New Roman" w:hAnsi="Times New Roman" w:cs="Times New Roman"/>
          <w:bCs/>
          <w:sz w:val="24"/>
          <w:szCs w:val="24"/>
        </w:rPr>
        <w:t>,</w:t>
      </w:r>
      <w:r w:rsidRPr="006B2CD4">
        <w:rPr>
          <w:rFonts w:ascii="Times New Roman" w:hAnsi="Times New Roman" w:cs="Times New Roman"/>
          <w:bCs/>
          <w:sz w:val="24"/>
          <w:szCs w:val="24"/>
        </w:rPr>
        <w:t xml:space="preserve"> art. 70zf, oraz art. 280 ust. 1 pkt 7 i art. 282 ust. 3c. </w:t>
      </w:r>
      <w:r>
        <w:rPr>
          <w:rFonts w:ascii="Times New Roman" w:hAnsi="Times New Roman" w:cs="Times New Roman"/>
          <w:bCs/>
          <w:sz w:val="24"/>
          <w:szCs w:val="24"/>
        </w:rPr>
        <w:t>Art. 2 pkt 28a lit. b określa przepisy związane z z</w:t>
      </w:r>
      <w:r w:rsidRPr="001B4B90">
        <w:rPr>
          <w:rFonts w:ascii="Times New Roman" w:hAnsi="Times New Roman" w:cs="Times New Roman"/>
          <w:bCs/>
          <w:sz w:val="24"/>
          <w:szCs w:val="24"/>
        </w:rPr>
        <w:t>akaz</w:t>
      </w:r>
      <w:r>
        <w:rPr>
          <w:rFonts w:ascii="Times New Roman" w:hAnsi="Times New Roman" w:cs="Times New Roman"/>
          <w:bCs/>
          <w:sz w:val="24"/>
          <w:szCs w:val="24"/>
        </w:rPr>
        <w:t>em</w:t>
      </w:r>
      <w:r w:rsidRPr="001B4B90">
        <w:rPr>
          <w:rFonts w:ascii="Times New Roman" w:hAnsi="Times New Roman" w:cs="Times New Roman"/>
          <w:bCs/>
          <w:sz w:val="24"/>
          <w:szCs w:val="24"/>
        </w:rPr>
        <w:t xml:space="preserve"> wprowadzania ASI do obrotu wśród klientów detalicznych oraz zakaz zaciągania przez ASI pożyczek od osób fizycznych</w:t>
      </w:r>
      <w:r>
        <w:rPr>
          <w:rFonts w:ascii="Times New Roman" w:hAnsi="Times New Roman" w:cs="Times New Roman"/>
          <w:bCs/>
          <w:sz w:val="24"/>
          <w:szCs w:val="24"/>
        </w:rPr>
        <w:t xml:space="preserve">. </w:t>
      </w:r>
      <w:r w:rsidR="009A7549">
        <w:rPr>
          <w:rFonts w:ascii="Times New Roman" w:hAnsi="Times New Roman" w:cs="Times New Roman"/>
          <w:bCs/>
          <w:sz w:val="24"/>
          <w:szCs w:val="24"/>
        </w:rPr>
        <w:t xml:space="preserve">Zmiany w art. 8a ust. 4 wprowadza wprost wyrażony zakaz zawierania umów pożyczki </w:t>
      </w:r>
      <w:r w:rsidR="009A7549" w:rsidRPr="009A7549">
        <w:rPr>
          <w:rFonts w:ascii="Times New Roman" w:hAnsi="Times New Roman" w:cs="Times New Roman"/>
          <w:bCs/>
          <w:sz w:val="24"/>
          <w:szCs w:val="24"/>
        </w:rPr>
        <w:t>lub innej umowy o podobnym charakterze, dokonywa</w:t>
      </w:r>
      <w:r w:rsidR="00C5389F">
        <w:rPr>
          <w:rFonts w:ascii="Times New Roman" w:hAnsi="Times New Roman" w:cs="Times New Roman"/>
          <w:bCs/>
          <w:sz w:val="24"/>
          <w:szCs w:val="24"/>
        </w:rPr>
        <w:t xml:space="preserve">nia </w:t>
      </w:r>
      <w:r w:rsidR="009A7549" w:rsidRPr="009A7549">
        <w:rPr>
          <w:rFonts w:ascii="Times New Roman" w:hAnsi="Times New Roman" w:cs="Times New Roman"/>
          <w:bCs/>
          <w:sz w:val="24"/>
          <w:szCs w:val="24"/>
        </w:rPr>
        <w:t>emisji obligacji lub innych papierów wartościowych niebędących prawami uczestnictwa ASI, jeżeli dającym pożyczkę lub zawierającym inną umowę o podobnym charakterze albo obejmującym lub nabywającym obligacje lub inny papier wartościowy jest osoba fizyczna</w:t>
      </w:r>
      <w:r w:rsidR="009A7549">
        <w:rPr>
          <w:rFonts w:ascii="Times New Roman" w:hAnsi="Times New Roman" w:cs="Times New Roman"/>
          <w:bCs/>
          <w:sz w:val="24"/>
          <w:szCs w:val="24"/>
        </w:rPr>
        <w:t xml:space="preserve"> niebędąca klientem profesjonalnym. </w:t>
      </w:r>
      <w:r w:rsidR="00C5389F">
        <w:rPr>
          <w:rFonts w:ascii="Times New Roman" w:hAnsi="Times New Roman" w:cs="Times New Roman"/>
          <w:bCs/>
          <w:sz w:val="24"/>
          <w:szCs w:val="24"/>
        </w:rPr>
        <w:t>Uzasadnia to o</w:t>
      </w:r>
      <w:r w:rsidR="009A7549">
        <w:rPr>
          <w:rFonts w:ascii="Times New Roman" w:hAnsi="Times New Roman" w:cs="Times New Roman"/>
          <w:bCs/>
          <w:sz w:val="24"/>
          <w:szCs w:val="24"/>
        </w:rPr>
        <w:t>graniczony zakres</w:t>
      </w:r>
      <w:r w:rsidR="009A7549" w:rsidRPr="009A7549">
        <w:rPr>
          <w:rFonts w:ascii="Times New Roman" w:hAnsi="Times New Roman" w:cs="Times New Roman"/>
          <w:bCs/>
          <w:sz w:val="24"/>
          <w:szCs w:val="24"/>
        </w:rPr>
        <w:t xml:space="preserve"> regulacji dotyczących zarejestrowanych zarządzającyc</w:t>
      </w:r>
      <w:r w:rsidR="009A7549">
        <w:rPr>
          <w:rFonts w:ascii="Times New Roman" w:hAnsi="Times New Roman" w:cs="Times New Roman"/>
          <w:bCs/>
          <w:sz w:val="24"/>
          <w:szCs w:val="24"/>
        </w:rPr>
        <w:t>h ASI, a tym samym ograniczony</w:t>
      </w:r>
      <w:r w:rsidR="009A7549" w:rsidRPr="009A7549">
        <w:rPr>
          <w:rFonts w:ascii="Times New Roman" w:hAnsi="Times New Roman" w:cs="Times New Roman"/>
          <w:bCs/>
          <w:sz w:val="24"/>
          <w:szCs w:val="24"/>
        </w:rPr>
        <w:t xml:space="preserve"> zakresu nadzoru </w:t>
      </w:r>
      <w:r w:rsidR="009A7549">
        <w:rPr>
          <w:rFonts w:ascii="Times New Roman" w:hAnsi="Times New Roman" w:cs="Times New Roman"/>
          <w:bCs/>
          <w:sz w:val="24"/>
          <w:szCs w:val="24"/>
        </w:rPr>
        <w:t>sprawowany</w:t>
      </w:r>
      <w:r w:rsidR="009A7549" w:rsidRPr="009A7549">
        <w:rPr>
          <w:rFonts w:ascii="Times New Roman" w:hAnsi="Times New Roman" w:cs="Times New Roman"/>
          <w:bCs/>
          <w:sz w:val="24"/>
          <w:szCs w:val="24"/>
        </w:rPr>
        <w:t xml:space="preserve"> </w:t>
      </w:r>
      <w:r w:rsidR="009A7549">
        <w:rPr>
          <w:rFonts w:ascii="Times New Roman" w:hAnsi="Times New Roman" w:cs="Times New Roman"/>
          <w:bCs/>
          <w:sz w:val="24"/>
          <w:szCs w:val="24"/>
        </w:rPr>
        <w:t>przez KNF nad</w:t>
      </w:r>
      <w:r w:rsidR="009A7549" w:rsidRPr="009A7549">
        <w:rPr>
          <w:rFonts w:ascii="Times New Roman" w:hAnsi="Times New Roman" w:cs="Times New Roman"/>
          <w:bCs/>
          <w:sz w:val="24"/>
          <w:szCs w:val="24"/>
        </w:rPr>
        <w:t xml:space="preserve"> tymi podmiotami, </w:t>
      </w:r>
      <w:r w:rsidR="00C5389F">
        <w:rPr>
          <w:rFonts w:ascii="Times New Roman" w:hAnsi="Times New Roman" w:cs="Times New Roman"/>
          <w:bCs/>
          <w:sz w:val="24"/>
          <w:szCs w:val="24"/>
        </w:rPr>
        <w:t xml:space="preserve">ponadto </w:t>
      </w:r>
      <w:r w:rsidR="009A7549" w:rsidRPr="009A7549">
        <w:rPr>
          <w:rFonts w:ascii="Times New Roman" w:hAnsi="Times New Roman" w:cs="Times New Roman"/>
          <w:bCs/>
          <w:sz w:val="24"/>
          <w:szCs w:val="24"/>
        </w:rPr>
        <w:t xml:space="preserve">inwestycje w prawa uczestnictwa ASI związane są z bardzo wysokim ryzykiem inwestycyjnym, w szczególności z ryzykiem utraty zaangażowanych środków. </w:t>
      </w:r>
      <w:r w:rsidR="009A7549">
        <w:rPr>
          <w:rFonts w:ascii="Times New Roman" w:hAnsi="Times New Roman" w:cs="Times New Roman"/>
          <w:bCs/>
          <w:sz w:val="24"/>
          <w:szCs w:val="24"/>
        </w:rPr>
        <w:t>Wyłączenie możliwości zawierania umów wskazanych w art. 8a ust. 4 ustawy o funduszach inwest</w:t>
      </w:r>
      <w:r w:rsidR="008B0DDD">
        <w:rPr>
          <w:rFonts w:ascii="Times New Roman" w:hAnsi="Times New Roman" w:cs="Times New Roman"/>
          <w:bCs/>
          <w:sz w:val="24"/>
          <w:szCs w:val="24"/>
        </w:rPr>
        <w:t xml:space="preserve">ycyjnych skutecznie </w:t>
      </w:r>
      <w:r w:rsidR="009A7549">
        <w:rPr>
          <w:rFonts w:ascii="Times New Roman" w:hAnsi="Times New Roman" w:cs="Times New Roman"/>
          <w:bCs/>
          <w:sz w:val="24"/>
          <w:szCs w:val="24"/>
        </w:rPr>
        <w:t xml:space="preserve">ograniczy to ryzyko, zwłaszcza że dotyczy ono przede wszystkim nieprofesjonalnych uczestników rynku. Brzmienie </w:t>
      </w:r>
      <w:r w:rsidR="008B0DDD">
        <w:rPr>
          <w:rFonts w:ascii="Times New Roman" w:hAnsi="Times New Roman" w:cs="Times New Roman"/>
          <w:bCs/>
          <w:sz w:val="24"/>
          <w:szCs w:val="24"/>
        </w:rPr>
        <w:t>art. 8c ust. 1 i jednoczesne skreślenie w ust. 4 zdania drugiego określa, że o</w:t>
      </w:r>
      <w:r w:rsidR="008B0DDD" w:rsidRPr="008B0DDD">
        <w:rPr>
          <w:rFonts w:ascii="Times New Roman" w:hAnsi="Times New Roman" w:cs="Times New Roman"/>
          <w:bCs/>
          <w:sz w:val="24"/>
          <w:szCs w:val="24"/>
        </w:rPr>
        <w:t xml:space="preserve">graniczenie to nie będzie dotyczyć praw </w:t>
      </w:r>
      <w:r w:rsidR="008B0DDD" w:rsidRPr="008B0DDD">
        <w:rPr>
          <w:rFonts w:ascii="Times New Roman" w:hAnsi="Times New Roman" w:cs="Times New Roman"/>
          <w:bCs/>
          <w:sz w:val="24"/>
          <w:szCs w:val="24"/>
        </w:rPr>
        <w:lastRenderedPageBreak/>
        <w:t>uczestnictwa w europejskich długoterminowych funduszach inwestycyjnych w Rozporządzeniu Parlamentu Europejskiego i Rady (UE) 2015/760 z dnia 29 kwietnia 2015 r. w sprawie europejskich długoterminowych funduszy inwestycyjnych (Dz. U</w:t>
      </w:r>
      <w:r w:rsidR="007326BF">
        <w:rPr>
          <w:rFonts w:ascii="Times New Roman" w:hAnsi="Times New Roman" w:cs="Times New Roman"/>
          <w:bCs/>
          <w:sz w:val="24"/>
          <w:szCs w:val="24"/>
        </w:rPr>
        <w:t>rz</w:t>
      </w:r>
      <w:r w:rsidR="008B0DDD" w:rsidRPr="008B0DDD">
        <w:rPr>
          <w:rFonts w:ascii="Times New Roman" w:hAnsi="Times New Roman" w:cs="Times New Roman"/>
          <w:bCs/>
          <w:sz w:val="24"/>
          <w:szCs w:val="24"/>
        </w:rPr>
        <w:t>. UE. L. z 2015 r. Nr 123, st</w:t>
      </w:r>
      <w:r w:rsidR="00C5389F">
        <w:rPr>
          <w:rFonts w:ascii="Times New Roman" w:hAnsi="Times New Roman" w:cs="Times New Roman"/>
          <w:bCs/>
          <w:sz w:val="24"/>
          <w:szCs w:val="24"/>
        </w:rPr>
        <w:t>r. 98), z uwagi na przewidziane w tym rozporządzeniu regulacje ograniczające dostęp osób fizycznych do długoterminowych funduszy inwestycyjnych. W</w:t>
      </w:r>
      <w:r w:rsidR="008B0DDD" w:rsidRPr="008B0DDD">
        <w:rPr>
          <w:rFonts w:ascii="Times New Roman" w:hAnsi="Times New Roman" w:cs="Times New Roman"/>
          <w:bCs/>
          <w:sz w:val="24"/>
          <w:szCs w:val="24"/>
        </w:rPr>
        <w:t xml:space="preserve"> art. 31 ust. 1 </w:t>
      </w:r>
      <w:r w:rsidR="00C5389F">
        <w:rPr>
          <w:rFonts w:ascii="Times New Roman" w:hAnsi="Times New Roman" w:cs="Times New Roman"/>
          <w:bCs/>
          <w:sz w:val="24"/>
          <w:szCs w:val="24"/>
        </w:rPr>
        <w:t xml:space="preserve">tego rozporządzenia przewidziano możliwość </w:t>
      </w:r>
      <w:r w:rsidR="008B0DDD" w:rsidRPr="008B0DDD">
        <w:rPr>
          <w:rFonts w:ascii="Times New Roman" w:hAnsi="Times New Roman" w:cs="Times New Roman"/>
          <w:bCs/>
          <w:sz w:val="24"/>
          <w:szCs w:val="24"/>
        </w:rPr>
        <w:t>wprowadzania do obrotu jednostek uczestnictwa lub udziałów w europejskich długoterminowych funduszach inwestycyjnych wśród klientów detalicznych</w:t>
      </w:r>
      <w:r w:rsidR="00C5389F">
        <w:rPr>
          <w:rFonts w:ascii="Times New Roman" w:hAnsi="Times New Roman" w:cs="Times New Roman"/>
          <w:bCs/>
          <w:sz w:val="24"/>
          <w:szCs w:val="24"/>
        </w:rPr>
        <w:t>, niemniej w ograniczonym zakresie</w:t>
      </w:r>
      <w:r w:rsidR="008B0DDD" w:rsidRPr="008B0DDD">
        <w:rPr>
          <w:rFonts w:ascii="Times New Roman" w:hAnsi="Times New Roman" w:cs="Times New Roman"/>
          <w:bCs/>
          <w:sz w:val="24"/>
          <w:szCs w:val="24"/>
        </w:rPr>
        <w:t xml:space="preserve">. </w:t>
      </w:r>
      <w:r w:rsidR="00C5389F">
        <w:rPr>
          <w:rFonts w:ascii="Times New Roman" w:hAnsi="Times New Roman" w:cs="Times New Roman"/>
          <w:bCs/>
          <w:sz w:val="24"/>
          <w:szCs w:val="24"/>
        </w:rPr>
        <w:t xml:space="preserve">Przewidziana projektem propozycja </w:t>
      </w:r>
      <w:r w:rsidR="008B0DDD" w:rsidRPr="008B0DDD">
        <w:rPr>
          <w:rFonts w:ascii="Times New Roman" w:hAnsi="Times New Roman" w:cs="Times New Roman"/>
          <w:bCs/>
          <w:sz w:val="24"/>
          <w:szCs w:val="24"/>
        </w:rPr>
        <w:t xml:space="preserve">pozostaje przy tym zgodna z art. 43 ust. 1 </w:t>
      </w:r>
      <w:r w:rsidR="008B0DDD" w:rsidRPr="006B2CD4">
        <w:rPr>
          <w:rFonts w:ascii="Times New Roman" w:hAnsi="Times New Roman" w:cs="Times New Roman"/>
          <w:sz w:val="24"/>
          <w:lang w:eastAsia="pl-PL"/>
        </w:rPr>
        <w:t>dyrektywy Parlamentu Europejskiego i Rady 2011/61/UE z dnia 8 czerwca 2011 r. w sprawie zarządzających alternatywnymi funduszami inwestycyjnymi i zmiany dyrektyw 2003/41/WE i 2009/65/WE oraz rozporządzeń (WE) nr 1060/2009 i (UE) nr 1095/2010 (Dz. Urz. UE L 174 z 1.7.2011 str. 1)</w:t>
      </w:r>
      <w:r w:rsidR="008B0DDD" w:rsidRPr="008B0DDD">
        <w:rPr>
          <w:rFonts w:ascii="Times New Roman" w:hAnsi="Times New Roman" w:cs="Times New Roman"/>
          <w:bCs/>
          <w:sz w:val="24"/>
          <w:szCs w:val="24"/>
        </w:rPr>
        <w:t>, który umożliwia państwom członkowskim UE dowolne kształtowanie zasad wprowadzania AFI do obrotu w odniesieniu do inwestorów detalicznych.</w:t>
      </w:r>
      <w:r w:rsidR="00EA276C">
        <w:rPr>
          <w:rFonts w:ascii="Times New Roman" w:hAnsi="Times New Roman" w:cs="Times New Roman"/>
          <w:bCs/>
          <w:sz w:val="24"/>
          <w:szCs w:val="24"/>
        </w:rPr>
        <w:t xml:space="preserve"> Powyższa regulacja pociągnie za sobą również zmiany w art. 70d ust. 7 i art. 70f, gdzie zamieszczone zostanie odesłanie do właściwego przepisu ww. dyrektywy.</w:t>
      </w:r>
      <w:r w:rsidR="007C389F">
        <w:rPr>
          <w:rFonts w:ascii="Times New Roman" w:hAnsi="Times New Roman" w:cs="Times New Roman"/>
          <w:bCs/>
          <w:sz w:val="24"/>
          <w:szCs w:val="24"/>
        </w:rPr>
        <w:t xml:space="preserve"> </w:t>
      </w:r>
      <w:r w:rsidR="008B0DDD">
        <w:rPr>
          <w:rFonts w:ascii="Times New Roman" w:hAnsi="Times New Roman" w:cs="Times New Roman"/>
          <w:bCs/>
          <w:sz w:val="24"/>
          <w:szCs w:val="24"/>
        </w:rPr>
        <w:t xml:space="preserve">Zmiany w art. 70a wprowadzają obowiązek </w:t>
      </w:r>
      <w:r w:rsidR="008B0DDD" w:rsidRPr="009E7805">
        <w:rPr>
          <w:rFonts w:ascii="Times New Roman" w:hAnsi="Times New Roman" w:cs="Times New Roman"/>
          <w:sz w:val="24"/>
          <w:szCs w:val="24"/>
        </w:rPr>
        <w:t>prowadzenia przez zarządzającego ASI strony internetowej. Dotychczas taki obowiązek istniał jedynie wobec spółki akcyj</w:t>
      </w:r>
      <w:r w:rsidR="008B0DDD">
        <w:rPr>
          <w:rFonts w:ascii="Times New Roman" w:hAnsi="Times New Roman" w:cs="Times New Roman"/>
          <w:sz w:val="24"/>
          <w:szCs w:val="24"/>
        </w:rPr>
        <w:t>nej, na mocy przepisów Kodeksu spółek h</w:t>
      </w:r>
      <w:r w:rsidR="008B0DDD" w:rsidRPr="009E7805">
        <w:rPr>
          <w:rFonts w:ascii="Times New Roman" w:hAnsi="Times New Roman" w:cs="Times New Roman"/>
          <w:sz w:val="24"/>
          <w:szCs w:val="24"/>
        </w:rPr>
        <w:t xml:space="preserve">andlowych. Przepisy w tym zakresie wymagają ujednolicenia m.in. z uwagi na wejście w życie </w:t>
      </w:r>
      <w:r w:rsidR="00C5389F">
        <w:rPr>
          <w:rFonts w:ascii="Times New Roman" w:hAnsi="Times New Roman" w:cs="Times New Roman"/>
          <w:sz w:val="24"/>
          <w:szCs w:val="24"/>
        </w:rPr>
        <w:t>r</w:t>
      </w:r>
      <w:r w:rsidR="008B0DDD" w:rsidRPr="009E7805">
        <w:rPr>
          <w:rFonts w:ascii="Times New Roman" w:hAnsi="Times New Roman" w:cs="Times New Roman"/>
          <w:sz w:val="24"/>
          <w:szCs w:val="24"/>
        </w:rPr>
        <w:t xml:space="preserve">ozporządzenia Parlamentu Europejskiego i Rady (UE) 2019/2088 z dnia 27 listopada </w:t>
      </w:r>
      <w:r w:rsidR="008B0DDD" w:rsidRPr="009E7805">
        <w:rPr>
          <w:rFonts w:ascii="Times New Roman" w:hAnsi="Times New Roman" w:cs="Times New Roman"/>
          <w:sz w:val="24"/>
          <w:szCs w:val="24"/>
        </w:rPr>
        <w:lastRenderedPageBreak/>
        <w:t>2019 r. w sprawie ujawniania informacji związanych ze zrównoważonym rozwojem w sektorze usług finansowych (Dz. U</w:t>
      </w:r>
      <w:r w:rsidR="007326BF">
        <w:rPr>
          <w:rFonts w:ascii="Times New Roman" w:hAnsi="Times New Roman" w:cs="Times New Roman"/>
          <w:sz w:val="24"/>
          <w:szCs w:val="24"/>
        </w:rPr>
        <w:t>rz</w:t>
      </w:r>
      <w:r w:rsidR="008B0DDD" w:rsidRPr="009E7805">
        <w:rPr>
          <w:rFonts w:ascii="Times New Roman" w:hAnsi="Times New Roman" w:cs="Times New Roman"/>
          <w:sz w:val="24"/>
          <w:szCs w:val="24"/>
        </w:rPr>
        <w:t>. UE L. z 2019 r. Nr 317, str. 1</w:t>
      </w:r>
      <w:r w:rsidR="00A45907">
        <w:rPr>
          <w:rFonts w:ascii="Times New Roman" w:hAnsi="Times New Roman" w:cs="Times New Roman"/>
          <w:sz w:val="24"/>
          <w:szCs w:val="24"/>
        </w:rPr>
        <w:t>,</w:t>
      </w:r>
      <w:r w:rsidR="008B0DDD" w:rsidRPr="009E7805">
        <w:rPr>
          <w:rFonts w:ascii="Times New Roman" w:hAnsi="Times New Roman" w:cs="Times New Roman"/>
          <w:sz w:val="24"/>
          <w:szCs w:val="24"/>
        </w:rPr>
        <w:t xml:space="preserve"> z późn. zm.). Przepisy tego rozporządzenia m.in. w art. 4 ust. 1 wskazują na obowiązek publikacji określonych informacji na stronach internetowych uczestników rynku finansowego, w tym zarządzających AFI. Wobec braku regulacji polskiej dotyczącej obowiązku prowadzenia strony internetowej przez spółkę z ograniczoną odpowiedzialnością zasadnym jest zatem przyjęcie ww. rozwiązania.</w:t>
      </w:r>
      <w:r w:rsidR="00EA276C">
        <w:rPr>
          <w:rFonts w:ascii="Times New Roman" w:hAnsi="Times New Roman" w:cs="Times New Roman"/>
          <w:sz w:val="24"/>
          <w:szCs w:val="24"/>
        </w:rPr>
        <w:t xml:space="preserve"> Zmiany w art. 70k</w:t>
      </w:r>
      <w:r w:rsidR="00C5389F">
        <w:rPr>
          <w:rFonts w:ascii="Times New Roman" w:hAnsi="Times New Roman" w:cs="Times New Roman"/>
          <w:sz w:val="24"/>
          <w:szCs w:val="24"/>
        </w:rPr>
        <w:t xml:space="preserve"> wzorowane są na rozwiązaniach przyjętych w r</w:t>
      </w:r>
      <w:r w:rsidR="00457862">
        <w:rPr>
          <w:rFonts w:ascii="Times New Roman" w:hAnsi="Times New Roman" w:cs="Times New Roman"/>
          <w:sz w:val="24"/>
          <w:szCs w:val="24"/>
        </w:rPr>
        <w:t>ozporządzeni 2015/760, w ust. 3–</w:t>
      </w:r>
      <w:r w:rsidR="006F0D6B">
        <w:rPr>
          <w:rFonts w:ascii="Times New Roman" w:hAnsi="Times New Roman" w:cs="Times New Roman"/>
          <w:sz w:val="24"/>
          <w:szCs w:val="24"/>
        </w:rPr>
        <w:t>6</w:t>
      </w:r>
      <w:r w:rsidR="00EA276C">
        <w:rPr>
          <w:rFonts w:ascii="Times New Roman" w:hAnsi="Times New Roman" w:cs="Times New Roman"/>
          <w:sz w:val="24"/>
          <w:szCs w:val="24"/>
        </w:rPr>
        <w:t xml:space="preserve"> wprowadza </w:t>
      </w:r>
      <w:r w:rsidR="00533050">
        <w:rPr>
          <w:rFonts w:ascii="Times New Roman" w:hAnsi="Times New Roman" w:cs="Times New Roman"/>
          <w:sz w:val="24"/>
          <w:szCs w:val="24"/>
        </w:rPr>
        <w:t>wymogi kapitałowe i doprecyzowania w zakresie udziału w ASI osób fizycznych. O</w:t>
      </w:r>
      <w:r w:rsidR="00533050" w:rsidRPr="00533050">
        <w:rPr>
          <w:rFonts w:ascii="Times New Roman" w:hAnsi="Times New Roman" w:cs="Times New Roman"/>
          <w:sz w:val="24"/>
          <w:szCs w:val="24"/>
        </w:rPr>
        <w:t>bserwacja rozwijającego się w Polsce rynku ASI, jak również funkcjonuj</w:t>
      </w:r>
      <w:r w:rsidR="00533050">
        <w:rPr>
          <w:rFonts w:ascii="Times New Roman" w:hAnsi="Times New Roman" w:cs="Times New Roman"/>
          <w:sz w:val="24"/>
          <w:szCs w:val="24"/>
        </w:rPr>
        <w:t xml:space="preserve">ące </w:t>
      </w:r>
      <w:r w:rsidR="00533050" w:rsidRPr="00533050">
        <w:rPr>
          <w:rFonts w:ascii="Times New Roman" w:hAnsi="Times New Roman" w:cs="Times New Roman"/>
          <w:sz w:val="24"/>
          <w:szCs w:val="24"/>
        </w:rPr>
        <w:t>przed 2016 r. podmioty w formule funduszy V</w:t>
      </w:r>
      <w:r w:rsidR="00533050">
        <w:rPr>
          <w:rFonts w:ascii="Times New Roman" w:hAnsi="Times New Roman" w:cs="Times New Roman"/>
          <w:sz w:val="24"/>
          <w:szCs w:val="24"/>
        </w:rPr>
        <w:t xml:space="preserve">enture </w:t>
      </w:r>
      <w:r w:rsidR="00533050" w:rsidRPr="00533050">
        <w:rPr>
          <w:rFonts w:ascii="Times New Roman" w:hAnsi="Times New Roman" w:cs="Times New Roman"/>
          <w:sz w:val="24"/>
          <w:szCs w:val="24"/>
        </w:rPr>
        <w:t>C</w:t>
      </w:r>
      <w:r w:rsidR="00533050">
        <w:rPr>
          <w:rFonts w:ascii="Times New Roman" w:hAnsi="Times New Roman" w:cs="Times New Roman"/>
          <w:sz w:val="24"/>
          <w:szCs w:val="24"/>
        </w:rPr>
        <w:t xml:space="preserve">apital lub </w:t>
      </w:r>
      <w:r w:rsidR="00533050" w:rsidRPr="00533050">
        <w:rPr>
          <w:rFonts w:ascii="Times New Roman" w:hAnsi="Times New Roman" w:cs="Times New Roman"/>
          <w:sz w:val="24"/>
          <w:szCs w:val="24"/>
        </w:rPr>
        <w:t>P</w:t>
      </w:r>
      <w:r w:rsidR="00533050">
        <w:rPr>
          <w:rFonts w:ascii="Times New Roman" w:hAnsi="Times New Roman" w:cs="Times New Roman"/>
          <w:sz w:val="24"/>
          <w:szCs w:val="24"/>
        </w:rPr>
        <w:t xml:space="preserve">rivate </w:t>
      </w:r>
      <w:r w:rsidR="00533050" w:rsidRPr="00533050">
        <w:rPr>
          <w:rFonts w:ascii="Times New Roman" w:hAnsi="Times New Roman" w:cs="Times New Roman"/>
          <w:sz w:val="24"/>
          <w:szCs w:val="24"/>
        </w:rPr>
        <w:t>E</w:t>
      </w:r>
      <w:r w:rsidR="00533050">
        <w:rPr>
          <w:rFonts w:ascii="Times New Roman" w:hAnsi="Times New Roman" w:cs="Times New Roman"/>
          <w:sz w:val="24"/>
          <w:szCs w:val="24"/>
        </w:rPr>
        <w:t>quity</w:t>
      </w:r>
      <w:r w:rsidR="00533050" w:rsidRPr="00533050">
        <w:rPr>
          <w:rFonts w:ascii="Times New Roman" w:hAnsi="Times New Roman" w:cs="Times New Roman"/>
          <w:sz w:val="24"/>
          <w:szCs w:val="24"/>
        </w:rPr>
        <w:t xml:space="preserve"> jako spółki handlowe pokazuje, że istnieje grupa osób fizycznych mających doświadczenie i wiedzę z zakresu inwestowania w tego rodzaju wehikuły, dysponująca znacznymi środkami i świadoma ponoszonego, znacznego ryzyka inwestycyjnego. Dla takich właśnie osób zaproponowane zostało rozwiązanie polegające na wprowadzeniu możliwości uznania za klienta profesjonalnego uprawnionego do nabycia praw uczestnictwa ASI </w:t>
      </w:r>
      <w:r w:rsidR="00457862">
        <w:rPr>
          <w:rFonts w:ascii="Times New Roman" w:hAnsi="Times New Roman" w:cs="Times New Roman"/>
          <w:sz w:val="24"/>
          <w:szCs w:val="24"/>
        </w:rPr>
        <w:t>–</w:t>
      </w:r>
      <w:r w:rsidR="00533050" w:rsidRPr="00533050">
        <w:rPr>
          <w:rFonts w:ascii="Times New Roman" w:hAnsi="Times New Roman" w:cs="Times New Roman"/>
          <w:sz w:val="24"/>
          <w:szCs w:val="24"/>
        </w:rPr>
        <w:t xml:space="preserve"> osoby fizycznej, której wiedza oraz doświadczenie z zakresu podejmowania decyzji inwestycyjnych, w tym dotyczących strategii inwestycyjnych realizowanych przez ASI została zweryfikowana przez zarządzającego ASI i która wniesie do ASI wkład w wysokości równowartości wyrażonej w złotych kwoty co najmniej </w:t>
      </w:r>
      <w:r w:rsidR="006F0D6B">
        <w:rPr>
          <w:rFonts w:ascii="Times New Roman" w:hAnsi="Times New Roman" w:cs="Times New Roman"/>
          <w:sz w:val="24"/>
          <w:szCs w:val="24"/>
        </w:rPr>
        <w:t>6</w:t>
      </w:r>
      <w:r w:rsidR="00533050" w:rsidRPr="00533050">
        <w:rPr>
          <w:rFonts w:ascii="Times New Roman" w:hAnsi="Times New Roman" w:cs="Times New Roman"/>
          <w:sz w:val="24"/>
          <w:szCs w:val="24"/>
        </w:rPr>
        <w:t xml:space="preserve">0.000 euro. Pozwoli to na nabycie praw uczestnictwa ASI przez osoby fizyczne, dla </w:t>
      </w:r>
      <w:r w:rsidR="00533050" w:rsidRPr="00533050">
        <w:rPr>
          <w:rFonts w:ascii="Times New Roman" w:hAnsi="Times New Roman" w:cs="Times New Roman"/>
          <w:sz w:val="24"/>
          <w:szCs w:val="24"/>
        </w:rPr>
        <w:lastRenderedPageBreak/>
        <w:t>których prawa uczestnictwa ASI będą odpowiedn</w:t>
      </w:r>
      <w:r w:rsidR="00533050">
        <w:rPr>
          <w:rFonts w:ascii="Times New Roman" w:hAnsi="Times New Roman" w:cs="Times New Roman"/>
          <w:sz w:val="24"/>
          <w:szCs w:val="24"/>
        </w:rPr>
        <w:t xml:space="preserve">imi produktami inwestycyjnymi. </w:t>
      </w:r>
      <w:r w:rsidR="00533050" w:rsidRPr="00533050">
        <w:rPr>
          <w:rFonts w:ascii="Times New Roman" w:hAnsi="Times New Roman" w:cs="Times New Roman"/>
          <w:sz w:val="24"/>
          <w:szCs w:val="24"/>
        </w:rPr>
        <w:t>Rozwiązanie to jest zbieżne z wymogami przewidzianymi w art. 6 ust. 1 Rozporządzenia Parlamentu Europejskiego i Rady (UE) nr 345/2013 z dnia 17 kwietnia 2013 r. w sprawie europejskich funduszy venture capital (Dz. U</w:t>
      </w:r>
      <w:r w:rsidR="007326BF">
        <w:rPr>
          <w:rFonts w:ascii="Times New Roman" w:hAnsi="Times New Roman" w:cs="Times New Roman"/>
          <w:sz w:val="24"/>
          <w:szCs w:val="24"/>
        </w:rPr>
        <w:t>rz</w:t>
      </w:r>
      <w:r w:rsidR="00533050" w:rsidRPr="00533050">
        <w:rPr>
          <w:rFonts w:ascii="Times New Roman" w:hAnsi="Times New Roman" w:cs="Times New Roman"/>
          <w:sz w:val="24"/>
          <w:szCs w:val="24"/>
        </w:rPr>
        <w:t>. UE L z 2013 r. Nr 115, str. 1</w:t>
      </w:r>
      <w:r w:rsidR="00A45907">
        <w:rPr>
          <w:rFonts w:ascii="Times New Roman" w:hAnsi="Times New Roman" w:cs="Times New Roman"/>
          <w:sz w:val="24"/>
          <w:szCs w:val="24"/>
        </w:rPr>
        <w:t>,</w:t>
      </w:r>
      <w:r w:rsidR="00533050" w:rsidRPr="00533050">
        <w:rPr>
          <w:rFonts w:ascii="Times New Roman" w:hAnsi="Times New Roman" w:cs="Times New Roman"/>
          <w:sz w:val="24"/>
          <w:szCs w:val="24"/>
        </w:rPr>
        <w:t xml:space="preserve"> z późn. zm., dalej: „Rozporządzenie EuVECA”) oraz art. 6 ust. 1 Rozporządzenia Parlamentu Europejskiego i Rady (UE) nr 346/2013 z dnia 17 kwietnia 2013 r. w sprawie europejskich funduszy na rzecz przedsiębiorczości społecznej (Dz. U</w:t>
      </w:r>
      <w:r w:rsidR="007326BF">
        <w:rPr>
          <w:rFonts w:ascii="Times New Roman" w:hAnsi="Times New Roman" w:cs="Times New Roman"/>
          <w:sz w:val="24"/>
          <w:szCs w:val="24"/>
        </w:rPr>
        <w:t>rz</w:t>
      </w:r>
      <w:r w:rsidR="00533050" w:rsidRPr="00533050">
        <w:rPr>
          <w:rFonts w:ascii="Times New Roman" w:hAnsi="Times New Roman" w:cs="Times New Roman"/>
          <w:sz w:val="24"/>
          <w:szCs w:val="24"/>
        </w:rPr>
        <w:t>. UE L z 2013 r. Nr 115, str. 18</w:t>
      </w:r>
      <w:r w:rsidR="00A45907">
        <w:rPr>
          <w:rFonts w:ascii="Times New Roman" w:hAnsi="Times New Roman" w:cs="Times New Roman"/>
          <w:sz w:val="24"/>
          <w:szCs w:val="24"/>
        </w:rPr>
        <w:t>,</w:t>
      </w:r>
      <w:r w:rsidR="00533050" w:rsidRPr="00533050">
        <w:rPr>
          <w:rFonts w:ascii="Times New Roman" w:hAnsi="Times New Roman" w:cs="Times New Roman"/>
          <w:sz w:val="24"/>
          <w:szCs w:val="24"/>
        </w:rPr>
        <w:t xml:space="preserve"> z późn. zm.), zgodnie z którymi prawa uczestnictwa w tych funduszach obejmować mogą wyłącznie inwestorzy branżowi (profesjonalni), którzy zobowiązali się do zainwestowania co najmniej 100 000 EUR oraz oświadczyli na piśmie, w dokumencie odrębnym w stosunku do zawieranej umowy, której przedmiotem ma być zobowiązanie do dokonania inwestycji kapitałowej, że są świadomi ryzyka związanego z przewidywanym zobowiązaniem lub inwestycją. Znaczna część inwestycji dokonywanych przez ASI pokrywa się z tymi dokonywanymi przez kwalifikowalne fundusze venture capital (EuVECA) tj. inwestycje kwalifikowane z art. lit. 3 lit. e Rozporządzenia EuVECA rozumiane jako instrumenty kapitałowe lub quasi-kapitałowe kwalifikowalnych przedsiębiorstw portfelowych. Z tego rodzaju inwestycjami związane są natomiast zbieżne ze sobą ryzyka, które zostały zauważone i są odpowiednio mitygowane na poziomie europejskim.</w:t>
      </w:r>
      <w:r w:rsidR="00B43872">
        <w:rPr>
          <w:rFonts w:ascii="Times New Roman" w:hAnsi="Times New Roman" w:cs="Times New Roman"/>
          <w:sz w:val="24"/>
          <w:szCs w:val="24"/>
        </w:rPr>
        <w:t xml:space="preserve"> </w:t>
      </w:r>
      <w:r w:rsidR="006F0D6B" w:rsidRPr="006F0D6B">
        <w:rPr>
          <w:rFonts w:ascii="Times New Roman" w:hAnsi="Times New Roman" w:cs="Times New Roman"/>
          <w:sz w:val="24"/>
          <w:szCs w:val="24"/>
        </w:rPr>
        <w:t>Podkreślić przy tym należy, że przyjęty projektem ustawy poziomi 60 000 euro został dostosowany do poziomu rozwoju krajowego rynku kapitałowego, który charakteryzuje się niższym pozio</w:t>
      </w:r>
      <w:r w:rsidR="006F0D6B" w:rsidRPr="006F0D6B">
        <w:rPr>
          <w:rFonts w:ascii="Times New Roman" w:hAnsi="Times New Roman" w:cs="Times New Roman"/>
          <w:sz w:val="24"/>
          <w:szCs w:val="24"/>
        </w:rPr>
        <w:lastRenderedPageBreak/>
        <w:t xml:space="preserve">mem kapitalizacji alternatywnych funduszy inwestycyjnych. </w:t>
      </w:r>
      <w:r w:rsidR="006F0D6B">
        <w:rPr>
          <w:rFonts w:ascii="Times New Roman" w:hAnsi="Times New Roman" w:cs="Times New Roman"/>
          <w:sz w:val="24"/>
          <w:szCs w:val="24"/>
        </w:rPr>
        <w:t>Ponadto, w art. 70k ust. 7 przewidziano, że nowo wprowadzane wyma</w:t>
      </w:r>
      <w:r w:rsidR="00457862">
        <w:rPr>
          <w:rFonts w:ascii="Times New Roman" w:hAnsi="Times New Roman" w:cs="Times New Roman"/>
          <w:sz w:val="24"/>
          <w:szCs w:val="24"/>
        </w:rPr>
        <w:t>gania (przepisy art. 70k ust. 3–</w:t>
      </w:r>
      <w:r w:rsidR="006F0D6B">
        <w:rPr>
          <w:rFonts w:ascii="Times New Roman" w:hAnsi="Times New Roman" w:cs="Times New Roman"/>
          <w:sz w:val="24"/>
          <w:szCs w:val="24"/>
        </w:rPr>
        <w:t xml:space="preserve">6) </w:t>
      </w:r>
      <w:r w:rsidR="00024130">
        <w:rPr>
          <w:rFonts w:ascii="Times New Roman" w:hAnsi="Times New Roman" w:cs="Times New Roman"/>
          <w:sz w:val="24"/>
          <w:szCs w:val="24"/>
        </w:rPr>
        <w:t>nie będą miały zastosowania w przypadku gdy co najmniej 50% praw uczestnictwa alternatywnej spółki inwestycyjnej posiadają klienci profesjonalni, o który</w:t>
      </w:r>
      <w:r w:rsidR="00457862">
        <w:rPr>
          <w:rFonts w:ascii="Times New Roman" w:hAnsi="Times New Roman" w:cs="Times New Roman"/>
          <w:sz w:val="24"/>
          <w:szCs w:val="24"/>
        </w:rPr>
        <w:t>ch mowa w art. 2 pkt 13a lit. a–</w:t>
      </w:r>
      <w:r w:rsidR="00024130">
        <w:rPr>
          <w:rFonts w:ascii="Times New Roman" w:hAnsi="Times New Roman" w:cs="Times New Roman"/>
          <w:sz w:val="24"/>
          <w:szCs w:val="24"/>
        </w:rPr>
        <w:t xml:space="preserve">m ustawy o funduszach inwestycyjnych. Rozwiązanie to uwzględnia fakt, że udział klientów profesjonalnych (np. banków, firm inwestycyjnych, funduszy inwestycyjnych oraz funduszy emerytalnych) w danym alternatywnym funduszu inwestycyjnym zwiększa również poziom bezpieczeństwa pozostałych inwestorów. Inwestorzy instytucjonalni z uwagi na wiedzę, doświadczenie, zasoby techniczno-organizacyjne, </w:t>
      </w:r>
      <w:r w:rsidR="00CC724D">
        <w:rPr>
          <w:rFonts w:ascii="Times New Roman" w:hAnsi="Times New Roman" w:cs="Times New Roman"/>
          <w:sz w:val="24"/>
          <w:szCs w:val="24"/>
        </w:rPr>
        <w:t xml:space="preserve">zapewnia </w:t>
      </w:r>
      <w:r w:rsidR="00024130">
        <w:rPr>
          <w:rFonts w:ascii="Times New Roman" w:hAnsi="Times New Roman" w:cs="Times New Roman"/>
          <w:sz w:val="24"/>
          <w:szCs w:val="24"/>
        </w:rPr>
        <w:t>działani</w:t>
      </w:r>
      <w:r w:rsidR="00CC724D">
        <w:rPr>
          <w:rFonts w:ascii="Times New Roman" w:hAnsi="Times New Roman" w:cs="Times New Roman"/>
          <w:sz w:val="24"/>
          <w:szCs w:val="24"/>
        </w:rPr>
        <w:t>e</w:t>
      </w:r>
      <w:r w:rsidR="00024130">
        <w:rPr>
          <w:rFonts w:ascii="Times New Roman" w:hAnsi="Times New Roman" w:cs="Times New Roman"/>
          <w:sz w:val="24"/>
          <w:szCs w:val="24"/>
        </w:rPr>
        <w:t xml:space="preserve"> alternatywnej spółki inwestycyjnej </w:t>
      </w:r>
      <w:r w:rsidR="00CC724D">
        <w:rPr>
          <w:rFonts w:ascii="Times New Roman" w:hAnsi="Times New Roman" w:cs="Times New Roman"/>
          <w:sz w:val="24"/>
          <w:szCs w:val="24"/>
        </w:rPr>
        <w:t xml:space="preserve">w zgodzie </w:t>
      </w:r>
      <w:r w:rsidR="00024130">
        <w:rPr>
          <w:rFonts w:ascii="Times New Roman" w:hAnsi="Times New Roman" w:cs="Times New Roman"/>
          <w:sz w:val="24"/>
          <w:szCs w:val="24"/>
        </w:rPr>
        <w:t>z obowiązującymi standardami oraz przepisami prawa</w:t>
      </w:r>
      <w:r w:rsidR="00CC724D">
        <w:rPr>
          <w:rFonts w:ascii="Times New Roman" w:hAnsi="Times New Roman" w:cs="Times New Roman"/>
          <w:sz w:val="24"/>
          <w:szCs w:val="24"/>
        </w:rPr>
        <w:t>, gdyż jednocześnie sprawuje efektywny nadzór nad prowadzoną działalnością inwestycyjną</w:t>
      </w:r>
      <w:r w:rsidR="00024130">
        <w:rPr>
          <w:rFonts w:ascii="Times New Roman" w:hAnsi="Times New Roman" w:cs="Times New Roman"/>
          <w:sz w:val="24"/>
          <w:szCs w:val="24"/>
        </w:rPr>
        <w:t>.</w:t>
      </w:r>
      <w:r w:rsidR="00CC724D">
        <w:rPr>
          <w:rFonts w:ascii="Times New Roman" w:hAnsi="Times New Roman" w:cs="Times New Roman"/>
          <w:sz w:val="24"/>
          <w:szCs w:val="24"/>
        </w:rPr>
        <w:t xml:space="preserve"> Wspólnota interesów pomiędzy inwestorami alternatywnej spółki inwestycyjnej sprawia, że beneficjentami takiego modelu pozostają również pozostały podmioty zainwestowane w ten podmiot, w tym osoby fizyczne traktowane przez zarządzającego ASI jako klienci profesjonalni.</w:t>
      </w:r>
    </w:p>
    <w:p w14:paraId="76ED8CFB" w14:textId="53FA2932" w:rsidR="00B406C9" w:rsidRDefault="00B43872" w:rsidP="00533050">
      <w:pPr>
        <w:shd w:val="clear" w:color="auto" w:fill="FFFFFF" w:themeFill="background1"/>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Wraz z wprowadzeniem </w:t>
      </w:r>
      <w:r w:rsidR="00CC724D">
        <w:rPr>
          <w:rFonts w:ascii="Times New Roman" w:hAnsi="Times New Roman" w:cs="Times New Roman"/>
          <w:sz w:val="24"/>
          <w:szCs w:val="24"/>
        </w:rPr>
        <w:t xml:space="preserve">omawianej zmiany </w:t>
      </w:r>
      <w:r>
        <w:rPr>
          <w:rFonts w:ascii="Times New Roman" w:hAnsi="Times New Roman" w:cs="Times New Roman"/>
          <w:sz w:val="24"/>
          <w:szCs w:val="24"/>
        </w:rPr>
        <w:t>jest potrzeba zapewnienia dostępu do informacji o ASI wpisanych do rejestru EuVECA oraz EuSEF, co zostało dokonane w art. 229d.</w:t>
      </w:r>
      <w:r w:rsidR="007C389F">
        <w:rPr>
          <w:rFonts w:ascii="Times New Roman" w:hAnsi="Times New Roman" w:cs="Times New Roman"/>
          <w:sz w:val="24"/>
          <w:szCs w:val="24"/>
        </w:rPr>
        <w:t xml:space="preserve"> </w:t>
      </w:r>
      <w:r w:rsidR="008158E1">
        <w:rPr>
          <w:rFonts w:ascii="Times New Roman" w:hAnsi="Times New Roman" w:cs="Times New Roman"/>
          <w:sz w:val="24"/>
          <w:szCs w:val="24"/>
        </w:rPr>
        <w:t xml:space="preserve">Zmiana w art. 70l ma charakter wynikowy związany ze zmianą kategoryzacji osoby fizycznej wyłączonej spod zakazu uczestnictwa w ASI poprzez odwołanie do Rozporządzenia 2015/760. Zmiana brzmienia art. 70s uwzględnia </w:t>
      </w:r>
      <w:r w:rsidR="008158E1" w:rsidRPr="008158E1">
        <w:rPr>
          <w:rFonts w:ascii="Times New Roman" w:hAnsi="Times New Roman" w:cs="Times New Roman"/>
          <w:sz w:val="24"/>
          <w:szCs w:val="24"/>
        </w:rPr>
        <w:t xml:space="preserve">konieczność zapewnienia od momentu powstania ASI prawidłowej kategoryzacji jej inwestorów, modyfikacji uległy dokumenty przedstawiane w </w:t>
      </w:r>
      <w:r w:rsidR="008158E1" w:rsidRPr="008158E1">
        <w:rPr>
          <w:rFonts w:ascii="Times New Roman" w:hAnsi="Times New Roman" w:cs="Times New Roman"/>
          <w:sz w:val="24"/>
          <w:szCs w:val="24"/>
        </w:rPr>
        <w:lastRenderedPageBreak/>
        <w:t xml:space="preserve">postępowaniu o wpis </w:t>
      </w:r>
      <w:r w:rsidR="008158E1">
        <w:rPr>
          <w:rFonts w:ascii="Times New Roman" w:hAnsi="Times New Roman" w:cs="Times New Roman"/>
          <w:sz w:val="24"/>
          <w:szCs w:val="24"/>
        </w:rPr>
        <w:t>do rejestru zarządzających ASI i</w:t>
      </w:r>
      <w:r w:rsidR="008158E1" w:rsidRPr="008158E1">
        <w:rPr>
          <w:rFonts w:ascii="Times New Roman" w:hAnsi="Times New Roman" w:cs="Times New Roman"/>
          <w:sz w:val="24"/>
          <w:szCs w:val="24"/>
        </w:rPr>
        <w:t xml:space="preserve"> o uzyskanie zezwolenia. Wnioskodawcy powinni przedstawić informacje o inwestorach ASI, wartości wniesionych przez nich wkładów, pochodzeniu środków na wniesienie wkładów, a także dokonaniu weryfikacji tych inwestorów jako klientów profesjonalnych. Brak przedstawienia tych informacji stanowić powinien przesłankę odmowy wpisu do rejestru zarządzających ASI oraz wydania zezwolenia na wykonywanie działalności zarządzającego ASI dla podmiotu ubiegającego s</w:t>
      </w:r>
      <w:r w:rsidR="008158E1">
        <w:rPr>
          <w:rFonts w:ascii="Times New Roman" w:hAnsi="Times New Roman" w:cs="Times New Roman"/>
          <w:sz w:val="24"/>
          <w:szCs w:val="24"/>
        </w:rPr>
        <w:t xml:space="preserve">ię o status zarządzającego ASI. </w:t>
      </w:r>
      <w:r w:rsidR="008158E1" w:rsidRPr="008158E1">
        <w:rPr>
          <w:rFonts w:ascii="Times New Roman" w:hAnsi="Times New Roman" w:cs="Times New Roman"/>
          <w:sz w:val="24"/>
          <w:szCs w:val="24"/>
        </w:rPr>
        <w:t>Ponadto doprecyzowano uprawnienia KNF w zakresie możliwości żądania sprostowania przekazywanych przez zarządzającego ASI informacji dotyczących zasad sprawowania nadzoru nad zarządzającymi ASI. Zmiany obejmują również zasady dotyczące wprowadzania unijnych AFI do obrotu wśród klientów detalicznych na terytorium RP. Mają one na celu wyeliminowanie możliwości wprowadzania AFI do obrotu na terenie RP wśród klientów detalicznych poprzez wykorzystanie podmiotów z innych państw członkowskich UE (arbitraż jurysdykcyjny).</w:t>
      </w:r>
      <w:r w:rsidR="008158E1">
        <w:rPr>
          <w:rFonts w:ascii="Times New Roman" w:hAnsi="Times New Roman" w:cs="Times New Roman"/>
          <w:sz w:val="24"/>
          <w:szCs w:val="24"/>
        </w:rPr>
        <w:t xml:space="preserve"> Art. 70t, w ślad za prowadzonym ogólnym zakazem w art. 8a ust. 4 wskazuje przesłanki, zgodnie z którymi inwestorzy alternatywnej spółki inwestycyjnej nie spełniają kryteriów klienta profesjonalnego.</w:t>
      </w:r>
      <w:r w:rsidR="00B51CBB">
        <w:rPr>
          <w:rFonts w:ascii="Times New Roman" w:hAnsi="Times New Roman" w:cs="Times New Roman"/>
          <w:sz w:val="24"/>
          <w:szCs w:val="24"/>
        </w:rPr>
        <w:t xml:space="preserve"> Podobne doprecyzowanie dotyczy art. 263a.</w:t>
      </w:r>
      <w:r w:rsidR="008158E1">
        <w:rPr>
          <w:rFonts w:ascii="Times New Roman" w:hAnsi="Times New Roman" w:cs="Times New Roman"/>
          <w:sz w:val="24"/>
          <w:szCs w:val="24"/>
        </w:rPr>
        <w:t xml:space="preserve"> </w:t>
      </w:r>
    </w:p>
    <w:p w14:paraId="18993691" w14:textId="6068E9F6" w:rsidR="00533050" w:rsidRDefault="008158E1" w:rsidP="00533050">
      <w:pPr>
        <w:shd w:val="clear" w:color="auto" w:fill="FFFFFF" w:themeFill="background1"/>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Art. 70x</w:t>
      </w:r>
      <w:r w:rsidR="002D478B">
        <w:rPr>
          <w:rFonts w:ascii="Times New Roman" w:hAnsi="Times New Roman" w:cs="Times New Roman"/>
          <w:sz w:val="24"/>
          <w:szCs w:val="24"/>
        </w:rPr>
        <w:t xml:space="preserve"> określa postępowanie w przypadku, gdy zawarta została umowa na zarządzanie portfelem inwestycyjnym ASI lub jego częścią przez zewnętrznego zarządzającego, a zezwolenie na prowadzenie przez niego działalności wygasło lub zostało cofnięte. Wstąpienie w obowiązki wynikające z zarządzania portfelem inwestycyjnym ASI lub jego częścią w takim wypadki depozytariusza wyeliminuje zakłócenia i potencjalnie poważne</w:t>
      </w:r>
      <w:r w:rsidR="00DC2CA5">
        <w:rPr>
          <w:rFonts w:ascii="Times New Roman" w:hAnsi="Times New Roman" w:cs="Times New Roman"/>
          <w:sz w:val="24"/>
          <w:szCs w:val="24"/>
        </w:rPr>
        <w:t xml:space="preserve"> konsekwencje finansowe </w:t>
      </w:r>
      <w:r w:rsidR="00DC2CA5">
        <w:rPr>
          <w:rFonts w:ascii="Times New Roman" w:hAnsi="Times New Roman" w:cs="Times New Roman"/>
          <w:sz w:val="24"/>
          <w:szCs w:val="24"/>
        </w:rPr>
        <w:lastRenderedPageBreak/>
        <w:t>dla jego uczestników – depozytariusz bowiem podejmuje w takim wypadku czynności przede wszystkim w celu zachowania aktywów ASI w stanie niepogorszonym. Rozwiązanie to umożliwi również kontynuację najistotniejszych dla funkcjonowania danego ASI zobowiązań prawnych.</w:t>
      </w:r>
    </w:p>
    <w:p w14:paraId="4D125138" w14:textId="5B72D0E6" w:rsidR="00DB03EC" w:rsidRPr="00533050" w:rsidRDefault="00DB03EC" w:rsidP="00533050">
      <w:pPr>
        <w:shd w:val="clear" w:color="auto" w:fill="FFFFFF" w:themeFill="background1"/>
        <w:spacing w:before="120" w:after="120" w:line="360" w:lineRule="auto"/>
        <w:jc w:val="both"/>
        <w:rPr>
          <w:rFonts w:ascii="Times New Roman" w:hAnsi="Times New Roman" w:cs="Times New Roman"/>
          <w:sz w:val="24"/>
          <w:szCs w:val="24"/>
        </w:rPr>
      </w:pPr>
      <w:r w:rsidRPr="006B2CD4">
        <w:rPr>
          <w:rFonts w:ascii="Times New Roman" w:hAnsi="Times New Roman" w:cs="Times New Roman"/>
          <w:bCs/>
          <w:sz w:val="24"/>
          <w:szCs w:val="24"/>
        </w:rPr>
        <w:t>Nowa treść art. 70zb ust. 4 ustawy o funduszach inwestycyjnych oraz dodany art. 280 ust. 1 pkt 7 i art. 282 ust. 3c ustawy o funduszach inwestycyjnych mają na celu objęcie zarządzających ASI działających na podstawie wpisu do rejestru zarządzających ASI obowiązkiem zachowania tajemnicy zawodow</w:t>
      </w:r>
      <w:r w:rsidR="00654FF6">
        <w:rPr>
          <w:rFonts w:ascii="Times New Roman" w:hAnsi="Times New Roman" w:cs="Times New Roman"/>
          <w:bCs/>
          <w:sz w:val="24"/>
          <w:szCs w:val="24"/>
        </w:rPr>
        <w:t>ej. W obecnej sytuacji nie ma</w:t>
      </w:r>
      <w:r w:rsidRPr="006B2CD4">
        <w:rPr>
          <w:rFonts w:ascii="Times New Roman" w:hAnsi="Times New Roman" w:cs="Times New Roman"/>
          <w:bCs/>
          <w:sz w:val="24"/>
          <w:szCs w:val="24"/>
        </w:rPr>
        <w:t xml:space="preserve"> uzasadnienia dla braku stosowania przepisów dotyczących tajemnicy zawodowej oraz współpracy organów nadzoru względem zarządzających ASI</w:t>
      </w:r>
      <w:r w:rsidR="00654FF6">
        <w:rPr>
          <w:rFonts w:ascii="Times New Roman" w:hAnsi="Times New Roman" w:cs="Times New Roman"/>
          <w:bCs/>
          <w:sz w:val="24"/>
          <w:szCs w:val="24"/>
        </w:rPr>
        <w:t>,</w:t>
      </w:r>
      <w:r w:rsidRPr="006B2CD4">
        <w:rPr>
          <w:rFonts w:ascii="Times New Roman" w:hAnsi="Times New Roman" w:cs="Times New Roman"/>
          <w:bCs/>
          <w:sz w:val="24"/>
          <w:szCs w:val="24"/>
        </w:rPr>
        <w:t xml:space="preserve"> działających na podstawie wpisu do rejestru zarządzających ASI. W szczególności w odniesieniu do tajemnicy zawodowej brak jest ratio legis dla nieobjęcia tajemnicą zawodową danych wrażliwych, dotyczących czynności związanych z działalnością zarządzających ASI i zarządzanych ASI oraz wszelkich innych czynności w ramach regulowanej ustawą działalności objętej nadzorem KNF. Jakkolwiek bowiem działalność zarządzających ASI wpisanych do rejestru zarządzających ASI podlega mniejszym rygorom regulacyjnym, z uwagi na wartość zarządzanych aktywów aniżeli działalność zarządzających ASI działających na podstawie zezwolenia, czy też towarzystw funduszy inwestycyjnych, to kryterium wartości zarządzanych aktywów nie powinno decydować o obowiązku zachowania przez te podmioty tajemnicy zawodowej obejmującej informacje określone w art. 280 ust. 2 ustawy o </w:t>
      </w:r>
      <w:r w:rsidRPr="006B2CD4">
        <w:rPr>
          <w:rFonts w:ascii="Times New Roman" w:hAnsi="Times New Roman" w:cs="Times New Roman"/>
          <w:bCs/>
          <w:sz w:val="24"/>
          <w:szCs w:val="24"/>
        </w:rPr>
        <w:lastRenderedPageBreak/>
        <w:t>funduszach inwestycyjnych. Podkreślenia także wymaga, że niejednokrotnie informacje dotyczące ASI obejmują pośrednio informacje dotyczące innych podmiotów nadzorowanych (np. wchodzących w skład grup kapitałowych), objęte tajemnicą zawodową bądź informacje, które te podmioty mogłyby ewentualnie pozyskać w kontaktach z organem nadzoru, w toku sprawowania bieżącego nadzoru przez KNF. Z tego też względu obowiązujące obecnie regulacje nie zapewniają w sposób odpowiedni ochrony informacji prawnie chronionych. Analogicznie w przypadku współpracy KNF z organami unijnymi oraz organami nadzoru innych państw członkowskich UE uregulowania dotyczące współpracy w zakresie wymiany informacji dotyczących podmiotów nadzorowanych nie powinny się różnić w odniesieniu do zarządzających ASI działających na podstawie wpisu do rejestru zarządzających ASI, jakkolwiek będą one miały bardzo ograniczony zakres z uwagi na krajowy charakter działalności wykonywanej przez te podmioty. Objęcie zarządzających ASI działających na podstawie wpisu do rejestru zarządzających ASI obowiązkiem zachowania tajemnicy zawodowej</w:t>
      </w:r>
      <w:r w:rsidR="00C53FF1">
        <w:rPr>
          <w:rFonts w:ascii="Times New Roman" w:hAnsi="Times New Roman" w:cs="Times New Roman"/>
          <w:bCs/>
          <w:sz w:val="24"/>
          <w:szCs w:val="24"/>
        </w:rPr>
        <w:t>,</w:t>
      </w:r>
      <w:r w:rsidRPr="006B2CD4">
        <w:rPr>
          <w:rFonts w:ascii="Times New Roman" w:hAnsi="Times New Roman" w:cs="Times New Roman"/>
          <w:bCs/>
          <w:sz w:val="24"/>
          <w:szCs w:val="24"/>
        </w:rPr>
        <w:t xml:space="preserve"> wskazanym w dziale XIII ustawy o funduszach inwestycyjnych </w:t>
      </w:r>
      <w:r w:rsidR="00C53FF1">
        <w:rPr>
          <w:rFonts w:ascii="Times New Roman" w:hAnsi="Times New Roman" w:cs="Times New Roman"/>
          <w:bCs/>
          <w:sz w:val="24"/>
          <w:szCs w:val="24"/>
        </w:rPr>
        <w:t xml:space="preserve">wymaga jednocześnie </w:t>
      </w:r>
      <w:r w:rsidRPr="006B2CD4">
        <w:rPr>
          <w:rFonts w:ascii="Times New Roman" w:hAnsi="Times New Roman" w:cs="Times New Roman"/>
          <w:bCs/>
          <w:sz w:val="24"/>
          <w:szCs w:val="24"/>
        </w:rPr>
        <w:t xml:space="preserve">wprowadzenia odpowiednich zwolnień z obowiązku zachowania tej tajemnicy, umożliwiających efektywne zarządzanie ASI oraz funkcjonowanie przez te podmioty w obrocie gospodarczym na warunkach przewidzianych dla innych spółek prawa handlowego. Analizując jednakże sytuację podmiotów wykonujących działalność zarządzającego ASI na podstawie wpisu do rejestru oraz podmiotów wykonujących tę działalność na podstawie zezwolenia, uznać należy, że proponowane zwolnienia z zachowania tajemnicy zawodowej powinny objąć również licencjonowanych zarządzających. </w:t>
      </w:r>
    </w:p>
    <w:p w14:paraId="52C2AB08" w14:textId="052FE837" w:rsidR="00DB03EC" w:rsidRPr="006B2CD4" w:rsidRDefault="00DB03EC" w:rsidP="00DB03EC">
      <w:pPr>
        <w:shd w:val="clear" w:color="auto" w:fill="FFFFFF" w:themeFill="background1"/>
        <w:spacing w:before="120"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lastRenderedPageBreak/>
        <w:t>Pierwszym przypadkiem umożliwienia zarządzającemu ASI przekazania informacji objętych tajemnicą zawodową powinna być sytuacja, w której zarządzający ASI przekazuje informacje dotyczące zarządzającego ASI oraz zarządzanych alternatywnych spółek inwestycyjnych inwestorom ASI (podmiotom posiadającym prawa uczestnictwa ASI). W takim przypadku brak jest bowiem uzasadnienia dla zachowania poufności informacji względem osób zaangażowanych kapitałowo w ASI. Katalog ten powinien objąć co do zasady wspólników lub akcjonariuszy, którzy skorzystali z prawa do dostępu do informacji, prawa kontroli lub też wzięli udział w zgromadzeniu wspólników spółki lub też w walnym zgromadzeniu akcjonariuszy. Kolejne przewidziane w projekcie przypadki dotyczą realizacji polityki inwestycyjnej oraz uczestniczenia alternatywnych spółek inwestycyjnych w procesach przekształceniowych</w:t>
      </w:r>
      <w:r w:rsidR="00C53FF1">
        <w:rPr>
          <w:rFonts w:ascii="Times New Roman" w:hAnsi="Times New Roman" w:cs="Times New Roman"/>
          <w:bCs/>
          <w:sz w:val="24"/>
          <w:szCs w:val="24"/>
        </w:rPr>
        <w:t>,</w:t>
      </w:r>
      <w:r w:rsidRPr="006B2CD4">
        <w:rPr>
          <w:rFonts w:ascii="Times New Roman" w:hAnsi="Times New Roman" w:cs="Times New Roman"/>
          <w:bCs/>
          <w:sz w:val="24"/>
          <w:szCs w:val="24"/>
        </w:rPr>
        <w:t xml:space="preserve"> przewidzianych przepisami Kodeksu spółek handlowych oraz w procesie zmiany zarządzającego ASI, podyktowanych wolą inwestorów (właścicieli) spółki. Są to przede wszystkim sytuacje biznesowej potrzeby ujawnienia kontrahentom ASI informacji objętych tajemnicą zawodową np. w związku z przeprowadzaniem badania aktywów spółki lub spółek portfelowych, w procesie tzw. due dilligence, prezentacji tzw. portfolio, czy też znaczących sukcesów inwestycyjnych w procedurach przetargowych bądź konkursach w celu pozyskania środków na inwestycje. Projektowanym zwolnieniem zostały także objęte podmioty zaangażowane w proces przejęcia zarządzania ASI, przekształceń, połączeń oraz podziałów dotyczących zarządzającego ASI oraz ASI, gdzie brak tego wyłączenia mógłby uniemożliwić skuteczne dokonywanie transakcji </w:t>
      </w:r>
      <w:r w:rsidRPr="006B2CD4">
        <w:rPr>
          <w:rFonts w:ascii="Times New Roman" w:hAnsi="Times New Roman" w:cs="Times New Roman"/>
          <w:bCs/>
          <w:sz w:val="24"/>
          <w:szCs w:val="24"/>
        </w:rPr>
        <w:lastRenderedPageBreak/>
        <w:t>typu M&amp;A. Ze względu jednakże na przewidzianą możliwość przekazywania przez zarządzającego ASI informacji objętych tajemnicą zawodową, obowiązek jej zachowania powinien zostać rozszerzony na podmioty, którym zostały ujawnione określone informacje. W konsekwencji w treści art. 280 ust. 1 ustawy o funduszach inwestycyjnych został dodany ust. 7 wskazujący na powyższą okoliczność.</w:t>
      </w:r>
    </w:p>
    <w:p w14:paraId="11283C02" w14:textId="77777777" w:rsidR="00DB03EC" w:rsidRPr="006B2CD4" w:rsidRDefault="00DB03EC" w:rsidP="00DB03EC">
      <w:pPr>
        <w:shd w:val="clear" w:color="auto" w:fill="FFFFFF" w:themeFill="background1"/>
        <w:spacing w:before="120"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Nowelizacja art. 70zc uzasadniona jest tym, że stosownie do dotychczasowego brzmienia art. 8b ust. 2 pkt 2 ustawy o funduszach inwestycyjnych zarządzającym ASI może być spółka kapitałowa będąca komplementariuszem ASI, prowadząca działalność jako zewnętrznie zarządzający ASI. Jednocześnie, dotychczasowa treść art. 70ze ustawy o funduszach inwestycyjnych pomijała umowę lub statut ASI, którą wnioskodawca zamierza zarządzać, jako dokument, który wnioskodawca obowiązany jest złożyć w ramach wniosku o wpis do rejestru zarządzających ASI. Analiza w toku prowadzonego postępowania statutu bądź umowy ASI, którą wnioskodawca zamierza zarządzać, jest konieczna w celu uprawdopodobnienia występowania zarządzającego ASI (wnioskodawcy) jako jedynego komplementariusza wskazanej we wniosku ASI oraz zamiaru zarządzania przez wnioskodawcę określoną we wniosku ASI, o ustalonej polityce i strategii inwestycyjnej. Proponowana zmiana jest niezbędna w celu zapewnienia prawidłowego wykonywania zadań nałożonych na KNF, a także efektywności oraz szybkości prowadzenia postępowań administracyjnych dotyczących zarządzających ASI. Ponadto, zmiana </w:t>
      </w:r>
      <w:r w:rsidRPr="006B2CD4">
        <w:rPr>
          <w:rFonts w:ascii="Times New Roman" w:hAnsi="Times New Roman" w:cs="Times New Roman"/>
          <w:bCs/>
          <w:sz w:val="24"/>
          <w:szCs w:val="24"/>
        </w:rPr>
        <w:lastRenderedPageBreak/>
        <w:t>ta odpowiada praktyce prowadzonych postępowań, w toku których KNF zwraca się każdorazowo do wnioskodawców o przedstawienie dokumentów założycielskich ASI (umowy lub statutu) w celu ustalenia okoliczności, o których mowa powyżej.</w:t>
      </w:r>
    </w:p>
    <w:p w14:paraId="4F92D3FF" w14:textId="19EC2873" w:rsidR="00DB03EC" w:rsidRPr="006B2CD4" w:rsidRDefault="00DB03EC" w:rsidP="00DB03EC">
      <w:pPr>
        <w:spacing w:before="120"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Zaproponowana w art. 70zd ustawy o funduszach inwestycyjnych zmiana dotyczy uzupełnienia zakresu informacji przekazywanych przez zarządzających ASI w związku z podjęciem zamiaru zarządzania kolejną ASI. Stosownie do art. 70zd ust. 1 pkt 2 ustawy</w:t>
      </w:r>
      <w:r w:rsidRPr="006B2CD4">
        <w:rPr>
          <w:rFonts w:ascii="Times New Roman" w:hAnsi="Times New Roman" w:cs="Times New Roman"/>
          <w:sz w:val="24"/>
          <w:szCs w:val="24"/>
        </w:rPr>
        <w:t xml:space="preserve"> </w:t>
      </w:r>
      <w:r w:rsidRPr="006B2CD4">
        <w:rPr>
          <w:rFonts w:ascii="Times New Roman" w:hAnsi="Times New Roman" w:cs="Times New Roman"/>
          <w:bCs/>
          <w:sz w:val="24"/>
          <w:szCs w:val="24"/>
        </w:rPr>
        <w:t xml:space="preserve">o funduszach inwestycyjnych wpisowi do rejestru zarządzających ASI podlega, w przypadku zewnętrznie zarządzającego ASI </w:t>
      </w:r>
      <w:r w:rsidRPr="006B2CD4">
        <w:rPr>
          <w:rFonts w:ascii="Times New Roman" w:eastAsia="Times New Roman" w:hAnsi="Times New Roman" w:cs="Times New Roman"/>
          <w:bCs/>
          <w:sz w:val="24"/>
          <w:szCs w:val="24"/>
        </w:rPr>
        <w:t>–</w:t>
      </w:r>
      <w:r w:rsidRPr="006B2CD4">
        <w:rPr>
          <w:rFonts w:ascii="Times New Roman" w:hAnsi="Times New Roman" w:cs="Times New Roman"/>
          <w:bCs/>
          <w:sz w:val="24"/>
          <w:szCs w:val="24"/>
        </w:rPr>
        <w:t xml:space="preserve"> firma (nazwa) i adres siedziby każdej zarządzanej ASI. Natomiast, zgodnie z art. 70zd ust. 3 </w:t>
      </w:r>
      <w:r w:rsidR="00C53FF1">
        <w:rPr>
          <w:rFonts w:ascii="Times New Roman" w:hAnsi="Times New Roman" w:cs="Times New Roman"/>
          <w:bCs/>
          <w:sz w:val="24"/>
          <w:szCs w:val="24"/>
        </w:rPr>
        <w:t xml:space="preserve">ustawy </w:t>
      </w:r>
      <w:r w:rsidRPr="006B2CD4">
        <w:rPr>
          <w:rFonts w:ascii="Times New Roman" w:hAnsi="Times New Roman" w:cs="Times New Roman"/>
          <w:bCs/>
          <w:sz w:val="24"/>
          <w:szCs w:val="24"/>
        </w:rPr>
        <w:t>o funduszach inwestycyjnych w przypadku zgłoszenia przez zewnętrznie zarządzającego ASI zamiaru zarządzania kolejną ASI, KNF jest przekazywana obecnie jedynie informacja o firmie (nazwie) ASI, przy czym brak jest wskazania adresu siedziby ASI. Proponowana zmiana przepisu art. 70zd ust. 3 polega na uzupełnieniu zakresu przekazywanych informacji o adres siedziby ASI. Ponadto, w pozostałym zakresie proponowana zmiana wynika z konieczności zachowania spójności treści art. 70zd oraz treści zmienianego art. 70zc ust. 2 ustawy o funduszach inwestycyjnych. Przekazanie statutu lub umowy kolejnej ASI, którą wnioskodawca zamierza zarządzać jest bowiem konieczne w celu uprawdopodobnienia występowania zarządzającego ASI jako jedynego komplementariusza zgłaszanej ASI oraz zamiaru zarządzania tą spółką, o ustalonej polityce i strategii inwestycyjnej.</w:t>
      </w:r>
    </w:p>
    <w:p w14:paraId="4EDBAB1D" w14:textId="5A6A572E" w:rsidR="00DB03EC" w:rsidRDefault="00DB03EC" w:rsidP="00DB03EC">
      <w:pPr>
        <w:shd w:val="clear" w:color="auto" w:fill="FFFFFF" w:themeFill="background1"/>
        <w:tabs>
          <w:tab w:val="left" w:pos="993"/>
        </w:tabs>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Proponowana zmiana brzmienia art. 70zf ustawy o funduszach inwestycyjnych dotyczy zapewnienia KNF kompetencji do wykreślenia z urzędu z rejestru zarządzających ASI podmiotu, </w:t>
      </w:r>
      <w:r w:rsidRPr="006B2CD4">
        <w:rPr>
          <w:rFonts w:ascii="Times New Roman" w:hAnsi="Times New Roman" w:cs="Times New Roman"/>
          <w:bCs/>
          <w:sz w:val="24"/>
          <w:szCs w:val="24"/>
        </w:rPr>
        <w:lastRenderedPageBreak/>
        <w:t>który pomimo uzyskania wpisu do tego rejestru nie uiścił opłaty za wpis, o której mowa w art. 236 ust. 1c ustawy o funduszach inwestycyjnych oraz § 12 pkt 1 rozporządzenia Ministra Finansów z dn</w:t>
      </w:r>
      <w:r w:rsidR="00C53FF1">
        <w:rPr>
          <w:rFonts w:ascii="Times New Roman" w:hAnsi="Times New Roman" w:cs="Times New Roman"/>
          <w:bCs/>
          <w:sz w:val="24"/>
          <w:szCs w:val="24"/>
        </w:rPr>
        <w:t>ia 14 grudnia 2022</w:t>
      </w:r>
      <w:r w:rsidRPr="006B2CD4">
        <w:rPr>
          <w:rFonts w:ascii="Times New Roman" w:hAnsi="Times New Roman" w:cs="Times New Roman"/>
          <w:bCs/>
          <w:sz w:val="24"/>
          <w:szCs w:val="24"/>
        </w:rPr>
        <w:t xml:space="preserve"> r. w sprawie opłat na pokrycie kosztów nadzoru nad rynkie</w:t>
      </w:r>
      <w:r w:rsidR="00C53FF1">
        <w:rPr>
          <w:rFonts w:ascii="Times New Roman" w:hAnsi="Times New Roman" w:cs="Times New Roman"/>
          <w:bCs/>
          <w:sz w:val="24"/>
          <w:szCs w:val="24"/>
        </w:rPr>
        <w:t>m kapitałowym (Dz. U. poz. 2748</w:t>
      </w:r>
      <w:r w:rsidRPr="006B2CD4">
        <w:rPr>
          <w:rFonts w:ascii="Times New Roman" w:hAnsi="Times New Roman" w:cs="Times New Roman"/>
          <w:bCs/>
          <w:sz w:val="24"/>
          <w:szCs w:val="24"/>
        </w:rPr>
        <w:t>), dalej „</w:t>
      </w:r>
      <w:r>
        <w:rPr>
          <w:rFonts w:ascii="Times New Roman" w:hAnsi="Times New Roman" w:cs="Times New Roman"/>
          <w:bCs/>
          <w:sz w:val="24"/>
          <w:szCs w:val="24"/>
        </w:rPr>
        <w:t>r</w:t>
      </w:r>
      <w:r w:rsidRPr="006B2CD4">
        <w:rPr>
          <w:rFonts w:ascii="Times New Roman" w:hAnsi="Times New Roman" w:cs="Times New Roman"/>
          <w:bCs/>
          <w:sz w:val="24"/>
          <w:szCs w:val="24"/>
        </w:rPr>
        <w:t>ozporządzenie w sprawie opłat na pokrycie kosztów nadzoru nad rynkiem kapitałowym”. Brak uiszczenia opłaty za wpis do rejestru zarządzających ASI może wskazywać, iż podmiot nie jest zdolny do prawidłowego wykonywania działalności właściwej dla zarządzającego ASI już na początkowym etapie prowadzenia tej działalności, w ogóle jej nie podjął lub nie zamierza podjąć. Dlatego też nie jest celowe podejmowanie złożonych czynności nadzorczych zmierzających do wykazywania okoliczności nieprowadzenia przez wskazany podmiot działalności przez okres kolejnych 12 miesięcy lub inicjowanie postępowania administracyjnego prowadzącego do zastosowania sankcji, o których mowa w art. 229a ust. 2 ustawy o funduszach inwestycyjnych. Zasadnym wydaje się wprowadzenie efektywnego, prostego mechanizmu wykreślenia z urzędu zarządzającego ASI z rejestru zarządzających ASI w przypadku braku uiszczenia opłaty za wpis do tego rejestru. Pierwotnie proponowane brzmienie art. 70zf ust. 1 pkt 1a</w:t>
      </w:r>
      <w:r w:rsidR="00C53FF1">
        <w:rPr>
          <w:rFonts w:ascii="Times New Roman" w:hAnsi="Times New Roman" w:cs="Times New Roman"/>
          <w:bCs/>
          <w:sz w:val="24"/>
          <w:szCs w:val="24"/>
        </w:rPr>
        <w:t>,</w:t>
      </w:r>
      <w:r w:rsidRPr="006B2CD4">
        <w:rPr>
          <w:rFonts w:ascii="Times New Roman" w:hAnsi="Times New Roman" w:cs="Times New Roman"/>
          <w:bCs/>
          <w:sz w:val="24"/>
          <w:szCs w:val="24"/>
        </w:rPr>
        <w:t xml:space="preserve"> uzależniające wykreślenie z rejestru zarządzających ASI od uznania za bezskuteczną egzekucji administracyjnej należności pieniężnych związ</w:t>
      </w:r>
      <w:r w:rsidR="00C53FF1">
        <w:rPr>
          <w:rFonts w:ascii="Times New Roman" w:hAnsi="Times New Roman" w:cs="Times New Roman"/>
          <w:bCs/>
          <w:sz w:val="24"/>
          <w:szCs w:val="24"/>
        </w:rPr>
        <w:t>anych z brakiem uiszczenia opłaty</w:t>
      </w:r>
      <w:r w:rsidRPr="006B2CD4">
        <w:rPr>
          <w:rFonts w:ascii="Times New Roman" w:hAnsi="Times New Roman" w:cs="Times New Roman"/>
          <w:bCs/>
          <w:sz w:val="24"/>
          <w:szCs w:val="24"/>
        </w:rPr>
        <w:t xml:space="preserve"> za wpis do rejestru zarządzających ASI</w:t>
      </w:r>
      <w:r w:rsidR="00C53FF1">
        <w:rPr>
          <w:rFonts w:ascii="Times New Roman" w:hAnsi="Times New Roman" w:cs="Times New Roman"/>
          <w:bCs/>
          <w:sz w:val="24"/>
          <w:szCs w:val="24"/>
        </w:rPr>
        <w:t>,</w:t>
      </w:r>
      <w:r w:rsidRPr="006B2CD4">
        <w:rPr>
          <w:rFonts w:ascii="Times New Roman" w:hAnsi="Times New Roman" w:cs="Times New Roman"/>
          <w:bCs/>
          <w:sz w:val="24"/>
          <w:szCs w:val="24"/>
        </w:rPr>
        <w:t xml:space="preserve"> należy uznać za nieskuteczne rozwiązanie związane z długotrwałym postępowaniem mającym na celu ustalenie bezskuteczności egzekucji administracyjnej spowodowanym m.in. brakiem kontaktu oraz </w:t>
      </w:r>
      <w:r w:rsidRPr="006B2CD4">
        <w:rPr>
          <w:rFonts w:ascii="Times New Roman" w:hAnsi="Times New Roman" w:cs="Times New Roman"/>
          <w:bCs/>
          <w:sz w:val="24"/>
          <w:szCs w:val="24"/>
        </w:rPr>
        <w:lastRenderedPageBreak/>
        <w:t xml:space="preserve">odpowiedzi ze strony zarządzającego ASI, a także </w:t>
      </w:r>
      <w:r w:rsidR="00C53FF1">
        <w:rPr>
          <w:rFonts w:ascii="Times New Roman" w:hAnsi="Times New Roman" w:cs="Times New Roman"/>
          <w:bCs/>
          <w:sz w:val="24"/>
          <w:szCs w:val="24"/>
        </w:rPr>
        <w:t xml:space="preserve">z </w:t>
      </w:r>
      <w:r w:rsidRPr="006B2CD4">
        <w:rPr>
          <w:rFonts w:ascii="Times New Roman" w:hAnsi="Times New Roman" w:cs="Times New Roman"/>
          <w:bCs/>
          <w:sz w:val="24"/>
          <w:szCs w:val="24"/>
        </w:rPr>
        <w:t>koniecznością angażowania w całe postępowania organów administracji skarbowej, co jeszcze wydłużałoby całą procedurę. Proponuje się zatem wprowadzenie okresu 6 miesięcy na wykonanie obowiązku w postaci uiszczenia opłaty za wpis do rejestru zarządzających ASI, w przypadku niedotrzymania którego zarządzający ASI zostanie z urzędu wykreślony z rejestru. Okres taki jest wystarczająco długi i wprowadza on równowagę pomiędzy nabytymi przez podmiot prawa</w:t>
      </w:r>
      <w:r w:rsidR="00C53FF1">
        <w:rPr>
          <w:rFonts w:ascii="Times New Roman" w:hAnsi="Times New Roman" w:cs="Times New Roman"/>
          <w:bCs/>
          <w:sz w:val="24"/>
          <w:szCs w:val="24"/>
        </w:rPr>
        <w:t>mi związanymi z</w:t>
      </w:r>
      <w:r w:rsidRPr="006B2CD4">
        <w:rPr>
          <w:rFonts w:ascii="Times New Roman" w:hAnsi="Times New Roman" w:cs="Times New Roman"/>
          <w:bCs/>
          <w:sz w:val="24"/>
          <w:szCs w:val="24"/>
        </w:rPr>
        <w:t xml:space="preserve"> wpisem do rejestru zarządzających ASI</w:t>
      </w:r>
      <w:r w:rsidR="00C53FF1">
        <w:rPr>
          <w:rFonts w:ascii="Times New Roman" w:hAnsi="Times New Roman" w:cs="Times New Roman"/>
          <w:bCs/>
          <w:sz w:val="24"/>
          <w:szCs w:val="24"/>
        </w:rPr>
        <w:t>,</w:t>
      </w:r>
      <w:r w:rsidR="007C389F">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z fiskalnymi obowiązkami związanymi z opłatami </w:t>
      </w:r>
      <w:r w:rsidR="00C53FF1">
        <w:rPr>
          <w:rFonts w:ascii="Times New Roman" w:hAnsi="Times New Roman" w:cs="Times New Roman"/>
          <w:bCs/>
          <w:sz w:val="24"/>
          <w:szCs w:val="24"/>
        </w:rPr>
        <w:t>dotyczącymi wpisu</w:t>
      </w:r>
      <w:r w:rsidRPr="006B2CD4">
        <w:rPr>
          <w:rFonts w:ascii="Times New Roman" w:hAnsi="Times New Roman" w:cs="Times New Roman"/>
          <w:bCs/>
          <w:sz w:val="24"/>
          <w:szCs w:val="24"/>
        </w:rPr>
        <w:t xml:space="preserve"> do rejestru zarządzających ASI. Rozwiązane to zachęci tym samym do terminowego uregulowania należności związanych z funkcjonowaniem na rynku kapitałowym albowiem do tej pory sankcją dla zarządzającego ASI, który nie realizuje ww. obowiązku były jedynie odsetki za nieregulowanie takich</w:t>
      </w:r>
      <w:r w:rsidR="00C53FF1">
        <w:rPr>
          <w:rFonts w:ascii="Times New Roman" w:hAnsi="Times New Roman" w:cs="Times New Roman"/>
          <w:bCs/>
          <w:sz w:val="24"/>
          <w:szCs w:val="24"/>
        </w:rPr>
        <w:t xml:space="preserve"> należności. Powyższa sytuacja </w:t>
      </w:r>
      <w:r w:rsidRPr="006B2CD4">
        <w:rPr>
          <w:rFonts w:ascii="Times New Roman" w:hAnsi="Times New Roman" w:cs="Times New Roman"/>
          <w:bCs/>
          <w:sz w:val="24"/>
          <w:szCs w:val="24"/>
        </w:rPr>
        <w:t xml:space="preserve">występuje ze zwiększającą się częstotliwością, nakładając na KNF liczne obowiązki związane z brakiem spełniania podstawowych obowiązków formalnych w zakresie regulacyjnym przez podmioty wpisane do rejestru zarządzających ASI. W praktycznym aspekcie prowadzenia rejestru zarządzających ASI nie należy obciążać pracowników merytorycznych departamentów UKNF obowiązkiem wszczynania wobec podmiotów nieuiszczających powyższej opłaty postępowań sankcyjnych w oparciu o treść art. 229 ust. 2 ustawy o funduszach inwestycyjnych. Wszczynanie postępowań w oparciu o przytoczony wyżej przepis powinno być bowiem ograniczone do spraw związanych z naruszaniem przez zarządzającego ASI zasadniczych przepisów regulacyjnych związanych z działalnością operacyjną prowadzoną przez ten podmiot np. brakiem uwzględniania </w:t>
      </w:r>
      <w:r w:rsidRPr="006B2CD4">
        <w:rPr>
          <w:rFonts w:ascii="Times New Roman" w:hAnsi="Times New Roman" w:cs="Times New Roman"/>
          <w:bCs/>
          <w:sz w:val="24"/>
          <w:szCs w:val="24"/>
        </w:rPr>
        <w:lastRenderedPageBreak/>
        <w:t xml:space="preserve">interesu inwestorów ASI, naruszaniem zasad uczciwego obrotu, czy też wprowadzeniem w błąd organu nadzoru lub też inwestorów. Brak spełniania formalnych wymogów fiskalnych wobec organu nadzoru powinien być rozpatrywany w oparciu o ściśle określone przesłanki </w:t>
      </w:r>
      <w:r w:rsidR="00C53FF1">
        <w:rPr>
          <w:rFonts w:ascii="Times New Roman" w:hAnsi="Times New Roman" w:cs="Times New Roman"/>
          <w:bCs/>
          <w:sz w:val="24"/>
          <w:szCs w:val="24"/>
        </w:rPr>
        <w:t xml:space="preserve">i </w:t>
      </w:r>
      <w:r w:rsidRPr="006B2CD4">
        <w:rPr>
          <w:rFonts w:ascii="Times New Roman" w:hAnsi="Times New Roman" w:cs="Times New Roman"/>
          <w:bCs/>
          <w:sz w:val="24"/>
          <w:szCs w:val="24"/>
        </w:rPr>
        <w:t xml:space="preserve">nie powinien angażować nadmiernie zasobów UKNF, co ma w obecnej sytuacji prawnej </w:t>
      </w:r>
      <w:r w:rsidR="00C53FF1">
        <w:rPr>
          <w:rFonts w:ascii="Times New Roman" w:hAnsi="Times New Roman" w:cs="Times New Roman"/>
          <w:bCs/>
          <w:sz w:val="24"/>
          <w:szCs w:val="24"/>
        </w:rPr>
        <w:t xml:space="preserve">ma </w:t>
      </w:r>
      <w:r w:rsidRPr="006B2CD4">
        <w:rPr>
          <w:rFonts w:ascii="Times New Roman" w:hAnsi="Times New Roman" w:cs="Times New Roman"/>
          <w:bCs/>
          <w:sz w:val="24"/>
          <w:szCs w:val="24"/>
        </w:rPr>
        <w:t xml:space="preserve">każdorazowo miejsce w przypadku wszczynanych postępowań sankcyjnych. Rozwiązanie to ułatwi prowadzenie rejestru zarządzających ASI, zwłaszcza </w:t>
      </w:r>
      <w:r w:rsidR="00C53FF1">
        <w:rPr>
          <w:rFonts w:ascii="Times New Roman" w:hAnsi="Times New Roman" w:cs="Times New Roman"/>
          <w:bCs/>
          <w:sz w:val="24"/>
          <w:szCs w:val="24"/>
        </w:rPr>
        <w:t>w przypadku wzrastającej liczby</w:t>
      </w:r>
      <w:r w:rsidRPr="006B2CD4">
        <w:rPr>
          <w:rFonts w:ascii="Times New Roman" w:hAnsi="Times New Roman" w:cs="Times New Roman"/>
          <w:bCs/>
          <w:sz w:val="24"/>
          <w:szCs w:val="24"/>
        </w:rPr>
        <w:t xml:space="preserve"> podmiotów znajdujących się w tym rejestrze</w:t>
      </w:r>
      <w:r w:rsidR="00C53FF1">
        <w:rPr>
          <w:rFonts w:ascii="Times New Roman" w:hAnsi="Times New Roman" w:cs="Times New Roman"/>
          <w:bCs/>
          <w:sz w:val="24"/>
          <w:szCs w:val="24"/>
        </w:rPr>
        <w:t xml:space="preserve"> i</w:t>
      </w:r>
      <w:r w:rsidRPr="006B2CD4">
        <w:rPr>
          <w:rFonts w:ascii="Times New Roman" w:hAnsi="Times New Roman" w:cs="Times New Roman"/>
          <w:bCs/>
          <w:sz w:val="24"/>
          <w:szCs w:val="24"/>
        </w:rPr>
        <w:t xml:space="preserve"> wykonujących w tym zakresie działalność re</w:t>
      </w:r>
      <w:r w:rsidR="00C53FF1">
        <w:rPr>
          <w:rFonts w:ascii="Times New Roman" w:hAnsi="Times New Roman" w:cs="Times New Roman"/>
          <w:bCs/>
          <w:sz w:val="24"/>
          <w:szCs w:val="24"/>
        </w:rPr>
        <w:t>gulowaną. Ponadto, za okoliczność</w:t>
      </w:r>
      <w:r w:rsidRPr="006B2CD4">
        <w:rPr>
          <w:rFonts w:ascii="Times New Roman" w:hAnsi="Times New Roman" w:cs="Times New Roman"/>
          <w:bCs/>
          <w:sz w:val="24"/>
          <w:szCs w:val="24"/>
        </w:rPr>
        <w:t xml:space="preserve"> uzasadniającą fakultatywne wykreślenie z rejestru zarządzającego ASI</w:t>
      </w:r>
      <w:r w:rsidR="00C53FF1">
        <w:rPr>
          <w:rFonts w:ascii="Times New Roman" w:hAnsi="Times New Roman" w:cs="Times New Roman"/>
          <w:bCs/>
          <w:sz w:val="24"/>
          <w:szCs w:val="24"/>
        </w:rPr>
        <w:t>,</w:t>
      </w:r>
      <w:r w:rsidRPr="006B2CD4">
        <w:rPr>
          <w:rFonts w:ascii="Times New Roman" w:hAnsi="Times New Roman" w:cs="Times New Roman"/>
          <w:bCs/>
          <w:sz w:val="24"/>
          <w:szCs w:val="24"/>
        </w:rPr>
        <w:t xml:space="preserve"> powinien być brak przekazywania przez zarządzających ASI sprawozdań okresowych, o których mowa w art. 222c ust. 1 oraz art. 222e ust. 1 usta</w:t>
      </w:r>
      <w:r w:rsidR="00C53FF1">
        <w:rPr>
          <w:rFonts w:ascii="Times New Roman" w:hAnsi="Times New Roman" w:cs="Times New Roman"/>
          <w:bCs/>
          <w:sz w:val="24"/>
          <w:szCs w:val="24"/>
        </w:rPr>
        <w:t xml:space="preserve">wy </w:t>
      </w:r>
      <w:r w:rsidRPr="006B2CD4">
        <w:rPr>
          <w:rFonts w:ascii="Times New Roman" w:hAnsi="Times New Roman" w:cs="Times New Roman"/>
          <w:bCs/>
          <w:sz w:val="24"/>
          <w:szCs w:val="24"/>
        </w:rPr>
        <w:t>o funduszach inwestycyjnych. Przepis ten będzie pełnił w tym zakresie funkcję dyscyplinującą podmioty do terminowego przekazywania sprawozdań okresowych KNF i zredukuje zakres obowiązków ciążących na organie, związanych z wzywaniem podmiotu do terminowego przekazywania sprawozdań. Ograniczone zostaną także sytuacje, w których zagregowane, globalne dane dotyczące wartości aktywów wchodzących w skład portfeli inwestycyjnych ASI zarządzających przez zarządzających ASI wpisanych do rejestru zarządzających ASI nie odpowiadają rzeczywistości na skutek braku terminowego przekazywania tych sprawozdań przez te podmioty.</w:t>
      </w:r>
    </w:p>
    <w:p w14:paraId="5C404A54" w14:textId="5A20CAEB" w:rsidR="00DB03EC" w:rsidRPr="006B2CD4" w:rsidRDefault="00DB03EC" w:rsidP="00DB03EC">
      <w:pPr>
        <w:pStyle w:val="Akapitzlist"/>
        <w:numPr>
          <w:ilvl w:val="0"/>
          <w:numId w:val="2"/>
        </w:numPr>
        <w:spacing w:before="120" w:after="120" w:line="360" w:lineRule="auto"/>
        <w:ind w:left="425" w:hanging="425"/>
        <w:jc w:val="both"/>
        <w:rPr>
          <w:rFonts w:ascii="Times New Roman" w:hAnsi="Times New Roman" w:cs="Times New Roman"/>
          <w:bCs/>
          <w:sz w:val="24"/>
          <w:szCs w:val="24"/>
        </w:rPr>
      </w:pPr>
      <w:r w:rsidRPr="006B2CD4">
        <w:rPr>
          <w:rFonts w:ascii="Times New Roman" w:hAnsi="Times New Roman" w:cs="Times New Roman"/>
          <w:bCs/>
          <w:sz w:val="24"/>
          <w:szCs w:val="24"/>
        </w:rPr>
        <w:t>zmiany w zakresie norm sankc</w:t>
      </w:r>
      <w:r>
        <w:rPr>
          <w:rFonts w:ascii="Times New Roman" w:hAnsi="Times New Roman" w:cs="Times New Roman"/>
          <w:bCs/>
          <w:sz w:val="24"/>
          <w:szCs w:val="24"/>
        </w:rPr>
        <w:t xml:space="preserve">jonujących (art. 232 ust. 1, art. 233 ust. 2 i 2a, art. 234 pkt 2, </w:t>
      </w:r>
      <w:r w:rsidRPr="006B2CD4">
        <w:rPr>
          <w:rFonts w:ascii="Times New Roman" w:hAnsi="Times New Roman" w:cs="Times New Roman"/>
          <w:bCs/>
          <w:sz w:val="24"/>
          <w:szCs w:val="24"/>
        </w:rPr>
        <w:t>art. 234b ustawy o funduszach inwestycyjnych)</w:t>
      </w:r>
    </w:p>
    <w:p w14:paraId="29706DB5" w14:textId="2546A0B1" w:rsidR="00DB03EC" w:rsidRPr="006B2CD4" w:rsidRDefault="00DB03EC" w:rsidP="00DB03EC">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Przepisy w tym zakresie mają na celu ujednolicenie regulacji dotyczących sposobu ustalania kwoty stanowiącej górną granicę kary pieniężnej, możliwej do nałożenia na podmiot </w:t>
      </w:r>
      <w:r w:rsidR="00A972CE">
        <w:rPr>
          <w:rFonts w:ascii="Times New Roman" w:hAnsi="Times New Roman" w:cs="Times New Roman"/>
          <w:bCs/>
          <w:sz w:val="24"/>
          <w:szCs w:val="24"/>
        </w:rPr>
        <w:t xml:space="preserve">podlegający </w:t>
      </w:r>
      <w:r>
        <w:rPr>
          <w:rFonts w:ascii="Times New Roman" w:hAnsi="Times New Roman" w:cs="Times New Roman"/>
          <w:bCs/>
          <w:sz w:val="24"/>
          <w:szCs w:val="24"/>
        </w:rPr>
        <w:t>ukaraniu, zarówno w obrębie danej ustawy sektorowej</w:t>
      </w:r>
      <w:r w:rsidR="00A972CE">
        <w:rPr>
          <w:rFonts w:ascii="Times New Roman" w:hAnsi="Times New Roman" w:cs="Times New Roman"/>
          <w:bCs/>
          <w:sz w:val="24"/>
          <w:szCs w:val="24"/>
        </w:rPr>
        <w:t>,</w:t>
      </w:r>
      <w:r>
        <w:rPr>
          <w:rFonts w:ascii="Times New Roman" w:hAnsi="Times New Roman" w:cs="Times New Roman"/>
          <w:bCs/>
          <w:sz w:val="24"/>
          <w:szCs w:val="24"/>
        </w:rPr>
        <w:t xml:space="preserve"> jak i w ujęciu systemowym. Ponadto</w:t>
      </w:r>
      <w:r w:rsidR="00A972CE">
        <w:rPr>
          <w:rFonts w:ascii="Times New Roman" w:hAnsi="Times New Roman" w:cs="Times New Roman"/>
          <w:bCs/>
          <w:sz w:val="24"/>
          <w:szCs w:val="24"/>
        </w:rPr>
        <w:t>,</w:t>
      </w:r>
      <w:r w:rsidR="00C53FF1">
        <w:rPr>
          <w:rFonts w:ascii="Times New Roman" w:hAnsi="Times New Roman" w:cs="Times New Roman"/>
          <w:bCs/>
          <w:sz w:val="24"/>
          <w:szCs w:val="24"/>
        </w:rPr>
        <w:t xml:space="preserve"> zmiany</w:t>
      </w:r>
      <w:r>
        <w:rPr>
          <w:rFonts w:ascii="Times New Roman" w:hAnsi="Times New Roman" w:cs="Times New Roman"/>
          <w:bCs/>
          <w:sz w:val="24"/>
          <w:szCs w:val="24"/>
        </w:rPr>
        <w:t xml:space="preserve"> proponowane w art. 232 u</w:t>
      </w:r>
      <w:r w:rsidR="00C53FF1">
        <w:rPr>
          <w:rFonts w:ascii="Times New Roman" w:hAnsi="Times New Roman" w:cs="Times New Roman"/>
          <w:bCs/>
          <w:sz w:val="24"/>
          <w:szCs w:val="24"/>
        </w:rPr>
        <w:t xml:space="preserve">st. 1 i art. 233 ust. 2 </w:t>
      </w:r>
      <w:r>
        <w:rPr>
          <w:rFonts w:ascii="Times New Roman" w:hAnsi="Times New Roman" w:cs="Times New Roman"/>
          <w:bCs/>
          <w:sz w:val="24"/>
          <w:szCs w:val="24"/>
        </w:rPr>
        <w:t xml:space="preserve">służą wyeliminowaniu wątpliwości interpretacyjnych poprzez doprecyzowanie rodzaju przychodu podmiotu ujawnionego w sprawozdaniu finansowym oraz okresu objętego sprawozdaniem finansowym, z którego zaczerpnięty jest ten przychód. </w:t>
      </w:r>
      <w:r w:rsidRPr="006B2CD4">
        <w:rPr>
          <w:rFonts w:ascii="Times New Roman" w:hAnsi="Times New Roman" w:cs="Times New Roman"/>
          <w:bCs/>
          <w:sz w:val="24"/>
          <w:szCs w:val="24"/>
        </w:rPr>
        <w:t>W art. 233 ust. 2a ustawy o funduszach inwestycyjnych maksymalna kara wskazana</w:t>
      </w:r>
      <w:r w:rsidR="00A972CE">
        <w:rPr>
          <w:rFonts w:ascii="Times New Roman" w:hAnsi="Times New Roman" w:cs="Times New Roman"/>
          <w:bCs/>
          <w:sz w:val="24"/>
          <w:szCs w:val="24"/>
        </w:rPr>
        <w:t xml:space="preserve"> </w:t>
      </w:r>
      <w:r w:rsidRPr="006B2CD4">
        <w:rPr>
          <w:rFonts w:ascii="Times New Roman" w:hAnsi="Times New Roman" w:cs="Times New Roman"/>
          <w:bCs/>
          <w:sz w:val="24"/>
          <w:szCs w:val="24"/>
        </w:rPr>
        <w:t>w przypadku naruszeń określonych w tym przepisie powinna zostać podniesiona z 500 000 zł do 5 000 000 zł. Przepis ten dotyczy nałożenia kary na podmiot, któremu towarzystwo powierza zarządzanie w odniesieniu do specjalistycznego funduszu inwestycyjnego lub FIZ. Należy przy tym podkreślić, że w analogicznej sytuacji, w przypadku funduszu inwestycyjnego otwartego, kara dla podmiotu, któremu towarzystwo powierzyło zarządzanie jest taka sama</w:t>
      </w:r>
      <w:r w:rsidR="00C53FF1">
        <w:rPr>
          <w:rFonts w:ascii="Times New Roman" w:hAnsi="Times New Roman" w:cs="Times New Roman"/>
          <w:bCs/>
          <w:sz w:val="24"/>
          <w:szCs w:val="24"/>
        </w:rPr>
        <w:t>,</w:t>
      </w:r>
      <w:r w:rsidRPr="006B2CD4">
        <w:rPr>
          <w:rFonts w:ascii="Times New Roman" w:hAnsi="Times New Roman" w:cs="Times New Roman"/>
          <w:bCs/>
          <w:sz w:val="24"/>
          <w:szCs w:val="24"/>
        </w:rPr>
        <w:t xml:space="preserve"> jak kara </w:t>
      </w:r>
      <w:r w:rsidR="00C53FF1">
        <w:rPr>
          <w:rFonts w:ascii="Times New Roman" w:hAnsi="Times New Roman" w:cs="Times New Roman"/>
          <w:bCs/>
          <w:sz w:val="24"/>
          <w:szCs w:val="24"/>
        </w:rPr>
        <w:t>nakładana na towarzystwo, czyli</w:t>
      </w:r>
      <w:r w:rsidRPr="006B2CD4">
        <w:rPr>
          <w:rFonts w:ascii="Times New Roman" w:hAnsi="Times New Roman" w:cs="Times New Roman"/>
          <w:bCs/>
          <w:sz w:val="24"/>
          <w:szCs w:val="24"/>
        </w:rPr>
        <w:t xml:space="preserve"> 20 949 500 zł (art. 233 ust. 2 ustawy o funduszach inwestycyjnych). Proponuje się zatem, aby kara nakładana na podmiot, któremu towarzystwo powierzyło zarządzanie</w:t>
      </w:r>
      <w:r>
        <w:rPr>
          <w:rFonts w:ascii="Times New Roman" w:hAnsi="Times New Roman" w:cs="Times New Roman"/>
          <w:bCs/>
          <w:sz w:val="24"/>
          <w:szCs w:val="24"/>
        </w:rPr>
        <w:t>,</w:t>
      </w:r>
      <w:r w:rsidRPr="006B2CD4">
        <w:rPr>
          <w:rFonts w:ascii="Times New Roman" w:hAnsi="Times New Roman" w:cs="Times New Roman"/>
          <w:bCs/>
          <w:sz w:val="24"/>
          <w:szCs w:val="24"/>
        </w:rPr>
        <w:t xml:space="preserve"> była analogiczna do kary nakładanej na towarzystwo za te same czynności, gdyż nie ma tutaj żadnych podstaw, aby w tym przypadku występowała taka dysproporcja.</w:t>
      </w:r>
      <w:r w:rsidRPr="006B2CD4">
        <w:rPr>
          <w:rFonts w:ascii="Times New Roman" w:hAnsi="Times New Roman" w:cs="Times New Roman"/>
          <w:sz w:val="24"/>
          <w:szCs w:val="24"/>
        </w:rPr>
        <w:tab/>
      </w:r>
      <w:r>
        <w:rPr>
          <w:rFonts w:ascii="Times New Roman" w:hAnsi="Times New Roman" w:cs="Times New Roman"/>
          <w:sz w:val="24"/>
          <w:szCs w:val="24"/>
        </w:rPr>
        <w:t xml:space="preserve">Podwyższenie maksymalnego wymiaru kary do 5 000 000 zł obejmuje również fundusze wierzytelności. </w:t>
      </w:r>
      <w:r w:rsidRPr="006B2CD4">
        <w:rPr>
          <w:rFonts w:ascii="Times New Roman" w:hAnsi="Times New Roman" w:cs="Times New Roman"/>
          <w:bCs/>
          <w:sz w:val="24"/>
          <w:szCs w:val="24"/>
        </w:rPr>
        <w:t>Z kolei w odniesieniu do art. 234b tej ustawy to podwyższenie maksymalnego wymiaru kary do 5 000 000 zł powinno odnosić się do wszystkich rodzajów funduszy inwestycyjnych.</w:t>
      </w:r>
    </w:p>
    <w:p w14:paraId="592D6F86" w14:textId="25F4B85E" w:rsidR="00DB03EC" w:rsidRPr="006B2CD4" w:rsidRDefault="00DB03EC" w:rsidP="00DB03EC">
      <w:pPr>
        <w:pStyle w:val="Akapitzlist"/>
        <w:numPr>
          <w:ilvl w:val="0"/>
          <w:numId w:val="2"/>
        </w:numPr>
        <w:spacing w:before="120" w:after="120" w:line="360" w:lineRule="auto"/>
        <w:ind w:left="425" w:hanging="425"/>
        <w:jc w:val="both"/>
        <w:rPr>
          <w:rFonts w:ascii="Times New Roman" w:hAnsi="Times New Roman" w:cs="Times New Roman"/>
          <w:bCs/>
          <w:sz w:val="24"/>
          <w:szCs w:val="24"/>
        </w:rPr>
      </w:pPr>
      <w:r w:rsidRPr="006B2CD4">
        <w:rPr>
          <w:rFonts w:ascii="Times New Roman" w:hAnsi="Times New Roman" w:cs="Times New Roman"/>
          <w:bCs/>
          <w:sz w:val="24"/>
          <w:szCs w:val="24"/>
        </w:rPr>
        <w:lastRenderedPageBreak/>
        <w:t xml:space="preserve">rozszerzenie możliwości łączenia FIZ o inne typy funduszy inwestycyjnych </w:t>
      </w:r>
      <w:r w:rsidR="00C53FF1">
        <w:rPr>
          <w:rFonts w:ascii="Times New Roman" w:hAnsi="Times New Roman" w:cs="Times New Roman"/>
          <w:bCs/>
          <w:sz w:val="24"/>
          <w:szCs w:val="24"/>
        </w:rPr>
        <w:t>zamkniętych</w:t>
      </w:r>
      <w:r w:rsidRPr="006B2CD4">
        <w:rPr>
          <w:rFonts w:ascii="Times New Roman" w:hAnsi="Times New Roman" w:cs="Times New Roman"/>
          <w:bCs/>
          <w:sz w:val="24"/>
          <w:szCs w:val="24"/>
        </w:rPr>
        <w:t xml:space="preserve"> (art. 208zzi ust. 1, ust. 2 pkt 2, ust. 3 ust. 4 ust. 5, </w:t>
      </w:r>
      <w:r>
        <w:rPr>
          <w:rFonts w:ascii="Times New Roman" w:hAnsi="Times New Roman" w:cs="Times New Roman"/>
          <w:bCs/>
          <w:sz w:val="24"/>
          <w:szCs w:val="24"/>
        </w:rPr>
        <w:t xml:space="preserve">art. 208 zzj, </w:t>
      </w:r>
      <w:r w:rsidRPr="006B2CD4">
        <w:rPr>
          <w:rFonts w:ascii="Times New Roman" w:hAnsi="Times New Roman" w:cs="Times New Roman"/>
          <w:bCs/>
          <w:sz w:val="24"/>
          <w:szCs w:val="24"/>
        </w:rPr>
        <w:t>art. 208zzk ust. 7, art. 208zzm ust. 1 ustawy o funduszach inwestycyjnych)</w:t>
      </w:r>
    </w:p>
    <w:p w14:paraId="3F1C5F6A" w14:textId="77777777" w:rsidR="00DB03EC" w:rsidRPr="006B2CD4" w:rsidRDefault="00DB03EC" w:rsidP="00DB03EC">
      <w:pPr>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Proponowane zmiany mają umożliwić łączenie funduszy zamkniętych poprzez przejęcie lub scalenie dwóch lub więcej funduszy w ramach nowego funduszu. Analogiczne rozwiązania funkcjonują już w odniesieniu do funduszy otwartych oraz funduszy inwestycyjnych zamkniętych aktywów niepublicznych (FIZAN). Propozycja zakłada, że łączeniu będą mogły podlegać niepubliczne FIZ zarządzane przez to samo towarzystwo (ich certyfikaty nie są sprzedawane w drodze oferty publicznej, ani nie są notowane na rynku regulowanym).</w:t>
      </w:r>
    </w:p>
    <w:p w14:paraId="3E854963" w14:textId="6E9906BF" w:rsidR="00DB03EC" w:rsidRPr="006B2CD4" w:rsidRDefault="00DB03EC" w:rsidP="00DB03EC">
      <w:pPr>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Możliwość łączenia niepublicznych FIZ będzie korzystna z punktu widzenia inwestorów w szczególności, gdy w wyniku spadku wartości aktywów dalsze funkcjonowanie funduszu staje się problematyczne. Możliwość połączenia z innym funduszem stanowić będzie alternatywę dla likwidacji.</w:t>
      </w:r>
    </w:p>
    <w:p w14:paraId="1A5D39AD" w14:textId="77777777" w:rsidR="00DB03EC" w:rsidRDefault="00DB03EC" w:rsidP="00DB03EC">
      <w:pPr>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Podobnie jak w przypadku funkcjonujących dotychczas rozwiązań prawnych dotyczących funduszy aktywów niepublicznych, rozszerzenie możliwości łączenia FIZ o inne typy funduszy inwestycyjnych wymaga ustanowienia przepisów, które określą procedurę dokonania takiej czynności. Do połączenia funduszy niezbędna będzie zgoda ich uczestników. Decyzja będzie zapadać na zgromadzeniach inwestorów, a za stosowaną uchwałą o połączeniu będą musieli zagłosować posiadacze 2/3 aktualnej liczby certyfikatów. Zgoda będzie wymagana zarówno </w:t>
      </w:r>
      <w:r w:rsidRPr="006B2CD4">
        <w:rPr>
          <w:rFonts w:ascii="Times New Roman" w:hAnsi="Times New Roman" w:cs="Times New Roman"/>
          <w:bCs/>
          <w:sz w:val="24"/>
          <w:szCs w:val="24"/>
        </w:rPr>
        <w:lastRenderedPageBreak/>
        <w:t xml:space="preserve">od inwestorów funduszu przejmowanego jak i przejmującego. Ponieważ nowe regulacje mają dotyczyć funduszy niepublicznych, których tworzenie nie wymaga zgody KNF, także ich łączenie nie będzie wymagało takiej zgody. Uznano więc, że dla celów rozszerzenia możliwości łączenia FIZ o inne typy funduszy wystarczające jest jedynie rozszerzenie podmiotowe bez konieczności zmian w procedurze łączenia funduszy. </w:t>
      </w:r>
    </w:p>
    <w:p w14:paraId="057A6C1B" w14:textId="18B02BA6" w:rsidR="00DB03EC" w:rsidRPr="00F81DB5" w:rsidRDefault="00DB03EC" w:rsidP="00DB03EC">
      <w:pPr>
        <w:spacing w:after="120" w:line="360" w:lineRule="auto"/>
        <w:jc w:val="both"/>
        <w:rPr>
          <w:rFonts w:ascii="Times New Roman" w:hAnsi="Times New Roman" w:cs="Times New Roman"/>
          <w:bCs/>
          <w:sz w:val="24"/>
          <w:szCs w:val="24"/>
        </w:rPr>
      </w:pPr>
      <w:r w:rsidRPr="00F81DB5">
        <w:rPr>
          <w:rFonts w:ascii="Times New Roman" w:hAnsi="Times New Roman" w:cs="Times New Roman"/>
          <w:bCs/>
          <w:sz w:val="24"/>
          <w:szCs w:val="24"/>
        </w:rPr>
        <w:t>W związk</w:t>
      </w:r>
      <w:r w:rsidR="00C53FF1">
        <w:rPr>
          <w:rFonts w:ascii="Times New Roman" w:hAnsi="Times New Roman" w:cs="Times New Roman"/>
          <w:bCs/>
          <w:sz w:val="24"/>
          <w:szCs w:val="24"/>
        </w:rPr>
        <w:t>u z rozszerzeniem przewidzianym</w:t>
      </w:r>
      <w:r w:rsidRPr="00F81DB5">
        <w:rPr>
          <w:rFonts w:ascii="Times New Roman" w:hAnsi="Times New Roman" w:cs="Times New Roman"/>
          <w:bCs/>
          <w:sz w:val="24"/>
          <w:szCs w:val="24"/>
        </w:rPr>
        <w:t xml:space="preserve"> w ustawie o funduszach inwestycyjnych mechanizmu łączenia funduszy inwestycyjnych na wszystkie zamknięte fundusze inwestycyjne zamknięte niebędące funduszami publicznymi, w przepisach tych wprowadzono również przepisy zabezpieczające interes uczestników funduszy inwestycyjnych w zakresie okresu na dostosowanie portfela inwestycyjnego funduszu inwestycyjnego przejmującego do wymagań ustawowych i statutowych. Obecnie obowiązujący art. 208zzo </w:t>
      </w:r>
      <w:r>
        <w:rPr>
          <w:rFonts w:ascii="Times New Roman" w:hAnsi="Times New Roman" w:cs="Times New Roman"/>
          <w:bCs/>
          <w:sz w:val="24"/>
          <w:szCs w:val="24"/>
        </w:rPr>
        <w:t>ustawy o funduszach inwestycyjnych</w:t>
      </w:r>
      <w:r w:rsidRPr="00F81DB5">
        <w:rPr>
          <w:rFonts w:ascii="Times New Roman" w:hAnsi="Times New Roman" w:cs="Times New Roman"/>
          <w:bCs/>
          <w:sz w:val="24"/>
          <w:szCs w:val="24"/>
        </w:rPr>
        <w:t xml:space="preserve"> stanowi, że w przypadku, o którym mowa w art. 208zzi ust. 2 pkt 1 </w:t>
      </w:r>
      <w:r>
        <w:rPr>
          <w:rFonts w:ascii="Times New Roman" w:hAnsi="Times New Roman" w:cs="Times New Roman"/>
          <w:bCs/>
          <w:sz w:val="24"/>
          <w:szCs w:val="24"/>
        </w:rPr>
        <w:t>ustawy o funduszach inwestycyjnych</w:t>
      </w:r>
      <w:r w:rsidR="00557CC4">
        <w:rPr>
          <w:rFonts w:ascii="Times New Roman" w:hAnsi="Times New Roman" w:cs="Times New Roman"/>
          <w:bCs/>
          <w:sz w:val="24"/>
          <w:szCs w:val="24"/>
        </w:rPr>
        <w:t>, fundusz przejmujący</w:t>
      </w:r>
      <w:r w:rsidRPr="00F81DB5">
        <w:rPr>
          <w:rFonts w:ascii="Times New Roman" w:hAnsi="Times New Roman" w:cs="Times New Roman"/>
          <w:bCs/>
          <w:sz w:val="24"/>
          <w:szCs w:val="24"/>
        </w:rPr>
        <w:t xml:space="preserve"> w terminie 12 miesięcy od dnia, o którym mowa w art. 208zzq lub art. 208zzs </w:t>
      </w:r>
      <w:r>
        <w:rPr>
          <w:rFonts w:ascii="Times New Roman" w:hAnsi="Times New Roman" w:cs="Times New Roman"/>
          <w:bCs/>
          <w:sz w:val="24"/>
          <w:szCs w:val="24"/>
        </w:rPr>
        <w:t>ustawy o funduszach inwestycyjnych</w:t>
      </w:r>
      <w:r w:rsidR="00557CC4">
        <w:rPr>
          <w:rFonts w:ascii="Times New Roman" w:hAnsi="Times New Roman" w:cs="Times New Roman"/>
          <w:bCs/>
          <w:sz w:val="24"/>
          <w:szCs w:val="24"/>
        </w:rPr>
        <w:t>,</w:t>
      </w:r>
      <w:r w:rsidRPr="00F81DB5">
        <w:rPr>
          <w:rFonts w:ascii="Times New Roman" w:hAnsi="Times New Roman" w:cs="Times New Roman"/>
          <w:bCs/>
          <w:sz w:val="24"/>
          <w:szCs w:val="24"/>
        </w:rPr>
        <w:t xml:space="preserve"> dostosuje stan swoich aktywów do wymagań określonych w ustawie i statucie. W przypadku rozszerzenia rodzajów i typów funduszy, które mogą zostać połączone, powstaje ryzyko tworzenia funduszy inwestycyjnych „technicznych”, których połączenie będzie dokonywane</w:t>
      </w:r>
      <w:r w:rsidR="00557CC4">
        <w:rPr>
          <w:rFonts w:ascii="Times New Roman" w:hAnsi="Times New Roman" w:cs="Times New Roman"/>
          <w:bCs/>
          <w:sz w:val="24"/>
          <w:szCs w:val="24"/>
        </w:rPr>
        <w:t xml:space="preserve"> wyłącznie w celu </w:t>
      </w:r>
      <w:r w:rsidRPr="00F81DB5">
        <w:rPr>
          <w:rFonts w:ascii="Times New Roman" w:hAnsi="Times New Roman" w:cs="Times New Roman"/>
          <w:bCs/>
          <w:sz w:val="24"/>
          <w:szCs w:val="24"/>
        </w:rPr>
        <w:t xml:space="preserve">stworzenia możliwości korzystania z przedłużenia okresu na dostosowanie portfela, co pozwoli funduszom inwestycyjnym posiadającym niedostosowany portfel na wykreowanie funduszu inwestycyjnego w celu połączenia i możliwości „zalegalizowania” stanu niedostosowania portfela </w:t>
      </w:r>
      <w:r w:rsidRPr="00F81DB5">
        <w:rPr>
          <w:rFonts w:ascii="Times New Roman" w:hAnsi="Times New Roman" w:cs="Times New Roman"/>
          <w:bCs/>
          <w:sz w:val="24"/>
          <w:szCs w:val="24"/>
        </w:rPr>
        <w:lastRenderedPageBreak/>
        <w:t>inwestycyjnego funduszu przejmującego. W związku z tym, w celu ograniczenia ww. ryzyka oraz ochrony interesu uczestników funduszu, proponuje się, aby możliwość łączenia się funduszy inwestycyjnych zamkniętych została ograniczona wyłącznie do funduszy, które w dniu sporządzenia i podpisania planu połączenia będą posiadały portfel inwestycyjny dostosowany do przepisów prawa oraz statutu funduszu. Dodatkowo</w:t>
      </w:r>
      <w:r w:rsidR="00557CC4">
        <w:rPr>
          <w:rFonts w:ascii="Times New Roman" w:hAnsi="Times New Roman" w:cs="Times New Roman"/>
          <w:bCs/>
          <w:sz w:val="24"/>
          <w:szCs w:val="24"/>
        </w:rPr>
        <w:t>,</w:t>
      </w:r>
      <w:r w:rsidRPr="00F81DB5">
        <w:rPr>
          <w:rFonts w:ascii="Times New Roman" w:hAnsi="Times New Roman" w:cs="Times New Roman"/>
          <w:bCs/>
          <w:sz w:val="24"/>
          <w:szCs w:val="24"/>
        </w:rPr>
        <w:t xml:space="preserve"> w celu zagwarantowania, że zgodnie z ostatnią wyceną dokonaną przez fundusz posiada on strukturę portfela dostosowaną do przepisów prawa i postanowień statutu funduszu, w tym zakresie elementem planu połączenia będzie stosowne oświadczenie funduszy łączących się ze sobą. </w:t>
      </w:r>
    </w:p>
    <w:p w14:paraId="4491FB82" w14:textId="77777777" w:rsidR="00DB03EC" w:rsidRPr="006B2CD4" w:rsidRDefault="00DB03EC" w:rsidP="00DB03EC">
      <w:pPr>
        <w:spacing w:after="120" w:line="360" w:lineRule="auto"/>
        <w:jc w:val="both"/>
        <w:rPr>
          <w:rFonts w:ascii="Times New Roman" w:hAnsi="Times New Roman" w:cs="Times New Roman"/>
          <w:bCs/>
          <w:sz w:val="24"/>
          <w:szCs w:val="24"/>
        </w:rPr>
      </w:pPr>
      <w:r w:rsidRPr="00F81DB5">
        <w:rPr>
          <w:rFonts w:ascii="Times New Roman" w:hAnsi="Times New Roman" w:cs="Times New Roman"/>
          <w:bCs/>
          <w:sz w:val="24"/>
          <w:szCs w:val="24"/>
        </w:rPr>
        <w:t>Wskazać należy, że łączenie się funduszy inwestycyjnych zamkniętych jest nową regulacją, która wymaga dookreślenia i ograniczania potencjalnych ryzyk poprzez dodatkowe wymogi regulacyjne. Jednym z takich ryzyk jest wykorzystywanie łączenia się funduszy przez te podmioty, które w sposób niewłaściwy realizowały dotychczasową politykę inwestycyjną, a w efekcie tego pozostawały często w permanentnym naruszeniu przepisów prawa i statutu funduszu w zakresie struktury portfela. Należy również wskazać, że łączenie się funduszy inwestycyjnych zamkniętych stanowi de facto możliwość do zmiany typu przez ten fundusz, co również wobec istnienia ograniczeń w tym zakresie, powinno ograniczać możliwości w zakresie łączenia wyłącznie do funduszy inwestycyjnych, które posiadają strukturę portfela dostosowaną do wymogów przewidzianych przepisami prawa oraz statutem funduszu.</w:t>
      </w:r>
    </w:p>
    <w:p w14:paraId="2F6A90CE" w14:textId="77777777" w:rsidR="00DB03EC" w:rsidRPr="006B2CD4" w:rsidRDefault="00DB03EC" w:rsidP="00DB03EC">
      <w:pPr>
        <w:pStyle w:val="Akapitzlist"/>
        <w:numPr>
          <w:ilvl w:val="0"/>
          <w:numId w:val="2"/>
        </w:numPr>
        <w:shd w:val="clear" w:color="auto" w:fill="FFFFFF" w:themeFill="background1"/>
        <w:tabs>
          <w:tab w:val="left" w:pos="567"/>
        </w:tabs>
        <w:spacing w:after="120" w:line="360" w:lineRule="auto"/>
        <w:ind w:left="425" w:hanging="425"/>
        <w:jc w:val="both"/>
        <w:rPr>
          <w:rFonts w:ascii="Times New Roman" w:hAnsi="Times New Roman" w:cs="Times New Roman"/>
          <w:bCs/>
          <w:sz w:val="24"/>
          <w:szCs w:val="24"/>
        </w:rPr>
      </w:pPr>
      <w:r w:rsidRPr="006B2CD4">
        <w:rPr>
          <w:rFonts w:ascii="Times New Roman" w:hAnsi="Times New Roman" w:cs="Times New Roman"/>
          <w:bCs/>
          <w:sz w:val="24"/>
          <w:szCs w:val="24"/>
        </w:rPr>
        <w:t>korekta w zakresie gwarancji emisji (art. 31 ust. 2 pkt 4, 5 i 5a, art. 58 ust. 1, art. 61 ust. 4 pkt 2, art. 105, art. 156, art. 230 ust. 1 pkt 1 ustawy o funduszach inwestycyjnych)</w:t>
      </w:r>
    </w:p>
    <w:p w14:paraId="2641FBDD" w14:textId="77777777" w:rsidR="00DB03EC" w:rsidRPr="006B2CD4" w:rsidRDefault="00DB03EC" w:rsidP="00DB03EC">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lastRenderedPageBreak/>
        <w:t>Zaproponowane zmiany dotyczące gwarancji emisji są wynikiem wejścia w życie z dniem 30 listopada 2019 r. ustawy z dnia 16 października 2019 r. o zmianie ustawy o ofercie publicznej i warunkach wprowadzania instrumentów finansowych do zorganizowanego systemu obrotu oraz o spółkach publicznych oraz niektórych innych ustaw (Dz. U. poz. 2217, z późn. zm.), dalej „ustawa o zmianie ustawy o ofercie publicznej i warunkach wprowadzania instrumentów finansowych do zorganizowanego systemu obrotu oraz o spółkach publicznych oraz niektórych innych ustaw”. Ustawa ta wprowadziła m.in. zmianę w ustawie o ofercie publicznej polegającą na rezygnacji z posługiwania się pojęciami „subemisji inwestycyjnej” i „subemisji usługowej”. W miejsce tych pojęć w ustawie wprowadzono jedno pojęcie „gwarancji emisji”. W dalszym ciągu jednak ustawa o funduszach inwestycyjnych w kilku przepisach posługuje się uprzednio używanymi pojęciami. W związku z tym, proponuje się uchylenie art. 31 ust. 2 pkt 4 i 5, zgodnie z którymi z chwilą wpisania funduszu inwestycyjnego do rejestru fundusz inwestycyjny wstępuje w prawa i obowiązki z tytułu umów o subemisję inwestycyjną i umów o subemisję usługową. Jednocześnie, w przepisie tym dodaje się nowy pkt 5a przewidujący wstąpienie w prawa i obowiązki z tytułu umów o gwarancję emisji, zamiast niewystępujących już w polskim prawie pojęć „subemisji inwestycyjnej” i „subemisji usługowej”.</w:t>
      </w:r>
    </w:p>
    <w:p w14:paraId="4C681CA2" w14:textId="72C712D2" w:rsidR="00DB03EC" w:rsidRPr="006B2CD4" w:rsidRDefault="00DB03EC" w:rsidP="00DB03EC">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Proponowana zmiana art. 58 ust. 1 pkt 4 ustawy o funduszach inwestycyjnych zmierza do doprecyzowania przepisu określającego rodzaje informacji i dokumentów, jakie należy załączyć do wniosku o udzielenie zezwolenia na wykonywanie działalności towarzystwa funduszy in</w:t>
      </w:r>
      <w:r w:rsidRPr="006B2CD4">
        <w:rPr>
          <w:rFonts w:ascii="Times New Roman" w:hAnsi="Times New Roman" w:cs="Times New Roman"/>
          <w:bCs/>
          <w:sz w:val="24"/>
          <w:szCs w:val="24"/>
        </w:rPr>
        <w:lastRenderedPageBreak/>
        <w:t xml:space="preserve">westycyjnych poprzez wyraźne wskazanie, że dołączane do wniosku informacje i oświadczenia, wymienione w art. 42b ust. 2 ustawy o funduszach inwestycyjnych, powinny dotyczyć członków zarządu oraz rady nadzorczej. Zgodnie z literalnym brzmieniem tego przepisu do wniosku należałoby załączyć tylko informacje i oświadczenia osób, które będą sprawowały w zarządzie towarzystwa poszczególne funkcje, o których mowa w art. 42b ust. 1 ustawy o funduszach inwestycyjnych. Zatem obecnie obowiązujący przepis nie określa wymaganych informacji i oświadczeń w stosunku do członków zarządu niepełniących funkcji, o których mowa w art. 42b ust. 1 ustawy o funduszach inwestycyjnych, oraz członków rady nadzorczej. Nie ma też w ustawie o funduszach inwestycyjnych wskazanych podstaw, umożliwiających KNF zwrócenie się o takie informacje i oświadczenia do wnioskodawcy. Brak </w:t>
      </w:r>
      <w:r w:rsidR="00557CC4">
        <w:rPr>
          <w:rFonts w:ascii="Times New Roman" w:hAnsi="Times New Roman" w:cs="Times New Roman"/>
          <w:bCs/>
          <w:sz w:val="24"/>
          <w:szCs w:val="24"/>
        </w:rPr>
        <w:t xml:space="preserve">wskazania </w:t>
      </w:r>
      <w:r w:rsidRPr="006B2CD4">
        <w:rPr>
          <w:rFonts w:ascii="Times New Roman" w:hAnsi="Times New Roman" w:cs="Times New Roman"/>
          <w:bCs/>
          <w:sz w:val="24"/>
          <w:szCs w:val="24"/>
        </w:rPr>
        <w:t>w przepisie art. 58 ust. 1 pkt 4 ustawy o fun</w:t>
      </w:r>
      <w:r w:rsidR="00557CC4">
        <w:rPr>
          <w:rFonts w:ascii="Times New Roman" w:hAnsi="Times New Roman" w:cs="Times New Roman"/>
          <w:bCs/>
          <w:sz w:val="24"/>
          <w:szCs w:val="24"/>
        </w:rPr>
        <w:t>duszach inwestycyjnych</w:t>
      </w:r>
      <w:r w:rsidRPr="006B2CD4">
        <w:rPr>
          <w:rFonts w:ascii="Times New Roman" w:hAnsi="Times New Roman" w:cs="Times New Roman"/>
          <w:bCs/>
          <w:sz w:val="24"/>
          <w:szCs w:val="24"/>
        </w:rPr>
        <w:t xml:space="preserve">, że informacje i oświadczenia powinny dotyczyć członków zarządu oraz rady nadzorczej powoduje, że przepis ten nie jest spójny z przesłankami odmowy udzielenia zezwolenia na wykonywania działalności towarzystwa, o których mowa w art. 61 ust. 4 pkt 2 ustawy o funduszach inwestycyjnych. Przepis ten stanowi, iż KNF odmawia udzielenia zezwolenia na wykonywanie działalności towarzystwa w przypadku gdy wnioskodawca, członkowie jego zarządu lub rady nadzorczej, doradcy inwestycyjni, którzy są lub zostaną zatrudnieni w towarzystwie, lub osoby, o których mowa w art. 22 ust. 1 pkt 6 ustawy o funduszach inwestycyjnych, mogą wykonywać działalność z naruszeniem zasad uczciwego obrotu lub w sposób nienależycie zabezpieczający interes uczestników </w:t>
      </w:r>
      <w:r w:rsidRPr="006B2CD4">
        <w:rPr>
          <w:rFonts w:ascii="Times New Roman" w:hAnsi="Times New Roman" w:cs="Times New Roman"/>
          <w:bCs/>
          <w:sz w:val="24"/>
          <w:szCs w:val="24"/>
        </w:rPr>
        <w:lastRenderedPageBreak/>
        <w:t>funduszu, a także gdy członkowie zarządu lub rady nadzorczej nie spełniają warunków, o których mowa w art. 42 ust. 2</w:t>
      </w:r>
      <w:r w:rsidRPr="006B2CD4">
        <w:rPr>
          <w:rFonts w:ascii="Times New Roman" w:hAnsi="Times New Roman" w:cs="Times New Roman"/>
          <w:sz w:val="24"/>
          <w:szCs w:val="24"/>
        </w:rPr>
        <w:t>‒</w:t>
      </w:r>
      <w:r w:rsidRPr="006B2CD4">
        <w:rPr>
          <w:rFonts w:ascii="Times New Roman" w:hAnsi="Times New Roman" w:cs="Times New Roman"/>
          <w:bCs/>
          <w:sz w:val="24"/>
          <w:szCs w:val="24"/>
        </w:rPr>
        <w:t xml:space="preserve">4, 6 i 7. Dodatkowo, w związku z odesłaniem zawartym w treści art. 230 ust. 1 pkt 1 ustawy do art. 58 ust. 1 pkt 4 ustawy, określone w art. 230 ust. 1 pkt 1 ustawy uprawnienie KNF do nakazania towarzystwu zastąpienia albo odwołania osób, o których mowa w przepisach wymienionych w tym punkcie, mogłoby dotyczyć wyłącznie osób, wskazanych w art. 42b ust.1 ustawy. Przepis art. 230 ustawy o funduszach inwestycyjnych ma charakter sankcyjny, w związku z tym identyfikacji osób, wskazanych w przepisie art. 58 ust. 1 pkt 4, wobec których KNF mogłaby zastosować przewidziane w art. 230 ust. 1 pkt 1 ustawy środki, należy dokonywać zgodnie z literalnym brzmieniem art. 58 ust.1 pkt 4 ustawy. Ze względu na wskazane powyżej powody, proponowana zmiana art. 58 ust. 1 pkt 4 ustawy jest konieczna i uzasadniona. </w:t>
      </w:r>
    </w:p>
    <w:p w14:paraId="511F5A67" w14:textId="1AF03E5B" w:rsidR="00DB03EC" w:rsidRPr="006B2CD4" w:rsidRDefault="00DB03EC" w:rsidP="00DB03EC">
      <w:pPr>
        <w:shd w:val="clear" w:color="auto" w:fill="FFFFFF" w:themeFill="background1"/>
        <w:spacing w:before="120"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Zaproponowana zmiana w art. 61 ust. 4 pkt 2 ustawy o funduszach inwestycyjnych ma charakter doprecyzowujący i polega na zastąpieniu wyrazu „warunków”</w:t>
      </w:r>
      <w:r w:rsidR="00557CC4">
        <w:rPr>
          <w:rFonts w:ascii="Times New Roman" w:hAnsi="Times New Roman" w:cs="Times New Roman"/>
          <w:bCs/>
          <w:sz w:val="24"/>
          <w:szCs w:val="24"/>
        </w:rPr>
        <w:t>,</w:t>
      </w:r>
      <w:r w:rsidRPr="006B2CD4">
        <w:rPr>
          <w:rFonts w:ascii="Times New Roman" w:hAnsi="Times New Roman" w:cs="Times New Roman"/>
          <w:bCs/>
          <w:sz w:val="24"/>
          <w:szCs w:val="24"/>
        </w:rPr>
        <w:t xml:space="preserve"> wyrazem „wymogów”, które zostało zastosowane w treści art. 42b ust. 2</w:t>
      </w:r>
      <w:r w:rsidRPr="006B2CD4">
        <w:rPr>
          <w:rFonts w:ascii="Times New Roman" w:hAnsi="Times New Roman" w:cs="Times New Roman"/>
          <w:sz w:val="24"/>
          <w:szCs w:val="24"/>
        </w:rPr>
        <w:t>‒</w:t>
      </w:r>
      <w:r w:rsidRPr="006B2CD4">
        <w:rPr>
          <w:rFonts w:ascii="Times New Roman" w:hAnsi="Times New Roman" w:cs="Times New Roman"/>
          <w:bCs/>
          <w:sz w:val="24"/>
          <w:szCs w:val="24"/>
        </w:rPr>
        <w:t>4 ustawy o funduszach inwestycyjnych.</w:t>
      </w:r>
    </w:p>
    <w:p w14:paraId="3ADBFC4E" w14:textId="77777777" w:rsidR="00DB03EC" w:rsidRDefault="00DB03EC" w:rsidP="00DB03EC">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Zmiany przewidziane w art. 105 i art. 156 ustawy o funduszach inwestycyjnych mają na celu usunięcie pojęć „subemisji inwestycyjnej”. W ich miejsce proponuje się odwołanie do pojęć gwarancji emisji, przy jednoczesnym doprecyzowaniu, że chodzi o gwarancję emisji, o której mowa w art. 14a ust. 5 ustawy o ofercie publicznej. Przepis ten stanowi bowiem o gwarancji emisji będącej odpowiednikiem dotychczasowej subemisji inwestycyjnej.</w:t>
      </w:r>
    </w:p>
    <w:p w14:paraId="246B22D7" w14:textId="59494955" w:rsidR="00DB03EC" w:rsidRPr="00E42C8B" w:rsidRDefault="00DB03EC" w:rsidP="009B5F12">
      <w:pPr>
        <w:spacing w:line="360" w:lineRule="auto"/>
        <w:ind w:left="426" w:hanging="426"/>
        <w:jc w:val="both"/>
        <w:rPr>
          <w:rFonts w:ascii="Times New Roman" w:hAnsi="Times New Roman" w:cs="Times New Roman"/>
          <w:sz w:val="24"/>
          <w:szCs w:val="24"/>
        </w:rPr>
      </w:pPr>
      <w:r w:rsidRPr="00E42C8B">
        <w:rPr>
          <w:rFonts w:ascii="Times New Roman" w:hAnsi="Times New Roman" w:cs="Times New Roman"/>
          <w:sz w:val="24"/>
          <w:szCs w:val="24"/>
        </w:rPr>
        <w:lastRenderedPageBreak/>
        <w:t>6)</w:t>
      </w:r>
      <w:r w:rsidRPr="00E42C8B">
        <w:rPr>
          <w:rFonts w:ascii="Times New Roman" w:hAnsi="Times New Roman" w:cs="Times New Roman"/>
          <w:sz w:val="24"/>
          <w:szCs w:val="24"/>
        </w:rPr>
        <w:tab/>
        <w:t>zmiany w przepisach dotyczących tworzenia i funkcjonowania portfelowych funduszy inwestycyjnych (art. 2 pkt 39, art. 22 ust. 1 pkt 9a i 10, art. 29 ust. 10, art. 136 ust. 1, art. 179 ust. 1, 1a, 1b, 3, 4, 6</w:t>
      </w:r>
      <w:r w:rsidR="00457862">
        <w:rPr>
          <w:rFonts w:ascii="Times New Roman" w:hAnsi="Times New Roman" w:cs="Times New Roman"/>
          <w:sz w:val="24"/>
          <w:szCs w:val="24"/>
        </w:rPr>
        <w:t>–</w:t>
      </w:r>
      <w:r w:rsidRPr="00E42C8B">
        <w:rPr>
          <w:rFonts w:ascii="Times New Roman" w:hAnsi="Times New Roman" w:cs="Times New Roman"/>
          <w:sz w:val="24"/>
          <w:szCs w:val="24"/>
        </w:rPr>
        <w:t>9</w:t>
      </w:r>
      <w:r w:rsidR="00622D1C">
        <w:rPr>
          <w:rFonts w:ascii="Times New Roman" w:hAnsi="Times New Roman" w:cs="Times New Roman"/>
          <w:sz w:val="24"/>
          <w:szCs w:val="24"/>
        </w:rPr>
        <w:t>, art. 219</w:t>
      </w:r>
      <w:r w:rsidRPr="00E42C8B">
        <w:rPr>
          <w:rFonts w:ascii="Times New Roman" w:hAnsi="Times New Roman" w:cs="Times New Roman"/>
          <w:sz w:val="24"/>
          <w:szCs w:val="24"/>
        </w:rPr>
        <w:t xml:space="preserve"> ustawy o funduszach inwestycyjnych)</w:t>
      </w:r>
    </w:p>
    <w:p w14:paraId="3D24582A" w14:textId="77777777" w:rsidR="00DB03EC" w:rsidRPr="00E42C8B" w:rsidRDefault="00DB03EC" w:rsidP="00DB03EC">
      <w:pPr>
        <w:spacing w:line="360" w:lineRule="auto"/>
        <w:jc w:val="both"/>
        <w:rPr>
          <w:rFonts w:ascii="Times New Roman" w:hAnsi="Times New Roman" w:cs="Times New Roman"/>
          <w:sz w:val="24"/>
          <w:szCs w:val="24"/>
        </w:rPr>
      </w:pPr>
      <w:r w:rsidRPr="00E42C8B">
        <w:rPr>
          <w:rFonts w:ascii="Times New Roman" w:hAnsi="Times New Roman" w:cs="Times New Roman"/>
          <w:sz w:val="24"/>
          <w:szCs w:val="24"/>
        </w:rPr>
        <w:t>Przewidziane w tym zakresie zmiany ustawy o funduszach inwestycyjnych mają na celu realizację działań organów publicznych określonych w Strategii Rozwoju Rynku Kapitałowego, w którym to dokumencie wskazano, że krajowe ETFy (ang. Exchanged Traded Funds) stanowią jeden z elementów wspierania rozwoju polskiego rynku kapitałowego poprzez m.in. zwiększenie dywersyfikacji produktów inwestycyjnych, zapewnienie większej płynności rynku, umożliwienie inwestorom instytucjonalnym (pośrednikom) szerszego spektrum zachowań inwestycyjnych.</w:t>
      </w:r>
    </w:p>
    <w:p w14:paraId="365716BB" w14:textId="26CB582E" w:rsidR="00DB03EC" w:rsidRPr="00E42C8B" w:rsidRDefault="00DB03EC" w:rsidP="00DB03EC">
      <w:pPr>
        <w:spacing w:line="360" w:lineRule="auto"/>
        <w:jc w:val="both"/>
        <w:rPr>
          <w:rFonts w:ascii="Times New Roman" w:hAnsi="Times New Roman" w:cs="Times New Roman"/>
          <w:sz w:val="24"/>
          <w:szCs w:val="24"/>
        </w:rPr>
      </w:pPr>
      <w:r w:rsidRPr="00E42C8B">
        <w:rPr>
          <w:rFonts w:ascii="Times New Roman" w:hAnsi="Times New Roman" w:cs="Times New Roman"/>
          <w:sz w:val="24"/>
          <w:szCs w:val="24"/>
        </w:rPr>
        <w:t>Koncepcja ETF przewidziana obecnie w przepisach ustawy o funduszach inwestycyjnych oparta jest na konstrukcji portfelowego funduszu inwestycyjnego zam</w:t>
      </w:r>
      <w:r w:rsidR="00557CC4">
        <w:rPr>
          <w:rFonts w:ascii="Times New Roman" w:hAnsi="Times New Roman" w:cs="Times New Roman"/>
          <w:sz w:val="24"/>
          <w:szCs w:val="24"/>
        </w:rPr>
        <w:t>kniętego. Fundusze te dokonujące</w:t>
      </w:r>
      <w:r w:rsidRPr="00E42C8B">
        <w:rPr>
          <w:rFonts w:ascii="Times New Roman" w:hAnsi="Times New Roman" w:cs="Times New Roman"/>
          <w:sz w:val="24"/>
          <w:szCs w:val="24"/>
        </w:rPr>
        <w:t xml:space="preserve"> w sposób ciągły emisji certyfikatów inwestycyjnych, które zgodnie ze statutem funduszu będą oferowane w drodze oferty publicznej lub dopuszczone do obrotu na rynku regulowanym, lub wprowadzone do alternatywnego systemu obrotu, pod warunkiem że fundusz lokuje swoje aktywa wyłącznie w papiery wartościowe stanowiące podstawę do ustalenia wartości indeksu rynku regulowanego (portfel indeksowy) albo w aktywa określone w statucie funduszu nieoparte na takim indeksie (portfel bazowy). Zgodnie z obowiązującymi przepisami ustawy o funduszach inwestycyjnych fundusze te sporządzają prospekty, które podlegają zatwierdzeniu przez Komisję Nadzoru Finansowego. Co więcej</w:t>
      </w:r>
      <w:r w:rsidR="00F15EEB">
        <w:rPr>
          <w:rFonts w:ascii="Times New Roman" w:hAnsi="Times New Roman" w:cs="Times New Roman"/>
          <w:sz w:val="24"/>
          <w:szCs w:val="24"/>
        </w:rPr>
        <w:t>,</w:t>
      </w:r>
      <w:r w:rsidRPr="00E42C8B">
        <w:rPr>
          <w:rFonts w:ascii="Times New Roman" w:hAnsi="Times New Roman" w:cs="Times New Roman"/>
          <w:sz w:val="24"/>
          <w:szCs w:val="24"/>
        </w:rPr>
        <w:t xml:space="preserve"> ze względu na ciągłą emisję </w:t>
      </w:r>
      <w:r w:rsidRPr="00E42C8B">
        <w:rPr>
          <w:rFonts w:ascii="Times New Roman" w:hAnsi="Times New Roman" w:cs="Times New Roman"/>
          <w:sz w:val="24"/>
          <w:szCs w:val="24"/>
        </w:rPr>
        <w:lastRenderedPageBreak/>
        <w:t>certyfikatów oraz ich ciągłe dopuszczanie do obrotu na rynku regulowanym zachodzi konieczność aktualizacji tego prospektu oraz jego ponownego zatwierdzenia po upływie każdych kolejnych 12 miesięcy (konieczność istnienia ciągle ważnego prospektu przez cały czas emitowania przez fundusz certyfikatów). Powyższe generuje olbrzymi nakład pracy oraz koszty, zwłaszcza, że prospekty podlegają obowiązkowi suplementowania. Z obowiązkiem suplementowania natomiast związany jest problem zawieszania procesu rozrachunku przyjętych zapisów na certyfikaty, które korzystają z prawa do wycofania, a które to prawo, po zmianie WANCI (wartości aktywów netto funduszu na certyfikat inwestycyjny), może być wykorzystywane w sposób niezgodny z jego istotą i prowadzić do nadużyć, które w efekcie obciążają uczestników funduszu. Ponadto, spowodowane suplementacją wstrzymanie rozrachunku zapisów, w tym również dla animatora emitenta, który odgrywa szczególną rolę w procesie obrotu certyfikatami funduszy ETF, powoduje pogorszenie jakości kwotowań (niższa skłonność animatora do kwotowań, niższe kwoty ofert kupna/sprzedaży, szersze spread’y), a więc znacząco zmniejsza atrakcyjność produktu dla inwestorów oraz przerywa przypisaną produktowi ciągłość emisji i wykupów certyfikatów.</w:t>
      </w:r>
    </w:p>
    <w:p w14:paraId="460FC4BF" w14:textId="62029F2C" w:rsidR="00DB03EC" w:rsidRPr="00E42C8B" w:rsidRDefault="00DB03EC" w:rsidP="00DB03EC">
      <w:pPr>
        <w:spacing w:line="360" w:lineRule="auto"/>
        <w:jc w:val="both"/>
        <w:rPr>
          <w:rFonts w:ascii="Times New Roman" w:hAnsi="Times New Roman" w:cs="Times New Roman"/>
          <w:sz w:val="24"/>
          <w:szCs w:val="24"/>
        </w:rPr>
      </w:pPr>
      <w:r w:rsidRPr="00E42C8B">
        <w:rPr>
          <w:rFonts w:ascii="Times New Roman" w:hAnsi="Times New Roman" w:cs="Times New Roman"/>
          <w:sz w:val="24"/>
          <w:szCs w:val="24"/>
        </w:rPr>
        <w:t>W związku z powyższym, w ustawie o funduszach inwestycyjnych wprowadza się zmianę podejścia do dokumentu informacyjnego, który są obowiązane sporządzać i udostępniać inwestorom portfelowe fundusze inwestycyjne zamknięte. Zamiast</w:t>
      </w:r>
      <w:r w:rsidR="00F15EEB">
        <w:rPr>
          <w:rFonts w:ascii="Times New Roman" w:hAnsi="Times New Roman" w:cs="Times New Roman"/>
          <w:sz w:val="24"/>
          <w:szCs w:val="24"/>
        </w:rPr>
        <w:t>,</w:t>
      </w:r>
      <w:r w:rsidRPr="00E42C8B">
        <w:rPr>
          <w:rFonts w:ascii="Times New Roman" w:hAnsi="Times New Roman" w:cs="Times New Roman"/>
          <w:sz w:val="24"/>
          <w:szCs w:val="24"/>
        </w:rPr>
        <w:t xml:space="preserve"> jak ma to miejsce obecnie</w:t>
      </w:r>
      <w:r w:rsidR="00F15EEB">
        <w:rPr>
          <w:rFonts w:ascii="Times New Roman" w:hAnsi="Times New Roman" w:cs="Times New Roman"/>
          <w:sz w:val="24"/>
          <w:szCs w:val="24"/>
        </w:rPr>
        <w:t>,</w:t>
      </w:r>
      <w:r w:rsidRPr="00E42C8B">
        <w:rPr>
          <w:rFonts w:ascii="Times New Roman" w:hAnsi="Times New Roman" w:cs="Times New Roman"/>
          <w:sz w:val="24"/>
          <w:szCs w:val="24"/>
        </w:rPr>
        <w:t xml:space="preserve"> sporządzać prospekt regulowany przepisami rozporządzenia Parlamentu Europejskiego i Rady (UE) 2017/1129 z dnia 14 czerwca 2017 r. w sprawie prospektu, który ma być publikowany w </w:t>
      </w:r>
      <w:r w:rsidRPr="00E42C8B">
        <w:rPr>
          <w:rFonts w:ascii="Times New Roman" w:hAnsi="Times New Roman" w:cs="Times New Roman"/>
          <w:sz w:val="24"/>
          <w:szCs w:val="24"/>
        </w:rPr>
        <w:lastRenderedPageBreak/>
        <w:t>związku z ofertą publiczną papierów wartościowych lub dopuszczeniem ich do obrotu na rynku regulowanym oraz uchylenia dyrektywy 2003/71/WE (Dz. Urz. UE L 168 z 30.06.2017, str. 12, z późn. zm.)</w:t>
      </w:r>
      <w:r w:rsidR="00557CC4">
        <w:rPr>
          <w:rFonts w:ascii="Times New Roman" w:hAnsi="Times New Roman" w:cs="Times New Roman"/>
          <w:sz w:val="24"/>
          <w:szCs w:val="24"/>
        </w:rPr>
        <w:t>,</w:t>
      </w:r>
      <w:r w:rsidRPr="00E42C8B">
        <w:rPr>
          <w:rFonts w:ascii="Times New Roman" w:hAnsi="Times New Roman" w:cs="Times New Roman"/>
          <w:sz w:val="24"/>
          <w:szCs w:val="24"/>
        </w:rPr>
        <w:t xml:space="preserve"> fundusze te sporządzać będą prospekt informacyjny na wzór funduszy inwestycyjnych otwartych, uznawanych w krajowym porządku prawny za fundusze UCITS (instytucje wspólnego inwestowania w zbywalne papiery wartościowe regulowane przepisami dyrektywy </w:t>
      </w:r>
      <w:r w:rsidRPr="00E42C8B">
        <w:rPr>
          <w:rFonts w:ascii="Times New Roman" w:hAnsi="Times New Roman" w:cs="Times New Roman"/>
          <w:bCs/>
          <w:color w:val="333333"/>
          <w:sz w:val="24"/>
          <w:szCs w:val="24"/>
          <w:shd w:val="clear" w:color="auto" w:fill="FFFFFF"/>
        </w:rPr>
        <w:t>Parlamentu Europejskiego i Rady 2009/65/WE z dnia 13 lipca 2009 r. w sprawie koordynacji przepisów ustawowych, wykonawczych i administracyjnych odnoszących się do przedsiębiorstw zbiorowego inwestowania w zbywalne papiery wartościowe (UCITS) (Dz. Urz. UE L 302 z 17.11.2009, str. 32, z późn. zm.)</w:t>
      </w:r>
      <w:r w:rsidRPr="00E42C8B">
        <w:rPr>
          <w:rFonts w:ascii="Times New Roman" w:hAnsi="Times New Roman" w:cs="Times New Roman"/>
          <w:sz w:val="24"/>
          <w:szCs w:val="24"/>
        </w:rPr>
        <w:t>. Dokument ten</w:t>
      </w:r>
      <w:r w:rsidR="00F15EEB">
        <w:rPr>
          <w:rFonts w:ascii="Times New Roman" w:hAnsi="Times New Roman" w:cs="Times New Roman"/>
          <w:sz w:val="24"/>
          <w:szCs w:val="24"/>
        </w:rPr>
        <w:t>,</w:t>
      </w:r>
      <w:r w:rsidRPr="00E42C8B">
        <w:rPr>
          <w:rFonts w:ascii="Times New Roman" w:hAnsi="Times New Roman" w:cs="Times New Roman"/>
          <w:sz w:val="24"/>
          <w:szCs w:val="24"/>
        </w:rPr>
        <w:t xml:space="preserve"> podobnie jak prospekt</w:t>
      </w:r>
      <w:r w:rsidR="00F15EEB">
        <w:rPr>
          <w:rFonts w:ascii="Times New Roman" w:hAnsi="Times New Roman" w:cs="Times New Roman"/>
          <w:sz w:val="24"/>
          <w:szCs w:val="24"/>
        </w:rPr>
        <w:t>,</w:t>
      </w:r>
      <w:r w:rsidRPr="00E42C8B">
        <w:rPr>
          <w:rFonts w:ascii="Times New Roman" w:hAnsi="Times New Roman" w:cs="Times New Roman"/>
          <w:sz w:val="24"/>
          <w:szCs w:val="24"/>
        </w:rPr>
        <w:t xml:space="preserve"> podlega zatwierdzeniu przez Komisję Nadzoru Finansowego na etapie tworzenia funduszu oraz aktualizacji, co zarazem należycie chroni interesy inwestorów, niemniej odbywa się to w sposób, który nie powoduje wyżej przestawionych kosztów oraz problemów związanych z rozrachunkiem zapisów na certyfikaty inwestycyjne.</w:t>
      </w:r>
    </w:p>
    <w:p w14:paraId="65FBB1CB" w14:textId="77777777" w:rsidR="00DB03EC" w:rsidRPr="00E42C8B" w:rsidRDefault="00DB03EC" w:rsidP="00DB03EC">
      <w:pPr>
        <w:spacing w:line="360" w:lineRule="auto"/>
        <w:jc w:val="both"/>
        <w:rPr>
          <w:rFonts w:ascii="Times New Roman" w:hAnsi="Times New Roman" w:cs="Times New Roman"/>
          <w:sz w:val="24"/>
          <w:szCs w:val="24"/>
        </w:rPr>
      </w:pPr>
      <w:r w:rsidRPr="00E42C8B">
        <w:rPr>
          <w:rFonts w:ascii="Times New Roman" w:hAnsi="Times New Roman" w:cs="Times New Roman"/>
          <w:sz w:val="24"/>
          <w:szCs w:val="24"/>
        </w:rPr>
        <w:t>Koncepcja przewidziana obecnie w przepisach ustawy o funduszach inwestycyjnych generuje olbrzymi nakład pracy po stronie rynku, jak również po stronie nadzoru. Co więcej przewiduje się, że w przeciągu kilku lat liczba zatwierdzanych prospektów i ewentualnie suplementów nowo tworzonych funduszy portfelowych w formule funduszy inwestycyjnych zamkniętych wzrośnie do ok. 20 rocznie. Konieczne jest więc tutaj wyeliminowanie potencjalnie ryzyka zaniechania efektywnego i sprawnego wykonywania zadań w tym zakresie przez KNF. Funk</w:t>
      </w:r>
      <w:r w:rsidRPr="00E42C8B">
        <w:rPr>
          <w:rFonts w:ascii="Times New Roman" w:hAnsi="Times New Roman" w:cs="Times New Roman"/>
          <w:sz w:val="24"/>
          <w:szCs w:val="24"/>
        </w:rPr>
        <w:lastRenderedPageBreak/>
        <w:t xml:space="preserve">cjonowanie tego typu produktów na rozwiniętych rynkach europejskich nie wymaga corocznego zatwierdzania dokumentu informacyjnego, ani odnawiania dopuszczenia produktu do obrotu na rynku, przez co nie angażuje sił organu nadzoru na takim poziomie jak obecnie w Polsce, a organ nadzoru sprawuje jedynie bieżący nadzór na normalnych zasadach. Uwzględnione tutaj zmiany będą więc stanowić znaczne usprawnienie funkcjonowania KNF w tym obszarze i wpłyną na rozwój segmentu funduszy portfelowych w formule funduszy inwestycyjnych zamkniętych w Polsce. </w:t>
      </w:r>
    </w:p>
    <w:p w14:paraId="03E0B3DB" w14:textId="77777777" w:rsidR="00DB03EC" w:rsidRPr="00E42C8B" w:rsidRDefault="00DB03EC" w:rsidP="00DB03EC">
      <w:pPr>
        <w:spacing w:line="360" w:lineRule="auto"/>
        <w:jc w:val="both"/>
        <w:rPr>
          <w:rFonts w:ascii="Times New Roman" w:hAnsi="Times New Roman" w:cs="Times New Roman"/>
          <w:sz w:val="24"/>
          <w:szCs w:val="24"/>
        </w:rPr>
      </w:pPr>
      <w:r w:rsidRPr="00E42C8B">
        <w:rPr>
          <w:rFonts w:ascii="Times New Roman" w:hAnsi="Times New Roman" w:cs="Times New Roman"/>
          <w:sz w:val="24"/>
          <w:szCs w:val="24"/>
        </w:rPr>
        <w:t>Mając na uwadze powyższe, zmiany w tym zakresie ustawy o funduszach inwestycyjnych dotyczą:</w:t>
      </w:r>
    </w:p>
    <w:p w14:paraId="5E609CBE" w14:textId="77777777" w:rsidR="00DB03EC" w:rsidRPr="00E42C8B" w:rsidRDefault="00DB03EC" w:rsidP="00DB03EC">
      <w:pPr>
        <w:spacing w:line="360" w:lineRule="auto"/>
        <w:jc w:val="both"/>
        <w:rPr>
          <w:rFonts w:ascii="Times New Roman" w:hAnsi="Times New Roman" w:cs="Times New Roman"/>
          <w:sz w:val="24"/>
          <w:szCs w:val="24"/>
        </w:rPr>
      </w:pPr>
      <w:r w:rsidRPr="00E42C8B">
        <w:rPr>
          <w:rFonts w:ascii="Times New Roman" w:hAnsi="Times New Roman" w:cs="Times New Roman"/>
          <w:sz w:val="24"/>
          <w:szCs w:val="24"/>
        </w:rPr>
        <w:t>1)</w:t>
      </w:r>
      <w:r w:rsidRPr="00E42C8B">
        <w:rPr>
          <w:rFonts w:ascii="Times New Roman" w:hAnsi="Times New Roman" w:cs="Times New Roman"/>
          <w:sz w:val="24"/>
          <w:szCs w:val="24"/>
        </w:rPr>
        <w:tab/>
        <w:t>wskazania wprost w definicji publicznego funduszu inwestycyjnego zamkniętego, że jest nim również ww. fundusz portfelowy (art. 2 pkt 39);</w:t>
      </w:r>
    </w:p>
    <w:p w14:paraId="3B6A0A1A" w14:textId="00487969" w:rsidR="00DB03EC" w:rsidRPr="00E42C8B" w:rsidRDefault="00DB03EC" w:rsidP="00DB03EC">
      <w:pPr>
        <w:spacing w:line="360" w:lineRule="auto"/>
        <w:jc w:val="both"/>
        <w:rPr>
          <w:rFonts w:ascii="Times New Roman" w:hAnsi="Times New Roman" w:cs="Times New Roman"/>
          <w:sz w:val="24"/>
          <w:szCs w:val="24"/>
        </w:rPr>
      </w:pPr>
      <w:r w:rsidRPr="00E42C8B">
        <w:rPr>
          <w:rFonts w:ascii="Times New Roman" w:hAnsi="Times New Roman" w:cs="Times New Roman"/>
          <w:sz w:val="24"/>
          <w:szCs w:val="24"/>
        </w:rPr>
        <w:t>2)</w:t>
      </w:r>
      <w:r w:rsidRPr="00E42C8B">
        <w:rPr>
          <w:rFonts w:ascii="Times New Roman" w:hAnsi="Times New Roman" w:cs="Times New Roman"/>
          <w:sz w:val="24"/>
          <w:szCs w:val="24"/>
        </w:rPr>
        <w:tab/>
        <w:t xml:space="preserve">wskazania, że w przypadku funduszu portfelowego do wniosku o zezwolenie na utworzenie takiego funduszu załącza się prospekt informacyjny (art. 22 ust. 1 pkt 9a), a w konsekwencji </w:t>
      </w:r>
      <w:r w:rsidR="00217AE1" w:rsidRPr="00E42C8B">
        <w:rPr>
          <w:rFonts w:ascii="Times New Roman" w:hAnsi="Times New Roman" w:cs="Times New Roman"/>
          <w:sz w:val="24"/>
          <w:szCs w:val="24"/>
        </w:rPr>
        <w:t>doprecyzowani</w:t>
      </w:r>
      <w:r w:rsidR="00217AE1">
        <w:rPr>
          <w:rFonts w:ascii="Times New Roman" w:hAnsi="Times New Roman" w:cs="Times New Roman"/>
          <w:sz w:val="24"/>
          <w:szCs w:val="24"/>
        </w:rPr>
        <w:t>a</w:t>
      </w:r>
      <w:r w:rsidRPr="00E42C8B">
        <w:rPr>
          <w:rFonts w:ascii="Times New Roman" w:hAnsi="Times New Roman" w:cs="Times New Roman"/>
          <w:sz w:val="24"/>
          <w:szCs w:val="24"/>
        </w:rPr>
        <w:t>, że prospekt taki załącza się również do wniosku o utworzenie funduszu inwestycyjnego otwartego oraz specjalistycznego funduszu inwestycyjnego otwartego (art. 22 ust. 1 pkt 10);</w:t>
      </w:r>
    </w:p>
    <w:p w14:paraId="6E12628E" w14:textId="77777777" w:rsidR="00DB03EC" w:rsidRPr="00E42C8B" w:rsidRDefault="00DB03EC" w:rsidP="00DB03EC">
      <w:pPr>
        <w:spacing w:line="360" w:lineRule="auto"/>
        <w:jc w:val="both"/>
        <w:rPr>
          <w:rFonts w:ascii="Times New Roman" w:hAnsi="Times New Roman" w:cs="Times New Roman"/>
          <w:sz w:val="24"/>
          <w:szCs w:val="24"/>
        </w:rPr>
      </w:pPr>
      <w:r w:rsidRPr="00E42C8B">
        <w:rPr>
          <w:rFonts w:ascii="Times New Roman" w:hAnsi="Times New Roman" w:cs="Times New Roman"/>
          <w:sz w:val="24"/>
          <w:szCs w:val="24"/>
        </w:rPr>
        <w:t>3)</w:t>
      </w:r>
      <w:r w:rsidRPr="00E42C8B">
        <w:rPr>
          <w:rFonts w:ascii="Times New Roman" w:hAnsi="Times New Roman" w:cs="Times New Roman"/>
          <w:sz w:val="24"/>
          <w:szCs w:val="24"/>
        </w:rPr>
        <w:tab/>
        <w:t>dookreślenia, że w przypadku funduszu portfelowego, fundusz ten wydaje certyfikaty inwestycyjne za warunkach i w sposób, które zostały określone również w prospekcie informacyjnym (art. 29 ust. 10);</w:t>
      </w:r>
    </w:p>
    <w:p w14:paraId="525BDCFE" w14:textId="2D93C06C" w:rsidR="00DB03EC" w:rsidRPr="00E42C8B" w:rsidRDefault="00DB03EC" w:rsidP="00DB03EC">
      <w:pPr>
        <w:spacing w:line="360" w:lineRule="auto"/>
        <w:jc w:val="both"/>
        <w:rPr>
          <w:rFonts w:ascii="Times New Roman" w:hAnsi="Times New Roman" w:cs="Times New Roman"/>
          <w:sz w:val="24"/>
          <w:szCs w:val="24"/>
        </w:rPr>
      </w:pPr>
      <w:r w:rsidRPr="00E42C8B">
        <w:rPr>
          <w:rFonts w:ascii="Times New Roman" w:hAnsi="Times New Roman" w:cs="Times New Roman"/>
          <w:sz w:val="24"/>
          <w:szCs w:val="24"/>
        </w:rPr>
        <w:lastRenderedPageBreak/>
        <w:t>4)</w:t>
      </w:r>
      <w:r w:rsidRPr="00E42C8B">
        <w:rPr>
          <w:rFonts w:ascii="Times New Roman" w:hAnsi="Times New Roman" w:cs="Times New Roman"/>
          <w:sz w:val="24"/>
          <w:szCs w:val="24"/>
        </w:rPr>
        <w:tab/>
        <w:t>uzupełnienia, mając na uwadze, że fundusz portfelowy sporządza prospekt informacyjny, przepis</w:t>
      </w:r>
      <w:r w:rsidR="00217AE1">
        <w:rPr>
          <w:rFonts w:ascii="Times New Roman" w:hAnsi="Times New Roman" w:cs="Times New Roman"/>
          <w:sz w:val="24"/>
          <w:szCs w:val="24"/>
        </w:rPr>
        <w:t>u</w:t>
      </w:r>
      <w:r w:rsidRPr="00E42C8B">
        <w:rPr>
          <w:rFonts w:ascii="Times New Roman" w:hAnsi="Times New Roman" w:cs="Times New Roman"/>
          <w:sz w:val="24"/>
          <w:szCs w:val="24"/>
        </w:rPr>
        <w:t xml:space="preserve"> </w:t>
      </w:r>
      <w:r w:rsidR="00217AE1" w:rsidRPr="00E42C8B">
        <w:rPr>
          <w:rFonts w:ascii="Times New Roman" w:hAnsi="Times New Roman" w:cs="Times New Roman"/>
          <w:sz w:val="24"/>
          <w:szCs w:val="24"/>
        </w:rPr>
        <w:t>określając</w:t>
      </w:r>
      <w:r w:rsidR="00217AE1">
        <w:rPr>
          <w:rFonts w:ascii="Times New Roman" w:hAnsi="Times New Roman" w:cs="Times New Roman"/>
          <w:sz w:val="24"/>
          <w:szCs w:val="24"/>
        </w:rPr>
        <w:t>ego</w:t>
      </w:r>
      <w:r w:rsidR="00217AE1" w:rsidRPr="00E42C8B">
        <w:rPr>
          <w:rFonts w:ascii="Times New Roman" w:hAnsi="Times New Roman" w:cs="Times New Roman"/>
          <w:sz w:val="24"/>
          <w:szCs w:val="24"/>
        </w:rPr>
        <w:t xml:space="preserve"> </w:t>
      </w:r>
      <w:r w:rsidRPr="00E42C8B">
        <w:rPr>
          <w:rFonts w:ascii="Times New Roman" w:hAnsi="Times New Roman" w:cs="Times New Roman"/>
          <w:sz w:val="24"/>
          <w:szCs w:val="24"/>
        </w:rPr>
        <w:t xml:space="preserve">warunki i sposób wydawania certyfikatów inwestycyjnych takiego funduszu o </w:t>
      </w:r>
      <w:r w:rsidR="00217AE1">
        <w:rPr>
          <w:rFonts w:ascii="Times New Roman" w:hAnsi="Times New Roman" w:cs="Times New Roman"/>
          <w:sz w:val="24"/>
          <w:szCs w:val="24"/>
        </w:rPr>
        <w:t xml:space="preserve">wskazanie </w:t>
      </w:r>
      <w:r w:rsidRPr="00E42C8B">
        <w:rPr>
          <w:rFonts w:ascii="Times New Roman" w:hAnsi="Times New Roman" w:cs="Times New Roman"/>
          <w:sz w:val="24"/>
          <w:szCs w:val="24"/>
        </w:rPr>
        <w:t>prospekt</w:t>
      </w:r>
      <w:r w:rsidR="00217AE1">
        <w:rPr>
          <w:rFonts w:ascii="Times New Roman" w:hAnsi="Times New Roman" w:cs="Times New Roman"/>
          <w:sz w:val="24"/>
          <w:szCs w:val="24"/>
        </w:rPr>
        <w:t>u</w:t>
      </w:r>
      <w:r w:rsidRPr="00E42C8B">
        <w:rPr>
          <w:rFonts w:ascii="Times New Roman" w:hAnsi="Times New Roman" w:cs="Times New Roman"/>
          <w:sz w:val="24"/>
          <w:szCs w:val="24"/>
        </w:rPr>
        <w:t xml:space="preserve"> </w:t>
      </w:r>
      <w:r w:rsidR="00217AE1" w:rsidRPr="00E42C8B">
        <w:rPr>
          <w:rFonts w:ascii="Times New Roman" w:hAnsi="Times New Roman" w:cs="Times New Roman"/>
          <w:sz w:val="24"/>
          <w:szCs w:val="24"/>
        </w:rPr>
        <w:t>informacyjn</w:t>
      </w:r>
      <w:r w:rsidR="00217AE1">
        <w:rPr>
          <w:rFonts w:ascii="Times New Roman" w:hAnsi="Times New Roman" w:cs="Times New Roman"/>
          <w:sz w:val="24"/>
          <w:szCs w:val="24"/>
        </w:rPr>
        <w:t>ego</w:t>
      </w:r>
      <w:r w:rsidRPr="00E42C8B">
        <w:rPr>
          <w:rFonts w:ascii="Times New Roman" w:hAnsi="Times New Roman" w:cs="Times New Roman"/>
          <w:sz w:val="24"/>
          <w:szCs w:val="24"/>
        </w:rPr>
        <w:t>, który poza statutem będzie głównym dokumentem informacyjnym funduszu portfelowego (art. 136 ust. 1);</w:t>
      </w:r>
    </w:p>
    <w:p w14:paraId="2939DC68" w14:textId="19A1393F" w:rsidR="00DB03EC" w:rsidRPr="00E42C8B" w:rsidRDefault="00DB03EC" w:rsidP="00DB03EC">
      <w:pPr>
        <w:spacing w:line="360" w:lineRule="auto"/>
        <w:jc w:val="both"/>
        <w:rPr>
          <w:rFonts w:ascii="Times New Roman" w:hAnsi="Times New Roman" w:cs="Times New Roman"/>
          <w:sz w:val="24"/>
          <w:szCs w:val="24"/>
        </w:rPr>
      </w:pPr>
      <w:r w:rsidRPr="00E42C8B">
        <w:rPr>
          <w:rFonts w:ascii="Times New Roman" w:hAnsi="Times New Roman" w:cs="Times New Roman"/>
          <w:sz w:val="24"/>
          <w:szCs w:val="24"/>
        </w:rPr>
        <w:t>5)</w:t>
      </w:r>
      <w:r w:rsidRPr="00E42C8B">
        <w:rPr>
          <w:rFonts w:ascii="Times New Roman" w:hAnsi="Times New Roman" w:cs="Times New Roman"/>
          <w:sz w:val="24"/>
          <w:szCs w:val="24"/>
        </w:rPr>
        <w:tab/>
        <w:t>ograniczenia możliwości oferowania certyfikatów inwestycyjnych funduszu portfelowego wyłącznie poprzez dopuszczenie do obrotu na rynku regulowanym lub wprowadzenie do alternatywnego systemu obrotu, co wykluczy możliwość ich oferowania</w:t>
      </w:r>
      <w:r w:rsidR="00557CC4">
        <w:rPr>
          <w:rFonts w:ascii="Times New Roman" w:hAnsi="Times New Roman" w:cs="Times New Roman"/>
          <w:sz w:val="24"/>
          <w:szCs w:val="24"/>
        </w:rPr>
        <w:t xml:space="preserve"> poza</w:t>
      </w:r>
      <w:r w:rsidRPr="00E42C8B">
        <w:rPr>
          <w:rFonts w:ascii="Times New Roman" w:hAnsi="Times New Roman" w:cs="Times New Roman"/>
          <w:sz w:val="24"/>
          <w:szCs w:val="24"/>
        </w:rPr>
        <w:t xml:space="preserve"> rynkami zorganizowanymi (art. 179 ust. 1);</w:t>
      </w:r>
    </w:p>
    <w:p w14:paraId="2BC95D58" w14:textId="77777777" w:rsidR="00DB03EC" w:rsidRPr="00E42C8B" w:rsidRDefault="00DB03EC" w:rsidP="00DB03EC">
      <w:pPr>
        <w:spacing w:line="360" w:lineRule="auto"/>
        <w:jc w:val="both"/>
        <w:rPr>
          <w:rFonts w:ascii="Times New Roman" w:hAnsi="Times New Roman" w:cs="Times New Roman"/>
          <w:sz w:val="24"/>
          <w:szCs w:val="24"/>
        </w:rPr>
      </w:pPr>
      <w:r w:rsidRPr="00E42C8B">
        <w:rPr>
          <w:rFonts w:ascii="Times New Roman" w:hAnsi="Times New Roman" w:cs="Times New Roman"/>
          <w:sz w:val="24"/>
          <w:szCs w:val="24"/>
        </w:rPr>
        <w:t>6)</w:t>
      </w:r>
      <w:r w:rsidRPr="00E42C8B">
        <w:rPr>
          <w:rFonts w:ascii="Times New Roman" w:hAnsi="Times New Roman" w:cs="Times New Roman"/>
          <w:sz w:val="24"/>
          <w:szCs w:val="24"/>
        </w:rPr>
        <w:tab/>
        <w:t>wskazania wprost, że fundusz portfelowy jest przedsiębiorstwem zbiorowego inwestowania innym niż typu zamkniętego w rozumieniu art. 2 lit. p rozporządzenia 2017/1129, gdyż dokonuje on w sposób ciągły emisji certyfikatów inwestycyjnych oraz będzie wykupywał certyfikaty inwestycyjne na żądanie uczestnika funduszu, co z kolei sprawia, że pomimo przyjętej nazwy będzie miał charakter otwarty (art. 179 ust. 1a i 1b);</w:t>
      </w:r>
    </w:p>
    <w:p w14:paraId="670ED175" w14:textId="77777777" w:rsidR="00DB03EC" w:rsidRPr="00E42C8B" w:rsidRDefault="00DB03EC" w:rsidP="00DB03EC">
      <w:pPr>
        <w:spacing w:line="360" w:lineRule="auto"/>
        <w:jc w:val="both"/>
        <w:rPr>
          <w:rFonts w:ascii="Times New Roman" w:hAnsi="Times New Roman" w:cs="Times New Roman"/>
          <w:sz w:val="24"/>
          <w:szCs w:val="24"/>
        </w:rPr>
      </w:pPr>
      <w:r w:rsidRPr="00E42C8B">
        <w:rPr>
          <w:rFonts w:ascii="Times New Roman" w:hAnsi="Times New Roman" w:cs="Times New Roman"/>
          <w:sz w:val="24"/>
          <w:szCs w:val="24"/>
        </w:rPr>
        <w:t>7)</w:t>
      </w:r>
      <w:r w:rsidRPr="00E42C8B">
        <w:rPr>
          <w:rFonts w:ascii="Times New Roman" w:hAnsi="Times New Roman" w:cs="Times New Roman"/>
          <w:sz w:val="24"/>
          <w:szCs w:val="24"/>
        </w:rPr>
        <w:tab/>
        <w:t>umożliwienia wprowadzenia do obrotu certyfikatów inwestycyjnych funduszu portfelowego do obrotu w alternatywnym systemie obrotu w przypadku odmowy ich dopuszczenia do obrotu na rynku regulowanym, co wynika z hierarchii tych systemów obrotu oraz usprawnia proces wprowadzania do obrotu tych papierów wartościowych (art. 179 ust. 6);</w:t>
      </w:r>
    </w:p>
    <w:p w14:paraId="42A832B0" w14:textId="56B5B7B9" w:rsidR="00622D1C" w:rsidRDefault="009B5F12" w:rsidP="00DB03EC">
      <w:pPr>
        <w:spacing w:line="360" w:lineRule="auto"/>
        <w:jc w:val="both"/>
        <w:rPr>
          <w:rFonts w:ascii="Times New Roman" w:hAnsi="Times New Roman" w:cs="Times New Roman"/>
          <w:sz w:val="24"/>
          <w:szCs w:val="24"/>
        </w:rPr>
      </w:pPr>
      <w:r>
        <w:rPr>
          <w:rFonts w:ascii="Times New Roman" w:hAnsi="Times New Roman" w:cs="Times New Roman"/>
          <w:sz w:val="24"/>
          <w:szCs w:val="24"/>
        </w:rPr>
        <w:t>8)</w:t>
      </w:r>
      <w:r w:rsidR="00DB03EC" w:rsidRPr="00E42C8B">
        <w:rPr>
          <w:rFonts w:ascii="Times New Roman" w:hAnsi="Times New Roman" w:cs="Times New Roman"/>
          <w:sz w:val="24"/>
          <w:szCs w:val="24"/>
        </w:rPr>
        <w:tab/>
        <w:t>przesądzenia, że fundusz portfelowy sporządza prospekt informacyjny (art. 179</w:t>
      </w:r>
      <w:r w:rsidR="006777C9">
        <w:rPr>
          <w:rFonts w:ascii="Times New Roman" w:hAnsi="Times New Roman" w:cs="Times New Roman"/>
          <w:sz w:val="24"/>
          <w:szCs w:val="24"/>
        </w:rPr>
        <w:t>a</w:t>
      </w:r>
      <w:r w:rsidR="00DB03EC" w:rsidRPr="00E42C8B">
        <w:rPr>
          <w:rFonts w:ascii="Times New Roman" w:hAnsi="Times New Roman" w:cs="Times New Roman"/>
          <w:sz w:val="24"/>
          <w:szCs w:val="24"/>
        </w:rPr>
        <w:t>) oraz udostępnia go przy proponowaniu objęc</w:t>
      </w:r>
      <w:r w:rsidR="006777C9">
        <w:rPr>
          <w:rFonts w:ascii="Times New Roman" w:hAnsi="Times New Roman" w:cs="Times New Roman"/>
          <w:sz w:val="24"/>
          <w:szCs w:val="24"/>
        </w:rPr>
        <w:t>ia certyfikatów inwestycyjnych</w:t>
      </w:r>
      <w:r w:rsidR="00C358FF">
        <w:rPr>
          <w:rFonts w:ascii="Times New Roman" w:hAnsi="Times New Roman" w:cs="Times New Roman"/>
          <w:sz w:val="24"/>
          <w:szCs w:val="24"/>
        </w:rPr>
        <w:t>.</w:t>
      </w:r>
    </w:p>
    <w:p w14:paraId="4498725F" w14:textId="2A63C8D2" w:rsidR="00DB03EC" w:rsidRPr="00E42C8B" w:rsidRDefault="00DB03EC" w:rsidP="00DB03EC">
      <w:pPr>
        <w:spacing w:line="360" w:lineRule="auto"/>
        <w:jc w:val="both"/>
        <w:rPr>
          <w:rFonts w:ascii="Times New Roman" w:hAnsi="Times New Roman" w:cs="Times New Roman"/>
          <w:sz w:val="24"/>
          <w:szCs w:val="24"/>
        </w:rPr>
      </w:pPr>
      <w:r w:rsidRPr="00E42C8B">
        <w:rPr>
          <w:rFonts w:ascii="Times New Roman" w:hAnsi="Times New Roman" w:cs="Times New Roman"/>
          <w:sz w:val="24"/>
          <w:szCs w:val="24"/>
        </w:rPr>
        <w:lastRenderedPageBreak/>
        <w:t>Ponadto wprowadzono zmiany wynikowe polegające na uchyleniu w art. 179 ust. 4 oraz zmianie odesłań w art. 179 ust. 3. Przyjęto, że podobnie jak ma to miejsce w przypadku funduszy inwestycyjnych otwartych oraz specjalistycznych funduszy inwestycyjnych otwartych szczegółowe warunki, jakim powinien odpowiadać prospekt informacyjny funduszu portfelowego, oraz zasady i terminy dokonywania zmian prospektu zostaną określone w drodze rozporządzenia przez ministra właściwego do spraw instytucji finansowych.</w:t>
      </w:r>
      <w:r w:rsidR="00622D1C">
        <w:rPr>
          <w:rFonts w:ascii="Times New Roman" w:hAnsi="Times New Roman" w:cs="Times New Roman"/>
          <w:sz w:val="24"/>
          <w:szCs w:val="24"/>
        </w:rPr>
        <w:t xml:space="preserve"> Zmiany wynikowe obejmują także art. 2</w:t>
      </w:r>
      <w:r w:rsidR="009853C0">
        <w:rPr>
          <w:rFonts w:ascii="Times New Roman" w:hAnsi="Times New Roman" w:cs="Times New Roman"/>
          <w:sz w:val="24"/>
          <w:szCs w:val="24"/>
        </w:rPr>
        <w:t>19 dostosowujący redakcyjnie ust. 3 i ust. 5 oraz nakładający w ust. 5a obowiązek prospektowy.</w:t>
      </w:r>
      <w:r w:rsidR="00622D1C">
        <w:rPr>
          <w:rFonts w:ascii="Times New Roman" w:hAnsi="Times New Roman" w:cs="Times New Roman"/>
          <w:sz w:val="24"/>
          <w:szCs w:val="24"/>
        </w:rPr>
        <w:t xml:space="preserve"> </w:t>
      </w:r>
    </w:p>
    <w:p w14:paraId="22B022C5" w14:textId="77777777" w:rsidR="00557CC4" w:rsidRDefault="00DB03EC" w:rsidP="00DB03EC">
      <w:pPr>
        <w:shd w:val="clear" w:color="auto" w:fill="FFFFFF" w:themeFill="background1"/>
        <w:spacing w:line="360" w:lineRule="auto"/>
        <w:jc w:val="both"/>
        <w:rPr>
          <w:rFonts w:ascii="Times New Roman" w:hAnsi="Times New Roman" w:cs="Times New Roman"/>
          <w:bCs/>
          <w:sz w:val="24"/>
          <w:szCs w:val="24"/>
        </w:rPr>
      </w:pPr>
      <w:r>
        <w:rPr>
          <w:rFonts w:ascii="Times New Roman" w:hAnsi="Times New Roman" w:cs="Times New Roman"/>
          <w:bCs/>
          <w:sz w:val="24"/>
          <w:szCs w:val="24"/>
        </w:rPr>
        <w:t>9</w:t>
      </w:r>
      <w:r w:rsidRPr="006B2CD4">
        <w:rPr>
          <w:rFonts w:ascii="Times New Roman" w:hAnsi="Times New Roman" w:cs="Times New Roman"/>
          <w:bCs/>
          <w:sz w:val="24"/>
          <w:szCs w:val="24"/>
        </w:rPr>
        <w:t>)</w:t>
      </w:r>
      <w:r w:rsidRPr="006B2CD4">
        <w:rPr>
          <w:rFonts w:ascii="Times New Roman" w:hAnsi="Times New Roman" w:cs="Times New Roman"/>
          <w:bCs/>
          <w:sz w:val="24"/>
          <w:szCs w:val="24"/>
        </w:rPr>
        <w:tab/>
        <w:t>digitalizacja obowiązków informacyjnych (dodanie art. 73a</w:t>
      </w:r>
      <w:r>
        <w:rPr>
          <w:rFonts w:ascii="Times New Roman" w:hAnsi="Times New Roman" w:cs="Times New Roman"/>
          <w:bCs/>
          <w:sz w:val="24"/>
          <w:szCs w:val="24"/>
        </w:rPr>
        <w:t>)</w:t>
      </w:r>
      <w:r w:rsidR="00E31591">
        <w:rPr>
          <w:rFonts w:ascii="Times New Roman" w:hAnsi="Times New Roman" w:cs="Times New Roman"/>
          <w:bCs/>
          <w:sz w:val="24"/>
          <w:szCs w:val="24"/>
        </w:rPr>
        <w:t>;</w:t>
      </w:r>
      <w:r w:rsidR="00557CC4">
        <w:rPr>
          <w:rFonts w:ascii="Times New Roman" w:hAnsi="Times New Roman" w:cs="Times New Roman"/>
          <w:bCs/>
          <w:sz w:val="24"/>
          <w:szCs w:val="24"/>
        </w:rPr>
        <w:t xml:space="preserve"> </w:t>
      </w:r>
    </w:p>
    <w:p w14:paraId="6C508E0D" w14:textId="708D5FDA" w:rsidR="00DB03EC" w:rsidRDefault="00DB03EC" w:rsidP="00DB03EC">
      <w:pPr>
        <w:shd w:val="clear" w:color="auto" w:fill="FFFFFF" w:themeFill="background1"/>
        <w:spacing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Dodanie do ustawy o funduszach inwestycyjnych art. 73a służy umożliwieniu pozyskiwania informacji o banku depozytariuszu bezpośrednio od tego podmiotu, zamiast tak jak dotychczas od towarzystwa. Depozytariusz, jako podmio</w:t>
      </w:r>
      <w:r w:rsidR="00557CC4">
        <w:rPr>
          <w:rFonts w:ascii="Times New Roman" w:hAnsi="Times New Roman" w:cs="Times New Roman"/>
          <w:bCs/>
          <w:sz w:val="24"/>
          <w:szCs w:val="24"/>
        </w:rPr>
        <w:t>t działający</w:t>
      </w:r>
      <w:r w:rsidRPr="006B2CD4">
        <w:rPr>
          <w:rFonts w:ascii="Times New Roman" w:hAnsi="Times New Roman" w:cs="Times New Roman"/>
          <w:bCs/>
          <w:sz w:val="24"/>
          <w:szCs w:val="24"/>
        </w:rPr>
        <w:t xml:space="preserve"> w interesie uczestników funduszy, według zasad określonych w ustawie </w:t>
      </w:r>
      <w:r w:rsidR="00557CC4">
        <w:rPr>
          <w:rFonts w:ascii="Times New Roman" w:hAnsi="Times New Roman" w:cs="Times New Roman"/>
          <w:bCs/>
          <w:sz w:val="24"/>
          <w:szCs w:val="24"/>
        </w:rPr>
        <w:t>o funduszach inwestycyjnych, ma</w:t>
      </w:r>
      <w:r w:rsidRPr="006B2CD4">
        <w:rPr>
          <w:rFonts w:ascii="Times New Roman" w:hAnsi="Times New Roman" w:cs="Times New Roman"/>
          <w:bCs/>
          <w:sz w:val="24"/>
          <w:szCs w:val="24"/>
        </w:rPr>
        <w:t xml:space="preserve"> za zadanie m.in. weryfikację prawidłowości funkcjonowania funduszu inwestycyjnego. Z tego też powodu uznano, że podm</w:t>
      </w:r>
      <w:r w:rsidR="00557CC4">
        <w:rPr>
          <w:rFonts w:ascii="Times New Roman" w:hAnsi="Times New Roman" w:cs="Times New Roman"/>
          <w:bCs/>
          <w:sz w:val="24"/>
          <w:szCs w:val="24"/>
        </w:rPr>
        <w:t>iot</w:t>
      </w:r>
      <w:r w:rsidRPr="006B2CD4">
        <w:rPr>
          <w:rFonts w:ascii="Times New Roman" w:hAnsi="Times New Roman" w:cs="Times New Roman"/>
          <w:bCs/>
          <w:sz w:val="24"/>
          <w:szCs w:val="24"/>
        </w:rPr>
        <w:t xml:space="preserve">, o którym mowa w art. 71 ust. 2 pkt 1 ustawy o funduszach inwestycyjnych powinien być adresatem tego obowiązku. Umożliwi to bowiem zapewnienie prawidłowego wypełniania obowiązków </w:t>
      </w:r>
      <w:r w:rsidR="00D462FD">
        <w:rPr>
          <w:rFonts w:ascii="Times New Roman" w:hAnsi="Times New Roman" w:cs="Times New Roman"/>
          <w:bCs/>
          <w:sz w:val="24"/>
          <w:szCs w:val="24"/>
        </w:rPr>
        <w:t>przez te podm</w:t>
      </w:r>
      <w:r w:rsidRPr="006B2CD4">
        <w:rPr>
          <w:rFonts w:ascii="Times New Roman" w:hAnsi="Times New Roman" w:cs="Times New Roman"/>
          <w:bCs/>
          <w:sz w:val="24"/>
          <w:szCs w:val="24"/>
        </w:rPr>
        <w:t>i</w:t>
      </w:r>
      <w:r w:rsidR="00D462FD">
        <w:rPr>
          <w:rFonts w:ascii="Times New Roman" w:hAnsi="Times New Roman" w:cs="Times New Roman"/>
          <w:bCs/>
          <w:sz w:val="24"/>
          <w:szCs w:val="24"/>
        </w:rPr>
        <w:t>oty</w:t>
      </w:r>
      <w:r w:rsidRPr="006B2CD4">
        <w:rPr>
          <w:rFonts w:ascii="Times New Roman" w:hAnsi="Times New Roman" w:cs="Times New Roman"/>
          <w:bCs/>
          <w:sz w:val="24"/>
          <w:szCs w:val="24"/>
        </w:rPr>
        <w:t xml:space="preserve"> oraz wzmocni ochronę przed wystąp</w:t>
      </w:r>
      <w:r w:rsidR="00D462FD">
        <w:rPr>
          <w:rFonts w:ascii="Times New Roman" w:hAnsi="Times New Roman" w:cs="Times New Roman"/>
          <w:bCs/>
          <w:sz w:val="24"/>
          <w:szCs w:val="24"/>
        </w:rPr>
        <w:t>ieniem konfliktu interesów</w:t>
      </w:r>
      <w:r w:rsidRPr="006B2CD4">
        <w:rPr>
          <w:rFonts w:ascii="Times New Roman" w:hAnsi="Times New Roman" w:cs="Times New Roman"/>
          <w:bCs/>
          <w:sz w:val="24"/>
          <w:szCs w:val="24"/>
        </w:rPr>
        <w:t xml:space="preserve">. </w:t>
      </w:r>
    </w:p>
    <w:p w14:paraId="69666E53" w14:textId="6D20D753" w:rsidR="00DB03EC" w:rsidRDefault="009B5F12" w:rsidP="00DB03EC">
      <w:pPr>
        <w:shd w:val="clear" w:color="auto" w:fill="FFFFFF" w:themeFill="background1"/>
        <w:spacing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10)</w:t>
      </w:r>
      <w:r>
        <w:rPr>
          <w:rFonts w:ascii="Times New Roman" w:hAnsi="Times New Roman" w:cs="Times New Roman"/>
          <w:bCs/>
          <w:sz w:val="24"/>
          <w:szCs w:val="24"/>
        </w:rPr>
        <w:tab/>
      </w:r>
      <w:r w:rsidR="00DB03EC">
        <w:rPr>
          <w:rFonts w:ascii="Times New Roman" w:hAnsi="Times New Roman" w:cs="Times New Roman"/>
          <w:bCs/>
          <w:sz w:val="24"/>
          <w:szCs w:val="24"/>
        </w:rPr>
        <w:t xml:space="preserve">Identyfikacja, przekazywanie informacji i ułatwianie wykonywania praw uczestników funduszy inwestycyjnych zamkniętych </w:t>
      </w:r>
      <w:r w:rsidR="00D462FD">
        <w:rPr>
          <w:rFonts w:ascii="Times New Roman" w:hAnsi="Times New Roman" w:cs="Times New Roman"/>
          <w:bCs/>
          <w:sz w:val="24"/>
          <w:szCs w:val="24"/>
        </w:rPr>
        <w:t>(</w:t>
      </w:r>
      <w:r>
        <w:rPr>
          <w:rFonts w:ascii="Times New Roman" w:hAnsi="Times New Roman" w:cs="Times New Roman"/>
          <w:bCs/>
          <w:sz w:val="24"/>
          <w:szCs w:val="24"/>
        </w:rPr>
        <w:t>art. 2 pkt 13c, art. 123a–</w:t>
      </w:r>
      <w:r w:rsidR="00DB03EC">
        <w:rPr>
          <w:rFonts w:ascii="Times New Roman" w:hAnsi="Times New Roman" w:cs="Times New Roman"/>
          <w:bCs/>
          <w:sz w:val="24"/>
          <w:szCs w:val="24"/>
        </w:rPr>
        <w:t>123e)</w:t>
      </w:r>
    </w:p>
    <w:p w14:paraId="19A34BAF" w14:textId="06A071BC" w:rsidR="00DB03EC" w:rsidRPr="001B4B90" w:rsidRDefault="00DB03EC" w:rsidP="00DB03EC">
      <w:pPr>
        <w:shd w:val="clear" w:color="auto" w:fill="FFFFFF" w:themeFill="background1"/>
        <w:spacing w:line="360" w:lineRule="auto"/>
        <w:jc w:val="both"/>
        <w:rPr>
          <w:rFonts w:ascii="Times New Roman" w:hAnsi="Times New Roman" w:cs="Times New Roman"/>
          <w:bCs/>
          <w:sz w:val="24"/>
          <w:szCs w:val="24"/>
        </w:rPr>
      </w:pPr>
      <w:r w:rsidRPr="001B4B90">
        <w:rPr>
          <w:rFonts w:ascii="Times New Roman" w:hAnsi="Times New Roman" w:cs="Times New Roman"/>
          <w:bCs/>
          <w:sz w:val="24"/>
          <w:szCs w:val="24"/>
        </w:rPr>
        <w:t>Przepis art. 2 pkt 13c dodaje definicję pośrednika, w związku z posługiwaniem się tym pojęciem w dodawanych przepisach dotyczących identyfikacji, przekazywania informacji i ułatwiania wykonywania praw uczestników funduszy inwestycyjnych zamkniętych. Pośrednikami tymi będą podmioty, które zgodnie z polskim prawem mają prawo prowadzenia rachunków papierów wartościowych. Definicja ta jest wzorowana na przepisie art. 68i ust. 1 ustawy z dnia 29 lipca 2005 r. o obrocie</w:t>
      </w:r>
      <w:r>
        <w:rPr>
          <w:rFonts w:ascii="Times New Roman" w:hAnsi="Times New Roman" w:cs="Times New Roman"/>
          <w:bCs/>
          <w:sz w:val="24"/>
          <w:szCs w:val="24"/>
        </w:rPr>
        <w:t xml:space="preserve">. </w:t>
      </w:r>
      <w:r w:rsidR="009853C0">
        <w:rPr>
          <w:rFonts w:ascii="Times New Roman" w:hAnsi="Times New Roman" w:cs="Times New Roman"/>
          <w:bCs/>
          <w:sz w:val="24"/>
          <w:szCs w:val="24"/>
        </w:rPr>
        <w:t>Dnia</w:t>
      </w:r>
      <w:r w:rsidR="00E31591">
        <w:rPr>
          <w:rFonts w:ascii="Times New Roman" w:hAnsi="Times New Roman" w:cs="Times New Roman"/>
          <w:bCs/>
          <w:sz w:val="24"/>
          <w:szCs w:val="24"/>
        </w:rPr>
        <w:t xml:space="preserve"> </w:t>
      </w:r>
      <w:r w:rsidRPr="001B4B90">
        <w:rPr>
          <w:rFonts w:ascii="Times New Roman" w:hAnsi="Times New Roman" w:cs="Times New Roman"/>
          <w:bCs/>
          <w:sz w:val="24"/>
          <w:szCs w:val="24"/>
        </w:rPr>
        <w:t xml:space="preserve">1 lipca 2019 r. weszły w życie przepisy ustawy z dnia 9 listopada 2018 r. o zmianie niektórych ustaw w związku ze wzmocnieniem nadzoru nad rynkiem finansowym oraz ochrony inwestorów na tym rynku (Dz. U. poz. 2243, z późn. zm.), które wprowadziły obowiązkową dematerializację m.in. certyfikatów inwestycyjnych funduszy inwestycyjnych zamkniętych. Stosowanie tych przepisów w praktyce ujawniło problem, uderzający przede wszystkim w uczestników funduszy, jakim jest pozbawienie towarzystw funduszy inwestycyjnych wiedzy o tym kto w danym momencie jest posiadaczem certyfikatów inwestycyjnych. Towarzystwa funduszy inwestycyjnych, które przed 1 lipca 2019 r. miały możliwość prowadzenia ewidencji uczestników i w każdym momencie posiadały taką wiedzę, w chwili obecnej są jej pozbawione. Ponieważ certyfikaty te zapisane są na rachunkach papierów wartościowych już od momentu ich emisji, a w szczególności w sytuacji obrotu wtórnego, towarzystwa napotykają na </w:t>
      </w:r>
      <w:r w:rsidR="00D462FD">
        <w:rPr>
          <w:rFonts w:ascii="Times New Roman" w:hAnsi="Times New Roman" w:cs="Times New Roman"/>
          <w:bCs/>
          <w:sz w:val="24"/>
          <w:szCs w:val="24"/>
        </w:rPr>
        <w:t>trudności</w:t>
      </w:r>
      <w:r w:rsidRPr="001B4B90">
        <w:rPr>
          <w:rFonts w:ascii="Times New Roman" w:hAnsi="Times New Roman" w:cs="Times New Roman"/>
          <w:bCs/>
          <w:sz w:val="24"/>
          <w:szCs w:val="24"/>
        </w:rPr>
        <w:t xml:space="preserve"> z ustaleniem, kto w danej chwili jest posiadaczem dan</w:t>
      </w:r>
      <w:r>
        <w:rPr>
          <w:rFonts w:ascii="Times New Roman" w:hAnsi="Times New Roman" w:cs="Times New Roman"/>
          <w:bCs/>
          <w:sz w:val="24"/>
          <w:szCs w:val="24"/>
        </w:rPr>
        <w:t xml:space="preserve">ego </w:t>
      </w:r>
      <w:r>
        <w:rPr>
          <w:rFonts w:ascii="Times New Roman" w:hAnsi="Times New Roman" w:cs="Times New Roman"/>
          <w:bCs/>
          <w:sz w:val="24"/>
          <w:szCs w:val="24"/>
        </w:rPr>
        <w:lastRenderedPageBreak/>
        <w:t xml:space="preserve">certyfikatu inwestycyjnego. </w:t>
      </w:r>
      <w:r w:rsidRPr="001B4B90">
        <w:rPr>
          <w:rFonts w:ascii="Times New Roman" w:hAnsi="Times New Roman" w:cs="Times New Roman"/>
          <w:bCs/>
          <w:sz w:val="24"/>
          <w:szCs w:val="24"/>
        </w:rPr>
        <w:t>Okoliczności te powodują dla uczestników funduszy inwestycyjnych zamkniętych następujące problemy:</w:t>
      </w:r>
    </w:p>
    <w:p w14:paraId="289B30C6" w14:textId="00DEEFC0" w:rsidR="00DB03EC" w:rsidRDefault="00DB03EC" w:rsidP="00DB03EC">
      <w:pPr>
        <w:pStyle w:val="Akapitzlist"/>
        <w:numPr>
          <w:ilvl w:val="0"/>
          <w:numId w:val="17"/>
        </w:numPr>
        <w:shd w:val="clear" w:color="auto" w:fill="FFFFFF" w:themeFill="background1"/>
        <w:spacing w:line="360" w:lineRule="auto"/>
        <w:jc w:val="both"/>
        <w:rPr>
          <w:rFonts w:ascii="Times New Roman" w:hAnsi="Times New Roman" w:cs="Times New Roman"/>
          <w:bCs/>
          <w:sz w:val="24"/>
          <w:szCs w:val="24"/>
        </w:rPr>
      </w:pPr>
      <w:r w:rsidRPr="00E42C8B">
        <w:rPr>
          <w:rFonts w:ascii="Times New Roman" w:hAnsi="Times New Roman" w:cs="Times New Roman"/>
          <w:bCs/>
          <w:sz w:val="24"/>
          <w:szCs w:val="24"/>
        </w:rPr>
        <w:t xml:space="preserve">brak możliwości bezpośredniej komunikacji pomiędzy towarzystwem funduszy inwestycyjnych a uczestnikiem, i tym samym sprawnego przekazywania mu informacji o funduszu, takich jak zmiany w statucie, sprawozdania finansowe, wycena, stopy zwrotu, komentarze dotyczące </w:t>
      </w:r>
      <w:r w:rsidR="00D462FD">
        <w:rPr>
          <w:rFonts w:ascii="Times New Roman" w:hAnsi="Times New Roman" w:cs="Times New Roman"/>
          <w:bCs/>
          <w:sz w:val="24"/>
          <w:szCs w:val="24"/>
        </w:rPr>
        <w:t>stóp zwrotu i sytuacji funduszu,</w:t>
      </w:r>
    </w:p>
    <w:p w14:paraId="64AAD83F" w14:textId="37991EBF" w:rsidR="00DB03EC" w:rsidRDefault="00DB03EC" w:rsidP="00DB03EC">
      <w:pPr>
        <w:pStyle w:val="Akapitzlist"/>
        <w:numPr>
          <w:ilvl w:val="0"/>
          <w:numId w:val="17"/>
        </w:numPr>
        <w:shd w:val="clear" w:color="auto" w:fill="FFFFFF" w:themeFill="background1"/>
        <w:spacing w:line="360" w:lineRule="auto"/>
        <w:jc w:val="both"/>
        <w:rPr>
          <w:rFonts w:ascii="Times New Roman" w:hAnsi="Times New Roman" w:cs="Times New Roman"/>
          <w:bCs/>
          <w:sz w:val="24"/>
          <w:szCs w:val="24"/>
        </w:rPr>
      </w:pPr>
      <w:r w:rsidRPr="00E42C8B">
        <w:rPr>
          <w:rFonts w:ascii="Times New Roman" w:hAnsi="Times New Roman" w:cs="Times New Roman"/>
          <w:bCs/>
          <w:sz w:val="24"/>
          <w:szCs w:val="24"/>
        </w:rPr>
        <w:t>jeżeli uczestnik chce pozostawać w bieżącym kontakcie z towarzystwem zmuszony jest w odrębny spos</w:t>
      </w:r>
      <w:r w:rsidR="00D462FD">
        <w:rPr>
          <w:rFonts w:ascii="Times New Roman" w:hAnsi="Times New Roman" w:cs="Times New Roman"/>
          <w:bCs/>
          <w:sz w:val="24"/>
          <w:szCs w:val="24"/>
        </w:rPr>
        <w:t>ób wykazywać swoje uczestnictwo,</w:t>
      </w:r>
    </w:p>
    <w:p w14:paraId="0936CB32" w14:textId="316316EA" w:rsidR="00DB03EC" w:rsidRDefault="00DB03EC" w:rsidP="00DB03EC">
      <w:pPr>
        <w:pStyle w:val="Akapitzlist"/>
        <w:numPr>
          <w:ilvl w:val="0"/>
          <w:numId w:val="17"/>
        </w:numPr>
        <w:shd w:val="clear" w:color="auto" w:fill="FFFFFF" w:themeFill="background1"/>
        <w:spacing w:line="360" w:lineRule="auto"/>
        <w:jc w:val="both"/>
        <w:rPr>
          <w:rFonts w:ascii="Times New Roman" w:hAnsi="Times New Roman" w:cs="Times New Roman"/>
          <w:bCs/>
          <w:sz w:val="24"/>
          <w:szCs w:val="24"/>
        </w:rPr>
      </w:pPr>
      <w:r w:rsidRPr="00E42C8B">
        <w:rPr>
          <w:rFonts w:ascii="Times New Roman" w:hAnsi="Times New Roman" w:cs="Times New Roman"/>
          <w:bCs/>
          <w:sz w:val="24"/>
          <w:szCs w:val="24"/>
        </w:rPr>
        <w:t>brak elastyczności w obszarze wykupów z uwagi na to, że towarzystwa zmuszone „poszukiwać” uczestników zawarły w statutach funduszy obowiązek notyfikacji przez uczestnika zamiaru dokonania wykupu certyfikatów inwestycyjnych poprzez złożenie pisemnego wniosku wskazującego dzień wykupu, liczbę oraz serie lub numery ISIN cert</w:t>
      </w:r>
      <w:r w:rsidR="00D462FD">
        <w:rPr>
          <w:rFonts w:ascii="Times New Roman" w:hAnsi="Times New Roman" w:cs="Times New Roman"/>
          <w:bCs/>
          <w:sz w:val="24"/>
          <w:szCs w:val="24"/>
        </w:rPr>
        <w:t>yfikatów podlegających wykupowi,</w:t>
      </w:r>
    </w:p>
    <w:p w14:paraId="161DFCA2" w14:textId="586030C8" w:rsidR="00DB03EC" w:rsidRPr="00E42C8B" w:rsidRDefault="00DB03EC" w:rsidP="00DB03EC">
      <w:pPr>
        <w:pStyle w:val="Akapitzlist"/>
        <w:numPr>
          <w:ilvl w:val="0"/>
          <w:numId w:val="17"/>
        </w:numPr>
        <w:shd w:val="clear" w:color="auto" w:fill="FFFFFF" w:themeFill="background1"/>
        <w:spacing w:line="360" w:lineRule="auto"/>
        <w:jc w:val="both"/>
        <w:rPr>
          <w:rFonts w:ascii="Times New Roman" w:hAnsi="Times New Roman" w:cs="Times New Roman"/>
          <w:bCs/>
          <w:sz w:val="24"/>
          <w:szCs w:val="24"/>
        </w:rPr>
      </w:pPr>
      <w:r w:rsidRPr="00E42C8B">
        <w:rPr>
          <w:rFonts w:ascii="Times New Roman" w:hAnsi="Times New Roman" w:cs="Times New Roman"/>
          <w:bCs/>
          <w:sz w:val="24"/>
          <w:szCs w:val="24"/>
        </w:rPr>
        <w:t>skomplikowanie procedury wykupów</w:t>
      </w:r>
      <w:r w:rsidR="00217AE1">
        <w:rPr>
          <w:rFonts w:ascii="Times New Roman" w:hAnsi="Times New Roman" w:cs="Times New Roman"/>
          <w:bCs/>
          <w:sz w:val="24"/>
          <w:szCs w:val="24"/>
        </w:rPr>
        <w:t>,</w:t>
      </w:r>
      <w:r w:rsidRPr="00E42C8B">
        <w:rPr>
          <w:rFonts w:ascii="Times New Roman" w:hAnsi="Times New Roman" w:cs="Times New Roman"/>
          <w:bCs/>
          <w:sz w:val="24"/>
          <w:szCs w:val="24"/>
        </w:rPr>
        <w:t xml:space="preserve"> co skutkuje tym, że inwestor</w:t>
      </w:r>
      <w:r w:rsidR="00217AE1">
        <w:rPr>
          <w:rFonts w:ascii="Times New Roman" w:hAnsi="Times New Roman" w:cs="Times New Roman"/>
          <w:bCs/>
          <w:sz w:val="24"/>
          <w:szCs w:val="24"/>
        </w:rPr>
        <w:t>,</w:t>
      </w:r>
      <w:r w:rsidRPr="00E42C8B">
        <w:rPr>
          <w:rFonts w:ascii="Times New Roman" w:hAnsi="Times New Roman" w:cs="Times New Roman"/>
          <w:bCs/>
          <w:sz w:val="24"/>
          <w:szCs w:val="24"/>
        </w:rPr>
        <w:t xml:space="preserve"> chcąc dokonać wykupu</w:t>
      </w:r>
      <w:r w:rsidR="00217AE1">
        <w:rPr>
          <w:rFonts w:ascii="Times New Roman" w:hAnsi="Times New Roman" w:cs="Times New Roman"/>
          <w:bCs/>
          <w:sz w:val="24"/>
          <w:szCs w:val="24"/>
        </w:rPr>
        <w:t>,</w:t>
      </w:r>
      <w:r w:rsidRPr="00E42C8B">
        <w:rPr>
          <w:rFonts w:ascii="Times New Roman" w:hAnsi="Times New Roman" w:cs="Times New Roman"/>
          <w:bCs/>
          <w:sz w:val="24"/>
          <w:szCs w:val="24"/>
        </w:rPr>
        <w:t xml:space="preserve"> korzysta z certyfikatów wyemitowanych jeszcze na starych zasadach, co gwarantuje mu, że wykup nieobarczony takimi dodatkowymi formalnościami nastąpi szybciej i szybciej dojdzie do wypłaty środków.</w:t>
      </w:r>
    </w:p>
    <w:p w14:paraId="17718090" w14:textId="4172DD9C" w:rsidR="00DB03EC" w:rsidRPr="00E42C8B" w:rsidRDefault="00DB03EC" w:rsidP="00DB03EC">
      <w:pPr>
        <w:shd w:val="clear" w:color="auto" w:fill="FFFFFF" w:themeFill="background1"/>
        <w:spacing w:line="360" w:lineRule="auto"/>
        <w:jc w:val="both"/>
        <w:rPr>
          <w:rFonts w:ascii="Times New Roman" w:hAnsi="Times New Roman" w:cs="Times New Roman"/>
          <w:bCs/>
          <w:sz w:val="24"/>
          <w:szCs w:val="24"/>
        </w:rPr>
      </w:pPr>
      <w:r w:rsidRPr="001B4B90">
        <w:rPr>
          <w:rFonts w:ascii="Times New Roman" w:hAnsi="Times New Roman" w:cs="Times New Roman"/>
          <w:bCs/>
          <w:sz w:val="24"/>
          <w:szCs w:val="24"/>
        </w:rPr>
        <w:lastRenderedPageBreak/>
        <w:t xml:space="preserve">W związku z tym dodawane </w:t>
      </w:r>
      <w:r w:rsidR="00E31591">
        <w:rPr>
          <w:rFonts w:ascii="Times New Roman" w:hAnsi="Times New Roman" w:cs="Times New Roman"/>
          <w:bCs/>
          <w:sz w:val="24"/>
          <w:szCs w:val="24"/>
        </w:rPr>
        <w:t>w art. 123a–</w:t>
      </w:r>
      <w:r w:rsidR="00A4610B">
        <w:rPr>
          <w:rFonts w:ascii="Times New Roman" w:hAnsi="Times New Roman" w:cs="Times New Roman"/>
          <w:bCs/>
          <w:sz w:val="24"/>
          <w:szCs w:val="24"/>
        </w:rPr>
        <w:t xml:space="preserve">123e </w:t>
      </w:r>
      <w:r w:rsidRPr="001B4B90">
        <w:rPr>
          <w:rFonts w:ascii="Times New Roman" w:hAnsi="Times New Roman" w:cs="Times New Roman"/>
          <w:bCs/>
          <w:sz w:val="24"/>
          <w:szCs w:val="24"/>
        </w:rPr>
        <w:t>przepisy przewidują zagwarantowanie towarzystwom funduszy inwestycyjnych możliwości ustalenia danych uczestników funduszy inwestycyjnych zamkniętych w sytuacji, gdy certyfikaty zostaną przeniesione na rachunki papierów wartościowych i będą przedmiotem obrotu wtórnego. Rozwiązanie to wzorowane jest na obowiązujących już przepisach ustawy z dnia 29 lipca 2005 r. o obrocie instrumentami finansowymi dla spółek giełdowych, które wprowadzone zostały w celu umożliwienia stosowania przepisów rozporządzenia wykonawczego Komisji (UE) 2018/1212 z dnia 3 września 2018 r.</w:t>
      </w:r>
      <w:r w:rsidR="00D462FD">
        <w:rPr>
          <w:rFonts w:ascii="Times New Roman" w:hAnsi="Times New Roman" w:cs="Times New Roman"/>
          <w:bCs/>
          <w:sz w:val="24"/>
          <w:szCs w:val="24"/>
        </w:rPr>
        <w:t>,</w:t>
      </w:r>
      <w:r w:rsidRPr="001B4B90">
        <w:rPr>
          <w:rFonts w:ascii="Times New Roman" w:hAnsi="Times New Roman" w:cs="Times New Roman"/>
          <w:bCs/>
          <w:sz w:val="24"/>
          <w:szCs w:val="24"/>
        </w:rPr>
        <w:t xml:space="preserve"> ustanawiającego minimalne wymogi w celu wykonania przepisów dyrektywy 2007/36/WE Parlamentu Europejskiego i Rady w odniesieniu do identyfikacji akcjonariuszy, przekazywania informacji i ułatwiania wykonywania praw akcjonariuszy (Dz. Urz. UE L 223 z 04.09.2018, str. 1).</w:t>
      </w:r>
      <w:r w:rsidRPr="00E42C8B">
        <w:rPr>
          <w:rFonts w:ascii="Times New Roman" w:hAnsi="Times New Roman" w:cs="Times New Roman"/>
          <w:bCs/>
          <w:sz w:val="24"/>
          <w:szCs w:val="24"/>
        </w:rPr>
        <w:t xml:space="preserve"> </w:t>
      </w:r>
    </w:p>
    <w:p w14:paraId="785DC024" w14:textId="77777777" w:rsidR="00DB03EC" w:rsidRPr="006B2CD4" w:rsidRDefault="00DB03EC" w:rsidP="00DB03EC">
      <w:pPr>
        <w:shd w:val="clear" w:color="auto" w:fill="FFFFFF" w:themeFill="background1"/>
        <w:spacing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Pozostałe zmiany w ustawie o funduszach inwestycyjnych:</w:t>
      </w:r>
    </w:p>
    <w:p w14:paraId="3FA12F3F" w14:textId="77777777" w:rsidR="00DB03EC" w:rsidRPr="006B2CD4" w:rsidRDefault="00DB03EC" w:rsidP="00DB03EC">
      <w:pPr>
        <w:pStyle w:val="Akapitzlist"/>
        <w:numPr>
          <w:ilvl w:val="0"/>
          <w:numId w:val="3"/>
        </w:numPr>
        <w:shd w:val="clear" w:color="auto" w:fill="FFFFFF" w:themeFill="background1"/>
        <w:spacing w:after="120" w:line="360" w:lineRule="auto"/>
        <w:ind w:left="425" w:hanging="425"/>
        <w:contextualSpacing w:val="0"/>
        <w:jc w:val="both"/>
        <w:rPr>
          <w:rFonts w:ascii="Times New Roman" w:hAnsi="Times New Roman" w:cs="Times New Roman"/>
          <w:bCs/>
          <w:sz w:val="24"/>
          <w:szCs w:val="24"/>
        </w:rPr>
      </w:pPr>
      <w:r w:rsidRPr="006B2CD4">
        <w:rPr>
          <w:rFonts w:ascii="Times New Roman" w:hAnsi="Times New Roman" w:cs="Times New Roman"/>
          <w:bCs/>
          <w:sz w:val="24"/>
          <w:szCs w:val="24"/>
        </w:rPr>
        <w:t>zmiana terminów na zbycie lub odkupienie przez fundusz jednostek uczestnictwa (art. 90 ust. 2)</w:t>
      </w:r>
    </w:p>
    <w:p w14:paraId="259E5BA1" w14:textId="48386561" w:rsidR="00DB03EC" w:rsidRPr="006B2CD4" w:rsidRDefault="00DB03EC" w:rsidP="00DB03EC">
      <w:pPr>
        <w:shd w:val="clear" w:color="auto" w:fill="FFFFFF" w:themeFill="background1"/>
        <w:spacing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Zmiana </w:t>
      </w:r>
      <w:r w:rsidR="00D462FD">
        <w:rPr>
          <w:rFonts w:ascii="Times New Roman" w:hAnsi="Times New Roman" w:cs="Times New Roman"/>
          <w:bCs/>
          <w:sz w:val="24"/>
          <w:szCs w:val="24"/>
        </w:rPr>
        <w:t xml:space="preserve">terminów wskazanych </w:t>
      </w:r>
      <w:r w:rsidRPr="006B2CD4">
        <w:rPr>
          <w:rFonts w:ascii="Times New Roman" w:hAnsi="Times New Roman" w:cs="Times New Roman"/>
          <w:bCs/>
          <w:sz w:val="24"/>
          <w:szCs w:val="24"/>
        </w:rPr>
        <w:t xml:space="preserve">w art. 90 ust. 2 ustawy o funduszach inwestycyjnych ma na celu urealnienie maksymalnych terminów na zbycie przez fundusz jednostek uczestnictwa po dokonaniu wpłaty na te jednostki oraz na odkupienie przez fundusz jednostek uczestnictwa po zgłoszeniu żądania ich odkupienia. Aktualnie terminy te nie mogą być dłuższe niż 7 dni kalendarzowych, co w przypadku kumulacji dni wolnych od pracy lub dni, w których nie odbywa </w:t>
      </w:r>
      <w:r w:rsidRPr="006B2CD4">
        <w:rPr>
          <w:rFonts w:ascii="Times New Roman" w:hAnsi="Times New Roman" w:cs="Times New Roman"/>
          <w:bCs/>
          <w:sz w:val="24"/>
          <w:szCs w:val="24"/>
        </w:rPr>
        <w:lastRenderedPageBreak/>
        <w:t>się sesja giełdowa, kiedy to uniemożliwione jest dokonanie wyceny funduszu, rodzi znaczące trudności operacyjne po stronie funduszy. Co więcej, aktualna regulacja zachęca uczestników rynku do arbitrażu, który to może prowadzić do nadużyć. Zastąpienie terminów liczonych w dniach kalendarzowych przez terminy liczone w dniach roboczych prowadzi więc do wyeliminowania wspomnianych problemów i zagrożeń i zwiększa stabilność rynku kapitałowego.</w:t>
      </w:r>
    </w:p>
    <w:p w14:paraId="472DFDDD" w14:textId="77777777" w:rsidR="00DB03EC" w:rsidRPr="006B2CD4" w:rsidRDefault="00DB03EC" w:rsidP="00DB03EC">
      <w:pPr>
        <w:pStyle w:val="Akapitzlist"/>
        <w:numPr>
          <w:ilvl w:val="0"/>
          <w:numId w:val="3"/>
        </w:numPr>
        <w:shd w:val="clear" w:color="auto" w:fill="FFFFFF" w:themeFill="background1"/>
        <w:spacing w:after="120" w:line="360" w:lineRule="auto"/>
        <w:ind w:left="425" w:hanging="425"/>
        <w:jc w:val="both"/>
        <w:rPr>
          <w:rFonts w:ascii="Times New Roman" w:hAnsi="Times New Roman" w:cs="Times New Roman"/>
          <w:bCs/>
          <w:sz w:val="24"/>
          <w:szCs w:val="24"/>
        </w:rPr>
      </w:pPr>
      <w:r w:rsidRPr="006B2CD4">
        <w:rPr>
          <w:rFonts w:ascii="Times New Roman" w:hAnsi="Times New Roman" w:cs="Times New Roman"/>
          <w:bCs/>
          <w:sz w:val="24"/>
          <w:szCs w:val="24"/>
        </w:rPr>
        <w:t>umożliwienie FIZ nabywanie nieruchomości również po upływie okresu dostosowawczego (art. 148 ust. 3)</w:t>
      </w:r>
    </w:p>
    <w:p w14:paraId="4A70E0F9" w14:textId="77777777" w:rsidR="00DB03EC" w:rsidRPr="006B2CD4" w:rsidRDefault="00DB03EC" w:rsidP="00DB03EC">
      <w:pPr>
        <w:shd w:val="clear" w:color="auto" w:fill="FFFFFF" w:themeFill="background1"/>
        <w:spacing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Zmiana w art. 148 ust. 3 ustawy o funduszach inwestycyjnych ma na celu jednoznaczne wskazanie, że FIZ może nabywać nieruchomości do portfela inwestycyjnego również po upływie okresu dostosowawczego, pod warunkiem, że nie spowoduje to naruszenia limitów inwestycyjnych i doprowadzenia struktury aktywów do niezgodności z przepisami ustawy o funduszach inwestycyjnych oraz statutu funduszu. Zgodnie z aktualnym brzmieniem nowelizowanego przepisu FIZ jest obowiązany, co do zasady, nabyć wszystkie nieruchomości, zgodnie z określonymi w jego statucie zasadami dywersyfikacji, w terminie 24 miesięcy od dnia rejestracji. Literalne rozumienie tego przepisu, a w szczególności wykorzystanego sformułowania „wszystkie nieruchomości” może prowadzić do wniosku, iż po upływie 24 miesięcy od dnia rejestracji nie ma on dalszej możliwości nabywania nieruchomości stanowiących lokaty, co prowadziłoby do wniosku, że po upływie wskazanego okresu fundusz jest pozbawiony możliwości kontynuowania działalności inwestycyjnej w obszarze nieruchomości. Tymczasem in</w:t>
      </w:r>
      <w:r w:rsidRPr="006B2CD4">
        <w:rPr>
          <w:rFonts w:ascii="Times New Roman" w:hAnsi="Times New Roman" w:cs="Times New Roman"/>
          <w:bCs/>
          <w:sz w:val="24"/>
          <w:szCs w:val="24"/>
        </w:rPr>
        <w:lastRenderedPageBreak/>
        <w:t>tencją art. 147 ust. 3 ustawy o funduszach inwestycyjnych było wyznaczenie funduszom inwestycyjnym maksymalnego okresu przejściowego na ukształtowanie struktury tej części portfela inwestycyjnego, która zakłada dokonywanie lokat w nieruchomości, dlatego też zmiana art. 148 ust. 3 tej ustawy jest wskazana.</w:t>
      </w:r>
    </w:p>
    <w:p w14:paraId="67739A8E" w14:textId="77777777" w:rsidR="00DB03EC" w:rsidRPr="006B2CD4" w:rsidRDefault="00DB03EC" w:rsidP="00DB03EC">
      <w:pPr>
        <w:spacing w:before="120"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c)</w:t>
      </w:r>
      <w:r w:rsidRPr="006B2CD4">
        <w:rPr>
          <w:rFonts w:ascii="Times New Roman" w:hAnsi="Times New Roman" w:cs="Times New Roman"/>
          <w:sz w:val="24"/>
          <w:szCs w:val="24"/>
        </w:rPr>
        <w:tab/>
        <w:t>zmiany w zakresie tajemnicy zawodowej (art. 281 i art. 284)</w:t>
      </w:r>
    </w:p>
    <w:p w14:paraId="58FD1B37" w14:textId="7FBCE285" w:rsidR="00DB03EC" w:rsidRPr="006B2CD4" w:rsidRDefault="0042564A" w:rsidP="00DB03EC">
      <w:pPr>
        <w:spacing w:line="360" w:lineRule="auto"/>
        <w:jc w:val="both"/>
        <w:rPr>
          <w:rFonts w:ascii="Times New Roman" w:hAnsi="Times New Roman" w:cs="Times New Roman"/>
          <w:sz w:val="24"/>
          <w:szCs w:val="24"/>
        </w:rPr>
      </w:pPr>
      <w:r w:rsidRPr="006B2CD4">
        <w:rPr>
          <w:rFonts w:ascii="Times New Roman" w:hAnsi="Times New Roman" w:cs="Times New Roman"/>
          <w:sz w:val="24"/>
          <w:szCs w:val="24"/>
        </w:rPr>
        <w:t>Proponowane</w:t>
      </w:r>
      <w:r>
        <w:rPr>
          <w:rFonts w:ascii="Times New Roman" w:hAnsi="Times New Roman" w:cs="Times New Roman"/>
          <w:sz w:val="24"/>
          <w:szCs w:val="24"/>
        </w:rPr>
        <w:t xml:space="preserve"> rozszerzenie</w:t>
      </w:r>
      <w:r w:rsidRPr="006B2CD4">
        <w:rPr>
          <w:rFonts w:ascii="Times New Roman" w:hAnsi="Times New Roman" w:cs="Times New Roman"/>
          <w:sz w:val="24"/>
          <w:szCs w:val="24"/>
        </w:rPr>
        <w:t xml:space="preserve"> art. 281 ustawy o funduszach inwestycyjnych ma na celu ujednolicenie z regulacjami innych ustaw sektorowych, w tym tych odnoszących się do rynku kapitałowego takich jak ustawa o obrocie instrumentami finansowymi (art. 149) i rozwiązań prawnych przyjętych w tej ustawie w zakresie uprawnień </w:t>
      </w:r>
      <w:r>
        <w:rPr>
          <w:rFonts w:ascii="Times New Roman" w:hAnsi="Times New Roman" w:cs="Times New Roman"/>
          <w:sz w:val="24"/>
          <w:szCs w:val="24"/>
        </w:rPr>
        <w:t>Centralnego Biura Antykorupcyjnego</w:t>
      </w:r>
      <w:r w:rsidRPr="006B2CD4">
        <w:rPr>
          <w:rFonts w:ascii="Times New Roman" w:hAnsi="Times New Roman" w:cs="Times New Roman"/>
          <w:sz w:val="24"/>
          <w:szCs w:val="24"/>
        </w:rPr>
        <w:t xml:space="preserve"> </w:t>
      </w:r>
      <w:r w:rsidR="00D462FD">
        <w:rPr>
          <w:rFonts w:ascii="Times New Roman" w:hAnsi="Times New Roman" w:cs="Times New Roman"/>
          <w:sz w:val="24"/>
          <w:szCs w:val="24"/>
        </w:rPr>
        <w:t xml:space="preserve">(CBA) </w:t>
      </w:r>
      <w:r w:rsidRPr="006B2CD4">
        <w:rPr>
          <w:rFonts w:ascii="Times New Roman" w:hAnsi="Times New Roman" w:cs="Times New Roman"/>
          <w:sz w:val="24"/>
          <w:szCs w:val="24"/>
        </w:rPr>
        <w:t>do uzyskiwania informacji zawierających</w:t>
      </w:r>
      <w:r w:rsidR="00D462FD">
        <w:rPr>
          <w:rFonts w:ascii="Times New Roman" w:hAnsi="Times New Roman" w:cs="Times New Roman"/>
          <w:sz w:val="24"/>
          <w:szCs w:val="24"/>
        </w:rPr>
        <w:t xml:space="preserve"> tajemnice prawnie chronione. </w:t>
      </w:r>
      <w:r>
        <w:rPr>
          <w:rFonts w:ascii="Times New Roman" w:hAnsi="Times New Roman" w:cs="Times New Roman"/>
          <w:sz w:val="24"/>
          <w:szCs w:val="24"/>
        </w:rPr>
        <w:t>CBA</w:t>
      </w:r>
      <w:r w:rsidR="00D462FD">
        <w:rPr>
          <w:rFonts w:ascii="Times New Roman" w:hAnsi="Times New Roman" w:cs="Times New Roman"/>
          <w:sz w:val="24"/>
          <w:szCs w:val="24"/>
        </w:rPr>
        <w:t xml:space="preserve"> jest</w:t>
      </w:r>
      <w:r w:rsidRPr="006B2CD4">
        <w:rPr>
          <w:rFonts w:ascii="Times New Roman" w:hAnsi="Times New Roman" w:cs="Times New Roman"/>
          <w:sz w:val="24"/>
          <w:szCs w:val="24"/>
        </w:rPr>
        <w:t xml:space="preserve"> bowiem orga</w:t>
      </w:r>
      <w:r>
        <w:rPr>
          <w:rFonts w:ascii="Times New Roman" w:hAnsi="Times New Roman" w:cs="Times New Roman"/>
          <w:sz w:val="24"/>
          <w:szCs w:val="24"/>
        </w:rPr>
        <w:t>n</w:t>
      </w:r>
      <w:r w:rsidR="00D462FD">
        <w:rPr>
          <w:rFonts w:ascii="Times New Roman" w:hAnsi="Times New Roman" w:cs="Times New Roman"/>
          <w:sz w:val="24"/>
          <w:szCs w:val="24"/>
        </w:rPr>
        <w:t>em</w:t>
      </w:r>
      <w:r w:rsidRPr="006B2CD4">
        <w:rPr>
          <w:rFonts w:ascii="Times New Roman" w:hAnsi="Times New Roman" w:cs="Times New Roman"/>
          <w:sz w:val="24"/>
          <w:szCs w:val="24"/>
        </w:rPr>
        <w:t>, któr</w:t>
      </w:r>
      <w:r>
        <w:rPr>
          <w:rFonts w:ascii="Times New Roman" w:hAnsi="Times New Roman" w:cs="Times New Roman"/>
          <w:sz w:val="24"/>
          <w:szCs w:val="24"/>
        </w:rPr>
        <w:t>y</w:t>
      </w:r>
      <w:r w:rsidRPr="006B2CD4">
        <w:rPr>
          <w:rFonts w:ascii="Times New Roman" w:hAnsi="Times New Roman" w:cs="Times New Roman"/>
          <w:sz w:val="24"/>
          <w:szCs w:val="24"/>
        </w:rPr>
        <w:t xml:space="preserve"> wykonuj</w:t>
      </w:r>
      <w:r>
        <w:rPr>
          <w:rFonts w:ascii="Times New Roman" w:hAnsi="Times New Roman" w:cs="Times New Roman"/>
          <w:sz w:val="24"/>
          <w:szCs w:val="24"/>
        </w:rPr>
        <w:t>e w tym obszarze</w:t>
      </w:r>
      <w:r w:rsidRPr="006B2CD4">
        <w:rPr>
          <w:rFonts w:ascii="Times New Roman" w:hAnsi="Times New Roman" w:cs="Times New Roman"/>
          <w:sz w:val="24"/>
          <w:szCs w:val="24"/>
        </w:rPr>
        <w:t xml:space="preserve"> zadania mające na celu również zapewnienie bezpieczeństwa na rynku finansowym, w tym przede wszystkim inwestorów w nim uczestniczących.</w:t>
      </w:r>
      <w:r>
        <w:rPr>
          <w:rFonts w:ascii="Times New Roman" w:hAnsi="Times New Roman" w:cs="Times New Roman"/>
          <w:sz w:val="24"/>
          <w:szCs w:val="24"/>
        </w:rPr>
        <w:t xml:space="preserve"> Istotnym celem w tym kontekście jest uczynienie w pełni efektywnym procesu ustalania i odzyskiwania mienia pochodzącego z działalności przestępczej, niezgodnej z przepisami ustawy o funduszach inwestycyjnych. Przyjęta konstrukcja dostępu do informacji </w:t>
      </w:r>
      <w:r w:rsidR="00D462FD">
        <w:rPr>
          <w:rFonts w:ascii="Times New Roman" w:hAnsi="Times New Roman" w:cs="Times New Roman"/>
          <w:sz w:val="24"/>
          <w:szCs w:val="24"/>
        </w:rPr>
        <w:t>CBA</w:t>
      </w:r>
      <w:r>
        <w:rPr>
          <w:rFonts w:ascii="Times New Roman" w:hAnsi="Times New Roman" w:cs="Times New Roman"/>
          <w:sz w:val="24"/>
          <w:szCs w:val="24"/>
        </w:rPr>
        <w:t xml:space="preserve"> ma charakter pośredni i jest ściśle związana z art. 23 ustawy z dnia 9 czerwca 2006 r. o Centralnym Biurze Antykorupcyjnym. Takie brzmienie przepisu umożliwi więc szybszą i skuteczniejszą realizację przez </w:t>
      </w:r>
      <w:r w:rsidR="00D462FD">
        <w:rPr>
          <w:rFonts w:ascii="Times New Roman" w:hAnsi="Times New Roman" w:cs="Times New Roman"/>
          <w:sz w:val="24"/>
          <w:szCs w:val="24"/>
        </w:rPr>
        <w:t>CBA</w:t>
      </w:r>
      <w:r>
        <w:rPr>
          <w:rFonts w:ascii="Times New Roman" w:hAnsi="Times New Roman" w:cs="Times New Roman"/>
          <w:sz w:val="24"/>
          <w:szCs w:val="24"/>
        </w:rPr>
        <w:t xml:space="preserve"> nałożonych na nie ustawowo zadań w zakresie wykrywania i przeciwdziałania przestępstwom godzącym w życie gospodarcze państwa.</w:t>
      </w:r>
      <w:r w:rsidRPr="006B2CD4">
        <w:rPr>
          <w:rFonts w:ascii="Times New Roman" w:hAnsi="Times New Roman" w:cs="Times New Roman"/>
          <w:sz w:val="24"/>
          <w:szCs w:val="24"/>
        </w:rPr>
        <w:t xml:space="preserve"> Z kolei dodanie do ustawy o funduszach inwestycyjnych art. 284 ust. 4 i 6 wynika z istniejących zobowiązań do </w:t>
      </w:r>
      <w:r w:rsidRPr="006B2CD4">
        <w:rPr>
          <w:rFonts w:ascii="Times New Roman" w:hAnsi="Times New Roman" w:cs="Times New Roman"/>
          <w:sz w:val="24"/>
          <w:szCs w:val="24"/>
        </w:rPr>
        <w:lastRenderedPageBreak/>
        <w:t>wymiany informacji zawartych w art. 2 Umowy między Rządem Rzeczypospolitej Polskiej a Rządem Stanów Zjednoczonych Ameryki w sprawie poprawy wypełniania międzynarodowych obowiązków podatkowych oraz wdrożenia ustawodawstwa FATCA, oraz towarzyszących Uzgodnień Końcowych, podpisanych w Warszawie dnia 7 października 2014 r. (Dz. U. z 2015 r. poz. 1647, z późn. zm.), ustawie z dnia 9 marca 2017 r. o wymianie informacji podatkowych z innymi państwami (Dz. U. z 202</w:t>
      </w:r>
      <w:r w:rsidR="005234C2">
        <w:rPr>
          <w:rFonts w:ascii="Times New Roman" w:hAnsi="Times New Roman" w:cs="Times New Roman"/>
          <w:sz w:val="24"/>
          <w:szCs w:val="24"/>
        </w:rPr>
        <w:t>3</w:t>
      </w:r>
      <w:r w:rsidRPr="006B2CD4">
        <w:rPr>
          <w:rFonts w:ascii="Times New Roman" w:hAnsi="Times New Roman" w:cs="Times New Roman"/>
          <w:sz w:val="24"/>
          <w:szCs w:val="24"/>
        </w:rPr>
        <w:t xml:space="preserve"> r. poz. </w:t>
      </w:r>
      <w:r w:rsidR="005234C2">
        <w:rPr>
          <w:rFonts w:ascii="Times New Roman" w:hAnsi="Times New Roman" w:cs="Times New Roman"/>
          <w:sz w:val="24"/>
          <w:szCs w:val="24"/>
        </w:rPr>
        <w:t>241</w:t>
      </w:r>
      <w:r w:rsidRPr="006B2CD4">
        <w:rPr>
          <w:rFonts w:ascii="Times New Roman" w:hAnsi="Times New Roman" w:cs="Times New Roman"/>
          <w:sz w:val="24"/>
          <w:szCs w:val="24"/>
        </w:rPr>
        <w:t>) z uwagi na to, że istnieje w niej także zobowiązanie do ujawniania informacji o funduszach inwestycyjnych oraz ustawy z dnia 1 marca 2018 r. o przeciwdziałaniu praniu pieniędzy oraz finansowaniu terroryzmu. Z kolei art. 281 ust. 5 jest przepisem proceduralnym mającym na celu zapewnienie prawidłowych zasad postępowania z informacją o przekazaniu tajemnicy zawodowej do uprawnionych w tym zakresie służb i służb specjalnych. Ponadto, w proponowanych przepisach dodano art. 284 zobowiązujący do zachowania w tajemnicy informacji o przekazaniu danych uprawnionym służbom. Wzorowany jest on na analogicznych rozwiązaniach zawartych w innych ustawach sektorowych. Zaproponowane rozwiązania w przedmiotowym zakresie mają na celu uwzględnienie przekazanych Ministrowi Finansów propozycji Zespołu zadaniowego ds. opracowania metodyki postepowania w związk</w:t>
      </w:r>
      <w:r>
        <w:rPr>
          <w:rFonts w:ascii="Times New Roman" w:hAnsi="Times New Roman" w:cs="Times New Roman"/>
          <w:sz w:val="24"/>
          <w:szCs w:val="24"/>
        </w:rPr>
        <w:t>u z zabezpieczeniem majątkowym.</w:t>
      </w:r>
    </w:p>
    <w:p w14:paraId="010A00D3" w14:textId="77777777" w:rsidR="00DB03EC" w:rsidRPr="006B2CD4" w:rsidRDefault="00DB03EC" w:rsidP="00DB03EC">
      <w:pPr>
        <w:shd w:val="clear" w:color="auto" w:fill="FFFFFF" w:themeFill="background1"/>
        <w:spacing w:line="360" w:lineRule="auto"/>
        <w:ind w:left="450" w:hanging="450"/>
        <w:jc w:val="both"/>
        <w:rPr>
          <w:rFonts w:ascii="Times New Roman" w:hAnsi="Times New Roman" w:cs="Times New Roman"/>
          <w:sz w:val="24"/>
          <w:szCs w:val="24"/>
        </w:rPr>
      </w:pPr>
      <w:r w:rsidRPr="006B2CD4">
        <w:rPr>
          <w:rFonts w:ascii="Times New Roman" w:hAnsi="Times New Roman" w:cs="Times New Roman"/>
          <w:sz w:val="24"/>
          <w:szCs w:val="24"/>
        </w:rPr>
        <w:t>d)</w:t>
      </w:r>
      <w:r w:rsidRPr="006B2CD4">
        <w:rPr>
          <w:rFonts w:ascii="Times New Roman" w:hAnsi="Times New Roman" w:cs="Times New Roman"/>
          <w:sz w:val="24"/>
          <w:szCs w:val="24"/>
        </w:rPr>
        <w:tab/>
        <w:t>usunięcie nałożonego na dystrybutorów obowiązku comiesięcznego przekazywania TFI wykazu czynności mających na celu poprawienie jakości świadczonych usług i dokumentów potwierdzających poniesione z tego tytułu koszty oraz obowiązek TFI dokonania we</w:t>
      </w:r>
      <w:r w:rsidRPr="006B2CD4">
        <w:rPr>
          <w:rFonts w:ascii="Times New Roman" w:hAnsi="Times New Roman" w:cs="Times New Roman"/>
          <w:sz w:val="24"/>
          <w:szCs w:val="24"/>
        </w:rPr>
        <w:lastRenderedPageBreak/>
        <w:t>ryfikacji zgodności tych czynności z przepisami prawa i interesem uczestników oraz zasadności i prawidłowości ustalenia tych kosztów oraz ustanowienia w każdym funduszu inwestycyjnym otwartym co najmniej dwóch kategorii jednostek i zależnego od tego wynagrodzenia (</w:t>
      </w:r>
      <w:r>
        <w:rPr>
          <w:rFonts w:ascii="Times New Roman" w:hAnsi="Times New Roman" w:cs="Times New Roman"/>
          <w:sz w:val="24"/>
          <w:szCs w:val="24"/>
        </w:rPr>
        <w:t xml:space="preserve">art. 32a, </w:t>
      </w:r>
      <w:r w:rsidRPr="006B2CD4">
        <w:rPr>
          <w:rFonts w:ascii="Times New Roman" w:hAnsi="Times New Roman" w:cs="Times New Roman"/>
          <w:sz w:val="24"/>
          <w:szCs w:val="24"/>
        </w:rPr>
        <w:t>art. 32b ust. 2–4, art. 32d ustawy o funduszach inwestycyjnych)</w:t>
      </w:r>
    </w:p>
    <w:p w14:paraId="77CE4B15" w14:textId="1C66B57F" w:rsidR="00DB03EC" w:rsidRPr="006B2CD4" w:rsidRDefault="00DB03EC" w:rsidP="00DB03EC">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Usunięcie tego obowiązku stanowi działanie zmierzające do eliminacji tzw. </w:t>
      </w:r>
      <w:r w:rsidRPr="006B2CD4">
        <w:rPr>
          <w:rFonts w:ascii="Times New Roman" w:hAnsi="Times New Roman" w:cs="Times New Roman"/>
          <w:i/>
          <w:sz w:val="24"/>
          <w:szCs w:val="24"/>
        </w:rPr>
        <w:t>gold-platingu</w:t>
      </w:r>
      <w:r w:rsidRPr="006B2CD4">
        <w:rPr>
          <w:rFonts w:ascii="Times New Roman" w:hAnsi="Times New Roman" w:cs="Times New Roman"/>
          <w:sz w:val="24"/>
          <w:szCs w:val="24"/>
        </w:rPr>
        <w:t>. W dyrektywie MiFID II uregul</w:t>
      </w:r>
      <w:r w:rsidR="00EE7D80">
        <w:rPr>
          <w:rFonts w:ascii="Times New Roman" w:hAnsi="Times New Roman" w:cs="Times New Roman"/>
          <w:sz w:val="24"/>
          <w:szCs w:val="24"/>
        </w:rPr>
        <w:t>owane zostały sytuacje i zasady</w:t>
      </w:r>
      <w:r w:rsidRPr="006B2CD4">
        <w:rPr>
          <w:rFonts w:ascii="Times New Roman" w:hAnsi="Times New Roman" w:cs="Times New Roman"/>
          <w:sz w:val="24"/>
          <w:szCs w:val="24"/>
        </w:rPr>
        <w:t xml:space="preserve"> na jakich firma inwestycyjna może pobierać zachęty. Przepisy te przerzucają na TFI obowiązki nadzorcze względem dystrybutorów. Konsekwencją wprowadzenia powyższych przepisów, które dodatkowo stały się przedmiotem dodatkowych objaśnień w </w:t>
      </w:r>
      <w:r w:rsidRPr="006B2CD4">
        <w:rPr>
          <w:rFonts w:ascii="Times New Roman" w:hAnsi="Times New Roman" w:cs="Times New Roman"/>
          <w:i/>
          <w:iCs/>
          <w:sz w:val="24"/>
          <w:szCs w:val="24"/>
        </w:rPr>
        <w:t xml:space="preserve">Stanowisku UKNF z dnia 21 grudnia 2018 r. w sprawie przyjmowania i przekazywania „zachęt” w związku ze świadczeniem usług przyjmowania i przekazywania zleceń, których przedmiotem są jednostki uczestnictwa funduszy inwestycyjnych </w:t>
      </w:r>
      <w:r w:rsidRPr="006B2CD4">
        <w:rPr>
          <w:rFonts w:ascii="Times New Roman" w:hAnsi="Times New Roman" w:cs="Times New Roman"/>
          <w:sz w:val="24"/>
          <w:szCs w:val="24"/>
        </w:rPr>
        <w:t xml:space="preserve">(dalej: „Stanowisk”), był impas w rozliczeniach między dystrybutorami i TFI, który trwał cały 2019 r. Sytuacja uległa poprawie po wydaniu przez UKNF dwóch dodatkowych stanowisk uzupełniających wskazane Stanowisko. Jego wydanie nie wyeliminowało jednak występujących istotnych trudności we wzajemnych relacjach TFI i dystrybutorów. </w:t>
      </w:r>
    </w:p>
    <w:p w14:paraId="402359D1" w14:textId="21272AEA" w:rsidR="00DB03EC" w:rsidRPr="006B2CD4" w:rsidRDefault="00DB03EC" w:rsidP="00DB03EC">
      <w:pPr>
        <w:spacing w:line="360" w:lineRule="auto"/>
        <w:jc w:val="both"/>
        <w:rPr>
          <w:rFonts w:ascii="Times New Roman" w:hAnsi="Times New Roman" w:cs="Times New Roman"/>
          <w:sz w:val="24"/>
          <w:szCs w:val="24"/>
        </w:rPr>
      </w:pPr>
      <w:r w:rsidRPr="009A2294">
        <w:rPr>
          <w:rFonts w:ascii="Times New Roman" w:hAnsi="Times New Roman" w:cs="Times New Roman"/>
          <w:sz w:val="24"/>
          <w:szCs w:val="24"/>
        </w:rPr>
        <w:t xml:space="preserve">Dodanie art. 32a ust. 7 pkt 4 ma na celu zagwarantowanie jednego z </w:t>
      </w:r>
      <w:r w:rsidRPr="00BC04AC">
        <w:rPr>
          <w:rFonts w:ascii="Times New Roman" w:hAnsi="Times New Roman" w:cs="Times New Roman"/>
          <w:sz w:val="24"/>
          <w:szCs w:val="24"/>
        </w:rPr>
        <w:t>projektowanych zał</w:t>
      </w:r>
      <w:r w:rsidRPr="00F81DB5">
        <w:rPr>
          <w:rFonts w:ascii="Times New Roman" w:hAnsi="Times New Roman" w:cs="Times New Roman"/>
          <w:sz w:val="24"/>
          <w:szCs w:val="24"/>
        </w:rPr>
        <w:t>ożeń przepisów dotyczących us</w:t>
      </w:r>
      <w:r w:rsidRPr="002E5654">
        <w:rPr>
          <w:rFonts w:ascii="Times New Roman" w:hAnsi="Times New Roman" w:cs="Times New Roman"/>
          <w:sz w:val="24"/>
          <w:szCs w:val="24"/>
        </w:rPr>
        <w:t>ługi dystrybucji</w:t>
      </w:r>
      <w:r w:rsidR="00EE7D80">
        <w:rPr>
          <w:rFonts w:ascii="Times New Roman" w:hAnsi="Times New Roman" w:cs="Times New Roman"/>
          <w:sz w:val="24"/>
          <w:szCs w:val="24"/>
        </w:rPr>
        <w:t>,</w:t>
      </w:r>
      <w:r w:rsidRPr="002E5654">
        <w:rPr>
          <w:rFonts w:ascii="Times New Roman" w:hAnsi="Times New Roman" w:cs="Times New Roman"/>
          <w:sz w:val="24"/>
          <w:szCs w:val="24"/>
        </w:rPr>
        <w:t xml:space="preserve"> </w:t>
      </w:r>
      <w:r w:rsidRPr="009A2294">
        <w:rPr>
          <w:rFonts w:ascii="Times New Roman" w:hAnsi="Times New Roman" w:cs="Times New Roman"/>
          <w:sz w:val="24"/>
          <w:szCs w:val="24"/>
        </w:rPr>
        <w:t xml:space="preserve">tj. wyłączenia tej usługi spod reżimu tzw. „zachęt”. </w:t>
      </w:r>
      <w:r w:rsidRPr="006B2CD4">
        <w:rPr>
          <w:rFonts w:ascii="Times New Roman" w:hAnsi="Times New Roman" w:cs="Times New Roman"/>
          <w:sz w:val="24"/>
          <w:szCs w:val="24"/>
        </w:rPr>
        <w:t>Przepisy art. 32b ust. 2–4 oraz brak określenia w ustawie o funduszach inwestycyjnych pojęcia usługi dystrybucji wpływają negatywn</w:t>
      </w:r>
      <w:r w:rsidR="00EE7D80">
        <w:rPr>
          <w:rFonts w:ascii="Times New Roman" w:hAnsi="Times New Roman" w:cs="Times New Roman"/>
          <w:sz w:val="24"/>
          <w:szCs w:val="24"/>
        </w:rPr>
        <w:t xml:space="preserve">ie na możliwość </w:t>
      </w:r>
      <w:r w:rsidRPr="006B2CD4">
        <w:rPr>
          <w:rFonts w:ascii="Times New Roman" w:hAnsi="Times New Roman" w:cs="Times New Roman"/>
          <w:sz w:val="24"/>
          <w:szCs w:val="24"/>
        </w:rPr>
        <w:t>dystrybuowania polskich funduszy in</w:t>
      </w:r>
      <w:r w:rsidRPr="006B2CD4">
        <w:rPr>
          <w:rFonts w:ascii="Times New Roman" w:hAnsi="Times New Roman" w:cs="Times New Roman"/>
          <w:sz w:val="24"/>
          <w:szCs w:val="24"/>
        </w:rPr>
        <w:lastRenderedPageBreak/>
        <w:t>westycyjnych. Nałożenie dodatkowych obowiązków weryfikacji zachęt i związane z tym pote</w:t>
      </w:r>
      <w:r w:rsidR="00457862">
        <w:rPr>
          <w:rFonts w:ascii="Times New Roman" w:hAnsi="Times New Roman" w:cs="Times New Roman"/>
          <w:sz w:val="24"/>
          <w:szCs w:val="24"/>
        </w:rPr>
        <w:t>ncjalne konflikty na linii TFI –</w:t>
      </w:r>
      <w:r w:rsidRPr="006B2CD4">
        <w:rPr>
          <w:rFonts w:ascii="Times New Roman" w:hAnsi="Times New Roman" w:cs="Times New Roman"/>
          <w:sz w:val="24"/>
          <w:szCs w:val="24"/>
        </w:rPr>
        <w:t xml:space="preserve"> dystrybutor, stawia produkty takie jak fundusze w zdecydowanie mniej korzystnym świetle względem pozostałych produktów znajdujących się w ofercie firm inwestycyjnych. Wymogi i obostrzenia, które nie funkcjonują na rynkach zagranicznych, stawiają polskich dystrybutorów w sytuacji znacznie mniej korzystnej względem tych pochodzących z zagranicy. W konsekwencji ucierpią nie tylko towarzystwa, ale dojdzie również do zamknięcia architektury dystrybutorów i znacznego ograniczenia dostępność tego typu produktu dla inwestorów – zjawiska, które już obecnie jest obserwowane, również przez nadzorcę. Uregulowanie umów o dystrybucję w tym wynagrodzenia na rzecz dystrybutorów, które zostanie dokonane poprzez dodanie art. 32d ustawy o funduszach inwestycyjnych będzie więc przeciwdziałać takim potencjalnym negatywnym skutkom dla samych dystrybutorów, a w szerszym wymiarze dla stabilności cał</w:t>
      </w:r>
      <w:r>
        <w:rPr>
          <w:rFonts w:ascii="Times New Roman" w:hAnsi="Times New Roman" w:cs="Times New Roman"/>
          <w:sz w:val="24"/>
          <w:szCs w:val="24"/>
        </w:rPr>
        <w:t>e</w:t>
      </w:r>
      <w:r w:rsidRPr="006B2CD4">
        <w:rPr>
          <w:rFonts w:ascii="Times New Roman" w:hAnsi="Times New Roman" w:cs="Times New Roman"/>
          <w:sz w:val="24"/>
          <w:szCs w:val="24"/>
        </w:rPr>
        <w:t xml:space="preserve">go rynku finansowego. </w:t>
      </w:r>
    </w:p>
    <w:p w14:paraId="27398F9A" w14:textId="77777777" w:rsidR="00DB03EC" w:rsidRPr="006B2CD4" w:rsidRDefault="00DB03EC" w:rsidP="00DB03EC">
      <w:pPr>
        <w:shd w:val="clear" w:color="auto" w:fill="FFFFFF" w:themeFill="background1"/>
        <w:spacing w:before="120" w:after="120" w:line="360" w:lineRule="auto"/>
        <w:ind w:left="448" w:hanging="448"/>
        <w:jc w:val="both"/>
        <w:rPr>
          <w:rFonts w:ascii="Times New Roman" w:hAnsi="Times New Roman" w:cs="Times New Roman"/>
          <w:sz w:val="24"/>
          <w:szCs w:val="24"/>
        </w:rPr>
      </w:pPr>
      <w:r w:rsidRPr="006B2CD4">
        <w:rPr>
          <w:rFonts w:ascii="Times New Roman" w:hAnsi="Times New Roman" w:cs="Times New Roman"/>
          <w:sz w:val="24"/>
          <w:szCs w:val="24"/>
        </w:rPr>
        <w:t>e)</w:t>
      </w:r>
      <w:r w:rsidRPr="006B2CD4">
        <w:rPr>
          <w:rFonts w:ascii="Times New Roman" w:hAnsi="Times New Roman" w:cs="Times New Roman"/>
          <w:sz w:val="24"/>
          <w:szCs w:val="24"/>
        </w:rPr>
        <w:tab/>
        <w:t>określenie domniemania porozumienia w przypadku nabycia albo objęcia akcji towarzystwa funduszy (art. 54 ust. 7 i 7a ustawy o funduszach inwestycyjnych)</w:t>
      </w:r>
    </w:p>
    <w:p w14:paraId="6646D744" w14:textId="7B6E224A" w:rsidR="00DB03EC" w:rsidRDefault="00DB03EC" w:rsidP="00DB03EC">
      <w:pPr>
        <w:spacing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Zmiana art. 54 ust. 7 polega na doprecyzowaniu, </w:t>
      </w:r>
      <w:r>
        <w:rPr>
          <w:rFonts w:ascii="Times New Roman" w:hAnsi="Times New Roman" w:cs="Times New Roman"/>
          <w:sz w:val="24"/>
          <w:szCs w:val="24"/>
        </w:rPr>
        <w:t>że</w:t>
      </w:r>
      <w:r w:rsidRPr="006B2CD4">
        <w:rPr>
          <w:rFonts w:ascii="Times New Roman" w:hAnsi="Times New Roman" w:cs="Times New Roman"/>
          <w:sz w:val="24"/>
          <w:szCs w:val="24"/>
        </w:rPr>
        <w:t xml:space="preserve"> przedmiotem porozumienia jest nie tylko sposób wykonywania prawa głosu, lecz również samo nabycie albo objęcie akcji lub praw z akcji towarzystwa funduszy inwestycyjnych. Nowy art. 54 ust. 7a, na kształt art. 87 ust. 4 ustawy o ofercie publicznej, zawiera natomiast przypadki, w których należy domniemywać istnienie porozumienia, którego przedmiotem jest wykonywanie prawa głosu z akcji. Przepisy </w:t>
      </w:r>
      <w:r w:rsidRPr="006B2CD4">
        <w:rPr>
          <w:rFonts w:ascii="Times New Roman" w:hAnsi="Times New Roman" w:cs="Times New Roman"/>
          <w:sz w:val="24"/>
          <w:szCs w:val="24"/>
        </w:rPr>
        <w:lastRenderedPageBreak/>
        <w:t>te wzorowane są na analogicznej regulacji zawartej w ustawie o ofercie publicznej. Takie doprecyzowanie domniemania porozumienia wpłynie na podwyższenie poziomu ochrony akcjonariuszy mniejszościowych przed wykorzystaniem przez</w:t>
      </w:r>
      <w:r w:rsidR="00EE7D80">
        <w:rPr>
          <w:rFonts w:ascii="Times New Roman" w:hAnsi="Times New Roman" w:cs="Times New Roman"/>
          <w:sz w:val="24"/>
          <w:szCs w:val="24"/>
        </w:rPr>
        <w:t xml:space="preserve"> innych akcjonariuszy</w:t>
      </w:r>
      <w:r w:rsidRPr="006B2CD4">
        <w:rPr>
          <w:rFonts w:ascii="Times New Roman" w:hAnsi="Times New Roman" w:cs="Times New Roman"/>
          <w:sz w:val="24"/>
          <w:szCs w:val="24"/>
        </w:rPr>
        <w:t xml:space="preserve"> przewagi z posiadania określonych w art. 54 ust. 1 ustawy o funduszach inwestycyjnych poziomów ogólnej liczby głosów na walnym zgromadzeniu lub udziału w kapitale zakładowym towarzystwa funduszy inwestycyjnych. W ten sposób wyeliminowana zostanie luka związana z definiowaniem porozumienia przy nabywaniu lub objęciu akcji przekraczającego poziomy określone w art. 54 ust. 1 ustawy o funduszach inwestycyjnych.</w:t>
      </w:r>
    </w:p>
    <w:p w14:paraId="4B412FED" w14:textId="7D10BEB1" w:rsidR="008412F7" w:rsidRDefault="009B5F12" w:rsidP="00DB03EC">
      <w:pPr>
        <w:spacing w:line="360" w:lineRule="auto"/>
        <w:jc w:val="both"/>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rPr>
        <w:tab/>
      </w:r>
      <w:r w:rsidR="008412F7">
        <w:rPr>
          <w:rFonts w:ascii="Times New Roman" w:hAnsi="Times New Roman" w:cs="Times New Roman"/>
          <w:sz w:val="24"/>
          <w:szCs w:val="24"/>
        </w:rPr>
        <w:t>zmiany w zakresie zewnętrznego zarządzania portfelem</w:t>
      </w:r>
      <w:r w:rsidR="00691B1C">
        <w:rPr>
          <w:rFonts w:ascii="Times New Roman" w:hAnsi="Times New Roman" w:cs="Times New Roman"/>
          <w:sz w:val="24"/>
          <w:szCs w:val="24"/>
        </w:rPr>
        <w:t xml:space="preserve"> na </w:t>
      </w:r>
      <w:r w:rsidR="008412F7">
        <w:rPr>
          <w:rFonts w:ascii="Times New Roman" w:hAnsi="Times New Roman" w:cs="Times New Roman"/>
          <w:sz w:val="24"/>
          <w:szCs w:val="24"/>
        </w:rPr>
        <w:t>(art. 50a ust. 4, art. 68 ust. 1d)</w:t>
      </w:r>
    </w:p>
    <w:p w14:paraId="507063C8" w14:textId="37392EB9" w:rsidR="008412F7" w:rsidRPr="00FE6244" w:rsidRDefault="008412F7" w:rsidP="00924B4C">
      <w:pPr>
        <w:shd w:val="clear" w:color="auto" w:fill="FFFFFF" w:themeFill="background1"/>
        <w:spacing w:line="360" w:lineRule="auto"/>
        <w:jc w:val="both"/>
        <w:rPr>
          <w:rFonts w:ascii="Times New Roman" w:hAnsi="Times New Roman" w:cs="Times New Roman"/>
          <w:bCs/>
          <w:sz w:val="24"/>
          <w:szCs w:val="24"/>
        </w:rPr>
      </w:pPr>
      <w:r>
        <w:rPr>
          <w:rFonts w:ascii="Times New Roman" w:hAnsi="Times New Roman" w:cs="Times New Roman"/>
          <w:sz w:val="24"/>
          <w:szCs w:val="24"/>
        </w:rPr>
        <w:t>W ustawie przewidziane zostały także zmiany doprecyzowujące i jednocześnie usprawniające zarządzanie portfelem funduszu przez podmioty zewnętrzne. Nowelizacja art. 50a ust. 4 ma służyć zwiększeniu efektywności zarządzania funduszami i zapewnia spójność z przepisami prawa UE. Istotne jest tutaj, że takie powierzenie zarządzania funduszami inwesty</w:t>
      </w:r>
      <w:r w:rsidR="00691B1C">
        <w:rPr>
          <w:rFonts w:ascii="Times New Roman" w:hAnsi="Times New Roman" w:cs="Times New Roman"/>
          <w:sz w:val="24"/>
          <w:szCs w:val="24"/>
        </w:rPr>
        <w:t xml:space="preserve">cyjnymi lub jego częścią może być rozwiązaniem wyłącznie wyjątkowym i podlegać będzie nadzorowi sprawowanemu przez KNF. Z kolei dodanie do art. 68 ust. 1d określa zachowanie depozytariusza na wypadek zakończenia obowiązywania zezwolenia na wykonywanie działalności przez towarzystwo funduszy inwestycyjnych. Takie rozwiązanie wspomoże przeciwdziałanie negatywnym </w:t>
      </w:r>
      <w:r w:rsidR="00691B1C">
        <w:rPr>
          <w:rFonts w:ascii="Times New Roman" w:hAnsi="Times New Roman" w:cs="Times New Roman"/>
          <w:bCs/>
          <w:sz w:val="24"/>
          <w:szCs w:val="24"/>
        </w:rPr>
        <w:t>skutkom zdarzenia określonego w tym przepisie</w:t>
      </w:r>
      <w:r w:rsidR="00691B1C" w:rsidRPr="00812745">
        <w:rPr>
          <w:rFonts w:ascii="Times New Roman" w:hAnsi="Times New Roman" w:cs="Times New Roman"/>
          <w:bCs/>
          <w:sz w:val="24"/>
          <w:szCs w:val="24"/>
        </w:rPr>
        <w:t>.</w:t>
      </w:r>
      <w:r w:rsidR="00691B1C">
        <w:rPr>
          <w:rFonts w:ascii="Times New Roman" w:hAnsi="Times New Roman" w:cs="Times New Roman"/>
          <w:bCs/>
          <w:sz w:val="24"/>
          <w:szCs w:val="24"/>
        </w:rPr>
        <w:t xml:space="preserve"> Generowane</w:t>
      </w:r>
      <w:r w:rsidR="00691B1C" w:rsidRPr="00812745">
        <w:rPr>
          <w:rFonts w:ascii="Times New Roman" w:hAnsi="Times New Roman" w:cs="Times New Roman"/>
          <w:bCs/>
          <w:sz w:val="24"/>
          <w:szCs w:val="24"/>
        </w:rPr>
        <w:t xml:space="preserve"> znaczne obciążenie dla innych uczestników rynku (np. depozyta</w:t>
      </w:r>
      <w:r w:rsidR="00691B1C">
        <w:rPr>
          <w:rFonts w:ascii="Times New Roman" w:hAnsi="Times New Roman" w:cs="Times New Roman"/>
          <w:bCs/>
          <w:sz w:val="24"/>
          <w:szCs w:val="24"/>
        </w:rPr>
        <w:t>riuszy funduszy) oraz negatywny wpływ takich zdarzeń</w:t>
      </w:r>
      <w:r w:rsidR="00691B1C" w:rsidRPr="00812745">
        <w:rPr>
          <w:rFonts w:ascii="Times New Roman" w:hAnsi="Times New Roman" w:cs="Times New Roman"/>
          <w:bCs/>
          <w:sz w:val="24"/>
          <w:szCs w:val="24"/>
        </w:rPr>
        <w:t xml:space="preserve"> na reputację ca</w:t>
      </w:r>
      <w:r w:rsidR="00691B1C">
        <w:rPr>
          <w:rFonts w:ascii="Times New Roman" w:hAnsi="Times New Roman" w:cs="Times New Roman"/>
          <w:bCs/>
          <w:sz w:val="24"/>
          <w:szCs w:val="24"/>
        </w:rPr>
        <w:t>łego sektora mo</w:t>
      </w:r>
      <w:r w:rsidR="00691B1C" w:rsidRPr="00812745">
        <w:rPr>
          <w:rFonts w:ascii="Times New Roman" w:hAnsi="Times New Roman" w:cs="Times New Roman"/>
          <w:bCs/>
          <w:sz w:val="24"/>
          <w:szCs w:val="24"/>
        </w:rPr>
        <w:t xml:space="preserve">gą podważać zaufanie do rynku finansowego, a więc i </w:t>
      </w:r>
      <w:r w:rsidR="00691B1C" w:rsidRPr="00812745">
        <w:rPr>
          <w:rFonts w:ascii="Times New Roman" w:hAnsi="Times New Roman" w:cs="Times New Roman"/>
          <w:bCs/>
          <w:sz w:val="24"/>
          <w:szCs w:val="24"/>
        </w:rPr>
        <w:lastRenderedPageBreak/>
        <w:t>do podmiotów, które należycie realizują swoją rolę, wybierając modele działalności minimalizujące ryzyka dla nich, ich klientów lub inwestorów.</w:t>
      </w:r>
      <w:r w:rsidR="00691B1C">
        <w:rPr>
          <w:rFonts w:ascii="Times New Roman" w:hAnsi="Times New Roman" w:cs="Times New Roman"/>
          <w:bCs/>
          <w:sz w:val="24"/>
          <w:szCs w:val="24"/>
        </w:rPr>
        <w:t xml:space="preserve"> Przewiduje się więc, że rozwiązanie zawarte w art. 68 ust. 1d wspomoże </w:t>
      </w:r>
      <w:r w:rsidR="00FE6244">
        <w:rPr>
          <w:rFonts w:ascii="Times New Roman" w:hAnsi="Times New Roman" w:cs="Times New Roman"/>
          <w:bCs/>
          <w:sz w:val="24"/>
          <w:szCs w:val="24"/>
        </w:rPr>
        <w:t>przeciwdziałanie takim zdarzeniom i niwelowanie ich skutków.</w:t>
      </w:r>
      <w:r w:rsidR="00691B1C" w:rsidRPr="00812745">
        <w:rPr>
          <w:rFonts w:ascii="Times New Roman" w:hAnsi="Times New Roman" w:cs="Times New Roman"/>
          <w:bCs/>
          <w:sz w:val="24"/>
          <w:szCs w:val="24"/>
        </w:rPr>
        <w:t xml:space="preserve"> </w:t>
      </w:r>
    </w:p>
    <w:p w14:paraId="46BD411E" w14:textId="4E7F4E47" w:rsidR="00DB03EC" w:rsidRPr="006B2CD4" w:rsidRDefault="008412F7" w:rsidP="00DB03EC">
      <w:pPr>
        <w:shd w:val="clear" w:color="auto" w:fill="FFFFFF" w:themeFill="background1"/>
        <w:spacing w:before="120" w:after="120" w:line="360" w:lineRule="auto"/>
        <w:ind w:left="448" w:hanging="448"/>
        <w:jc w:val="both"/>
        <w:rPr>
          <w:rFonts w:ascii="Times New Roman" w:hAnsi="Times New Roman" w:cs="Times New Roman"/>
          <w:sz w:val="24"/>
          <w:szCs w:val="24"/>
        </w:rPr>
      </w:pPr>
      <w:r>
        <w:rPr>
          <w:rFonts w:ascii="Times New Roman" w:hAnsi="Times New Roman" w:cs="Times New Roman"/>
          <w:sz w:val="24"/>
          <w:szCs w:val="24"/>
        </w:rPr>
        <w:t>g</w:t>
      </w:r>
      <w:r w:rsidR="00DB03EC" w:rsidRPr="006B2CD4">
        <w:rPr>
          <w:rFonts w:ascii="Times New Roman" w:hAnsi="Times New Roman" w:cs="Times New Roman"/>
          <w:sz w:val="24"/>
          <w:szCs w:val="24"/>
        </w:rPr>
        <w:t>)</w:t>
      </w:r>
      <w:r w:rsidR="00DB03EC" w:rsidRPr="006B2CD4">
        <w:rPr>
          <w:rFonts w:ascii="Times New Roman" w:hAnsi="Times New Roman" w:cs="Times New Roman"/>
          <w:sz w:val="24"/>
          <w:szCs w:val="24"/>
        </w:rPr>
        <w:tab/>
        <w:t>doprecyzowanie przepisów w zakresie możliwości inwestowania funduszy inwestycyjnych w tytuły uczestnictwa emitowane przez instytucje wspólnego inwestowania mające siedzibę za granicą (art. 101 ust. 1–3 ustawy o funduszach inwestycyjnych)</w:t>
      </w:r>
    </w:p>
    <w:p w14:paraId="6577E793" w14:textId="47E7EBA5" w:rsidR="00DB03EC" w:rsidRPr="00B7503C" w:rsidRDefault="00DB03EC" w:rsidP="00DB03EC">
      <w:pPr>
        <w:spacing w:after="120" w:line="360" w:lineRule="auto"/>
        <w:jc w:val="both"/>
        <w:rPr>
          <w:rFonts w:ascii="Times New Roman" w:hAnsi="Times New Roman" w:cs="Times New Roman"/>
          <w:bCs/>
          <w:sz w:val="24"/>
          <w:szCs w:val="24"/>
          <w:lang w:val="en-US"/>
        </w:rPr>
      </w:pPr>
      <w:r w:rsidRPr="006B2CD4">
        <w:rPr>
          <w:rFonts w:ascii="Times New Roman" w:hAnsi="Times New Roman" w:cs="Times New Roman"/>
          <w:sz w:val="24"/>
          <w:szCs w:val="24"/>
        </w:rPr>
        <w:t>Obecne brzmienie przepisów art. 101 ust. 1–3 ustawy o funduszach inwestycyjnych stwarza trudności interpretacyjne co to tego, jakiego rodzaju instrumenty można uznać za „</w:t>
      </w:r>
      <w:r w:rsidRPr="006B2CD4">
        <w:rPr>
          <w:rFonts w:ascii="Times New Roman" w:hAnsi="Times New Roman" w:cs="Times New Roman"/>
          <w:i/>
          <w:iCs/>
          <w:sz w:val="24"/>
          <w:szCs w:val="24"/>
        </w:rPr>
        <w:t>umarzane na żądanie uczestnika</w:t>
      </w:r>
      <w:r w:rsidRPr="006B2CD4">
        <w:rPr>
          <w:rFonts w:ascii="Times New Roman" w:hAnsi="Times New Roman" w:cs="Times New Roman"/>
          <w:sz w:val="24"/>
          <w:szCs w:val="24"/>
        </w:rPr>
        <w:t>”. W przypadku instrumentów typu ETF notowanych na rynku amerykańskim, po dokonaniu emisji przez podmiot tworzący taki instrument</w:t>
      </w:r>
      <w:r>
        <w:rPr>
          <w:rFonts w:ascii="Times New Roman" w:hAnsi="Times New Roman" w:cs="Times New Roman"/>
          <w:sz w:val="24"/>
          <w:szCs w:val="24"/>
        </w:rPr>
        <w:t>,</w:t>
      </w:r>
      <w:r w:rsidRPr="006B2CD4">
        <w:rPr>
          <w:rFonts w:ascii="Times New Roman" w:hAnsi="Times New Roman" w:cs="Times New Roman"/>
          <w:sz w:val="24"/>
          <w:szCs w:val="24"/>
        </w:rPr>
        <w:t xml:space="preserve"> jest on dopuszczony do obrotu na giełdzie i praktycznie całość obrotu dokonuje się na rynku zorganizowanym. Prospekty i statuty regulujące zasady działania takiego ETF dopuszczają teoretyczną możliwość zwrócenia się do wystawcy instrumentu, jednak żądania takie mogą być składane w zależności od wartości posiadanych przez uczestnika tytułów uczestnictwa, przy czym oczekiwane w takim przypadku wolumeny transakcji opiewają na wartości praktycznie unie</w:t>
      </w:r>
      <w:r w:rsidR="007B76D0">
        <w:rPr>
          <w:rFonts w:ascii="Times New Roman" w:hAnsi="Times New Roman" w:cs="Times New Roman"/>
          <w:sz w:val="24"/>
          <w:szCs w:val="24"/>
        </w:rPr>
        <w:t>możliwiające skorzystanie z tej możliwości</w:t>
      </w:r>
      <w:r w:rsidRPr="006B2CD4">
        <w:rPr>
          <w:rFonts w:ascii="Times New Roman" w:hAnsi="Times New Roman" w:cs="Times New Roman"/>
          <w:sz w:val="24"/>
          <w:szCs w:val="24"/>
        </w:rPr>
        <w:t>. Drugą barierą jest fakt, że umorzenie zrealizowane będzie na żądanie uczestnika poprzez wydanie takiemu uczestnikowi aktywów niepieniężnych (wypłata w naturze), a nie wypłatę środków pieniężnych. Po trzecie konieczność zapewnienia zakresu ochrony, jaka miałaby przysługiwać uczestnikom takiego instrumentu, jako „</w:t>
      </w:r>
      <w:r w:rsidRPr="006B2CD4">
        <w:rPr>
          <w:rFonts w:ascii="Times New Roman" w:hAnsi="Times New Roman" w:cs="Times New Roman"/>
          <w:i/>
          <w:iCs/>
          <w:sz w:val="24"/>
          <w:szCs w:val="24"/>
        </w:rPr>
        <w:t xml:space="preserve">takiej samej jak </w:t>
      </w:r>
      <w:r w:rsidRPr="006B2CD4">
        <w:rPr>
          <w:rFonts w:ascii="Times New Roman" w:hAnsi="Times New Roman" w:cs="Times New Roman"/>
          <w:i/>
          <w:iCs/>
          <w:sz w:val="24"/>
          <w:szCs w:val="24"/>
        </w:rPr>
        <w:lastRenderedPageBreak/>
        <w:t>posiadaczy jednostek uczestnictwa funduszy inwestycyjnych otwartych</w:t>
      </w:r>
      <w:r w:rsidRPr="006B2CD4">
        <w:rPr>
          <w:rFonts w:ascii="Times New Roman" w:hAnsi="Times New Roman" w:cs="Times New Roman"/>
          <w:sz w:val="24"/>
          <w:szCs w:val="24"/>
        </w:rPr>
        <w:t>” oraz ograniczeń inwestycyjnych jakie winny być stosowane w ramach ETF. Dokumentacja określająca zasady inwestowania przez instytucje wspólnego inwestowania pozostaje nieadekwatna do wymagań polskiego ustawodawcy i nie jest możliwe dokonanie miarodajnego zestawienia tych dokumentów z wymogami polskiej ustawy o funduszach inwestycyjnych. Powyższe kwestie często uniemożliwiają zarządzającym polskimi funduszami inwestycyjnymi korzystanie z opisywanych lokat. Z uwagi na faktyczną pły</w:t>
      </w:r>
      <w:r w:rsidR="007B76D0">
        <w:rPr>
          <w:rFonts w:ascii="Times New Roman" w:hAnsi="Times New Roman" w:cs="Times New Roman"/>
          <w:sz w:val="24"/>
          <w:szCs w:val="24"/>
        </w:rPr>
        <w:t xml:space="preserve">nność, </w:t>
      </w:r>
      <w:r w:rsidRPr="006B2CD4">
        <w:rPr>
          <w:rFonts w:ascii="Times New Roman" w:hAnsi="Times New Roman" w:cs="Times New Roman"/>
          <w:sz w:val="24"/>
          <w:szCs w:val="24"/>
        </w:rPr>
        <w:t>tj. wysokie wolumeny obro</w:t>
      </w:r>
      <w:r w:rsidR="007B76D0">
        <w:rPr>
          <w:rFonts w:ascii="Times New Roman" w:hAnsi="Times New Roman" w:cs="Times New Roman"/>
          <w:sz w:val="24"/>
          <w:szCs w:val="24"/>
        </w:rPr>
        <w:t>tu tych instrumentów na rynkach</w:t>
      </w:r>
      <w:r w:rsidRPr="006B2CD4">
        <w:rPr>
          <w:rFonts w:ascii="Times New Roman" w:hAnsi="Times New Roman" w:cs="Times New Roman"/>
          <w:sz w:val="24"/>
          <w:szCs w:val="24"/>
        </w:rPr>
        <w:t xml:space="preserve"> oraz stosowaną przez nie politykę inwestycyjną</w:t>
      </w:r>
      <w:r w:rsidR="007B76D0">
        <w:rPr>
          <w:rFonts w:ascii="Times New Roman" w:hAnsi="Times New Roman" w:cs="Times New Roman"/>
          <w:sz w:val="24"/>
          <w:szCs w:val="24"/>
        </w:rPr>
        <w:t xml:space="preserve">, </w:t>
      </w:r>
      <w:r w:rsidRPr="006B2CD4">
        <w:rPr>
          <w:rFonts w:ascii="Times New Roman" w:hAnsi="Times New Roman" w:cs="Times New Roman"/>
          <w:sz w:val="24"/>
          <w:szCs w:val="24"/>
        </w:rPr>
        <w:t>ograniczenie</w:t>
      </w:r>
      <w:r w:rsidR="007B76D0">
        <w:rPr>
          <w:rFonts w:ascii="Times New Roman" w:hAnsi="Times New Roman" w:cs="Times New Roman"/>
          <w:sz w:val="24"/>
          <w:szCs w:val="24"/>
        </w:rPr>
        <w:t xml:space="preserve"> to stanowi niezasadne utrudnienie</w:t>
      </w:r>
      <w:r w:rsidRPr="006B2CD4">
        <w:rPr>
          <w:rFonts w:ascii="Times New Roman" w:hAnsi="Times New Roman" w:cs="Times New Roman"/>
          <w:sz w:val="24"/>
          <w:szCs w:val="24"/>
        </w:rPr>
        <w:t xml:space="preserve"> działalności polskich funduszy inwestycyjnych względem funduszy o podobnym profilu inwestycyjnym prowadzących działalność za</w:t>
      </w:r>
      <w:r w:rsidR="007B76D0">
        <w:rPr>
          <w:rFonts w:ascii="Times New Roman" w:hAnsi="Times New Roman" w:cs="Times New Roman"/>
          <w:sz w:val="24"/>
          <w:szCs w:val="24"/>
        </w:rPr>
        <w:t xml:space="preserve"> </w:t>
      </w:r>
      <w:r w:rsidRPr="006B2CD4">
        <w:rPr>
          <w:rFonts w:ascii="Times New Roman" w:hAnsi="Times New Roman" w:cs="Times New Roman"/>
          <w:sz w:val="24"/>
          <w:szCs w:val="24"/>
        </w:rPr>
        <w:t xml:space="preserve">granicą. Jednocześnie brzmienie art. 101 ustawy o funduszach inwestycyjnych nie posiada umocowania w obowiązujących właściwych regulacjach unijnych, a konkretnie </w:t>
      </w:r>
      <w:r>
        <w:rPr>
          <w:rFonts w:ascii="Times New Roman" w:hAnsi="Times New Roman" w:cs="Times New Roman"/>
          <w:sz w:val="24"/>
          <w:szCs w:val="24"/>
        </w:rPr>
        <w:t>w</w:t>
      </w:r>
      <w:r w:rsidRPr="006B2CD4">
        <w:rPr>
          <w:rFonts w:ascii="Times New Roman" w:hAnsi="Times New Roman" w:cs="Times New Roman"/>
          <w:sz w:val="24"/>
          <w:szCs w:val="24"/>
        </w:rPr>
        <w:t xml:space="preserve"> art. 50 ust. 1 lit. e </w:t>
      </w:r>
      <w:r w:rsidRPr="006B2CD4">
        <w:rPr>
          <w:rFonts w:ascii="Times New Roman" w:hAnsi="Times New Roman" w:cs="Times New Roman"/>
          <w:bCs/>
          <w:sz w:val="24"/>
          <w:szCs w:val="24"/>
        </w:rPr>
        <w:t>dyrektywy Parlamentu Europejskiego i Rady 2009/65/WE z dnia 13 lipca 2009 r. w sprawie koordynacji przepisów ustawowych, wykonawczych i administracyjnych odnoszących się do przedsiębiorstw zbiorowego inwestowania w zbywalne papiery wartościowe (Dz. Urz. UE L 302 z 17.11.2009 r., s. 32)</w:t>
      </w:r>
      <w:r>
        <w:rPr>
          <w:rFonts w:ascii="Times New Roman" w:hAnsi="Times New Roman" w:cs="Times New Roman"/>
          <w:bCs/>
          <w:sz w:val="24"/>
          <w:szCs w:val="24"/>
        </w:rPr>
        <w:t>,</w:t>
      </w:r>
      <w:r w:rsidRPr="006B2CD4">
        <w:rPr>
          <w:rFonts w:ascii="Times New Roman" w:hAnsi="Times New Roman" w:cs="Times New Roman"/>
          <w:bCs/>
          <w:sz w:val="24"/>
          <w:szCs w:val="24"/>
        </w:rPr>
        <w:t xml:space="preserve"> dalej „dyrektyw</w:t>
      </w:r>
      <w:r>
        <w:rPr>
          <w:rFonts w:ascii="Times New Roman" w:hAnsi="Times New Roman" w:cs="Times New Roman"/>
          <w:bCs/>
          <w:sz w:val="24"/>
          <w:szCs w:val="24"/>
        </w:rPr>
        <w:t>a</w:t>
      </w:r>
      <w:r w:rsidRPr="006B2CD4">
        <w:rPr>
          <w:rFonts w:ascii="Times New Roman" w:hAnsi="Times New Roman" w:cs="Times New Roman"/>
          <w:bCs/>
          <w:sz w:val="24"/>
          <w:szCs w:val="24"/>
        </w:rPr>
        <w:t xml:space="preserve"> UCITS”. Art. 50 ust. 1 lit. e dyrektywy UCITS umożliwia dokonywanie inwestycji w jednostki innych przedsiębiorstw zbiorowego inwestowania w rozumieniu art. 1 ust. 2 lit. a i b tejże dyrektywy. Zgodnie z brzmieniem lit. b</w:t>
      </w:r>
      <w:r>
        <w:rPr>
          <w:rFonts w:ascii="Times New Roman" w:hAnsi="Times New Roman" w:cs="Times New Roman"/>
          <w:bCs/>
          <w:sz w:val="24"/>
          <w:szCs w:val="24"/>
        </w:rPr>
        <w:t>r</w:t>
      </w:r>
      <w:r w:rsidRPr="006B2CD4">
        <w:rPr>
          <w:rFonts w:ascii="Times New Roman" w:hAnsi="Times New Roman" w:cs="Times New Roman"/>
          <w:bCs/>
          <w:sz w:val="24"/>
          <w:szCs w:val="24"/>
        </w:rPr>
        <w:t>, aby uznać przedsiębiorstwo za UCITS jego jednostki uczestnictwa „</w:t>
      </w:r>
      <w:r w:rsidRPr="006B2CD4">
        <w:rPr>
          <w:rFonts w:ascii="Times New Roman" w:hAnsi="Times New Roman" w:cs="Times New Roman"/>
          <w:bCs/>
          <w:i/>
          <w:iCs/>
          <w:sz w:val="24"/>
          <w:szCs w:val="24"/>
        </w:rPr>
        <w:t xml:space="preserve">są na żądanie ich posiadaczy, odkupywane lub umarzane </w:t>
      </w:r>
      <w:r w:rsidRPr="006B2CD4">
        <w:rPr>
          <w:rFonts w:ascii="Times New Roman" w:hAnsi="Times New Roman" w:cs="Times New Roman"/>
          <w:bCs/>
          <w:i/>
          <w:iCs/>
          <w:sz w:val="24"/>
          <w:szCs w:val="24"/>
        </w:rPr>
        <w:lastRenderedPageBreak/>
        <w:t>bezpośrednio lub pośrednio z aktywów tych przedsiębiorstw</w:t>
      </w:r>
      <w:r w:rsidRPr="006B2CD4">
        <w:rPr>
          <w:rFonts w:ascii="Times New Roman" w:hAnsi="Times New Roman" w:cs="Times New Roman"/>
          <w:bCs/>
          <w:sz w:val="24"/>
          <w:szCs w:val="24"/>
        </w:rPr>
        <w:t>”</w:t>
      </w:r>
      <w:r w:rsidR="007B76D0">
        <w:rPr>
          <w:rFonts w:ascii="Times New Roman" w:hAnsi="Times New Roman" w:cs="Times New Roman"/>
          <w:bCs/>
          <w:sz w:val="24"/>
          <w:szCs w:val="24"/>
        </w:rPr>
        <w:t>,</w:t>
      </w:r>
      <w:r w:rsidRPr="006B2CD4">
        <w:rPr>
          <w:rFonts w:ascii="Times New Roman" w:hAnsi="Times New Roman" w:cs="Times New Roman"/>
          <w:bCs/>
          <w:sz w:val="24"/>
          <w:szCs w:val="24"/>
        </w:rPr>
        <w:t xml:space="preserve"> co nie w pełni zostało odzwierciedlone w obecnym art. 101 ust. 1 pkt 3 lit. c) ustawy o funduszach inwestycyjnych. Co więcej, wspomniany przepis unijny stanowi dalej, że „</w:t>
      </w:r>
      <w:r w:rsidRPr="006B2CD4">
        <w:rPr>
          <w:rFonts w:ascii="Times New Roman" w:hAnsi="Times New Roman" w:cs="Times New Roman"/>
          <w:bCs/>
          <w:i/>
          <w:iCs/>
          <w:sz w:val="24"/>
          <w:szCs w:val="24"/>
        </w:rPr>
        <w:t>Działania podjęte przez UCITS w celu zapewnienia, aby giełdowa wartość ich jednostek nie różniła się w znaczny sposób od wartości netto aktywów na te jednostki, będzie uważane za równoznaczne z takim odkupieniem</w:t>
      </w:r>
      <w:r w:rsidRPr="006B2CD4">
        <w:rPr>
          <w:rFonts w:ascii="Times New Roman" w:hAnsi="Times New Roman" w:cs="Times New Roman"/>
          <w:bCs/>
          <w:sz w:val="24"/>
          <w:szCs w:val="24"/>
        </w:rPr>
        <w:t xml:space="preserve">” (ang. </w:t>
      </w:r>
      <w:r w:rsidRPr="006B2CD4">
        <w:rPr>
          <w:rFonts w:ascii="Times New Roman" w:hAnsi="Times New Roman" w:cs="Times New Roman"/>
          <w:bCs/>
          <w:i/>
          <w:iCs/>
          <w:sz w:val="24"/>
          <w:szCs w:val="24"/>
          <w:lang w:val="en-GB"/>
        </w:rPr>
        <w:t>Action taken by a UCITS to ensure that the stock exchange value of its units does not significantly vary from their net asset value shall be regarded as equivalent to such repurchase or redemption</w:t>
      </w:r>
      <w:r w:rsidRPr="006B2CD4">
        <w:rPr>
          <w:rFonts w:ascii="Times New Roman" w:hAnsi="Times New Roman" w:cs="Times New Roman"/>
          <w:bCs/>
          <w:sz w:val="24"/>
          <w:szCs w:val="24"/>
          <w:lang w:val="en-GB"/>
        </w:rPr>
        <w:t xml:space="preserve">.) </w:t>
      </w:r>
      <w:r w:rsidRPr="00B7503C">
        <w:rPr>
          <w:rFonts w:ascii="Times New Roman" w:hAnsi="Times New Roman" w:cs="Times New Roman"/>
          <w:bCs/>
          <w:sz w:val="24"/>
          <w:szCs w:val="24"/>
          <w:lang w:val="en-US"/>
        </w:rPr>
        <w:t xml:space="preserve">co nie znalazło już odzwierciedlenia w polskich przepisach, a jest to główne </w:t>
      </w:r>
      <w:r w:rsidRPr="00B7503C">
        <w:rPr>
          <w:rFonts w:ascii="Times New Roman" w:hAnsi="Times New Roman" w:cs="Times New Roman"/>
          <w:bCs/>
          <w:i/>
          <w:sz w:val="24"/>
          <w:szCs w:val="24"/>
          <w:lang w:val="en-US"/>
        </w:rPr>
        <w:t>ratio legis</w:t>
      </w:r>
      <w:r w:rsidR="007C389F">
        <w:rPr>
          <w:rFonts w:ascii="Times New Roman" w:hAnsi="Times New Roman" w:cs="Times New Roman"/>
          <w:bCs/>
          <w:i/>
          <w:sz w:val="24"/>
          <w:szCs w:val="24"/>
          <w:lang w:val="en-US"/>
        </w:rPr>
        <w:t xml:space="preserve"> </w:t>
      </w:r>
      <w:r w:rsidRPr="00B7503C">
        <w:rPr>
          <w:rFonts w:ascii="Times New Roman" w:hAnsi="Times New Roman" w:cs="Times New Roman"/>
          <w:bCs/>
          <w:sz w:val="24"/>
          <w:szCs w:val="24"/>
          <w:lang w:val="en-US"/>
        </w:rPr>
        <w:t xml:space="preserve">działalności prowadzonej przez fundusze typu ETF. </w:t>
      </w:r>
    </w:p>
    <w:p w14:paraId="6B11FAAD" w14:textId="0ED20D7A" w:rsidR="00044339" w:rsidRDefault="00DB03EC" w:rsidP="00DB03EC">
      <w:pPr>
        <w:spacing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Zmiany w art. 101 ustawy o funduszach inwestycyjnych mają więc na celu uzupełnienie możliwości inwestycyjnych otwartych funduszy inwestycyjnych o certyfikaty inwestycyjne publicznych funduszy inwestycyjnych zamkniętych działających j</w:t>
      </w:r>
      <w:r w:rsidR="00044339">
        <w:rPr>
          <w:rFonts w:ascii="Times New Roman" w:hAnsi="Times New Roman" w:cs="Times New Roman"/>
          <w:bCs/>
          <w:iCs/>
          <w:sz w:val="24"/>
          <w:szCs w:val="24"/>
        </w:rPr>
        <w:t>ako fundusze portfelowe mające</w:t>
      </w:r>
      <w:r w:rsidRPr="006B2CD4">
        <w:rPr>
          <w:rFonts w:ascii="Times New Roman" w:hAnsi="Times New Roman" w:cs="Times New Roman"/>
          <w:bCs/>
          <w:iCs/>
          <w:sz w:val="24"/>
          <w:szCs w:val="24"/>
        </w:rPr>
        <w:t xml:space="preserve"> siedzibę na terytorium Rzeczypospolitej Polskiej. </w:t>
      </w:r>
      <w:r w:rsidR="00044339">
        <w:rPr>
          <w:rFonts w:ascii="Times New Roman" w:hAnsi="Times New Roman" w:cs="Times New Roman"/>
          <w:bCs/>
          <w:iCs/>
          <w:sz w:val="24"/>
          <w:szCs w:val="24"/>
        </w:rPr>
        <w:t xml:space="preserve">Dzięki temu zapewniona zostanie </w:t>
      </w:r>
      <w:r>
        <w:rPr>
          <w:rFonts w:ascii="Times New Roman" w:hAnsi="Times New Roman" w:cs="Times New Roman"/>
          <w:bCs/>
          <w:iCs/>
          <w:sz w:val="24"/>
          <w:szCs w:val="24"/>
        </w:rPr>
        <w:t>analogiczna zasada</w:t>
      </w:r>
      <w:r w:rsidRPr="004163CD">
        <w:rPr>
          <w:rFonts w:ascii="Times New Roman" w:hAnsi="Times New Roman" w:cs="Times New Roman"/>
          <w:bCs/>
          <w:iCs/>
          <w:sz w:val="24"/>
          <w:szCs w:val="24"/>
        </w:rPr>
        <w:t xml:space="preserve"> jak dla funduszy zagranicznych, których ty</w:t>
      </w:r>
      <w:r>
        <w:rPr>
          <w:rFonts w:ascii="Times New Roman" w:hAnsi="Times New Roman" w:cs="Times New Roman"/>
          <w:bCs/>
          <w:iCs/>
          <w:sz w:val="24"/>
          <w:szCs w:val="24"/>
        </w:rPr>
        <w:t>tuły uczestnictwa</w:t>
      </w:r>
      <w:r w:rsidR="007C389F">
        <w:rPr>
          <w:rFonts w:ascii="Times New Roman" w:hAnsi="Times New Roman" w:cs="Times New Roman"/>
          <w:bCs/>
          <w:iCs/>
          <w:sz w:val="24"/>
          <w:szCs w:val="24"/>
        </w:rPr>
        <w:t xml:space="preserve"> </w:t>
      </w:r>
      <w:r>
        <w:rPr>
          <w:rFonts w:ascii="Times New Roman" w:hAnsi="Times New Roman" w:cs="Times New Roman"/>
          <w:bCs/>
          <w:iCs/>
          <w:sz w:val="24"/>
          <w:szCs w:val="24"/>
        </w:rPr>
        <w:t>są wskazane</w:t>
      </w:r>
      <w:r w:rsidRPr="004163CD">
        <w:rPr>
          <w:rFonts w:ascii="Times New Roman" w:hAnsi="Times New Roman" w:cs="Times New Roman"/>
          <w:bCs/>
          <w:iCs/>
          <w:sz w:val="24"/>
          <w:szCs w:val="24"/>
        </w:rPr>
        <w:t xml:space="preserve"> w art. 101 ust. 1 pkt 2</w:t>
      </w:r>
      <w:r>
        <w:rPr>
          <w:rFonts w:ascii="Times New Roman" w:hAnsi="Times New Roman" w:cs="Times New Roman"/>
          <w:bCs/>
          <w:iCs/>
          <w:sz w:val="24"/>
          <w:szCs w:val="24"/>
        </w:rPr>
        <w:t xml:space="preserve"> ustawy o funduszach inwestycyjnych</w:t>
      </w:r>
      <w:r w:rsidRPr="004163CD">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6B2CD4">
        <w:rPr>
          <w:rFonts w:ascii="Times New Roman" w:hAnsi="Times New Roman" w:cs="Times New Roman"/>
          <w:bCs/>
          <w:iCs/>
          <w:sz w:val="24"/>
          <w:szCs w:val="24"/>
        </w:rPr>
        <w:t>Zauważenia wymaga, że obecne brzmienie nowelizowanego przepisu dopuszcza nabywanie przez fundusze inwestycyjne otwarte tytułów uczestnictwa emitowanych przez instytucje wspólnego inwestowania mające siedzibę za granicą, podczas gdy rozwiązanie to nie dotyczy certyfikatów inwestycyjnych portfelowych funduszy inwestycyjnych zamkniętych, będących odpowiednikami instytucji wspólnego inwestowania mających siedzibę za granicą.</w:t>
      </w:r>
      <w:r w:rsidR="00044339">
        <w:rPr>
          <w:rFonts w:ascii="Times New Roman" w:hAnsi="Times New Roman" w:cs="Times New Roman"/>
          <w:bCs/>
          <w:iCs/>
          <w:sz w:val="24"/>
          <w:szCs w:val="24"/>
        </w:rPr>
        <w:t xml:space="preserve"> Podkreślenia również wymaga, że zmiana </w:t>
      </w:r>
      <w:r w:rsidR="00044339">
        <w:rPr>
          <w:rFonts w:ascii="Times New Roman" w:hAnsi="Times New Roman" w:cs="Times New Roman"/>
          <w:bCs/>
          <w:iCs/>
          <w:sz w:val="24"/>
          <w:szCs w:val="24"/>
        </w:rPr>
        <w:lastRenderedPageBreak/>
        <w:t>ta, tj. dodanie w art. 101 ust. 1 pkt 1a pozostaje bez wpływu na dotychczasowe zasady nabywania przez otwarte fundusze inwestycyjne certyfikatów inwestycyjnych emitowanych przez zamknięte fundusze inwestycyjne.</w:t>
      </w:r>
      <w:r w:rsidRPr="006B2CD4">
        <w:rPr>
          <w:rFonts w:ascii="Times New Roman" w:hAnsi="Times New Roman" w:cs="Times New Roman"/>
          <w:bCs/>
          <w:iCs/>
          <w:sz w:val="24"/>
          <w:szCs w:val="24"/>
        </w:rPr>
        <w:t xml:space="preserve"> </w:t>
      </w:r>
    </w:p>
    <w:p w14:paraId="43FBDDC6" w14:textId="2BCAA2BB" w:rsidR="00DB03EC" w:rsidRPr="006B2CD4" w:rsidRDefault="00DB03EC" w:rsidP="00DB03EC">
      <w:pPr>
        <w:spacing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 xml:space="preserve">Zmiana ta ma na celu również zapewnienie zgodności z cytowanymi już z art. 50 ust. 1 lit. e w związku z art. 1 ust. 2 lit. a i b dyrektywy UCITS, który przewiduje, że przedmiotem inwestycji mogą być tytuły uczestnictwa nie tylko funduszy, które są na żądanie uczestnika funduszu odkupywane i umarzane, ale również w przypadku gdy fundusze te podejmują działania w celu zapewnienia, aby giełdowa wartość ich jednostek nie różniła się w znaczny sposób od wartości netto aktywów na te jednostki. </w:t>
      </w:r>
    </w:p>
    <w:p w14:paraId="3077D9EF" w14:textId="46BF9134" w:rsidR="00DB03EC" w:rsidRPr="006B2CD4" w:rsidRDefault="008412F7" w:rsidP="00DB03EC">
      <w:pPr>
        <w:shd w:val="clear" w:color="auto" w:fill="FFFFFF" w:themeFill="background1"/>
        <w:spacing w:before="120" w:after="120" w:line="360" w:lineRule="auto"/>
        <w:ind w:left="448" w:hanging="448"/>
        <w:jc w:val="both"/>
        <w:rPr>
          <w:rFonts w:ascii="Times New Roman" w:hAnsi="Times New Roman" w:cs="Times New Roman"/>
          <w:bCs/>
          <w:sz w:val="24"/>
          <w:szCs w:val="24"/>
        </w:rPr>
      </w:pPr>
      <w:r>
        <w:rPr>
          <w:rFonts w:ascii="Times New Roman" w:hAnsi="Times New Roman" w:cs="Times New Roman"/>
          <w:bCs/>
          <w:sz w:val="24"/>
          <w:szCs w:val="24"/>
        </w:rPr>
        <w:t>h</w:t>
      </w:r>
      <w:r w:rsidR="00DB03EC" w:rsidRPr="006B2CD4">
        <w:rPr>
          <w:rFonts w:ascii="Times New Roman" w:hAnsi="Times New Roman" w:cs="Times New Roman"/>
          <w:bCs/>
          <w:sz w:val="24"/>
          <w:szCs w:val="24"/>
        </w:rPr>
        <w:t>)</w:t>
      </w:r>
      <w:r w:rsidR="00DB03EC" w:rsidRPr="006B2CD4">
        <w:rPr>
          <w:rFonts w:ascii="Times New Roman" w:hAnsi="Times New Roman" w:cs="Times New Roman"/>
          <w:bCs/>
          <w:sz w:val="24"/>
          <w:szCs w:val="24"/>
        </w:rPr>
        <w:tab/>
        <w:t>dodatkowe rozwiązania dotyczące likwidacji funduszu inwestycyjnego (dodanie</w:t>
      </w:r>
      <w:r w:rsidR="00DB03EC">
        <w:rPr>
          <w:rFonts w:ascii="Times New Roman" w:hAnsi="Times New Roman" w:cs="Times New Roman"/>
          <w:bCs/>
          <w:sz w:val="24"/>
          <w:szCs w:val="24"/>
        </w:rPr>
        <w:t xml:space="preserve"> art. 69 ust. 3 zdanie drugie,</w:t>
      </w:r>
      <w:r w:rsidR="00DB03EC" w:rsidRPr="006B2CD4">
        <w:rPr>
          <w:rFonts w:ascii="Times New Roman" w:hAnsi="Times New Roman" w:cs="Times New Roman"/>
          <w:bCs/>
          <w:sz w:val="24"/>
          <w:szCs w:val="24"/>
        </w:rPr>
        <w:t xml:space="preserve"> </w:t>
      </w:r>
      <w:r w:rsidR="00DB03EC">
        <w:rPr>
          <w:rFonts w:ascii="Times New Roman" w:hAnsi="Times New Roman" w:cs="Times New Roman"/>
          <w:bCs/>
          <w:sz w:val="24"/>
          <w:szCs w:val="24"/>
        </w:rPr>
        <w:t xml:space="preserve">art. 227 ust. </w:t>
      </w:r>
      <w:r w:rsidR="00787593">
        <w:rPr>
          <w:rFonts w:ascii="Times New Roman" w:hAnsi="Times New Roman" w:cs="Times New Roman"/>
          <w:bCs/>
          <w:sz w:val="24"/>
          <w:szCs w:val="24"/>
        </w:rPr>
        <w:t>4</w:t>
      </w:r>
      <w:r w:rsidR="00DB03EC">
        <w:rPr>
          <w:rFonts w:ascii="Times New Roman" w:hAnsi="Times New Roman" w:cs="Times New Roman"/>
          <w:bCs/>
          <w:sz w:val="24"/>
          <w:szCs w:val="24"/>
        </w:rPr>
        <w:t xml:space="preserve">, </w:t>
      </w:r>
      <w:r w:rsidR="00DB03EC" w:rsidRPr="006B2CD4">
        <w:rPr>
          <w:rFonts w:ascii="Times New Roman" w:hAnsi="Times New Roman" w:cs="Times New Roman"/>
          <w:bCs/>
          <w:sz w:val="24"/>
          <w:szCs w:val="24"/>
        </w:rPr>
        <w:t xml:space="preserve">art. 248 ust. 2c oraz art. 249 ust. 1b i 1c </w:t>
      </w:r>
      <w:r w:rsidR="00DB03EC" w:rsidRPr="006B2CD4">
        <w:rPr>
          <w:rFonts w:ascii="Times New Roman" w:hAnsi="Times New Roman" w:cs="Times New Roman"/>
          <w:sz w:val="24"/>
          <w:szCs w:val="24"/>
        </w:rPr>
        <w:t>ustawy</w:t>
      </w:r>
      <w:r w:rsidR="00DB03EC" w:rsidRPr="006B2CD4">
        <w:rPr>
          <w:rFonts w:ascii="Times New Roman" w:hAnsi="Times New Roman" w:cs="Times New Roman"/>
          <w:bCs/>
          <w:sz w:val="24"/>
          <w:szCs w:val="24"/>
        </w:rPr>
        <w:t xml:space="preserve"> o funduszach inwestycyjnych)</w:t>
      </w:r>
    </w:p>
    <w:p w14:paraId="00F079F9" w14:textId="75692610" w:rsidR="00DB03EC" w:rsidRPr="006B2CD4" w:rsidRDefault="00DB03EC" w:rsidP="00DB03EC">
      <w:pPr>
        <w:spacing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W tym zakresie istnieje konieczność rozwiązania problemu braku likwidatora w sytuacji cofnięcia zezwolenia TFI prowadzącemu likwidację funduszy oraz potrzeba uregulowania kwestii pokrycia kosztów likwidacji funduszu. W obecnie obowiązującym stanie prawnym brak jest przepisów wskazujących podmiot odpowiedzialny za prowadzenie czynności likwidacyjnych funduszu w sytuacji cofnięcia zezwolenia towarzystwu funduszy inwestycyjnych i jednoczesnym braku depozytariusza funduszu, który mógłby towarzystwo w tej roli zastąpić. Propono</w:t>
      </w:r>
      <w:r w:rsidRPr="006B2CD4">
        <w:rPr>
          <w:rFonts w:ascii="Times New Roman" w:hAnsi="Times New Roman" w:cs="Times New Roman"/>
          <w:bCs/>
          <w:sz w:val="24"/>
          <w:szCs w:val="24"/>
        </w:rPr>
        <w:lastRenderedPageBreak/>
        <w:t>wane przepisy oparte są na założeniu, że w przypadku zaistnienia przywołanej powyżej sytuacji sąd rejestrowy powinien ustanowić innego likwidatora. Jednocześnie, podmiot uprawniony do wykonywania funkcji likwidatora funduszu powinien spełniać stosowne wymogi formalne oraz posiadać odpowiednią ku temu wiedzę i kwalifikacje. Dlatego też podmiot wyznaczany przez sąd rejestrowy na likwidatora funduszu powinien posiadać pełną zdolność do czynności prawnych i legitymować się licencją doradcy restrukturyzacyjnego, co powinno stanowić wystarczającą gwarancję do prawidłowego i efektywnego wykonywania funkcji likwidatora. Ponadto, mając na uwadze, że wykonywanie obowiązków likwidatora wiążę się z wystąpieniem kosztów związanych z przedmiotową likwidacją, a kosztów tych– z uwagi na sytuację majątkową funduszu (np. ujemny WAN, brak środków płynnych) – może nie udać się pokryć z aktywów funduszu, to zasadne jest, aby (w przypadku niemożności ich zaspokojenia z aktywów funduszu) były one subsydiarnie pokrywane przez dotychczasowe towarzystwo lub spółkę, która pełniła funkcję towarzystwa przed utratą zezwolenia.</w:t>
      </w:r>
      <w:r>
        <w:rPr>
          <w:rFonts w:ascii="Times New Roman" w:hAnsi="Times New Roman" w:cs="Times New Roman"/>
          <w:bCs/>
          <w:sz w:val="24"/>
          <w:szCs w:val="24"/>
        </w:rPr>
        <w:t xml:space="preserve"> </w:t>
      </w:r>
      <w:r w:rsidR="00217AE1">
        <w:rPr>
          <w:rFonts w:ascii="Times New Roman" w:hAnsi="Times New Roman" w:cs="Times New Roman"/>
          <w:bCs/>
          <w:sz w:val="24"/>
          <w:szCs w:val="24"/>
        </w:rPr>
        <w:t>L</w:t>
      </w:r>
      <w:r w:rsidRPr="00755C1F">
        <w:rPr>
          <w:rFonts w:ascii="Times New Roman" w:hAnsi="Times New Roman" w:cs="Times New Roman"/>
          <w:bCs/>
          <w:sz w:val="24"/>
          <w:szCs w:val="24"/>
        </w:rPr>
        <w:t>ikwidator powinien być uprawniony do żądania</w:t>
      </w:r>
      <w:r w:rsidR="00A4610B">
        <w:rPr>
          <w:rFonts w:ascii="Times New Roman" w:hAnsi="Times New Roman" w:cs="Times New Roman"/>
          <w:bCs/>
          <w:sz w:val="24"/>
          <w:szCs w:val="24"/>
        </w:rPr>
        <w:t xml:space="preserve"> </w:t>
      </w:r>
      <w:r w:rsidR="00A4610B" w:rsidRPr="00755C1F">
        <w:rPr>
          <w:rFonts w:ascii="Times New Roman" w:hAnsi="Times New Roman" w:cs="Times New Roman"/>
          <w:bCs/>
          <w:sz w:val="24"/>
          <w:szCs w:val="24"/>
        </w:rPr>
        <w:t>zaliczki na pokrycie kosztów</w:t>
      </w:r>
      <w:r w:rsidRPr="00755C1F">
        <w:rPr>
          <w:rFonts w:ascii="Times New Roman" w:hAnsi="Times New Roman" w:cs="Times New Roman"/>
          <w:bCs/>
          <w:sz w:val="24"/>
          <w:szCs w:val="24"/>
        </w:rPr>
        <w:t xml:space="preserve"> od towarzystwa lub spółki, która pełniła funkcję towarzystwa, każdorazowo, kiedy pojawi się taka konieczność z uwagi na brak na danym etapie likwidacji możliwości pokrycia z aktywów funduszu kosztów jego likwidacji. Jednocześnie, jeżeli po zaspokojeniu wierzycieli funduszu pozos</w:t>
      </w:r>
      <w:r w:rsidR="00044339">
        <w:rPr>
          <w:rFonts w:ascii="Times New Roman" w:hAnsi="Times New Roman" w:cs="Times New Roman"/>
          <w:bCs/>
          <w:sz w:val="24"/>
          <w:szCs w:val="24"/>
        </w:rPr>
        <w:t>taną w funduszu jakieś aktywa, t</w:t>
      </w:r>
      <w:r w:rsidRPr="00755C1F">
        <w:rPr>
          <w:rFonts w:ascii="Times New Roman" w:hAnsi="Times New Roman" w:cs="Times New Roman"/>
          <w:bCs/>
          <w:sz w:val="24"/>
          <w:szCs w:val="24"/>
        </w:rPr>
        <w:t>owarzystwo lub spółka będą mogły domagać się od funduszu zwrotu zaliczek wypłaconych na poczet kosztów likwidacji.</w:t>
      </w:r>
    </w:p>
    <w:p w14:paraId="2483F843" w14:textId="3CCB5EAE" w:rsidR="00DB03EC" w:rsidRPr="006B2CD4" w:rsidRDefault="008412F7" w:rsidP="00DB03EC">
      <w:pPr>
        <w:tabs>
          <w:tab w:val="left" w:pos="426"/>
        </w:tabs>
        <w:spacing w:before="120" w:after="120" w:line="360" w:lineRule="auto"/>
        <w:ind w:left="425" w:hanging="425"/>
        <w:jc w:val="both"/>
        <w:rPr>
          <w:rFonts w:ascii="Times New Roman" w:hAnsi="Times New Roman" w:cs="Times New Roman"/>
          <w:bCs/>
          <w:sz w:val="24"/>
          <w:szCs w:val="24"/>
        </w:rPr>
      </w:pPr>
      <w:r>
        <w:rPr>
          <w:rFonts w:ascii="Times New Roman" w:hAnsi="Times New Roman" w:cs="Times New Roman"/>
          <w:bCs/>
          <w:sz w:val="24"/>
          <w:szCs w:val="24"/>
        </w:rPr>
        <w:lastRenderedPageBreak/>
        <w:t>i</w:t>
      </w:r>
      <w:r w:rsidR="009B5F12">
        <w:rPr>
          <w:rFonts w:ascii="Times New Roman" w:hAnsi="Times New Roman" w:cs="Times New Roman"/>
          <w:bCs/>
          <w:sz w:val="24"/>
          <w:szCs w:val="24"/>
        </w:rPr>
        <w:t>)</w:t>
      </w:r>
      <w:r w:rsidR="00DB03EC" w:rsidRPr="006B2CD4">
        <w:rPr>
          <w:rFonts w:ascii="Times New Roman" w:hAnsi="Times New Roman" w:cs="Times New Roman"/>
          <w:bCs/>
          <w:sz w:val="24"/>
          <w:szCs w:val="24"/>
        </w:rPr>
        <w:tab/>
        <w:t xml:space="preserve">zmiany dotyczące wydania przez KNF decyzji administracyjnej ograniczającej zakres wykonywanej działalności zarządzania </w:t>
      </w:r>
      <w:r w:rsidR="00DE2E5B">
        <w:rPr>
          <w:rFonts w:ascii="Times New Roman" w:hAnsi="Times New Roman" w:cs="Times New Roman"/>
          <w:bCs/>
          <w:sz w:val="24"/>
          <w:szCs w:val="24"/>
        </w:rPr>
        <w:t>alternatywnymi funduszami inwestycyjnymi</w:t>
      </w:r>
      <w:r w:rsidR="00DB03EC" w:rsidRPr="006B2CD4">
        <w:rPr>
          <w:rFonts w:ascii="Times New Roman" w:hAnsi="Times New Roman" w:cs="Times New Roman"/>
          <w:bCs/>
          <w:sz w:val="24"/>
          <w:szCs w:val="24"/>
        </w:rPr>
        <w:t xml:space="preserve"> (art. 228 ust. 1c, ust. 1ca</w:t>
      </w:r>
      <w:r w:rsidR="00DB03EC" w:rsidRPr="006B2CD4">
        <w:rPr>
          <w:rFonts w:ascii="Times New Roman" w:hAnsi="Times New Roman" w:cs="Times New Roman"/>
          <w:sz w:val="24"/>
          <w:szCs w:val="24"/>
        </w:rPr>
        <w:t>–</w:t>
      </w:r>
      <w:r w:rsidR="00DB03EC" w:rsidRPr="006B2CD4">
        <w:rPr>
          <w:rFonts w:ascii="Times New Roman" w:hAnsi="Times New Roman" w:cs="Times New Roman"/>
          <w:bCs/>
          <w:sz w:val="24"/>
          <w:szCs w:val="24"/>
        </w:rPr>
        <w:t>1c</w:t>
      </w:r>
      <w:r w:rsidR="00DB03EC">
        <w:rPr>
          <w:rFonts w:ascii="Times New Roman" w:hAnsi="Times New Roman" w:cs="Times New Roman"/>
          <w:bCs/>
          <w:sz w:val="24"/>
          <w:szCs w:val="24"/>
        </w:rPr>
        <w:t>k</w:t>
      </w:r>
      <w:r w:rsidR="00DB03EC" w:rsidRPr="006B2CD4">
        <w:rPr>
          <w:rFonts w:ascii="Times New Roman" w:hAnsi="Times New Roman" w:cs="Times New Roman"/>
          <w:bCs/>
          <w:sz w:val="24"/>
          <w:szCs w:val="24"/>
        </w:rPr>
        <w:t>)</w:t>
      </w:r>
    </w:p>
    <w:p w14:paraId="75D7DBA8" w14:textId="204965B4" w:rsidR="00DB03EC" w:rsidRPr="006B2CD4" w:rsidRDefault="00DB03EC" w:rsidP="00DB03EC">
      <w:pPr>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W ustawie o funduszach inwestycyjnych, w art. 228 ust</w:t>
      </w:r>
      <w:r w:rsidR="00457862">
        <w:rPr>
          <w:rFonts w:ascii="Times New Roman" w:hAnsi="Times New Roman" w:cs="Times New Roman"/>
          <w:bCs/>
          <w:sz w:val="24"/>
          <w:szCs w:val="24"/>
        </w:rPr>
        <w:t>.</w:t>
      </w:r>
      <w:r w:rsidRPr="006B2CD4">
        <w:rPr>
          <w:rFonts w:ascii="Times New Roman" w:hAnsi="Times New Roman" w:cs="Times New Roman"/>
          <w:bCs/>
          <w:sz w:val="24"/>
          <w:szCs w:val="24"/>
        </w:rPr>
        <w:t xml:space="preserve"> 1c zawarta jest norma kompetencyjna, która uprawnia KNF do wydania decyzji administracyjnej ograniczającej zakres wykonywanej działalności zarządzania </w:t>
      </w:r>
      <w:r w:rsidR="006934C5">
        <w:rPr>
          <w:rFonts w:ascii="Times New Roman" w:hAnsi="Times New Roman" w:cs="Times New Roman"/>
          <w:bCs/>
          <w:sz w:val="24"/>
          <w:szCs w:val="24"/>
        </w:rPr>
        <w:t xml:space="preserve">alternatywnymi </w:t>
      </w:r>
      <w:r w:rsidRPr="006B2CD4">
        <w:rPr>
          <w:rFonts w:ascii="Times New Roman" w:hAnsi="Times New Roman" w:cs="Times New Roman"/>
          <w:bCs/>
          <w:sz w:val="24"/>
          <w:szCs w:val="24"/>
        </w:rPr>
        <w:t>fundusz</w:t>
      </w:r>
      <w:r w:rsidR="006934C5">
        <w:rPr>
          <w:rFonts w:ascii="Times New Roman" w:hAnsi="Times New Roman" w:cs="Times New Roman"/>
          <w:bCs/>
          <w:sz w:val="24"/>
          <w:szCs w:val="24"/>
        </w:rPr>
        <w:t>ami inwestycyjnymi</w:t>
      </w:r>
      <w:r w:rsidRPr="006B2CD4">
        <w:rPr>
          <w:rFonts w:ascii="Times New Roman" w:hAnsi="Times New Roman" w:cs="Times New Roman"/>
          <w:bCs/>
          <w:sz w:val="24"/>
          <w:szCs w:val="24"/>
        </w:rPr>
        <w:t xml:space="preserve">. W aktualnym stanie prawnym skorzystanie przez KNF z uprawnienia przewidzianego we wskazanym </w:t>
      </w:r>
      <w:r>
        <w:rPr>
          <w:rFonts w:ascii="Times New Roman" w:hAnsi="Times New Roman" w:cs="Times New Roman"/>
          <w:bCs/>
          <w:sz w:val="24"/>
          <w:szCs w:val="24"/>
        </w:rPr>
        <w:t>przepisie</w:t>
      </w:r>
      <w:r w:rsidRPr="006B2CD4">
        <w:rPr>
          <w:rFonts w:ascii="Times New Roman" w:hAnsi="Times New Roman" w:cs="Times New Roman"/>
          <w:bCs/>
          <w:sz w:val="24"/>
          <w:szCs w:val="24"/>
        </w:rPr>
        <w:t xml:space="preserve"> możliwe jest wyłącznie w zakresie strategii inwestycyjnych, które mogą stosować</w:t>
      </w:r>
      <w:r w:rsidR="00D07303">
        <w:rPr>
          <w:rFonts w:ascii="Times New Roman" w:hAnsi="Times New Roman" w:cs="Times New Roman"/>
          <w:bCs/>
          <w:sz w:val="24"/>
          <w:szCs w:val="24"/>
        </w:rPr>
        <w:t xml:space="preserve"> </w:t>
      </w:r>
      <w:r w:rsidR="006934C5">
        <w:rPr>
          <w:rFonts w:ascii="Times New Roman" w:hAnsi="Times New Roman" w:cs="Times New Roman"/>
          <w:bCs/>
          <w:sz w:val="24"/>
          <w:szCs w:val="24"/>
        </w:rPr>
        <w:t xml:space="preserve">alternatywne </w:t>
      </w:r>
      <w:r w:rsidR="00D07303">
        <w:rPr>
          <w:rFonts w:ascii="Times New Roman" w:hAnsi="Times New Roman" w:cs="Times New Roman"/>
          <w:bCs/>
          <w:sz w:val="24"/>
          <w:szCs w:val="24"/>
        </w:rPr>
        <w:t>fundusze inwestycyjne</w:t>
      </w:r>
      <w:r w:rsidRPr="006B2CD4">
        <w:rPr>
          <w:rFonts w:ascii="Times New Roman" w:hAnsi="Times New Roman" w:cs="Times New Roman"/>
          <w:bCs/>
          <w:sz w:val="24"/>
          <w:szCs w:val="24"/>
        </w:rPr>
        <w:t>, którymi zarządza lub może zarządzać towarzystwo funduszy inwestycyjnych. Wskazane jest rozszerzenie kompetencji KNF poprzez wyposażenie w dodatkowe instrumenty nadzorcze.</w:t>
      </w:r>
    </w:p>
    <w:p w14:paraId="7512C602" w14:textId="78FCB283" w:rsidR="00DB03EC" w:rsidRDefault="00DB03EC" w:rsidP="00DB03EC">
      <w:pPr>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Proponowana zmiana art. 228 ust. 1c pkt 1 ustawy o funduszach inwestycyjnych pozwoli na inną niż w dotychczasowym aspekcie – tj. wyłącznie przez pryzmat strategii inwestycyjnej identyfikację w decyzji administracyjnej tych segmentów działalności zarządzania </w:t>
      </w:r>
      <w:r w:rsidR="004B6BE6">
        <w:rPr>
          <w:rFonts w:ascii="Times New Roman" w:hAnsi="Times New Roman" w:cs="Times New Roman"/>
          <w:bCs/>
          <w:sz w:val="24"/>
          <w:szCs w:val="24"/>
        </w:rPr>
        <w:t xml:space="preserve">alternatywnymi </w:t>
      </w:r>
      <w:r w:rsidR="00D07303">
        <w:rPr>
          <w:rFonts w:ascii="Times New Roman" w:hAnsi="Times New Roman" w:cs="Times New Roman"/>
          <w:bCs/>
          <w:sz w:val="24"/>
          <w:szCs w:val="24"/>
        </w:rPr>
        <w:t>funduszami inwestycyjnymi</w:t>
      </w:r>
      <w:r w:rsidRPr="006B2CD4">
        <w:rPr>
          <w:rFonts w:ascii="Times New Roman" w:hAnsi="Times New Roman" w:cs="Times New Roman"/>
          <w:bCs/>
          <w:sz w:val="24"/>
          <w:szCs w:val="24"/>
        </w:rPr>
        <w:t>, w odniesieniu do których towarzystwo funduszy inwestycyjnych nie będzie już mogło świadczyć usługi zarządzania (zmieniany art. 228 ust. 1c pkt 1 ustawy</w:t>
      </w:r>
      <w:r w:rsidR="004B6BE6">
        <w:rPr>
          <w:rFonts w:ascii="Times New Roman" w:hAnsi="Times New Roman" w:cs="Times New Roman"/>
          <w:bCs/>
          <w:sz w:val="24"/>
          <w:szCs w:val="24"/>
        </w:rPr>
        <w:t xml:space="preserve"> o funduszach inwestycyjnych). </w:t>
      </w:r>
      <w:r w:rsidRPr="006B2CD4">
        <w:rPr>
          <w:rFonts w:ascii="Times New Roman" w:hAnsi="Times New Roman" w:cs="Times New Roman"/>
          <w:bCs/>
          <w:sz w:val="24"/>
          <w:szCs w:val="24"/>
        </w:rPr>
        <w:t xml:space="preserve">W konsekwencji, KNF otrzyma uprawnienia do ograniczenia wykonywania działalności zarządzania </w:t>
      </w:r>
      <w:r w:rsidR="004B6BE6">
        <w:rPr>
          <w:rFonts w:ascii="Times New Roman" w:hAnsi="Times New Roman" w:cs="Times New Roman"/>
          <w:bCs/>
          <w:sz w:val="24"/>
          <w:szCs w:val="24"/>
        </w:rPr>
        <w:t xml:space="preserve">alternatywnymi </w:t>
      </w:r>
      <w:r w:rsidR="00D07303">
        <w:rPr>
          <w:rFonts w:ascii="Times New Roman" w:hAnsi="Times New Roman" w:cs="Times New Roman"/>
          <w:bCs/>
          <w:sz w:val="24"/>
          <w:szCs w:val="24"/>
        </w:rPr>
        <w:t>funduszami inwestycyjnymi</w:t>
      </w:r>
      <w:r w:rsidR="00D07303" w:rsidRPr="006B2CD4">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w zakresie rodzajów bądź typów funduszy inwestycyjnych, którymi zarządza lub może zarządzać towarzystwo. </w:t>
      </w:r>
    </w:p>
    <w:p w14:paraId="28C3FEF4" w14:textId="77777777" w:rsidR="00F620E9" w:rsidRDefault="004B6BE6" w:rsidP="00DB03EC">
      <w:pPr>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lastRenderedPageBreak/>
        <w:t xml:space="preserve">Zmiana art. 228 ust. 1c pociąga za sobą również konieczność </w:t>
      </w:r>
      <w:r>
        <w:rPr>
          <w:rFonts w:ascii="Times New Roman" w:hAnsi="Times New Roman" w:cs="Times New Roman"/>
          <w:bCs/>
          <w:sz w:val="24"/>
          <w:szCs w:val="24"/>
        </w:rPr>
        <w:t xml:space="preserve">zawarcia w zmienianej ustawie </w:t>
      </w:r>
      <w:r w:rsidRPr="006B2CD4">
        <w:rPr>
          <w:rFonts w:ascii="Times New Roman" w:hAnsi="Times New Roman" w:cs="Times New Roman"/>
          <w:bCs/>
          <w:sz w:val="24"/>
          <w:szCs w:val="24"/>
        </w:rPr>
        <w:t>doprecyzowania</w:t>
      </w:r>
      <w:r>
        <w:rPr>
          <w:rFonts w:ascii="Times New Roman" w:hAnsi="Times New Roman" w:cs="Times New Roman"/>
          <w:bCs/>
          <w:sz w:val="24"/>
          <w:szCs w:val="24"/>
        </w:rPr>
        <w:t>,</w:t>
      </w:r>
      <w:r w:rsidRPr="006B2CD4">
        <w:rPr>
          <w:rFonts w:ascii="Times New Roman" w:hAnsi="Times New Roman" w:cs="Times New Roman"/>
          <w:bCs/>
          <w:sz w:val="24"/>
          <w:szCs w:val="24"/>
        </w:rPr>
        <w:t xml:space="preserve"> zgodnie z którym ograniczenie wykonywania zarządzania </w:t>
      </w:r>
      <w:r>
        <w:rPr>
          <w:rFonts w:ascii="Times New Roman" w:hAnsi="Times New Roman" w:cs="Times New Roman"/>
          <w:bCs/>
          <w:sz w:val="24"/>
          <w:szCs w:val="24"/>
        </w:rPr>
        <w:t>alternatywnymi funduszami inwestycyjnymi</w:t>
      </w:r>
      <w:r w:rsidRPr="006B2CD4">
        <w:rPr>
          <w:rFonts w:ascii="Times New Roman" w:hAnsi="Times New Roman" w:cs="Times New Roman"/>
          <w:bCs/>
          <w:sz w:val="24"/>
          <w:szCs w:val="24"/>
        </w:rPr>
        <w:t xml:space="preserve"> może dotyczyć jednego lub kilku subfunduszy wydzielonych w tym </w:t>
      </w:r>
      <w:r>
        <w:rPr>
          <w:rFonts w:ascii="Times New Roman" w:hAnsi="Times New Roman" w:cs="Times New Roman"/>
          <w:bCs/>
          <w:sz w:val="24"/>
          <w:szCs w:val="24"/>
        </w:rPr>
        <w:t xml:space="preserve">alternatywnym </w:t>
      </w:r>
      <w:r w:rsidRPr="006B2CD4">
        <w:rPr>
          <w:rFonts w:ascii="Times New Roman" w:hAnsi="Times New Roman" w:cs="Times New Roman"/>
          <w:bCs/>
          <w:sz w:val="24"/>
          <w:szCs w:val="24"/>
        </w:rPr>
        <w:t xml:space="preserve">funduszu inwestycyjnym lub unijnym alternatywnym funduszu inwestycyjnym. </w:t>
      </w:r>
      <w:r>
        <w:rPr>
          <w:rFonts w:ascii="Times New Roman" w:hAnsi="Times New Roman" w:cs="Times New Roman"/>
          <w:bCs/>
          <w:sz w:val="24"/>
          <w:szCs w:val="24"/>
        </w:rPr>
        <w:t xml:space="preserve">Doprecyzowanie to zostało zawarte w dodawanym w </w:t>
      </w:r>
      <w:r w:rsidRPr="006B2CD4">
        <w:rPr>
          <w:rFonts w:ascii="Times New Roman" w:hAnsi="Times New Roman" w:cs="Times New Roman"/>
          <w:bCs/>
          <w:sz w:val="24"/>
          <w:szCs w:val="24"/>
        </w:rPr>
        <w:t>art. 228 ust. 1ca</w:t>
      </w:r>
      <w:r>
        <w:rPr>
          <w:rFonts w:ascii="Times New Roman" w:hAnsi="Times New Roman" w:cs="Times New Roman"/>
          <w:bCs/>
          <w:sz w:val="24"/>
          <w:szCs w:val="24"/>
        </w:rPr>
        <w:t xml:space="preserve">. </w:t>
      </w:r>
    </w:p>
    <w:p w14:paraId="6C433AA0" w14:textId="6BBFE193" w:rsidR="00DB03EC" w:rsidRDefault="00F620E9" w:rsidP="00DB03EC">
      <w:pPr>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Dodanie art. 228 ust. 1cb ma na celu rozszerzenie możliwości częściowego cofnięcia zezwolenia na specjalistyczn</w:t>
      </w:r>
      <w:r>
        <w:rPr>
          <w:rFonts w:ascii="Times New Roman" w:hAnsi="Times New Roman" w:cs="Times New Roman"/>
          <w:bCs/>
          <w:sz w:val="24"/>
          <w:szCs w:val="24"/>
        </w:rPr>
        <w:t>y</w:t>
      </w:r>
      <w:r w:rsidRPr="006B2CD4">
        <w:rPr>
          <w:rFonts w:ascii="Times New Roman" w:hAnsi="Times New Roman" w:cs="Times New Roman"/>
          <w:bCs/>
          <w:sz w:val="24"/>
          <w:szCs w:val="24"/>
        </w:rPr>
        <w:t xml:space="preserve"> funduszu inwestycyjn</w:t>
      </w:r>
      <w:r>
        <w:rPr>
          <w:rFonts w:ascii="Times New Roman" w:hAnsi="Times New Roman" w:cs="Times New Roman"/>
          <w:bCs/>
          <w:sz w:val="24"/>
          <w:szCs w:val="24"/>
        </w:rPr>
        <w:t>y</w:t>
      </w:r>
      <w:r w:rsidRPr="006B2CD4">
        <w:rPr>
          <w:rFonts w:ascii="Times New Roman" w:hAnsi="Times New Roman" w:cs="Times New Roman"/>
          <w:bCs/>
          <w:sz w:val="24"/>
          <w:szCs w:val="24"/>
        </w:rPr>
        <w:t xml:space="preserve"> otwart</w:t>
      </w:r>
      <w:r>
        <w:rPr>
          <w:rFonts w:ascii="Times New Roman" w:hAnsi="Times New Roman" w:cs="Times New Roman"/>
          <w:bCs/>
          <w:sz w:val="24"/>
          <w:szCs w:val="24"/>
        </w:rPr>
        <w:t>y</w:t>
      </w:r>
      <w:r w:rsidRPr="006B2CD4">
        <w:rPr>
          <w:rFonts w:ascii="Times New Roman" w:hAnsi="Times New Roman" w:cs="Times New Roman"/>
          <w:bCs/>
          <w:sz w:val="24"/>
          <w:szCs w:val="24"/>
        </w:rPr>
        <w:t xml:space="preserve"> stosując</w:t>
      </w:r>
      <w:r>
        <w:rPr>
          <w:rFonts w:ascii="Times New Roman" w:hAnsi="Times New Roman" w:cs="Times New Roman"/>
          <w:bCs/>
          <w:sz w:val="24"/>
          <w:szCs w:val="24"/>
        </w:rPr>
        <w:t>y</w:t>
      </w:r>
      <w:r w:rsidRPr="006B2CD4">
        <w:rPr>
          <w:rFonts w:ascii="Times New Roman" w:hAnsi="Times New Roman" w:cs="Times New Roman"/>
          <w:bCs/>
          <w:sz w:val="24"/>
          <w:szCs w:val="24"/>
        </w:rPr>
        <w:t xml:space="preserve"> </w:t>
      </w:r>
      <w:r>
        <w:rPr>
          <w:rFonts w:ascii="Times New Roman" w:hAnsi="Times New Roman" w:cs="Times New Roman"/>
          <w:bCs/>
          <w:sz w:val="24"/>
          <w:szCs w:val="24"/>
        </w:rPr>
        <w:t xml:space="preserve">zasady i ograniczenia inwestycyjne </w:t>
      </w:r>
      <w:r w:rsidRPr="006B2CD4">
        <w:rPr>
          <w:rFonts w:ascii="Times New Roman" w:hAnsi="Times New Roman" w:cs="Times New Roman"/>
          <w:bCs/>
          <w:sz w:val="24"/>
          <w:szCs w:val="24"/>
        </w:rPr>
        <w:t xml:space="preserve">funduszu inwestycyjnego zamkniętego. Usunięta zostanie w ten sposób wątpliwość co do dopuszczalności wydania decyzji administracyjnej ograniczającej zakres wykonywanej działalności zarządzania </w:t>
      </w:r>
      <w:r>
        <w:rPr>
          <w:rFonts w:ascii="Times New Roman" w:hAnsi="Times New Roman" w:cs="Times New Roman"/>
          <w:bCs/>
          <w:sz w:val="24"/>
          <w:szCs w:val="24"/>
        </w:rPr>
        <w:t>alternatywnym funduszem inwestycyjnym</w:t>
      </w:r>
      <w:r w:rsidRPr="006B2CD4">
        <w:rPr>
          <w:rFonts w:ascii="Times New Roman" w:hAnsi="Times New Roman" w:cs="Times New Roman"/>
          <w:bCs/>
          <w:sz w:val="24"/>
          <w:szCs w:val="24"/>
        </w:rPr>
        <w:t xml:space="preserve"> w odniesieniu do niektórych funduszy/subfunduszy, których profil działalności może okazać się trudny do ujęcia w występujące w ustawie o funduszach inwestycyjnych ramy rodzajowe bądź typologiczne tych podmiotów. </w:t>
      </w:r>
      <w:r w:rsidR="00DB03EC" w:rsidRPr="006B2CD4">
        <w:rPr>
          <w:rFonts w:ascii="Times New Roman" w:hAnsi="Times New Roman" w:cs="Times New Roman"/>
          <w:bCs/>
          <w:sz w:val="24"/>
          <w:szCs w:val="24"/>
        </w:rPr>
        <w:t xml:space="preserve">W niektórych sytuacjach poprzestanie na wskazaniu w decyzji administracyjnej ograniczającej zakres wykonywanej działalności zarządzania </w:t>
      </w:r>
      <w:r w:rsidR="00D07303">
        <w:rPr>
          <w:rFonts w:ascii="Times New Roman" w:hAnsi="Times New Roman" w:cs="Times New Roman"/>
          <w:bCs/>
          <w:sz w:val="24"/>
          <w:szCs w:val="24"/>
        </w:rPr>
        <w:t>funduszem inwestycyjnym</w:t>
      </w:r>
      <w:r w:rsidR="00D07303" w:rsidRPr="006B2CD4">
        <w:rPr>
          <w:rFonts w:ascii="Times New Roman" w:hAnsi="Times New Roman" w:cs="Times New Roman"/>
          <w:bCs/>
          <w:sz w:val="24"/>
          <w:szCs w:val="24"/>
        </w:rPr>
        <w:t xml:space="preserve"> </w:t>
      </w:r>
      <w:r w:rsidR="00DB03EC" w:rsidRPr="006B2CD4">
        <w:rPr>
          <w:rFonts w:ascii="Times New Roman" w:hAnsi="Times New Roman" w:cs="Times New Roman"/>
          <w:bCs/>
          <w:sz w:val="24"/>
          <w:szCs w:val="24"/>
        </w:rPr>
        <w:t xml:space="preserve">rodzaju lub typu funduszu inwestycyjnego, którym nie będzie mogło zarządzać towarzystwo funduszy inwestycyjnych może okazać się niewystarczające. Dlatego też uzasadnionym jest wprowadzenie dodatkowej regulacji, która wprost odnosi się do określonych kategorii funduszy/subfunduszy i stanowi, że one również mogą być objęte zakresem decyzji administracyjnej ograniczającej zakres wykonywanej działalności zarządzania </w:t>
      </w:r>
      <w:r w:rsidR="00D07303">
        <w:rPr>
          <w:rFonts w:ascii="Times New Roman" w:hAnsi="Times New Roman" w:cs="Times New Roman"/>
          <w:bCs/>
          <w:sz w:val="24"/>
          <w:szCs w:val="24"/>
        </w:rPr>
        <w:t>funduszem inwestycyjnym</w:t>
      </w:r>
      <w:r w:rsidR="00DB03EC" w:rsidRPr="006B2CD4">
        <w:rPr>
          <w:rFonts w:ascii="Times New Roman" w:hAnsi="Times New Roman" w:cs="Times New Roman"/>
          <w:bCs/>
          <w:sz w:val="24"/>
          <w:szCs w:val="24"/>
        </w:rPr>
        <w:t xml:space="preserve">. </w:t>
      </w:r>
      <w:r w:rsidR="00DB03EC" w:rsidRPr="006B2CD4">
        <w:rPr>
          <w:rFonts w:ascii="Times New Roman" w:hAnsi="Times New Roman" w:cs="Times New Roman"/>
          <w:bCs/>
          <w:sz w:val="24"/>
          <w:szCs w:val="24"/>
        </w:rPr>
        <w:lastRenderedPageBreak/>
        <w:t>Mowa tu o specjalistycznym funduszu inwestycyjnym otwartym (albo subfunduszu wydzielonym w takim specjalistycznym funduszu inwestycyjnym otwartym), który przy dokonywaniu lokat stosuje zasady i ograniczenia inwestycyjne funduszy inwestycyjnych zamkniętych lub został utworzony jako fundusz aktywów niepublicznych.</w:t>
      </w:r>
    </w:p>
    <w:p w14:paraId="5EF1DD63" w14:textId="00696E8B" w:rsidR="00507CEC" w:rsidRDefault="00507CEC" w:rsidP="00DB03EC">
      <w:pPr>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Dodanie do ustawy o funduszach inwestycyjnych art. 228 ust. 1ca</w:t>
      </w:r>
      <w:r w:rsidRPr="006B2CD4">
        <w:rPr>
          <w:rFonts w:ascii="Times New Roman" w:hAnsi="Times New Roman" w:cs="Times New Roman"/>
          <w:sz w:val="24"/>
          <w:szCs w:val="24"/>
        </w:rPr>
        <w:t>–</w:t>
      </w:r>
      <w:r w:rsidRPr="006B2CD4">
        <w:rPr>
          <w:rFonts w:ascii="Times New Roman" w:hAnsi="Times New Roman" w:cs="Times New Roman"/>
          <w:bCs/>
          <w:sz w:val="24"/>
          <w:szCs w:val="24"/>
        </w:rPr>
        <w:t>1c</w:t>
      </w:r>
      <w:r>
        <w:rPr>
          <w:rFonts w:ascii="Times New Roman" w:hAnsi="Times New Roman" w:cs="Times New Roman"/>
          <w:bCs/>
          <w:sz w:val="24"/>
          <w:szCs w:val="24"/>
        </w:rPr>
        <w:t>k</w:t>
      </w:r>
      <w:r w:rsidRPr="006B2CD4">
        <w:rPr>
          <w:rFonts w:ascii="Times New Roman" w:hAnsi="Times New Roman" w:cs="Times New Roman"/>
          <w:bCs/>
          <w:sz w:val="24"/>
          <w:szCs w:val="24"/>
        </w:rPr>
        <w:t xml:space="preserve"> doprecyzuje również w sposób kompleksowy konsekwencje prawne wydania decyzji administracyjnej ograniczającej zakres wykonywanej działalności zarządzania </w:t>
      </w:r>
      <w:r>
        <w:rPr>
          <w:rFonts w:ascii="Times New Roman" w:hAnsi="Times New Roman" w:cs="Times New Roman"/>
          <w:bCs/>
          <w:sz w:val="24"/>
          <w:szCs w:val="24"/>
        </w:rPr>
        <w:t xml:space="preserve">alternatywnym </w:t>
      </w:r>
      <w:r w:rsidRPr="00D07303">
        <w:rPr>
          <w:rFonts w:ascii="Times New Roman" w:hAnsi="Times New Roman" w:cs="Times New Roman"/>
          <w:bCs/>
          <w:sz w:val="24"/>
          <w:szCs w:val="24"/>
        </w:rPr>
        <w:t>funduszem inwestycyjnym</w:t>
      </w:r>
      <w:r w:rsidRPr="006B2CD4">
        <w:rPr>
          <w:rFonts w:ascii="Times New Roman" w:hAnsi="Times New Roman" w:cs="Times New Roman"/>
          <w:bCs/>
          <w:sz w:val="24"/>
          <w:szCs w:val="24"/>
        </w:rPr>
        <w:t xml:space="preserve">. Uzasadnieniem tej propozycji legislacyjnej jest brak w przepisach ustawy o funduszach inwestycyjnych szczegółowych unormowań wskazujących skutki prawne wydania decyzji administracyjnej ograniczającej zakres wykonywanej działalności zarządzania </w:t>
      </w:r>
      <w:r>
        <w:rPr>
          <w:rFonts w:ascii="Times New Roman" w:hAnsi="Times New Roman" w:cs="Times New Roman"/>
          <w:bCs/>
          <w:sz w:val="24"/>
          <w:szCs w:val="24"/>
        </w:rPr>
        <w:t xml:space="preserve">alternatywnym </w:t>
      </w:r>
      <w:r w:rsidRPr="00D07303">
        <w:rPr>
          <w:rFonts w:ascii="Times New Roman" w:hAnsi="Times New Roman" w:cs="Times New Roman"/>
          <w:bCs/>
          <w:sz w:val="24"/>
          <w:szCs w:val="24"/>
        </w:rPr>
        <w:t>funduszem inwestycyjnym</w:t>
      </w:r>
      <w:r w:rsidRPr="006B2CD4">
        <w:rPr>
          <w:rFonts w:ascii="Times New Roman" w:hAnsi="Times New Roman" w:cs="Times New Roman"/>
          <w:bCs/>
          <w:sz w:val="24"/>
          <w:szCs w:val="24"/>
        </w:rPr>
        <w:t xml:space="preserve">. Taki stan rzeczy implikuje konieczność wydania stosownych przepisów regulujących – najogólniej rzecz biorąc – zasady reprezentacji i zarządzania </w:t>
      </w:r>
      <w:r w:rsidRPr="00887B00">
        <w:rPr>
          <w:rFonts w:ascii="Times New Roman" w:hAnsi="Times New Roman" w:cs="Times New Roman"/>
          <w:bCs/>
          <w:sz w:val="24"/>
          <w:szCs w:val="24"/>
        </w:rPr>
        <w:t>funduszem inwestycyjnym</w:t>
      </w:r>
      <w:r w:rsidRPr="006B2CD4">
        <w:rPr>
          <w:rFonts w:ascii="Times New Roman" w:hAnsi="Times New Roman" w:cs="Times New Roman"/>
          <w:bCs/>
          <w:sz w:val="24"/>
          <w:szCs w:val="24"/>
        </w:rPr>
        <w:t xml:space="preserve"> po wydaniu decyzji administracyjnej ograniczającej zakres wykonywanej działalności zarządzania </w:t>
      </w:r>
      <w:r>
        <w:rPr>
          <w:rFonts w:ascii="Times New Roman" w:hAnsi="Times New Roman" w:cs="Times New Roman"/>
          <w:bCs/>
          <w:sz w:val="24"/>
          <w:szCs w:val="24"/>
        </w:rPr>
        <w:t xml:space="preserve">alternatywnym </w:t>
      </w:r>
      <w:r w:rsidRPr="00887B00">
        <w:rPr>
          <w:rFonts w:ascii="Times New Roman" w:hAnsi="Times New Roman" w:cs="Times New Roman"/>
          <w:bCs/>
          <w:sz w:val="24"/>
          <w:szCs w:val="24"/>
        </w:rPr>
        <w:t>funduszem inwestycyjnym</w:t>
      </w:r>
      <w:r w:rsidRPr="006B2CD4">
        <w:rPr>
          <w:rFonts w:ascii="Times New Roman" w:hAnsi="Times New Roman" w:cs="Times New Roman"/>
          <w:bCs/>
          <w:sz w:val="24"/>
          <w:szCs w:val="24"/>
        </w:rPr>
        <w:t>. Chodzi tu przede wszystkim o uregu</w:t>
      </w:r>
      <w:r>
        <w:rPr>
          <w:rFonts w:ascii="Times New Roman" w:hAnsi="Times New Roman" w:cs="Times New Roman"/>
          <w:bCs/>
          <w:sz w:val="24"/>
          <w:szCs w:val="24"/>
        </w:rPr>
        <w:t xml:space="preserve">lowanie następujących kwestii: </w:t>
      </w:r>
    </w:p>
    <w:p w14:paraId="059B1599" w14:textId="77777777" w:rsidR="003E70B5" w:rsidRPr="006B2CD4" w:rsidRDefault="003E70B5" w:rsidP="003E70B5">
      <w:pPr>
        <w:pStyle w:val="Akapitzlist"/>
        <w:numPr>
          <w:ilvl w:val="0"/>
          <w:numId w:val="15"/>
        </w:numPr>
        <w:spacing w:line="360" w:lineRule="auto"/>
        <w:ind w:left="284" w:hanging="284"/>
        <w:jc w:val="both"/>
        <w:rPr>
          <w:rFonts w:ascii="Times New Roman" w:hAnsi="Times New Roman" w:cs="Times New Roman"/>
          <w:bCs/>
          <w:sz w:val="24"/>
          <w:szCs w:val="24"/>
        </w:rPr>
      </w:pPr>
      <w:r w:rsidRPr="006B2CD4">
        <w:rPr>
          <w:rFonts w:ascii="Times New Roman" w:hAnsi="Times New Roman" w:cs="Times New Roman"/>
          <w:bCs/>
          <w:sz w:val="24"/>
          <w:szCs w:val="24"/>
        </w:rPr>
        <w:t>bezpośredniego skutku prawnego wydania decyzji,</w:t>
      </w:r>
    </w:p>
    <w:p w14:paraId="29982F2D" w14:textId="77777777" w:rsidR="003E70B5" w:rsidRPr="006B2CD4" w:rsidRDefault="003E70B5" w:rsidP="003E70B5">
      <w:pPr>
        <w:pStyle w:val="Akapitzlist"/>
        <w:numPr>
          <w:ilvl w:val="0"/>
          <w:numId w:val="15"/>
        </w:numPr>
        <w:spacing w:line="360" w:lineRule="auto"/>
        <w:ind w:left="284" w:hanging="284"/>
        <w:jc w:val="both"/>
        <w:rPr>
          <w:rFonts w:ascii="Times New Roman" w:hAnsi="Times New Roman" w:cs="Times New Roman"/>
          <w:bCs/>
          <w:sz w:val="24"/>
          <w:szCs w:val="24"/>
        </w:rPr>
      </w:pPr>
      <w:r w:rsidRPr="006B2CD4">
        <w:rPr>
          <w:rFonts w:ascii="Times New Roman" w:hAnsi="Times New Roman" w:cs="Times New Roman"/>
          <w:bCs/>
          <w:sz w:val="24"/>
          <w:szCs w:val="24"/>
        </w:rPr>
        <w:t>ram czasowych obowiązywania zakazu wykonywania przez TFI działalności wskazanej w decyzji,</w:t>
      </w:r>
    </w:p>
    <w:p w14:paraId="4E56ABB6" w14:textId="77777777" w:rsidR="003E70B5" w:rsidRPr="006B2CD4" w:rsidRDefault="003E70B5" w:rsidP="003E70B5">
      <w:pPr>
        <w:pStyle w:val="Akapitzlist"/>
        <w:numPr>
          <w:ilvl w:val="0"/>
          <w:numId w:val="15"/>
        </w:numPr>
        <w:spacing w:line="360" w:lineRule="auto"/>
        <w:ind w:left="284" w:hanging="284"/>
        <w:jc w:val="both"/>
        <w:rPr>
          <w:rFonts w:ascii="Times New Roman" w:hAnsi="Times New Roman" w:cs="Times New Roman"/>
          <w:bCs/>
          <w:sz w:val="24"/>
          <w:szCs w:val="24"/>
        </w:rPr>
      </w:pPr>
      <w:r w:rsidRPr="006B2CD4">
        <w:rPr>
          <w:rFonts w:ascii="Times New Roman" w:hAnsi="Times New Roman" w:cs="Times New Roman"/>
          <w:bCs/>
          <w:sz w:val="24"/>
          <w:szCs w:val="24"/>
        </w:rPr>
        <w:t>tymczasowych i docelowych zasad reprezentacji</w:t>
      </w:r>
      <w:r>
        <w:rPr>
          <w:rFonts w:ascii="Times New Roman" w:hAnsi="Times New Roman" w:cs="Times New Roman"/>
          <w:bCs/>
          <w:sz w:val="24"/>
          <w:szCs w:val="24"/>
        </w:rPr>
        <w:t xml:space="preserve"> alternatywnego funduszu inwestycyjnego</w:t>
      </w:r>
      <w:r w:rsidRPr="006B2CD4">
        <w:rPr>
          <w:rFonts w:ascii="Times New Roman" w:hAnsi="Times New Roman" w:cs="Times New Roman"/>
          <w:bCs/>
          <w:sz w:val="24"/>
          <w:szCs w:val="24"/>
        </w:rPr>
        <w:t xml:space="preserve"> po wydaniu decyzji,</w:t>
      </w:r>
    </w:p>
    <w:p w14:paraId="6E064134" w14:textId="77777777" w:rsidR="003E70B5" w:rsidRPr="006B2CD4" w:rsidRDefault="003E70B5" w:rsidP="003E70B5">
      <w:pPr>
        <w:pStyle w:val="Akapitzlist"/>
        <w:numPr>
          <w:ilvl w:val="0"/>
          <w:numId w:val="15"/>
        </w:numPr>
        <w:spacing w:after="120" w:line="360" w:lineRule="auto"/>
        <w:ind w:left="284" w:hanging="284"/>
        <w:jc w:val="both"/>
        <w:rPr>
          <w:rFonts w:ascii="Times New Roman" w:hAnsi="Times New Roman" w:cs="Times New Roman"/>
          <w:bCs/>
          <w:sz w:val="24"/>
          <w:szCs w:val="24"/>
        </w:rPr>
      </w:pPr>
      <w:r w:rsidRPr="006B2CD4">
        <w:rPr>
          <w:rFonts w:ascii="Times New Roman" w:hAnsi="Times New Roman" w:cs="Times New Roman"/>
          <w:bCs/>
          <w:sz w:val="24"/>
          <w:szCs w:val="24"/>
        </w:rPr>
        <w:lastRenderedPageBreak/>
        <w:t xml:space="preserve">sposobu postępowania w przypadku braku możliwości osiągnięcia docelowego modelu reprezentacji i zarządzania </w:t>
      </w:r>
      <w:r>
        <w:rPr>
          <w:rFonts w:ascii="Times New Roman" w:hAnsi="Times New Roman" w:cs="Times New Roman"/>
          <w:bCs/>
          <w:sz w:val="24"/>
          <w:szCs w:val="24"/>
        </w:rPr>
        <w:t>alternatywnym funduszem inwestycyjnym</w:t>
      </w:r>
      <w:r w:rsidRPr="006B2CD4">
        <w:rPr>
          <w:rFonts w:ascii="Times New Roman" w:hAnsi="Times New Roman" w:cs="Times New Roman"/>
          <w:bCs/>
          <w:sz w:val="24"/>
          <w:szCs w:val="24"/>
        </w:rPr>
        <w:t xml:space="preserve"> po wydaniu decyzji.</w:t>
      </w:r>
    </w:p>
    <w:p w14:paraId="01004ACD" w14:textId="77777777" w:rsidR="003E70B5" w:rsidRPr="006B2CD4" w:rsidRDefault="003E70B5" w:rsidP="003E70B5">
      <w:pPr>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Zgodnie z założeniem przepisy dotyczące ww. kwestii normowałyby skutki prawne wydania decyzji administracyjnej ograniczającej zakres wykonywanej działalności zarządzania </w:t>
      </w:r>
      <w:r>
        <w:rPr>
          <w:rFonts w:ascii="Times New Roman" w:hAnsi="Times New Roman" w:cs="Times New Roman"/>
          <w:bCs/>
          <w:sz w:val="24"/>
          <w:szCs w:val="24"/>
        </w:rPr>
        <w:t>alternatywnym funduszem inwestycyjnym</w:t>
      </w:r>
      <w:r w:rsidRPr="006B2CD4">
        <w:rPr>
          <w:rFonts w:ascii="Times New Roman" w:hAnsi="Times New Roman" w:cs="Times New Roman"/>
          <w:bCs/>
          <w:sz w:val="24"/>
          <w:szCs w:val="24"/>
        </w:rPr>
        <w:t xml:space="preserve"> co do zasady w analogiczny sposób</w:t>
      </w:r>
      <w:r>
        <w:rPr>
          <w:rFonts w:ascii="Times New Roman" w:hAnsi="Times New Roman" w:cs="Times New Roman"/>
          <w:bCs/>
          <w:sz w:val="24"/>
          <w:szCs w:val="24"/>
        </w:rPr>
        <w:t>,</w:t>
      </w:r>
      <w:r w:rsidRPr="006B2CD4">
        <w:rPr>
          <w:rFonts w:ascii="Times New Roman" w:hAnsi="Times New Roman" w:cs="Times New Roman"/>
          <w:bCs/>
          <w:sz w:val="24"/>
          <w:szCs w:val="24"/>
        </w:rPr>
        <w:t xml:space="preserve"> jak w przypadku skutków prawnych wynikających z decyzji o cofnięciu zezwolenia na wykonywanie działalności przez TFI, które są określone w ustawie o funduszach inwestycyjnych. Towarzystwo funduszy inwestycyjnych, w następstwie wydania decyzji administracyjnej ograniczającej zakres wykonywanej działalności zarządzania </w:t>
      </w:r>
      <w:r>
        <w:rPr>
          <w:rFonts w:ascii="Times New Roman" w:hAnsi="Times New Roman" w:cs="Times New Roman"/>
          <w:bCs/>
          <w:sz w:val="24"/>
          <w:szCs w:val="24"/>
        </w:rPr>
        <w:t xml:space="preserve">alternatywnym </w:t>
      </w:r>
      <w:r w:rsidRPr="00887B00">
        <w:rPr>
          <w:rFonts w:ascii="Times New Roman" w:hAnsi="Times New Roman" w:cs="Times New Roman"/>
          <w:bCs/>
          <w:sz w:val="24"/>
          <w:szCs w:val="24"/>
        </w:rPr>
        <w:t>funduszem inwestycyjnym</w:t>
      </w:r>
      <w:r w:rsidRPr="006B2CD4">
        <w:rPr>
          <w:rFonts w:ascii="Times New Roman" w:hAnsi="Times New Roman" w:cs="Times New Roman"/>
          <w:bCs/>
          <w:sz w:val="24"/>
          <w:szCs w:val="24"/>
        </w:rPr>
        <w:t xml:space="preserve">, bezterminowo traciłoby prawo reprezentacji i zarządzania określonym w tej decyzji rodzajem bądź typem </w:t>
      </w:r>
      <w:r>
        <w:rPr>
          <w:rFonts w:ascii="Times New Roman" w:hAnsi="Times New Roman" w:cs="Times New Roman"/>
          <w:bCs/>
          <w:sz w:val="24"/>
          <w:szCs w:val="24"/>
        </w:rPr>
        <w:t>alternatywnego funduszu inwestycyjnego</w:t>
      </w:r>
      <w:r w:rsidRPr="006B2CD4">
        <w:rPr>
          <w:rFonts w:ascii="Times New Roman" w:hAnsi="Times New Roman" w:cs="Times New Roman"/>
          <w:bCs/>
          <w:sz w:val="24"/>
          <w:szCs w:val="24"/>
        </w:rPr>
        <w:t xml:space="preserve"> na rzecz depozytariusza t</w:t>
      </w:r>
      <w:r>
        <w:rPr>
          <w:rFonts w:ascii="Times New Roman" w:hAnsi="Times New Roman" w:cs="Times New Roman"/>
          <w:bCs/>
          <w:sz w:val="24"/>
          <w:szCs w:val="24"/>
        </w:rPr>
        <w:t>ego</w:t>
      </w:r>
      <w:r w:rsidRPr="006B2CD4">
        <w:rPr>
          <w:rFonts w:ascii="Times New Roman" w:hAnsi="Times New Roman" w:cs="Times New Roman"/>
          <w:bCs/>
          <w:sz w:val="24"/>
          <w:szCs w:val="24"/>
        </w:rPr>
        <w:t xml:space="preserve"> fundusz</w:t>
      </w:r>
      <w:r>
        <w:rPr>
          <w:rFonts w:ascii="Times New Roman" w:hAnsi="Times New Roman" w:cs="Times New Roman"/>
          <w:bCs/>
          <w:sz w:val="24"/>
          <w:szCs w:val="24"/>
        </w:rPr>
        <w:t>u</w:t>
      </w:r>
      <w:r w:rsidRPr="006B2CD4">
        <w:rPr>
          <w:rFonts w:ascii="Times New Roman" w:hAnsi="Times New Roman" w:cs="Times New Roman"/>
          <w:bCs/>
          <w:sz w:val="24"/>
          <w:szCs w:val="24"/>
        </w:rPr>
        <w:t>. Depozytariusz pełniłby funkcje reprezentacyjno-zarządcze tymczasowo, tj. do chwili przejęcia zarządzania takimi funduszami przez inne TFI. Przejęcie zarządzania byłoby równocześnie docelowym i preferowanym modelem reprezentacji i zarządzania</w:t>
      </w:r>
      <w:r>
        <w:rPr>
          <w:rFonts w:ascii="Times New Roman" w:hAnsi="Times New Roman" w:cs="Times New Roman"/>
          <w:bCs/>
          <w:sz w:val="24"/>
          <w:szCs w:val="24"/>
        </w:rPr>
        <w:t xml:space="preserve"> alternatywnym </w:t>
      </w:r>
      <w:r w:rsidRPr="00887B00">
        <w:rPr>
          <w:rFonts w:ascii="Times New Roman" w:hAnsi="Times New Roman" w:cs="Times New Roman"/>
          <w:bCs/>
          <w:sz w:val="24"/>
          <w:szCs w:val="24"/>
        </w:rPr>
        <w:t>funduszem inwestycyjnym</w:t>
      </w:r>
      <w:r w:rsidRPr="006B2CD4">
        <w:rPr>
          <w:rFonts w:ascii="Times New Roman" w:hAnsi="Times New Roman" w:cs="Times New Roman"/>
          <w:bCs/>
          <w:sz w:val="24"/>
          <w:szCs w:val="24"/>
        </w:rPr>
        <w:t xml:space="preserve"> po wydaniu stosownej decyzji ograniczającej działalność</w:t>
      </w:r>
      <w:r>
        <w:rPr>
          <w:rFonts w:ascii="Times New Roman" w:hAnsi="Times New Roman" w:cs="Times New Roman"/>
          <w:bCs/>
          <w:sz w:val="24"/>
          <w:szCs w:val="24"/>
        </w:rPr>
        <w:t xml:space="preserve"> takiego funduszu</w:t>
      </w:r>
      <w:r w:rsidRPr="006B2CD4">
        <w:rPr>
          <w:rFonts w:ascii="Times New Roman" w:hAnsi="Times New Roman" w:cs="Times New Roman"/>
          <w:bCs/>
          <w:sz w:val="24"/>
          <w:szCs w:val="24"/>
        </w:rPr>
        <w:t>. Niedojście do skutku rzeczonego przejęcia w określonym w projektowanych przepisach horyzoncie czasowym skutkowałoby likwidacją ww. fundusz</w:t>
      </w:r>
      <w:r>
        <w:rPr>
          <w:rFonts w:ascii="Times New Roman" w:hAnsi="Times New Roman" w:cs="Times New Roman"/>
          <w:bCs/>
          <w:sz w:val="24"/>
          <w:szCs w:val="24"/>
        </w:rPr>
        <w:t>u</w:t>
      </w:r>
      <w:r w:rsidRPr="006B2CD4">
        <w:rPr>
          <w:rFonts w:ascii="Times New Roman" w:hAnsi="Times New Roman" w:cs="Times New Roman"/>
          <w:bCs/>
          <w:sz w:val="24"/>
          <w:szCs w:val="24"/>
        </w:rPr>
        <w:t>.</w:t>
      </w:r>
    </w:p>
    <w:p w14:paraId="034244F6" w14:textId="77777777" w:rsidR="003E70B5" w:rsidRPr="006B2CD4" w:rsidRDefault="003E70B5" w:rsidP="003E70B5">
      <w:pPr>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Określenie konsekwencji prawnych decyzji administracyjnej ograniczającej zakres wykonywanej działalności zarządzania </w:t>
      </w:r>
      <w:r>
        <w:rPr>
          <w:rFonts w:ascii="Times New Roman" w:hAnsi="Times New Roman" w:cs="Times New Roman"/>
          <w:bCs/>
          <w:sz w:val="24"/>
          <w:szCs w:val="24"/>
        </w:rPr>
        <w:t xml:space="preserve">alternatywnym </w:t>
      </w:r>
      <w:r w:rsidRPr="00887B00">
        <w:rPr>
          <w:rFonts w:ascii="Times New Roman" w:hAnsi="Times New Roman" w:cs="Times New Roman"/>
          <w:bCs/>
          <w:sz w:val="24"/>
          <w:szCs w:val="24"/>
        </w:rPr>
        <w:t>funduszem inwestycyjnym</w:t>
      </w:r>
      <w:r w:rsidRPr="006B2CD4">
        <w:rPr>
          <w:rFonts w:ascii="Times New Roman" w:hAnsi="Times New Roman" w:cs="Times New Roman"/>
          <w:bCs/>
          <w:sz w:val="24"/>
          <w:szCs w:val="24"/>
        </w:rPr>
        <w:t xml:space="preserve"> musi także uwzględniać reżim działalności szczególnej kategorii funduszy inwestycyjnych. Chodzi tu o </w:t>
      </w:r>
      <w:r w:rsidRPr="006B2CD4">
        <w:rPr>
          <w:rFonts w:ascii="Times New Roman" w:hAnsi="Times New Roman" w:cs="Times New Roman"/>
          <w:bCs/>
          <w:sz w:val="24"/>
          <w:szCs w:val="24"/>
        </w:rPr>
        <w:lastRenderedPageBreak/>
        <w:t xml:space="preserve">specjalistyczne fundusze inwestycyjne otwarte, które są funduszami zdefiniowanej daty (FZD) i zarządzają Pracowniczymi Planami Kapitałowymi (PPK). W odniesieniu do tej kategorii podmiotów skutki prawne wydania decyzji nie mogą być tożsame jak w przypadku pozostałych </w:t>
      </w:r>
      <w:r>
        <w:rPr>
          <w:rFonts w:ascii="Times New Roman" w:hAnsi="Times New Roman" w:cs="Times New Roman"/>
          <w:bCs/>
          <w:sz w:val="24"/>
          <w:szCs w:val="24"/>
        </w:rPr>
        <w:t>funduszy inwestycyjnych</w:t>
      </w:r>
      <w:r w:rsidRPr="006B2CD4">
        <w:rPr>
          <w:rFonts w:ascii="Times New Roman" w:hAnsi="Times New Roman" w:cs="Times New Roman"/>
          <w:bCs/>
          <w:sz w:val="24"/>
          <w:szCs w:val="24"/>
        </w:rPr>
        <w:t xml:space="preserve">, ponieważ powinny one dodatkowo respektować przepisy dotyczące zasad sprawowania nadzoru nad FZD. Z przepisów tych wynika, że utrata przez towarzystwo funduszy inwestycyjnych prawa do reprezentacji i zarządzania FZD wskutek różnych zdarzeń prawnych powoduje ich przejęcie przez wyznaczoną instytucję finansową, o której mowa w </w:t>
      </w:r>
      <w:r>
        <w:rPr>
          <w:rFonts w:ascii="Times New Roman" w:hAnsi="Times New Roman" w:cs="Times New Roman"/>
          <w:bCs/>
          <w:sz w:val="24"/>
          <w:szCs w:val="24"/>
        </w:rPr>
        <w:t>r</w:t>
      </w:r>
      <w:r w:rsidRPr="006B2CD4">
        <w:rPr>
          <w:rFonts w:ascii="Times New Roman" w:hAnsi="Times New Roman" w:cs="Times New Roman"/>
          <w:bCs/>
          <w:sz w:val="24"/>
          <w:szCs w:val="24"/>
        </w:rPr>
        <w:t>ozdziale IX ustawy z dnia 4 października 2018 r. o pracowniczych planach kapitałowych. Jest nią towarzystwo funduszy inwestycyjnych, w którym więcej niż 50% udziału w kapitale własnym posiada Państwowy Fundusz Rozwoju S.A. (obecnie mowa o PFR TFI S.A.). W opisanej sytuacji funkcje reprezentacyjno-zarządcze wykonuje co do zasady wyznaczona instytucja finansowa, a tylko w nadzwyczajnych okolicznościach posiłkowo depozytariusz (w przypadku niewyznaczenia wyznaczonej instytucji finansowej) – przy czym w obu tych przypadkach obowiązujące regulacje nie przewidują scenariusza likwidacji FZD. Podyktowane jest to nadrzędnym celem zapewnienia ciągłości gromadzenia oszczędności emerytalnych w ramach już istniejących FZD. W świetle powyższego, uzasadnionym jest przyjęcie analogicznego podejścia w odniesieniu do reprezentacji i zarządzania FZD wskazanymi w decyzji ograniczającej, gdzie funkcje reprezentacyjno-zarządcze będzie pełnić wyznaczona instytucja finansowa (wyjątkowo depozytariusz) przy jednoczesnym wykluczeniu możliwości likwidacji FZD.</w:t>
      </w:r>
    </w:p>
    <w:p w14:paraId="332CDA26" w14:textId="4C9B2629" w:rsidR="003E70B5" w:rsidRPr="006B2CD4" w:rsidRDefault="003E70B5" w:rsidP="00DB03EC">
      <w:pPr>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lastRenderedPageBreak/>
        <w:t xml:space="preserve">Ponadto istnieje uzasadnienie wprowadzenia regulacji szczególnych znajdujących zastosowanie w przypadku, gdy decyzji administracyjnej ograniczającej zakres wykonywanej działalności zarządzania </w:t>
      </w:r>
      <w:r>
        <w:rPr>
          <w:rFonts w:ascii="Times New Roman" w:hAnsi="Times New Roman" w:cs="Times New Roman"/>
          <w:bCs/>
          <w:sz w:val="24"/>
          <w:szCs w:val="24"/>
        </w:rPr>
        <w:t>alternatywnym funduszem inwestycyjnym</w:t>
      </w:r>
      <w:r w:rsidRPr="006B2CD4">
        <w:rPr>
          <w:rFonts w:ascii="Times New Roman" w:hAnsi="Times New Roman" w:cs="Times New Roman"/>
          <w:bCs/>
          <w:sz w:val="24"/>
          <w:szCs w:val="24"/>
        </w:rPr>
        <w:t xml:space="preserve"> odnosi się wyłącznie do subfunduszu wydzielonego w ramach funduszu zarządzanego przez TFI.</w:t>
      </w:r>
      <w:r w:rsidRPr="006B2CD4">
        <w:rPr>
          <w:rFonts w:ascii="Times New Roman" w:hAnsi="Times New Roman" w:cs="Times New Roman"/>
          <w:b/>
          <w:bCs/>
          <w:sz w:val="24"/>
          <w:szCs w:val="24"/>
        </w:rPr>
        <w:t xml:space="preserve"> </w:t>
      </w:r>
      <w:r w:rsidRPr="006B2CD4">
        <w:rPr>
          <w:rFonts w:ascii="Times New Roman" w:hAnsi="Times New Roman" w:cs="Times New Roman"/>
          <w:bCs/>
          <w:sz w:val="24"/>
          <w:szCs w:val="24"/>
        </w:rPr>
        <w:t xml:space="preserve">Decyzja taka może odnosić się nie tylko do </w:t>
      </w:r>
      <w:r>
        <w:rPr>
          <w:rFonts w:ascii="Times New Roman" w:hAnsi="Times New Roman" w:cs="Times New Roman"/>
          <w:bCs/>
          <w:sz w:val="24"/>
          <w:szCs w:val="24"/>
        </w:rPr>
        <w:t>alternatywnego funduszu inwestycyjnego</w:t>
      </w:r>
      <w:r w:rsidRPr="006B2CD4">
        <w:rPr>
          <w:rFonts w:ascii="Times New Roman" w:hAnsi="Times New Roman" w:cs="Times New Roman"/>
          <w:bCs/>
          <w:sz w:val="24"/>
          <w:szCs w:val="24"/>
        </w:rPr>
        <w:t xml:space="preserve">, lecz także do subfunduszu wydzielonego w ramach takiego </w:t>
      </w:r>
      <w:r>
        <w:rPr>
          <w:rFonts w:ascii="Times New Roman" w:hAnsi="Times New Roman" w:cs="Times New Roman"/>
          <w:bCs/>
          <w:sz w:val="24"/>
          <w:szCs w:val="24"/>
        </w:rPr>
        <w:t>funduszu inwestycyjnego</w:t>
      </w:r>
      <w:r w:rsidRPr="006B2CD4">
        <w:rPr>
          <w:rFonts w:ascii="Times New Roman" w:hAnsi="Times New Roman" w:cs="Times New Roman"/>
          <w:bCs/>
          <w:sz w:val="24"/>
          <w:szCs w:val="24"/>
        </w:rPr>
        <w:t xml:space="preserve">. Stosownie do opisanych wyżej założeń skutkowałoby to koniecznością powierzenia depozytariuszowi funkcji reprezentacyjno-zarządczych wobec rzeczonego subfunduszu przy jednoczesnym utrzymaniu dotychczasowego sposobu reprezentacji i zarządzania pozostałymi subfunduszami nie wymienionymi w takiej decyzji. Tak ukształtowany dualistyczny model zarządzania w ramach jednego funduszu inwestycyjnego byłby zjawiskiem niepożądanym i mógłby generować istotne ryzyka trudne do zdefiniowania na etapie opracowania projektu. Z tego powodu w opisanym przypadku TFI zachowa tymczasowo prawo reprezentacji i zarządzania takim subfunduszem, tj. do chwili połączenia z funduszem/subfunduszem wydzielonym w funduszu z wydzielonymi subfunduszami zarządzanym przez inne TFI. Prawo to będzie obwarowane dodatkowym terminem, liczonym od dnia wydania decyzji administracyjnej ograniczającej zakres wykonywanej działalności zarządzania </w:t>
      </w:r>
      <w:r>
        <w:rPr>
          <w:rFonts w:ascii="Times New Roman" w:hAnsi="Times New Roman" w:cs="Times New Roman"/>
          <w:bCs/>
          <w:sz w:val="24"/>
          <w:szCs w:val="24"/>
        </w:rPr>
        <w:t>alternatywnym funduszem inwestycyjnym</w:t>
      </w:r>
      <w:r w:rsidRPr="006B2CD4">
        <w:rPr>
          <w:rFonts w:ascii="Times New Roman" w:hAnsi="Times New Roman" w:cs="Times New Roman"/>
          <w:bCs/>
          <w:sz w:val="24"/>
          <w:szCs w:val="24"/>
        </w:rPr>
        <w:t>, po upływie którego – w przypadku niedojścia do skutku ww. połączenia – taki subfundusz będzie podlegać likwidacji, a jego lik</w:t>
      </w:r>
      <w:r>
        <w:rPr>
          <w:rFonts w:ascii="Times New Roman" w:hAnsi="Times New Roman" w:cs="Times New Roman"/>
          <w:bCs/>
          <w:sz w:val="24"/>
          <w:szCs w:val="24"/>
        </w:rPr>
        <w:t>widatorem będzie depozytariusz.</w:t>
      </w:r>
    </w:p>
    <w:p w14:paraId="02A6CBB6" w14:textId="1D144323" w:rsidR="00DB03EC" w:rsidRPr="006B2CD4" w:rsidRDefault="008412F7" w:rsidP="00DB03EC">
      <w:pPr>
        <w:spacing w:before="120" w:after="120" w:line="360" w:lineRule="auto"/>
        <w:ind w:left="284" w:hanging="284"/>
        <w:jc w:val="both"/>
        <w:rPr>
          <w:rFonts w:ascii="Times New Roman" w:hAnsi="Times New Roman" w:cs="Times New Roman"/>
          <w:bCs/>
          <w:sz w:val="24"/>
          <w:szCs w:val="24"/>
        </w:rPr>
      </w:pPr>
      <w:r>
        <w:rPr>
          <w:rFonts w:ascii="Times New Roman" w:hAnsi="Times New Roman" w:cs="Times New Roman"/>
          <w:bCs/>
          <w:sz w:val="24"/>
          <w:szCs w:val="24"/>
        </w:rPr>
        <w:lastRenderedPageBreak/>
        <w:t>j)</w:t>
      </w:r>
      <w:r w:rsidR="00DB03EC" w:rsidRPr="006B2CD4">
        <w:rPr>
          <w:rFonts w:ascii="Times New Roman" w:hAnsi="Times New Roman" w:cs="Times New Roman"/>
          <w:bCs/>
          <w:sz w:val="24"/>
          <w:szCs w:val="24"/>
        </w:rPr>
        <w:t xml:space="preserve"> </w:t>
      </w:r>
      <w:r w:rsidR="00DB03EC" w:rsidRPr="006B2CD4">
        <w:rPr>
          <w:rFonts w:ascii="Times New Roman" w:hAnsi="Times New Roman" w:cs="Times New Roman"/>
          <w:bCs/>
          <w:sz w:val="24"/>
          <w:szCs w:val="24"/>
        </w:rPr>
        <w:tab/>
        <w:t xml:space="preserve">zrównanie wysokości kary nakładanej na zarządzających AFI z wysokością kary nakładanej na towarzystwa zarządzające funduszami inwestycyjnymi otwartymi (art. 228 </w:t>
      </w:r>
      <w:r w:rsidR="00DB03EC">
        <w:rPr>
          <w:rFonts w:ascii="Times New Roman" w:hAnsi="Times New Roman" w:cs="Times New Roman"/>
          <w:bCs/>
          <w:sz w:val="24"/>
          <w:szCs w:val="24"/>
        </w:rPr>
        <w:t xml:space="preserve">ust. 1c </w:t>
      </w:r>
      <w:r w:rsidR="00DB03EC" w:rsidRPr="006B2CD4">
        <w:rPr>
          <w:rFonts w:ascii="Times New Roman" w:hAnsi="Times New Roman" w:cs="Times New Roman"/>
          <w:bCs/>
          <w:sz w:val="24"/>
          <w:szCs w:val="24"/>
        </w:rPr>
        <w:t>pkt 3 ustawy o funduszach inwestycyjnych)</w:t>
      </w:r>
    </w:p>
    <w:p w14:paraId="53E1AEB4" w14:textId="77777777" w:rsidR="00DB03EC" w:rsidRPr="006B2CD4" w:rsidRDefault="00DB03EC" w:rsidP="00DB03EC">
      <w:pPr>
        <w:spacing w:line="360" w:lineRule="auto"/>
        <w:jc w:val="both"/>
        <w:rPr>
          <w:rFonts w:ascii="Times New Roman" w:hAnsi="Times New Roman" w:cs="Times New Roman"/>
          <w:sz w:val="24"/>
          <w:lang w:eastAsia="pl-PL"/>
        </w:rPr>
      </w:pPr>
      <w:r w:rsidRPr="006B2CD4">
        <w:rPr>
          <w:rFonts w:ascii="Times New Roman" w:hAnsi="Times New Roman" w:cs="Times New Roman"/>
          <w:sz w:val="24"/>
          <w:lang w:eastAsia="pl-PL"/>
        </w:rPr>
        <w:t xml:space="preserve">Podstawową regulacją dotyczącą środków i sankcji mających zastosowanie do naruszeń przepisów prawa normujących zasady bieżącej działalności i przejrzystości zarządzających alternatywnymi funduszami inwestycyjnymi (ZAFI) jest art. 48 dyrektywy Parlamentu Europejskiego i Rady 2011/61/UE z dnia 8 czerwca 2011 r. w sprawie zarządzających alternatywnymi funduszami inwestycyjnymi i zmiany dyrektyw 2003/41/WE i 2009/65/WE oraz rozporządzeń (WE) nr 1060/2009 i (UE) nr 1095/2010 (Dz. Urz. UE L 174 z 1.7.2011 str. 1). W tym przepisie nie wskazano jednak szczegółowych wymagań dotyczących sankcji administracyjnych, które powinny wprowadzić państwa członkowskie. Określenie wysokości kary możliwej do nałożenia przez właściwy organ pozostawiono w gestii państwa członkowskiego. Wobec tego dopuszczalnym jest wprowadzenie do polskiego porządku prawnego w art. 228 ust. 1c pkt 3 </w:t>
      </w:r>
      <w:r>
        <w:rPr>
          <w:rFonts w:ascii="Times New Roman" w:hAnsi="Times New Roman" w:cs="Times New Roman"/>
          <w:sz w:val="24"/>
          <w:lang w:eastAsia="pl-PL"/>
        </w:rPr>
        <w:t>u</w:t>
      </w:r>
      <w:r w:rsidRPr="006B2CD4">
        <w:rPr>
          <w:rFonts w:ascii="Times New Roman" w:hAnsi="Times New Roman" w:cs="Times New Roman"/>
          <w:sz w:val="24"/>
          <w:lang w:eastAsia="pl-PL"/>
        </w:rPr>
        <w:t>stawy</w:t>
      </w:r>
      <w:r>
        <w:rPr>
          <w:rFonts w:ascii="Times New Roman" w:hAnsi="Times New Roman" w:cs="Times New Roman"/>
          <w:sz w:val="24"/>
          <w:lang w:eastAsia="pl-PL"/>
        </w:rPr>
        <w:t xml:space="preserve"> o funduszach inwestycyjnych</w:t>
      </w:r>
      <w:r w:rsidRPr="006B2CD4">
        <w:rPr>
          <w:rFonts w:ascii="Times New Roman" w:hAnsi="Times New Roman" w:cs="Times New Roman"/>
          <w:sz w:val="24"/>
          <w:lang w:eastAsia="pl-PL"/>
        </w:rPr>
        <w:t xml:space="preserve"> kary nakładanej na towarzystwo zarządzające AFI w wysokości analogicznej do kary nakładanej na towarzystwo zarządzające m.in. funduszami inwestycyjnymi otwartymi, zawartej w art. 228 ust. 1 pkt 2 </w:t>
      </w:r>
      <w:r>
        <w:rPr>
          <w:rFonts w:ascii="Times New Roman" w:hAnsi="Times New Roman" w:cs="Times New Roman"/>
          <w:sz w:val="24"/>
          <w:lang w:eastAsia="pl-PL"/>
        </w:rPr>
        <w:t>u</w:t>
      </w:r>
      <w:r w:rsidRPr="006B2CD4">
        <w:rPr>
          <w:rFonts w:ascii="Times New Roman" w:hAnsi="Times New Roman" w:cs="Times New Roman"/>
          <w:sz w:val="24"/>
          <w:lang w:eastAsia="pl-PL"/>
        </w:rPr>
        <w:t>stawy. Trudno bowiem znaleźć racjonalny powód różnicowania górnej wysokości kary pieniężnej, jaką można nałożyć na towarzystwa zarządzające funduszami inwestycyjnymi otwartymi bądź towarzystwa zarządzające alternatywnymi funduszami inwestycyjnymi w przypadku popełnienia przez te towarzystwa deliktów administracyjnych o bardzo zbliżonych do siebie znamionach.</w:t>
      </w:r>
    </w:p>
    <w:p w14:paraId="13F801F8" w14:textId="0706655A" w:rsidR="00DB03EC" w:rsidRPr="006B2CD4" w:rsidRDefault="008412F7" w:rsidP="00DB03EC">
      <w:pPr>
        <w:spacing w:before="120" w:after="120" w:line="360" w:lineRule="auto"/>
        <w:ind w:left="284" w:hanging="284"/>
        <w:jc w:val="both"/>
        <w:rPr>
          <w:rFonts w:ascii="Times New Roman" w:hAnsi="Times New Roman" w:cs="Times New Roman"/>
          <w:sz w:val="24"/>
          <w:lang w:eastAsia="pl-PL"/>
        </w:rPr>
      </w:pPr>
      <w:r>
        <w:rPr>
          <w:rFonts w:ascii="Times New Roman" w:hAnsi="Times New Roman" w:cs="Times New Roman"/>
          <w:sz w:val="24"/>
          <w:lang w:eastAsia="pl-PL"/>
        </w:rPr>
        <w:lastRenderedPageBreak/>
        <w:t>k</w:t>
      </w:r>
      <w:r w:rsidR="00DB03EC" w:rsidRPr="006B2CD4">
        <w:rPr>
          <w:rFonts w:ascii="Times New Roman" w:hAnsi="Times New Roman" w:cs="Times New Roman"/>
          <w:bCs/>
          <w:sz w:val="24"/>
          <w:szCs w:val="24"/>
        </w:rPr>
        <w:t>)</w:t>
      </w:r>
      <w:r w:rsidR="00DB03EC" w:rsidRPr="006B2CD4">
        <w:rPr>
          <w:rFonts w:ascii="Times New Roman" w:hAnsi="Times New Roman" w:cs="Times New Roman"/>
          <w:bCs/>
          <w:sz w:val="24"/>
          <w:szCs w:val="24"/>
        </w:rPr>
        <w:tab/>
        <w:t xml:space="preserve">rezygnacja z obligatoryjności przeprowadzania rozpraw w postępowaniach sankcyjnych, o których mowa w ustawie o funduszach inwestycyjnych, ustawie o obrocie instrumentami finansowymi oraz o ofercie publicznej </w:t>
      </w:r>
      <w:r w:rsidR="00DB03EC" w:rsidRPr="006B2CD4">
        <w:rPr>
          <w:rFonts w:ascii="Times New Roman" w:hAnsi="Times New Roman" w:cs="Times New Roman"/>
          <w:sz w:val="24"/>
          <w:lang w:eastAsia="pl-PL"/>
        </w:rPr>
        <w:t>(art. 228 ust. 5 i 6 ustawy o funduszach inwestycyjnych)</w:t>
      </w:r>
    </w:p>
    <w:p w14:paraId="2C7031A8" w14:textId="24674534" w:rsidR="00DB03EC" w:rsidRDefault="00DB03EC" w:rsidP="00DB03EC">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Rezygnacja z obowiązku przeprowadzenia rozprawy w postępowaniach sankcyjnych, o których mowa w ustawie o funduszach inwestycyjnych, ustawie o obrocie instrumentami finansowymi oraz ustawie o ofercie publicznej nie wpłynie na uprawnienia strony postępowania. Może ona bowiem w każdym momencie postępowania zwrócić się do KNF z prośbą o przeprowadzenie rozprawy administracyjnej, której możliwość przeprowadzenia przewiduje k.p.a. Również KNF posiada uprawnienie do wyznaczenia z urzędu rozprawy administracyjnej na podstawie Kodeksu postępowania administracyjnego. Z kolei zmiana art. 228 ust. 6 ustawy o funduszach inwestycyjnych ma związek z wprowadzanymi w ostatnich latach zmianami art. 25 ustawy o nadzorze nad rynkiem kapitałowym. Obowiązek ten uznać należy za nadmiarowy względem wynikających z art. 25 ustawy o nadzorze nad rynkiem kapitałowym zasad upubliczniania informacji o zastosowanych przez KNF środkach nadzorczych. Ponieważ ogłoszenia w Dzienniku Urzędowym KNF mają charakter następczy i informacyjny, a w szczególności nie stanowią elementu wprowadzania rozstrzygnięcia do obrotu prawnego – ich ogłaszanie w nim należy uznać za zbyteczne, tym bardziej, że nie jest to rozwiązanie stosowane systemowo i nie dotyczy ani wszystkich decyzji sankcyjnych na rynku kapitałowym, ani decyzji sankcyjnych wydawanych na pozostałych rynkach. W zmienianych przepisach utrzymana została </w:t>
      </w:r>
      <w:r w:rsidRPr="006B2CD4">
        <w:rPr>
          <w:rFonts w:ascii="Times New Roman" w:hAnsi="Times New Roman" w:cs="Times New Roman"/>
          <w:sz w:val="24"/>
          <w:szCs w:val="24"/>
        </w:rPr>
        <w:lastRenderedPageBreak/>
        <w:t>możliwość nakazania przez KNF ogłoszenia decyzji w dwóch dziennikach ogólnopolskich lub w inny sposób na koszt podmiotu, jeżeli jest to szczególnie istotne ze względu na ochronę interesu uczestników rynku.</w:t>
      </w:r>
    </w:p>
    <w:p w14:paraId="0CFE18B7" w14:textId="2D1B3B72" w:rsidR="001108E6" w:rsidRPr="001108E6" w:rsidRDefault="009B5F12" w:rsidP="001108E6">
      <w:pPr>
        <w:spacing w:after="120" w:line="360" w:lineRule="auto"/>
        <w:ind w:left="284" w:hanging="284"/>
        <w:jc w:val="both"/>
        <w:rPr>
          <w:rFonts w:ascii="Times New Roman" w:hAnsi="Times New Roman" w:cs="Times New Roman"/>
          <w:bCs/>
          <w:sz w:val="24"/>
          <w:szCs w:val="24"/>
        </w:rPr>
      </w:pPr>
      <w:r>
        <w:rPr>
          <w:rFonts w:ascii="Times New Roman" w:hAnsi="Times New Roman"/>
          <w:color w:val="000000"/>
          <w:sz w:val="24"/>
          <w:szCs w:val="24"/>
        </w:rPr>
        <w:t>l)</w:t>
      </w:r>
      <w:r>
        <w:rPr>
          <w:rFonts w:ascii="Times New Roman" w:hAnsi="Times New Roman"/>
          <w:color w:val="000000"/>
          <w:sz w:val="24"/>
          <w:szCs w:val="24"/>
        </w:rPr>
        <w:tab/>
      </w:r>
      <w:r w:rsidR="001108E6" w:rsidRPr="001108E6">
        <w:rPr>
          <w:rFonts w:ascii="Times New Roman" w:hAnsi="Times New Roman"/>
          <w:color w:val="000000"/>
          <w:sz w:val="24"/>
          <w:szCs w:val="24"/>
        </w:rPr>
        <w:t>wprowadzenie rozwiązań usprawniających zasady realizowania inwestycji w ramach krajowego planu odbudowy (KPO) z wykorzystaniem funduszy inwestycyjnych zamkniętych aktywów niepublicznych</w:t>
      </w:r>
      <w:r w:rsidR="001108E6" w:rsidRPr="001108E6">
        <w:rPr>
          <w:rFonts w:ascii="Times New Roman" w:hAnsi="Times New Roman" w:cs="Times New Roman"/>
          <w:bCs/>
          <w:sz w:val="24"/>
          <w:szCs w:val="24"/>
        </w:rPr>
        <w:t xml:space="preserve"> (art. 197 ust. 4)</w:t>
      </w:r>
    </w:p>
    <w:p w14:paraId="0B06DAE2" w14:textId="77777777" w:rsidR="001108E6" w:rsidRDefault="001108E6" w:rsidP="001108E6">
      <w:pPr>
        <w:spacing w:after="120" w:line="360" w:lineRule="auto"/>
        <w:jc w:val="both"/>
        <w:rPr>
          <w:rFonts w:ascii="Times New Roman" w:hAnsi="Times New Roman" w:cs="Times New Roman"/>
          <w:bCs/>
          <w:sz w:val="24"/>
          <w:szCs w:val="24"/>
        </w:rPr>
      </w:pPr>
      <w:r w:rsidRPr="001345C5">
        <w:rPr>
          <w:rFonts w:ascii="Times New Roman" w:hAnsi="Times New Roman" w:cs="Times New Roman"/>
          <w:bCs/>
          <w:sz w:val="24"/>
          <w:szCs w:val="24"/>
        </w:rPr>
        <w:t xml:space="preserve">Zgodnie z obowiązującym od 4 czerwca 2022 r. art. 14ll ustawy z dnia 6 grudnia 2006 r. o zasadach prowadzenia polityki rozwoju </w:t>
      </w:r>
      <w:r>
        <w:rPr>
          <w:rFonts w:ascii="Times New Roman" w:hAnsi="Times New Roman" w:cs="Times New Roman"/>
          <w:bCs/>
          <w:sz w:val="24"/>
          <w:szCs w:val="24"/>
        </w:rPr>
        <w:t>(</w:t>
      </w:r>
      <w:r w:rsidRPr="001345C5">
        <w:rPr>
          <w:rFonts w:ascii="Times New Roman" w:hAnsi="Times New Roman" w:cs="Times New Roman"/>
          <w:bCs/>
          <w:sz w:val="24"/>
          <w:szCs w:val="24"/>
        </w:rPr>
        <w:t>Dz. U. z 2023 r. poz. 225,</w:t>
      </w:r>
      <w:r>
        <w:rPr>
          <w:rFonts w:ascii="Times New Roman" w:hAnsi="Times New Roman" w:cs="Times New Roman"/>
          <w:bCs/>
          <w:sz w:val="24"/>
          <w:szCs w:val="24"/>
        </w:rPr>
        <w:t xml:space="preserve"> z późn. zm.),</w:t>
      </w:r>
      <w:r w:rsidRPr="001345C5">
        <w:rPr>
          <w:rFonts w:ascii="Times New Roman" w:hAnsi="Times New Roman" w:cs="Times New Roman"/>
          <w:bCs/>
          <w:sz w:val="24"/>
          <w:szCs w:val="24"/>
        </w:rPr>
        <w:t xml:space="preserve"> dalej: „u.z.p.p.r.”, inwestycje w ramach krajowego planu odbudowy i zwiększania odporności</w:t>
      </w:r>
      <w:r>
        <w:rPr>
          <w:rFonts w:ascii="Times New Roman" w:hAnsi="Times New Roman" w:cs="Times New Roman"/>
          <w:bCs/>
          <w:sz w:val="24"/>
          <w:szCs w:val="24"/>
        </w:rPr>
        <w:t xml:space="preserve">, </w:t>
      </w:r>
      <w:r w:rsidRPr="001345C5">
        <w:rPr>
          <w:rFonts w:ascii="Times New Roman" w:hAnsi="Times New Roman" w:cs="Times New Roman"/>
          <w:bCs/>
          <w:sz w:val="24"/>
          <w:szCs w:val="24"/>
        </w:rPr>
        <w:t>dalej: „KPO”, których realizacja jest finansowana ze środków wsparcia bezzwrotnego, o którym mowa w art. 6 ust. 1 lit. a rozporządzenia Parlamentu Europejskiego i Rady (UE) 2021/241 z dnia 12 lutego 2021 r. ustanawiającego Instrument na rzecz Odbudowy i Zwiększania Odporności</w:t>
      </w:r>
      <w:r>
        <w:rPr>
          <w:rFonts w:ascii="Times New Roman" w:hAnsi="Times New Roman" w:cs="Times New Roman"/>
          <w:bCs/>
          <w:sz w:val="24"/>
          <w:szCs w:val="24"/>
        </w:rPr>
        <w:t xml:space="preserve"> </w:t>
      </w:r>
      <w:r w:rsidRPr="001345C5">
        <w:rPr>
          <w:rFonts w:ascii="Times New Roman" w:hAnsi="Times New Roman" w:cs="Times New Roman"/>
          <w:bCs/>
          <w:sz w:val="24"/>
          <w:szCs w:val="24"/>
        </w:rPr>
        <w:t>(Dz. Urz. UE L 57 z 18.02.2021, str. 17, z późn. zm.</w:t>
      </w:r>
      <w:r>
        <w:rPr>
          <w:rFonts w:ascii="Times New Roman" w:hAnsi="Times New Roman" w:cs="Times New Roman"/>
          <w:bCs/>
          <w:sz w:val="24"/>
          <w:szCs w:val="24"/>
        </w:rPr>
        <w:t>)</w:t>
      </w:r>
      <w:r w:rsidRPr="001345C5">
        <w:rPr>
          <w:rFonts w:ascii="Times New Roman" w:hAnsi="Times New Roman" w:cs="Times New Roman"/>
          <w:bCs/>
          <w:sz w:val="24"/>
          <w:szCs w:val="24"/>
        </w:rPr>
        <w:t>, w zakresie objętym finansowaniem z tego wsparcia, są finansowane ze środków pochodzących z budżetu środków europejskich lub ze środków, o których mowa w obowiązującym od 4 czerwca 2022 r. art. 16a ustawy z dnia 4 lipca 2019 r. o systemie instytucji rozwoju (Dz. U. z 2022 r. poz. 2183</w:t>
      </w:r>
      <w:r>
        <w:rPr>
          <w:rFonts w:ascii="Times New Roman" w:hAnsi="Times New Roman" w:cs="Times New Roman"/>
          <w:bCs/>
          <w:sz w:val="24"/>
          <w:szCs w:val="24"/>
        </w:rPr>
        <w:t>, z późn. zm.</w:t>
      </w:r>
      <w:r w:rsidRPr="001345C5">
        <w:rPr>
          <w:rFonts w:ascii="Times New Roman" w:hAnsi="Times New Roman" w:cs="Times New Roman"/>
          <w:bCs/>
          <w:sz w:val="24"/>
          <w:szCs w:val="24"/>
        </w:rPr>
        <w:t>)</w:t>
      </w:r>
      <w:r>
        <w:rPr>
          <w:rFonts w:ascii="Times New Roman" w:hAnsi="Times New Roman" w:cs="Times New Roman"/>
          <w:bCs/>
          <w:sz w:val="24"/>
          <w:szCs w:val="24"/>
        </w:rPr>
        <w:t>, dalej</w:t>
      </w:r>
      <w:r w:rsidRPr="001345C5">
        <w:rPr>
          <w:rFonts w:ascii="Times New Roman" w:hAnsi="Times New Roman" w:cs="Times New Roman"/>
          <w:bCs/>
          <w:sz w:val="24"/>
          <w:szCs w:val="24"/>
        </w:rPr>
        <w:t>: „u.o.s.i.r.”.</w:t>
      </w:r>
      <w:r>
        <w:rPr>
          <w:rFonts w:ascii="Times New Roman" w:hAnsi="Times New Roman" w:cs="Times New Roman"/>
          <w:bCs/>
          <w:sz w:val="24"/>
          <w:szCs w:val="24"/>
        </w:rPr>
        <w:t xml:space="preserve"> </w:t>
      </w:r>
    </w:p>
    <w:p w14:paraId="2107BEA2" w14:textId="77777777" w:rsidR="001108E6" w:rsidRDefault="001108E6" w:rsidP="001108E6">
      <w:p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Art. 197 ust. 4 </w:t>
      </w:r>
      <w:r w:rsidRPr="001345C5">
        <w:rPr>
          <w:rFonts w:ascii="Times New Roman" w:hAnsi="Times New Roman" w:cs="Times New Roman"/>
          <w:bCs/>
          <w:sz w:val="24"/>
          <w:szCs w:val="24"/>
        </w:rPr>
        <w:t>wprowadzony został pierwotnie na potrzeby realizacji zadań związanych z wydatkowaniem środków unijnych pochodzących z Funduszu Spójności z wykorzystaniem funduszy inwestycyjnych zamkniętych aktywów niepublicznych.</w:t>
      </w:r>
      <w:r>
        <w:rPr>
          <w:rFonts w:ascii="Times New Roman" w:hAnsi="Times New Roman" w:cs="Times New Roman"/>
          <w:bCs/>
          <w:sz w:val="24"/>
          <w:szCs w:val="24"/>
        </w:rPr>
        <w:t xml:space="preserve"> </w:t>
      </w:r>
      <w:r w:rsidRPr="001345C5">
        <w:rPr>
          <w:rFonts w:ascii="Times New Roman" w:hAnsi="Times New Roman" w:cs="Times New Roman"/>
          <w:bCs/>
          <w:sz w:val="24"/>
          <w:szCs w:val="24"/>
        </w:rPr>
        <w:t>Wobec zmiany otoczenia prawnego na poziomie unijnym i krajowym</w:t>
      </w:r>
      <w:r>
        <w:rPr>
          <w:rFonts w:ascii="Times New Roman" w:hAnsi="Times New Roman" w:cs="Times New Roman"/>
          <w:bCs/>
          <w:sz w:val="24"/>
          <w:szCs w:val="24"/>
        </w:rPr>
        <w:t xml:space="preserve"> zachodzi potrzeba </w:t>
      </w:r>
      <w:r w:rsidRPr="001345C5">
        <w:rPr>
          <w:rFonts w:ascii="Times New Roman" w:hAnsi="Times New Roman" w:cs="Times New Roman"/>
          <w:bCs/>
          <w:sz w:val="24"/>
          <w:szCs w:val="24"/>
        </w:rPr>
        <w:t>ujednoliceni</w:t>
      </w:r>
      <w:r>
        <w:rPr>
          <w:rFonts w:ascii="Times New Roman" w:hAnsi="Times New Roman" w:cs="Times New Roman"/>
          <w:bCs/>
          <w:sz w:val="24"/>
          <w:szCs w:val="24"/>
        </w:rPr>
        <w:t>a</w:t>
      </w:r>
      <w:r w:rsidRPr="001345C5">
        <w:rPr>
          <w:rFonts w:ascii="Times New Roman" w:hAnsi="Times New Roman" w:cs="Times New Roman"/>
          <w:bCs/>
          <w:sz w:val="24"/>
          <w:szCs w:val="24"/>
        </w:rPr>
        <w:t xml:space="preserve"> zasad funkcjonowania funduszy inwestycyjnych zamkniętych aktywów niepublicznych, w których wpłaty na poczet opłacenia certyfikatów inwestycyjnych pochodzą ze środków Unii Europejskiej lub środków, które mogą służyć realizacji programów unijnych</w:t>
      </w:r>
      <w:r>
        <w:rPr>
          <w:rFonts w:ascii="Times New Roman" w:hAnsi="Times New Roman" w:cs="Times New Roman"/>
          <w:bCs/>
          <w:sz w:val="24"/>
          <w:szCs w:val="24"/>
        </w:rPr>
        <w:t xml:space="preserve">, tzw. </w:t>
      </w:r>
      <w:r w:rsidRPr="001345C5">
        <w:rPr>
          <w:rFonts w:ascii="Times New Roman" w:hAnsi="Times New Roman" w:cs="Times New Roman"/>
          <w:bCs/>
          <w:sz w:val="24"/>
          <w:szCs w:val="24"/>
        </w:rPr>
        <w:t xml:space="preserve">Fundusz Wdrażający. W wyniku zmian u.z.p.p.r. oraz u.o.s.i.r., o których mowa powyżej, do takich środków należy zaliczyć również środki, o których mowa w art. 16a u.o.s.i.r. Cechą wspólną Funduszy Wdrażających pozostaje sposób ukształtowania i prowadzenia polityki inwestycyjnej, zmierzającej do realizacji programów unijnych, wdrażanych przez uczestników takich funduszy. Zakładanym efektem tak prowadzonej polityki inwestycyjnej Funduszu Wdrażającego jest zasilanie polskiej gospodarki środkami wydatkowanymi w ramach realizowanych programów unijnych zmierzające do poprawy m.in. warunków ekonomicznych, społecznych lub środowiskowych. Ze względu na cel i przeznaczenie tych środków, interes uczestnika Funduszu Wdrażającego, realizującego takie szczególne cele, różni się od interesu uczestnika rynkowego </w:t>
      </w:r>
      <w:r>
        <w:rPr>
          <w:rFonts w:ascii="Times New Roman" w:hAnsi="Times New Roman" w:cs="Times New Roman"/>
          <w:bCs/>
          <w:sz w:val="24"/>
          <w:szCs w:val="24"/>
        </w:rPr>
        <w:t>funduszu inwestycyjnego zamkniętego aktywów niepublicznych.</w:t>
      </w:r>
      <w:r w:rsidRPr="001345C5">
        <w:rPr>
          <w:rFonts w:ascii="Times New Roman" w:hAnsi="Times New Roman" w:cs="Times New Roman"/>
          <w:bCs/>
          <w:sz w:val="24"/>
          <w:szCs w:val="24"/>
        </w:rPr>
        <w:t xml:space="preserve"> Tym samym, ustawowe ograniczenie w postaci limitu koncentracji, określonego przez art. 145 ust. 3 u</w:t>
      </w:r>
      <w:r>
        <w:rPr>
          <w:rFonts w:ascii="Times New Roman" w:hAnsi="Times New Roman" w:cs="Times New Roman"/>
          <w:bCs/>
          <w:sz w:val="24"/>
          <w:szCs w:val="24"/>
        </w:rPr>
        <w:t>stawy o funduszach inwestycyjnych</w:t>
      </w:r>
      <w:r w:rsidRPr="001345C5">
        <w:rPr>
          <w:rFonts w:ascii="Times New Roman" w:hAnsi="Times New Roman" w:cs="Times New Roman"/>
          <w:bCs/>
          <w:sz w:val="24"/>
          <w:szCs w:val="24"/>
        </w:rPr>
        <w:t xml:space="preserve">, który w założeniu ma stanowić mechanizm ochronny dla uczestnika rynkowego </w:t>
      </w:r>
      <w:r>
        <w:rPr>
          <w:rFonts w:ascii="Times New Roman" w:hAnsi="Times New Roman" w:cs="Times New Roman"/>
          <w:bCs/>
          <w:sz w:val="24"/>
          <w:szCs w:val="24"/>
        </w:rPr>
        <w:t>funduszu inwestycyjnego zamkniętego aktywów niepublicznych</w:t>
      </w:r>
      <w:r w:rsidRPr="001345C5">
        <w:rPr>
          <w:rFonts w:ascii="Times New Roman" w:hAnsi="Times New Roman" w:cs="Times New Roman"/>
          <w:bCs/>
          <w:sz w:val="24"/>
          <w:szCs w:val="24"/>
        </w:rPr>
        <w:t xml:space="preserve">, staje się w przypadku uczestnika szczególnego </w:t>
      </w:r>
      <w:r>
        <w:rPr>
          <w:rFonts w:ascii="Times New Roman" w:hAnsi="Times New Roman" w:cs="Times New Roman"/>
          <w:bCs/>
          <w:sz w:val="24"/>
          <w:szCs w:val="24"/>
        </w:rPr>
        <w:lastRenderedPageBreak/>
        <w:t>funduszu</w:t>
      </w:r>
      <w:r w:rsidRPr="001345C5">
        <w:rPr>
          <w:rFonts w:ascii="Times New Roman" w:hAnsi="Times New Roman" w:cs="Times New Roman"/>
          <w:bCs/>
          <w:sz w:val="24"/>
          <w:szCs w:val="24"/>
        </w:rPr>
        <w:t xml:space="preserve">, jakim jest Fundusz Wdrażający </w:t>
      </w:r>
      <w:r>
        <w:rPr>
          <w:rFonts w:ascii="Times New Roman" w:hAnsi="Times New Roman" w:cs="Times New Roman"/>
          <w:bCs/>
          <w:sz w:val="24"/>
          <w:szCs w:val="24"/>
        </w:rPr>
        <w:t>(</w:t>
      </w:r>
      <w:r w:rsidRPr="001345C5">
        <w:rPr>
          <w:rFonts w:ascii="Times New Roman" w:hAnsi="Times New Roman" w:cs="Times New Roman"/>
          <w:bCs/>
          <w:sz w:val="24"/>
          <w:szCs w:val="24"/>
        </w:rPr>
        <w:t>zasilany środkami szczególnego przeznaczenia</w:t>
      </w:r>
      <w:r>
        <w:rPr>
          <w:rFonts w:ascii="Times New Roman" w:hAnsi="Times New Roman" w:cs="Times New Roman"/>
          <w:bCs/>
          <w:sz w:val="24"/>
          <w:szCs w:val="24"/>
        </w:rPr>
        <w:t>)</w:t>
      </w:r>
      <w:r w:rsidRPr="001345C5">
        <w:rPr>
          <w:rFonts w:ascii="Times New Roman" w:hAnsi="Times New Roman" w:cs="Times New Roman"/>
          <w:bCs/>
          <w:sz w:val="24"/>
          <w:szCs w:val="24"/>
        </w:rPr>
        <w:t xml:space="preserve"> barierą utrudniającą realizację jego celu, co de facto działa przeciwko interesowi inwestora, którego nadrzędnym interesem jest zapewnienie wydatkowania tych środków zgodnie z właściwymi przepisami unijnymi oraz przepisami krajowymi, mającymi zastosowanie przy wdrażaniu danego programu. Tym samym, w przypadku Funduszu Wdrażającego (będącego w poprzedniej perspektywie budżetowej Unii Europejskiej, dzięki wprowadzeniu art. 197 ust. 4 w aktualnym brzmieniu, jedną z istotniejszych struktur prawnych udostępnionych przez </w:t>
      </w:r>
      <w:r>
        <w:rPr>
          <w:rFonts w:ascii="Times New Roman" w:hAnsi="Times New Roman" w:cs="Times New Roman"/>
          <w:bCs/>
          <w:sz w:val="24"/>
          <w:szCs w:val="24"/>
        </w:rPr>
        <w:t xml:space="preserve">regulatora </w:t>
      </w:r>
      <w:r w:rsidRPr="001345C5">
        <w:rPr>
          <w:rFonts w:ascii="Times New Roman" w:hAnsi="Times New Roman" w:cs="Times New Roman"/>
          <w:bCs/>
          <w:sz w:val="24"/>
          <w:szCs w:val="24"/>
        </w:rPr>
        <w:t xml:space="preserve">jako narzędzie do administrowania środkami pochodzącymi w szczególności z Polityki Spójności), za celowe </w:t>
      </w:r>
      <w:r>
        <w:rPr>
          <w:rFonts w:ascii="Times New Roman" w:hAnsi="Times New Roman" w:cs="Times New Roman"/>
          <w:bCs/>
          <w:sz w:val="24"/>
          <w:szCs w:val="24"/>
        </w:rPr>
        <w:t xml:space="preserve">uznano </w:t>
      </w:r>
      <w:r w:rsidRPr="001345C5">
        <w:rPr>
          <w:rFonts w:ascii="Times New Roman" w:hAnsi="Times New Roman" w:cs="Times New Roman"/>
          <w:bCs/>
          <w:sz w:val="24"/>
          <w:szCs w:val="24"/>
        </w:rPr>
        <w:t>usunięcie barier formalnych dla realizacji celów unijnego finansowania i sprawnej absorpcji środków przewidzianych we wprowadzanym Instrumencie na rzecz Odbudowy i Zwiększania Odporności.</w:t>
      </w:r>
      <w:r>
        <w:rPr>
          <w:rFonts w:ascii="Times New Roman" w:hAnsi="Times New Roman" w:cs="Times New Roman"/>
          <w:bCs/>
          <w:sz w:val="24"/>
          <w:szCs w:val="24"/>
        </w:rPr>
        <w:t xml:space="preserve"> </w:t>
      </w:r>
      <w:r w:rsidRPr="001345C5">
        <w:rPr>
          <w:rFonts w:ascii="Times New Roman" w:hAnsi="Times New Roman" w:cs="Times New Roman"/>
          <w:bCs/>
          <w:sz w:val="24"/>
          <w:szCs w:val="24"/>
        </w:rPr>
        <w:t xml:space="preserve">Zwolnienie z obowiązku stosowania limitu, o którym mowa w zmienianym przepisie, jest zatem konieczne dla sprawnego funkcjonowania Funduszy Wdrażających. </w:t>
      </w:r>
    </w:p>
    <w:p w14:paraId="41291EF9" w14:textId="77777777" w:rsidR="001108E6" w:rsidRDefault="001108E6" w:rsidP="001108E6">
      <w:p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W</w:t>
      </w:r>
      <w:r w:rsidRPr="001345C5">
        <w:rPr>
          <w:rFonts w:ascii="Times New Roman" w:hAnsi="Times New Roman" w:cs="Times New Roman"/>
          <w:bCs/>
          <w:sz w:val="24"/>
          <w:szCs w:val="24"/>
        </w:rPr>
        <w:t xml:space="preserve"> obecnym stanie prawnym ustawodawca przewiduje dwa warunki dla zastosowania zwolnienia: (i) wniesienie do danego Funduszu Wdrażającego środków pochodzących z funduszy unijnych, a także (ii) realizację takich wpłat bezpośrednio przez beneficjenta takich środków. Postulowana zmiana obejmuje rozszerzenie pierwszego warunku na środki niepochodzące z funduszy unijnych, ale ściśle związane z realizacją programów unijnych, a także zniesienie drugiego warunku.</w:t>
      </w:r>
      <w:r>
        <w:rPr>
          <w:rFonts w:ascii="Times New Roman" w:hAnsi="Times New Roman" w:cs="Times New Roman"/>
          <w:bCs/>
          <w:sz w:val="24"/>
          <w:szCs w:val="24"/>
        </w:rPr>
        <w:t xml:space="preserve"> </w:t>
      </w:r>
      <w:r w:rsidRPr="001345C5">
        <w:rPr>
          <w:rFonts w:ascii="Times New Roman" w:hAnsi="Times New Roman" w:cs="Times New Roman"/>
          <w:bCs/>
          <w:sz w:val="24"/>
          <w:szCs w:val="24"/>
        </w:rPr>
        <w:t xml:space="preserve">W zakresie pierwszego warunku, mając na uwadze wprowadzoną art. 14ll u.z.p.p.r. alternatywę w zakresie źródeł pochodzenia środków finansujących realizację KPO, </w:t>
      </w:r>
      <w:r w:rsidRPr="001345C5">
        <w:rPr>
          <w:rFonts w:ascii="Times New Roman" w:hAnsi="Times New Roman" w:cs="Times New Roman"/>
          <w:bCs/>
          <w:sz w:val="24"/>
          <w:szCs w:val="24"/>
        </w:rPr>
        <w:lastRenderedPageBreak/>
        <w:t>projektowana zmiana art. 197 ust. 4 ma na celu rozszerzenie wyłączenia limitu koncentracji na Fundusze Wdrażające, w których certyfikaty inwestycyjne są obejmowane ze środków wydatkowanych w ramach KPO, w tym ze środków pochodzących z tzw. prefinansowania, o których mowa w art. 16a u.o.s.i.r., w obrębie katalogu przewidzianego przez u.z.p.p.r., a w efekcie umożliwienie efektywnej realizacji KPO.</w:t>
      </w:r>
      <w:r>
        <w:rPr>
          <w:rFonts w:ascii="Times New Roman" w:hAnsi="Times New Roman" w:cs="Times New Roman"/>
          <w:bCs/>
          <w:sz w:val="24"/>
          <w:szCs w:val="24"/>
        </w:rPr>
        <w:t xml:space="preserve"> </w:t>
      </w:r>
      <w:r w:rsidRPr="001345C5">
        <w:rPr>
          <w:rFonts w:ascii="Times New Roman" w:hAnsi="Times New Roman" w:cs="Times New Roman"/>
          <w:bCs/>
          <w:sz w:val="24"/>
          <w:szCs w:val="24"/>
        </w:rPr>
        <w:t xml:space="preserve">W odniesieniu do </w:t>
      </w:r>
      <w:r>
        <w:rPr>
          <w:rFonts w:ascii="Times New Roman" w:hAnsi="Times New Roman" w:cs="Times New Roman"/>
          <w:bCs/>
          <w:sz w:val="24"/>
          <w:szCs w:val="24"/>
        </w:rPr>
        <w:t xml:space="preserve">drugiego warunku </w:t>
      </w:r>
      <w:r w:rsidRPr="001345C5">
        <w:rPr>
          <w:rFonts w:ascii="Times New Roman" w:hAnsi="Times New Roman" w:cs="Times New Roman"/>
          <w:bCs/>
          <w:sz w:val="24"/>
          <w:szCs w:val="24"/>
        </w:rPr>
        <w:t xml:space="preserve">realizacji wpłat na certyfikaty inwestycyjne Funduszu Wdrażającego bezpośrednio przez beneficjenta środków unijnych, </w:t>
      </w:r>
      <w:r>
        <w:rPr>
          <w:rFonts w:ascii="Times New Roman" w:hAnsi="Times New Roman" w:cs="Times New Roman"/>
          <w:bCs/>
          <w:sz w:val="24"/>
          <w:szCs w:val="24"/>
        </w:rPr>
        <w:t xml:space="preserve">zauważenia wymaga, że </w:t>
      </w:r>
      <w:r w:rsidRPr="001345C5">
        <w:rPr>
          <w:rFonts w:ascii="Times New Roman" w:hAnsi="Times New Roman" w:cs="Times New Roman"/>
          <w:bCs/>
          <w:sz w:val="24"/>
          <w:szCs w:val="24"/>
        </w:rPr>
        <w:t xml:space="preserve">funkcja „beneficjenta” zdefiniowana została na gruncie przepisów unijnych w odniesieniu do instrumentów finansowych jako „podmiot wdrażający instrument finansowy”, tj. podmiot prawa publicznego lub prywatnego realizujący zadania funduszu powierniczego lub funduszu szczegółowego. Przekładając tę definicję na praktykę, podmiot pełniący funkcję „beneficjenta” może być zarówno uczestnikiem funduszu inwestycyjnego wnoszącym środki w zamian za obejmowane certyfikaty inwestycyjne albo podmiotem zarządzającym takim funduszem, tj. towarzystwem funduszy inwestycyjnych lub podmiotem zarządzającym portfelem inwestycyjnym takiego funduszu. Oznacza to, że w zależności od wynikających z zasad wdrażania instrumentu finansowego treści postanowień umownych pomiędzy podmiotem, któremu powierzono dysponowanie środkami unijnymi, a podmiotem, który został wybrany do utworzenia i zarządzania Funduszem Wdrażającym, „beneficjentem” może być podmiot wnoszący środki do Funduszu Wdrażającego, jak i podmiot zarządzający nim. W efekcie, takie ukształtowanie definicji unijnych prowadzi do sytuacji, w której dwa </w:t>
      </w:r>
      <w:r w:rsidRPr="001345C5">
        <w:rPr>
          <w:rFonts w:ascii="Times New Roman" w:hAnsi="Times New Roman" w:cs="Times New Roman"/>
          <w:bCs/>
          <w:sz w:val="24"/>
          <w:szCs w:val="24"/>
        </w:rPr>
        <w:lastRenderedPageBreak/>
        <w:t>fundusze inwestycyjne zamknięte aktywów niepublicznych o tożsamej funkcji, sposobie inwestowania i roli w procesie dystrybuowania środków unijnych, będą traktowane odmiennie z punktu widzenia obowiązku stosowania limitu koncentracji, o którym mowa w art. 145 ust. 3. Postulowana zmiana zmienia ten stan rzeczy i ujednolica zasady funkcjonowania takich funduszy inwestycyjnych zamkniętych aktywów niepublicznych.</w:t>
      </w:r>
    </w:p>
    <w:p w14:paraId="4C4B9164" w14:textId="25E7793B" w:rsidR="00DB03EC" w:rsidRPr="001108E6" w:rsidRDefault="001108E6" w:rsidP="001108E6">
      <w:p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m)</w:t>
      </w:r>
      <w:r>
        <w:rPr>
          <w:rFonts w:ascii="Times New Roman" w:hAnsi="Times New Roman" w:cs="Times New Roman"/>
          <w:bCs/>
          <w:sz w:val="24"/>
          <w:szCs w:val="24"/>
        </w:rPr>
        <w:tab/>
      </w:r>
      <w:r w:rsidR="00DB03EC" w:rsidRPr="001108E6">
        <w:rPr>
          <w:rFonts w:ascii="Times New Roman" w:hAnsi="Times New Roman" w:cs="Times New Roman"/>
          <w:bCs/>
          <w:sz w:val="24"/>
          <w:szCs w:val="24"/>
        </w:rPr>
        <w:t>informacje związane z zrównoważonym rozwojem (art. 282 ust. 3 pkt 5)</w:t>
      </w:r>
    </w:p>
    <w:p w14:paraId="3B7A9118" w14:textId="0685E9BF" w:rsidR="001F550B" w:rsidRDefault="00DB03EC" w:rsidP="001F550B">
      <w:pPr>
        <w:spacing w:after="120" w:line="360" w:lineRule="auto"/>
        <w:jc w:val="both"/>
        <w:rPr>
          <w:rFonts w:ascii="Times New Roman" w:hAnsi="Times New Roman" w:cs="Times New Roman"/>
          <w:bCs/>
          <w:sz w:val="24"/>
          <w:szCs w:val="24"/>
        </w:rPr>
      </w:pPr>
      <w:r w:rsidRPr="00755C1F">
        <w:rPr>
          <w:rFonts w:ascii="Times New Roman" w:hAnsi="Times New Roman" w:cs="Times New Roman"/>
          <w:bCs/>
          <w:sz w:val="24"/>
          <w:szCs w:val="24"/>
        </w:rPr>
        <w:t>Zmiana w art. 282 ust. 3 pkt 5 ma na celu umożliwienie ujawniania określonych informacji związanych ze zrównoważonym rozwojem w sektorze usług finansowych na zasadzie dobrowolności, które wynikają z przepisów rozporządzenia Parlamentu Europejskiego i Rady (UE) 2019/2088 z dnia 27 listopada 2019 r. w sprawie ujawniania informacji związanych ze zrównoważonym rozwojem w sektorze usług finansowych (Dz.</w:t>
      </w:r>
      <w:r w:rsidR="00CD697A">
        <w:rPr>
          <w:rFonts w:ascii="Times New Roman" w:hAnsi="Times New Roman" w:cs="Times New Roman"/>
          <w:bCs/>
          <w:sz w:val="24"/>
          <w:szCs w:val="24"/>
        </w:rPr>
        <w:t xml:space="preserve"> </w:t>
      </w:r>
      <w:r w:rsidRPr="00755C1F">
        <w:rPr>
          <w:rFonts w:ascii="Times New Roman" w:hAnsi="Times New Roman" w:cs="Times New Roman"/>
          <w:bCs/>
          <w:sz w:val="24"/>
          <w:szCs w:val="24"/>
        </w:rPr>
        <w:t>Urz. UE L 317 z 09.12.2019, str. 1, z późn. zm.) oraz rozporządzenia Parlamentu Europejskiego i Rady (UE) 2020/852 z dnia 18 czerwca 2020 r. w sprawie ustanowienia ram ułatwiających zrównoważone inwestycje, zmieniającego rozporządzenie (UE) 2019/2088 (Dz.</w:t>
      </w:r>
      <w:r w:rsidR="00CD697A">
        <w:rPr>
          <w:rFonts w:ascii="Times New Roman" w:hAnsi="Times New Roman" w:cs="Times New Roman"/>
          <w:bCs/>
          <w:sz w:val="24"/>
          <w:szCs w:val="24"/>
        </w:rPr>
        <w:t xml:space="preserve"> </w:t>
      </w:r>
      <w:r w:rsidRPr="00755C1F">
        <w:rPr>
          <w:rFonts w:ascii="Times New Roman" w:hAnsi="Times New Roman" w:cs="Times New Roman"/>
          <w:bCs/>
          <w:sz w:val="24"/>
          <w:szCs w:val="24"/>
        </w:rPr>
        <w:t>Urz. UE L 198 z 22.06.2020, str. 13). Zgodnie z przepisami UE przedsiębiorstwa finansowe oraz przedsiębiorstwa niefinansowe mogą podjąć decyzję o dobrowolnym ujawnieniu określonych informacji np. w zakresie swoich kluczowych wskaźników wyników w celu uzyskania dostępu do zrównoważonego środowiskowo finansowania w ramach konkretnych programów oznakowania ekologicznego i zrównoważonych środowiskowo produktów finansowych albo w ramach ich ogólnej strategii biznesowej opartej na zrównoważeniu środowiskowym</w:t>
      </w:r>
      <w:r>
        <w:rPr>
          <w:rFonts w:ascii="Times New Roman" w:hAnsi="Times New Roman" w:cs="Times New Roman"/>
          <w:bCs/>
          <w:sz w:val="24"/>
          <w:szCs w:val="24"/>
        </w:rPr>
        <w:t>.</w:t>
      </w:r>
    </w:p>
    <w:p w14:paraId="0B77FDDD" w14:textId="27E2B5EB" w:rsidR="00B900A3" w:rsidRDefault="00B900A3" w:rsidP="001F550B">
      <w:p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n)</w:t>
      </w:r>
      <w:r w:rsidR="009B5F12">
        <w:rPr>
          <w:rFonts w:ascii="Times New Roman" w:hAnsi="Times New Roman" w:cs="Times New Roman"/>
          <w:bCs/>
          <w:sz w:val="24"/>
          <w:szCs w:val="24"/>
        </w:rPr>
        <w:tab/>
      </w:r>
      <w:r>
        <w:rPr>
          <w:rFonts w:ascii="Times New Roman" w:hAnsi="Times New Roman" w:cs="Times New Roman"/>
          <w:bCs/>
          <w:sz w:val="24"/>
          <w:szCs w:val="24"/>
        </w:rPr>
        <w:t>zmiana wynikowa art. 256 ust. 1b ustawy o funduszach inwestycyjnych</w:t>
      </w:r>
    </w:p>
    <w:p w14:paraId="03576A4F" w14:textId="3C228441" w:rsidR="00180B92" w:rsidRPr="001108E6" w:rsidRDefault="00B900A3" w:rsidP="001108E6">
      <w:p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Zmiana w tym przepisie jest zmianą wynikową związaną z wprowadzeniem do ustawy o obrocie instrumentami finansowymi art. 19 ust. </w:t>
      </w:r>
      <w:r w:rsidR="00645B6B">
        <w:rPr>
          <w:rFonts w:ascii="Times New Roman" w:hAnsi="Times New Roman" w:cs="Times New Roman"/>
          <w:bCs/>
          <w:sz w:val="24"/>
          <w:szCs w:val="24"/>
        </w:rPr>
        <w:t>1 pkt 6, który rozszerza platformy obrotu papierów wartościowych emitowanych przez fundusze o Alternatywne Systemy Obrotu.</w:t>
      </w:r>
    </w:p>
    <w:p w14:paraId="265452EB" w14:textId="726C32BD" w:rsidR="008C2E1F" w:rsidRPr="006B2CD4" w:rsidRDefault="001665D0" w:rsidP="00B856D8">
      <w:pPr>
        <w:shd w:val="clear" w:color="auto" w:fill="FFFFFF" w:themeFill="background1"/>
        <w:spacing w:before="120" w:after="120" w:line="360" w:lineRule="auto"/>
        <w:jc w:val="both"/>
        <w:rPr>
          <w:rFonts w:ascii="Times New Roman" w:hAnsi="Times New Roman" w:cs="Times New Roman"/>
          <w:b/>
          <w:bCs/>
          <w:sz w:val="24"/>
          <w:szCs w:val="24"/>
        </w:rPr>
      </w:pPr>
      <w:r w:rsidRPr="006B2CD4">
        <w:rPr>
          <w:rFonts w:ascii="Times New Roman" w:hAnsi="Times New Roman" w:cs="Times New Roman"/>
          <w:b/>
          <w:bCs/>
          <w:sz w:val="24"/>
          <w:szCs w:val="24"/>
        </w:rPr>
        <w:t>Art. 1</w:t>
      </w:r>
      <w:r w:rsidR="001C6405">
        <w:rPr>
          <w:rFonts w:ascii="Times New Roman" w:hAnsi="Times New Roman" w:cs="Times New Roman"/>
          <w:b/>
          <w:bCs/>
          <w:sz w:val="24"/>
          <w:szCs w:val="24"/>
        </w:rPr>
        <w:t>4</w:t>
      </w:r>
      <w:r w:rsidRPr="006B2CD4">
        <w:rPr>
          <w:rFonts w:ascii="Times New Roman" w:hAnsi="Times New Roman" w:cs="Times New Roman"/>
          <w:b/>
          <w:bCs/>
          <w:sz w:val="24"/>
          <w:szCs w:val="24"/>
        </w:rPr>
        <w:t xml:space="preserve">. </w:t>
      </w:r>
      <w:r w:rsidR="008C2E1F" w:rsidRPr="006B2CD4">
        <w:rPr>
          <w:rFonts w:ascii="Times New Roman" w:hAnsi="Times New Roman" w:cs="Times New Roman"/>
          <w:b/>
          <w:bCs/>
          <w:sz w:val="24"/>
          <w:szCs w:val="24"/>
        </w:rPr>
        <w:t xml:space="preserve">Zmiany w ustawie o ofercie publicznej </w:t>
      </w:r>
    </w:p>
    <w:p w14:paraId="633752FA" w14:textId="194DEF4E" w:rsidR="00490FF5" w:rsidRPr="006B2CD4" w:rsidRDefault="00490FF5" w:rsidP="00490FF5">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Nadanie nowego brzmienia art. 3 ust. 1a ustawy o ofercie publicznej ma na celu wprowadzenie do porządku prawnego w sposób trwały rozwiązania, które zostało przyjęte w art. 31zb ustawy </w:t>
      </w:r>
      <w:r w:rsidRPr="006032DE">
        <w:rPr>
          <w:rFonts w:ascii="Times New Roman" w:hAnsi="Times New Roman" w:cs="Times New Roman"/>
          <w:bCs/>
          <w:sz w:val="24"/>
          <w:szCs w:val="24"/>
        </w:rPr>
        <w:t>COVID-19.</w:t>
      </w:r>
      <w:r w:rsidRPr="006B2CD4">
        <w:rPr>
          <w:rFonts w:ascii="Times New Roman" w:hAnsi="Times New Roman" w:cs="Times New Roman"/>
          <w:bCs/>
          <w:sz w:val="24"/>
          <w:szCs w:val="24"/>
        </w:rPr>
        <w:t xml:space="preserve"> Zmiana ta polega na odstąpieniu od stosowania wymogu zatwierdzenia przez KNF memorandum informacyjnego, o którym mowa w art. 38b ust. 1 ustawy o ofercie publicznej. Powyższe rozwiązanie zostało wdrożone jako jedno z ułatwień w ramach tzw. tarczy antykryzysowej, przy czym ma w obecnym stanie prawnym jedynie charakter czasowy. Zgodnie z powołanym wyżej art. 31zb ustawy COVID-19 można z niego korzystać wyłącznie w okresie obowiązywania ogłoszonego stanu zagrożenia epidemicznego albo stanu epidemii oraz w okresie miesiąca po ich odwołaniu. Po ponad roku obowiązywania ww. regulacji można z przekonaniem stwierdzić, iż stanowi ona istotne ułatwienie i przyspieszenie procedowania dokumentów ofertowych wymaganych dla pozyskania kapitału przez przedsiębiorców. Jednocześnie podkreślenia wymaga, że ww. przepis nie wprowadził zwolnienia z obowiązku sporządzenia i publikowania takiego memorandum, jak również złożenia go do KNF po opubli</w:t>
      </w:r>
      <w:r w:rsidRPr="006B2CD4">
        <w:rPr>
          <w:rFonts w:ascii="Times New Roman" w:hAnsi="Times New Roman" w:cs="Times New Roman"/>
          <w:bCs/>
          <w:sz w:val="24"/>
          <w:szCs w:val="24"/>
        </w:rPr>
        <w:lastRenderedPageBreak/>
        <w:t xml:space="preserve">kowaniu, wobec czego pomimo pewnego odformalizowania procesu dokonywania ofert publicznych instrumentów finansowych, o których mowa w art. 3 ust. 1a ustawy o ofercie publicznej (tj. ofert publicznych papierów wartościowych tego samego rodzaju kierowanych do mniej niż 150 osób innych niż inwestorzy kwalifikowani), przepis ten nadal spełnia swoją ochronną funkcję, tj. zabezpiecza przed obchodzeniem przepisów rozporządzenia Parlamentu Europejskiego i Rady (UE) 2017/1129 z dnia 14 czerwca 2017 r. w sprawie prospektu, który ma być publikowany w związku z ofertą publiczną papierów wartościowych lub dopuszczeniem ich do obrotu na rynku regulowanym oraz uchylenia dyrektywy 2003/71/WE (Dz. Urz. UE L 168 z 30.06.2017, str. 12) (dalej „Rozporządzenie 2017/1129”) w zakresie tzw. ofert kroczących. Jednocześnie zważyć należy, iż przepisy Rozporządzenia 2017/1129 nie zawierają dalej idących wymogów, które winny być spełnione, aby oferta publiczna kierowana do mniej niż 150 adresatów niebędących inwestorami kwalifikowanymi podlegała zwolnieniu spod obowiązku prospektowego, a w szczególności nie wprowadzają ograniczeń w zakresie liczby takich ofert publicznych, dokonywanych w ciągu roku kalendarzowego i nie przewidują konieczności zatwierdzania przez organ nadzoru jakichkolwiek dokumentów informacyjnych dotyczących takich ofert. W konsekwencji przepis art. 3 ust. 1a ustawy o ofercie publicznej w obecnym brzmieniu, przewidujący wymóg zatwierdzenia rzeczonego memorandum przez KNF, stanowi zbyt restrykcyjną regulację względem prawa UE. Proponowana zmiana art. 3 ust. 1a ustawy o ofercie publicznej przyczyni się zatem również do realizacji postulatu Strategii </w:t>
      </w:r>
      <w:r w:rsidRPr="006B2CD4">
        <w:rPr>
          <w:rFonts w:ascii="Times New Roman" w:hAnsi="Times New Roman" w:cs="Times New Roman"/>
          <w:bCs/>
          <w:sz w:val="24"/>
          <w:szCs w:val="24"/>
        </w:rPr>
        <w:lastRenderedPageBreak/>
        <w:t>Rozwoju Rynku</w:t>
      </w:r>
      <w:r w:rsidR="00044339">
        <w:rPr>
          <w:rFonts w:ascii="Times New Roman" w:hAnsi="Times New Roman" w:cs="Times New Roman"/>
          <w:bCs/>
          <w:sz w:val="24"/>
          <w:szCs w:val="24"/>
        </w:rPr>
        <w:t xml:space="preserve"> Kapitałowego</w:t>
      </w:r>
      <w:r w:rsidRPr="006B2CD4">
        <w:rPr>
          <w:rFonts w:ascii="Times New Roman" w:hAnsi="Times New Roman" w:cs="Times New Roman"/>
          <w:bCs/>
          <w:sz w:val="24"/>
          <w:szCs w:val="24"/>
        </w:rPr>
        <w:t xml:space="preserve"> odnośnie tzw. </w:t>
      </w:r>
      <w:r w:rsidRPr="006B2CD4">
        <w:rPr>
          <w:rFonts w:ascii="Times New Roman" w:hAnsi="Times New Roman" w:cs="Times New Roman"/>
          <w:bCs/>
          <w:i/>
          <w:iCs/>
          <w:sz w:val="24"/>
          <w:szCs w:val="24"/>
        </w:rPr>
        <w:t xml:space="preserve">goldplatingu, </w:t>
      </w:r>
      <w:r w:rsidRPr="006B2CD4">
        <w:rPr>
          <w:rFonts w:ascii="Times New Roman" w:hAnsi="Times New Roman" w:cs="Times New Roman"/>
          <w:bCs/>
          <w:iCs/>
          <w:sz w:val="24"/>
          <w:szCs w:val="24"/>
        </w:rPr>
        <w:t>czyli rezygnacji z nadanych organowi nadzorczemu nadmiernych uprawnień lub nadmiarowych obowiązków nałożonych na uczestników rynku</w:t>
      </w:r>
      <w:r w:rsidRPr="006B2CD4">
        <w:rPr>
          <w:rFonts w:ascii="Times New Roman" w:hAnsi="Times New Roman" w:cs="Times New Roman"/>
          <w:bCs/>
          <w:sz w:val="24"/>
          <w:szCs w:val="24"/>
        </w:rPr>
        <w:t>.</w:t>
      </w:r>
    </w:p>
    <w:p w14:paraId="602CB83B" w14:textId="0CA1DE3D" w:rsidR="00490FF5" w:rsidRPr="006B2CD4" w:rsidRDefault="00490FF5" w:rsidP="00490FF5">
      <w:pPr>
        <w:shd w:val="clear" w:color="auto" w:fill="FFFFFF" w:themeFill="background1"/>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Dodanie w art. 27 ust. 1a do ustawy o ofercie publicznej wynika z zauważonej przez UKNF praktyki rynkowej polegającej na składaniu prospektu, który na etapie złożenia (co wynika np. z treści wniosku lub pisma przewodniego) nie zawiera kluczowych informacji niezbędnych nie tylko do jego zatwierdzenia, ale nawet dokonania jego weryfikacji pod kątem kryteriów wynikających z przepisów prawa UE. UKNF stwierdza w prospektach przede wszystkim braki lub nieaktualne informacje związane z historycznymi informacjami finansowymi (dalej „HIF”) i śródrocznymi informacjami finansowymi, które jednak w konsekwencji oznaczają dalej idące braki aktualnych, wymaganych informacji w odniesieniu do wielu szczegółowych wymogów dotyczących treści prospektu. UKNF zaobserwował również praktykę niektórych doradców idącą w kierunku przedkładania wraz z prospektem projektów HIF lub HIF bez sprawozdania z badania lub z projektem sprawozdania z badania, co rodzi po stronie KNF ryzyka związane ze współtworzeniem i współodpowiedzialnością za HIF. Przypadki takich prospektów znacznie wydłużają czas pracy, gdyż weryfikacja niepełnych prospektów dezorganizuje pracę nad prospektami zawierającymi wszystkie niezbędne załączniki i informacje. Z związku z tym należy zmienić podejście do braków formalnych dokumentacji składanej wraz z wnioskiem o zatwierdzenie prospektu (przede wszystkim w odniesieniu do samego prospektu) poprzez wprowadzenie nowego przepisu art. 27 ust. 1a ustawy o ofercie publicznej. Kluczową kwestią </w:t>
      </w:r>
      <w:r w:rsidRPr="006B2CD4">
        <w:rPr>
          <w:rFonts w:ascii="Times New Roman" w:hAnsi="Times New Roman" w:cs="Times New Roman"/>
          <w:bCs/>
          <w:sz w:val="24"/>
          <w:szCs w:val="24"/>
        </w:rPr>
        <w:lastRenderedPageBreak/>
        <w:t>w zakresie tej nowelizacji ustawy o ofercie jest wymóg złożenia prospektu wraz z wnioskiem o jego zatwierdzenie, tj. dokumentu należycie przygotowanego – gotowego do weryfikacji, a w jej następstwie – do zatwierdzenia, nie zaś dokumentu, którego pełna weryfikacja z uwzględnieniem kompletności, spójności i zrozumiałości jest już na wstępie niemożliwa. Nowym rodzajem braku formalnego w myśl proponowanego art. 27 ust. 1a ustawy o ofercie publicznej będzie brak w prospekcie informacji w zakresie wymaganym przepisami:</w:t>
      </w:r>
    </w:p>
    <w:p w14:paraId="2EA4878D" w14:textId="77777777" w:rsidR="00490FF5" w:rsidRPr="006B2CD4" w:rsidRDefault="00490FF5" w:rsidP="00DB03EC">
      <w:pPr>
        <w:numPr>
          <w:ilvl w:val="0"/>
          <w:numId w:val="12"/>
        </w:numPr>
        <w:shd w:val="clear" w:color="auto" w:fill="FFFFFF" w:themeFill="background1"/>
        <w:spacing w:after="0" w:line="360" w:lineRule="auto"/>
        <w:ind w:left="714" w:hanging="357"/>
        <w:jc w:val="both"/>
        <w:rPr>
          <w:rFonts w:ascii="Times New Roman" w:hAnsi="Times New Roman" w:cs="Times New Roman"/>
          <w:bCs/>
          <w:sz w:val="24"/>
          <w:szCs w:val="24"/>
        </w:rPr>
      </w:pPr>
      <w:r w:rsidRPr="006B2CD4">
        <w:rPr>
          <w:rFonts w:ascii="Times New Roman" w:hAnsi="Times New Roman" w:cs="Times New Roman"/>
          <w:bCs/>
          <w:sz w:val="24"/>
          <w:szCs w:val="24"/>
        </w:rPr>
        <w:t>rozporządzenia Parlamentu Europejskiego i Rady (UE) 2017/1129 z dnia 14 czerwca 2017 r. w sprawie prospektu, który ma być publikowany w związku z ofertą publiczną papierów wartościowych lub ich dopuszczeniem do obrotu na rynku regulowanym oraz uchylenia dyrektywy 2003/71/WE,</w:t>
      </w:r>
    </w:p>
    <w:p w14:paraId="78F0F713" w14:textId="6DA37721" w:rsidR="00490FF5" w:rsidRPr="006B2CD4" w:rsidRDefault="00490FF5" w:rsidP="00DB03EC">
      <w:pPr>
        <w:numPr>
          <w:ilvl w:val="0"/>
          <w:numId w:val="12"/>
        </w:numPr>
        <w:shd w:val="clear" w:color="auto" w:fill="FFFFFF" w:themeFill="background1"/>
        <w:spacing w:after="0" w:line="360" w:lineRule="auto"/>
        <w:ind w:left="714" w:hanging="357"/>
        <w:jc w:val="both"/>
        <w:rPr>
          <w:rFonts w:ascii="Times New Roman" w:hAnsi="Times New Roman" w:cs="Times New Roman"/>
          <w:bCs/>
          <w:sz w:val="24"/>
          <w:szCs w:val="24"/>
        </w:rPr>
      </w:pPr>
      <w:r w:rsidRPr="006B2CD4">
        <w:rPr>
          <w:rFonts w:ascii="Times New Roman" w:hAnsi="Times New Roman" w:cs="Times New Roman"/>
          <w:bCs/>
          <w:sz w:val="24"/>
          <w:szCs w:val="24"/>
        </w:rPr>
        <w:t xml:space="preserve">rozporządzenia delegowanego Komisji (UE) 2019/980 z dnia 14 marca 2019 r. uzupełniającego rozporządzenie Parlamentu Europejskiego i Rady (UE) 2017/1129 w odniesieniu do formatu, treści, weryfikacji i zatwierdzania prospektu, który ma być publikowany w związku z ofertą publiczną papierów wartościowych lub dopuszczeniem ich do obrotu na rynku regulowanym, i uchylającego rozporządzenie Komisji (WE) nr 809/2004, lub </w:t>
      </w:r>
    </w:p>
    <w:p w14:paraId="4F437F59" w14:textId="77777777" w:rsidR="00490FF5" w:rsidRPr="006B2CD4" w:rsidRDefault="00490FF5" w:rsidP="00DB03EC">
      <w:pPr>
        <w:numPr>
          <w:ilvl w:val="0"/>
          <w:numId w:val="12"/>
        </w:numPr>
        <w:shd w:val="clear" w:color="auto" w:fill="FFFFFF" w:themeFill="background1"/>
        <w:spacing w:after="120" w:line="360" w:lineRule="auto"/>
        <w:ind w:left="714" w:hanging="357"/>
        <w:jc w:val="both"/>
        <w:rPr>
          <w:rFonts w:ascii="Times New Roman" w:hAnsi="Times New Roman" w:cs="Times New Roman"/>
          <w:bCs/>
          <w:sz w:val="24"/>
          <w:szCs w:val="24"/>
        </w:rPr>
      </w:pPr>
      <w:r w:rsidRPr="006B2CD4">
        <w:rPr>
          <w:rFonts w:ascii="Times New Roman" w:hAnsi="Times New Roman" w:cs="Times New Roman"/>
          <w:bCs/>
          <w:sz w:val="24"/>
          <w:szCs w:val="24"/>
        </w:rPr>
        <w:t>rozporządzenia delegowanego Komisji 2019/979 z dnia 14 marca 2019 r. uzupełniającego rozporządzenie Parlamentu Europejskiego i Rady (UE) 2017/1129 w odniesieniu do regulacyjnych standardów technicznych dotyczących kluczowych informacji finan</w:t>
      </w:r>
      <w:r w:rsidRPr="006B2CD4">
        <w:rPr>
          <w:rFonts w:ascii="Times New Roman" w:hAnsi="Times New Roman" w:cs="Times New Roman"/>
          <w:bCs/>
          <w:sz w:val="24"/>
          <w:szCs w:val="24"/>
        </w:rPr>
        <w:lastRenderedPageBreak/>
        <w:t>sowych w podsumowaniu prospektu, publikacji i klasyfikacji prospektów, reklam papierów wartościowych, suplementów do prospektu i portalu zgłoszeniowego oraz uchylającego rozporządzenie delegowane Komisji (UE) nr 382/2014 i rozporządzenie delegowane Komisji (UE) 2016/301.</w:t>
      </w:r>
    </w:p>
    <w:p w14:paraId="6B796574" w14:textId="5DE23F5A" w:rsidR="00490FF5" w:rsidRPr="006B2CD4" w:rsidRDefault="00490FF5" w:rsidP="00E41970">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Brak formalny będzie dotyczył w szczególności sytuacji, gdy w prospekcie nie zostaną zamieszczone wymagane tymi przepisami informacje finansowe, w tym sprawozdania finansowe, sprawozdanie biegłego rewidenta z ich badania lub odpowiednio raport z przeglądu. Proponowany przepis ograniczy składanie prospektów o treści znacząco utrudniającej lub wręcz uniemożliwiającej pełną weryfikację pod kątem kompletności, spójności i zrozumiałości informacji w nim zawartych, gdyż da KNF podstawę prawną do zgłoszenia uwag formalnych i pozostawienia wniosku o zatwierdzenie prospektu bez rozpatrzenia. Stosowanie przepisu art. 27 ust. 1a ustawy o ofercie publicznej dotyczyć będzie zatem tylko kwestii kluczowych, których brak lub nieodpowiedniość względem wymogów prawa nie budziłaby wątpliwości, a ustalenia w tym zakresie byłyby łatwe do przeprowadzenia w ramach dokonywania wstępnej weryfikacji formalnej złożonego projektu prospektu pod kątem jego kompletności. W świetle obowiązujących obecnie przepisów wezwanie do usunięcia braków formalnych dotyczyć może tylko wad samego wniosku o zatwierdzenie prospektu lub niezałączenia do tego wniosku wymaganych przepisami załączników. Art. 64 k.p.a. nie pozwala natomiast na zastosowanie instytucji wezwania do uzupełnienia braków w przypadku, gdy wady dotyczą treści prospektu lub załączników. Badanie przesłanki kompletności prospektu poprzez weryfikację, czy zawiera </w:t>
      </w:r>
      <w:r w:rsidRPr="006B2CD4">
        <w:rPr>
          <w:rFonts w:ascii="Times New Roman" w:hAnsi="Times New Roman" w:cs="Times New Roman"/>
          <w:bCs/>
          <w:sz w:val="24"/>
          <w:szCs w:val="24"/>
        </w:rPr>
        <w:lastRenderedPageBreak/>
        <w:t>on wszystkie wymagane przepisami informacje i ewentualne wezwanie do usunięcia wad uniemożliwiających jego zatwierdzenie</w:t>
      </w:r>
      <w:r w:rsidR="00044339">
        <w:rPr>
          <w:rFonts w:ascii="Times New Roman" w:hAnsi="Times New Roman" w:cs="Times New Roman"/>
          <w:bCs/>
          <w:sz w:val="24"/>
          <w:szCs w:val="24"/>
        </w:rPr>
        <w:t>,</w:t>
      </w:r>
      <w:r w:rsidRPr="006B2CD4">
        <w:rPr>
          <w:rFonts w:ascii="Times New Roman" w:hAnsi="Times New Roman" w:cs="Times New Roman"/>
          <w:bCs/>
          <w:sz w:val="24"/>
          <w:szCs w:val="24"/>
        </w:rPr>
        <w:t xml:space="preserve"> wymaga wprowadzenia proponowanego przepisu jako podstawy prawnej takich działań. </w:t>
      </w:r>
    </w:p>
    <w:p w14:paraId="2B35F11A" w14:textId="77777777" w:rsidR="00490FF5" w:rsidRPr="006B2CD4" w:rsidRDefault="00490FF5" w:rsidP="00490FF5">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Nowelizacja art. 29 ust. 2 i art. 30 ust. 3 ustawy o ofercie publicznej wynika z dodania do tej ustawy art. 27 ust. 1a. Art. 29 i 30 ustawy o ofercie publiczne dotyczą zatwierdzenia dokumentów, które co prawda mogą być zatwierdzane odrębnie, ale finalnie będą składać się na prospekt sporządzany w formie zestawu dokumentów – zmiana powinna zatem analogicznie dotyczyć także i tych dokumentów, które będą składać się na prospekt.</w:t>
      </w:r>
    </w:p>
    <w:p w14:paraId="4F6F43E4" w14:textId="0CC13A7E" w:rsidR="00490FF5" w:rsidRDefault="00490FF5" w:rsidP="00490FF5">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Dodanie w art. 37a ust. 4 ustawy o ofercie publicznej ma na celu doprecyzowanie sposobu i miejsca publikacji dokumentu oferty w sytuacji, gdy oferta kierowana jest do nieoznaczonego adresata. Podobne rozwiązanie znajduje się w art. 37b ust. 5 ustawy o ofercie publicznej.</w:t>
      </w:r>
    </w:p>
    <w:p w14:paraId="57BCB1CD" w14:textId="349A78A5" w:rsidR="003210F8" w:rsidRPr="003210F8" w:rsidRDefault="003210F8" w:rsidP="003210F8">
      <w:pPr>
        <w:spacing w:line="360" w:lineRule="auto"/>
        <w:jc w:val="both"/>
        <w:rPr>
          <w:rFonts w:ascii="Times New Roman" w:hAnsi="Times New Roman" w:cs="Times New Roman"/>
          <w:sz w:val="24"/>
        </w:rPr>
      </w:pPr>
      <w:r>
        <w:rPr>
          <w:rFonts w:ascii="Times New Roman" w:hAnsi="Times New Roman" w:cs="Times New Roman"/>
          <w:bCs/>
          <w:sz w:val="24"/>
          <w:szCs w:val="24"/>
        </w:rPr>
        <w:t xml:space="preserve">Nowelizacja art. 38 i art. 38a, art. 38b, art. 39 ust. 1 i art. 99 ust. 1 pkt 2 ustawy o ofercie stanowi zmianę dostosowawczą wynikającą z rezygnacji zatwierdzania przez KNF memorandum informacyjnego. </w:t>
      </w:r>
      <w:r w:rsidRPr="009B4E21">
        <w:rPr>
          <w:rFonts w:ascii="Times New Roman" w:hAnsi="Times New Roman" w:cs="Times New Roman"/>
          <w:sz w:val="24"/>
        </w:rPr>
        <w:t>Dodanie art. 40c związane jest ze zmianami wprowadzanymi w ustawie o funduszach inwestycyjnych dotyczącymi tworzenia i funkcjonowania portfelowych funduszy inwestycyjnych i ma na celu rozstrzygnięcie, że dopuszczenie do obrotu na rynku regulowanym certyfikatów inwestycyjnych emitowanych przez fundusz portfelowy, wymaga udostępnienia do publicznej wiadomości prospektu informacyjnego tego funduszu.</w:t>
      </w:r>
    </w:p>
    <w:p w14:paraId="7A8C6CAC" w14:textId="36A98FA5" w:rsidR="00490FF5" w:rsidRPr="006B2CD4" w:rsidRDefault="00490FF5" w:rsidP="00490FF5">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lastRenderedPageBreak/>
        <w:t>Zmiana w art. 51 ust. 3 ustawy o ofercie publicznej ma na celu zrównanie charakteru decyzji w sprawie zatwierdzenia prospektu oraz decyzji w sprawie zatwierdzenia aneksu. Decyzja w sprawie zatwierdzenia aneksu powinna również podlegać natychmiastowemu wykonaniu i nie powinien przysługiwać w jej przypadku wniosek o ponowne rozpatrzenie sprawy.</w:t>
      </w:r>
    </w:p>
    <w:p w14:paraId="31BAAA64" w14:textId="0C6341BE" w:rsidR="00490FF5" w:rsidRPr="006B2CD4" w:rsidRDefault="00490FF5" w:rsidP="004E272A">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Nowe brzmienie art. 68 ust. 1 pkt 5 oraz dodanie do art. 68 ust. 9 ustawy o ofercie publicznej ma na celu wzmocnienie środków nadzorczych poprzez zapewnienie KNF środków nadzorczych w ramach nadzoru nad wykonywaniem obowiązków, o których mowa w rozdziale 4a ustawy o ofercie publicznej. W związku z implementacją do krajowego porządku prawnego </w:t>
      </w:r>
      <w:r w:rsidR="00B7137D">
        <w:rPr>
          <w:rFonts w:ascii="Times New Roman" w:hAnsi="Times New Roman" w:cs="Times New Roman"/>
          <w:bCs/>
          <w:sz w:val="24"/>
          <w:szCs w:val="24"/>
        </w:rPr>
        <w:t>przepisów</w:t>
      </w:r>
      <w:r w:rsidR="00B7137D" w:rsidRPr="006B2CD4">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Dyrektywy Parlamentu Europejskiego i Rady (UE) 2017/828 z dnia 17 maja 2017 r. zmieniającej dyrektywę 2007/36/WE w zakresie zachęcania akcjonariuszy do długoterminowego zaangażowania (dalej „dyrektywa”), do ustawy o ofercie publicznej dodano rozdział 4a – „Polityka wynagrodzeń i sprawozdanie o wynagrodzeniach”. Na podstawie tej regulacji, spółki z siedzibą w Polsce notowane na rynku regulowanym, są zobowiązane m.in. do przyjęcia oraz opublikowania na swojej stronie internetowej polityki wynagrodzeń członków zarządu i rady nadzorczej. Polityki te powinny być przyjmowane przez walne zgromadzenie co najmniej raz na cztery lata, zaś rada nadzorcza spółki jest zobowiązana do sporządzania corocznego sprawozdania o wynagrodzeniach. W związku z art. 5 pkt 7 ustawy z dnia 29 lipca 2005 r. o nadzorze nad rynkiem kapitałowym oraz art. 1 ust. 2 pkt 4 ustawy o nadzorze nad rynkiem finansowym należy wskazać, że zakres nadzoru sprawowanego przez KNF obejmuje również realizację przez spółki obowiązków określonych w rozdziale 4a ustawy o ofercie. Jednakże </w:t>
      </w:r>
      <w:r w:rsidRPr="006B2CD4">
        <w:rPr>
          <w:rFonts w:ascii="Times New Roman" w:hAnsi="Times New Roman" w:cs="Times New Roman"/>
          <w:bCs/>
          <w:sz w:val="24"/>
          <w:szCs w:val="24"/>
        </w:rPr>
        <w:lastRenderedPageBreak/>
        <w:t>aktualne brzmienie ustawy o ofercie</w:t>
      </w:r>
      <w:r w:rsidR="004E272A" w:rsidRPr="006B2CD4">
        <w:rPr>
          <w:rFonts w:ascii="Times New Roman" w:hAnsi="Times New Roman" w:cs="Times New Roman"/>
          <w:bCs/>
          <w:sz w:val="24"/>
          <w:szCs w:val="24"/>
        </w:rPr>
        <w:t xml:space="preserve"> publicznej</w:t>
      </w:r>
      <w:r w:rsidRPr="006B2CD4">
        <w:rPr>
          <w:rFonts w:ascii="Times New Roman" w:hAnsi="Times New Roman" w:cs="Times New Roman"/>
          <w:bCs/>
          <w:sz w:val="24"/>
          <w:szCs w:val="24"/>
        </w:rPr>
        <w:t>, poza przepisami karnymi, tj. art. 104c–art. 104e, nie przewiduje instrumentów nadzorczych, pozwalających KNF na jego efektywną realizację. Dlatego rozszerzenie wynikającego z art. 68 ustawy o ofercie publicznej uprawnienia KNF do żądania informacji oraz umożliwienie wydawania jej zaleceń w odniesieniu do naruszeń, związanych z realizacją obowiązków wynikających z rozdziału 4a ustawy o ofercie publicznej, stanowić będzie podstawę prawną prowadzenia czynności nadzorczych w tym zakresie. Taką możliwość przewiduje art. 14b dyrektywy 2007/36/WE Parlamentu Europejskiego i Rady z dnia 11 lipca 2007 r. w sprawie wykonywania niektórych praw akcjonariuszy spółek notowanych na rynku regulowanym (Dz. Urz. UE L Nr 184 str. 17), który stanowi, że: „</w:t>
      </w:r>
      <w:r w:rsidRPr="006B2CD4">
        <w:rPr>
          <w:rFonts w:ascii="Times New Roman" w:hAnsi="Times New Roman" w:cs="Times New Roman"/>
          <w:bCs/>
          <w:i/>
          <w:sz w:val="24"/>
          <w:szCs w:val="24"/>
        </w:rPr>
        <w:t>Państwa członkowskie ustanawiają przepisy dotyczące środków i sankcji mających zastosowanie w przypadku naruszeń przepisów krajowych przyjętych na podstawie niniejszej dyrektywy i podejmują wszelkie niezbędne środki w celu zapewnienia ich wykonania.</w:t>
      </w:r>
      <w:r w:rsidRPr="006B2CD4">
        <w:rPr>
          <w:rFonts w:ascii="Times New Roman" w:hAnsi="Times New Roman" w:cs="Times New Roman"/>
          <w:bCs/>
          <w:sz w:val="24"/>
          <w:szCs w:val="24"/>
        </w:rPr>
        <w:t xml:space="preserve">”. </w:t>
      </w:r>
    </w:p>
    <w:p w14:paraId="61279BE9" w14:textId="12346529" w:rsidR="00490FF5" w:rsidRPr="006B2CD4" w:rsidRDefault="00490FF5" w:rsidP="00490FF5">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Dodanie w art. 68 ust. 1b i zmiana art. 68 ust. 2 ustawy o ofercie publicznej ma na celu rozszerzenie uprawnienia KNF do żądania informacji od emitentów, których akcje wycofano z obrotu. Zgodnie z brzmieniem art. 68 ust. 1 ustawy o ofercie publicznej na żądanie KNF osoby wchodzące w skład organów zarządzających lub nadzorczych emitenta papierów wartościowych dopuszczonych do obrotu na rynku regulowanym lub będących przedmiotem ubiegania się o to dopuszczenie, lub którego papiery wartościowe zostały wprowadzone do alternatywnego systemu obrotu lub są przedmiotem ubiegania się o takie wprowadzenie, albo pozostające z nim w stosunku pracy, lub będące odpowiednio likwidatorem, syndykiem ustanowionym w </w:t>
      </w:r>
      <w:r w:rsidRPr="006B2CD4">
        <w:rPr>
          <w:rFonts w:ascii="Times New Roman" w:hAnsi="Times New Roman" w:cs="Times New Roman"/>
          <w:bCs/>
          <w:sz w:val="24"/>
          <w:szCs w:val="24"/>
        </w:rPr>
        <w:lastRenderedPageBreak/>
        <w:t>postępowaniu upadłościowym lub zarządcą ustanowionym w postępowaniu restrukturyzacyjnym są obowiązane do niezwłocznego udzielenia pisemnych lub ustnych informacji i wyjaśnień, a także sporządzenia i przekazania, na koszt emitenta, kopii dokumentów i innych nośników informacji, w celu umożliwienia wykonywania ustawowych zadań KNF – w zakresie wskazanym w tym przepisie. Obowiązek ten, zgodnie z art. 68 ust. 2 ustawy o ofercie publicznej, spoczywa również na biegłym rewidencie oraz osobach wchodzących w skład organów zarządzających firmy audytorskiej lub pozostający</w:t>
      </w:r>
      <w:r w:rsidR="00457862">
        <w:rPr>
          <w:rFonts w:ascii="Times New Roman" w:hAnsi="Times New Roman" w:cs="Times New Roman"/>
          <w:bCs/>
          <w:sz w:val="24"/>
          <w:szCs w:val="24"/>
        </w:rPr>
        <w:t>ch z tą firmą w stosunku pracy –</w:t>
      </w:r>
      <w:r w:rsidRPr="006B2CD4">
        <w:rPr>
          <w:rFonts w:ascii="Times New Roman" w:hAnsi="Times New Roman" w:cs="Times New Roman"/>
          <w:bCs/>
          <w:sz w:val="24"/>
          <w:szCs w:val="24"/>
        </w:rPr>
        <w:t xml:space="preserve"> w zakresie wskazanym w tym przepisie. Podstawa prawna powyższego uprawnienia upada wraz z utratą przez emitenta statusu spółki publicznej, co następuje m.in. w wyniku wydania przez KNF zezwolenia na wycofanie akcji z obrotu na rynku regulowanym lub w alternatywnym systemie obrotu. W tym miejscu należy wskazać, iż postępowanie w przedmiocie wycofania akcji z obrotu ma charakter związany, tj. KNF, w wyniku spełnienia przez emitenta ustawowych przesłanek zawartych w art. 91 ustawy o ofercie publicznej jest zobligowana do udzielenia zezwolenia na wycofanie akcji z obrotu. Tym samym w sytuacji kiedy w toku prowadzonego postępowania nadzorczego zostaje wydane zezwolenie na wycofanie akcji z obrotu, KNF traci uprawnienie do żądania od osób reprezentujących emitenta przedstawienia wyjaśnień, dokumentów itp., o czym mowa w art. 68 ust. 1 ustawy o ofercie publicznej. Brak regulacji prawnej, zapewniającej ciągłość czynności prowadzonych przez KNF, tworzy ryzyko faktyczne i prawne, polegające na prolongacji terminu odpowiedzi przez emitenta aż do czasu upadku </w:t>
      </w:r>
      <w:r w:rsidRPr="006B2CD4">
        <w:rPr>
          <w:rFonts w:ascii="Times New Roman" w:hAnsi="Times New Roman" w:cs="Times New Roman"/>
          <w:bCs/>
          <w:sz w:val="24"/>
          <w:szCs w:val="24"/>
        </w:rPr>
        <w:lastRenderedPageBreak/>
        <w:t>podstawy prawnej obowiązku nałożonego na podstawie art. 68 ust. 1 ustawy o ofercie publicznej, co w efekcie spowoduje brak konieczności jego realizacji. Bezpośrednim tego następstwem będzie niemożność kompleksowego wyjaśnienia stanu faktycznego sprawy przez KNF, a tym samym weryfikacji zgodności z prawem postępowania emitenta. Z uwagi na powyższe należy rozszerzyć dyspozycję art. 68 ustawy o ofercie również w stosunku do emitentów, których akcje zostały wycofane z obrotu na rynku regulowanym lub w alternatywnym systemie obrotu, jeżeli żądanie do złożenia wyjaśnień wystosowane przez KNF, dotyczy okresu kiedy akcje te były na danym rynku notowane. Celem utrzymania tego obowiązku względem podmiotów wskazanych w art. 68 ust. 2 ustawy o ofercie publicznej, wskazane jest rozszerzenie treści tego przepisu o dodawany art. 68 ust. 1b.</w:t>
      </w:r>
    </w:p>
    <w:p w14:paraId="479534D4" w14:textId="565FCAF9" w:rsidR="00490FF5" w:rsidRPr="006B2CD4" w:rsidRDefault="00490FF5" w:rsidP="00490FF5">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Dodanie w art. 68 ust. 1c ustawy o ofercie publicznej stanowi rozszerzenie uprawnienia KNF do żądania informacji od podmiotów nienadzorowanych, będących stroną umowy, transakcji lub porozumienia z emitentem papierów wartościowych. Zgodnie z brzmieniem art. 68 ust. 1 pkt </w:t>
      </w:r>
      <w:r w:rsidR="003210F8">
        <w:rPr>
          <w:rFonts w:ascii="Times New Roman" w:hAnsi="Times New Roman" w:cs="Times New Roman"/>
          <w:bCs/>
          <w:sz w:val="24"/>
          <w:szCs w:val="24"/>
        </w:rPr>
        <w:t xml:space="preserve">1, </w:t>
      </w:r>
      <w:r w:rsidRPr="006B2CD4">
        <w:rPr>
          <w:rFonts w:ascii="Times New Roman" w:hAnsi="Times New Roman" w:cs="Times New Roman"/>
          <w:bCs/>
          <w:sz w:val="24"/>
          <w:szCs w:val="24"/>
        </w:rPr>
        <w:t>2 i 3 ustawy o ofercie publicznej na żądanie KNF osoby wchodzące w skład organów zarządzających lub nadzorczych emitenta papierów wartościowych dopuszczonych do obrotu na rynku regulowanym lub będących przedmiotem ubiegania się o to dopuszczenie, lub którego papiery wartościowe zostały wprowadzone do alternatywnego systemu obrotu lub są przedmiotem ubiegania się o takie wprowadzenie, albo pozostające z nim w stosunku pracy, lub będące odpowiednio likwidatorem, syndykiem ustanowionym w postępowaniu upadłościo</w:t>
      </w:r>
      <w:r w:rsidRPr="006B2CD4">
        <w:rPr>
          <w:rFonts w:ascii="Times New Roman" w:hAnsi="Times New Roman" w:cs="Times New Roman"/>
          <w:bCs/>
          <w:sz w:val="24"/>
          <w:szCs w:val="24"/>
        </w:rPr>
        <w:lastRenderedPageBreak/>
        <w:t>wym lub zarządcą ustanowionym w postępowaniu restrukturyzacyjnym są obowiązane do niezwłocznego udzielenia pisemnych lub ustnych informacji i wyjaśnień, a także sporządzenia i przekazania, na koszt emitenta, kopii dokumentów i innych nośników informacji, w celu umożliwienia wykonywania ustawowych zadań KNF – w zakresie ujawniania i przeciwdziałania manipulacji na rynku oraz ujawniania i przeciwdziałania ujawnieniu lub wykorzystywaniu informacji poufnej. Obowiązek ten, zgodnie z art. 68 ust. 2 ustawy o ofercie, spoczywa również na biegłym rewidencie oraz osobach wchodzących w skład organów zarządzających firmy audytorskiej lub pozostający</w:t>
      </w:r>
      <w:r w:rsidR="00457862">
        <w:rPr>
          <w:rFonts w:ascii="Times New Roman" w:hAnsi="Times New Roman" w:cs="Times New Roman"/>
          <w:bCs/>
          <w:sz w:val="24"/>
          <w:szCs w:val="24"/>
        </w:rPr>
        <w:t>ch z tą firmą w stosunku pracy –</w:t>
      </w:r>
      <w:r w:rsidRPr="006B2CD4">
        <w:rPr>
          <w:rFonts w:ascii="Times New Roman" w:hAnsi="Times New Roman" w:cs="Times New Roman"/>
          <w:bCs/>
          <w:sz w:val="24"/>
          <w:szCs w:val="24"/>
        </w:rPr>
        <w:t xml:space="preserve"> w zakresie wskazanym w tym przepisie. W tym miejscu należy wskazać, że powyższa podstawa prawna uprawnień nadzorczych KNF odnosi się wyłącznie do podmiotów nadzorowanych w rozumieniu art. 5 ustawy o nadzorze nad rynkiem kapitałowym. Analogiczne działania podejmowane w stosunku do podmiotów nienadzorowanych, oparte są o ogólną zasadę sprawowania przez KNF nadzoru nad rynkiem (wynikającą z art. 4 ustawy o nadzorze nad rynkiem kapitałowym), która nie stanowi konkretnej podstawy prawnej uprawnienia nadzorczego. Podmiot nienadzorowany nie jest bowiem w żaden sposób zobowiązany do udzielenia KNF odpowiedzi, zaś nieudzielenie odpowiedzi nie podlega sankcji.</w:t>
      </w:r>
    </w:p>
    <w:p w14:paraId="4218742B" w14:textId="77777777" w:rsidR="00490FF5" w:rsidRPr="006B2CD4" w:rsidRDefault="00490FF5" w:rsidP="00490FF5">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Zaproponowane rozszerzenie art. 68 ustawy o ofercie publicznej będzie podstawą prawną czynności nadzorczych KNF, prowadzonych w stosunku do podmiotów nienadzorowanych, będących stroną umowy, transakcji, czy porozumienia z podmiotem nadzorowanym. Dzięki temu zwiększy się efektywność prowadzonego nadzoru w odniesieniu do manipulacji na rynku </w:t>
      </w:r>
      <w:r w:rsidRPr="006B2CD4">
        <w:rPr>
          <w:rFonts w:ascii="Times New Roman" w:hAnsi="Times New Roman" w:cs="Times New Roman"/>
          <w:bCs/>
          <w:sz w:val="24"/>
          <w:szCs w:val="24"/>
        </w:rPr>
        <w:lastRenderedPageBreak/>
        <w:t>oraz ujawniania informacji poufnej, w następstwie możliwości podwójnej weryfikacji informacji przedstawionych przez podmiot nadzorowany. Gwarancją przedstawienia informacji przez podmiot nienadzorowany będzie sankcja, wynikająca z art. 102 ust. 1 ustawy o ofercie publicznej.</w:t>
      </w:r>
    </w:p>
    <w:p w14:paraId="4E2AE741" w14:textId="3E25233F" w:rsidR="00490FF5" w:rsidRPr="006B2CD4" w:rsidRDefault="00490FF5" w:rsidP="00490FF5">
      <w:pPr>
        <w:spacing w:after="120" w:line="360" w:lineRule="auto"/>
        <w:jc w:val="both"/>
        <w:rPr>
          <w:rFonts w:ascii="Times New Roman" w:hAnsi="Times New Roman" w:cs="Times New Roman"/>
          <w:color w:val="1F497D"/>
        </w:rPr>
      </w:pPr>
      <w:r w:rsidRPr="006B2CD4">
        <w:rPr>
          <w:rFonts w:ascii="Times New Roman" w:hAnsi="Times New Roman" w:cs="Times New Roman"/>
          <w:bCs/>
          <w:sz w:val="24"/>
          <w:szCs w:val="24"/>
        </w:rPr>
        <w:t>Nadanie nowego brzmienia art. 68b ust. 3 ustawy o ofercie publicznej związane jest z istniejącym obecnie brakiem uprawnienia spółki prowadzącej rynek regulowany, która organizuje alternatywny system obrotu, do żądania od biegłych rewidentów informacji i dokumentów na potrzeby sprawowania przez ten podmiot nadzoru nad wykonywaniem obowiązków informacyjnych, określonych w rozporządzeniu Parlamentu Europejskiego i Rady (UE) nr 596/2014 z dnia 16 kwietnia 2014 r. w sprawie nadużyć na rynku (rozporządzenie w sprawie nadużyć na rynku) oraz uchylającego dyrektywę 2003/6/WE Parlamentu Europejskiego i Rady i dyrektywy Komisji 2003/124/WE, 2003/125/WE i 2004/72/WE (Dz. Urz. UE L 173 z 12.6.2014, s. 1), zwane dalej „rozporządzeniem MAR”</w:t>
      </w:r>
      <w:r w:rsidR="00B7137D">
        <w:rPr>
          <w:rFonts w:ascii="Times New Roman" w:hAnsi="Times New Roman" w:cs="Times New Roman"/>
          <w:bCs/>
          <w:sz w:val="24"/>
          <w:szCs w:val="24"/>
        </w:rPr>
        <w:t>,</w:t>
      </w:r>
      <w:r w:rsidRPr="006B2CD4">
        <w:rPr>
          <w:rFonts w:ascii="Times New Roman" w:hAnsi="Times New Roman" w:cs="Times New Roman"/>
          <w:bCs/>
          <w:sz w:val="24"/>
          <w:szCs w:val="24"/>
        </w:rPr>
        <w:t xml:space="preserve"> przez spółki notowane w alternatywnym systemie obrotu. Na podstawie art. 68b ust. 1 ustawy o ofercie spółka prowadząca rynek regulowany, która organizuje alternatywny system obrotu, jest obowiązana zapewnić nadzór nad wykonywaniem przez emitentów, których papiery wartościowe zostały wprowadzone wyłącznie do alternatywnego systemu obrotu lub są przedmiotem ubiegania się o takie wprowadzenie, obowiązków, określonych w art. 17 ust. 1, 4 i ust. 7–9 oraz art. 18 ust. 1–6 </w:t>
      </w:r>
      <w:r w:rsidRPr="006B2CD4">
        <w:rPr>
          <w:rFonts w:ascii="Times New Roman" w:hAnsi="Times New Roman" w:cs="Times New Roman"/>
          <w:color w:val="000000" w:themeColor="text1"/>
          <w:sz w:val="24"/>
          <w:szCs w:val="24"/>
        </w:rPr>
        <w:t>rozporządzenia MAR</w:t>
      </w:r>
      <w:r w:rsidR="00B7137D">
        <w:rPr>
          <w:rFonts w:ascii="Times New Roman" w:hAnsi="Times New Roman" w:cs="Times New Roman"/>
          <w:color w:val="000000" w:themeColor="text1"/>
          <w:sz w:val="24"/>
          <w:szCs w:val="24"/>
        </w:rPr>
        <w:t>.</w:t>
      </w:r>
      <w:r w:rsidRPr="006B2CD4">
        <w:rPr>
          <w:rFonts w:ascii="Times New Roman" w:hAnsi="Times New Roman" w:cs="Times New Roman"/>
          <w:color w:val="1F497D"/>
        </w:rPr>
        <w:t xml:space="preserve"> </w:t>
      </w:r>
      <w:r w:rsidRPr="006B2CD4">
        <w:rPr>
          <w:rFonts w:ascii="Times New Roman" w:hAnsi="Times New Roman" w:cs="Times New Roman"/>
          <w:bCs/>
          <w:sz w:val="24"/>
          <w:szCs w:val="24"/>
        </w:rPr>
        <w:t xml:space="preserve">W tym celu, na podstawie art. 68b ust. 3 ustawy o ofercie, </w:t>
      </w:r>
      <w:r w:rsidR="00E41970" w:rsidRPr="006B2CD4">
        <w:rPr>
          <w:rFonts w:ascii="Times New Roman" w:hAnsi="Times New Roman" w:cs="Times New Roman"/>
          <w:bCs/>
          <w:sz w:val="24"/>
          <w:szCs w:val="24"/>
        </w:rPr>
        <w:t xml:space="preserve">Giełda Papierów Wartościowych </w:t>
      </w:r>
      <w:r w:rsidR="00E41970" w:rsidRPr="006B2CD4">
        <w:rPr>
          <w:rFonts w:ascii="Times New Roman" w:hAnsi="Times New Roman" w:cs="Times New Roman"/>
          <w:bCs/>
          <w:sz w:val="24"/>
          <w:szCs w:val="24"/>
        </w:rPr>
        <w:lastRenderedPageBreak/>
        <w:t>(dalej „GPW”)</w:t>
      </w:r>
      <w:r w:rsidRPr="006B2CD4">
        <w:rPr>
          <w:rFonts w:ascii="Times New Roman" w:hAnsi="Times New Roman" w:cs="Times New Roman"/>
          <w:bCs/>
          <w:sz w:val="24"/>
          <w:szCs w:val="24"/>
        </w:rPr>
        <w:t xml:space="preserve"> jest uprawniona do żądania złożenia wyjaśnień lub przekazania kopii dokumentów od osób zarządzających i innych osób działających w imieniu emitenta. Jednakże w trakcie prowadzenia czynności nadzorczych często zachodzi konieczność uzyskania dalszych oraz bardziej szczegółowych informacji bezpośrednio od biegłych rewidentów, którzy nie są objęci zakresem tego przepisu. Wprowadzenie proponowanej regulacji, zapewni </w:t>
      </w:r>
      <w:r w:rsidR="00E41970" w:rsidRPr="006B2CD4">
        <w:rPr>
          <w:rFonts w:ascii="Times New Roman" w:hAnsi="Times New Roman" w:cs="Times New Roman"/>
          <w:bCs/>
          <w:sz w:val="24"/>
          <w:szCs w:val="24"/>
        </w:rPr>
        <w:t>GPW</w:t>
      </w:r>
      <w:r w:rsidR="004E272A" w:rsidRPr="006B2CD4">
        <w:rPr>
          <w:rFonts w:ascii="Times New Roman" w:hAnsi="Times New Roman" w:cs="Times New Roman"/>
          <w:bCs/>
          <w:sz w:val="24"/>
          <w:szCs w:val="24"/>
        </w:rPr>
        <w:t xml:space="preserve"> </w:t>
      </w:r>
      <w:r w:rsidRPr="006B2CD4">
        <w:rPr>
          <w:rFonts w:ascii="Times New Roman" w:hAnsi="Times New Roman" w:cs="Times New Roman"/>
          <w:bCs/>
          <w:sz w:val="24"/>
          <w:szCs w:val="24"/>
        </w:rPr>
        <w:t>możliwość sprawowania kompleksowego nadzoru nad realizacją obowiązków informacyjnych przez emitentów notowanych w alternatywnym systemie obrotu – w zakresie wynikającym z art. 68b ust. 1 ustawy o ofercie. Dla efektywności wykorzystania projektowanego uprawnienia konieczne jest również zwolnienie biegłych rewidentów oraz osób wchodzących w skład organów zarządzających firmy audytorskiej lub pozostających z tą firmą w stosunku pracy z obowiązku zachowania tajemnicy zawodowej.</w:t>
      </w:r>
    </w:p>
    <w:p w14:paraId="305B54E5" w14:textId="36F33EE7" w:rsidR="003210F8" w:rsidRPr="00044339" w:rsidRDefault="00490FF5" w:rsidP="00490FF5">
      <w:pPr>
        <w:shd w:val="clear" w:color="auto" w:fill="FFFFFF" w:themeFill="background1"/>
        <w:spacing w:after="120" w:line="360" w:lineRule="auto"/>
        <w:jc w:val="both"/>
        <w:rPr>
          <w:rFonts w:ascii="Times New Roman" w:hAnsi="Times New Roman" w:cs="Times New Roman"/>
          <w:bCs/>
          <w:i/>
          <w:iCs/>
          <w:sz w:val="24"/>
          <w:szCs w:val="24"/>
        </w:rPr>
      </w:pPr>
      <w:r w:rsidRPr="006B2CD4">
        <w:rPr>
          <w:rFonts w:ascii="Times New Roman" w:hAnsi="Times New Roman" w:cs="Times New Roman"/>
          <w:bCs/>
          <w:sz w:val="24"/>
          <w:szCs w:val="24"/>
        </w:rPr>
        <w:t>Dodanie ust. 6 w art. 68c ustawy o ofercie publicznej związane jest natomiast z nałożeniem na KNF obowiązku, zgodnie z którym KNF informowałby spółkę prowadzącą rynek regulowany o sposobie rozpatrzenia zawiadomienia o ujawnionym istotnym przypadku naruszenia przez emitentów z Alternatywnego Systemu Obrotu, zwanych dalej „ASO”, obowiązków wynikających z rozporządzenia MAR. Dodanie tego przepisu umożliwi ukształtowanie bardziej efektywnego modelu współpracy pomiędzy organem nadzoru</w:t>
      </w:r>
      <w:r w:rsidR="00044339">
        <w:rPr>
          <w:rFonts w:ascii="Times New Roman" w:hAnsi="Times New Roman" w:cs="Times New Roman"/>
          <w:bCs/>
          <w:sz w:val="24"/>
          <w:szCs w:val="24"/>
        </w:rPr>
        <w:t>,</w:t>
      </w:r>
      <w:r w:rsidRPr="006B2CD4">
        <w:rPr>
          <w:rFonts w:ascii="Times New Roman" w:hAnsi="Times New Roman" w:cs="Times New Roman"/>
          <w:bCs/>
          <w:sz w:val="24"/>
          <w:szCs w:val="24"/>
        </w:rPr>
        <w:t xml:space="preserve"> a spółką organizującą rynek regulowany i ASO, który to model w chwili obecnej, z uwagi na brak wyraźnej podstawy prawnej, jest trudny, a w niektórych aspektach wręcz niemożliwy do osiągnięcia. W kontekście właściwych przepisów ustawowych na organizatorze obrotu spoczywa szereg obowiązków z zakresu </w:t>
      </w:r>
      <w:r w:rsidRPr="006B2CD4">
        <w:rPr>
          <w:rFonts w:ascii="Times New Roman" w:hAnsi="Times New Roman" w:cs="Times New Roman"/>
          <w:bCs/>
          <w:sz w:val="24"/>
          <w:szCs w:val="24"/>
        </w:rPr>
        <w:lastRenderedPageBreak/>
        <w:t>zapewnienia nadzoru nad przestrzeganiem przepisów obowiązujących na ASO. Brak umocowania prawnego dla otrzymywania przez organizatora obrotu instrumentami finansowymi informacji zwrotnej na temat spraw prowadzonych przez KNF z jego zawiadomienia przekazanego na podstawie ustawy o ofercie nie pozwala na wymianę informacji, która skutkowałaby lepszą współpracą tych podm</w:t>
      </w:r>
      <w:r w:rsidR="00044339">
        <w:rPr>
          <w:rFonts w:ascii="Times New Roman" w:hAnsi="Times New Roman" w:cs="Times New Roman"/>
          <w:bCs/>
          <w:sz w:val="24"/>
          <w:szCs w:val="24"/>
        </w:rPr>
        <w:t>iotów, a w efekcie</w:t>
      </w:r>
      <w:r w:rsidRPr="006B2CD4">
        <w:rPr>
          <w:rFonts w:ascii="Times New Roman" w:hAnsi="Times New Roman" w:cs="Times New Roman"/>
          <w:bCs/>
          <w:sz w:val="24"/>
          <w:szCs w:val="24"/>
        </w:rPr>
        <w:t xml:space="preserve"> skuteczn</w:t>
      </w:r>
      <w:r w:rsidR="00044339">
        <w:rPr>
          <w:rFonts w:ascii="Times New Roman" w:hAnsi="Times New Roman" w:cs="Times New Roman"/>
          <w:bCs/>
          <w:sz w:val="24"/>
          <w:szCs w:val="24"/>
        </w:rPr>
        <w:t>iejsz</w:t>
      </w:r>
      <w:r w:rsidRPr="006B2CD4">
        <w:rPr>
          <w:rFonts w:ascii="Times New Roman" w:hAnsi="Times New Roman" w:cs="Times New Roman"/>
          <w:bCs/>
          <w:sz w:val="24"/>
          <w:szCs w:val="24"/>
        </w:rPr>
        <w:t>ymi działaniami w zakresie zapewnienia nadzoru nad wypełnianiem przez emitentów, których akcje zostały wprowadzone wyłącznie do ASO, obowiązków wynikających z rozporządzenia MAR. Proponowane rozwiązanie wzorowane jest na obowiązku wynikającym z art. 197 ustawy o biegłych rewidentach, firmach audytorskich oraz nadzorze publicznym zgodnie z którym „</w:t>
      </w:r>
      <w:r w:rsidRPr="006B2CD4">
        <w:rPr>
          <w:rFonts w:ascii="Times New Roman" w:hAnsi="Times New Roman" w:cs="Times New Roman"/>
          <w:bCs/>
          <w:i/>
          <w:iCs/>
          <w:sz w:val="24"/>
          <w:szCs w:val="24"/>
        </w:rPr>
        <w:t>O sposobie rozpatrzenia zawiadomienia, o którym mowa w art. 195 ust. 1, organ informuje zawiadamiającego w terminie 3 miesięcy od dnia doręczenia organowi tego zawiadomienia. Przepisy art. 36–38 ustawy z dnia 14 czerwca 1960 r. – Kodeks postępowania administracyjnego stosuje się”.</w:t>
      </w:r>
    </w:p>
    <w:p w14:paraId="30B85C2B" w14:textId="129F0F96" w:rsidR="00490FF5" w:rsidRDefault="00490FF5" w:rsidP="00490FF5">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W art. 69 ustawy o ofercie publicznej została dodatkowo przewidziana nowelizacja ust. 4, w zakresie zawartości zawiadomienia kierowanego do KNF w związku z ujawnieniem stanu posiadania w spółce publicznej. W związk</w:t>
      </w:r>
      <w:r w:rsidR="003210F8">
        <w:rPr>
          <w:rFonts w:ascii="Times New Roman" w:hAnsi="Times New Roman" w:cs="Times New Roman"/>
          <w:bCs/>
          <w:sz w:val="24"/>
          <w:szCs w:val="24"/>
        </w:rPr>
        <w:t xml:space="preserve">u z zawarciem </w:t>
      </w:r>
      <w:r w:rsidRPr="006B2CD4">
        <w:rPr>
          <w:rFonts w:ascii="Times New Roman" w:hAnsi="Times New Roman" w:cs="Times New Roman"/>
          <w:bCs/>
          <w:sz w:val="24"/>
          <w:szCs w:val="24"/>
        </w:rPr>
        <w:t>w projekcie ustawy regulacji dotyczących elektronizacji składania zawiadomień w zakresie znacznych pakietów akcji uzupełniono również zakres informacji przekazywanych wraz z takim zgłoszeniem. Przekazywanie dodatkowych danych w postaci numeru PESEL (lub krajowego identyfikatora klienta) albo kodu LEI zawiadamiającego oraz kodu LEI emitenta umożliwi stworzenie aktualnej bazy akcjona</w:t>
      </w:r>
      <w:r w:rsidRPr="006B2CD4">
        <w:rPr>
          <w:rFonts w:ascii="Times New Roman" w:hAnsi="Times New Roman" w:cs="Times New Roman"/>
          <w:bCs/>
          <w:sz w:val="24"/>
          <w:szCs w:val="24"/>
        </w:rPr>
        <w:lastRenderedPageBreak/>
        <w:t>riuszy notowanych spółek publicznych oraz pozwoli na synchronizację informacji przekazywanych w zawiadomieniach o zmianach w zakresie znacznych pakietów akcji z danymi, które pozyskiwane są od firm inwestycyjnych na podstawie art. 26 rozporządzenia MIFiR poprzez system TREM. Powyższe działania nie tylko przyczynią się do zwiększenia jakości i efe</w:t>
      </w:r>
      <w:r w:rsidR="00044339">
        <w:rPr>
          <w:rFonts w:ascii="Times New Roman" w:hAnsi="Times New Roman" w:cs="Times New Roman"/>
          <w:bCs/>
          <w:sz w:val="24"/>
          <w:szCs w:val="24"/>
        </w:rPr>
        <w:t>ktywności nadzoru, ale i przejrzystości</w:t>
      </w:r>
      <w:r w:rsidRPr="006B2CD4">
        <w:rPr>
          <w:rFonts w:ascii="Times New Roman" w:hAnsi="Times New Roman" w:cs="Times New Roman"/>
          <w:bCs/>
          <w:sz w:val="24"/>
          <w:szCs w:val="24"/>
        </w:rPr>
        <w:t xml:space="preserve"> rynku kapitałowego, przyczynia</w:t>
      </w:r>
      <w:r w:rsidR="00044339">
        <w:rPr>
          <w:rFonts w:ascii="Times New Roman" w:hAnsi="Times New Roman" w:cs="Times New Roman"/>
          <w:bCs/>
          <w:sz w:val="24"/>
          <w:szCs w:val="24"/>
        </w:rPr>
        <w:t>jąc się tym samym do wzmocnienia</w:t>
      </w:r>
      <w:r w:rsidRPr="006B2CD4">
        <w:rPr>
          <w:rFonts w:ascii="Times New Roman" w:hAnsi="Times New Roman" w:cs="Times New Roman"/>
          <w:bCs/>
          <w:sz w:val="24"/>
          <w:szCs w:val="24"/>
        </w:rPr>
        <w:t xml:space="preserve"> bezpieczeństwa obrotu na tym rynku. Z kolei dodanie do art. 69 ust. 4aa ma na celu ochronę danych wrażliwych</w:t>
      </w:r>
      <w:r w:rsidR="00044339">
        <w:rPr>
          <w:rFonts w:ascii="Times New Roman" w:hAnsi="Times New Roman" w:cs="Times New Roman"/>
          <w:bCs/>
          <w:sz w:val="24"/>
          <w:szCs w:val="24"/>
        </w:rPr>
        <w:t>,</w:t>
      </w:r>
      <w:r w:rsidRPr="006B2CD4">
        <w:rPr>
          <w:rFonts w:ascii="Times New Roman" w:hAnsi="Times New Roman" w:cs="Times New Roman"/>
          <w:bCs/>
          <w:sz w:val="24"/>
          <w:szCs w:val="24"/>
        </w:rPr>
        <w:t xml:space="preserve"> w związku z realizacją ujawnienia posiadania znacznych pakietów akcji spółek publicznych. Podjęto w tym zakresie decyzję, że dane takie nie będą udostępniane do publicznej wiadomości.</w:t>
      </w:r>
      <w:r w:rsidR="00887B00">
        <w:rPr>
          <w:rFonts w:ascii="Times New Roman" w:hAnsi="Times New Roman" w:cs="Times New Roman"/>
          <w:bCs/>
          <w:sz w:val="24"/>
          <w:szCs w:val="24"/>
        </w:rPr>
        <w:t xml:space="preserve"> P</w:t>
      </w:r>
      <w:r w:rsidR="00887B00" w:rsidRPr="00887B00">
        <w:rPr>
          <w:rFonts w:ascii="Times New Roman" w:hAnsi="Times New Roman" w:cs="Times New Roman"/>
          <w:bCs/>
          <w:sz w:val="24"/>
          <w:szCs w:val="24"/>
        </w:rPr>
        <w:t xml:space="preserve">rzyjęte rozwiązanie jest niezbędne z uwagi na uwarunkowania systemu teleinformatycznego służącego do obsługi zawiadomień. W przypadku przekazania korespondencji w formie poczty elektronicznej nie jest możliwe dodanie jej do systemu teleinformatycznego jako zawiadomienia pochodzącego od nadawcy i złożony formularz nie byłby identyfikowany jako pochodzący od jego nadawcy. Jest to o tyle istotne, że wskazany system teleinformatyczny ma gromadzić dane, które będą podstawą do stworzenia bazy informatycznej dotyczącej akcjonariuszy spółek publicznych, a tym samym usprawnienia nadzoru. Ponadto, należy wskazać, że odrzucenie proponowanego rozwiązania oznaczałoby de facto dopuszczenie dwóch równoległych sposobów składania zawiadomień (pocztą elektroniczną i za pomocą systemu). Z uwagi na liczbę otrzymywanych przez UKNF zawiadomień na podstawie art. 69 ust. 1 ustawy o ofercie (niespełna dwa tysiące zawiadomień rocznie) i potrzebę automatyzacji procesu weryfikacji zawiadomień, powinny one wpływać do UKNF </w:t>
      </w:r>
      <w:r w:rsidR="00887B00" w:rsidRPr="00887B00">
        <w:rPr>
          <w:rFonts w:ascii="Times New Roman" w:hAnsi="Times New Roman" w:cs="Times New Roman"/>
          <w:bCs/>
          <w:sz w:val="24"/>
          <w:szCs w:val="24"/>
        </w:rPr>
        <w:lastRenderedPageBreak/>
        <w:t>jednym kanałem komunikacji, tj. do dedykowanego systemu. Co więcej, przewidziany w art. 69 ust. 2b ustawy o ofercie dotyczy jedynie sytuacji awaryjnych. Wymaga również podkreślenia, że proponowane rozwiązanie funkcjonuje w istniejącym porządku prawnym, tj. w art. 77a ust. 3 ustawy o ofercie publicznej, który przewiduje tożsamy obowiązek w przypadku zawiadamiania UKNF o zamiarze ogłoszenia wezwania.</w:t>
      </w:r>
    </w:p>
    <w:p w14:paraId="36560872" w14:textId="7B25A563" w:rsidR="003210F8" w:rsidRPr="004A4A12" w:rsidRDefault="003210F8" w:rsidP="003210F8">
      <w:pPr>
        <w:shd w:val="clear" w:color="auto" w:fill="FFFFFF" w:themeFill="background1"/>
        <w:spacing w:after="120" w:line="360" w:lineRule="auto"/>
        <w:jc w:val="both"/>
        <w:rPr>
          <w:rFonts w:ascii="Times New Roman" w:hAnsi="Times New Roman" w:cs="Times New Roman"/>
          <w:bCs/>
          <w:sz w:val="24"/>
          <w:szCs w:val="24"/>
        </w:rPr>
      </w:pPr>
      <w:r w:rsidRPr="004A4A12">
        <w:rPr>
          <w:rFonts w:ascii="Times New Roman" w:hAnsi="Times New Roman" w:cs="Times New Roman"/>
          <w:bCs/>
          <w:sz w:val="24"/>
          <w:szCs w:val="24"/>
        </w:rPr>
        <w:t xml:space="preserve">Postulowane zmiany w </w:t>
      </w:r>
      <w:r>
        <w:rPr>
          <w:rFonts w:ascii="Times New Roman" w:hAnsi="Times New Roman" w:cs="Times New Roman"/>
          <w:bCs/>
          <w:sz w:val="24"/>
          <w:szCs w:val="24"/>
        </w:rPr>
        <w:t>art. 82 ustawy o ofercie</w:t>
      </w:r>
      <w:r w:rsidRPr="004A4A12">
        <w:rPr>
          <w:rFonts w:ascii="Times New Roman" w:hAnsi="Times New Roman" w:cs="Times New Roman"/>
          <w:bCs/>
          <w:sz w:val="24"/>
          <w:szCs w:val="24"/>
        </w:rPr>
        <w:t xml:space="preserve"> mają na celu usunięcie pojawiających się w praktyce wątpliwości związanych z ich stosowaniem. </w:t>
      </w:r>
      <w:r>
        <w:rPr>
          <w:rFonts w:ascii="Times New Roman" w:hAnsi="Times New Roman" w:cs="Times New Roman"/>
          <w:bCs/>
          <w:sz w:val="24"/>
          <w:szCs w:val="24"/>
        </w:rPr>
        <w:t>Zmiany w tym przepisie</w:t>
      </w:r>
      <w:r w:rsidRPr="004A4A12">
        <w:rPr>
          <w:rFonts w:ascii="Times New Roman" w:hAnsi="Times New Roman" w:cs="Times New Roman"/>
          <w:bCs/>
          <w:sz w:val="24"/>
          <w:szCs w:val="24"/>
        </w:rPr>
        <w:t xml:space="preserve"> mają na celu wskazanie punktu odniesienia niezbędnego dla prawidłowego ustalania ceny minimalnej, jaka powinna zostać zaproponowana akcjonariuszom spółki publicznej w przypadku ogłoszenia przymusowego wykupu akcji notowanych na rynku regulowanym oraz w alternatywnym systemie obrotu. W obecnie obowiązujących przepisach wyznaczających powyższe kryteria znajdują się odesłania do zasad ustalania ceny minimalnej w wezwaniach. Przepisy, do których odsyła obecnie obowiązujący art. 82 ust. 2 ustawy o ofercie, nie modyfikują sposobu wyznaczenia poszczególnych okresów, o których mowa w art. 79 lub 79a. O ile tak określone zasady nie budzą wątpliwości w zakresie wyznaczania ceny minimalnej w wezwaniu, to, jak wskazuje praktyka, konstrukcja przepisów dotyczących przymusowych wykupów nie jest w pełni jasna dla podmiotów żądających przymusowego wykupu oraz podmiotów pośredniczących w jego przeprowadzeniu.</w:t>
      </w:r>
      <w:r>
        <w:rPr>
          <w:rFonts w:ascii="Times New Roman" w:hAnsi="Times New Roman" w:cs="Times New Roman"/>
          <w:bCs/>
          <w:sz w:val="24"/>
          <w:szCs w:val="24"/>
        </w:rPr>
        <w:t xml:space="preserve"> </w:t>
      </w:r>
      <w:r w:rsidRPr="004A4A12">
        <w:rPr>
          <w:rFonts w:ascii="Times New Roman" w:hAnsi="Times New Roman" w:cs="Times New Roman"/>
          <w:bCs/>
          <w:sz w:val="24"/>
          <w:szCs w:val="24"/>
        </w:rPr>
        <w:t xml:space="preserve">Analogiczna sytuacja zachodzi w przypadku określenia ceny przymusowego odkupu, o którym mowa w art. 83 oraz 83a ustawy o ofercie. Zaproponowane w pkt 1, 2 i 3 zmiany wprowadzą jasne zasady określania ceny minimalnej w przymusowym wykupie oraz </w:t>
      </w:r>
      <w:r w:rsidRPr="004A4A12">
        <w:rPr>
          <w:rFonts w:ascii="Times New Roman" w:hAnsi="Times New Roman" w:cs="Times New Roman"/>
          <w:bCs/>
          <w:sz w:val="24"/>
          <w:szCs w:val="24"/>
        </w:rPr>
        <w:lastRenderedPageBreak/>
        <w:t>ceny przymusowego odkupu akcji. Istotą zmian jest jednoznaczne wskazanie zdarzenia, w odniesieniu do którego należy ustalić okres, za który wyliczana jest średnia cena akcji spółki objętej żądaniem odkupu lub wykupu. Przepisy art. 79 ust. 1 i 2 mówią o dniu złożenia zawiadomienia o zamiarze ogłoszenia wezwania, takie zdarzenie nie występuje w przypadku, gdy dochodzi do żądania odkupienia akcji spółki lub ich przymusowego wykupu. W tych przypadkach okres, z którego uwzględnia się średnią cenę akcji</w:t>
      </w:r>
      <w:r w:rsidR="00044339">
        <w:rPr>
          <w:rFonts w:ascii="Times New Roman" w:hAnsi="Times New Roman" w:cs="Times New Roman"/>
          <w:bCs/>
          <w:sz w:val="24"/>
          <w:szCs w:val="24"/>
        </w:rPr>
        <w:t>,</w:t>
      </w:r>
      <w:r w:rsidRPr="004A4A12">
        <w:rPr>
          <w:rFonts w:ascii="Times New Roman" w:hAnsi="Times New Roman" w:cs="Times New Roman"/>
          <w:bCs/>
          <w:sz w:val="24"/>
          <w:szCs w:val="24"/>
        </w:rPr>
        <w:t xml:space="preserve"> powinien być liczony w odniesieniu do dnia wystąpienia z żądaniem odkupienia akcji lub zawiadomieniem, o którym mowa w art. 82 ust. 5 ustawy o ofercie, a w przypadku żądania, o którym mowa w art. 83a – do dnia wykluczenia akcji z obrotu na rynku regulowanym.</w:t>
      </w:r>
      <w:r>
        <w:rPr>
          <w:rFonts w:ascii="Times New Roman" w:hAnsi="Times New Roman" w:cs="Times New Roman"/>
          <w:bCs/>
          <w:sz w:val="24"/>
          <w:szCs w:val="24"/>
        </w:rPr>
        <w:t xml:space="preserve"> </w:t>
      </w:r>
      <w:r w:rsidRPr="004A4A12">
        <w:rPr>
          <w:rFonts w:ascii="Times New Roman" w:hAnsi="Times New Roman" w:cs="Times New Roman"/>
          <w:bCs/>
          <w:sz w:val="24"/>
          <w:szCs w:val="24"/>
        </w:rPr>
        <w:t>Postulat zawarty w pkt 4 ma na celu usunięcie luki prawnej, jaka powstała po wejściu w życie 30 maja br. zmian ustawy o ofercie, oraz dostosowanie przepisów dotyczących ustalania ceny minimalnej w wezwaniu „delistingowym” na akcje wprowadzone wyłącznie do alternatywnego systemu obrotu. Cena ta, podobnie jak w przypadku innych wezwań, powinna być ustalana przy uwzględnieniu momentu złożenia zawiadomienia o zamiarze ogłoszenia wezwania, a nie, jak stanowi obecne brzmienie przepisu – w odniesieniu do momentu ogłoszenia wezwania. Aktualne brzmienie art. 91 ust. 6 ustawy o ofercie jest reliktem nawiązującym do obowiązującego przed 30 maja br. trybu przekazywania Komisji treści wezwania w dniu jego ogłoszenia.</w:t>
      </w:r>
    </w:p>
    <w:p w14:paraId="5FF7892A" w14:textId="52682F23" w:rsidR="003210F8" w:rsidRPr="003210F8" w:rsidRDefault="003210F8" w:rsidP="00490FF5">
      <w:pPr>
        <w:shd w:val="clear" w:color="auto" w:fill="FFFFFF" w:themeFill="background1"/>
        <w:spacing w:after="120" w:line="360" w:lineRule="auto"/>
        <w:jc w:val="both"/>
        <w:rPr>
          <w:rFonts w:ascii="Times New Roman" w:hAnsi="Times New Roman"/>
          <w:bCs/>
          <w:sz w:val="24"/>
        </w:rPr>
      </w:pPr>
      <w:r w:rsidRPr="004A4A12">
        <w:rPr>
          <w:rFonts w:ascii="Times New Roman" w:hAnsi="Times New Roman" w:cs="Times New Roman"/>
          <w:bCs/>
          <w:sz w:val="24"/>
          <w:szCs w:val="24"/>
        </w:rPr>
        <w:t xml:space="preserve">Zmiana w art. 83a ust. 1, 2 i 4 </w:t>
      </w:r>
      <w:r>
        <w:rPr>
          <w:rFonts w:ascii="Times New Roman" w:hAnsi="Times New Roman" w:cs="Times New Roman"/>
          <w:bCs/>
          <w:sz w:val="24"/>
          <w:szCs w:val="24"/>
        </w:rPr>
        <w:t>ustawy o ofercie publicznej ma</w:t>
      </w:r>
      <w:r w:rsidRPr="004A4A12">
        <w:rPr>
          <w:rFonts w:ascii="Times New Roman" w:hAnsi="Times New Roman" w:cs="Times New Roman"/>
          <w:bCs/>
          <w:sz w:val="24"/>
          <w:szCs w:val="24"/>
        </w:rPr>
        <w:t xml:space="preserve"> na celu zapewnienie drobnym akcjonariuszom </w:t>
      </w:r>
      <w:r>
        <w:rPr>
          <w:rFonts w:ascii="Times New Roman" w:hAnsi="Times New Roman" w:cs="Times New Roman"/>
          <w:bCs/>
          <w:sz w:val="24"/>
          <w:szCs w:val="24"/>
        </w:rPr>
        <w:t>(tj. akcjonariuszom posiadającym</w:t>
      </w:r>
      <w:r w:rsidRPr="004A4A12">
        <w:rPr>
          <w:rFonts w:ascii="Times New Roman" w:hAnsi="Times New Roman" w:cs="Times New Roman"/>
          <w:bCs/>
          <w:sz w:val="24"/>
          <w:szCs w:val="24"/>
        </w:rPr>
        <w:t xml:space="preserve"> mniej niż 5% ogólnej liczby głosów na walnym zgromadzeniu) spółek notowanych w alternatywnym systemie obrotu analogicznych </w:t>
      </w:r>
      <w:r w:rsidRPr="004A4A12">
        <w:rPr>
          <w:rFonts w:ascii="Times New Roman" w:hAnsi="Times New Roman" w:cs="Times New Roman"/>
          <w:bCs/>
          <w:sz w:val="24"/>
          <w:szCs w:val="24"/>
        </w:rPr>
        <w:lastRenderedPageBreak/>
        <w:t>praw</w:t>
      </w:r>
      <w:r w:rsidR="00044339">
        <w:rPr>
          <w:rFonts w:ascii="Times New Roman" w:hAnsi="Times New Roman" w:cs="Times New Roman"/>
          <w:bCs/>
          <w:sz w:val="24"/>
          <w:szCs w:val="24"/>
        </w:rPr>
        <w:t xml:space="preserve">, jak </w:t>
      </w:r>
      <w:r w:rsidRPr="004A4A12">
        <w:rPr>
          <w:rFonts w:ascii="Times New Roman" w:hAnsi="Times New Roman" w:cs="Times New Roman"/>
          <w:bCs/>
          <w:sz w:val="24"/>
          <w:szCs w:val="24"/>
        </w:rPr>
        <w:t xml:space="preserve">akcjonariuszom spółek notowanych na rynku regulowanym. Obowiązujący art. 83a ust. 1 pkt 3 ustawy o ofercie publicznej odnosi się do akcjonariuszy spółek, które z powodów wskazanych w tym przepisie zostały wykluczone z obrotu na rynku regulowanym. Tym samym przepis ten chroni drobnych akcjonariuszy spółek giełdowych, które w wyniku własnych zaniedbań w obszarze wypełniania obowiązków informacyjnych dotknęła sankcja w postaci wykluczenia z obrotu. Przepis art. 83a ust. 1 pkt 3 ustawy o ofercie publicznej dotyczy jednak wyłącznie spółek, których akcje zostały dopuszczone do obrotu na rynku regulowanym. Wobec tak określonego zakresu podmiotowego tego przepisu analogicznej ochrony zostali pozbawieni akcjonariusze mniejszościowi spółek publicznych, których akcje są wprowadzone do alternatywnego systemu obrotu. Wskazany przepis ustawy o ofercie nie chroni bowiem akcjonariuszy spółek z alternatywnego systemu obrotu w sytuacji, gdy władze spółki </w:t>
      </w:r>
      <w:r w:rsidR="00457862">
        <w:rPr>
          <w:rFonts w:ascii="Times New Roman" w:hAnsi="Times New Roman" w:cs="Times New Roman"/>
          <w:bCs/>
          <w:sz w:val="24"/>
          <w:szCs w:val="24"/>
        </w:rPr>
        <w:t>–</w:t>
      </w:r>
      <w:r w:rsidRPr="004A4A12">
        <w:rPr>
          <w:rFonts w:ascii="Times New Roman" w:hAnsi="Times New Roman" w:cs="Times New Roman"/>
          <w:bCs/>
          <w:sz w:val="24"/>
          <w:szCs w:val="24"/>
        </w:rPr>
        <w:t xml:space="preserve"> nierzadko w sposób zamierzony lub będący wynikiem rażącego</w:t>
      </w:r>
      <w:r>
        <w:rPr>
          <w:rFonts w:ascii="Times New Roman" w:hAnsi="Times New Roman" w:cs="Times New Roman"/>
          <w:bCs/>
          <w:sz w:val="24"/>
          <w:szCs w:val="24"/>
        </w:rPr>
        <w:t xml:space="preserve"> </w:t>
      </w:r>
      <w:r w:rsidRPr="00D978C4">
        <w:rPr>
          <w:rFonts w:ascii="Times New Roman" w:hAnsi="Times New Roman"/>
          <w:bCs/>
          <w:sz w:val="24"/>
        </w:rPr>
        <w:t xml:space="preserve">niedbalstwa </w:t>
      </w:r>
      <w:r w:rsidR="00457862">
        <w:rPr>
          <w:rFonts w:ascii="Times New Roman" w:hAnsi="Times New Roman"/>
          <w:bCs/>
          <w:sz w:val="24"/>
        </w:rPr>
        <w:t>–</w:t>
      </w:r>
      <w:r w:rsidRPr="00D978C4">
        <w:rPr>
          <w:rFonts w:ascii="Times New Roman" w:hAnsi="Times New Roman"/>
          <w:bCs/>
          <w:sz w:val="24"/>
        </w:rPr>
        <w:t xml:space="preserve"> nie wypełniają obowiązków informacyjnych</w:t>
      </w:r>
      <w:r w:rsidR="0038501B">
        <w:rPr>
          <w:rFonts w:ascii="Times New Roman" w:hAnsi="Times New Roman"/>
          <w:bCs/>
          <w:sz w:val="24"/>
        </w:rPr>
        <w:t>,</w:t>
      </w:r>
      <w:r w:rsidRPr="00D978C4">
        <w:rPr>
          <w:rFonts w:ascii="Times New Roman" w:hAnsi="Times New Roman"/>
          <w:bCs/>
          <w:sz w:val="24"/>
        </w:rPr>
        <w:t xml:space="preserve"> określonych w regulaminie alternatywnego systemu obrotu lub właściwych przepisach Rozporządzenia MAR, wskutek czego akcje takiego emitenta zostały w trybie sankcyjnym wykluczone z alternatywnego systemu obrotu.</w:t>
      </w:r>
      <w:r>
        <w:rPr>
          <w:rFonts w:ascii="Times New Roman" w:hAnsi="Times New Roman"/>
          <w:bCs/>
          <w:sz w:val="24"/>
        </w:rPr>
        <w:t xml:space="preserve"> </w:t>
      </w:r>
      <w:r w:rsidRPr="00D978C4">
        <w:rPr>
          <w:rFonts w:ascii="Times New Roman" w:hAnsi="Times New Roman" w:cs="Times New Roman"/>
          <w:bCs/>
          <w:sz w:val="24"/>
          <w:szCs w:val="24"/>
        </w:rPr>
        <w:t xml:space="preserve">Doświadczenia ostatnich lat pokazują, że wzmacnianie zaufania inwestorów do rynku kapitałowego stanowi jeden z fundamentów rozwoju tego rynku. W Strategii Rozwoju Rynku Kapitałowego wskazano: „Zaufanie do rynku kapitałowego jest istotnie zależne od pewności w odniesieniu do otoczenia regulacyjnego i nadzorczego. (…) Rząd dostrzegł potrzebę zwiększenia efektywności sprawowania nadzoru nad rynkiem oraz procedowania projektów aktów prawnych w celu wzmacniania zaufania do </w:t>
      </w:r>
      <w:r w:rsidRPr="00D978C4">
        <w:rPr>
          <w:rFonts w:ascii="Times New Roman" w:hAnsi="Times New Roman" w:cs="Times New Roman"/>
          <w:bCs/>
          <w:sz w:val="24"/>
          <w:szCs w:val="24"/>
        </w:rPr>
        <w:lastRenderedPageBreak/>
        <w:t>rynku i do tworzonego prawa.” Strategia „(…) ma na celu zapewnienie wysokiej ochrony wszystkim interesariuszom, a w szczególności inwestorom indywidualnym tak, aby przepisy prawa i środki egzekucji tworzyły stabilne środowisko prawne, pozwalające na efektywną alokację kapitału i uzyskanie należytych korzyści przez podmioty podejmujące ryzyko.”. Dodatkowo zmiany w art. 83a ustawy o ofercie przewidują również objęcie tym przepisem przypadków wykluczenia z obrotu zorganizowanego na podstawie regulaminów tych rynków. Tym samym art. 83a ustawy o ofercie dotyczył będzie wszystkich przypadków sankcyjnego wykluczenia akcji z obrotu zorganizowanego.</w:t>
      </w:r>
    </w:p>
    <w:p w14:paraId="2BB4B417" w14:textId="324E320E" w:rsidR="00490FF5" w:rsidRDefault="00490FF5" w:rsidP="00490FF5">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W art. 84 ust. 1 ustawy o ofercie publicznej proponuje się rozszerzenie uprawnień rewidenta do spraw szczególnych wynikających z tego przepisu przez ich odniesienie również w stosunku do podmiotów zależnych od spółek publicznych. Zmiana ta ma równi</w:t>
      </w:r>
      <w:r w:rsidR="0038501B">
        <w:rPr>
          <w:rFonts w:ascii="Times New Roman" w:hAnsi="Times New Roman" w:cs="Times New Roman"/>
          <w:bCs/>
          <w:sz w:val="24"/>
          <w:szCs w:val="24"/>
        </w:rPr>
        <w:t xml:space="preserve">eż na celu spełnienie w tym obszarze postulatu </w:t>
      </w:r>
      <w:r w:rsidRPr="006B2CD4">
        <w:rPr>
          <w:rFonts w:ascii="Times New Roman" w:hAnsi="Times New Roman" w:cs="Times New Roman"/>
          <w:bCs/>
          <w:sz w:val="24"/>
          <w:szCs w:val="24"/>
        </w:rPr>
        <w:t xml:space="preserve">zgłoszonego przez środowisko akcjonariuszy mniejszościowych i powinna przyczynić się do wzmocnienia ochrony ich interesów. </w:t>
      </w:r>
    </w:p>
    <w:p w14:paraId="429B0A56" w14:textId="3E0C5DE1" w:rsidR="00887B00" w:rsidRDefault="00887B00" w:rsidP="00490FF5">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W art. 90</w:t>
      </w:r>
      <w:r w:rsidR="00441F57">
        <w:rPr>
          <w:rFonts w:ascii="Times New Roman" w:hAnsi="Times New Roman" w:cs="Times New Roman"/>
          <w:bCs/>
          <w:sz w:val="24"/>
          <w:szCs w:val="24"/>
        </w:rPr>
        <w:t>ga</w:t>
      </w:r>
      <w:r>
        <w:rPr>
          <w:rFonts w:ascii="Times New Roman" w:hAnsi="Times New Roman" w:cs="Times New Roman"/>
          <w:bCs/>
          <w:sz w:val="24"/>
          <w:szCs w:val="24"/>
        </w:rPr>
        <w:t xml:space="preserve"> przewiduje się nadanie uprawnienia</w:t>
      </w:r>
      <w:r w:rsidRPr="00887B00">
        <w:rPr>
          <w:rFonts w:ascii="Times New Roman" w:hAnsi="Times New Roman" w:cs="Times New Roman"/>
          <w:bCs/>
          <w:sz w:val="24"/>
          <w:szCs w:val="24"/>
        </w:rPr>
        <w:t xml:space="preserve"> KNF do wydawania zalecenia w stosunku do spółki z siedzibą na terytorium Rzeczypospolitej Polskiej, której co najmniej jedna akcja jest dopuszczona do obrotu na rynku regulowanym, w celu zaprzestania naruszania przez nią obowiązków dotyczących jej polityki wynagrodzeń i sprawozdawczości w tym zakresie. Zalecenie może być skuteczną formą oddziaływania organu nadzorczeg</w:t>
      </w:r>
      <w:r w:rsidR="0038501B">
        <w:rPr>
          <w:rFonts w:ascii="Times New Roman" w:hAnsi="Times New Roman" w:cs="Times New Roman"/>
          <w:bCs/>
          <w:sz w:val="24"/>
          <w:szCs w:val="24"/>
        </w:rPr>
        <w:t xml:space="preserve">o na podmioty, które nakłoni </w:t>
      </w:r>
      <w:r w:rsidRPr="00887B00">
        <w:rPr>
          <w:rFonts w:ascii="Times New Roman" w:hAnsi="Times New Roman" w:cs="Times New Roman"/>
          <w:bCs/>
          <w:sz w:val="24"/>
          <w:szCs w:val="24"/>
        </w:rPr>
        <w:t xml:space="preserve">do przestrzegania danych obowiązków związanych z uczestnictwem na rynku kapitałowym. Na gruncie ustawy o ofercie publicznej przewidziana została już dla KNF możliwość wydania </w:t>
      </w:r>
      <w:r w:rsidRPr="00887B00">
        <w:rPr>
          <w:rFonts w:ascii="Times New Roman" w:hAnsi="Times New Roman" w:cs="Times New Roman"/>
          <w:bCs/>
          <w:sz w:val="24"/>
          <w:szCs w:val="24"/>
        </w:rPr>
        <w:lastRenderedPageBreak/>
        <w:t xml:space="preserve">zaleceń wobec emitenta w związku naruszeniem przepisów dotyczących oferty publicznej, subskrypcji lub sprzedaży, dokonywanej na podstawie tej oferty na terytorium Rzeczypospolitej Polskiej (art. 16 ust. 1), naruszeniem przepisów prawa w związku z ubieganiem się o dopuszczenie lub wprowadzenie papierów wartościowych do obrotu na rynku regulowanym na terytorium Rzeczypospolitej Polskiej przez emitenta (art. 17 ust. 1) i w przypadku naruszenia obowiązków informacyjnych, o których mowa w art. 68 ustawy o ofercie publicznej (art. 68 ust. 5, 7–8). Uzasadnione jest więc przyznanie KNF uprawnienia do wydawania zaleceń wobec emitenta naruszającego istotne dla prawidłowego funkcjonowania rynku przepisy, jakimi są te w zakresie polityki wynagrodzeń. </w:t>
      </w:r>
    </w:p>
    <w:p w14:paraId="7BD4AD86" w14:textId="7C54E23C" w:rsidR="003D7408" w:rsidRPr="006B2CD4" w:rsidRDefault="003D7408" w:rsidP="00490FF5">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W</w:t>
      </w:r>
      <w:r w:rsidRPr="003D7408">
        <w:rPr>
          <w:rFonts w:ascii="Times New Roman" w:hAnsi="Times New Roman" w:cs="Times New Roman"/>
          <w:bCs/>
          <w:sz w:val="24"/>
          <w:szCs w:val="24"/>
        </w:rPr>
        <w:t xml:space="preserve"> art. 91 </w:t>
      </w:r>
      <w:r>
        <w:rPr>
          <w:rFonts w:ascii="Times New Roman" w:hAnsi="Times New Roman" w:cs="Times New Roman"/>
          <w:bCs/>
          <w:sz w:val="24"/>
          <w:szCs w:val="24"/>
        </w:rPr>
        <w:t xml:space="preserve">ustawy o ofercie publicznej </w:t>
      </w:r>
      <w:r w:rsidRPr="003D7408">
        <w:rPr>
          <w:rFonts w:ascii="Times New Roman" w:hAnsi="Times New Roman" w:cs="Times New Roman"/>
          <w:bCs/>
          <w:sz w:val="24"/>
          <w:szCs w:val="24"/>
        </w:rPr>
        <w:t xml:space="preserve">po ust. 1 </w:t>
      </w:r>
      <w:r>
        <w:rPr>
          <w:rFonts w:ascii="Times New Roman" w:hAnsi="Times New Roman" w:cs="Times New Roman"/>
          <w:bCs/>
          <w:sz w:val="24"/>
          <w:szCs w:val="24"/>
        </w:rPr>
        <w:t>dodaje</w:t>
      </w:r>
      <w:r w:rsidRPr="003D7408">
        <w:rPr>
          <w:rFonts w:ascii="Times New Roman" w:hAnsi="Times New Roman" w:cs="Times New Roman"/>
          <w:bCs/>
          <w:sz w:val="24"/>
          <w:szCs w:val="24"/>
        </w:rPr>
        <w:t xml:space="preserve"> się ust. 1a </w:t>
      </w:r>
      <w:r>
        <w:rPr>
          <w:rFonts w:ascii="Times New Roman" w:hAnsi="Times New Roman" w:cs="Times New Roman"/>
          <w:bCs/>
          <w:sz w:val="24"/>
          <w:szCs w:val="24"/>
        </w:rPr>
        <w:t xml:space="preserve">, który </w:t>
      </w:r>
      <w:r w:rsidRPr="003D7408">
        <w:rPr>
          <w:rFonts w:ascii="Times New Roman" w:hAnsi="Times New Roman" w:cs="Times New Roman"/>
          <w:bCs/>
          <w:sz w:val="24"/>
          <w:szCs w:val="24"/>
        </w:rPr>
        <w:t xml:space="preserve">wprowadza ułatwienie w zakresie wycofania instrumentów finansowych wprowadzonych na ASO </w:t>
      </w:r>
      <w:r>
        <w:rPr>
          <w:rFonts w:ascii="Times New Roman" w:hAnsi="Times New Roman" w:cs="Times New Roman"/>
          <w:bCs/>
          <w:sz w:val="24"/>
          <w:szCs w:val="24"/>
        </w:rPr>
        <w:t xml:space="preserve">opartym na </w:t>
      </w:r>
      <w:r w:rsidRPr="003D7408">
        <w:rPr>
          <w:rFonts w:ascii="Times New Roman" w:hAnsi="Times New Roman" w:cs="Times New Roman"/>
          <w:bCs/>
          <w:sz w:val="24"/>
          <w:szCs w:val="24"/>
        </w:rPr>
        <w:t xml:space="preserve">DLT lub TSS </w:t>
      </w:r>
      <w:r>
        <w:rPr>
          <w:rFonts w:ascii="Times New Roman" w:hAnsi="Times New Roman" w:cs="Times New Roman"/>
          <w:bCs/>
          <w:sz w:val="24"/>
          <w:szCs w:val="24"/>
        </w:rPr>
        <w:t xml:space="preserve">opartym na </w:t>
      </w:r>
      <w:r w:rsidRPr="003D7408">
        <w:rPr>
          <w:rFonts w:ascii="Times New Roman" w:hAnsi="Times New Roman" w:cs="Times New Roman"/>
          <w:bCs/>
          <w:sz w:val="24"/>
          <w:szCs w:val="24"/>
        </w:rPr>
        <w:t xml:space="preserve">DLT. Przesądza się, że w przypadku uruchomienia strategii przejścia przeniesienie instrumentów finansowych wprowadzonych do ASO </w:t>
      </w:r>
      <w:r>
        <w:rPr>
          <w:rFonts w:ascii="Times New Roman" w:hAnsi="Times New Roman" w:cs="Times New Roman"/>
          <w:bCs/>
          <w:sz w:val="24"/>
          <w:szCs w:val="24"/>
        </w:rPr>
        <w:t xml:space="preserve">opartym na </w:t>
      </w:r>
      <w:r w:rsidRPr="003D7408">
        <w:rPr>
          <w:rFonts w:ascii="Times New Roman" w:hAnsi="Times New Roman" w:cs="Times New Roman"/>
          <w:bCs/>
          <w:sz w:val="24"/>
          <w:szCs w:val="24"/>
        </w:rPr>
        <w:t>DLT lub TSS</w:t>
      </w:r>
      <w:r>
        <w:rPr>
          <w:rFonts w:ascii="Times New Roman" w:hAnsi="Times New Roman" w:cs="Times New Roman"/>
          <w:bCs/>
          <w:sz w:val="24"/>
          <w:szCs w:val="24"/>
        </w:rPr>
        <w:t xml:space="preserve"> opartym na </w:t>
      </w:r>
      <w:r w:rsidRPr="003D7408">
        <w:rPr>
          <w:rFonts w:ascii="Times New Roman" w:hAnsi="Times New Roman" w:cs="Times New Roman"/>
          <w:bCs/>
          <w:sz w:val="24"/>
          <w:szCs w:val="24"/>
        </w:rPr>
        <w:t>DLT na tradycyjne ASO nie będzie wymagało uzyskania zgody KNF.</w:t>
      </w:r>
    </w:p>
    <w:p w14:paraId="4E6DA15C" w14:textId="0B5112C6" w:rsidR="00490FF5" w:rsidRDefault="00490FF5" w:rsidP="00490FF5">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Nowe brzmienie art. 92 pkt 2 ustawy o ofercie publicznej zostało zaproponowane w taki sposób, aby przepis ten, pozostawiając swój ochronny charakter, nie blokował transakcji podziału lub łączenia, w których biorą udział spółki publiczne, w szczególności po zmianie zakresu definicji spółki publicznej. W przypadkach ww. transakcji bardzo trudno jest, by akcje spółki lub spółek nowo zawiązanych lub przejmujących były dopuszczone do obrotu na rynku regulowanym</w:t>
      </w:r>
      <w:r w:rsidR="0038501B">
        <w:rPr>
          <w:rFonts w:ascii="Times New Roman" w:hAnsi="Times New Roman" w:cs="Times New Roman"/>
          <w:bCs/>
          <w:sz w:val="24"/>
          <w:szCs w:val="24"/>
        </w:rPr>
        <w:t>,</w:t>
      </w:r>
      <w:r w:rsidRPr="006B2CD4">
        <w:rPr>
          <w:rFonts w:ascii="Times New Roman" w:hAnsi="Times New Roman" w:cs="Times New Roman"/>
          <w:bCs/>
          <w:sz w:val="24"/>
          <w:szCs w:val="24"/>
        </w:rPr>
        <w:t xml:space="preserve"> lub wprowadzone do obrotu w alternatywnym systemie obrotu przed dniem podziału </w:t>
      </w:r>
      <w:r w:rsidRPr="006B2CD4">
        <w:rPr>
          <w:rFonts w:ascii="Times New Roman" w:hAnsi="Times New Roman" w:cs="Times New Roman"/>
          <w:bCs/>
          <w:sz w:val="24"/>
          <w:szCs w:val="24"/>
        </w:rPr>
        <w:lastRenderedPageBreak/>
        <w:t xml:space="preserve">lub dniem połączenia. Wynika to z faktu, że takie spółki co do zasady powstałe na bazie majątku spółki giełdowej będą spełniać część </w:t>
      </w:r>
      <w:r w:rsidR="0038501B">
        <w:rPr>
          <w:rFonts w:ascii="Times New Roman" w:hAnsi="Times New Roman" w:cs="Times New Roman"/>
          <w:bCs/>
          <w:sz w:val="24"/>
          <w:szCs w:val="24"/>
        </w:rPr>
        <w:t>warunków dopuszczenia</w:t>
      </w:r>
      <w:r w:rsidRPr="006B2CD4">
        <w:rPr>
          <w:rFonts w:ascii="Times New Roman" w:hAnsi="Times New Roman" w:cs="Times New Roman"/>
          <w:bCs/>
          <w:sz w:val="24"/>
          <w:szCs w:val="24"/>
        </w:rPr>
        <w:t xml:space="preserve"> (np. kapitalizacja, czy rozproszenie akcjonariuszy) dopiero w momencie formalnego zakończenia procesu przejęcia, czy też podziału, to jest po dokonaniu odpowiednich wpisów w rejestrze przedsiębiorców KRS. Wobec powyższego proponuje</w:t>
      </w:r>
      <w:r w:rsidR="00B7137D">
        <w:rPr>
          <w:rFonts w:ascii="Times New Roman" w:hAnsi="Times New Roman" w:cs="Times New Roman"/>
          <w:bCs/>
          <w:sz w:val="24"/>
          <w:szCs w:val="24"/>
        </w:rPr>
        <w:t xml:space="preserve"> się</w:t>
      </w:r>
      <w:r w:rsidRPr="006B2CD4">
        <w:rPr>
          <w:rFonts w:ascii="Times New Roman" w:hAnsi="Times New Roman" w:cs="Times New Roman"/>
          <w:bCs/>
          <w:sz w:val="24"/>
          <w:szCs w:val="24"/>
        </w:rPr>
        <w:t xml:space="preserve">, aby połączenie spółki publicznej z inną spółką lub podział takiej spółki, gdzie co prawda akcje spółki lub spółek nowo zawiązanych lub przejmujących nie są dopuszczone do obrotu zorganizowanego, ale podmiot prowadzący dany system obrotu instrumentami finansowymi podjął decyzję o ich dopuszczeniu lub wprowadzeniu do takiego obrotu pod warunkiem dojścia do skutku odpowiednio połączenia lub podziału, było możliwe bez uprzedniego wycofania akcji spółki giełdowej (spółki przejmowanej lub dzielonej) z obrotu zorganizowanego. </w:t>
      </w:r>
      <w:r w:rsidR="0038501B">
        <w:rPr>
          <w:rFonts w:ascii="Times New Roman" w:hAnsi="Times New Roman" w:cs="Times New Roman"/>
          <w:bCs/>
          <w:sz w:val="24"/>
          <w:szCs w:val="24"/>
        </w:rPr>
        <w:t>Emitent, na moment podejmowania uchwały warunkowej będzie spełniał część warunków dopuszczenia</w:t>
      </w:r>
      <w:r w:rsidRPr="006B2CD4">
        <w:rPr>
          <w:rFonts w:ascii="Times New Roman" w:hAnsi="Times New Roman" w:cs="Times New Roman"/>
          <w:bCs/>
          <w:sz w:val="24"/>
          <w:szCs w:val="24"/>
        </w:rPr>
        <w:t xml:space="preserve">, natomiast warunki dotyczące odpowiedniej kapitalizacji lub rozproszenia akcjonariuszy zostaną spełnione dopiero z momentem odpowiednich wpisów w rejestrze KRS i dopiero wtedy akcje spółki lub spółek nowo zawiązanych lub przejmujących zostaną formalnie dopuszczone do obrotu zorganizowanego. </w:t>
      </w:r>
    </w:p>
    <w:p w14:paraId="33552B5E" w14:textId="0C0FCF6A" w:rsidR="003C1F86" w:rsidRPr="006B2CD4" w:rsidRDefault="003C1F86" w:rsidP="00490FF5">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sz w:val="24"/>
          <w:szCs w:val="24"/>
        </w:rPr>
        <w:t>W odniesieniu do zmian w art. 94 a</w:t>
      </w:r>
      <w:r w:rsidR="0038501B">
        <w:rPr>
          <w:rFonts w:ascii="Times New Roman" w:hAnsi="Times New Roman" w:cs="Times New Roman"/>
          <w:sz w:val="24"/>
          <w:szCs w:val="24"/>
        </w:rPr>
        <w:t xml:space="preserve"> ustawy o ofercie publicznej </w:t>
      </w:r>
      <w:r>
        <w:rPr>
          <w:rFonts w:ascii="Times New Roman" w:hAnsi="Times New Roman" w:cs="Times New Roman"/>
          <w:sz w:val="24"/>
          <w:szCs w:val="24"/>
        </w:rPr>
        <w:t>należy wskazać, że w</w:t>
      </w:r>
      <w:r w:rsidRPr="000F6484">
        <w:rPr>
          <w:rFonts w:ascii="Times New Roman" w:hAnsi="Times New Roman" w:cs="Times New Roman"/>
          <w:sz w:val="24"/>
          <w:szCs w:val="24"/>
        </w:rPr>
        <w:t>artość opłaty rocz</w:t>
      </w:r>
      <w:r>
        <w:rPr>
          <w:rFonts w:ascii="Times New Roman" w:hAnsi="Times New Roman" w:cs="Times New Roman"/>
          <w:sz w:val="24"/>
          <w:szCs w:val="24"/>
        </w:rPr>
        <w:t xml:space="preserve">nej, o której mowa w tym </w:t>
      </w:r>
      <w:r w:rsidR="0038501B">
        <w:rPr>
          <w:rFonts w:ascii="Times New Roman" w:hAnsi="Times New Roman" w:cs="Times New Roman"/>
          <w:sz w:val="24"/>
          <w:szCs w:val="24"/>
        </w:rPr>
        <w:t>artykule</w:t>
      </w:r>
      <w:r w:rsidRPr="000F6484">
        <w:rPr>
          <w:rFonts w:ascii="Times New Roman" w:hAnsi="Times New Roman" w:cs="Times New Roman"/>
          <w:sz w:val="24"/>
          <w:szCs w:val="24"/>
        </w:rPr>
        <w:t xml:space="preserve">, ustalana jest na podstawie danych, jakie spółki publiczne, o których mowa w ww. przepisie, prezentują w rocznych nieskonsolidowanych („jednostkowych”) sprawozdaniach finansowych. W ocenie UKNF powyższy mechanizm ustalania opłaty rocznej pomija rzeczywistość gospodarczą podmiotu, który funkcjonuje </w:t>
      </w:r>
      <w:r w:rsidRPr="000F6484">
        <w:rPr>
          <w:rFonts w:ascii="Times New Roman" w:hAnsi="Times New Roman" w:cs="Times New Roman"/>
          <w:sz w:val="24"/>
          <w:szCs w:val="24"/>
        </w:rPr>
        <w:lastRenderedPageBreak/>
        <w:t xml:space="preserve">w grupie kapitałowej, tj. nie obejmuje faktycznego rozmiaru takiej grupy oraz jej funkcjonowania w ramach jednego organizmu gospodarczego. Z kolei nadzór sprawowany przez Komisję przykładowo w zakresie realizacji obowiązków informacyjnych, nie ogranicza się do danego podmiotu np. stanowiącego jednostkę dominującą, </w:t>
      </w:r>
      <w:r w:rsidR="0038501B">
        <w:rPr>
          <w:rFonts w:ascii="Times New Roman" w:hAnsi="Times New Roman" w:cs="Times New Roman"/>
          <w:sz w:val="24"/>
          <w:szCs w:val="24"/>
        </w:rPr>
        <w:t xml:space="preserve">ale </w:t>
      </w:r>
      <w:r w:rsidRPr="000F6484">
        <w:rPr>
          <w:rFonts w:ascii="Times New Roman" w:hAnsi="Times New Roman" w:cs="Times New Roman"/>
          <w:sz w:val="24"/>
          <w:szCs w:val="24"/>
        </w:rPr>
        <w:t xml:space="preserve">obejmuje również zdarzenia dotyczące pozostałych członków grupy. </w:t>
      </w:r>
      <w:r w:rsidR="0038501B">
        <w:rPr>
          <w:rFonts w:ascii="Times New Roman" w:hAnsi="Times New Roman" w:cs="Times New Roman"/>
          <w:sz w:val="24"/>
          <w:szCs w:val="24"/>
        </w:rPr>
        <w:t>Ponadto UKNF wskazuje</w:t>
      </w:r>
      <w:r w:rsidRPr="000F6484">
        <w:rPr>
          <w:rFonts w:ascii="Times New Roman" w:hAnsi="Times New Roman" w:cs="Times New Roman"/>
          <w:sz w:val="24"/>
          <w:szCs w:val="24"/>
        </w:rPr>
        <w:t>, że wartość opłaty rocznej ustalana dla podmiotów, które co do zasady prowadzą działalność gospodarczą o podobnych rozmiarach, z uwagi na strukturę korporacyjną czy organizację wewnętrzną ich grup kapitałowych, może ró</w:t>
      </w:r>
      <w:r w:rsidR="0038501B">
        <w:rPr>
          <w:rFonts w:ascii="Times New Roman" w:hAnsi="Times New Roman" w:cs="Times New Roman"/>
          <w:sz w:val="24"/>
          <w:szCs w:val="24"/>
        </w:rPr>
        <w:t>żnić się w znaczący sposób. Dla</w:t>
      </w:r>
      <w:r w:rsidRPr="000F6484">
        <w:rPr>
          <w:rFonts w:ascii="Times New Roman" w:hAnsi="Times New Roman" w:cs="Times New Roman"/>
          <w:sz w:val="24"/>
          <w:szCs w:val="24"/>
        </w:rPr>
        <w:t xml:space="preserve"> przykład</w:t>
      </w:r>
      <w:r w:rsidR="0038501B">
        <w:rPr>
          <w:rFonts w:ascii="Times New Roman" w:hAnsi="Times New Roman" w:cs="Times New Roman"/>
          <w:sz w:val="24"/>
          <w:szCs w:val="24"/>
        </w:rPr>
        <w:t>u</w:t>
      </w:r>
      <w:r w:rsidRPr="000F6484">
        <w:rPr>
          <w:rFonts w:ascii="Times New Roman" w:hAnsi="Times New Roman" w:cs="Times New Roman"/>
          <w:sz w:val="24"/>
          <w:szCs w:val="24"/>
        </w:rPr>
        <w:t xml:space="preserve"> UKNF wskazuje sytuację, w której jednostka dominująca prowadząca działalność operacyjną oraz posiadająca mniej istotne spółki zależne (np. dystrybucyjne), na podstawie aktualnie obowiązującego art. 94a ustawy o ofercie publicznej może być zobowiązana do wniesienia opłaty rocznej w innej wysokości niż podmiot, który będąc jednostką dominującą pełni jedynie funkcje holdingową (tj. posiada wyłącznie akcje/udziały w spółkach zależnych), a faktyczna działalność operacyjna jego grupy jest skupiona w spółkach zależnych. W ocenie UKNF, przy założeniu podobnej skali działalności prowadzonej przez dwa powyższe podmioty, różnicowanie ich sytuacji na gruncie art. 94a ustawy o ofercie publicznej nie jest zasadne, przez co propozycja uzupełnienia ww. przepisu zapewni jednolite zasady ustalania wartości opłaty rocznej.</w:t>
      </w:r>
      <w:r>
        <w:rPr>
          <w:rFonts w:ascii="Times New Roman" w:hAnsi="Times New Roman" w:cs="Times New Roman"/>
          <w:sz w:val="24"/>
          <w:szCs w:val="24"/>
        </w:rPr>
        <w:t xml:space="preserve"> </w:t>
      </w:r>
      <w:r w:rsidRPr="000F6484">
        <w:rPr>
          <w:rFonts w:ascii="Times New Roman" w:hAnsi="Times New Roman" w:cs="Times New Roman"/>
          <w:sz w:val="24"/>
          <w:szCs w:val="24"/>
        </w:rPr>
        <w:t>Mechanizm ustalania opłaty rocznej, zgodnie z art. 94a ust. 1 ustawy o ofercie publicznej, jest analogiczny zarówno dla spółek z rynku regulowanego</w:t>
      </w:r>
      <w:r w:rsidR="0038501B">
        <w:rPr>
          <w:rFonts w:ascii="Times New Roman" w:hAnsi="Times New Roman" w:cs="Times New Roman"/>
          <w:sz w:val="24"/>
          <w:szCs w:val="24"/>
        </w:rPr>
        <w:t>,</w:t>
      </w:r>
      <w:r w:rsidRPr="000F6484">
        <w:rPr>
          <w:rFonts w:ascii="Times New Roman" w:hAnsi="Times New Roman" w:cs="Times New Roman"/>
          <w:sz w:val="24"/>
          <w:szCs w:val="24"/>
        </w:rPr>
        <w:t xml:space="preserve"> jak i spółek, których akcje notowane są w Alternatywnym Systemie Obrotu (dalej: ASO). Skala działalności podmiotów notowanych na ASO jest znacząco </w:t>
      </w:r>
      <w:r w:rsidRPr="000F6484">
        <w:rPr>
          <w:rFonts w:ascii="Times New Roman" w:hAnsi="Times New Roman" w:cs="Times New Roman"/>
          <w:sz w:val="24"/>
          <w:szCs w:val="24"/>
        </w:rPr>
        <w:lastRenderedPageBreak/>
        <w:t>mniejsza niż spółek notowanych na rynku regulowanym, zaś wartość opłaty rocznej uzależniona od wyników finansowych ma często istotne przełożenie na ich sytuację finansową. Dlatego UKNF rekomenduje zmianę sposobu ustalania opłaty rocznej dla spółek publicznych, o których mowa w art. 94a ust. 1 ustawy o ofercie publicznej, tj. których akcje notowane są w ASO, poprzez ustanowienie stałej wartości tej opłaty na poziomie równowartości w złotych 1 500 EUR. Wdrożenie proponowanego rozwiązania zwolni spółki notowane w ASO z ponoszenia kosztów przewyższających minimalną wartość opłaty ustalonej na podstawie aktualnie obowiązującego art. 94a ust. 1 ustawy o ofercie publicznej oraz obniży koszt ich uczestnictwa na rynku kapitałowym.</w:t>
      </w:r>
    </w:p>
    <w:p w14:paraId="1428B46F" w14:textId="0D6BDE77" w:rsidR="00490FF5" w:rsidRPr="006B2CD4" w:rsidRDefault="00490FF5" w:rsidP="00490FF5">
      <w:pPr>
        <w:shd w:val="clear" w:color="auto" w:fill="FFFFFF" w:themeFill="background1"/>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Nowe brzmienie art. 96 ust. 6 pkt 1 wraz z zastąpieniem w art. 96 ust. 6 pkt 2 i 3 wyrazów „spółki publicznej”</w:t>
      </w:r>
      <w:r w:rsidR="0038501B">
        <w:rPr>
          <w:rFonts w:ascii="Times New Roman" w:hAnsi="Times New Roman" w:cs="Times New Roman"/>
          <w:bCs/>
          <w:sz w:val="24"/>
          <w:szCs w:val="24"/>
        </w:rPr>
        <w:t>,</w:t>
      </w:r>
      <w:r w:rsidRPr="006B2CD4">
        <w:rPr>
          <w:rFonts w:ascii="Times New Roman" w:hAnsi="Times New Roman" w:cs="Times New Roman"/>
          <w:bCs/>
          <w:sz w:val="24"/>
          <w:szCs w:val="24"/>
        </w:rPr>
        <w:t xml:space="preserve"> wyrazem „emitenta” i analogiczne zmiany w art. 96 ust. 6a pkt 2 i pkt 2 wynikają z tego, że przepisy sankcyjne w art. 96 ust. 1, art. 96 ust. 1e, art. 96 ust. 1i, 1j lub 1m ustawy o ofercie publicznej – do których odwołują się przepisy art. 96 ust. 6 i 6a ustawy o ofercie publicznej – odnoszą się do naruszeń prawa związanych z obowiązkami informacyjnymi wynikającymi z art. 56 ustawy o ofercie lub art. 17 rozporządzenia MAR, dokonywanymi co do zasady przez emitentów (a także innymi takimi jak: oferujący, podmiot, o którym mowa w art. 11a ust. 2 ustawy o ofercie publicznej, oraz uczestnik rynku uprawnień do emisji). Należy więc zmienić brzmienie art. 96 ust. 6 i ust. 6a w taki sposób, aby wyrazy </w:t>
      </w:r>
      <w:r w:rsidRPr="00183562">
        <w:rPr>
          <w:rFonts w:ascii="Times New Roman" w:hAnsi="Times New Roman" w:cs="Times New Roman"/>
          <w:bCs/>
          <w:sz w:val="24"/>
          <w:szCs w:val="24"/>
        </w:rPr>
        <w:t>„spółki publicznej”</w:t>
      </w:r>
      <w:r w:rsidRPr="00FC1B24">
        <w:rPr>
          <w:rFonts w:ascii="Times New Roman" w:hAnsi="Times New Roman" w:cs="Times New Roman"/>
          <w:bCs/>
          <w:sz w:val="24"/>
          <w:szCs w:val="24"/>
        </w:rPr>
        <w:t xml:space="preserve"> zastąpić wyrazem </w:t>
      </w:r>
      <w:r w:rsidRPr="00183562">
        <w:rPr>
          <w:rFonts w:ascii="Times New Roman" w:hAnsi="Times New Roman" w:cs="Times New Roman"/>
          <w:bCs/>
          <w:sz w:val="24"/>
          <w:szCs w:val="24"/>
        </w:rPr>
        <w:t>„emitenta”</w:t>
      </w:r>
      <w:r w:rsidRPr="00FC1B24">
        <w:rPr>
          <w:rFonts w:ascii="Times New Roman" w:hAnsi="Times New Roman" w:cs="Times New Roman"/>
          <w:bCs/>
          <w:sz w:val="24"/>
          <w:szCs w:val="24"/>
        </w:rPr>
        <w:t>.</w:t>
      </w:r>
      <w:r w:rsidRPr="006B2CD4">
        <w:rPr>
          <w:rFonts w:ascii="Times New Roman" w:hAnsi="Times New Roman" w:cs="Times New Roman"/>
          <w:bCs/>
          <w:sz w:val="24"/>
          <w:szCs w:val="24"/>
        </w:rPr>
        <w:t xml:space="preserve"> Uzasadnieniem dla zmiany są definicje legalne obu ww. pojęć. Zgodnie z art. 2 lit. h rozporządzenia Parlamentu Europejskiego i Rady (UE) 2017/1129 </w:t>
      </w:r>
      <w:r w:rsidRPr="006B2CD4">
        <w:rPr>
          <w:rFonts w:ascii="Times New Roman" w:hAnsi="Times New Roman" w:cs="Times New Roman"/>
          <w:bCs/>
          <w:sz w:val="24"/>
          <w:szCs w:val="24"/>
        </w:rPr>
        <w:lastRenderedPageBreak/>
        <w:t xml:space="preserve">w sprawie prospektu, który ma być publikowany w związku z ofertą publiczną papierów wartościowych lub dopuszczeniem ich do obrotu na rynku regulowanym oraz uchylenia dyrektywy 2003/71/WE, „emitent” oznacza podmiot prawny, który emituje lub zamierza emitować papiery wartościowe. Definicja legalna papierów wartościowych określona jest zaś w art. 3 pkt 1 ustawy o obrocie instrumentami finansowymi, który stanowi, że ilekroć w ustawie jest </w:t>
      </w:r>
      <w:r w:rsidR="00457862">
        <w:rPr>
          <w:rFonts w:ascii="Times New Roman" w:hAnsi="Times New Roman" w:cs="Times New Roman"/>
          <w:bCs/>
          <w:sz w:val="24"/>
          <w:szCs w:val="24"/>
        </w:rPr>
        <w:t>mowa o papierach wartościowych –</w:t>
      </w:r>
      <w:r w:rsidRPr="006B2CD4">
        <w:rPr>
          <w:rFonts w:ascii="Times New Roman" w:hAnsi="Times New Roman" w:cs="Times New Roman"/>
          <w:bCs/>
          <w:sz w:val="24"/>
          <w:szCs w:val="24"/>
        </w:rPr>
        <w:t xml:space="preserve"> rozumie się przez to:</w:t>
      </w:r>
    </w:p>
    <w:p w14:paraId="789EB274" w14:textId="7F3E7C7C" w:rsidR="00490FF5" w:rsidRPr="006B2CD4" w:rsidRDefault="00490FF5" w:rsidP="00DB03EC">
      <w:pPr>
        <w:pStyle w:val="Akapitzlist"/>
        <w:numPr>
          <w:ilvl w:val="0"/>
          <w:numId w:val="13"/>
        </w:numPr>
        <w:shd w:val="clear" w:color="auto" w:fill="FFFFFF" w:themeFill="background1"/>
        <w:spacing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akcje, prawa poboru w rozumieniu przepisów </w:t>
      </w:r>
      <w:r w:rsidR="00263C76" w:rsidRPr="006B2CD4">
        <w:rPr>
          <w:rFonts w:ascii="Times New Roman" w:hAnsi="Times New Roman" w:cs="Times New Roman"/>
          <w:bCs/>
          <w:sz w:val="24"/>
          <w:szCs w:val="24"/>
        </w:rPr>
        <w:t>k.s.h</w:t>
      </w:r>
      <w:r w:rsidRPr="006B2CD4">
        <w:rPr>
          <w:rFonts w:ascii="Times New Roman" w:hAnsi="Times New Roman" w:cs="Times New Roman"/>
          <w:bCs/>
          <w:sz w:val="24"/>
          <w:szCs w:val="24"/>
        </w:rPr>
        <w:t>, prawa do akcji, warranty subskrypcyjne, kwity depozytowe, obligacje, listy zastawne, certyfikaty inwestycyjne i inne zbywalne papiery wartościowe, w tym inkorporujące prawa majątkowe odpowiadające prawom wynikającym z akcji lub z zaciągnięcia długu, wyemitowane na podstawie właściwych przepisów prawa polskiego lub obcego,</w:t>
      </w:r>
    </w:p>
    <w:p w14:paraId="7B310BD1" w14:textId="77777777" w:rsidR="00490FF5" w:rsidRPr="006B2CD4" w:rsidRDefault="00490FF5" w:rsidP="00DB03EC">
      <w:pPr>
        <w:pStyle w:val="Akapitzlist"/>
        <w:numPr>
          <w:ilvl w:val="0"/>
          <w:numId w:val="13"/>
        </w:numPr>
        <w:shd w:val="clear" w:color="auto" w:fill="FFFFFF" w:themeFill="background1"/>
        <w:spacing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inne zbywalne prawa majątkowe, które powstają w wyniku emisji, inkorporujące uprawnienie do nabycia lub objęcia papierów wartościowych określonych w lit. a, lub wykonywane poprzez dokonanie rozliczenia pieniężnego, odnoszące się do papierów wartościowych określonych w lit. a, walut, stóp procentowych, stóp zwrotu, towarów oraz innych wskaźników lub mierników (prawa pochodne).</w:t>
      </w:r>
    </w:p>
    <w:p w14:paraId="239F3E8C" w14:textId="7CE4840E" w:rsidR="00490FF5" w:rsidRPr="006B2CD4" w:rsidRDefault="00490FF5" w:rsidP="00490FF5">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Natomiast definicja legalna spółki publicznej uregulowana została w art. 4 pkt 20 ustawy o ofercie publicznej, zgodnie z którym, ilekroć w ustawie jest mowa o spółce publicznej rozumie się przez to spółkę, której co najmniej jedna akcja jest dopuszczona do obrotu na rynku regu</w:t>
      </w:r>
      <w:r w:rsidRPr="006B2CD4">
        <w:rPr>
          <w:rFonts w:ascii="Times New Roman" w:hAnsi="Times New Roman" w:cs="Times New Roman"/>
          <w:bCs/>
          <w:sz w:val="24"/>
          <w:szCs w:val="24"/>
        </w:rPr>
        <w:lastRenderedPageBreak/>
        <w:t xml:space="preserve">lowanym lub wprowadzona do obrotu w alternatywnym systemie obrotu na terytorium Rzeczypospolitej Polskiej. </w:t>
      </w:r>
      <w:r w:rsidRPr="00183562">
        <w:rPr>
          <w:rFonts w:ascii="Times New Roman" w:hAnsi="Times New Roman" w:cs="Times New Roman"/>
          <w:bCs/>
          <w:sz w:val="24"/>
          <w:szCs w:val="24"/>
        </w:rPr>
        <w:t>W związku z powyższym nasuwa się oczywisty wniosek, że pojęcie „emitenta” jest szersze niż pojęcie „spółki publicznej”.</w:t>
      </w:r>
      <w:r w:rsidR="009F38C4" w:rsidRPr="009F38C4">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W sytuacji ukarania na podstawie np. art. 96 ust. 1e </w:t>
      </w:r>
      <w:r w:rsidR="00FC1B24" w:rsidRPr="006B2CD4">
        <w:rPr>
          <w:rFonts w:ascii="Times New Roman" w:hAnsi="Times New Roman" w:cs="Times New Roman"/>
          <w:bCs/>
          <w:sz w:val="24"/>
          <w:szCs w:val="24"/>
        </w:rPr>
        <w:t xml:space="preserve">ustawy o ofercie publicznej </w:t>
      </w:r>
      <w:r w:rsidRPr="006B2CD4">
        <w:rPr>
          <w:rFonts w:ascii="Times New Roman" w:hAnsi="Times New Roman" w:cs="Times New Roman"/>
          <w:bCs/>
          <w:sz w:val="24"/>
          <w:szCs w:val="24"/>
        </w:rPr>
        <w:t>emitenta np. obligacji, który nie jest jednocześnie spółką publiczną za naruszenia prawa związane z obowiązkami informacyjnymi wynikającymi z art. 56 ustawy o ofercie publicznej, nie jest możliwym w obecnym stanie prawnym ukaranie funkcjonariuszy organów takiego emitenta na podstawie art. 96 ust. 6 lub 6a ustawy o ofercie publicznej. Zmiana skutkować będzie usunięciem luki prawnej polegającej na braku możliwości nałożenia na członków organów emitentów, innych niż spółki publiczne, kar pieniężnych na podstawie art. 96 ust. 6 i ust</w:t>
      </w:r>
      <w:r w:rsidR="00457862">
        <w:rPr>
          <w:rFonts w:ascii="Times New Roman" w:hAnsi="Times New Roman" w:cs="Times New Roman"/>
          <w:bCs/>
          <w:sz w:val="24"/>
          <w:szCs w:val="24"/>
        </w:rPr>
        <w:t>.</w:t>
      </w:r>
      <w:r w:rsidRPr="006B2CD4">
        <w:rPr>
          <w:rFonts w:ascii="Times New Roman" w:hAnsi="Times New Roman" w:cs="Times New Roman"/>
          <w:bCs/>
          <w:sz w:val="24"/>
          <w:szCs w:val="24"/>
        </w:rPr>
        <w:t xml:space="preserve"> 6a ustawy o ofercie publicznej i niespójności pomiędzy powiązanymi ze sobą regulacjami. Dodanie do ustawy o ofercie publicznej art. 96e związane jest z zapewnienie KNF środków nadzorczych w ramach nadzoru nad wykonywaniem obowiązków, o których mowa w rozdziale 4a ustawy o ofercie publicznej, co dokonywane jest w art. 68 ust. 1 pkt 5 i art. 68 ust. 9. W tym obszarze należy dodatkowo wprowadzić nowy przepis, stanowiący podstawę prawną dyscyplinowania emitentów, na wypadek niewykonania lub nienależytego wykonania obowiązków, o których mowa w rozdziale 4a ustawy o ofercie publicznej. Na jego podstawie KNF byłaby uprawniona do nałożenia na emitenta sankcji administracyjnej w postaci kary pieniężnej, o wartości do 1 000 000 zł. Jako że w tym przypadku zakres podmiotowy sankcji będzie obejmował spółkę, o której mowa w art. 90c ust. 1 ustawy o ofercie (której przynajmniej jedna akcja jest dopuszczona do obrotu na rynku regulowanym), a nie </w:t>
      </w:r>
      <w:r w:rsidRPr="006B2CD4">
        <w:rPr>
          <w:rFonts w:ascii="Times New Roman" w:hAnsi="Times New Roman" w:cs="Times New Roman"/>
          <w:bCs/>
          <w:sz w:val="24"/>
          <w:szCs w:val="24"/>
        </w:rPr>
        <w:lastRenderedPageBreak/>
        <w:t>osoby fizyczne uprawnione do jego reprezentacji, to proponowana nowelizacja nie będzie stała w sprzeczności z funkcjonującymi już w ustawie o ofercie sankcjami o charakterze karnym (tj. art. 104c, art. 104d oraz art. 104e).</w:t>
      </w:r>
    </w:p>
    <w:p w14:paraId="2F2F50CF" w14:textId="6EB5898D" w:rsidR="00490FF5" w:rsidRPr="006B2CD4" w:rsidRDefault="00490FF5" w:rsidP="006A2D99">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Zmiany przepisów w zakresie sankcji administracyjnych mają m.in. na celu wprowadzenie odpowiedzialności za naruszenie obowiązków również tych, o których mowa w art. 97 ust. 1 ustawy o ofercie. Art. 97 ust. 1f ustawy o ofercie publicznej odsyła do stosowania przepisów dotyczących przekazywania do publicznej wiadomości treści decyzji stwierdzającej niewywiązywanie się emitenta z obowiązków określonych w art. 96 ustawy o ofercie publicznej oraz treści informacji, które mają zostać przekazane do publicznej wiadomości. Celem art. 97 ust. 1f ustawy o ofercie publicznej jest kształtowanie świadomości prawnej uczestników rynku kapitałowego poprzez utwierdzenie w nich prawidłowych postaw wobec prawa. Dodatkowo, przepis ma umożliwić</w:t>
      </w:r>
      <w:r w:rsidR="009F38C4">
        <w:rPr>
          <w:rFonts w:ascii="Times New Roman" w:hAnsi="Times New Roman" w:cs="Times New Roman"/>
          <w:bCs/>
          <w:sz w:val="24"/>
          <w:szCs w:val="24"/>
        </w:rPr>
        <w:t xml:space="preserve"> objęcie naruszeń</w:t>
      </w:r>
      <w:r w:rsidRPr="006B2CD4">
        <w:rPr>
          <w:rFonts w:ascii="Times New Roman" w:hAnsi="Times New Roman" w:cs="Times New Roman"/>
          <w:bCs/>
          <w:sz w:val="24"/>
          <w:szCs w:val="24"/>
        </w:rPr>
        <w:t xml:space="preserve"> w jak najszerszym spektrum działania w ramach </w:t>
      </w:r>
      <w:r w:rsidR="009F38C4">
        <w:rPr>
          <w:rFonts w:ascii="Times New Roman" w:hAnsi="Times New Roman" w:cs="Times New Roman"/>
          <w:bCs/>
          <w:sz w:val="24"/>
          <w:szCs w:val="24"/>
        </w:rPr>
        <w:t>kompetencji KNF</w:t>
      </w:r>
      <w:r w:rsidRPr="006B2CD4">
        <w:rPr>
          <w:rFonts w:ascii="Times New Roman" w:hAnsi="Times New Roman" w:cs="Times New Roman"/>
          <w:bCs/>
          <w:sz w:val="24"/>
          <w:szCs w:val="24"/>
        </w:rPr>
        <w:t>, których stwierdzenie w decyzji winno skutkow</w:t>
      </w:r>
      <w:r w:rsidR="009F38C4">
        <w:rPr>
          <w:rFonts w:ascii="Times New Roman" w:hAnsi="Times New Roman" w:cs="Times New Roman"/>
          <w:bCs/>
          <w:sz w:val="24"/>
          <w:szCs w:val="24"/>
        </w:rPr>
        <w:t>ać przekazaniem informacji o tych naruszeniach</w:t>
      </w:r>
      <w:r w:rsidRPr="006B2CD4">
        <w:rPr>
          <w:rFonts w:ascii="Times New Roman" w:hAnsi="Times New Roman" w:cs="Times New Roman"/>
          <w:bCs/>
          <w:sz w:val="24"/>
          <w:szCs w:val="24"/>
        </w:rPr>
        <w:t xml:space="preserve"> do publicznej wiadomości. Przy uwzględnieniu jednoczesnego dążen</w:t>
      </w:r>
      <w:r w:rsidR="009F38C4">
        <w:rPr>
          <w:rFonts w:ascii="Times New Roman" w:hAnsi="Times New Roman" w:cs="Times New Roman"/>
          <w:bCs/>
          <w:sz w:val="24"/>
          <w:szCs w:val="24"/>
        </w:rPr>
        <w:t>ia do efektywniejszej</w:t>
      </w:r>
      <w:r w:rsidRPr="006B2CD4">
        <w:rPr>
          <w:rFonts w:ascii="Times New Roman" w:hAnsi="Times New Roman" w:cs="Times New Roman"/>
          <w:bCs/>
          <w:sz w:val="24"/>
          <w:szCs w:val="24"/>
        </w:rPr>
        <w:t xml:space="preserve"> realizacji funkcji przekazywania informacji o stwierdzonych naruszeniach do publicznej wiadomości, właściwe jest poszerzenie katalogu naruszeń wymienionych w art. 97 ust. 1f ustawy o ofercie publicznej o sytuacje, gdy KNF wydaje decyzje nakładające karę, o której mowa w art. 97 ust. 1 i 1d ustawy o ofercie publicznej. Konieczność poszerzenia katalogu przepisów, o których mowa w art. 97 ust. 1f ustawy o ofercie publicznej, wynika również ze znaczenia art. 97 ust. 1 ustawy o ofercie publicznej, który przewiduje sankcje związane </w:t>
      </w:r>
      <w:r w:rsidR="009F38C4">
        <w:rPr>
          <w:rFonts w:ascii="Times New Roman" w:hAnsi="Times New Roman" w:cs="Times New Roman"/>
          <w:bCs/>
          <w:sz w:val="24"/>
          <w:szCs w:val="24"/>
        </w:rPr>
        <w:t xml:space="preserve">z </w:t>
      </w:r>
      <w:r w:rsidR="009F38C4">
        <w:rPr>
          <w:rFonts w:ascii="Times New Roman" w:hAnsi="Times New Roman" w:cs="Times New Roman"/>
          <w:bCs/>
          <w:sz w:val="24"/>
          <w:szCs w:val="24"/>
        </w:rPr>
        <w:lastRenderedPageBreak/>
        <w:t>instytucją wezwań uregulowaną</w:t>
      </w:r>
      <w:r w:rsidRPr="006B2CD4">
        <w:rPr>
          <w:rFonts w:ascii="Times New Roman" w:hAnsi="Times New Roman" w:cs="Times New Roman"/>
          <w:bCs/>
          <w:sz w:val="24"/>
          <w:szCs w:val="24"/>
        </w:rPr>
        <w:t xml:space="preserve"> w art. </w:t>
      </w:r>
      <w:r w:rsidR="009F38C4">
        <w:rPr>
          <w:rFonts w:ascii="Times New Roman" w:hAnsi="Times New Roman" w:cs="Times New Roman"/>
          <w:bCs/>
          <w:sz w:val="24"/>
          <w:szCs w:val="24"/>
        </w:rPr>
        <w:t>73 ustawy o ofercie publicznej. Przepisy te mają fundamentalne znac</w:t>
      </w:r>
      <w:r w:rsidRPr="006B2CD4">
        <w:rPr>
          <w:rFonts w:ascii="Times New Roman" w:hAnsi="Times New Roman" w:cs="Times New Roman"/>
          <w:bCs/>
          <w:sz w:val="24"/>
          <w:szCs w:val="24"/>
        </w:rPr>
        <w:t>zenie dla bezpieczeństwa obrotu i stabilizacji rynku kapitałowego, dlatego też świadomość społeczna dotycząca tych</w:t>
      </w:r>
      <w:r w:rsidR="009F38C4">
        <w:rPr>
          <w:rFonts w:ascii="Times New Roman" w:hAnsi="Times New Roman" w:cs="Times New Roman"/>
          <w:bCs/>
          <w:sz w:val="24"/>
          <w:szCs w:val="24"/>
        </w:rPr>
        <w:t xml:space="preserve"> naruszeń powinna być uzupełniona</w:t>
      </w:r>
      <w:r w:rsidRPr="006B2CD4">
        <w:rPr>
          <w:rFonts w:ascii="Times New Roman" w:hAnsi="Times New Roman" w:cs="Times New Roman"/>
          <w:bCs/>
          <w:sz w:val="24"/>
          <w:szCs w:val="24"/>
        </w:rPr>
        <w:t>. Przekazanie do publicznej wiadomości informacji o nałożeniu przez KNF kar pieniężnych określonych w art. 97 ust. 1 ustawy o ofercie publicznej umożliwiłoby pogłębianie wiedzy uczestników rynku kapitałowego w tym aspekcie. Dodatkowo, należy zauważyć, ż</w:t>
      </w:r>
      <w:r w:rsidR="009F38C4">
        <w:rPr>
          <w:rFonts w:ascii="Times New Roman" w:hAnsi="Times New Roman" w:cs="Times New Roman"/>
          <w:bCs/>
          <w:sz w:val="24"/>
          <w:szCs w:val="24"/>
        </w:rPr>
        <w:t>e wśród naruszeń prawa związanych</w:t>
      </w:r>
      <w:r w:rsidRPr="006B2CD4">
        <w:rPr>
          <w:rFonts w:ascii="Times New Roman" w:hAnsi="Times New Roman" w:cs="Times New Roman"/>
          <w:bCs/>
          <w:sz w:val="24"/>
          <w:szCs w:val="24"/>
        </w:rPr>
        <w:t xml:space="preserve"> ze znacznymi pakietami akcji publicznej zdarzają się przypadki naruszenia przepisów art. 69 ustawy o ofercie publicznej i w tym samym stanie faktycznym przypadki naruszenia art. 73 tej ustawy, co jest stwierdzane jedną decyzją administracyjną. Dotychczasowe brzmienie art. 97 ust. 1h tej ustawy pozwala jedynie na publikację przez KNF informacji o naruszeniu art. 69 z pominięciem naruszeń art. 73 lub tej ustawy, a to z kolei może wprowad</w:t>
      </w:r>
      <w:r w:rsidR="00457862">
        <w:rPr>
          <w:rFonts w:ascii="Times New Roman" w:hAnsi="Times New Roman" w:cs="Times New Roman"/>
          <w:bCs/>
          <w:sz w:val="24"/>
          <w:szCs w:val="24"/>
        </w:rPr>
        <w:t>zać w błąd uczestników rynku i –</w:t>
      </w:r>
      <w:r w:rsidRPr="006B2CD4">
        <w:rPr>
          <w:rFonts w:ascii="Times New Roman" w:hAnsi="Times New Roman" w:cs="Times New Roman"/>
          <w:bCs/>
          <w:sz w:val="24"/>
          <w:szCs w:val="24"/>
        </w:rPr>
        <w:t xml:space="preserve"> jak wyżej wskazano </w:t>
      </w:r>
      <w:r w:rsidR="00457862">
        <w:rPr>
          <w:rFonts w:ascii="Times New Roman" w:hAnsi="Times New Roman" w:cs="Times New Roman"/>
          <w:bCs/>
          <w:sz w:val="24"/>
          <w:szCs w:val="24"/>
        </w:rPr>
        <w:t>–</w:t>
      </w:r>
      <w:r w:rsidRPr="006B2CD4">
        <w:rPr>
          <w:rFonts w:ascii="Times New Roman" w:hAnsi="Times New Roman" w:cs="Times New Roman"/>
          <w:bCs/>
          <w:sz w:val="24"/>
          <w:szCs w:val="24"/>
        </w:rPr>
        <w:t xml:space="preserve"> nie przyczynia się do pogłębiania ich wiedzy. Natomiast, jeśli chodzi o dodanie ust. 1d do ww. katalogu (tj. do art. 97 ust. 1f ustawy o ofercie publicznej), należy </w:t>
      </w:r>
      <w:r w:rsidR="009F38C4">
        <w:rPr>
          <w:rFonts w:ascii="Times New Roman" w:hAnsi="Times New Roman" w:cs="Times New Roman"/>
          <w:bCs/>
          <w:sz w:val="24"/>
          <w:szCs w:val="24"/>
        </w:rPr>
        <w:t>stwierdzić</w:t>
      </w:r>
      <w:r w:rsidRPr="006B2CD4">
        <w:rPr>
          <w:rFonts w:ascii="Times New Roman" w:hAnsi="Times New Roman" w:cs="Times New Roman"/>
          <w:bCs/>
          <w:sz w:val="24"/>
          <w:szCs w:val="24"/>
        </w:rPr>
        <w:t>, że naruszenia wskazane w tym ustępie dotyczą obowiązków notyfikacyjnych związanych z przekroczeniem progów w ogólnej liczbie głosów, które zostały uregulowane w art. 69</w:t>
      </w:r>
      <w:r w:rsidRPr="006B2CD4">
        <w:rPr>
          <w:rFonts w:ascii="Times New Roman" w:hAnsi="Times New Roman" w:cs="Times New Roman"/>
          <w:sz w:val="24"/>
          <w:szCs w:val="24"/>
        </w:rPr>
        <w:t>‒</w:t>
      </w:r>
      <w:r w:rsidRPr="006B2CD4">
        <w:rPr>
          <w:rFonts w:ascii="Times New Roman" w:hAnsi="Times New Roman" w:cs="Times New Roman"/>
          <w:bCs/>
          <w:sz w:val="24"/>
          <w:szCs w:val="24"/>
        </w:rPr>
        <w:t>69b ustawy o ofercie publicznej i są dokonywane przez fundusze inwestycyjne lub alternatywne spółki inwestycyjne. Ustawodawca w art. 97 ust. 1f ustawy o ofercie publicznej przewidział konieczność przekazania do publicznej wiadomości informacji o nałożeniu kary za naruszenie art. 69</w:t>
      </w:r>
      <w:r w:rsidRPr="006B2CD4">
        <w:rPr>
          <w:rFonts w:ascii="Times New Roman" w:hAnsi="Times New Roman" w:cs="Times New Roman"/>
          <w:sz w:val="24"/>
          <w:szCs w:val="24"/>
        </w:rPr>
        <w:t>‒</w:t>
      </w:r>
      <w:r w:rsidRPr="006B2CD4">
        <w:rPr>
          <w:rFonts w:ascii="Times New Roman" w:hAnsi="Times New Roman" w:cs="Times New Roman"/>
          <w:bCs/>
          <w:sz w:val="24"/>
          <w:szCs w:val="24"/>
        </w:rPr>
        <w:t xml:space="preserve">69b ustawy o ofercie publicznej przez podmioty zobowiązane do </w:t>
      </w:r>
      <w:r w:rsidRPr="006B2CD4">
        <w:rPr>
          <w:rFonts w:ascii="Times New Roman" w:hAnsi="Times New Roman" w:cs="Times New Roman"/>
          <w:bCs/>
          <w:sz w:val="24"/>
          <w:szCs w:val="24"/>
        </w:rPr>
        <w:lastRenderedPageBreak/>
        <w:t>składania zawiadomień o zmianach w posiadanych znacznych pakietach akcji w ogólności (nałożenie kar reguluje art. 97 ust. 1a ustawy o ofercie publicznej). Jednak ustawodawca nie wymienił w art. 97 ust. 1f ustawy o ofercie publicznej naruszeń art. 69</w:t>
      </w:r>
      <w:r w:rsidRPr="006B2CD4">
        <w:rPr>
          <w:rFonts w:ascii="Times New Roman" w:hAnsi="Times New Roman" w:cs="Times New Roman"/>
          <w:sz w:val="24"/>
          <w:szCs w:val="24"/>
        </w:rPr>
        <w:t>‒</w:t>
      </w:r>
      <w:r w:rsidRPr="006B2CD4">
        <w:rPr>
          <w:rFonts w:ascii="Times New Roman" w:hAnsi="Times New Roman" w:cs="Times New Roman"/>
          <w:bCs/>
          <w:sz w:val="24"/>
          <w:szCs w:val="24"/>
        </w:rPr>
        <w:t>69b tej ustawy dokonanych przez fundusze inwestycyjne lub alternatywne spółki inwestycyjne (wymienionych w art. 97 ust. 1d ustawy o ofercie publicznej), co skutkuje niemożnością podania do publicznej wiadomości informacji o nałożeniu sankcji w takich sprawach. W związku z tym, postuluje się objęcie obowiązkiem przekazywania do publicznej wiadomości informacji o decyzji nakładającej karę na podstawie art. 97 ust. 1d ustawy o ofercie publicznej, w celu ujednolicenia przepisów.</w:t>
      </w:r>
    </w:p>
    <w:p w14:paraId="453BE7C5" w14:textId="77777777" w:rsidR="00490FF5" w:rsidRPr="006B2CD4" w:rsidRDefault="00490FF5" w:rsidP="00490FF5">
      <w:pPr>
        <w:shd w:val="clear" w:color="auto" w:fill="FFFFFF" w:themeFill="background1"/>
        <w:spacing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Uchylenie art. 97 ust. 5 ustawy o ofercie publicznej powiązane z jest rezygnacją z obowiązku przeprowadzenia rozprawy w postępowaniach sankcyjnych, które nie wpłynie na uprawnienia strony. Strona może bowiem w każdym momencie postępowania zwrócić się do KNF z prośbą o przeprowadzenie rozprawy administracyjnej, której możliwość przeprowadzenia przewiduje k.p.a. KNF posiada również uprawnienie do wyznaczenia z urzędu rozprawy administracyjnej na podstawie k.p.a. </w:t>
      </w:r>
    </w:p>
    <w:p w14:paraId="1503B003" w14:textId="7C6C1CF5" w:rsidR="00FF35F4" w:rsidRDefault="00FF35F4" w:rsidP="00FF35F4">
      <w:pPr>
        <w:shd w:val="clear" w:color="auto" w:fill="FFFFFF" w:themeFill="background1"/>
        <w:spacing w:before="120" w:after="120" w:line="360" w:lineRule="auto"/>
        <w:jc w:val="both"/>
        <w:rPr>
          <w:rFonts w:ascii="Times New Roman" w:hAnsi="Times New Roman" w:cs="Times New Roman"/>
          <w:b/>
          <w:sz w:val="24"/>
          <w:szCs w:val="24"/>
        </w:rPr>
      </w:pPr>
      <w:r w:rsidRPr="006B2CD4">
        <w:rPr>
          <w:rFonts w:ascii="Times New Roman" w:hAnsi="Times New Roman" w:cs="Times New Roman"/>
          <w:b/>
          <w:sz w:val="24"/>
          <w:szCs w:val="24"/>
        </w:rPr>
        <w:t>Art. 1</w:t>
      </w:r>
      <w:r>
        <w:rPr>
          <w:rFonts w:ascii="Times New Roman" w:hAnsi="Times New Roman" w:cs="Times New Roman"/>
          <w:b/>
          <w:sz w:val="24"/>
          <w:szCs w:val="24"/>
        </w:rPr>
        <w:t>5</w:t>
      </w:r>
      <w:r w:rsidRPr="006B2CD4">
        <w:rPr>
          <w:rFonts w:ascii="Times New Roman" w:hAnsi="Times New Roman" w:cs="Times New Roman"/>
          <w:b/>
          <w:sz w:val="24"/>
          <w:szCs w:val="24"/>
        </w:rPr>
        <w:t>. Zmiany w ustawie o nadzorze nad rynkiem kapitałowym</w:t>
      </w:r>
    </w:p>
    <w:p w14:paraId="49841CEF" w14:textId="77777777" w:rsidR="00FF35F4" w:rsidRDefault="00FF35F4" w:rsidP="00FF35F4">
      <w:pPr>
        <w:shd w:val="clear" w:color="auto" w:fill="FFFFFF" w:themeFill="background1"/>
        <w:spacing w:after="120" w:line="360" w:lineRule="auto"/>
        <w:jc w:val="both"/>
        <w:rPr>
          <w:rFonts w:ascii="Times New Roman" w:hAnsi="Times New Roman" w:cs="Times New Roman"/>
          <w:sz w:val="24"/>
          <w:szCs w:val="24"/>
        </w:rPr>
      </w:pPr>
      <w:r>
        <w:rPr>
          <w:rFonts w:ascii="Times New Roman" w:hAnsi="Times New Roman" w:cs="Times New Roman"/>
          <w:sz w:val="24"/>
          <w:szCs w:val="24"/>
        </w:rPr>
        <w:t>Zmiana w art. 2 polegająca na dodaniu pkt 5m związana jest z wejściem w życie rozporządzenia DLT Pilot Regime i koniecznością zapewnienia spójności w tym zakresie.</w:t>
      </w:r>
    </w:p>
    <w:p w14:paraId="6C56DF5A" w14:textId="2EC9446D" w:rsidR="00FF35F4" w:rsidRDefault="00FF35F4" w:rsidP="00FF35F4">
      <w:pPr>
        <w:shd w:val="clear" w:color="auto" w:fill="FFFFFF" w:themeFill="background1"/>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Zmiana brzmienia art. 3 związana jest z wejściem w życie </w:t>
      </w:r>
      <w:r w:rsidR="00E70454">
        <w:rPr>
          <w:rFonts w:ascii="Times New Roman" w:hAnsi="Times New Roman" w:cs="Times New Roman"/>
          <w:sz w:val="24"/>
          <w:szCs w:val="24"/>
        </w:rPr>
        <w:t xml:space="preserve">z dniem </w:t>
      </w:r>
      <w:r>
        <w:rPr>
          <w:rFonts w:ascii="Times New Roman" w:hAnsi="Times New Roman" w:cs="Times New Roman"/>
          <w:sz w:val="24"/>
          <w:szCs w:val="24"/>
        </w:rPr>
        <w:t>29 lipca 2022 r.</w:t>
      </w:r>
      <w:r w:rsidRPr="00B67A62">
        <w:rPr>
          <w:rFonts w:ascii="Times New Roman" w:hAnsi="Times New Roman" w:cs="Times New Roman"/>
          <w:sz w:val="24"/>
          <w:szCs w:val="24"/>
        </w:rPr>
        <w:t xml:space="preserve"> </w:t>
      </w:r>
      <w:r>
        <w:rPr>
          <w:rFonts w:ascii="Times New Roman" w:hAnsi="Times New Roman" w:cs="Times New Roman"/>
          <w:sz w:val="24"/>
          <w:szCs w:val="24"/>
        </w:rPr>
        <w:t xml:space="preserve">przepisów ustawy </w:t>
      </w:r>
      <w:r w:rsidR="00E70454">
        <w:rPr>
          <w:rFonts w:ascii="Times New Roman" w:hAnsi="Times New Roman" w:cs="Times New Roman"/>
          <w:sz w:val="24"/>
          <w:szCs w:val="24"/>
        </w:rPr>
        <w:t>o crowdfundingu</w:t>
      </w:r>
      <w:r>
        <w:rPr>
          <w:rFonts w:ascii="Times New Roman" w:hAnsi="Times New Roman" w:cs="Times New Roman"/>
          <w:sz w:val="24"/>
          <w:szCs w:val="24"/>
        </w:rPr>
        <w:t xml:space="preserve"> określających</w:t>
      </w:r>
      <w:r w:rsidRPr="00B67A62">
        <w:rPr>
          <w:rFonts w:ascii="Times New Roman" w:hAnsi="Times New Roman" w:cs="Times New Roman"/>
          <w:sz w:val="24"/>
          <w:szCs w:val="24"/>
        </w:rPr>
        <w:t xml:space="preserve">, w szczególności, procedurę wyznaczenia zamiennika </w:t>
      </w:r>
      <w:r w:rsidRPr="00B67A62">
        <w:rPr>
          <w:rFonts w:ascii="Times New Roman" w:hAnsi="Times New Roman" w:cs="Times New Roman"/>
          <w:sz w:val="24"/>
          <w:szCs w:val="24"/>
        </w:rPr>
        <w:lastRenderedPageBreak/>
        <w:t xml:space="preserve">albo zamienników krajowego kluczowego wskaźnika referencyjnego (art. 64 i 85). Przepisy miały na celu zapewnienie stosowania art. 23c rozporządzenia 2016/1011. Zgodnie z nowymi przepisami </w:t>
      </w:r>
      <w:r>
        <w:rPr>
          <w:rFonts w:ascii="Times New Roman" w:hAnsi="Times New Roman" w:cs="Times New Roman"/>
          <w:sz w:val="24"/>
          <w:szCs w:val="24"/>
        </w:rPr>
        <w:t xml:space="preserve">minister właściwy do spraw instytucji finansowych otrzymał uprawnienie </w:t>
      </w:r>
      <w:r w:rsidRPr="00B67A62">
        <w:rPr>
          <w:rFonts w:ascii="Times New Roman" w:hAnsi="Times New Roman" w:cs="Times New Roman"/>
          <w:sz w:val="24"/>
          <w:szCs w:val="24"/>
        </w:rPr>
        <w:t>do wyznaczenia zamiennika albo zamienników kluczowego wskaźnika referencyjnego</w:t>
      </w:r>
      <w:r>
        <w:rPr>
          <w:rFonts w:ascii="Times New Roman" w:hAnsi="Times New Roman" w:cs="Times New Roman"/>
          <w:sz w:val="24"/>
          <w:szCs w:val="24"/>
        </w:rPr>
        <w:t xml:space="preserve">, a więc został </w:t>
      </w:r>
      <w:r w:rsidRPr="00B67A62">
        <w:rPr>
          <w:rFonts w:ascii="Times New Roman" w:hAnsi="Times New Roman" w:cs="Times New Roman"/>
          <w:sz w:val="24"/>
          <w:szCs w:val="24"/>
        </w:rPr>
        <w:t xml:space="preserve">właściwym organem (krajowym właściwym organem państwa członkowskiego) </w:t>
      </w:r>
      <w:r>
        <w:rPr>
          <w:rFonts w:ascii="Times New Roman" w:hAnsi="Times New Roman" w:cs="Times New Roman"/>
          <w:sz w:val="24"/>
          <w:szCs w:val="24"/>
        </w:rPr>
        <w:t xml:space="preserve">zgodnie z art. 23c ust. 1 rozporządzenia 2016/1011. </w:t>
      </w:r>
      <w:r w:rsidRPr="00B67A62">
        <w:rPr>
          <w:rFonts w:ascii="Times New Roman" w:hAnsi="Times New Roman" w:cs="Times New Roman"/>
          <w:sz w:val="24"/>
          <w:szCs w:val="24"/>
        </w:rPr>
        <w:t>Obecne brzmienie art. 3 ust. 2 ustawy</w:t>
      </w:r>
      <w:r>
        <w:rPr>
          <w:rFonts w:ascii="Times New Roman" w:hAnsi="Times New Roman" w:cs="Times New Roman"/>
          <w:sz w:val="24"/>
          <w:szCs w:val="24"/>
        </w:rPr>
        <w:t xml:space="preserve"> o nadzorze nad rynkiem kapitałowym</w:t>
      </w:r>
      <w:r w:rsidRPr="00B67A62">
        <w:rPr>
          <w:rFonts w:ascii="Times New Roman" w:hAnsi="Times New Roman" w:cs="Times New Roman"/>
          <w:sz w:val="24"/>
          <w:szCs w:val="24"/>
        </w:rPr>
        <w:t xml:space="preserve"> stanowi, że Komisja Nadzoru Finansowego jest właściwym organem w rozumieniu rozporządzenia 2016/1011. Stąd celem doprecyzowania przepisów i wyeliminowania wątpliwości interpretacyjnych, konieczna jest zmiana przepisów </w:t>
      </w:r>
      <w:r>
        <w:rPr>
          <w:rFonts w:ascii="Times New Roman" w:hAnsi="Times New Roman" w:cs="Times New Roman"/>
          <w:sz w:val="24"/>
          <w:szCs w:val="24"/>
        </w:rPr>
        <w:t xml:space="preserve">tej </w:t>
      </w:r>
      <w:r w:rsidRPr="00B67A62">
        <w:rPr>
          <w:rFonts w:ascii="Times New Roman" w:hAnsi="Times New Roman" w:cs="Times New Roman"/>
          <w:sz w:val="24"/>
          <w:szCs w:val="24"/>
        </w:rPr>
        <w:t>ustawy poprzez wskazanie, że krajowym właściwym or</w:t>
      </w:r>
      <w:r>
        <w:rPr>
          <w:rFonts w:ascii="Times New Roman" w:hAnsi="Times New Roman" w:cs="Times New Roman"/>
          <w:sz w:val="24"/>
          <w:szCs w:val="24"/>
        </w:rPr>
        <w:t>ganem państwa członkowskiego, o </w:t>
      </w:r>
      <w:r w:rsidRPr="00B67A62">
        <w:rPr>
          <w:rFonts w:ascii="Times New Roman" w:hAnsi="Times New Roman" w:cs="Times New Roman"/>
          <w:sz w:val="24"/>
          <w:szCs w:val="24"/>
        </w:rPr>
        <w:t xml:space="preserve">którym mowa w art. 23c ust. 1 rozporządzenia 2016/1011, jest minister właściwy do spraw instytucji finansowych. </w:t>
      </w:r>
      <w:r>
        <w:rPr>
          <w:rFonts w:ascii="Times New Roman" w:hAnsi="Times New Roman" w:cs="Times New Roman"/>
          <w:sz w:val="24"/>
          <w:szCs w:val="24"/>
        </w:rPr>
        <w:t>Jednocześnie, w pozostałym, dotychczas wskazanym zakresie, zostaje zachowana właściwość Komisji Nadzoru Finansowego. Z</w:t>
      </w:r>
      <w:r w:rsidRPr="00B67A62">
        <w:rPr>
          <w:rFonts w:ascii="Times New Roman" w:hAnsi="Times New Roman" w:cs="Times New Roman"/>
          <w:sz w:val="24"/>
          <w:szCs w:val="24"/>
        </w:rPr>
        <w:t>godnie z przepisem art. 40 ust. 3 rozporządzenia 2016/1011, w dodanym ust. 2c wskazano, że Komisja Nadzoru Finansowego pozostaje organem odpowiedzialnym za koordynację współpracy i wymiany informacji z Komisją Europejską, Europejskim Urzędem Nadzoru Giełd i Papierów Wartościowych i właściwymi organami z innych państw członkowskich.</w:t>
      </w:r>
    </w:p>
    <w:p w14:paraId="5BC37A6D" w14:textId="37516738" w:rsidR="00FF35F4" w:rsidRDefault="00FF35F4" w:rsidP="00FF35F4">
      <w:pPr>
        <w:shd w:val="clear" w:color="auto" w:fill="FFFFFF" w:themeFill="background1"/>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Uchylenie w art. 5 pkt 14 związane jest z zaproponowanymi zmianami do ustawy o giełdach towarowych zmierzających do ograniczenia nadmiernego formalizmu przejawiającego się w wymogu uzyskania przez przedsiębiorstwa energetyczne oraz będących osobami prawnymi </w:t>
      </w:r>
      <w:r w:rsidRPr="006B2CD4">
        <w:rPr>
          <w:rFonts w:ascii="Times New Roman" w:hAnsi="Times New Roman" w:cs="Times New Roman"/>
          <w:sz w:val="24"/>
          <w:szCs w:val="24"/>
        </w:rPr>
        <w:lastRenderedPageBreak/>
        <w:t>odbiorców uprawnionych do zmiany sprzedawcy w rozumieniu ustawy z dnia 10 kwietnia 1997 r. – Prawo energetyczne (Dz. U. z 2022 r. poz. 1385, z późn. zm.) zezwolenia KNF na zawieranie transakcji giełdowych, których przedmiotem są towary giełdowe.</w:t>
      </w:r>
      <w:r>
        <w:rPr>
          <w:rFonts w:ascii="Times New Roman" w:hAnsi="Times New Roman" w:cs="Times New Roman"/>
          <w:sz w:val="24"/>
          <w:szCs w:val="24"/>
        </w:rPr>
        <w:t xml:space="preserve"> Z kolei dodanie w art. 5 pkt 25 związane jest z kompleksowymi zmianami w zakresie jednolitej licencji bankowej obejmującej banki państwowe.</w:t>
      </w:r>
    </w:p>
    <w:p w14:paraId="753C95D0" w14:textId="77777777" w:rsidR="00FF35F4" w:rsidRPr="00DD0634" w:rsidRDefault="00FF35F4" w:rsidP="00FF35F4">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Uchylenie w art. 17 w ust. 1 pkt 3 wynika z faktu, że przepis ten </w:t>
      </w:r>
      <w:r w:rsidRPr="00C74640">
        <w:rPr>
          <w:rFonts w:ascii="Times New Roman" w:hAnsi="Times New Roman" w:cs="Times New Roman"/>
          <w:bCs/>
          <w:sz w:val="24"/>
          <w:szCs w:val="24"/>
        </w:rPr>
        <w:t>w obecnym brzmieniu</w:t>
      </w:r>
      <w:r>
        <w:rPr>
          <w:rFonts w:ascii="Times New Roman" w:hAnsi="Times New Roman" w:cs="Times New Roman"/>
          <w:bCs/>
          <w:sz w:val="24"/>
          <w:szCs w:val="24"/>
        </w:rPr>
        <w:t>,</w:t>
      </w:r>
      <w:r w:rsidRPr="00C74640">
        <w:rPr>
          <w:rFonts w:ascii="Times New Roman" w:hAnsi="Times New Roman" w:cs="Times New Roman"/>
          <w:bCs/>
          <w:sz w:val="24"/>
          <w:szCs w:val="24"/>
        </w:rPr>
        <w:t xml:space="preserve"> literalnie czytany</w:t>
      </w:r>
      <w:r>
        <w:rPr>
          <w:rFonts w:ascii="Times New Roman" w:hAnsi="Times New Roman" w:cs="Times New Roman"/>
          <w:bCs/>
          <w:sz w:val="24"/>
          <w:szCs w:val="24"/>
        </w:rPr>
        <w:t>,</w:t>
      </w:r>
      <w:r w:rsidRPr="00C74640">
        <w:rPr>
          <w:rFonts w:ascii="Times New Roman" w:hAnsi="Times New Roman" w:cs="Times New Roman"/>
          <w:bCs/>
          <w:sz w:val="24"/>
          <w:szCs w:val="24"/>
        </w:rPr>
        <w:t xml:space="preserve"> odnosi się do wszystkich innych wpływów UKNF, z wyłączeniem kar pieniężnych, o których mowa w art. 11 </w:t>
      </w:r>
      <w:r>
        <w:rPr>
          <w:rFonts w:ascii="Times New Roman" w:hAnsi="Times New Roman" w:cs="Times New Roman"/>
          <w:bCs/>
          <w:sz w:val="24"/>
          <w:szCs w:val="24"/>
        </w:rPr>
        <w:t>ustawy o nadzorze nad rynkiem kapitałowym</w:t>
      </w:r>
      <w:r w:rsidRPr="00C74640">
        <w:rPr>
          <w:rFonts w:ascii="Times New Roman" w:hAnsi="Times New Roman" w:cs="Times New Roman"/>
          <w:bCs/>
          <w:sz w:val="24"/>
          <w:szCs w:val="24"/>
        </w:rPr>
        <w:t xml:space="preserve">, a to w powiązaniu z przepisami rozporządzenia </w:t>
      </w:r>
      <w:r w:rsidRPr="00B07637">
        <w:rPr>
          <w:rFonts w:ascii="Times New Roman" w:hAnsi="Times New Roman" w:cs="Times New Roman"/>
          <w:bCs/>
          <w:sz w:val="24"/>
          <w:szCs w:val="24"/>
        </w:rPr>
        <w:t>Ministra Finansów z dnia 14 grudnia 2022 r. w sprawie opłat na pokrycie kosztów nadzoru nad rynkiem kapitałowym</w:t>
      </w:r>
      <w:r>
        <w:rPr>
          <w:rFonts w:ascii="Times New Roman" w:hAnsi="Times New Roman" w:cs="Times New Roman"/>
          <w:bCs/>
          <w:sz w:val="24"/>
          <w:szCs w:val="24"/>
        </w:rPr>
        <w:t xml:space="preserve"> (Dz. U. poz. </w:t>
      </w:r>
      <w:r w:rsidRPr="00B07637">
        <w:rPr>
          <w:rFonts w:ascii="Times New Roman" w:hAnsi="Times New Roman" w:cs="Times New Roman"/>
          <w:bCs/>
          <w:sz w:val="24"/>
          <w:szCs w:val="24"/>
        </w:rPr>
        <w:t>2748</w:t>
      </w:r>
      <w:r>
        <w:rPr>
          <w:rFonts w:ascii="Times New Roman" w:hAnsi="Times New Roman" w:cs="Times New Roman"/>
          <w:bCs/>
          <w:sz w:val="24"/>
          <w:szCs w:val="24"/>
        </w:rPr>
        <w:t>) mogłoby prowadzić wniosku</w:t>
      </w:r>
      <w:r w:rsidRPr="00C74640">
        <w:rPr>
          <w:rFonts w:ascii="Times New Roman" w:hAnsi="Times New Roman" w:cs="Times New Roman"/>
          <w:bCs/>
          <w:sz w:val="24"/>
          <w:szCs w:val="24"/>
        </w:rPr>
        <w:t xml:space="preserve">, że podmioty rynku kapitałowego nie wnosiłyby żadnych wpłat. W układzie obecnego planu kont nie rejestruje się </w:t>
      </w:r>
      <w:r>
        <w:rPr>
          <w:rFonts w:ascii="Times New Roman" w:hAnsi="Times New Roman" w:cs="Times New Roman"/>
          <w:bCs/>
          <w:sz w:val="24"/>
          <w:szCs w:val="24"/>
        </w:rPr>
        <w:t xml:space="preserve">również </w:t>
      </w:r>
      <w:r w:rsidRPr="00C74640">
        <w:rPr>
          <w:rFonts w:ascii="Times New Roman" w:hAnsi="Times New Roman" w:cs="Times New Roman"/>
          <w:bCs/>
          <w:sz w:val="24"/>
          <w:szCs w:val="24"/>
        </w:rPr>
        <w:t>żadnych przychodów w tej kategorii. Dawniej były tam zaliczane opłaty egzaminacyjne, ale obecnie katalog przychodów – także innych – jest rozpisany w art. 19a ust. 1 ustawy o nadzorze nad rynkiem finansowym, wiec obecnie nie ma „innych wpływów” odrębnych dla rynku kapitałowego.</w:t>
      </w:r>
      <w:r>
        <w:rPr>
          <w:rFonts w:ascii="Times New Roman" w:hAnsi="Times New Roman" w:cs="Times New Roman"/>
          <w:bCs/>
          <w:sz w:val="24"/>
          <w:szCs w:val="24"/>
        </w:rPr>
        <w:t xml:space="preserve"> </w:t>
      </w:r>
      <w:r w:rsidRPr="00C74640">
        <w:rPr>
          <w:rFonts w:ascii="Times New Roman" w:hAnsi="Times New Roman" w:cs="Times New Roman"/>
          <w:bCs/>
          <w:sz w:val="24"/>
          <w:szCs w:val="24"/>
        </w:rPr>
        <w:t xml:space="preserve">Natomiast jeśli chodzi o uchylenie </w:t>
      </w:r>
      <w:r>
        <w:rPr>
          <w:rFonts w:ascii="Times New Roman" w:hAnsi="Times New Roman" w:cs="Times New Roman"/>
          <w:bCs/>
          <w:sz w:val="24"/>
          <w:szCs w:val="24"/>
        </w:rPr>
        <w:t xml:space="preserve">w art. 17 </w:t>
      </w:r>
      <w:r w:rsidRPr="00C74640">
        <w:rPr>
          <w:rFonts w:ascii="Times New Roman" w:hAnsi="Times New Roman" w:cs="Times New Roman"/>
          <w:bCs/>
          <w:sz w:val="24"/>
          <w:szCs w:val="24"/>
        </w:rPr>
        <w:t xml:space="preserve">w ust. 9 pkt 4 to w ust. 9 mowa </w:t>
      </w:r>
      <w:r>
        <w:rPr>
          <w:rFonts w:ascii="Times New Roman" w:hAnsi="Times New Roman" w:cs="Times New Roman"/>
          <w:bCs/>
          <w:sz w:val="24"/>
          <w:szCs w:val="24"/>
        </w:rPr>
        <w:t xml:space="preserve">jest </w:t>
      </w:r>
      <w:r w:rsidRPr="00C74640">
        <w:rPr>
          <w:rFonts w:ascii="Times New Roman" w:hAnsi="Times New Roman" w:cs="Times New Roman"/>
          <w:bCs/>
          <w:sz w:val="24"/>
          <w:szCs w:val="24"/>
        </w:rPr>
        <w:t>o opłatach ryczałtowych</w:t>
      </w:r>
      <w:r>
        <w:rPr>
          <w:rFonts w:ascii="Times New Roman" w:hAnsi="Times New Roman" w:cs="Times New Roman"/>
          <w:bCs/>
          <w:sz w:val="24"/>
          <w:szCs w:val="24"/>
        </w:rPr>
        <w:t>,</w:t>
      </w:r>
      <w:r w:rsidRPr="00C74640">
        <w:rPr>
          <w:rFonts w:ascii="Times New Roman" w:hAnsi="Times New Roman" w:cs="Times New Roman"/>
          <w:bCs/>
          <w:sz w:val="24"/>
          <w:szCs w:val="24"/>
        </w:rPr>
        <w:t xml:space="preserve"> możliwych do wnoszenia począwszy od pierwszego roku działalności</w:t>
      </w:r>
      <w:r>
        <w:rPr>
          <w:rFonts w:ascii="Times New Roman" w:hAnsi="Times New Roman" w:cs="Times New Roman"/>
          <w:bCs/>
          <w:sz w:val="24"/>
          <w:szCs w:val="24"/>
        </w:rPr>
        <w:t>. W</w:t>
      </w:r>
      <w:r w:rsidRPr="00C74640">
        <w:rPr>
          <w:rFonts w:ascii="Times New Roman" w:hAnsi="Times New Roman" w:cs="Times New Roman"/>
          <w:bCs/>
          <w:sz w:val="24"/>
          <w:szCs w:val="24"/>
        </w:rPr>
        <w:t>płaty od dostawców usług finasowania społecznościowego mają jednak charakter wpłaty o zmiennej wysokości obliczanej na podstawie danych z lat ubiegłych</w:t>
      </w:r>
      <w:r>
        <w:rPr>
          <w:rFonts w:ascii="Times New Roman" w:hAnsi="Times New Roman" w:cs="Times New Roman"/>
          <w:bCs/>
          <w:sz w:val="24"/>
          <w:szCs w:val="24"/>
        </w:rPr>
        <w:t xml:space="preserve">, </w:t>
      </w:r>
      <w:r w:rsidRPr="00C74640">
        <w:rPr>
          <w:rFonts w:ascii="Times New Roman" w:hAnsi="Times New Roman" w:cs="Times New Roman"/>
          <w:bCs/>
          <w:sz w:val="24"/>
          <w:szCs w:val="24"/>
        </w:rPr>
        <w:t>nie jest możliwe jej ustalenie w pierwszym roku działalności, dlatego przepis ten powinien zostać uchylony.</w:t>
      </w:r>
    </w:p>
    <w:p w14:paraId="304C542F" w14:textId="3F2CF6D6" w:rsidR="00FF35F4" w:rsidRPr="006B2CD4" w:rsidRDefault="00FF35F4" w:rsidP="00FF35F4">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Z kolei u</w:t>
      </w:r>
      <w:r w:rsidRPr="006B2CD4">
        <w:rPr>
          <w:rFonts w:ascii="Times New Roman" w:hAnsi="Times New Roman" w:cs="Times New Roman"/>
          <w:bCs/>
          <w:sz w:val="24"/>
          <w:szCs w:val="24"/>
        </w:rPr>
        <w:t>chylenie w art. 17 ust. 12 i 13 ma na celu usunięcie przepisów nadmiarowych względem unormowań art. 19a ust. 5 ustawy o nadzorze nad rynkiem finansowym</w:t>
      </w:r>
      <w:r w:rsidR="00901705">
        <w:rPr>
          <w:rFonts w:ascii="Times New Roman" w:hAnsi="Times New Roman" w:cs="Times New Roman"/>
          <w:bCs/>
          <w:sz w:val="24"/>
          <w:szCs w:val="24"/>
        </w:rPr>
        <w:t>.</w:t>
      </w:r>
      <w:r w:rsidRPr="006B2CD4">
        <w:rPr>
          <w:rFonts w:ascii="Times New Roman" w:hAnsi="Times New Roman" w:cs="Times New Roman"/>
          <w:bCs/>
          <w:sz w:val="24"/>
          <w:szCs w:val="24"/>
        </w:rPr>
        <w:t xml:space="preserve"> Przepisy art. 17 ust. 12 i 13 w obecnym stanie prawnym tworzą dwa odrębne reżimy prawne dla tych samych rodzajów rozstrzygnięć w odniesieniu do należności z tytułu opłat na pokrycie kosztów nadzoru nad rynkiem kapitałowym i wpłat lub opłat w innych sektorach. Należy przyjąć, że kwestie związane ze zobowiązaniami z tytułu wpłat i opłat na pokrycie kosztów nadzoru całościowo regulują przepisy działu III Ordynacji podatkowej, stosowane odpowiednio w związku z art. 19a ust. 5 ustawy o nadzorze nad rynkiem finansowym, stąd zbędne jest rozwiązanie przewidziane w art. 17 ust. 12 ustawy o nadzorze nad rynkiem kapitałowym. Z kolei o stosowaniu przepisów o egzekucji w administracji w odniesieniu do wszystkich należności z tytułu kosztów nadzoru przesądza art. 19a ust. 5 </w:t>
      </w:r>
      <w:r w:rsidRPr="006B2CD4">
        <w:rPr>
          <w:rFonts w:ascii="Times New Roman" w:hAnsi="Times New Roman" w:cs="Times New Roman"/>
          <w:bCs/>
          <w:i/>
          <w:sz w:val="24"/>
          <w:szCs w:val="24"/>
        </w:rPr>
        <w:t>in fine</w:t>
      </w:r>
      <w:r w:rsidRPr="006B2CD4">
        <w:rPr>
          <w:rFonts w:ascii="Times New Roman" w:hAnsi="Times New Roman" w:cs="Times New Roman"/>
          <w:bCs/>
          <w:sz w:val="24"/>
          <w:szCs w:val="24"/>
        </w:rPr>
        <w:t>, dlatego też należy uchylić art. 17 ust. 13 ustawy o nadzorze nad rynkiem kapitałowym.</w:t>
      </w:r>
    </w:p>
    <w:p w14:paraId="7B466038" w14:textId="570E61FF" w:rsidR="00FF35F4" w:rsidRPr="006B2CD4" w:rsidRDefault="00FF35F4" w:rsidP="00FF35F4">
      <w:pPr>
        <w:shd w:val="clear" w:color="auto" w:fill="FFFFFF" w:themeFill="background1"/>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Zmiany polegające na dodaniu w ustawie o nadzorze nad rynkiem kapitałowym art. 19a mają na celu zwolnienie z obowiązku zachowania tajemnicy zawodowej przekazywania informacji stanowiących taką tajemnicę na potrzeby wszczętego lub planowanego postępowania cywilnego przeciwko instytucji finansowej. Za wprowadzeniem takiej zmiany przemawia obserwacja zjawisk zachodzących na krajowym rynku kapitałowym w ciągu ostatnich lat i uwzględnienie sygnałów zgłaszanych przez środowisko inwestorów nieprofesjonalnych, którzy zostali poszkodowani przez podmioty rynku finansowego, a w procesie dochodzenia swoich roszczeń </w:t>
      </w:r>
      <w:r w:rsidRPr="006B2CD4">
        <w:rPr>
          <w:rFonts w:ascii="Times New Roman" w:hAnsi="Times New Roman" w:cs="Times New Roman"/>
          <w:sz w:val="24"/>
          <w:szCs w:val="24"/>
        </w:rPr>
        <w:lastRenderedPageBreak/>
        <w:t xml:space="preserve">napotykają na trudności w uzyskaniu od KNF szeregu informacji związanych z ich położeniem. Inwestorzy ci wskazują, że takie informacje mogłyby potencjalnie ułatwić im dochodzenie roszczeń w postępowaniach sądowych, ale w aktualnym stanie prawnym są one objęte tajemnicą zawodową. W efekcie UKNF odmawiał przekazywania szeregu informacji ze względu na tajemnicę zawodową obowiązującą osoby zatrudnione w tej instytucji ‒pracowników UKNF i osoby wykonujące pracę w tym urzędzie na podstawie umowy o dzieło, umowy zlecenia albo innych umów o podobnym charakterze, ale także przewodniczącego, jego zastępców i innych członków KNF. Wprowadzenie proponowanej zmiany przyczyniłoby się do usunięcia dysproporcji pomiędzy zakresem ochrony sprawcy czynu zabronionego a zakresem ochrony osoby poszkodowanej. W sytuacji poszkodowania inwestorów nieprofesjonalnych przez instytucję finansową, działającą jako podmiot profesjonalny, przemyślenia wymaga wzajemna relacja chronionych dóbr. Należy przy tym mieć na uwadze, iż w sytuacji, gdy poszkodowany decyduje się na dochodzenie swoich roszczeń w postępowaniu cywilnym, to na nim spoczywa ciężar dowodu. W związku z tym, uzasadnione jest zwolnienie z obowiązku zachowania tajemnicy zawodowej przekazywania informacji stanowiących taką tajemnicę na potrzeby wszczętego lub planowanego postępowania cywilnego przeciwko instytucji finansowej. </w:t>
      </w:r>
      <w:r>
        <w:rPr>
          <w:rFonts w:ascii="Times New Roman" w:hAnsi="Times New Roman" w:cs="Times New Roman"/>
          <w:sz w:val="24"/>
          <w:szCs w:val="24"/>
        </w:rPr>
        <w:t xml:space="preserve">W dodawanym przepisie przyjęto, że informacje stanowiące tajemnicę zawodową udostępniane będą na wniosek osoby fizycznej poszkodowanej przez dany podmiot podlegający nadzorowi KNF nad rynkiem kapitałowym, po uzyskaniu przez tą osobę zgody sądu, </w:t>
      </w:r>
      <w:r w:rsidRPr="001345C5">
        <w:rPr>
          <w:rFonts w:ascii="Times New Roman" w:hAnsi="Times New Roman" w:cs="Times New Roman"/>
          <w:sz w:val="24"/>
          <w:szCs w:val="24"/>
        </w:rPr>
        <w:t xml:space="preserve">do którego </w:t>
      </w:r>
      <w:r w:rsidRPr="001345C5">
        <w:rPr>
          <w:rFonts w:ascii="Times New Roman" w:hAnsi="Times New Roman" w:cs="Times New Roman"/>
          <w:sz w:val="24"/>
          <w:szCs w:val="24"/>
        </w:rPr>
        <w:lastRenderedPageBreak/>
        <w:t>właściwości należy rozpoznanie sprawy w pierwszej instancji</w:t>
      </w:r>
      <w:r>
        <w:rPr>
          <w:rFonts w:ascii="Times New Roman" w:hAnsi="Times New Roman" w:cs="Times New Roman"/>
          <w:sz w:val="24"/>
          <w:szCs w:val="24"/>
        </w:rPr>
        <w:t xml:space="preserve">. Postanowienie sądu </w:t>
      </w:r>
      <w:r w:rsidRPr="001345C5">
        <w:rPr>
          <w:rFonts w:ascii="Times New Roman" w:hAnsi="Times New Roman" w:cs="Times New Roman"/>
          <w:sz w:val="24"/>
          <w:szCs w:val="24"/>
        </w:rPr>
        <w:t>o udzieleniu zgody lub odmowie jej udzielenia co do przekazania informacji stanowiących tajemnicę zawodową</w:t>
      </w:r>
      <w:r>
        <w:rPr>
          <w:rFonts w:ascii="Times New Roman" w:hAnsi="Times New Roman" w:cs="Times New Roman"/>
          <w:sz w:val="24"/>
          <w:szCs w:val="24"/>
        </w:rPr>
        <w:t xml:space="preserve"> będzie miało c</w:t>
      </w:r>
      <w:r w:rsidRPr="001345C5">
        <w:rPr>
          <w:rFonts w:ascii="Times New Roman" w:hAnsi="Times New Roman" w:cs="Times New Roman"/>
          <w:sz w:val="24"/>
          <w:szCs w:val="24"/>
        </w:rPr>
        <w:t xml:space="preserve">harakter incydentalny, nie stanowi orzeczenia co do istoty sprawy. </w:t>
      </w:r>
      <w:r>
        <w:rPr>
          <w:rFonts w:ascii="Times New Roman" w:hAnsi="Times New Roman" w:cs="Times New Roman"/>
          <w:sz w:val="24"/>
          <w:szCs w:val="24"/>
        </w:rPr>
        <w:t>Jednocześnie w</w:t>
      </w:r>
      <w:r w:rsidRPr="001345C5">
        <w:rPr>
          <w:rFonts w:ascii="Times New Roman" w:hAnsi="Times New Roman" w:cs="Times New Roman"/>
          <w:sz w:val="24"/>
          <w:szCs w:val="24"/>
        </w:rPr>
        <w:t xml:space="preserve"> art. 19a ust. 4 wskazano, że do wniosku o udzielenie zgody stosuje się przepisy ustawy z dnia 17 listopada 1967 r. – Kodeks postępowania cywilnego (Dz.</w:t>
      </w:r>
      <w:r w:rsidR="003B7057">
        <w:rPr>
          <w:rFonts w:ascii="Times New Roman" w:hAnsi="Times New Roman" w:cs="Times New Roman"/>
          <w:sz w:val="24"/>
          <w:szCs w:val="24"/>
        </w:rPr>
        <w:t xml:space="preserve"> </w:t>
      </w:r>
      <w:r w:rsidRPr="001345C5">
        <w:rPr>
          <w:rFonts w:ascii="Times New Roman" w:hAnsi="Times New Roman" w:cs="Times New Roman"/>
          <w:sz w:val="24"/>
          <w:szCs w:val="24"/>
        </w:rPr>
        <w:t>U. z 2021 r. poz. 1805, z późn. zm.) o postępowaniu nieprocesowym, co należy rozumieć, że przepisy te znajdują</w:t>
      </w:r>
      <w:r>
        <w:rPr>
          <w:rFonts w:ascii="Times New Roman" w:hAnsi="Times New Roman" w:cs="Times New Roman"/>
          <w:sz w:val="24"/>
          <w:szCs w:val="24"/>
        </w:rPr>
        <w:t xml:space="preserve"> </w:t>
      </w:r>
      <w:r w:rsidRPr="001345C5">
        <w:rPr>
          <w:rFonts w:ascii="Times New Roman" w:hAnsi="Times New Roman" w:cs="Times New Roman"/>
          <w:sz w:val="24"/>
          <w:szCs w:val="24"/>
        </w:rPr>
        <w:t>zastosowanie również do środków zaskarżenia wnoszonych na postanowienia o udzieleniu zgody lub odmowie jej udzielenia.</w:t>
      </w:r>
      <w:r>
        <w:rPr>
          <w:rFonts w:ascii="Times New Roman" w:hAnsi="Times New Roman" w:cs="Times New Roman"/>
          <w:sz w:val="24"/>
          <w:szCs w:val="24"/>
        </w:rPr>
        <w:t xml:space="preserve"> </w:t>
      </w:r>
      <w:r w:rsidRPr="001345C5">
        <w:rPr>
          <w:rFonts w:ascii="Times New Roman" w:hAnsi="Times New Roman" w:cs="Times New Roman"/>
          <w:sz w:val="24"/>
          <w:szCs w:val="24"/>
        </w:rPr>
        <w:t xml:space="preserve">Wobec incydentalnego charakteru postanowienia o udzieleniu zgody lub odmowie jej udzielenia, </w:t>
      </w:r>
      <w:r>
        <w:rPr>
          <w:rFonts w:ascii="Times New Roman" w:hAnsi="Times New Roman" w:cs="Times New Roman"/>
          <w:sz w:val="24"/>
          <w:szCs w:val="24"/>
        </w:rPr>
        <w:t xml:space="preserve">odstąpiono od określania </w:t>
      </w:r>
      <w:r w:rsidRPr="001345C5">
        <w:rPr>
          <w:rFonts w:ascii="Times New Roman" w:hAnsi="Times New Roman" w:cs="Times New Roman"/>
          <w:sz w:val="24"/>
          <w:szCs w:val="24"/>
        </w:rPr>
        <w:t xml:space="preserve">terminu do wniesienia zażalenia, </w:t>
      </w:r>
      <w:r>
        <w:rPr>
          <w:rFonts w:ascii="Times New Roman" w:hAnsi="Times New Roman" w:cs="Times New Roman"/>
          <w:sz w:val="24"/>
          <w:szCs w:val="24"/>
        </w:rPr>
        <w:t xml:space="preserve">gdyż na podstawie </w:t>
      </w:r>
      <w:r w:rsidRPr="001345C5">
        <w:rPr>
          <w:rFonts w:ascii="Times New Roman" w:hAnsi="Times New Roman" w:cs="Times New Roman"/>
          <w:sz w:val="24"/>
          <w:szCs w:val="24"/>
        </w:rPr>
        <w:t>art. 13 § 2 K.p.c.</w:t>
      </w:r>
      <w:r>
        <w:rPr>
          <w:rFonts w:ascii="Times New Roman" w:hAnsi="Times New Roman" w:cs="Times New Roman"/>
          <w:sz w:val="24"/>
          <w:szCs w:val="24"/>
        </w:rPr>
        <w:t xml:space="preserve"> do postępowania nieprocesowego zastosowanie znajdzie </w:t>
      </w:r>
      <w:r w:rsidRPr="001345C5">
        <w:rPr>
          <w:rFonts w:ascii="Times New Roman" w:hAnsi="Times New Roman" w:cs="Times New Roman"/>
          <w:sz w:val="24"/>
          <w:szCs w:val="24"/>
        </w:rPr>
        <w:t xml:space="preserve">art. 394 § 2 K.p.c., </w:t>
      </w:r>
      <w:r>
        <w:rPr>
          <w:rFonts w:ascii="Times New Roman" w:hAnsi="Times New Roman" w:cs="Times New Roman"/>
          <w:sz w:val="24"/>
          <w:szCs w:val="24"/>
        </w:rPr>
        <w:t xml:space="preserve">zgodnie z którym </w:t>
      </w:r>
      <w:r w:rsidRPr="001345C5">
        <w:rPr>
          <w:rFonts w:ascii="Times New Roman" w:hAnsi="Times New Roman" w:cs="Times New Roman"/>
          <w:sz w:val="24"/>
          <w:szCs w:val="24"/>
        </w:rPr>
        <w:t>do postępowania nieprocesowego, termin do wniesienia zażalenia wynosi tydzień.</w:t>
      </w:r>
    </w:p>
    <w:p w14:paraId="55E639AE" w14:textId="44076321" w:rsidR="00FF35F4" w:rsidRDefault="00FF35F4" w:rsidP="00FF35F4">
      <w:pPr>
        <w:shd w:val="clear" w:color="auto" w:fill="FFFFFF" w:themeFill="background1"/>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Projektowana zmiana koresponduje również z zaleceniami Najwyższej Izby Kontroli (dalej „NIK”) zawartymi w informacji o wynikach kontroli „Działalność organów i instytucji państwowych oraz podmiotów organizujących rynek finansowy wobec spółki GetBack</w:t>
      </w:r>
      <w:r>
        <w:rPr>
          <w:rFonts w:ascii="Times New Roman" w:hAnsi="Times New Roman" w:cs="Times New Roman"/>
          <w:sz w:val="24"/>
          <w:szCs w:val="24"/>
        </w:rPr>
        <w:t xml:space="preserve"> </w:t>
      </w:r>
      <w:r w:rsidRPr="006B2CD4">
        <w:rPr>
          <w:rFonts w:ascii="Times New Roman" w:hAnsi="Times New Roman" w:cs="Times New Roman"/>
          <w:sz w:val="24"/>
          <w:szCs w:val="24"/>
        </w:rPr>
        <w:t xml:space="preserve">SA, podmiotów oferujących jej papiery wartościowe oraz ją audytujących”. W opinii NIK informacje dotyczące wyników kontroli prowadzonych przez UKNF mogłyby w istotny sposób przyczynić się do udowodnienia przez pokrzywdzonych inwestorów zasadności zgłaszanych przez nich roszczeń. </w:t>
      </w:r>
    </w:p>
    <w:p w14:paraId="7C3FB36E" w14:textId="77777777" w:rsidR="00FF35F4" w:rsidRPr="006B2CD4" w:rsidRDefault="00FF35F4" w:rsidP="00FF35F4">
      <w:pPr>
        <w:shd w:val="clear" w:color="auto" w:fill="FFFFFF" w:themeFill="background1"/>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Nowelizacja art. 22a </w:t>
      </w:r>
      <w:r w:rsidRPr="00B8572E">
        <w:rPr>
          <w:rFonts w:ascii="Times New Roman" w:hAnsi="Times New Roman" w:cs="Times New Roman"/>
          <w:sz w:val="24"/>
          <w:szCs w:val="24"/>
        </w:rPr>
        <w:t>jest związana z tworzeniem przez europejskie organy nadzoru systemu wymiany informacji istotnych z punktu widzenia prowadzonej przez właściwe organy oceny kompetencji i reputacji posiadaczy znacznych pakietów akcji, dyrektorów i osób pełniących kluczowe funkcje w instytucjach finansowych, o którym mowa w art. 31a rozporządzeń 1093/2010, 1094/2010 oraz 1095/2010. Zmiana art. 22a ustawy jest niezbędna</w:t>
      </w:r>
      <w:r>
        <w:rPr>
          <w:rFonts w:ascii="Times New Roman" w:hAnsi="Times New Roman" w:cs="Times New Roman"/>
          <w:sz w:val="24"/>
          <w:szCs w:val="24"/>
        </w:rPr>
        <w:t>,</w:t>
      </w:r>
      <w:r w:rsidRPr="00B8572E">
        <w:rPr>
          <w:rFonts w:ascii="Times New Roman" w:hAnsi="Times New Roman" w:cs="Times New Roman"/>
          <w:sz w:val="24"/>
          <w:szCs w:val="24"/>
        </w:rPr>
        <w:t xml:space="preserve"> aby zapewnić możliwość przekazywania niezbędnych informacji o ocenach również do Europejskiego Urzędu Nadzoru Ubezpieczeń i Pracowniczych Programów Emerytalnych, który jest jednym z urzędów</w:t>
      </w:r>
      <w:r>
        <w:rPr>
          <w:rFonts w:ascii="Times New Roman" w:hAnsi="Times New Roman" w:cs="Times New Roman"/>
          <w:sz w:val="24"/>
          <w:szCs w:val="24"/>
        </w:rPr>
        <w:t xml:space="preserve"> odpowiedzialnych za utworzenie i funkcjonowanie systemu.</w:t>
      </w:r>
    </w:p>
    <w:p w14:paraId="32D38064" w14:textId="77777777" w:rsidR="00FF35F4" w:rsidRDefault="00FF35F4" w:rsidP="00FF35F4">
      <w:pPr>
        <w:shd w:val="clear" w:color="auto" w:fill="FFFFFF" w:themeFill="background1"/>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Dodanie w art. 25 ust. 1b ustawy o nadzorze nad rynkiem kapitałowym ma na celu określenie terminów, na które udostępniane są informacje, których mowa w ust. 1 i 2 i mają wynosić odpowiednio 5 lat lub rok. Dodanie tego przepisu ma na celu dookreślenie zasad ujawniania informacji do publicznej wiadomości przez KNF po to, aby zasady dostępu do niej były w pełni przejrzyste. W tym obszarze wskazane jest bowiem ujednolicenie wszystkich regulacji zawartych w art. 25 ustawy o nadzorze nad rynkiem kapitałowym. Analogiczne rozwiązanie do tego proponowanego art. 25 ust. 1b ustawy o nadzorze nad rynkiem kapitałowym znajduje się w art. 25 ust. 2d tej ustawy, który przewiduje usunięcie informacji, o których mowa w art. 25 ust. 2b i 2c</w:t>
      </w:r>
      <w:r>
        <w:rPr>
          <w:rFonts w:ascii="Times New Roman" w:hAnsi="Times New Roman" w:cs="Times New Roman"/>
          <w:sz w:val="24"/>
          <w:szCs w:val="24"/>
        </w:rPr>
        <w:t>,</w:t>
      </w:r>
      <w:r w:rsidRPr="006B2CD4">
        <w:rPr>
          <w:rFonts w:ascii="Times New Roman" w:hAnsi="Times New Roman" w:cs="Times New Roman"/>
          <w:sz w:val="24"/>
          <w:szCs w:val="24"/>
        </w:rPr>
        <w:t xml:space="preserve"> po 5 latach oraz usunięcie imienia i nazwiska osoby, na którą nałożono sankcję, po roku. W obecnym stanie prawnym przepisy nie wskazują terminu, po upływie którego informacje, o których mowa w art. 25 ust. 1 ustawy o nadzorze nad rynkiem kapitałowym powinny być usunięte ze strony internetowej KNF. Wprowadzenie powyższego rozwiązania jest </w:t>
      </w:r>
      <w:r w:rsidRPr="006B2CD4">
        <w:rPr>
          <w:rFonts w:ascii="Times New Roman" w:hAnsi="Times New Roman" w:cs="Times New Roman"/>
          <w:sz w:val="24"/>
          <w:szCs w:val="24"/>
        </w:rPr>
        <w:lastRenderedPageBreak/>
        <w:t>szczególnie uzasadnione ze względu na fakt, iż art. 25 ust. 2 ustawy o nadzorze nad rynkiem kapitałowym wskazuje przypadki, w których upublicznieniu mogą podlegać dane osobowe podmiotów dopuszczających się naruszenia ustaw, o których mowa w art. 25 ust. 1 ustawy o nadzorze nad rynkiem kapitałowym, a zatem dane będące pod szczególną ochroną z uwagi na obowiązywanie rozporządzenia Parlamentu Europejskiego i Rady (UE) 2016/679 z dnia 27 kwietnia 2016 r. w sprawie ochrony osób fizycznych w związku z przetwarzaniem danych osobowych i w sprawie swobodnego przepływu takich danych oraz uchylenia dyrektywy 95/46/WE (RODO).</w:t>
      </w:r>
    </w:p>
    <w:p w14:paraId="76F158DD" w14:textId="77777777" w:rsidR="00FF35F4" w:rsidRPr="006B2CD4" w:rsidRDefault="00FF35F4" w:rsidP="00FF35F4">
      <w:pPr>
        <w:shd w:val="clear" w:color="auto" w:fill="FFFFFF" w:themeFill="background1"/>
        <w:spacing w:after="120" w:line="360" w:lineRule="auto"/>
        <w:jc w:val="both"/>
        <w:rPr>
          <w:rFonts w:ascii="Times New Roman" w:hAnsi="Times New Roman" w:cs="Times New Roman"/>
          <w:sz w:val="24"/>
          <w:szCs w:val="24"/>
        </w:rPr>
      </w:pPr>
      <w:r>
        <w:rPr>
          <w:rFonts w:ascii="Times New Roman" w:hAnsi="Times New Roman" w:cs="Times New Roman"/>
          <w:sz w:val="24"/>
          <w:szCs w:val="24"/>
        </w:rPr>
        <w:t>Zmiany w art. 26 mają charakter wynikowy i wynikają z rozszerzenia jednolitej licencji bankowej na banki państwowe.</w:t>
      </w:r>
    </w:p>
    <w:p w14:paraId="23EAFCA4" w14:textId="547AA55C" w:rsidR="00FF35F4" w:rsidRPr="006B2CD4" w:rsidRDefault="00FF35F4" w:rsidP="00FF35F4">
      <w:pPr>
        <w:shd w:val="clear" w:color="auto" w:fill="FFFFFF" w:themeFill="background1"/>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Dodanie w art. 27 ust. 5 i 6 ustawy o nadzorze nad rynkiem kapitałowym związane jest z chęcią dokończenia i uszczegółowienia procesu elektronizacji trybu kontroli podmiotów, o których mowa w art. 5 ustawy o nadzorze nad rynkiem kapitałowym. Postać elektroniczna zostan</w:t>
      </w:r>
      <w:r>
        <w:rPr>
          <w:rFonts w:ascii="Times New Roman" w:hAnsi="Times New Roman" w:cs="Times New Roman"/>
          <w:sz w:val="24"/>
          <w:szCs w:val="24"/>
        </w:rPr>
        <w:t>ie nadana protokołowi kontroli</w:t>
      </w:r>
      <w:r w:rsidRPr="006B2CD4">
        <w:rPr>
          <w:rFonts w:ascii="Times New Roman" w:hAnsi="Times New Roman" w:cs="Times New Roman"/>
          <w:sz w:val="24"/>
          <w:szCs w:val="24"/>
        </w:rPr>
        <w:t xml:space="preserve">, o którym mowa w art. 36 ust. 1 ustawy o nadzorze nad rynkiem kapitałowym, </w:t>
      </w:r>
      <w:r>
        <w:rPr>
          <w:rFonts w:ascii="Times New Roman" w:hAnsi="Times New Roman" w:cs="Times New Roman"/>
          <w:sz w:val="24"/>
          <w:szCs w:val="24"/>
        </w:rPr>
        <w:t xml:space="preserve">a także niektórym czynnościom kontrolnym przeprowadzanym w sposób zdalny, </w:t>
      </w:r>
      <w:r w:rsidRPr="006B2CD4">
        <w:rPr>
          <w:rFonts w:ascii="Times New Roman" w:hAnsi="Times New Roman" w:cs="Times New Roman"/>
          <w:sz w:val="24"/>
          <w:szCs w:val="24"/>
        </w:rPr>
        <w:t xml:space="preserve">zgodnie z art. 51 ust. 3a ustawy z dnia 6 marca 2018 r. </w:t>
      </w:r>
      <w:r w:rsidRPr="006B2CD4">
        <w:rPr>
          <w:rFonts w:ascii="Times New Roman" w:eastAsia="Calibri" w:hAnsi="Times New Roman" w:cs="Times New Roman"/>
          <w:color w:val="000000" w:themeColor="text1"/>
          <w:sz w:val="24"/>
          <w:szCs w:val="24"/>
        </w:rPr>
        <w:t>–</w:t>
      </w:r>
      <w:r>
        <w:rPr>
          <w:rFonts w:ascii="Times New Roman" w:hAnsi="Times New Roman" w:cs="Times New Roman"/>
          <w:sz w:val="24"/>
          <w:szCs w:val="24"/>
        </w:rPr>
        <w:t xml:space="preserve"> </w:t>
      </w:r>
      <w:r w:rsidRPr="006B2CD4">
        <w:rPr>
          <w:rFonts w:ascii="Times New Roman" w:hAnsi="Times New Roman" w:cs="Times New Roman"/>
          <w:sz w:val="24"/>
          <w:szCs w:val="24"/>
        </w:rPr>
        <w:t xml:space="preserve">Prawo przedsiębiorców. Z uwagi na brak precyzyjnego odniesienia w ustawie </w:t>
      </w:r>
      <w:r w:rsidRPr="006B2CD4">
        <w:rPr>
          <w:rFonts w:ascii="Times New Roman" w:eastAsia="Calibri" w:hAnsi="Times New Roman" w:cs="Times New Roman"/>
          <w:color w:val="000000" w:themeColor="text1"/>
          <w:sz w:val="24"/>
          <w:szCs w:val="24"/>
        </w:rPr>
        <w:t>–</w:t>
      </w:r>
      <w:r>
        <w:rPr>
          <w:rFonts w:ascii="Times New Roman" w:hAnsi="Times New Roman" w:cs="Times New Roman"/>
          <w:sz w:val="24"/>
          <w:szCs w:val="24"/>
        </w:rPr>
        <w:t xml:space="preserve"> </w:t>
      </w:r>
      <w:r w:rsidRPr="006B2CD4">
        <w:rPr>
          <w:rFonts w:ascii="Times New Roman" w:hAnsi="Times New Roman" w:cs="Times New Roman"/>
          <w:sz w:val="24"/>
          <w:szCs w:val="24"/>
        </w:rPr>
        <w:t>Prawo przedsiębiorców</w:t>
      </w:r>
      <w:r>
        <w:rPr>
          <w:rFonts w:ascii="Times New Roman" w:hAnsi="Times New Roman" w:cs="Times New Roman"/>
          <w:sz w:val="24"/>
          <w:szCs w:val="24"/>
        </w:rPr>
        <w:t>,</w:t>
      </w:r>
      <w:r w:rsidRPr="006B2CD4">
        <w:rPr>
          <w:rFonts w:ascii="Times New Roman" w:hAnsi="Times New Roman" w:cs="Times New Roman"/>
          <w:sz w:val="24"/>
          <w:szCs w:val="24"/>
        </w:rPr>
        <w:t xml:space="preserve"> do jakich czynności</w:t>
      </w:r>
      <w:r w:rsidR="00653C0C">
        <w:rPr>
          <w:rFonts w:ascii="Times New Roman" w:hAnsi="Times New Roman" w:cs="Times New Roman"/>
          <w:sz w:val="24"/>
          <w:szCs w:val="24"/>
        </w:rPr>
        <w:t xml:space="preserve"> </w:t>
      </w:r>
      <w:r w:rsidRPr="006B2CD4">
        <w:rPr>
          <w:rFonts w:ascii="Times New Roman" w:hAnsi="Times New Roman" w:cs="Times New Roman"/>
          <w:sz w:val="24"/>
          <w:szCs w:val="24"/>
        </w:rPr>
        <w:t xml:space="preserve">i w jakim zakresie przepisy te mają zastosowanie do trybu kontroli z ustawy o nadzorze nad rynkiem kapitałowym wskazanym jest doprecyzowanie ich w ustawie szczegółowej. </w:t>
      </w:r>
    </w:p>
    <w:p w14:paraId="08EAD7DA" w14:textId="77777777" w:rsidR="00FF35F4" w:rsidRPr="006B2CD4" w:rsidRDefault="00FF35F4" w:rsidP="00FF35F4">
      <w:pPr>
        <w:shd w:val="clear" w:color="auto" w:fill="FFFFFF" w:themeFill="background1"/>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 art. 30 ust. </w:t>
      </w:r>
      <w:r w:rsidRPr="006B2CD4">
        <w:rPr>
          <w:rFonts w:ascii="Times New Roman" w:hAnsi="Times New Roman" w:cs="Times New Roman"/>
          <w:sz w:val="24"/>
          <w:szCs w:val="24"/>
        </w:rPr>
        <w:t>3–5, art. 32 ust. 3</w:t>
      </w:r>
      <w:r>
        <w:rPr>
          <w:rFonts w:ascii="Times New Roman" w:hAnsi="Times New Roman" w:cs="Times New Roman"/>
          <w:sz w:val="24"/>
          <w:szCs w:val="24"/>
        </w:rPr>
        <w:t xml:space="preserve"> i </w:t>
      </w:r>
      <w:r w:rsidRPr="006B2CD4">
        <w:rPr>
          <w:rFonts w:ascii="Times New Roman" w:hAnsi="Times New Roman" w:cs="Times New Roman"/>
          <w:sz w:val="24"/>
          <w:szCs w:val="24"/>
        </w:rPr>
        <w:t>4, art. 34a ust. 1 i 3, art. 34b ust. 1, ust. 3</w:t>
      </w:r>
      <w:r>
        <w:rPr>
          <w:rFonts w:ascii="Times New Roman" w:hAnsi="Times New Roman" w:cs="Times New Roman"/>
          <w:sz w:val="24"/>
          <w:szCs w:val="24"/>
        </w:rPr>
        <w:t xml:space="preserve">, </w:t>
      </w:r>
      <w:r w:rsidRPr="006B2CD4">
        <w:rPr>
          <w:rFonts w:ascii="Times New Roman" w:hAnsi="Times New Roman" w:cs="Times New Roman"/>
          <w:sz w:val="24"/>
          <w:szCs w:val="24"/>
        </w:rPr>
        <w:t>4</w:t>
      </w:r>
      <w:r>
        <w:rPr>
          <w:rFonts w:ascii="Times New Roman" w:hAnsi="Times New Roman" w:cs="Times New Roman"/>
          <w:sz w:val="24"/>
          <w:szCs w:val="24"/>
        </w:rPr>
        <w:t xml:space="preserve"> i 5</w:t>
      </w:r>
      <w:r w:rsidRPr="006B2CD4">
        <w:rPr>
          <w:rFonts w:ascii="Times New Roman" w:hAnsi="Times New Roman" w:cs="Times New Roman"/>
          <w:sz w:val="24"/>
          <w:szCs w:val="24"/>
        </w:rPr>
        <w:t xml:space="preserve"> oraz art. 35 ust. 3 wprowadza się szereg zmian mających na celu usprawnienie kontroli dokonywanych przez KNF oraz jej upoważnionych przedstawicieli i pracowników w ramach sprawowanego nadzoru nad rynkiem kapitałowym. Doprecyzowanie zawarte w art. 30 ust. 1 ma charakter wynikowy mający na celu uwzględnienie możliwości doręczenia upoważnienia na adres do doręczeń elektronicznych. Z uwagi na fizyczną niemożliwość okazania legitymacji służbowej w takiej sytuacji konieczne jest wskazanie wprost tej sytuacji, po to, aby podmiot kontrolowany nie miał podstaw do złożenia skargi na nieprawidłowe przeprowadzenie kontroli, co mogłoby znacznie utrudniać sprawowanie czynności nadzorczych przez KNF i przeciwdziałanie naruszeniom przepisów, a nawet przestępstwom dokonywanym na rynku finansowym.</w:t>
      </w:r>
    </w:p>
    <w:p w14:paraId="3467897B" w14:textId="77777777" w:rsidR="00FF35F4" w:rsidRPr="006B2CD4" w:rsidRDefault="00FF35F4" w:rsidP="00FF35F4">
      <w:pPr>
        <w:shd w:val="clear" w:color="auto" w:fill="FFFFFF" w:themeFill="background1"/>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W art. 30 ust. 6–7, art. 32 ust. 5 i 5a, ust. 6b, 6ba, 6c oraz art. 34b ust. 5 ustawy o nadzorze nad rynkiem kapitałowym wskazano sposób doręczania dokumentów sporządzonych albo udzielonych na piśmie utrwalonym w postaci elektronicznej. W takim przypadku doręczenie tych dokumentów będzie następowało na adres do doręczeń elektronicznych. </w:t>
      </w:r>
    </w:p>
    <w:p w14:paraId="031211DF" w14:textId="77777777" w:rsidR="00FF35F4" w:rsidRDefault="00FF35F4" w:rsidP="00FF35F4">
      <w:pPr>
        <w:shd w:val="clear" w:color="auto" w:fill="FFFFFF" w:themeFill="background1"/>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Zmian</w:t>
      </w:r>
      <w:r>
        <w:rPr>
          <w:rFonts w:ascii="Times New Roman" w:hAnsi="Times New Roman" w:cs="Times New Roman"/>
          <w:sz w:val="24"/>
          <w:szCs w:val="24"/>
        </w:rPr>
        <w:t>y</w:t>
      </w:r>
      <w:r w:rsidRPr="006B2CD4">
        <w:rPr>
          <w:rFonts w:ascii="Times New Roman" w:hAnsi="Times New Roman" w:cs="Times New Roman"/>
          <w:sz w:val="24"/>
          <w:szCs w:val="24"/>
        </w:rPr>
        <w:t xml:space="preserve"> art. 32 ustawy o nadzorze nad rynkiem kapitałowym podyktowan</w:t>
      </w:r>
      <w:r>
        <w:rPr>
          <w:rFonts w:ascii="Times New Roman" w:hAnsi="Times New Roman" w:cs="Times New Roman"/>
          <w:sz w:val="24"/>
          <w:szCs w:val="24"/>
        </w:rPr>
        <w:t>e</w:t>
      </w:r>
      <w:r w:rsidRPr="006B2CD4">
        <w:rPr>
          <w:rFonts w:ascii="Times New Roman" w:hAnsi="Times New Roman" w:cs="Times New Roman"/>
          <w:sz w:val="24"/>
          <w:szCs w:val="24"/>
        </w:rPr>
        <w:t xml:space="preserve"> </w:t>
      </w:r>
      <w:r>
        <w:rPr>
          <w:rFonts w:ascii="Times New Roman" w:hAnsi="Times New Roman" w:cs="Times New Roman"/>
          <w:sz w:val="24"/>
          <w:szCs w:val="24"/>
        </w:rPr>
        <w:t>są</w:t>
      </w:r>
      <w:r w:rsidRPr="006B2CD4">
        <w:rPr>
          <w:rFonts w:ascii="Times New Roman" w:hAnsi="Times New Roman" w:cs="Times New Roman"/>
          <w:sz w:val="24"/>
          <w:szCs w:val="24"/>
        </w:rPr>
        <w:t xml:space="preserve"> z kolei koniecznością doprecyzowania, </w:t>
      </w:r>
      <w:r>
        <w:rPr>
          <w:rFonts w:ascii="Times New Roman" w:hAnsi="Times New Roman" w:cs="Times New Roman"/>
          <w:sz w:val="24"/>
          <w:szCs w:val="24"/>
        </w:rPr>
        <w:t>że m</w:t>
      </w:r>
      <w:r w:rsidRPr="00B8572E">
        <w:rPr>
          <w:rFonts w:ascii="Times New Roman" w:hAnsi="Times New Roman" w:cs="Times New Roman"/>
          <w:sz w:val="24"/>
          <w:szCs w:val="24"/>
        </w:rPr>
        <w:t xml:space="preserve">ateriał przekazywany do kontroli nie podlega uprzedniej selekcji kontrolowanego, gdyż doprowadziłoby to do </w:t>
      </w:r>
      <w:r>
        <w:rPr>
          <w:rFonts w:ascii="Times New Roman" w:hAnsi="Times New Roman" w:cs="Times New Roman"/>
          <w:sz w:val="24"/>
          <w:szCs w:val="24"/>
        </w:rPr>
        <w:t>braku skuteczności kontroli</w:t>
      </w:r>
      <w:r w:rsidRPr="00B8572E">
        <w:rPr>
          <w:rFonts w:ascii="Times New Roman" w:hAnsi="Times New Roman" w:cs="Times New Roman"/>
          <w:sz w:val="24"/>
          <w:szCs w:val="24"/>
        </w:rPr>
        <w:t xml:space="preserve"> lub </w:t>
      </w:r>
      <w:r>
        <w:rPr>
          <w:rFonts w:ascii="Times New Roman" w:hAnsi="Times New Roman" w:cs="Times New Roman"/>
          <w:sz w:val="24"/>
          <w:szCs w:val="24"/>
        </w:rPr>
        <w:t xml:space="preserve">jej </w:t>
      </w:r>
      <w:r w:rsidRPr="00B8572E">
        <w:rPr>
          <w:rFonts w:ascii="Times New Roman" w:hAnsi="Times New Roman" w:cs="Times New Roman"/>
          <w:sz w:val="24"/>
          <w:szCs w:val="24"/>
        </w:rPr>
        <w:t>ograniczania, natomiast ustaleń kontroli dokonuje się zgodnie z jej przedmiotem.</w:t>
      </w:r>
      <w:r>
        <w:rPr>
          <w:rFonts w:ascii="Times New Roman" w:hAnsi="Times New Roman" w:cs="Times New Roman"/>
          <w:sz w:val="24"/>
          <w:szCs w:val="24"/>
        </w:rPr>
        <w:t xml:space="preserve"> Ma to więc przyczynić się do skuteczniejszego przeprowadzania kontroli przez kontrolerów UKNF. </w:t>
      </w:r>
    </w:p>
    <w:p w14:paraId="674457D9" w14:textId="77777777" w:rsidR="00FF35F4" w:rsidRPr="006B2CD4" w:rsidRDefault="00FF35F4" w:rsidP="00FF35F4">
      <w:pPr>
        <w:shd w:val="clear" w:color="auto" w:fill="FFFFFF" w:themeFill="background1"/>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Nadanie nowego brzmienia art. 34 pkt 4a poprzez rozszerzenie dokonywanych ustaleń kontroli o zebrane w jej toku zapisy dźwięku uzupełnia lukę w tym zakresie, która mogła utrudniać kompleksowe wykorzystanie zgromadzonych przez kontrolerów materiałów dowodowych. Niekiedy zapisy dźwiękowe mogą mieć bardzo duże znaczenie dla prawidłowych ustaleń dokonanej kontroli, co może z kolei potencjalnie przyczynić się do ustalenia nieprawidłowości w funkcjonowaniu podmiotu, w którym dokonywana jest kontrola. W szerszym kontekście takie rozszerzenie może mieć niebagatelne znaczenie dla niezakłóconego funkcjonowania całego rynku kapitałowego, właśnie poprzez przyznanie kontrolerom adekwatnego zestawu narzędzi do należytego ustalenia przez nich wyników kontroli. </w:t>
      </w:r>
    </w:p>
    <w:p w14:paraId="43EB16BF" w14:textId="77777777" w:rsidR="00FF35F4" w:rsidRPr="0044151C" w:rsidRDefault="00FF35F4" w:rsidP="00FF35F4">
      <w:pPr>
        <w:shd w:val="clear" w:color="auto" w:fill="FFFFFF" w:themeFill="background1"/>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Zmiany w art. 35a również mają na celu zwiększenie efektywności dokonywanej przez pracowników KNF kontroli. Jej celem jest bowiem nie tylko samo sprawdzenie tego, czy podmiot, w którym jest przeprowadzana prowadzi działalność zgodnie z prawem, lecz także wpłynięcie na to, aby zaczął wypełniać nałożone na niego obowiązki w sposób należyty. Poprzez wprowadzenie rozwiązań zawartych w art. 35a ustawy o nadzorze nad rynkiem kapitałowym wprowadzony zostanie </w:t>
      </w:r>
      <w:r>
        <w:rPr>
          <w:rFonts w:ascii="Times New Roman" w:hAnsi="Times New Roman" w:cs="Times New Roman"/>
          <w:i/>
          <w:sz w:val="24"/>
          <w:szCs w:val="24"/>
        </w:rPr>
        <w:t xml:space="preserve">de facto </w:t>
      </w:r>
      <w:r>
        <w:rPr>
          <w:rFonts w:ascii="Times New Roman" w:hAnsi="Times New Roman" w:cs="Times New Roman"/>
          <w:sz w:val="24"/>
          <w:szCs w:val="24"/>
        </w:rPr>
        <w:t xml:space="preserve">obowiązek do dostosowania się do zaleceń </w:t>
      </w:r>
      <w:r w:rsidRPr="0044151C">
        <w:rPr>
          <w:rFonts w:ascii="Times New Roman" w:hAnsi="Times New Roman" w:cs="Times New Roman"/>
          <w:sz w:val="24"/>
          <w:szCs w:val="24"/>
        </w:rPr>
        <w:t>usunięcia przez kontrolowanego nieprawidłowości stwierdzonych na podstawie wyników kontroli</w:t>
      </w:r>
      <w:r>
        <w:rPr>
          <w:rFonts w:ascii="Times New Roman" w:hAnsi="Times New Roman" w:cs="Times New Roman"/>
          <w:sz w:val="24"/>
          <w:szCs w:val="24"/>
        </w:rPr>
        <w:t xml:space="preserve">, co ma szczególne znaczenie dla ochrony </w:t>
      </w:r>
      <w:r w:rsidRPr="0044151C">
        <w:rPr>
          <w:rFonts w:ascii="Times New Roman" w:hAnsi="Times New Roman" w:cs="Times New Roman"/>
          <w:sz w:val="24"/>
          <w:szCs w:val="24"/>
        </w:rPr>
        <w:t>obrot</w:t>
      </w:r>
      <w:r>
        <w:rPr>
          <w:rFonts w:ascii="Times New Roman" w:hAnsi="Times New Roman" w:cs="Times New Roman"/>
          <w:sz w:val="24"/>
          <w:szCs w:val="24"/>
        </w:rPr>
        <w:t xml:space="preserve">u i </w:t>
      </w:r>
      <w:r w:rsidRPr="0044151C">
        <w:rPr>
          <w:rFonts w:ascii="Times New Roman" w:hAnsi="Times New Roman" w:cs="Times New Roman"/>
          <w:sz w:val="24"/>
          <w:szCs w:val="24"/>
        </w:rPr>
        <w:t>interes</w:t>
      </w:r>
      <w:r>
        <w:rPr>
          <w:rFonts w:ascii="Times New Roman" w:hAnsi="Times New Roman" w:cs="Times New Roman"/>
          <w:sz w:val="24"/>
          <w:szCs w:val="24"/>
        </w:rPr>
        <w:t>u</w:t>
      </w:r>
      <w:r w:rsidRPr="0044151C">
        <w:rPr>
          <w:rFonts w:ascii="Times New Roman" w:hAnsi="Times New Roman" w:cs="Times New Roman"/>
          <w:sz w:val="24"/>
          <w:szCs w:val="24"/>
        </w:rPr>
        <w:t xml:space="preserve"> inwestorów</w:t>
      </w:r>
      <w:r>
        <w:rPr>
          <w:rFonts w:ascii="Times New Roman" w:hAnsi="Times New Roman" w:cs="Times New Roman"/>
          <w:sz w:val="24"/>
          <w:szCs w:val="24"/>
        </w:rPr>
        <w:t>. Przepis ten</w:t>
      </w:r>
      <w:r w:rsidRPr="00DF1496">
        <w:rPr>
          <w:rFonts w:ascii="Times New Roman" w:hAnsi="Times New Roman" w:cs="Times New Roman"/>
          <w:sz w:val="24"/>
          <w:szCs w:val="24"/>
        </w:rPr>
        <w:t xml:space="preserve"> doprecyzowuje, że protokół kontroli zawiera w szczególności wykaz sporządzonych protokołów, o których mowa w art. 32 ust. 6c3, art. 34b ust. 14. Proponowana zmiana nie spowoduje, że w protokołach kontroli </w:t>
      </w:r>
      <w:r w:rsidRPr="00DF1496">
        <w:rPr>
          <w:rFonts w:ascii="Times New Roman" w:hAnsi="Times New Roman" w:cs="Times New Roman"/>
          <w:sz w:val="24"/>
          <w:szCs w:val="24"/>
        </w:rPr>
        <w:lastRenderedPageBreak/>
        <w:t>nie zostaną ujęte wszystkie materiały zgromadzone w toku kontroli, gdyż w protokołach kontroli zostaną ujęte wszystkie materiały pobrane w toku kontroli, które są pobierane lub przekazywane protokolarnie.</w:t>
      </w:r>
    </w:p>
    <w:p w14:paraId="2CD471FB" w14:textId="77777777" w:rsidR="00FF35F4" w:rsidRPr="006B2CD4" w:rsidRDefault="00FF35F4" w:rsidP="00FF35F4">
      <w:pPr>
        <w:shd w:val="clear" w:color="auto" w:fill="FFFFFF" w:themeFill="background1"/>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Zmiany w art. 36 ustawy o nadzorze nad rynkiem kapitałowym mają na celu doprecyzowanie, że zasady i tryb doręczania pism utrwalonych w postaci elektronicznej dotycz</w:t>
      </w:r>
      <w:r>
        <w:rPr>
          <w:rFonts w:ascii="Times New Roman" w:hAnsi="Times New Roman" w:cs="Times New Roman"/>
          <w:sz w:val="24"/>
          <w:szCs w:val="24"/>
        </w:rPr>
        <w:t>ą</w:t>
      </w:r>
      <w:r w:rsidRPr="006B2CD4">
        <w:rPr>
          <w:rFonts w:ascii="Times New Roman" w:hAnsi="Times New Roman" w:cs="Times New Roman"/>
          <w:sz w:val="24"/>
          <w:szCs w:val="24"/>
        </w:rPr>
        <w:t xml:space="preserve"> wszystkich pism przesyłanych w ramach kontroli przeprowadzanej przez KNF, tj. doręczeń protokołu kontroli, zastrzeżeń do protokołu kontroli, stanowiska kontrolowanego w sprawie protokołu kontroli, aneksu protokołu, pisemnego stanowiska w sprawie odmowy uwzględnienia zastrzeżeń kontrolowanego, zaleceń pokontrolnych oraz informacji o sposobie wykonania zaleceń pokontrolnych przez kontrolowanego.</w:t>
      </w:r>
      <w:r>
        <w:rPr>
          <w:rFonts w:ascii="Times New Roman" w:hAnsi="Times New Roman" w:cs="Times New Roman"/>
          <w:sz w:val="24"/>
          <w:szCs w:val="24"/>
        </w:rPr>
        <w:t xml:space="preserve"> W tym przepisie</w:t>
      </w:r>
      <w:r w:rsidRPr="00DF1496">
        <w:t xml:space="preserve"> </w:t>
      </w:r>
      <w:r w:rsidRPr="00DF1496">
        <w:rPr>
          <w:rFonts w:ascii="Times New Roman" w:hAnsi="Times New Roman" w:cs="Times New Roman"/>
          <w:sz w:val="24"/>
          <w:szCs w:val="24"/>
        </w:rPr>
        <w:t>zrezygnowano</w:t>
      </w:r>
      <w:r>
        <w:rPr>
          <w:rFonts w:ascii="Times New Roman" w:hAnsi="Times New Roman" w:cs="Times New Roman"/>
          <w:sz w:val="24"/>
          <w:szCs w:val="24"/>
        </w:rPr>
        <w:t xml:space="preserve"> ponadto</w:t>
      </w:r>
      <w:r w:rsidRPr="00DF1496">
        <w:rPr>
          <w:rFonts w:ascii="Times New Roman" w:hAnsi="Times New Roman" w:cs="Times New Roman"/>
          <w:sz w:val="24"/>
          <w:szCs w:val="24"/>
        </w:rPr>
        <w:t xml:space="preserve"> z pisemnego informowania kontrolowanego o skutkach odmowy podpisania protokołu gdyż informacja o skutkach odmowy podpisania protokołu, zgodnie z projektowanym art. 35a ust. 1 pkt 13 będzie zawarta w każdym protokole kontroli.</w:t>
      </w:r>
      <w:r>
        <w:rPr>
          <w:rFonts w:ascii="Times New Roman" w:hAnsi="Times New Roman" w:cs="Times New Roman"/>
          <w:sz w:val="24"/>
          <w:szCs w:val="24"/>
        </w:rPr>
        <w:t xml:space="preserve"> </w:t>
      </w:r>
    </w:p>
    <w:p w14:paraId="6D2586CB" w14:textId="77777777" w:rsidR="00FF35F4" w:rsidRDefault="00FF35F4" w:rsidP="00FF35F4">
      <w:pPr>
        <w:shd w:val="clear" w:color="auto" w:fill="FFFFFF" w:themeFill="background1"/>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Dodanie art. 36a ustawy o nadzorze nad rynkiem kapitałowym przewiduje ustanowienie możliwości nałożenia przez KNF sankcji administracyjnej na podmiot kontrolowany w wysokości do 20 000 000 zł. Środek ten ma na celu zapewnienie większej efektywności dokonywanych przez KNF kontroli i prawidłowości wykonywania przepisów w tym zakresie. </w:t>
      </w:r>
      <w:r w:rsidRPr="00DF1496">
        <w:rPr>
          <w:rFonts w:ascii="Times New Roman" w:hAnsi="Times New Roman" w:cs="Times New Roman"/>
          <w:sz w:val="24"/>
          <w:szCs w:val="24"/>
        </w:rPr>
        <w:t xml:space="preserve">Wysokość kary za utrudnienie wszczęcia lub przeprowadzenia kontroli jest skorelowana z możliwymi karami za naruszenie przepisów prawa regulujących działalność różnych podmiotów nadzorowanych w zakresie objętym zezwoleniami wydawanymi na podstawie ustawy o obrocie instrumentami </w:t>
      </w:r>
      <w:r w:rsidRPr="00DF1496">
        <w:rPr>
          <w:rFonts w:ascii="Times New Roman" w:hAnsi="Times New Roman" w:cs="Times New Roman"/>
          <w:sz w:val="24"/>
          <w:szCs w:val="24"/>
        </w:rPr>
        <w:lastRenderedPageBreak/>
        <w:t xml:space="preserve">finansowymi i ustawy o funduszach inwestycyjnych i zarządzaniu alternatywnymi funduszami inwestycyjnymi. Wysokość kar pieniężnych możliwych do nałożenia w drodze decyzji administracyjnych jest określona kwotowo lub stosunkowo i w związku z tym, możliwe jest wymierzenie kar, których górna granica jest zbliżona lub kilkakrotnie przekracza wysokość kary zaproponowanej w przepisie art. 36a ustawy o nadzorze nad rynkiem kapitałowym. Podniesienie wysokości maksymalnej tej kary jest więc uzasadnione tym, że adekwatnie do zagrożenia karą za naruszenie przepisów prawa przez podmiot nadzorowany powinno być ustalone zagrożenie za utrudnianie Komisji ustalenie tych naruszeń w drodze kontroli. Ma to tym większe znaczenie, że usługi związane z obrotem instrumentami finansowymi lub zarządzaniem funduszami inwestycyjnymi, podlegają digitalizacji i informatyzacji, co powoduje, że wzrastają możliwości utrudniania kontroli, która poza tym jednym zagrożeniem sankcją nie dysponuje innymi środkami karnymi z uwagi na specyfikę tego trybu nie podlegającego przepisom </w:t>
      </w:r>
      <w:r>
        <w:rPr>
          <w:rFonts w:ascii="Times New Roman" w:hAnsi="Times New Roman" w:cs="Times New Roman"/>
          <w:sz w:val="24"/>
          <w:szCs w:val="24"/>
        </w:rPr>
        <w:t>k.p.a</w:t>
      </w:r>
      <w:r w:rsidRPr="00DF1496">
        <w:rPr>
          <w:rFonts w:ascii="Times New Roman" w:hAnsi="Times New Roman" w:cs="Times New Roman"/>
          <w:sz w:val="24"/>
          <w:szCs w:val="24"/>
        </w:rPr>
        <w:t xml:space="preserve"> (np. składanie w kontroli nieprawdziwych wyjaśnień czy danych nie skutkuje odpowiedzialnością karną za składanie fałszywych zeznań). Projektowany przepis art. 36a ustawy o nadzorze nad rynkiem kapitałowym zakładający sankcję finansową nakładaną na podmiot nadzorowany w razie utrudniania lub uniemożliwiania kontroli będzie stanowić uzupełnienie obowiązującego już w ustawie o nadzorze nad rynkiem kapitałowym art. 46, który nakłada odpowiedzialność karną za utrudniania lub udaremnianie kontroli na sprawców – osoby fizyczne dopuszczają</w:t>
      </w:r>
      <w:r>
        <w:rPr>
          <w:rFonts w:ascii="Times New Roman" w:hAnsi="Times New Roman" w:cs="Times New Roman"/>
          <w:sz w:val="24"/>
          <w:szCs w:val="24"/>
        </w:rPr>
        <w:t xml:space="preserve">ce się penalizowanych zachowań. </w:t>
      </w:r>
      <w:r w:rsidRPr="00DF1496">
        <w:rPr>
          <w:rFonts w:ascii="Times New Roman" w:hAnsi="Times New Roman" w:cs="Times New Roman"/>
          <w:sz w:val="24"/>
          <w:szCs w:val="24"/>
        </w:rPr>
        <w:t xml:space="preserve">Wysokość kary przewidzianej w projektowanym </w:t>
      </w:r>
      <w:r w:rsidRPr="00DF1496">
        <w:rPr>
          <w:rFonts w:ascii="Times New Roman" w:hAnsi="Times New Roman" w:cs="Times New Roman"/>
          <w:sz w:val="24"/>
          <w:szCs w:val="24"/>
        </w:rPr>
        <w:lastRenderedPageBreak/>
        <w:t>art. 36a ustawy o nadzorze nad rynkiem kapitałowym ma na celu odstraszenie podmiotów nadzorowanych, w tym również ich akcjonariuszy i udziałowców od podejmowania działań lub zaniechań mających na celu obstrukcję kontroli prowadzonych na rynku kapitałowym oraz zapewnienie efektywnej współpracy w postępowaniu przez podmioty nadzorowane. Wprowadzenie sankcji administracyjnej za utrudnianie lub uniemożliwianie kontroli ujednolica ochronę postępowań kontrolnych prowadzonych przez różne organy państwa w sektorze prywatnym. Należy zwrócić uwagę, że sankcję taką przewiduje również art. 106 ust. 2 pkt 3 i 4 ustawy o ochronie konkurencji i konsumentów, gdzie wysokość kary pieniężnej ustalono na maksymalnym poziomie 50 mln euro, a więc znacząco wyższym niż w projektowanym art. 36a ustawy o nadzorze nad rynkiem kapitałowym. Z tego względu maksymalna wysokość kary przewidzianej dla podmiotów rynku kapitałowego w wysokości 20 mln zł nie jest wygórowana i adekwatna od możliwej szkodliwości sankcjonowanych zachowań, które utrudniając postępowania kontrole uniemożliwiają w konsekwencji sprawowanie nadzoru nad rynkiem kapitałowym i zapewnienie jego bezpieczeństwa i stabilności.</w:t>
      </w:r>
      <w:r>
        <w:rPr>
          <w:rFonts w:ascii="Times New Roman" w:hAnsi="Times New Roman" w:cs="Times New Roman"/>
          <w:sz w:val="24"/>
          <w:szCs w:val="24"/>
        </w:rPr>
        <w:t xml:space="preserve"> </w:t>
      </w:r>
      <w:r w:rsidRPr="00DF1496">
        <w:rPr>
          <w:rFonts w:ascii="Times New Roman" w:hAnsi="Times New Roman" w:cs="Times New Roman"/>
          <w:sz w:val="24"/>
          <w:szCs w:val="24"/>
        </w:rPr>
        <w:t>Jednocześnie należy zwrócić uwagę, że postępowanie w sprawie wymierzenia kary za utrudnianie lub uniemożliwianie kontroli będzie odbywać się na podstawie przepisów kodeksu postępowania administracyjnego. W postępowaniu tym będą więc miały zastosowanie ogólne dyrektywy wymiaru kary administracyjnej przewidziane w art. 189a i następne k</w:t>
      </w:r>
      <w:r>
        <w:rPr>
          <w:rFonts w:ascii="Times New Roman" w:hAnsi="Times New Roman" w:cs="Times New Roman"/>
          <w:sz w:val="24"/>
          <w:szCs w:val="24"/>
        </w:rPr>
        <w:t>.</w:t>
      </w:r>
      <w:r w:rsidRPr="00DF1496">
        <w:rPr>
          <w:rFonts w:ascii="Times New Roman" w:hAnsi="Times New Roman" w:cs="Times New Roman"/>
          <w:sz w:val="24"/>
          <w:szCs w:val="24"/>
        </w:rPr>
        <w:t>p</w:t>
      </w:r>
      <w:r>
        <w:rPr>
          <w:rFonts w:ascii="Times New Roman" w:hAnsi="Times New Roman" w:cs="Times New Roman"/>
          <w:sz w:val="24"/>
          <w:szCs w:val="24"/>
        </w:rPr>
        <w:t>.</w:t>
      </w:r>
      <w:r w:rsidRPr="00DF1496">
        <w:rPr>
          <w:rFonts w:ascii="Times New Roman" w:hAnsi="Times New Roman" w:cs="Times New Roman"/>
          <w:sz w:val="24"/>
          <w:szCs w:val="24"/>
        </w:rPr>
        <w:t>a</w:t>
      </w:r>
      <w:r>
        <w:rPr>
          <w:rFonts w:ascii="Times New Roman" w:hAnsi="Times New Roman" w:cs="Times New Roman"/>
          <w:sz w:val="24"/>
          <w:szCs w:val="24"/>
        </w:rPr>
        <w:t>.</w:t>
      </w:r>
      <w:r w:rsidRPr="00DF1496">
        <w:rPr>
          <w:rFonts w:ascii="Times New Roman" w:hAnsi="Times New Roman" w:cs="Times New Roman"/>
          <w:sz w:val="24"/>
          <w:szCs w:val="24"/>
        </w:rPr>
        <w:t>, pozwalające na miarkowanie wysokości kary i dostosowanie jej do wagi naruszonych obowiązków prawnych.</w:t>
      </w:r>
    </w:p>
    <w:p w14:paraId="53B10711" w14:textId="77777777" w:rsidR="00FF35F4" w:rsidRPr="006B2CD4" w:rsidRDefault="00FF35F4" w:rsidP="00FF35F4">
      <w:pPr>
        <w:shd w:val="clear" w:color="auto" w:fill="FFFFFF" w:themeFill="background1"/>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 art. 37 konieczne jest uwzględnienie dodania do art. 5 ustawy o nadzorze nad rynkiem kapitałowym pkt 25, co z kolei wynika z rozszerzenia jednolitej licencji bankowej na banki państwowe. </w:t>
      </w:r>
    </w:p>
    <w:p w14:paraId="4968F19D" w14:textId="77777777" w:rsidR="00FF35F4" w:rsidRDefault="00FF35F4" w:rsidP="00FF35F4">
      <w:pPr>
        <w:shd w:val="clear" w:color="auto" w:fill="FFFFFF" w:themeFill="background1"/>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Modyfikacja i rozszerzenie w art. 39 ustawy o nadzorze and rynkiem kapitałowym sposobu dokonania blokady rachunku poprzez zastąpienie równoczesnego przekazania zawiadomienia o podejrzeniu popełnienia przestępstwa na rzecz niezwłocznego przekazania zawiadomienia po przekazaniu żądania dokonania blokady rachunku ma natomiast na celu zapewnienie spójności tej instytucji z obecnie obowiązującym porządkiem prawnym – analogiczne rozwiązania przewidziane są dla Generalnego Inspektora Informacji Finansowej w art. 86 ust. 8 ustawy o przeciwdziałaniu praniu pieniędzy i finansowaniu terroryzmu.</w:t>
      </w:r>
    </w:p>
    <w:p w14:paraId="5A09F717" w14:textId="77777777" w:rsidR="00FF35F4" w:rsidRDefault="00FF35F4" w:rsidP="00FF35F4">
      <w:pPr>
        <w:shd w:val="clear" w:color="auto" w:fill="FFFFFF" w:themeFill="background1"/>
        <w:spacing w:after="120" w:line="360" w:lineRule="auto"/>
        <w:jc w:val="both"/>
        <w:rPr>
          <w:rFonts w:ascii="Times New Roman" w:hAnsi="Times New Roman" w:cs="Times New Roman"/>
          <w:sz w:val="24"/>
          <w:szCs w:val="24"/>
        </w:rPr>
      </w:pPr>
      <w:r>
        <w:rPr>
          <w:rFonts w:ascii="Times New Roman" w:hAnsi="Times New Roman" w:cs="Times New Roman"/>
          <w:sz w:val="24"/>
          <w:szCs w:val="24"/>
        </w:rPr>
        <w:t>Zmiana wprowadzenia do wyliczenia zawarta w art. 42 ust. 1 ma charakter doprecyzowujący związany z przyznaniem możliwości do wykorzystywania w toku prowadzonych czynności nadzorczych środków porozumiewania się na odległość. Przekazywanie żądania dokonania blokady rachunku przez firmę inwestycyjną także w innej formie, niż pisemna przyczyni się do zwiększenia bezpieczeństwa obrotu i ochrony inwestorów na rynku, albowiem czynność ta, z uwagi na duże znaczenie dla zapewnienia wskazanych przesłanek będzie mogła być dokonywana szybciej i skuteczniej.</w:t>
      </w:r>
    </w:p>
    <w:p w14:paraId="2EF76E85" w14:textId="3233924D" w:rsidR="00D725A3" w:rsidRDefault="001665D0" w:rsidP="00B856D8">
      <w:pPr>
        <w:shd w:val="clear" w:color="auto" w:fill="FFFFFF" w:themeFill="background1"/>
        <w:spacing w:before="120" w:after="120" w:line="360" w:lineRule="auto"/>
        <w:jc w:val="both"/>
        <w:rPr>
          <w:rFonts w:ascii="Times New Roman" w:hAnsi="Times New Roman" w:cs="Times New Roman"/>
          <w:b/>
          <w:bCs/>
          <w:sz w:val="24"/>
          <w:szCs w:val="24"/>
        </w:rPr>
      </w:pPr>
      <w:r w:rsidRPr="006B2CD4">
        <w:rPr>
          <w:rFonts w:ascii="Times New Roman" w:hAnsi="Times New Roman" w:cs="Times New Roman"/>
          <w:b/>
          <w:bCs/>
          <w:sz w:val="24"/>
          <w:szCs w:val="24"/>
        </w:rPr>
        <w:t>Art. 1</w:t>
      </w:r>
      <w:r w:rsidR="00FF35F4">
        <w:rPr>
          <w:rFonts w:ascii="Times New Roman" w:hAnsi="Times New Roman" w:cs="Times New Roman"/>
          <w:b/>
          <w:bCs/>
          <w:sz w:val="24"/>
          <w:szCs w:val="24"/>
        </w:rPr>
        <w:t>6</w:t>
      </w:r>
      <w:r w:rsidRPr="006B2CD4">
        <w:rPr>
          <w:rFonts w:ascii="Times New Roman" w:hAnsi="Times New Roman" w:cs="Times New Roman"/>
          <w:b/>
          <w:bCs/>
          <w:sz w:val="24"/>
          <w:szCs w:val="24"/>
        </w:rPr>
        <w:t xml:space="preserve">. </w:t>
      </w:r>
      <w:r w:rsidR="008C2E1F" w:rsidRPr="006B2CD4">
        <w:rPr>
          <w:rFonts w:ascii="Times New Roman" w:hAnsi="Times New Roman" w:cs="Times New Roman"/>
          <w:b/>
          <w:bCs/>
          <w:sz w:val="24"/>
          <w:szCs w:val="24"/>
        </w:rPr>
        <w:t xml:space="preserve">Zmiany w ustawie </w:t>
      </w:r>
      <w:r w:rsidR="005902E8" w:rsidRPr="006B2CD4">
        <w:rPr>
          <w:rFonts w:ascii="Times New Roman" w:hAnsi="Times New Roman" w:cs="Times New Roman"/>
          <w:b/>
          <w:bCs/>
          <w:sz w:val="24"/>
          <w:szCs w:val="24"/>
        </w:rPr>
        <w:t>o obrocie</w:t>
      </w:r>
    </w:p>
    <w:p w14:paraId="5135DF9B" w14:textId="79E5D440" w:rsidR="00AA7CA2" w:rsidRDefault="00F16F59" w:rsidP="00AA7CA2">
      <w:pPr>
        <w:shd w:val="clear" w:color="auto" w:fill="FFFFFF" w:themeFill="background1"/>
        <w:spacing w:after="120" w:line="360" w:lineRule="auto"/>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Zmiana </w:t>
      </w:r>
      <w:r w:rsidR="00AA7CA2">
        <w:rPr>
          <w:rFonts w:ascii="Times New Roman" w:hAnsi="Times New Roman" w:cs="Times New Roman"/>
          <w:bCs/>
          <w:iCs/>
          <w:sz w:val="24"/>
          <w:szCs w:val="24"/>
        </w:rPr>
        <w:t xml:space="preserve">art. 3 </w:t>
      </w:r>
      <w:r w:rsidR="007109AB">
        <w:rPr>
          <w:rFonts w:ascii="Times New Roman" w:hAnsi="Times New Roman" w:cs="Times New Roman"/>
          <w:bCs/>
          <w:iCs/>
          <w:sz w:val="24"/>
          <w:szCs w:val="24"/>
        </w:rPr>
        <w:t xml:space="preserve">pkt </w:t>
      </w:r>
      <w:r w:rsidR="009F38C4">
        <w:rPr>
          <w:rFonts w:ascii="Times New Roman" w:hAnsi="Times New Roman" w:cs="Times New Roman"/>
          <w:bCs/>
          <w:iCs/>
          <w:sz w:val="24"/>
          <w:szCs w:val="24"/>
        </w:rPr>
        <w:t xml:space="preserve">1 lit. a </w:t>
      </w:r>
      <w:r w:rsidR="007109AB">
        <w:rPr>
          <w:rFonts w:ascii="Times New Roman" w:hAnsi="Times New Roman" w:cs="Times New Roman"/>
          <w:bCs/>
          <w:iCs/>
          <w:sz w:val="24"/>
          <w:szCs w:val="24"/>
        </w:rPr>
        <w:t xml:space="preserve">wynika z </w:t>
      </w:r>
      <w:r w:rsidR="00AA7CA2">
        <w:rPr>
          <w:rFonts w:ascii="Times New Roman" w:hAnsi="Times New Roman" w:cs="Times New Roman"/>
          <w:bCs/>
          <w:iCs/>
          <w:sz w:val="24"/>
          <w:szCs w:val="24"/>
        </w:rPr>
        <w:t>dodani</w:t>
      </w:r>
      <w:r w:rsidR="007109AB">
        <w:rPr>
          <w:rFonts w:ascii="Times New Roman" w:hAnsi="Times New Roman" w:cs="Times New Roman"/>
          <w:bCs/>
          <w:iCs/>
          <w:sz w:val="24"/>
          <w:szCs w:val="24"/>
        </w:rPr>
        <w:t>a</w:t>
      </w:r>
      <w:r w:rsidR="00AA7CA2">
        <w:rPr>
          <w:rFonts w:ascii="Times New Roman" w:hAnsi="Times New Roman" w:cs="Times New Roman"/>
          <w:bCs/>
          <w:iCs/>
          <w:sz w:val="24"/>
          <w:szCs w:val="24"/>
        </w:rPr>
        <w:t xml:space="preserve"> przepisów rozdziału 6b </w:t>
      </w:r>
      <w:r w:rsidR="007109AB">
        <w:rPr>
          <w:rFonts w:ascii="Times New Roman" w:hAnsi="Times New Roman" w:cs="Times New Roman"/>
          <w:bCs/>
          <w:iCs/>
          <w:sz w:val="24"/>
          <w:szCs w:val="24"/>
        </w:rPr>
        <w:t xml:space="preserve">w ustawie – </w:t>
      </w:r>
      <w:r w:rsidR="00AA7CA2">
        <w:rPr>
          <w:rFonts w:ascii="Times New Roman" w:hAnsi="Times New Roman" w:cs="Times New Roman"/>
          <w:bCs/>
          <w:iCs/>
          <w:sz w:val="24"/>
          <w:szCs w:val="24"/>
        </w:rPr>
        <w:t>Praw</w:t>
      </w:r>
      <w:r w:rsidR="007109AB">
        <w:rPr>
          <w:rFonts w:ascii="Times New Roman" w:hAnsi="Times New Roman" w:cs="Times New Roman"/>
          <w:bCs/>
          <w:iCs/>
          <w:sz w:val="24"/>
          <w:szCs w:val="24"/>
        </w:rPr>
        <w:t>o</w:t>
      </w:r>
      <w:r w:rsidR="00AA7CA2">
        <w:rPr>
          <w:rFonts w:ascii="Times New Roman" w:hAnsi="Times New Roman" w:cs="Times New Roman"/>
          <w:bCs/>
          <w:iCs/>
          <w:sz w:val="24"/>
          <w:szCs w:val="24"/>
        </w:rPr>
        <w:t xml:space="preserve"> bankowego.</w:t>
      </w:r>
      <w:r w:rsidR="007C389F">
        <w:rPr>
          <w:rFonts w:ascii="Times New Roman" w:hAnsi="Times New Roman" w:cs="Times New Roman"/>
          <w:bCs/>
          <w:iCs/>
          <w:sz w:val="24"/>
          <w:szCs w:val="24"/>
        </w:rPr>
        <w:t xml:space="preserve"> </w:t>
      </w:r>
      <w:r w:rsidR="007109AB">
        <w:rPr>
          <w:rFonts w:ascii="Times New Roman" w:hAnsi="Times New Roman" w:cs="Times New Roman"/>
          <w:bCs/>
          <w:iCs/>
          <w:sz w:val="24"/>
          <w:szCs w:val="24"/>
        </w:rPr>
        <w:t>Przepis art. 3a pkt 1 lit. a zostanie uzupełniony o bankowe instrumenty pochodne, tak aby odzwierciedlić je w definicji papierów wartościowych.</w:t>
      </w:r>
    </w:p>
    <w:p w14:paraId="4AE87EAC" w14:textId="5C9F449E" w:rsidR="00FB243A" w:rsidRDefault="00FB243A" w:rsidP="00AB79BE">
      <w:pPr>
        <w:shd w:val="clear" w:color="auto" w:fill="FFFFFF" w:themeFill="background1"/>
        <w:spacing w:after="0" w:line="360" w:lineRule="auto"/>
        <w:jc w:val="both"/>
        <w:rPr>
          <w:rFonts w:ascii="Times New Roman" w:hAnsi="Times New Roman" w:cs="Times New Roman"/>
          <w:bCs/>
          <w:iCs/>
          <w:sz w:val="24"/>
          <w:szCs w:val="24"/>
        </w:rPr>
      </w:pPr>
      <w:r>
        <w:rPr>
          <w:rFonts w:ascii="Times New Roman" w:hAnsi="Times New Roman" w:cs="Times New Roman"/>
          <w:bCs/>
          <w:iCs/>
          <w:sz w:val="24"/>
          <w:szCs w:val="24"/>
        </w:rPr>
        <w:t>W art. 3 pkt 2, 4ze i 9ab</w:t>
      </w:r>
      <w:r w:rsidR="00AB79BE">
        <w:rPr>
          <w:rFonts w:ascii="Times New Roman" w:hAnsi="Times New Roman" w:cs="Times New Roman"/>
          <w:sz w:val="24"/>
          <w:szCs w:val="24"/>
        </w:rPr>
        <w:t>‒</w:t>
      </w:r>
      <w:r>
        <w:rPr>
          <w:rFonts w:ascii="Times New Roman" w:hAnsi="Times New Roman" w:cs="Times New Roman"/>
          <w:bCs/>
          <w:iCs/>
          <w:sz w:val="24"/>
          <w:szCs w:val="24"/>
        </w:rPr>
        <w:t>9ad dokonuje się:</w:t>
      </w:r>
    </w:p>
    <w:p w14:paraId="4EADF3C2" w14:textId="5A5E7233" w:rsidR="00FB243A" w:rsidRDefault="00FB243A" w:rsidP="00AB79BE">
      <w:pPr>
        <w:pStyle w:val="Akapitzlist"/>
        <w:numPr>
          <w:ilvl w:val="0"/>
          <w:numId w:val="21"/>
        </w:numPr>
        <w:shd w:val="clear" w:color="auto" w:fill="FFFFFF" w:themeFill="background1"/>
        <w:spacing w:after="0" w:line="360" w:lineRule="auto"/>
        <w:ind w:left="360"/>
        <w:jc w:val="both"/>
        <w:rPr>
          <w:rFonts w:ascii="Times New Roman" w:hAnsi="Times New Roman" w:cs="Times New Roman"/>
          <w:bCs/>
          <w:iCs/>
          <w:sz w:val="24"/>
          <w:szCs w:val="24"/>
        </w:rPr>
      </w:pPr>
      <w:r w:rsidRPr="00FB243A">
        <w:rPr>
          <w:rFonts w:ascii="Times New Roman" w:hAnsi="Times New Roman" w:cs="Times New Roman"/>
          <w:bCs/>
          <w:iCs/>
          <w:sz w:val="24"/>
          <w:szCs w:val="24"/>
        </w:rPr>
        <w:t>rozszerzenia definicji ASO</w:t>
      </w:r>
      <w:r w:rsidR="00AB79BE">
        <w:rPr>
          <w:rFonts w:ascii="Times New Roman" w:hAnsi="Times New Roman" w:cs="Times New Roman"/>
          <w:bCs/>
          <w:iCs/>
          <w:sz w:val="24"/>
          <w:szCs w:val="24"/>
        </w:rPr>
        <w:t xml:space="preserve">; </w:t>
      </w:r>
      <w:r>
        <w:rPr>
          <w:rFonts w:ascii="Times New Roman" w:hAnsi="Times New Roman" w:cs="Times New Roman"/>
          <w:bCs/>
          <w:iCs/>
          <w:sz w:val="24"/>
          <w:szCs w:val="24"/>
        </w:rPr>
        <w:t>z</w:t>
      </w:r>
      <w:r w:rsidR="00AB79BE">
        <w:rPr>
          <w:rFonts w:ascii="Times New Roman" w:hAnsi="Times New Roman" w:cs="Times New Roman"/>
          <w:bCs/>
          <w:iCs/>
          <w:sz w:val="24"/>
          <w:szCs w:val="24"/>
        </w:rPr>
        <w:t xml:space="preserve"> uwagi na to, </w:t>
      </w:r>
      <w:r w:rsidRPr="00BC7774">
        <w:rPr>
          <w:rFonts w:ascii="Times New Roman" w:hAnsi="Times New Roman" w:cs="Times New Roman"/>
          <w:bCs/>
          <w:iCs/>
          <w:sz w:val="24"/>
          <w:szCs w:val="24"/>
        </w:rPr>
        <w:t>ż</w:t>
      </w:r>
      <w:r w:rsidR="00AB79BE">
        <w:rPr>
          <w:rFonts w:ascii="Times New Roman" w:hAnsi="Times New Roman" w:cs="Times New Roman"/>
          <w:bCs/>
          <w:iCs/>
          <w:sz w:val="24"/>
          <w:szCs w:val="24"/>
        </w:rPr>
        <w:t>e</w:t>
      </w:r>
      <w:r w:rsidRPr="00BC7774">
        <w:rPr>
          <w:rFonts w:ascii="Times New Roman" w:hAnsi="Times New Roman" w:cs="Times New Roman"/>
          <w:bCs/>
          <w:iCs/>
          <w:sz w:val="24"/>
          <w:szCs w:val="24"/>
        </w:rPr>
        <w:t xml:space="preserve"> wielostronna platforma obrotu oparta na DLT (MTF DLT </w:t>
      </w:r>
      <w:r w:rsidRPr="00FB243A">
        <w:rPr>
          <w:rFonts w:ascii="Times New Roman" w:hAnsi="Times New Roman" w:cs="Times New Roman"/>
          <w:bCs/>
          <w:iCs/>
          <w:sz w:val="24"/>
          <w:szCs w:val="24"/>
        </w:rPr>
        <w:t>w rozumieniu rozporządzenia D</w:t>
      </w:r>
      <w:r>
        <w:rPr>
          <w:rFonts w:ascii="Times New Roman" w:hAnsi="Times New Roman" w:cs="Times New Roman"/>
          <w:bCs/>
          <w:iCs/>
          <w:sz w:val="24"/>
          <w:szCs w:val="24"/>
        </w:rPr>
        <w:t>LT Pilot Regime</w:t>
      </w:r>
      <w:r w:rsidRPr="00BC7774">
        <w:rPr>
          <w:rFonts w:ascii="Times New Roman" w:hAnsi="Times New Roman" w:cs="Times New Roman"/>
          <w:bCs/>
          <w:iCs/>
          <w:sz w:val="24"/>
          <w:szCs w:val="24"/>
        </w:rPr>
        <w:t>) jest wielostronną platformą obrotu w ro</w:t>
      </w:r>
      <w:r w:rsidRPr="00FB243A">
        <w:rPr>
          <w:rFonts w:ascii="Times New Roman" w:hAnsi="Times New Roman" w:cs="Times New Roman"/>
          <w:bCs/>
          <w:iCs/>
          <w:sz w:val="24"/>
          <w:szCs w:val="24"/>
        </w:rPr>
        <w:t xml:space="preserve">zumieniu dyrektywy </w:t>
      </w:r>
      <w:r>
        <w:rPr>
          <w:rFonts w:ascii="Times New Roman" w:hAnsi="Times New Roman" w:cs="Times New Roman"/>
          <w:bCs/>
          <w:iCs/>
          <w:sz w:val="24"/>
          <w:szCs w:val="24"/>
        </w:rPr>
        <w:t>MiFID II</w:t>
      </w:r>
      <w:r w:rsidRPr="00BC7774">
        <w:rPr>
          <w:rFonts w:ascii="Times New Roman" w:hAnsi="Times New Roman" w:cs="Times New Roman"/>
          <w:bCs/>
          <w:iCs/>
          <w:sz w:val="24"/>
          <w:szCs w:val="24"/>
        </w:rPr>
        <w:t>, a w polskich przepisach, co do zasady, wielostronna platforma obrotu została implementowana jako alte</w:t>
      </w:r>
      <w:r w:rsidR="00AB79BE">
        <w:rPr>
          <w:rFonts w:ascii="Times New Roman" w:hAnsi="Times New Roman" w:cs="Times New Roman"/>
          <w:bCs/>
          <w:iCs/>
          <w:sz w:val="24"/>
          <w:szCs w:val="24"/>
        </w:rPr>
        <w:t>rnatywny system obrotu (ASO)</w:t>
      </w:r>
      <w:r w:rsidR="007C389F">
        <w:rPr>
          <w:rFonts w:ascii="Times New Roman" w:hAnsi="Times New Roman" w:cs="Times New Roman"/>
          <w:bCs/>
          <w:iCs/>
          <w:sz w:val="24"/>
          <w:szCs w:val="24"/>
        </w:rPr>
        <w:t xml:space="preserve"> </w:t>
      </w:r>
      <w:r w:rsidRPr="00BC7774">
        <w:rPr>
          <w:rFonts w:ascii="Times New Roman" w:hAnsi="Times New Roman" w:cs="Times New Roman"/>
          <w:bCs/>
          <w:iCs/>
          <w:sz w:val="24"/>
          <w:szCs w:val="24"/>
        </w:rPr>
        <w:t xml:space="preserve">– w celu zachowania spójności krajowego ustawodawstwa – rozszerza się pojęcie ASO o wielostronną platformę obrotu opartą na DLT (ASO </w:t>
      </w:r>
      <w:r>
        <w:rPr>
          <w:rFonts w:ascii="Times New Roman" w:hAnsi="Times New Roman" w:cs="Times New Roman"/>
          <w:bCs/>
          <w:iCs/>
          <w:sz w:val="24"/>
          <w:szCs w:val="24"/>
        </w:rPr>
        <w:t xml:space="preserve">oparte na </w:t>
      </w:r>
      <w:r w:rsidRPr="00BC7774">
        <w:rPr>
          <w:rFonts w:ascii="Times New Roman" w:hAnsi="Times New Roman" w:cs="Times New Roman"/>
          <w:bCs/>
          <w:iCs/>
          <w:sz w:val="24"/>
          <w:szCs w:val="24"/>
        </w:rPr>
        <w:t>DLT)</w:t>
      </w:r>
      <w:r w:rsidR="009F38C4">
        <w:rPr>
          <w:rFonts w:ascii="Times New Roman" w:hAnsi="Times New Roman" w:cs="Times New Roman"/>
          <w:bCs/>
          <w:iCs/>
          <w:sz w:val="24"/>
          <w:szCs w:val="24"/>
        </w:rPr>
        <w:t>,</w:t>
      </w:r>
    </w:p>
    <w:p w14:paraId="0D729823" w14:textId="3195DE88" w:rsidR="00FB243A" w:rsidRPr="00AB79BE" w:rsidRDefault="00FB243A" w:rsidP="00AB79BE">
      <w:pPr>
        <w:pStyle w:val="Akapitzlist"/>
        <w:numPr>
          <w:ilvl w:val="0"/>
          <w:numId w:val="21"/>
        </w:numPr>
        <w:shd w:val="clear" w:color="auto" w:fill="FFFFFF" w:themeFill="background1"/>
        <w:spacing w:after="120" w:line="360" w:lineRule="auto"/>
        <w:ind w:left="360"/>
        <w:jc w:val="both"/>
        <w:rPr>
          <w:rFonts w:ascii="Times New Roman" w:hAnsi="Times New Roman" w:cs="Times New Roman"/>
          <w:bCs/>
          <w:iCs/>
          <w:sz w:val="24"/>
          <w:szCs w:val="24"/>
        </w:rPr>
      </w:pPr>
      <w:r w:rsidRPr="00BC7774">
        <w:rPr>
          <w:rFonts w:ascii="Times New Roman" w:hAnsi="Times New Roman" w:cs="Times New Roman"/>
          <w:bCs/>
          <w:iCs/>
          <w:sz w:val="24"/>
          <w:szCs w:val="24"/>
        </w:rPr>
        <w:t>dodania do słowniczka ustawowego skrótowe</w:t>
      </w:r>
      <w:r>
        <w:rPr>
          <w:rFonts w:ascii="Times New Roman" w:hAnsi="Times New Roman" w:cs="Times New Roman"/>
          <w:bCs/>
          <w:iCs/>
          <w:sz w:val="24"/>
          <w:szCs w:val="24"/>
        </w:rPr>
        <w:t>go</w:t>
      </w:r>
      <w:r w:rsidR="00AB79BE">
        <w:rPr>
          <w:rFonts w:ascii="Times New Roman" w:hAnsi="Times New Roman" w:cs="Times New Roman"/>
          <w:bCs/>
          <w:iCs/>
          <w:sz w:val="24"/>
          <w:szCs w:val="24"/>
        </w:rPr>
        <w:t xml:space="preserve"> oznaczenia</w:t>
      </w:r>
      <w:r w:rsidRPr="00FB243A">
        <w:rPr>
          <w:rFonts w:ascii="Times New Roman" w:hAnsi="Times New Roman" w:cs="Times New Roman"/>
          <w:bCs/>
          <w:iCs/>
          <w:sz w:val="24"/>
          <w:szCs w:val="24"/>
        </w:rPr>
        <w:t xml:space="preserve"> rozporządzenia D</w:t>
      </w:r>
      <w:r>
        <w:rPr>
          <w:rFonts w:ascii="Times New Roman" w:hAnsi="Times New Roman" w:cs="Times New Roman"/>
          <w:bCs/>
          <w:iCs/>
          <w:sz w:val="24"/>
          <w:szCs w:val="24"/>
        </w:rPr>
        <w:t xml:space="preserve">LT Pilot Regime </w:t>
      </w:r>
      <w:r w:rsidR="00AB79BE">
        <w:rPr>
          <w:rFonts w:ascii="Times New Roman" w:hAnsi="Times New Roman" w:cs="Times New Roman"/>
          <w:bCs/>
          <w:iCs/>
          <w:sz w:val="24"/>
          <w:szCs w:val="24"/>
        </w:rPr>
        <w:t>– rozporządzenia</w:t>
      </w:r>
      <w:r w:rsidRPr="00AB79BE">
        <w:rPr>
          <w:rFonts w:ascii="Times New Roman" w:hAnsi="Times New Roman" w:cs="Times New Roman"/>
          <w:bCs/>
          <w:iCs/>
          <w:sz w:val="24"/>
          <w:szCs w:val="24"/>
        </w:rPr>
        <w:t xml:space="preserve"> 2022/858</w:t>
      </w:r>
      <w:r w:rsidR="00AB79BE">
        <w:rPr>
          <w:rFonts w:ascii="Times New Roman" w:hAnsi="Times New Roman" w:cs="Times New Roman"/>
          <w:bCs/>
          <w:iCs/>
          <w:sz w:val="24"/>
          <w:szCs w:val="24"/>
        </w:rPr>
        <w:t xml:space="preserve"> – </w:t>
      </w:r>
      <w:r w:rsidRPr="00AB79BE">
        <w:rPr>
          <w:rFonts w:ascii="Times New Roman" w:hAnsi="Times New Roman" w:cs="Times New Roman"/>
          <w:bCs/>
          <w:iCs/>
          <w:sz w:val="24"/>
          <w:szCs w:val="24"/>
        </w:rPr>
        <w:t>dzięki czemu odwołania do tego aktu prawnego w dalszych przepisac</w:t>
      </w:r>
      <w:r w:rsidR="009F38C4">
        <w:rPr>
          <w:rFonts w:ascii="Times New Roman" w:hAnsi="Times New Roman" w:cs="Times New Roman"/>
          <w:bCs/>
          <w:iCs/>
          <w:sz w:val="24"/>
          <w:szCs w:val="24"/>
        </w:rPr>
        <w:t>h ustawy będą bardziej czytelne,</w:t>
      </w:r>
    </w:p>
    <w:p w14:paraId="6126564C" w14:textId="17BBBF3F" w:rsidR="00FB243A" w:rsidRDefault="00FB243A" w:rsidP="00AB79BE">
      <w:pPr>
        <w:pStyle w:val="Akapitzlist"/>
        <w:numPr>
          <w:ilvl w:val="0"/>
          <w:numId w:val="21"/>
        </w:numPr>
        <w:shd w:val="clear" w:color="auto" w:fill="FFFFFF" w:themeFill="background1"/>
        <w:spacing w:after="120" w:line="360" w:lineRule="auto"/>
        <w:ind w:left="360"/>
        <w:jc w:val="both"/>
        <w:rPr>
          <w:rFonts w:ascii="Times New Roman" w:hAnsi="Times New Roman" w:cs="Times New Roman"/>
          <w:bCs/>
          <w:iCs/>
          <w:sz w:val="24"/>
          <w:szCs w:val="24"/>
        </w:rPr>
      </w:pPr>
      <w:r w:rsidRPr="00BC7774">
        <w:rPr>
          <w:rFonts w:ascii="Times New Roman" w:hAnsi="Times New Roman" w:cs="Times New Roman"/>
          <w:bCs/>
          <w:iCs/>
          <w:sz w:val="24"/>
          <w:szCs w:val="24"/>
        </w:rPr>
        <w:t>dodanie do słowniczka ustawowego pojęcie wielostronnej platformy obrotu opartej na DLT. W tym zakresie ustawa odsyła do</w:t>
      </w:r>
      <w:r w:rsidRPr="00FB243A">
        <w:rPr>
          <w:rFonts w:ascii="Times New Roman" w:hAnsi="Times New Roman" w:cs="Times New Roman"/>
          <w:bCs/>
          <w:iCs/>
          <w:sz w:val="24"/>
          <w:szCs w:val="24"/>
        </w:rPr>
        <w:t xml:space="preserve"> definicji z rozporządzenia DL</w:t>
      </w:r>
      <w:r>
        <w:rPr>
          <w:rFonts w:ascii="Times New Roman" w:hAnsi="Times New Roman" w:cs="Times New Roman"/>
          <w:bCs/>
          <w:iCs/>
          <w:sz w:val="24"/>
          <w:szCs w:val="24"/>
        </w:rPr>
        <w:t>T Pilot Regime</w:t>
      </w:r>
      <w:r w:rsidR="009F38C4">
        <w:rPr>
          <w:rFonts w:ascii="Times New Roman" w:hAnsi="Times New Roman" w:cs="Times New Roman"/>
          <w:bCs/>
          <w:iCs/>
          <w:sz w:val="24"/>
          <w:szCs w:val="24"/>
        </w:rPr>
        <w:t>,</w:t>
      </w:r>
    </w:p>
    <w:p w14:paraId="609E93A7" w14:textId="7CAD1826" w:rsidR="00FB243A" w:rsidRDefault="00FB243A" w:rsidP="00AB79BE">
      <w:pPr>
        <w:pStyle w:val="Akapitzlist"/>
        <w:numPr>
          <w:ilvl w:val="0"/>
          <w:numId w:val="21"/>
        </w:numPr>
        <w:shd w:val="clear" w:color="auto" w:fill="FFFFFF" w:themeFill="background1"/>
        <w:spacing w:after="120" w:line="360" w:lineRule="auto"/>
        <w:ind w:left="360"/>
        <w:jc w:val="both"/>
        <w:rPr>
          <w:rFonts w:ascii="Times New Roman" w:hAnsi="Times New Roman" w:cs="Times New Roman"/>
          <w:bCs/>
          <w:iCs/>
          <w:sz w:val="24"/>
          <w:szCs w:val="24"/>
        </w:rPr>
      </w:pPr>
      <w:r w:rsidRPr="00BC7774">
        <w:rPr>
          <w:rFonts w:ascii="Times New Roman" w:hAnsi="Times New Roman" w:cs="Times New Roman"/>
          <w:bCs/>
          <w:iCs/>
          <w:sz w:val="24"/>
          <w:szCs w:val="24"/>
        </w:rPr>
        <w:t>dodanie do słowniczka ustawowego pojęcie systemu rozrachunku opartego na DLT. W tym zakresie ustawa odsyła do</w:t>
      </w:r>
      <w:r w:rsidRPr="00FB243A">
        <w:rPr>
          <w:rFonts w:ascii="Times New Roman" w:hAnsi="Times New Roman" w:cs="Times New Roman"/>
          <w:bCs/>
          <w:iCs/>
          <w:sz w:val="24"/>
          <w:szCs w:val="24"/>
        </w:rPr>
        <w:t xml:space="preserve"> definicji z rozporządzenia DLT </w:t>
      </w:r>
      <w:r>
        <w:rPr>
          <w:rFonts w:ascii="Times New Roman" w:hAnsi="Times New Roman" w:cs="Times New Roman"/>
          <w:bCs/>
          <w:iCs/>
          <w:sz w:val="24"/>
          <w:szCs w:val="24"/>
        </w:rPr>
        <w:t>Pilot Regime</w:t>
      </w:r>
      <w:r w:rsidR="009F38C4">
        <w:rPr>
          <w:rFonts w:ascii="Times New Roman" w:hAnsi="Times New Roman" w:cs="Times New Roman"/>
          <w:bCs/>
          <w:iCs/>
          <w:sz w:val="24"/>
          <w:szCs w:val="24"/>
        </w:rPr>
        <w:t>,</w:t>
      </w:r>
    </w:p>
    <w:p w14:paraId="4AA75CDC" w14:textId="17846EBB" w:rsidR="00FB243A" w:rsidRPr="00BC7774" w:rsidRDefault="00FB243A" w:rsidP="00AB79BE">
      <w:pPr>
        <w:pStyle w:val="Akapitzlist"/>
        <w:numPr>
          <w:ilvl w:val="0"/>
          <w:numId w:val="21"/>
        </w:numPr>
        <w:shd w:val="clear" w:color="auto" w:fill="FFFFFF" w:themeFill="background1"/>
        <w:spacing w:after="120" w:line="360" w:lineRule="auto"/>
        <w:ind w:left="360"/>
        <w:jc w:val="both"/>
        <w:rPr>
          <w:rFonts w:ascii="Times New Roman" w:hAnsi="Times New Roman" w:cs="Times New Roman"/>
          <w:bCs/>
          <w:iCs/>
          <w:sz w:val="24"/>
          <w:szCs w:val="24"/>
        </w:rPr>
      </w:pPr>
      <w:r w:rsidRPr="00BC7774">
        <w:rPr>
          <w:rFonts w:ascii="Times New Roman" w:hAnsi="Times New Roman" w:cs="Times New Roman"/>
          <w:bCs/>
          <w:iCs/>
          <w:sz w:val="24"/>
          <w:szCs w:val="24"/>
        </w:rPr>
        <w:t>dodanie do słowniczka ustawowego pojęcie systemu obrotu i rozrachunku opartego na DLT. W tym zakresie ustawa odsyła do definicji z rozporządzenia D</w:t>
      </w:r>
      <w:r>
        <w:rPr>
          <w:rFonts w:ascii="Times New Roman" w:hAnsi="Times New Roman" w:cs="Times New Roman"/>
          <w:bCs/>
          <w:iCs/>
          <w:sz w:val="24"/>
          <w:szCs w:val="24"/>
        </w:rPr>
        <w:t>L</w:t>
      </w:r>
      <w:r w:rsidRPr="00BC7774">
        <w:rPr>
          <w:rFonts w:ascii="Times New Roman" w:hAnsi="Times New Roman" w:cs="Times New Roman"/>
          <w:bCs/>
          <w:iCs/>
          <w:sz w:val="24"/>
          <w:szCs w:val="24"/>
        </w:rPr>
        <w:t>T</w:t>
      </w:r>
      <w:r>
        <w:rPr>
          <w:rFonts w:ascii="Times New Roman" w:hAnsi="Times New Roman" w:cs="Times New Roman"/>
          <w:bCs/>
          <w:iCs/>
          <w:sz w:val="24"/>
          <w:szCs w:val="24"/>
        </w:rPr>
        <w:t xml:space="preserve"> Pilot </w:t>
      </w:r>
      <w:r w:rsidRPr="00BC7774">
        <w:rPr>
          <w:rFonts w:ascii="Times New Roman" w:hAnsi="Times New Roman" w:cs="Times New Roman"/>
          <w:bCs/>
          <w:iCs/>
          <w:sz w:val="24"/>
          <w:szCs w:val="24"/>
        </w:rPr>
        <w:t>R</w:t>
      </w:r>
      <w:r>
        <w:rPr>
          <w:rFonts w:ascii="Times New Roman" w:hAnsi="Times New Roman" w:cs="Times New Roman"/>
          <w:bCs/>
          <w:iCs/>
          <w:sz w:val="24"/>
          <w:szCs w:val="24"/>
        </w:rPr>
        <w:t>egime</w:t>
      </w:r>
      <w:r w:rsidRPr="00BC7774">
        <w:rPr>
          <w:rFonts w:ascii="Times New Roman" w:hAnsi="Times New Roman" w:cs="Times New Roman"/>
          <w:bCs/>
          <w:iCs/>
          <w:sz w:val="24"/>
          <w:szCs w:val="24"/>
        </w:rPr>
        <w:t xml:space="preserve">. W </w:t>
      </w:r>
      <w:r w:rsidRPr="00BC7774">
        <w:rPr>
          <w:rFonts w:ascii="Times New Roman" w:hAnsi="Times New Roman" w:cs="Times New Roman"/>
          <w:bCs/>
          <w:iCs/>
          <w:sz w:val="24"/>
          <w:szCs w:val="24"/>
        </w:rPr>
        <w:lastRenderedPageBreak/>
        <w:t>celu uniknięcia wątpliwości co do statusu operatora TSS</w:t>
      </w:r>
      <w:r>
        <w:rPr>
          <w:rFonts w:ascii="Times New Roman" w:hAnsi="Times New Roman" w:cs="Times New Roman"/>
          <w:bCs/>
          <w:iCs/>
          <w:sz w:val="24"/>
          <w:szCs w:val="24"/>
        </w:rPr>
        <w:t xml:space="preserve"> opartego na</w:t>
      </w:r>
      <w:r w:rsidRPr="00BC7774">
        <w:rPr>
          <w:rFonts w:ascii="Times New Roman" w:hAnsi="Times New Roman" w:cs="Times New Roman"/>
          <w:bCs/>
          <w:iCs/>
          <w:sz w:val="24"/>
          <w:szCs w:val="24"/>
        </w:rPr>
        <w:t xml:space="preserve"> DLT przepis przesądza, że w zakresie działalności, która polega na prowadzeniu alternatywnego systemu obrotu (ASO </w:t>
      </w:r>
      <w:r>
        <w:rPr>
          <w:rFonts w:ascii="Times New Roman" w:hAnsi="Times New Roman" w:cs="Times New Roman"/>
          <w:bCs/>
          <w:iCs/>
          <w:sz w:val="24"/>
          <w:szCs w:val="24"/>
        </w:rPr>
        <w:t xml:space="preserve">opartego na </w:t>
      </w:r>
      <w:r w:rsidRPr="00BC7774">
        <w:rPr>
          <w:rFonts w:ascii="Times New Roman" w:hAnsi="Times New Roman" w:cs="Times New Roman"/>
          <w:bCs/>
          <w:iCs/>
          <w:sz w:val="24"/>
          <w:szCs w:val="24"/>
        </w:rPr>
        <w:t>DLT), operator TSS</w:t>
      </w:r>
      <w:r>
        <w:rPr>
          <w:rFonts w:ascii="Times New Roman" w:hAnsi="Times New Roman" w:cs="Times New Roman"/>
          <w:bCs/>
          <w:iCs/>
          <w:sz w:val="24"/>
          <w:szCs w:val="24"/>
        </w:rPr>
        <w:t xml:space="preserve"> opartego na</w:t>
      </w:r>
      <w:r w:rsidRPr="00BC7774">
        <w:rPr>
          <w:rFonts w:ascii="Times New Roman" w:hAnsi="Times New Roman" w:cs="Times New Roman"/>
          <w:bCs/>
          <w:iCs/>
          <w:sz w:val="24"/>
          <w:szCs w:val="24"/>
        </w:rPr>
        <w:t xml:space="preserve"> DLT zgodnie z otrzymanym zezwoleniem jest uważany za właściwą firmę inwestycyjną lub spółkę prowadzącą rynek regulowany. W zakresie działalności polegającej na prowadzeniu SS</w:t>
      </w:r>
      <w:r>
        <w:rPr>
          <w:rFonts w:ascii="Times New Roman" w:hAnsi="Times New Roman" w:cs="Times New Roman"/>
          <w:bCs/>
          <w:iCs/>
          <w:sz w:val="24"/>
          <w:szCs w:val="24"/>
        </w:rPr>
        <w:t xml:space="preserve"> opartego na</w:t>
      </w:r>
      <w:r w:rsidRPr="00BC7774">
        <w:rPr>
          <w:rFonts w:ascii="Times New Roman" w:hAnsi="Times New Roman" w:cs="Times New Roman"/>
          <w:bCs/>
          <w:iCs/>
          <w:sz w:val="24"/>
          <w:szCs w:val="24"/>
        </w:rPr>
        <w:t xml:space="preserve"> DLT operator TSS</w:t>
      </w:r>
      <w:r>
        <w:rPr>
          <w:rFonts w:ascii="Times New Roman" w:hAnsi="Times New Roman" w:cs="Times New Roman"/>
          <w:bCs/>
          <w:iCs/>
          <w:sz w:val="24"/>
          <w:szCs w:val="24"/>
        </w:rPr>
        <w:t xml:space="preserve"> opartego na</w:t>
      </w:r>
      <w:r w:rsidRPr="00BC7774">
        <w:rPr>
          <w:rFonts w:ascii="Times New Roman" w:hAnsi="Times New Roman" w:cs="Times New Roman"/>
          <w:bCs/>
          <w:iCs/>
          <w:sz w:val="24"/>
          <w:szCs w:val="24"/>
        </w:rPr>
        <w:t xml:space="preserve"> DLT (inny niż </w:t>
      </w:r>
      <w:r w:rsidR="004E4903" w:rsidRPr="006B2CD4">
        <w:rPr>
          <w:rFonts w:ascii="Times New Roman" w:hAnsi="Times New Roman" w:cs="Times New Roman"/>
          <w:bCs/>
          <w:iCs/>
          <w:sz w:val="24"/>
          <w:szCs w:val="24"/>
        </w:rPr>
        <w:t>Krajowy Depozy</w:t>
      </w:r>
      <w:r w:rsidR="004E4903">
        <w:rPr>
          <w:rFonts w:ascii="Times New Roman" w:hAnsi="Times New Roman" w:cs="Times New Roman"/>
          <w:bCs/>
          <w:iCs/>
          <w:sz w:val="24"/>
          <w:szCs w:val="24"/>
        </w:rPr>
        <w:t xml:space="preserve">t </w:t>
      </w:r>
      <w:r w:rsidR="004E4903" w:rsidRPr="006B2CD4">
        <w:rPr>
          <w:rFonts w:ascii="Times New Roman" w:hAnsi="Times New Roman" w:cs="Times New Roman"/>
          <w:bCs/>
          <w:iCs/>
          <w:sz w:val="24"/>
          <w:szCs w:val="24"/>
        </w:rPr>
        <w:t xml:space="preserve">Papierów Wartościowych </w:t>
      </w:r>
      <w:r w:rsidR="004E4903">
        <w:rPr>
          <w:rFonts w:ascii="Times New Roman" w:hAnsi="Times New Roman" w:cs="Times New Roman"/>
          <w:bCs/>
          <w:iCs/>
          <w:sz w:val="24"/>
          <w:szCs w:val="24"/>
        </w:rPr>
        <w:t>SA (</w:t>
      </w:r>
      <w:r w:rsidRPr="00BC7774">
        <w:rPr>
          <w:rFonts w:ascii="Times New Roman" w:hAnsi="Times New Roman" w:cs="Times New Roman"/>
          <w:bCs/>
          <w:iCs/>
          <w:sz w:val="24"/>
          <w:szCs w:val="24"/>
        </w:rPr>
        <w:t xml:space="preserve">KDPW) jest z kolei uważany za centralny depozyt papierów wartościowych. </w:t>
      </w:r>
    </w:p>
    <w:p w14:paraId="6C78F074" w14:textId="66888C08" w:rsidR="000014D0" w:rsidRDefault="000014D0" w:rsidP="000014D0">
      <w:pPr>
        <w:shd w:val="clear" w:color="auto" w:fill="FFFFFF" w:themeFill="background1"/>
        <w:spacing w:after="0" w:line="36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Zmiana </w:t>
      </w:r>
      <w:r w:rsidRPr="006B2CD4">
        <w:rPr>
          <w:rFonts w:ascii="Times New Roman" w:hAnsi="Times New Roman" w:cs="Times New Roman"/>
          <w:bCs/>
          <w:iCs/>
          <w:sz w:val="24"/>
          <w:szCs w:val="24"/>
        </w:rPr>
        <w:t>art. 3 pkt 16</w:t>
      </w:r>
      <w:r w:rsidRPr="006B2CD4">
        <w:rPr>
          <w:rFonts w:ascii="Times New Roman" w:hAnsi="Times New Roman" w:cs="Times New Roman"/>
          <w:sz w:val="24"/>
          <w:szCs w:val="24"/>
        </w:rPr>
        <w:t>–</w:t>
      </w:r>
      <w:r w:rsidRPr="006B2CD4">
        <w:rPr>
          <w:rFonts w:ascii="Times New Roman" w:hAnsi="Times New Roman" w:cs="Times New Roman"/>
          <w:bCs/>
          <w:iCs/>
          <w:sz w:val="24"/>
          <w:szCs w:val="24"/>
        </w:rPr>
        <w:t>18 wynika z tego, że obecne brzmienie definicj</w:t>
      </w:r>
      <w:r>
        <w:rPr>
          <w:rFonts w:ascii="Times New Roman" w:hAnsi="Times New Roman" w:cs="Times New Roman"/>
          <w:bCs/>
          <w:iCs/>
          <w:sz w:val="24"/>
          <w:szCs w:val="24"/>
        </w:rPr>
        <w:t>i</w:t>
      </w:r>
      <w:r w:rsidRPr="006B2CD4">
        <w:rPr>
          <w:rFonts w:ascii="Times New Roman" w:hAnsi="Times New Roman" w:cs="Times New Roman"/>
          <w:bCs/>
          <w:iCs/>
          <w:sz w:val="24"/>
          <w:szCs w:val="24"/>
        </w:rPr>
        <w:t xml:space="preserve"> podmiotu dominującego, podmiotu zależnego i grupy kapitałowej odsyła bezpośrednio do definicji zawartych w ustaw</w:t>
      </w:r>
      <w:r>
        <w:rPr>
          <w:rFonts w:ascii="Times New Roman" w:hAnsi="Times New Roman" w:cs="Times New Roman"/>
          <w:bCs/>
          <w:iCs/>
          <w:sz w:val="24"/>
          <w:szCs w:val="24"/>
        </w:rPr>
        <w:t>ie</w:t>
      </w:r>
      <w:r w:rsidRPr="006B2CD4">
        <w:rPr>
          <w:rFonts w:ascii="Times New Roman" w:hAnsi="Times New Roman" w:cs="Times New Roman"/>
          <w:bCs/>
          <w:iCs/>
          <w:sz w:val="24"/>
          <w:szCs w:val="24"/>
        </w:rPr>
        <w:t xml:space="preserve"> z dnia 29 września 1994 r. o rachunkowości (Dz. U. z 202</w:t>
      </w:r>
      <w:r w:rsidR="00AB79BE">
        <w:rPr>
          <w:rFonts w:ascii="Times New Roman" w:hAnsi="Times New Roman" w:cs="Times New Roman"/>
          <w:bCs/>
          <w:iCs/>
          <w:sz w:val="24"/>
          <w:szCs w:val="24"/>
        </w:rPr>
        <w:t>3 r. poz. 120</w:t>
      </w:r>
      <w:r w:rsidRPr="006B2CD4">
        <w:rPr>
          <w:rFonts w:ascii="Times New Roman" w:hAnsi="Times New Roman" w:cs="Times New Roman"/>
          <w:bCs/>
          <w:iCs/>
          <w:sz w:val="24"/>
          <w:szCs w:val="24"/>
        </w:rPr>
        <w:t xml:space="preserve">, </w:t>
      </w:r>
      <w:r>
        <w:rPr>
          <w:rFonts w:ascii="Times New Roman" w:hAnsi="Times New Roman" w:cs="Times New Roman"/>
          <w:bCs/>
          <w:iCs/>
          <w:sz w:val="24"/>
          <w:szCs w:val="24"/>
        </w:rPr>
        <w:t>z późn. zm.</w:t>
      </w:r>
      <w:r w:rsidRPr="006B2CD4">
        <w:rPr>
          <w:rFonts w:ascii="Times New Roman" w:hAnsi="Times New Roman" w:cs="Times New Roman"/>
          <w:bCs/>
          <w:iCs/>
          <w:sz w:val="24"/>
          <w:szCs w:val="24"/>
        </w:rPr>
        <w:t>). Nie uwzg</w:t>
      </w:r>
      <w:r w:rsidR="009F38C4">
        <w:rPr>
          <w:rFonts w:ascii="Times New Roman" w:hAnsi="Times New Roman" w:cs="Times New Roman"/>
          <w:bCs/>
          <w:iCs/>
          <w:sz w:val="24"/>
          <w:szCs w:val="24"/>
        </w:rPr>
        <w:t>lędniają one jednak przypadku, w którym</w:t>
      </w:r>
      <w:r w:rsidRPr="006B2CD4">
        <w:rPr>
          <w:rFonts w:ascii="Times New Roman" w:hAnsi="Times New Roman" w:cs="Times New Roman"/>
          <w:bCs/>
          <w:iCs/>
          <w:sz w:val="24"/>
          <w:szCs w:val="24"/>
        </w:rPr>
        <w:t xml:space="preserve"> podmiotem dominującym jest osoba fizyczna. </w:t>
      </w:r>
    </w:p>
    <w:p w14:paraId="167D9384" w14:textId="1D2DA0A4" w:rsidR="0019158B" w:rsidRPr="009F38C4" w:rsidRDefault="000014D0" w:rsidP="009F38C4">
      <w:pPr>
        <w:shd w:val="clear" w:color="auto" w:fill="FFFFFF" w:themeFill="background1"/>
        <w:spacing w:after="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 xml:space="preserve">W proponowanym brzmieniu definicja podmiotu dominującego będzie nadal uwzględniała przesłanki sprawowania kontroli wymienione w art. 3 ust. 1 pkt 37 ustawy </w:t>
      </w:r>
      <w:r w:rsidR="007109AB" w:rsidRPr="006B2CD4">
        <w:rPr>
          <w:rFonts w:ascii="Times New Roman" w:hAnsi="Times New Roman" w:cs="Times New Roman"/>
          <w:bCs/>
          <w:iCs/>
          <w:sz w:val="24"/>
          <w:szCs w:val="24"/>
        </w:rPr>
        <w:t xml:space="preserve">z dnia 29 września 1994 r. </w:t>
      </w:r>
      <w:r w:rsidRPr="006B2CD4">
        <w:rPr>
          <w:rFonts w:ascii="Times New Roman" w:hAnsi="Times New Roman" w:cs="Times New Roman"/>
          <w:bCs/>
          <w:iCs/>
          <w:sz w:val="24"/>
          <w:szCs w:val="24"/>
        </w:rPr>
        <w:t>o rachunkowości, jednak nie będzie ograniczona podmiotowo do spółek handlowych i przedsiębiorstw państwowych. Odpowiednie zmiany zaproponowano do definicji podmiotu zależnego i grupy kapitałowej, których konstrukcja opiera się o nową de</w:t>
      </w:r>
      <w:r w:rsidR="009F38C4">
        <w:rPr>
          <w:rFonts w:ascii="Times New Roman" w:hAnsi="Times New Roman" w:cs="Times New Roman"/>
          <w:bCs/>
          <w:iCs/>
          <w:sz w:val="24"/>
          <w:szCs w:val="24"/>
        </w:rPr>
        <w:t xml:space="preserve">finicję podmiotu dominującego. </w:t>
      </w:r>
      <w:r w:rsidRPr="006B2CD4">
        <w:rPr>
          <w:rFonts w:ascii="Times New Roman" w:hAnsi="Times New Roman" w:cs="Times New Roman"/>
          <w:bCs/>
          <w:iCs/>
          <w:sz w:val="24"/>
          <w:szCs w:val="24"/>
        </w:rPr>
        <w:t xml:space="preserve">Ustawa z dnia 29 września 1994 r. o rachunkowości za podmiot dominujący i podmiot zależny uznaje wyłącznie spółkę handlową lub przedsiębiorstwo państwowe. W praktyce rynkowej występują jednak osoby fizyczne, które sprawują kontrolę nad całą grupą kapitałową, stąd też potrzeba dokonania zmian, które umożliwią stosowanie do nich przepisów </w:t>
      </w:r>
      <w:r w:rsidRPr="006B2CD4">
        <w:rPr>
          <w:rFonts w:ascii="Times New Roman" w:hAnsi="Times New Roman" w:cs="Times New Roman"/>
          <w:bCs/>
          <w:iCs/>
          <w:sz w:val="24"/>
          <w:szCs w:val="24"/>
        </w:rPr>
        <w:lastRenderedPageBreak/>
        <w:t xml:space="preserve">ustawy o obrocie, w szczególności art. 106. Zostanie przy tym zachowana zgodność z art. 11 ust. 1 dyrektywy MiFID II, zgodnie z którym potencjalnym nabywcą znacznego pakietu akcji firmy inwestycyjnej jest </w:t>
      </w:r>
      <w:r w:rsidRPr="006B2CD4">
        <w:rPr>
          <w:rFonts w:ascii="Times New Roman" w:hAnsi="Times New Roman" w:cs="Times New Roman"/>
          <w:bCs/>
          <w:i/>
          <w:iCs/>
          <w:sz w:val="24"/>
          <w:szCs w:val="24"/>
        </w:rPr>
        <w:t>każda osoba fizyczna lub prawna, bądź kilka takich osób działających w porozumieniu.</w:t>
      </w:r>
    </w:p>
    <w:p w14:paraId="4535596C" w14:textId="434446C0" w:rsidR="00AB79BE" w:rsidRDefault="00A34ADA" w:rsidP="00FB243A">
      <w:pPr>
        <w:shd w:val="clear" w:color="auto" w:fill="FFFFFF" w:themeFill="background1"/>
        <w:spacing w:after="120" w:line="360" w:lineRule="auto"/>
        <w:jc w:val="both"/>
        <w:rPr>
          <w:rFonts w:ascii="Times New Roman" w:hAnsi="Times New Roman" w:cs="Times New Roman"/>
          <w:bCs/>
          <w:iCs/>
          <w:sz w:val="24"/>
          <w:szCs w:val="24"/>
        </w:rPr>
      </w:pPr>
      <w:r>
        <w:rPr>
          <w:rFonts w:ascii="Times New Roman" w:hAnsi="Times New Roman" w:cs="Times New Roman"/>
          <w:bCs/>
          <w:iCs/>
          <w:sz w:val="24"/>
          <w:szCs w:val="24"/>
        </w:rPr>
        <w:t>Art. 3</w:t>
      </w:r>
      <w:r w:rsidR="000642BA">
        <w:rPr>
          <w:rFonts w:ascii="Times New Roman" w:hAnsi="Times New Roman" w:cs="Times New Roman"/>
          <w:bCs/>
          <w:iCs/>
          <w:sz w:val="24"/>
          <w:szCs w:val="24"/>
        </w:rPr>
        <w:t xml:space="preserve"> pkt 28</w:t>
      </w:r>
      <w:r>
        <w:rPr>
          <w:rFonts w:ascii="Times New Roman" w:hAnsi="Times New Roman" w:cs="Times New Roman"/>
          <w:bCs/>
          <w:iCs/>
          <w:sz w:val="24"/>
          <w:szCs w:val="24"/>
        </w:rPr>
        <w:t>ab</w:t>
      </w:r>
      <w:r w:rsidR="00FB243A" w:rsidRPr="00FB243A">
        <w:rPr>
          <w:rFonts w:ascii="Times New Roman" w:hAnsi="Times New Roman" w:cs="Times New Roman"/>
          <w:bCs/>
          <w:iCs/>
          <w:sz w:val="24"/>
          <w:szCs w:val="24"/>
        </w:rPr>
        <w:t xml:space="preserve"> wprowadza definicję instrumentu finansowego obsługiwanego przez DLT.</w:t>
      </w:r>
      <w:r w:rsidR="00653C0C">
        <w:rPr>
          <w:rFonts w:ascii="Times New Roman" w:hAnsi="Times New Roman" w:cs="Times New Roman"/>
          <w:bCs/>
          <w:iCs/>
          <w:sz w:val="24"/>
          <w:szCs w:val="24"/>
        </w:rPr>
        <w:t xml:space="preserve"> </w:t>
      </w:r>
      <w:r w:rsidR="00FB243A" w:rsidRPr="00FB243A">
        <w:rPr>
          <w:rFonts w:ascii="Times New Roman" w:hAnsi="Times New Roman" w:cs="Times New Roman"/>
          <w:bCs/>
          <w:iCs/>
          <w:sz w:val="24"/>
          <w:szCs w:val="24"/>
        </w:rPr>
        <w:t>Z uwagi na to, że rozporządzenie DLT</w:t>
      </w:r>
      <w:r>
        <w:rPr>
          <w:rFonts w:ascii="Times New Roman" w:hAnsi="Times New Roman" w:cs="Times New Roman"/>
          <w:bCs/>
          <w:iCs/>
          <w:sz w:val="24"/>
          <w:szCs w:val="24"/>
        </w:rPr>
        <w:t xml:space="preserve"> Pilot </w:t>
      </w:r>
      <w:r w:rsidR="00FB243A" w:rsidRPr="00FB243A">
        <w:rPr>
          <w:rFonts w:ascii="Times New Roman" w:hAnsi="Times New Roman" w:cs="Times New Roman"/>
          <w:bCs/>
          <w:iCs/>
          <w:sz w:val="24"/>
          <w:szCs w:val="24"/>
        </w:rPr>
        <w:t>R</w:t>
      </w:r>
      <w:r>
        <w:rPr>
          <w:rFonts w:ascii="Times New Roman" w:hAnsi="Times New Roman" w:cs="Times New Roman"/>
          <w:bCs/>
          <w:iCs/>
          <w:sz w:val="24"/>
          <w:szCs w:val="24"/>
        </w:rPr>
        <w:t>egime</w:t>
      </w:r>
      <w:r w:rsidR="00FB243A" w:rsidRPr="00FB243A">
        <w:rPr>
          <w:rFonts w:ascii="Times New Roman" w:hAnsi="Times New Roman" w:cs="Times New Roman"/>
          <w:bCs/>
          <w:iCs/>
          <w:sz w:val="24"/>
          <w:szCs w:val="24"/>
        </w:rPr>
        <w:t xml:space="preserve"> stosuje się do instrumentów obsługiwanych przez DLT, ale jedynie tych, które wymienione zostały w art. 3 ust. 1 rozporządzenia, definicja ustawowa obejmuje oba kryteria. W zakresie postaci instrumentów finansowych celem ustawodawcy unijnego – co podkreślają organy UE jak i Europejski Urząd Nadzoru Giełd i Papierów Wartościowych – było objęcie zakresem </w:t>
      </w:r>
      <w:r>
        <w:rPr>
          <w:rFonts w:ascii="Times New Roman" w:hAnsi="Times New Roman" w:cs="Times New Roman"/>
          <w:bCs/>
          <w:iCs/>
          <w:sz w:val="24"/>
          <w:szCs w:val="24"/>
        </w:rPr>
        <w:t xml:space="preserve">rozporządzenia </w:t>
      </w:r>
      <w:r w:rsidR="00FB243A" w:rsidRPr="00FB243A">
        <w:rPr>
          <w:rFonts w:ascii="Times New Roman" w:hAnsi="Times New Roman" w:cs="Times New Roman"/>
          <w:bCs/>
          <w:iCs/>
          <w:sz w:val="24"/>
          <w:szCs w:val="24"/>
        </w:rPr>
        <w:t>DLT</w:t>
      </w:r>
      <w:r>
        <w:rPr>
          <w:rFonts w:ascii="Times New Roman" w:hAnsi="Times New Roman" w:cs="Times New Roman"/>
          <w:bCs/>
          <w:iCs/>
          <w:sz w:val="24"/>
          <w:szCs w:val="24"/>
        </w:rPr>
        <w:t xml:space="preserve"> Pilot </w:t>
      </w:r>
      <w:r w:rsidR="00FB243A" w:rsidRPr="00FB243A">
        <w:rPr>
          <w:rFonts w:ascii="Times New Roman" w:hAnsi="Times New Roman" w:cs="Times New Roman"/>
          <w:bCs/>
          <w:iCs/>
          <w:sz w:val="24"/>
          <w:szCs w:val="24"/>
        </w:rPr>
        <w:t>R</w:t>
      </w:r>
      <w:r>
        <w:rPr>
          <w:rFonts w:ascii="Times New Roman" w:hAnsi="Times New Roman" w:cs="Times New Roman"/>
          <w:bCs/>
          <w:iCs/>
          <w:sz w:val="24"/>
          <w:szCs w:val="24"/>
        </w:rPr>
        <w:t>egime</w:t>
      </w:r>
      <w:r w:rsidR="00FB243A" w:rsidRPr="00FB243A">
        <w:rPr>
          <w:rFonts w:ascii="Times New Roman" w:hAnsi="Times New Roman" w:cs="Times New Roman"/>
          <w:bCs/>
          <w:iCs/>
          <w:sz w:val="24"/>
          <w:szCs w:val="24"/>
        </w:rPr>
        <w:t xml:space="preserve"> zarówno tych instrumentów finansowych, które zostały pierwotnie wyemitowane za pomocą technologii roz</w:t>
      </w:r>
      <w:r>
        <w:rPr>
          <w:rFonts w:ascii="Times New Roman" w:hAnsi="Times New Roman" w:cs="Times New Roman"/>
          <w:bCs/>
          <w:iCs/>
          <w:sz w:val="24"/>
          <w:szCs w:val="24"/>
        </w:rPr>
        <w:t xml:space="preserve">proszonego rejestru, jak i tych </w:t>
      </w:r>
      <w:r w:rsidR="00FB243A" w:rsidRPr="00FB243A">
        <w:rPr>
          <w:rFonts w:ascii="Times New Roman" w:hAnsi="Times New Roman" w:cs="Times New Roman"/>
          <w:bCs/>
          <w:iCs/>
          <w:sz w:val="24"/>
          <w:szCs w:val="24"/>
        </w:rPr>
        <w:t>instrumentów finansowych, które zostały pierwotnie wyemitowane w inny sposób, a następnie są obsługiwane za pomocą technologii rozproszonego rejestru. Wobec tego ustawowa definicja instrumentu finansowego obsługiwanego przez DLT obejmuje oba te rodzaje instrumentów. Ponieważ</w:t>
      </w:r>
      <w:r>
        <w:rPr>
          <w:rFonts w:ascii="Times New Roman" w:hAnsi="Times New Roman" w:cs="Times New Roman"/>
          <w:bCs/>
          <w:iCs/>
          <w:sz w:val="24"/>
          <w:szCs w:val="24"/>
        </w:rPr>
        <w:t xml:space="preserve"> rozporządzenie</w:t>
      </w:r>
      <w:r w:rsidR="007C389F">
        <w:rPr>
          <w:rFonts w:ascii="Times New Roman" w:hAnsi="Times New Roman" w:cs="Times New Roman"/>
          <w:bCs/>
          <w:iCs/>
          <w:sz w:val="24"/>
          <w:szCs w:val="24"/>
        </w:rPr>
        <w:t xml:space="preserve"> </w:t>
      </w:r>
      <w:r w:rsidR="00FB243A" w:rsidRPr="00FB243A">
        <w:rPr>
          <w:rFonts w:ascii="Times New Roman" w:hAnsi="Times New Roman" w:cs="Times New Roman"/>
          <w:bCs/>
          <w:iCs/>
          <w:sz w:val="24"/>
          <w:szCs w:val="24"/>
        </w:rPr>
        <w:t>DLT</w:t>
      </w:r>
      <w:r>
        <w:rPr>
          <w:rFonts w:ascii="Times New Roman" w:hAnsi="Times New Roman" w:cs="Times New Roman"/>
          <w:bCs/>
          <w:iCs/>
          <w:sz w:val="24"/>
          <w:szCs w:val="24"/>
        </w:rPr>
        <w:t xml:space="preserve"> Pilot </w:t>
      </w:r>
      <w:r w:rsidR="00FB243A" w:rsidRPr="00FB243A">
        <w:rPr>
          <w:rFonts w:ascii="Times New Roman" w:hAnsi="Times New Roman" w:cs="Times New Roman"/>
          <w:bCs/>
          <w:iCs/>
          <w:sz w:val="24"/>
          <w:szCs w:val="24"/>
        </w:rPr>
        <w:t>R</w:t>
      </w:r>
      <w:r>
        <w:rPr>
          <w:rFonts w:ascii="Times New Roman" w:hAnsi="Times New Roman" w:cs="Times New Roman"/>
          <w:bCs/>
          <w:iCs/>
          <w:sz w:val="24"/>
          <w:szCs w:val="24"/>
        </w:rPr>
        <w:t>egime</w:t>
      </w:r>
      <w:r w:rsidR="00FB243A" w:rsidRPr="00FB243A">
        <w:rPr>
          <w:rFonts w:ascii="Times New Roman" w:hAnsi="Times New Roman" w:cs="Times New Roman"/>
          <w:bCs/>
          <w:iCs/>
          <w:sz w:val="24"/>
          <w:szCs w:val="24"/>
        </w:rPr>
        <w:t xml:space="preserve"> przewiduje limity kwotowe odnoszące się do wartości emisji lub kapitalizacji emitenta, od których zależne jest stosowanie rozporządzenia, ale jednocześnie przekroczenie limitu kwotowego nie powoduje automatycznie wykluczenia instrumentu z zakresu zastosowania rozporządzenia DLT</w:t>
      </w:r>
      <w:r>
        <w:rPr>
          <w:rFonts w:ascii="Times New Roman" w:hAnsi="Times New Roman" w:cs="Times New Roman"/>
          <w:bCs/>
          <w:iCs/>
          <w:sz w:val="24"/>
          <w:szCs w:val="24"/>
        </w:rPr>
        <w:t xml:space="preserve"> Pilot </w:t>
      </w:r>
      <w:r w:rsidR="00FB243A" w:rsidRPr="00FB243A">
        <w:rPr>
          <w:rFonts w:ascii="Times New Roman" w:hAnsi="Times New Roman" w:cs="Times New Roman"/>
          <w:bCs/>
          <w:iCs/>
          <w:sz w:val="24"/>
          <w:szCs w:val="24"/>
        </w:rPr>
        <w:t>R</w:t>
      </w:r>
      <w:r>
        <w:rPr>
          <w:rFonts w:ascii="Times New Roman" w:hAnsi="Times New Roman" w:cs="Times New Roman"/>
          <w:bCs/>
          <w:iCs/>
          <w:sz w:val="24"/>
          <w:szCs w:val="24"/>
        </w:rPr>
        <w:t>egime</w:t>
      </w:r>
      <w:r w:rsidR="00FB243A" w:rsidRPr="00FB243A">
        <w:rPr>
          <w:rFonts w:ascii="Times New Roman" w:hAnsi="Times New Roman" w:cs="Times New Roman"/>
          <w:bCs/>
          <w:iCs/>
          <w:sz w:val="24"/>
          <w:szCs w:val="24"/>
        </w:rPr>
        <w:t xml:space="preserve">, a jedynie określone obowiązki podmiotu prowadzącego ASO </w:t>
      </w:r>
      <w:r>
        <w:rPr>
          <w:rFonts w:ascii="Times New Roman" w:hAnsi="Times New Roman" w:cs="Times New Roman"/>
          <w:bCs/>
          <w:iCs/>
          <w:sz w:val="24"/>
          <w:szCs w:val="24"/>
        </w:rPr>
        <w:t xml:space="preserve">opartego na </w:t>
      </w:r>
      <w:r w:rsidR="00FB243A" w:rsidRPr="00FB243A">
        <w:rPr>
          <w:rFonts w:ascii="Times New Roman" w:hAnsi="Times New Roman" w:cs="Times New Roman"/>
          <w:bCs/>
          <w:iCs/>
          <w:sz w:val="24"/>
          <w:szCs w:val="24"/>
        </w:rPr>
        <w:lastRenderedPageBreak/>
        <w:t>DLT lub SS</w:t>
      </w:r>
      <w:r>
        <w:rPr>
          <w:rFonts w:ascii="Times New Roman" w:hAnsi="Times New Roman" w:cs="Times New Roman"/>
          <w:bCs/>
          <w:iCs/>
          <w:sz w:val="24"/>
          <w:szCs w:val="24"/>
        </w:rPr>
        <w:t xml:space="preserve"> opartego na</w:t>
      </w:r>
      <w:r w:rsidR="00FB243A" w:rsidRPr="00FB243A">
        <w:rPr>
          <w:rFonts w:ascii="Times New Roman" w:hAnsi="Times New Roman" w:cs="Times New Roman"/>
          <w:bCs/>
          <w:iCs/>
          <w:sz w:val="24"/>
          <w:szCs w:val="24"/>
        </w:rPr>
        <w:t xml:space="preserve"> DLT lub TSS</w:t>
      </w:r>
      <w:r>
        <w:rPr>
          <w:rFonts w:ascii="Times New Roman" w:hAnsi="Times New Roman" w:cs="Times New Roman"/>
          <w:bCs/>
          <w:iCs/>
          <w:sz w:val="24"/>
          <w:szCs w:val="24"/>
        </w:rPr>
        <w:t xml:space="preserve"> opartego na</w:t>
      </w:r>
      <w:r w:rsidR="00FB243A" w:rsidRPr="00FB243A">
        <w:rPr>
          <w:rFonts w:ascii="Times New Roman" w:hAnsi="Times New Roman" w:cs="Times New Roman"/>
          <w:bCs/>
          <w:iCs/>
          <w:sz w:val="24"/>
          <w:szCs w:val="24"/>
        </w:rPr>
        <w:t xml:space="preserve"> DLT, niezbędne jest wprowadzenie zastrzeżenia, ż</w:t>
      </w:r>
      <w:r w:rsidR="00AB79BE">
        <w:rPr>
          <w:rFonts w:ascii="Times New Roman" w:hAnsi="Times New Roman" w:cs="Times New Roman"/>
          <w:bCs/>
          <w:iCs/>
          <w:sz w:val="24"/>
          <w:szCs w:val="24"/>
        </w:rPr>
        <w:t>e</w:t>
      </w:r>
      <w:r w:rsidR="00FB243A" w:rsidRPr="00FB243A">
        <w:rPr>
          <w:rFonts w:ascii="Times New Roman" w:hAnsi="Times New Roman" w:cs="Times New Roman"/>
          <w:bCs/>
          <w:iCs/>
          <w:sz w:val="24"/>
          <w:szCs w:val="24"/>
        </w:rPr>
        <w:t xml:space="preserve"> instrument wymieniony w art. 3 ust. 1 </w:t>
      </w:r>
      <w:r>
        <w:rPr>
          <w:rFonts w:ascii="Times New Roman" w:hAnsi="Times New Roman" w:cs="Times New Roman"/>
          <w:bCs/>
          <w:iCs/>
          <w:sz w:val="24"/>
          <w:szCs w:val="24"/>
        </w:rPr>
        <w:t xml:space="preserve">rozporządzenia </w:t>
      </w:r>
      <w:r w:rsidR="00FB243A" w:rsidRPr="00FB243A">
        <w:rPr>
          <w:rFonts w:ascii="Times New Roman" w:hAnsi="Times New Roman" w:cs="Times New Roman"/>
          <w:bCs/>
          <w:iCs/>
          <w:sz w:val="24"/>
          <w:szCs w:val="24"/>
        </w:rPr>
        <w:t>DLT</w:t>
      </w:r>
      <w:r>
        <w:rPr>
          <w:rFonts w:ascii="Times New Roman" w:hAnsi="Times New Roman" w:cs="Times New Roman"/>
          <w:bCs/>
          <w:iCs/>
          <w:sz w:val="24"/>
          <w:szCs w:val="24"/>
        </w:rPr>
        <w:t xml:space="preserve"> Pilot </w:t>
      </w:r>
      <w:r w:rsidR="00FB243A" w:rsidRPr="00FB243A">
        <w:rPr>
          <w:rFonts w:ascii="Times New Roman" w:hAnsi="Times New Roman" w:cs="Times New Roman"/>
          <w:bCs/>
          <w:iCs/>
          <w:sz w:val="24"/>
          <w:szCs w:val="24"/>
        </w:rPr>
        <w:t>R</w:t>
      </w:r>
      <w:r>
        <w:rPr>
          <w:rFonts w:ascii="Times New Roman" w:hAnsi="Times New Roman" w:cs="Times New Roman"/>
          <w:bCs/>
          <w:iCs/>
          <w:sz w:val="24"/>
          <w:szCs w:val="24"/>
        </w:rPr>
        <w:t>egime</w:t>
      </w:r>
      <w:r w:rsidR="00FB243A" w:rsidRPr="00FB243A">
        <w:rPr>
          <w:rFonts w:ascii="Times New Roman" w:hAnsi="Times New Roman" w:cs="Times New Roman"/>
          <w:bCs/>
          <w:iCs/>
          <w:sz w:val="24"/>
          <w:szCs w:val="24"/>
        </w:rPr>
        <w:t xml:space="preserve"> nie traci automatycznie takiego charakteru w razie przekroczenia limitów określonych w tym przepisie. Zastrzeżenie takie jest niezbędne, aby uniknąć niekontrolowanej zmiany statusu prawnego instrumentów finansowych obsługiwanych przez DLT po przekroczeniu limitów kwotowych.</w:t>
      </w:r>
      <w:r w:rsidR="000642BA">
        <w:rPr>
          <w:rFonts w:ascii="Times New Roman" w:hAnsi="Times New Roman" w:cs="Times New Roman"/>
          <w:bCs/>
          <w:iCs/>
          <w:sz w:val="24"/>
          <w:szCs w:val="24"/>
        </w:rPr>
        <w:t xml:space="preserve"> </w:t>
      </w:r>
    </w:p>
    <w:p w14:paraId="21071466" w14:textId="759AFE8A" w:rsidR="00FB243A" w:rsidRPr="00BC7774" w:rsidRDefault="000642BA" w:rsidP="00FB243A">
      <w:pPr>
        <w:shd w:val="clear" w:color="auto" w:fill="FFFFFF" w:themeFill="background1"/>
        <w:spacing w:after="120" w:line="360" w:lineRule="auto"/>
        <w:jc w:val="both"/>
        <w:rPr>
          <w:rFonts w:ascii="Times New Roman" w:hAnsi="Times New Roman" w:cs="Times New Roman"/>
          <w:bCs/>
          <w:iCs/>
          <w:sz w:val="24"/>
          <w:szCs w:val="24"/>
        </w:rPr>
      </w:pPr>
      <w:r>
        <w:rPr>
          <w:rFonts w:ascii="Times New Roman" w:hAnsi="Times New Roman" w:cs="Times New Roman"/>
          <w:bCs/>
          <w:iCs/>
          <w:sz w:val="24"/>
          <w:szCs w:val="24"/>
        </w:rPr>
        <w:t>Z kolei art. 3 pkt 28ac wprowadza pojęcie wtórnej tokenizacji. Taka definicja wprowadza zastrzeżenie dotyczące praw z akcji, które już istnieją i konieczne jest jedynie ich przeniesienie z rejestru akcjonariuszy na rachunki DLT/ewidencji DLT. Skutecznie usunięte zostaną w ten sposób wątpliwości interpretacyjne w tym zakresie.</w:t>
      </w:r>
      <w:r w:rsidR="007C389F">
        <w:rPr>
          <w:rFonts w:ascii="Times New Roman" w:hAnsi="Times New Roman" w:cs="Times New Roman"/>
          <w:bCs/>
          <w:iCs/>
          <w:sz w:val="24"/>
          <w:szCs w:val="24"/>
        </w:rPr>
        <w:t xml:space="preserve"> </w:t>
      </w:r>
    </w:p>
    <w:p w14:paraId="2A6C8982" w14:textId="0237F1ED" w:rsidR="00785338" w:rsidRDefault="00785338" w:rsidP="00785338">
      <w:pPr>
        <w:shd w:val="clear" w:color="auto" w:fill="FFFFFF" w:themeFill="background1"/>
        <w:spacing w:after="120" w:line="360" w:lineRule="auto"/>
        <w:jc w:val="both"/>
        <w:rPr>
          <w:rFonts w:ascii="Times New Roman" w:hAnsi="Times New Roman" w:cs="Times New Roman"/>
          <w:bCs/>
          <w:iCs/>
          <w:sz w:val="24"/>
          <w:szCs w:val="24"/>
        </w:rPr>
      </w:pPr>
      <w:r>
        <w:rPr>
          <w:rFonts w:ascii="Times New Roman" w:hAnsi="Times New Roman" w:cs="Times New Roman"/>
          <w:bCs/>
          <w:iCs/>
          <w:sz w:val="24"/>
          <w:szCs w:val="24"/>
        </w:rPr>
        <w:t>Uchylenie art. 3 pkt 29a związane jest z realizacją postulatów SRRK w zakresie rozszerzenia oferty produktów strukturyzowanych, które będą mogły być oferowane przez banki krajowe. Główną regulacją tego dotyczącą jest przewidywane dodanie przepisów rozdziału 6b do Prawa bankowego. W uzasadnieniu do tych przepisów</w:t>
      </w:r>
      <w:r w:rsidR="00AB79BE">
        <w:rPr>
          <w:rFonts w:ascii="Times New Roman" w:hAnsi="Times New Roman" w:cs="Times New Roman"/>
          <w:bCs/>
          <w:iCs/>
          <w:sz w:val="24"/>
          <w:szCs w:val="24"/>
        </w:rPr>
        <w:t xml:space="preserve"> </w:t>
      </w:r>
      <w:r w:rsidR="00BC0446">
        <w:rPr>
          <w:rFonts w:ascii="Times New Roman" w:hAnsi="Times New Roman" w:cs="Times New Roman"/>
          <w:bCs/>
          <w:iCs/>
          <w:sz w:val="24"/>
          <w:szCs w:val="24"/>
        </w:rPr>
        <w:t xml:space="preserve">– </w:t>
      </w:r>
      <w:r>
        <w:rPr>
          <w:rFonts w:ascii="Times New Roman" w:hAnsi="Times New Roman" w:cs="Times New Roman"/>
          <w:bCs/>
          <w:iCs/>
          <w:sz w:val="24"/>
          <w:szCs w:val="24"/>
        </w:rPr>
        <w:t xml:space="preserve">zostały wyjaśnione przyczyny dodania </w:t>
      </w:r>
      <w:r w:rsidR="00AB79BE">
        <w:rPr>
          <w:rFonts w:ascii="Times New Roman" w:hAnsi="Times New Roman" w:cs="Times New Roman"/>
          <w:bCs/>
          <w:iCs/>
          <w:sz w:val="24"/>
          <w:szCs w:val="24"/>
        </w:rPr>
        <w:t xml:space="preserve">tych </w:t>
      </w:r>
      <w:r>
        <w:rPr>
          <w:rFonts w:ascii="Times New Roman" w:hAnsi="Times New Roman" w:cs="Times New Roman"/>
          <w:bCs/>
          <w:iCs/>
          <w:sz w:val="24"/>
          <w:szCs w:val="24"/>
        </w:rPr>
        <w:t>regulacji.</w:t>
      </w:r>
    </w:p>
    <w:p w14:paraId="539A7413" w14:textId="0ADE5961" w:rsidR="0019158B" w:rsidRPr="00785338" w:rsidRDefault="00785338" w:rsidP="000014D0">
      <w:pPr>
        <w:shd w:val="clear" w:color="auto" w:fill="FFFFFF" w:themeFill="background1"/>
        <w:spacing w:after="120" w:line="360" w:lineRule="auto"/>
        <w:jc w:val="both"/>
        <w:rPr>
          <w:rFonts w:ascii="Times New Roman" w:hAnsi="Times New Roman" w:cs="Times New Roman"/>
          <w:bCs/>
          <w:iCs/>
          <w:sz w:val="24"/>
          <w:szCs w:val="24"/>
        </w:rPr>
      </w:pPr>
      <w:r>
        <w:rPr>
          <w:rFonts w:ascii="Times New Roman" w:hAnsi="Times New Roman" w:cs="Times New Roman"/>
          <w:bCs/>
          <w:iCs/>
          <w:sz w:val="24"/>
          <w:szCs w:val="24"/>
        </w:rPr>
        <w:t>Nowelizacja art. 4 ust. 1 pkt 1 jes</w:t>
      </w:r>
      <w:r w:rsidR="009F38C4">
        <w:rPr>
          <w:rFonts w:ascii="Times New Roman" w:hAnsi="Times New Roman" w:cs="Times New Roman"/>
          <w:bCs/>
          <w:iCs/>
          <w:sz w:val="24"/>
          <w:szCs w:val="24"/>
        </w:rPr>
        <w:t>t zmianą wynikową i związaną</w:t>
      </w:r>
      <w:r>
        <w:rPr>
          <w:rFonts w:ascii="Times New Roman" w:hAnsi="Times New Roman" w:cs="Times New Roman"/>
          <w:bCs/>
          <w:iCs/>
          <w:sz w:val="24"/>
          <w:szCs w:val="24"/>
        </w:rPr>
        <w:t xml:space="preserve"> z kompleksowymi zmianami dotyczącymi jednolitej licencji bankowej obejmującymi również banki państwowe.</w:t>
      </w:r>
    </w:p>
    <w:p w14:paraId="59C18564" w14:textId="0F178A00" w:rsidR="000014D0" w:rsidRDefault="000014D0" w:rsidP="000014D0">
      <w:pPr>
        <w:shd w:val="clear" w:color="auto" w:fill="FFFFFF" w:themeFill="background1"/>
        <w:spacing w:after="12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 xml:space="preserve">Nowe brzmienie art. 4 ust. 3 wynika z konieczności uwzględnienia specyfiki instrumentu finansowego w postaci uprawnień do emisji – zgodnie z art. 5 ust. 5 instrumenty te nie podlegają </w:t>
      </w:r>
      <w:r w:rsidRPr="006B2CD4">
        <w:rPr>
          <w:rFonts w:ascii="Times New Roman" w:hAnsi="Times New Roman" w:cs="Times New Roman"/>
          <w:bCs/>
          <w:iCs/>
          <w:sz w:val="24"/>
          <w:szCs w:val="24"/>
        </w:rPr>
        <w:lastRenderedPageBreak/>
        <w:t>obowiązkowi rejestracji w depozycie papierów wartościowych. Oznacza to, że uprawnienia do ich emisji powinny zostać wyłączone z zakresu definicji rachunku papierów wartościowych. Rejestr uprawnień do emisji nie jest bowiem objęty rejestracją na kontach depozytowych prowadzonych przez centralny depozyt papierów wartościowych, ale w systemach ewidencyjnych KOBiZE (Krajowy Ośrodek Bilansowania i Zarządzania Emisjami)</w:t>
      </w:r>
      <w:r w:rsidR="009F38C4">
        <w:rPr>
          <w:rFonts w:ascii="Times New Roman" w:hAnsi="Times New Roman" w:cs="Times New Roman"/>
          <w:bCs/>
          <w:iCs/>
          <w:sz w:val="24"/>
          <w:szCs w:val="24"/>
        </w:rPr>
        <w:t>,</w:t>
      </w:r>
      <w:r w:rsidRPr="006B2CD4">
        <w:rPr>
          <w:rFonts w:ascii="Times New Roman" w:hAnsi="Times New Roman" w:cs="Times New Roman"/>
          <w:bCs/>
          <w:iCs/>
          <w:sz w:val="24"/>
          <w:szCs w:val="24"/>
        </w:rPr>
        <w:t xml:space="preserve"> jako administratora polskiej części Rejestru Unii na okres rozliczeniowy w ramach unijnego systemu handlu uprawnień do emisji gazów cieplarnianych, o którym mowa w art. 4 rozporządzenia Komisji (UE) </w:t>
      </w:r>
      <w:r w:rsidR="004E4903">
        <w:rPr>
          <w:rFonts w:ascii="Times New Roman" w:hAnsi="Times New Roman" w:cs="Times New Roman"/>
          <w:bCs/>
          <w:iCs/>
          <w:sz w:val="24"/>
          <w:szCs w:val="24"/>
        </w:rPr>
        <w:t>nr</w:t>
      </w:r>
      <w:r w:rsidRPr="006B2CD4">
        <w:rPr>
          <w:rFonts w:ascii="Times New Roman" w:hAnsi="Times New Roman" w:cs="Times New Roman"/>
          <w:bCs/>
          <w:iCs/>
          <w:sz w:val="24"/>
          <w:szCs w:val="24"/>
        </w:rPr>
        <w:t xml:space="preserve"> 389/2013 z dnia 2 maja 2013 r. ustanawiające</w:t>
      </w:r>
      <w:r w:rsidR="0005649A">
        <w:rPr>
          <w:rFonts w:ascii="Times New Roman" w:hAnsi="Times New Roman" w:cs="Times New Roman"/>
          <w:bCs/>
          <w:iCs/>
          <w:sz w:val="24"/>
          <w:szCs w:val="24"/>
        </w:rPr>
        <w:t>go</w:t>
      </w:r>
      <w:r w:rsidRPr="006B2CD4">
        <w:rPr>
          <w:rFonts w:ascii="Times New Roman" w:hAnsi="Times New Roman" w:cs="Times New Roman"/>
          <w:bCs/>
          <w:iCs/>
          <w:sz w:val="24"/>
          <w:szCs w:val="24"/>
        </w:rPr>
        <w:t xml:space="preserve"> rejestr Unii zgodnie z dyrektywą 2003/87/WE Parlamentu Europejskiego i Rady, decyzjami nr 280/2004/WE i nr 406/2009/WE Parlamentu Europejskiego i Rady oraz uchylające</w:t>
      </w:r>
      <w:r w:rsidR="0005649A">
        <w:rPr>
          <w:rFonts w:ascii="Times New Roman" w:hAnsi="Times New Roman" w:cs="Times New Roman"/>
          <w:bCs/>
          <w:iCs/>
          <w:sz w:val="24"/>
          <w:szCs w:val="24"/>
        </w:rPr>
        <w:t>go</w:t>
      </w:r>
      <w:r w:rsidRPr="006B2CD4">
        <w:rPr>
          <w:rFonts w:ascii="Times New Roman" w:hAnsi="Times New Roman" w:cs="Times New Roman"/>
          <w:bCs/>
          <w:iCs/>
          <w:sz w:val="24"/>
          <w:szCs w:val="24"/>
        </w:rPr>
        <w:t xml:space="preserve"> rozporządzenia Komisji (UE) nr 920/2010 i nr 1193/2011 (Dz. Urz. UE L 122 z </w:t>
      </w:r>
      <w:r w:rsidR="0019158B">
        <w:rPr>
          <w:rFonts w:ascii="Times New Roman" w:hAnsi="Times New Roman" w:cs="Times New Roman"/>
          <w:bCs/>
          <w:iCs/>
          <w:sz w:val="24"/>
          <w:szCs w:val="24"/>
        </w:rPr>
        <w:t>0</w:t>
      </w:r>
      <w:r w:rsidRPr="006B2CD4">
        <w:rPr>
          <w:rFonts w:ascii="Times New Roman" w:hAnsi="Times New Roman" w:cs="Times New Roman"/>
          <w:bCs/>
          <w:iCs/>
          <w:sz w:val="24"/>
          <w:szCs w:val="24"/>
        </w:rPr>
        <w:t>3.</w:t>
      </w:r>
      <w:r w:rsidR="0019158B">
        <w:rPr>
          <w:rFonts w:ascii="Times New Roman" w:hAnsi="Times New Roman" w:cs="Times New Roman"/>
          <w:bCs/>
          <w:iCs/>
          <w:sz w:val="24"/>
          <w:szCs w:val="24"/>
        </w:rPr>
        <w:t>0</w:t>
      </w:r>
      <w:r w:rsidRPr="006B2CD4">
        <w:rPr>
          <w:rFonts w:ascii="Times New Roman" w:hAnsi="Times New Roman" w:cs="Times New Roman"/>
          <w:bCs/>
          <w:iCs/>
          <w:sz w:val="24"/>
          <w:szCs w:val="24"/>
        </w:rPr>
        <w:t>5.2013 r. s</w:t>
      </w:r>
      <w:r w:rsidR="0005649A">
        <w:rPr>
          <w:rFonts w:ascii="Times New Roman" w:hAnsi="Times New Roman" w:cs="Times New Roman"/>
          <w:bCs/>
          <w:iCs/>
          <w:sz w:val="24"/>
          <w:szCs w:val="24"/>
        </w:rPr>
        <w:t>tr</w:t>
      </w:r>
      <w:r w:rsidRPr="006B2CD4">
        <w:rPr>
          <w:rFonts w:ascii="Times New Roman" w:hAnsi="Times New Roman" w:cs="Times New Roman"/>
          <w:bCs/>
          <w:iCs/>
          <w:sz w:val="24"/>
          <w:szCs w:val="24"/>
        </w:rPr>
        <w:t>. 1).</w:t>
      </w:r>
    </w:p>
    <w:p w14:paraId="720E3E8F" w14:textId="29DCD714" w:rsidR="00043D02" w:rsidRPr="004E4903" w:rsidRDefault="007109AB" w:rsidP="000014D0">
      <w:pPr>
        <w:shd w:val="clear" w:color="auto" w:fill="FFFFFF" w:themeFill="background1"/>
        <w:spacing w:after="120" w:line="360" w:lineRule="auto"/>
        <w:jc w:val="both"/>
        <w:rPr>
          <w:rFonts w:ascii="Times New Roman" w:hAnsi="Times New Roman" w:cs="Times New Roman"/>
          <w:bCs/>
          <w:iCs/>
          <w:sz w:val="24"/>
          <w:szCs w:val="24"/>
        </w:rPr>
      </w:pPr>
      <w:r>
        <w:rPr>
          <w:rFonts w:ascii="Times New Roman" w:hAnsi="Times New Roman" w:cs="Times New Roman"/>
          <w:bCs/>
          <w:iCs/>
          <w:sz w:val="24"/>
          <w:szCs w:val="24"/>
        </w:rPr>
        <w:t>Zmian</w:t>
      </w:r>
      <w:r w:rsidR="0005649A">
        <w:rPr>
          <w:rFonts w:ascii="Times New Roman" w:hAnsi="Times New Roman" w:cs="Times New Roman"/>
          <w:bCs/>
          <w:iCs/>
          <w:sz w:val="24"/>
          <w:szCs w:val="24"/>
        </w:rPr>
        <w:t>y</w:t>
      </w:r>
      <w:r>
        <w:rPr>
          <w:rFonts w:ascii="Times New Roman" w:hAnsi="Times New Roman" w:cs="Times New Roman"/>
          <w:bCs/>
          <w:iCs/>
          <w:sz w:val="24"/>
          <w:szCs w:val="24"/>
        </w:rPr>
        <w:t xml:space="preserve"> </w:t>
      </w:r>
      <w:r w:rsidR="0085603E">
        <w:rPr>
          <w:rFonts w:ascii="Times New Roman" w:hAnsi="Times New Roman" w:cs="Times New Roman"/>
          <w:bCs/>
          <w:iCs/>
          <w:sz w:val="24"/>
          <w:szCs w:val="24"/>
        </w:rPr>
        <w:t>art. 4a ust. 1</w:t>
      </w:r>
      <w:r w:rsidR="0005649A" w:rsidRPr="004E4903">
        <w:rPr>
          <w:rFonts w:ascii="Times New Roman" w:hAnsi="Times New Roman" w:cs="Times New Roman"/>
          <w:bCs/>
          <w:iCs/>
          <w:sz w:val="24"/>
          <w:szCs w:val="24"/>
        </w:rPr>
        <w:t>, art. 6 ust. 1 i art. 7 ust. 1 i 3</w:t>
      </w:r>
      <w:r w:rsidR="007C389F">
        <w:rPr>
          <w:rFonts w:ascii="Times New Roman" w:hAnsi="Times New Roman" w:cs="Times New Roman"/>
          <w:bCs/>
          <w:iCs/>
          <w:sz w:val="24"/>
          <w:szCs w:val="24"/>
        </w:rPr>
        <w:t xml:space="preserve"> </w:t>
      </w:r>
      <w:r w:rsidR="0005649A" w:rsidRPr="004E4903">
        <w:rPr>
          <w:rFonts w:ascii="Times New Roman" w:hAnsi="Times New Roman" w:cs="Times New Roman"/>
          <w:bCs/>
          <w:iCs/>
          <w:sz w:val="24"/>
          <w:szCs w:val="24"/>
        </w:rPr>
        <w:t>są</w:t>
      </w:r>
      <w:r w:rsidR="007C389F">
        <w:rPr>
          <w:rFonts w:ascii="Times New Roman" w:hAnsi="Times New Roman" w:cs="Times New Roman"/>
          <w:bCs/>
          <w:iCs/>
          <w:sz w:val="24"/>
          <w:szCs w:val="24"/>
        </w:rPr>
        <w:t xml:space="preserve"> </w:t>
      </w:r>
      <w:r w:rsidR="0085603E" w:rsidRPr="004E4903">
        <w:rPr>
          <w:rFonts w:ascii="Times New Roman" w:hAnsi="Times New Roman" w:cs="Times New Roman"/>
          <w:bCs/>
          <w:iCs/>
          <w:sz w:val="24"/>
          <w:szCs w:val="24"/>
        </w:rPr>
        <w:t>zmian</w:t>
      </w:r>
      <w:r w:rsidR="0005649A" w:rsidRPr="004E4903">
        <w:rPr>
          <w:rFonts w:ascii="Times New Roman" w:hAnsi="Times New Roman" w:cs="Times New Roman"/>
          <w:bCs/>
          <w:iCs/>
          <w:sz w:val="24"/>
          <w:szCs w:val="24"/>
        </w:rPr>
        <w:t xml:space="preserve">ami </w:t>
      </w:r>
      <w:r w:rsidR="0085603E" w:rsidRPr="004E4903">
        <w:rPr>
          <w:rFonts w:ascii="Times New Roman" w:hAnsi="Times New Roman" w:cs="Times New Roman"/>
          <w:bCs/>
          <w:iCs/>
          <w:sz w:val="24"/>
          <w:szCs w:val="24"/>
        </w:rPr>
        <w:t>wynikow</w:t>
      </w:r>
      <w:r w:rsidR="009F38C4">
        <w:rPr>
          <w:rFonts w:ascii="Times New Roman" w:hAnsi="Times New Roman" w:cs="Times New Roman"/>
          <w:bCs/>
          <w:iCs/>
          <w:sz w:val="24"/>
          <w:szCs w:val="24"/>
        </w:rPr>
        <w:t xml:space="preserve">ymi </w:t>
      </w:r>
      <w:r w:rsidR="0085603E" w:rsidRPr="004E4903">
        <w:rPr>
          <w:rFonts w:ascii="Times New Roman" w:hAnsi="Times New Roman" w:cs="Times New Roman"/>
          <w:bCs/>
          <w:iCs/>
          <w:sz w:val="24"/>
          <w:szCs w:val="24"/>
        </w:rPr>
        <w:t>związan</w:t>
      </w:r>
      <w:r w:rsidR="009F38C4">
        <w:rPr>
          <w:rFonts w:ascii="Times New Roman" w:hAnsi="Times New Roman" w:cs="Times New Roman"/>
          <w:bCs/>
          <w:iCs/>
          <w:sz w:val="24"/>
          <w:szCs w:val="24"/>
        </w:rPr>
        <w:t>ymi</w:t>
      </w:r>
      <w:r w:rsidR="0005649A" w:rsidRPr="004E4903">
        <w:rPr>
          <w:rFonts w:ascii="Times New Roman" w:hAnsi="Times New Roman" w:cs="Times New Roman"/>
          <w:bCs/>
          <w:iCs/>
          <w:sz w:val="24"/>
          <w:szCs w:val="24"/>
        </w:rPr>
        <w:t xml:space="preserve"> </w:t>
      </w:r>
      <w:r w:rsidR="009F38C4">
        <w:rPr>
          <w:rFonts w:ascii="Times New Roman" w:hAnsi="Times New Roman" w:cs="Times New Roman"/>
          <w:bCs/>
          <w:iCs/>
          <w:sz w:val="24"/>
          <w:szCs w:val="24"/>
        </w:rPr>
        <w:t xml:space="preserve">z </w:t>
      </w:r>
      <w:r w:rsidR="0085603E" w:rsidRPr="004E4903">
        <w:rPr>
          <w:rFonts w:ascii="Times New Roman" w:hAnsi="Times New Roman" w:cs="Times New Roman"/>
          <w:bCs/>
          <w:iCs/>
          <w:sz w:val="24"/>
          <w:szCs w:val="24"/>
        </w:rPr>
        <w:t>kompleksowymi zmianami dotyczącymi jednolitej licencji bankowej obejmującymi również banki państwowe.</w:t>
      </w:r>
      <w:r w:rsidR="00924B4C" w:rsidRPr="004E4903">
        <w:rPr>
          <w:rFonts w:ascii="Times New Roman" w:hAnsi="Times New Roman" w:cs="Times New Roman"/>
          <w:bCs/>
          <w:iCs/>
          <w:sz w:val="24"/>
          <w:szCs w:val="24"/>
        </w:rPr>
        <w:t xml:space="preserve"> </w:t>
      </w:r>
      <w:r w:rsidR="00924B4C" w:rsidRPr="004E4903">
        <w:rPr>
          <w:rFonts w:ascii="Times New Roman" w:hAnsi="Times New Roman"/>
          <w:sz w:val="24"/>
          <w:szCs w:val="24"/>
        </w:rPr>
        <w:t xml:space="preserve">W związku z wprowadzeniem tych zmian konieczne jest zachowanie pełnej spójności terminologicznej i definicyjnej przy wskazywaniu. Podobne </w:t>
      </w:r>
      <w:r w:rsidR="00924B4C" w:rsidRPr="004E4903">
        <w:rPr>
          <w:rFonts w:ascii="Times New Roman" w:hAnsi="Times New Roman"/>
          <w:i/>
          <w:sz w:val="24"/>
          <w:szCs w:val="24"/>
        </w:rPr>
        <w:t xml:space="preserve">ratio legis </w:t>
      </w:r>
      <w:r w:rsidR="00924B4C" w:rsidRPr="004E4903">
        <w:rPr>
          <w:rFonts w:ascii="Times New Roman" w:hAnsi="Times New Roman"/>
          <w:sz w:val="24"/>
          <w:szCs w:val="24"/>
        </w:rPr>
        <w:t>dotyczy pozostałych zmian w ty</w:t>
      </w:r>
      <w:r w:rsidR="004E4903">
        <w:rPr>
          <w:rFonts w:ascii="Times New Roman" w:hAnsi="Times New Roman"/>
          <w:sz w:val="24"/>
          <w:szCs w:val="24"/>
        </w:rPr>
        <w:t>m</w:t>
      </w:r>
      <w:r w:rsidR="00924B4C" w:rsidRPr="004E4903">
        <w:rPr>
          <w:rFonts w:ascii="Times New Roman" w:hAnsi="Times New Roman"/>
          <w:sz w:val="24"/>
          <w:szCs w:val="24"/>
        </w:rPr>
        <w:t xml:space="preserve"> zakresie zawartych w ustawie o obrocie.</w:t>
      </w:r>
    </w:p>
    <w:p w14:paraId="5945583C" w14:textId="78AD8EB5" w:rsidR="0005649A" w:rsidRDefault="000014D0" w:rsidP="0019158B">
      <w:pPr>
        <w:shd w:val="clear" w:color="auto" w:fill="FFFFFF" w:themeFill="background1"/>
        <w:spacing w:after="12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 xml:space="preserve">Obowiązki nałożone na agenta emisji wskazane w art. 7a ust. 4 pkt 1 i 2 przenoszą na </w:t>
      </w:r>
      <w:r>
        <w:rPr>
          <w:rFonts w:ascii="Times New Roman" w:hAnsi="Times New Roman" w:cs="Times New Roman"/>
          <w:bCs/>
          <w:iCs/>
          <w:sz w:val="24"/>
          <w:szCs w:val="24"/>
        </w:rPr>
        <w:t xml:space="preserve">niego </w:t>
      </w:r>
      <w:r w:rsidRPr="006B2CD4">
        <w:rPr>
          <w:rFonts w:ascii="Times New Roman" w:hAnsi="Times New Roman" w:cs="Times New Roman"/>
          <w:bCs/>
          <w:iCs/>
          <w:sz w:val="24"/>
          <w:szCs w:val="24"/>
        </w:rPr>
        <w:t>odpowiedzialność za prawdziwość i rzetelność informacji przekazywanych posiadaczom papierów wartościowych</w:t>
      </w:r>
      <w:r>
        <w:rPr>
          <w:rFonts w:ascii="Times New Roman" w:hAnsi="Times New Roman" w:cs="Times New Roman"/>
          <w:bCs/>
          <w:iCs/>
          <w:sz w:val="24"/>
          <w:szCs w:val="24"/>
        </w:rPr>
        <w:t xml:space="preserve"> </w:t>
      </w:r>
      <w:r w:rsidR="0005649A">
        <w:rPr>
          <w:rFonts w:ascii="Times New Roman" w:hAnsi="Times New Roman" w:cs="Times New Roman"/>
          <w:bCs/>
          <w:iCs/>
          <w:sz w:val="24"/>
          <w:szCs w:val="24"/>
        </w:rPr>
        <w:t xml:space="preserve">– </w:t>
      </w:r>
      <w:r>
        <w:rPr>
          <w:rFonts w:ascii="Times New Roman" w:hAnsi="Times New Roman" w:cs="Times New Roman"/>
          <w:bCs/>
          <w:iCs/>
          <w:sz w:val="24"/>
          <w:szCs w:val="24"/>
        </w:rPr>
        <w:t xml:space="preserve">dotychczasowy </w:t>
      </w:r>
      <w:r w:rsidRPr="006B2CD4">
        <w:rPr>
          <w:rFonts w:ascii="Times New Roman" w:hAnsi="Times New Roman" w:cs="Times New Roman"/>
          <w:bCs/>
          <w:iCs/>
          <w:sz w:val="24"/>
          <w:szCs w:val="24"/>
        </w:rPr>
        <w:t>zakres odpowiedzialności agenta emisji</w:t>
      </w:r>
      <w:r>
        <w:rPr>
          <w:rFonts w:ascii="Times New Roman" w:hAnsi="Times New Roman" w:cs="Times New Roman"/>
          <w:bCs/>
          <w:iCs/>
          <w:sz w:val="24"/>
          <w:szCs w:val="24"/>
        </w:rPr>
        <w:t xml:space="preserve"> nie został bo</w:t>
      </w:r>
      <w:r>
        <w:rPr>
          <w:rFonts w:ascii="Times New Roman" w:hAnsi="Times New Roman" w:cs="Times New Roman"/>
          <w:bCs/>
          <w:iCs/>
          <w:sz w:val="24"/>
          <w:szCs w:val="24"/>
        </w:rPr>
        <w:lastRenderedPageBreak/>
        <w:t>wiem określony w sposób wystarczający</w:t>
      </w:r>
      <w:r w:rsidRPr="006B2CD4">
        <w:rPr>
          <w:rFonts w:ascii="Times New Roman" w:hAnsi="Times New Roman" w:cs="Times New Roman"/>
          <w:bCs/>
          <w:iCs/>
          <w:sz w:val="24"/>
          <w:szCs w:val="24"/>
        </w:rPr>
        <w:t>. Agent emisji nie powinien być utożsamiany z podmiotem oferującym papiery wartościowe</w:t>
      </w:r>
      <w:r>
        <w:rPr>
          <w:rFonts w:ascii="Times New Roman" w:hAnsi="Times New Roman" w:cs="Times New Roman"/>
          <w:bCs/>
          <w:iCs/>
          <w:sz w:val="24"/>
          <w:szCs w:val="24"/>
        </w:rPr>
        <w:t>, w rozumieniu art. 4 pkt 7a ustawy o ofercie publicznej</w:t>
      </w:r>
      <w:r w:rsidRPr="006B2CD4">
        <w:rPr>
          <w:rFonts w:ascii="Times New Roman" w:hAnsi="Times New Roman" w:cs="Times New Roman"/>
          <w:bCs/>
          <w:iCs/>
          <w:sz w:val="24"/>
          <w:szCs w:val="24"/>
        </w:rPr>
        <w:t>. W praktyce to oferujący jest zaangażowany w przygotowanie dokumentów ofertowych (weryfikuje przy tym dokumenty emitenta)</w:t>
      </w:r>
      <w:r>
        <w:rPr>
          <w:rFonts w:ascii="Times New Roman" w:hAnsi="Times New Roman" w:cs="Times New Roman"/>
          <w:bCs/>
          <w:iCs/>
          <w:sz w:val="24"/>
          <w:szCs w:val="24"/>
        </w:rPr>
        <w:t xml:space="preserve">. Zadaniem </w:t>
      </w:r>
      <w:r w:rsidRPr="006B2CD4">
        <w:rPr>
          <w:rFonts w:ascii="Times New Roman" w:hAnsi="Times New Roman" w:cs="Times New Roman"/>
          <w:bCs/>
          <w:iCs/>
          <w:sz w:val="24"/>
          <w:szCs w:val="24"/>
        </w:rPr>
        <w:t xml:space="preserve">agenta emisji powinna być weryfikacja formalna dokumentów </w:t>
      </w:r>
      <w:r>
        <w:rPr>
          <w:rFonts w:ascii="Times New Roman" w:hAnsi="Times New Roman" w:cs="Times New Roman"/>
          <w:bCs/>
          <w:iCs/>
          <w:sz w:val="24"/>
          <w:szCs w:val="24"/>
        </w:rPr>
        <w:t xml:space="preserve">na kolejnym etapie, </w:t>
      </w:r>
      <w:r w:rsidRPr="006B2CD4">
        <w:rPr>
          <w:rFonts w:ascii="Times New Roman" w:hAnsi="Times New Roman" w:cs="Times New Roman"/>
          <w:bCs/>
          <w:iCs/>
          <w:sz w:val="24"/>
          <w:szCs w:val="24"/>
        </w:rPr>
        <w:t>w celu sprawnej rejestracji papierów w KDPW. Agent emisji jest podmiotem profesjonalnym</w:t>
      </w:r>
      <w:r>
        <w:rPr>
          <w:rFonts w:ascii="Times New Roman" w:hAnsi="Times New Roman" w:cs="Times New Roman"/>
          <w:bCs/>
          <w:iCs/>
          <w:sz w:val="24"/>
          <w:szCs w:val="24"/>
        </w:rPr>
        <w:t xml:space="preserve"> </w:t>
      </w:r>
      <w:r w:rsidRPr="006B2CD4">
        <w:rPr>
          <w:rFonts w:ascii="Times New Roman" w:hAnsi="Times New Roman" w:cs="Times New Roman"/>
          <w:bCs/>
          <w:iCs/>
          <w:sz w:val="24"/>
          <w:szCs w:val="24"/>
        </w:rPr>
        <w:t xml:space="preserve">i </w:t>
      </w:r>
      <w:r>
        <w:rPr>
          <w:rFonts w:ascii="Times New Roman" w:hAnsi="Times New Roman" w:cs="Times New Roman"/>
          <w:bCs/>
          <w:iCs/>
          <w:sz w:val="24"/>
          <w:szCs w:val="24"/>
        </w:rPr>
        <w:t xml:space="preserve">pozostaje </w:t>
      </w:r>
      <w:r w:rsidRPr="006B2CD4">
        <w:rPr>
          <w:rFonts w:ascii="Times New Roman" w:hAnsi="Times New Roman" w:cs="Times New Roman"/>
          <w:bCs/>
          <w:iCs/>
          <w:sz w:val="24"/>
          <w:szCs w:val="24"/>
        </w:rPr>
        <w:t xml:space="preserve">w kontakcie z emitentem, powinien zatem zwracać uwagę na informacje, które wprowadzają w błąd lub są nieprawdziwe. </w:t>
      </w:r>
    </w:p>
    <w:p w14:paraId="1328806C" w14:textId="77777777" w:rsidR="00F46B3B" w:rsidRDefault="00F46B3B" w:rsidP="00F46B3B">
      <w:pPr>
        <w:shd w:val="clear" w:color="auto" w:fill="FFFFFF" w:themeFill="background1"/>
        <w:spacing w:after="120" w:line="360" w:lineRule="auto"/>
        <w:jc w:val="both"/>
        <w:rPr>
          <w:rFonts w:ascii="Times New Roman" w:hAnsi="Times New Roman" w:cs="Times New Roman"/>
          <w:bCs/>
          <w:iCs/>
          <w:sz w:val="24"/>
          <w:szCs w:val="24"/>
        </w:rPr>
      </w:pPr>
      <w:r w:rsidRPr="00F46B3B">
        <w:rPr>
          <w:rFonts w:ascii="Times New Roman" w:hAnsi="Times New Roman" w:cs="Times New Roman"/>
          <w:bCs/>
          <w:iCs/>
          <w:sz w:val="24"/>
          <w:szCs w:val="24"/>
        </w:rPr>
        <w:t>Zmiany art. 7a ust. 3 i ust. 10 oraz art. 7aa są zmianami wynikowymi związanymi z opisanymi wyżej zmianami dotyczącymi jednolitej licencji bankowej obejmującymi również banki państwowe i koniecznością zapewnienia spójności w tym zakresie.</w:t>
      </w:r>
    </w:p>
    <w:p w14:paraId="2B105788" w14:textId="13D3664F" w:rsidR="000014D0" w:rsidRDefault="000014D0" w:rsidP="0019158B">
      <w:pPr>
        <w:shd w:val="clear" w:color="auto" w:fill="FFFFFF" w:themeFill="background1"/>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Zmiana art. 7b ust. 2 ma na celu wzmocnienie poziomu ochrony interesów uczestników obrotu na rynku kapitałowym. Proponuje się nałożenie na emitentów wymogu przekazywania </w:t>
      </w:r>
      <w:r>
        <w:rPr>
          <w:rFonts w:ascii="Times New Roman" w:hAnsi="Times New Roman" w:cs="Times New Roman"/>
          <w:bCs/>
          <w:sz w:val="24"/>
          <w:szCs w:val="24"/>
        </w:rPr>
        <w:t xml:space="preserve">do </w:t>
      </w:r>
      <w:r w:rsidRPr="006B2CD4">
        <w:rPr>
          <w:rFonts w:ascii="Times New Roman" w:hAnsi="Times New Roman" w:cs="Times New Roman"/>
          <w:bCs/>
          <w:sz w:val="24"/>
          <w:szCs w:val="24"/>
        </w:rPr>
        <w:t>KDPW informacji niezwłocznie, jednak nie później niż w terminie 3 dni roboczych od dnia wystąpienia zdarzenia</w:t>
      </w:r>
      <w:r>
        <w:rPr>
          <w:rFonts w:ascii="Times New Roman" w:hAnsi="Times New Roman" w:cs="Times New Roman"/>
          <w:bCs/>
          <w:sz w:val="24"/>
          <w:szCs w:val="24"/>
        </w:rPr>
        <w:t>,</w:t>
      </w:r>
      <w:r w:rsidRPr="006B2CD4">
        <w:rPr>
          <w:rFonts w:ascii="Times New Roman" w:hAnsi="Times New Roman" w:cs="Times New Roman"/>
          <w:bCs/>
          <w:sz w:val="24"/>
          <w:szCs w:val="24"/>
        </w:rPr>
        <w:t xml:space="preserve"> informacji o wartości świadczeń wynikających z papierów wartościowych, </w:t>
      </w:r>
      <w:r w:rsidR="00EA3109">
        <w:rPr>
          <w:rFonts w:ascii="Times New Roman" w:hAnsi="Times New Roman" w:cs="Times New Roman"/>
          <w:bCs/>
          <w:sz w:val="24"/>
          <w:szCs w:val="24"/>
        </w:rPr>
        <w:t>o których mowa w art. 7b ust. 1</w:t>
      </w:r>
      <w:r>
        <w:rPr>
          <w:rFonts w:ascii="Times New Roman" w:hAnsi="Times New Roman" w:cs="Times New Roman"/>
          <w:bCs/>
          <w:sz w:val="24"/>
          <w:szCs w:val="24"/>
        </w:rPr>
        <w:t>. J</w:t>
      </w:r>
      <w:r w:rsidRPr="006B2CD4">
        <w:rPr>
          <w:rFonts w:ascii="Times New Roman" w:hAnsi="Times New Roman" w:cs="Times New Roman"/>
          <w:bCs/>
          <w:sz w:val="24"/>
          <w:szCs w:val="24"/>
        </w:rPr>
        <w:t xml:space="preserve">est to uzasadnione </w:t>
      </w:r>
      <w:r>
        <w:rPr>
          <w:rFonts w:ascii="Times New Roman" w:hAnsi="Times New Roman" w:cs="Times New Roman"/>
          <w:bCs/>
          <w:sz w:val="24"/>
          <w:szCs w:val="24"/>
        </w:rPr>
        <w:t>ryzykiem niedochowania</w:t>
      </w:r>
      <w:r w:rsidR="007C389F">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terminu, zwłaszcza w okresie świątecznym. </w:t>
      </w:r>
    </w:p>
    <w:p w14:paraId="2CFAD98B" w14:textId="77777777" w:rsidR="000014D0" w:rsidRDefault="000014D0" w:rsidP="0005649A">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Ponadto zostanie doprecyzowany zakres informacji, które mają być przekazywane przez emitenta do KDPW. </w:t>
      </w:r>
    </w:p>
    <w:p w14:paraId="4AA82C3D" w14:textId="77777777" w:rsidR="005232CD" w:rsidRPr="00BC7774" w:rsidRDefault="005232CD" w:rsidP="005232CD">
      <w:pPr>
        <w:spacing w:line="360" w:lineRule="auto"/>
        <w:jc w:val="both"/>
        <w:rPr>
          <w:rFonts w:ascii="Times New Roman" w:hAnsi="Times New Roman" w:cs="Times New Roman"/>
          <w:color w:val="000000" w:themeColor="text1"/>
          <w:sz w:val="24"/>
        </w:rPr>
      </w:pPr>
      <w:r w:rsidRPr="00BC7774">
        <w:rPr>
          <w:rFonts w:ascii="Times New Roman" w:hAnsi="Times New Roman" w:cs="Times New Roman"/>
          <w:color w:val="000000" w:themeColor="text1"/>
          <w:sz w:val="24"/>
        </w:rPr>
        <w:lastRenderedPageBreak/>
        <w:t xml:space="preserve">Dodanie w art. 7b ust. 6 </w:t>
      </w:r>
      <w:r>
        <w:rPr>
          <w:rFonts w:ascii="Times New Roman" w:hAnsi="Times New Roman" w:cs="Times New Roman"/>
          <w:color w:val="000000" w:themeColor="text1"/>
          <w:sz w:val="24"/>
        </w:rPr>
        <w:t xml:space="preserve">odniesienia do papierów wartościowych DLT </w:t>
      </w:r>
      <w:r w:rsidRPr="00BC7774">
        <w:rPr>
          <w:rFonts w:ascii="Times New Roman" w:hAnsi="Times New Roman" w:cs="Times New Roman"/>
          <w:color w:val="000000" w:themeColor="text1"/>
          <w:sz w:val="24"/>
        </w:rPr>
        <w:t>umożliwi ujawnienie w prowadzonym przez ten podmiot Rejestrze Zobowiązań Emitentów kompletnych informacji o wysokości zobowiązań i terminowości ich regulowania przez emitentów obligacji.</w:t>
      </w:r>
    </w:p>
    <w:p w14:paraId="2E787ADF" w14:textId="241F5D5F" w:rsidR="000014D0" w:rsidRDefault="000014D0" w:rsidP="0005649A">
      <w:pPr>
        <w:shd w:val="clear" w:color="auto" w:fill="FFFFFF" w:themeFill="background1"/>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Dodanie art. 7c ma na celu zrównanie wymogów wobec podmiotów, które wyemitowały obligacje i zgłosiły dane </w:t>
      </w:r>
      <w:r>
        <w:rPr>
          <w:rFonts w:ascii="Times New Roman" w:hAnsi="Times New Roman" w:cs="Times New Roman"/>
          <w:bCs/>
          <w:sz w:val="24"/>
          <w:szCs w:val="24"/>
        </w:rPr>
        <w:t>d</w:t>
      </w:r>
      <w:r w:rsidRPr="006B2CD4">
        <w:rPr>
          <w:rFonts w:ascii="Times New Roman" w:hAnsi="Times New Roman" w:cs="Times New Roman"/>
          <w:bCs/>
          <w:sz w:val="24"/>
          <w:szCs w:val="24"/>
        </w:rPr>
        <w:t>o</w:t>
      </w:r>
      <w:r>
        <w:rPr>
          <w:rFonts w:ascii="Times New Roman" w:hAnsi="Times New Roman" w:cs="Times New Roman"/>
          <w:bCs/>
          <w:sz w:val="24"/>
          <w:szCs w:val="24"/>
        </w:rPr>
        <w:t xml:space="preserve">tyczące </w:t>
      </w:r>
      <w:r w:rsidRPr="006B2CD4">
        <w:rPr>
          <w:rFonts w:ascii="Times New Roman" w:hAnsi="Times New Roman" w:cs="Times New Roman"/>
          <w:bCs/>
          <w:sz w:val="24"/>
          <w:szCs w:val="24"/>
        </w:rPr>
        <w:t>tych obligacjach do Rejestru Zobowiązań Emitentów prowadzonego przez KDPW (baz</w:t>
      </w:r>
      <w:r>
        <w:rPr>
          <w:rFonts w:ascii="Times New Roman" w:hAnsi="Times New Roman" w:cs="Times New Roman"/>
          <w:bCs/>
          <w:sz w:val="24"/>
          <w:szCs w:val="24"/>
        </w:rPr>
        <w:t>y</w:t>
      </w:r>
      <w:r w:rsidR="009F38C4">
        <w:rPr>
          <w:rFonts w:ascii="Times New Roman" w:hAnsi="Times New Roman" w:cs="Times New Roman"/>
          <w:bCs/>
          <w:sz w:val="24"/>
          <w:szCs w:val="24"/>
        </w:rPr>
        <w:t xml:space="preserve"> RZE)</w:t>
      </w:r>
      <w:r>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z wymogami </w:t>
      </w:r>
      <w:r>
        <w:rPr>
          <w:rFonts w:ascii="Times New Roman" w:hAnsi="Times New Roman" w:cs="Times New Roman"/>
          <w:bCs/>
          <w:sz w:val="24"/>
          <w:szCs w:val="24"/>
        </w:rPr>
        <w:t xml:space="preserve">wobec </w:t>
      </w:r>
      <w:r w:rsidRPr="006B2CD4">
        <w:rPr>
          <w:rFonts w:ascii="Times New Roman" w:hAnsi="Times New Roman" w:cs="Times New Roman"/>
          <w:bCs/>
          <w:sz w:val="24"/>
          <w:szCs w:val="24"/>
        </w:rPr>
        <w:t xml:space="preserve">podmiotów, które będą zgłaszać dane do bazy RZE po raz pierwszy. </w:t>
      </w:r>
    </w:p>
    <w:p w14:paraId="5F0E7A87" w14:textId="3CFB8BDA" w:rsidR="000014D0" w:rsidRDefault="000014D0" w:rsidP="0005649A">
      <w:pPr>
        <w:shd w:val="clear" w:color="auto" w:fill="FFFFFF" w:themeFill="background1"/>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W związku z tym n</w:t>
      </w:r>
      <w:r w:rsidRPr="006B2CD4">
        <w:rPr>
          <w:rFonts w:ascii="Times New Roman" w:hAnsi="Times New Roman" w:cs="Times New Roman"/>
          <w:bCs/>
          <w:sz w:val="24"/>
          <w:szCs w:val="24"/>
        </w:rPr>
        <w:t>astąpi rozszerzenie bazy danych o emitowanych przez poszczególnych emitentów papierach dłużnych</w:t>
      </w:r>
      <w:r w:rsidR="009F38C4">
        <w:rPr>
          <w:rFonts w:ascii="Times New Roman" w:hAnsi="Times New Roman" w:cs="Times New Roman"/>
          <w:bCs/>
          <w:sz w:val="24"/>
          <w:szCs w:val="24"/>
        </w:rPr>
        <w:t>,</w:t>
      </w:r>
      <w:r w:rsidRPr="006B2CD4">
        <w:rPr>
          <w:rFonts w:ascii="Times New Roman" w:hAnsi="Times New Roman" w:cs="Times New Roman"/>
          <w:bCs/>
          <w:sz w:val="24"/>
          <w:szCs w:val="24"/>
        </w:rPr>
        <w:t xml:space="preserve"> utworzonej przez KDPW na podstawie </w:t>
      </w:r>
      <w:r>
        <w:rPr>
          <w:rFonts w:ascii="Times New Roman" w:hAnsi="Times New Roman" w:cs="Times New Roman"/>
          <w:bCs/>
          <w:sz w:val="24"/>
          <w:szCs w:val="24"/>
        </w:rPr>
        <w:t xml:space="preserve">art. 44 </w:t>
      </w:r>
      <w:r w:rsidRPr="006B2CD4">
        <w:rPr>
          <w:rFonts w:ascii="Times New Roman" w:hAnsi="Times New Roman" w:cs="Times New Roman"/>
          <w:bCs/>
          <w:sz w:val="24"/>
          <w:szCs w:val="24"/>
        </w:rPr>
        <w:t>ustawy z dnia 9 listopada 2018 r. o zmianie niektórych ustaw w związku ze wzmocnieniem nadzoru nad rynkiem finansowym oraz ochrony inwestorów na tym rynku (Dz. U. poz. 2243, z późn. zm.)</w:t>
      </w:r>
      <w:r>
        <w:rPr>
          <w:rFonts w:ascii="Times New Roman" w:hAnsi="Times New Roman" w:cs="Times New Roman"/>
          <w:bCs/>
          <w:sz w:val="24"/>
          <w:szCs w:val="24"/>
        </w:rPr>
        <w:t xml:space="preserve"> – w bazie RZE będą ujawnianie </w:t>
      </w:r>
      <w:r w:rsidRPr="006B2CD4">
        <w:rPr>
          <w:rFonts w:ascii="Times New Roman" w:hAnsi="Times New Roman" w:cs="Times New Roman"/>
          <w:bCs/>
          <w:sz w:val="24"/>
          <w:szCs w:val="24"/>
        </w:rPr>
        <w:t xml:space="preserve">dodatkowe informacje dotyczące </w:t>
      </w:r>
      <w:r>
        <w:rPr>
          <w:rFonts w:ascii="Times New Roman" w:hAnsi="Times New Roman" w:cs="Times New Roman"/>
          <w:bCs/>
          <w:sz w:val="24"/>
          <w:szCs w:val="24"/>
        </w:rPr>
        <w:t xml:space="preserve">wyemitowanych </w:t>
      </w:r>
      <w:r w:rsidRPr="006B2CD4">
        <w:rPr>
          <w:rFonts w:ascii="Times New Roman" w:hAnsi="Times New Roman" w:cs="Times New Roman"/>
          <w:bCs/>
          <w:sz w:val="24"/>
          <w:szCs w:val="24"/>
        </w:rPr>
        <w:t>papierów</w:t>
      </w:r>
      <w:r>
        <w:rPr>
          <w:rFonts w:ascii="Times New Roman" w:hAnsi="Times New Roman" w:cs="Times New Roman"/>
          <w:bCs/>
          <w:sz w:val="24"/>
          <w:szCs w:val="24"/>
        </w:rPr>
        <w:t xml:space="preserve"> wartościowych, </w:t>
      </w:r>
      <w:r w:rsidRPr="006B2CD4">
        <w:rPr>
          <w:rFonts w:ascii="Times New Roman" w:hAnsi="Times New Roman" w:cs="Times New Roman"/>
          <w:bCs/>
          <w:sz w:val="24"/>
          <w:szCs w:val="24"/>
        </w:rPr>
        <w:t>informacje dotyczące papierów wartościowych</w:t>
      </w:r>
      <w:r>
        <w:rPr>
          <w:rFonts w:ascii="Times New Roman" w:hAnsi="Times New Roman" w:cs="Times New Roman"/>
          <w:bCs/>
          <w:sz w:val="24"/>
          <w:szCs w:val="24"/>
        </w:rPr>
        <w:t xml:space="preserve">, </w:t>
      </w:r>
      <w:r w:rsidRPr="006B2CD4">
        <w:rPr>
          <w:rFonts w:ascii="Times New Roman" w:hAnsi="Times New Roman" w:cs="Times New Roman"/>
          <w:bCs/>
          <w:sz w:val="24"/>
          <w:szCs w:val="24"/>
        </w:rPr>
        <w:t>których emitenci zamierzają ubiegać się o dopuszczenie ich do obrotu na rynku regulowanym lub wprowadzenie do Alternatywnego Systemu Obrotu</w:t>
      </w:r>
      <w:r>
        <w:rPr>
          <w:rFonts w:ascii="Times New Roman" w:hAnsi="Times New Roman" w:cs="Times New Roman"/>
          <w:bCs/>
          <w:sz w:val="24"/>
          <w:szCs w:val="24"/>
        </w:rPr>
        <w:t xml:space="preserve"> czy też papierów wartościowych </w:t>
      </w:r>
      <w:r w:rsidRPr="006B2CD4">
        <w:rPr>
          <w:rFonts w:ascii="Times New Roman" w:hAnsi="Times New Roman" w:cs="Times New Roman"/>
          <w:bCs/>
          <w:sz w:val="24"/>
          <w:szCs w:val="24"/>
        </w:rPr>
        <w:t>emitowan</w:t>
      </w:r>
      <w:r>
        <w:rPr>
          <w:rFonts w:ascii="Times New Roman" w:hAnsi="Times New Roman" w:cs="Times New Roman"/>
          <w:bCs/>
          <w:sz w:val="24"/>
          <w:szCs w:val="24"/>
        </w:rPr>
        <w:t>ych</w:t>
      </w:r>
      <w:r w:rsidRPr="006B2CD4">
        <w:rPr>
          <w:rFonts w:ascii="Times New Roman" w:hAnsi="Times New Roman" w:cs="Times New Roman"/>
          <w:bCs/>
          <w:sz w:val="24"/>
          <w:szCs w:val="24"/>
        </w:rPr>
        <w:t xml:space="preserve"> przez emitentów papierów wartościowych </w:t>
      </w:r>
      <w:r>
        <w:rPr>
          <w:rFonts w:ascii="Times New Roman" w:hAnsi="Times New Roman" w:cs="Times New Roman"/>
          <w:bCs/>
          <w:sz w:val="24"/>
          <w:szCs w:val="24"/>
        </w:rPr>
        <w:t xml:space="preserve">już </w:t>
      </w:r>
      <w:r w:rsidRPr="006B2CD4">
        <w:rPr>
          <w:rFonts w:ascii="Times New Roman" w:hAnsi="Times New Roman" w:cs="Times New Roman"/>
          <w:bCs/>
          <w:sz w:val="24"/>
          <w:szCs w:val="24"/>
        </w:rPr>
        <w:t>dopuszczonych do obro</w:t>
      </w:r>
      <w:r>
        <w:rPr>
          <w:rFonts w:ascii="Times New Roman" w:hAnsi="Times New Roman" w:cs="Times New Roman"/>
          <w:bCs/>
          <w:sz w:val="24"/>
          <w:szCs w:val="24"/>
        </w:rPr>
        <w:t xml:space="preserve">tu. </w:t>
      </w:r>
      <w:r w:rsidRPr="006B2CD4">
        <w:rPr>
          <w:rFonts w:ascii="Times New Roman" w:hAnsi="Times New Roman" w:cs="Times New Roman"/>
          <w:bCs/>
          <w:sz w:val="24"/>
          <w:szCs w:val="24"/>
        </w:rPr>
        <w:t xml:space="preserve">Z uwagi na nałożenie na emitentów nowych obowiązków </w:t>
      </w:r>
      <w:r>
        <w:rPr>
          <w:rFonts w:ascii="Times New Roman" w:hAnsi="Times New Roman" w:cs="Times New Roman"/>
          <w:bCs/>
          <w:sz w:val="24"/>
          <w:szCs w:val="24"/>
        </w:rPr>
        <w:t xml:space="preserve">proponuje się </w:t>
      </w:r>
      <w:r w:rsidRPr="006B2CD4">
        <w:rPr>
          <w:rFonts w:ascii="Times New Roman" w:hAnsi="Times New Roman" w:cs="Times New Roman"/>
          <w:bCs/>
          <w:sz w:val="24"/>
          <w:szCs w:val="24"/>
        </w:rPr>
        <w:t>dodan</w:t>
      </w:r>
      <w:r>
        <w:rPr>
          <w:rFonts w:ascii="Times New Roman" w:hAnsi="Times New Roman" w:cs="Times New Roman"/>
          <w:bCs/>
          <w:sz w:val="24"/>
          <w:szCs w:val="24"/>
        </w:rPr>
        <w:t xml:space="preserve">ie </w:t>
      </w:r>
      <w:r w:rsidRPr="006B2CD4">
        <w:rPr>
          <w:rFonts w:ascii="Times New Roman" w:hAnsi="Times New Roman" w:cs="Times New Roman"/>
          <w:bCs/>
          <w:sz w:val="24"/>
          <w:szCs w:val="24"/>
        </w:rPr>
        <w:t xml:space="preserve">art. 7c ust. 3, który będzie zawierał </w:t>
      </w:r>
      <w:r>
        <w:rPr>
          <w:rFonts w:ascii="Times New Roman" w:hAnsi="Times New Roman" w:cs="Times New Roman"/>
          <w:bCs/>
          <w:sz w:val="24"/>
          <w:szCs w:val="24"/>
        </w:rPr>
        <w:t xml:space="preserve">upoważnienie dla ministra właściwego do spraw instytucji finansowych </w:t>
      </w:r>
      <w:r w:rsidRPr="006B2CD4">
        <w:rPr>
          <w:rFonts w:ascii="Times New Roman" w:hAnsi="Times New Roman" w:cs="Times New Roman"/>
          <w:bCs/>
          <w:sz w:val="24"/>
          <w:szCs w:val="24"/>
        </w:rPr>
        <w:t xml:space="preserve">do wydania rozporządzenia, w którym </w:t>
      </w:r>
      <w:r>
        <w:rPr>
          <w:rFonts w:ascii="Times New Roman" w:hAnsi="Times New Roman" w:cs="Times New Roman"/>
          <w:bCs/>
          <w:sz w:val="24"/>
          <w:szCs w:val="24"/>
        </w:rPr>
        <w:t xml:space="preserve">zostaną doprecyzowane obowiązki informacyjne emitentów. </w:t>
      </w:r>
    </w:p>
    <w:p w14:paraId="497F6BC1" w14:textId="77777777" w:rsidR="000014D0" w:rsidRPr="006B2CD4" w:rsidRDefault="000014D0" w:rsidP="000014D0">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Powyższe rozwiązania </w:t>
      </w:r>
      <w:r w:rsidRPr="006B2CD4">
        <w:rPr>
          <w:rFonts w:ascii="Times New Roman" w:hAnsi="Times New Roman" w:cs="Times New Roman"/>
          <w:bCs/>
          <w:sz w:val="24"/>
          <w:szCs w:val="24"/>
        </w:rPr>
        <w:t>wpłyn</w:t>
      </w:r>
      <w:r>
        <w:rPr>
          <w:rFonts w:ascii="Times New Roman" w:hAnsi="Times New Roman" w:cs="Times New Roman"/>
          <w:bCs/>
          <w:sz w:val="24"/>
          <w:szCs w:val="24"/>
        </w:rPr>
        <w:t xml:space="preserve">ą </w:t>
      </w:r>
      <w:r w:rsidRPr="006B2CD4">
        <w:rPr>
          <w:rFonts w:ascii="Times New Roman" w:hAnsi="Times New Roman" w:cs="Times New Roman"/>
          <w:bCs/>
          <w:sz w:val="24"/>
          <w:szCs w:val="24"/>
        </w:rPr>
        <w:t>na wzrost efektywności nadzoru sprawowanego przez KNF</w:t>
      </w:r>
      <w:r>
        <w:rPr>
          <w:rFonts w:ascii="Times New Roman" w:hAnsi="Times New Roman" w:cs="Times New Roman"/>
          <w:bCs/>
          <w:sz w:val="24"/>
          <w:szCs w:val="24"/>
        </w:rPr>
        <w:t xml:space="preserve"> przez umożliwienie KNF pełnej weryfikacji emisji (jej zgodności z prawem) oraz </w:t>
      </w:r>
      <w:r w:rsidRPr="006B2CD4">
        <w:rPr>
          <w:rFonts w:ascii="Times New Roman" w:hAnsi="Times New Roman" w:cs="Times New Roman"/>
          <w:bCs/>
          <w:sz w:val="24"/>
          <w:szCs w:val="24"/>
        </w:rPr>
        <w:t>wzmocni</w:t>
      </w:r>
      <w:r>
        <w:rPr>
          <w:rFonts w:ascii="Times New Roman" w:hAnsi="Times New Roman" w:cs="Times New Roman"/>
          <w:bCs/>
          <w:sz w:val="24"/>
          <w:szCs w:val="24"/>
        </w:rPr>
        <w:t xml:space="preserve">enie </w:t>
      </w:r>
      <w:r w:rsidRPr="006B2CD4">
        <w:rPr>
          <w:rFonts w:ascii="Times New Roman" w:hAnsi="Times New Roman" w:cs="Times New Roman"/>
          <w:bCs/>
          <w:sz w:val="24"/>
          <w:szCs w:val="24"/>
        </w:rPr>
        <w:t>poziom</w:t>
      </w:r>
      <w:r>
        <w:rPr>
          <w:rFonts w:ascii="Times New Roman" w:hAnsi="Times New Roman" w:cs="Times New Roman"/>
          <w:bCs/>
          <w:sz w:val="24"/>
          <w:szCs w:val="24"/>
        </w:rPr>
        <w:t>u</w:t>
      </w:r>
      <w:r w:rsidRPr="006B2CD4">
        <w:rPr>
          <w:rFonts w:ascii="Times New Roman" w:hAnsi="Times New Roman" w:cs="Times New Roman"/>
          <w:bCs/>
          <w:sz w:val="24"/>
          <w:szCs w:val="24"/>
        </w:rPr>
        <w:t xml:space="preserve"> ochrony uczestników rynku kapitałowego, w szczególności inwestorów. </w:t>
      </w:r>
    </w:p>
    <w:p w14:paraId="3855955E" w14:textId="2973D534" w:rsidR="000014D0" w:rsidRPr="006B2CD4" w:rsidRDefault="000014D0" w:rsidP="000014D0">
      <w:pPr>
        <w:shd w:val="clear" w:color="auto" w:fill="FFFFFF" w:themeFill="background1"/>
        <w:spacing w:after="12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Zmiana brzmienia art. 13 ust. 1</w:t>
      </w:r>
      <w:r w:rsidR="007C389F">
        <w:rPr>
          <w:rFonts w:ascii="Times New Roman" w:hAnsi="Times New Roman" w:cs="Times New Roman"/>
          <w:b/>
          <w:bCs/>
          <w:iCs/>
          <w:sz w:val="24"/>
          <w:szCs w:val="24"/>
        </w:rPr>
        <w:t xml:space="preserve"> </w:t>
      </w:r>
      <w:r w:rsidRPr="006B2CD4">
        <w:rPr>
          <w:rFonts w:ascii="Times New Roman" w:hAnsi="Times New Roman" w:cs="Times New Roman"/>
          <w:bCs/>
          <w:iCs/>
          <w:sz w:val="24"/>
          <w:szCs w:val="24"/>
        </w:rPr>
        <w:t>jest analogiczn</w:t>
      </w:r>
      <w:r>
        <w:rPr>
          <w:rFonts w:ascii="Times New Roman" w:hAnsi="Times New Roman" w:cs="Times New Roman"/>
          <w:bCs/>
          <w:iCs/>
          <w:sz w:val="24"/>
          <w:szCs w:val="24"/>
        </w:rPr>
        <w:t>a</w:t>
      </w:r>
      <w:r w:rsidRPr="006B2CD4">
        <w:rPr>
          <w:rFonts w:ascii="Times New Roman" w:hAnsi="Times New Roman" w:cs="Times New Roman"/>
          <w:bCs/>
          <w:iCs/>
          <w:sz w:val="24"/>
          <w:szCs w:val="24"/>
        </w:rPr>
        <w:t xml:space="preserve"> do zmiany art. 7 ustawy – </w:t>
      </w:r>
      <w:r w:rsidR="008E23B4">
        <w:rPr>
          <w:rFonts w:ascii="Times New Roman" w:hAnsi="Times New Roman" w:cs="Times New Roman"/>
          <w:bCs/>
          <w:iCs/>
          <w:sz w:val="24"/>
          <w:szCs w:val="24"/>
        </w:rPr>
        <w:t>Prawo bankowe –</w:t>
      </w:r>
      <w:r w:rsidRPr="006B2CD4">
        <w:rPr>
          <w:rFonts w:ascii="Times New Roman" w:hAnsi="Times New Roman" w:cs="Times New Roman"/>
          <w:bCs/>
          <w:iCs/>
          <w:sz w:val="24"/>
          <w:szCs w:val="24"/>
        </w:rPr>
        <w:t xml:space="preserve">wykreślono zwrot „jeżeli strony w umowie </w:t>
      </w:r>
      <w:r w:rsidR="008E23B4">
        <w:rPr>
          <w:rFonts w:ascii="Times New Roman" w:hAnsi="Times New Roman" w:cs="Times New Roman"/>
          <w:bCs/>
          <w:iCs/>
          <w:sz w:val="24"/>
          <w:szCs w:val="24"/>
        </w:rPr>
        <w:t>tak postanowiły”, celem zapewnienia</w:t>
      </w:r>
      <w:r w:rsidRPr="006B2CD4">
        <w:rPr>
          <w:rFonts w:ascii="Times New Roman" w:hAnsi="Times New Roman" w:cs="Times New Roman"/>
          <w:bCs/>
          <w:iCs/>
          <w:sz w:val="24"/>
          <w:szCs w:val="24"/>
        </w:rPr>
        <w:t xml:space="preserve"> spójności </w:t>
      </w:r>
      <w:r>
        <w:rPr>
          <w:rFonts w:ascii="Times New Roman" w:hAnsi="Times New Roman" w:cs="Times New Roman"/>
          <w:bCs/>
          <w:iCs/>
          <w:sz w:val="24"/>
          <w:szCs w:val="24"/>
        </w:rPr>
        <w:t xml:space="preserve">w </w:t>
      </w:r>
      <w:r w:rsidRPr="006B2CD4">
        <w:rPr>
          <w:rFonts w:ascii="Times New Roman" w:hAnsi="Times New Roman" w:cs="Times New Roman"/>
          <w:bCs/>
          <w:iCs/>
          <w:sz w:val="24"/>
          <w:szCs w:val="24"/>
        </w:rPr>
        <w:t>przepisach sektorowych.</w:t>
      </w:r>
      <w:r w:rsidR="002564BC">
        <w:rPr>
          <w:rFonts w:ascii="Times New Roman" w:hAnsi="Times New Roman" w:cs="Times New Roman"/>
          <w:bCs/>
          <w:iCs/>
          <w:sz w:val="24"/>
          <w:szCs w:val="24"/>
        </w:rPr>
        <w:t xml:space="preserve"> Z kolei dodanie art. 13 ust. 2a ustanawia zakres podmiotów, który może zajmować się usługami związanymi z zabezpieczeniem dokumentów.</w:t>
      </w:r>
      <w:r w:rsidR="00AE79CD">
        <w:rPr>
          <w:rFonts w:ascii="Times New Roman" w:hAnsi="Times New Roman" w:cs="Times New Roman"/>
          <w:bCs/>
          <w:iCs/>
          <w:sz w:val="24"/>
          <w:szCs w:val="24"/>
        </w:rPr>
        <w:t xml:space="preserve"> Wykluczona została w ten sposób istniejąca luka prawna, jak również zapewniona zostaje spójność z właściwymi przepisami UE</w:t>
      </w:r>
      <w:r w:rsidR="008E23B4">
        <w:rPr>
          <w:rFonts w:ascii="Times New Roman" w:hAnsi="Times New Roman" w:cs="Times New Roman"/>
          <w:bCs/>
          <w:iCs/>
          <w:sz w:val="24"/>
          <w:szCs w:val="24"/>
        </w:rPr>
        <w:t>,</w:t>
      </w:r>
      <w:r w:rsidR="00AE79CD">
        <w:rPr>
          <w:rFonts w:ascii="Times New Roman" w:hAnsi="Times New Roman" w:cs="Times New Roman"/>
          <w:bCs/>
          <w:iCs/>
          <w:sz w:val="24"/>
          <w:szCs w:val="24"/>
        </w:rPr>
        <w:t xml:space="preserve"> wskazanymi w tym przepisie.</w:t>
      </w:r>
    </w:p>
    <w:p w14:paraId="46501136" w14:textId="6B4F81D5" w:rsidR="000014D0" w:rsidRDefault="000014D0" w:rsidP="000014D0">
      <w:pPr>
        <w:shd w:val="clear" w:color="auto" w:fill="FFFFFF" w:themeFill="background1"/>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W art. 13d ust. 2 i 3 proponuje się dodanie </w:t>
      </w:r>
      <w:r>
        <w:rPr>
          <w:rFonts w:ascii="Times New Roman" w:hAnsi="Times New Roman" w:cs="Times New Roman"/>
          <w:bCs/>
          <w:sz w:val="24"/>
          <w:szCs w:val="24"/>
        </w:rPr>
        <w:t>OTF (</w:t>
      </w:r>
      <w:r w:rsidRPr="006B2CD4">
        <w:rPr>
          <w:rFonts w:ascii="Times New Roman" w:hAnsi="Times New Roman" w:cs="Times New Roman"/>
          <w:bCs/>
          <w:i/>
          <w:sz w:val="24"/>
          <w:szCs w:val="24"/>
        </w:rPr>
        <w:t>Organised Trading Facility</w:t>
      </w:r>
      <w:r w:rsidRPr="006B2CD4">
        <w:rPr>
          <w:rFonts w:ascii="Times New Roman" w:hAnsi="Times New Roman" w:cs="Times New Roman"/>
          <w:bCs/>
          <w:sz w:val="24"/>
          <w:szCs w:val="24"/>
        </w:rPr>
        <w:t>)</w:t>
      </w:r>
      <w:r w:rsidR="008E23B4">
        <w:rPr>
          <w:rFonts w:ascii="Times New Roman" w:hAnsi="Times New Roman" w:cs="Times New Roman"/>
          <w:bCs/>
          <w:sz w:val="24"/>
          <w:szCs w:val="24"/>
        </w:rPr>
        <w:t>,</w:t>
      </w:r>
      <w:r>
        <w:rPr>
          <w:rFonts w:ascii="Times New Roman" w:hAnsi="Times New Roman" w:cs="Times New Roman"/>
          <w:bCs/>
          <w:sz w:val="24"/>
          <w:szCs w:val="24"/>
        </w:rPr>
        <w:t xml:space="preserve"> </w:t>
      </w:r>
      <w:r w:rsidRPr="006B2CD4">
        <w:rPr>
          <w:rFonts w:ascii="Times New Roman" w:hAnsi="Times New Roman" w:cs="Times New Roman"/>
          <w:bCs/>
          <w:sz w:val="24"/>
          <w:szCs w:val="24"/>
        </w:rPr>
        <w:t>jako rodzaju rynku, w ramach którego może być organizowany przez ministra właściwego do spraw budżetu zorganizowany obrót skarbowymi papierami wartościowymi</w:t>
      </w:r>
      <w:r>
        <w:rPr>
          <w:rFonts w:ascii="Times New Roman" w:hAnsi="Times New Roman" w:cs="Times New Roman"/>
          <w:bCs/>
          <w:sz w:val="24"/>
          <w:szCs w:val="24"/>
        </w:rPr>
        <w:t xml:space="preserve">, o których mowa w art. 95 ustawy z dnia 27 sierpnia 2009 r. o finansach publicznych (Dz. U. z 2022 r. poz. 1634, z późn. zm.). </w:t>
      </w:r>
    </w:p>
    <w:p w14:paraId="08B12B33" w14:textId="77777777" w:rsidR="000014D0" w:rsidRPr="006B2CD4" w:rsidRDefault="000014D0" w:rsidP="000014D0">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OTF to </w:t>
      </w:r>
      <w:r w:rsidRPr="006B2CD4">
        <w:rPr>
          <w:rFonts w:ascii="Times New Roman" w:hAnsi="Times New Roman" w:cs="Times New Roman"/>
          <w:bCs/>
          <w:sz w:val="24"/>
          <w:szCs w:val="24"/>
        </w:rPr>
        <w:t xml:space="preserve">zorganizowana platforma obrotu, przez którą rozumie się wielostronny system kojarzący w sposób uznaniowy składane przez podmioty trzecie oferty kupna i sprzedaży obligacji, strukturyzowanych produktów finansowych, uprawnień do emisji, instrumentów pochodnych lub produktów energetycznych będących przedmiotem obrotu hurtowego, które muszą być wykonywane przez dostawę, niebędący rynkiem regulowanym ani ASO. </w:t>
      </w:r>
      <w:r>
        <w:rPr>
          <w:rFonts w:ascii="Times New Roman" w:hAnsi="Times New Roman" w:cs="Times New Roman"/>
          <w:bCs/>
          <w:sz w:val="24"/>
          <w:szCs w:val="24"/>
        </w:rPr>
        <w:t xml:space="preserve">OTF stanowi </w:t>
      </w:r>
      <w:r w:rsidRPr="006B2CD4">
        <w:rPr>
          <w:rFonts w:ascii="Times New Roman" w:hAnsi="Times New Roman" w:cs="Times New Roman"/>
          <w:bCs/>
          <w:sz w:val="24"/>
          <w:szCs w:val="24"/>
        </w:rPr>
        <w:t>równo</w:t>
      </w:r>
      <w:r w:rsidRPr="006B2CD4">
        <w:rPr>
          <w:rFonts w:ascii="Times New Roman" w:hAnsi="Times New Roman" w:cs="Times New Roman"/>
          <w:bCs/>
          <w:sz w:val="24"/>
          <w:szCs w:val="24"/>
        </w:rPr>
        <w:lastRenderedPageBreak/>
        <w:t>rzędną, a jednocześnie samodzielną i autonomiczną</w:t>
      </w:r>
      <w:r>
        <w:rPr>
          <w:rFonts w:ascii="Times New Roman" w:hAnsi="Times New Roman" w:cs="Times New Roman"/>
          <w:bCs/>
          <w:sz w:val="24"/>
          <w:szCs w:val="24"/>
        </w:rPr>
        <w:t>,</w:t>
      </w:r>
      <w:r w:rsidRPr="006B2CD4">
        <w:rPr>
          <w:rFonts w:ascii="Times New Roman" w:hAnsi="Times New Roman" w:cs="Times New Roman"/>
          <w:bCs/>
          <w:sz w:val="24"/>
          <w:szCs w:val="24"/>
        </w:rPr>
        <w:t xml:space="preserve"> platform</w:t>
      </w:r>
      <w:r>
        <w:rPr>
          <w:rFonts w:ascii="Times New Roman" w:hAnsi="Times New Roman" w:cs="Times New Roman"/>
          <w:bCs/>
          <w:sz w:val="24"/>
          <w:szCs w:val="24"/>
        </w:rPr>
        <w:t>ę</w:t>
      </w:r>
      <w:r w:rsidRPr="006B2CD4">
        <w:rPr>
          <w:rFonts w:ascii="Times New Roman" w:hAnsi="Times New Roman" w:cs="Times New Roman"/>
          <w:bCs/>
          <w:sz w:val="24"/>
          <w:szCs w:val="24"/>
        </w:rPr>
        <w:t xml:space="preserve"> prowadzenia obrotu instrumentami finansowymi</w:t>
      </w:r>
      <w:r>
        <w:rPr>
          <w:rFonts w:ascii="Times New Roman" w:hAnsi="Times New Roman" w:cs="Times New Roman"/>
          <w:bCs/>
          <w:sz w:val="24"/>
          <w:szCs w:val="24"/>
        </w:rPr>
        <w:t xml:space="preserve">, nie istnieją zatem przesłanki </w:t>
      </w:r>
      <w:r w:rsidRPr="006B2CD4">
        <w:rPr>
          <w:rFonts w:ascii="Times New Roman" w:hAnsi="Times New Roman" w:cs="Times New Roman"/>
          <w:bCs/>
          <w:sz w:val="24"/>
          <w:szCs w:val="24"/>
        </w:rPr>
        <w:t>przemawiając</w:t>
      </w:r>
      <w:r>
        <w:rPr>
          <w:rFonts w:ascii="Times New Roman" w:hAnsi="Times New Roman" w:cs="Times New Roman"/>
          <w:bCs/>
          <w:sz w:val="24"/>
          <w:szCs w:val="24"/>
        </w:rPr>
        <w:t>e</w:t>
      </w:r>
      <w:r w:rsidRPr="006B2CD4">
        <w:rPr>
          <w:rFonts w:ascii="Times New Roman" w:hAnsi="Times New Roman" w:cs="Times New Roman"/>
          <w:bCs/>
          <w:sz w:val="24"/>
          <w:szCs w:val="24"/>
        </w:rPr>
        <w:t xml:space="preserve"> za </w:t>
      </w:r>
      <w:r>
        <w:rPr>
          <w:rFonts w:ascii="Times New Roman" w:hAnsi="Times New Roman" w:cs="Times New Roman"/>
          <w:bCs/>
          <w:sz w:val="24"/>
          <w:szCs w:val="24"/>
        </w:rPr>
        <w:t xml:space="preserve">wyłączeniem obrotu skarbowymi papierami wartościowymi z wykorzystaniem OTF. </w:t>
      </w:r>
    </w:p>
    <w:p w14:paraId="0FD2EA32" w14:textId="37919010" w:rsidR="000014D0" w:rsidRPr="006B2CD4" w:rsidRDefault="00BC449B" w:rsidP="000014D0">
      <w:pPr>
        <w:shd w:val="clear" w:color="auto" w:fill="FFFFFF" w:themeFill="background1"/>
        <w:spacing w:after="120" w:line="360" w:lineRule="auto"/>
        <w:jc w:val="both"/>
        <w:rPr>
          <w:rFonts w:ascii="Times New Roman" w:hAnsi="Times New Roman" w:cs="Times New Roman"/>
          <w:bCs/>
          <w:iCs/>
          <w:sz w:val="24"/>
          <w:szCs w:val="24"/>
        </w:rPr>
      </w:pPr>
      <w:r>
        <w:rPr>
          <w:rFonts w:ascii="Times New Roman" w:hAnsi="Times New Roman" w:cs="Times New Roman"/>
          <w:bCs/>
          <w:sz w:val="24"/>
          <w:szCs w:val="24"/>
        </w:rPr>
        <w:t xml:space="preserve">Zmiana </w:t>
      </w:r>
      <w:r w:rsidR="000014D0" w:rsidRPr="006B2CD4">
        <w:rPr>
          <w:rFonts w:ascii="Times New Roman" w:hAnsi="Times New Roman" w:cs="Times New Roman"/>
          <w:bCs/>
          <w:sz w:val="24"/>
          <w:szCs w:val="24"/>
        </w:rPr>
        <w:t xml:space="preserve">art. 16d ust. 3 </w:t>
      </w:r>
      <w:r w:rsidR="000014D0">
        <w:rPr>
          <w:rFonts w:ascii="Times New Roman" w:hAnsi="Times New Roman" w:cs="Times New Roman"/>
          <w:bCs/>
          <w:sz w:val="24"/>
          <w:szCs w:val="24"/>
        </w:rPr>
        <w:t xml:space="preserve">oraz </w:t>
      </w:r>
      <w:r w:rsidR="000014D0" w:rsidRPr="006B2CD4">
        <w:rPr>
          <w:rFonts w:ascii="Times New Roman" w:hAnsi="Times New Roman" w:cs="Times New Roman"/>
          <w:bCs/>
          <w:sz w:val="24"/>
          <w:szCs w:val="24"/>
        </w:rPr>
        <w:t xml:space="preserve">art. 16e ust. 5 </w:t>
      </w:r>
      <w:r>
        <w:rPr>
          <w:rFonts w:ascii="Times New Roman" w:hAnsi="Times New Roman" w:cs="Times New Roman"/>
          <w:bCs/>
          <w:sz w:val="24"/>
          <w:szCs w:val="24"/>
        </w:rPr>
        <w:t xml:space="preserve">(uchylany) </w:t>
      </w:r>
      <w:r w:rsidR="000014D0" w:rsidRPr="006B2CD4">
        <w:rPr>
          <w:rFonts w:ascii="Times New Roman" w:hAnsi="Times New Roman" w:cs="Times New Roman"/>
          <w:bCs/>
          <w:sz w:val="24"/>
          <w:szCs w:val="24"/>
        </w:rPr>
        <w:t xml:space="preserve">i 6 </w:t>
      </w:r>
      <w:r w:rsidR="000014D0" w:rsidRPr="006B2CD4">
        <w:rPr>
          <w:rFonts w:ascii="Times New Roman" w:hAnsi="Times New Roman" w:cs="Times New Roman"/>
          <w:bCs/>
          <w:iCs/>
          <w:sz w:val="24"/>
          <w:szCs w:val="24"/>
        </w:rPr>
        <w:t>dotycz</w:t>
      </w:r>
      <w:r w:rsidR="000014D0">
        <w:rPr>
          <w:rFonts w:ascii="Times New Roman" w:hAnsi="Times New Roman" w:cs="Times New Roman"/>
          <w:bCs/>
          <w:iCs/>
          <w:sz w:val="24"/>
          <w:szCs w:val="24"/>
        </w:rPr>
        <w:t>ą</w:t>
      </w:r>
      <w:r w:rsidR="000014D0" w:rsidRPr="006B2CD4">
        <w:rPr>
          <w:rFonts w:ascii="Times New Roman" w:hAnsi="Times New Roman" w:cs="Times New Roman"/>
          <w:bCs/>
          <w:iCs/>
          <w:sz w:val="24"/>
          <w:szCs w:val="24"/>
        </w:rPr>
        <w:t xml:space="preserve"> outsourcingu dla spółek prowadzących rynek regulowany. Zmiany maj</w:t>
      </w:r>
      <w:r w:rsidR="000014D0">
        <w:rPr>
          <w:rFonts w:ascii="Times New Roman" w:hAnsi="Times New Roman" w:cs="Times New Roman"/>
          <w:bCs/>
          <w:iCs/>
          <w:sz w:val="24"/>
          <w:szCs w:val="24"/>
        </w:rPr>
        <w:t>ą</w:t>
      </w:r>
      <w:r w:rsidR="000014D0" w:rsidRPr="006B2CD4">
        <w:rPr>
          <w:rFonts w:ascii="Times New Roman" w:hAnsi="Times New Roman" w:cs="Times New Roman"/>
          <w:bCs/>
          <w:iCs/>
          <w:sz w:val="24"/>
          <w:szCs w:val="24"/>
        </w:rPr>
        <w:t xml:space="preserve"> charakter analogiczny </w:t>
      </w:r>
      <w:r w:rsidR="000014D0">
        <w:rPr>
          <w:rFonts w:ascii="Times New Roman" w:hAnsi="Times New Roman" w:cs="Times New Roman"/>
          <w:bCs/>
          <w:iCs/>
          <w:sz w:val="24"/>
          <w:szCs w:val="24"/>
        </w:rPr>
        <w:t xml:space="preserve">do </w:t>
      </w:r>
      <w:r w:rsidR="000014D0" w:rsidRPr="006B2CD4">
        <w:rPr>
          <w:rFonts w:ascii="Times New Roman" w:hAnsi="Times New Roman" w:cs="Times New Roman"/>
          <w:bCs/>
          <w:iCs/>
          <w:sz w:val="24"/>
          <w:szCs w:val="24"/>
        </w:rPr>
        <w:t>rozwiązań przewidzianych dla outsourcingu stosowanego przez firmy inwestycyjne. Firmy inwestycyjne, które prowadzą zorganizowane platformy obrotu albo OTF</w:t>
      </w:r>
      <w:r w:rsidR="000014D0">
        <w:rPr>
          <w:rFonts w:ascii="Times New Roman" w:hAnsi="Times New Roman" w:cs="Times New Roman"/>
          <w:bCs/>
          <w:iCs/>
          <w:sz w:val="24"/>
          <w:szCs w:val="24"/>
        </w:rPr>
        <w:t xml:space="preserve">, w przepisach ustawy o obrocie są </w:t>
      </w:r>
      <w:r w:rsidR="000014D0" w:rsidRPr="006B2CD4">
        <w:rPr>
          <w:rFonts w:ascii="Times New Roman" w:hAnsi="Times New Roman" w:cs="Times New Roman"/>
          <w:bCs/>
          <w:iCs/>
          <w:sz w:val="24"/>
          <w:szCs w:val="24"/>
        </w:rPr>
        <w:t>traktowane jako podmioty prowadzące system obrotu i jako takie podlegają analogicznym wymogom</w:t>
      </w:r>
      <w:r w:rsidR="008E23B4">
        <w:rPr>
          <w:rFonts w:ascii="Times New Roman" w:hAnsi="Times New Roman" w:cs="Times New Roman"/>
          <w:bCs/>
          <w:iCs/>
          <w:sz w:val="24"/>
          <w:szCs w:val="24"/>
        </w:rPr>
        <w:t>,</w:t>
      </w:r>
      <w:r w:rsidR="000014D0" w:rsidRPr="006B2CD4">
        <w:rPr>
          <w:rFonts w:ascii="Times New Roman" w:hAnsi="Times New Roman" w:cs="Times New Roman"/>
          <w:bCs/>
          <w:iCs/>
          <w:sz w:val="24"/>
          <w:szCs w:val="24"/>
        </w:rPr>
        <w:t xml:space="preserve"> jak spółki prowadzące rynek regulowany, tj. przepisom art. 6 rozporządzenia delegowanego Komisji (UE) 2017/584 z dnia 14 lipca 2016 r. uzupełniającego dyrektywę Parlamentu Europejskiego i Rady 2014/65/UE w odniesieniu do regulacyjnych standardów technicznych określających wymogi organizacyjne w zakresie systemów obrotu (Dz. Urz. UE L 87 z 31.</w:t>
      </w:r>
      <w:r w:rsidR="000014D0">
        <w:rPr>
          <w:rFonts w:ascii="Times New Roman" w:hAnsi="Times New Roman" w:cs="Times New Roman"/>
          <w:bCs/>
          <w:iCs/>
          <w:sz w:val="24"/>
          <w:szCs w:val="24"/>
        </w:rPr>
        <w:t>0</w:t>
      </w:r>
      <w:r w:rsidR="000014D0" w:rsidRPr="006B2CD4">
        <w:rPr>
          <w:rFonts w:ascii="Times New Roman" w:hAnsi="Times New Roman" w:cs="Times New Roman"/>
          <w:bCs/>
          <w:iCs/>
          <w:sz w:val="24"/>
          <w:szCs w:val="24"/>
        </w:rPr>
        <w:t>3.2017</w:t>
      </w:r>
      <w:r w:rsidR="000014D0">
        <w:rPr>
          <w:rFonts w:ascii="Times New Roman" w:hAnsi="Times New Roman" w:cs="Times New Roman"/>
          <w:bCs/>
          <w:iCs/>
          <w:sz w:val="24"/>
          <w:szCs w:val="24"/>
        </w:rPr>
        <w:t xml:space="preserve">, str. </w:t>
      </w:r>
      <w:r w:rsidR="000014D0" w:rsidRPr="006B2CD4">
        <w:rPr>
          <w:rFonts w:ascii="Times New Roman" w:hAnsi="Times New Roman" w:cs="Times New Roman"/>
          <w:bCs/>
          <w:iCs/>
          <w:sz w:val="24"/>
          <w:szCs w:val="24"/>
        </w:rPr>
        <w:t>350) dotyczący</w:t>
      </w:r>
      <w:r w:rsidR="000014D0">
        <w:rPr>
          <w:rFonts w:ascii="Times New Roman" w:hAnsi="Times New Roman" w:cs="Times New Roman"/>
          <w:bCs/>
          <w:iCs/>
          <w:sz w:val="24"/>
          <w:szCs w:val="24"/>
        </w:rPr>
        <w:t>m</w:t>
      </w:r>
      <w:r w:rsidR="000014D0" w:rsidRPr="006B2CD4">
        <w:rPr>
          <w:rFonts w:ascii="Times New Roman" w:hAnsi="Times New Roman" w:cs="Times New Roman"/>
          <w:bCs/>
          <w:iCs/>
          <w:sz w:val="24"/>
          <w:szCs w:val="24"/>
        </w:rPr>
        <w:t xml:space="preserve"> outsourcingu funkcji operacyjnych przez podmioty prowadzące systemy obrotu. </w:t>
      </w:r>
    </w:p>
    <w:p w14:paraId="7DF0A344" w14:textId="10ED5482" w:rsidR="007A14FF" w:rsidRDefault="000014D0" w:rsidP="00BC449B">
      <w:pPr>
        <w:shd w:val="clear" w:color="auto" w:fill="FFFFFF" w:themeFill="background1"/>
        <w:spacing w:after="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 xml:space="preserve">Zmiana art. 19 ust. 1 pkt 2 jest zmianą wynikową związaną z dodaniem do ustawy o obligacjach </w:t>
      </w:r>
      <w:r>
        <w:rPr>
          <w:rFonts w:ascii="Times New Roman" w:hAnsi="Times New Roman" w:cs="Times New Roman"/>
          <w:bCs/>
          <w:iCs/>
          <w:sz w:val="24"/>
          <w:szCs w:val="24"/>
        </w:rPr>
        <w:t xml:space="preserve">przepisu </w:t>
      </w:r>
      <w:r w:rsidRPr="006B2CD4">
        <w:rPr>
          <w:rFonts w:ascii="Times New Roman" w:hAnsi="Times New Roman" w:cs="Times New Roman"/>
          <w:bCs/>
          <w:iCs/>
          <w:sz w:val="24"/>
          <w:szCs w:val="24"/>
        </w:rPr>
        <w:t xml:space="preserve">art. 33a, ustanawiającego obowiązek pośrednictwa oferowania obligacji przez firmy inwestycyjne lub dostawców usług finansowania społecznościowego w przypadku oferty publicznej </w:t>
      </w:r>
      <w:r>
        <w:rPr>
          <w:rFonts w:ascii="Times New Roman" w:hAnsi="Times New Roman" w:cs="Times New Roman"/>
          <w:bCs/>
          <w:iCs/>
          <w:sz w:val="24"/>
          <w:szCs w:val="24"/>
        </w:rPr>
        <w:t xml:space="preserve">papierów wartościowych </w:t>
      </w:r>
      <w:r w:rsidRPr="006B2CD4">
        <w:rPr>
          <w:rFonts w:ascii="Times New Roman" w:hAnsi="Times New Roman" w:cs="Times New Roman"/>
          <w:bCs/>
          <w:iCs/>
          <w:sz w:val="24"/>
          <w:szCs w:val="24"/>
        </w:rPr>
        <w:t xml:space="preserve">w rozumieniu art. 2 lit. d rozporządzenia 2017/1129. </w:t>
      </w:r>
      <w:r>
        <w:rPr>
          <w:rFonts w:ascii="Times New Roman" w:hAnsi="Times New Roman" w:cs="Times New Roman"/>
          <w:bCs/>
          <w:iCs/>
          <w:sz w:val="24"/>
          <w:szCs w:val="24"/>
        </w:rPr>
        <w:t>Dodanie z</w:t>
      </w:r>
      <w:r w:rsidRPr="006B2CD4">
        <w:rPr>
          <w:rFonts w:ascii="Times New Roman" w:hAnsi="Times New Roman" w:cs="Times New Roman"/>
          <w:bCs/>
          <w:iCs/>
          <w:sz w:val="24"/>
          <w:szCs w:val="24"/>
        </w:rPr>
        <w:t>astrzeżeni</w:t>
      </w:r>
      <w:r>
        <w:rPr>
          <w:rFonts w:ascii="Times New Roman" w:hAnsi="Times New Roman" w:cs="Times New Roman"/>
          <w:bCs/>
          <w:iCs/>
          <w:sz w:val="24"/>
          <w:szCs w:val="24"/>
        </w:rPr>
        <w:t xml:space="preserve">a jest niezbędne </w:t>
      </w:r>
      <w:r w:rsidRPr="006B2CD4">
        <w:rPr>
          <w:rFonts w:ascii="Times New Roman" w:hAnsi="Times New Roman" w:cs="Times New Roman"/>
          <w:bCs/>
          <w:iCs/>
          <w:sz w:val="24"/>
          <w:szCs w:val="24"/>
        </w:rPr>
        <w:t xml:space="preserve">z uwagi na to, że nie każda oferta publiczna wymaga pośrednictwa podmiotów profesjonalnych. </w:t>
      </w:r>
      <w:r>
        <w:rPr>
          <w:rFonts w:ascii="Times New Roman" w:hAnsi="Times New Roman" w:cs="Times New Roman"/>
          <w:bCs/>
          <w:iCs/>
          <w:sz w:val="24"/>
          <w:szCs w:val="24"/>
        </w:rPr>
        <w:t xml:space="preserve">Jednocześnie przepis zapobiegnie </w:t>
      </w:r>
      <w:r w:rsidR="004F3B0D">
        <w:rPr>
          <w:rFonts w:ascii="Times New Roman" w:hAnsi="Times New Roman" w:cs="Times New Roman"/>
          <w:bCs/>
          <w:iCs/>
          <w:sz w:val="24"/>
          <w:szCs w:val="24"/>
        </w:rPr>
        <w:t xml:space="preserve">naruszeniu </w:t>
      </w:r>
      <w:r w:rsidR="004F3B0D" w:rsidRPr="006B2CD4">
        <w:rPr>
          <w:rFonts w:ascii="Times New Roman" w:hAnsi="Times New Roman" w:cs="Times New Roman"/>
          <w:bCs/>
          <w:iCs/>
          <w:sz w:val="24"/>
          <w:szCs w:val="24"/>
        </w:rPr>
        <w:t>obowiązku</w:t>
      </w:r>
      <w:r w:rsidRPr="006B2CD4">
        <w:rPr>
          <w:rFonts w:ascii="Times New Roman" w:hAnsi="Times New Roman" w:cs="Times New Roman"/>
          <w:bCs/>
          <w:iCs/>
          <w:sz w:val="24"/>
          <w:szCs w:val="24"/>
        </w:rPr>
        <w:t xml:space="preserve"> </w:t>
      </w:r>
      <w:r>
        <w:rPr>
          <w:rFonts w:ascii="Times New Roman" w:hAnsi="Times New Roman" w:cs="Times New Roman"/>
          <w:bCs/>
          <w:iCs/>
          <w:sz w:val="24"/>
          <w:szCs w:val="24"/>
        </w:rPr>
        <w:lastRenderedPageBreak/>
        <w:t xml:space="preserve">takiego </w:t>
      </w:r>
      <w:r w:rsidRPr="006B2CD4">
        <w:rPr>
          <w:rFonts w:ascii="Times New Roman" w:hAnsi="Times New Roman" w:cs="Times New Roman"/>
          <w:bCs/>
          <w:iCs/>
          <w:sz w:val="24"/>
          <w:szCs w:val="24"/>
        </w:rPr>
        <w:t xml:space="preserve">pośrednictwa przy dokonywaniu przez emitentów oferty publicznej </w:t>
      </w:r>
      <w:r>
        <w:rPr>
          <w:rFonts w:ascii="Times New Roman" w:hAnsi="Times New Roman" w:cs="Times New Roman"/>
          <w:bCs/>
          <w:iCs/>
          <w:sz w:val="24"/>
          <w:szCs w:val="24"/>
        </w:rPr>
        <w:t xml:space="preserve">skierowanej do </w:t>
      </w:r>
      <w:r w:rsidRPr="006B2CD4">
        <w:rPr>
          <w:rFonts w:ascii="Times New Roman" w:hAnsi="Times New Roman" w:cs="Times New Roman"/>
          <w:bCs/>
          <w:iCs/>
          <w:sz w:val="24"/>
          <w:szCs w:val="24"/>
        </w:rPr>
        <w:t>klient</w:t>
      </w:r>
      <w:r>
        <w:rPr>
          <w:rFonts w:ascii="Times New Roman" w:hAnsi="Times New Roman" w:cs="Times New Roman"/>
          <w:bCs/>
          <w:iCs/>
          <w:sz w:val="24"/>
          <w:szCs w:val="24"/>
        </w:rPr>
        <w:t xml:space="preserve">ów </w:t>
      </w:r>
      <w:r w:rsidRPr="006B2CD4">
        <w:rPr>
          <w:rFonts w:ascii="Times New Roman" w:hAnsi="Times New Roman" w:cs="Times New Roman"/>
          <w:bCs/>
          <w:iCs/>
          <w:sz w:val="24"/>
          <w:szCs w:val="24"/>
        </w:rPr>
        <w:t>detaliczny</w:t>
      </w:r>
      <w:r>
        <w:rPr>
          <w:rFonts w:ascii="Times New Roman" w:hAnsi="Times New Roman" w:cs="Times New Roman"/>
          <w:bCs/>
          <w:iCs/>
          <w:sz w:val="24"/>
          <w:szCs w:val="24"/>
        </w:rPr>
        <w:t>ch</w:t>
      </w:r>
      <w:r w:rsidR="009B5F12">
        <w:rPr>
          <w:rFonts w:ascii="Times New Roman" w:hAnsi="Times New Roman" w:cs="Times New Roman"/>
          <w:bCs/>
          <w:iCs/>
          <w:sz w:val="24"/>
          <w:szCs w:val="24"/>
        </w:rPr>
        <w:t>.</w:t>
      </w:r>
    </w:p>
    <w:p w14:paraId="0B845B23" w14:textId="29BEA282" w:rsidR="007A14FF" w:rsidRDefault="007A14FF" w:rsidP="00BC449B">
      <w:pPr>
        <w:shd w:val="clear" w:color="auto" w:fill="FFFFFF" w:themeFill="background1"/>
        <w:spacing w:after="0" w:line="360" w:lineRule="auto"/>
        <w:jc w:val="both"/>
        <w:rPr>
          <w:rFonts w:ascii="Times New Roman" w:hAnsi="Times New Roman" w:cs="Times New Roman"/>
          <w:bCs/>
          <w:iCs/>
          <w:sz w:val="24"/>
          <w:szCs w:val="24"/>
        </w:rPr>
      </w:pPr>
      <w:r>
        <w:rPr>
          <w:rFonts w:ascii="Times New Roman" w:hAnsi="Times New Roman" w:cs="Times New Roman"/>
          <w:bCs/>
          <w:iCs/>
          <w:sz w:val="24"/>
          <w:szCs w:val="24"/>
        </w:rPr>
        <w:t>Dodatkowo, zmiana ta rozszerzająca krąg pośredników o banki państwowe</w:t>
      </w:r>
      <w:r w:rsidR="00BC449B">
        <w:rPr>
          <w:rFonts w:ascii="Times New Roman" w:hAnsi="Times New Roman" w:cs="Times New Roman"/>
          <w:bCs/>
          <w:iCs/>
          <w:sz w:val="24"/>
          <w:szCs w:val="24"/>
        </w:rPr>
        <w:t>,</w:t>
      </w:r>
      <w:r>
        <w:rPr>
          <w:rFonts w:ascii="Times New Roman" w:hAnsi="Times New Roman" w:cs="Times New Roman"/>
          <w:bCs/>
          <w:iCs/>
          <w:sz w:val="24"/>
          <w:szCs w:val="24"/>
        </w:rPr>
        <w:t xml:space="preserve"> jest </w:t>
      </w:r>
      <w:r w:rsidR="004F3B0D">
        <w:rPr>
          <w:rFonts w:ascii="Times New Roman" w:hAnsi="Times New Roman" w:cs="Times New Roman"/>
          <w:bCs/>
          <w:iCs/>
          <w:sz w:val="24"/>
          <w:szCs w:val="24"/>
        </w:rPr>
        <w:t xml:space="preserve">zmianą wynikową i związaną </w:t>
      </w:r>
      <w:r>
        <w:rPr>
          <w:rFonts w:ascii="Times New Roman" w:hAnsi="Times New Roman" w:cs="Times New Roman"/>
          <w:bCs/>
          <w:iCs/>
          <w:sz w:val="24"/>
          <w:szCs w:val="24"/>
        </w:rPr>
        <w:t>z kompleksowymi zmianami dotyczącymi jednolitej licencji bankowej obejmującymi również banki państwowe.</w:t>
      </w:r>
    </w:p>
    <w:p w14:paraId="6FA9071B" w14:textId="2C4217EC" w:rsidR="007A14FF" w:rsidRPr="00763C69" w:rsidRDefault="004F3B0D" w:rsidP="00BC449B">
      <w:pPr>
        <w:shd w:val="clear" w:color="auto" w:fill="FFFFFF" w:themeFill="background1"/>
        <w:spacing w:after="0" w:line="36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Zmiana </w:t>
      </w:r>
      <w:r w:rsidR="007A14FF" w:rsidRPr="00862B7E">
        <w:rPr>
          <w:rFonts w:ascii="Times New Roman" w:hAnsi="Times New Roman" w:cs="Times New Roman"/>
          <w:bCs/>
          <w:iCs/>
          <w:sz w:val="24"/>
          <w:szCs w:val="24"/>
        </w:rPr>
        <w:t>art. 19 ust.</w:t>
      </w:r>
      <w:r w:rsidR="00BC449B">
        <w:rPr>
          <w:rFonts w:ascii="Times New Roman" w:hAnsi="Times New Roman" w:cs="Times New Roman"/>
          <w:bCs/>
          <w:iCs/>
          <w:sz w:val="24"/>
          <w:szCs w:val="24"/>
        </w:rPr>
        <w:t xml:space="preserve"> </w:t>
      </w:r>
      <w:r w:rsidR="007A14FF" w:rsidRPr="00862B7E">
        <w:rPr>
          <w:rFonts w:ascii="Times New Roman" w:hAnsi="Times New Roman" w:cs="Times New Roman"/>
          <w:bCs/>
          <w:iCs/>
          <w:sz w:val="24"/>
          <w:szCs w:val="24"/>
        </w:rPr>
        <w:t xml:space="preserve">1 polegająca na dodaniu pkt 2a związana jest ze zmianami wprowadzanymi w ustawie o funduszach inwestycyjnych dotyczącymi tworzenia i funkcjonowania portfelowych funduszy inwestycyjnych i ma na celu przesądzenie, że </w:t>
      </w:r>
      <w:r w:rsidR="007A14FF" w:rsidRPr="007921D7">
        <w:rPr>
          <w:rFonts w:ascii="Times New Roman" w:hAnsi="Times New Roman" w:cs="Times New Roman"/>
          <w:bCs/>
          <w:iCs/>
          <w:sz w:val="24"/>
          <w:szCs w:val="24"/>
        </w:rPr>
        <w:t>przyjmowanie zapisów na certyfikaty inwestycyjne funduszu portfelowego wymaga pośrednictwa firmy inwestycyjnej, co wpłynie na zwiększenie ochrony inwestorów w procesie oferowania certyfikatów inwestycyjnych tych funduszy.</w:t>
      </w:r>
    </w:p>
    <w:p w14:paraId="296F2927" w14:textId="3B5D759C" w:rsidR="000014D0" w:rsidRDefault="004F3B0D" w:rsidP="000014D0">
      <w:pPr>
        <w:shd w:val="clear" w:color="auto" w:fill="FFFFFF" w:themeFill="background1"/>
        <w:spacing w:after="120" w:line="360" w:lineRule="auto"/>
        <w:jc w:val="both"/>
        <w:rPr>
          <w:rFonts w:ascii="Times New Roman" w:hAnsi="Times New Roman" w:cs="Times New Roman"/>
          <w:bCs/>
          <w:iCs/>
          <w:sz w:val="24"/>
          <w:szCs w:val="24"/>
        </w:rPr>
      </w:pPr>
      <w:r>
        <w:rPr>
          <w:rFonts w:ascii="Times New Roman" w:hAnsi="Times New Roman" w:cs="Times New Roman"/>
          <w:sz w:val="24"/>
          <w:szCs w:val="24"/>
        </w:rPr>
        <w:t xml:space="preserve">Zmiana art. 19 ust. </w:t>
      </w:r>
      <w:r w:rsidR="007A14FF" w:rsidRPr="00142E2D">
        <w:rPr>
          <w:rFonts w:ascii="Times New Roman" w:hAnsi="Times New Roman" w:cs="Times New Roman"/>
          <w:sz w:val="24"/>
          <w:szCs w:val="24"/>
        </w:rPr>
        <w:t>1 pkt 6 ma na celu umożliwienie notowania zagranicznych funduszy inwestycyjnych typu ETF również w ASO</w:t>
      </w:r>
      <w:r w:rsidR="007A14FF" w:rsidRPr="00AC50ED">
        <w:rPr>
          <w:rFonts w:ascii="Times New Roman" w:hAnsi="Times New Roman" w:cs="Times New Roman"/>
          <w:sz w:val="24"/>
          <w:szCs w:val="24"/>
        </w:rPr>
        <w:t xml:space="preserve">. </w:t>
      </w:r>
      <w:r w:rsidR="007A14FF" w:rsidRPr="0055238C">
        <w:rPr>
          <w:rFonts w:ascii="Times New Roman" w:hAnsi="Times New Roman" w:cs="Times New Roman"/>
          <w:sz w:val="24"/>
          <w:szCs w:val="24"/>
        </w:rPr>
        <w:t>B</w:t>
      </w:r>
      <w:r w:rsidR="007A14FF" w:rsidRPr="00B106F2">
        <w:rPr>
          <w:rFonts w:ascii="Times New Roman" w:hAnsi="Times New Roman" w:cs="Times New Roman"/>
          <w:sz w:val="24"/>
          <w:szCs w:val="24"/>
        </w:rPr>
        <w:t>iorąc bowiem pod uwagę aktualne uwarunkowania rynkowe</w:t>
      </w:r>
      <w:r w:rsidR="00BC449B">
        <w:rPr>
          <w:rFonts w:ascii="Times New Roman" w:hAnsi="Times New Roman" w:cs="Times New Roman"/>
          <w:sz w:val="24"/>
          <w:szCs w:val="24"/>
        </w:rPr>
        <w:t>,</w:t>
      </w:r>
      <w:r w:rsidR="007A14FF" w:rsidRPr="00B106F2">
        <w:rPr>
          <w:rFonts w:ascii="Times New Roman" w:hAnsi="Times New Roman" w:cs="Times New Roman"/>
          <w:sz w:val="24"/>
          <w:szCs w:val="24"/>
        </w:rPr>
        <w:t xml:space="preserve"> nie ma </w:t>
      </w:r>
      <w:r w:rsidR="007A14FF" w:rsidRPr="007921D7">
        <w:rPr>
          <w:rFonts w:ascii="Times New Roman" w:hAnsi="Times New Roman"/>
          <w:sz w:val="24"/>
          <w:szCs w:val="24"/>
          <w:lang w:eastAsia="pl-PL"/>
        </w:rPr>
        <w:t>przeciwwskazań, aby papiery wartościowe emitowane przez zagraniczne fundusze, w tym ETF-y, mogły być notowane także w alternatywnym systemie obrotu.</w:t>
      </w:r>
    </w:p>
    <w:p w14:paraId="4BDAC863" w14:textId="41553D85" w:rsidR="008054CF" w:rsidRPr="007A14FF" w:rsidRDefault="00BC449B" w:rsidP="00DE29CF">
      <w:pPr>
        <w:spacing w:after="120" w:line="360" w:lineRule="auto"/>
        <w:jc w:val="both"/>
        <w:rPr>
          <w:rFonts w:ascii="Times New Roman" w:hAnsi="Times New Roman"/>
          <w:sz w:val="24"/>
          <w:szCs w:val="24"/>
        </w:rPr>
      </w:pPr>
      <w:r>
        <w:rPr>
          <w:rFonts w:ascii="Times New Roman" w:hAnsi="Times New Roman" w:cs="Times New Roman"/>
          <w:bCs/>
          <w:sz w:val="24"/>
          <w:szCs w:val="24"/>
        </w:rPr>
        <w:t xml:space="preserve">Zmiana </w:t>
      </w:r>
      <w:r w:rsidR="007A14FF" w:rsidRPr="007921D7">
        <w:rPr>
          <w:rFonts w:ascii="Times New Roman" w:hAnsi="Times New Roman" w:cs="Times New Roman"/>
          <w:bCs/>
          <w:sz w:val="24"/>
          <w:szCs w:val="24"/>
        </w:rPr>
        <w:t xml:space="preserve">art. 21 wynika z faktu, że </w:t>
      </w:r>
      <w:r>
        <w:rPr>
          <w:rFonts w:ascii="Times New Roman" w:hAnsi="Times New Roman"/>
          <w:sz w:val="24"/>
          <w:szCs w:val="24"/>
        </w:rPr>
        <w:t>r</w:t>
      </w:r>
      <w:r w:rsidR="007A14FF" w:rsidRPr="007921D7">
        <w:rPr>
          <w:rFonts w:ascii="Times New Roman" w:hAnsi="Times New Roman"/>
          <w:sz w:val="24"/>
          <w:szCs w:val="24"/>
        </w:rPr>
        <w:t xml:space="preserve">ozwój usług finansowych związany jest nieodzownie z dynamicznym rozwojem technologii. </w:t>
      </w:r>
      <w:r w:rsidR="004F3B0D">
        <w:rPr>
          <w:rFonts w:ascii="Times New Roman" w:hAnsi="Times New Roman"/>
          <w:sz w:val="24"/>
          <w:szCs w:val="24"/>
        </w:rPr>
        <w:t>Stwierdzenie to</w:t>
      </w:r>
      <w:r w:rsidR="007A14FF" w:rsidRPr="007921D7">
        <w:rPr>
          <w:rFonts w:ascii="Times New Roman" w:hAnsi="Times New Roman"/>
          <w:sz w:val="24"/>
          <w:szCs w:val="24"/>
        </w:rPr>
        <w:t xml:space="preserve"> wymusza po stronie podmiotów funkcjonujących na rynku kapitałowym, w tym podmiotów infrastrukturalnych</w:t>
      </w:r>
      <w:r>
        <w:rPr>
          <w:rFonts w:ascii="Times New Roman" w:hAnsi="Times New Roman"/>
          <w:sz w:val="24"/>
          <w:szCs w:val="24"/>
        </w:rPr>
        <w:t>,</w:t>
      </w:r>
      <w:r w:rsidR="007A14FF" w:rsidRPr="007921D7">
        <w:rPr>
          <w:rFonts w:ascii="Times New Roman" w:hAnsi="Times New Roman"/>
          <w:sz w:val="24"/>
          <w:szCs w:val="24"/>
        </w:rPr>
        <w:t xml:space="preserve"> konieczność sprawnego reagowania na zmieniające się otoczenie i warunki prowadzenia działalności. Dlatego też </w:t>
      </w:r>
      <w:r w:rsidR="007A14FF" w:rsidRPr="007921D7">
        <w:rPr>
          <w:rFonts w:ascii="Times New Roman" w:hAnsi="Times New Roman"/>
          <w:sz w:val="24"/>
          <w:szCs w:val="24"/>
        </w:rPr>
        <w:lastRenderedPageBreak/>
        <w:t>podmioty infrastrukturalne, w tym spółki prowadzące rynek regulowany</w:t>
      </w:r>
      <w:r>
        <w:rPr>
          <w:rFonts w:ascii="Times New Roman" w:hAnsi="Times New Roman"/>
          <w:sz w:val="24"/>
          <w:szCs w:val="24"/>
        </w:rPr>
        <w:t>,</w:t>
      </w:r>
      <w:r w:rsidR="007A14FF" w:rsidRPr="007921D7">
        <w:rPr>
          <w:rFonts w:ascii="Times New Roman" w:hAnsi="Times New Roman"/>
          <w:sz w:val="24"/>
          <w:szCs w:val="24"/>
        </w:rPr>
        <w:t xml:space="preserve"> powinny mieć możliwość oferowania swoim klientom usług technologicznych, w tym oprogramowania lub platform w modelu SaaS</w:t>
      </w:r>
      <w:r w:rsidR="000E27EF">
        <w:rPr>
          <w:rFonts w:ascii="Times New Roman" w:hAnsi="Times New Roman"/>
          <w:sz w:val="24"/>
          <w:szCs w:val="24"/>
        </w:rPr>
        <w:t xml:space="preserve"> (ang. </w:t>
      </w:r>
      <w:r w:rsidR="000E27EF">
        <w:rPr>
          <w:rFonts w:ascii="Times New Roman" w:hAnsi="Times New Roman"/>
          <w:i/>
          <w:sz w:val="24"/>
          <w:szCs w:val="24"/>
        </w:rPr>
        <w:t>Software as a Service</w:t>
      </w:r>
      <w:r w:rsidR="000E27EF">
        <w:rPr>
          <w:rFonts w:ascii="Times New Roman" w:hAnsi="Times New Roman"/>
          <w:sz w:val="24"/>
          <w:szCs w:val="24"/>
        </w:rPr>
        <w:t xml:space="preserve">), czyli </w:t>
      </w:r>
      <w:r w:rsidR="007C389F">
        <w:rPr>
          <w:rFonts w:ascii="Times New Roman" w:hAnsi="Times New Roman"/>
          <w:sz w:val="24"/>
          <w:szCs w:val="24"/>
        </w:rPr>
        <w:t>usługi oprogramowania udostępnionej w chmurze</w:t>
      </w:r>
      <w:r w:rsidR="007A14FF" w:rsidRPr="007921D7">
        <w:rPr>
          <w:rFonts w:ascii="Times New Roman" w:hAnsi="Times New Roman"/>
          <w:sz w:val="24"/>
          <w:szCs w:val="24"/>
        </w:rPr>
        <w:t>. Dystrybucja usług w modelu SaaS nie jest traktowana przez klientów jako dostawa oprogramowania, ale jako świadczenie usług, które często swym charakterem wykraczają poza zakres usług</w:t>
      </w:r>
      <w:r>
        <w:rPr>
          <w:rFonts w:ascii="Times New Roman" w:hAnsi="Times New Roman"/>
          <w:sz w:val="24"/>
          <w:szCs w:val="24"/>
        </w:rPr>
        <w:t>,</w:t>
      </w:r>
      <w:r w:rsidR="007A14FF" w:rsidRPr="007921D7">
        <w:rPr>
          <w:rFonts w:ascii="Times New Roman" w:hAnsi="Times New Roman"/>
          <w:sz w:val="24"/>
          <w:szCs w:val="24"/>
        </w:rPr>
        <w:t xml:space="preserve"> jakie </w:t>
      </w:r>
      <w:r>
        <w:rPr>
          <w:rFonts w:ascii="Times New Roman" w:hAnsi="Times New Roman"/>
          <w:sz w:val="24"/>
          <w:szCs w:val="24"/>
        </w:rPr>
        <w:t xml:space="preserve">może świadczyć </w:t>
      </w:r>
      <w:r w:rsidR="007A14FF" w:rsidRPr="007921D7">
        <w:rPr>
          <w:rFonts w:ascii="Times New Roman" w:hAnsi="Times New Roman"/>
          <w:sz w:val="24"/>
          <w:szCs w:val="24"/>
        </w:rPr>
        <w:t xml:space="preserve">spółka prowadząca rynek regulowany. </w:t>
      </w:r>
      <w:r>
        <w:rPr>
          <w:rFonts w:ascii="Times New Roman" w:hAnsi="Times New Roman"/>
          <w:sz w:val="24"/>
          <w:szCs w:val="24"/>
        </w:rPr>
        <w:t xml:space="preserve">W związku z tym jest w pełni uzasadnione </w:t>
      </w:r>
      <w:r w:rsidRPr="007921D7">
        <w:rPr>
          <w:rFonts w:ascii="Times New Roman" w:hAnsi="Times New Roman"/>
          <w:sz w:val="24"/>
          <w:szCs w:val="24"/>
        </w:rPr>
        <w:t>poszerzenie grona odbiorców usług oferowanych przez spółki prowadzące rynek regulowany o uczestników rynku (obecnie grono to obejmuje wyłącznie podmioty z grupy kapitałowej)</w:t>
      </w:r>
      <w:r w:rsidR="008054CF">
        <w:rPr>
          <w:rFonts w:ascii="Times New Roman" w:hAnsi="Times New Roman"/>
          <w:sz w:val="24"/>
          <w:szCs w:val="24"/>
        </w:rPr>
        <w:t xml:space="preserve">. Pomoże to </w:t>
      </w:r>
      <w:r w:rsidR="007A14FF" w:rsidRPr="007921D7">
        <w:rPr>
          <w:rFonts w:ascii="Times New Roman" w:hAnsi="Times New Roman"/>
          <w:sz w:val="24"/>
          <w:szCs w:val="24"/>
        </w:rPr>
        <w:t>operator</w:t>
      </w:r>
      <w:r w:rsidR="008054CF">
        <w:rPr>
          <w:rFonts w:ascii="Times New Roman" w:hAnsi="Times New Roman"/>
          <w:sz w:val="24"/>
          <w:szCs w:val="24"/>
        </w:rPr>
        <w:t xml:space="preserve">om </w:t>
      </w:r>
      <w:r w:rsidR="007A14FF" w:rsidRPr="007921D7">
        <w:rPr>
          <w:rFonts w:ascii="Times New Roman" w:hAnsi="Times New Roman"/>
          <w:sz w:val="24"/>
          <w:szCs w:val="24"/>
        </w:rPr>
        <w:t xml:space="preserve">platform obrotu sprostać aktualnym wyzwaniom technologicznym, jak też rozwijać usługi i świadczyć je uczestnikom rynku w nowoczesnych modelach dystrybucji, które </w:t>
      </w:r>
      <w:r w:rsidR="00BC7774">
        <w:rPr>
          <w:rFonts w:ascii="Times New Roman" w:hAnsi="Times New Roman"/>
          <w:sz w:val="24"/>
          <w:szCs w:val="24"/>
        </w:rPr>
        <w:t xml:space="preserve">stają się standardem, np. </w:t>
      </w:r>
      <w:r w:rsidR="007A14FF" w:rsidRPr="007921D7">
        <w:rPr>
          <w:rFonts w:ascii="Times New Roman" w:hAnsi="Times New Roman"/>
          <w:sz w:val="24"/>
          <w:szCs w:val="24"/>
        </w:rPr>
        <w:t>usługi z wykorzystaniem</w:t>
      </w:r>
      <w:r w:rsidR="000E27EF">
        <w:rPr>
          <w:rFonts w:ascii="Times New Roman" w:hAnsi="Times New Roman"/>
          <w:sz w:val="24"/>
          <w:szCs w:val="24"/>
        </w:rPr>
        <w:t xml:space="preserve"> standardowej</w:t>
      </w:r>
      <w:r w:rsidR="007A14FF" w:rsidRPr="007921D7">
        <w:rPr>
          <w:rFonts w:ascii="Times New Roman" w:hAnsi="Times New Roman"/>
          <w:sz w:val="24"/>
          <w:szCs w:val="24"/>
        </w:rPr>
        <w:t xml:space="preserve"> infrastruktury chmurowej</w:t>
      </w:r>
      <w:r w:rsidR="008054CF">
        <w:rPr>
          <w:rFonts w:ascii="Times New Roman" w:hAnsi="Times New Roman"/>
          <w:sz w:val="24"/>
          <w:szCs w:val="24"/>
        </w:rPr>
        <w:t xml:space="preserve"> czy </w:t>
      </w:r>
      <w:r w:rsidR="007A14FF" w:rsidRPr="007921D7">
        <w:rPr>
          <w:rFonts w:ascii="Times New Roman" w:hAnsi="Times New Roman"/>
          <w:sz w:val="24"/>
          <w:szCs w:val="24"/>
        </w:rPr>
        <w:t>usługi w modelu SaaSprzez. Zmiana taka umożliwi spółkom prowadzącym rynek regulowany skuteczne reagowa</w:t>
      </w:r>
      <w:r w:rsidR="008054CF">
        <w:rPr>
          <w:rFonts w:ascii="Times New Roman" w:hAnsi="Times New Roman"/>
          <w:sz w:val="24"/>
          <w:szCs w:val="24"/>
        </w:rPr>
        <w:t xml:space="preserve">nie </w:t>
      </w:r>
      <w:r w:rsidR="007A14FF" w:rsidRPr="007921D7">
        <w:rPr>
          <w:rFonts w:ascii="Times New Roman" w:hAnsi="Times New Roman"/>
          <w:sz w:val="24"/>
          <w:szCs w:val="24"/>
        </w:rPr>
        <w:t xml:space="preserve">na potrzeby zgłaszane przez środowisko domów i biur maklerskich, </w:t>
      </w:r>
      <w:r w:rsidR="00BC7774">
        <w:rPr>
          <w:rFonts w:ascii="Times New Roman" w:hAnsi="Times New Roman"/>
          <w:sz w:val="24"/>
          <w:szCs w:val="24"/>
        </w:rPr>
        <w:t>które</w:t>
      </w:r>
      <w:r w:rsidR="008054CF">
        <w:rPr>
          <w:rFonts w:ascii="Times New Roman" w:hAnsi="Times New Roman"/>
          <w:sz w:val="24"/>
          <w:szCs w:val="24"/>
        </w:rPr>
        <w:t xml:space="preserve"> </w:t>
      </w:r>
      <w:r w:rsidR="007A14FF" w:rsidRPr="007921D7">
        <w:rPr>
          <w:rFonts w:ascii="Times New Roman" w:hAnsi="Times New Roman"/>
          <w:sz w:val="24"/>
          <w:szCs w:val="24"/>
        </w:rPr>
        <w:t xml:space="preserve">oczekują od GPW, jako organizatora obrotu, nie tylko świadczenia podstawowej usługi dostarczenia systemu obrotu, ale również usług towarzyszących. Jest to standard, który występuje już na większości giełd, </w:t>
      </w:r>
      <w:r w:rsidR="008054CF">
        <w:rPr>
          <w:rFonts w:ascii="Times New Roman" w:hAnsi="Times New Roman"/>
          <w:sz w:val="24"/>
          <w:szCs w:val="24"/>
        </w:rPr>
        <w:t xml:space="preserve">które </w:t>
      </w:r>
      <w:r w:rsidR="007A14FF" w:rsidRPr="007921D7">
        <w:rPr>
          <w:rFonts w:ascii="Times New Roman" w:hAnsi="Times New Roman"/>
          <w:sz w:val="24"/>
          <w:szCs w:val="24"/>
        </w:rPr>
        <w:t>oprócz usług podstawowych świadcz</w:t>
      </w:r>
      <w:r w:rsidR="008054CF">
        <w:rPr>
          <w:rFonts w:ascii="Times New Roman" w:hAnsi="Times New Roman"/>
          <w:sz w:val="24"/>
          <w:szCs w:val="24"/>
        </w:rPr>
        <w:t>ą</w:t>
      </w:r>
      <w:r w:rsidR="007A14FF" w:rsidRPr="007921D7">
        <w:rPr>
          <w:rFonts w:ascii="Times New Roman" w:hAnsi="Times New Roman"/>
          <w:sz w:val="24"/>
          <w:szCs w:val="24"/>
        </w:rPr>
        <w:t xml:space="preserve"> dodatkowe usługi powiązane z systemem obrotu lub wsparciem środowiska uczestników rynku, np. NASDAQ.</w:t>
      </w:r>
    </w:p>
    <w:p w14:paraId="641E43F2" w14:textId="16CAE5D0" w:rsidR="000014D0" w:rsidRPr="006B2CD4" w:rsidRDefault="000014D0" w:rsidP="008054CF">
      <w:pPr>
        <w:shd w:val="clear" w:color="auto" w:fill="FFFFFF" w:themeFill="background1"/>
        <w:spacing w:after="0" w:line="360" w:lineRule="auto"/>
        <w:jc w:val="both"/>
        <w:rPr>
          <w:rFonts w:ascii="Times New Roman" w:hAnsi="Times New Roman" w:cs="Times New Roman"/>
          <w:bCs/>
          <w:iCs/>
          <w:sz w:val="24"/>
          <w:szCs w:val="24"/>
        </w:rPr>
      </w:pPr>
      <w:r w:rsidRPr="006B2CD4">
        <w:rPr>
          <w:rFonts w:ascii="Times New Roman" w:hAnsi="Times New Roman" w:cs="Times New Roman"/>
          <w:bCs/>
          <w:sz w:val="24"/>
          <w:szCs w:val="24"/>
        </w:rPr>
        <w:lastRenderedPageBreak/>
        <w:t>Dodanie art. 29 ust</w:t>
      </w:r>
      <w:r w:rsidR="0019158B">
        <w:rPr>
          <w:rFonts w:ascii="Times New Roman" w:hAnsi="Times New Roman" w:cs="Times New Roman"/>
          <w:bCs/>
          <w:sz w:val="24"/>
          <w:szCs w:val="24"/>
        </w:rPr>
        <w:t>.</w:t>
      </w:r>
      <w:r w:rsidRPr="006B2CD4">
        <w:rPr>
          <w:rFonts w:ascii="Times New Roman" w:hAnsi="Times New Roman" w:cs="Times New Roman"/>
          <w:bCs/>
          <w:sz w:val="24"/>
          <w:szCs w:val="24"/>
        </w:rPr>
        <w:t xml:space="preserve"> 4 </w:t>
      </w:r>
      <w:r w:rsidRPr="006B2CD4">
        <w:rPr>
          <w:rFonts w:ascii="Times New Roman" w:hAnsi="Times New Roman" w:cs="Times New Roman"/>
          <w:bCs/>
          <w:iCs/>
          <w:sz w:val="24"/>
          <w:szCs w:val="24"/>
        </w:rPr>
        <w:t xml:space="preserve">umożliwi skrócenie </w:t>
      </w:r>
      <w:r>
        <w:rPr>
          <w:rFonts w:ascii="Times New Roman" w:hAnsi="Times New Roman" w:cs="Times New Roman"/>
          <w:bCs/>
          <w:iCs/>
          <w:sz w:val="24"/>
          <w:szCs w:val="24"/>
        </w:rPr>
        <w:t xml:space="preserve">terminu </w:t>
      </w:r>
      <w:r w:rsidRPr="006B2CD4">
        <w:rPr>
          <w:rFonts w:ascii="Times New Roman" w:hAnsi="Times New Roman" w:cs="Times New Roman"/>
          <w:bCs/>
          <w:iCs/>
          <w:sz w:val="24"/>
          <w:szCs w:val="24"/>
        </w:rPr>
        <w:t xml:space="preserve">wejścia w życie zmian do regulaminu rynku regulowanego w przypadku gdy zmiany </w:t>
      </w:r>
      <w:r>
        <w:rPr>
          <w:rFonts w:ascii="Times New Roman" w:hAnsi="Times New Roman" w:cs="Times New Roman"/>
          <w:bCs/>
          <w:iCs/>
          <w:sz w:val="24"/>
          <w:szCs w:val="24"/>
        </w:rPr>
        <w:t xml:space="preserve">te </w:t>
      </w:r>
      <w:r w:rsidRPr="006B2CD4">
        <w:rPr>
          <w:rFonts w:ascii="Times New Roman" w:hAnsi="Times New Roman" w:cs="Times New Roman"/>
          <w:bCs/>
          <w:iCs/>
          <w:sz w:val="24"/>
          <w:szCs w:val="24"/>
        </w:rPr>
        <w:t xml:space="preserve">nie ograniczają praw </w:t>
      </w:r>
      <w:r w:rsidR="008054CF">
        <w:rPr>
          <w:rFonts w:ascii="Times New Roman" w:hAnsi="Times New Roman" w:cs="Times New Roman"/>
          <w:bCs/>
          <w:iCs/>
          <w:sz w:val="24"/>
          <w:szCs w:val="24"/>
        </w:rPr>
        <w:t xml:space="preserve">ani </w:t>
      </w:r>
      <w:r w:rsidRPr="006B2CD4">
        <w:rPr>
          <w:rFonts w:ascii="Times New Roman" w:hAnsi="Times New Roman" w:cs="Times New Roman"/>
          <w:bCs/>
          <w:iCs/>
          <w:sz w:val="24"/>
          <w:szCs w:val="24"/>
        </w:rPr>
        <w:t xml:space="preserve">nie zwiększają obowiązków uczestników obrotu. </w:t>
      </w:r>
    </w:p>
    <w:p w14:paraId="7821816A" w14:textId="77777777" w:rsidR="000014D0" w:rsidRDefault="000014D0" w:rsidP="008054CF">
      <w:pPr>
        <w:shd w:val="clear" w:color="auto" w:fill="FFFFFF" w:themeFill="background1"/>
        <w:spacing w:after="12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Rozwiązanie takie obowiązuje już obecnie w odniesieniu do KDPW w art. 50 ust. 6. Celem proponowanej zmiany jest zapewnienie spółce prowadzącej rynek regulowany możliwości bieżącego reagowania na zmieniające się okoliczności rynkowe, w przypadku gdy reakcja taka wymagać będzie od niej, jako organizatora obrotu, wprowadzenia stosownych zmian w regulacjach rynkowych.</w:t>
      </w:r>
      <w:r>
        <w:rPr>
          <w:rFonts w:ascii="Times New Roman" w:hAnsi="Times New Roman" w:cs="Times New Roman"/>
          <w:bCs/>
          <w:iCs/>
          <w:sz w:val="24"/>
          <w:szCs w:val="24"/>
        </w:rPr>
        <w:t xml:space="preserve"> </w:t>
      </w:r>
    </w:p>
    <w:p w14:paraId="2A6507E8" w14:textId="0B2EC203" w:rsidR="007A14FF" w:rsidRDefault="007A14FF" w:rsidP="008054CF">
      <w:pPr>
        <w:shd w:val="clear" w:color="auto" w:fill="FFFFFF" w:themeFill="background1"/>
        <w:spacing w:after="120" w:line="36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Dodanie w art. 31 ust. 1 pkt 5 jest zmianą wynikową i związana jest z </w:t>
      </w:r>
      <w:r w:rsidR="008054CF">
        <w:rPr>
          <w:rFonts w:ascii="Times New Roman" w:hAnsi="Times New Roman" w:cs="Times New Roman"/>
          <w:bCs/>
          <w:iCs/>
          <w:sz w:val="24"/>
          <w:szCs w:val="24"/>
        </w:rPr>
        <w:t xml:space="preserve">opisanymi wyżej </w:t>
      </w:r>
      <w:r>
        <w:rPr>
          <w:rFonts w:ascii="Times New Roman" w:hAnsi="Times New Roman" w:cs="Times New Roman"/>
          <w:bCs/>
          <w:iCs/>
          <w:sz w:val="24"/>
          <w:szCs w:val="24"/>
        </w:rPr>
        <w:t>zmianami dotyczącymi jednolitej licencji bankowej obejmującymi również banki państwowe</w:t>
      </w:r>
      <w:r w:rsidR="000E27EF">
        <w:rPr>
          <w:rFonts w:ascii="Times New Roman" w:hAnsi="Times New Roman" w:cs="Times New Roman"/>
          <w:bCs/>
          <w:iCs/>
          <w:sz w:val="24"/>
          <w:szCs w:val="24"/>
        </w:rPr>
        <w:t xml:space="preserve"> i koniecznością zachowania spójności w tym zakresie</w:t>
      </w:r>
      <w:r>
        <w:rPr>
          <w:rFonts w:ascii="Times New Roman" w:hAnsi="Times New Roman" w:cs="Times New Roman"/>
          <w:bCs/>
          <w:iCs/>
          <w:sz w:val="24"/>
          <w:szCs w:val="24"/>
        </w:rPr>
        <w:t>.</w:t>
      </w:r>
    </w:p>
    <w:p w14:paraId="1921664C" w14:textId="74DBCDBE" w:rsidR="007A14FF" w:rsidRPr="007A14FF" w:rsidRDefault="007A14FF" w:rsidP="007A14FF">
      <w:pPr>
        <w:pStyle w:val="ZUSTzmustartykuempunktem"/>
        <w:spacing w:after="120"/>
        <w:ind w:left="0" w:firstLine="0"/>
        <w:contextualSpacing/>
        <w:rPr>
          <w:rFonts w:ascii="Times New Roman" w:hAnsi="Times New Roman" w:cs="Times New Roman"/>
          <w:szCs w:val="22"/>
        </w:rPr>
      </w:pPr>
      <w:r>
        <w:rPr>
          <w:rFonts w:ascii="Times New Roman" w:hAnsi="Times New Roman" w:cs="Times New Roman"/>
          <w:szCs w:val="22"/>
        </w:rPr>
        <w:t>Zmiana</w:t>
      </w:r>
      <w:r w:rsidRPr="007921D7">
        <w:rPr>
          <w:rFonts w:ascii="Times New Roman" w:hAnsi="Times New Roman" w:cs="Times New Roman"/>
          <w:szCs w:val="22"/>
        </w:rPr>
        <w:t xml:space="preserve"> art. 32 u</w:t>
      </w:r>
      <w:r>
        <w:rPr>
          <w:rFonts w:ascii="Times New Roman" w:hAnsi="Times New Roman" w:cs="Times New Roman"/>
          <w:szCs w:val="22"/>
        </w:rPr>
        <w:t xml:space="preserve">st. 1 </w:t>
      </w:r>
      <w:r w:rsidRPr="007921D7">
        <w:rPr>
          <w:rFonts w:ascii="Times New Roman" w:hAnsi="Times New Roman" w:cs="Times New Roman"/>
          <w:szCs w:val="22"/>
        </w:rPr>
        <w:t xml:space="preserve">polega na skróceniu </w:t>
      </w:r>
      <w:r w:rsidR="008054CF">
        <w:rPr>
          <w:rFonts w:ascii="Times New Roman" w:hAnsi="Times New Roman" w:cs="Times New Roman"/>
          <w:szCs w:val="22"/>
        </w:rPr>
        <w:t>–</w:t>
      </w:r>
      <w:r w:rsidRPr="007921D7">
        <w:rPr>
          <w:rFonts w:ascii="Times New Roman" w:hAnsi="Times New Roman" w:cs="Times New Roman"/>
          <w:szCs w:val="22"/>
        </w:rPr>
        <w:t xml:space="preserve"> z dotychczasowych 14 do 7 dni </w:t>
      </w:r>
      <w:r w:rsidR="008054CF">
        <w:rPr>
          <w:rFonts w:ascii="Times New Roman" w:hAnsi="Times New Roman" w:cs="Times New Roman"/>
          <w:szCs w:val="22"/>
        </w:rPr>
        <w:t>–</w:t>
      </w:r>
      <w:r w:rsidRPr="007921D7">
        <w:rPr>
          <w:rFonts w:ascii="Times New Roman" w:hAnsi="Times New Roman" w:cs="Times New Roman"/>
          <w:szCs w:val="22"/>
        </w:rPr>
        <w:t xml:space="preserve"> terminu na podjęcie przez zarząd spółki prowadzącej rynek regulowany uchwały w sprawie dopuszczenia instrumentów finansowych do obrotu na tym rynku</w:t>
      </w:r>
      <w:r w:rsidR="008054CF">
        <w:rPr>
          <w:rFonts w:ascii="Times New Roman" w:hAnsi="Times New Roman" w:cs="Times New Roman"/>
          <w:szCs w:val="22"/>
        </w:rPr>
        <w:t>. M</w:t>
      </w:r>
      <w:r>
        <w:rPr>
          <w:rFonts w:ascii="Times New Roman" w:hAnsi="Times New Roman" w:cs="Times New Roman"/>
          <w:szCs w:val="22"/>
        </w:rPr>
        <w:t xml:space="preserve">a </w:t>
      </w:r>
      <w:r w:rsidR="008054CF">
        <w:rPr>
          <w:rFonts w:ascii="Times New Roman" w:hAnsi="Times New Roman" w:cs="Times New Roman"/>
          <w:szCs w:val="22"/>
        </w:rPr>
        <w:t xml:space="preserve">to </w:t>
      </w:r>
      <w:r>
        <w:rPr>
          <w:rFonts w:ascii="Times New Roman" w:hAnsi="Times New Roman" w:cs="Times New Roman"/>
          <w:szCs w:val="22"/>
        </w:rPr>
        <w:t xml:space="preserve">na celu </w:t>
      </w:r>
      <w:r w:rsidRPr="007921D7">
        <w:rPr>
          <w:rFonts w:ascii="Times New Roman" w:hAnsi="Times New Roman" w:cs="Times New Roman"/>
          <w:szCs w:val="22"/>
        </w:rPr>
        <w:t>przede wszystkim uelastycznienie procesu dopuszczania instrumentów finansowy</w:t>
      </w:r>
      <w:r w:rsidRPr="00685A80">
        <w:rPr>
          <w:rFonts w:ascii="Times New Roman" w:hAnsi="Times New Roman" w:cs="Times New Roman"/>
          <w:szCs w:val="22"/>
        </w:rPr>
        <w:t xml:space="preserve">ch do obrotu na rynku regulowanym, jak też podniesienie poziomu atrakcyjności krajowego rynku regulowanego. </w:t>
      </w:r>
    </w:p>
    <w:p w14:paraId="075A31D7" w14:textId="3FC3FA53" w:rsidR="00DE29CF" w:rsidRDefault="007A14FF" w:rsidP="000014D0">
      <w:pPr>
        <w:shd w:val="clear" w:color="auto" w:fill="FFFFFF" w:themeFill="background1"/>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Zmiana art. 45e ust. 1 </w:t>
      </w:r>
      <w:r w:rsidR="00AB40C5">
        <w:rPr>
          <w:rFonts w:ascii="Times New Roman" w:hAnsi="Times New Roman" w:cs="Times New Roman"/>
          <w:bCs/>
          <w:sz w:val="24"/>
          <w:szCs w:val="24"/>
        </w:rPr>
        <w:t>pkt 2a i 3 oraz ust</w:t>
      </w:r>
      <w:r w:rsidR="00457862">
        <w:rPr>
          <w:rFonts w:ascii="Times New Roman" w:hAnsi="Times New Roman" w:cs="Times New Roman"/>
          <w:bCs/>
          <w:sz w:val="24"/>
          <w:szCs w:val="24"/>
        </w:rPr>
        <w:t>.</w:t>
      </w:r>
      <w:r w:rsidR="00AB40C5">
        <w:rPr>
          <w:rFonts w:ascii="Times New Roman" w:hAnsi="Times New Roman" w:cs="Times New Roman"/>
          <w:bCs/>
          <w:sz w:val="24"/>
          <w:szCs w:val="24"/>
        </w:rPr>
        <w:t xml:space="preserve"> </w:t>
      </w:r>
      <w:r w:rsidRPr="00BA2592">
        <w:rPr>
          <w:rFonts w:ascii="Times New Roman" w:hAnsi="Times New Roman" w:cs="Times New Roman"/>
          <w:bCs/>
          <w:sz w:val="24"/>
          <w:szCs w:val="24"/>
        </w:rPr>
        <w:t xml:space="preserve">2 </w:t>
      </w:r>
      <w:r w:rsidR="00AB40C5">
        <w:rPr>
          <w:rFonts w:ascii="Times New Roman" w:hAnsi="Times New Roman" w:cs="Times New Roman"/>
          <w:bCs/>
          <w:sz w:val="24"/>
          <w:szCs w:val="24"/>
        </w:rPr>
        <w:t xml:space="preserve">pkt 2a i 3 </w:t>
      </w:r>
      <w:r w:rsidRPr="00BA2592">
        <w:rPr>
          <w:rFonts w:ascii="Times New Roman" w:hAnsi="Times New Roman" w:cs="Times New Roman"/>
          <w:bCs/>
          <w:iCs/>
          <w:sz w:val="24"/>
          <w:szCs w:val="24"/>
        </w:rPr>
        <w:t>ma na celu uwzględnienie</w:t>
      </w:r>
      <w:r w:rsidR="007C389F">
        <w:rPr>
          <w:rFonts w:ascii="Times New Roman" w:hAnsi="Times New Roman" w:cs="Times New Roman"/>
          <w:bCs/>
          <w:iCs/>
          <w:sz w:val="24"/>
          <w:szCs w:val="24"/>
        </w:rPr>
        <w:t>,</w:t>
      </w:r>
      <w:r w:rsidR="003531F6">
        <w:rPr>
          <w:rFonts w:ascii="Times New Roman" w:hAnsi="Times New Roman" w:cs="Times New Roman"/>
          <w:bCs/>
          <w:iCs/>
          <w:sz w:val="24"/>
          <w:szCs w:val="24"/>
        </w:rPr>
        <w:t xml:space="preserve"> w zakresie przedmiotowym tej regulacji</w:t>
      </w:r>
      <w:r w:rsidR="007C389F">
        <w:rPr>
          <w:rFonts w:ascii="Times New Roman" w:hAnsi="Times New Roman" w:cs="Times New Roman"/>
          <w:bCs/>
          <w:iCs/>
          <w:sz w:val="24"/>
          <w:szCs w:val="24"/>
        </w:rPr>
        <w:t>,</w:t>
      </w:r>
      <w:r w:rsidRPr="00BA2592">
        <w:rPr>
          <w:rFonts w:ascii="Times New Roman" w:hAnsi="Times New Roman" w:cs="Times New Roman"/>
          <w:bCs/>
          <w:iCs/>
          <w:sz w:val="24"/>
          <w:szCs w:val="24"/>
        </w:rPr>
        <w:t xml:space="preserve"> rachunków derywatów</w:t>
      </w:r>
      <w:r>
        <w:rPr>
          <w:rFonts w:ascii="Times New Roman" w:hAnsi="Times New Roman" w:cs="Times New Roman"/>
          <w:bCs/>
          <w:iCs/>
          <w:sz w:val="24"/>
          <w:szCs w:val="24"/>
        </w:rPr>
        <w:t>, co umożl</w:t>
      </w:r>
      <w:r w:rsidR="007C389F">
        <w:rPr>
          <w:rFonts w:ascii="Times New Roman" w:hAnsi="Times New Roman" w:cs="Times New Roman"/>
          <w:bCs/>
          <w:iCs/>
          <w:sz w:val="24"/>
          <w:szCs w:val="24"/>
        </w:rPr>
        <w:t xml:space="preserve">iwi </w:t>
      </w:r>
      <w:r w:rsidRPr="00BA2592">
        <w:rPr>
          <w:rFonts w:ascii="Times New Roman" w:hAnsi="Times New Roman" w:cs="Times New Roman"/>
          <w:bCs/>
          <w:iCs/>
          <w:sz w:val="24"/>
          <w:szCs w:val="24"/>
        </w:rPr>
        <w:t>zwiększenie bezpieczeń</w:t>
      </w:r>
      <w:r w:rsidRPr="00BA2592">
        <w:rPr>
          <w:rFonts w:ascii="Times New Roman" w:hAnsi="Times New Roman" w:cs="Times New Roman"/>
          <w:bCs/>
          <w:iCs/>
          <w:sz w:val="24"/>
          <w:szCs w:val="24"/>
        </w:rPr>
        <w:lastRenderedPageBreak/>
        <w:t>stwa systemowego przez rozszerzenie ochrony (przewidzianej na wypadek w</w:t>
      </w:r>
      <w:r w:rsidRPr="00BA2592">
        <w:rPr>
          <w:rFonts w:ascii="Times New Roman" w:hAnsi="Times New Roman" w:cs="Times New Roman"/>
          <w:color w:val="333333"/>
          <w:sz w:val="24"/>
          <w:szCs w:val="24"/>
          <w:shd w:val="clear" w:color="auto" w:fill="FFFFFF"/>
        </w:rPr>
        <w:t>szczęcia postępowania upadłościowego, restrukturyzacyjnego, egzekucyjnego lub otwarcie likwidacji, a także podjęcie innych środków prawnych względem uczestnika</w:t>
      </w:r>
      <w:r w:rsidR="00D02459">
        <w:rPr>
          <w:rFonts w:ascii="Times New Roman" w:hAnsi="Times New Roman" w:cs="Times New Roman"/>
          <w:color w:val="333333"/>
          <w:sz w:val="24"/>
          <w:szCs w:val="24"/>
          <w:shd w:val="clear" w:color="auto" w:fill="FFFFFF"/>
        </w:rPr>
        <w:t xml:space="preserve"> w rozumieniu art. 45a ust. 2 ustawy o obrocie</w:t>
      </w:r>
      <w:r w:rsidRPr="00BA2592">
        <w:rPr>
          <w:rFonts w:ascii="Times New Roman" w:hAnsi="Times New Roman" w:cs="Times New Roman"/>
          <w:color w:val="333333"/>
          <w:sz w:val="24"/>
          <w:szCs w:val="24"/>
          <w:shd w:val="clear" w:color="auto" w:fill="FFFFFF"/>
        </w:rPr>
        <w:t xml:space="preserve"> lub innego podmiotu zawierającego transakcje) </w:t>
      </w:r>
      <w:r w:rsidRPr="00BA2592">
        <w:rPr>
          <w:rFonts w:ascii="Times New Roman" w:hAnsi="Times New Roman" w:cs="Times New Roman"/>
          <w:bCs/>
          <w:iCs/>
          <w:sz w:val="24"/>
          <w:szCs w:val="24"/>
        </w:rPr>
        <w:t>na wszystkie transakcje</w:t>
      </w:r>
      <w:r w:rsidRPr="006B2CD4">
        <w:rPr>
          <w:rFonts w:ascii="Times New Roman" w:hAnsi="Times New Roman" w:cs="Times New Roman"/>
          <w:bCs/>
          <w:iCs/>
          <w:sz w:val="24"/>
          <w:szCs w:val="24"/>
        </w:rPr>
        <w:t xml:space="preserve"> rozliczane przez </w:t>
      </w:r>
      <w:r>
        <w:rPr>
          <w:rFonts w:ascii="Times New Roman" w:hAnsi="Times New Roman" w:cs="Times New Roman"/>
          <w:bCs/>
          <w:sz w:val="24"/>
          <w:szCs w:val="24"/>
        </w:rPr>
        <w:t xml:space="preserve">podmiot rozliczający </w:t>
      </w:r>
      <w:r w:rsidRPr="006B2CD4">
        <w:rPr>
          <w:rFonts w:ascii="Times New Roman" w:hAnsi="Times New Roman" w:cs="Times New Roman"/>
          <w:bCs/>
          <w:iCs/>
          <w:sz w:val="24"/>
          <w:szCs w:val="24"/>
        </w:rPr>
        <w:t xml:space="preserve">w drodze nowacji rozliczeniowej. Ta metoda rozliczeń powoduje, że ryzyko związane z rozrachunkiem wszystkich transakcji zawieranych przez uczestników </w:t>
      </w:r>
      <w:r>
        <w:rPr>
          <w:rFonts w:ascii="Times New Roman" w:hAnsi="Times New Roman" w:cs="Times New Roman"/>
          <w:bCs/>
          <w:iCs/>
          <w:sz w:val="24"/>
          <w:szCs w:val="24"/>
        </w:rPr>
        <w:t>podmiotu rozliczającego</w:t>
      </w:r>
      <w:r w:rsidRPr="006B2CD4">
        <w:rPr>
          <w:rFonts w:ascii="Times New Roman" w:hAnsi="Times New Roman" w:cs="Times New Roman"/>
          <w:bCs/>
          <w:iCs/>
          <w:sz w:val="24"/>
          <w:szCs w:val="24"/>
        </w:rPr>
        <w:t xml:space="preserve"> i podmioty zawierające transakcje na rynku regulowanym przechodzi na </w:t>
      </w:r>
      <w:r>
        <w:rPr>
          <w:rFonts w:ascii="Times New Roman" w:hAnsi="Times New Roman" w:cs="Times New Roman"/>
          <w:bCs/>
          <w:iCs/>
          <w:sz w:val="24"/>
          <w:szCs w:val="24"/>
        </w:rPr>
        <w:t>podmiot rozliczający</w:t>
      </w:r>
      <w:r w:rsidRPr="00BA2592">
        <w:rPr>
          <w:rFonts w:ascii="Times New Roman" w:hAnsi="Times New Roman" w:cs="Times New Roman"/>
          <w:bCs/>
          <w:iCs/>
          <w:sz w:val="24"/>
          <w:szCs w:val="24"/>
        </w:rPr>
        <w:t>.</w:t>
      </w:r>
      <w:r w:rsidRPr="00BA2592">
        <w:rPr>
          <w:rFonts w:ascii="Times New Roman" w:hAnsi="Times New Roman" w:cs="Times New Roman"/>
          <w:bCs/>
          <w:sz w:val="24"/>
          <w:szCs w:val="24"/>
        </w:rPr>
        <w:t xml:space="preserve"> </w:t>
      </w:r>
    </w:p>
    <w:p w14:paraId="386EABEE" w14:textId="5E5F0571" w:rsidR="000014D0" w:rsidRPr="006B2CD4" w:rsidRDefault="007A14FF" w:rsidP="000014D0">
      <w:pPr>
        <w:shd w:val="clear" w:color="auto" w:fill="FFFFFF" w:themeFill="background1"/>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Dodanie ust. </w:t>
      </w:r>
      <w:r>
        <w:rPr>
          <w:rFonts w:ascii="Times New Roman" w:hAnsi="Times New Roman" w:cs="Times New Roman"/>
          <w:bCs/>
          <w:sz w:val="24"/>
          <w:szCs w:val="24"/>
        </w:rPr>
        <w:t>2a</w:t>
      </w:r>
      <w:r w:rsidRPr="006B2CD4">
        <w:rPr>
          <w:rFonts w:ascii="Times New Roman" w:hAnsi="Times New Roman" w:cs="Times New Roman"/>
          <w:sz w:val="24"/>
          <w:szCs w:val="24"/>
        </w:rPr>
        <w:t>‒</w:t>
      </w:r>
      <w:r>
        <w:rPr>
          <w:rFonts w:ascii="Times New Roman" w:hAnsi="Times New Roman" w:cs="Times New Roman"/>
          <w:sz w:val="24"/>
          <w:szCs w:val="24"/>
        </w:rPr>
        <w:t>2c</w:t>
      </w:r>
      <w:r w:rsidRPr="006B2CD4">
        <w:rPr>
          <w:rFonts w:ascii="Times New Roman" w:hAnsi="Times New Roman" w:cs="Times New Roman"/>
          <w:bCs/>
          <w:sz w:val="24"/>
          <w:szCs w:val="24"/>
        </w:rPr>
        <w:t xml:space="preserve"> jest uzasadnione koniecznością zapewnienia skuteczności pełnomocnictw złożonych w ramach systemów rozliczeń i rozrachunku w przypadku ogłoszenia upadł</w:t>
      </w:r>
      <w:r>
        <w:rPr>
          <w:rFonts w:ascii="Times New Roman" w:hAnsi="Times New Roman" w:cs="Times New Roman"/>
          <w:bCs/>
          <w:sz w:val="24"/>
          <w:szCs w:val="24"/>
        </w:rPr>
        <w:t xml:space="preserve">ości </w:t>
      </w:r>
      <w:r w:rsidR="00D02459">
        <w:rPr>
          <w:rFonts w:ascii="Times New Roman" w:hAnsi="Times New Roman" w:cs="Times New Roman"/>
          <w:bCs/>
          <w:sz w:val="24"/>
          <w:szCs w:val="24"/>
        </w:rPr>
        <w:t xml:space="preserve">podmiotu </w:t>
      </w:r>
      <w:r>
        <w:rPr>
          <w:rFonts w:ascii="Times New Roman" w:hAnsi="Times New Roman" w:cs="Times New Roman"/>
          <w:bCs/>
          <w:sz w:val="24"/>
          <w:szCs w:val="24"/>
        </w:rPr>
        <w:t>rozliczającego.</w:t>
      </w:r>
      <w:r w:rsidRPr="006B2CD4">
        <w:rPr>
          <w:rFonts w:ascii="Times New Roman" w:hAnsi="Times New Roman" w:cs="Times New Roman"/>
          <w:bCs/>
          <w:sz w:val="24"/>
          <w:szCs w:val="24"/>
        </w:rPr>
        <w:t xml:space="preserve"> </w:t>
      </w:r>
      <w:r w:rsidR="000014D0" w:rsidRPr="006B2CD4">
        <w:rPr>
          <w:rFonts w:ascii="Times New Roman" w:hAnsi="Times New Roman" w:cs="Times New Roman"/>
          <w:bCs/>
          <w:sz w:val="24"/>
          <w:szCs w:val="24"/>
        </w:rPr>
        <w:t xml:space="preserve">Przepisy ustawy </w:t>
      </w:r>
      <w:r w:rsidR="000014D0" w:rsidRPr="006B2CD4">
        <w:rPr>
          <w:rFonts w:ascii="Times New Roman" w:hAnsi="Times New Roman" w:cs="Times New Roman"/>
          <w:sz w:val="24"/>
          <w:szCs w:val="24"/>
        </w:rPr>
        <w:t xml:space="preserve">– </w:t>
      </w:r>
      <w:r w:rsidR="000014D0" w:rsidRPr="006B2CD4">
        <w:rPr>
          <w:rFonts w:ascii="Times New Roman" w:hAnsi="Times New Roman" w:cs="Times New Roman"/>
          <w:bCs/>
          <w:sz w:val="24"/>
          <w:szCs w:val="24"/>
        </w:rPr>
        <w:t>Prawo upadłościowe, w szczególności art. 135</w:t>
      </w:r>
      <w:r w:rsidR="000014D0" w:rsidRPr="006B2CD4">
        <w:rPr>
          <w:rFonts w:ascii="Times New Roman" w:hAnsi="Times New Roman" w:cs="Times New Roman"/>
          <w:sz w:val="24"/>
          <w:szCs w:val="24"/>
        </w:rPr>
        <w:t>‒</w:t>
      </w:r>
      <w:r w:rsidR="000014D0" w:rsidRPr="006B2CD4">
        <w:rPr>
          <w:rFonts w:ascii="Times New Roman" w:hAnsi="Times New Roman" w:cs="Times New Roman"/>
          <w:bCs/>
          <w:sz w:val="24"/>
          <w:szCs w:val="24"/>
        </w:rPr>
        <w:t>137</w:t>
      </w:r>
      <w:r w:rsidR="002661E5">
        <w:rPr>
          <w:rFonts w:ascii="Times New Roman" w:hAnsi="Times New Roman" w:cs="Times New Roman"/>
          <w:bCs/>
          <w:sz w:val="24"/>
          <w:szCs w:val="24"/>
        </w:rPr>
        <w:t xml:space="preserve"> mające zapewnić skuteczność zlecenia rozrachunku wprowadzonego do systemu po ogłoszeniu upadłości przy wyłączeniu możliwości zaskarżania czynności prawnych upadłego</w:t>
      </w:r>
      <w:r w:rsidR="000014D0" w:rsidRPr="006B2CD4">
        <w:rPr>
          <w:rFonts w:ascii="Times New Roman" w:hAnsi="Times New Roman" w:cs="Times New Roman"/>
          <w:bCs/>
          <w:sz w:val="24"/>
          <w:szCs w:val="24"/>
        </w:rPr>
        <w:t xml:space="preserve"> mogą nie zapewniać wystarczającej skuteczności czynności realizowanych zgodnie z rozporządzeniem</w:t>
      </w:r>
      <w:r w:rsidR="000014D0">
        <w:rPr>
          <w:rFonts w:ascii="Times New Roman" w:hAnsi="Times New Roman" w:cs="Times New Roman"/>
          <w:bCs/>
          <w:sz w:val="24"/>
          <w:szCs w:val="24"/>
        </w:rPr>
        <w:t xml:space="preserve"> </w:t>
      </w:r>
      <w:r w:rsidR="000014D0" w:rsidRPr="00345818">
        <w:rPr>
          <w:rFonts w:ascii="Times New Roman" w:hAnsi="Times New Roman" w:cs="Times New Roman"/>
          <w:bCs/>
          <w:sz w:val="24"/>
          <w:szCs w:val="24"/>
        </w:rPr>
        <w:t>Parlamentu Europejskiego i Rady (UE) nr 648/2012 z dnia 4 lipca 2012 r. w sprawie instrumentów pochodnych będących przedmiotem obrotu poza rynkiem regulowanym, kontrahentów centralnych i repozytoriów transakcji</w:t>
      </w:r>
      <w:r w:rsidR="000014D0">
        <w:rPr>
          <w:rFonts w:ascii="Times New Roman" w:hAnsi="Times New Roman" w:cs="Times New Roman"/>
          <w:bCs/>
          <w:sz w:val="24"/>
          <w:szCs w:val="24"/>
        </w:rPr>
        <w:t xml:space="preserve"> (Dz. Urz. UE L 201 z 27.</w:t>
      </w:r>
      <w:r w:rsidR="0019158B">
        <w:rPr>
          <w:rFonts w:ascii="Times New Roman" w:hAnsi="Times New Roman" w:cs="Times New Roman"/>
          <w:bCs/>
          <w:sz w:val="24"/>
          <w:szCs w:val="24"/>
        </w:rPr>
        <w:t>0</w:t>
      </w:r>
      <w:r w:rsidR="000014D0">
        <w:rPr>
          <w:rFonts w:ascii="Times New Roman" w:hAnsi="Times New Roman" w:cs="Times New Roman"/>
          <w:bCs/>
          <w:sz w:val="24"/>
          <w:szCs w:val="24"/>
        </w:rPr>
        <w:t>7.2012</w:t>
      </w:r>
      <w:r w:rsidR="004E4903">
        <w:rPr>
          <w:rFonts w:ascii="Times New Roman" w:hAnsi="Times New Roman" w:cs="Times New Roman"/>
          <w:bCs/>
          <w:sz w:val="24"/>
          <w:szCs w:val="24"/>
        </w:rPr>
        <w:t>, st</w:t>
      </w:r>
      <w:r w:rsidR="000014D0">
        <w:rPr>
          <w:rFonts w:ascii="Times New Roman" w:hAnsi="Times New Roman" w:cs="Times New Roman"/>
          <w:bCs/>
          <w:sz w:val="24"/>
          <w:szCs w:val="24"/>
        </w:rPr>
        <w:t>r.</w:t>
      </w:r>
      <w:r w:rsidR="004E4903">
        <w:rPr>
          <w:rFonts w:ascii="Times New Roman" w:hAnsi="Times New Roman" w:cs="Times New Roman"/>
          <w:bCs/>
          <w:sz w:val="24"/>
          <w:szCs w:val="24"/>
        </w:rPr>
        <w:t xml:space="preserve"> 1, z późn. zm.</w:t>
      </w:r>
      <w:r w:rsidR="0019158B">
        <w:rPr>
          <w:rFonts w:ascii="Times New Roman" w:hAnsi="Times New Roman" w:cs="Times New Roman"/>
          <w:bCs/>
          <w:sz w:val="24"/>
          <w:szCs w:val="24"/>
        </w:rPr>
        <w:t xml:space="preserve">), dalej </w:t>
      </w:r>
      <w:r w:rsidR="000014D0">
        <w:rPr>
          <w:rFonts w:ascii="Times New Roman" w:hAnsi="Times New Roman" w:cs="Times New Roman"/>
          <w:bCs/>
          <w:sz w:val="24"/>
          <w:szCs w:val="24"/>
        </w:rPr>
        <w:t>„rozporządzenie</w:t>
      </w:r>
      <w:r w:rsidR="000014D0" w:rsidRPr="00345818">
        <w:rPr>
          <w:rFonts w:ascii="Times New Roman" w:hAnsi="Times New Roman" w:cs="Times New Roman"/>
          <w:bCs/>
          <w:sz w:val="24"/>
          <w:szCs w:val="24"/>
        </w:rPr>
        <w:t xml:space="preserve"> </w:t>
      </w:r>
      <w:r w:rsidR="000014D0" w:rsidRPr="006B2CD4">
        <w:rPr>
          <w:rFonts w:ascii="Times New Roman" w:hAnsi="Times New Roman" w:cs="Times New Roman"/>
          <w:bCs/>
          <w:sz w:val="24"/>
          <w:szCs w:val="24"/>
        </w:rPr>
        <w:t>EMIR</w:t>
      </w:r>
      <w:r w:rsidR="000014D0">
        <w:rPr>
          <w:rFonts w:ascii="Times New Roman" w:hAnsi="Times New Roman" w:cs="Times New Roman"/>
          <w:bCs/>
          <w:sz w:val="24"/>
          <w:szCs w:val="24"/>
        </w:rPr>
        <w:t>”</w:t>
      </w:r>
      <w:r w:rsidR="0019158B">
        <w:rPr>
          <w:rFonts w:ascii="Times New Roman" w:hAnsi="Times New Roman" w:cs="Times New Roman"/>
          <w:bCs/>
          <w:sz w:val="24"/>
          <w:szCs w:val="24"/>
        </w:rPr>
        <w:t xml:space="preserve">. </w:t>
      </w:r>
      <w:r w:rsidR="000014D0" w:rsidRPr="006B2CD4">
        <w:rPr>
          <w:rFonts w:ascii="Times New Roman" w:hAnsi="Times New Roman" w:cs="Times New Roman"/>
          <w:bCs/>
          <w:sz w:val="24"/>
          <w:szCs w:val="24"/>
        </w:rPr>
        <w:t xml:space="preserve">Mogą pojawić się przede wszystkim wątpliwości, czy pełnomocnictwa udzielone przez upadłego uczestnika rozliczającego lub upadłego uczestnika depozytu papierów wartościowych pozostają skuteczne w zakresie, w jakim dotyczą czynności </w:t>
      </w:r>
      <w:r w:rsidR="000014D0" w:rsidRPr="006B2CD4">
        <w:rPr>
          <w:rFonts w:ascii="Times New Roman" w:hAnsi="Times New Roman" w:cs="Times New Roman"/>
          <w:bCs/>
          <w:sz w:val="24"/>
          <w:szCs w:val="24"/>
        </w:rPr>
        <w:lastRenderedPageBreak/>
        <w:t xml:space="preserve">dokonywanych w imieniu uczestnika po ogłoszeniu jego upadłości. Uczestnicy wprowadzają do systemów KDPW_CCP S.A. lub KDPW zlecenia, na podstawie których w systemach tych są realizowane przez pełnomocników, odpowiednio, rozliczenia lub rozrachunki transakcji. W związku z tym, gdyby w momencie ogłoszenia upadłości uczestnika wygasały udzielone pełnomocnictwa, trudno byłoby uznać </w:t>
      </w:r>
      <w:r w:rsidR="000014D0">
        <w:rPr>
          <w:rFonts w:ascii="Times New Roman" w:hAnsi="Times New Roman" w:cs="Times New Roman"/>
          <w:bCs/>
          <w:sz w:val="24"/>
          <w:szCs w:val="24"/>
        </w:rPr>
        <w:t xml:space="preserve">za skuteczne </w:t>
      </w:r>
      <w:r w:rsidR="000014D0" w:rsidRPr="006B2CD4">
        <w:rPr>
          <w:rFonts w:ascii="Times New Roman" w:hAnsi="Times New Roman" w:cs="Times New Roman"/>
          <w:bCs/>
          <w:sz w:val="24"/>
          <w:szCs w:val="24"/>
        </w:rPr>
        <w:t>zleceni</w:t>
      </w:r>
      <w:r w:rsidR="000014D0">
        <w:rPr>
          <w:rFonts w:ascii="Times New Roman" w:hAnsi="Times New Roman" w:cs="Times New Roman"/>
          <w:bCs/>
          <w:sz w:val="24"/>
          <w:szCs w:val="24"/>
        </w:rPr>
        <w:t>e</w:t>
      </w:r>
      <w:r w:rsidR="000014D0" w:rsidRPr="006B2CD4">
        <w:rPr>
          <w:rFonts w:ascii="Times New Roman" w:hAnsi="Times New Roman" w:cs="Times New Roman"/>
          <w:bCs/>
          <w:sz w:val="24"/>
          <w:szCs w:val="24"/>
        </w:rPr>
        <w:t xml:space="preserve"> wprowadzone do systemu przez </w:t>
      </w:r>
      <w:r w:rsidR="000014D0">
        <w:rPr>
          <w:rFonts w:ascii="Times New Roman" w:hAnsi="Times New Roman" w:cs="Times New Roman"/>
          <w:bCs/>
          <w:sz w:val="24"/>
          <w:szCs w:val="24"/>
        </w:rPr>
        <w:t xml:space="preserve">tego </w:t>
      </w:r>
      <w:r w:rsidR="000014D0" w:rsidRPr="006B2CD4">
        <w:rPr>
          <w:rFonts w:ascii="Times New Roman" w:hAnsi="Times New Roman" w:cs="Times New Roman"/>
          <w:bCs/>
          <w:sz w:val="24"/>
          <w:szCs w:val="24"/>
        </w:rPr>
        <w:t>uczestnika</w:t>
      </w:r>
      <w:r w:rsidR="000014D0">
        <w:rPr>
          <w:rFonts w:ascii="Times New Roman" w:hAnsi="Times New Roman" w:cs="Times New Roman"/>
          <w:bCs/>
          <w:sz w:val="24"/>
          <w:szCs w:val="24"/>
        </w:rPr>
        <w:t>, po</w:t>
      </w:r>
      <w:r w:rsidR="000014D0" w:rsidRPr="006B2CD4">
        <w:rPr>
          <w:rFonts w:ascii="Times New Roman" w:hAnsi="Times New Roman" w:cs="Times New Roman"/>
          <w:bCs/>
          <w:sz w:val="24"/>
          <w:szCs w:val="24"/>
        </w:rPr>
        <w:t xml:space="preserve">mimo </w:t>
      </w:r>
      <w:r w:rsidR="000014D0">
        <w:rPr>
          <w:rFonts w:ascii="Times New Roman" w:hAnsi="Times New Roman" w:cs="Times New Roman"/>
          <w:bCs/>
          <w:sz w:val="24"/>
          <w:szCs w:val="24"/>
        </w:rPr>
        <w:t>s</w:t>
      </w:r>
      <w:r w:rsidR="000014D0" w:rsidRPr="006B2CD4">
        <w:rPr>
          <w:rFonts w:ascii="Times New Roman" w:hAnsi="Times New Roman" w:cs="Times New Roman"/>
          <w:bCs/>
          <w:sz w:val="24"/>
          <w:szCs w:val="24"/>
        </w:rPr>
        <w:t xml:space="preserve">pełniania przesłanek nieodwoływalności </w:t>
      </w:r>
      <w:r w:rsidR="0019158B">
        <w:rPr>
          <w:rFonts w:ascii="Times New Roman" w:hAnsi="Times New Roman" w:cs="Times New Roman"/>
          <w:bCs/>
          <w:sz w:val="24"/>
          <w:szCs w:val="24"/>
        </w:rPr>
        <w:t>zlecenia</w:t>
      </w:r>
      <w:r w:rsidR="000014D0">
        <w:rPr>
          <w:rFonts w:ascii="Times New Roman" w:hAnsi="Times New Roman" w:cs="Times New Roman"/>
          <w:bCs/>
          <w:sz w:val="24"/>
          <w:szCs w:val="24"/>
        </w:rPr>
        <w:t xml:space="preserve"> </w:t>
      </w:r>
      <w:r w:rsidR="000014D0" w:rsidRPr="006B2CD4">
        <w:rPr>
          <w:rFonts w:ascii="Times New Roman" w:hAnsi="Times New Roman" w:cs="Times New Roman"/>
          <w:bCs/>
          <w:sz w:val="24"/>
          <w:szCs w:val="24"/>
        </w:rPr>
        <w:t xml:space="preserve">określonych w art. 137 ustawy – Prawo upadłościowe. </w:t>
      </w:r>
    </w:p>
    <w:p w14:paraId="08C69D02" w14:textId="43F00A40" w:rsidR="000014D0" w:rsidRDefault="000014D0" w:rsidP="000014D0">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Dodanie ust. </w:t>
      </w:r>
      <w:r>
        <w:rPr>
          <w:rFonts w:ascii="Times New Roman" w:hAnsi="Times New Roman" w:cs="Times New Roman"/>
          <w:bCs/>
          <w:sz w:val="24"/>
          <w:szCs w:val="24"/>
        </w:rPr>
        <w:t xml:space="preserve">2d </w:t>
      </w:r>
      <w:r w:rsidRPr="006B2CD4">
        <w:rPr>
          <w:rFonts w:ascii="Times New Roman" w:hAnsi="Times New Roman" w:cs="Times New Roman"/>
          <w:bCs/>
          <w:sz w:val="24"/>
          <w:szCs w:val="24"/>
        </w:rPr>
        <w:t xml:space="preserve">umożliwi CCP – w razie ogłoszenia upadłości uczestnika albo innego podmiotu zawierającego transakcje – </w:t>
      </w:r>
      <w:r>
        <w:rPr>
          <w:rFonts w:ascii="Times New Roman" w:hAnsi="Times New Roman" w:cs="Times New Roman"/>
          <w:bCs/>
          <w:sz w:val="24"/>
          <w:szCs w:val="24"/>
        </w:rPr>
        <w:t xml:space="preserve">rozwiązanie </w:t>
      </w:r>
      <w:r w:rsidRPr="006B2CD4">
        <w:rPr>
          <w:rFonts w:ascii="Times New Roman" w:hAnsi="Times New Roman" w:cs="Times New Roman"/>
          <w:bCs/>
          <w:sz w:val="24"/>
          <w:szCs w:val="24"/>
        </w:rPr>
        <w:t>umowy o uczestnictwo w tym systemie wraz z umowami, których CCP stał się stroną w wyniku nowacji rozliczeniowej transakcji przyjętych do rozliczenia na podsta</w:t>
      </w:r>
      <w:r w:rsidR="007C389F">
        <w:rPr>
          <w:rFonts w:ascii="Times New Roman" w:hAnsi="Times New Roman" w:cs="Times New Roman"/>
          <w:bCs/>
          <w:sz w:val="24"/>
          <w:szCs w:val="24"/>
        </w:rPr>
        <w:t xml:space="preserve">wie umowy o uczestnictwo oraz </w:t>
      </w:r>
      <w:r w:rsidRPr="006B2CD4">
        <w:rPr>
          <w:rFonts w:ascii="Times New Roman" w:hAnsi="Times New Roman" w:cs="Times New Roman"/>
          <w:bCs/>
          <w:sz w:val="24"/>
          <w:szCs w:val="24"/>
        </w:rPr>
        <w:t>powstrzymani</w:t>
      </w:r>
      <w:r>
        <w:rPr>
          <w:rFonts w:ascii="Times New Roman" w:hAnsi="Times New Roman" w:cs="Times New Roman"/>
          <w:bCs/>
          <w:sz w:val="24"/>
          <w:szCs w:val="24"/>
        </w:rPr>
        <w:t>e</w:t>
      </w:r>
      <w:r w:rsidRPr="006B2CD4">
        <w:rPr>
          <w:rFonts w:ascii="Times New Roman" w:hAnsi="Times New Roman" w:cs="Times New Roman"/>
          <w:bCs/>
          <w:sz w:val="24"/>
          <w:szCs w:val="24"/>
        </w:rPr>
        <w:t xml:space="preserve"> się od wykonania tej umowy (przyjmowania transakcji do rozliczenia)</w:t>
      </w:r>
      <w:r>
        <w:rPr>
          <w:rFonts w:ascii="Times New Roman" w:hAnsi="Times New Roman" w:cs="Times New Roman"/>
          <w:bCs/>
          <w:sz w:val="24"/>
          <w:szCs w:val="24"/>
        </w:rPr>
        <w:t xml:space="preserve"> lub w wyniku </w:t>
      </w:r>
      <w:r w:rsidRPr="006B2CD4">
        <w:rPr>
          <w:rFonts w:ascii="Times New Roman" w:hAnsi="Times New Roman" w:cs="Times New Roman"/>
          <w:bCs/>
          <w:sz w:val="24"/>
          <w:szCs w:val="24"/>
        </w:rPr>
        <w:t xml:space="preserve">kompensacji dokonanej przed ogłoszeniem </w:t>
      </w:r>
      <w:r w:rsidRPr="006B2CD4">
        <w:rPr>
          <w:rFonts w:ascii="Times New Roman" w:hAnsi="Times New Roman" w:cs="Times New Roman"/>
          <w:bCs/>
          <w:color w:val="000000" w:themeColor="text1"/>
          <w:sz w:val="24"/>
          <w:szCs w:val="24"/>
        </w:rPr>
        <w:t xml:space="preserve">upadłości </w:t>
      </w:r>
      <w:r w:rsidRPr="006B2CD4">
        <w:rPr>
          <w:rFonts w:ascii="Times New Roman" w:hAnsi="Times New Roman" w:cs="Times New Roman"/>
          <w:bCs/>
          <w:sz w:val="24"/>
          <w:szCs w:val="24"/>
        </w:rPr>
        <w:t xml:space="preserve">uczestnika albo innego podmiotu zawierającego transakcje </w:t>
      </w:r>
      <w:r w:rsidRPr="006B2CD4">
        <w:rPr>
          <w:rFonts w:ascii="Times New Roman" w:hAnsi="Times New Roman" w:cs="Times New Roman"/>
          <w:bCs/>
          <w:color w:val="000000" w:themeColor="text1"/>
          <w:sz w:val="24"/>
          <w:szCs w:val="24"/>
        </w:rPr>
        <w:t xml:space="preserve">oraz </w:t>
      </w:r>
      <w:r>
        <w:rPr>
          <w:rFonts w:ascii="Times New Roman" w:hAnsi="Times New Roman" w:cs="Times New Roman"/>
          <w:bCs/>
          <w:color w:val="000000" w:themeColor="text1"/>
          <w:sz w:val="24"/>
          <w:szCs w:val="24"/>
        </w:rPr>
        <w:t xml:space="preserve">zastosowania </w:t>
      </w:r>
      <w:r w:rsidRPr="006B2CD4">
        <w:rPr>
          <w:rFonts w:ascii="Times New Roman" w:hAnsi="Times New Roman" w:cs="Times New Roman"/>
          <w:bCs/>
          <w:color w:val="000000" w:themeColor="text1"/>
          <w:sz w:val="24"/>
          <w:szCs w:val="24"/>
        </w:rPr>
        <w:t xml:space="preserve">klauzuli kompensacyjnej po ogłoszeniu upadłości. </w:t>
      </w:r>
      <w:r w:rsidRPr="006B2CD4">
        <w:rPr>
          <w:rFonts w:ascii="Times New Roman" w:hAnsi="Times New Roman" w:cs="Times New Roman"/>
          <w:bCs/>
          <w:sz w:val="24"/>
          <w:szCs w:val="24"/>
        </w:rPr>
        <w:t xml:space="preserve">Zapewni to skuteczność działań podejmowanych w ramach systemu gwarantowania. </w:t>
      </w:r>
    </w:p>
    <w:p w14:paraId="7C2918E6" w14:textId="0FB7E16E" w:rsidR="00831763" w:rsidRDefault="00831763" w:rsidP="00831763">
      <w:pPr>
        <w:shd w:val="clear" w:color="auto" w:fill="FFFFFF" w:themeFill="background1"/>
        <w:spacing w:after="120" w:line="360" w:lineRule="auto"/>
        <w:jc w:val="both"/>
        <w:rPr>
          <w:rFonts w:ascii="Times New Roman" w:hAnsi="Times New Roman" w:cs="Times New Roman"/>
          <w:bCs/>
          <w:color w:val="000000" w:themeColor="text1"/>
          <w:sz w:val="24"/>
          <w:szCs w:val="24"/>
        </w:rPr>
      </w:pPr>
      <w:r w:rsidRPr="007921D7">
        <w:rPr>
          <w:rFonts w:ascii="Times New Roman" w:hAnsi="Times New Roman" w:cs="Times New Roman"/>
          <w:bCs/>
          <w:color w:val="000000" w:themeColor="text1"/>
          <w:sz w:val="24"/>
          <w:szCs w:val="24"/>
        </w:rPr>
        <w:t xml:space="preserve">Dodanie w art. 46 w ust. 5 pkt 6 ma na celu dodanie do grona członków zespołu doradczego działającego przy </w:t>
      </w:r>
      <w:r w:rsidR="00D02459">
        <w:rPr>
          <w:rFonts w:ascii="Times New Roman" w:hAnsi="Times New Roman" w:cs="Times New Roman"/>
          <w:bCs/>
          <w:color w:val="000000" w:themeColor="text1"/>
          <w:sz w:val="24"/>
          <w:szCs w:val="24"/>
        </w:rPr>
        <w:t>KDPW</w:t>
      </w:r>
      <w:r w:rsidRPr="007921D7">
        <w:rPr>
          <w:rFonts w:ascii="Times New Roman" w:hAnsi="Times New Roman" w:cs="Times New Roman"/>
          <w:bCs/>
          <w:color w:val="000000" w:themeColor="text1"/>
          <w:sz w:val="24"/>
          <w:szCs w:val="24"/>
        </w:rPr>
        <w:t xml:space="preserve"> jednego przedstawiciela</w:t>
      </w:r>
      <w:r w:rsidR="002661E5">
        <w:rPr>
          <w:rFonts w:ascii="Times New Roman" w:hAnsi="Times New Roman" w:cs="Times New Roman"/>
          <w:bCs/>
          <w:color w:val="000000" w:themeColor="text1"/>
          <w:sz w:val="24"/>
          <w:szCs w:val="24"/>
        </w:rPr>
        <w:t xml:space="preserve"> izby, o której mowa w art. 70 ust. 1 ustawy o funduszach inwestycyjnych. </w:t>
      </w:r>
      <w:r w:rsidRPr="007921D7">
        <w:rPr>
          <w:rFonts w:ascii="Times New Roman" w:hAnsi="Times New Roman" w:cs="Times New Roman"/>
          <w:bCs/>
          <w:color w:val="000000" w:themeColor="text1"/>
          <w:sz w:val="24"/>
          <w:szCs w:val="24"/>
        </w:rPr>
        <w:t>Zmiana ta wynika z obowiązku rejestrowania w depozycie pa</w:t>
      </w:r>
      <w:r w:rsidRPr="007921D7">
        <w:rPr>
          <w:rFonts w:ascii="Times New Roman" w:hAnsi="Times New Roman" w:cs="Times New Roman"/>
          <w:bCs/>
          <w:color w:val="000000" w:themeColor="text1"/>
          <w:sz w:val="24"/>
          <w:szCs w:val="24"/>
        </w:rPr>
        <w:lastRenderedPageBreak/>
        <w:t>pierów wartościowych certyfikatów inwestycyjnych emitowanych przez niepubliczne fundusze inwestycyjne zamknięte</w:t>
      </w:r>
      <w:r w:rsidR="00E06233">
        <w:rPr>
          <w:rFonts w:ascii="Times New Roman" w:hAnsi="Times New Roman" w:cs="Times New Roman"/>
          <w:bCs/>
          <w:color w:val="000000" w:themeColor="text1"/>
          <w:sz w:val="24"/>
          <w:szCs w:val="24"/>
        </w:rPr>
        <w:t xml:space="preserve"> i z uwagi na ich konstrukcję prawną chęć zapewniani jak najszerszego udziału interesariuszy rynku w procesie doradczym</w:t>
      </w:r>
      <w:r w:rsidRPr="007921D7">
        <w:rPr>
          <w:rFonts w:ascii="Times New Roman" w:hAnsi="Times New Roman" w:cs="Times New Roman"/>
          <w:bCs/>
          <w:color w:val="000000" w:themeColor="text1"/>
          <w:sz w:val="24"/>
          <w:szCs w:val="24"/>
        </w:rPr>
        <w:t>.</w:t>
      </w:r>
    </w:p>
    <w:p w14:paraId="08B2DE85" w14:textId="4D163CAC" w:rsidR="000014D0" w:rsidRPr="00831763" w:rsidRDefault="00831763" w:rsidP="00BC7774">
      <w:pPr>
        <w:shd w:val="clear" w:color="auto" w:fill="FFFFFF" w:themeFill="background1"/>
        <w:spacing w:after="0" w:line="360" w:lineRule="auto"/>
        <w:jc w:val="both"/>
        <w:rPr>
          <w:rFonts w:ascii="Times New Roman" w:hAnsi="Times New Roman" w:cs="Times New Roman"/>
          <w:bCs/>
          <w:color w:val="000000" w:themeColor="text1"/>
          <w:sz w:val="24"/>
          <w:szCs w:val="24"/>
        </w:rPr>
      </w:pPr>
      <w:r w:rsidRPr="006B2CD4">
        <w:rPr>
          <w:rFonts w:ascii="Times New Roman" w:hAnsi="Times New Roman" w:cs="Times New Roman"/>
          <w:bCs/>
          <w:sz w:val="24"/>
          <w:szCs w:val="24"/>
        </w:rPr>
        <w:t>Dodanie</w:t>
      </w:r>
      <w:r>
        <w:rPr>
          <w:rFonts w:ascii="Times New Roman" w:hAnsi="Times New Roman" w:cs="Times New Roman"/>
          <w:bCs/>
          <w:sz w:val="24"/>
          <w:szCs w:val="24"/>
        </w:rPr>
        <w:t xml:space="preserve"> art. 48 </w:t>
      </w:r>
      <w:r w:rsidR="000014D0" w:rsidRPr="006B2CD4">
        <w:rPr>
          <w:rFonts w:ascii="Times New Roman" w:hAnsi="Times New Roman" w:cs="Times New Roman"/>
          <w:bCs/>
          <w:sz w:val="24"/>
          <w:szCs w:val="24"/>
        </w:rPr>
        <w:t>ust. 17 ma na celu zmniejszenie obciążeń CCP – jako przedsiębiorcy – w związku z zatwierdzaniem stosowanych regulaminów. W obecnym stanie prawnym jednocześnie prowadzonych jest kilka postępowań, w ramach których ocenie podlegają te same regulacje. W szczególności, w przypadku gdy CCP zamierza rozszerzyć działalność o dodatkowe usługi lub działalność</w:t>
      </w:r>
      <w:r w:rsidR="000014D0">
        <w:rPr>
          <w:rFonts w:ascii="Times New Roman" w:hAnsi="Times New Roman" w:cs="Times New Roman"/>
          <w:bCs/>
          <w:sz w:val="24"/>
          <w:szCs w:val="24"/>
        </w:rPr>
        <w:t>, które nie są objęte</w:t>
      </w:r>
      <w:r w:rsidR="000014D0" w:rsidRPr="006B2CD4">
        <w:rPr>
          <w:rFonts w:ascii="Times New Roman" w:hAnsi="Times New Roman" w:cs="Times New Roman"/>
          <w:bCs/>
          <w:sz w:val="24"/>
          <w:szCs w:val="24"/>
        </w:rPr>
        <w:t xml:space="preserve"> </w:t>
      </w:r>
      <w:r w:rsidR="000014D0">
        <w:rPr>
          <w:rFonts w:ascii="Times New Roman" w:hAnsi="Times New Roman" w:cs="Times New Roman"/>
          <w:bCs/>
          <w:sz w:val="24"/>
          <w:szCs w:val="24"/>
        </w:rPr>
        <w:t>dotychczasowym</w:t>
      </w:r>
      <w:r w:rsidR="000014D0" w:rsidRPr="006B2CD4">
        <w:rPr>
          <w:rFonts w:ascii="Times New Roman" w:hAnsi="Times New Roman" w:cs="Times New Roman"/>
          <w:bCs/>
          <w:sz w:val="24"/>
          <w:szCs w:val="24"/>
        </w:rPr>
        <w:t xml:space="preserve"> zezwoleniem, stosownie do art. 15 ust. 1 i art. 17 ust. 1 rozporządzenia EMIR </w:t>
      </w:r>
      <w:r w:rsidR="000014D0">
        <w:rPr>
          <w:rFonts w:ascii="Times New Roman" w:hAnsi="Times New Roman" w:cs="Times New Roman"/>
          <w:bCs/>
          <w:sz w:val="24"/>
          <w:szCs w:val="24"/>
        </w:rPr>
        <w:t xml:space="preserve">– </w:t>
      </w:r>
      <w:r w:rsidR="000014D0" w:rsidRPr="006B2CD4">
        <w:rPr>
          <w:rFonts w:ascii="Times New Roman" w:hAnsi="Times New Roman" w:cs="Times New Roman"/>
          <w:bCs/>
          <w:sz w:val="24"/>
          <w:szCs w:val="24"/>
        </w:rPr>
        <w:t xml:space="preserve">jest obowiązany do złożenia wniosku o rozszerzenie zakresu zezwolenia do organu właściwego dla CCP. </w:t>
      </w:r>
      <w:r w:rsidR="000014D0">
        <w:rPr>
          <w:rFonts w:ascii="Times New Roman" w:hAnsi="Times New Roman" w:cs="Times New Roman"/>
          <w:bCs/>
          <w:sz w:val="24"/>
          <w:szCs w:val="24"/>
        </w:rPr>
        <w:t xml:space="preserve">Jednocześnie, </w:t>
      </w:r>
      <w:r w:rsidR="000014D0" w:rsidRPr="006B2CD4">
        <w:rPr>
          <w:rFonts w:ascii="Times New Roman" w:hAnsi="Times New Roman" w:cs="Times New Roman"/>
          <w:bCs/>
          <w:sz w:val="24"/>
          <w:szCs w:val="24"/>
        </w:rPr>
        <w:t>zgodnie z art. 49 ust. 1 i la rozporządzenia EMIR, jeżeli CCP zamierza przyjąć istotną zmianę w modelach i parametrach przyjętych do obliczania wymogów dotyczących depozytów zabezpieczających, składek na rzecz funduszu na wypadek niewykonania zobowiązania, wymogów dotyczących zabezpieczenia i innych mechanizmów kontroli ryzyka</w:t>
      </w:r>
      <w:r w:rsidR="000014D0">
        <w:rPr>
          <w:rFonts w:ascii="Times New Roman" w:hAnsi="Times New Roman" w:cs="Times New Roman"/>
          <w:bCs/>
          <w:sz w:val="24"/>
          <w:szCs w:val="24"/>
        </w:rPr>
        <w:t xml:space="preserve"> –</w:t>
      </w:r>
      <w:r w:rsidR="007C389F">
        <w:rPr>
          <w:rFonts w:ascii="Times New Roman" w:hAnsi="Times New Roman" w:cs="Times New Roman"/>
          <w:bCs/>
          <w:sz w:val="24"/>
          <w:szCs w:val="24"/>
        </w:rPr>
        <w:t xml:space="preserve"> </w:t>
      </w:r>
      <w:r w:rsidR="000014D0" w:rsidRPr="006B2CD4">
        <w:rPr>
          <w:rFonts w:ascii="Times New Roman" w:hAnsi="Times New Roman" w:cs="Times New Roman"/>
          <w:bCs/>
          <w:sz w:val="24"/>
          <w:szCs w:val="24"/>
        </w:rPr>
        <w:t xml:space="preserve">ma obowiązek wystąpić do właściwego organu i do Europejskiego Urzędu Nadzoru Giełd i Papierów Wartościowych o </w:t>
      </w:r>
      <w:r w:rsidR="000014D0">
        <w:rPr>
          <w:rFonts w:ascii="Times New Roman" w:hAnsi="Times New Roman" w:cs="Times New Roman"/>
          <w:bCs/>
          <w:sz w:val="24"/>
          <w:szCs w:val="24"/>
        </w:rPr>
        <w:t xml:space="preserve">zatwierdzenie </w:t>
      </w:r>
      <w:r w:rsidR="000014D0" w:rsidRPr="006B2CD4">
        <w:rPr>
          <w:rFonts w:ascii="Times New Roman" w:hAnsi="Times New Roman" w:cs="Times New Roman"/>
          <w:bCs/>
          <w:sz w:val="24"/>
          <w:szCs w:val="24"/>
        </w:rPr>
        <w:t>tej zmiany zgodnie z art. 48 ust. 16 i art. 50 ust. 2</w:t>
      </w:r>
      <w:r w:rsidR="000014D0">
        <w:rPr>
          <w:rFonts w:ascii="Times New Roman" w:hAnsi="Times New Roman" w:cs="Times New Roman"/>
          <w:bCs/>
          <w:sz w:val="24"/>
          <w:szCs w:val="24"/>
        </w:rPr>
        <w:t>.</w:t>
      </w:r>
      <w:r w:rsidR="000014D0" w:rsidRPr="006B2CD4">
        <w:rPr>
          <w:rFonts w:ascii="Times New Roman" w:hAnsi="Times New Roman" w:cs="Times New Roman"/>
          <w:bCs/>
          <w:sz w:val="24"/>
          <w:szCs w:val="24"/>
        </w:rPr>
        <w:t xml:space="preserve"> CCP jest obowiązany do wystąpienia o zatwierdzenie zmian do właściwego regulaminu rozliczeń transakcji, a w zależności od zakresu rozszerzenia działalności – także </w:t>
      </w:r>
      <w:r w:rsidR="000014D0">
        <w:rPr>
          <w:rFonts w:ascii="Times New Roman" w:hAnsi="Times New Roman" w:cs="Times New Roman"/>
          <w:bCs/>
          <w:sz w:val="24"/>
          <w:szCs w:val="24"/>
        </w:rPr>
        <w:t xml:space="preserve">do </w:t>
      </w:r>
      <w:r w:rsidR="000014D0" w:rsidRPr="006B2CD4">
        <w:rPr>
          <w:rFonts w:ascii="Times New Roman" w:hAnsi="Times New Roman" w:cs="Times New Roman"/>
          <w:bCs/>
          <w:sz w:val="24"/>
          <w:szCs w:val="24"/>
        </w:rPr>
        <w:t>wystąpi</w:t>
      </w:r>
      <w:r w:rsidR="000014D0">
        <w:rPr>
          <w:rFonts w:ascii="Times New Roman" w:hAnsi="Times New Roman" w:cs="Times New Roman"/>
          <w:bCs/>
          <w:sz w:val="24"/>
          <w:szCs w:val="24"/>
        </w:rPr>
        <w:t>enia</w:t>
      </w:r>
      <w:r w:rsidR="000014D0" w:rsidRPr="006B2CD4">
        <w:rPr>
          <w:rFonts w:ascii="Times New Roman" w:hAnsi="Times New Roman" w:cs="Times New Roman"/>
          <w:bCs/>
          <w:sz w:val="24"/>
          <w:szCs w:val="24"/>
        </w:rPr>
        <w:t xml:space="preserve"> z wnioskiem o zatwierdzenie regulaminu funduszu rozliczeniowego na podstawie art. 66 ust. 2 i 3. </w:t>
      </w:r>
    </w:p>
    <w:p w14:paraId="510F4312" w14:textId="77777777" w:rsidR="000014D0" w:rsidRPr="006B2CD4" w:rsidRDefault="000014D0" w:rsidP="00AB40C5">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lastRenderedPageBreak/>
        <w:t xml:space="preserve">Proponowane zmiany spowodują, że postępowania prowadzone na podstawie ustawy o obrocie w sprawie zatwierdzenia zmian do regulaminów sporządzanych przez CCP nie będą mogły być prowadzone w przypadkach prowadzenia postępowań na </w:t>
      </w:r>
      <w:r>
        <w:rPr>
          <w:rFonts w:ascii="Times New Roman" w:hAnsi="Times New Roman" w:cs="Times New Roman"/>
          <w:bCs/>
          <w:sz w:val="24"/>
          <w:szCs w:val="24"/>
        </w:rPr>
        <w:t xml:space="preserve">podstawie </w:t>
      </w:r>
      <w:r w:rsidRPr="006B2CD4">
        <w:rPr>
          <w:rFonts w:ascii="Times New Roman" w:hAnsi="Times New Roman" w:cs="Times New Roman"/>
          <w:bCs/>
          <w:sz w:val="24"/>
          <w:szCs w:val="24"/>
        </w:rPr>
        <w:t>rozporządzenia EMIR.</w:t>
      </w:r>
    </w:p>
    <w:p w14:paraId="3C197DCB" w14:textId="19B0A6F0" w:rsidR="000014D0" w:rsidRPr="006B2CD4" w:rsidRDefault="000014D0" w:rsidP="000014D0">
      <w:pPr>
        <w:shd w:val="clear" w:color="auto" w:fill="FFFFFF" w:themeFill="background1"/>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Proponowane brzmienie w art. 51 ust. 2 i 5 wynika z poszerzenia katalogu osób, które mogą być uczestnikami KDPW. Wprowadzenie tego rozwiązania umożliwi zapewnienie uczestnictwa kontrahentów niefinansowych w systemie rozliczeń w celu ich rozpoznawania przez CCP jako „znanych klientów”. Należy podkreślić, że rozporządzenie EMIR nakłada m.in. obowiązek kierowania transakcji do rozliczenia przez CCP także na tzw. kontrahentów niefinansowych w przypadkach określonych w art. 4 ust. l tego rozporządzeni</w:t>
      </w:r>
      <w:r w:rsidR="0034039D">
        <w:rPr>
          <w:rFonts w:ascii="Times New Roman" w:hAnsi="Times New Roman" w:cs="Times New Roman"/>
          <w:bCs/>
          <w:sz w:val="24"/>
          <w:szCs w:val="24"/>
        </w:rPr>
        <w:t>a, uszczegóławiających sposób zawarcia takiej transakcji oraz termin jej zawarcia lub przedłużenia. Uzupełniona zostanie w ten sposób istniejąca dotychczas luka prawna w tym zakresie poprzez zapewnienie pełnej spójności z reżimem ustanowionym przez rozporządzenie EMIR</w:t>
      </w:r>
      <w:r w:rsidRPr="006B2CD4">
        <w:rPr>
          <w:rFonts w:ascii="Times New Roman" w:hAnsi="Times New Roman" w:cs="Times New Roman"/>
          <w:bCs/>
          <w:sz w:val="24"/>
          <w:szCs w:val="24"/>
        </w:rPr>
        <w:t xml:space="preserve"> Zgodnie z art. 48 ust. 5 i 6 rozporządzenia EMIR, w przypadku gdy aktywa i pozycje są zapisywane w ewidencji i na rachunkach CCP jako utrzymywane na rachunek klienta lub klientów niewykonującego zobowiązania członka rozliczającego, CCP zobowiązuje się na mocy umowy co najmniej do wszczęcia, na żądanie takiego klienta lub takich klientów, bez zgody członka rozliczającego, który nie wykonuje zobowiązania, procedury przeniesienia aktywów i pozycji prowadzonych na rzecz tego klienta lub tych klientów („</w:t>
      </w:r>
      <w:r w:rsidRPr="006B2CD4">
        <w:rPr>
          <w:rFonts w:ascii="Times New Roman" w:hAnsi="Times New Roman" w:cs="Times New Roman"/>
          <w:bCs/>
          <w:i/>
          <w:sz w:val="24"/>
          <w:szCs w:val="24"/>
        </w:rPr>
        <w:t>porting</w:t>
      </w:r>
      <w:r w:rsidRPr="006B2CD4">
        <w:rPr>
          <w:rFonts w:ascii="Times New Roman" w:hAnsi="Times New Roman" w:cs="Times New Roman"/>
          <w:bCs/>
          <w:sz w:val="24"/>
          <w:szCs w:val="24"/>
        </w:rPr>
        <w:t xml:space="preserve">”). </w:t>
      </w:r>
    </w:p>
    <w:p w14:paraId="38FB982F" w14:textId="77777777" w:rsidR="000014D0" w:rsidRPr="006B2CD4" w:rsidRDefault="000014D0" w:rsidP="0019158B">
      <w:pPr>
        <w:shd w:val="clear" w:color="auto" w:fill="FFFFFF" w:themeFill="background1"/>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lastRenderedPageBreak/>
        <w:t>Dodatkowo, stosownie do art. 48 ust. 7 rozporządzenia</w:t>
      </w:r>
      <w:r>
        <w:rPr>
          <w:rFonts w:ascii="Times New Roman" w:hAnsi="Times New Roman" w:cs="Times New Roman"/>
          <w:bCs/>
          <w:sz w:val="24"/>
          <w:szCs w:val="24"/>
        </w:rPr>
        <w:t xml:space="preserve"> EMIR</w:t>
      </w:r>
      <w:r w:rsidRPr="006B2CD4">
        <w:rPr>
          <w:rFonts w:ascii="Times New Roman" w:hAnsi="Times New Roman" w:cs="Times New Roman"/>
          <w:bCs/>
          <w:sz w:val="24"/>
          <w:szCs w:val="24"/>
        </w:rPr>
        <w:t xml:space="preserve">, pozostałe kwoty zabezpieczenia, należne od CCP po zakończeniu przez CCP postępowania w sprawie zarządzania skutkami niewykonania zobowiązania przez członka rozliczającego, należy niezwłocznie zwrócić tym klientom, o ile są oni znani CCP. </w:t>
      </w:r>
    </w:p>
    <w:p w14:paraId="270A08D6" w14:textId="6904396D" w:rsidR="000014D0" w:rsidRPr="006B2CD4" w:rsidRDefault="000014D0" w:rsidP="0019158B">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Dotychczasowe </w:t>
      </w:r>
      <w:r w:rsidR="001D54CB">
        <w:rPr>
          <w:rFonts w:ascii="Times New Roman" w:hAnsi="Times New Roman" w:cs="Times New Roman"/>
          <w:bCs/>
          <w:sz w:val="24"/>
          <w:szCs w:val="24"/>
        </w:rPr>
        <w:t xml:space="preserve">brzmienie </w:t>
      </w:r>
      <w:r w:rsidRPr="006B2CD4">
        <w:rPr>
          <w:rFonts w:ascii="Times New Roman" w:hAnsi="Times New Roman" w:cs="Times New Roman"/>
          <w:bCs/>
          <w:sz w:val="24"/>
          <w:szCs w:val="24"/>
        </w:rPr>
        <w:t xml:space="preserve">art. 51 </w:t>
      </w:r>
      <w:r>
        <w:rPr>
          <w:rFonts w:ascii="Times New Roman" w:hAnsi="Times New Roman" w:cs="Times New Roman"/>
          <w:bCs/>
          <w:sz w:val="24"/>
          <w:szCs w:val="24"/>
        </w:rPr>
        <w:t>dotycz</w:t>
      </w:r>
      <w:r w:rsidR="001D54CB">
        <w:rPr>
          <w:rFonts w:ascii="Times New Roman" w:hAnsi="Times New Roman" w:cs="Times New Roman"/>
          <w:bCs/>
          <w:sz w:val="24"/>
          <w:szCs w:val="24"/>
        </w:rPr>
        <w:t>y</w:t>
      </w:r>
      <w:r w:rsidR="007C389F">
        <w:rPr>
          <w:rFonts w:ascii="Times New Roman" w:hAnsi="Times New Roman" w:cs="Times New Roman"/>
          <w:bCs/>
          <w:sz w:val="24"/>
          <w:szCs w:val="24"/>
        </w:rPr>
        <w:t xml:space="preserve"> </w:t>
      </w:r>
      <w:r w:rsidRPr="006B2CD4">
        <w:rPr>
          <w:rFonts w:ascii="Times New Roman" w:hAnsi="Times New Roman" w:cs="Times New Roman"/>
          <w:bCs/>
          <w:sz w:val="24"/>
          <w:szCs w:val="24"/>
        </w:rPr>
        <w:t>jedynie ograniczone</w:t>
      </w:r>
      <w:r>
        <w:rPr>
          <w:rFonts w:ascii="Times New Roman" w:hAnsi="Times New Roman" w:cs="Times New Roman"/>
          <w:bCs/>
          <w:sz w:val="24"/>
          <w:szCs w:val="24"/>
        </w:rPr>
        <w:t>go</w:t>
      </w:r>
      <w:r w:rsidRPr="006B2CD4">
        <w:rPr>
          <w:rFonts w:ascii="Times New Roman" w:hAnsi="Times New Roman" w:cs="Times New Roman"/>
          <w:bCs/>
          <w:sz w:val="24"/>
          <w:szCs w:val="24"/>
        </w:rPr>
        <w:t xml:space="preserve"> kr</w:t>
      </w:r>
      <w:r w:rsidR="001D54CB">
        <w:rPr>
          <w:rFonts w:ascii="Times New Roman" w:hAnsi="Times New Roman" w:cs="Times New Roman"/>
          <w:bCs/>
          <w:sz w:val="24"/>
          <w:szCs w:val="24"/>
        </w:rPr>
        <w:t>ę</w:t>
      </w:r>
      <w:r w:rsidRPr="006B2CD4">
        <w:rPr>
          <w:rFonts w:ascii="Times New Roman" w:hAnsi="Times New Roman" w:cs="Times New Roman"/>
          <w:bCs/>
          <w:sz w:val="24"/>
          <w:szCs w:val="24"/>
        </w:rPr>
        <w:t>g</w:t>
      </w:r>
      <w:r w:rsidR="001D54CB">
        <w:rPr>
          <w:rFonts w:ascii="Times New Roman" w:hAnsi="Times New Roman" w:cs="Times New Roman"/>
          <w:bCs/>
          <w:sz w:val="24"/>
          <w:szCs w:val="24"/>
        </w:rPr>
        <w:t>u</w:t>
      </w:r>
      <w:r w:rsidRPr="006B2CD4">
        <w:rPr>
          <w:rFonts w:ascii="Times New Roman" w:hAnsi="Times New Roman" w:cs="Times New Roman"/>
          <w:bCs/>
          <w:sz w:val="24"/>
          <w:szCs w:val="24"/>
        </w:rPr>
        <w:t xml:space="preserve"> podmiotów będących kontrahentami niefinansowymi w rozumieniu rozporządzenia EMIR, którzy spełniają przesłanki do uznania ich za instytucje finansowe. Jednocześnie ustawa o obrocie nie ogranicza możliwości uczestnictwa kontrahentów niefinansowych w izbie rozliczeniowej prowadzonej zgodnie z przepisami art. 68a</w:t>
      </w:r>
      <w:r w:rsidRPr="006B2CD4">
        <w:rPr>
          <w:rFonts w:ascii="Times New Roman" w:hAnsi="Times New Roman" w:cs="Times New Roman"/>
          <w:sz w:val="24"/>
          <w:szCs w:val="24"/>
        </w:rPr>
        <w:t>‒</w:t>
      </w:r>
      <w:r w:rsidR="00383FB1">
        <w:rPr>
          <w:rFonts w:ascii="Times New Roman" w:hAnsi="Times New Roman" w:cs="Times New Roman"/>
          <w:bCs/>
          <w:sz w:val="24"/>
          <w:szCs w:val="24"/>
        </w:rPr>
        <w:t>68d tej ustawy</w:t>
      </w:r>
      <w:r w:rsidRPr="006B2CD4">
        <w:rPr>
          <w:rFonts w:ascii="Times New Roman" w:hAnsi="Times New Roman" w:cs="Times New Roman"/>
          <w:bCs/>
          <w:sz w:val="24"/>
          <w:szCs w:val="24"/>
        </w:rPr>
        <w:t>. Uczestnictwo podmiotów niefinansowych w CCP jest powszechnym zjawiskiem w Unii Europejskiej.</w:t>
      </w:r>
    </w:p>
    <w:p w14:paraId="26FD27E8" w14:textId="54F99379" w:rsidR="000014D0" w:rsidRPr="006B2CD4" w:rsidRDefault="000014D0" w:rsidP="000014D0">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Zmian</w:t>
      </w:r>
      <w:r>
        <w:rPr>
          <w:rFonts w:ascii="Times New Roman" w:hAnsi="Times New Roman" w:cs="Times New Roman"/>
          <w:bCs/>
          <w:sz w:val="24"/>
          <w:szCs w:val="24"/>
        </w:rPr>
        <w:t>y</w:t>
      </w:r>
      <w:r w:rsidRPr="006B2CD4">
        <w:rPr>
          <w:rFonts w:ascii="Times New Roman" w:hAnsi="Times New Roman" w:cs="Times New Roman"/>
          <w:bCs/>
          <w:sz w:val="24"/>
          <w:szCs w:val="24"/>
        </w:rPr>
        <w:t xml:space="preserve"> art. 65 i art. 66 ma</w:t>
      </w:r>
      <w:r>
        <w:rPr>
          <w:rFonts w:ascii="Times New Roman" w:hAnsi="Times New Roman" w:cs="Times New Roman"/>
          <w:bCs/>
          <w:sz w:val="24"/>
          <w:szCs w:val="24"/>
        </w:rPr>
        <w:t>ją</w:t>
      </w:r>
      <w:r w:rsidRPr="006B2CD4">
        <w:rPr>
          <w:rFonts w:ascii="Times New Roman" w:hAnsi="Times New Roman" w:cs="Times New Roman"/>
          <w:bCs/>
          <w:sz w:val="24"/>
          <w:szCs w:val="24"/>
        </w:rPr>
        <w:t xml:space="preserve"> na celu zapewnienie funkcjonowania funduszy tworzonych na wypadek niewykonania zobowiązania przez uczestnika rozliczającego, organizowanych przez CCP na warunkach spójnych z rozporządzeniem EMIR. Zgodnie </w:t>
      </w:r>
      <w:r>
        <w:rPr>
          <w:rFonts w:ascii="Times New Roman" w:hAnsi="Times New Roman" w:cs="Times New Roman"/>
          <w:bCs/>
          <w:sz w:val="24"/>
          <w:szCs w:val="24"/>
        </w:rPr>
        <w:t xml:space="preserve">z </w:t>
      </w:r>
      <w:r w:rsidRPr="006B2CD4">
        <w:rPr>
          <w:rFonts w:ascii="Times New Roman" w:hAnsi="Times New Roman" w:cs="Times New Roman"/>
          <w:bCs/>
          <w:sz w:val="24"/>
          <w:szCs w:val="24"/>
        </w:rPr>
        <w:t xml:space="preserve">obowiązującymi przepisami ustawy o obrocie, fundusze są tworzone w podziale na dany rynek </w:t>
      </w:r>
      <w:r>
        <w:rPr>
          <w:rFonts w:ascii="Times New Roman" w:hAnsi="Times New Roman" w:cs="Times New Roman"/>
          <w:bCs/>
          <w:sz w:val="24"/>
          <w:szCs w:val="24"/>
        </w:rPr>
        <w:t xml:space="preserve">– </w:t>
      </w:r>
      <w:r w:rsidRPr="006B2CD4">
        <w:rPr>
          <w:rFonts w:ascii="Times New Roman" w:hAnsi="Times New Roman" w:cs="Times New Roman"/>
          <w:bCs/>
          <w:sz w:val="24"/>
          <w:szCs w:val="24"/>
        </w:rPr>
        <w:t>a nie w zależności od różnych klas instrumentów finansowych, które rozlicza KDPW_CCP S.A. W związku z tym powstaje niespójność z art. 42 ust. 4 rozporządzenia EMIR.</w:t>
      </w:r>
      <w:r w:rsidR="005A3849">
        <w:rPr>
          <w:rFonts w:ascii="Times New Roman" w:hAnsi="Times New Roman" w:cs="Times New Roman"/>
          <w:bCs/>
          <w:sz w:val="24"/>
          <w:szCs w:val="24"/>
        </w:rPr>
        <w:t xml:space="preserve"> Zmianie ulegnie więc zmiana nazwy takiego funduszu z „fundusz rozliczeniowy” na „fundusz zabezpieczający”, jak również </w:t>
      </w:r>
      <w:r w:rsidR="005142FE">
        <w:rPr>
          <w:rFonts w:ascii="Times New Roman" w:hAnsi="Times New Roman" w:cs="Times New Roman"/>
          <w:bCs/>
          <w:sz w:val="24"/>
          <w:szCs w:val="24"/>
        </w:rPr>
        <w:t xml:space="preserve">przewidziana zostanie możliwość rozliczania transakcji przez podmioty rozliczające. Zmianie nie ulegną natomiast zasady rozliczania takich transakcji. </w:t>
      </w:r>
    </w:p>
    <w:p w14:paraId="58F0A5D4" w14:textId="5EB78000" w:rsidR="000014D0" w:rsidRDefault="000014D0" w:rsidP="000014D0">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lastRenderedPageBreak/>
        <w:t xml:space="preserve">W związku </w:t>
      </w:r>
      <w:r w:rsidR="001D54CB">
        <w:rPr>
          <w:rFonts w:ascii="Times New Roman" w:hAnsi="Times New Roman" w:cs="Times New Roman"/>
          <w:bCs/>
          <w:sz w:val="24"/>
          <w:szCs w:val="24"/>
        </w:rPr>
        <w:t xml:space="preserve">z ww. </w:t>
      </w:r>
      <w:r w:rsidRPr="006B2CD4">
        <w:rPr>
          <w:rFonts w:ascii="Times New Roman" w:hAnsi="Times New Roman" w:cs="Times New Roman"/>
          <w:bCs/>
          <w:sz w:val="24"/>
          <w:szCs w:val="24"/>
        </w:rPr>
        <w:t xml:space="preserve">w art. 67 </w:t>
      </w:r>
      <w:r>
        <w:rPr>
          <w:rFonts w:ascii="Times New Roman" w:hAnsi="Times New Roman" w:cs="Times New Roman"/>
          <w:bCs/>
          <w:sz w:val="24"/>
          <w:szCs w:val="24"/>
        </w:rPr>
        <w:t xml:space="preserve">zmienia się ust. 1 i 3, </w:t>
      </w:r>
      <w:r w:rsidRPr="006B2CD4">
        <w:rPr>
          <w:rFonts w:ascii="Times New Roman" w:hAnsi="Times New Roman" w:cs="Times New Roman"/>
          <w:bCs/>
          <w:sz w:val="24"/>
          <w:szCs w:val="24"/>
        </w:rPr>
        <w:t xml:space="preserve">uchyla się ust. 2 i dodaje się </w:t>
      </w:r>
      <w:r w:rsidRPr="006B2CD4">
        <w:rPr>
          <w:rFonts w:ascii="Times New Roman" w:hAnsi="Times New Roman" w:cs="Times New Roman"/>
          <w:bCs/>
          <w:color w:val="000000" w:themeColor="text1"/>
          <w:sz w:val="24"/>
          <w:szCs w:val="24"/>
        </w:rPr>
        <w:t>ust. 4</w:t>
      </w:r>
      <w:r w:rsidR="001D54CB">
        <w:rPr>
          <w:rFonts w:ascii="Times New Roman" w:hAnsi="Times New Roman" w:cs="Times New Roman"/>
          <w:bCs/>
          <w:color w:val="000000" w:themeColor="text1"/>
          <w:sz w:val="24"/>
          <w:szCs w:val="24"/>
        </w:rPr>
        <w:t xml:space="preserve">, a ponadto </w:t>
      </w:r>
      <w:r w:rsidR="001D54CB">
        <w:rPr>
          <w:rFonts w:ascii="Times New Roman" w:hAnsi="Times New Roman" w:cs="Times New Roman"/>
          <w:bCs/>
          <w:sz w:val="24"/>
          <w:szCs w:val="24"/>
        </w:rPr>
        <w:t>u</w:t>
      </w:r>
      <w:r w:rsidRPr="006B2CD4">
        <w:rPr>
          <w:rFonts w:ascii="Times New Roman" w:hAnsi="Times New Roman" w:cs="Times New Roman"/>
          <w:bCs/>
          <w:sz w:val="24"/>
          <w:szCs w:val="24"/>
        </w:rPr>
        <w:t>chyla się art. 68.</w:t>
      </w:r>
    </w:p>
    <w:p w14:paraId="0F532AD0" w14:textId="40B665FA" w:rsidR="00E538C9" w:rsidRDefault="00E538C9" w:rsidP="000014D0">
      <w:pPr>
        <w:shd w:val="clear" w:color="auto" w:fill="FFFFFF" w:themeFill="background1"/>
        <w:spacing w:after="120" w:line="360" w:lineRule="auto"/>
        <w:jc w:val="both"/>
        <w:rPr>
          <w:rFonts w:ascii="Times New Roman" w:hAnsi="Times New Roman" w:cs="Times New Roman"/>
          <w:bCs/>
          <w:sz w:val="24"/>
          <w:szCs w:val="24"/>
        </w:rPr>
      </w:pPr>
      <w:r w:rsidRPr="00685A80">
        <w:rPr>
          <w:rFonts w:ascii="Times New Roman" w:hAnsi="Times New Roman" w:cs="Times New Roman"/>
          <w:sz w:val="24"/>
          <w:szCs w:val="24"/>
        </w:rPr>
        <w:t>Zmiana w art. 68a ust. 14b ma charakter porządkowy i wynika z dodania w art. 15 ust. 6a w ustawie o giełdach towarowych</w:t>
      </w:r>
      <w:r w:rsidR="00E53864">
        <w:rPr>
          <w:rFonts w:ascii="Times New Roman" w:hAnsi="Times New Roman" w:cs="Times New Roman"/>
          <w:sz w:val="24"/>
          <w:szCs w:val="24"/>
        </w:rPr>
        <w:t xml:space="preserve"> dotyczących realizacji przez giełdową izbę rozrachunkową zadań z zakresu rozliczeń i rozrachunku wskazanych w tym przepisie</w:t>
      </w:r>
      <w:r w:rsidRPr="00685A80">
        <w:rPr>
          <w:rFonts w:ascii="Times New Roman" w:hAnsi="Times New Roman" w:cs="Times New Roman"/>
          <w:sz w:val="24"/>
          <w:szCs w:val="24"/>
        </w:rPr>
        <w:t>.</w:t>
      </w:r>
    </w:p>
    <w:p w14:paraId="67D3BCAD" w14:textId="55DB8C04" w:rsidR="001D54CB" w:rsidRDefault="001D54CB" w:rsidP="0019158B">
      <w:pPr>
        <w:shd w:val="clear" w:color="auto" w:fill="FFFFFF" w:themeFill="background1"/>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W </w:t>
      </w:r>
      <w:r w:rsidR="00535587">
        <w:rPr>
          <w:rFonts w:ascii="Times New Roman" w:hAnsi="Times New Roman" w:cs="Times New Roman"/>
          <w:bCs/>
          <w:sz w:val="24"/>
          <w:szCs w:val="24"/>
        </w:rPr>
        <w:t>art. 68d</w:t>
      </w:r>
      <w:r w:rsidR="00535587" w:rsidRPr="004D00AC">
        <w:rPr>
          <w:rFonts w:ascii="Times New Roman" w:hAnsi="Times New Roman" w:cs="Times New Roman"/>
          <w:bCs/>
          <w:sz w:val="24"/>
          <w:szCs w:val="24"/>
        </w:rPr>
        <w:t xml:space="preserve"> </w:t>
      </w:r>
      <w:r>
        <w:rPr>
          <w:rFonts w:ascii="Times New Roman" w:hAnsi="Times New Roman" w:cs="Times New Roman"/>
          <w:bCs/>
          <w:sz w:val="24"/>
          <w:szCs w:val="24"/>
        </w:rPr>
        <w:t xml:space="preserve">uchylenie zdania drugiego w ust. 2 </w:t>
      </w:r>
      <w:r w:rsidR="00146F36">
        <w:rPr>
          <w:rFonts w:ascii="Times New Roman" w:hAnsi="Times New Roman" w:cs="Times New Roman"/>
          <w:bCs/>
          <w:sz w:val="24"/>
          <w:szCs w:val="24"/>
        </w:rPr>
        <w:t xml:space="preserve">precyzuje, że </w:t>
      </w:r>
      <w:r w:rsidR="00F73BEF">
        <w:rPr>
          <w:rFonts w:ascii="Times New Roman" w:hAnsi="Times New Roman" w:cs="Times New Roman"/>
          <w:bCs/>
          <w:sz w:val="24"/>
          <w:szCs w:val="24"/>
        </w:rPr>
        <w:t>izba nie zarządza środkami funduszu. Określenie takie jest nadmiarowe w stosunku do tego, że zgodnie z przepisami dotyczącymi tych funduszy izba prowadzi taki fundusz.</w:t>
      </w:r>
    </w:p>
    <w:p w14:paraId="5716D071" w14:textId="6505D81D" w:rsidR="00535587" w:rsidRDefault="001D54CB" w:rsidP="0019158B">
      <w:pPr>
        <w:shd w:val="clear" w:color="auto" w:fill="FFFFFF" w:themeFill="background1"/>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Dodanie </w:t>
      </w:r>
      <w:r w:rsidRPr="004D00AC">
        <w:rPr>
          <w:rFonts w:ascii="Times New Roman" w:hAnsi="Times New Roman" w:cs="Times New Roman"/>
          <w:bCs/>
          <w:sz w:val="24"/>
          <w:szCs w:val="24"/>
        </w:rPr>
        <w:t>zdania drugiego w</w:t>
      </w:r>
      <w:r>
        <w:rPr>
          <w:rFonts w:ascii="Times New Roman" w:hAnsi="Times New Roman" w:cs="Times New Roman"/>
          <w:bCs/>
          <w:sz w:val="24"/>
          <w:szCs w:val="24"/>
        </w:rPr>
        <w:t xml:space="preserve"> ust. 3 </w:t>
      </w:r>
      <w:r w:rsidR="00535587" w:rsidRPr="004D00AC">
        <w:rPr>
          <w:rFonts w:ascii="Times New Roman" w:hAnsi="Times New Roman" w:cs="Times New Roman"/>
          <w:bCs/>
          <w:sz w:val="24"/>
          <w:szCs w:val="24"/>
        </w:rPr>
        <w:t>wynika z potrzeby określenia przesłanek dla KNF do odmowy zatwierdzania regulaminu</w:t>
      </w:r>
      <w:r w:rsidR="00F73BEF">
        <w:rPr>
          <w:rFonts w:ascii="Times New Roman" w:hAnsi="Times New Roman" w:cs="Times New Roman"/>
          <w:bCs/>
          <w:sz w:val="24"/>
          <w:szCs w:val="24"/>
        </w:rPr>
        <w:t xml:space="preserve"> funduszu</w:t>
      </w:r>
      <w:r w:rsidR="00535587" w:rsidRPr="004D00AC">
        <w:rPr>
          <w:rFonts w:ascii="Times New Roman" w:hAnsi="Times New Roman" w:cs="Times New Roman"/>
          <w:bCs/>
          <w:sz w:val="24"/>
          <w:szCs w:val="24"/>
        </w:rPr>
        <w:t>, o którym mowa w ust. 1</w:t>
      </w:r>
      <w:r>
        <w:rPr>
          <w:rFonts w:ascii="Times New Roman" w:hAnsi="Times New Roman" w:cs="Times New Roman"/>
          <w:bCs/>
          <w:sz w:val="24"/>
          <w:szCs w:val="24"/>
        </w:rPr>
        <w:t>,</w:t>
      </w:r>
      <w:r w:rsidR="007C389F">
        <w:rPr>
          <w:rFonts w:ascii="Times New Roman" w:hAnsi="Times New Roman" w:cs="Times New Roman"/>
          <w:bCs/>
          <w:sz w:val="24"/>
          <w:szCs w:val="24"/>
        </w:rPr>
        <w:t xml:space="preserve"> </w:t>
      </w:r>
      <w:r w:rsidR="00535587" w:rsidRPr="004D00AC">
        <w:rPr>
          <w:rFonts w:ascii="Times New Roman" w:hAnsi="Times New Roman" w:cs="Times New Roman"/>
          <w:bCs/>
          <w:sz w:val="24"/>
          <w:szCs w:val="24"/>
        </w:rPr>
        <w:t xml:space="preserve">i jego zmian. </w:t>
      </w:r>
    </w:p>
    <w:p w14:paraId="652122EE" w14:textId="4AC614AA" w:rsidR="0019158B" w:rsidRDefault="00D20E79" w:rsidP="0019158B">
      <w:pPr>
        <w:shd w:val="clear" w:color="auto" w:fill="FFFFFF" w:themeFill="background1"/>
        <w:spacing w:after="0" w:line="360" w:lineRule="auto"/>
        <w:jc w:val="both"/>
        <w:rPr>
          <w:rFonts w:ascii="Times New Roman" w:hAnsi="Times New Roman" w:cs="Times New Roman"/>
          <w:bCs/>
          <w:sz w:val="24"/>
          <w:szCs w:val="24"/>
        </w:rPr>
      </w:pPr>
      <w:r w:rsidRPr="004D00AC">
        <w:rPr>
          <w:rFonts w:ascii="Times New Roman" w:hAnsi="Times New Roman" w:cs="Times New Roman"/>
          <w:bCs/>
          <w:sz w:val="24"/>
          <w:szCs w:val="24"/>
        </w:rPr>
        <w:t>Zmian</w:t>
      </w:r>
      <w:r w:rsidR="00E80CDF">
        <w:rPr>
          <w:rFonts w:ascii="Times New Roman" w:hAnsi="Times New Roman" w:cs="Times New Roman"/>
          <w:bCs/>
          <w:sz w:val="24"/>
          <w:szCs w:val="24"/>
        </w:rPr>
        <w:t>a</w:t>
      </w:r>
      <w:r w:rsidRPr="004D00AC">
        <w:rPr>
          <w:rFonts w:ascii="Times New Roman" w:hAnsi="Times New Roman" w:cs="Times New Roman"/>
          <w:bCs/>
          <w:sz w:val="24"/>
          <w:szCs w:val="24"/>
        </w:rPr>
        <w:t xml:space="preserve"> w ust. 4 mają na celu zawężenie odwołania do art. 66 ust. 1</w:t>
      </w:r>
      <w:r w:rsidR="00E80CDF">
        <w:rPr>
          <w:rFonts w:ascii="Times New Roman" w:hAnsi="Times New Roman" w:cs="Times New Roman"/>
          <w:bCs/>
          <w:sz w:val="24"/>
          <w:szCs w:val="24"/>
        </w:rPr>
        <w:t>.</w:t>
      </w:r>
      <w:r w:rsidR="007C389F">
        <w:rPr>
          <w:rFonts w:ascii="Times New Roman" w:hAnsi="Times New Roman" w:cs="Times New Roman"/>
          <w:bCs/>
          <w:sz w:val="24"/>
          <w:szCs w:val="24"/>
        </w:rPr>
        <w:t xml:space="preserve"> </w:t>
      </w:r>
      <w:r w:rsidR="00F73BEF">
        <w:rPr>
          <w:rFonts w:ascii="Times New Roman" w:hAnsi="Times New Roman" w:cs="Times New Roman"/>
          <w:bCs/>
          <w:sz w:val="24"/>
          <w:szCs w:val="24"/>
        </w:rPr>
        <w:t xml:space="preserve">Art. 68d ust. 5 jest zmianą wynikową dotyczącą zmiany w strukturze zarządzania funduszu zabezpieczającego, </w:t>
      </w:r>
      <w:r w:rsidR="00E770AC">
        <w:rPr>
          <w:rFonts w:ascii="Times New Roman" w:hAnsi="Times New Roman" w:cs="Times New Roman"/>
          <w:bCs/>
          <w:sz w:val="24"/>
          <w:szCs w:val="24"/>
        </w:rPr>
        <w:t>który jest prowadzony przez izbę rozliczeniową i nie wymaga zawarcia umowy z podmiotem rozliczającym.</w:t>
      </w:r>
    </w:p>
    <w:p w14:paraId="52AAA465" w14:textId="46F63263" w:rsidR="00E80CDF" w:rsidRDefault="00D20E79" w:rsidP="00E80CDF">
      <w:pPr>
        <w:shd w:val="clear" w:color="auto" w:fill="FFFFFF" w:themeFill="background1"/>
        <w:spacing w:after="0" w:line="360" w:lineRule="auto"/>
        <w:jc w:val="both"/>
        <w:rPr>
          <w:rFonts w:ascii="Times New Roman" w:hAnsi="Times New Roman" w:cs="Times New Roman"/>
          <w:bCs/>
          <w:sz w:val="24"/>
          <w:szCs w:val="24"/>
        </w:rPr>
      </w:pPr>
      <w:r w:rsidRPr="004D00AC">
        <w:rPr>
          <w:rFonts w:ascii="Times New Roman" w:hAnsi="Times New Roman" w:cs="Times New Roman"/>
          <w:bCs/>
          <w:sz w:val="24"/>
          <w:szCs w:val="24"/>
        </w:rPr>
        <w:t>Dodawany ust. 6 ma na celu uregulowanie zasad tworzenia funduszy, o których mowa w ust. 5, przez odesłanie do przepisów właściwych dla fun</w:t>
      </w:r>
      <w:r>
        <w:rPr>
          <w:rFonts w:ascii="Times New Roman" w:hAnsi="Times New Roman" w:cs="Times New Roman"/>
          <w:bCs/>
          <w:sz w:val="24"/>
          <w:szCs w:val="24"/>
        </w:rPr>
        <w:t>duszu, o który</w:t>
      </w:r>
      <w:r w:rsidR="00E80CDF">
        <w:rPr>
          <w:rFonts w:ascii="Times New Roman" w:hAnsi="Times New Roman" w:cs="Times New Roman"/>
          <w:bCs/>
          <w:sz w:val="24"/>
          <w:szCs w:val="24"/>
        </w:rPr>
        <w:t>ch</w:t>
      </w:r>
      <w:r>
        <w:rPr>
          <w:rFonts w:ascii="Times New Roman" w:hAnsi="Times New Roman" w:cs="Times New Roman"/>
          <w:bCs/>
          <w:sz w:val="24"/>
          <w:szCs w:val="24"/>
        </w:rPr>
        <w:t xml:space="preserve"> mowa w ust. 1</w:t>
      </w:r>
      <w:r w:rsidR="00E770AC">
        <w:rPr>
          <w:rFonts w:ascii="Times New Roman" w:hAnsi="Times New Roman" w:cs="Times New Roman"/>
          <w:bCs/>
          <w:sz w:val="24"/>
          <w:szCs w:val="24"/>
        </w:rPr>
        <w:t>, co usunie potencjalne wątpliwości interpretacyjne. Podobna przesłanka zachodzi przy dodaniu ust. 7 i 8, bowiem</w:t>
      </w:r>
      <w:r>
        <w:rPr>
          <w:rFonts w:ascii="Times New Roman" w:hAnsi="Times New Roman" w:cs="Times New Roman"/>
          <w:bCs/>
          <w:sz w:val="24"/>
          <w:szCs w:val="24"/>
        </w:rPr>
        <w:t xml:space="preserve"> </w:t>
      </w:r>
      <w:r w:rsidR="00E770AC">
        <w:rPr>
          <w:rFonts w:ascii="Times New Roman" w:hAnsi="Times New Roman" w:cs="Times New Roman"/>
          <w:bCs/>
          <w:sz w:val="24"/>
          <w:szCs w:val="24"/>
        </w:rPr>
        <w:t>p</w:t>
      </w:r>
      <w:r w:rsidR="0019158B">
        <w:rPr>
          <w:rFonts w:ascii="Times New Roman" w:hAnsi="Times New Roman" w:cs="Times New Roman"/>
          <w:bCs/>
          <w:sz w:val="24"/>
          <w:szCs w:val="24"/>
        </w:rPr>
        <w:t xml:space="preserve">rzepis </w:t>
      </w:r>
      <w:r>
        <w:rPr>
          <w:rFonts w:ascii="Times New Roman" w:hAnsi="Times New Roman" w:cs="Times New Roman"/>
          <w:bCs/>
          <w:sz w:val="24"/>
          <w:szCs w:val="24"/>
        </w:rPr>
        <w:t>u</w:t>
      </w:r>
      <w:r w:rsidRPr="004D00AC">
        <w:rPr>
          <w:rFonts w:ascii="Times New Roman" w:hAnsi="Times New Roman" w:cs="Times New Roman"/>
          <w:bCs/>
          <w:sz w:val="24"/>
          <w:szCs w:val="24"/>
        </w:rPr>
        <w:t>st. 7 pozwal</w:t>
      </w:r>
      <w:r w:rsidR="00E80CDF">
        <w:rPr>
          <w:rFonts w:ascii="Times New Roman" w:hAnsi="Times New Roman" w:cs="Times New Roman"/>
          <w:bCs/>
          <w:sz w:val="24"/>
          <w:szCs w:val="24"/>
        </w:rPr>
        <w:t>i</w:t>
      </w:r>
      <w:r w:rsidRPr="004D00AC">
        <w:rPr>
          <w:rFonts w:ascii="Times New Roman" w:hAnsi="Times New Roman" w:cs="Times New Roman"/>
          <w:bCs/>
          <w:sz w:val="24"/>
          <w:szCs w:val="24"/>
        </w:rPr>
        <w:t xml:space="preserve"> izbie rozliczeniowej na zarządzanie środkami funduszy, o których mowa w ust. 1 i 5. </w:t>
      </w:r>
    </w:p>
    <w:p w14:paraId="6CA27DD6" w14:textId="24653034" w:rsidR="007F14B0" w:rsidRDefault="00E80CDF" w:rsidP="00E80CDF">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Przepis ust. 8 </w:t>
      </w:r>
      <w:r w:rsidR="00D20E79" w:rsidRPr="004D00AC">
        <w:rPr>
          <w:rFonts w:ascii="Times New Roman" w:hAnsi="Times New Roman" w:cs="Times New Roman"/>
          <w:bCs/>
          <w:sz w:val="24"/>
          <w:szCs w:val="24"/>
        </w:rPr>
        <w:t>sankcjonuje możliwość wydzielania w ramach fundusz</w:t>
      </w:r>
      <w:r>
        <w:rPr>
          <w:rFonts w:ascii="Times New Roman" w:hAnsi="Times New Roman" w:cs="Times New Roman"/>
          <w:bCs/>
          <w:sz w:val="24"/>
          <w:szCs w:val="24"/>
        </w:rPr>
        <w:t>y</w:t>
      </w:r>
      <w:r w:rsidR="00D20E79" w:rsidRPr="004D00AC">
        <w:rPr>
          <w:rFonts w:ascii="Times New Roman" w:hAnsi="Times New Roman" w:cs="Times New Roman"/>
          <w:bCs/>
          <w:sz w:val="24"/>
          <w:szCs w:val="24"/>
        </w:rPr>
        <w:t xml:space="preserve">, o których mowa w ust. 1 i 5, części przeznaczonych na zabezpieczania rozliczania transakcji zawieranych na poszczególnych rynkach lub na zabezpieczenie rozliczania określonych rodzajów transakcji. </w:t>
      </w:r>
    </w:p>
    <w:p w14:paraId="19430178" w14:textId="7E3FB500" w:rsidR="00D20E79" w:rsidRPr="007F14B0" w:rsidRDefault="007F14B0" w:rsidP="00E80CDF">
      <w:pPr>
        <w:shd w:val="clear" w:color="auto" w:fill="FFFFFF" w:themeFill="background1"/>
        <w:spacing w:after="120" w:line="360" w:lineRule="auto"/>
        <w:jc w:val="both"/>
        <w:rPr>
          <w:rFonts w:ascii="Times New Roman" w:hAnsi="Times New Roman" w:cs="Times New Roman"/>
          <w:bCs/>
          <w:iCs/>
          <w:sz w:val="24"/>
          <w:szCs w:val="24"/>
        </w:rPr>
      </w:pPr>
      <w:r>
        <w:rPr>
          <w:rFonts w:ascii="Times New Roman" w:hAnsi="Times New Roman" w:cs="Times New Roman"/>
          <w:bCs/>
          <w:sz w:val="24"/>
          <w:szCs w:val="24"/>
        </w:rPr>
        <w:t>Dodanie art. 68i ust. 1</w:t>
      </w:r>
      <w:r w:rsidR="001D54CB" w:rsidRPr="001D54CB">
        <w:rPr>
          <w:rFonts w:ascii="Times New Roman" w:hAnsi="Times New Roman" w:cs="Times New Roman"/>
          <w:bCs/>
          <w:sz w:val="24"/>
          <w:szCs w:val="24"/>
        </w:rPr>
        <w:t xml:space="preserve"> </w:t>
      </w:r>
      <w:r w:rsidR="001D54CB">
        <w:rPr>
          <w:rFonts w:ascii="Times New Roman" w:hAnsi="Times New Roman" w:cs="Times New Roman"/>
          <w:bCs/>
          <w:sz w:val="24"/>
          <w:szCs w:val="24"/>
        </w:rPr>
        <w:t xml:space="preserve">pkt 1 </w:t>
      </w:r>
      <w:r w:rsidR="007C389F">
        <w:rPr>
          <w:rFonts w:ascii="Times New Roman" w:hAnsi="Times New Roman" w:cs="Times New Roman"/>
          <w:bCs/>
          <w:sz w:val="24"/>
          <w:szCs w:val="24"/>
        </w:rPr>
        <w:t>lit. da i db</w:t>
      </w:r>
      <w:r>
        <w:rPr>
          <w:rFonts w:ascii="Times New Roman" w:hAnsi="Times New Roman" w:cs="Times New Roman"/>
          <w:bCs/>
          <w:sz w:val="24"/>
          <w:szCs w:val="24"/>
        </w:rPr>
        <w:t xml:space="preserve"> </w:t>
      </w:r>
      <w:r>
        <w:rPr>
          <w:rFonts w:ascii="Times New Roman" w:hAnsi="Times New Roman" w:cs="Times New Roman"/>
          <w:bCs/>
          <w:iCs/>
          <w:sz w:val="24"/>
          <w:szCs w:val="24"/>
        </w:rPr>
        <w:t xml:space="preserve">jest zmianą wynikową i związana jest z </w:t>
      </w:r>
      <w:r w:rsidR="00E80CDF">
        <w:rPr>
          <w:rFonts w:ascii="Times New Roman" w:hAnsi="Times New Roman" w:cs="Times New Roman"/>
          <w:bCs/>
          <w:iCs/>
          <w:sz w:val="24"/>
          <w:szCs w:val="24"/>
        </w:rPr>
        <w:t xml:space="preserve">opisanymi wyżej </w:t>
      </w:r>
      <w:r>
        <w:rPr>
          <w:rFonts w:ascii="Times New Roman" w:hAnsi="Times New Roman" w:cs="Times New Roman"/>
          <w:bCs/>
          <w:iCs/>
          <w:sz w:val="24"/>
          <w:szCs w:val="24"/>
        </w:rPr>
        <w:t>zmianami dotyczącymi jednolitej licencji bankowej obejmującymi również banki państwowe</w:t>
      </w:r>
      <w:r w:rsidR="00E06233">
        <w:rPr>
          <w:rFonts w:ascii="Times New Roman" w:hAnsi="Times New Roman" w:cs="Times New Roman"/>
          <w:bCs/>
          <w:sz w:val="24"/>
          <w:szCs w:val="24"/>
        </w:rPr>
        <w:t xml:space="preserve"> i koniecznością zapewnienia spójności w tym zakresie.</w:t>
      </w:r>
    </w:p>
    <w:p w14:paraId="34F286B6" w14:textId="05C5A49B" w:rsidR="000014D0" w:rsidRPr="006B2CD4" w:rsidRDefault="000014D0" w:rsidP="0019158B">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Rozszerzenie w art. 69 zastrzeżenia dotyczącego wykonywania działalności maklerskiej wynika z dodania do ustawy o obrocie art. 123a, umożliwiającego bankowi powierniczemu wykonywanie niektórych czynności maklerskich bez posiadania stosownego zezwolenia. Podobnie jak w przypadku podmiotów, o których mowa w art. 16 ust. 3 oraz art. 70, w celu uniknięcia wątpliwości interpretacyjnych, uzasadnione jest wyłączeni</w:t>
      </w:r>
      <w:r w:rsidR="0019158B">
        <w:rPr>
          <w:rFonts w:ascii="Times New Roman" w:hAnsi="Times New Roman" w:cs="Times New Roman"/>
          <w:bCs/>
          <w:sz w:val="24"/>
          <w:szCs w:val="24"/>
        </w:rPr>
        <w:t>e</w:t>
      </w:r>
      <w:r w:rsidR="007C389F">
        <w:rPr>
          <w:rFonts w:ascii="Times New Roman" w:hAnsi="Times New Roman" w:cs="Times New Roman"/>
          <w:bCs/>
          <w:sz w:val="24"/>
          <w:szCs w:val="24"/>
        </w:rPr>
        <w:t xml:space="preserve"> </w:t>
      </w:r>
      <w:r>
        <w:rPr>
          <w:rFonts w:ascii="Times New Roman" w:hAnsi="Times New Roman" w:cs="Times New Roman"/>
          <w:bCs/>
          <w:sz w:val="24"/>
          <w:szCs w:val="24"/>
        </w:rPr>
        <w:t xml:space="preserve">również banków powierniczych świadczących usługi, o których mowa w art. 123a. </w:t>
      </w:r>
    </w:p>
    <w:p w14:paraId="5726D1B4" w14:textId="42957E82" w:rsidR="000014D0" w:rsidRPr="006B2CD4" w:rsidRDefault="000014D0" w:rsidP="000014D0">
      <w:pPr>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Zmiany w art. 70 ust. 2 wprowadzają szereg istotnych modyfikacji w zakresie czynności, które bank z siedzibą na terytorium Rzeczypospolitej Polskiej może wykonywać bez posiadania odpowiedniego zezwolenia (tzw. „mała jednolita licencja bankowa”).</w:t>
      </w:r>
      <w:r w:rsidR="00E770AC">
        <w:rPr>
          <w:rFonts w:ascii="Times New Roman" w:hAnsi="Times New Roman" w:cs="Times New Roman"/>
          <w:bCs/>
          <w:sz w:val="24"/>
          <w:szCs w:val="24"/>
        </w:rPr>
        <w:t xml:space="preserve"> </w:t>
      </w:r>
      <w:r w:rsidR="00C83D50">
        <w:rPr>
          <w:rFonts w:ascii="Times New Roman" w:hAnsi="Times New Roman" w:cs="Times New Roman"/>
          <w:bCs/>
          <w:sz w:val="24"/>
          <w:szCs w:val="24"/>
        </w:rPr>
        <w:t>O ile pozostawienie takiej możliwości jest w pełni uzasadnione, tak doprecyzowania, które są wyjaśnione poniżej są konieczne dla przeciwdziałania negatywnym zjawiskom, które wynikają z niezgodnego z prawem świadczenia takich usług.</w:t>
      </w:r>
    </w:p>
    <w:p w14:paraId="0747BB37" w14:textId="7D97C3A8" w:rsidR="000014D0" w:rsidRPr="006B2CD4" w:rsidRDefault="000014D0" w:rsidP="000014D0">
      <w:pPr>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Zmiana we wprowadzeniu do wyliczenia ma charakter dostosowujący</w:t>
      </w:r>
      <w:r w:rsidR="00E770AC">
        <w:rPr>
          <w:rFonts w:ascii="Times New Roman" w:hAnsi="Times New Roman" w:cs="Times New Roman"/>
          <w:bCs/>
          <w:sz w:val="24"/>
          <w:szCs w:val="24"/>
        </w:rPr>
        <w:t xml:space="preserve"> do tej nowelizacji</w:t>
      </w:r>
      <w:r w:rsidRPr="006B2CD4">
        <w:rPr>
          <w:rFonts w:ascii="Times New Roman" w:hAnsi="Times New Roman" w:cs="Times New Roman"/>
          <w:bCs/>
          <w:sz w:val="24"/>
          <w:szCs w:val="24"/>
        </w:rPr>
        <w:t>.</w:t>
      </w:r>
    </w:p>
    <w:p w14:paraId="65E5D1C5" w14:textId="4203F333" w:rsidR="000014D0" w:rsidRPr="006B2CD4" w:rsidRDefault="000014D0" w:rsidP="000014D0">
      <w:pPr>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lastRenderedPageBreak/>
        <w:t xml:space="preserve">Zmiana w pkt 1 </w:t>
      </w:r>
      <w:r w:rsidR="00433A7D" w:rsidRPr="00433A7D">
        <w:rPr>
          <w:rFonts w:ascii="Times New Roman" w:hAnsi="Times New Roman" w:cs="Times New Roman"/>
          <w:bCs/>
          <w:sz w:val="24"/>
          <w:szCs w:val="24"/>
        </w:rPr>
        <w:t>jest zmianą wynikową związaną ze zmianą przewidzianą w pkt 3. Mając na uwadze, że zgodnie z projektowanym pkt 3 banki, o których mowa w nowelizowanym przepisie będą mogły wykonywać czynności, o których mowa w art. 69 ust. 2 pkt 3 (nabywanie lub zbywanie na własny rachunek instrumentów finansowych), bez względu na rodzaj instrumentu finansowego, którego dotyczą, nie ma potrzeby aby przepis ten wskazywać zmienianym odwołaniu.</w:t>
      </w:r>
    </w:p>
    <w:p w14:paraId="3CAD5386" w14:textId="06E56615" w:rsidR="000014D0" w:rsidRPr="006B2CD4" w:rsidRDefault="000014D0" w:rsidP="000014D0">
      <w:pPr>
        <w:spacing w:after="0" w:line="360" w:lineRule="auto"/>
        <w:jc w:val="both"/>
        <w:rPr>
          <w:rFonts w:ascii="Times New Roman" w:hAnsi="Times New Roman" w:cs="Times New Roman"/>
          <w:bCs/>
          <w:sz w:val="24"/>
          <w:szCs w:val="24"/>
        </w:rPr>
      </w:pPr>
      <w:r w:rsidRPr="00433A7D">
        <w:rPr>
          <w:rFonts w:ascii="Times New Roman" w:hAnsi="Times New Roman" w:cs="Times New Roman"/>
          <w:bCs/>
          <w:sz w:val="24"/>
          <w:szCs w:val="24"/>
        </w:rPr>
        <w:t xml:space="preserve">Zmiana w pkt 3 </w:t>
      </w:r>
      <w:r w:rsidR="00433A7D" w:rsidRPr="00433A7D">
        <w:rPr>
          <w:rFonts w:ascii="Times New Roman" w:hAnsi="Times New Roman" w:cs="Times New Roman"/>
          <w:bCs/>
          <w:sz w:val="24"/>
          <w:szCs w:val="24"/>
        </w:rPr>
        <w:t xml:space="preserve">przewiduje umożliwienie bankom, do których odnosi się ten przepis, wykonywanie czynności, o których mowa w art. 69 ust. 2 pkt 3 nowelizowanej ustawy niezależnie od rodzaju instrumentu finansowego jakiego dotyczy. W przepisie tym, z uwagi na charakter funkcji pełnionych przez animatora rynku, wyłączono możliwość wykonywania przez banki, o których mowa w nowelizowanym przepisie, tych funkcji. Jednocześnie ze względu na przewidzianą obecnie na podstawie przepisów pkt 1 możliwość pełnienia funkcji animatora rynku przez banki, o których mowa w nowelizowanym przepisie, w odniesieniu do papierów wartościowych emitowanych przez Skarb Państwa, obligacji emitowanych przez Bank Gospodarstwa Krajowego na rzecz funduszy utworzonych, powierzonych albo przekazanych temu bankowi na podstawie odrębnych ustaw, gwarantowanych przez Skarb Państwa, oraz obligacji emitowanych przez Bankowy Fundusz Gwarancyjny, banki te na podstawie pkt 3 dalej będą mogły również pełnić te funkcje. Dzięki temu zachowanie zostanie status quo w zakresie funkcji pełnionych przez banki, o których mowa w nowelizowanym przepisie, na rynku </w:t>
      </w:r>
      <w:r w:rsidR="00C65B4E">
        <w:rPr>
          <w:rFonts w:ascii="Times New Roman" w:hAnsi="Times New Roman" w:cs="Times New Roman"/>
          <w:bCs/>
          <w:sz w:val="24"/>
          <w:szCs w:val="24"/>
        </w:rPr>
        <w:t xml:space="preserve">Treasury </w:t>
      </w:r>
      <w:r w:rsidR="00433A7D" w:rsidRPr="00433A7D">
        <w:rPr>
          <w:rFonts w:ascii="Times New Roman" w:hAnsi="Times New Roman" w:cs="Times New Roman"/>
          <w:bCs/>
          <w:sz w:val="24"/>
          <w:szCs w:val="24"/>
        </w:rPr>
        <w:t xml:space="preserve">BondSpot Poland (TBSP), poprzez umożliwienie im dalsze pełnienie funkcji animatora rynku </w:t>
      </w:r>
      <w:r w:rsidR="00433A7D" w:rsidRPr="00433A7D">
        <w:rPr>
          <w:rFonts w:ascii="Times New Roman" w:hAnsi="Times New Roman" w:cs="Times New Roman"/>
          <w:bCs/>
          <w:sz w:val="24"/>
          <w:szCs w:val="24"/>
        </w:rPr>
        <w:lastRenderedPageBreak/>
        <w:t>na tym rynku. Reasumując w związku ze zmianą przewidzianą w pkt 3 banki, o których mowa w nowelizowanym przepisie, będą mogły wykonywać czynności polegające na nabywaniu lub zbywaniu na własny rachunek wszystkich instrumentów finansowych, z wyłączeniem możliwości pełnienia funkcji animatora rynku na instrumentach finansowych innych niż papierów wartościowych emitowanych przez Skarb Państwa, obligacji emitowanych przez Bank Gospodarstwa Krajowego na rzecz funduszy utworzonych, powierzonych albo przekazanych temu bankowi na podstawie odrębnych ustaw, gwarantowanych przez Skarb Państwa, oraz obligacji emitowanych przez Bankowy Fundusz Gwarancyjny.</w:t>
      </w:r>
      <w:r w:rsidRPr="006B2CD4">
        <w:rPr>
          <w:rFonts w:ascii="Times New Roman" w:hAnsi="Times New Roman" w:cs="Times New Roman"/>
          <w:bCs/>
          <w:sz w:val="24"/>
          <w:szCs w:val="24"/>
        </w:rPr>
        <w:t xml:space="preserve"> </w:t>
      </w:r>
    </w:p>
    <w:p w14:paraId="606A172A" w14:textId="0D79FBFD" w:rsidR="000014D0" w:rsidRPr="006B2CD4" w:rsidRDefault="007C389F" w:rsidP="000014D0">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Dodawane pkt </w:t>
      </w:r>
      <w:r w:rsidR="000014D0" w:rsidRPr="006B2CD4">
        <w:rPr>
          <w:rFonts w:ascii="Times New Roman" w:hAnsi="Times New Roman" w:cs="Times New Roman"/>
          <w:bCs/>
          <w:sz w:val="24"/>
          <w:szCs w:val="24"/>
        </w:rPr>
        <w:t>4 i 5 wprowadza</w:t>
      </w:r>
      <w:r w:rsidR="00102615">
        <w:rPr>
          <w:rFonts w:ascii="Times New Roman" w:hAnsi="Times New Roman" w:cs="Times New Roman"/>
          <w:bCs/>
          <w:sz w:val="24"/>
          <w:szCs w:val="24"/>
        </w:rPr>
        <w:t>ją</w:t>
      </w:r>
      <w:r>
        <w:rPr>
          <w:rFonts w:ascii="Times New Roman" w:hAnsi="Times New Roman" w:cs="Times New Roman"/>
          <w:bCs/>
          <w:sz w:val="24"/>
          <w:szCs w:val="24"/>
        </w:rPr>
        <w:t xml:space="preserve"> </w:t>
      </w:r>
      <w:r w:rsidR="000014D0" w:rsidRPr="006B2CD4">
        <w:rPr>
          <w:rFonts w:ascii="Times New Roman" w:hAnsi="Times New Roman" w:cs="Times New Roman"/>
          <w:bCs/>
          <w:sz w:val="24"/>
          <w:szCs w:val="24"/>
        </w:rPr>
        <w:t>do katalogu czynności</w:t>
      </w:r>
      <w:r w:rsidR="000014D0">
        <w:rPr>
          <w:rFonts w:ascii="Times New Roman" w:hAnsi="Times New Roman" w:cs="Times New Roman"/>
          <w:bCs/>
          <w:sz w:val="24"/>
          <w:szCs w:val="24"/>
        </w:rPr>
        <w:t xml:space="preserve"> niewymagających zezwolenia </w:t>
      </w:r>
      <w:r w:rsidR="000014D0" w:rsidRPr="006B2CD4">
        <w:rPr>
          <w:rFonts w:ascii="Times New Roman" w:hAnsi="Times New Roman" w:cs="Times New Roman"/>
          <w:bCs/>
          <w:sz w:val="24"/>
          <w:szCs w:val="24"/>
        </w:rPr>
        <w:t xml:space="preserve">czynności, o których mowa w art. 69 ust. 4 (czynności pozostające w zakresie działalności maklerskiej, o ile są wykonywane przez firmę inwestycyjną) oraz czynności, o których mowa w art. 69 ust. 2 pkt 1 i 2 (czynności polegające na przyjmowaniu i przekazywaniu zleceń nabycia lub zbycia instrumentów finansowych oraz czynności polegające na wykonywaniu zleceń na rachunek dającego zlecenie, w odniesieniu do transakcji pożyczek papierów wartościowych, o ile ich przedmiotem są papiery wartościowe dopuszczone do obrotu zorganizowanego). </w:t>
      </w:r>
      <w:bookmarkStart w:id="1" w:name="mip63310576"/>
      <w:bookmarkEnd w:id="1"/>
    </w:p>
    <w:p w14:paraId="61079E24" w14:textId="08057696" w:rsidR="000014D0" w:rsidRPr="006B2CD4" w:rsidRDefault="000014D0" w:rsidP="000014D0">
      <w:pPr>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Dodawany ust. 2a </w:t>
      </w:r>
      <w:r w:rsidR="001D6AFE">
        <w:rPr>
          <w:rFonts w:ascii="Times New Roman" w:hAnsi="Times New Roman" w:cs="Times New Roman"/>
          <w:bCs/>
          <w:sz w:val="24"/>
          <w:szCs w:val="24"/>
        </w:rPr>
        <w:t>określa</w:t>
      </w:r>
      <w:r w:rsidR="007C389F">
        <w:rPr>
          <w:rFonts w:ascii="Times New Roman" w:hAnsi="Times New Roman" w:cs="Times New Roman"/>
          <w:bCs/>
          <w:sz w:val="24"/>
          <w:szCs w:val="24"/>
        </w:rPr>
        <w:t xml:space="preserve"> </w:t>
      </w:r>
      <w:r w:rsidRPr="006B2CD4">
        <w:rPr>
          <w:rFonts w:ascii="Times New Roman" w:hAnsi="Times New Roman" w:cs="Times New Roman"/>
          <w:bCs/>
          <w:sz w:val="24"/>
          <w:szCs w:val="24"/>
        </w:rPr>
        <w:t>zakres czynności</w:t>
      </w:r>
      <w:r>
        <w:rPr>
          <w:rFonts w:ascii="Times New Roman" w:hAnsi="Times New Roman" w:cs="Times New Roman"/>
          <w:bCs/>
          <w:sz w:val="24"/>
          <w:szCs w:val="24"/>
        </w:rPr>
        <w:t xml:space="preserve"> niewymagających</w:t>
      </w:r>
      <w:r w:rsidR="007C389F">
        <w:rPr>
          <w:rFonts w:ascii="Times New Roman" w:hAnsi="Times New Roman" w:cs="Times New Roman"/>
          <w:bCs/>
          <w:sz w:val="24"/>
          <w:szCs w:val="24"/>
        </w:rPr>
        <w:t xml:space="preserve"> </w:t>
      </w:r>
      <w:r w:rsidRPr="006B2CD4">
        <w:rPr>
          <w:rFonts w:ascii="Times New Roman" w:hAnsi="Times New Roman" w:cs="Times New Roman"/>
          <w:bCs/>
          <w:sz w:val="24"/>
          <w:szCs w:val="24"/>
        </w:rPr>
        <w:t>zezwolenia</w:t>
      </w:r>
      <w:r w:rsidR="007C389F">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w </w:t>
      </w:r>
      <w:r>
        <w:rPr>
          <w:rFonts w:ascii="Times New Roman" w:hAnsi="Times New Roman" w:cs="Times New Roman"/>
          <w:bCs/>
          <w:sz w:val="24"/>
          <w:szCs w:val="24"/>
        </w:rPr>
        <w:t>odniesieniu do</w:t>
      </w:r>
      <w:r w:rsidR="007C389F">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banków, które stanowią małe i niezłożone instytucje, o których mowa w art. 4 ust. 1 pkt 145 rozporządzenia 575/2013, lub które dysponują kapitałami własnymi w wysokości poniżej równowartości 5 000 000 euro. </w:t>
      </w:r>
    </w:p>
    <w:p w14:paraId="7C4ABCE4" w14:textId="2A8341AA" w:rsidR="000014D0" w:rsidRPr="006B2CD4" w:rsidRDefault="000014D0" w:rsidP="000014D0">
      <w:pPr>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lastRenderedPageBreak/>
        <w:t xml:space="preserve">Zgodnie z ust. 3 wykonywanie przez bank czynności </w:t>
      </w:r>
      <w:r>
        <w:rPr>
          <w:rFonts w:ascii="Times New Roman" w:hAnsi="Times New Roman" w:cs="Times New Roman"/>
          <w:bCs/>
          <w:sz w:val="24"/>
          <w:szCs w:val="24"/>
        </w:rPr>
        <w:t xml:space="preserve">określonych w art. 69 ust. 2 pkt 1–7 oraz ust. 4 nie stanowi </w:t>
      </w:r>
      <w:r w:rsidRPr="006B2CD4">
        <w:rPr>
          <w:rFonts w:ascii="Times New Roman" w:hAnsi="Times New Roman" w:cs="Times New Roman"/>
          <w:bCs/>
          <w:sz w:val="24"/>
          <w:szCs w:val="24"/>
        </w:rPr>
        <w:t>działalności maklerskiej – a tym samym do wykonywania tych czynności nie jest wymagane uzyskanie przez bank dodatkowe</w:t>
      </w:r>
      <w:r w:rsidR="001D6AFE">
        <w:rPr>
          <w:rFonts w:ascii="Times New Roman" w:hAnsi="Times New Roman" w:cs="Times New Roman"/>
          <w:bCs/>
          <w:sz w:val="24"/>
          <w:szCs w:val="24"/>
        </w:rPr>
        <w:t>go zezwolenia</w:t>
      </w:r>
      <w:r w:rsidRPr="006B2CD4">
        <w:rPr>
          <w:rFonts w:ascii="Times New Roman" w:hAnsi="Times New Roman" w:cs="Times New Roman"/>
          <w:bCs/>
          <w:sz w:val="24"/>
          <w:szCs w:val="24"/>
        </w:rPr>
        <w:t xml:space="preserve">. </w:t>
      </w:r>
    </w:p>
    <w:p w14:paraId="5A3D73A8" w14:textId="77777777" w:rsidR="000014D0" w:rsidRPr="006B2CD4" w:rsidRDefault="000014D0" w:rsidP="000014D0">
      <w:pPr>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Dodawany ust. 4 ma na celu zapobieżenie wątpliwościom interpretacyjnym dotyczącym stosowania odpowiednich przepisów sektorowych do banków wykonujących czynności maklerskie na podstawie licencji bankowej. Przepis stanowi, że w zakresie wykonywania przez banki czynności maklerskich na podstawie jednolitej licencji bankowej będą miały zastosowanie wskazane przepisy ustawy o obrocie oraz bezpośrednio obowiązujące przepisy prawa Unii Europejskiej odnoszące się do prowadzenia tej działalności, a w zakresie nieuregulowanym w tych przepisach – odpowiednio przepisy ustawy – Prawo bankowe. </w:t>
      </w:r>
    </w:p>
    <w:p w14:paraId="028AE58D" w14:textId="0C79AD01" w:rsidR="000014D0" w:rsidRPr="006B2CD4" w:rsidRDefault="00E32C26" w:rsidP="000014D0">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Zmiana w art. 73c</w:t>
      </w:r>
      <w:r w:rsidR="000014D0" w:rsidRPr="006B2CD4">
        <w:rPr>
          <w:rFonts w:ascii="Times New Roman" w:hAnsi="Times New Roman" w:cs="Times New Roman"/>
          <w:bCs/>
          <w:sz w:val="24"/>
          <w:szCs w:val="24"/>
        </w:rPr>
        <w:t xml:space="preserve"> ust. 2 ma na celu zastąpienie błędnego odwołania do rozporządzenia delegowanego Komisji (UE) 2017/575 z dnia 8 czerwca 2016 r. uzupełniającego dyrektywę Parlamentu Europejskiego i Rady 2014/65/UE w sprawie rynków instrumentów finansowych w odniesieniu do regulacyjnych standardów technicznych dotyczących danych publikowanych przez systemy wykonywania zlecenia na temat jakości wykonywania transakcji (Dz. Urz. UE L 87 z 31.03.2017, str. 152),</w:t>
      </w:r>
      <w:r w:rsidR="007C389F">
        <w:rPr>
          <w:rFonts w:ascii="Times New Roman" w:hAnsi="Times New Roman" w:cs="Times New Roman"/>
          <w:bCs/>
          <w:sz w:val="24"/>
          <w:szCs w:val="24"/>
        </w:rPr>
        <w:t xml:space="preserve"> </w:t>
      </w:r>
      <w:r w:rsidR="001A2027">
        <w:rPr>
          <w:rFonts w:ascii="Times New Roman" w:hAnsi="Times New Roman" w:cs="Times New Roman"/>
          <w:bCs/>
          <w:sz w:val="24"/>
          <w:szCs w:val="24"/>
        </w:rPr>
        <w:t xml:space="preserve">dalej </w:t>
      </w:r>
      <w:r w:rsidR="000014D0" w:rsidRPr="006B2CD4">
        <w:rPr>
          <w:rFonts w:ascii="Times New Roman" w:hAnsi="Times New Roman" w:cs="Times New Roman"/>
          <w:bCs/>
          <w:sz w:val="24"/>
          <w:szCs w:val="24"/>
        </w:rPr>
        <w:t xml:space="preserve">„rozporządzenie 2017/575”, prawidłowym odwołaniem do rozporządzenia delegowanego Komisji (UE) 2017/576 z dnia 8 czerwca 2016 r. uzupełniającego dyrektywę Parlamentu Europejskiego i Rady 2014/65/UE w odniesieniu do regulacyjnych standardów technicznych dotyczących podawania co roku do wiadomości publicznej przez firmy inwestycyjne informacji o tożsamości systemów wykonywania zleceń i jakości </w:t>
      </w:r>
      <w:r w:rsidR="000014D0" w:rsidRPr="006B2CD4">
        <w:rPr>
          <w:rFonts w:ascii="Times New Roman" w:hAnsi="Times New Roman" w:cs="Times New Roman"/>
          <w:bCs/>
          <w:sz w:val="24"/>
          <w:szCs w:val="24"/>
        </w:rPr>
        <w:lastRenderedPageBreak/>
        <w:t xml:space="preserve">wykonywania zleceń (Dz. Urz. UE L 87 z 31.03.2017, str. 166), dalej „rozporządzenie 2017/576”. </w:t>
      </w:r>
    </w:p>
    <w:p w14:paraId="25950CD2" w14:textId="77777777" w:rsidR="000014D0" w:rsidRPr="006B2CD4" w:rsidRDefault="000014D0" w:rsidP="00BB282C">
      <w:pPr>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Zgodnie z obowiązującym przepisem podanie przez firmę inwestycyjną do publicznej wiadomości corocznego raportu zawierającego wykaz pięciu najlepszych systemów wykonywania zlecenia, następuje z uwzględnieniem przepisów rozporządzenia 2017/575. Właściwym aktem delegowanym, który powinien zostać wskazany w odesłaniu, jest rozporządzenie 2017/576. Rozporządzenie 2017/575</w:t>
      </w:r>
      <w:r>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nie określa bowiem treści i formatu informacji, które mają być publikowane przez firmy inwestycyjne zgodnie z art. 27 ust. 6 dyrektywy MiFID II – przepis ten dotyczy bowiem raportu (wykazu) rocznego obejmującego pięć najlepszych systemów wykonywania zleceń pod względem wolumenu obrotu, sporządzanego przez firmę inwestycyjną wykonującą zlecenia klientów. Obowiązek ten powinien być wykonywany w sposób określony w art. 3 rozporządzenia 2017/576. </w:t>
      </w:r>
    </w:p>
    <w:p w14:paraId="6219896A" w14:textId="39CD0FAA" w:rsidR="000014D0" w:rsidRPr="006B2CD4" w:rsidRDefault="000014D0" w:rsidP="00BB282C">
      <w:pPr>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Celem zmiany art. 74d ust. </w:t>
      </w:r>
      <w:r>
        <w:rPr>
          <w:rFonts w:ascii="Times New Roman" w:hAnsi="Times New Roman" w:cs="Times New Roman"/>
          <w:bCs/>
          <w:sz w:val="24"/>
          <w:szCs w:val="24"/>
        </w:rPr>
        <w:t>1</w:t>
      </w:r>
      <w:r w:rsidRPr="006B2CD4">
        <w:rPr>
          <w:rFonts w:ascii="Times New Roman" w:hAnsi="Times New Roman" w:cs="Times New Roman"/>
          <w:bCs/>
          <w:sz w:val="24"/>
          <w:szCs w:val="24"/>
        </w:rPr>
        <w:t>, który zawiera definicję czynności polegając</w:t>
      </w:r>
      <w:r>
        <w:rPr>
          <w:rFonts w:ascii="Times New Roman" w:hAnsi="Times New Roman" w:cs="Times New Roman"/>
          <w:bCs/>
          <w:sz w:val="24"/>
          <w:szCs w:val="24"/>
        </w:rPr>
        <w:t>ych</w:t>
      </w:r>
      <w:r w:rsidRPr="006B2CD4">
        <w:rPr>
          <w:rFonts w:ascii="Times New Roman" w:hAnsi="Times New Roman" w:cs="Times New Roman"/>
          <w:bCs/>
          <w:sz w:val="24"/>
          <w:szCs w:val="24"/>
        </w:rPr>
        <w:t xml:space="preserve"> na nabywaniu lub zbywaniu na własny rachunek instrumentów finansowych, </w:t>
      </w:r>
      <w:r w:rsidR="001D6AFE">
        <w:rPr>
          <w:rFonts w:ascii="Times New Roman" w:hAnsi="Times New Roman" w:cs="Times New Roman"/>
          <w:bCs/>
          <w:sz w:val="24"/>
          <w:szCs w:val="24"/>
        </w:rPr>
        <w:t>jest</w:t>
      </w:r>
      <w:r w:rsidR="007C389F">
        <w:rPr>
          <w:rFonts w:ascii="Times New Roman" w:hAnsi="Times New Roman" w:cs="Times New Roman"/>
          <w:bCs/>
          <w:sz w:val="24"/>
          <w:szCs w:val="24"/>
        </w:rPr>
        <w:t xml:space="preserve"> potrzeba doprecyzowania</w:t>
      </w:r>
      <w:r w:rsidRPr="006B2CD4">
        <w:rPr>
          <w:rFonts w:ascii="Times New Roman" w:hAnsi="Times New Roman" w:cs="Times New Roman"/>
          <w:bCs/>
          <w:sz w:val="24"/>
          <w:szCs w:val="24"/>
        </w:rPr>
        <w:t xml:space="preserve"> tej definicji. W przypadku nabywania lub zbywania na własny rachunek instrumentów finansowych dokonywan</w:t>
      </w:r>
      <w:r>
        <w:rPr>
          <w:rFonts w:ascii="Times New Roman" w:hAnsi="Times New Roman" w:cs="Times New Roman"/>
          <w:bCs/>
          <w:sz w:val="24"/>
          <w:szCs w:val="24"/>
        </w:rPr>
        <w:t xml:space="preserve">ych </w:t>
      </w:r>
      <w:r w:rsidRPr="006B2CD4">
        <w:rPr>
          <w:rFonts w:ascii="Times New Roman" w:hAnsi="Times New Roman" w:cs="Times New Roman"/>
          <w:bCs/>
          <w:sz w:val="24"/>
          <w:szCs w:val="24"/>
        </w:rPr>
        <w:t>w celu wykonania transakcji klienta podmiot nabywający lub zbywający jest zobowiązany do zawarcia z klientem umowy o wykonywanie zleceń, o której mowa w art. 69 ust. 2 pkt 2</w:t>
      </w:r>
      <w:r>
        <w:rPr>
          <w:rFonts w:ascii="Times New Roman" w:hAnsi="Times New Roman" w:cs="Times New Roman"/>
          <w:bCs/>
          <w:sz w:val="24"/>
          <w:szCs w:val="24"/>
        </w:rPr>
        <w:t xml:space="preserve"> (</w:t>
      </w:r>
      <w:r w:rsidR="001D6AFE">
        <w:rPr>
          <w:rFonts w:ascii="Times New Roman" w:hAnsi="Times New Roman" w:cs="Times New Roman"/>
          <w:bCs/>
          <w:sz w:val="24"/>
          <w:szCs w:val="24"/>
        </w:rPr>
        <w:t xml:space="preserve">art. 74d </w:t>
      </w:r>
      <w:r>
        <w:rPr>
          <w:rFonts w:ascii="Times New Roman" w:hAnsi="Times New Roman" w:cs="Times New Roman"/>
          <w:bCs/>
          <w:sz w:val="24"/>
          <w:szCs w:val="24"/>
        </w:rPr>
        <w:t>ust. 2)</w:t>
      </w:r>
      <w:r w:rsidRPr="006B2CD4">
        <w:rPr>
          <w:rFonts w:ascii="Times New Roman" w:hAnsi="Times New Roman" w:cs="Times New Roman"/>
          <w:bCs/>
          <w:sz w:val="24"/>
          <w:szCs w:val="24"/>
        </w:rPr>
        <w:t xml:space="preserve">. </w:t>
      </w:r>
    </w:p>
    <w:p w14:paraId="08B99009" w14:textId="77777777" w:rsidR="000014D0" w:rsidRPr="006B2CD4" w:rsidRDefault="000014D0" w:rsidP="000014D0">
      <w:pPr>
        <w:spacing w:after="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lastRenderedPageBreak/>
        <w:t xml:space="preserve">Uchylenie art. 76a, który przewiduje nieważność umowy o świadczenie niektórych usług maklerskich zawartej z klientem detalicznym bez zachowania formy określonej w art. 58 rozporządzenia 2017/565, jest związane z tym, że rozporządzenie to wymaga zawarcia umowy „na papierze lub na innym trwałym nośniku”, nie określa jednak skutków niezachowania takiej formy. </w:t>
      </w:r>
    </w:p>
    <w:p w14:paraId="51D76BA8" w14:textId="5F289BA4" w:rsidR="000014D0" w:rsidRPr="006B2CD4" w:rsidRDefault="000014D0" w:rsidP="000014D0">
      <w:pPr>
        <w:spacing w:after="12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 xml:space="preserve">Działalność maklerska podlega szczegółowej reglamentacji administracyjno-prawnej, uwzględniającej konieczność zachowania wysokiego standardu ochrony klienta, w szczególności klienta detalicznego. Sankcja nieważności umowy – skutkująca obowiązkiem zwrotu wzajemnych świadczeń – nie przyczynia się do poprawy sytuacji klienta detalicznego, zwiększa natomiast niepewność prawną co do obowiązków usługodawcy i uprawnień usługobiorcy. Proponowana zmiana jest zbieżna z </w:t>
      </w:r>
      <w:r>
        <w:rPr>
          <w:rFonts w:ascii="Times New Roman" w:hAnsi="Times New Roman" w:cs="Times New Roman"/>
          <w:bCs/>
          <w:iCs/>
          <w:sz w:val="24"/>
          <w:szCs w:val="24"/>
        </w:rPr>
        <w:t xml:space="preserve">art. 40 ust. 6 </w:t>
      </w:r>
      <w:r w:rsidRPr="006B2CD4">
        <w:rPr>
          <w:rFonts w:ascii="Times New Roman" w:hAnsi="Times New Roman" w:cs="Times New Roman"/>
          <w:bCs/>
          <w:iCs/>
          <w:sz w:val="24"/>
          <w:szCs w:val="24"/>
        </w:rPr>
        <w:t>ustawy z dnia 30 maja 2014 r. o prawach konsumenta</w:t>
      </w:r>
      <w:r w:rsidR="001A2027">
        <w:rPr>
          <w:rFonts w:ascii="Times New Roman" w:hAnsi="Times New Roman" w:cs="Times New Roman"/>
          <w:bCs/>
          <w:iCs/>
          <w:sz w:val="24"/>
          <w:szCs w:val="24"/>
        </w:rPr>
        <w:t xml:space="preserve"> (Dz. U. z 2020 r. poz. 287, </w:t>
      </w:r>
      <w:r w:rsidR="00E32C26">
        <w:rPr>
          <w:rFonts w:ascii="Times New Roman" w:hAnsi="Times New Roman" w:cs="Times New Roman"/>
          <w:bCs/>
          <w:iCs/>
          <w:sz w:val="24"/>
          <w:szCs w:val="24"/>
        </w:rPr>
        <w:t>z</w:t>
      </w:r>
      <w:r w:rsidR="00C17E3F">
        <w:rPr>
          <w:rFonts w:ascii="Times New Roman" w:hAnsi="Times New Roman" w:cs="Times New Roman"/>
          <w:bCs/>
          <w:iCs/>
          <w:sz w:val="24"/>
          <w:szCs w:val="24"/>
        </w:rPr>
        <w:t xml:space="preserve"> późn. zm.</w:t>
      </w:r>
      <w:r w:rsidR="001A2027">
        <w:rPr>
          <w:rFonts w:ascii="Times New Roman" w:hAnsi="Times New Roman" w:cs="Times New Roman"/>
          <w:bCs/>
          <w:iCs/>
          <w:sz w:val="24"/>
          <w:szCs w:val="24"/>
        </w:rPr>
        <w:t>)</w:t>
      </w:r>
      <w:r w:rsidRPr="006B2CD4">
        <w:rPr>
          <w:rFonts w:ascii="Times New Roman" w:hAnsi="Times New Roman" w:cs="Times New Roman"/>
          <w:bCs/>
          <w:iCs/>
          <w:sz w:val="24"/>
          <w:szCs w:val="24"/>
        </w:rPr>
        <w:t>, który, nawet w przypadku zawarcia umowy o świadczenie usług finansowych na odległość, wyłącza prawo odstąpienia w przypadku niektórych umów. Umowy tego rodzaju powodują zbyt daleko idące skutki majątkowe, których cofnięcie nie jest możliwe w drodze zwrotu wzajemnych świadczeń.</w:t>
      </w:r>
    </w:p>
    <w:p w14:paraId="5049E352" w14:textId="5EFA7A88" w:rsidR="000014D0" w:rsidRPr="006B2CD4" w:rsidRDefault="000014D0" w:rsidP="000014D0">
      <w:pPr>
        <w:shd w:val="clear" w:color="auto" w:fill="FFFFFF" w:themeFill="background1"/>
        <w:spacing w:after="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 xml:space="preserve">Uchylenie art. 79 ust. 2c wynika ze zmiany modelu wezwań, o których mowa w ustawie o ofercie publicznej. W obecnym stanie prawnym wezwania te są obsługiwane w ramach działalności maklerskiej (przyjmowania i przekazywania zleceń). Tym samym czynności pośrednictwa w zakresie przyjmowania zapisów w odpowiedzi na publiczne wezwanie mogą być </w:t>
      </w:r>
      <w:r w:rsidRPr="006B2CD4">
        <w:rPr>
          <w:rFonts w:ascii="Times New Roman" w:hAnsi="Times New Roman" w:cs="Times New Roman"/>
          <w:bCs/>
          <w:iCs/>
          <w:sz w:val="24"/>
          <w:szCs w:val="24"/>
        </w:rPr>
        <w:lastRenderedPageBreak/>
        <w:t>wykonywane przez agenta firmy inwestycyjnej na podstawie art. 79 ust. 1</w:t>
      </w:r>
      <w:r>
        <w:rPr>
          <w:rFonts w:ascii="Times New Roman" w:hAnsi="Times New Roman" w:cs="Times New Roman"/>
          <w:bCs/>
          <w:iCs/>
          <w:sz w:val="24"/>
          <w:szCs w:val="24"/>
        </w:rPr>
        <w:t>–</w:t>
      </w:r>
      <w:r w:rsidRPr="006B2CD4">
        <w:rPr>
          <w:rFonts w:ascii="Times New Roman" w:hAnsi="Times New Roman" w:cs="Times New Roman"/>
          <w:bCs/>
          <w:iCs/>
          <w:sz w:val="24"/>
          <w:szCs w:val="24"/>
        </w:rPr>
        <w:t xml:space="preserve">2c nie znajdzie zastosowania. </w:t>
      </w:r>
    </w:p>
    <w:p w14:paraId="3DA2B215" w14:textId="2F554FCB" w:rsidR="000014D0" w:rsidRPr="006B2CD4" w:rsidRDefault="000014D0" w:rsidP="000014D0">
      <w:pPr>
        <w:shd w:val="clear" w:color="auto" w:fill="FFFFFF" w:themeFill="background1"/>
        <w:spacing w:after="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 xml:space="preserve">Jednocześnie usuwa się odniesienia do ust. 2c </w:t>
      </w:r>
      <w:r w:rsidR="001D6AFE">
        <w:rPr>
          <w:rFonts w:ascii="Times New Roman" w:hAnsi="Times New Roman" w:cs="Times New Roman"/>
          <w:bCs/>
          <w:iCs/>
          <w:sz w:val="24"/>
          <w:szCs w:val="24"/>
        </w:rPr>
        <w:t xml:space="preserve">w </w:t>
      </w:r>
      <w:r w:rsidRPr="006B2CD4">
        <w:rPr>
          <w:rFonts w:ascii="Times New Roman" w:hAnsi="Times New Roman" w:cs="Times New Roman"/>
          <w:bCs/>
          <w:iCs/>
          <w:sz w:val="24"/>
          <w:szCs w:val="24"/>
        </w:rPr>
        <w:t>ust. 2a, 6a i</w:t>
      </w:r>
      <w:r w:rsidR="007C389F">
        <w:rPr>
          <w:rFonts w:ascii="Times New Roman" w:hAnsi="Times New Roman" w:cs="Times New Roman"/>
          <w:bCs/>
          <w:iCs/>
          <w:sz w:val="24"/>
          <w:szCs w:val="24"/>
        </w:rPr>
        <w:t xml:space="preserve"> </w:t>
      </w:r>
      <w:r w:rsidRPr="006B2CD4">
        <w:rPr>
          <w:rFonts w:ascii="Times New Roman" w:hAnsi="Times New Roman" w:cs="Times New Roman"/>
          <w:bCs/>
          <w:iCs/>
          <w:sz w:val="24"/>
          <w:szCs w:val="24"/>
        </w:rPr>
        <w:t xml:space="preserve">8a). </w:t>
      </w:r>
    </w:p>
    <w:p w14:paraId="25969BAF" w14:textId="77777777" w:rsidR="000014D0" w:rsidRPr="006B2CD4" w:rsidRDefault="000014D0" w:rsidP="000014D0">
      <w:pPr>
        <w:shd w:val="clear" w:color="auto" w:fill="FFFFFF" w:themeFill="background1"/>
        <w:spacing w:after="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 xml:space="preserve">Wprowadzenie ust. 4a ma na celu zrównanie statusu pracownika firmy inwestycyjnej i pracownika lub zleceniobiorcy agentów będących osobami prawnymi lub jednostkami organizacyjnymi nieposiadającymi osobowości prawnej. Obecnie jedynie wobec pracowników firm inwestycyjnych wymagane jest spełnienie określonych warunków co do wiedzy, doświadczenia i kompetencji Zmiana przyczyni się do lepszej jakości obsługi klientów lub potencjalnych klientów firmy inwestycyjnej. </w:t>
      </w:r>
    </w:p>
    <w:p w14:paraId="1DDF4A10" w14:textId="4C27B4D0" w:rsidR="000014D0" w:rsidRPr="006B2CD4" w:rsidRDefault="000014D0" w:rsidP="000014D0">
      <w:pPr>
        <w:shd w:val="clear" w:color="auto" w:fill="FFFFFF" w:themeFill="background1"/>
        <w:spacing w:after="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Uchylenie ust. 9 pkt 1 (także ust. 10) jest skutkiem wprowadzenia sankcj</w:t>
      </w:r>
      <w:r w:rsidR="00C83D50">
        <w:rPr>
          <w:rFonts w:ascii="Times New Roman" w:hAnsi="Times New Roman" w:cs="Times New Roman"/>
          <w:bCs/>
          <w:iCs/>
          <w:sz w:val="24"/>
          <w:szCs w:val="24"/>
        </w:rPr>
        <w:t>i w a</w:t>
      </w:r>
      <w:r w:rsidRPr="006B2CD4">
        <w:rPr>
          <w:rFonts w:ascii="Times New Roman" w:hAnsi="Times New Roman" w:cs="Times New Roman"/>
          <w:bCs/>
          <w:iCs/>
          <w:sz w:val="24"/>
          <w:szCs w:val="24"/>
        </w:rPr>
        <w:t>rt. 169a</w:t>
      </w:r>
      <w:r w:rsidR="00E32C26">
        <w:rPr>
          <w:rFonts w:ascii="Times New Roman" w:hAnsi="Times New Roman" w:cs="Times New Roman"/>
          <w:bCs/>
          <w:iCs/>
          <w:sz w:val="24"/>
          <w:szCs w:val="24"/>
        </w:rPr>
        <w:t xml:space="preserve"> </w:t>
      </w:r>
      <w:r w:rsidR="000B4934">
        <w:rPr>
          <w:rFonts w:ascii="Times New Roman" w:hAnsi="Times New Roman" w:cs="Times New Roman"/>
          <w:bCs/>
          <w:iCs/>
          <w:sz w:val="24"/>
          <w:szCs w:val="24"/>
        </w:rPr>
        <w:t>albowiem zachodziłoby tutaj powielenie tych przepisów.</w:t>
      </w:r>
      <w:r w:rsidR="00CA6002">
        <w:rPr>
          <w:rFonts w:ascii="Times New Roman" w:hAnsi="Times New Roman" w:cs="Times New Roman"/>
          <w:bCs/>
          <w:iCs/>
          <w:sz w:val="24"/>
          <w:szCs w:val="24"/>
        </w:rPr>
        <w:t xml:space="preserve"> Dodatkowo należy zastrzec, że uchylenie ust. 10 ma na celu również rozwianie wątpliwości co do tego, że to dotyczy także przypadków skreślenia z listy w okresie obowiązywania zakazu.</w:t>
      </w:r>
    </w:p>
    <w:p w14:paraId="1A291837" w14:textId="7FAA4986" w:rsidR="000014D0" w:rsidRPr="006B2CD4" w:rsidRDefault="000014D0" w:rsidP="000014D0">
      <w:pPr>
        <w:shd w:val="clear" w:color="auto" w:fill="FFFFFF" w:themeFill="background1"/>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Dodanie ust. 9b jest związane z występowaniem w praktyce rynkowej przypadków</w:t>
      </w:r>
      <w:r w:rsidR="001D6AFE">
        <w:rPr>
          <w:rFonts w:ascii="Times New Roman" w:hAnsi="Times New Roman" w:cs="Times New Roman"/>
          <w:bCs/>
          <w:sz w:val="24"/>
          <w:szCs w:val="24"/>
        </w:rPr>
        <w:t xml:space="preserve">, w których </w:t>
      </w:r>
      <w:r w:rsidRPr="006B2CD4">
        <w:rPr>
          <w:rFonts w:ascii="Times New Roman" w:hAnsi="Times New Roman" w:cs="Times New Roman"/>
          <w:bCs/>
          <w:sz w:val="24"/>
          <w:szCs w:val="24"/>
        </w:rPr>
        <w:t xml:space="preserve">agent firmy inwestycyjnej planuje zakończyć współpracę z jedną firmą inwestycyjną i zostać agentem innej firmy inwestycyjnej. Obecnie </w:t>
      </w:r>
      <w:r>
        <w:rPr>
          <w:rFonts w:ascii="Times New Roman" w:hAnsi="Times New Roman" w:cs="Times New Roman"/>
          <w:bCs/>
          <w:sz w:val="24"/>
          <w:szCs w:val="24"/>
        </w:rPr>
        <w:t xml:space="preserve">utrudnione jest </w:t>
      </w:r>
      <w:r w:rsidRPr="006B2CD4">
        <w:rPr>
          <w:rFonts w:ascii="Times New Roman" w:hAnsi="Times New Roman" w:cs="Times New Roman"/>
          <w:bCs/>
          <w:sz w:val="24"/>
          <w:szCs w:val="24"/>
        </w:rPr>
        <w:t xml:space="preserve">szybkie przeprowadzenie takiego działania. Proponowana zmiana umożliwi jego usprawnienie. </w:t>
      </w:r>
    </w:p>
    <w:p w14:paraId="3592A5A3" w14:textId="77777777" w:rsidR="000014D0" w:rsidRPr="006B2CD4" w:rsidRDefault="000014D0" w:rsidP="000014D0">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Dodanie ust. 11 umożliwi KNF pozyskanie informacji i dokumentów bezpośrednio od agenta firmy inwestycyjnej. Przepisy obecnie obowiązujące umożliwiają pozyskanie tych danych wyłącznie za pośrednictwem firmy inwestycyjnej, na rzecz której działa dany agent, co wydłuża </w:t>
      </w:r>
      <w:r w:rsidRPr="006B2CD4">
        <w:rPr>
          <w:rFonts w:ascii="Times New Roman" w:hAnsi="Times New Roman" w:cs="Times New Roman"/>
          <w:bCs/>
          <w:sz w:val="24"/>
          <w:szCs w:val="24"/>
        </w:rPr>
        <w:lastRenderedPageBreak/>
        <w:t>czas pozyskania informacji oraz może ograniczać zakres informacji pozyskanych przez firmę inwestycyjną od agenta ze względu np. na tajemnicę przedsiębiorstwa.</w:t>
      </w:r>
    </w:p>
    <w:p w14:paraId="55E925C5" w14:textId="77777777" w:rsidR="000014D0" w:rsidRDefault="000014D0" w:rsidP="000014D0">
      <w:pPr>
        <w:shd w:val="clear" w:color="auto" w:fill="FFFFFF" w:themeFill="background1"/>
        <w:spacing w:after="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 xml:space="preserve">Zmiany w art. 81 są związane z ograniczeniem stosowania wymogu doświadczenia do osób odpowiedzialnych za nadzór nad wykonywaniem czynności agencyjnych. </w:t>
      </w:r>
    </w:p>
    <w:p w14:paraId="6C5AE250" w14:textId="3AACD401" w:rsidR="000014D0" w:rsidRPr="006B2CD4" w:rsidRDefault="000014D0" w:rsidP="000014D0">
      <w:pPr>
        <w:shd w:val="clear" w:color="auto" w:fill="FFFFFF" w:themeFill="background1"/>
        <w:spacing w:after="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 xml:space="preserve">Zmiana ust. 1 </w:t>
      </w:r>
      <w:r w:rsidR="001D6AFE">
        <w:rPr>
          <w:rFonts w:ascii="Times New Roman" w:hAnsi="Times New Roman" w:cs="Times New Roman"/>
          <w:bCs/>
          <w:iCs/>
          <w:sz w:val="24"/>
          <w:szCs w:val="24"/>
        </w:rPr>
        <w:t xml:space="preserve">pkt 1 </w:t>
      </w:r>
      <w:r w:rsidRPr="006B2CD4">
        <w:rPr>
          <w:rFonts w:ascii="Times New Roman" w:hAnsi="Times New Roman" w:cs="Times New Roman"/>
          <w:bCs/>
          <w:iCs/>
          <w:sz w:val="24"/>
          <w:szCs w:val="24"/>
        </w:rPr>
        <w:t xml:space="preserve">lit. c wyeliminuje wątpliwości dotyczące przedstawiania przebiegu pracy zawodowej i prowadzonej działalności gospodarczej – oba te elementy służą wykazaniu pełnego doświadczenia wnioskodawcy. Przyczyni się to do zmniejszenia liczby wniosków, które alternatywnie prezentują tylko jeden obszar doświadczenia, co zwiększy efektywność postępowań o wpis do rejestru agentów firm inwestycyjnych. </w:t>
      </w:r>
    </w:p>
    <w:p w14:paraId="75A8F88B" w14:textId="33B088CE" w:rsidR="000014D0" w:rsidRPr="006B2CD4" w:rsidRDefault="000014D0" w:rsidP="000014D0">
      <w:pPr>
        <w:shd w:val="clear" w:color="auto" w:fill="FFFFFF" w:themeFill="background1"/>
        <w:spacing w:after="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 xml:space="preserve">W zakresie ust. 1 pkt 2 lit. h i ust. 5 </w:t>
      </w:r>
      <w:r w:rsidR="001D6AFE">
        <w:rPr>
          <w:rFonts w:ascii="Times New Roman" w:hAnsi="Times New Roman" w:cs="Times New Roman"/>
          <w:bCs/>
          <w:iCs/>
          <w:sz w:val="24"/>
          <w:szCs w:val="24"/>
        </w:rPr>
        <w:t xml:space="preserve">tiret drugie </w:t>
      </w:r>
      <w:r w:rsidRPr="006B2CD4">
        <w:rPr>
          <w:rFonts w:ascii="Times New Roman" w:hAnsi="Times New Roman" w:cs="Times New Roman"/>
          <w:bCs/>
          <w:iCs/>
          <w:sz w:val="24"/>
          <w:szCs w:val="24"/>
        </w:rPr>
        <w:t xml:space="preserve">proponuje się doprecyzowanie, że w przypadku gdy osoba prawna nie posiada doświadczenia w zakresie obrotu instrumentami finansowymi, niezbędne jest wykazanie takiego doświadczenia po stronie osób kierujących jej działalnością, ale tylko tych, które będą odpowiedzialne za nadzór nad wykonywaniem czynności agencyjnych. Obecnie należy wykazać posiadanie odpowiedniego doświadczenia przez wszystkie osoby kierujące agentem, co jest nadmiernym obciążeniem, w szczególności w przypadku podmiotów, które wykonują także inną działalność, np. pośrednictwo ubezpieczeniowe. </w:t>
      </w:r>
    </w:p>
    <w:p w14:paraId="6E53D279" w14:textId="134E08B3" w:rsidR="000014D0" w:rsidRPr="006B2CD4" w:rsidRDefault="000014D0" w:rsidP="000014D0">
      <w:pPr>
        <w:shd w:val="clear" w:color="auto" w:fill="FFFFFF" w:themeFill="background1"/>
        <w:spacing w:after="12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Pozostałe zmiany wynikają z propozycji usunięcia art. 79 ust. 2c (</w:t>
      </w:r>
      <w:r w:rsidR="001D6AFE">
        <w:rPr>
          <w:rFonts w:ascii="Times New Roman" w:hAnsi="Times New Roman" w:cs="Times New Roman"/>
          <w:bCs/>
          <w:iCs/>
          <w:sz w:val="24"/>
          <w:szCs w:val="24"/>
        </w:rPr>
        <w:t xml:space="preserve">art. 81 </w:t>
      </w:r>
      <w:r w:rsidRPr="006B2CD4">
        <w:rPr>
          <w:rFonts w:ascii="Times New Roman" w:hAnsi="Times New Roman" w:cs="Times New Roman"/>
          <w:bCs/>
          <w:iCs/>
          <w:sz w:val="24"/>
          <w:szCs w:val="24"/>
        </w:rPr>
        <w:t>ust. 1 zdanie</w:t>
      </w:r>
      <w:r w:rsidR="0046776C">
        <w:rPr>
          <w:rFonts w:ascii="Times New Roman" w:hAnsi="Times New Roman" w:cs="Times New Roman"/>
          <w:bCs/>
          <w:iCs/>
          <w:sz w:val="24"/>
          <w:szCs w:val="24"/>
        </w:rPr>
        <w:t xml:space="preserve"> pierwsze</w:t>
      </w:r>
      <w:r w:rsidRPr="006B2CD4">
        <w:rPr>
          <w:rFonts w:ascii="Times New Roman" w:hAnsi="Times New Roman" w:cs="Times New Roman"/>
          <w:bCs/>
          <w:iCs/>
          <w:sz w:val="24"/>
          <w:szCs w:val="24"/>
        </w:rPr>
        <w:t xml:space="preserve">, </w:t>
      </w:r>
      <w:r>
        <w:rPr>
          <w:rFonts w:ascii="Times New Roman" w:hAnsi="Times New Roman" w:cs="Times New Roman"/>
          <w:bCs/>
          <w:iCs/>
          <w:sz w:val="24"/>
          <w:szCs w:val="24"/>
        </w:rPr>
        <w:t xml:space="preserve">ust. </w:t>
      </w:r>
      <w:r w:rsidRPr="006B2CD4">
        <w:rPr>
          <w:rFonts w:ascii="Times New Roman" w:hAnsi="Times New Roman" w:cs="Times New Roman"/>
          <w:bCs/>
          <w:iCs/>
          <w:sz w:val="24"/>
          <w:szCs w:val="24"/>
        </w:rPr>
        <w:t xml:space="preserve">3 pkt 2, </w:t>
      </w:r>
      <w:r>
        <w:rPr>
          <w:rFonts w:ascii="Times New Roman" w:hAnsi="Times New Roman" w:cs="Times New Roman"/>
          <w:bCs/>
          <w:iCs/>
          <w:sz w:val="24"/>
          <w:szCs w:val="24"/>
        </w:rPr>
        <w:t xml:space="preserve">ust. </w:t>
      </w:r>
      <w:r w:rsidRPr="006B2CD4">
        <w:rPr>
          <w:rFonts w:ascii="Times New Roman" w:hAnsi="Times New Roman" w:cs="Times New Roman"/>
          <w:bCs/>
          <w:iCs/>
          <w:sz w:val="24"/>
          <w:szCs w:val="24"/>
        </w:rPr>
        <w:t xml:space="preserve">5 </w:t>
      </w:r>
      <w:r w:rsidR="001D6AFE">
        <w:rPr>
          <w:rFonts w:ascii="Times New Roman" w:hAnsi="Times New Roman" w:cs="Times New Roman"/>
          <w:bCs/>
          <w:iCs/>
          <w:sz w:val="24"/>
          <w:szCs w:val="24"/>
        </w:rPr>
        <w:t xml:space="preserve">tiret pierwsze </w:t>
      </w:r>
      <w:r w:rsidRPr="006B2CD4">
        <w:rPr>
          <w:rFonts w:ascii="Times New Roman" w:hAnsi="Times New Roman" w:cs="Times New Roman"/>
          <w:bCs/>
          <w:iCs/>
          <w:sz w:val="24"/>
          <w:szCs w:val="24"/>
        </w:rPr>
        <w:t xml:space="preserve">i </w:t>
      </w:r>
      <w:r>
        <w:rPr>
          <w:rFonts w:ascii="Times New Roman" w:hAnsi="Times New Roman" w:cs="Times New Roman"/>
          <w:bCs/>
          <w:iCs/>
          <w:sz w:val="24"/>
          <w:szCs w:val="24"/>
        </w:rPr>
        <w:t xml:space="preserve">ust. </w:t>
      </w:r>
      <w:r w:rsidRPr="006B2CD4">
        <w:rPr>
          <w:rFonts w:ascii="Times New Roman" w:hAnsi="Times New Roman" w:cs="Times New Roman"/>
          <w:bCs/>
          <w:iCs/>
          <w:sz w:val="24"/>
          <w:szCs w:val="24"/>
        </w:rPr>
        <w:t>6 pkt 2).</w:t>
      </w:r>
    </w:p>
    <w:p w14:paraId="20BE4E0A" w14:textId="77777777" w:rsidR="000014D0" w:rsidRPr="006B2CD4" w:rsidRDefault="000014D0" w:rsidP="000014D0">
      <w:pPr>
        <w:shd w:val="clear" w:color="auto" w:fill="FFFFFF" w:themeFill="background1"/>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Zmiana w art. 81c jest związana z tym, przepis ustanawiający konieczność sporządzenia planu postępowania z ryzykiem w związku z zawieraniem umowy outsourcingu jest nadmiarowy w </w:t>
      </w:r>
      <w:r w:rsidRPr="006B2CD4">
        <w:rPr>
          <w:rFonts w:ascii="Times New Roman" w:hAnsi="Times New Roman" w:cs="Times New Roman"/>
          <w:bCs/>
          <w:sz w:val="24"/>
          <w:szCs w:val="24"/>
        </w:rPr>
        <w:lastRenderedPageBreak/>
        <w:t xml:space="preserve">odniesieniu do wymogów określonych w art. 31 ust. 2 rozporządzenia delegowanego Komisji (UE) 2017/565 z dnia 25 kwietnia 2016 r. uzupełniającego dyrektywę Parlamentu Europejskiego i Rady 2014/65/UE w odniesieniu do wymogów organizacyjnych i warunków prowadzenia działalności przez firmy inwestycyjne oraz pojęć zdefiniowanych na potrzeby tej dyrektywy (Dz. Urz. UE L 87 z 31.03.2017, str. 1, z późn. zm.). Obowiązek sporządzenia takiego planu nie wynika również z przepisów dyrektywy MiFID II. W związku z tym przewidziano uchylenie przepisu ust. 5. </w:t>
      </w:r>
    </w:p>
    <w:p w14:paraId="7AB5BF1C" w14:textId="0ADEBEE2" w:rsidR="001D6AFE" w:rsidRDefault="000014D0" w:rsidP="005B2C96">
      <w:pPr>
        <w:shd w:val="clear" w:color="auto" w:fill="FFFFFF" w:themeFill="background1"/>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Zmiana w ust. 6 w zakresie wprowadzenia do wyliczenia</w:t>
      </w:r>
      <w:r w:rsidR="005B2C96">
        <w:rPr>
          <w:rFonts w:ascii="Times New Roman" w:hAnsi="Times New Roman" w:cs="Times New Roman"/>
          <w:bCs/>
          <w:sz w:val="24"/>
          <w:szCs w:val="24"/>
        </w:rPr>
        <w:t xml:space="preserve"> (tiret pierwsze)</w:t>
      </w:r>
      <w:r w:rsidR="007C389F">
        <w:rPr>
          <w:rFonts w:ascii="Times New Roman" w:hAnsi="Times New Roman" w:cs="Times New Roman"/>
          <w:bCs/>
          <w:sz w:val="24"/>
          <w:szCs w:val="24"/>
        </w:rPr>
        <w:t xml:space="preserve"> </w:t>
      </w:r>
      <w:r w:rsidRPr="006B2CD4">
        <w:rPr>
          <w:rFonts w:ascii="Times New Roman" w:hAnsi="Times New Roman" w:cs="Times New Roman"/>
          <w:bCs/>
          <w:sz w:val="24"/>
          <w:szCs w:val="24"/>
        </w:rPr>
        <w:t>jest zmianą wynikową</w:t>
      </w:r>
      <w:r>
        <w:rPr>
          <w:rFonts w:ascii="Times New Roman" w:hAnsi="Times New Roman" w:cs="Times New Roman"/>
          <w:bCs/>
          <w:sz w:val="24"/>
          <w:szCs w:val="24"/>
        </w:rPr>
        <w:t xml:space="preserve">. </w:t>
      </w:r>
      <w:r w:rsidRPr="006B2CD4">
        <w:rPr>
          <w:rFonts w:ascii="Times New Roman" w:hAnsi="Times New Roman" w:cs="Times New Roman"/>
          <w:bCs/>
          <w:sz w:val="24"/>
          <w:szCs w:val="24"/>
        </w:rPr>
        <w:t>Przepis pkt 1 przewiduje, że umowa outsourcingu istotnego powinna zawierać postanowienia przewidujące pełną odpowiedzialność usługodawcy (insourcera) za koszty związane z wypłatą odszkodowania z tytułu roszczeń klientów lub osób trzecich o naprawienie szkody wyrządzonej wskutek niewykonania lub nienależytego wykonania umowy outsourcingowej przez takiego usługodawcę w zakresie, w jakim nie poniósłby odpowiedzialności. Wymóg ten nie jest przew</w:t>
      </w:r>
      <w:r w:rsidR="001A2027">
        <w:rPr>
          <w:rFonts w:ascii="Times New Roman" w:hAnsi="Times New Roman" w:cs="Times New Roman"/>
          <w:bCs/>
          <w:sz w:val="24"/>
          <w:szCs w:val="24"/>
        </w:rPr>
        <w:t>idziany regulacjami dyrektywy MI</w:t>
      </w:r>
      <w:r w:rsidRPr="006B2CD4">
        <w:rPr>
          <w:rFonts w:ascii="Times New Roman" w:hAnsi="Times New Roman" w:cs="Times New Roman"/>
          <w:bCs/>
          <w:sz w:val="24"/>
          <w:szCs w:val="24"/>
        </w:rPr>
        <w:t>FID II oraz odbiega od praktyki świadczenia usług informatycznych. Firmy informatyczne (IT) często nie zgadzają się na tego typu postanowienia ponieważ są zmuszone do brania odpowiedzialności za skalę działalności firmy inwestycyjnej</w:t>
      </w:r>
      <w:r w:rsidR="007C389F">
        <w:rPr>
          <w:rFonts w:ascii="Times New Roman" w:hAnsi="Times New Roman" w:cs="Times New Roman"/>
          <w:bCs/>
          <w:sz w:val="24"/>
          <w:szCs w:val="24"/>
        </w:rPr>
        <w:t>,</w:t>
      </w:r>
      <w:r w:rsidRPr="006B2CD4">
        <w:rPr>
          <w:rFonts w:ascii="Times New Roman" w:hAnsi="Times New Roman" w:cs="Times New Roman"/>
          <w:bCs/>
          <w:sz w:val="24"/>
          <w:szCs w:val="24"/>
        </w:rPr>
        <w:t xml:space="preserve"> </w:t>
      </w:r>
      <w:r>
        <w:rPr>
          <w:rFonts w:ascii="Times New Roman" w:hAnsi="Times New Roman" w:cs="Times New Roman"/>
          <w:bCs/>
          <w:sz w:val="24"/>
          <w:szCs w:val="24"/>
        </w:rPr>
        <w:t xml:space="preserve">nawet </w:t>
      </w:r>
      <w:r w:rsidRPr="006B2CD4">
        <w:rPr>
          <w:rFonts w:ascii="Times New Roman" w:hAnsi="Times New Roman" w:cs="Times New Roman"/>
          <w:bCs/>
          <w:sz w:val="24"/>
          <w:szCs w:val="24"/>
        </w:rPr>
        <w:t>w przypadku</w:t>
      </w:r>
      <w:r>
        <w:rPr>
          <w:rFonts w:ascii="Times New Roman" w:hAnsi="Times New Roman" w:cs="Times New Roman"/>
          <w:bCs/>
          <w:sz w:val="24"/>
          <w:szCs w:val="24"/>
        </w:rPr>
        <w:t xml:space="preserve"> gdy </w:t>
      </w:r>
      <w:r w:rsidRPr="006B2CD4">
        <w:rPr>
          <w:rFonts w:ascii="Times New Roman" w:hAnsi="Times New Roman" w:cs="Times New Roman"/>
          <w:bCs/>
          <w:sz w:val="24"/>
          <w:szCs w:val="24"/>
        </w:rPr>
        <w:t xml:space="preserve">oferują jedynie usługę informatyczną </w:t>
      </w:r>
      <w:r>
        <w:rPr>
          <w:rFonts w:ascii="Times New Roman" w:hAnsi="Times New Roman" w:cs="Times New Roman"/>
          <w:bCs/>
          <w:sz w:val="24"/>
          <w:szCs w:val="24"/>
        </w:rPr>
        <w:t xml:space="preserve">w </w:t>
      </w:r>
      <w:r w:rsidRPr="006B2CD4">
        <w:rPr>
          <w:rFonts w:ascii="Times New Roman" w:hAnsi="Times New Roman" w:cs="Times New Roman"/>
          <w:bCs/>
          <w:sz w:val="24"/>
          <w:szCs w:val="24"/>
        </w:rPr>
        <w:t>wąskim</w:t>
      </w:r>
      <w:r>
        <w:rPr>
          <w:rFonts w:ascii="Times New Roman" w:hAnsi="Times New Roman" w:cs="Times New Roman"/>
          <w:bCs/>
          <w:sz w:val="24"/>
          <w:szCs w:val="24"/>
        </w:rPr>
        <w:t>,</w:t>
      </w:r>
      <w:r w:rsidRPr="006B2CD4">
        <w:rPr>
          <w:rFonts w:ascii="Times New Roman" w:hAnsi="Times New Roman" w:cs="Times New Roman"/>
          <w:bCs/>
          <w:sz w:val="24"/>
          <w:szCs w:val="24"/>
        </w:rPr>
        <w:t xml:space="preserve"> specjalistycznym zakresie</w:t>
      </w:r>
      <w:r>
        <w:rPr>
          <w:rFonts w:ascii="Times New Roman" w:hAnsi="Times New Roman" w:cs="Times New Roman"/>
          <w:bCs/>
          <w:sz w:val="24"/>
          <w:szCs w:val="24"/>
        </w:rPr>
        <w:t>. U</w:t>
      </w:r>
      <w:r w:rsidRPr="006B2CD4">
        <w:rPr>
          <w:rFonts w:ascii="Times New Roman" w:hAnsi="Times New Roman" w:cs="Times New Roman"/>
          <w:bCs/>
          <w:sz w:val="24"/>
          <w:szCs w:val="24"/>
        </w:rPr>
        <w:t xml:space="preserve">sługa </w:t>
      </w:r>
      <w:r>
        <w:rPr>
          <w:rFonts w:ascii="Times New Roman" w:hAnsi="Times New Roman" w:cs="Times New Roman"/>
          <w:bCs/>
          <w:sz w:val="24"/>
          <w:szCs w:val="24"/>
        </w:rPr>
        <w:t xml:space="preserve">informatyczna </w:t>
      </w:r>
      <w:r w:rsidRPr="006B2CD4">
        <w:rPr>
          <w:rFonts w:ascii="Times New Roman" w:hAnsi="Times New Roman" w:cs="Times New Roman"/>
          <w:bCs/>
          <w:sz w:val="24"/>
          <w:szCs w:val="24"/>
        </w:rPr>
        <w:t xml:space="preserve">stanowi </w:t>
      </w:r>
      <w:r>
        <w:rPr>
          <w:rFonts w:ascii="Times New Roman" w:hAnsi="Times New Roman" w:cs="Times New Roman"/>
          <w:bCs/>
          <w:sz w:val="24"/>
          <w:szCs w:val="24"/>
        </w:rPr>
        <w:t xml:space="preserve">jednak </w:t>
      </w:r>
      <w:r w:rsidRPr="006B2CD4">
        <w:rPr>
          <w:rFonts w:ascii="Times New Roman" w:hAnsi="Times New Roman" w:cs="Times New Roman"/>
          <w:bCs/>
          <w:sz w:val="24"/>
          <w:szCs w:val="24"/>
        </w:rPr>
        <w:t>jedynie jeden z wielu elementów składowych usług</w:t>
      </w:r>
      <w:r>
        <w:rPr>
          <w:rFonts w:ascii="Times New Roman" w:hAnsi="Times New Roman" w:cs="Times New Roman"/>
          <w:bCs/>
          <w:sz w:val="24"/>
          <w:szCs w:val="24"/>
        </w:rPr>
        <w:t>i</w:t>
      </w:r>
      <w:r w:rsidRPr="006B2CD4">
        <w:rPr>
          <w:rFonts w:ascii="Times New Roman" w:hAnsi="Times New Roman" w:cs="Times New Roman"/>
          <w:bCs/>
          <w:sz w:val="24"/>
          <w:szCs w:val="24"/>
        </w:rPr>
        <w:t xml:space="preserve"> maklersk</w:t>
      </w:r>
      <w:r>
        <w:rPr>
          <w:rFonts w:ascii="Times New Roman" w:hAnsi="Times New Roman" w:cs="Times New Roman"/>
          <w:bCs/>
          <w:sz w:val="24"/>
          <w:szCs w:val="24"/>
        </w:rPr>
        <w:t xml:space="preserve">iej </w:t>
      </w:r>
      <w:r w:rsidRPr="006B2CD4">
        <w:rPr>
          <w:rFonts w:ascii="Times New Roman" w:hAnsi="Times New Roman" w:cs="Times New Roman"/>
          <w:bCs/>
          <w:sz w:val="24"/>
          <w:szCs w:val="24"/>
        </w:rPr>
        <w:t>lub wspiera</w:t>
      </w:r>
      <w:r w:rsidR="007C389F">
        <w:rPr>
          <w:rFonts w:ascii="Times New Roman" w:hAnsi="Times New Roman" w:cs="Times New Roman"/>
          <w:bCs/>
          <w:sz w:val="24"/>
          <w:szCs w:val="24"/>
        </w:rPr>
        <w:t xml:space="preserve"> </w:t>
      </w:r>
      <w:r>
        <w:rPr>
          <w:rFonts w:ascii="Times New Roman" w:hAnsi="Times New Roman" w:cs="Times New Roman"/>
          <w:bCs/>
          <w:sz w:val="24"/>
          <w:szCs w:val="24"/>
        </w:rPr>
        <w:t xml:space="preserve">tylko </w:t>
      </w:r>
      <w:r w:rsidRPr="006B2CD4">
        <w:rPr>
          <w:rFonts w:ascii="Times New Roman" w:hAnsi="Times New Roman" w:cs="Times New Roman"/>
          <w:bCs/>
          <w:sz w:val="24"/>
          <w:szCs w:val="24"/>
        </w:rPr>
        <w:t>kompleksową usługę maklerską, oferowaną następnie klientom przez firmę inwestycyjną</w:t>
      </w:r>
      <w:r>
        <w:rPr>
          <w:rFonts w:ascii="Times New Roman" w:hAnsi="Times New Roman" w:cs="Times New Roman"/>
          <w:bCs/>
          <w:sz w:val="24"/>
          <w:szCs w:val="24"/>
        </w:rPr>
        <w:t>. W</w:t>
      </w:r>
      <w:r w:rsidRPr="006B2CD4">
        <w:rPr>
          <w:rFonts w:ascii="Times New Roman" w:hAnsi="Times New Roman" w:cs="Times New Roman"/>
          <w:bCs/>
          <w:sz w:val="24"/>
          <w:szCs w:val="24"/>
        </w:rPr>
        <w:t xml:space="preserve">ynagrodzenie insourcera za dostarczenie </w:t>
      </w:r>
      <w:r w:rsidRPr="006B2CD4">
        <w:rPr>
          <w:rFonts w:ascii="Times New Roman" w:hAnsi="Times New Roman" w:cs="Times New Roman"/>
          <w:bCs/>
          <w:sz w:val="24"/>
          <w:szCs w:val="24"/>
        </w:rPr>
        <w:lastRenderedPageBreak/>
        <w:t xml:space="preserve">usługi, oparte najczęściej o zwykłe formuły wynagradzania firm informatycznych, stanowi </w:t>
      </w:r>
      <w:r>
        <w:rPr>
          <w:rFonts w:ascii="Times New Roman" w:hAnsi="Times New Roman" w:cs="Times New Roman"/>
          <w:bCs/>
          <w:sz w:val="24"/>
          <w:szCs w:val="24"/>
        </w:rPr>
        <w:t xml:space="preserve">natomiast </w:t>
      </w:r>
      <w:r w:rsidRPr="006B2CD4">
        <w:rPr>
          <w:rFonts w:ascii="Times New Roman" w:hAnsi="Times New Roman" w:cs="Times New Roman"/>
          <w:bCs/>
          <w:sz w:val="24"/>
          <w:szCs w:val="24"/>
        </w:rPr>
        <w:t>jedynie znikomą część obrotów czy przychodów generowanych przez firmy inwestycyjne oferujące kompleksowe usługi maklerskie</w:t>
      </w:r>
      <w:r>
        <w:rPr>
          <w:rFonts w:ascii="Times New Roman" w:hAnsi="Times New Roman" w:cs="Times New Roman"/>
          <w:bCs/>
          <w:sz w:val="24"/>
          <w:szCs w:val="24"/>
        </w:rPr>
        <w:t xml:space="preserve"> –</w:t>
      </w:r>
      <w:r w:rsidR="007C389F">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skala </w:t>
      </w:r>
      <w:r>
        <w:rPr>
          <w:rFonts w:ascii="Times New Roman" w:hAnsi="Times New Roman" w:cs="Times New Roman"/>
          <w:bCs/>
          <w:sz w:val="24"/>
          <w:szCs w:val="24"/>
        </w:rPr>
        <w:t xml:space="preserve">tych usług </w:t>
      </w:r>
      <w:r w:rsidRPr="006B2CD4">
        <w:rPr>
          <w:rFonts w:ascii="Times New Roman" w:hAnsi="Times New Roman" w:cs="Times New Roman"/>
          <w:bCs/>
          <w:sz w:val="24"/>
          <w:szCs w:val="24"/>
        </w:rPr>
        <w:t xml:space="preserve">jest jednocześnie potencjalną miarą ryzyka i szkody. </w:t>
      </w:r>
    </w:p>
    <w:p w14:paraId="3FC4A6A1" w14:textId="1114B5EC" w:rsidR="000014D0" w:rsidRDefault="000014D0" w:rsidP="005B2C96">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W związku z tym proponuje się uchylenie pkt 1 </w:t>
      </w:r>
      <w:r w:rsidR="005B2C96">
        <w:rPr>
          <w:rFonts w:ascii="Times New Roman" w:hAnsi="Times New Roman" w:cs="Times New Roman"/>
          <w:bCs/>
          <w:sz w:val="24"/>
          <w:szCs w:val="24"/>
        </w:rPr>
        <w:t xml:space="preserve">(tiret drugie) </w:t>
      </w:r>
      <w:r w:rsidRPr="006B2CD4">
        <w:rPr>
          <w:rFonts w:ascii="Times New Roman" w:hAnsi="Times New Roman" w:cs="Times New Roman"/>
          <w:bCs/>
          <w:sz w:val="24"/>
          <w:szCs w:val="24"/>
        </w:rPr>
        <w:t xml:space="preserve">jako rozwiązania nadmiarowego i niedostosowanego do specyfiki znacznej części umów outsourcingowych. </w:t>
      </w:r>
    </w:p>
    <w:p w14:paraId="763955E3" w14:textId="2A5063A2" w:rsidR="000014D0" w:rsidRDefault="000014D0" w:rsidP="005B2C96">
      <w:pPr>
        <w:shd w:val="clear" w:color="auto" w:fill="FFFFFF" w:themeFill="background1"/>
        <w:spacing w:after="0" w:line="360" w:lineRule="auto"/>
        <w:jc w:val="both"/>
        <w:rPr>
          <w:rFonts w:ascii="Times New Roman" w:hAnsi="Times New Roman" w:cs="Times New Roman"/>
          <w:bCs/>
          <w:iCs/>
          <w:sz w:val="24"/>
          <w:szCs w:val="24"/>
        </w:rPr>
      </w:pPr>
      <w:r w:rsidRPr="006B2CD4">
        <w:rPr>
          <w:rFonts w:ascii="Times New Roman" w:eastAsia="Palatino Linotype" w:hAnsi="Times New Roman" w:cs="Times New Roman"/>
          <w:bCs/>
          <w:iCs/>
          <w:sz w:val="24"/>
          <w:szCs w:val="19"/>
        </w:rPr>
        <w:t xml:space="preserve">Przepis art. 81f ust. 3 w dotychczasowym brzmieniu </w:t>
      </w:r>
      <w:r w:rsidRPr="006B2CD4">
        <w:rPr>
          <w:rFonts w:ascii="Times New Roman" w:hAnsi="Times New Roman" w:cs="Times New Roman"/>
          <w:bCs/>
          <w:iCs/>
          <w:sz w:val="24"/>
          <w:szCs w:val="24"/>
        </w:rPr>
        <w:t>stanowi, że dalsze powierzenie czynności powierzonych w ramach dalszego powierzenia nie jest dopuszczalne. W przypadku powierzenia sklasyfikowanego łącznie jako outsourcing bankowy (dopuszczający dalsze powierzenie) i outsourcing inwestycyjny rozbieżność w przepisach istotnie ogranicz</w:t>
      </w:r>
      <w:r w:rsidR="005B2C96">
        <w:rPr>
          <w:rFonts w:ascii="Times New Roman" w:hAnsi="Times New Roman" w:cs="Times New Roman"/>
          <w:bCs/>
          <w:iCs/>
          <w:sz w:val="24"/>
          <w:szCs w:val="24"/>
        </w:rPr>
        <w:t>a</w:t>
      </w:r>
      <w:r w:rsidRPr="006B2CD4">
        <w:rPr>
          <w:rFonts w:ascii="Times New Roman" w:hAnsi="Times New Roman" w:cs="Times New Roman"/>
          <w:bCs/>
          <w:iCs/>
          <w:sz w:val="24"/>
          <w:szCs w:val="24"/>
        </w:rPr>
        <w:t xml:space="preserve"> możliwość zarządzania relacjami z dostawcami i tym samym efektywnego wdrażania nowych rozwiązań, w tym technologicznych. </w:t>
      </w:r>
    </w:p>
    <w:p w14:paraId="532CB1A9" w14:textId="7FD94107" w:rsidR="005B2C96" w:rsidRDefault="005B2C96" w:rsidP="005B2C96">
      <w:pPr>
        <w:shd w:val="clear" w:color="auto" w:fill="FFFFFF" w:themeFill="background1"/>
        <w:spacing w:after="0" w:line="360" w:lineRule="auto"/>
        <w:jc w:val="both"/>
        <w:rPr>
          <w:rFonts w:ascii="Times New Roman" w:hAnsi="Times New Roman" w:cs="Times New Roman"/>
          <w:bCs/>
          <w:sz w:val="24"/>
          <w:szCs w:val="24"/>
        </w:rPr>
      </w:pPr>
      <w:r>
        <w:rPr>
          <w:rFonts w:ascii="Times New Roman" w:hAnsi="Times New Roman" w:cs="Times New Roman"/>
          <w:bCs/>
          <w:iCs/>
          <w:sz w:val="24"/>
          <w:szCs w:val="24"/>
        </w:rPr>
        <w:t>W związku z tym proponowana zmiana ust. 1 zdanie pierwsze, e u</w:t>
      </w:r>
      <w:r w:rsidR="000014D0" w:rsidRPr="006B2CD4">
        <w:rPr>
          <w:rFonts w:ascii="Times New Roman" w:hAnsi="Times New Roman" w:cs="Times New Roman"/>
          <w:bCs/>
          <w:iCs/>
          <w:sz w:val="24"/>
          <w:szCs w:val="24"/>
        </w:rPr>
        <w:t>chylenie ust. 3 i dodanie ust. 3a umożliwi dalsze powierzenie czynności powierzonych</w:t>
      </w:r>
      <w:r>
        <w:rPr>
          <w:rFonts w:ascii="Times New Roman" w:hAnsi="Times New Roman" w:cs="Times New Roman"/>
          <w:bCs/>
          <w:iCs/>
          <w:sz w:val="24"/>
          <w:szCs w:val="24"/>
        </w:rPr>
        <w:t xml:space="preserve"> </w:t>
      </w:r>
      <w:r w:rsidR="000014D0" w:rsidRPr="006B2CD4">
        <w:rPr>
          <w:rFonts w:ascii="Times New Roman" w:hAnsi="Times New Roman" w:cs="Times New Roman"/>
          <w:bCs/>
          <w:iCs/>
          <w:sz w:val="24"/>
          <w:szCs w:val="24"/>
        </w:rPr>
        <w:t xml:space="preserve">w ramach </w:t>
      </w:r>
      <w:r w:rsidR="000014D0">
        <w:rPr>
          <w:rFonts w:ascii="Times New Roman" w:hAnsi="Times New Roman" w:cs="Times New Roman"/>
          <w:bCs/>
          <w:iCs/>
          <w:sz w:val="24"/>
          <w:szCs w:val="24"/>
        </w:rPr>
        <w:t xml:space="preserve">tzw. </w:t>
      </w:r>
      <w:r w:rsidR="000014D0" w:rsidRPr="006B2CD4">
        <w:rPr>
          <w:rFonts w:ascii="Times New Roman" w:hAnsi="Times New Roman" w:cs="Times New Roman"/>
          <w:bCs/>
          <w:iCs/>
          <w:sz w:val="24"/>
          <w:szCs w:val="24"/>
        </w:rPr>
        <w:t>dalszego powierzenia</w:t>
      </w:r>
      <w:r w:rsidR="000B4934">
        <w:rPr>
          <w:rFonts w:ascii="Times New Roman" w:hAnsi="Times New Roman" w:cs="Times New Roman"/>
          <w:bCs/>
          <w:iCs/>
          <w:sz w:val="24"/>
          <w:szCs w:val="24"/>
        </w:rPr>
        <w:t xml:space="preserve"> (podousorcingu)</w:t>
      </w:r>
      <w:r w:rsidR="000014D0" w:rsidRPr="006B2CD4">
        <w:rPr>
          <w:rFonts w:ascii="Times New Roman" w:hAnsi="Times New Roman" w:cs="Times New Roman"/>
          <w:bCs/>
          <w:iCs/>
          <w:sz w:val="24"/>
          <w:szCs w:val="24"/>
        </w:rPr>
        <w:t>, tak jak na rynku bankowym</w:t>
      </w:r>
      <w:r w:rsidR="000B4934">
        <w:rPr>
          <w:rFonts w:ascii="Times New Roman" w:hAnsi="Times New Roman" w:cs="Times New Roman"/>
          <w:bCs/>
          <w:iCs/>
          <w:sz w:val="24"/>
          <w:szCs w:val="24"/>
        </w:rPr>
        <w:t xml:space="preserve"> </w:t>
      </w:r>
      <w:r w:rsidR="000014D0" w:rsidRPr="006B2CD4">
        <w:rPr>
          <w:rFonts w:ascii="Times New Roman" w:hAnsi="Times New Roman" w:cs="Times New Roman"/>
          <w:bCs/>
          <w:iCs/>
          <w:sz w:val="24"/>
          <w:szCs w:val="24"/>
        </w:rPr>
        <w:t>.</w:t>
      </w:r>
      <w:r w:rsidR="000B4934">
        <w:rPr>
          <w:rFonts w:ascii="Times New Roman" w:hAnsi="Times New Roman" w:cs="Times New Roman"/>
          <w:bCs/>
          <w:iCs/>
          <w:sz w:val="24"/>
          <w:szCs w:val="24"/>
        </w:rPr>
        <w:t xml:space="preserve"> Na rynku instrumentów finansowych, podobnie jak w przypadku banków powinna również istnieć możliwość dalszego powierzenia czynności przy spełnieniu wymogów określonych w art. 81f, które nie ulegają zmianie. Ułatwienia dla outsourcerów przyczynią się do efektywniejszego wykonywania ustawowo nałożonych na firmy inwestycyjne zadań, co pozytywnie wpłynie na kondycję rynku finansowego.</w:t>
      </w:r>
      <w:r w:rsidR="000014D0" w:rsidRPr="006B2CD4">
        <w:rPr>
          <w:rFonts w:ascii="Times New Roman" w:hAnsi="Times New Roman" w:cs="Times New Roman"/>
          <w:bCs/>
          <w:sz w:val="24"/>
          <w:szCs w:val="24"/>
        </w:rPr>
        <w:t xml:space="preserve"> Uchylenie art. 83 ust. 1 pkt 1 w skutkuje zniesieniem wymogu zatrudniania przez firmę inwestycyjną, na </w:t>
      </w:r>
      <w:r w:rsidR="000014D0" w:rsidRPr="006B2CD4">
        <w:rPr>
          <w:rFonts w:ascii="Times New Roman" w:hAnsi="Times New Roman" w:cs="Times New Roman"/>
          <w:bCs/>
          <w:sz w:val="24"/>
          <w:szCs w:val="24"/>
        </w:rPr>
        <w:lastRenderedPageBreak/>
        <w:t>podst</w:t>
      </w:r>
      <w:r w:rsidR="00180917">
        <w:rPr>
          <w:rFonts w:ascii="Times New Roman" w:hAnsi="Times New Roman" w:cs="Times New Roman"/>
          <w:bCs/>
          <w:sz w:val="24"/>
          <w:szCs w:val="24"/>
        </w:rPr>
        <w:t>awie umowy o pracę</w:t>
      </w:r>
      <w:r w:rsidR="000014D0" w:rsidRPr="006B2CD4">
        <w:rPr>
          <w:rFonts w:ascii="Times New Roman" w:hAnsi="Times New Roman" w:cs="Times New Roman"/>
          <w:bCs/>
          <w:sz w:val="24"/>
          <w:szCs w:val="24"/>
        </w:rPr>
        <w:t xml:space="preserve"> co najmniej jednego maklera papierów wartościowych do przyjmowania i przekazywania zleceń, wykonywania zleceń na rachunek dającego zlecenie, nabywania lub zbywania na własny rachunek instrumentów finansowych, oferowania instrumentów finansowych, prowadzeni</w:t>
      </w:r>
      <w:r w:rsidR="000014D0">
        <w:rPr>
          <w:rFonts w:ascii="Times New Roman" w:hAnsi="Times New Roman" w:cs="Times New Roman"/>
          <w:bCs/>
          <w:sz w:val="24"/>
          <w:szCs w:val="24"/>
        </w:rPr>
        <w:t>a</w:t>
      </w:r>
      <w:r w:rsidR="000014D0" w:rsidRPr="006B2CD4">
        <w:rPr>
          <w:rFonts w:ascii="Times New Roman" w:hAnsi="Times New Roman" w:cs="Times New Roman"/>
          <w:bCs/>
          <w:sz w:val="24"/>
          <w:szCs w:val="24"/>
        </w:rPr>
        <w:t xml:space="preserve"> ASO lub OTF, a także przechowywania lub rejestrowania instrumentów finansowych. Wymóg ten stał się nadmiarowy w sytuacji wejścia w życie przepisów unijnych regulujących wymagania względem pracowników firm inwestycyjnych. </w:t>
      </w:r>
    </w:p>
    <w:p w14:paraId="4800D9D0" w14:textId="4CA093DE" w:rsidR="000014D0" w:rsidRDefault="002144E3" w:rsidP="005B2C96">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Skreślenie w ust. 2 </w:t>
      </w:r>
      <w:r w:rsidR="005B2C96">
        <w:rPr>
          <w:rFonts w:ascii="Times New Roman" w:hAnsi="Times New Roman" w:cs="Times New Roman"/>
          <w:bCs/>
          <w:sz w:val="24"/>
          <w:szCs w:val="24"/>
        </w:rPr>
        <w:t xml:space="preserve">i 4 </w:t>
      </w:r>
      <w:r>
        <w:rPr>
          <w:rFonts w:ascii="Times New Roman" w:hAnsi="Times New Roman" w:cs="Times New Roman"/>
          <w:bCs/>
          <w:sz w:val="24"/>
          <w:szCs w:val="24"/>
        </w:rPr>
        <w:t>wyrazów „makler papierów wartościowych” jest zmianą wynikową związaną z usunięciem art. 83 ust. 1 pkt 1</w:t>
      </w:r>
      <w:r w:rsidR="000B4934">
        <w:rPr>
          <w:rFonts w:ascii="Times New Roman" w:hAnsi="Times New Roman" w:cs="Times New Roman"/>
          <w:bCs/>
          <w:sz w:val="24"/>
          <w:szCs w:val="24"/>
        </w:rPr>
        <w:t xml:space="preserve"> i zniesieniem obowiązku zatrudniania przez firmę inwestycyjną przynajmniej jednego maklera papierów wartościowych</w:t>
      </w:r>
      <w:r w:rsidR="00180917">
        <w:rPr>
          <w:rFonts w:ascii="Times New Roman" w:hAnsi="Times New Roman" w:cs="Times New Roman"/>
          <w:bCs/>
          <w:sz w:val="24"/>
          <w:szCs w:val="24"/>
        </w:rPr>
        <w:t>.</w:t>
      </w:r>
      <w:r>
        <w:rPr>
          <w:rFonts w:ascii="Times New Roman" w:hAnsi="Times New Roman" w:cs="Times New Roman"/>
          <w:bCs/>
          <w:sz w:val="24"/>
          <w:szCs w:val="24"/>
        </w:rPr>
        <w:t xml:space="preserve"> </w:t>
      </w:r>
      <w:r w:rsidR="000014D0" w:rsidRPr="006B2CD4">
        <w:rPr>
          <w:rFonts w:ascii="Times New Roman" w:hAnsi="Times New Roman" w:cs="Times New Roman"/>
          <w:bCs/>
          <w:sz w:val="24"/>
          <w:szCs w:val="24"/>
        </w:rPr>
        <w:t>Zmiana art. 83a ust. 4b wynika z konieczności doprecyzowania, że obowiązki, o których mowa w ust. 3h i 4 oraz w art. 83a obejmują – w związku z czynnościami, które mogłyby skutkować świadczeniem jednej ze wskazanych usług maklerskich – również sporządzanie protokołów i notatek ze spotkań przeprowadzonych w bezpośredniej obecności klienta lub potencjalnego klienta.</w:t>
      </w:r>
    </w:p>
    <w:p w14:paraId="77005BEA" w14:textId="04934CEA" w:rsidR="00180917" w:rsidRDefault="00180917" w:rsidP="00180917">
      <w:pPr>
        <w:shd w:val="clear" w:color="auto" w:fill="FFFFFF" w:themeFill="background1"/>
        <w:spacing w:after="120" w:line="360" w:lineRule="auto"/>
        <w:jc w:val="both"/>
        <w:rPr>
          <w:rFonts w:ascii="Times New Roman" w:hAnsi="Times New Roman" w:cs="Times New Roman"/>
          <w:bCs/>
          <w:sz w:val="24"/>
          <w:szCs w:val="24"/>
        </w:rPr>
      </w:pPr>
      <w:r w:rsidRPr="00180917">
        <w:rPr>
          <w:rFonts w:ascii="Times New Roman" w:hAnsi="Times New Roman" w:cs="Times New Roman"/>
          <w:bCs/>
          <w:sz w:val="24"/>
          <w:szCs w:val="24"/>
        </w:rPr>
        <w:t xml:space="preserve">Zmiana w art. 83b ust. 2a, 5 i 6 związana jest z wprowadzaną projektem tzw. jednolitą licencją bankową. Zmiana ta zakłada dostosowanie obowiązujących obecnie regulacji z zakresu systemu kontroli wewnętrznej firm inwestycyjnych do zasad obowiązujących banki. W ramach założeń do zmian przepisów w zakresie tzw. jednolitej licencji bankowej przyjęto między innymi postulat mający na celu proporcjonalne dopasowanie regulacji o systemie kontroli wewnętrznej w przypadku firm inwestycyjnych do funkcjonujących obecnie w bankach. W obecnym stanie prawnym przepis art. 9c ust. 2 ustawy </w:t>
      </w:r>
      <w:r w:rsidR="00457862">
        <w:rPr>
          <w:rFonts w:ascii="Times New Roman" w:hAnsi="Times New Roman" w:cs="Times New Roman"/>
          <w:bCs/>
          <w:sz w:val="24"/>
          <w:szCs w:val="24"/>
        </w:rPr>
        <w:t>–</w:t>
      </w:r>
      <w:r w:rsidRPr="00180917">
        <w:rPr>
          <w:rFonts w:ascii="Times New Roman" w:hAnsi="Times New Roman" w:cs="Times New Roman"/>
          <w:bCs/>
          <w:sz w:val="24"/>
          <w:szCs w:val="24"/>
        </w:rPr>
        <w:t xml:space="preserve"> Prawo bankowe przewiduje, że w ramach </w:t>
      </w:r>
      <w:r w:rsidRPr="00180917">
        <w:rPr>
          <w:rFonts w:ascii="Times New Roman" w:hAnsi="Times New Roman" w:cs="Times New Roman"/>
          <w:bCs/>
          <w:sz w:val="24"/>
          <w:szCs w:val="24"/>
        </w:rPr>
        <w:lastRenderedPageBreak/>
        <w:t>systemu kontroli wewnętrznej bank wyodrębnia funkcję kontroli, komórkę do spraw zgodności oraz niezależną komórkę audytu wewnętrznego. Uwzględniając specyfikę regulacji w zakresie rozwiązań technicznych i organizacyjnych przy świadczeniu usług maklerskich określonych w przepisach rozporządzenia 2017/5651, przewi</w:t>
      </w:r>
      <w:r>
        <w:rPr>
          <w:rFonts w:ascii="Times New Roman" w:hAnsi="Times New Roman" w:cs="Times New Roman"/>
          <w:bCs/>
          <w:sz w:val="24"/>
          <w:szCs w:val="24"/>
        </w:rPr>
        <w:t>dziana zmiana art. 83b zakłada:</w:t>
      </w:r>
    </w:p>
    <w:p w14:paraId="023A950C" w14:textId="77777777" w:rsidR="00180917" w:rsidRDefault="00180917" w:rsidP="00180917">
      <w:pPr>
        <w:pStyle w:val="Akapitzlist"/>
        <w:numPr>
          <w:ilvl w:val="0"/>
          <w:numId w:val="57"/>
        </w:numPr>
        <w:shd w:val="clear" w:color="auto" w:fill="FFFFFF" w:themeFill="background1"/>
        <w:spacing w:after="120" w:line="360" w:lineRule="auto"/>
        <w:jc w:val="both"/>
        <w:rPr>
          <w:rFonts w:ascii="Times New Roman" w:hAnsi="Times New Roman" w:cs="Times New Roman"/>
          <w:bCs/>
          <w:sz w:val="24"/>
          <w:szCs w:val="24"/>
        </w:rPr>
      </w:pPr>
      <w:r w:rsidRPr="00180917">
        <w:rPr>
          <w:rFonts w:ascii="Times New Roman" w:hAnsi="Times New Roman" w:cs="Times New Roman"/>
          <w:bCs/>
          <w:sz w:val="24"/>
          <w:szCs w:val="24"/>
        </w:rPr>
        <w:t>w dodawanym ust. 2a wskazanie, że firma inwestycyjna ma obowiązek ustanawiania, wdrożenia i utrzymania systemu kontroli wewnętrznej składającego się z trzech elementów: (i) mechanizmu kontroli służącemu realizacji zadań, o których mowa w art. 21 ust. 1 lit. c rozporządzenia 2017/565; (ii) funkcji zgodności z przepisami, o której mowa w art. 22 ust. 2 rozporządzenia 2017/565, oraz (iii) audytu wewnętrznego. W przepisie tym doprecyzowano również, podobnie jak ma to miejsce w obowiązującym ust. 2, że system kontroli wewnętrznej powinien obejmować również działalność agentów firmy inwestycyjnej;</w:t>
      </w:r>
    </w:p>
    <w:p w14:paraId="4732FDE5" w14:textId="3AE6D146" w:rsidR="00180917" w:rsidRDefault="00180917" w:rsidP="00180917">
      <w:pPr>
        <w:pStyle w:val="Akapitzlist"/>
        <w:numPr>
          <w:ilvl w:val="0"/>
          <w:numId w:val="57"/>
        </w:numPr>
        <w:shd w:val="clear" w:color="auto" w:fill="FFFFFF" w:themeFill="background1"/>
        <w:spacing w:after="120" w:line="360" w:lineRule="auto"/>
        <w:jc w:val="both"/>
        <w:rPr>
          <w:rFonts w:ascii="Times New Roman" w:hAnsi="Times New Roman" w:cs="Times New Roman"/>
          <w:bCs/>
          <w:sz w:val="24"/>
          <w:szCs w:val="24"/>
        </w:rPr>
      </w:pPr>
      <w:r w:rsidRPr="00180917">
        <w:rPr>
          <w:rFonts w:ascii="Times New Roman" w:hAnsi="Times New Roman" w:cs="Times New Roman"/>
          <w:bCs/>
          <w:sz w:val="24"/>
          <w:szCs w:val="24"/>
        </w:rPr>
        <w:t xml:space="preserve">mając na uwadze, że w art. 24 lit. a–c rozporządzenia 2017/565 określono, jakie są zadania audytu wewnętrznego, w zmienionym ust. 5 zamiast dodatkowego określania w ustawie tych zadań, wskazano, że firma inwestycyjna powinna opracować, wdrożyć i utrzymywać system audytu wewnętrznego w celu realizacji zadań wynikających z art. 24 lit. a–c rozporządzenia 2017/565. Niezależnie od faktu, iż każda firma inwestycyjna powinna mieć audyt wewnętrzny, w ust. 5 doprecyzowano, że tylko w przypadku, gdy jest to proporcjonalne w stosunku do charakteru, skali i stopnia złożoności działalności gospodarczej oraz do charakteru i zasięgu usług i działań inwestycyjnych </w:t>
      </w:r>
      <w:r w:rsidRPr="00180917">
        <w:rPr>
          <w:rFonts w:ascii="Times New Roman" w:hAnsi="Times New Roman" w:cs="Times New Roman"/>
          <w:bCs/>
          <w:sz w:val="24"/>
          <w:szCs w:val="24"/>
        </w:rPr>
        <w:lastRenderedPageBreak/>
        <w:t>wykonywanych w toku tej działalności firmy inwestycyjnej, firma inwestycyjna ma obowiązek ustanawiania komórki audytu wewnętrznego;</w:t>
      </w:r>
    </w:p>
    <w:p w14:paraId="47557BE6" w14:textId="28A45C37" w:rsidR="00180917" w:rsidRPr="00180917" w:rsidRDefault="00180917" w:rsidP="00180917">
      <w:pPr>
        <w:pStyle w:val="Akapitzlist"/>
        <w:numPr>
          <w:ilvl w:val="0"/>
          <w:numId w:val="57"/>
        </w:numPr>
        <w:shd w:val="clear" w:color="auto" w:fill="FFFFFF" w:themeFill="background1"/>
        <w:spacing w:after="120" w:line="360" w:lineRule="auto"/>
        <w:jc w:val="both"/>
        <w:rPr>
          <w:rFonts w:ascii="Times New Roman" w:hAnsi="Times New Roman" w:cs="Times New Roman"/>
          <w:bCs/>
          <w:sz w:val="24"/>
          <w:szCs w:val="24"/>
        </w:rPr>
      </w:pPr>
      <w:r w:rsidRPr="00180917">
        <w:rPr>
          <w:rFonts w:ascii="Times New Roman" w:hAnsi="Times New Roman" w:cs="Times New Roman"/>
          <w:bCs/>
          <w:sz w:val="24"/>
          <w:szCs w:val="24"/>
        </w:rPr>
        <w:t>w związku z propozycją, aby pojęcie systemu kontroli wewnętrznej miało szersze znaczenie (nieograniczone tylko do mechanizmów kontroli służących realizacji zadań, o których mowa w art. 21 ust. 1 lit. c rozporządzenia 2017/565) i obejmowało również funkcję zgodności z przepisami oraz audyt wewnętrzny, przewidziano uchylenie ust. 6.</w:t>
      </w:r>
    </w:p>
    <w:p w14:paraId="0308F505" w14:textId="6A65BFDC" w:rsidR="0039714B" w:rsidRPr="00EA3109" w:rsidRDefault="002144E3" w:rsidP="005B2C96">
      <w:pPr>
        <w:shd w:val="clear" w:color="auto" w:fill="FFFFFF" w:themeFill="background1"/>
        <w:spacing w:after="120" w:line="360" w:lineRule="auto"/>
        <w:jc w:val="both"/>
        <w:rPr>
          <w:rFonts w:ascii="Times New Roman" w:hAnsi="Times New Roman" w:cs="Times New Roman"/>
          <w:bCs/>
          <w:iCs/>
          <w:sz w:val="24"/>
          <w:szCs w:val="24"/>
        </w:rPr>
      </w:pPr>
      <w:r w:rsidRPr="006B2CD4">
        <w:rPr>
          <w:rFonts w:ascii="Times New Roman" w:hAnsi="Times New Roman" w:cs="Times New Roman"/>
          <w:bCs/>
          <w:sz w:val="24"/>
          <w:szCs w:val="24"/>
        </w:rPr>
        <w:t xml:space="preserve">Dodanie </w:t>
      </w:r>
      <w:r>
        <w:rPr>
          <w:rFonts w:ascii="Times New Roman" w:hAnsi="Times New Roman" w:cs="Times New Roman"/>
          <w:bCs/>
          <w:sz w:val="24"/>
          <w:szCs w:val="24"/>
        </w:rPr>
        <w:t xml:space="preserve">w </w:t>
      </w:r>
      <w:r w:rsidRPr="006B2CD4">
        <w:rPr>
          <w:rFonts w:ascii="Times New Roman" w:hAnsi="Times New Roman" w:cs="Times New Roman"/>
          <w:bCs/>
          <w:sz w:val="24"/>
          <w:szCs w:val="24"/>
        </w:rPr>
        <w:t>art. 83</w:t>
      </w:r>
      <w:r>
        <w:rPr>
          <w:rFonts w:ascii="Times New Roman" w:hAnsi="Times New Roman" w:cs="Times New Roman"/>
          <w:bCs/>
          <w:sz w:val="24"/>
          <w:szCs w:val="24"/>
        </w:rPr>
        <w:t>ja ust. 2</w:t>
      </w:r>
      <w:r w:rsidRPr="006B2CD4">
        <w:rPr>
          <w:rFonts w:ascii="Times New Roman" w:hAnsi="Times New Roman" w:cs="Times New Roman"/>
          <w:bCs/>
          <w:sz w:val="24"/>
          <w:szCs w:val="24"/>
        </w:rPr>
        <w:t xml:space="preserve"> </w:t>
      </w:r>
      <w:r w:rsidR="000014D0" w:rsidRPr="006B2CD4">
        <w:rPr>
          <w:rFonts w:ascii="Times New Roman" w:hAnsi="Times New Roman" w:cs="Times New Roman"/>
          <w:sz w:val="24"/>
          <w:szCs w:val="24"/>
        </w:rPr>
        <w:t xml:space="preserve">dotyczy transakcji zawieranych z uprawnionymi kontrahentami i </w:t>
      </w:r>
      <w:r w:rsidR="00A85B12">
        <w:rPr>
          <w:rFonts w:ascii="Times New Roman" w:hAnsi="Times New Roman" w:cs="Times New Roman"/>
          <w:sz w:val="24"/>
          <w:szCs w:val="24"/>
        </w:rPr>
        <w:t>służy</w:t>
      </w:r>
      <w:r w:rsidR="007C389F">
        <w:rPr>
          <w:rFonts w:ascii="Times New Roman" w:hAnsi="Times New Roman" w:cs="Times New Roman"/>
          <w:sz w:val="24"/>
          <w:szCs w:val="24"/>
        </w:rPr>
        <w:t xml:space="preserve"> </w:t>
      </w:r>
      <w:r w:rsidR="000014D0" w:rsidRPr="006B2CD4">
        <w:rPr>
          <w:rFonts w:ascii="Times New Roman" w:hAnsi="Times New Roman" w:cs="Times New Roman"/>
          <w:sz w:val="24"/>
          <w:szCs w:val="24"/>
        </w:rPr>
        <w:t>zapewnieni</w:t>
      </w:r>
      <w:r w:rsidR="00A85B12">
        <w:rPr>
          <w:rFonts w:ascii="Times New Roman" w:hAnsi="Times New Roman" w:cs="Times New Roman"/>
          <w:sz w:val="24"/>
          <w:szCs w:val="24"/>
        </w:rPr>
        <w:t>u</w:t>
      </w:r>
      <w:r w:rsidR="000014D0" w:rsidRPr="006B2CD4">
        <w:rPr>
          <w:rFonts w:ascii="Times New Roman" w:hAnsi="Times New Roman" w:cs="Times New Roman"/>
          <w:sz w:val="24"/>
          <w:szCs w:val="24"/>
        </w:rPr>
        <w:t xml:space="preserve">, aby firmy inwestycyjne uprawnione do wykonywania zleceń na rachunek klientów lub zawierające transakcje na własny rachunek lub otrzymujące i przekazujące zlecenia, mogły doprowadzać lub przystępować do transakcji z uprawnionymi kontrahentami bez konieczności wypełniania obowiązków dotyczących ochrony inwestorów, a także w zakresie oceny odpowiedniości i adekwatności instrumentów. Przepis ten zapewnia również, aby w stosunkach z uprawnionymi kontrahentami firmy inwestycyjne postępowały uczciwie, rzetelnie i profesjonalnie oraz komunikowały się w sposób rzetelny, wyraźny </w:t>
      </w:r>
      <w:r w:rsidR="005B2C96" w:rsidRPr="006B2CD4">
        <w:rPr>
          <w:rFonts w:ascii="Times New Roman" w:hAnsi="Times New Roman" w:cs="Times New Roman"/>
          <w:sz w:val="24"/>
          <w:szCs w:val="24"/>
        </w:rPr>
        <w:t xml:space="preserve">i niewprowadzający w błąd, z uwzględnieniem charakteru uprawnionego kontrahenta i jego działalności. </w:t>
      </w:r>
      <w:r w:rsidR="005B2C96">
        <w:rPr>
          <w:rFonts w:ascii="Times New Roman" w:hAnsi="Times New Roman" w:cs="Times New Roman"/>
          <w:sz w:val="24"/>
          <w:szCs w:val="24"/>
        </w:rPr>
        <w:t xml:space="preserve">Zmiana </w:t>
      </w:r>
      <w:r w:rsidR="0039714B">
        <w:rPr>
          <w:rFonts w:ascii="Times New Roman" w:hAnsi="Times New Roman" w:cs="Times New Roman"/>
          <w:sz w:val="24"/>
          <w:szCs w:val="24"/>
        </w:rPr>
        <w:t xml:space="preserve">art. 84 ust. 2 pkt 1 </w:t>
      </w:r>
      <w:r w:rsidR="0039714B">
        <w:rPr>
          <w:rFonts w:ascii="Times New Roman" w:hAnsi="Times New Roman" w:cs="Times New Roman"/>
          <w:bCs/>
          <w:iCs/>
          <w:sz w:val="24"/>
          <w:szCs w:val="24"/>
        </w:rPr>
        <w:t>jest zmianą wynikową związan</w:t>
      </w:r>
      <w:r w:rsidR="005B2C96">
        <w:rPr>
          <w:rFonts w:ascii="Times New Roman" w:hAnsi="Times New Roman" w:cs="Times New Roman"/>
          <w:bCs/>
          <w:iCs/>
          <w:sz w:val="24"/>
          <w:szCs w:val="24"/>
        </w:rPr>
        <w:t xml:space="preserve">a z opisanymi wyżej </w:t>
      </w:r>
      <w:r w:rsidR="0039714B">
        <w:rPr>
          <w:rFonts w:ascii="Times New Roman" w:hAnsi="Times New Roman" w:cs="Times New Roman"/>
          <w:bCs/>
          <w:iCs/>
          <w:sz w:val="24"/>
          <w:szCs w:val="24"/>
        </w:rPr>
        <w:t>zmianami dotyczącymi jednolitej licencji bankowej obejmującymi również banki państwowe</w:t>
      </w:r>
      <w:r w:rsidR="008C3E85">
        <w:rPr>
          <w:rFonts w:ascii="Times New Roman" w:hAnsi="Times New Roman" w:cs="Times New Roman"/>
          <w:bCs/>
          <w:iCs/>
          <w:sz w:val="24"/>
          <w:szCs w:val="24"/>
        </w:rPr>
        <w:t xml:space="preserve"> i koniecznością zapewnienia spójności w tym zakresie</w:t>
      </w:r>
      <w:r w:rsidR="0039714B">
        <w:rPr>
          <w:rFonts w:ascii="Times New Roman" w:hAnsi="Times New Roman" w:cs="Times New Roman"/>
          <w:bCs/>
          <w:iCs/>
          <w:sz w:val="24"/>
          <w:szCs w:val="24"/>
        </w:rPr>
        <w:t>.</w:t>
      </w:r>
    </w:p>
    <w:p w14:paraId="52200BC6" w14:textId="77777777" w:rsidR="000014D0" w:rsidRPr="006B2CD4" w:rsidRDefault="000014D0" w:rsidP="005B2C96">
      <w:pPr>
        <w:shd w:val="clear" w:color="auto" w:fill="FFFFFF" w:themeFill="background1"/>
        <w:spacing w:after="12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lastRenderedPageBreak/>
        <w:t xml:space="preserve">W art. 85 ust. 1 pkt 5 przewiduje się zrównanie podstaw odmowy zezwolenia dla domu maklerskiego i banku w przypadku </w:t>
      </w:r>
      <w:r>
        <w:rPr>
          <w:rFonts w:ascii="Times New Roman" w:hAnsi="Times New Roman" w:cs="Times New Roman"/>
          <w:bCs/>
          <w:iCs/>
          <w:sz w:val="24"/>
          <w:szCs w:val="24"/>
        </w:rPr>
        <w:t xml:space="preserve">prowadzenia działalności </w:t>
      </w:r>
      <w:r w:rsidRPr="006B2CD4">
        <w:rPr>
          <w:rFonts w:ascii="Times New Roman" w:hAnsi="Times New Roman" w:cs="Times New Roman"/>
          <w:bCs/>
          <w:iCs/>
          <w:sz w:val="24"/>
          <w:szCs w:val="24"/>
        </w:rPr>
        <w:t>niezgodn</w:t>
      </w:r>
      <w:r>
        <w:rPr>
          <w:rFonts w:ascii="Times New Roman" w:hAnsi="Times New Roman" w:cs="Times New Roman"/>
          <w:bCs/>
          <w:iCs/>
          <w:sz w:val="24"/>
          <w:szCs w:val="24"/>
        </w:rPr>
        <w:t>ie</w:t>
      </w:r>
      <w:r w:rsidRPr="006B2CD4">
        <w:rPr>
          <w:rFonts w:ascii="Times New Roman" w:hAnsi="Times New Roman" w:cs="Times New Roman"/>
          <w:bCs/>
          <w:iCs/>
          <w:sz w:val="24"/>
          <w:szCs w:val="24"/>
        </w:rPr>
        <w:t xml:space="preserve"> z wymogami dotyczącymi zarządu, rady nadzorczej lub kierownictwa biura maklerskiego.</w:t>
      </w:r>
    </w:p>
    <w:p w14:paraId="32708E49" w14:textId="24342A2B" w:rsidR="000014D0" w:rsidRPr="006B2CD4" w:rsidRDefault="000014D0" w:rsidP="000014D0">
      <w:pPr>
        <w:shd w:val="clear" w:color="auto" w:fill="FFFFFF" w:themeFill="background1"/>
        <w:spacing w:after="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 xml:space="preserve">Zmiana art. 86 ust. 1 </w:t>
      </w:r>
      <w:r w:rsidR="0039714B">
        <w:rPr>
          <w:rFonts w:ascii="Times New Roman" w:hAnsi="Times New Roman" w:cs="Times New Roman"/>
          <w:bCs/>
          <w:iCs/>
          <w:sz w:val="24"/>
          <w:szCs w:val="24"/>
        </w:rPr>
        <w:t xml:space="preserve">i 2 </w:t>
      </w:r>
      <w:r w:rsidRPr="006B2CD4">
        <w:rPr>
          <w:rFonts w:ascii="Times New Roman" w:hAnsi="Times New Roman" w:cs="Times New Roman"/>
          <w:bCs/>
          <w:iCs/>
          <w:sz w:val="24"/>
          <w:szCs w:val="24"/>
        </w:rPr>
        <w:t>umożliwi doprecyzowanie obowiązków informacyjnych firm inwestycyjnych, co znajdzie odzwierciedlenie w akcie wykonawczym.</w:t>
      </w:r>
    </w:p>
    <w:p w14:paraId="230F5AD1" w14:textId="76862BC7" w:rsidR="000014D0" w:rsidRPr="006B2CD4" w:rsidRDefault="000014D0" w:rsidP="000014D0">
      <w:pPr>
        <w:shd w:val="clear" w:color="auto" w:fill="FFFFFF" w:themeFill="background1"/>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Zmiany </w:t>
      </w:r>
      <w:r w:rsidR="007820CA">
        <w:rPr>
          <w:rFonts w:ascii="Times New Roman" w:hAnsi="Times New Roman" w:cs="Times New Roman"/>
          <w:bCs/>
          <w:sz w:val="24"/>
          <w:szCs w:val="24"/>
        </w:rPr>
        <w:t>te</w:t>
      </w:r>
      <w:r w:rsidR="007C389F">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mają na celu zapewnienie KNF </w:t>
      </w:r>
      <w:r>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jako organowi właściwemu w rozumieniu art. 39 ust. 3 rozporządzenia 600/2014 </w:t>
      </w:r>
      <w:r>
        <w:rPr>
          <w:rFonts w:ascii="Times New Roman" w:hAnsi="Times New Roman" w:cs="Times New Roman"/>
          <w:bCs/>
          <w:sz w:val="24"/>
          <w:szCs w:val="24"/>
        </w:rPr>
        <w:t xml:space="preserve">– dostępu do określonych danych istotnych z punktu widzenia </w:t>
      </w:r>
      <w:r w:rsidRPr="006B2CD4">
        <w:rPr>
          <w:rFonts w:ascii="Times New Roman" w:hAnsi="Times New Roman" w:cs="Times New Roman"/>
          <w:bCs/>
          <w:sz w:val="24"/>
          <w:szCs w:val="24"/>
        </w:rPr>
        <w:t>efektywności w zakresie monitorowania rynku instrumentów finansowych i lokat strukturyzowanych, które są wprowadzane do obrotu, dystrybuowane lub sprzedawane na terytorium Rzeczypospolitej Polskiej lub z jej terytorium przez firmy inwestycyjne oraz banki, o których mowa w art. 70 ust. 2, oraz wykonywania przez KNF nadzoru w tym zakresie. Wprowadzenie tego przepisu</w:t>
      </w:r>
      <w:r>
        <w:rPr>
          <w:rFonts w:ascii="Times New Roman" w:hAnsi="Times New Roman" w:cs="Times New Roman"/>
          <w:bCs/>
          <w:sz w:val="24"/>
          <w:szCs w:val="24"/>
        </w:rPr>
        <w:t xml:space="preserve"> jest </w:t>
      </w:r>
      <w:r w:rsidRPr="006B2CD4">
        <w:rPr>
          <w:rFonts w:ascii="Times New Roman" w:hAnsi="Times New Roman" w:cs="Times New Roman"/>
          <w:bCs/>
          <w:sz w:val="24"/>
          <w:szCs w:val="24"/>
        </w:rPr>
        <w:t xml:space="preserve">uzasadnione koniecznością określenia ram nadzoru nad firmami inwestycyjnymi oferującymi lokaty strukturyzowane. </w:t>
      </w:r>
    </w:p>
    <w:p w14:paraId="1F1BC4AB" w14:textId="576FDBD6" w:rsidR="000014D0" w:rsidRPr="006B2CD4" w:rsidRDefault="000014D0" w:rsidP="007820CA">
      <w:pPr>
        <w:shd w:val="clear" w:color="auto" w:fill="FFFFFF" w:themeFill="background1"/>
        <w:spacing w:after="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W związku ze zmianami w art. 86 dokonana zostanie również korekta odesłania do tego przepisu w art. 94 ust. 1 pkt 4.</w:t>
      </w:r>
      <w:r w:rsidR="007C389F">
        <w:rPr>
          <w:rFonts w:ascii="Times New Roman" w:hAnsi="Times New Roman" w:cs="Times New Roman"/>
          <w:bCs/>
          <w:iCs/>
          <w:sz w:val="24"/>
          <w:szCs w:val="24"/>
        </w:rPr>
        <w:t xml:space="preserve"> </w:t>
      </w:r>
      <w:r w:rsidR="007820CA">
        <w:rPr>
          <w:rFonts w:ascii="Times New Roman" w:hAnsi="Times New Roman" w:cs="Times New Roman"/>
          <w:bCs/>
          <w:iCs/>
          <w:sz w:val="24"/>
          <w:szCs w:val="24"/>
        </w:rPr>
        <w:t xml:space="preserve">W </w:t>
      </w:r>
      <w:r w:rsidR="007C0287" w:rsidRPr="006B2CD4">
        <w:rPr>
          <w:rFonts w:ascii="Times New Roman" w:hAnsi="Times New Roman" w:cs="Times New Roman"/>
          <w:bCs/>
          <w:iCs/>
          <w:sz w:val="24"/>
          <w:szCs w:val="24"/>
        </w:rPr>
        <w:t xml:space="preserve">art. 89 ust. 1 </w:t>
      </w:r>
      <w:r w:rsidR="007820CA">
        <w:rPr>
          <w:rFonts w:ascii="Times New Roman" w:hAnsi="Times New Roman" w:cs="Times New Roman"/>
          <w:bCs/>
          <w:iCs/>
          <w:sz w:val="24"/>
          <w:szCs w:val="24"/>
        </w:rPr>
        <w:t>uchylenie</w:t>
      </w:r>
      <w:r w:rsidR="007820CA" w:rsidRPr="006B2CD4">
        <w:rPr>
          <w:rFonts w:ascii="Times New Roman" w:hAnsi="Times New Roman" w:cs="Times New Roman"/>
          <w:bCs/>
          <w:iCs/>
          <w:sz w:val="24"/>
          <w:szCs w:val="24"/>
        </w:rPr>
        <w:t xml:space="preserve"> </w:t>
      </w:r>
      <w:r w:rsidR="007C0287" w:rsidRPr="006B2CD4">
        <w:rPr>
          <w:rFonts w:ascii="Times New Roman" w:hAnsi="Times New Roman" w:cs="Times New Roman"/>
          <w:bCs/>
          <w:iCs/>
          <w:sz w:val="24"/>
          <w:szCs w:val="24"/>
        </w:rPr>
        <w:t>pkt 1</w:t>
      </w:r>
      <w:r w:rsidR="007C0287">
        <w:rPr>
          <w:rFonts w:ascii="Times New Roman" w:hAnsi="Times New Roman" w:cs="Times New Roman"/>
          <w:bCs/>
          <w:iCs/>
          <w:sz w:val="24"/>
          <w:szCs w:val="24"/>
        </w:rPr>
        <w:t xml:space="preserve">, dodanie pkt 4 </w:t>
      </w:r>
      <w:r w:rsidR="007820CA">
        <w:rPr>
          <w:rFonts w:ascii="Times New Roman" w:hAnsi="Times New Roman" w:cs="Times New Roman"/>
          <w:bCs/>
          <w:iCs/>
          <w:sz w:val="24"/>
          <w:szCs w:val="24"/>
        </w:rPr>
        <w:t>(</w:t>
      </w:r>
      <w:r w:rsidR="007C0287">
        <w:rPr>
          <w:rFonts w:ascii="Times New Roman" w:hAnsi="Times New Roman" w:cs="Times New Roman"/>
          <w:bCs/>
          <w:iCs/>
          <w:sz w:val="24"/>
          <w:szCs w:val="24"/>
        </w:rPr>
        <w:t>w związku z kompleksową regulacją dotyczącą prowadzenia działalności maklerskiej przez banki państwowe</w:t>
      </w:r>
      <w:r w:rsidR="007820CA">
        <w:rPr>
          <w:rFonts w:ascii="Times New Roman" w:hAnsi="Times New Roman" w:cs="Times New Roman"/>
          <w:bCs/>
          <w:iCs/>
          <w:sz w:val="24"/>
          <w:szCs w:val="24"/>
        </w:rPr>
        <w:t>)</w:t>
      </w:r>
      <w:r w:rsidR="007C0287">
        <w:rPr>
          <w:rFonts w:ascii="Times New Roman" w:hAnsi="Times New Roman" w:cs="Times New Roman"/>
          <w:bCs/>
          <w:iCs/>
          <w:sz w:val="24"/>
          <w:szCs w:val="24"/>
        </w:rPr>
        <w:t xml:space="preserve"> i dodanie </w:t>
      </w:r>
      <w:r w:rsidR="007C0287" w:rsidRPr="006B2CD4">
        <w:rPr>
          <w:rFonts w:ascii="Times New Roman" w:hAnsi="Times New Roman" w:cs="Times New Roman"/>
          <w:bCs/>
          <w:iCs/>
          <w:sz w:val="24"/>
          <w:szCs w:val="24"/>
        </w:rPr>
        <w:t>ust. 1a</w:t>
      </w:r>
      <w:r w:rsidR="007C0287">
        <w:rPr>
          <w:rFonts w:ascii="Times New Roman" w:hAnsi="Times New Roman" w:cs="Times New Roman"/>
          <w:bCs/>
          <w:iCs/>
          <w:sz w:val="24"/>
          <w:szCs w:val="24"/>
        </w:rPr>
        <w:t xml:space="preserve"> i 1b</w:t>
      </w:r>
      <w:r w:rsidR="007C0287" w:rsidRPr="006B2CD4">
        <w:rPr>
          <w:rFonts w:ascii="Times New Roman" w:hAnsi="Times New Roman" w:cs="Times New Roman"/>
          <w:bCs/>
          <w:iCs/>
          <w:sz w:val="24"/>
          <w:szCs w:val="24"/>
        </w:rPr>
        <w:t xml:space="preserve"> </w:t>
      </w:r>
      <w:r w:rsidR="007C0287">
        <w:rPr>
          <w:rFonts w:ascii="Times New Roman" w:hAnsi="Times New Roman" w:cs="Times New Roman"/>
          <w:bCs/>
          <w:iCs/>
          <w:sz w:val="24"/>
          <w:szCs w:val="24"/>
        </w:rPr>
        <w:t>(</w:t>
      </w:r>
      <w:r w:rsidR="007C0287" w:rsidRPr="006B2CD4">
        <w:rPr>
          <w:rFonts w:ascii="Times New Roman" w:hAnsi="Times New Roman" w:cs="Times New Roman"/>
          <w:bCs/>
          <w:iCs/>
          <w:sz w:val="24"/>
          <w:szCs w:val="24"/>
        </w:rPr>
        <w:t xml:space="preserve">oraz </w:t>
      </w:r>
      <w:r w:rsidR="007C0287">
        <w:rPr>
          <w:rFonts w:ascii="Times New Roman" w:hAnsi="Times New Roman" w:cs="Times New Roman"/>
          <w:bCs/>
          <w:iCs/>
          <w:sz w:val="24"/>
          <w:szCs w:val="24"/>
        </w:rPr>
        <w:t xml:space="preserve">uchylenie </w:t>
      </w:r>
      <w:r w:rsidR="007C0287" w:rsidRPr="006B2CD4">
        <w:rPr>
          <w:rFonts w:ascii="Times New Roman" w:hAnsi="Times New Roman" w:cs="Times New Roman"/>
          <w:bCs/>
          <w:iCs/>
          <w:sz w:val="24"/>
          <w:szCs w:val="24"/>
        </w:rPr>
        <w:t>art. 167 ust. 1 pkt 4</w:t>
      </w:r>
      <w:r w:rsidR="007C0287">
        <w:rPr>
          <w:rFonts w:ascii="Times New Roman" w:hAnsi="Times New Roman" w:cs="Times New Roman"/>
          <w:bCs/>
          <w:iCs/>
          <w:sz w:val="24"/>
          <w:szCs w:val="24"/>
        </w:rPr>
        <w:t>)</w:t>
      </w:r>
      <w:r w:rsidR="007C0287" w:rsidRPr="006B2CD4">
        <w:rPr>
          <w:rFonts w:ascii="Times New Roman" w:hAnsi="Times New Roman" w:cs="Times New Roman"/>
          <w:bCs/>
          <w:iCs/>
          <w:sz w:val="24"/>
          <w:szCs w:val="24"/>
        </w:rPr>
        <w:t xml:space="preserve"> dotyczą uprawnień KNF do cofnięcia zezwolenia w przypadku gdy firma inwestycyjna</w:t>
      </w:r>
      <w:r w:rsidR="007C0287">
        <w:rPr>
          <w:rFonts w:ascii="Times New Roman" w:hAnsi="Times New Roman" w:cs="Times New Roman"/>
          <w:bCs/>
          <w:iCs/>
          <w:sz w:val="24"/>
          <w:szCs w:val="24"/>
        </w:rPr>
        <w:t xml:space="preserve"> lub bank państwowy</w:t>
      </w:r>
      <w:r w:rsidR="007C0287" w:rsidRPr="006B2CD4">
        <w:rPr>
          <w:rFonts w:ascii="Times New Roman" w:hAnsi="Times New Roman" w:cs="Times New Roman"/>
          <w:bCs/>
          <w:iCs/>
          <w:sz w:val="24"/>
          <w:szCs w:val="24"/>
        </w:rPr>
        <w:t xml:space="preserve"> nie prowadzi działalności maklerskiej przez co najmniej 6 miesięcy (żadnej działalności maklerskiej</w:t>
      </w:r>
      <w:r w:rsidR="007C0287">
        <w:rPr>
          <w:rFonts w:ascii="Times New Roman" w:hAnsi="Times New Roman" w:cs="Times New Roman"/>
          <w:bCs/>
          <w:iCs/>
          <w:sz w:val="24"/>
          <w:szCs w:val="24"/>
        </w:rPr>
        <w:t>)</w:t>
      </w:r>
      <w:r w:rsidR="007C0287" w:rsidRPr="006B2CD4">
        <w:rPr>
          <w:rFonts w:ascii="Times New Roman" w:hAnsi="Times New Roman" w:cs="Times New Roman"/>
          <w:bCs/>
          <w:iCs/>
          <w:sz w:val="24"/>
          <w:szCs w:val="24"/>
        </w:rPr>
        <w:t xml:space="preserve">. </w:t>
      </w:r>
      <w:r w:rsidRPr="006B2CD4">
        <w:rPr>
          <w:rFonts w:ascii="Times New Roman" w:hAnsi="Times New Roman" w:cs="Times New Roman"/>
          <w:bCs/>
          <w:iCs/>
          <w:sz w:val="24"/>
          <w:szCs w:val="24"/>
        </w:rPr>
        <w:t>Doprecyzowa</w:t>
      </w:r>
      <w:r w:rsidRPr="006B2CD4">
        <w:rPr>
          <w:rFonts w:ascii="Times New Roman" w:hAnsi="Times New Roman" w:cs="Times New Roman"/>
          <w:bCs/>
          <w:iCs/>
          <w:sz w:val="24"/>
          <w:szCs w:val="24"/>
        </w:rPr>
        <w:lastRenderedPageBreak/>
        <w:t>nie to odpowiada brzmieniu art. 8 lit</w:t>
      </w:r>
      <w:r w:rsidR="00897652">
        <w:rPr>
          <w:rFonts w:ascii="Times New Roman" w:hAnsi="Times New Roman" w:cs="Times New Roman"/>
          <w:bCs/>
          <w:iCs/>
          <w:sz w:val="24"/>
          <w:szCs w:val="24"/>
        </w:rPr>
        <w:t>.</w:t>
      </w:r>
      <w:r w:rsidRPr="006B2CD4">
        <w:rPr>
          <w:rFonts w:ascii="Times New Roman" w:hAnsi="Times New Roman" w:cs="Times New Roman"/>
          <w:bCs/>
          <w:iCs/>
          <w:sz w:val="24"/>
          <w:szCs w:val="24"/>
        </w:rPr>
        <w:t xml:space="preserve"> a </w:t>
      </w:r>
      <w:r w:rsidRPr="006B2CD4">
        <w:rPr>
          <w:rFonts w:ascii="Times New Roman" w:hAnsi="Times New Roman" w:cs="Times New Roman"/>
          <w:bCs/>
          <w:sz w:val="24"/>
          <w:szCs w:val="24"/>
        </w:rPr>
        <w:t>dyrektyw</w:t>
      </w:r>
      <w:r>
        <w:rPr>
          <w:rFonts w:ascii="Times New Roman" w:hAnsi="Times New Roman" w:cs="Times New Roman"/>
          <w:bCs/>
          <w:sz w:val="24"/>
          <w:szCs w:val="24"/>
        </w:rPr>
        <w:t>y</w:t>
      </w:r>
      <w:r w:rsidRPr="006B2CD4">
        <w:rPr>
          <w:rFonts w:ascii="Times New Roman" w:hAnsi="Times New Roman" w:cs="Times New Roman"/>
          <w:bCs/>
          <w:sz w:val="24"/>
          <w:szCs w:val="24"/>
        </w:rPr>
        <w:t xml:space="preserve"> MiFID II</w:t>
      </w:r>
      <w:r w:rsidRPr="006B2CD4">
        <w:rPr>
          <w:rFonts w:ascii="Times New Roman" w:hAnsi="Times New Roman" w:cs="Times New Roman"/>
          <w:bCs/>
          <w:iCs/>
          <w:sz w:val="24"/>
          <w:szCs w:val="24"/>
        </w:rPr>
        <w:t xml:space="preserve"> i realizuje postulat przeciwdziałania regulacjom nadmiarowym. W przypadku nierozpoczęcia prowadzenia działalności maklerskiej w terminie 12 miesięcy od otrzymania zezwolenia skutek polegający na wygaśnięciu zezwolenia proponuje się zastąpić uprawnieniem KNF do jego cofnięcia. Takie rozwiązanie pozwoli na ocenę indywidualną sytuację danego podmiotu, a w uzasadnionych przypadkach </w:t>
      </w:r>
      <w:r>
        <w:rPr>
          <w:rFonts w:ascii="Times New Roman" w:hAnsi="Times New Roman" w:cs="Times New Roman"/>
          <w:bCs/>
          <w:iCs/>
          <w:sz w:val="24"/>
          <w:szCs w:val="24"/>
        </w:rPr>
        <w:t xml:space="preserve">na </w:t>
      </w:r>
      <w:r w:rsidRPr="006B2CD4">
        <w:rPr>
          <w:rFonts w:ascii="Times New Roman" w:hAnsi="Times New Roman" w:cs="Times New Roman"/>
          <w:bCs/>
          <w:iCs/>
          <w:sz w:val="24"/>
          <w:szCs w:val="24"/>
        </w:rPr>
        <w:t>uniknięcie konieczności występowania przez ten podmiot z ponownym wnioskiem o udzielenie zezwolenia.</w:t>
      </w:r>
    </w:p>
    <w:p w14:paraId="07548534" w14:textId="3C827060" w:rsidR="000014D0" w:rsidRPr="006B2CD4" w:rsidRDefault="000014D0" w:rsidP="007820CA">
      <w:pPr>
        <w:shd w:val="clear" w:color="auto" w:fill="FFFFFF" w:themeFill="background1"/>
        <w:spacing w:after="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Przepisy ust. 3–4</w:t>
      </w:r>
      <w:r w:rsidR="007820CA">
        <w:rPr>
          <w:rFonts w:ascii="Times New Roman" w:hAnsi="Times New Roman" w:cs="Times New Roman"/>
          <w:bCs/>
          <w:iCs/>
          <w:sz w:val="24"/>
          <w:szCs w:val="24"/>
        </w:rPr>
        <w:t>c</w:t>
      </w:r>
      <w:r w:rsidRPr="006B2CD4">
        <w:rPr>
          <w:rFonts w:ascii="Times New Roman" w:hAnsi="Times New Roman" w:cs="Times New Roman"/>
          <w:bCs/>
          <w:iCs/>
          <w:sz w:val="24"/>
          <w:szCs w:val="24"/>
        </w:rPr>
        <w:t xml:space="preserve"> dotyczą wygaszania działalności maklerskiej przez podmiot, którego zezwolenie zostało cofnięte albo wygasło. W przypadku wygaśnięcia zezwolenia i cofnięcia zezwolenia firmie inwestycyjnej traci ona przymiot firmy inwestycyjnej –</w:t>
      </w:r>
      <w:r>
        <w:rPr>
          <w:rFonts w:ascii="Times New Roman" w:hAnsi="Times New Roman" w:cs="Times New Roman"/>
          <w:bCs/>
          <w:iCs/>
          <w:sz w:val="24"/>
          <w:szCs w:val="24"/>
        </w:rPr>
        <w:t xml:space="preserve"> </w:t>
      </w:r>
      <w:r w:rsidRPr="006B2CD4">
        <w:rPr>
          <w:rFonts w:ascii="Times New Roman" w:hAnsi="Times New Roman" w:cs="Times New Roman"/>
          <w:bCs/>
          <w:iCs/>
          <w:sz w:val="24"/>
          <w:szCs w:val="24"/>
        </w:rPr>
        <w:t xml:space="preserve">jest nadal uprawniona do prowadzenia działalności maklerskiej, ale tylko w zakresie zmierzającym do zakończenia tej działalności. Do czasu rozwiązania umów z klientami jest </w:t>
      </w:r>
      <w:r>
        <w:rPr>
          <w:rFonts w:ascii="Times New Roman" w:hAnsi="Times New Roman" w:cs="Times New Roman"/>
          <w:bCs/>
          <w:iCs/>
          <w:sz w:val="24"/>
          <w:szCs w:val="24"/>
        </w:rPr>
        <w:t xml:space="preserve">ona </w:t>
      </w:r>
      <w:r w:rsidRPr="006B2CD4">
        <w:rPr>
          <w:rFonts w:ascii="Times New Roman" w:hAnsi="Times New Roman" w:cs="Times New Roman"/>
          <w:bCs/>
          <w:iCs/>
          <w:sz w:val="24"/>
          <w:szCs w:val="24"/>
        </w:rPr>
        <w:t xml:space="preserve">zobowiązana do obsługiwania klientów, np. powinna wspierać ich w procesie przenoszenia środków i aktywów do innej firmy inwestycyjnej, wydawać niezbędne zaświadczenia i dokumenty. </w:t>
      </w:r>
    </w:p>
    <w:p w14:paraId="5086CE64" w14:textId="43F73D4D" w:rsidR="000014D0" w:rsidRPr="006B2CD4" w:rsidRDefault="000014D0" w:rsidP="00D82D69">
      <w:pPr>
        <w:shd w:val="clear" w:color="auto" w:fill="FFFFFF" w:themeFill="background1"/>
        <w:spacing w:after="12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W zakresie zezwolenia na prowadzenie rachunków papierów wartościowych, rejestrów i rachunków pieniężnych istnieje potrzeba doprecyzowania, na podstawie decyzji wydanej przez Komisję</w:t>
      </w:r>
      <w:r>
        <w:rPr>
          <w:rFonts w:ascii="Times New Roman" w:hAnsi="Times New Roman" w:cs="Times New Roman"/>
          <w:bCs/>
          <w:iCs/>
          <w:sz w:val="24"/>
          <w:szCs w:val="24"/>
        </w:rPr>
        <w:t xml:space="preserve">, </w:t>
      </w:r>
      <w:r w:rsidRPr="006B2CD4">
        <w:rPr>
          <w:rFonts w:ascii="Times New Roman" w:hAnsi="Times New Roman" w:cs="Times New Roman"/>
          <w:bCs/>
          <w:iCs/>
          <w:sz w:val="24"/>
          <w:szCs w:val="24"/>
        </w:rPr>
        <w:t>przeniesieniu na inną firmę inwestycyjną podlegają wszystkich rachunki, rejestry i ewidencje, które może prowadzić firma inwestycyjna w związku z posiadaniem zezwolenia na podstawie art. 69 ust. 4 pkt 1. Niezbędne jest także stworzenie możliwości przeniesienia akty</w:t>
      </w:r>
      <w:r w:rsidRPr="006B2CD4">
        <w:rPr>
          <w:rFonts w:ascii="Times New Roman" w:hAnsi="Times New Roman" w:cs="Times New Roman"/>
          <w:bCs/>
          <w:iCs/>
          <w:sz w:val="24"/>
          <w:szCs w:val="24"/>
        </w:rPr>
        <w:lastRenderedPageBreak/>
        <w:t xml:space="preserve">wów do więcej niż jednej firmy inwestycyjnej, w szczególności gdy działalność </w:t>
      </w:r>
      <w:r>
        <w:rPr>
          <w:rFonts w:ascii="Times New Roman" w:hAnsi="Times New Roman" w:cs="Times New Roman"/>
          <w:bCs/>
          <w:iCs/>
          <w:sz w:val="24"/>
          <w:szCs w:val="24"/>
        </w:rPr>
        <w:t>firmy inwestycyjnej</w:t>
      </w:r>
      <w:r w:rsidRPr="006B2CD4">
        <w:rPr>
          <w:rFonts w:ascii="Times New Roman" w:hAnsi="Times New Roman" w:cs="Times New Roman"/>
          <w:bCs/>
          <w:iCs/>
          <w:sz w:val="24"/>
          <w:szCs w:val="24"/>
        </w:rPr>
        <w:t>, któr</w:t>
      </w:r>
      <w:r>
        <w:rPr>
          <w:rFonts w:ascii="Times New Roman" w:hAnsi="Times New Roman" w:cs="Times New Roman"/>
          <w:bCs/>
          <w:iCs/>
          <w:sz w:val="24"/>
          <w:szCs w:val="24"/>
        </w:rPr>
        <w:t>a</w:t>
      </w:r>
      <w:r w:rsidRPr="006B2CD4">
        <w:rPr>
          <w:rFonts w:ascii="Times New Roman" w:hAnsi="Times New Roman" w:cs="Times New Roman"/>
          <w:bCs/>
          <w:iCs/>
          <w:sz w:val="24"/>
          <w:szCs w:val="24"/>
        </w:rPr>
        <w:t xml:space="preserve"> utracił zezwolenie, była bardzo szeroka i zróżnicowana, trudno jest znaleźć jedną firmę o podobnym profilu działalności. </w:t>
      </w:r>
      <w:r w:rsidR="00887B00" w:rsidRPr="00887B00">
        <w:rPr>
          <w:rFonts w:ascii="Times New Roman" w:hAnsi="Times New Roman" w:cs="Times New Roman"/>
          <w:bCs/>
          <w:iCs/>
          <w:sz w:val="24"/>
          <w:szCs w:val="24"/>
        </w:rPr>
        <w:t xml:space="preserve">W przypadku, gdy wobec określonych firm inwestycyjnych występuje konieczność zakończenia ich działalności w zakresie wynikającym z art. 69 ust. 4 pkt 1 ustawy o obrocie instrumentami finansowymi, czy to w wyniku decyzji KNF o cofnięciu lub ograniczeniu zezwolenia, czy też w wyniku własnej decyzji firmy inwestycyjnej, pozostaje do rozwiązania zagadnienie aktywów klientów, które były przechowywane/rejestrowane w danej firmie inwestycyjnej. W praktyce zawsze pozostaje część aktywów klientów, którzy nie podjęli aktywnie działań, aby przenieść swoje aktywa do innej firmy inwestycyjnej. Sytuacja taka wymusza konieczność przeniesienia takich aktywów władczym rozstrzygnięciem KNF. Najbardziej oczekiwaną opcją jest, że inne firmy inwestycyjne wyrażą chęć przejęcia tego rodzaju aktywów, może się jednak zdarzyć, że w odniesieniu do konkretnych przypadków czy do określonej grupy aktywów żadna firma inwestycyjna nie zadeklaruje zainteresowania. Powstaje wówczas trudna sytuacja, w której aktywa z firmy inwestycyjnej, która traci uprawnienie do ich dalszego przechowywania, muszą zostać odebrane, </w:t>
      </w:r>
      <w:r w:rsidR="00180917">
        <w:rPr>
          <w:rFonts w:ascii="Times New Roman" w:hAnsi="Times New Roman" w:cs="Times New Roman"/>
          <w:bCs/>
          <w:iCs/>
          <w:sz w:val="24"/>
          <w:szCs w:val="24"/>
        </w:rPr>
        <w:t xml:space="preserve">a </w:t>
      </w:r>
      <w:r w:rsidR="00887B00" w:rsidRPr="00887B00">
        <w:rPr>
          <w:rFonts w:ascii="Times New Roman" w:hAnsi="Times New Roman" w:cs="Times New Roman"/>
          <w:bCs/>
          <w:iCs/>
          <w:sz w:val="24"/>
          <w:szCs w:val="24"/>
        </w:rPr>
        <w:t xml:space="preserve">taki podmiot nie będzie zapewniał bezpiecznego przechowywania aktywów, nie będzie posiadał do tego celu tytułu prawnego ani uprawnień, nie będą na nim ciążyły żadne obowiązki ani wymogi dla prawidłowego prowadzenia takiej działalności, jednocześnie KNF utraci uprawnienia nadzorcze nad takim podmiotem. W celu zapewnienia bezpieczeństwa aktywów klientów, najczęściej nieprofesjonalnych uczestników rynku finansowego, zasadne jest wyposażenie KNF w </w:t>
      </w:r>
      <w:r w:rsidR="00887B00" w:rsidRPr="00887B00">
        <w:rPr>
          <w:rFonts w:ascii="Times New Roman" w:hAnsi="Times New Roman" w:cs="Times New Roman"/>
          <w:bCs/>
          <w:iCs/>
          <w:sz w:val="24"/>
          <w:szCs w:val="24"/>
        </w:rPr>
        <w:lastRenderedPageBreak/>
        <w:t>kompetencje, które pozwolą nawet w skrajnie trudnej sytuacji zap</w:t>
      </w:r>
      <w:r w:rsidR="00D82D69">
        <w:rPr>
          <w:rFonts w:ascii="Times New Roman" w:hAnsi="Times New Roman" w:cs="Times New Roman"/>
          <w:bCs/>
          <w:iCs/>
          <w:sz w:val="24"/>
          <w:szCs w:val="24"/>
        </w:rPr>
        <w:t>ewnić ochronę aktywów klientów.</w:t>
      </w:r>
    </w:p>
    <w:p w14:paraId="5EA8BC80" w14:textId="4EC52734" w:rsidR="000014D0" w:rsidRPr="006B2CD4" w:rsidRDefault="000014D0" w:rsidP="000014D0">
      <w:pPr>
        <w:shd w:val="clear" w:color="auto" w:fill="FFFFFF" w:themeFill="background1"/>
        <w:spacing w:after="12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 xml:space="preserve">Proponowane ust. 6 i 7 regulują sytuację utraty lub zawieszenia uprawnienia banku do prowadzenia działalności, o której mowa w art. 69 ust. 2, </w:t>
      </w:r>
      <w:r>
        <w:rPr>
          <w:rFonts w:ascii="Times New Roman" w:hAnsi="Times New Roman" w:cs="Times New Roman"/>
          <w:bCs/>
          <w:iCs/>
          <w:sz w:val="24"/>
          <w:szCs w:val="24"/>
        </w:rPr>
        <w:t xml:space="preserve">działalności </w:t>
      </w:r>
      <w:r w:rsidRPr="006B2CD4">
        <w:rPr>
          <w:rFonts w:ascii="Times New Roman" w:hAnsi="Times New Roman" w:cs="Times New Roman"/>
          <w:bCs/>
          <w:iCs/>
          <w:sz w:val="24"/>
          <w:szCs w:val="24"/>
        </w:rPr>
        <w:t>wykonywa</w:t>
      </w:r>
      <w:r>
        <w:rPr>
          <w:rFonts w:ascii="Times New Roman" w:hAnsi="Times New Roman" w:cs="Times New Roman"/>
          <w:bCs/>
          <w:iCs/>
          <w:sz w:val="24"/>
          <w:szCs w:val="24"/>
        </w:rPr>
        <w:t xml:space="preserve">nej przez bank </w:t>
      </w:r>
      <w:r w:rsidRPr="006B2CD4">
        <w:rPr>
          <w:rFonts w:ascii="Times New Roman" w:hAnsi="Times New Roman" w:cs="Times New Roman"/>
          <w:bCs/>
          <w:iCs/>
          <w:sz w:val="24"/>
          <w:szCs w:val="24"/>
        </w:rPr>
        <w:t xml:space="preserve">na zasadach określonych w art. 111 lub art. 69 ust. 2 pkt 1–7, </w:t>
      </w:r>
      <w:r>
        <w:rPr>
          <w:rFonts w:ascii="Times New Roman" w:hAnsi="Times New Roman" w:cs="Times New Roman"/>
          <w:bCs/>
          <w:iCs/>
          <w:sz w:val="24"/>
          <w:szCs w:val="24"/>
        </w:rPr>
        <w:t xml:space="preserve">działalności </w:t>
      </w:r>
      <w:r w:rsidRPr="006B2CD4">
        <w:rPr>
          <w:rFonts w:ascii="Times New Roman" w:hAnsi="Times New Roman" w:cs="Times New Roman"/>
          <w:bCs/>
          <w:iCs/>
          <w:sz w:val="24"/>
          <w:szCs w:val="24"/>
        </w:rPr>
        <w:t>wykonywa</w:t>
      </w:r>
      <w:r>
        <w:rPr>
          <w:rFonts w:ascii="Times New Roman" w:hAnsi="Times New Roman" w:cs="Times New Roman"/>
          <w:bCs/>
          <w:iCs/>
          <w:sz w:val="24"/>
          <w:szCs w:val="24"/>
        </w:rPr>
        <w:t xml:space="preserve">nej przez bank </w:t>
      </w:r>
      <w:r w:rsidRPr="006B2CD4">
        <w:rPr>
          <w:rFonts w:ascii="Times New Roman" w:hAnsi="Times New Roman" w:cs="Times New Roman"/>
          <w:bCs/>
          <w:iCs/>
          <w:sz w:val="24"/>
          <w:szCs w:val="24"/>
        </w:rPr>
        <w:t>zgodnie z art. 70 ust. 2 lub w art. 69 ust. 4, lub którą bank wykonywał w związku z czynności</w:t>
      </w:r>
      <w:r>
        <w:rPr>
          <w:rFonts w:ascii="Times New Roman" w:hAnsi="Times New Roman" w:cs="Times New Roman"/>
          <w:bCs/>
          <w:iCs/>
          <w:sz w:val="24"/>
          <w:szCs w:val="24"/>
        </w:rPr>
        <w:t>ami</w:t>
      </w:r>
      <w:r w:rsidRPr="006B2CD4">
        <w:rPr>
          <w:rFonts w:ascii="Times New Roman" w:hAnsi="Times New Roman" w:cs="Times New Roman"/>
          <w:bCs/>
          <w:iCs/>
          <w:sz w:val="24"/>
          <w:szCs w:val="24"/>
        </w:rPr>
        <w:t>, o których mowa w art. </w:t>
      </w:r>
      <w:r w:rsidRPr="008C3E85">
        <w:rPr>
          <w:rFonts w:ascii="Times New Roman" w:hAnsi="Times New Roman" w:cs="Times New Roman"/>
          <w:bCs/>
          <w:iCs/>
          <w:sz w:val="24"/>
          <w:szCs w:val="24"/>
        </w:rPr>
        <w:t>69 ust. 2</w:t>
      </w:r>
      <w:r w:rsidR="008C3E85" w:rsidRPr="008C3E85">
        <w:rPr>
          <w:rFonts w:ascii="Times New Roman" w:hAnsi="Times New Roman" w:cs="Times New Roman"/>
          <w:bCs/>
          <w:iCs/>
          <w:sz w:val="24"/>
          <w:szCs w:val="24"/>
        </w:rPr>
        <w:t xml:space="preserve">, czyli </w:t>
      </w:r>
      <w:r w:rsidR="008C3E85" w:rsidRPr="00D82D69">
        <w:rPr>
          <w:rFonts w:ascii="Times New Roman" w:hAnsi="Times New Roman" w:cs="Times New Roman"/>
          <w:sz w:val="24"/>
          <w:szCs w:val="24"/>
        </w:rPr>
        <w:t xml:space="preserve">przyjmowaniu i przekazywaniu zleceń nabycia lub </w:t>
      </w:r>
      <w:r w:rsidR="008C3E85" w:rsidRPr="008C3E85">
        <w:rPr>
          <w:rFonts w:ascii="Times New Roman" w:hAnsi="Times New Roman" w:cs="Times New Roman"/>
          <w:sz w:val="24"/>
          <w:szCs w:val="24"/>
        </w:rPr>
        <w:t>zbycia instrumentów finansowych na rachunek przyjmuj</w:t>
      </w:r>
      <w:r w:rsidR="008C3E85">
        <w:rPr>
          <w:rFonts w:ascii="Times New Roman" w:hAnsi="Times New Roman" w:cs="Times New Roman"/>
          <w:sz w:val="24"/>
          <w:szCs w:val="24"/>
        </w:rPr>
        <w:t>ącego zlecenie.</w:t>
      </w:r>
      <w:r w:rsidR="008C3E85" w:rsidRPr="00D82D69">
        <w:rPr>
          <w:sz w:val="24"/>
          <w:szCs w:val="23"/>
        </w:rPr>
        <w:t xml:space="preserve"> </w:t>
      </w:r>
    </w:p>
    <w:p w14:paraId="0A54631A" w14:textId="717DDDEC" w:rsidR="000014D0" w:rsidRDefault="000014D0" w:rsidP="000014D0">
      <w:pPr>
        <w:shd w:val="clear" w:color="auto" w:fill="FFFFFF" w:themeFill="background1"/>
        <w:spacing w:after="12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Zmiany w art. 91 ust. 1</w:t>
      </w:r>
      <w:r w:rsidR="002A4DC3">
        <w:rPr>
          <w:rFonts w:ascii="Times New Roman" w:hAnsi="Times New Roman" w:cs="Times New Roman"/>
          <w:bCs/>
          <w:iCs/>
          <w:sz w:val="24"/>
          <w:szCs w:val="24"/>
        </w:rPr>
        <w:t>, 1a</w:t>
      </w:r>
      <w:r w:rsidRPr="006B2CD4">
        <w:rPr>
          <w:rFonts w:ascii="Times New Roman" w:hAnsi="Times New Roman" w:cs="Times New Roman"/>
          <w:bCs/>
          <w:iCs/>
          <w:sz w:val="24"/>
          <w:szCs w:val="24"/>
        </w:rPr>
        <w:t xml:space="preserve"> i 3 stanowią dostosowanie do art. 5 ust. 3 </w:t>
      </w:r>
      <w:r w:rsidR="007820CA">
        <w:rPr>
          <w:rFonts w:ascii="Times New Roman" w:hAnsi="Times New Roman" w:cs="Times New Roman"/>
          <w:bCs/>
          <w:iCs/>
          <w:sz w:val="24"/>
          <w:szCs w:val="24"/>
        </w:rPr>
        <w:t xml:space="preserve">dyrektywy </w:t>
      </w:r>
      <w:r w:rsidRPr="006B2CD4">
        <w:rPr>
          <w:rFonts w:ascii="Times New Roman" w:hAnsi="Times New Roman" w:cs="Times New Roman"/>
          <w:bCs/>
          <w:iCs/>
          <w:sz w:val="24"/>
          <w:szCs w:val="24"/>
        </w:rPr>
        <w:t>MiFID II</w:t>
      </w:r>
      <w:r>
        <w:rPr>
          <w:rFonts w:ascii="Times New Roman" w:hAnsi="Times New Roman" w:cs="Times New Roman"/>
          <w:bCs/>
          <w:iCs/>
          <w:sz w:val="24"/>
          <w:szCs w:val="24"/>
        </w:rPr>
        <w:t xml:space="preserve"> – </w:t>
      </w:r>
      <w:r w:rsidRPr="006B2CD4">
        <w:rPr>
          <w:rFonts w:ascii="Times New Roman" w:hAnsi="Times New Roman" w:cs="Times New Roman"/>
          <w:bCs/>
          <w:iCs/>
          <w:sz w:val="24"/>
          <w:szCs w:val="24"/>
        </w:rPr>
        <w:t xml:space="preserve">KNF prowadzi rejestr firm inwestycyjnych, które posiadają zezwolenie </w:t>
      </w:r>
      <w:r w:rsidR="007820CA">
        <w:rPr>
          <w:rFonts w:ascii="Times New Roman" w:hAnsi="Times New Roman" w:cs="Times New Roman"/>
          <w:bCs/>
          <w:iCs/>
          <w:sz w:val="24"/>
          <w:szCs w:val="24"/>
        </w:rPr>
        <w:t>na</w:t>
      </w:r>
      <w:r w:rsidR="002A269C">
        <w:rPr>
          <w:rFonts w:ascii="Times New Roman" w:hAnsi="Times New Roman" w:cs="Times New Roman"/>
          <w:bCs/>
          <w:iCs/>
          <w:sz w:val="24"/>
          <w:szCs w:val="24"/>
        </w:rPr>
        <w:t xml:space="preserve"> prowadzenie działalności maklerskiej</w:t>
      </w:r>
      <w:r w:rsidRPr="006B2CD4">
        <w:rPr>
          <w:rFonts w:ascii="Times New Roman" w:hAnsi="Times New Roman" w:cs="Times New Roman"/>
          <w:bCs/>
          <w:iCs/>
          <w:sz w:val="24"/>
          <w:szCs w:val="24"/>
        </w:rPr>
        <w:t>, a nie firm, które wykonują działalnoś</w:t>
      </w:r>
      <w:r>
        <w:rPr>
          <w:rFonts w:ascii="Times New Roman" w:hAnsi="Times New Roman" w:cs="Times New Roman"/>
          <w:bCs/>
          <w:iCs/>
          <w:sz w:val="24"/>
          <w:szCs w:val="24"/>
        </w:rPr>
        <w:t>ć</w:t>
      </w:r>
      <w:r w:rsidRPr="006B2CD4">
        <w:rPr>
          <w:rFonts w:ascii="Times New Roman" w:hAnsi="Times New Roman" w:cs="Times New Roman"/>
          <w:bCs/>
          <w:iCs/>
          <w:sz w:val="24"/>
          <w:szCs w:val="24"/>
        </w:rPr>
        <w:t xml:space="preserve"> na terytorium Rzeczypospolitej Polskiej</w:t>
      </w:r>
      <w:r w:rsidR="00FB33FD">
        <w:rPr>
          <w:rFonts w:ascii="Times New Roman" w:hAnsi="Times New Roman" w:cs="Times New Roman"/>
          <w:bCs/>
          <w:iCs/>
          <w:sz w:val="24"/>
          <w:szCs w:val="24"/>
        </w:rPr>
        <w:t xml:space="preserve">. Podobny rejestr powinien być prowadzony w stosunku do banków </w:t>
      </w:r>
      <w:r w:rsidR="00D82D69">
        <w:rPr>
          <w:rFonts w:ascii="Times New Roman" w:hAnsi="Times New Roman" w:cs="Times New Roman"/>
          <w:bCs/>
          <w:iCs/>
          <w:sz w:val="24"/>
          <w:szCs w:val="24"/>
        </w:rPr>
        <w:t>państwowych</w:t>
      </w:r>
      <w:r w:rsidR="00FB33FD">
        <w:rPr>
          <w:rFonts w:ascii="Times New Roman" w:hAnsi="Times New Roman" w:cs="Times New Roman"/>
          <w:bCs/>
          <w:iCs/>
          <w:sz w:val="24"/>
          <w:szCs w:val="24"/>
        </w:rPr>
        <w:t>, co zostało uwzględnione w ust. 3</w:t>
      </w:r>
      <w:r w:rsidR="00D82D69">
        <w:rPr>
          <w:rFonts w:ascii="Times New Roman" w:hAnsi="Times New Roman" w:cs="Times New Roman"/>
          <w:bCs/>
          <w:iCs/>
          <w:sz w:val="24"/>
          <w:szCs w:val="24"/>
        </w:rPr>
        <w:t>.</w:t>
      </w:r>
    </w:p>
    <w:p w14:paraId="10ED2B99" w14:textId="6DEA40CF" w:rsidR="00E9749C" w:rsidRPr="006B2CD4" w:rsidRDefault="00E9749C" w:rsidP="000014D0">
      <w:pPr>
        <w:shd w:val="clear" w:color="auto" w:fill="FFFFFF" w:themeFill="background1"/>
        <w:spacing w:after="120" w:line="36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W art. 94 </w:t>
      </w:r>
      <w:r w:rsidR="007820CA">
        <w:rPr>
          <w:rFonts w:ascii="Times New Roman" w:hAnsi="Times New Roman" w:cs="Times New Roman"/>
          <w:bCs/>
          <w:iCs/>
          <w:sz w:val="24"/>
          <w:szCs w:val="24"/>
        </w:rPr>
        <w:t xml:space="preserve">ust. 1 pkt 1 i 3–5, ust. 2 i ust. 4 </w:t>
      </w:r>
      <w:r>
        <w:rPr>
          <w:rFonts w:ascii="Times New Roman" w:hAnsi="Times New Roman" w:cs="Times New Roman"/>
          <w:bCs/>
          <w:iCs/>
          <w:sz w:val="24"/>
          <w:szCs w:val="24"/>
        </w:rPr>
        <w:t xml:space="preserve">przewidziane zostały zmiany wynikowe związane z jednolitą licencją bankową dla banków państwowych. </w:t>
      </w:r>
      <w:r w:rsidRPr="00142E2D">
        <w:rPr>
          <w:rFonts w:ascii="Times New Roman" w:hAnsi="Times New Roman" w:cs="Times New Roman"/>
          <w:bCs/>
          <w:iCs/>
          <w:sz w:val="24"/>
          <w:szCs w:val="24"/>
        </w:rPr>
        <w:t>W celu podniesienia poziomu cyfryzacji propo</w:t>
      </w:r>
      <w:r>
        <w:rPr>
          <w:rFonts w:ascii="Times New Roman" w:hAnsi="Times New Roman" w:cs="Times New Roman"/>
          <w:bCs/>
          <w:iCs/>
          <w:sz w:val="24"/>
          <w:szCs w:val="24"/>
        </w:rPr>
        <w:t>nowane jest dodatkowo dodanie do art. 94 u</w:t>
      </w:r>
      <w:r w:rsidRPr="00142E2D">
        <w:rPr>
          <w:rFonts w:ascii="Times New Roman" w:hAnsi="Times New Roman" w:cs="Times New Roman"/>
          <w:bCs/>
          <w:iCs/>
          <w:sz w:val="24"/>
          <w:szCs w:val="24"/>
        </w:rPr>
        <w:t xml:space="preserve">stawy </w:t>
      </w:r>
      <w:r>
        <w:rPr>
          <w:rFonts w:ascii="Times New Roman" w:hAnsi="Times New Roman" w:cs="Times New Roman"/>
          <w:bCs/>
          <w:iCs/>
          <w:sz w:val="24"/>
          <w:szCs w:val="24"/>
        </w:rPr>
        <w:t xml:space="preserve">o obrocie </w:t>
      </w:r>
      <w:r w:rsidRPr="00142E2D">
        <w:rPr>
          <w:rFonts w:ascii="Times New Roman" w:hAnsi="Times New Roman" w:cs="Times New Roman"/>
          <w:bCs/>
          <w:iCs/>
          <w:sz w:val="24"/>
          <w:szCs w:val="24"/>
        </w:rPr>
        <w:t xml:space="preserve">ust. 4, dzięki któremu forma elektroniczna stanie się podstawową formą sprawozdawczości firm inwestycyjnych, banków powierniczych, banków prowadzący działalność na podstawie art. 70 ust. 2 </w:t>
      </w:r>
      <w:r>
        <w:rPr>
          <w:rFonts w:ascii="Times New Roman" w:hAnsi="Times New Roman" w:cs="Times New Roman"/>
          <w:bCs/>
          <w:iCs/>
          <w:sz w:val="24"/>
          <w:szCs w:val="24"/>
        </w:rPr>
        <w:t>tej ustawy</w:t>
      </w:r>
      <w:r w:rsidRPr="00142E2D">
        <w:rPr>
          <w:rFonts w:ascii="Times New Roman" w:hAnsi="Times New Roman" w:cs="Times New Roman"/>
          <w:bCs/>
          <w:iCs/>
          <w:sz w:val="24"/>
          <w:szCs w:val="24"/>
        </w:rPr>
        <w:t xml:space="preserve"> lub agentów firmy inwestycyjnej.</w:t>
      </w:r>
    </w:p>
    <w:p w14:paraId="626AA5CC" w14:textId="163F3887" w:rsidR="000014D0" w:rsidRDefault="000014D0" w:rsidP="00D82D69">
      <w:pPr>
        <w:shd w:val="clear" w:color="auto" w:fill="FFFFFF" w:themeFill="background1"/>
        <w:spacing w:after="12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lastRenderedPageBreak/>
        <w:t xml:space="preserve">Zmiany w </w:t>
      </w:r>
      <w:r w:rsidRPr="006B2CD4">
        <w:rPr>
          <w:rFonts w:ascii="Times New Roman" w:hAnsi="Times New Roman" w:cs="Times New Roman"/>
          <w:bCs/>
          <w:iCs/>
          <w:color w:val="000000" w:themeColor="text1"/>
          <w:sz w:val="24"/>
          <w:szCs w:val="24"/>
        </w:rPr>
        <w:t xml:space="preserve">art. 102a ust. 1 </w:t>
      </w:r>
      <w:r w:rsidRPr="006B2CD4">
        <w:rPr>
          <w:rFonts w:ascii="Times New Roman" w:hAnsi="Times New Roman" w:cs="Times New Roman"/>
          <w:bCs/>
          <w:iCs/>
          <w:sz w:val="24"/>
          <w:szCs w:val="24"/>
        </w:rPr>
        <w:t xml:space="preserve">ustanawiają wymóg uprzedniej zgody KNF na powierzenie pełnienia funkcji w organach podmiotu – dotyczy to powierzenia funkcji prezesa lub członka zarządu odpowiedzialnego za nadzorowanie systemu zarządzania ryzykiem. </w:t>
      </w:r>
      <w:r w:rsidR="00CA6002" w:rsidRPr="00CA6002">
        <w:rPr>
          <w:rFonts w:ascii="Times New Roman" w:hAnsi="Times New Roman" w:cs="Times New Roman"/>
          <w:bCs/>
          <w:iCs/>
          <w:sz w:val="24"/>
          <w:szCs w:val="24"/>
        </w:rPr>
        <w:t>W zakresie zgody na powierzenie do pełnienia funkcji prezesa lub członka zarządu ds. ryzyka, zauważenia wymaga, że obecnie brzmienie art. 102a umożliwia wydanie zgody jedynie na powołanie do pełnienia funkcji prezesa zarządu lub członka zarządu odpowiedzialnego na zarządzanie ryzykiem</w:t>
      </w:r>
      <w:r w:rsidR="002A4DC3">
        <w:rPr>
          <w:rFonts w:ascii="Times New Roman" w:hAnsi="Times New Roman" w:cs="Times New Roman"/>
          <w:bCs/>
          <w:iCs/>
          <w:sz w:val="24"/>
          <w:szCs w:val="24"/>
        </w:rPr>
        <w:t xml:space="preserve"> </w:t>
      </w:r>
      <w:r w:rsidR="00CA6002" w:rsidRPr="00CA6002">
        <w:rPr>
          <w:rFonts w:ascii="Times New Roman" w:hAnsi="Times New Roman" w:cs="Times New Roman"/>
          <w:bCs/>
          <w:iCs/>
          <w:sz w:val="24"/>
          <w:szCs w:val="24"/>
        </w:rPr>
        <w:t>domu maklerskiego</w:t>
      </w:r>
      <w:r w:rsidR="002A4DC3">
        <w:rPr>
          <w:rFonts w:ascii="Times New Roman" w:hAnsi="Times New Roman" w:cs="Times New Roman"/>
          <w:bCs/>
          <w:iCs/>
          <w:sz w:val="24"/>
          <w:szCs w:val="24"/>
        </w:rPr>
        <w:t>,</w:t>
      </w:r>
      <w:r w:rsidR="00CA6002" w:rsidRPr="00CA6002">
        <w:rPr>
          <w:rFonts w:ascii="Times New Roman" w:hAnsi="Times New Roman" w:cs="Times New Roman"/>
          <w:bCs/>
          <w:iCs/>
          <w:sz w:val="24"/>
          <w:szCs w:val="24"/>
        </w:rPr>
        <w:t xml:space="preserve"> natomiast nie obejmuje przypadków, kiedy osoba, której sprawa dotyczy,</w:t>
      </w:r>
      <w:r w:rsidR="007C389F">
        <w:rPr>
          <w:rFonts w:ascii="Times New Roman" w:hAnsi="Times New Roman" w:cs="Times New Roman"/>
          <w:bCs/>
          <w:iCs/>
          <w:sz w:val="24"/>
          <w:szCs w:val="24"/>
        </w:rPr>
        <w:t xml:space="preserve"> </w:t>
      </w:r>
      <w:r w:rsidR="00CA6002" w:rsidRPr="00CA6002">
        <w:rPr>
          <w:rFonts w:ascii="Times New Roman" w:hAnsi="Times New Roman" w:cs="Times New Roman"/>
          <w:bCs/>
          <w:iCs/>
          <w:sz w:val="24"/>
          <w:szCs w:val="24"/>
        </w:rPr>
        <w:t>wchodzi w skład zarządu</w:t>
      </w:r>
      <w:r w:rsidR="002A4DC3">
        <w:rPr>
          <w:rFonts w:ascii="Times New Roman" w:hAnsi="Times New Roman" w:cs="Times New Roman"/>
          <w:bCs/>
          <w:iCs/>
          <w:sz w:val="24"/>
          <w:szCs w:val="24"/>
        </w:rPr>
        <w:t>,</w:t>
      </w:r>
      <w:r w:rsidR="00CA6002" w:rsidRPr="00CA6002">
        <w:rPr>
          <w:rFonts w:ascii="Times New Roman" w:hAnsi="Times New Roman" w:cs="Times New Roman"/>
          <w:bCs/>
          <w:iCs/>
          <w:sz w:val="24"/>
          <w:szCs w:val="24"/>
        </w:rPr>
        <w:t xml:space="preserve"> a planowana zmiana polega na powierzaniu jej tych kluczowych funkcji w domu maklerskim</w:t>
      </w:r>
      <w:r w:rsidR="00CA6002">
        <w:rPr>
          <w:rFonts w:ascii="Times New Roman" w:hAnsi="Times New Roman" w:cs="Times New Roman"/>
          <w:bCs/>
          <w:iCs/>
          <w:sz w:val="24"/>
          <w:szCs w:val="24"/>
        </w:rPr>
        <w:t>. W tym kontekście w</w:t>
      </w:r>
      <w:r w:rsidR="00CA6002" w:rsidRPr="00CA6002">
        <w:rPr>
          <w:rFonts w:ascii="Times New Roman" w:hAnsi="Times New Roman" w:cs="Times New Roman"/>
          <w:bCs/>
          <w:iCs/>
          <w:sz w:val="24"/>
          <w:szCs w:val="24"/>
        </w:rPr>
        <w:t xml:space="preserve"> ust. 4a rozszerzono odpowiednio obowiązek informacyjny wobec KNF</w:t>
      </w:r>
      <w:r w:rsidR="00CA6002">
        <w:rPr>
          <w:rFonts w:ascii="Times New Roman" w:hAnsi="Times New Roman" w:cs="Times New Roman"/>
          <w:bCs/>
          <w:iCs/>
          <w:sz w:val="24"/>
          <w:szCs w:val="24"/>
        </w:rPr>
        <w:t xml:space="preserve"> w tym zakresie</w:t>
      </w:r>
      <w:r w:rsidR="00CA6002" w:rsidRPr="00CA6002">
        <w:rPr>
          <w:rFonts w:ascii="Times New Roman" w:hAnsi="Times New Roman" w:cs="Times New Roman"/>
          <w:bCs/>
          <w:iCs/>
          <w:sz w:val="24"/>
          <w:szCs w:val="24"/>
        </w:rPr>
        <w:t>.</w:t>
      </w:r>
      <w:r w:rsidR="00CA6002">
        <w:rPr>
          <w:rFonts w:ascii="Times New Roman" w:hAnsi="Times New Roman" w:cs="Times New Roman"/>
          <w:bCs/>
          <w:iCs/>
          <w:sz w:val="24"/>
          <w:szCs w:val="24"/>
        </w:rPr>
        <w:t xml:space="preserve"> Ponadto art. 102a ust. 5 przewiduje, że KNF</w:t>
      </w:r>
      <w:r w:rsidR="00CA6002" w:rsidRPr="00CA6002">
        <w:rPr>
          <w:rFonts w:ascii="Times New Roman" w:hAnsi="Times New Roman" w:cs="Times New Roman"/>
          <w:bCs/>
          <w:iCs/>
          <w:sz w:val="24"/>
          <w:szCs w:val="24"/>
        </w:rPr>
        <w:t xml:space="preserve"> może w decyzji określić termin na powolnie lub powierzenie funkcji, którego niedotrzymanie powoduje wygaśniecie decyzji.</w:t>
      </w:r>
    </w:p>
    <w:p w14:paraId="0D25913F" w14:textId="5B6E700E" w:rsidR="000014D0" w:rsidRPr="006B2CD4" w:rsidRDefault="000014D0" w:rsidP="000014D0">
      <w:pPr>
        <w:shd w:val="clear" w:color="auto" w:fill="FFFFFF" w:themeFill="background1"/>
        <w:spacing w:after="12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W art. 102b ust. 1 wprowadza się obowiązek obsadzenia funkcji prezesa zarządu</w:t>
      </w:r>
      <w:r w:rsidR="007820CA">
        <w:rPr>
          <w:rFonts w:ascii="Times New Roman" w:hAnsi="Times New Roman" w:cs="Times New Roman"/>
          <w:bCs/>
          <w:iCs/>
          <w:sz w:val="24"/>
          <w:szCs w:val="24"/>
        </w:rPr>
        <w:t xml:space="preserve"> domu maklerskiego</w:t>
      </w:r>
      <w:r w:rsidRPr="006B2CD4">
        <w:rPr>
          <w:rFonts w:ascii="Times New Roman" w:hAnsi="Times New Roman" w:cs="Times New Roman"/>
          <w:bCs/>
          <w:iCs/>
          <w:sz w:val="24"/>
          <w:szCs w:val="24"/>
        </w:rPr>
        <w:t>.</w:t>
      </w:r>
    </w:p>
    <w:p w14:paraId="7541E66A" w14:textId="2FE35584" w:rsidR="000014D0" w:rsidRDefault="000014D0" w:rsidP="000014D0">
      <w:pPr>
        <w:shd w:val="clear" w:color="auto" w:fill="FFFFFF" w:themeFill="background1"/>
        <w:spacing w:after="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 xml:space="preserve">Zmiana art. 106 ust. 7 polega na doprecyzowaniu, że przedmiotem porozumienia jest nie tylko sposób wykonywania prawa głosu, lecz również samo nabycie albo objęcie akcji lub praw z akcji domu maklerskiego. </w:t>
      </w:r>
    </w:p>
    <w:p w14:paraId="7C316A1D" w14:textId="77777777" w:rsidR="000014D0" w:rsidRPr="006B2CD4" w:rsidRDefault="000014D0" w:rsidP="000E1719">
      <w:pPr>
        <w:shd w:val="clear" w:color="auto" w:fill="FFFFFF" w:themeFill="background1"/>
        <w:spacing w:after="12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 xml:space="preserve">W ust. 7a określono przypadki, w których należy domniemywać istnienie porozumienia, którego przedmiotem jest wykonywanie prawa głosu z akcji. </w:t>
      </w:r>
    </w:p>
    <w:p w14:paraId="0EC0D33F" w14:textId="00EE4F11" w:rsidR="000014D0" w:rsidRPr="006B2CD4" w:rsidRDefault="000014D0" w:rsidP="000E1719">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lastRenderedPageBreak/>
        <w:t xml:space="preserve">Zmiana w art. 106i ust. 2 ma na celu dostosowanie przepisu do zmian wprowadzonych w analogicznych przepisach zawartych w ustawie </w:t>
      </w:r>
      <w:r w:rsidRPr="006B2CD4">
        <w:rPr>
          <w:rFonts w:ascii="Times New Roman" w:hAnsi="Times New Roman" w:cs="Times New Roman"/>
          <w:sz w:val="24"/>
          <w:szCs w:val="24"/>
        </w:rPr>
        <w:t xml:space="preserve">‒ </w:t>
      </w:r>
      <w:r w:rsidRPr="006B2CD4">
        <w:rPr>
          <w:rFonts w:ascii="Times New Roman" w:hAnsi="Times New Roman" w:cs="Times New Roman"/>
          <w:bCs/>
          <w:sz w:val="24"/>
          <w:szCs w:val="24"/>
        </w:rPr>
        <w:t>Prawo bankowe, ustawie o funduszach inwestycyjnych oraz ustawie o działalności ubezpieczeniowej i reasekuracyjnej, które dotyczą doręczania decyzji KNF w sprawie zgłoszenia sprzeciwu wobec zamiaru nabycia akcji instytucji finansowych.</w:t>
      </w:r>
      <w:r w:rsidR="00FB33FD">
        <w:rPr>
          <w:rFonts w:ascii="Times New Roman" w:hAnsi="Times New Roman" w:cs="Times New Roman"/>
          <w:bCs/>
          <w:sz w:val="24"/>
          <w:szCs w:val="24"/>
        </w:rPr>
        <w:t xml:space="preserve"> Doręczenie takie będzie mogło być teraz doręczone również za pomocą poczty elektronicznej. </w:t>
      </w:r>
    </w:p>
    <w:p w14:paraId="247ACF4B" w14:textId="2D39F613" w:rsidR="00E60DAA" w:rsidRPr="00142E2D" w:rsidRDefault="000014D0" w:rsidP="00931BC4">
      <w:pPr>
        <w:shd w:val="clear" w:color="auto" w:fill="FFFFFF" w:themeFill="background1"/>
        <w:spacing w:after="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 xml:space="preserve">Przepis art. 110zo ust. 1a i 4 wymaga uzupełnienia o wskazanie, że w przypadku uruchamiania planu naprawy </w:t>
      </w:r>
      <w:r w:rsidR="00FB33FD">
        <w:rPr>
          <w:rFonts w:ascii="Times New Roman" w:hAnsi="Times New Roman" w:cs="Times New Roman"/>
          <w:bCs/>
          <w:iCs/>
          <w:sz w:val="24"/>
          <w:szCs w:val="24"/>
        </w:rPr>
        <w:t xml:space="preserve">lub grupowego planu naprawy </w:t>
      </w:r>
      <w:r w:rsidRPr="006B2CD4">
        <w:rPr>
          <w:rFonts w:ascii="Times New Roman" w:hAnsi="Times New Roman" w:cs="Times New Roman"/>
          <w:bCs/>
          <w:iCs/>
          <w:sz w:val="24"/>
          <w:szCs w:val="24"/>
        </w:rPr>
        <w:t>przez dom maklerski, KNF powinna być informowana o tym fakcie. Decyzja domu maklerskiego powinna być podejmowana w formie uchwały zarządu.</w:t>
      </w:r>
      <w:r w:rsidR="00E60DAA" w:rsidRPr="00E60DAA">
        <w:rPr>
          <w:rFonts w:ascii="Times New Roman" w:hAnsi="Times New Roman"/>
          <w:sz w:val="24"/>
          <w:szCs w:val="24"/>
        </w:rPr>
        <w:t xml:space="preserve"> Zmiana ma na celu ujednolicenie brzmienia ust. </w:t>
      </w:r>
      <w:r w:rsidR="00931BC4">
        <w:rPr>
          <w:rFonts w:ascii="Times New Roman" w:hAnsi="Times New Roman"/>
          <w:sz w:val="24"/>
          <w:szCs w:val="24"/>
        </w:rPr>
        <w:t xml:space="preserve">4 z obecnym brzmieniem ust. </w:t>
      </w:r>
      <w:r w:rsidR="00E60DAA" w:rsidRPr="00E60DAA">
        <w:rPr>
          <w:rFonts w:ascii="Times New Roman" w:hAnsi="Times New Roman"/>
          <w:sz w:val="24"/>
          <w:szCs w:val="24"/>
        </w:rPr>
        <w:t>1. Konieczna jest również zmiana alternatywy rozłącznej na łączną „lub”, ponieważ dom maklerski może być objęty zarówno jednostkowym jak i grupowym planem naprawy.</w:t>
      </w:r>
    </w:p>
    <w:p w14:paraId="1D425713" w14:textId="2B40D6D1" w:rsidR="000014D0" w:rsidRPr="006B2CD4" w:rsidRDefault="000014D0" w:rsidP="00931BC4">
      <w:pPr>
        <w:shd w:val="clear" w:color="auto" w:fill="FFFFFF" w:themeFill="background1"/>
        <w:spacing w:after="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W art. 111</w:t>
      </w:r>
      <w:r w:rsidR="002A4DC3">
        <w:rPr>
          <w:rFonts w:ascii="Times New Roman" w:hAnsi="Times New Roman" w:cs="Times New Roman"/>
          <w:bCs/>
          <w:iCs/>
          <w:sz w:val="24"/>
          <w:szCs w:val="24"/>
        </w:rPr>
        <w:t>,</w:t>
      </w:r>
      <w:r w:rsidRPr="006B2CD4">
        <w:rPr>
          <w:rFonts w:ascii="Times New Roman" w:hAnsi="Times New Roman" w:cs="Times New Roman"/>
          <w:bCs/>
          <w:iCs/>
          <w:sz w:val="24"/>
          <w:szCs w:val="24"/>
        </w:rPr>
        <w:t xml:space="preserve"> dotyczącym warunków wydania zezwolenia dla banku na prowadzenie działalności maklerskiej</w:t>
      </w:r>
      <w:r w:rsidR="002A4DC3">
        <w:rPr>
          <w:rFonts w:ascii="Times New Roman" w:hAnsi="Times New Roman" w:cs="Times New Roman"/>
          <w:bCs/>
          <w:iCs/>
          <w:sz w:val="24"/>
          <w:szCs w:val="24"/>
        </w:rPr>
        <w:t>,</w:t>
      </w:r>
      <w:r w:rsidRPr="006B2CD4">
        <w:rPr>
          <w:rFonts w:ascii="Times New Roman" w:hAnsi="Times New Roman" w:cs="Times New Roman"/>
          <w:bCs/>
          <w:iCs/>
          <w:sz w:val="24"/>
          <w:szCs w:val="24"/>
        </w:rPr>
        <w:t xml:space="preserve"> wprowadzono zmiany analogiczne do zmian</w:t>
      </w:r>
      <w:r w:rsidR="002A4DC3">
        <w:rPr>
          <w:rFonts w:ascii="Times New Roman" w:hAnsi="Times New Roman" w:cs="Times New Roman"/>
          <w:bCs/>
          <w:iCs/>
          <w:sz w:val="24"/>
          <w:szCs w:val="24"/>
        </w:rPr>
        <w:t xml:space="preserve"> zawartych w art. 82, odnoszących</w:t>
      </w:r>
      <w:r w:rsidRPr="006B2CD4">
        <w:rPr>
          <w:rFonts w:ascii="Times New Roman" w:hAnsi="Times New Roman" w:cs="Times New Roman"/>
          <w:bCs/>
          <w:iCs/>
          <w:sz w:val="24"/>
          <w:szCs w:val="24"/>
        </w:rPr>
        <w:t xml:space="preserve"> się do postępowania licencyjnego dla domów maklerskich. </w:t>
      </w:r>
      <w:r>
        <w:rPr>
          <w:rFonts w:ascii="Times New Roman" w:hAnsi="Times New Roman" w:cs="Times New Roman"/>
          <w:bCs/>
          <w:iCs/>
          <w:sz w:val="24"/>
          <w:szCs w:val="24"/>
        </w:rPr>
        <w:t>Z</w:t>
      </w:r>
      <w:r w:rsidRPr="006B2CD4">
        <w:rPr>
          <w:rFonts w:ascii="Times New Roman" w:hAnsi="Times New Roman" w:cs="Times New Roman"/>
          <w:bCs/>
          <w:iCs/>
          <w:sz w:val="24"/>
          <w:szCs w:val="24"/>
        </w:rPr>
        <w:t>awiera również szereg zmian związanych z wprowadzenie</w:t>
      </w:r>
      <w:r>
        <w:rPr>
          <w:rFonts w:ascii="Times New Roman" w:hAnsi="Times New Roman" w:cs="Times New Roman"/>
          <w:bCs/>
          <w:iCs/>
          <w:sz w:val="24"/>
          <w:szCs w:val="24"/>
        </w:rPr>
        <w:t>m jednolitej licencji bankowej.</w:t>
      </w:r>
    </w:p>
    <w:p w14:paraId="15133EE9" w14:textId="77777777" w:rsidR="000014D0" w:rsidRPr="006B2CD4" w:rsidRDefault="000014D0" w:rsidP="000014D0">
      <w:pPr>
        <w:shd w:val="clear" w:color="auto" w:fill="FFFFFF" w:themeFill="background1"/>
        <w:spacing w:after="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Zmian</w:t>
      </w:r>
      <w:r>
        <w:rPr>
          <w:rFonts w:ascii="Times New Roman" w:hAnsi="Times New Roman" w:cs="Times New Roman"/>
          <w:bCs/>
          <w:iCs/>
          <w:sz w:val="24"/>
          <w:szCs w:val="24"/>
        </w:rPr>
        <w:t>a</w:t>
      </w:r>
      <w:r w:rsidRPr="006B2CD4">
        <w:rPr>
          <w:rFonts w:ascii="Times New Roman" w:hAnsi="Times New Roman" w:cs="Times New Roman"/>
          <w:bCs/>
          <w:iCs/>
          <w:sz w:val="24"/>
          <w:szCs w:val="24"/>
        </w:rPr>
        <w:t xml:space="preserve"> w ust. 1 ma charakter redakcyjny i doprecyzowujący. </w:t>
      </w:r>
    </w:p>
    <w:p w14:paraId="1E611D4E" w14:textId="1E802D67" w:rsidR="000014D0" w:rsidRDefault="000014D0" w:rsidP="000014D0">
      <w:pPr>
        <w:shd w:val="clear" w:color="auto" w:fill="FFFFFF" w:themeFill="background1"/>
        <w:spacing w:after="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 xml:space="preserve">W ust. 2 wprowadza się szereg modyfikacji w zakresie wniosku o wydanie zezwolenia na prowadzenie działalności maklerskiej przez bank. </w:t>
      </w:r>
      <w:r>
        <w:rPr>
          <w:rFonts w:ascii="Times New Roman" w:hAnsi="Times New Roman" w:cs="Times New Roman"/>
          <w:bCs/>
          <w:iCs/>
          <w:sz w:val="24"/>
          <w:szCs w:val="24"/>
        </w:rPr>
        <w:t xml:space="preserve">W celu zachowania spójności z właściwymi </w:t>
      </w:r>
      <w:r>
        <w:rPr>
          <w:rFonts w:ascii="Times New Roman" w:hAnsi="Times New Roman" w:cs="Times New Roman"/>
          <w:bCs/>
          <w:iCs/>
          <w:sz w:val="24"/>
          <w:szCs w:val="24"/>
        </w:rPr>
        <w:lastRenderedPageBreak/>
        <w:t xml:space="preserve">regulacjami </w:t>
      </w:r>
      <w:r w:rsidR="00C17E3F">
        <w:rPr>
          <w:rFonts w:ascii="Times New Roman" w:hAnsi="Times New Roman" w:cs="Times New Roman"/>
          <w:bCs/>
          <w:iCs/>
          <w:sz w:val="24"/>
          <w:szCs w:val="24"/>
        </w:rPr>
        <w:t xml:space="preserve">ustawy – </w:t>
      </w:r>
      <w:r>
        <w:rPr>
          <w:rFonts w:ascii="Times New Roman" w:hAnsi="Times New Roman" w:cs="Times New Roman"/>
          <w:bCs/>
          <w:iCs/>
          <w:sz w:val="24"/>
          <w:szCs w:val="24"/>
        </w:rPr>
        <w:t>Praw</w:t>
      </w:r>
      <w:r w:rsidR="00C17E3F">
        <w:rPr>
          <w:rFonts w:ascii="Times New Roman" w:hAnsi="Times New Roman" w:cs="Times New Roman"/>
          <w:bCs/>
          <w:iCs/>
          <w:sz w:val="24"/>
          <w:szCs w:val="24"/>
        </w:rPr>
        <w:t>o</w:t>
      </w:r>
      <w:r>
        <w:rPr>
          <w:rFonts w:ascii="Times New Roman" w:hAnsi="Times New Roman" w:cs="Times New Roman"/>
          <w:bCs/>
          <w:iCs/>
          <w:sz w:val="24"/>
          <w:szCs w:val="24"/>
        </w:rPr>
        <w:t xml:space="preserve"> bankowe (art. 34 ust. 3 </w:t>
      </w:r>
      <w:r w:rsidR="00C17E3F">
        <w:rPr>
          <w:rFonts w:ascii="Times New Roman" w:hAnsi="Times New Roman" w:cs="Times New Roman"/>
          <w:bCs/>
          <w:iCs/>
          <w:sz w:val="24"/>
          <w:szCs w:val="24"/>
        </w:rPr>
        <w:t xml:space="preserve">i </w:t>
      </w:r>
      <w:r>
        <w:rPr>
          <w:rFonts w:ascii="Times New Roman" w:hAnsi="Times New Roman" w:cs="Times New Roman"/>
          <w:bCs/>
          <w:iCs/>
          <w:sz w:val="24"/>
          <w:szCs w:val="24"/>
        </w:rPr>
        <w:t>art. 36 ust. 2) konieczna jest również zmiana wprowadzenia do wyliczenia do zakresu takiego wniosku.</w:t>
      </w:r>
    </w:p>
    <w:p w14:paraId="0EADF6B5" w14:textId="77777777" w:rsidR="000014D0" w:rsidRPr="006B2CD4" w:rsidRDefault="000014D0" w:rsidP="000014D0">
      <w:pPr>
        <w:shd w:val="clear" w:color="auto" w:fill="FFFFFF" w:themeFill="background1"/>
        <w:spacing w:after="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 xml:space="preserve">Zmiany pkt 1 mają charakter redakcyjny i doprecyzowujący. </w:t>
      </w:r>
    </w:p>
    <w:p w14:paraId="42DE282A" w14:textId="06CC9CEC" w:rsidR="000014D0" w:rsidRPr="00C17E3F" w:rsidRDefault="000014D0" w:rsidP="000014D0">
      <w:pPr>
        <w:shd w:val="clear" w:color="auto" w:fill="FFFFFF" w:themeFill="background1"/>
        <w:spacing w:after="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 xml:space="preserve">Zmiana w pkt 2 rozszerza zakres </w:t>
      </w:r>
      <w:r w:rsidRPr="00C17E3F">
        <w:rPr>
          <w:rFonts w:ascii="Times New Roman" w:hAnsi="Times New Roman" w:cs="Times New Roman"/>
          <w:bCs/>
          <w:iCs/>
          <w:sz w:val="24"/>
          <w:szCs w:val="24"/>
        </w:rPr>
        <w:t>informacji wymienionych w przepisach rozporządzenia 2017/1943, które znajdą zastosowanie w przypadku składania wniosku o wydanie zezwolenia przez bank</w:t>
      </w:r>
      <w:r w:rsidR="00C17E3F" w:rsidRPr="00C17E3F">
        <w:rPr>
          <w:rFonts w:ascii="Times New Roman" w:hAnsi="Times New Roman" w:cs="Times New Roman"/>
          <w:bCs/>
          <w:iCs/>
          <w:sz w:val="24"/>
          <w:szCs w:val="24"/>
        </w:rPr>
        <w:t xml:space="preserve">, tj. </w:t>
      </w:r>
      <w:r w:rsidR="00C17E3F" w:rsidRPr="00C17E3F">
        <w:rPr>
          <w:rFonts w:ascii="Times New Roman" w:hAnsi="Times New Roman" w:cs="Times New Roman"/>
          <w:sz w:val="24"/>
          <w:szCs w:val="24"/>
          <w:shd w:val="clear" w:color="auto" w:fill="FFFFFF"/>
        </w:rPr>
        <w:t>rozporządzenia delegowanego Komisji (UE) 2017/1943 z dnia 14 lipca 2016 r. uzupełniającego dyrektywę Parlamentu Europejskiego i Rady 2014/65/UE w odniesieniu do regulacyjnych standardów technicznych dotyczących informacji i wymogów w zakresie udzielania zezwoleń firmom inwestycyjnym (Dz. Urz. UE L 276 z 26.10.2017, str. 4).</w:t>
      </w:r>
    </w:p>
    <w:p w14:paraId="5FB7A5C1" w14:textId="2C4CDF9A" w:rsidR="000014D0" w:rsidRPr="00117422" w:rsidRDefault="000014D0" w:rsidP="000014D0">
      <w:pPr>
        <w:shd w:val="clear" w:color="auto" w:fill="FFFFFF" w:themeFill="background1"/>
        <w:spacing w:after="0" w:line="360" w:lineRule="auto"/>
        <w:jc w:val="both"/>
        <w:rPr>
          <w:rFonts w:ascii="Times New Roman" w:hAnsi="Times New Roman" w:cs="Times New Roman"/>
          <w:bCs/>
          <w:iCs/>
          <w:sz w:val="24"/>
          <w:szCs w:val="24"/>
        </w:rPr>
      </w:pPr>
      <w:r w:rsidRPr="00C17E3F">
        <w:rPr>
          <w:rFonts w:ascii="Times New Roman" w:hAnsi="Times New Roman" w:cs="Times New Roman"/>
          <w:bCs/>
          <w:iCs/>
          <w:sz w:val="24"/>
          <w:szCs w:val="24"/>
        </w:rPr>
        <w:t xml:space="preserve">Brzmienie nowych pkt 7, 8 i 9 odpowiada dotychczasowej </w:t>
      </w:r>
      <w:r w:rsidRPr="006B2CD4">
        <w:rPr>
          <w:rFonts w:ascii="Times New Roman" w:hAnsi="Times New Roman" w:cs="Times New Roman"/>
          <w:bCs/>
          <w:iCs/>
          <w:sz w:val="24"/>
          <w:szCs w:val="24"/>
        </w:rPr>
        <w:t>treści uchylanego ust. 2a</w:t>
      </w:r>
      <w:r w:rsidR="00117422">
        <w:rPr>
          <w:rFonts w:ascii="Times New Roman" w:hAnsi="Times New Roman" w:cs="Times New Roman"/>
          <w:bCs/>
          <w:iCs/>
          <w:sz w:val="24"/>
          <w:szCs w:val="24"/>
        </w:rPr>
        <w:t xml:space="preserve"> w zakresie </w:t>
      </w:r>
      <w:r w:rsidR="00117422" w:rsidRPr="002A269C">
        <w:rPr>
          <w:rFonts w:ascii="Times New Roman" w:hAnsi="Times New Roman" w:cs="Times New Roman"/>
          <w:sz w:val="24"/>
          <w:szCs w:val="24"/>
        </w:rPr>
        <w:t>projekt</w:t>
      </w:r>
      <w:r w:rsidR="00117422">
        <w:rPr>
          <w:rFonts w:ascii="Times New Roman" w:hAnsi="Times New Roman" w:cs="Times New Roman"/>
          <w:sz w:val="24"/>
          <w:szCs w:val="24"/>
        </w:rPr>
        <w:t>ów</w:t>
      </w:r>
      <w:r w:rsidR="00117422" w:rsidRPr="002A269C">
        <w:rPr>
          <w:rFonts w:ascii="Times New Roman" w:hAnsi="Times New Roman" w:cs="Times New Roman"/>
          <w:sz w:val="24"/>
          <w:szCs w:val="24"/>
        </w:rPr>
        <w:t xml:space="preserve"> procedur oraz opis rozwiązań i systemów</w:t>
      </w:r>
      <w:r w:rsidR="00117422">
        <w:rPr>
          <w:rFonts w:ascii="Times New Roman" w:hAnsi="Times New Roman" w:cs="Times New Roman"/>
          <w:sz w:val="24"/>
          <w:szCs w:val="24"/>
        </w:rPr>
        <w:t xml:space="preserve"> wynikających z rozporządzenia 596/2014</w:t>
      </w:r>
      <w:r w:rsidRPr="00117422">
        <w:rPr>
          <w:rFonts w:ascii="Times New Roman" w:hAnsi="Times New Roman" w:cs="Times New Roman"/>
          <w:bCs/>
          <w:iCs/>
          <w:sz w:val="24"/>
          <w:szCs w:val="24"/>
        </w:rPr>
        <w:t xml:space="preserve">. </w:t>
      </w:r>
    </w:p>
    <w:p w14:paraId="235EB66E" w14:textId="77777777" w:rsidR="000014D0" w:rsidRPr="006B2CD4" w:rsidRDefault="000014D0" w:rsidP="000014D0">
      <w:pPr>
        <w:shd w:val="clear" w:color="auto" w:fill="FFFFFF" w:themeFill="background1"/>
        <w:spacing w:after="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 xml:space="preserve">Przepis ust. 2b uzupełnia zakres wniosku o wydanie zezwolenia na utworzenie banku o niektóre wymagania dotyczące wniosku o udzielenie zezwolenia na prowadzenie działalności maklerskiej. </w:t>
      </w:r>
    </w:p>
    <w:p w14:paraId="03896139" w14:textId="3D613973" w:rsidR="000014D0" w:rsidRPr="006B2CD4" w:rsidRDefault="000014D0" w:rsidP="000014D0">
      <w:pPr>
        <w:shd w:val="clear" w:color="auto" w:fill="FFFFFF" w:themeFill="background1"/>
        <w:spacing w:after="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Zmiany brzmienia ust. 5–6a mają charakter redakcyjny i doprecyzowujący</w:t>
      </w:r>
      <w:r w:rsidR="00CB5D9C">
        <w:rPr>
          <w:rFonts w:ascii="Times New Roman" w:hAnsi="Times New Roman" w:cs="Times New Roman"/>
          <w:bCs/>
          <w:iCs/>
          <w:sz w:val="24"/>
          <w:szCs w:val="24"/>
        </w:rPr>
        <w:t xml:space="preserve"> w stosunku do wcześniej wprowadzonych zmian</w:t>
      </w:r>
      <w:r w:rsidRPr="006B2CD4">
        <w:rPr>
          <w:rFonts w:ascii="Times New Roman" w:hAnsi="Times New Roman" w:cs="Times New Roman"/>
          <w:bCs/>
          <w:iCs/>
          <w:sz w:val="24"/>
          <w:szCs w:val="24"/>
        </w:rPr>
        <w:t xml:space="preserve">. </w:t>
      </w:r>
    </w:p>
    <w:p w14:paraId="52A5B0DB" w14:textId="3FB66C64" w:rsidR="00ED5141" w:rsidRDefault="000014D0" w:rsidP="00ED5141">
      <w:pPr>
        <w:shd w:val="clear" w:color="auto" w:fill="FFFFFF" w:themeFill="background1"/>
        <w:spacing w:after="12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 xml:space="preserve">Delegacja zawarta w ust. 10, poza modyfikacjami o charakterze redakcyjnym, zostaje rozszerzona o uprawnienie ministra właściwego do spraw instytucji finansowych do określenia, w drodze rozporządzenia, zakresu czynności, które mogą być wykonywane wspólnie dla wydzielonej organizacyjnie działalności maklerskiej banku i innej działalności prowadzonej w innych </w:t>
      </w:r>
      <w:r w:rsidRPr="006B2CD4">
        <w:rPr>
          <w:rFonts w:ascii="Times New Roman" w:hAnsi="Times New Roman" w:cs="Times New Roman"/>
          <w:bCs/>
          <w:iCs/>
          <w:sz w:val="24"/>
          <w:szCs w:val="24"/>
        </w:rPr>
        <w:lastRenderedPageBreak/>
        <w:t xml:space="preserve">jednostkach organizacyjnych banku i szczegółowe warunki wykonywania tych czynności. </w:t>
      </w:r>
      <w:r w:rsidR="00ED5141" w:rsidRPr="00AC50ED">
        <w:rPr>
          <w:rFonts w:ascii="Times New Roman" w:hAnsi="Times New Roman" w:cs="Times New Roman"/>
          <w:bCs/>
          <w:iCs/>
          <w:sz w:val="24"/>
          <w:szCs w:val="24"/>
        </w:rPr>
        <w:t>W celu uniknięcia wą</w:t>
      </w:r>
      <w:r w:rsidR="00ED5141">
        <w:rPr>
          <w:rFonts w:ascii="Times New Roman" w:hAnsi="Times New Roman" w:cs="Times New Roman"/>
          <w:bCs/>
          <w:iCs/>
          <w:sz w:val="24"/>
          <w:szCs w:val="24"/>
        </w:rPr>
        <w:t xml:space="preserve">tpliwości interpretacyjnych </w:t>
      </w:r>
      <w:r w:rsidR="00ED5141" w:rsidRPr="00AC50ED">
        <w:rPr>
          <w:rFonts w:ascii="Times New Roman" w:hAnsi="Times New Roman" w:cs="Times New Roman"/>
          <w:bCs/>
          <w:iCs/>
          <w:sz w:val="24"/>
          <w:szCs w:val="24"/>
        </w:rPr>
        <w:t>proponuje</w:t>
      </w:r>
      <w:r w:rsidR="00ED5141">
        <w:rPr>
          <w:rFonts w:ascii="Times New Roman" w:hAnsi="Times New Roman" w:cs="Times New Roman"/>
          <w:bCs/>
          <w:iCs/>
          <w:sz w:val="24"/>
          <w:szCs w:val="24"/>
        </w:rPr>
        <w:t xml:space="preserve"> się</w:t>
      </w:r>
      <w:r w:rsidR="00ED5141" w:rsidRPr="00AC50ED">
        <w:rPr>
          <w:rFonts w:ascii="Times New Roman" w:hAnsi="Times New Roman" w:cs="Times New Roman"/>
          <w:bCs/>
          <w:iCs/>
          <w:sz w:val="24"/>
          <w:szCs w:val="24"/>
        </w:rPr>
        <w:t>, żeby w delegacji zrezygnować z posługiwania się pojęciem „czynności, które mogą być wykonywane wspólnie dla wydzielonej organizacyjnie działalności maklerskiej banku i innej działalności prowadzonej w innych jednostkach organizacyjnych banku”</w:t>
      </w:r>
      <w:r w:rsidR="002A4DC3">
        <w:rPr>
          <w:rFonts w:ascii="Times New Roman" w:hAnsi="Times New Roman" w:cs="Times New Roman"/>
          <w:bCs/>
          <w:iCs/>
          <w:sz w:val="24"/>
          <w:szCs w:val="24"/>
        </w:rPr>
        <w:t>,</w:t>
      </w:r>
      <w:r w:rsidR="00ED5141" w:rsidRPr="00AC50ED">
        <w:rPr>
          <w:rFonts w:ascii="Times New Roman" w:hAnsi="Times New Roman" w:cs="Times New Roman"/>
          <w:bCs/>
          <w:iCs/>
          <w:sz w:val="24"/>
          <w:szCs w:val="24"/>
        </w:rPr>
        <w:t xml:space="preserve"> poni</w:t>
      </w:r>
      <w:r w:rsidR="002A4DC3">
        <w:rPr>
          <w:rFonts w:ascii="Times New Roman" w:hAnsi="Times New Roman" w:cs="Times New Roman"/>
          <w:bCs/>
          <w:iCs/>
          <w:sz w:val="24"/>
          <w:szCs w:val="24"/>
        </w:rPr>
        <w:t>eważ mogłoby to sugerować, że</w:t>
      </w:r>
      <w:r w:rsidR="00ED5141" w:rsidRPr="00AC50ED">
        <w:rPr>
          <w:rFonts w:ascii="Times New Roman" w:hAnsi="Times New Roman" w:cs="Times New Roman"/>
          <w:bCs/>
          <w:iCs/>
          <w:sz w:val="24"/>
          <w:szCs w:val="24"/>
        </w:rPr>
        <w:t xml:space="preserve"> czynności te są wspólne, podczas gdy są to najczęściej takie same czynności wykonywane zarówno na poziomie jednostki banku, w której prowadzona jest działalność maklerska, jak i na p</w:t>
      </w:r>
      <w:r w:rsidR="00ED5141">
        <w:rPr>
          <w:rFonts w:ascii="Times New Roman" w:hAnsi="Times New Roman" w:cs="Times New Roman"/>
          <w:bCs/>
          <w:iCs/>
          <w:sz w:val="24"/>
          <w:szCs w:val="24"/>
        </w:rPr>
        <w:t xml:space="preserve">oziomie innych jednostek banku. </w:t>
      </w:r>
      <w:r w:rsidR="00ED5141" w:rsidRPr="00AC50ED">
        <w:rPr>
          <w:rFonts w:ascii="Times New Roman" w:hAnsi="Times New Roman" w:cs="Times New Roman"/>
          <w:bCs/>
          <w:iCs/>
          <w:sz w:val="24"/>
          <w:szCs w:val="24"/>
        </w:rPr>
        <w:t>Ponadto, określanie na poziomie rozporządzenia „szczegółowych warunków wykonywania tych czynności”, wydaje się być rozwiązaniem nadmiaro</w:t>
      </w:r>
      <w:r w:rsidR="00ED5141">
        <w:rPr>
          <w:rFonts w:ascii="Times New Roman" w:hAnsi="Times New Roman" w:cs="Times New Roman"/>
          <w:bCs/>
          <w:iCs/>
          <w:sz w:val="24"/>
          <w:szCs w:val="24"/>
        </w:rPr>
        <w:t>wym. W związku z tym proponuje się</w:t>
      </w:r>
      <w:r w:rsidR="00ED5141" w:rsidRPr="00AC50ED">
        <w:rPr>
          <w:rFonts w:ascii="Times New Roman" w:hAnsi="Times New Roman" w:cs="Times New Roman"/>
          <w:bCs/>
          <w:iCs/>
          <w:sz w:val="24"/>
          <w:szCs w:val="24"/>
        </w:rPr>
        <w:t>, żeby w rozporządzeniu określono „sposób ustalenia warunków wykonania tych czynności”.</w:t>
      </w:r>
    </w:p>
    <w:p w14:paraId="48637138" w14:textId="770B0358" w:rsidR="000014D0" w:rsidRDefault="00ED5141" w:rsidP="000014D0">
      <w:pPr>
        <w:shd w:val="clear" w:color="auto" w:fill="FFFFFF" w:themeFill="background1"/>
        <w:spacing w:after="120" w:line="36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Dodanie do ustawy o obrocie art. 111a i </w:t>
      </w:r>
      <w:r w:rsidR="00C17E3F">
        <w:rPr>
          <w:rFonts w:ascii="Times New Roman" w:hAnsi="Times New Roman" w:cs="Times New Roman"/>
          <w:bCs/>
          <w:iCs/>
          <w:sz w:val="24"/>
          <w:szCs w:val="24"/>
        </w:rPr>
        <w:t xml:space="preserve">art. </w:t>
      </w:r>
      <w:r>
        <w:rPr>
          <w:rFonts w:ascii="Times New Roman" w:hAnsi="Times New Roman" w:cs="Times New Roman"/>
          <w:bCs/>
          <w:iCs/>
          <w:sz w:val="24"/>
          <w:szCs w:val="24"/>
        </w:rPr>
        <w:t>111b jest związane z jednolitą licencją bankową włączającą w ten zakres również banki państwowe</w:t>
      </w:r>
      <w:r w:rsidR="00CB5D9C">
        <w:rPr>
          <w:rFonts w:ascii="Times New Roman" w:hAnsi="Times New Roman" w:cs="Times New Roman"/>
          <w:bCs/>
          <w:iCs/>
          <w:sz w:val="24"/>
          <w:szCs w:val="24"/>
        </w:rPr>
        <w:t xml:space="preserve"> i koniecznością zachowania spójności w tym zakresie</w:t>
      </w:r>
      <w:r>
        <w:rPr>
          <w:rFonts w:ascii="Times New Roman" w:hAnsi="Times New Roman" w:cs="Times New Roman"/>
          <w:bCs/>
          <w:iCs/>
          <w:sz w:val="24"/>
          <w:szCs w:val="24"/>
        </w:rPr>
        <w:t>.</w:t>
      </w:r>
    </w:p>
    <w:p w14:paraId="63E3DAF4" w14:textId="5EB4043D" w:rsidR="00931BC4" w:rsidRDefault="00931BC4" w:rsidP="00931BC4">
      <w:pPr>
        <w:shd w:val="clear" w:color="auto" w:fill="FFFFFF" w:themeFill="background1"/>
        <w:spacing w:after="0" w:line="360" w:lineRule="auto"/>
        <w:jc w:val="both"/>
        <w:rPr>
          <w:rFonts w:ascii="Times New Roman" w:hAnsi="Times New Roman" w:cs="Times New Roman"/>
          <w:bCs/>
          <w:iCs/>
          <w:sz w:val="24"/>
          <w:szCs w:val="24"/>
        </w:rPr>
      </w:pPr>
      <w:r>
        <w:rPr>
          <w:rFonts w:ascii="Times New Roman" w:hAnsi="Times New Roman" w:cs="Times New Roman"/>
          <w:bCs/>
          <w:iCs/>
          <w:sz w:val="24"/>
          <w:szCs w:val="24"/>
        </w:rPr>
        <w:t>Dodanie</w:t>
      </w:r>
      <w:r w:rsidR="007C389F">
        <w:rPr>
          <w:rFonts w:ascii="Times New Roman" w:hAnsi="Times New Roman" w:cs="Times New Roman"/>
          <w:bCs/>
          <w:iCs/>
          <w:sz w:val="24"/>
          <w:szCs w:val="24"/>
        </w:rPr>
        <w:t xml:space="preserve"> </w:t>
      </w:r>
      <w:r w:rsidR="000014D0" w:rsidRPr="006B000C">
        <w:rPr>
          <w:rFonts w:ascii="Times New Roman" w:hAnsi="Times New Roman" w:cs="Times New Roman"/>
          <w:bCs/>
          <w:iCs/>
          <w:sz w:val="24"/>
          <w:szCs w:val="24"/>
        </w:rPr>
        <w:t>art. 112a ust. 1</w:t>
      </w:r>
      <w:r w:rsidR="000014D0">
        <w:rPr>
          <w:rFonts w:ascii="Times New Roman" w:hAnsi="Times New Roman" w:cs="Times New Roman"/>
          <w:bCs/>
          <w:iCs/>
          <w:sz w:val="24"/>
          <w:szCs w:val="24"/>
        </w:rPr>
        <w:t xml:space="preserve"> </w:t>
      </w:r>
      <w:r w:rsidR="000014D0" w:rsidRPr="00F44D73">
        <w:rPr>
          <w:rFonts w:ascii="Times New Roman" w:hAnsi="Times New Roman" w:cs="Times New Roman"/>
          <w:bCs/>
          <w:iCs/>
          <w:sz w:val="24"/>
          <w:szCs w:val="24"/>
        </w:rPr>
        <w:t>ma na celu umożliwienie, w ramach wydzielonych organizacyjnie jednostek banku, wypełniani</w:t>
      </w:r>
      <w:r w:rsidR="002A4DC3">
        <w:rPr>
          <w:rFonts w:ascii="Times New Roman" w:hAnsi="Times New Roman" w:cs="Times New Roman"/>
          <w:bCs/>
          <w:iCs/>
          <w:sz w:val="24"/>
          <w:szCs w:val="24"/>
        </w:rPr>
        <w:t>a</w:t>
      </w:r>
      <w:r w:rsidR="000014D0" w:rsidRPr="00F44D73">
        <w:rPr>
          <w:rFonts w:ascii="Times New Roman" w:hAnsi="Times New Roman" w:cs="Times New Roman"/>
          <w:bCs/>
          <w:iCs/>
          <w:sz w:val="24"/>
          <w:szCs w:val="24"/>
        </w:rPr>
        <w:t xml:space="preserve"> obowiązków wynikających z ustawy lub innych przepisów szczególnych w związku z prowadzeniem przez niego działalności. </w:t>
      </w:r>
      <w:r w:rsidR="004A7A5A">
        <w:rPr>
          <w:rFonts w:ascii="Times New Roman" w:hAnsi="Times New Roman" w:cs="Times New Roman"/>
          <w:bCs/>
          <w:iCs/>
          <w:sz w:val="24"/>
          <w:szCs w:val="24"/>
        </w:rPr>
        <w:t xml:space="preserve">Jest to konieczne dla zapewnienia kompleksowego wykonywania działalności maklerskiej przez banki. </w:t>
      </w:r>
    </w:p>
    <w:p w14:paraId="29FB3CF3" w14:textId="3E8C097B" w:rsidR="000014D0" w:rsidRPr="006B2CD4" w:rsidRDefault="00931BC4" w:rsidP="00931BC4">
      <w:pPr>
        <w:shd w:val="clear" w:color="auto" w:fill="FFFFFF" w:themeFill="background1"/>
        <w:spacing w:after="120" w:line="360" w:lineRule="auto"/>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Przepis </w:t>
      </w:r>
      <w:r w:rsidR="000014D0" w:rsidRPr="006B000C">
        <w:rPr>
          <w:rFonts w:ascii="Times New Roman" w:hAnsi="Times New Roman" w:cs="Times New Roman"/>
          <w:bCs/>
          <w:iCs/>
          <w:sz w:val="24"/>
          <w:szCs w:val="24"/>
        </w:rPr>
        <w:t xml:space="preserve">ust. 2 </w:t>
      </w:r>
      <w:r w:rsidR="000014D0" w:rsidRPr="00F44D73">
        <w:rPr>
          <w:rFonts w:ascii="Times New Roman" w:hAnsi="Times New Roman" w:cs="Times New Roman"/>
          <w:bCs/>
          <w:iCs/>
          <w:sz w:val="24"/>
          <w:szCs w:val="24"/>
        </w:rPr>
        <w:t>umożliwia wykonanie uprawnienia, o którym mowa w ust. 1</w:t>
      </w:r>
      <w:r>
        <w:rPr>
          <w:rFonts w:ascii="Times New Roman" w:hAnsi="Times New Roman" w:cs="Times New Roman"/>
          <w:bCs/>
          <w:iCs/>
          <w:sz w:val="24"/>
          <w:szCs w:val="24"/>
        </w:rPr>
        <w:t xml:space="preserve"> – </w:t>
      </w:r>
      <w:r w:rsidR="000014D0" w:rsidRPr="00F44D73">
        <w:rPr>
          <w:rFonts w:ascii="Times New Roman" w:hAnsi="Times New Roman" w:cs="Times New Roman"/>
          <w:bCs/>
          <w:iCs/>
          <w:sz w:val="24"/>
          <w:szCs w:val="24"/>
        </w:rPr>
        <w:t>dopuszcza wymi</w:t>
      </w:r>
      <w:r>
        <w:rPr>
          <w:rFonts w:ascii="Times New Roman" w:hAnsi="Times New Roman" w:cs="Times New Roman"/>
          <w:bCs/>
          <w:iCs/>
          <w:sz w:val="24"/>
          <w:szCs w:val="24"/>
        </w:rPr>
        <w:t xml:space="preserve">anę </w:t>
      </w:r>
      <w:r w:rsidR="000014D0" w:rsidRPr="00F44D73">
        <w:rPr>
          <w:rFonts w:ascii="Times New Roman" w:hAnsi="Times New Roman" w:cs="Times New Roman"/>
          <w:bCs/>
          <w:iCs/>
          <w:sz w:val="24"/>
          <w:szCs w:val="24"/>
        </w:rPr>
        <w:t>informacji oraz wykorzystywanie tych samych rozwiązań technicznych i organizacyjnych</w:t>
      </w:r>
      <w:r w:rsidR="004A7A5A">
        <w:rPr>
          <w:rFonts w:ascii="Times New Roman" w:hAnsi="Times New Roman" w:cs="Times New Roman"/>
          <w:bCs/>
          <w:iCs/>
          <w:sz w:val="24"/>
          <w:szCs w:val="24"/>
        </w:rPr>
        <w:t xml:space="preserve"> przez banki wykonujące działalność maklerską</w:t>
      </w:r>
      <w:r w:rsidR="000014D0" w:rsidRPr="00F44D73">
        <w:rPr>
          <w:rFonts w:ascii="Times New Roman" w:hAnsi="Times New Roman" w:cs="Times New Roman"/>
          <w:bCs/>
          <w:iCs/>
          <w:sz w:val="24"/>
          <w:szCs w:val="24"/>
        </w:rPr>
        <w:t xml:space="preserve"> – pod warunkiem, że zapewnione jest zachowanie bezpieczeństwa, integralności i poufności danych oraz z uwzględnieniem przepisów dotyczących zarządzania konfliktami interesów.</w:t>
      </w:r>
      <w:r w:rsidR="000014D0">
        <w:rPr>
          <w:rFonts w:ascii="Times New Roman" w:hAnsi="Times New Roman" w:cs="Times New Roman"/>
          <w:bCs/>
          <w:iCs/>
          <w:sz w:val="24"/>
          <w:szCs w:val="24"/>
        </w:rPr>
        <w:t xml:space="preserve"> </w:t>
      </w:r>
    </w:p>
    <w:p w14:paraId="265DF452" w14:textId="33AFEEB4" w:rsidR="000014D0" w:rsidRPr="006B2CD4" w:rsidRDefault="000014D0" w:rsidP="00931BC4">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Celem zmian art. 117 ust. 3 </w:t>
      </w:r>
      <w:r w:rsidR="00931BC4">
        <w:rPr>
          <w:rFonts w:ascii="Times New Roman" w:hAnsi="Times New Roman" w:cs="Times New Roman"/>
          <w:bCs/>
          <w:sz w:val="24"/>
          <w:szCs w:val="24"/>
        </w:rPr>
        <w:t xml:space="preserve">zdanie drugie </w:t>
      </w:r>
      <w:r w:rsidRPr="006B2CD4">
        <w:rPr>
          <w:rFonts w:ascii="Times New Roman" w:hAnsi="Times New Roman" w:cs="Times New Roman"/>
          <w:bCs/>
          <w:sz w:val="24"/>
          <w:szCs w:val="24"/>
        </w:rPr>
        <w:t xml:space="preserve">jest ograniczenie konieczności przekazywania informacji o warunkach prowadzenia działalności na terytorium Rzeczypospolitej Polskiej do zagranicznych firm inwestycyjnych działających w Rzeczypospolitej Polskiej bez oddziału warunków prowadzenia działalności na terytorium Rzeczypospolitej Polskiej. Dyrektywa MIFID II nie przewiduje takiego wymogu. </w:t>
      </w:r>
    </w:p>
    <w:p w14:paraId="7D72B08C" w14:textId="0D4996DB" w:rsidR="000014D0" w:rsidRDefault="000014D0" w:rsidP="000014D0">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Nowe brzmienie art. 122 ust. 1 wynika z faktu, że działalność prowadzona przez banki powiernicze w charakterze agenta emisji czy w zakresie prowadzenia rejestrów akcjonariuszy nie jest działalnością powierniczą. W związku z tym KNF ma ograniczone możliwości pozyskiwania danych od tych podmiotów i w konsekwencji sprawowania nadzoru oraz ochrony podmiotów nieprofesjonalnych, których praw dotyczy ta działalność.</w:t>
      </w:r>
      <w:r w:rsidR="004A7A5A">
        <w:rPr>
          <w:rFonts w:ascii="Times New Roman" w:hAnsi="Times New Roman" w:cs="Times New Roman"/>
          <w:bCs/>
          <w:sz w:val="24"/>
          <w:szCs w:val="24"/>
        </w:rPr>
        <w:t xml:space="preserve"> Nadanie temu </w:t>
      </w:r>
      <w:r w:rsidR="00740527">
        <w:rPr>
          <w:rFonts w:ascii="Times New Roman" w:hAnsi="Times New Roman" w:cs="Times New Roman"/>
          <w:bCs/>
          <w:sz w:val="24"/>
          <w:szCs w:val="24"/>
        </w:rPr>
        <w:t>przepisowi</w:t>
      </w:r>
      <w:r w:rsidR="004A7A5A">
        <w:rPr>
          <w:rFonts w:ascii="Times New Roman" w:hAnsi="Times New Roman" w:cs="Times New Roman"/>
          <w:bCs/>
          <w:sz w:val="24"/>
          <w:szCs w:val="24"/>
        </w:rPr>
        <w:t xml:space="preserve"> nowego brzmienia </w:t>
      </w:r>
      <w:r w:rsidR="00740527">
        <w:rPr>
          <w:rFonts w:ascii="Times New Roman" w:hAnsi="Times New Roman" w:cs="Times New Roman"/>
          <w:bCs/>
          <w:sz w:val="24"/>
          <w:szCs w:val="24"/>
        </w:rPr>
        <w:t>uzupełni więc lukę w tym zakresie i wpłynie na efektywność sprawowanego przez KNF nadzoru.</w:t>
      </w:r>
    </w:p>
    <w:p w14:paraId="69592596" w14:textId="571C896E" w:rsidR="00931BC4" w:rsidRPr="0055238C" w:rsidRDefault="00931BC4" w:rsidP="00931BC4">
      <w:pPr>
        <w:shd w:val="clear" w:color="auto" w:fill="FFFFFF" w:themeFill="background1"/>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W </w:t>
      </w:r>
      <w:r w:rsidRPr="0055238C">
        <w:rPr>
          <w:rFonts w:ascii="Times New Roman" w:hAnsi="Times New Roman" w:cs="Times New Roman"/>
          <w:bCs/>
          <w:sz w:val="24"/>
          <w:szCs w:val="24"/>
        </w:rPr>
        <w:t>art. 123a‒123ec</w:t>
      </w:r>
      <w:r>
        <w:rPr>
          <w:rFonts w:ascii="Times New Roman" w:hAnsi="Times New Roman" w:cs="Times New Roman"/>
          <w:bCs/>
          <w:sz w:val="24"/>
          <w:szCs w:val="24"/>
        </w:rPr>
        <w:t xml:space="preserve"> (</w:t>
      </w:r>
      <w:r w:rsidRPr="0055238C">
        <w:rPr>
          <w:rFonts w:ascii="Times New Roman" w:hAnsi="Times New Roman" w:cs="Times New Roman"/>
          <w:bCs/>
          <w:sz w:val="24"/>
          <w:szCs w:val="24"/>
        </w:rPr>
        <w:t>a także art. 69 ust. 2</w:t>
      </w:r>
      <w:r>
        <w:rPr>
          <w:rFonts w:ascii="Times New Roman" w:hAnsi="Times New Roman" w:cs="Times New Roman"/>
          <w:bCs/>
          <w:sz w:val="24"/>
          <w:szCs w:val="24"/>
        </w:rPr>
        <w:t xml:space="preserve"> i</w:t>
      </w:r>
      <w:r w:rsidR="007C389F">
        <w:rPr>
          <w:rFonts w:ascii="Times New Roman" w:hAnsi="Times New Roman" w:cs="Times New Roman"/>
          <w:bCs/>
          <w:sz w:val="24"/>
          <w:szCs w:val="24"/>
        </w:rPr>
        <w:t xml:space="preserve"> </w:t>
      </w:r>
      <w:r w:rsidRPr="0055238C">
        <w:rPr>
          <w:rFonts w:ascii="Times New Roman" w:hAnsi="Times New Roman" w:cs="Times New Roman"/>
          <w:bCs/>
          <w:sz w:val="24"/>
          <w:szCs w:val="24"/>
        </w:rPr>
        <w:t>art. 83 ust. 1 pkt 1)</w:t>
      </w:r>
      <w:r w:rsidR="007C389F">
        <w:rPr>
          <w:rFonts w:ascii="Times New Roman" w:hAnsi="Times New Roman" w:cs="Times New Roman"/>
          <w:bCs/>
          <w:sz w:val="24"/>
          <w:szCs w:val="24"/>
        </w:rPr>
        <w:t xml:space="preserve"> </w:t>
      </w:r>
      <w:r>
        <w:rPr>
          <w:rFonts w:ascii="Times New Roman" w:hAnsi="Times New Roman" w:cs="Times New Roman"/>
          <w:bCs/>
          <w:sz w:val="24"/>
          <w:szCs w:val="24"/>
        </w:rPr>
        <w:t>przewidziano zmiany mające na celu</w:t>
      </w:r>
      <w:r w:rsidR="007C389F">
        <w:rPr>
          <w:rFonts w:ascii="Times New Roman" w:hAnsi="Times New Roman" w:cs="Times New Roman"/>
          <w:bCs/>
          <w:sz w:val="24"/>
          <w:szCs w:val="24"/>
        </w:rPr>
        <w:t xml:space="preserve"> </w:t>
      </w:r>
      <w:r w:rsidRPr="0055238C">
        <w:rPr>
          <w:rFonts w:ascii="Times New Roman" w:hAnsi="Times New Roman" w:cs="Times New Roman"/>
          <w:bCs/>
          <w:sz w:val="24"/>
          <w:szCs w:val="24"/>
        </w:rPr>
        <w:t>umożliwienie bankom powierniczym uczestniczenia w pożyczkach papierów wartościowych</w:t>
      </w:r>
      <w:r w:rsidR="00740527">
        <w:rPr>
          <w:rFonts w:ascii="Times New Roman" w:hAnsi="Times New Roman" w:cs="Times New Roman"/>
          <w:bCs/>
          <w:sz w:val="24"/>
          <w:szCs w:val="24"/>
        </w:rPr>
        <w:t>, z uwagi na zapewnienie rozwoju rynku kapitałowego i zwiększonym zainteresowaniem świadczenia usług tego rodzaju</w:t>
      </w:r>
    </w:p>
    <w:p w14:paraId="5AA4342F" w14:textId="77777777" w:rsidR="00470274" w:rsidRPr="0055238C" w:rsidRDefault="00470274" w:rsidP="00470274">
      <w:pPr>
        <w:shd w:val="clear" w:color="auto" w:fill="FFFFFF" w:themeFill="background1"/>
        <w:spacing w:after="0" w:line="360" w:lineRule="auto"/>
        <w:jc w:val="both"/>
        <w:rPr>
          <w:rFonts w:ascii="Times New Roman" w:hAnsi="Times New Roman" w:cs="Times New Roman"/>
          <w:bCs/>
          <w:sz w:val="24"/>
          <w:szCs w:val="24"/>
        </w:rPr>
      </w:pPr>
      <w:r w:rsidRPr="0055238C">
        <w:rPr>
          <w:rFonts w:ascii="Times New Roman" w:hAnsi="Times New Roman" w:cs="Times New Roman"/>
          <w:bCs/>
          <w:sz w:val="24"/>
          <w:szCs w:val="24"/>
        </w:rPr>
        <w:t xml:space="preserve">Celem tych zmian jest stworzenie warunków regulacyjnych dla rozwoju rynku pożyczek papierów wartościowych. Banki powiernicze są jednostkami organizacyjnymi w ramach banków, prowadzącymi rachunki papierów wartościowych. W większości przypadków pełnią one też dodatkową rolę – banku depozytariusza na rzecz funduszy inwestycyjnych. Dzięki temu, pośrednio, mogą stać się znaczącym źródłem podaży papierów wartościowych dla rynku pożyczek. Wykorzystanie tego źródła wymaga jednak w praktyce wprowadzenia efektywnych procedur transakcyjnych. </w:t>
      </w:r>
    </w:p>
    <w:p w14:paraId="6872E862" w14:textId="77777777" w:rsidR="00470274" w:rsidRPr="0055238C" w:rsidRDefault="00470274" w:rsidP="00470274">
      <w:pPr>
        <w:shd w:val="clear" w:color="auto" w:fill="FFFFFF" w:themeFill="background1"/>
        <w:spacing w:after="0" w:line="360" w:lineRule="auto"/>
        <w:jc w:val="both"/>
        <w:rPr>
          <w:rFonts w:ascii="Times New Roman" w:hAnsi="Times New Roman" w:cs="Times New Roman"/>
          <w:bCs/>
          <w:sz w:val="24"/>
          <w:szCs w:val="24"/>
        </w:rPr>
      </w:pPr>
      <w:r w:rsidRPr="0055238C">
        <w:rPr>
          <w:rFonts w:ascii="Times New Roman" w:hAnsi="Times New Roman" w:cs="Times New Roman"/>
          <w:bCs/>
          <w:sz w:val="24"/>
          <w:szCs w:val="24"/>
        </w:rPr>
        <w:t xml:space="preserve">Uzasadnia to zmianę przepisów polegającą na umożliwieniu bankowi powierniczemu pośrednictwa w transakcjach pożyczek papierów wartościowych, bez konieczności angażowania innych jednostek organizacyjnych banku. Transakcja pożyczki papierów wartościowych przenosi własność pożyczanych papierów na pożyczkobiorcę. Pośrednictwo w tego rodzaju transakcjach stanowi działalność maklerską w rozumieniu ustawy. Z jej wykonywaniem, w przypadku firm inwestycyjnych oraz banków, o których mowa w art. 70 ust. 2, wiąże się konieczność stosowania szeregu regulacji ustawy i rozporządzeń wykonawczych oraz stosowanych bezpośrednio aktów prawa UE. W związku z tym umożliwienie bankom powierniczym udziału w transakcjach pożyczek papierów wartościowych powinno odbywać się z zastosowaniem </w:t>
      </w:r>
      <w:r w:rsidRPr="0055238C">
        <w:rPr>
          <w:rFonts w:ascii="Times New Roman" w:hAnsi="Times New Roman" w:cs="Times New Roman"/>
          <w:bCs/>
          <w:sz w:val="24"/>
          <w:szCs w:val="24"/>
        </w:rPr>
        <w:lastRenderedPageBreak/>
        <w:t xml:space="preserve">przez bank powierniczy takich samych zasad, jak ma to miejsce w przypadku ww. podmiotów lub jednostek organizacyjnych. Celem zmian jest bowiem zapewnienie równych zasad konkurencji na rynku pożyczek papierów wartościowych oraz zapewnienie ochrony pożyczkodawcom i pożyczkobiorcom na takim samym poziomie, jak to ma miejsce w przypadku inwestorów dokonujących transakcji. </w:t>
      </w:r>
    </w:p>
    <w:p w14:paraId="1B49D45E" w14:textId="2795844E" w:rsidR="00470274" w:rsidRPr="0055238C" w:rsidRDefault="00470274" w:rsidP="00470274">
      <w:pPr>
        <w:shd w:val="clear" w:color="auto" w:fill="FFFFFF" w:themeFill="background1"/>
        <w:spacing w:after="0" w:line="360" w:lineRule="auto"/>
        <w:jc w:val="both"/>
        <w:rPr>
          <w:rFonts w:ascii="Times New Roman" w:hAnsi="Times New Roman" w:cs="Times New Roman"/>
          <w:bCs/>
          <w:sz w:val="24"/>
          <w:szCs w:val="24"/>
        </w:rPr>
      </w:pPr>
      <w:r w:rsidRPr="0055238C">
        <w:rPr>
          <w:rFonts w:ascii="Times New Roman" w:hAnsi="Times New Roman" w:cs="Times New Roman"/>
          <w:bCs/>
          <w:sz w:val="24"/>
          <w:szCs w:val="24"/>
        </w:rPr>
        <w:t>Mając powyższe na uwadze w projekcie przyjęto, że banki powiernicze będą mogły wykonywać towarzyszące pożyczkom papierów wartościowych czynności maklerskie (czynności określone w art. 69 ust. 1 pkt 1 i 2 ustawy o obrocie instrumentami finansowymi), po uzyskaniu zezwolenia KNF (art. 123a ust. 1). Wniosek o zezwolenie będzie zawierał analogiczne elementy jak w przypadku wniosku o zezwolenie na wykonywanie czynności maklerskich (art. 123a ust. 2</w:t>
      </w:r>
      <w:r w:rsidR="009E3DFB">
        <w:rPr>
          <w:rFonts w:ascii="Times New Roman" w:hAnsi="Times New Roman" w:cs="Times New Roman"/>
          <w:bCs/>
          <w:sz w:val="24"/>
          <w:szCs w:val="24"/>
        </w:rPr>
        <w:t>–</w:t>
      </w:r>
      <w:r w:rsidRPr="0055238C">
        <w:rPr>
          <w:rFonts w:ascii="Times New Roman" w:hAnsi="Times New Roman" w:cs="Times New Roman"/>
          <w:bCs/>
          <w:sz w:val="24"/>
          <w:szCs w:val="24"/>
        </w:rPr>
        <w:t xml:space="preserve">4). Bank występujący o zezwolenie na prowadzenie działalności powierniczej będzie jednocześnie mógł wystąpić o zezwolenie na prowadzenie działalności w zakresie pośrednictwa w pożyczkach papierów wartościowych, co usprawni proces </w:t>
      </w:r>
      <w:r w:rsidR="009E3DFB">
        <w:rPr>
          <w:rFonts w:ascii="Times New Roman" w:hAnsi="Times New Roman" w:cs="Times New Roman"/>
          <w:bCs/>
          <w:sz w:val="24"/>
          <w:szCs w:val="24"/>
        </w:rPr>
        <w:t xml:space="preserve">udzielania </w:t>
      </w:r>
      <w:r w:rsidRPr="0055238C">
        <w:rPr>
          <w:rFonts w:ascii="Times New Roman" w:hAnsi="Times New Roman" w:cs="Times New Roman"/>
          <w:bCs/>
          <w:sz w:val="24"/>
          <w:szCs w:val="24"/>
        </w:rPr>
        <w:t>zezwoleni</w:t>
      </w:r>
      <w:r w:rsidR="009E3DFB">
        <w:rPr>
          <w:rFonts w:ascii="Times New Roman" w:hAnsi="Times New Roman" w:cs="Times New Roman"/>
          <w:bCs/>
          <w:sz w:val="24"/>
          <w:szCs w:val="24"/>
        </w:rPr>
        <w:t>a</w:t>
      </w:r>
      <w:r w:rsidRPr="0055238C">
        <w:rPr>
          <w:rFonts w:ascii="Times New Roman" w:hAnsi="Times New Roman" w:cs="Times New Roman"/>
          <w:bCs/>
          <w:sz w:val="24"/>
          <w:szCs w:val="24"/>
        </w:rPr>
        <w:t xml:space="preserve"> (art. 123c). Do banku powierniczego prowadzącego działalność w przedmiotowym zakresie będą miały zastosowanie analogiczne przepisy jak w przypadku firm inwestycyjnych (art. 123e).</w:t>
      </w:r>
    </w:p>
    <w:p w14:paraId="6303A4E8" w14:textId="453963FA" w:rsidR="00470274" w:rsidRDefault="009E3DFB" w:rsidP="00470274">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W</w:t>
      </w:r>
      <w:r w:rsidR="00470274" w:rsidRPr="0055238C">
        <w:rPr>
          <w:rFonts w:ascii="Times New Roman" w:hAnsi="Times New Roman" w:cs="Times New Roman"/>
          <w:bCs/>
          <w:sz w:val="24"/>
          <w:szCs w:val="24"/>
        </w:rPr>
        <w:t xml:space="preserve"> przepisie przejściowym zawarto przepisy umożliwiające w okresie dwóch lat od wejścia w życie ustawy prowadzenie działalności w zakresie pośrednictwa w pożyczkach papierów wartościowych na uproszczonych zasadach</w:t>
      </w:r>
      <w:r w:rsidR="00470274">
        <w:rPr>
          <w:rFonts w:ascii="Times New Roman" w:hAnsi="Times New Roman" w:cs="Times New Roman"/>
          <w:bCs/>
          <w:sz w:val="24"/>
          <w:szCs w:val="24"/>
        </w:rPr>
        <w:t>.</w:t>
      </w:r>
    </w:p>
    <w:p w14:paraId="7701D2B6" w14:textId="182822D7" w:rsidR="00470274" w:rsidRPr="00470274" w:rsidRDefault="009E3DFB" w:rsidP="00470274">
      <w:pPr>
        <w:shd w:val="clear" w:color="auto" w:fill="FFFFFF" w:themeFill="background1"/>
        <w:spacing w:after="120" w:line="360" w:lineRule="auto"/>
        <w:jc w:val="both"/>
        <w:rPr>
          <w:rFonts w:ascii="Times New Roman" w:hAnsi="Times New Roman" w:cs="Times New Roman"/>
          <w:bCs/>
          <w:iCs/>
          <w:sz w:val="24"/>
          <w:szCs w:val="24"/>
        </w:rPr>
      </w:pPr>
      <w:r>
        <w:rPr>
          <w:rFonts w:ascii="Times New Roman" w:hAnsi="Times New Roman" w:cs="Times New Roman"/>
          <w:bCs/>
          <w:iCs/>
          <w:sz w:val="24"/>
          <w:szCs w:val="24"/>
        </w:rPr>
        <w:lastRenderedPageBreak/>
        <w:t>Zmiana</w:t>
      </w:r>
      <w:r w:rsidR="007C389F">
        <w:rPr>
          <w:rFonts w:ascii="Times New Roman" w:hAnsi="Times New Roman" w:cs="Times New Roman"/>
          <w:bCs/>
          <w:iCs/>
          <w:sz w:val="24"/>
          <w:szCs w:val="24"/>
        </w:rPr>
        <w:t xml:space="preserve"> </w:t>
      </w:r>
      <w:r w:rsidR="00470274">
        <w:rPr>
          <w:rFonts w:ascii="Times New Roman" w:hAnsi="Times New Roman" w:cs="Times New Roman"/>
          <w:bCs/>
          <w:iCs/>
          <w:sz w:val="24"/>
          <w:szCs w:val="24"/>
        </w:rPr>
        <w:t xml:space="preserve">art. 125 ust. 1 </w:t>
      </w:r>
      <w:r>
        <w:rPr>
          <w:rFonts w:ascii="Times New Roman" w:hAnsi="Times New Roman" w:cs="Times New Roman"/>
          <w:bCs/>
          <w:iCs/>
          <w:sz w:val="24"/>
          <w:szCs w:val="24"/>
        </w:rPr>
        <w:t>w zakresie wprowadzenie do wyliczenia i części wspólnej ma charakter</w:t>
      </w:r>
      <w:r w:rsidR="007C389F">
        <w:rPr>
          <w:rFonts w:ascii="Times New Roman" w:hAnsi="Times New Roman" w:cs="Times New Roman"/>
          <w:bCs/>
          <w:iCs/>
          <w:sz w:val="24"/>
          <w:szCs w:val="24"/>
        </w:rPr>
        <w:t xml:space="preserve"> </w:t>
      </w:r>
      <w:r w:rsidR="00470274">
        <w:rPr>
          <w:rFonts w:ascii="Times New Roman" w:hAnsi="Times New Roman" w:cs="Times New Roman"/>
          <w:bCs/>
          <w:iCs/>
          <w:sz w:val="24"/>
          <w:szCs w:val="24"/>
        </w:rPr>
        <w:t>wynikow</w:t>
      </w:r>
      <w:r>
        <w:rPr>
          <w:rFonts w:ascii="Times New Roman" w:hAnsi="Times New Roman" w:cs="Times New Roman"/>
          <w:bCs/>
          <w:iCs/>
          <w:sz w:val="24"/>
          <w:szCs w:val="24"/>
        </w:rPr>
        <w:t xml:space="preserve">y – jest </w:t>
      </w:r>
      <w:r w:rsidR="00470274">
        <w:rPr>
          <w:rFonts w:ascii="Times New Roman" w:hAnsi="Times New Roman" w:cs="Times New Roman"/>
          <w:bCs/>
          <w:iCs/>
          <w:sz w:val="24"/>
          <w:szCs w:val="24"/>
        </w:rPr>
        <w:t xml:space="preserve">związana z </w:t>
      </w:r>
      <w:r>
        <w:rPr>
          <w:rFonts w:ascii="Times New Roman" w:hAnsi="Times New Roman" w:cs="Times New Roman"/>
          <w:bCs/>
          <w:iCs/>
          <w:sz w:val="24"/>
          <w:szCs w:val="24"/>
        </w:rPr>
        <w:t xml:space="preserve">opisaną wyżej </w:t>
      </w:r>
      <w:r w:rsidR="00470274">
        <w:rPr>
          <w:rFonts w:ascii="Times New Roman" w:hAnsi="Times New Roman" w:cs="Times New Roman"/>
          <w:bCs/>
          <w:iCs/>
          <w:sz w:val="24"/>
          <w:szCs w:val="24"/>
        </w:rPr>
        <w:t>jednolitą licencją bankową włączającą w ten zakres również banki państwow</w:t>
      </w:r>
      <w:r w:rsidR="00740527">
        <w:rPr>
          <w:rFonts w:ascii="Times New Roman" w:hAnsi="Times New Roman" w:cs="Times New Roman"/>
          <w:bCs/>
          <w:iCs/>
          <w:sz w:val="24"/>
          <w:szCs w:val="24"/>
        </w:rPr>
        <w:t>e i koniecznością zapewnienia spójności w tym zakresie</w:t>
      </w:r>
    </w:p>
    <w:p w14:paraId="05B7AA12" w14:textId="49BA2A12" w:rsidR="000014D0" w:rsidRPr="006B2CD4" w:rsidRDefault="000014D0" w:rsidP="000014D0">
      <w:pPr>
        <w:shd w:val="clear" w:color="auto" w:fill="FFFFFF" w:themeFill="background1"/>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Zmiany w art. 129 mają na celu rezygnację z publikowania zmian na liście maklerów papierów wartościowych i doradców inwestycyjnych w Dzienniku Urzędowym KNF. </w:t>
      </w:r>
      <w:r w:rsidR="00CA6002" w:rsidRPr="00CA6002">
        <w:rPr>
          <w:rFonts w:ascii="Times New Roman" w:hAnsi="Times New Roman" w:cs="Times New Roman"/>
          <w:bCs/>
          <w:sz w:val="24"/>
          <w:szCs w:val="24"/>
        </w:rPr>
        <w:t>Obowiązek wskazany</w:t>
      </w:r>
      <w:r w:rsidR="007C389F">
        <w:rPr>
          <w:rFonts w:ascii="Times New Roman" w:hAnsi="Times New Roman" w:cs="Times New Roman"/>
          <w:bCs/>
          <w:sz w:val="24"/>
          <w:szCs w:val="24"/>
        </w:rPr>
        <w:t xml:space="preserve"> </w:t>
      </w:r>
      <w:r w:rsidR="00CA6002" w:rsidRPr="00CA6002">
        <w:rPr>
          <w:rFonts w:ascii="Times New Roman" w:hAnsi="Times New Roman" w:cs="Times New Roman"/>
          <w:bCs/>
          <w:sz w:val="24"/>
          <w:szCs w:val="24"/>
        </w:rPr>
        <w:t xml:space="preserve">w art. 129 ust. 5 pkt 1 </w:t>
      </w:r>
      <w:r w:rsidR="00CA6002">
        <w:rPr>
          <w:rFonts w:ascii="Times New Roman" w:hAnsi="Times New Roman" w:cs="Times New Roman"/>
          <w:bCs/>
          <w:sz w:val="24"/>
          <w:szCs w:val="24"/>
        </w:rPr>
        <w:t xml:space="preserve">dotyczący </w:t>
      </w:r>
      <w:r w:rsidR="002A4DC3">
        <w:rPr>
          <w:rFonts w:ascii="Times New Roman" w:hAnsi="Times New Roman" w:cs="Times New Roman"/>
          <w:bCs/>
          <w:sz w:val="24"/>
          <w:szCs w:val="24"/>
        </w:rPr>
        <w:t>informowania KNF o podjęciu lub</w:t>
      </w:r>
      <w:r w:rsidR="00CA6002" w:rsidRPr="00CA6002">
        <w:rPr>
          <w:rFonts w:ascii="Times New Roman" w:hAnsi="Times New Roman" w:cs="Times New Roman"/>
          <w:bCs/>
          <w:sz w:val="24"/>
          <w:szCs w:val="24"/>
        </w:rPr>
        <w:t xml:space="preserve"> zaprzest</w:t>
      </w:r>
      <w:r w:rsidR="002A4DC3">
        <w:rPr>
          <w:rFonts w:ascii="Times New Roman" w:hAnsi="Times New Roman" w:cs="Times New Roman"/>
          <w:bCs/>
          <w:sz w:val="24"/>
          <w:szCs w:val="24"/>
        </w:rPr>
        <w:t>aniu wykonywania zawodu maklera</w:t>
      </w:r>
      <w:r w:rsidR="00CA6002" w:rsidRPr="00CA6002">
        <w:rPr>
          <w:rFonts w:ascii="Times New Roman" w:hAnsi="Times New Roman" w:cs="Times New Roman"/>
          <w:bCs/>
          <w:sz w:val="24"/>
          <w:szCs w:val="24"/>
        </w:rPr>
        <w:t xml:space="preserve"> papi</w:t>
      </w:r>
      <w:r w:rsidR="002A4DC3">
        <w:rPr>
          <w:rFonts w:ascii="Times New Roman" w:hAnsi="Times New Roman" w:cs="Times New Roman"/>
          <w:bCs/>
          <w:sz w:val="24"/>
          <w:szCs w:val="24"/>
        </w:rPr>
        <w:t>erów wartościowych oraz doradcy inwestycyjnego, co</w:t>
      </w:r>
      <w:r w:rsidR="00CA6002" w:rsidRPr="00CA6002">
        <w:rPr>
          <w:rFonts w:ascii="Times New Roman" w:hAnsi="Times New Roman" w:cs="Times New Roman"/>
          <w:bCs/>
          <w:sz w:val="24"/>
          <w:szCs w:val="24"/>
        </w:rPr>
        <w:t xml:space="preserve"> miał</w:t>
      </w:r>
      <w:r w:rsidR="002A4DC3">
        <w:rPr>
          <w:rFonts w:ascii="Times New Roman" w:hAnsi="Times New Roman" w:cs="Times New Roman"/>
          <w:bCs/>
          <w:sz w:val="24"/>
          <w:szCs w:val="24"/>
        </w:rPr>
        <w:t>o</w:t>
      </w:r>
      <w:r w:rsidR="00CA6002" w:rsidRPr="00CA6002">
        <w:rPr>
          <w:rFonts w:ascii="Times New Roman" w:hAnsi="Times New Roman" w:cs="Times New Roman"/>
          <w:bCs/>
          <w:sz w:val="24"/>
          <w:szCs w:val="24"/>
        </w:rPr>
        <w:t xml:space="preserve"> istotne znaczenie w okresie obowiązywania przepisu wskazującego, że w przypadku niewykon</w:t>
      </w:r>
      <w:r w:rsidR="002A4DC3">
        <w:rPr>
          <w:rFonts w:ascii="Times New Roman" w:hAnsi="Times New Roman" w:cs="Times New Roman"/>
          <w:bCs/>
          <w:sz w:val="24"/>
          <w:szCs w:val="24"/>
        </w:rPr>
        <w:t>ywania przez maklera lub doradcy</w:t>
      </w:r>
      <w:r w:rsidR="00CA6002" w:rsidRPr="00CA6002">
        <w:rPr>
          <w:rFonts w:ascii="Times New Roman" w:hAnsi="Times New Roman" w:cs="Times New Roman"/>
          <w:bCs/>
          <w:sz w:val="24"/>
          <w:szCs w:val="24"/>
        </w:rPr>
        <w:t xml:space="preserve"> zawodu</w:t>
      </w:r>
      <w:r w:rsidR="007C389F">
        <w:rPr>
          <w:rFonts w:ascii="Times New Roman" w:hAnsi="Times New Roman" w:cs="Times New Roman"/>
          <w:bCs/>
          <w:sz w:val="24"/>
          <w:szCs w:val="24"/>
        </w:rPr>
        <w:t xml:space="preserve"> </w:t>
      </w:r>
      <w:r w:rsidR="00CA6002" w:rsidRPr="00CA6002">
        <w:rPr>
          <w:rFonts w:ascii="Times New Roman" w:hAnsi="Times New Roman" w:cs="Times New Roman"/>
          <w:bCs/>
          <w:sz w:val="24"/>
          <w:szCs w:val="24"/>
        </w:rPr>
        <w:t>przez okres trzech</w:t>
      </w:r>
      <w:r w:rsidR="007C389F">
        <w:rPr>
          <w:rFonts w:ascii="Times New Roman" w:hAnsi="Times New Roman" w:cs="Times New Roman"/>
          <w:bCs/>
          <w:sz w:val="24"/>
          <w:szCs w:val="24"/>
        </w:rPr>
        <w:t xml:space="preserve"> </w:t>
      </w:r>
      <w:r w:rsidR="00CA6002" w:rsidRPr="00CA6002">
        <w:rPr>
          <w:rFonts w:ascii="Times New Roman" w:hAnsi="Times New Roman" w:cs="Times New Roman"/>
          <w:bCs/>
          <w:sz w:val="24"/>
          <w:szCs w:val="24"/>
        </w:rPr>
        <w:t>lat</w:t>
      </w:r>
      <w:r w:rsidR="002A4DC3">
        <w:rPr>
          <w:rFonts w:ascii="Times New Roman" w:hAnsi="Times New Roman" w:cs="Times New Roman"/>
          <w:bCs/>
          <w:sz w:val="24"/>
          <w:szCs w:val="24"/>
        </w:rPr>
        <w:t>,</w:t>
      </w:r>
      <w:r w:rsidR="00CA6002" w:rsidRPr="00CA6002">
        <w:rPr>
          <w:rFonts w:ascii="Times New Roman" w:hAnsi="Times New Roman" w:cs="Times New Roman"/>
          <w:bCs/>
          <w:sz w:val="24"/>
          <w:szCs w:val="24"/>
        </w:rPr>
        <w:t xml:space="preserve"> Komisji przysługiwały uprawnienia</w:t>
      </w:r>
      <w:r w:rsidR="00D90CA2">
        <w:rPr>
          <w:rFonts w:ascii="Times New Roman" w:hAnsi="Times New Roman" w:cs="Times New Roman"/>
          <w:bCs/>
          <w:sz w:val="24"/>
          <w:szCs w:val="24"/>
        </w:rPr>
        <w:t xml:space="preserve"> do</w:t>
      </w:r>
      <w:r w:rsidR="00CA6002" w:rsidRPr="00CA6002">
        <w:rPr>
          <w:rFonts w:ascii="Times New Roman" w:hAnsi="Times New Roman" w:cs="Times New Roman"/>
          <w:bCs/>
          <w:sz w:val="24"/>
          <w:szCs w:val="24"/>
        </w:rPr>
        <w:t xml:space="preserve"> skreślenia go z listy. Ponadto </w:t>
      </w:r>
      <w:r w:rsidR="00CA6002">
        <w:rPr>
          <w:rFonts w:ascii="Times New Roman" w:hAnsi="Times New Roman" w:cs="Times New Roman"/>
          <w:bCs/>
          <w:sz w:val="24"/>
          <w:szCs w:val="24"/>
        </w:rPr>
        <w:t>KNF</w:t>
      </w:r>
      <w:r w:rsidR="007C389F">
        <w:rPr>
          <w:rFonts w:ascii="Times New Roman" w:hAnsi="Times New Roman" w:cs="Times New Roman"/>
          <w:bCs/>
          <w:sz w:val="24"/>
          <w:szCs w:val="24"/>
        </w:rPr>
        <w:t xml:space="preserve"> </w:t>
      </w:r>
      <w:r w:rsidR="00CA6002" w:rsidRPr="00CA6002">
        <w:rPr>
          <w:rFonts w:ascii="Times New Roman" w:hAnsi="Times New Roman" w:cs="Times New Roman"/>
          <w:bCs/>
          <w:sz w:val="24"/>
          <w:szCs w:val="24"/>
        </w:rPr>
        <w:t>posiada lub może pozyskać takie informacje w ramach nadzoru nad podmiotami, w tym firmami inwestycyjnymi, bankami powierniczymi czy towarzystwami funduszy inwestycyjnych.</w:t>
      </w:r>
      <w:r w:rsidR="002A269C">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Uchylenie ust. 5 pkt 1 zmierza </w:t>
      </w:r>
      <w:r w:rsidR="00CA6002">
        <w:rPr>
          <w:rFonts w:ascii="Times New Roman" w:hAnsi="Times New Roman" w:cs="Times New Roman"/>
          <w:bCs/>
          <w:sz w:val="24"/>
          <w:szCs w:val="24"/>
        </w:rPr>
        <w:t xml:space="preserve">więc </w:t>
      </w:r>
      <w:r w:rsidRPr="006B2CD4">
        <w:rPr>
          <w:rFonts w:ascii="Times New Roman" w:hAnsi="Times New Roman" w:cs="Times New Roman"/>
          <w:bCs/>
          <w:sz w:val="24"/>
          <w:szCs w:val="24"/>
        </w:rPr>
        <w:t xml:space="preserve">do zniesienia </w:t>
      </w:r>
      <w:r w:rsidR="00CA6002">
        <w:rPr>
          <w:rFonts w:ascii="Times New Roman" w:hAnsi="Times New Roman" w:cs="Times New Roman"/>
          <w:bCs/>
          <w:sz w:val="24"/>
          <w:szCs w:val="24"/>
        </w:rPr>
        <w:t xml:space="preserve">nadmiarowego przy obecnych uwarunkowaniach </w:t>
      </w:r>
      <w:r w:rsidRPr="006B2CD4">
        <w:rPr>
          <w:rFonts w:ascii="Times New Roman" w:hAnsi="Times New Roman" w:cs="Times New Roman"/>
          <w:bCs/>
          <w:sz w:val="24"/>
          <w:szCs w:val="24"/>
        </w:rPr>
        <w:t xml:space="preserve">wymogu informowania KNF o fakcie podjęcia i miejsca wykonywania zawodu maklera papierów wartościowych lub doradcy inwestycyjnego oraz zakresie wykonywanych czynności. </w:t>
      </w:r>
    </w:p>
    <w:p w14:paraId="72041641" w14:textId="1AA3DB49" w:rsidR="000014D0" w:rsidRDefault="000014D0" w:rsidP="000014D0">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Zmiana </w:t>
      </w:r>
      <w:r w:rsidRPr="006B2CD4">
        <w:rPr>
          <w:rFonts w:ascii="Times New Roman" w:hAnsi="Times New Roman" w:cs="Times New Roman"/>
          <w:bCs/>
          <w:sz w:val="24"/>
          <w:szCs w:val="24"/>
        </w:rPr>
        <w:t>ust. 6 jest uzasadnion</w:t>
      </w:r>
      <w:r>
        <w:rPr>
          <w:rFonts w:ascii="Times New Roman" w:hAnsi="Times New Roman" w:cs="Times New Roman"/>
          <w:bCs/>
          <w:sz w:val="24"/>
          <w:szCs w:val="24"/>
        </w:rPr>
        <w:t>a</w:t>
      </w:r>
      <w:r w:rsidRPr="006B2CD4">
        <w:rPr>
          <w:rFonts w:ascii="Times New Roman" w:hAnsi="Times New Roman" w:cs="Times New Roman"/>
          <w:bCs/>
          <w:sz w:val="24"/>
          <w:szCs w:val="24"/>
        </w:rPr>
        <w:t xml:space="preserve"> jest okolicznością, że listy maklerów i doradców, a także skreślenie z tych list i zawieszenie uprawnień do wykonywania zawodu maklera i doradcy, są dokonywane na podstawie decyzji administracyjnej. W związku z tym publikacja w Dzienniku Urzędowym KNF nie ma wpływu na skuteczność wpisów na listę, ponieważ doręczenie decyzji i jej wykonalność jest regulowana przepisami k</w:t>
      </w:r>
      <w:r w:rsidR="003B1C0C">
        <w:rPr>
          <w:rFonts w:ascii="Times New Roman" w:hAnsi="Times New Roman" w:cs="Times New Roman"/>
          <w:bCs/>
          <w:sz w:val="24"/>
          <w:szCs w:val="24"/>
        </w:rPr>
        <w:t>.</w:t>
      </w:r>
      <w:r w:rsidRPr="006B2CD4">
        <w:rPr>
          <w:rFonts w:ascii="Times New Roman" w:hAnsi="Times New Roman" w:cs="Times New Roman"/>
          <w:bCs/>
          <w:sz w:val="24"/>
          <w:szCs w:val="24"/>
        </w:rPr>
        <w:t>p</w:t>
      </w:r>
      <w:r w:rsidR="003B1C0C">
        <w:rPr>
          <w:rFonts w:ascii="Times New Roman" w:hAnsi="Times New Roman" w:cs="Times New Roman"/>
          <w:bCs/>
          <w:sz w:val="24"/>
          <w:szCs w:val="24"/>
        </w:rPr>
        <w:t>.</w:t>
      </w:r>
      <w:r w:rsidRPr="006B2CD4">
        <w:rPr>
          <w:rFonts w:ascii="Times New Roman" w:hAnsi="Times New Roman" w:cs="Times New Roman"/>
          <w:bCs/>
          <w:sz w:val="24"/>
          <w:szCs w:val="24"/>
        </w:rPr>
        <w:t xml:space="preserve">a. </w:t>
      </w:r>
    </w:p>
    <w:p w14:paraId="21D6B1C7" w14:textId="421ACEAF" w:rsidR="000014D0" w:rsidRDefault="000014D0" w:rsidP="000014D0">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Uchylenie art. 130 ust. 2 związane jest z zawartymi w </w:t>
      </w:r>
      <w:r w:rsidR="002C09C7">
        <w:rPr>
          <w:rFonts w:ascii="Times New Roman" w:hAnsi="Times New Roman" w:cs="Times New Roman"/>
          <w:bCs/>
          <w:sz w:val="24"/>
          <w:szCs w:val="24"/>
        </w:rPr>
        <w:t>projekcie</w:t>
      </w:r>
      <w:r w:rsidR="007C389F">
        <w:rPr>
          <w:rFonts w:ascii="Times New Roman" w:hAnsi="Times New Roman" w:cs="Times New Roman"/>
          <w:bCs/>
          <w:sz w:val="24"/>
          <w:szCs w:val="24"/>
        </w:rPr>
        <w:t xml:space="preserve"> </w:t>
      </w:r>
      <w:r>
        <w:rPr>
          <w:rFonts w:ascii="Times New Roman" w:hAnsi="Times New Roman" w:cs="Times New Roman"/>
          <w:bCs/>
          <w:sz w:val="24"/>
          <w:szCs w:val="24"/>
        </w:rPr>
        <w:t>przepisami zakładającymi rezygnację z przeprowadzania rozpraw w sprawach dotyczących uczestników rynku kapitałowego</w:t>
      </w:r>
      <w:r w:rsidR="00043D02">
        <w:rPr>
          <w:rFonts w:ascii="Times New Roman" w:hAnsi="Times New Roman" w:cs="Times New Roman"/>
          <w:bCs/>
          <w:sz w:val="24"/>
          <w:szCs w:val="24"/>
        </w:rPr>
        <w:t xml:space="preserve"> przewidzianych niniejszą ustawą</w:t>
      </w:r>
      <w:r>
        <w:rPr>
          <w:rFonts w:ascii="Times New Roman" w:hAnsi="Times New Roman" w:cs="Times New Roman"/>
          <w:bCs/>
          <w:sz w:val="24"/>
          <w:szCs w:val="24"/>
        </w:rPr>
        <w:t xml:space="preserve">. Przyczyni się to do usprawnienia procesu decyzyjnego podejmowanego przez KNF. Możliwość przeprowadzenia rozprawy w sprawie dotyczącej skreślenia </w:t>
      </w:r>
      <w:r w:rsidRPr="003F03AB">
        <w:rPr>
          <w:rFonts w:ascii="Times New Roman" w:hAnsi="Times New Roman" w:cs="Times New Roman"/>
          <w:bCs/>
          <w:sz w:val="24"/>
          <w:szCs w:val="24"/>
        </w:rPr>
        <w:t>z listy albo o zawieszeniu uprawnień do wykonywania zawodu</w:t>
      </w:r>
      <w:r w:rsidR="00D90CA2">
        <w:rPr>
          <w:rFonts w:ascii="Times New Roman" w:hAnsi="Times New Roman" w:cs="Times New Roman"/>
          <w:bCs/>
          <w:sz w:val="24"/>
          <w:szCs w:val="24"/>
        </w:rPr>
        <w:t xml:space="preserve">, </w:t>
      </w:r>
      <w:r>
        <w:rPr>
          <w:rFonts w:ascii="Times New Roman" w:hAnsi="Times New Roman" w:cs="Times New Roman"/>
          <w:bCs/>
          <w:sz w:val="24"/>
          <w:szCs w:val="24"/>
        </w:rPr>
        <w:t>maklera papierów wartościowych albo doradcy inwestycyjnego</w:t>
      </w:r>
      <w:r w:rsidR="00D90CA2">
        <w:rPr>
          <w:rFonts w:ascii="Times New Roman" w:hAnsi="Times New Roman" w:cs="Times New Roman"/>
          <w:bCs/>
          <w:sz w:val="24"/>
          <w:szCs w:val="24"/>
        </w:rPr>
        <w:t>,</w:t>
      </w:r>
      <w:r>
        <w:rPr>
          <w:rFonts w:ascii="Times New Roman" w:hAnsi="Times New Roman" w:cs="Times New Roman"/>
          <w:bCs/>
          <w:sz w:val="24"/>
          <w:szCs w:val="24"/>
        </w:rPr>
        <w:t xml:space="preserve"> jest rozwiązaniem nadmiarowym i w istocie nie przyczyniającym się do ochrony interesów stron takiego postępowania.</w:t>
      </w:r>
    </w:p>
    <w:p w14:paraId="6EA6F49C" w14:textId="27CF5E5B" w:rsidR="003B1DD4" w:rsidRDefault="003B5EF3" w:rsidP="000014D0">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Zmiana </w:t>
      </w:r>
      <w:r w:rsidR="00043D02">
        <w:rPr>
          <w:rFonts w:ascii="Times New Roman" w:hAnsi="Times New Roman" w:cs="Times New Roman"/>
          <w:bCs/>
          <w:sz w:val="24"/>
          <w:szCs w:val="24"/>
        </w:rPr>
        <w:t xml:space="preserve">art. 131 jest związana </w:t>
      </w:r>
      <w:r w:rsidR="003B1DD4">
        <w:rPr>
          <w:rFonts w:ascii="Times New Roman" w:hAnsi="Times New Roman" w:cs="Times New Roman"/>
          <w:bCs/>
          <w:sz w:val="24"/>
          <w:szCs w:val="24"/>
        </w:rPr>
        <w:t>z tym, że wykreślenie z listy makle</w:t>
      </w:r>
      <w:r w:rsidR="00D90CA2">
        <w:rPr>
          <w:rFonts w:ascii="Times New Roman" w:hAnsi="Times New Roman" w:cs="Times New Roman"/>
          <w:bCs/>
          <w:sz w:val="24"/>
          <w:szCs w:val="24"/>
        </w:rPr>
        <w:t>ra</w:t>
      </w:r>
      <w:r w:rsidR="003B1DD4">
        <w:rPr>
          <w:rFonts w:ascii="Times New Roman" w:hAnsi="Times New Roman" w:cs="Times New Roman"/>
          <w:bCs/>
          <w:sz w:val="24"/>
          <w:szCs w:val="24"/>
        </w:rPr>
        <w:t xml:space="preserve"> papierów wartościowych lub doradcy inwestycyjnego przed wydaniem decyzji dotyczącej naruszenia przez niego przepisów ustawy mogłaby prowadzić do bezskuteczności rzeczywistej sankcji w takiej sprawie. Powstała więc konieczność zamieszczenia takiego zastrzeżenia, które skutecznie uzupełni istniejącą niekonieczną rozbieżność w tym zakresie.</w:t>
      </w:r>
    </w:p>
    <w:p w14:paraId="15421488" w14:textId="77777777" w:rsidR="003B5EF3" w:rsidRDefault="003B1DD4" w:rsidP="00B04781">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Dodanie do ustawy o obrocie przepisów Działu IVa „Uczestnictwo w systemie pilotażowym na potrzeby infrastruktury rynkowej opartej na technologii rozproszonego rejestru” jest kluczową regulacją zapewniającą właściwe stosowanie przepisów rozporządzenia DLT Pilot Regime. </w:t>
      </w:r>
    </w:p>
    <w:p w14:paraId="0BE5156D" w14:textId="40DA6FE1" w:rsidR="00B04781" w:rsidRDefault="00855F8A" w:rsidP="00B04781">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W a</w:t>
      </w:r>
      <w:r w:rsidR="00B04781">
        <w:rPr>
          <w:rFonts w:ascii="Times New Roman" w:hAnsi="Times New Roman" w:cs="Times New Roman"/>
          <w:bCs/>
          <w:sz w:val="24"/>
          <w:szCs w:val="24"/>
        </w:rPr>
        <w:t>rt. 131s określ</w:t>
      </w:r>
      <w:r>
        <w:rPr>
          <w:rFonts w:ascii="Times New Roman" w:hAnsi="Times New Roman" w:cs="Times New Roman"/>
          <w:bCs/>
          <w:sz w:val="24"/>
          <w:szCs w:val="24"/>
        </w:rPr>
        <w:t xml:space="preserve">ono </w:t>
      </w:r>
      <w:r w:rsidR="00B04781">
        <w:rPr>
          <w:rFonts w:ascii="Times New Roman" w:hAnsi="Times New Roman" w:cs="Times New Roman"/>
          <w:bCs/>
          <w:sz w:val="24"/>
          <w:szCs w:val="24"/>
        </w:rPr>
        <w:t xml:space="preserve">podstawowe zasady dotyczące ewidencjonowania papierów wartościowych obsługiwanych przez technologię rozproszonego rejestru. W ust. 1 przewidziane zostało, że podstawą będzie rejestracja takich papierów wartościowych przez podmioty prowadzące </w:t>
      </w:r>
      <w:r w:rsidR="00B04781">
        <w:rPr>
          <w:rFonts w:ascii="Times New Roman" w:hAnsi="Times New Roman" w:cs="Times New Roman"/>
          <w:bCs/>
          <w:sz w:val="24"/>
          <w:szCs w:val="24"/>
        </w:rPr>
        <w:lastRenderedPageBreak/>
        <w:t xml:space="preserve">właściwe infrastruktury w technologii rozproszonego rejestru, chyba że zostaną z takiego obowiązku zwolnione, wtedy będą zobowiązane jedynie do ich ewidencjonowania. Takie rozwiązanie jest istotne z punktu widzenia zapewnienia, aby </w:t>
      </w:r>
      <w:r w:rsidR="00B04781" w:rsidRPr="001B66D4">
        <w:rPr>
          <w:rFonts w:ascii="Times New Roman" w:hAnsi="Times New Roman" w:cs="Times New Roman"/>
          <w:bCs/>
          <w:sz w:val="24"/>
          <w:szCs w:val="24"/>
        </w:rPr>
        <w:t>system rejestracji instrumentów finansow</w:t>
      </w:r>
      <w:r w:rsidR="00B04781">
        <w:rPr>
          <w:rFonts w:ascii="Times New Roman" w:hAnsi="Times New Roman" w:cs="Times New Roman"/>
          <w:bCs/>
          <w:sz w:val="24"/>
          <w:szCs w:val="24"/>
        </w:rPr>
        <w:t xml:space="preserve">ych w infrastrukturze, o której </w:t>
      </w:r>
      <w:r w:rsidR="00B04781" w:rsidRPr="001B66D4">
        <w:rPr>
          <w:rFonts w:ascii="Times New Roman" w:hAnsi="Times New Roman" w:cs="Times New Roman"/>
          <w:bCs/>
          <w:sz w:val="24"/>
          <w:szCs w:val="24"/>
        </w:rPr>
        <w:t>mowa w rozporządzeniu DLT</w:t>
      </w:r>
      <w:r w:rsidR="00B04781">
        <w:rPr>
          <w:rFonts w:ascii="Times New Roman" w:hAnsi="Times New Roman" w:cs="Times New Roman"/>
          <w:bCs/>
          <w:sz w:val="24"/>
          <w:szCs w:val="24"/>
        </w:rPr>
        <w:t xml:space="preserve"> Pilot Regime</w:t>
      </w:r>
      <w:r w:rsidR="00B04781" w:rsidRPr="001B66D4">
        <w:rPr>
          <w:rFonts w:ascii="Times New Roman" w:hAnsi="Times New Roman" w:cs="Times New Roman"/>
          <w:bCs/>
          <w:sz w:val="24"/>
          <w:szCs w:val="24"/>
        </w:rPr>
        <w:t xml:space="preserve"> (SS albo TSS) powinien być w</w:t>
      </w:r>
      <w:r w:rsidR="00B04781">
        <w:rPr>
          <w:rFonts w:ascii="Times New Roman" w:hAnsi="Times New Roman" w:cs="Times New Roman"/>
          <w:bCs/>
          <w:sz w:val="24"/>
          <w:szCs w:val="24"/>
        </w:rPr>
        <w:t xml:space="preserve">yraźnie wyodrębniony od systemu </w:t>
      </w:r>
      <w:r w:rsidR="00B04781" w:rsidRPr="001B66D4">
        <w:rPr>
          <w:rFonts w:ascii="Times New Roman" w:hAnsi="Times New Roman" w:cs="Times New Roman"/>
          <w:bCs/>
          <w:sz w:val="24"/>
          <w:szCs w:val="24"/>
        </w:rPr>
        <w:t xml:space="preserve">rejestracji instrumentów finansowych w KDPW. </w:t>
      </w:r>
      <w:r>
        <w:rPr>
          <w:rFonts w:ascii="Times New Roman" w:hAnsi="Times New Roman" w:cs="Times New Roman"/>
          <w:bCs/>
          <w:sz w:val="24"/>
          <w:szCs w:val="24"/>
        </w:rPr>
        <w:t>Brzmienie</w:t>
      </w:r>
      <w:r w:rsidR="007C389F">
        <w:rPr>
          <w:rFonts w:ascii="Times New Roman" w:hAnsi="Times New Roman" w:cs="Times New Roman"/>
          <w:bCs/>
          <w:sz w:val="24"/>
          <w:szCs w:val="24"/>
        </w:rPr>
        <w:t xml:space="preserve"> </w:t>
      </w:r>
      <w:r>
        <w:rPr>
          <w:rFonts w:ascii="Times New Roman" w:hAnsi="Times New Roman" w:cs="Times New Roman"/>
          <w:bCs/>
          <w:sz w:val="24"/>
          <w:szCs w:val="24"/>
        </w:rPr>
        <w:t>u</w:t>
      </w:r>
      <w:r w:rsidR="00B04781">
        <w:rPr>
          <w:rFonts w:ascii="Times New Roman" w:hAnsi="Times New Roman" w:cs="Times New Roman"/>
          <w:bCs/>
          <w:sz w:val="24"/>
          <w:szCs w:val="24"/>
        </w:rPr>
        <w:t xml:space="preserve">st. 2 wynika z jednego z podstawowych założeń rozporządzenia DLT Pilot Regime, zgodnie z którym na prowadzenie jakiejkolwiek infrastruktury w technologii rozproszonego rejestru konieczne jest stosowne zezwolenie wydane przez właściwy organ (w Polsce będzie to KNF). Z kolei ust. 3 jest przepisem technicznym mającym zapewnić zgodność pomiędzy ewidencjonowaniem lub rejestracją papierów wartościowych DLT a wielkością ich emisji. Takie zastrzeżenie jest konieczne dla zapewnienia braku wystąpienia niezgodności w prowadzonym obrocie papierami wartościowymi, bowiem nie może być sytuacji, w której rzeczywista liczba zarejestrowanych, </w:t>
      </w:r>
      <w:r>
        <w:rPr>
          <w:rFonts w:ascii="Times New Roman" w:hAnsi="Times New Roman" w:cs="Times New Roman"/>
          <w:bCs/>
          <w:sz w:val="24"/>
          <w:szCs w:val="24"/>
        </w:rPr>
        <w:t xml:space="preserve">tj. </w:t>
      </w:r>
      <w:r w:rsidR="00B04781">
        <w:rPr>
          <w:rFonts w:ascii="Times New Roman" w:hAnsi="Times New Roman" w:cs="Times New Roman"/>
          <w:bCs/>
          <w:sz w:val="24"/>
          <w:szCs w:val="24"/>
        </w:rPr>
        <w:t>podlegających obrotowi wtórnemu papierów</w:t>
      </w:r>
      <w:r>
        <w:rPr>
          <w:rFonts w:ascii="Times New Roman" w:hAnsi="Times New Roman" w:cs="Times New Roman"/>
          <w:bCs/>
          <w:sz w:val="24"/>
          <w:szCs w:val="24"/>
        </w:rPr>
        <w:t xml:space="preserve"> wartościowych DLT, jest większa</w:t>
      </w:r>
      <w:r w:rsidR="00B04781">
        <w:rPr>
          <w:rFonts w:ascii="Times New Roman" w:hAnsi="Times New Roman" w:cs="Times New Roman"/>
          <w:bCs/>
          <w:sz w:val="24"/>
          <w:szCs w:val="24"/>
        </w:rPr>
        <w:t xml:space="preserve"> niż wynikałoby to z ich emisji. Powstaje tutaj</w:t>
      </w:r>
      <w:r w:rsidR="00D90CA2">
        <w:rPr>
          <w:rFonts w:ascii="Times New Roman" w:hAnsi="Times New Roman" w:cs="Times New Roman"/>
          <w:bCs/>
          <w:sz w:val="24"/>
          <w:szCs w:val="24"/>
        </w:rPr>
        <w:t xml:space="preserve"> </w:t>
      </w:r>
      <w:r w:rsidR="00B04781">
        <w:rPr>
          <w:rFonts w:ascii="Times New Roman" w:hAnsi="Times New Roman" w:cs="Times New Roman"/>
          <w:bCs/>
          <w:sz w:val="24"/>
          <w:szCs w:val="24"/>
        </w:rPr>
        <w:t xml:space="preserve">bowiem konieczność zapewnienia zgodności </w:t>
      </w:r>
      <w:r w:rsidR="00D90CA2">
        <w:rPr>
          <w:rFonts w:ascii="Times New Roman" w:hAnsi="Times New Roman" w:cs="Times New Roman"/>
          <w:bCs/>
          <w:sz w:val="24"/>
          <w:szCs w:val="24"/>
        </w:rPr>
        <w:t>po</w:t>
      </w:r>
      <w:r w:rsidR="00B04781">
        <w:rPr>
          <w:rFonts w:ascii="Times New Roman" w:hAnsi="Times New Roman" w:cs="Times New Roman"/>
          <w:bCs/>
          <w:sz w:val="24"/>
          <w:szCs w:val="24"/>
        </w:rPr>
        <w:t>między pilotażowym reżimem ustanowionym przez rozporządzenie DLT Pilot Regime</w:t>
      </w:r>
      <w:r w:rsidR="00D90CA2">
        <w:rPr>
          <w:rFonts w:ascii="Times New Roman" w:hAnsi="Times New Roman" w:cs="Times New Roman"/>
          <w:bCs/>
          <w:sz w:val="24"/>
          <w:szCs w:val="24"/>
        </w:rPr>
        <w:t>,</w:t>
      </w:r>
      <w:r w:rsidR="00B04781">
        <w:rPr>
          <w:rFonts w:ascii="Times New Roman" w:hAnsi="Times New Roman" w:cs="Times New Roman"/>
          <w:bCs/>
          <w:sz w:val="24"/>
          <w:szCs w:val="24"/>
        </w:rPr>
        <w:t xml:space="preserve"> a </w:t>
      </w:r>
      <w:r>
        <w:rPr>
          <w:rFonts w:ascii="Times New Roman" w:hAnsi="Times New Roman" w:cs="Times New Roman"/>
          <w:bCs/>
          <w:sz w:val="24"/>
          <w:szCs w:val="24"/>
        </w:rPr>
        <w:t xml:space="preserve">dotychczasowym </w:t>
      </w:r>
      <w:r w:rsidR="00B04781">
        <w:rPr>
          <w:rFonts w:ascii="Times New Roman" w:hAnsi="Times New Roman" w:cs="Times New Roman"/>
          <w:bCs/>
          <w:sz w:val="24"/>
          <w:szCs w:val="24"/>
        </w:rPr>
        <w:t>obrotem papierami wartościowymi, bowiem to zasady tego drugiego mają być nadal podstawą prowadzenia obrotu papierami wartośc</w:t>
      </w:r>
      <w:r>
        <w:rPr>
          <w:rFonts w:ascii="Times New Roman" w:hAnsi="Times New Roman" w:cs="Times New Roman"/>
          <w:bCs/>
          <w:sz w:val="24"/>
          <w:szCs w:val="24"/>
        </w:rPr>
        <w:t>i</w:t>
      </w:r>
      <w:r w:rsidR="00B04781">
        <w:rPr>
          <w:rFonts w:ascii="Times New Roman" w:hAnsi="Times New Roman" w:cs="Times New Roman"/>
          <w:bCs/>
          <w:sz w:val="24"/>
          <w:szCs w:val="24"/>
        </w:rPr>
        <w:t>owymi.</w:t>
      </w:r>
    </w:p>
    <w:p w14:paraId="47F8636F" w14:textId="77777777" w:rsidR="003B5EF3" w:rsidRDefault="00855F8A" w:rsidP="00B04781">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Przepis a</w:t>
      </w:r>
      <w:r w:rsidR="00B04781">
        <w:rPr>
          <w:rFonts w:ascii="Times New Roman" w:hAnsi="Times New Roman" w:cs="Times New Roman"/>
          <w:bCs/>
          <w:sz w:val="24"/>
          <w:szCs w:val="24"/>
        </w:rPr>
        <w:t xml:space="preserve">rt. 131t ust. 1 wprowadza definicję rachunku DLT. Zgodnie z tym przepisem jest to </w:t>
      </w:r>
      <w:r w:rsidR="00B04781" w:rsidRPr="003961A0">
        <w:rPr>
          <w:rFonts w:ascii="Times New Roman" w:hAnsi="Times New Roman" w:cs="Times New Roman"/>
          <w:bCs/>
          <w:sz w:val="24"/>
          <w:szCs w:val="24"/>
        </w:rPr>
        <w:t>rachunek, do któ</w:t>
      </w:r>
      <w:r w:rsidR="00B04781">
        <w:rPr>
          <w:rFonts w:ascii="Times New Roman" w:hAnsi="Times New Roman" w:cs="Times New Roman"/>
          <w:bCs/>
          <w:sz w:val="24"/>
          <w:szCs w:val="24"/>
        </w:rPr>
        <w:t xml:space="preserve">rego stosuje się reżim rachunku </w:t>
      </w:r>
      <w:r w:rsidR="00B04781" w:rsidRPr="003961A0">
        <w:rPr>
          <w:rFonts w:ascii="Times New Roman" w:hAnsi="Times New Roman" w:cs="Times New Roman"/>
          <w:bCs/>
          <w:sz w:val="24"/>
          <w:szCs w:val="24"/>
        </w:rPr>
        <w:t>papierów wartościowych (zapisów księgowych) w rozumieniu rozporządzenia</w:t>
      </w:r>
      <w:r w:rsidR="00B04781">
        <w:rPr>
          <w:rFonts w:ascii="Times New Roman" w:hAnsi="Times New Roman" w:cs="Times New Roman"/>
          <w:bCs/>
          <w:sz w:val="24"/>
          <w:szCs w:val="24"/>
        </w:rPr>
        <w:t xml:space="preserve"> 909/2014 </w:t>
      </w:r>
      <w:r w:rsidR="00B04781" w:rsidRPr="003961A0">
        <w:rPr>
          <w:rFonts w:ascii="Times New Roman" w:hAnsi="Times New Roman" w:cs="Times New Roman"/>
          <w:bCs/>
          <w:sz w:val="24"/>
          <w:szCs w:val="24"/>
        </w:rPr>
        <w:t xml:space="preserve">tj. rachunek, na którym mogą być dokonywane </w:t>
      </w:r>
      <w:r w:rsidR="00B04781" w:rsidRPr="003961A0">
        <w:rPr>
          <w:rFonts w:ascii="Times New Roman" w:hAnsi="Times New Roman" w:cs="Times New Roman"/>
          <w:bCs/>
          <w:sz w:val="24"/>
          <w:szCs w:val="24"/>
        </w:rPr>
        <w:lastRenderedPageBreak/>
        <w:t>zapisy w odniesieniu do</w:t>
      </w:r>
      <w:r w:rsidR="00B04781">
        <w:rPr>
          <w:rFonts w:ascii="Times New Roman" w:hAnsi="Times New Roman" w:cs="Times New Roman"/>
          <w:bCs/>
          <w:sz w:val="24"/>
          <w:szCs w:val="24"/>
        </w:rPr>
        <w:t xml:space="preserve"> </w:t>
      </w:r>
      <w:r w:rsidR="00B04781" w:rsidRPr="003961A0">
        <w:rPr>
          <w:rFonts w:ascii="Times New Roman" w:hAnsi="Times New Roman" w:cs="Times New Roman"/>
          <w:bCs/>
          <w:sz w:val="24"/>
          <w:szCs w:val="24"/>
        </w:rPr>
        <w:t>instrumentów finansowych obsługiwanych przez DLT, uznające lub obciążające</w:t>
      </w:r>
      <w:r w:rsidR="00B04781">
        <w:rPr>
          <w:rFonts w:ascii="Times New Roman" w:hAnsi="Times New Roman" w:cs="Times New Roman"/>
          <w:bCs/>
          <w:sz w:val="24"/>
          <w:szCs w:val="24"/>
        </w:rPr>
        <w:t xml:space="preserve"> </w:t>
      </w:r>
      <w:r w:rsidR="00B04781" w:rsidRPr="003961A0">
        <w:rPr>
          <w:rFonts w:ascii="Times New Roman" w:hAnsi="Times New Roman" w:cs="Times New Roman"/>
          <w:bCs/>
          <w:sz w:val="24"/>
          <w:szCs w:val="24"/>
        </w:rPr>
        <w:t xml:space="preserve">rachunek. </w:t>
      </w:r>
      <w:r w:rsidR="003B5EF3">
        <w:rPr>
          <w:rFonts w:ascii="Times New Roman" w:hAnsi="Times New Roman" w:cs="Times New Roman"/>
          <w:bCs/>
          <w:sz w:val="24"/>
          <w:szCs w:val="24"/>
        </w:rPr>
        <w:t>Przepisy u</w:t>
      </w:r>
      <w:r w:rsidR="00B04781">
        <w:rPr>
          <w:rFonts w:ascii="Times New Roman" w:hAnsi="Times New Roman" w:cs="Times New Roman"/>
          <w:bCs/>
          <w:sz w:val="24"/>
          <w:szCs w:val="24"/>
        </w:rPr>
        <w:t>st. 2 i 3 stanowią odzwierciedlenie zasad dotyczących</w:t>
      </w:r>
      <w:r w:rsidR="00B04781" w:rsidRPr="003961A0">
        <w:rPr>
          <w:rFonts w:ascii="Times New Roman" w:hAnsi="Times New Roman" w:cs="Times New Roman"/>
          <w:bCs/>
          <w:sz w:val="24"/>
          <w:szCs w:val="24"/>
        </w:rPr>
        <w:t xml:space="preserve"> powstawania i przenoszenia praw z inst</w:t>
      </w:r>
      <w:r w:rsidR="00B04781">
        <w:rPr>
          <w:rFonts w:ascii="Times New Roman" w:hAnsi="Times New Roman" w:cs="Times New Roman"/>
          <w:bCs/>
          <w:sz w:val="24"/>
          <w:szCs w:val="24"/>
        </w:rPr>
        <w:t xml:space="preserve">rumentów finansowych zapisanych </w:t>
      </w:r>
      <w:r w:rsidR="00B04781" w:rsidRPr="003961A0">
        <w:rPr>
          <w:rFonts w:ascii="Times New Roman" w:hAnsi="Times New Roman" w:cs="Times New Roman"/>
          <w:bCs/>
          <w:sz w:val="24"/>
          <w:szCs w:val="24"/>
        </w:rPr>
        <w:t>na rachunkach DLT</w:t>
      </w:r>
      <w:r w:rsidR="00B04781">
        <w:rPr>
          <w:rFonts w:ascii="Times New Roman" w:hAnsi="Times New Roman" w:cs="Times New Roman"/>
          <w:bCs/>
          <w:sz w:val="24"/>
          <w:szCs w:val="24"/>
        </w:rPr>
        <w:t xml:space="preserve">. </w:t>
      </w:r>
    </w:p>
    <w:p w14:paraId="6E739DEF" w14:textId="1702ED92" w:rsidR="00B04781" w:rsidRDefault="00B04781" w:rsidP="00B04781">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Zgodnie z art. 131s ust. 2</w:t>
      </w:r>
      <w:r w:rsidRPr="003961A0">
        <w:rPr>
          <w:rFonts w:ascii="Times New Roman" w:hAnsi="Times New Roman" w:cs="Times New Roman"/>
          <w:bCs/>
          <w:sz w:val="24"/>
          <w:szCs w:val="24"/>
        </w:rPr>
        <w:t xml:space="preserve"> </w:t>
      </w:r>
      <w:r>
        <w:rPr>
          <w:rFonts w:ascii="Times New Roman" w:hAnsi="Times New Roman" w:cs="Times New Roman"/>
          <w:bCs/>
          <w:sz w:val="24"/>
          <w:szCs w:val="24"/>
        </w:rPr>
        <w:t>p</w:t>
      </w:r>
      <w:r w:rsidRPr="003961A0">
        <w:rPr>
          <w:rFonts w:ascii="Times New Roman" w:hAnsi="Times New Roman" w:cs="Times New Roman"/>
          <w:bCs/>
          <w:sz w:val="24"/>
          <w:szCs w:val="24"/>
        </w:rPr>
        <w:t>rawa z papierów wartościowych będących instrumentami finansowymi obsługiwanymi przez DLT powstają z chwilą ich zapisania po raz pierwszy na rachunku DLT, o ile zapis ten w sposób jednoznaczny i nieodwracalny identyfikuje papiery wartościowe oraz osobę uprawnioną z tych papierów wartościowych, a także liczbę przysługujących papierów wartościowych tej osobie, z zastrzeżeniem art. 131</w:t>
      </w:r>
      <w:r>
        <w:rPr>
          <w:rFonts w:ascii="Times New Roman" w:hAnsi="Times New Roman" w:cs="Times New Roman"/>
          <w:bCs/>
          <w:sz w:val="24"/>
          <w:szCs w:val="24"/>
        </w:rPr>
        <w:t>zb (przepis zawężający przedmiot</w:t>
      </w:r>
      <w:r w:rsidRPr="00BA41DE">
        <w:rPr>
          <w:rFonts w:ascii="Times New Roman" w:hAnsi="Times New Roman" w:cs="Times New Roman"/>
          <w:bCs/>
          <w:sz w:val="24"/>
          <w:szCs w:val="24"/>
        </w:rPr>
        <w:t xml:space="preserve"> wtórnej rejestracji DLT </w:t>
      </w:r>
      <w:r>
        <w:rPr>
          <w:rFonts w:ascii="Times New Roman" w:hAnsi="Times New Roman" w:cs="Times New Roman"/>
          <w:bCs/>
          <w:sz w:val="24"/>
          <w:szCs w:val="24"/>
        </w:rPr>
        <w:t xml:space="preserve">do akcji </w:t>
      </w:r>
      <w:r w:rsidRPr="00BA41DE">
        <w:rPr>
          <w:rFonts w:ascii="Times New Roman" w:hAnsi="Times New Roman" w:cs="Times New Roman"/>
          <w:bCs/>
          <w:sz w:val="24"/>
          <w:szCs w:val="24"/>
        </w:rPr>
        <w:t>spółki niebędącej</w:t>
      </w:r>
      <w:r>
        <w:rPr>
          <w:rFonts w:ascii="Times New Roman" w:hAnsi="Times New Roman" w:cs="Times New Roman"/>
          <w:bCs/>
          <w:sz w:val="24"/>
          <w:szCs w:val="24"/>
        </w:rPr>
        <w:t xml:space="preserve"> spółką publiczną zarejestrowaną</w:t>
      </w:r>
      <w:r w:rsidRPr="00BA41DE">
        <w:rPr>
          <w:rFonts w:ascii="Times New Roman" w:hAnsi="Times New Roman" w:cs="Times New Roman"/>
          <w:bCs/>
          <w:sz w:val="24"/>
          <w:szCs w:val="24"/>
        </w:rPr>
        <w:t xml:space="preserve"> w rejestrze akcjonariuszy, o którym mowa w art. 328</w:t>
      </w:r>
      <w:r w:rsidRPr="00255AB5">
        <w:rPr>
          <w:rFonts w:ascii="Times New Roman" w:hAnsi="Times New Roman" w:cs="Times New Roman"/>
          <w:bCs/>
          <w:sz w:val="24"/>
          <w:szCs w:val="24"/>
          <w:vertAlign w:val="superscript"/>
        </w:rPr>
        <w:t>1</w:t>
      </w:r>
      <w:r w:rsidRPr="00BA41DE">
        <w:rPr>
          <w:rFonts w:ascii="Times New Roman" w:hAnsi="Times New Roman" w:cs="Times New Roman"/>
          <w:bCs/>
          <w:sz w:val="24"/>
          <w:szCs w:val="24"/>
        </w:rPr>
        <w:t xml:space="preserve"> § 1 </w:t>
      </w:r>
      <w:r w:rsidR="003B5EF3">
        <w:rPr>
          <w:rFonts w:ascii="Times New Roman" w:hAnsi="Times New Roman" w:cs="Times New Roman"/>
          <w:bCs/>
          <w:sz w:val="24"/>
          <w:szCs w:val="24"/>
        </w:rPr>
        <w:t>k.s.h.</w:t>
      </w:r>
      <w:r w:rsidR="00D90CA2">
        <w:rPr>
          <w:rFonts w:ascii="Times New Roman" w:hAnsi="Times New Roman" w:cs="Times New Roman"/>
          <w:bCs/>
          <w:sz w:val="24"/>
          <w:szCs w:val="24"/>
        </w:rPr>
        <w:t>)</w:t>
      </w:r>
      <w:r>
        <w:rPr>
          <w:rFonts w:ascii="Times New Roman" w:hAnsi="Times New Roman" w:cs="Times New Roman"/>
          <w:bCs/>
          <w:sz w:val="24"/>
          <w:szCs w:val="24"/>
        </w:rPr>
        <w:t>, natomiast co do przenoszenia tych praw zastosowanie znajd</w:t>
      </w:r>
      <w:r w:rsidR="003B5EF3">
        <w:rPr>
          <w:rFonts w:ascii="Times New Roman" w:hAnsi="Times New Roman" w:cs="Times New Roman"/>
          <w:bCs/>
          <w:sz w:val="24"/>
          <w:szCs w:val="24"/>
        </w:rPr>
        <w:t>ą zastosowanie zasady ogólne</w:t>
      </w:r>
      <w:r>
        <w:rPr>
          <w:rFonts w:ascii="Times New Roman" w:hAnsi="Times New Roman" w:cs="Times New Roman"/>
          <w:bCs/>
          <w:sz w:val="24"/>
          <w:szCs w:val="24"/>
        </w:rPr>
        <w:t xml:space="preserve"> wynikając</w:t>
      </w:r>
      <w:r w:rsidR="003B5EF3">
        <w:rPr>
          <w:rFonts w:ascii="Times New Roman" w:hAnsi="Times New Roman" w:cs="Times New Roman"/>
          <w:bCs/>
          <w:sz w:val="24"/>
          <w:szCs w:val="24"/>
        </w:rPr>
        <w:t>e</w:t>
      </w:r>
      <w:r>
        <w:rPr>
          <w:rFonts w:ascii="Times New Roman" w:hAnsi="Times New Roman" w:cs="Times New Roman"/>
          <w:bCs/>
          <w:sz w:val="24"/>
          <w:szCs w:val="24"/>
        </w:rPr>
        <w:t xml:space="preserve"> z </w:t>
      </w:r>
      <w:r w:rsidRPr="003961A0">
        <w:rPr>
          <w:rFonts w:ascii="Times New Roman" w:hAnsi="Times New Roman" w:cs="Times New Roman"/>
          <w:bCs/>
          <w:sz w:val="24"/>
          <w:szCs w:val="24"/>
        </w:rPr>
        <w:t>art. 7 ust. 1–3, 5b i 6</w:t>
      </w:r>
      <w:r>
        <w:rPr>
          <w:rFonts w:ascii="Times New Roman" w:hAnsi="Times New Roman" w:cs="Times New Roman"/>
          <w:bCs/>
          <w:sz w:val="24"/>
          <w:szCs w:val="24"/>
        </w:rPr>
        <w:t xml:space="preserve"> ustawy o obrocie.</w:t>
      </w:r>
    </w:p>
    <w:p w14:paraId="647EC186" w14:textId="4E32B102" w:rsidR="00B04781" w:rsidRPr="00C17E3F" w:rsidRDefault="00B04781" w:rsidP="00C17E3F">
      <w:pPr>
        <w:shd w:val="clear" w:color="auto" w:fill="FFFFFF" w:themeFill="background1"/>
        <w:spacing w:after="0" w:line="360" w:lineRule="auto"/>
        <w:jc w:val="both"/>
        <w:rPr>
          <w:rFonts w:ascii="Times New Roman" w:hAnsi="Times New Roman" w:cs="Times New Roman"/>
          <w:bCs/>
          <w:sz w:val="24"/>
          <w:szCs w:val="24"/>
        </w:rPr>
      </w:pPr>
      <w:r w:rsidRPr="00C17E3F">
        <w:rPr>
          <w:rFonts w:ascii="Times New Roman" w:hAnsi="Times New Roman" w:cs="Times New Roman"/>
          <w:bCs/>
          <w:sz w:val="24"/>
          <w:szCs w:val="24"/>
        </w:rPr>
        <w:t>Art. 131u rozstrzyga o sytuacji, w której podmiot prowadzący system obrotu oparty o technologię DLT lub system obrotu i rozrachunku oparty o technologię DLT jest zwolniony z obowiązku prowadzenia rachunku papierów wartościowych na podstawie przepisów rozporządzenia 909/2014. Zwolnienie takie, uzyskane na podstawie art. 5 ust. 2 lit. a rozporządzenia DLT Pilot Regime wymaga jednoczesnego ustanowienia zasad prowadzenia obrotu i rozrachunku papierami wartościowymi DLT, w celu zapewnienia integralności emisji takiego papieru wartościowego. W tym celu art. 131u ust. 2</w:t>
      </w:r>
      <w:r w:rsidR="00C17E3F" w:rsidRPr="00C17E3F">
        <w:rPr>
          <w:rFonts w:ascii="Times New Roman" w:hAnsi="Times New Roman" w:cs="Times New Roman"/>
          <w:bCs/>
          <w:sz w:val="24"/>
          <w:szCs w:val="24"/>
        </w:rPr>
        <w:t>–</w:t>
      </w:r>
      <w:r w:rsidRPr="00C17E3F">
        <w:rPr>
          <w:rFonts w:ascii="Times New Roman" w:hAnsi="Times New Roman" w:cs="Times New Roman"/>
          <w:bCs/>
          <w:sz w:val="24"/>
          <w:szCs w:val="24"/>
        </w:rPr>
        <w:t>4 określają podstawowe wymogi wobec takiej ewidencji DLT, do których należą:</w:t>
      </w:r>
    </w:p>
    <w:p w14:paraId="1E7CA534" w14:textId="2948EBF5" w:rsidR="00B04781" w:rsidRDefault="00B04781" w:rsidP="00C17E3F">
      <w:pPr>
        <w:pStyle w:val="Akapitzlist"/>
        <w:numPr>
          <w:ilvl w:val="0"/>
          <w:numId w:val="56"/>
        </w:numPr>
        <w:shd w:val="clear" w:color="auto" w:fill="FFFFFF" w:themeFill="background1"/>
        <w:spacing w:after="0" w:line="360" w:lineRule="auto"/>
        <w:ind w:left="360"/>
        <w:jc w:val="both"/>
        <w:rPr>
          <w:rFonts w:ascii="Times New Roman" w:hAnsi="Times New Roman" w:cs="Times New Roman"/>
          <w:bCs/>
          <w:sz w:val="24"/>
          <w:szCs w:val="24"/>
        </w:rPr>
      </w:pPr>
      <w:r w:rsidRPr="00000BC4">
        <w:rPr>
          <w:rFonts w:ascii="Times New Roman" w:hAnsi="Times New Roman" w:cs="Times New Roman"/>
          <w:bCs/>
          <w:sz w:val="24"/>
          <w:szCs w:val="24"/>
        </w:rPr>
        <w:lastRenderedPageBreak/>
        <w:t>identyf</w:t>
      </w:r>
      <w:r w:rsidR="00D90CA2">
        <w:rPr>
          <w:rFonts w:ascii="Times New Roman" w:hAnsi="Times New Roman" w:cs="Times New Roman"/>
          <w:bCs/>
          <w:sz w:val="24"/>
          <w:szCs w:val="24"/>
        </w:rPr>
        <w:t>ikacja instrumentu finansowego,</w:t>
      </w:r>
    </w:p>
    <w:p w14:paraId="2EDA6EFE" w14:textId="6B8D6BCE" w:rsidR="00B04781" w:rsidRPr="00255AB5" w:rsidRDefault="00B04781" w:rsidP="00C17E3F">
      <w:pPr>
        <w:pStyle w:val="Akapitzlist"/>
        <w:numPr>
          <w:ilvl w:val="0"/>
          <w:numId w:val="56"/>
        </w:numPr>
        <w:shd w:val="clear" w:color="auto" w:fill="FFFFFF" w:themeFill="background1"/>
        <w:spacing w:after="120" w:line="360" w:lineRule="auto"/>
        <w:ind w:left="360"/>
        <w:jc w:val="both"/>
        <w:rPr>
          <w:rFonts w:ascii="Times New Roman" w:hAnsi="Times New Roman" w:cs="Times New Roman"/>
          <w:bCs/>
          <w:sz w:val="24"/>
          <w:szCs w:val="24"/>
        </w:rPr>
      </w:pPr>
      <w:r w:rsidRPr="00255AB5">
        <w:rPr>
          <w:rFonts w:ascii="Times New Roman" w:hAnsi="Times New Roman" w:cs="Times New Roman"/>
          <w:bCs/>
          <w:sz w:val="24"/>
          <w:szCs w:val="24"/>
        </w:rPr>
        <w:t>identyfikacja osoby, której przysł</w:t>
      </w:r>
      <w:r w:rsidRPr="00000BC4">
        <w:rPr>
          <w:rFonts w:ascii="Times New Roman" w:hAnsi="Times New Roman" w:cs="Times New Roman"/>
          <w:bCs/>
          <w:sz w:val="24"/>
          <w:szCs w:val="24"/>
        </w:rPr>
        <w:t>ugują pr</w:t>
      </w:r>
      <w:r w:rsidR="00D90CA2">
        <w:rPr>
          <w:rFonts w:ascii="Times New Roman" w:hAnsi="Times New Roman" w:cs="Times New Roman"/>
          <w:bCs/>
          <w:sz w:val="24"/>
          <w:szCs w:val="24"/>
        </w:rPr>
        <w:t>awa z tych instrumentów,</w:t>
      </w:r>
    </w:p>
    <w:p w14:paraId="0CE0DB78" w14:textId="27748D2E" w:rsidR="00B04781" w:rsidRDefault="00B04781" w:rsidP="00C17E3F">
      <w:pPr>
        <w:pStyle w:val="Akapitzlist"/>
        <w:numPr>
          <w:ilvl w:val="0"/>
          <w:numId w:val="56"/>
        </w:numPr>
        <w:shd w:val="clear" w:color="auto" w:fill="FFFFFF" w:themeFill="background1"/>
        <w:spacing w:after="120" w:line="360" w:lineRule="auto"/>
        <w:ind w:left="360"/>
        <w:jc w:val="both"/>
        <w:rPr>
          <w:rFonts w:ascii="Times New Roman" w:hAnsi="Times New Roman" w:cs="Times New Roman"/>
          <w:bCs/>
          <w:sz w:val="24"/>
          <w:szCs w:val="24"/>
        </w:rPr>
      </w:pPr>
      <w:r w:rsidRPr="00000BC4">
        <w:rPr>
          <w:rFonts w:ascii="Times New Roman" w:hAnsi="Times New Roman" w:cs="Times New Roman"/>
          <w:bCs/>
          <w:sz w:val="24"/>
          <w:szCs w:val="24"/>
        </w:rPr>
        <w:t>nieodwracalność zapisu, z wyjątkiem sytuacji</w:t>
      </w:r>
      <w:r w:rsidR="00C17E3F">
        <w:rPr>
          <w:rFonts w:ascii="Times New Roman" w:hAnsi="Times New Roman" w:cs="Times New Roman"/>
          <w:bCs/>
          <w:sz w:val="24"/>
          <w:szCs w:val="24"/>
        </w:rPr>
        <w:t>,</w:t>
      </w:r>
      <w:r w:rsidRPr="00000BC4">
        <w:rPr>
          <w:rFonts w:ascii="Times New Roman" w:hAnsi="Times New Roman" w:cs="Times New Roman"/>
          <w:bCs/>
          <w:sz w:val="24"/>
          <w:szCs w:val="24"/>
        </w:rPr>
        <w:t xml:space="preserve"> w której dochodzi do zmiany zapisów w</w:t>
      </w:r>
      <w:r>
        <w:rPr>
          <w:rFonts w:ascii="Times New Roman" w:hAnsi="Times New Roman" w:cs="Times New Roman"/>
          <w:bCs/>
          <w:sz w:val="24"/>
          <w:szCs w:val="24"/>
        </w:rPr>
        <w:t xml:space="preserve"> </w:t>
      </w:r>
      <w:r w:rsidRPr="00255AB5">
        <w:rPr>
          <w:rFonts w:ascii="Times New Roman" w:hAnsi="Times New Roman" w:cs="Times New Roman"/>
          <w:bCs/>
          <w:sz w:val="24"/>
          <w:szCs w:val="24"/>
        </w:rPr>
        <w:t>przypadku nabycia z mocy prawa (np. spadkobranie)</w:t>
      </w:r>
      <w:r w:rsidR="00D90CA2">
        <w:rPr>
          <w:rFonts w:ascii="Times New Roman" w:hAnsi="Times New Roman" w:cs="Times New Roman"/>
          <w:bCs/>
          <w:sz w:val="24"/>
          <w:szCs w:val="24"/>
        </w:rPr>
        <w:t>,</w:t>
      </w:r>
    </w:p>
    <w:p w14:paraId="2950523A" w14:textId="77777777" w:rsidR="00B04781" w:rsidRDefault="00B04781" w:rsidP="00C17E3F">
      <w:pPr>
        <w:pStyle w:val="Akapitzlist"/>
        <w:numPr>
          <w:ilvl w:val="0"/>
          <w:numId w:val="56"/>
        </w:numPr>
        <w:shd w:val="clear" w:color="auto" w:fill="FFFFFF" w:themeFill="background1"/>
        <w:spacing w:after="120" w:line="360" w:lineRule="auto"/>
        <w:ind w:left="360"/>
        <w:jc w:val="both"/>
        <w:rPr>
          <w:rFonts w:ascii="Times New Roman" w:hAnsi="Times New Roman" w:cs="Times New Roman"/>
          <w:bCs/>
          <w:sz w:val="24"/>
          <w:szCs w:val="24"/>
        </w:rPr>
      </w:pPr>
      <w:r w:rsidRPr="00255AB5">
        <w:rPr>
          <w:rFonts w:ascii="Times New Roman" w:hAnsi="Times New Roman" w:cs="Times New Roman"/>
          <w:bCs/>
          <w:sz w:val="24"/>
          <w:szCs w:val="24"/>
        </w:rPr>
        <w:t>możliwość weryfikacji wielkości emisji z łączną liczbą instrumentów finansowych</w:t>
      </w:r>
      <w:r>
        <w:rPr>
          <w:rFonts w:ascii="Times New Roman" w:hAnsi="Times New Roman" w:cs="Times New Roman"/>
          <w:bCs/>
          <w:sz w:val="24"/>
          <w:szCs w:val="24"/>
        </w:rPr>
        <w:t xml:space="preserve"> </w:t>
      </w:r>
      <w:r w:rsidRPr="00255AB5">
        <w:rPr>
          <w:rFonts w:ascii="Times New Roman" w:hAnsi="Times New Roman" w:cs="Times New Roman"/>
          <w:bCs/>
          <w:sz w:val="24"/>
          <w:szCs w:val="24"/>
        </w:rPr>
        <w:t>zapisanych w DLT.</w:t>
      </w:r>
    </w:p>
    <w:p w14:paraId="096F476D" w14:textId="3C95B0F4" w:rsidR="00B04781" w:rsidRDefault="00B04781" w:rsidP="00B04781">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Art. 131w wprowadza zastrzeżenie, że i</w:t>
      </w:r>
      <w:r w:rsidRPr="00000BC4">
        <w:rPr>
          <w:rFonts w:ascii="Times New Roman" w:hAnsi="Times New Roman" w:cs="Times New Roman"/>
          <w:bCs/>
          <w:sz w:val="24"/>
          <w:szCs w:val="24"/>
        </w:rPr>
        <w:t>lekroć w odrębnych przepisach jest mowa o rachunkach papierów wartościowych rozumie się przez to również rachunki DLT oraz ewidencję DLT</w:t>
      </w:r>
      <w:r>
        <w:rPr>
          <w:rFonts w:ascii="Times New Roman" w:hAnsi="Times New Roman" w:cs="Times New Roman"/>
          <w:bCs/>
          <w:sz w:val="24"/>
          <w:szCs w:val="24"/>
        </w:rPr>
        <w:t xml:space="preserve">. Jest ono konieczne dla zapewnienia spójności interpretacyjnej przepisów z zakresu obrotu papierami wartościowymi, albowiem reżim ustanowiony przez rozporządzenie DLT Pilot Regime nie </w:t>
      </w:r>
      <w:r w:rsidR="00C17E3F">
        <w:rPr>
          <w:rFonts w:ascii="Times New Roman" w:hAnsi="Times New Roman" w:cs="Times New Roman"/>
          <w:bCs/>
          <w:sz w:val="24"/>
          <w:szCs w:val="24"/>
        </w:rPr>
        <w:t xml:space="preserve">ma charakteru odrębnego wobec reżimu </w:t>
      </w:r>
      <w:r>
        <w:rPr>
          <w:rFonts w:ascii="Times New Roman" w:hAnsi="Times New Roman" w:cs="Times New Roman"/>
          <w:bCs/>
          <w:sz w:val="24"/>
          <w:szCs w:val="24"/>
        </w:rPr>
        <w:t>wynikającego z dotychczas obowiązujących przepisów ustawy o obrocie.</w:t>
      </w:r>
    </w:p>
    <w:p w14:paraId="0D13D799" w14:textId="184BD757" w:rsidR="00B04781" w:rsidRDefault="00B04781" w:rsidP="00B04781">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Art. 131x wprowadza z kolei zastrzeżenie doty</w:t>
      </w:r>
      <w:r w:rsidR="00D90CA2">
        <w:rPr>
          <w:rFonts w:ascii="Times New Roman" w:hAnsi="Times New Roman" w:cs="Times New Roman"/>
          <w:bCs/>
          <w:sz w:val="24"/>
          <w:szCs w:val="24"/>
        </w:rPr>
        <w:t>czące</w:t>
      </w:r>
      <w:r>
        <w:rPr>
          <w:rFonts w:ascii="Times New Roman" w:hAnsi="Times New Roman" w:cs="Times New Roman"/>
          <w:bCs/>
          <w:sz w:val="24"/>
          <w:szCs w:val="24"/>
        </w:rPr>
        <w:t xml:space="preserve"> wykonywania praw z posiadanych papierów wartościowych DLT. Z uwagi na to, że stanowią one cyfrowe odzwierciedlenie zdematerializowanych papierów wartościowych</w:t>
      </w:r>
      <w:r w:rsidR="00C17E3F">
        <w:rPr>
          <w:rFonts w:ascii="Times New Roman" w:hAnsi="Times New Roman" w:cs="Times New Roman"/>
          <w:bCs/>
          <w:sz w:val="24"/>
          <w:szCs w:val="24"/>
        </w:rPr>
        <w:t xml:space="preserve">, </w:t>
      </w:r>
      <w:r>
        <w:rPr>
          <w:rFonts w:ascii="Times New Roman" w:hAnsi="Times New Roman" w:cs="Times New Roman"/>
          <w:bCs/>
          <w:sz w:val="24"/>
          <w:szCs w:val="24"/>
        </w:rPr>
        <w:t>w celu uniknięcia wątpliwości interpretacyjnych</w:t>
      </w:r>
      <w:r w:rsidR="00C17E3F">
        <w:rPr>
          <w:rFonts w:ascii="Times New Roman" w:hAnsi="Times New Roman" w:cs="Times New Roman"/>
          <w:bCs/>
          <w:sz w:val="24"/>
          <w:szCs w:val="24"/>
        </w:rPr>
        <w:t>,</w:t>
      </w:r>
      <w:r w:rsidR="007C389F">
        <w:rPr>
          <w:rFonts w:ascii="Times New Roman" w:hAnsi="Times New Roman" w:cs="Times New Roman"/>
          <w:bCs/>
          <w:sz w:val="24"/>
          <w:szCs w:val="24"/>
        </w:rPr>
        <w:t xml:space="preserve"> </w:t>
      </w:r>
      <w:r>
        <w:rPr>
          <w:rFonts w:ascii="Times New Roman" w:hAnsi="Times New Roman" w:cs="Times New Roman"/>
          <w:bCs/>
          <w:sz w:val="24"/>
          <w:szCs w:val="24"/>
        </w:rPr>
        <w:t>zasadne jest umieszczenie tego przepisu, w celu możliwości wykonywania ujawnionych i inkorpo</w:t>
      </w:r>
      <w:r w:rsidR="00C17E3F">
        <w:rPr>
          <w:rFonts w:ascii="Times New Roman" w:hAnsi="Times New Roman" w:cs="Times New Roman"/>
          <w:bCs/>
          <w:sz w:val="24"/>
          <w:szCs w:val="24"/>
        </w:rPr>
        <w:t>ro</w:t>
      </w:r>
      <w:r>
        <w:rPr>
          <w:rFonts w:ascii="Times New Roman" w:hAnsi="Times New Roman" w:cs="Times New Roman"/>
          <w:bCs/>
          <w:sz w:val="24"/>
          <w:szCs w:val="24"/>
        </w:rPr>
        <w:t>wanych w papierze wartościowym DLT.</w:t>
      </w:r>
    </w:p>
    <w:p w14:paraId="4D42C87F" w14:textId="3090D190" w:rsidR="00B04781" w:rsidRDefault="00B04781" w:rsidP="00B04781">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P</w:t>
      </w:r>
      <w:r w:rsidRPr="00F57609">
        <w:rPr>
          <w:rFonts w:ascii="Times New Roman" w:hAnsi="Times New Roman" w:cs="Times New Roman"/>
          <w:bCs/>
          <w:sz w:val="24"/>
          <w:szCs w:val="24"/>
        </w:rPr>
        <w:t>rzepis</w:t>
      </w:r>
      <w:r>
        <w:rPr>
          <w:rFonts w:ascii="Times New Roman" w:hAnsi="Times New Roman" w:cs="Times New Roman"/>
          <w:bCs/>
          <w:sz w:val="24"/>
          <w:szCs w:val="24"/>
        </w:rPr>
        <w:t xml:space="preserve"> art. 131y </w:t>
      </w:r>
      <w:r w:rsidR="00F86F3B">
        <w:rPr>
          <w:rFonts w:ascii="Times New Roman" w:hAnsi="Times New Roman" w:cs="Times New Roman"/>
          <w:bCs/>
          <w:sz w:val="24"/>
          <w:szCs w:val="24"/>
        </w:rPr>
        <w:t>ro</w:t>
      </w:r>
      <w:r w:rsidRPr="00F57609">
        <w:rPr>
          <w:rFonts w:ascii="Times New Roman" w:hAnsi="Times New Roman" w:cs="Times New Roman"/>
          <w:bCs/>
          <w:sz w:val="24"/>
          <w:szCs w:val="24"/>
        </w:rPr>
        <w:t xml:space="preserve">zstrzyga, że instrumenty finansowe DLT nie mogą być równocześnie </w:t>
      </w:r>
      <w:r>
        <w:rPr>
          <w:rFonts w:ascii="Times New Roman" w:hAnsi="Times New Roman" w:cs="Times New Roman"/>
          <w:bCs/>
          <w:sz w:val="24"/>
          <w:szCs w:val="24"/>
        </w:rPr>
        <w:t xml:space="preserve">rejestrowane i </w:t>
      </w:r>
      <w:r w:rsidRPr="00F57609">
        <w:rPr>
          <w:rFonts w:ascii="Times New Roman" w:hAnsi="Times New Roman" w:cs="Times New Roman"/>
          <w:bCs/>
          <w:sz w:val="24"/>
          <w:szCs w:val="24"/>
        </w:rPr>
        <w:t xml:space="preserve">ewidencjonowane w infrastrukturze opartej na DLT oraz rejestrowane w depozycie </w:t>
      </w:r>
      <w:r w:rsidRPr="00F57609">
        <w:rPr>
          <w:rFonts w:ascii="Times New Roman" w:hAnsi="Times New Roman" w:cs="Times New Roman"/>
          <w:bCs/>
          <w:sz w:val="24"/>
          <w:szCs w:val="24"/>
        </w:rPr>
        <w:lastRenderedPageBreak/>
        <w:t>papierów wartościowych albo rejestrze akcjonariuszy.</w:t>
      </w:r>
      <w:r>
        <w:rPr>
          <w:rFonts w:ascii="Times New Roman" w:hAnsi="Times New Roman" w:cs="Times New Roman"/>
          <w:bCs/>
          <w:sz w:val="24"/>
          <w:szCs w:val="24"/>
        </w:rPr>
        <w:t xml:space="preserve"> W celu zapewnienia prawidłowego funkcjonowania systemu pilotażowego na podstawie rozporządzenia DLT Pilot Regime, </w:t>
      </w:r>
      <w:r w:rsidRPr="008167F3">
        <w:rPr>
          <w:rFonts w:ascii="Times New Roman" w:hAnsi="Times New Roman" w:cs="Times New Roman"/>
          <w:bCs/>
          <w:sz w:val="24"/>
          <w:szCs w:val="24"/>
        </w:rPr>
        <w:t>system rejestracji instrumentów finansow</w:t>
      </w:r>
      <w:r>
        <w:rPr>
          <w:rFonts w:ascii="Times New Roman" w:hAnsi="Times New Roman" w:cs="Times New Roman"/>
          <w:bCs/>
          <w:sz w:val="24"/>
          <w:szCs w:val="24"/>
        </w:rPr>
        <w:t xml:space="preserve">ych w infrastrukturze, o której </w:t>
      </w:r>
      <w:r w:rsidRPr="008167F3">
        <w:rPr>
          <w:rFonts w:ascii="Times New Roman" w:hAnsi="Times New Roman" w:cs="Times New Roman"/>
          <w:bCs/>
          <w:sz w:val="24"/>
          <w:szCs w:val="24"/>
        </w:rPr>
        <w:t>mowa w rozporządzeniu DLT (SS albo TSS)</w:t>
      </w:r>
      <w:r w:rsidR="00D90CA2">
        <w:rPr>
          <w:rFonts w:ascii="Times New Roman" w:hAnsi="Times New Roman" w:cs="Times New Roman"/>
          <w:bCs/>
          <w:sz w:val="24"/>
          <w:szCs w:val="24"/>
        </w:rPr>
        <w:t>,</w:t>
      </w:r>
      <w:r w:rsidRPr="008167F3">
        <w:rPr>
          <w:rFonts w:ascii="Times New Roman" w:hAnsi="Times New Roman" w:cs="Times New Roman"/>
          <w:bCs/>
          <w:sz w:val="24"/>
          <w:szCs w:val="24"/>
        </w:rPr>
        <w:t xml:space="preserve"> powinien być w</w:t>
      </w:r>
      <w:r>
        <w:rPr>
          <w:rFonts w:ascii="Times New Roman" w:hAnsi="Times New Roman" w:cs="Times New Roman"/>
          <w:bCs/>
          <w:sz w:val="24"/>
          <w:szCs w:val="24"/>
        </w:rPr>
        <w:t xml:space="preserve">yraźnie wyodrębniony od systemu </w:t>
      </w:r>
      <w:r w:rsidRPr="008167F3">
        <w:rPr>
          <w:rFonts w:ascii="Times New Roman" w:hAnsi="Times New Roman" w:cs="Times New Roman"/>
          <w:bCs/>
          <w:sz w:val="24"/>
          <w:szCs w:val="24"/>
        </w:rPr>
        <w:t>rejestracji instrumentów finansowych w KDPW</w:t>
      </w:r>
      <w:r>
        <w:rPr>
          <w:rFonts w:ascii="Times New Roman" w:hAnsi="Times New Roman" w:cs="Times New Roman"/>
          <w:bCs/>
          <w:sz w:val="24"/>
          <w:szCs w:val="24"/>
        </w:rPr>
        <w:t>.</w:t>
      </w:r>
    </w:p>
    <w:p w14:paraId="161287A8" w14:textId="49D0EB96" w:rsidR="00B04781" w:rsidRDefault="00B04781" w:rsidP="00B04781">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Art. 131z określa zasady dokonania rejestracji</w:t>
      </w:r>
      <w:r w:rsidR="007C389F">
        <w:rPr>
          <w:rFonts w:ascii="Times New Roman" w:hAnsi="Times New Roman" w:cs="Times New Roman"/>
          <w:bCs/>
          <w:sz w:val="24"/>
          <w:szCs w:val="24"/>
        </w:rPr>
        <w:t xml:space="preserve"> </w:t>
      </w:r>
      <w:r>
        <w:rPr>
          <w:rFonts w:ascii="Times New Roman" w:hAnsi="Times New Roman" w:cs="Times New Roman"/>
          <w:bCs/>
          <w:sz w:val="24"/>
          <w:szCs w:val="24"/>
        </w:rPr>
        <w:t>papierów wartościowych DLT. Zdecydowano się na zastosowanie klasycznych rozwiązań korporacyjnych, tj. uchwały walnego zgromadzenia lub podjęcia takiej decyzji przez założycieli spółki.</w:t>
      </w:r>
    </w:p>
    <w:p w14:paraId="5FEAF180" w14:textId="3F64193B" w:rsidR="00B04781" w:rsidRDefault="00B04781" w:rsidP="00B04781">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Art. 131za jest przepisem doprecyzowującym i </w:t>
      </w:r>
      <w:r w:rsidRPr="004446C1">
        <w:rPr>
          <w:rFonts w:ascii="Times New Roman" w:hAnsi="Times New Roman" w:cs="Times New Roman"/>
          <w:bCs/>
          <w:sz w:val="24"/>
          <w:szCs w:val="24"/>
        </w:rPr>
        <w:t>ma na celu wyłącznie określenie, że papiery wartościowe wprowadzone do ASO opartego na DLT muszą być zarejestro</w:t>
      </w:r>
      <w:r>
        <w:rPr>
          <w:rFonts w:ascii="Times New Roman" w:hAnsi="Times New Roman" w:cs="Times New Roman"/>
          <w:bCs/>
          <w:sz w:val="24"/>
          <w:szCs w:val="24"/>
        </w:rPr>
        <w:t>wane w systemie rejestracji DLT, na rachunku papierów wartościowych DLT lub w ewidencji DLT</w:t>
      </w:r>
      <w:r w:rsidRPr="004446C1">
        <w:rPr>
          <w:rFonts w:ascii="Times New Roman" w:hAnsi="Times New Roman" w:cs="Times New Roman"/>
          <w:bCs/>
          <w:sz w:val="24"/>
          <w:szCs w:val="24"/>
        </w:rPr>
        <w:t>.</w:t>
      </w:r>
      <w:r>
        <w:rPr>
          <w:rFonts w:ascii="Times New Roman" w:hAnsi="Times New Roman" w:cs="Times New Roman"/>
          <w:bCs/>
          <w:sz w:val="24"/>
          <w:szCs w:val="24"/>
        </w:rPr>
        <w:t xml:space="preserve"> W kontekście ust. 2 należy natomiast wskazać, </w:t>
      </w:r>
      <w:r w:rsidRPr="002A5927">
        <w:rPr>
          <w:rFonts w:ascii="Times New Roman" w:hAnsi="Times New Roman" w:cs="Times New Roman"/>
          <w:bCs/>
          <w:sz w:val="24"/>
          <w:szCs w:val="24"/>
        </w:rPr>
        <w:t>że papiery wartościowe obsługiwane przez DL</w:t>
      </w:r>
      <w:r w:rsidR="00F86F3B">
        <w:rPr>
          <w:rFonts w:ascii="Times New Roman" w:hAnsi="Times New Roman" w:cs="Times New Roman"/>
          <w:bCs/>
          <w:sz w:val="24"/>
          <w:szCs w:val="24"/>
        </w:rPr>
        <w:t xml:space="preserve">T </w:t>
      </w:r>
      <w:r w:rsidRPr="002A5927">
        <w:rPr>
          <w:rFonts w:ascii="Times New Roman" w:hAnsi="Times New Roman" w:cs="Times New Roman"/>
          <w:bCs/>
          <w:sz w:val="24"/>
          <w:szCs w:val="24"/>
        </w:rPr>
        <w:t>mogą być zapisane w systemie rejestracji przed ich wprowadzeniem na ASO opartego n DLT oraz że nie ma zasady, że wszystkie papiery wartościowe zapisane w systemie rejestracji DLT muszą być przedmiotem obrotu w ASO DLT.</w:t>
      </w:r>
      <w:r w:rsidR="007C389F">
        <w:rPr>
          <w:rFonts w:ascii="Times New Roman" w:hAnsi="Times New Roman" w:cs="Times New Roman"/>
          <w:bCs/>
          <w:sz w:val="24"/>
          <w:szCs w:val="24"/>
        </w:rPr>
        <w:t xml:space="preserve"> </w:t>
      </w:r>
    </w:p>
    <w:p w14:paraId="533FA18D" w14:textId="77777777" w:rsidR="00B04781" w:rsidRDefault="00B04781" w:rsidP="00B04781">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Art. 131zb uzupełnia niejako lukę istniejącą w rozporządzeniu DLT Pilot Regime w zakresie wtórnej rejestracji papierów wartościowych DLT, którą można określić jako „wtórną tokenizację”. W przypadku wprowadzenia </w:t>
      </w:r>
      <w:r w:rsidRPr="002A5927">
        <w:rPr>
          <w:rFonts w:ascii="Times New Roman" w:hAnsi="Times New Roman" w:cs="Times New Roman"/>
          <w:bCs/>
          <w:sz w:val="24"/>
          <w:szCs w:val="24"/>
        </w:rPr>
        <w:t xml:space="preserve">możliwości zastosowania rozporządzenia DLT również </w:t>
      </w:r>
      <w:r w:rsidRPr="002A5927">
        <w:rPr>
          <w:rFonts w:ascii="Times New Roman" w:hAnsi="Times New Roman" w:cs="Times New Roman"/>
          <w:bCs/>
          <w:sz w:val="24"/>
          <w:szCs w:val="24"/>
        </w:rPr>
        <w:lastRenderedPageBreak/>
        <w:t>d</w:t>
      </w:r>
      <w:r>
        <w:rPr>
          <w:rFonts w:ascii="Times New Roman" w:hAnsi="Times New Roman" w:cs="Times New Roman"/>
          <w:bCs/>
          <w:sz w:val="24"/>
          <w:szCs w:val="24"/>
        </w:rPr>
        <w:t xml:space="preserve">la instrumentów finansowych już </w:t>
      </w:r>
      <w:r w:rsidRPr="002A5927">
        <w:rPr>
          <w:rFonts w:ascii="Times New Roman" w:hAnsi="Times New Roman" w:cs="Times New Roman"/>
          <w:bCs/>
          <w:sz w:val="24"/>
          <w:szCs w:val="24"/>
        </w:rPr>
        <w:t>wyemitowanych i zapisanych w depozycie pa</w:t>
      </w:r>
      <w:r>
        <w:rPr>
          <w:rFonts w:ascii="Times New Roman" w:hAnsi="Times New Roman" w:cs="Times New Roman"/>
          <w:bCs/>
          <w:sz w:val="24"/>
          <w:szCs w:val="24"/>
        </w:rPr>
        <w:t xml:space="preserve">pierów wartościowych albo akcji </w:t>
      </w:r>
      <w:r w:rsidRPr="002A5927">
        <w:rPr>
          <w:rFonts w:ascii="Times New Roman" w:hAnsi="Times New Roman" w:cs="Times New Roman"/>
          <w:bCs/>
          <w:sz w:val="24"/>
          <w:szCs w:val="24"/>
        </w:rPr>
        <w:t>wyemitowanych i zapisanych w rejestrze akcjonariuszy, nal</w:t>
      </w:r>
      <w:r>
        <w:rPr>
          <w:rFonts w:ascii="Times New Roman" w:hAnsi="Times New Roman" w:cs="Times New Roman"/>
          <w:bCs/>
          <w:sz w:val="24"/>
          <w:szCs w:val="24"/>
        </w:rPr>
        <w:t xml:space="preserve">eży wprowadzić reguły na jakich </w:t>
      </w:r>
      <w:r w:rsidRPr="002A5927">
        <w:rPr>
          <w:rFonts w:ascii="Times New Roman" w:hAnsi="Times New Roman" w:cs="Times New Roman"/>
          <w:bCs/>
          <w:sz w:val="24"/>
          <w:szCs w:val="24"/>
        </w:rPr>
        <w:t>nastąpi przeniesienie tych instrumentów do rej</w:t>
      </w:r>
      <w:r>
        <w:rPr>
          <w:rFonts w:ascii="Times New Roman" w:hAnsi="Times New Roman" w:cs="Times New Roman"/>
          <w:bCs/>
          <w:sz w:val="24"/>
          <w:szCs w:val="24"/>
        </w:rPr>
        <w:t xml:space="preserve">estrów instrumentów finansowych </w:t>
      </w:r>
      <w:r w:rsidRPr="002A5927">
        <w:rPr>
          <w:rFonts w:ascii="Times New Roman" w:hAnsi="Times New Roman" w:cs="Times New Roman"/>
          <w:bCs/>
          <w:sz w:val="24"/>
          <w:szCs w:val="24"/>
        </w:rPr>
        <w:t>obsługiwanych przez DLT, w tym ustalić zasady wyrażania</w:t>
      </w:r>
      <w:r>
        <w:rPr>
          <w:rFonts w:ascii="Times New Roman" w:hAnsi="Times New Roman" w:cs="Times New Roman"/>
          <w:bCs/>
          <w:sz w:val="24"/>
          <w:szCs w:val="24"/>
        </w:rPr>
        <w:t xml:space="preserve"> zgody przez akcjonariuszy oraz </w:t>
      </w:r>
      <w:r w:rsidRPr="002A5927">
        <w:rPr>
          <w:rFonts w:ascii="Times New Roman" w:hAnsi="Times New Roman" w:cs="Times New Roman"/>
          <w:bCs/>
          <w:sz w:val="24"/>
          <w:szCs w:val="24"/>
        </w:rPr>
        <w:t>rozwiązać kwestię rejestracji instrumentów finansow</w:t>
      </w:r>
      <w:r>
        <w:rPr>
          <w:rFonts w:ascii="Times New Roman" w:hAnsi="Times New Roman" w:cs="Times New Roman"/>
          <w:bCs/>
          <w:sz w:val="24"/>
          <w:szCs w:val="24"/>
        </w:rPr>
        <w:t xml:space="preserve">ych osób, których nie udało się </w:t>
      </w:r>
      <w:r w:rsidRPr="002A5927">
        <w:rPr>
          <w:rFonts w:ascii="Times New Roman" w:hAnsi="Times New Roman" w:cs="Times New Roman"/>
          <w:bCs/>
          <w:sz w:val="24"/>
          <w:szCs w:val="24"/>
        </w:rPr>
        <w:t>zidentyfikować (biorąc pod uwagę to, że zastosowanie ins</w:t>
      </w:r>
      <w:r>
        <w:rPr>
          <w:rFonts w:ascii="Times New Roman" w:hAnsi="Times New Roman" w:cs="Times New Roman"/>
          <w:bCs/>
          <w:sz w:val="24"/>
          <w:szCs w:val="24"/>
        </w:rPr>
        <w:t xml:space="preserve">tytucji sponsora emisji również </w:t>
      </w:r>
      <w:r w:rsidRPr="002A5927">
        <w:rPr>
          <w:rFonts w:ascii="Times New Roman" w:hAnsi="Times New Roman" w:cs="Times New Roman"/>
          <w:bCs/>
          <w:sz w:val="24"/>
          <w:szCs w:val="24"/>
        </w:rPr>
        <w:t>wymag</w:t>
      </w:r>
      <w:r>
        <w:rPr>
          <w:rFonts w:ascii="Times New Roman" w:hAnsi="Times New Roman" w:cs="Times New Roman"/>
          <w:bCs/>
          <w:sz w:val="24"/>
          <w:szCs w:val="24"/>
        </w:rPr>
        <w:t xml:space="preserve">a identyfikacji akcjonariuszy). </w:t>
      </w:r>
      <w:r w:rsidRPr="002A5927">
        <w:rPr>
          <w:rFonts w:ascii="Times New Roman" w:hAnsi="Times New Roman" w:cs="Times New Roman"/>
          <w:bCs/>
          <w:sz w:val="24"/>
          <w:szCs w:val="24"/>
        </w:rPr>
        <w:t>Wobec powyższego oraz biorąc pod uwagę, że celem rozporządzenia DLT</w:t>
      </w:r>
      <w:r>
        <w:rPr>
          <w:rFonts w:ascii="Times New Roman" w:hAnsi="Times New Roman" w:cs="Times New Roman"/>
          <w:bCs/>
          <w:sz w:val="24"/>
          <w:szCs w:val="24"/>
        </w:rPr>
        <w:t xml:space="preserve"> jest wsparcie </w:t>
      </w:r>
      <w:r w:rsidRPr="002A5927">
        <w:rPr>
          <w:rFonts w:ascii="Times New Roman" w:hAnsi="Times New Roman" w:cs="Times New Roman"/>
          <w:bCs/>
          <w:sz w:val="24"/>
          <w:szCs w:val="24"/>
        </w:rPr>
        <w:t>rozwoju nowych technologii w zakresie obrotu inst</w:t>
      </w:r>
      <w:r>
        <w:rPr>
          <w:rFonts w:ascii="Times New Roman" w:hAnsi="Times New Roman" w:cs="Times New Roman"/>
          <w:bCs/>
          <w:sz w:val="24"/>
          <w:szCs w:val="24"/>
        </w:rPr>
        <w:t xml:space="preserve">rumentami finansowymi, ale przy </w:t>
      </w:r>
      <w:r w:rsidRPr="002A5927">
        <w:rPr>
          <w:rFonts w:ascii="Times New Roman" w:hAnsi="Times New Roman" w:cs="Times New Roman"/>
          <w:bCs/>
          <w:sz w:val="24"/>
          <w:szCs w:val="24"/>
        </w:rPr>
        <w:t>jednoczesnym zapewnieniu stabilności finansowej, och</w:t>
      </w:r>
      <w:r>
        <w:rPr>
          <w:rFonts w:ascii="Times New Roman" w:hAnsi="Times New Roman" w:cs="Times New Roman"/>
          <w:bCs/>
          <w:sz w:val="24"/>
          <w:szCs w:val="24"/>
        </w:rPr>
        <w:t xml:space="preserve">rony inwestorów i integralności </w:t>
      </w:r>
      <w:r w:rsidRPr="002A5927">
        <w:rPr>
          <w:rFonts w:ascii="Times New Roman" w:hAnsi="Times New Roman" w:cs="Times New Roman"/>
          <w:bCs/>
          <w:sz w:val="24"/>
          <w:szCs w:val="24"/>
        </w:rPr>
        <w:t>rynku prowadzonego na podstawie dotychczaso</w:t>
      </w:r>
      <w:r>
        <w:rPr>
          <w:rFonts w:ascii="Times New Roman" w:hAnsi="Times New Roman" w:cs="Times New Roman"/>
          <w:bCs/>
          <w:sz w:val="24"/>
          <w:szCs w:val="24"/>
        </w:rPr>
        <w:t>wych powszechnie obowiązujących przepisów</w:t>
      </w:r>
      <w:r w:rsidRPr="002A5927">
        <w:rPr>
          <w:rFonts w:ascii="Times New Roman" w:hAnsi="Times New Roman" w:cs="Times New Roman"/>
          <w:bCs/>
          <w:sz w:val="24"/>
          <w:szCs w:val="24"/>
        </w:rPr>
        <w:t>, zasadnym jest, aby specjalny reżim, przewidziany w tym</w:t>
      </w:r>
      <w:r>
        <w:rPr>
          <w:rFonts w:ascii="Times New Roman" w:hAnsi="Times New Roman" w:cs="Times New Roman"/>
          <w:bCs/>
          <w:sz w:val="24"/>
          <w:szCs w:val="24"/>
        </w:rPr>
        <w:t xml:space="preserve"> </w:t>
      </w:r>
      <w:r w:rsidRPr="002A5927">
        <w:rPr>
          <w:rFonts w:ascii="Times New Roman" w:hAnsi="Times New Roman" w:cs="Times New Roman"/>
          <w:bCs/>
          <w:sz w:val="24"/>
          <w:szCs w:val="24"/>
        </w:rPr>
        <w:t>rozporządzeniu nie miał zastosowania do instrumentów f</w:t>
      </w:r>
      <w:r>
        <w:rPr>
          <w:rFonts w:ascii="Times New Roman" w:hAnsi="Times New Roman" w:cs="Times New Roman"/>
          <w:bCs/>
          <w:sz w:val="24"/>
          <w:szCs w:val="24"/>
        </w:rPr>
        <w:t xml:space="preserve">inansowych, już wyemitowanych i </w:t>
      </w:r>
      <w:r w:rsidRPr="002A5927">
        <w:rPr>
          <w:rFonts w:ascii="Times New Roman" w:hAnsi="Times New Roman" w:cs="Times New Roman"/>
          <w:bCs/>
          <w:sz w:val="24"/>
          <w:szCs w:val="24"/>
        </w:rPr>
        <w:t>zapisanych w depozycie papierów wartościowych albo akc</w:t>
      </w:r>
      <w:r>
        <w:rPr>
          <w:rFonts w:ascii="Times New Roman" w:hAnsi="Times New Roman" w:cs="Times New Roman"/>
          <w:bCs/>
          <w:sz w:val="24"/>
          <w:szCs w:val="24"/>
        </w:rPr>
        <w:t xml:space="preserve">ji wyemitowanych i zapisanych w </w:t>
      </w:r>
      <w:r w:rsidRPr="002A5927">
        <w:rPr>
          <w:rFonts w:ascii="Times New Roman" w:hAnsi="Times New Roman" w:cs="Times New Roman"/>
          <w:bCs/>
          <w:sz w:val="24"/>
          <w:szCs w:val="24"/>
        </w:rPr>
        <w:t>rejestrze akcjonariuszy.</w:t>
      </w:r>
    </w:p>
    <w:p w14:paraId="4B258732" w14:textId="0DD2B9E1" w:rsidR="00B04781" w:rsidRDefault="00B04781" w:rsidP="00B04781">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Art. 131zc </w:t>
      </w:r>
      <w:r w:rsidRPr="002A5927">
        <w:rPr>
          <w:rFonts w:ascii="Times New Roman" w:hAnsi="Times New Roman" w:cs="Times New Roman"/>
          <w:bCs/>
          <w:sz w:val="24"/>
          <w:szCs w:val="24"/>
        </w:rPr>
        <w:t>reguluje kwestie związ</w:t>
      </w:r>
      <w:r>
        <w:rPr>
          <w:rFonts w:ascii="Times New Roman" w:hAnsi="Times New Roman" w:cs="Times New Roman"/>
          <w:bCs/>
          <w:sz w:val="24"/>
          <w:szCs w:val="24"/>
        </w:rPr>
        <w:t>ane z zezwoleniem na prowadzenie</w:t>
      </w:r>
      <w:r w:rsidRPr="002A5927">
        <w:rPr>
          <w:rFonts w:ascii="Times New Roman" w:hAnsi="Times New Roman" w:cs="Times New Roman"/>
          <w:bCs/>
          <w:sz w:val="24"/>
          <w:szCs w:val="24"/>
        </w:rPr>
        <w:t xml:space="preserve"> ASO </w:t>
      </w:r>
      <w:r>
        <w:rPr>
          <w:rFonts w:ascii="Times New Roman" w:hAnsi="Times New Roman" w:cs="Times New Roman"/>
          <w:bCs/>
          <w:sz w:val="24"/>
          <w:szCs w:val="24"/>
        </w:rPr>
        <w:t xml:space="preserve">w technologii </w:t>
      </w:r>
      <w:r w:rsidRPr="002A5927">
        <w:rPr>
          <w:rFonts w:ascii="Times New Roman" w:hAnsi="Times New Roman" w:cs="Times New Roman"/>
          <w:bCs/>
          <w:sz w:val="24"/>
          <w:szCs w:val="24"/>
        </w:rPr>
        <w:t xml:space="preserve">DLT lub TSS </w:t>
      </w:r>
      <w:r>
        <w:rPr>
          <w:rFonts w:ascii="Times New Roman" w:hAnsi="Times New Roman" w:cs="Times New Roman"/>
          <w:bCs/>
          <w:sz w:val="24"/>
          <w:szCs w:val="24"/>
        </w:rPr>
        <w:t xml:space="preserve">opartym na </w:t>
      </w:r>
      <w:r w:rsidRPr="002A5927">
        <w:rPr>
          <w:rFonts w:ascii="Times New Roman" w:hAnsi="Times New Roman" w:cs="Times New Roman"/>
          <w:bCs/>
          <w:sz w:val="24"/>
          <w:szCs w:val="24"/>
        </w:rPr>
        <w:t>DLT udzielanym spółce prowadzącej rynek regulowany</w:t>
      </w:r>
      <w:r>
        <w:rPr>
          <w:rFonts w:ascii="Times New Roman" w:hAnsi="Times New Roman" w:cs="Times New Roman"/>
          <w:bCs/>
          <w:sz w:val="24"/>
          <w:szCs w:val="24"/>
        </w:rPr>
        <w:t xml:space="preserve"> (ust. 1), KDPW (ust. 2) lub firmie inwestycyjnej (ust. 3)</w:t>
      </w:r>
      <w:r w:rsidRPr="002A5927">
        <w:rPr>
          <w:rFonts w:ascii="Times New Roman" w:hAnsi="Times New Roman" w:cs="Times New Roman"/>
          <w:bCs/>
          <w:sz w:val="24"/>
          <w:szCs w:val="24"/>
        </w:rPr>
        <w:t xml:space="preserve">. W celu uniknięcia wątpliwości co do </w:t>
      </w:r>
      <w:r>
        <w:rPr>
          <w:rFonts w:ascii="Times New Roman" w:hAnsi="Times New Roman" w:cs="Times New Roman"/>
          <w:bCs/>
          <w:sz w:val="24"/>
          <w:szCs w:val="24"/>
        </w:rPr>
        <w:t>relacji pomiędzy przepisami rozporządzenia DLT Pilot Regime</w:t>
      </w:r>
      <w:r w:rsidRPr="002A5927">
        <w:rPr>
          <w:rFonts w:ascii="Times New Roman" w:hAnsi="Times New Roman" w:cs="Times New Roman"/>
          <w:bCs/>
          <w:sz w:val="24"/>
          <w:szCs w:val="24"/>
        </w:rPr>
        <w:t xml:space="preserve"> (określającymi podmiot</w:t>
      </w:r>
      <w:r>
        <w:rPr>
          <w:rFonts w:ascii="Times New Roman" w:hAnsi="Times New Roman" w:cs="Times New Roman"/>
          <w:bCs/>
          <w:sz w:val="24"/>
          <w:szCs w:val="24"/>
        </w:rPr>
        <w:t xml:space="preserve">y uprawnione do prowadzenia SS opartego na </w:t>
      </w:r>
      <w:r w:rsidRPr="002A5927">
        <w:rPr>
          <w:rFonts w:ascii="Times New Roman" w:hAnsi="Times New Roman" w:cs="Times New Roman"/>
          <w:bCs/>
          <w:sz w:val="24"/>
          <w:szCs w:val="24"/>
        </w:rPr>
        <w:t xml:space="preserve">DLT i TSS </w:t>
      </w:r>
      <w:r>
        <w:rPr>
          <w:rFonts w:ascii="Times New Roman" w:hAnsi="Times New Roman" w:cs="Times New Roman"/>
          <w:bCs/>
          <w:sz w:val="24"/>
          <w:szCs w:val="24"/>
        </w:rPr>
        <w:t>opartego na DLT)</w:t>
      </w:r>
      <w:r w:rsidR="00D90CA2">
        <w:rPr>
          <w:rFonts w:ascii="Times New Roman" w:hAnsi="Times New Roman" w:cs="Times New Roman"/>
          <w:bCs/>
          <w:sz w:val="24"/>
          <w:szCs w:val="24"/>
        </w:rPr>
        <w:t>,</w:t>
      </w:r>
      <w:r>
        <w:rPr>
          <w:rFonts w:ascii="Times New Roman" w:hAnsi="Times New Roman" w:cs="Times New Roman"/>
          <w:bCs/>
          <w:sz w:val="24"/>
          <w:szCs w:val="24"/>
        </w:rPr>
        <w:t xml:space="preserve"> a przepisami ustawy o obrocie</w:t>
      </w:r>
      <w:r w:rsidRPr="002A5927">
        <w:rPr>
          <w:rFonts w:ascii="Times New Roman" w:hAnsi="Times New Roman" w:cs="Times New Roman"/>
          <w:bCs/>
          <w:sz w:val="24"/>
          <w:szCs w:val="24"/>
        </w:rPr>
        <w:t xml:space="preserve">, dodaje </w:t>
      </w:r>
      <w:r w:rsidRPr="002A5927">
        <w:rPr>
          <w:rFonts w:ascii="Times New Roman" w:hAnsi="Times New Roman" w:cs="Times New Roman"/>
          <w:bCs/>
          <w:sz w:val="24"/>
          <w:szCs w:val="24"/>
        </w:rPr>
        <w:lastRenderedPageBreak/>
        <w:t xml:space="preserve">się </w:t>
      </w:r>
      <w:r>
        <w:rPr>
          <w:rFonts w:ascii="Times New Roman" w:hAnsi="Times New Roman" w:cs="Times New Roman"/>
          <w:bCs/>
          <w:sz w:val="24"/>
          <w:szCs w:val="24"/>
        </w:rPr>
        <w:t xml:space="preserve">przepis określający, </w:t>
      </w:r>
      <w:r w:rsidRPr="002A5927">
        <w:rPr>
          <w:rFonts w:ascii="Times New Roman" w:hAnsi="Times New Roman" w:cs="Times New Roman"/>
          <w:bCs/>
          <w:sz w:val="24"/>
          <w:szCs w:val="24"/>
        </w:rPr>
        <w:t>że spółka prowadząca rynek regulowany</w:t>
      </w:r>
      <w:r>
        <w:rPr>
          <w:rFonts w:ascii="Times New Roman" w:hAnsi="Times New Roman" w:cs="Times New Roman"/>
          <w:bCs/>
          <w:sz w:val="24"/>
          <w:szCs w:val="24"/>
        </w:rPr>
        <w:t>, KDPW lub firma inwestycyjna</w:t>
      </w:r>
      <w:r w:rsidRPr="002A5927">
        <w:rPr>
          <w:rFonts w:ascii="Times New Roman" w:hAnsi="Times New Roman" w:cs="Times New Roman"/>
          <w:bCs/>
          <w:sz w:val="24"/>
          <w:szCs w:val="24"/>
        </w:rPr>
        <w:t xml:space="preserve"> ma także prawo – na zasadach określonych w rozporządzeniu </w:t>
      </w:r>
      <w:r>
        <w:rPr>
          <w:rFonts w:ascii="Times New Roman" w:hAnsi="Times New Roman" w:cs="Times New Roman"/>
          <w:bCs/>
          <w:sz w:val="24"/>
          <w:szCs w:val="24"/>
        </w:rPr>
        <w:t>DLT Pilot Regime – do prowadzenia SS opartego</w:t>
      </w:r>
      <w:r w:rsidRPr="002A5927">
        <w:rPr>
          <w:rFonts w:ascii="Times New Roman" w:hAnsi="Times New Roman" w:cs="Times New Roman"/>
          <w:bCs/>
          <w:sz w:val="24"/>
          <w:szCs w:val="24"/>
        </w:rPr>
        <w:t xml:space="preserve"> DLT oraz TSS</w:t>
      </w:r>
      <w:r>
        <w:rPr>
          <w:rFonts w:ascii="Times New Roman" w:hAnsi="Times New Roman" w:cs="Times New Roman"/>
          <w:bCs/>
          <w:sz w:val="24"/>
          <w:szCs w:val="24"/>
        </w:rPr>
        <w:t xml:space="preserve"> opartego na</w:t>
      </w:r>
      <w:r w:rsidRPr="002A5927">
        <w:rPr>
          <w:rFonts w:ascii="Times New Roman" w:hAnsi="Times New Roman" w:cs="Times New Roman"/>
          <w:bCs/>
          <w:sz w:val="24"/>
          <w:szCs w:val="24"/>
        </w:rPr>
        <w:t xml:space="preserve"> DLT. </w:t>
      </w:r>
    </w:p>
    <w:p w14:paraId="497D2D98" w14:textId="3B18D192" w:rsidR="008E5785" w:rsidRDefault="00B04781" w:rsidP="008E5785">
      <w:pPr>
        <w:shd w:val="clear" w:color="auto" w:fill="FFFFFF" w:themeFill="background1"/>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Art. 131zd określa zasady postępowania wobec podmiotów nieposiadających statusu spółki prowadzącej rynek regulowany lub centralny depozyt papierów wartościowych. Przesądza się w nim, że</w:t>
      </w:r>
      <w:r w:rsidR="007C389F">
        <w:rPr>
          <w:rFonts w:ascii="Times New Roman" w:hAnsi="Times New Roman" w:cs="Times New Roman"/>
          <w:bCs/>
          <w:sz w:val="24"/>
          <w:szCs w:val="24"/>
        </w:rPr>
        <w:t xml:space="preserve"> </w:t>
      </w:r>
      <w:r w:rsidR="00F86F3B">
        <w:rPr>
          <w:rFonts w:ascii="Times New Roman" w:hAnsi="Times New Roman" w:cs="Times New Roman"/>
          <w:bCs/>
          <w:sz w:val="24"/>
          <w:szCs w:val="24"/>
        </w:rPr>
        <w:t>z</w:t>
      </w:r>
      <w:r w:rsidRPr="002A5927">
        <w:rPr>
          <w:rFonts w:ascii="Times New Roman" w:hAnsi="Times New Roman" w:cs="Times New Roman"/>
          <w:bCs/>
          <w:sz w:val="24"/>
          <w:szCs w:val="24"/>
        </w:rPr>
        <w:t xml:space="preserve"> uwagi na ekonomikę postępowania administracyjnego przesądza się, że istnieje możliwość jednoczesnego procedowania wniosku o uzyskanie zezwolenia na prowadzenie rynku regulowanego oraz wniosku o prowadzenie ASO DLT lub TSS DLT.</w:t>
      </w:r>
      <w:r w:rsidRPr="006622EC">
        <w:rPr>
          <w:rFonts w:ascii="TimesNewRomanPSMT" w:hAnsi="TimesNewRomanPSMT" w:cs="TimesNewRomanPSMT"/>
          <w:sz w:val="24"/>
          <w:szCs w:val="24"/>
        </w:rPr>
        <w:t xml:space="preserve"> </w:t>
      </w:r>
      <w:r>
        <w:rPr>
          <w:rFonts w:ascii="Times New Roman" w:hAnsi="Times New Roman" w:cs="Times New Roman"/>
          <w:bCs/>
          <w:sz w:val="24"/>
          <w:szCs w:val="24"/>
        </w:rPr>
        <w:t xml:space="preserve">Nowe </w:t>
      </w:r>
      <w:r w:rsidRPr="006622EC">
        <w:rPr>
          <w:rFonts w:ascii="Times New Roman" w:hAnsi="Times New Roman" w:cs="Times New Roman"/>
          <w:bCs/>
          <w:sz w:val="24"/>
          <w:szCs w:val="24"/>
        </w:rPr>
        <w:t>podmioty składają</w:t>
      </w:r>
      <w:r>
        <w:rPr>
          <w:rFonts w:ascii="Times New Roman" w:hAnsi="Times New Roman" w:cs="Times New Roman"/>
          <w:bCs/>
          <w:sz w:val="24"/>
          <w:szCs w:val="24"/>
        </w:rPr>
        <w:t xml:space="preserve"> więc</w:t>
      </w:r>
      <w:r w:rsidRPr="006622EC">
        <w:rPr>
          <w:rFonts w:ascii="Times New Roman" w:hAnsi="Times New Roman" w:cs="Times New Roman"/>
          <w:bCs/>
          <w:sz w:val="24"/>
          <w:szCs w:val="24"/>
        </w:rPr>
        <w:t xml:space="preserve"> jednocześnie wniosek o zezwolenie</w:t>
      </w:r>
      <w:r w:rsidR="00F86F3B">
        <w:rPr>
          <w:rFonts w:ascii="Times New Roman" w:hAnsi="Times New Roman" w:cs="Times New Roman"/>
          <w:bCs/>
          <w:sz w:val="24"/>
          <w:szCs w:val="24"/>
        </w:rPr>
        <w:t>,</w:t>
      </w:r>
      <w:r w:rsidRPr="006622EC">
        <w:rPr>
          <w:rFonts w:ascii="Times New Roman" w:hAnsi="Times New Roman" w:cs="Times New Roman"/>
          <w:bCs/>
          <w:sz w:val="24"/>
          <w:szCs w:val="24"/>
        </w:rPr>
        <w:t xml:space="preserve"> o którym mowa odpowiednio w art. 82</w:t>
      </w:r>
      <w:r>
        <w:rPr>
          <w:rFonts w:ascii="Times New Roman" w:hAnsi="Times New Roman" w:cs="Times New Roman"/>
          <w:bCs/>
          <w:sz w:val="24"/>
          <w:szCs w:val="24"/>
        </w:rPr>
        <w:t xml:space="preserve"> </w:t>
      </w:r>
      <w:r w:rsidR="00F86F3B">
        <w:rPr>
          <w:rFonts w:ascii="Times New Roman" w:hAnsi="Times New Roman" w:cs="Times New Roman"/>
          <w:bCs/>
          <w:sz w:val="24"/>
          <w:szCs w:val="24"/>
        </w:rPr>
        <w:t xml:space="preserve">ustawy o obrocie i </w:t>
      </w:r>
      <w:r w:rsidRPr="006622EC">
        <w:rPr>
          <w:rFonts w:ascii="Times New Roman" w:hAnsi="Times New Roman" w:cs="Times New Roman"/>
          <w:bCs/>
          <w:sz w:val="24"/>
          <w:szCs w:val="24"/>
        </w:rPr>
        <w:t xml:space="preserve">art. 25 </w:t>
      </w:r>
      <w:r w:rsidR="00F86F3B">
        <w:rPr>
          <w:rFonts w:ascii="Times New Roman" w:hAnsi="Times New Roman" w:cs="Times New Roman"/>
          <w:bCs/>
          <w:sz w:val="24"/>
          <w:szCs w:val="24"/>
        </w:rPr>
        <w:t xml:space="preserve">ustawy o obrocie oraz w </w:t>
      </w:r>
      <w:r w:rsidRPr="006622EC">
        <w:rPr>
          <w:rFonts w:ascii="Times New Roman" w:hAnsi="Times New Roman" w:cs="Times New Roman"/>
          <w:bCs/>
          <w:sz w:val="24"/>
          <w:szCs w:val="24"/>
        </w:rPr>
        <w:t>rozporządzeniu 909/2014</w:t>
      </w:r>
      <w:r w:rsidR="00F86F3B">
        <w:rPr>
          <w:rFonts w:ascii="Times New Roman" w:hAnsi="Times New Roman" w:cs="Times New Roman"/>
          <w:bCs/>
          <w:sz w:val="24"/>
          <w:szCs w:val="24"/>
        </w:rPr>
        <w:t xml:space="preserve"> </w:t>
      </w:r>
      <w:r w:rsidRPr="006622EC">
        <w:rPr>
          <w:rFonts w:ascii="Times New Roman" w:hAnsi="Times New Roman" w:cs="Times New Roman"/>
          <w:bCs/>
          <w:sz w:val="24"/>
          <w:szCs w:val="24"/>
        </w:rPr>
        <w:t>oraz w</w:t>
      </w:r>
      <w:r w:rsidR="008E5785">
        <w:rPr>
          <w:rFonts w:ascii="Times New Roman" w:hAnsi="Times New Roman" w:cs="Times New Roman"/>
          <w:bCs/>
          <w:sz w:val="24"/>
          <w:szCs w:val="24"/>
        </w:rPr>
        <w:t>niosek o „specjalne zezwolenie”</w:t>
      </w:r>
      <w:r w:rsidRPr="006622EC">
        <w:rPr>
          <w:rFonts w:ascii="Times New Roman" w:hAnsi="Times New Roman" w:cs="Times New Roman"/>
          <w:bCs/>
          <w:sz w:val="24"/>
          <w:szCs w:val="24"/>
        </w:rPr>
        <w:t xml:space="preserve"> wyłącznie</w:t>
      </w:r>
      <w:r>
        <w:rPr>
          <w:rFonts w:ascii="Times New Roman" w:hAnsi="Times New Roman" w:cs="Times New Roman"/>
          <w:bCs/>
          <w:sz w:val="24"/>
          <w:szCs w:val="24"/>
        </w:rPr>
        <w:t xml:space="preserve"> </w:t>
      </w:r>
      <w:r w:rsidRPr="006622EC">
        <w:rPr>
          <w:rFonts w:ascii="Times New Roman" w:hAnsi="Times New Roman" w:cs="Times New Roman"/>
          <w:bCs/>
          <w:sz w:val="24"/>
          <w:szCs w:val="24"/>
        </w:rPr>
        <w:t xml:space="preserve">w celu </w:t>
      </w:r>
      <w:r w:rsidR="008E5785">
        <w:rPr>
          <w:rFonts w:ascii="Times New Roman" w:hAnsi="Times New Roman" w:cs="Times New Roman"/>
          <w:bCs/>
          <w:sz w:val="24"/>
          <w:szCs w:val="24"/>
        </w:rPr>
        <w:t>prowadzenia ASO opartego na DLT</w:t>
      </w:r>
      <w:r w:rsidRPr="006622EC">
        <w:rPr>
          <w:rFonts w:ascii="Times New Roman" w:hAnsi="Times New Roman" w:cs="Times New Roman"/>
          <w:bCs/>
          <w:sz w:val="24"/>
          <w:szCs w:val="24"/>
        </w:rPr>
        <w:t xml:space="preserve"> (odpowiednio art. 8 ust. 2, art. 9 ust. 2 i art. 10</w:t>
      </w:r>
      <w:r>
        <w:rPr>
          <w:rFonts w:ascii="Times New Roman" w:hAnsi="Times New Roman" w:cs="Times New Roman"/>
          <w:bCs/>
          <w:sz w:val="24"/>
          <w:szCs w:val="24"/>
        </w:rPr>
        <w:t xml:space="preserve"> </w:t>
      </w:r>
      <w:r w:rsidRPr="006622EC">
        <w:rPr>
          <w:rFonts w:ascii="Times New Roman" w:hAnsi="Times New Roman" w:cs="Times New Roman"/>
          <w:bCs/>
          <w:sz w:val="24"/>
          <w:szCs w:val="24"/>
        </w:rPr>
        <w:t>ust. 2 rozporządzenia DLT</w:t>
      </w:r>
      <w:r w:rsidR="00EF3EA2" w:rsidRPr="00EF3EA2">
        <w:rPr>
          <w:rFonts w:ascii="Times New Roman" w:hAnsi="Times New Roman" w:cs="Times New Roman"/>
          <w:bCs/>
          <w:sz w:val="24"/>
          <w:szCs w:val="24"/>
        </w:rPr>
        <w:t xml:space="preserve"> </w:t>
      </w:r>
      <w:r w:rsidR="00EF3EA2">
        <w:rPr>
          <w:rFonts w:ascii="Times New Roman" w:hAnsi="Times New Roman" w:cs="Times New Roman"/>
          <w:bCs/>
          <w:sz w:val="24"/>
          <w:szCs w:val="24"/>
        </w:rPr>
        <w:t>Pilot Regime</w:t>
      </w:r>
      <w:r w:rsidR="008E5785">
        <w:rPr>
          <w:rFonts w:ascii="Times New Roman" w:hAnsi="Times New Roman" w:cs="Times New Roman"/>
          <w:bCs/>
          <w:sz w:val="24"/>
          <w:szCs w:val="24"/>
        </w:rPr>
        <w:t>)</w:t>
      </w:r>
      <w:r w:rsidRPr="006622EC">
        <w:rPr>
          <w:rFonts w:ascii="Times New Roman" w:hAnsi="Times New Roman" w:cs="Times New Roman"/>
          <w:bCs/>
          <w:sz w:val="24"/>
          <w:szCs w:val="24"/>
        </w:rPr>
        <w:t xml:space="preserve">. </w:t>
      </w:r>
    </w:p>
    <w:p w14:paraId="70E968CF" w14:textId="7FFC5A59" w:rsidR="008E5785" w:rsidRDefault="00B04781" w:rsidP="008E5785">
      <w:pPr>
        <w:shd w:val="clear" w:color="auto" w:fill="FFFFFF" w:themeFill="background1"/>
        <w:spacing w:after="0" w:line="360" w:lineRule="auto"/>
        <w:jc w:val="both"/>
        <w:rPr>
          <w:rFonts w:ascii="Times New Roman" w:hAnsi="Times New Roman" w:cs="Times New Roman"/>
          <w:bCs/>
          <w:sz w:val="24"/>
          <w:szCs w:val="24"/>
        </w:rPr>
      </w:pPr>
      <w:r w:rsidRPr="006622EC">
        <w:rPr>
          <w:rFonts w:ascii="Times New Roman" w:hAnsi="Times New Roman" w:cs="Times New Roman"/>
          <w:bCs/>
          <w:sz w:val="24"/>
          <w:szCs w:val="24"/>
        </w:rPr>
        <w:t>Zgodnie z motywem 11 rozporządzenia</w:t>
      </w:r>
      <w:r w:rsidR="00EF3EA2" w:rsidRPr="00EF3EA2">
        <w:rPr>
          <w:rFonts w:ascii="Times New Roman" w:hAnsi="Times New Roman" w:cs="Times New Roman"/>
          <w:bCs/>
          <w:sz w:val="24"/>
          <w:szCs w:val="24"/>
        </w:rPr>
        <w:t xml:space="preserve"> </w:t>
      </w:r>
      <w:r w:rsidR="00EF3EA2" w:rsidRPr="006622EC">
        <w:rPr>
          <w:rFonts w:ascii="Times New Roman" w:hAnsi="Times New Roman" w:cs="Times New Roman"/>
          <w:bCs/>
          <w:sz w:val="24"/>
          <w:szCs w:val="24"/>
        </w:rPr>
        <w:t>DLT</w:t>
      </w:r>
      <w:r w:rsidRPr="006622EC">
        <w:rPr>
          <w:rFonts w:ascii="Times New Roman" w:hAnsi="Times New Roman" w:cs="Times New Roman"/>
          <w:bCs/>
          <w:sz w:val="24"/>
          <w:szCs w:val="24"/>
        </w:rPr>
        <w:t xml:space="preserve"> </w:t>
      </w:r>
      <w:r w:rsidR="00EF3EA2">
        <w:rPr>
          <w:rFonts w:ascii="Times New Roman" w:hAnsi="Times New Roman" w:cs="Times New Roman"/>
          <w:bCs/>
          <w:sz w:val="24"/>
          <w:szCs w:val="24"/>
        </w:rPr>
        <w:t>Pilot Regime</w:t>
      </w:r>
      <w:r w:rsidR="00EF3EA2" w:rsidRPr="002A5927">
        <w:rPr>
          <w:rFonts w:ascii="Times New Roman" w:hAnsi="Times New Roman" w:cs="Times New Roman"/>
          <w:bCs/>
          <w:sz w:val="24"/>
          <w:szCs w:val="24"/>
        </w:rPr>
        <w:t xml:space="preserve"> </w:t>
      </w:r>
      <w:r w:rsidRPr="006622EC">
        <w:rPr>
          <w:rFonts w:ascii="Times New Roman" w:hAnsi="Times New Roman" w:cs="Times New Roman"/>
          <w:bCs/>
          <w:sz w:val="24"/>
          <w:szCs w:val="24"/>
        </w:rPr>
        <w:t>„</w:t>
      </w:r>
      <w:r w:rsidRPr="006622EC">
        <w:rPr>
          <w:rFonts w:ascii="Times New Roman" w:hAnsi="Times New Roman" w:cs="Times New Roman"/>
          <w:bCs/>
          <w:i/>
          <w:iCs/>
          <w:sz w:val="24"/>
          <w:szCs w:val="24"/>
        </w:rPr>
        <w:t>W takich przypadkach</w:t>
      </w:r>
      <w:r>
        <w:rPr>
          <w:rFonts w:ascii="Times New Roman" w:hAnsi="Times New Roman" w:cs="Times New Roman"/>
          <w:bCs/>
          <w:sz w:val="24"/>
          <w:szCs w:val="24"/>
        </w:rPr>
        <w:t xml:space="preserve"> </w:t>
      </w:r>
      <w:r w:rsidRPr="006622EC">
        <w:rPr>
          <w:rFonts w:ascii="Times New Roman" w:hAnsi="Times New Roman" w:cs="Times New Roman"/>
          <w:bCs/>
          <w:i/>
          <w:iCs/>
          <w:sz w:val="24"/>
          <w:szCs w:val="24"/>
        </w:rPr>
        <w:t>właściwy organ nie powinien oceniać, czy taki podmiot spełnia wymogi rozporządzenia (UE)</w:t>
      </w:r>
      <w:r>
        <w:rPr>
          <w:rFonts w:ascii="Times New Roman" w:hAnsi="Times New Roman" w:cs="Times New Roman"/>
          <w:bCs/>
          <w:sz w:val="24"/>
          <w:szCs w:val="24"/>
        </w:rPr>
        <w:t xml:space="preserve"> </w:t>
      </w:r>
      <w:r w:rsidRPr="006622EC">
        <w:rPr>
          <w:rFonts w:ascii="Times New Roman" w:hAnsi="Times New Roman" w:cs="Times New Roman"/>
          <w:bCs/>
          <w:i/>
          <w:iCs/>
          <w:sz w:val="24"/>
          <w:szCs w:val="24"/>
        </w:rPr>
        <w:t>nr 909/2014 lub dyrektywy 2014/65/UE, w odniesieniu do których wystąpiono o zwolnienie na</w:t>
      </w:r>
      <w:r>
        <w:rPr>
          <w:rFonts w:ascii="Times New Roman" w:hAnsi="Times New Roman" w:cs="Times New Roman"/>
          <w:bCs/>
          <w:sz w:val="24"/>
          <w:szCs w:val="24"/>
        </w:rPr>
        <w:t xml:space="preserve"> </w:t>
      </w:r>
      <w:r w:rsidRPr="006622EC">
        <w:rPr>
          <w:rFonts w:ascii="Times New Roman" w:hAnsi="Times New Roman" w:cs="Times New Roman"/>
          <w:bCs/>
          <w:i/>
          <w:iCs/>
          <w:sz w:val="24"/>
          <w:szCs w:val="24"/>
        </w:rPr>
        <w:t xml:space="preserve">podstawie niniejszego rozporządzenia. </w:t>
      </w:r>
      <w:r w:rsidRPr="00255AB5">
        <w:rPr>
          <w:rFonts w:ascii="Times New Roman" w:hAnsi="Times New Roman" w:cs="Times New Roman"/>
          <w:bCs/>
          <w:i/>
          <w:iCs/>
          <w:sz w:val="24"/>
          <w:szCs w:val="24"/>
        </w:rPr>
        <w:t>Takie podmioty powinny mieć jedynie możliwość</w:t>
      </w:r>
      <w:r>
        <w:rPr>
          <w:rFonts w:ascii="Times New Roman" w:hAnsi="Times New Roman" w:cs="Times New Roman"/>
          <w:bCs/>
          <w:sz w:val="24"/>
          <w:szCs w:val="24"/>
        </w:rPr>
        <w:t xml:space="preserve"> </w:t>
      </w:r>
      <w:r w:rsidRPr="00255AB5">
        <w:rPr>
          <w:rFonts w:ascii="Times New Roman" w:hAnsi="Times New Roman" w:cs="Times New Roman"/>
          <w:bCs/>
          <w:i/>
          <w:iCs/>
          <w:sz w:val="24"/>
          <w:szCs w:val="24"/>
        </w:rPr>
        <w:t>prowadzenia infrastruktur rynkowych opartych na DLT zgodnie z niniejszym</w:t>
      </w:r>
      <w:r>
        <w:rPr>
          <w:rFonts w:ascii="Times New Roman" w:hAnsi="Times New Roman" w:cs="Times New Roman"/>
          <w:bCs/>
          <w:sz w:val="24"/>
          <w:szCs w:val="24"/>
        </w:rPr>
        <w:t xml:space="preserve"> </w:t>
      </w:r>
      <w:r w:rsidRPr="00255AB5">
        <w:rPr>
          <w:rFonts w:ascii="Times New Roman" w:hAnsi="Times New Roman" w:cs="Times New Roman"/>
          <w:bCs/>
          <w:i/>
          <w:iCs/>
          <w:sz w:val="24"/>
          <w:szCs w:val="24"/>
        </w:rPr>
        <w:t>rozporządzeniem</w:t>
      </w:r>
      <w:r w:rsidRPr="006622EC">
        <w:rPr>
          <w:rFonts w:ascii="Times New Roman" w:hAnsi="Times New Roman" w:cs="Times New Roman"/>
          <w:bCs/>
          <w:i/>
          <w:iCs/>
          <w:sz w:val="24"/>
          <w:szCs w:val="24"/>
        </w:rPr>
        <w:t>, a ich zezwolenie powinno zostać cofnięte po wygaśnięciu ich specjalnego</w:t>
      </w:r>
      <w:r>
        <w:rPr>
          <w:rFonts w:ascii="Times New Roman" w:hAnsi="Times New Roman" w:cs="Times New Roman"/>
          <w:bCs/>
          <w:sz w:val="24"/>
          <w:szCs w:val="24"/>
        </w:rPr>
        <w:t xml:space="preserve"> </w:t>
      </w:r>
      <w:r w:rsidRPr="006622EC">
        <w:rPr>
          <w:rFonts w:ascii="Times New Roman" w:hAnsi="Times New Roman" w:cs="Times New Roman"/>
          <w:bCs/>
          <w:i/>
          <w:iCs/>
          <w:sz w:val="24"/>
          <w:szCs w:val="24"/>
        </w:rPr>
        <w:t>zezwolenia, chyba że podmioty te złożą kompletny wniosek o udzielenie zezwolenia na</w:t>
      </w:r>
      <w:r>
        <w:rPr>
          <w:rFonts w:ascii="Times New Roman" w:hAnsi="Times New Roman" w:cs="Times New Roman"/>
          <w:bCs/>
          <w:sz w:val="24"/>
          <w:szCs w:val="24"/>
        </w:rPr>
        <w:t xml:space="preserve"> </w:t>
      </w:r>
      <w:r w:rsidRPr="006622EC">
        <w:rPr>
          <w:rFonts w:ascii="Times New Roman" w:hAnsi="Times New Roman" w:cs="Times New Roman"/>
          <w:bCs/>
          <w:i/>
          <w:iCs/>
          <w:sz w:val="24"/>
          <w:szCs w:val="24"/>
        </w:rPr>
        <w:t>podstawie rozporządzenia (UE) nr 909/2014 lub dyrektywy 2014/65/UE.</w:t>
      </w:r>
      <w:r w:rsidRPr="006622EC">
        <w:rPr>
          <w:rFonts w:ascii="Times New Roman" w:hAnsi="Times New Roman" w:cs="Times New Roman"/>
          <w:bCs/>
          <w:sz w:val="24"/>
          <w:szCs w:val="24"/>
        </w:rPr>
        <w:t>”</w:t>
      </w:r>
      <w:r>
        <w:rPr>
          <w:rFonts w:ascii="Times New Roman" w:hAnsi="Times New Roman" w:cs="Times New Roman"/>
          <w:bCs/>
          <w:sz w:val="24"/>
          <w:szCs w:val="24"/>
        </w:rPr>
        <w:t xml:space="preserve"> </w:t>
      </w:r>
    </w:p>
    <w:p w14:paraId="79C0755B" w14:textId="443FEAC9" w:rsidR="00B04781" w:rsidRDefault="00381596" w:rsidP="00381596">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P</w:t>
      </w:r>
      <w:r w:rsidR="00B04781" w:rsidRPr="006622EC">
        <w:rPr>
          <w:rFonts w:ascii="Times New Roman" w:hAnsi="Times New Roman" w:cs="Times New Roman"/>
          <w:bCs/>
          <w:sz w:val="24"/>
          <w:szCs w:val="24"/>
        </w:rPr>
        <w:t>odmiot, który chce uz</w:t>
      </w:r>
      <w:r w:rsidR="00B04781">
        <w:rPr>
          <w:rFonts w:ascii="Times New Roman" w:hAnsi="Times New Roman" w:cs="Times New Roman"/>
          <w:bCs/>
          <w:sz w:val="24"/>
          <w:szCs w:val="24"/>
        </w:rPr>
        <w:t xml:space="preserve">yskać zezwolenie na prowadzenie </w:t>
      </w:r>
      <w:r w:rsidR="00B04781" w:rsidRPr="006622EC">
        <w:rPr>
          <w:rFonts w:ascii="Times New Roman" w:hAnsi="Times New Roman" w:cs="Times New Roman"/>
          <w:bCs/>
          <w:sz w:val="24"/>
          <w:szCs w:val="24"/>
        </w:rPr>
        <w:t>działalności maklerskiej/prowadzenie rynku regulowanego/KDPW</w:t>
      </w:r>
      <w:r w:rsidR="003051FB">
        <w:rPr>
          <w:rFonts w:ascii="Times New Roman" w:hAnsi="Times New Roman" w:cs="Times New Roman"/>
          <w:bCs/>
          <w:sz w:val="24"/>
          <w:szCs w:val="24"/>
        </w:rPr>
        <w:t>,</w:t>
      </w:r>
      <w:r w:rsidR="00B04781" w:rsidRPr="006622EC">
        <w:rPr>
          <w:rFonts w:ascii="Times New Roman" w:hAnsi="Times New Roman" w:cs="Times New Roman"/>
          <w:bCs/>
          <w:sz w:val="24"/>
          <w:szCs w:val="24"/>
        </w:rPr>
        <w:t xml:space="preserve"> w celu wykraczającym</w:t>
      </w:r>
      <w:r w:rsidR="00B04781">
        <w:rPr>
          <w:rFonts w:ascii="Times New Roman" w:hAnsi="Times New Roman" w:cs="Times New Roman"/>
          <w:bCs/>
          <w:sz w:val="24"/>
          <w:szCs w:val="24"/>
        </w:rPr>
        <w:t xml:space="preserve"> </w:t>
      </w:r>
      <w:r w:rsidR="00B04781" w:rsidRPr="006622EC">
        <w:rPr>
          <w:rFonts w:ascii="Times New Roman" w:hAnsi="Times New Roman" w:cs="Times New Roman"/>
          <w:bCs/>
          <w:sz w:val="24"/>
          <w:szCs w:val="24"/>
        </w:rPr>
        <w:t>poza prowadzenie ASO opartego na DLT/TSS opartego na DLT/SS oparte</w:t>
      </w:r>
      <w:r w:rsidR="00EF3EA2">
        <w:rPr>
          <w:rFonts w:ascii="Times New Roman" w:hAnsi="Times New Roman" w:cs="Times New Roman"/>
          <w:bCs/>
          <w:sz w:val="24"/>
          <w:szCs w:val="24"/>
        </w:rPr>
        <w:t xml:space="preserve">go na DLT, </w:t>
      </w:r>
      <w:r w:rsidR="00B04781" w:rsidRPr="006622EC">
        <w:rPr>
          <w:rFonts w:ascii="Times New Roman" w:hAnsi="Times New Roman" w:cs="Times New Roman"/>
          <w:bCs/>
          <w:sz w:val="24"/>
          <w:szCs w:val="24"/>
        </w:rPr>
        <w:t>i oprócz</w:t>
      </w:r>
      <w:r w:rsidR="00B04781">
        <w:rPr>
          <w:rFonts w:ascii="Times New Roman" w:hAnsi="Times New Roman" w:cs="Times New Roman"/>
          <w:bCs/>
          <w:sz w:val="24"/>
          <w:szCs w:val="24"/>
        </w:rPr>
        <w:t xml:space="preserve"> </w:t>
      </w:r>
      <w:r w:rsidR="00B04781" w:rsidRPr="006622EC">
        <w:rPr>
          <w:rFonts w:ascii="Times New Roman" w:hAnsi="Times New Roman" w:cs="Times New Roman"/>
          <w:bCs/>
          <w:sz w:val="24"/>
          <w:szCs w:val="24"/>
        </w:rPr>
        <w:t>tego występuje o „specjalne zezwolenie” na prowadzenie ASO opartego na DLT/ TSS opartego</w:t>
      </w:r>
      <w:r w:rsidR="00B04781">
        <w:rPr>
          <w:rFonts w:ascii="Times New Roman" w:hAnsi="Times New Roman" w:cs="Times New Roman"/>
          <w:bCs/>
          <w:sz w:val="24"/>
          <w:szCs w:val="24"/>
        </w:rPr>
        <w:t xml:space="preserve"> </w:t>
      </w:r>
      <w:r w:rsidR="00B04781" w:rsidRPr="006622EC">
        <w:rPr>
          <w:rFonts w:ascii="Times New Roman" w:hAnsi="Times New Roman" w:cs="Times New Roman"/>
          <w:bCs/>
          <w:sz w:val="24"/>
          <w:szCs w:val="24"/>
        </w:rPr>
        <w:t>na DLT/SS opartego na DLT</w:t>
      </w:r>
      <w:r w:rsidR="00EF3EA2">
        <w:rPr>
          <w:rFonts w:ascii="Times New Roman" w:hAnsi="Times New Roman" w:cs="Times New Roman"/>
          <w:bCs/>
          <w:sz w:val="24"/>
          <w:szCs w:val="24"/>
        </w:rPr>
        <w:t xml:space="preserve">, </w:t>
      </w:r>
      <w:r w:rsidR="00B04781" w:rsidRPr="006622EC">
        <w:rPr>
          <w:rFonts w:ascii="Times New Roman" w:hAnsi="Times New Roman" w:cs="Times New Roman"/>
          <w:bCs/>
          <w:sz w:val="24"/>
          <w:szCs w:val="24"/>
        </w:rPr>
        <w:t>zobowiązany jest najpierw uzyskać zezwolenie na prowadzenie</w:t>
      </w:r>
      <w:r w:rsidR="00B04781">
        <w:rPr>
          <w:rFonts w:ascii="Times New Roman" w:hAnsi="Times New Roman" w:cs="Times New Roman"/>
          <w:bCs/>
          <w:sz w:val="24"/>
          <w:szCs w:val="24"/>
        </w:rPr>
        <w:t xml:space="preserve"> </w:t>
      </w:r>
      <w:r w:rsidR="00B04781" w:rsidRPr="006622EC">
        <w:rPr>
          <w:rFonts w:ascii="Times New Roman" w:hAnsi="Times New Roman" w:cs="Times New Roman"/>
          <w:bCs/>
          <w:sz w:val="24"/>
          <w:szCs w:val="24"/>
        </w:rPr>
        <w:t xml:space="preserve">działalności maklerskiej albo prowadzenie rynku regulowanego albo CDPW w </w:t>
      </w:r>
      <w:r>
        <w:rPr>
          <w:rFonts w:ascii="Times New Roman" w:hAnsi="Times New Roman" w:cs="Times New Roman"/>
          <w:bCs/>
          <w:sz w:val="24"/>
          <w:szCs w:val="24"/>
        </w:rPr>
        <w:t xml:space="preserve">zwykłym </w:t>
      </w:r>
      <w:r w:rsidR="00B04781" w:rsidRPr="006622EC">
        <w:rPr>
          <w:rFonts w:ascii="Times New Roman" w:hAnsi="Times New Roman" w:cs="Times New Roman"/>
          <w:bCs/>
          <w:sz w:val="24"/>
          <w:szCs w:val="24"/>
        </w:rPr>
        <w:t xml:space="preserve">trybie, nieobejmującym zwolnień z </w:t>
      </w:r>
      <w:r>
        <w:rPr>
          <w:rFonts w:ascii="Times New Roman" w:hAnsi="Times New Roman" w:cs="Times New Roman"/>
          <w:bCs/>
          <w:sz w:val="24"/>
          <w:szCs w:val="24"/>
        </w:rPr>
        <w:t xml:space="preserve">wymogu </w:t>
      </w:r>
      <w:r w:rsidR="00B04781" w:rsidRPr="006622EC">
        <w:rPr>
          <w:rFonts w:ascii="Times New Roman" w:hAnsi="Times New Roman" w:cs="Times New Roman"/>
          <w:bCs/>
          <w:sz w:val="24"/>
          <w:szCs w:val="24"/>
        </w:rPr>
        <w:t>spełnienia warunków, o których mowa w art.</w:t>
      </w:r>
      <w:r w:rsidR="00B04781">
        <w:rPr>
          <w:rFonts w:ascii="Times New Roman" w:hAnsi="Times New Roman" w:cs="Times New Roman"/>
          <w:bCs/>
          <w:sz w:val="24"/>
          <w:szCs w:val="24"/>
        </w:rPr>
        <w:t xml:space="preserve"> 8 ust. 2, art. 9 ust. 2, </w:t>
      </w:r>
      <w:r w:rsidR="00B04781" w:rsidRPr="006622EC">
        <w:rPr>
          <w:rFonts w:ascii="Times New Roman" w:hAnsi="Times New Roman" w:cs="Times New Roman"/>
          <w:bCs/>
          <w:sz w:val="24"/>
          <w:szCs w:val="24"/>
        </w:rPr>
        <w:t>art. 10 ust. 2 rozporządzenia DLT</w:t>
      </w:r>
      <w:r w:rsidR="007C389F">
        <w:rPr>
          <w:rFonts w:ascii="Times New Roman" w:hAnsi="Times New Roman" w:cs="Times New Roman"/>
          <w:bCs/>
          <w:sz w:val="24"/>
          <w:szCs w:val="24"/>
        </w:rPr>
        <w:t xml:space="preserve"> </w:t>
      </w:r>
      <w:r w:rsidR="00B04781" w:rsidRPr="006622EC">
        <w:rPr>
          <w:rFonts w:ascii="Times New Roman" w:hAnsi="Times New Roman" w:cs="Times New Roman"/>
          <w:bCs/>
          <w:sz w:val="24"/>
          <w:szCs w:val="24"/>
        </w:rPr>
        <w:t>i dopiero po uzyskaniu takiego</w:t>
      </w:r>
      <w:r w:rsidR="00B04781">
        <w:rPr>
          <w:rFonts w:ascii="Times New Roman" w:hAnsi="Times New Roman" w:cs="Times New Roman"/>
          <w:bCs/>
          <w:sz w:val="24"/>
          <w:szCs w:val="24"/>
        </w:rPr>
        <w:t xml:space="preserve"> </w:t>
      </w:r>
      <w:r w:rsidR="00B04781" w:rsidRPr="006622EC">
        <w:rPr>
          <w:rFonts w:ascii="Times New Roman" w:hAnsi="Times New Roman" w:cs="Times New Roman"/>
          <w:bCs/>
          <w:sz w:val="24"/>
          <w:szCs w:val="24"/>
        </w:rPr>
        <w:t>zezwolenia, wystąpić z wnioskiem o „specjalne zezwolenie” w trybie, o którym mowa w art. 8</w:t>
      </w:r>
      <w:r w:rsidR="00B04781">
        <w:rPr>
          <w:rFonts w:ascii="Times New Roman" w:hAnsi="Times New Roman" w:cs="Times New Roman"/>
          <w:bCs/>
          <w:sz w:val="24"/>
          <w:szCs w:val="24"/>
        </w:rPr>
        <w:t xml:space="preserve"> ust. 1, art. 9 ust. 1</w:t>
      </w:r>
      <w:r>
        <w:rPr>
          <w:rFonts w:ascii="Times New Roman" w:hAnsi="Times New Roman" w:cs="Times New Roman"/>
          <w:bCs/>
          <w:sz w:val="24"/>
          <w:szCs w:val="24"/>
        </w:rPr>
        <w:t xml:space="preserve"> i </w:t>
      </w:r>
      <w:r w:rsidR="00B04781" w:rsidRPr="006622EC">
        <w:rPr>
          <w:rFonts w:ascii="Times New Roman" w:hAnsi="Times New Roman" w:cs="Times New Roman"/>
          <w:bCs/>
          <w:sz w:val="24"/>
          <w:szCs w:val="24"/>
        </w:rPr>
        <w:t xml:space="preserve">art. 10 ust. 2 rozporządzenia </w:t>
      </w:r>
      <w:r w:rsidR="00B04781">
        <w:rPr>
          <w:rFonts w:ascii="Times New Roman" w:hAnsi="Times New Roman" w:cs="Times New Roman"/>
          <w:bCs/>
          <w:sz w:val="24"/>
          <w:szCs w:val="24"/>
        </w:rPr>
        <w:t>DLT Pilot Regime</w:t>
      </w:r>
      <w:r w:rsidR="00B04781" w:rsidRPr="006622EC">
        <w:rPr>
          <w:rFonts w:ascii="Times New Roman" w:hAnsi="Times New Roman" w:cs="Times New Roman"/>
          <w:bCs/>
          <w:sz w:val="24"/>
          <w:szCs w:val="24"/>
        </w:rPr>
        <w:t>.</w:t>
      </w:r>
    </w:p>
    <w:p w14:paraId="39E733A8" w14:textId="5154AD75" w:rsidR="00381596" w:rsidRDefault="00B04781" w:rsidP="00381596">
      <w:pPr>
        <w:shd w:val="clear" w:color="auto" w:fill="FFFFFF" w:themeFill="background1"/>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Art. 131ze reguluje kwestie dotyczące wydawania przez podmioty prowadzące SS oparte na DLT albo TSS oparte na DLT pieniądza elektronicznego. K</w:t>
      </w:r>
      <w:r w:rsidRPr="00D36BE9">
        <w:rPr>
          <w:rFonts w:ascii="Times New Roman" w:hAnsi="Times New Roman" w:cs="Times New Roman"/>
          <w:bCs/>
          <w:sz w:val="24"/>
          <w:szCs w:val="24"/>
        </w:rPr>
        <w:t xml:space="preserve">ierując się treścią art. 5 ust. 8 </w:t>
      </w:r>
      <w:r>
        <w:rPr>
          <w:rFonts w:ascii="Times New Roman" w:hAnsi="Times New Roman" w:cs="Times New Roman"/>
          <w:bCs/>
          <w:sz w:val="24"/>
          <w:szCs w:val="24"/>
        </w:rPr>
        <w:t>rozporządzenia DLT Pilot Regime</w:t>
      </w:r>
      <w:r w:rsidRPr="00D36BE9">
        <w:rPr>
          <w:rFonts w:ascii="Times New Roman" w:hAnsi="Times New Roman" w:cs="Times New Roman"/>
          <w:bCs/>
          <w:sz w:val="24"/>
          <w:szCs w:val="24"/>
        </w:rPr>
        <w:t xml:space="preserve"> oraz motywu 34 tego rozporządzenia, w którym </w:t>
      </w:r>
      <w:r w:rsidRPr="00381596">
        <w:rPr>
          <w:rFonts w:ascii="Times New Roman" w:hAnsi="Times New Roman" w:cs="Times New Roman"/>
          <w:bCs/>
          <w:i/>
          <w:sz w:val="24"/>
          <w:szCs w:val="24"/>
        </w:rPr>
        <w:t xml:space="preserve">expressis verbis </w:t>
      </w:r>
      <w:r w:rsidRPr="00D36BE9">
        <w:rPr>
          <w:rFonts w:ascii="Times New Roman" w:hAnsi="Times New Roman" w:cs="Times New Roman"/>
          <w:bCs/>
          <w:sz w:val="24"/>
          <w:szCs w:val="24"/>
        </w:rPr>
        <w:t xml:space="preserve">wskazuje się, że w celu opracowania innowacyjnych rozwiązań należy dopuścić (po uzyskaniu odpowiedniego zezwolenia) możliwość przeprowadzania rozrachunku za pomocą tokenów </w:t>
      </w:r>
      <w:r>
        <w:rPr>
          <w:rFonts w:ascii="Times New Roman" w:hAnsi="Times New Roman" w:cs="Times New Roman"/>
          <w:bCs/>
          <w:sz w:val="24"/>
          <w:szCs w:val="24"/>
        </w:rPr>
        <w:t>(</w:t>
      </w:r>
      <w:r w:rsidR="00381596">
        <w:rPr>
          <w:rFonts w:ascii="Times New Roman" w:hAnsi="Times New Roman" w:cs="Times New Roman"/>
          <w:bCs/>
          <w:sz w:val="24"/>
          <w:szCs w:val="24"/>
        </w:rPr>
        <w:t xml:space="preserve">stanowiących </w:t>
      </w:r>
      <w:r>
        <w:rPr>
          <w:rFonts w:ascii="Times New Roman" w:hAnsi="Times New Roman" w:cs="Times New Roman"/>
          <w:bCs/>
          <w:sz w:val="24"/>
          <w:szCs w:val="24"/>
        </w:rPr>
        <w:t>cyfrow</w:t>
      </w:r>
      <w:r w:rsidR="00381596">
        <w:rPr>
          <w:rFonts w:ascii="Times New Roman" w:hAnsi="Times New Roman" w:cs="Times New Roman"/>
          <w:bCs/>
          <w:sz w:val="24"/>
          <w:szCs w:val="24"/>
        </w:rPr>
        <w:t>e</w:t>
      </w:r>
      <w:r>
        <w:rPr>
          <w:rFonts w:ascii="Times New Roman" w:hAnsi="Times New Roman" w:cs="Times New Roman"/>
          <w:bCs/>
          <w:sz w:val="24"/>
          <w:szCs w:val="24"/>
        </w:rPr>
        <w:t xml:space="preserve"> odzwierciedleni</w:t>
      </w:r>
      <w:r w:rsidR="00381596">
        <w:rPr>
          <w:rFonts w:ascii="Times New Roman" w:hAnsi="Times New Roman" w:cs="Times New Roman"/>
          <w:bCs/>
          <w:sz w:val="24"/>
          <w:szCs w:val="24"/>
        </w:rPr>
        <w:t>e</w:t>
      </w:r>
      <w:r>
        <w:rPr>
          <w:rFonts w:ascii="Times New Roman" w:hAnsi="Times New Roman" w:cs="Times New Roman"/>
          <w:bCs/>
          <w:sz w:val="24"/>
          <w:szCs w:val="24"/>
        </w:rPr>
        <w:t xml:space="preserve"> praw majątkowych) </w:t>
      </w:r>
      <w:r w:rsidRPr="00D36BE9">
        <w:rPr>
          <w:rFonts w:ascii="Times New Roman" w:hAnsi="Times New Roman" w:cs="Times New Roman"/>
          <w:bCs/>
          <w:sz w:val="24"/>
          <w:szCs w:val="24"/>
        </w:rPr>
        <w:t>będących pieniądzem elektronicznym, SS</w:t>
      </w:r>
      <w:r>
        <w:rPr>
          <w:rFonts w:ascii="Times New Roman" w:hAnsi="Times New Roman" w:cs="Times New Roman"/>
          <w:bCs/>
          <w:sz w:val="24"/>
          <w:szCs w:val="24"/>
        </w:rPr>
        <w:t xml:space="preserve"> opartym na</w:t>
      </w:r>
      <w:r w:rsidR="007C389F">
        <w:rPr>
          <w:rFonts w:ascii="Times New Roman" w:hAnsi="Times New Roman" w:cs="Times New Roman"/>
          <w:bCs/>
          <w:sz w:val="24"/>
          <w:szCs w:val="24"/>
        </w:rPr>
        <w:t xml:space="preserve"> </w:t>
      </w:r>
      <w:r w:rsidRPr="00D36BE9">
        <w:rPr>
          <w:rFonts w:ascii="Times New Roman" w:hAnsi="Times New Roman" w:cs="Times New Roman"/>
          <w:bCs/>
          <w:sz w:val="24"/>
          <w:szCs w:val="24"/>
        </w:rPr>
        <w:t>DLT oraz TSS</w:t>
      </w:r>
      <w:r>
        <w:rPr>
          <w:rFonts w:ascii="Times New Roman" w:hAnsi="Times New Roman" w:cs="Times New Roman"/>
          <w:bCs/>
          <w:sz w:val="24"/>
          <w:szCs w:val="24"/>
        </w:rPr>
        <w:t xml:space="preserve"> opartym na</w:t>
      </w:r>
      <w:r w:rsidRPr="00D36BE9">
        <w:rPr>
          <w:rFonts w:ascii="Times New Roman" w:hAnsi="Times New Roman" w:cs="Times New Roman"/>
          <w:bCs/>
          <w:sz w:val="24"/>
          <w:szCs w:val="24"/>
        </w:rPr>
        <w:t xml:space="preserve"> DLT</w:t>
      </w:r>
      <w:r w:rsidR="00EF3EA2">
        <w:rPr>
          <w:rFonts w:ascii="Times New Roman" w:hAnsi="Times New Roman" w:cs="Times New Roman"/>
          <w:bCs/>
          <w:sz w:val="24"/>
          <w:szCs w:val="24"/>
        </w:rPr>
        <w:t>,</w:t>
      </w:r>
      <w:r w:rsidR="007C389F">
        <w:rPr>
          <w:rFonts w:ascii="Times New Roman" w:hAnsi="Times New Roman" w:cs="Times New Roman"/>
          <w:bCs/>
          <w:sz w:val="24"/>
          <w:szCs w:val="24"/>
        </w:rPr>
        <w:t xml:space="preserve"> </w:t>
      </w:r>
      <w:r w:rsidRPr="00D36BE9">
        <w:rPr>
          <w:rFonts w:ascii="Times New Roman" w:hAnsi="Times New Roman" w:cs="Times New Roman"/>
          <w:bCs/>
          <w:sz w:val="24"/>
          <w:szCs w:val="24"/>
        </w:rPr>
        <w:t>umożliwi</w:t>
      </w:r>
      <w:r w:rsidR="00381596">
        <w:rPr>
          <w:rFonts w:ascii="Times New Roman" w:hAnsi="Times New Roman" w:cs="Times New Roman"/>
          <w:bCs/>
          <w:sz w:val="24"/>
          <w:szCs w:val="24"/>
        </w:rPr>
        <w:t>a się emitowanie takich tokenów</w:t>
      </w:r>
      <w:r w:rsidRPr="00D36BE9">
        <w:rPr>
          <w:rFonts w:ascii="Times New Roman" w:hAnsi="Times New Roman" w:cs="Times New Roman"/>
          <w:bCs/>
          <w:sz w:val="24"/>
          <w:szCs w:val="24"/>
        </w:rPr>
        <w:t xml:space="preserve"> w celu wykorzystania do rozrachunku transakcji zawieranych w systemach obrotu na infrastrukturach rynkowych opartych na DLT. </w:t>
      </w:r>
    </w:p>
    <w:p w14:paraId="4C5EF08D" w14:textId="08EE056F" w:rsidR="00381596" w:rsidRDefault="00B04781" w:rsidP="00381596">
      <w:pPr>
        <w:shd w:val="clear" w:color="auto" w:fill="FFFFFF" w:themeFill="background1"/>
        <w:spacing w:after="0" w:line="360" w:lineRule="auto"/>
        <w:jc w:val="both"/>
        <w:rPr>
          <w:rFonts w:ascii="Times New Roman" w:hAnsi="Times New Roman" w:cs="Times New Roman"/>
          <w:bCs/>
          <w:sz w:val="24"/>
          <w:szCs w:val="24"/>
        </w:rPr>
      </w:pPr>
      <w:r w:rsidRPr="00D36BE9">
        <w:rPr>
          <w:rFonts w:ascii="Times New Roman" w:hAnsi="Times New Roman" w:cs="Times New Roman"/>
          <w:bCs/>
          <w:sz w:val="24"/>
          <w:szCs w:val="24"/>
        </w:rPr>
        <w:lastRenderedPageBreak/>
        <w:t>Rozwiązanie to jest zgodne z przepisami o usługach płatniczych. Przepis</w:t>
      </w:r>
      <w:r w:rsidR="00381596">
        <w:rPr>
          <w:rFonts w:ascii="Times New Roman" w:hAnsi="Times New Roman" w:cs="Times New Roman"/>
          <w:bCs/>
          <w:sz w:val="24"/>
          <w:szCs w:val="24"/>
        </w:rPr>
        <w:t>ów tych nie stosuje się do</w:t>
      </w:r>
      <w:r w:rsidR="007C389F">
        <w:rPr>
          <w:rFonts w:ascii="Times New Roman" w:hAnsi="Times New Roman" w:cs="Times New Roman"/>
          <w:bCs/>
          <w:sz w:val="24"/>
          <w:szCs w:val="24"/>
        </w:rPr>
        <w:t xml:space="preserve"> </w:t>
      </w:r>
      <w:r w:rsidRPr="00D36BE9">
        <w:rPr>
          <w:rFonts w:ascii="Times New Roman" w:hAnsi="Times New Roman" w:cs="Times New Roman"/>
          <w:bCs/>
          <w:sz w:val="24"/>
          <w:szCs w:val="24"/>
        </w:rPr>
        <w:t>transakcji płatniczych dokonywanych w związku z obsługą instrumentów finansowych i wynikających z nich praw, w tym dywidend</w:t>
      </w:r>
      <w:r w:rsidR="00381596">
        <w:rPr>
          <w:rFonts w:ascii="Times New Roman" w:hAnsi="Times New Roman" w:cs="Times New Roman"/>
          <w:bCs/>
          <w:sz w:val="24"/>
          <w:szCs w:val="24"/>
        </w:rPr>
        <w:t xml:space="preserve"> i</w:t>
      </w:r>
      <w:r w:rsidR="007C389F">
        <w:rPr>
          <w:rFonts w:ascii="Times New Roman" w:hAnsi="Times New Roman" w:cs="Times New Roman"/>
          <w:bCs/>
          <w:sz w:val="24"/>
          <w:szCs w:val="24"/>
        </w:rPr>
        <w:t xml:space="preserve"> </w:t>
      </w:r>
      <w:r w:rsidRPr="00D36BE9">
        <w:rPr>
          <w:rFonts w:ascii="Times New Roman" w:hAnsi="Times New Roman" w:cs="Times New Roman"/>
          <w:bCs/>
          <w:sz w:val="24"/>
          <w:szCs w:val="24"/>
        </w:rPr>
        <w:t>innych dochodów</w:t>
      </w:r>
      <w:r w:rsidR="00381596">
        <w:rPr>
          <w:rFonts w:ascii="Times New Roman" w:hAnsi="Times New Roman" w:cs="Times New Roman"/>
          <w:bCs/>
          <w:sz w:val="24"/>
          <w:szCs w:val="24"/>
        </w:rPr>
        <w:t>,</w:t>
      </w:r>
      <w:r w:rsidR="007C389F">
        <w:rPr>
          <w:rFonts w:ascii="Times New Roman" w:hAnsi="Times New Roman" w:cs="Times New Roman"/>
          <w:bCs/>
          <w:sz w:val="24"/>
          <w:szCs w:val="24"/>
        </w:rPr>
        <w:t xml:space="preserve"> </w:t>
      </w:r>
      <w:r w:rsidRPr="00D36BE9">
        <w:rPr>
          <w:rFonts w:ascii="Times New Roman" w:hAnsi="Times New Roman" w:cs="Times New Roman"/>
          <w:bCs/>
          <w:sz w:val="24"/>
          <w:szCs w:val="24"/>
        </w:rPr>
        <w:t>oraz transakcji dokonywanych w związku ze sprzedażą lub umorzeniem papierów wartościowych, w szczególności dokonywanych przez podmioty prowadzące system płatności lub systemu rozrachunku papierów</w:t>
      </w:r>
      <w:r>
        <w:rPr>
          <w:rFonts w:ascii="Times New Roman" w:hAnsi="Times New Roman" w:cs="Times New Roman"/>
          <w:bCs/>
          <w:sz w:val="24"/>
          <w:szCs w:val="24"/>
        </w:rPr>
        <w:t xml:space="preserve"> </w:t>
      </w:r>
      <w:r w:rsidRPr="00D36BE9">
        <w:rPr>
          <w:rFonts w:ascii="Times New Roman" w:hAnsi="Times New Roman" w:cs="Times New Roman"/>
          <w:bCs/>
          <w:sz w:val="24"/>
          <w:szCs w:val="24"/>
        </w:rPr>
        <w:t>wartościowych lub podmioty podlegające nadzorowi sprawowanemu na podstawie ustawy o nadzorze nad rynkiem finansowym (art. 6 pkt 8</w:t>
      </w:r>
      <w:r w:rsidR="00381596">
        <w:rPr>
          <w:rFonts w:ascii="Times New Roman" w:hAnsi="Times New Roman" w:cs="Times New Roman"/>
          <w:bCs/>
          <w:sz w:val="24"/>
          <w:szCs w:val="24"/>
        </w:rPr>
        <w:t>–</w:t>
      </w:r>
      <w:r w:rsidRPr="00D36BE9">
        <w:rPr>
          <w:rFonts w:ascii="Times New Roman" w:hAnsi="Times New Roman" w:cs="Times New Roman"/>
          <w:bCs/>
          <w:sz w:val="24"/>
          <w:szCs w:val="24"/>
        </w:rPr>
        <w:t xml:space="preserve">9 ustawy o usługach płatniczych). Zgodnie z ugruntowanym podejściem interpretacyjnym do wyłączeń z art. 6 ustawy o usługach płatniczych każde z </w:t>
      </w:r>
      <w:r w:rsidR="00381596">
        <w:rPr>
          <w:rFonts w:ascii="Times New Roman" w:hAnsi="Times New Roman" w:cs="Times New Roman"/>
          <w:bCs/>
          <w:sz w:val="24"/>
          <w:szCs w:val="24"/>
        </w:rPr>
        <w:t xml:space="preserve">tych </w:t>
      </w:r>
      <w:r w:rsidRPr="00D36BE9">
        <w:rPr>
          <w:rFonts w:ascii="Times New Roman" w:hAnsi="Times New Roman" w:cs="Times New Roman"/>
          <w:bCs/>
          <w:sz w:val="24"/>
          <w:szCs w:val="24"/>
        </w:rPr>
        <w:t xml:space="preserve">wyłączeń ustawy obejmuje zarówno czynność wskazaną w </w:t>
      </w:r>
      <w:r w:rsidR="00381596">
        <w:rPr>
          <w:rFonts w:ascii="Times New Roman" w:hAnsi="Times New Roman" w:cs="Times New Roman"/>
          <w:bCs/>
          <w:sz w:val="24"/>
          <w:szCs w:val="24"/>
        </w:rPr>
        <w:t>tym przepisie, jak i k</w:t>
      </w:r>
      <w:r w:rsidRPr="00D36BE9">
        <w:rPr>
          <w:rFonts w:ascii="Times New Roman" w:hAnsi="Times New Roman" w:cs="Times New Roman"/>
          <w:bCs/>
          <w:sz w:val="24"/>
          <w:szCs w:val="24"/>
        </w:rPr>
        <w:t xml:space="preserve">ażdą inną czynność niezbędną do jej wykonywania. Jednocześnie zgodnie z art. </w:t>
      </w:r>
      <w:r w:rsidRPr="00D26FB5">
        <w:rPr>
          <w:rFonts w:ascii="Times New Roman" w:hAnsi="Times New Roman" w:cs="Times New Roman"/>
          <w:bCs/>
          <w:sz w:val="24"/>
          <w:szCs w:val="24"/>
        </w:rPr>
        <w:t xml:space="preserve">4 pkt 25 dyrektywy 2015/2366 w sprawie usług płatniczych w ramach rynku wewnętrznego </w:t>
      </w:r>
      <w:r w:rsidR="00D26FB5" w:rsidRPr="00D26FB5">
        <w:rPr>
          <w:rFonts w:ascii="Times New Roman" w:hAnsi="Times New Roman" w:cs="Times New Roman"/>
          <w:color w:val="000000"/>
          <w:sz w:val="24"/>
          <w:szCs w:val="24"/>
          <w:shd w:val="clear" w:color="auto" w:fill="FFFFFF"/>
        </w:rPr>
        <w:t>(Dz.</w:t>
      </w:r>
      <w:r w:rsidR="00D26FB5">
        <w:rPr>
          <w:rFonts w:ascii="Times New Roman" w:hAnsi="Times New Roman" w:cs="Times New Roman"/>
          <w:color w:val="000000"/>
          <w:sz w:val="24"/>
          <w:szCs w:val="24"/>
          <w:shd w:val="clear" w:color="auto" w:fill="FFFFFF"/>
        </w:rPr>
        <w:t xml:space="preserve"> </w:t>
      </w:r>
      <w:r w:rsidR="00D26FB5" w:rsidRPr="00D26FB5">
        <w:rPr>
          <w:rFonts w:ascii="Times New Roman" w:hAnsi="Times New Roman" w:cs="Times New Roman"/>
          <w:color w:val="000000"/>
          <w:sz w:val="24"/>
          <w:szCs w:val="24"/>
          <w:shd w:val="clear" w:color="auto" w:fill="FFFFFF"/>
        </w:rPr>
        <w:t>U</w:t>
      </w:r>
      <w:r w:rsidR="00D26FB5">
        <w:rPr>
          <w:rFonts w:ascii="Times New Roman" w:hAnsi="Times New Roman" w:cs="Times New Roman"/>
          <w:color w:val="000000"/>
          <w:sz w:val="24"/>
          <w:szCs w:val="24"/>
          <w:shd w:val="clear" w:color="auto" w:fill="FFFFFF"/>
        </w:rPr>
        <w:t>rz</w:t>
      </w:r>
      <w:r w:rsidR="00D26FB5" w:rsidRPr="00D26FB5">
        <w:rPr>
          <w:rFonts w:ascii="Times New Roman" w:hAnsi="Times New Roman" w:cs="Times New Roman"/>
          <w:color w:val="000000"/>
          <w:sz w:val="24"/>
          <w:szCs w:val="24"/>
          <w:shd w:val="clear" w:color="auto" w:fill="FFFFFF"/>
        </w:rPr>
        <w:t>. L 337 z 23.12.2015, s</w:t>
      </w:r>
      <w:r w:rsidR="00D26FB5">
        <w:rPr>
          <w:rFonts w:ascii="Times New Roman" w:hAnsi="Times New Roman" w:cs="Times New Roman"/>
          <w:color w:val="000000"/>
          <w:sz w:val="24"/>
          <w:szCs w:val="24"/>
          <w:shd w:val="clear" w:color="auto" w:fill="FFFFFF"/>
        </w:rPr>
        <w:t>tr</w:t>
      </w:r>
      <w:r w:rsidR="00D26FB5" w:rsidRPr="00D26FB5">
        <w:rPr>
          <w:rFonts w:ascii="Times New Roman" w:hAnsi="Times New Roman" w:cs="Times New Roman"/>
          <w:color w:val="000000"/>
          <w:sz w:val="24"/>
          <w:szCs w:val="24"/>
          <w:shd w:val="clear" w:color="auto" w:fill="FFFFFF"/>
        </w:rPr>
        <w:t>. 35</w:t>
      </w:r>
      <w:r w:rsidR="00D26FB5">
        <w:rPr>
          <w:rFonts w:ascii="Times New Roman" w:hAnsi="Times New Roman" w:cs="Times New Roman"/>
          <w:color w:val="000000"/>
          <w:sz w:val="24"/>
          <w:szCs w:val="24"/>
          <w:shd w:val="clear" w:color="auto" w:fill="FFFFFF"/>
        </w:rPr>
        <w:t>, z późn. zm.</w:t>
      </w:r>
      <w:r w:rsidR="00D26FB5" w:rsidRPr="00D26FB5">
        <w:rPr>
          <w:rFonts w:ascii="Times New Roman" w:hAnsi="Times New Roman" w:cs="Times New Roman"/>
          <w:color w:val="000000"/>
          <w:sz w:val="24"/>
          <w:szCs w:val="24"/>
          <w:shd w:val="clear" w:color="auto" w:fill="FFFFFF"/>
        </w:rPr>
        <w:t>)</w:t>
      </w:r>
      <w:r w:rsidR="00D26FB5">
        <w:rPr>
          <w:rFonts w:ascii="Times New Roman" w:hAnsi="Times New Roman" w:cs="Times New Roman"/>
          <w:bCs/>
          <w:sz w:val="24"/>
          <w:szCs w:val="24"/>
        </w:rPr>
        <w:t>, dalej „</w:t>
      </w:r>
      <w:r w:rsidRPr="00D26FB5">
        <w:rPr>
          <w:rFonts w:ascii="Times New Roman" w:hAnsi="Times New Roman" w:cs="Times New Roman"/>
          <w:bCs/>
          <w:sz w:val="24"/>
          <w:szCs w:val="24"/>
        </w:rPr>
        <w:t>dyrektywa</w:t>
      </w:r>
      <w:r w:rsidRPr="00D36BE9">
        <w:rPr>
          <w:rFonts w:ascii="Times New Roman" w:hAnsi="Times New Roman" w:cs="Times New Roman"/>
          <w:bCs/>
          <w:sz w:val="24"/>
          <w:szCs w:val="24"/>
        </w:rPr>
        <w:t xml:space="preserve"> PSD2</w:t>
      </w:r>
      <w:r w:rsidR="00D26FB5">
        <w:rPr>
          <w:rFonts w:ascii="Times New Roman" w:hAnsi="Times New Roman" w:cs="Times New Roman"/>
          <w:bCs/>
          <w:sz w:val="24"/>
          <w:szCs w:val="24"/>
        </w:rPr>
        <w:t>”,</w:t>
      </w:r>
      <w:r w:rsidRPr="00D36BE9">
        <w:rPr>
          <w:rFonts w:ascii="Times New Roman" w:hAnsi="Times New Roman" w:cs="Times New Roman"/>
          <w:bCs/>
          <w:sz w:val="24"/>
          <w:szCs w:val="24"/>
        </w:rPr>
        <w:t xml:space="preserve"> fundusze (czyli przedmiot transakcji płatniczej) obejmują także pieniądz elektroniczny. Stąd wyłączenie z art. 6 pkt 9 ustawy o usługach płatniczych obejmuje także transakcje pieniądzem</w:t>
      </w:r>
      <w:r w:rsidR="00381596">
        <w:rPr>
          <w:rFonts w:ascii="Times New Roman" w:hAnsi="Times New Roman" w:cs="Times New Roman"/>
          <w:bCs/>
          <w:sz w:val="24"/>
          <w:szCs w:val="24"/>
        </w:rPr>
        <w:t xml:space="preserve"> elektronicznym. W konsekwencji</w:t>
      </w:r>
      <w:r w:rsidRPr="00D36BE9">
        <w:rPr>
          <w:rFonts w:ascii="Times New Roman" w:hAnsi="Times New Roman" w:cs="Times New Roman"/>
          <w:bCs/>
          <w:sz w:val="24"/>
          <w:szCs w:val="24"/>
        </w:rPr>
        <w:t xml:space="preserve"> podmioty, które zostały wymienione w art. 6 pkt 9 ustawy o usługach płatniczych, są zwolnione zarówno </w:t>
      </w:r>
      <w:r w:rsidR="00381596">
        <w:rPr>
          <w:rFonts w:ascii="Times New Roman" w:hAnsi="Times New Roman" w:cs="Times New Roman"/>
          <w:bCs/>
          <w:sz w:val="24"/>
          <w:szCs w:val="24"/>
        </w:rPr>
        <w:t xml:space="preserve">z </w:t>
      </w:r>
      <w:r w:rsidRPr="00D36BE9">
        <w:rPr>
          <w:rFonts w:ascii="Times New Roman" w:hAnsi="Times New Roman" w:cs="Times New Roman"/>
          <w:bCs/>
          <w:sz w:val="24"/>
          <w:szCs w:val="24"/>
        </w:rPr>
        <w:t>wymogu uzyskania zezwolenia na wydawanie i obsługę pieniądza elektronicznego</w:t>
      </w:r>
      <w:r w:rsidR="00381596">
        <w:rPr>
          <w:rFonts w:ascii="Times New Roman" w:hAnsi="Times New Roman" w:cs="Times New Roman"/>
          <w:bCs/>
          <w:sz w:val="24"/>
          <w:szCs w:val="24"/>
        </w:rPr>
        <w:t>,</w:t>
      </w:r>
      <w:r w:rsidRPr="00D36BE9">
        <w:rPr>
          <w:rFonts w:ascii="Times New Roman" w:hAnsi="Times New Roman" w:cs="Times New Roman"/>
          <w:bCs/>
          <w:sz w:val="24"/>
          <w:szCs w:val="24"/>
        </w:rPr>
        <w:t xml:space="preserve"> jak i z obowiązku stosowania </w:t>
      </w:r>
      <w:r w:rsidR="00381596">
        <w:rPr>
          <w:rFonts w:ascii="Times New Roman" w:hAnsi="Times New Roman" w:cs="Times New Roman"/>
          <w:bCs/>
          <w:sz w:val="24"/>
          <w:szCs w:val="24"/>
        </w:rPr>
        <w:t xml:space="preserve">do </w:t>
      </w:r>
      <w:r w:rsidRPr="00D36BE9">
        <w:rPr>
          <w:rFonts w:ascii="Times New Roman" w:hAnsi="Times New Roman" w:cs="Times New Roman"/>
          <w:bCs/>
          <w:sz w:val="24"/>
          <w:szCs w:val="24"/>
        </w:rPr>
        <w:t xml:space="preserve">transakcji przepisów o usługach płatniczych dotyczących wykonywania transakcji płatniczych. </w:t>
      </w:r>
    </w:p>
    <w:p w14:paraId="67632F59" w14:textId="713F29B6" w:rsidR="00B04781" w:rsidRDefault="00B04781" w:rsidP="00381596">
      <w:pPr>
        <w:shd w:val="clear" w:color="auto" w:fill="FFFFFF" w:themeFill="background1"/>
        <w:spacing w:after="120" w:line="360" w:lineRule="auto"/>
        <w:jc w:val="both"/>
        <w:rPr>
          <w:rFonts w:ascii="Times New Roman" w:hAnsi="Times New Roman" w:cs="Times New Roman"/>
          <w:bCs/>
          <w:sz w:val="24"/>
          <w:szCs w:val="24"/>
        </w:rPr>
      </w:pPr>
      <w:r w:rsidRPr="00D36BE9">
        <w:rPr>
          <w:rFonts w:ascii="Times New Roman" w:hAnsi="Times New Roman" w:cs="Times New Roman"/>
          <w:bCs/>
          <w:sz w:val="24"/>
          <w:szCs w:val="24"/>
        </w:rPr>
        <w:lastRenderedPageBreak/>
        <w:t>Z uwagi na ekonomikę postępowania administracyjnego przesądza się, że istnieje możliwość jednoczesnego procedowania wniosku o uzyskanie zezwolenia na prowadzenie rynku regulowanego oraz wniosku o prowadzenie ASO</w:t>
      </w:r>
      <w:r>
        <w:rPr>
          <w:rFonts w:ascii="Times New Roman" w:hAnsi="Times New Roman" w:cs="Times New Roman"/>
          <w:bCs/>
          <w:sz w:val="24"/>
          <w:szCs w:val="24"/>
        </w:rPr>
        <w:t xml:space="preserve"> opartym na</w:t>
      </w:r>
      <w:r w:rsidRPr="00D36BE9">
        <w:rPr>
          <w:rFonts w:ascii="Times New Roman" w:hAnsi="Times New Roman" w:cs="Times New Roman"/>
          <w:bCs/>
          <w:sz w:val="24"/>
          <w:szCs w:val="24"/>
        </w:rPr>
        <w:t xml:space="preserve"> DLT lub TSS </w:t>
      </w:r>
      <w:r>
        <w:rPr>
          <w:rFonts w:ascii="Times New Roman" w:hAnsi="Times New Roman" w:cs="Times New Roman"/>
          <w:bCs/>
          <w:sz w:val="24"/>
          <w:szCs w:val="24"/>
        </w:rPr>
        <w:t xml:space="preserve">opartym na </w:t>
      </w:r>
      <w:r w:rsidRPr="00D36BE9">
        <w:rPr>
          <w:rFonts w:ascii="Times New Roman" w:hAnsi="Times New Roman" w:cs="Times New Roman"/>
          <w:bCs/>
          <w:sz w:val="24"/>
          <w:szCs w:val="24"/>
        </w:rPr>
        <w:t>DLT.</w:t>
      </w:r>
    </w:p>
    <w:p w14:paraId="631C5CF2" w14:textId="497892B1" w:rsidR="00B04781" w:rsidRDefault="00B04781" w:rsidP="00381596">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Art. 131zf ma na celu wyposażenie KNF w środki kontrolne mające na celu zapewnienie przestrzegania przepisów regulujących obrót papierami wartościowymi DLT. Z uwagi na to, że będzie to system pilotażowy</w:t>
      </w:r>
      <w:r w:rsidR="00EF3EA2">
        <w:rPr>
          <w:rFonts w:ascii="Times New Roman" w:hAnsi="Times New Roman" w:cs="Times New Roman"/>
          <w:bCs/>
          <w:sz w:val="24"/>
          <w:szCs w:val="24"/>
        </w:rPr>
        <w:t xml:space="preserve">, </w:t>
      </w:r>
      <w:r>
        <w:rPr>
          <w:rFonts w:ascii="Times New Roman" w:hAnsi="Times New Roman" w:cs="Times New Roman"/>
          <w:bCs/>
          <w:sz w:val="24"/>
          <w:szCs w:val="24"/>
        </w:rPr>
        <w:t>wystarczającym środkiem będzie zalecenie</w:t>
      </w:r>
      <w:r w:rsidRPr="00A409A1">
        <w:rPr>
          <w:rFonts w:ascii="Times New Roman" w:hAnsi="Times New Roman" w:cs="Times New Roman"/>
          <w:bCs/>
          <w:sz w:val="24"/>
          <w:szCs w:val="24"/>
        </w:rPr>
        <w:t xml:space="preserve"> zaprzestani</w:t>
      </w:r>
      <w:r>
        <w:rPr>
          <w:rFonts w:ascii="Times New Roman" w:hAnsi="Times New Roman" w:cs="Times New Roman"/>
          <w:bCs/>
          <w:sz w:val="24"/>
          <w:szCs w:val="24"/>
        </w:rPr>
        <w:t>a</w:t>
      </w:r>
      <w:r w:rsidRPr="00A409A1">
        <w:rPr>
          <w:rFonts w:ascii="Times New Roman" w:hAnsi="Times New Roman" w:cs="Times New Roman"/>
          <w:bCs/>
          <w:sz w:val="24"/>
          <w:szCs w:val="24"/>
        </w:rPr>
        <w:t xml:space="preserve"> w wyznaczonym terminie działania naruszającego</w:t>
      </w:r>
      <w:r w:rsidR="00EF3EA2">
        <w:rPr>
          <w:rFonts w:ascii="Times New Roman" w:hAnsi="Times New Roman" w:cs="Times New Roman"/>
          <w:bCs/>
          <w:sz w:val="24"/>
          <w:szCs w:val="24"/>
        </w:rPr>
        <w:t xml:space="preserve"> te przepisy lub niepodejmowania</w:t>
      </w:r>
      <w:r w:rsidRPr="00A409A1">
        <w:rPr>
          <w:rFonts w:ascii="Times New Roman" w:hAnsi="Times New Roman" w:cs="Times New Roman"/>
          <w:bCs/>
          <w:sz w:val="24"/>
          <w:szCs w:val="24"/>
        </w:rPr>
        <w:t xml:space="preserve"> takiego działania w przyszłości</w:t>
      </w:r>
      <w:r>
        <w:rPr>
          <w:rFonts w:ascii="Times New Roman" w:hAnsi="Times New Roman" w:cs="Times New Roman"/>
          <w:bCs/>
          <w:sz w:val="24"/>
          <w:szCs w:val="24"/>
        </w:rPr>
        <w:t xml:space="preserve">. </w:t>
      </w:r>
    </w:p>
    <w:p w14:paraId="5226942B" w14:textId="7A2B9A01" w:rsidR="00B04781" w:rsidRDefault="00B04781" w:rsidP="00B04781">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Art. 131zg </w:t>
      </w:r>
      <w:r w:rsidRPr="00F06468">
        <w:rPr>
          <w:rFonts w:ascii="Times New Roman" w:hAnsi="Times New Roman" w:cs="Times New Roman"/>
          <w:bCs/>
          <w:sz w:val="24"/>
          <w:szCs w:val="24"/>
        </w:rPr>
        <w:t xml:space="preserve">dotyczy kwestii związanej ze strategią przejścia, o której mowa w art. 7 ust. 7 </w:t>
      </w:r>
      <w:r>
        <w:rPr>
          <w:rFonts w:ascii="Times New Roman" w:hAnsi="Times New Roman" w:cs="Times New Roman"/>
          <w:bCs/>
          <w:sz w:val="24"/>
          <w:szCs w:val="24"/>
        </w:rPr>
        <w:t>rozporządzenia DLT Pilot Regime</w:t>
      </w:r>
      <w:r w:rsidR="00EF3EA2">
        <w:rPr>
          <w:rFonts w:ascii="Times New Roman" w:hAnsi="Times New Roman" w:cs="Times New Roman"/>
          <w:bCs/>
          <w:sz w:val="24"/>
          <w:szCs w:val="24"/>
        </w:rPr>
        <w:t xml:space="preserve">, </w:t>
      </w:r>
      <w:r w:rsidRPr="00F06468">
        <w:rPr>
          <w:rFonts w:ascii="Times New Roman" w:hAnsi="Times New Roman" w:cs="Times New Roman"/>
          <w:bCs/>
          <w:sz w:val="24"/>
          <w:szCs w:val="24"/>
        </w:rPr>
        <w:t>i szczegółowo reguluje procedurę przeniesienia instrumentów finansowych z ASO</w:t>
      </w:r>
      <w:r>
        <w:rPr>
          <w:rFonts w:ascii="Times New Roman" w:hAnsi="Times New Roman" w:cs="Times New Roman"/>
          <w:bCs/>
          <w:sz w:val="24"/>
          <w:szCs w:val="24"/>
        </w:rPr>
        <w:t xml:space="preserve"> opartym na</w:t>
      </w:r>
      <w:r w:rsidRPr="00F06468">
        <w:rPr>
          <w:rFonts w:ascii="Times New Roman" w:hAnsi="Times New Roman" w:cs="Times New Roman"/>
          <w:bCs/>
          <w:sz w:val="24"/>
          <w:szCs w:val="24"/>
        </w:rPr>
        <w:t xml:space="preserve"> DLT do tradycyjnego ASO. </w:t>
      </w:r>
      <w:r>
        <w:rPr>
          <w:rFonts w:ascii="Times New Roman" w:hAnsi="Times New Roman" w:cs="Times New Roman"/>
          <w:bCs/>
          <w:sz w:val="24"/>
          <w:szCs w:val="24"/>
        </w:rPr>
        <w:t>W ust. 1 p</w:t>
      </w:r>
      <w:r w:rsidRPr="00F06468">
        <w:rPr>
          <w:rFonts w:ascii="Times New Roman" w:hAnsi="Times New Roman" w:cs="Times New Roman"/>
          <w:bCs/>
          <w:sz w:val="24"/>
          <w:szCs w:val="24"/>
        </w:rPr>
        <w:t xml:space="preserve">rzesądza się, że osobą uprawnioną do dokonywania wszelkich czynności w zakresie wniosku o wprowadzenie instrumentów finansowych do ASO jest operator ASO </w:t>
      </w:r>
      <w:r>
        <w:rPr>
          <w:rFonts w:ascii="Times New Roman" w:hAnsi="Times New Roman" w:cs="Times New Roman"/>
          <w:bCs/>
          <w:sz w:val="24"/>
          <w:szCs w:val="24"/>
        </w:rPr>
        <w:t xml:space="preserve">opartego na </w:t>
      </w:r>
      <w:r w:rsidRPr="00F06468">
        <w:rPr>
          <w:rFonts w:ascii="Times New Roman" w:hAnsi="Times New Roman" w:cs="Times New Roman"/>
          <w:bCs/>
          <w:sz w:val="24"/>
          <w:szCs w:val="24"/>
        </w:rPr>
        <w:t xml:space="preserve">DLT lub TSS </w:t>
      </w:r>
      <w:r>
        <w:rPr>
          <w:rFonts w:ascii="Times New Roman" w:hAnsi="Times New Roman" w:cs="Times New Roman"/>
          <w:bCs/>
          <w:sz w:val="24"/>
          <w:szCs w:val="24"/>
        </w:rPr>
        <w:t xml:space="preserve">opartego na </w:t>
      </w:r>
      <w:r w:rsidRPr="00F06468">
        <w:rPr>
          <w:rFonts w:ascii="Times New Roman" w:hAnsi="Times New Roman" w:cs="Times New Roman"/>
          <w:bCs/>
          <w:sz w:val="24"/>
          <w:szCs w:val="24"/>
        </w:rPr>
        <w:t xml:space="preserve">DLT działający w imieniu emitenta. </w:t>
      </w:r>
      <w:r w:rsidR="00EF3EA2">
        <w:rPr>
          <w:rFonts w:ascii="Times New Roman" w:hAnsi="Times New Roman" w:cs="Times New Roman"/>
          <w:bCs/>
          <w:sz w:val="24"/>
          <w:szCs w:val="24"/>
        </w:rPr>
        <w:t>W u</w:t>
      </w:r>
      <w:r>
        <w:rPr>
          <w:rFonts w:ascii="Times New Roman" w:hAnsi="Times New Roman" w:cs="Times New Roman"/>
          <w:bCs/>
          <w:sz w:val="24"/>
          <w:szCs w:val="24"/>
        </w:rPr>
        <w:t>st. 2 przewid</w:t>
      </w:r>
      <w:r w:rsidR="00EF3EA2">
        <w:rPr>
          <w:rFonts w:ascii="Times New Roman" w:hAnsi="Times New Roman" w:cs="Times New Roman"/>
          <w:bCs/>
          <w:sz w:val="24"/>
          <w:szCs w:val="24"/>
        </w:rPr>
        <w:t>ziano</w:t>
      </w:r>
      <w:r>
        <w:rPr>
          <w:rFonts w:ascii="Times New Roman" w:hAnsi="Times New Roman" w:cs="Times New Roman"/>
          <w:bCs/>
          <w:sz w:val="24"/>
          <w:szCs w:val="24"/>
        </w:rPr>
        <w:t xml:space="preserve"> zabezpieczenie w postaci możliwości zawarcia umowy na prowadzenie rejestru akcjonariuszy </w:t>
      </w:r>
      <w:r w:rsidR="00EF3EA2">
        <w:rPr>
          <w:rFonts w:ascii="Times New Roman" w:hAnsi="Times New Roman" w:cs="Times New Roman"/>
          <w:bCs/>
          <w:sz w:val="24"/>
          <w:szCs w:val="24"/>
        </w:rPr>
        <w:t xml:space="preserve">na wypadek </w:t>
      </w:r>
      <w:r>
        <w:rPr>
          <w:rFonts w:ascii="Times New Roman" w:hAnsi="Times New Roman" w:cs="Times New Roman"/>
          <w:bCs/>
          <w:sz w:val="24"/>
          <w:szCs w:val="24"/>
        </w:rPr>
        <w:t xml:space="preserve">gdyby Krajowy Depozyt odmówił zawarcia takiej umowy. </w:t>
      </w:r>
      <w:r w:rsidR="00EF3EA2">
        <w:rPr>
          <w:rFonts w:ascii="Times New Roman" w:hAnsi="Times New Roman" w:cs="Times New Roman"/>
          <w:bCs/>
          <w:sz w:val="24"/>
          <w:szCs w:val="24"/>
        </w:rPr>
        <w:t>W u</w:t>
      </w:r>
      <w:r>
        <w:rPr>
          <w:rFonts w:ascii="Times New Roman" w:hAnsi="Times New Roman" w:cs="Times New Roman"/>
          <w:bCs/>
          <w:sz w:val="24"/>
          <w:szCs w:val="24"/>
        </w:rPr>
        <w:t>st. 3 natomiast</w:t>
      </w:r>
      <w:r w:rsidRPr="00A53CCC">
        <w:rPr>
          <w:rFonts w:ascii="Times New Roman" w:hAnsi="Times New Roman" w:cs="Times New Roman"/>
          <w:bCs/>
          <w:sz w:val="24"/>
          <w:szCs w:val="24"/>
        </w:rPr>
        <w:t xml:space="preserve"> wskaz</w:t>
      </w:r>
      <w:r w:rsidR="00EF3EA2">
        <w:rPr>
          <w:rFonts w:ascii="Times New Roman" w:hAnsi="Times New Roman" w:cs="Times New Roman"/>
          <w:bCs/>
          <w:sz w:val="24"/>
          <w:szCs w:val="24"/>
        </w:rPr>
        <w:t xml:space="preserve">ano </w:t>
      </w:r>
      <w:r w:rsidRPr="00A53CCC">
        <w:rPr>
          <w:rFonts w:ascii="Times New Roman" w:hAnsi="Times New Roman" w:cs="Times New Roman"/>
          <w:bCs/>
          <w:sz w:val="24"/>
          <w:szCs w:val="24"/>
        </w:rPr>
        <w:t>na u</w:t>
      </w:r>
      <w:r>
        <w:rPr>
          <w:rFonts w:ascii="Times New Roman" w:hAnsi="Times New Roman" w:cs="Times New Roman"/>
          <w:bCs/>
          <w:sz w:val="24"/>
          <w:szCs w:val="24"/>
        </w:rPr>
        <w:t xml:space="preserve">prawnienie operatora DLT do </w:t>
      </w:r>
      <w:r w:rsidRPr="00A53CCC">
        <w:rPr>
          <w:rFonts w:ascii="Times New Roman" w:hAnsi="Times New Roman" w:cs="Times New Roman"/>
          <w:bCs/>
          <w:sz w:val="24"/>
          <w:szCs w:val="24"/>
        </w:rPr>
        <w:t xml:space="preserve">zawarcia w imieniu emitenta umowy </w:t>
      </w:r>
      <w:r>
        <w:rPr>
          <w:rFonts w:ascii="Times New Roman" w:hAnsi="Times New Roman" w:cs="Times New Roman"/>
          <w:bCs/>
          <w:sz w:val="24"/>
          <w:szCs w:val="24"/>
        </w:rPr>
        <w:t>agenta emisji</w:t>
      </w:r>
      <w:r w:rsidRPr="00A53CCC">
        <w:rPr>
          <w:rFonts w:ascii="Times New Roman" w:hAnsi="Times New Roman" w:cs="Times New Roman"/>
          <w:bCs/>
          <w:sz w:val="24"/>
          <w:szCs w:val="24"/>
        </w:rPr>
        <w:t xml:space="preserve">. </w:t>
      </w:r>
      <w:r>
        <w:rPr>
          <w:rFonts w:ascii="Times New Roman" w:hAnsi="Times New Roman" w:cs="Times New Roman"/>
          <w:bCs/>
          <w:sz w:val="24"/>
          <w:szCs w:val="24"/>
        </w:rPr>
        <w:t>Doprecyzowanie w tym zakresie jest uzasadnione z uwagi na ważną systemową rolę</w:t>
      </w:r>
      <w:r w:rsidR="00EF3EA2">
        <w:rPr>
          <w:rFonts w:ascii="Times New Roman" w:hAnsi="Times New Roman" w:cs="Times New Roman"/>
          <w:bCs/>
          <w:sz w:val="24"/>
          <w:szCs w:val="24"/>
        </w:rPr>
        <w:t>,</w:t>
      </w:r>
      <w:r>
        <w:rPr>
          <w:rFonts w:ascii="Times New Roman" w:hAnsi="Times New Roman" w:cs="Times New Roman"/>
          <w:bCs/>
          <w:sz w:val="24"/>
          <w:szCs w:val="24"/>
        </w:rPr>
        <w:t xml:space="preserve"> jaką pełni agent emisji. Jednocześnie, z uwagi na kwestie techniczne</w:t>
      </w:r>
      <w:r w:rsidR="00EF3EA2">
        <w:rPr>
          <w:rFonts w:ascii="Times New Roman" w:hAnsi="Times New Roman" w:cs="Times New Roman"/>
          <w:bCs/>
          <w:sz w:val="24"/>
          <w:szCs w:val="24"/>
        </w:rPr>
        <w:t>,</w:t>
      </w:r>
      <w:r>
        <w:rPr>
          <w:rFonts w:ascii="Times New Roman" w:hAnsi="Times New Roman" w:cs="Times New Roman"/>
          <w:bCs/>
          <w:sz w:val="24"/>
          <w:szCs w:val="24"/>
        </w:rPr>
        <w:t xml:space="preserve"> konieczne jest wyłączenie obowiązku zawarcia takiej umowy przez </w:t>
      </w:r>
      <w:r>
        <w:rPr>
          <w:rFonts w:ascii="Times New Roman" w:hAnsi="Times New Roman" w:cs="Times New Roman"/>
          <w:bCs/>
          <w:sz w:val="24"/>
          <w:szCs w:val="24"/>
        </w:rPr>
        <w:lastRenderedPageBreak/>
        <w:t>rozporządzeniem proponowania nabycia papierów wartościowych (art. 7a ust. 2 ustawy o obrocie).</w:t>
      </w:r>
    </w:p>
    <w:p w14:paraId="248F6D86" w14:textId="49F85622" w:rsidR="00B04781" w:rsidRDefault="00EF3EA2" w:rsidP="00EF3EA2">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Przepis a</w:t>
      </w:r>
      <w:r w:rsidR="00B04781">
        <w:rPr>
          <w:rFonts w:ascii="Times New Roman" w:hAnsi="Times New Roman" w:cs="Times New Roman"/>
          <w:bCs/>
          <w:sz w:val="24"/>
          <w:szCs w:val="24"/>
        </w:rPr>
        <w:t>rt. 131zh</w:t>
      </w:r>
      <w:r w:rsidR="00B04781" w:rsidRPr="00F93DB8">
        <w:t xml:space="preserve"> </w:t>
      </w:r>
      <w:r w:rsidR="00B04781">
        <w:rPr>
          <w:rFonts w:ascii="Times New Roman" w:hAnsi="Times New Roman" w:cs="Times New Roman"/>
          <w:bCs/>
          <w:sz w:val="24"/>
          <w:szCs w:val="24"/>
        </w:rPr>
        <w:t>określa zasady postępowania w przypadku</w:t>
      </w:r>
      <w:r>
        <w:rPr>
          <w:rFonts w:ascii="Times New Roman" w:hAnsi="Times New Roman" w:cs="Times New Roman"/>
          <w:bCs/>
          <w:sz w:val="24"/>
          <w:szCs w:val="24"/>
        </w:rPr>
        <w:t xml:space="preserve"> gdy </w:t>
      </w:r>
      <w:r w:rsidR="00B04781">
        <w:rPr>
          <w:rFonts w:ascii="Times New Roman" w:hAnsi="Times New Roman" w:cs="Times New Roman"/>
          <w:bCs/>
          <w:sz w:val="24"/>
          <w:szCs w:val="24"/>
        </w:rPr>
        <w:t xml:space="preserve">skutkiem podjętych </w:t>
      </w:r>
      <w:r w:rsidR="00B04781" w:rsidRPr="00F93DB8">
        <w:rPr>
          <w:rFonts w:ascii="Times New Roman" w:hAnsi="Times New Roman" w:cs="Times New Roman"/>
          <w:bCs/>
          <w:sz w:val="24"/>
          <w:szCs w:val="24"/>
        </w:rPr>
        <w:t>działań powinno być dopuszczenie do obrotu na tradycyjnym ASO</w:t>
      </w:r>
      <w:r>
        <w:rPr>
          <w:rFonts w:ascii="Times New Roman" w:hAnsi="Times New Roman" w:cs="Times New Roman"/>
          <w:bCs/>
          <w:sz w:val="24"/>
          <w:szCs w:val="24"/>
        </w:rPr>
        <w:t>.</w:t>
      </w:r>
      <w:r w:rsidR="00B04781">
        <w:rPr>
          <w:rFonts w:ascii="Times New Roman" w:hAnsi="Times New Roman" w:cs="Times New Roman"/>
          <w:bCs/>
          <w:sz w:val="24"/>
          <w:szCs w:val="24"/>
        </w:rPr>
        <w:t xml:space="preserve"> Doprecyzowana została w nim procedura takiego przeniesienia. U</w:t>
      </w:r>
      <w:r w:rsidR="00B04781" w:rsidRPr="00F93DB8">
        <w:rPr>
          <w:rFonts w:ascii="Times New Roman" w:hAnsi="Times New Roman" w:cs="Times New Roman"/>
          <w:bCs/>
          <w:sz w:val="24"/>
          <w:szCs w:val="24"/>
        </w:rPr>
        <w:t>prawnienie</w:t>
      </w:r>
      <w:r w:rsidR="00B04781">
        <w:rPr>
          <w:rFonts w:ascii="Times New Roman" w:hAnsi="Times New Roman" w:cs="Times New Roman"/>
          <w:bCs/>
          <w:sz w:val="24"/>
          <w:szCs w:val="24"/>
        </w:rPr>
        <w:t>, zgodnie z ust. 1</w:t>
      </w:r>
      <w:r>
        <w:rPr>
          <w:rFonts w:ascii="Times New Roman" w:hAnsi="Times New Roman" w:cs="Times New Roman"/>
          <w:bCs/>
          <w:sz w:val="24"/>
          <w:szCs w:val="24"/>
        </w:rPr>
        <w:t>,</w:t>
      </w:r>
      <w:r w:rsidR="007C389F">
        <w:rPr>
          <w:rFonts w:ascii="Times New Roman" w:hAnsi="Times New Roman" w:cs="Times New Roman"/>
          <w:bCs/>
          <w:sz w:val="24"/>
          <w:szCs w:val="24"/>
        </w:rPr>
        <w:t xml:space="preserve"> </w:t>
      </w:r>
      <w:r w:rsidR="00B04781">
        <w:rPr>
          <w:rFonts w:ascii="Times New Roman" w:hAnsi="Times New Roman" w:cs="Times New Roman"/>
          <w:bCs/>
          <w:sz w:val="24"/>
          <w:szCs w:val="24"/>
        </w:rPr>
        <w:t>przyznane zostało podmiotowi prowadzącemu</w:t>
      </w:r>
      <w:r w:rsidR="00B04781" w:rsidRPr="00F93DB8">
        <w:rPr>
          <w:rFonts w:ascii="Times New Roman" w:hAnsi="Times New Roman" w:cs="Times New Roman"/>
          <w:bCs/>
          <w:sz w:val="24"/>
          <w:szCs w:val="24"/>
        </w:rPr>
        <w:t xml:space="preserve"> ASO opartego o DLT</w:t>
      </w:r>
      <w:r w:rsidR="00B04781">
        <w:rPr>
          <w:rFonts w:ascii="Times New Roman" w:hAnsi="Times New Roman" w:cs="Times New Roman"/>
          <w:bCs/>
          <w:sz w:val="24"/>
          <w:szCs w:val="24"/>
        </w:rPr>
        <w:t>. Może on złożyć w imieniu emitenta wnios</w:t>
      </w:r>
      <w:r>
        <w:rPr>
          <w:rFonts w:ascii="Times New Roman" w:hAnsi="Times New Roman" w:cs="Times New Roman"/>
          <w:bCs/>
          <w:sz w:val="24"/>
          <w:szCs w:val="24"/>
        </w:rPr>
        <w:t>e</w:t>
      </w:r>
      <w:r w:rsidR="00B04781">
        <w:rPr>
          <w:rFonts w:ascii="Times New Roman" w:hAnsi="Times New Roman" w:cs="Times New Roman"/>
          <w:bCs/>
          <w:sz w:val="24"/>
          <w:szCs w:val="24"/>
        </w:rPr>
        <w:t xml:space="preserve">k o </w:t>
      </w:r>
      <w:r w:rsidR="00B04781" w:rsidRPr="00F93DB8">
        <w:rPr>
          <w:rFonts w:ascii="Times New Roman" w:hAnsi="Times New Roman" w:cs="Times New Roman"/>
          <w:bCs/>
          <w:sz w:val="24"/>
          <w:szCs w:val="24"/>
        </w:rPr>
        <w:t xml:space="preserve">wprowadzenie instrumentów do ASO wskazanego w strategii przejścia. W ust. 2, z </w:t>
      </w:r>
      <w:r w:rsidR="00B04781">
        <w:rPr>
          <w:rFonts w:ascii="Times New Roman" w:hAnsi="Times New Roman" w:cs="Times New Roman"/>
          <w:bCs/>
          <w:sz w:val="24"/>
          <w:szCs w:val="24"/>
        </w:rPr>
        <w:t xml:space="preserve">powyższego </w:t>
      </w:r>
      <w:r w:rsidR="00B04781" w:rsidRPr="00F93DB8">
        <w:rPr>
          <w:rFonts w:ascii="Times New Roman" w:hAnsi="Times New Roman" w:cs="Times New Roman"/>
          <w:bCs/>
          <w:sz w:val="24"/>
          <w:szCs w:val="24"/>
        </w:rPr>
        <w:t>uprawnienia do złożenia wniosku</w:t>
      </w:r>
      <w:r>
        <w:rPr>
          <w:rFonts w:ascii="Times New Roman" w:hAnsi="Times New Roman" w:cs="Times New Roman"/>
          <w:bCs/>
          <w:sz w:val="24"/>
          <w:szCs w:val="24"/>
        </w:rPr>
        <w:t>,</w:t>
      </w:r>
      <w:r w:rsidR="00B04781" w:rsidRPr="00F93DB8">
        <w:rPr>
          <w:rFonts w:ascii="Times New Roman" w:hAnsi="Times New Roman" w:cs="Times New Roman"/>
          <w:bCs/>
          <w:sz w:val="24"/>
          <w:szCs w:val="24"/>
        </w:rPr>
        <w:t xml:space="preserve"> </w:t>
      </w:r>
      <w:r w:rsidR="003B5EF3">
        <w:rPr>
          <w:rFonts w:ascii="Times New Roman" w:hAnsi="Times New Roman" w:cs="Times New Roman"/>
          <w:bCs/>
          <w:sz w:val="24"/>
          <w:szCs w:val="24"/>
        </w:rPr>
        <w:t xml:space="preserve">wynika </w:t>
      </w:r>
      <w:r w:rsidR="00B04781" w:rsidRPr="00F93DB8">
        <w:rPr>
          <w:rFonts w:ascii="Times New Roman" w:hAnsi="Times New Roman" w:cs="Times New Roman"/>
          <w:bCs/>
          <w:sz w:val="24"/>
          <w:szCs w:val="24"/>
        </w:rPr>
        <w:t>s</w:t>
      </w:r>
      <w:r w:rsidR="00B04781">
        <w:rPr>
          <w:rFonts w:ascii="Times New Roman" w:hAnsi="Times New Roman" w:cs="Times New Roman"/>
          <w:bCs/>
          <w:sz w:val="24"/>
          <w:szCs w:val="24"/>
        </w:rPr>
        <w:t xml:space="preserve">kutek w postaci dopuszczenia </w:t>
      </w:r>
      <w:r>
        <w:rPr>
          <w:rFonts w:ascii="Times New Roman" w:hAnsi="Times New Roman" w:cs="Times New Roman"/>
          <w:bCs/>
          <w:sz w:val="24"/>
          <w:szCs w:val="24"/>
        </w:rPr>
        <w:t xml:space="preserve">do obrotu </w:t>
      </w:r>
      <w:r w:rsidR="00B04781">
        <w:rPr>
          <w:rFonts w:ascii="Times New Roman" w:hAnsi="Times New Roman" w:cs="Times New Roman"/>
          <w:bCs/>
          <w:sz w:val="24"/>
          <w:szCs w:val="24"/>
        </w:rPr>
        <w:t>na tradycyjnym ASO</w:t>
      </w:r>
      <w:r w:rsidR="00B04781" w:rsidRPr="00F93DB8">
        <w:rPr>
          <w:rFonts w:ascii="Times New Roman" w:hAnsi="Times New Roman" w:cs="Times New Roman"/>
          <w:bCs/>
          <w:sz w:val="24"/>
          <w:szCs w:val="24"/>
        </w:rPr>
        <w:t>.</w:t>
      </w:r>
      <w:r w:rsidR="00B04781">
        <w:rPr>
          <w:rFonts w:ascii="Times New Roman" w:hAnsi="Times New Roman" w:cs="Times New Roman"/>
          <w:bCs/>
          <w:sz w:val="24"/>
          <w:szCs w:val="24"/>
        </w:rPr>
        <w:t xml:space="preserve"> </w:t>
      </w:r>
      <w:r w:rsidR="00B04781" w:rsidRPr="00F93DB8">
        <w:rPr>
          <w:rFonts w:ascii="Times New Roman" w:hAnsi="Times New Roman" w:cs="Times New Roman"/>
          <w:bCs/>
          <w:sz w:val="24"/>
          <w:szCs w:val="24"/>
        </w:rPr>
        <w:t>Operatorowi ASO, na któr</w:t>
      </w:r>
      <w:r>
        <w:rPr>
          <w:rFonts w:ascii="Times New Roman" w:hAnsi="Times New Roman" w:cs="Times New Roman"/>
          <w:bCs/>
          <w:sz w:val="24"/>
          <w:szCs w:val="24"/>
        </w:rPr>
        <w:t>y</w:t>
      </w:r>
      <w:r w:rsidR="00B04781" w:rsidRPr="00F93DB8">
        <w:rPr>
          <w:rFonts w:ascii="Times New Roman" w:hAnsi="Times New Roman" w:cs="Times New Roman"/>
          <w:bCs/>
          <w:sz w:val="24"/>
          <w:szCs w:val="24"/>
        </w:rPr>
        <w:t xml:space="preserve"> mają być wprowadzone instrumenty finansowe</w:t>
      </w:r>
      <w:r>
        <w:rPr>
          <w:rFonts w:ascii="Times New Roman" w:hAnsi="Times New Roman" w:cs="Times New Roman"/>
          <w:bCs/>
          <w:sz w:val="24"/>
          <w:szCs w:val="24"/>
        </w:rPr>
        <w:t>,</w:t>
      </w:r>
      <w:r w:rsidR="00B04781" w:rsidRPr="00F93DB8">
        <w:rPr>
          <w:rFonts w:ascii="Times New Roman" w:hAnsi="Times New Roman" w:cs="Times New Roman"/>
          <w:bCs/>
          <w:sz w:val="24"/>
          <w:szCs w:val="24"/>
        </w:rPr>
        <w:t xml:space="preserve"> umożliwia się w szczególnych przypadkach </w:t>
      </w:r>
      <w:r>
        <w:rPr>
          <w:rFonts w:ascii="Times New Roman" w:hAnsi="Times New Roman" w:cs="Times New Roman"/>
          <w:bCs/>
          <w:sz w:val="24"/>
          <w:szCs w:val="24"/>
        </w:rPr>
        <w:t xml:space="preserve">złożenie </w:t>
      </w:r>
      <w:r w:rsidR="00B04781" w:rsidRPr="00F93DB8">
        <w:rPr>
          <w:rFonts w:ascii="Times New Roman" w:hAnsi="Times New Roman" w:cs="Times New Roman"/>
          <w:bCs/>
          <w:sz w:val="24"/>
          <w:szCs w:val="24"/>
        </w:rPr>
        <w:t>sprzeciw</w:t>
      </w:r>
      <w:r>
        <w:rPr>
          <w:rFonts w:ascii="Times New Roman" w:hAnsi="Times New Roman" w:cs="Times New Roman"/>
          <w:bCs/>
          <w:sz w:val="24"/>
          <w:szCs w:val="24"/>
        </w:rPr>
        <w:t xml:space="preserve">u w tym zakresie, </w:t>
      </w:r>
      <w:r w:rsidR="00B04781">
        <w:rPr>
          <w:rFonts w:ascii="Times New Roman" w:hAnsi="Times New Roman" w:cs="Times New Roman"/>
          <w:bCs/>
          <w:sz w:val="24"/>
          <w:szCs w:val="24"/>
        </w:rPr>
        <w:t>z uwagi na bezpieczeństwo i stabilność prowadzonego obrotu.</w:t>
      </w:r>
    </w:p>
    <w:p w14:paraId="40904AD4" w14:textId="2E7A8AEF" w:rsidR="00B04781" w:rsidRPr="00EF3EA2" w:rsidRDefault="00EF3EA2" w:rsidP="00EF3EA2">
      <w:pPr>
        <w:tabs>
          <w:tab w:val="left" w:pos="1486"/>
          <w:tab w:val="left" w:pos="2267"/>
        </w:tabs>
        <w:spacing w:after="120" w:line="360" w:lineRule="auto"/>
        <w:jc w:val="both"/>
        <w:rPr>
          <w:rFonts w:ascii="Times New Roman" w:hAnsi="Times New Roman" w:cs="Times New Roman"/>
          <w:sz w:val="24"/>
          <w:szCs w:val="24"/>
        </w:rPr>
      </w:pPr>
      <w:r>
        <w:rPr>
          <w:rFonts w:ascii="Times New Roman" w:hAnsi="Times New Roman" w:cs="Times New Roman"/>
          <w:bCs/>
          <w:iCs/>
          <w:sz w:val="24"/>
          <w:szCs w:val="24"/>
        </w:rPr>
        <w:t>Z</w:t>
      </w:r>
      <w:r w:rsidR="00B04781">
        <w:rPr>
          <w:rFonts w:ascii="Times New Roman" w:hAnsi="Times New Roman" w:cs="Times New Roman"/>
          <w:bCs/>
          <w:iCs/>
          <w:sz w:val="24"/>
          <w:szCs w:val="24"/>
        </w:rPr>
        <w:t xml:space="preserve">miana art. 132 ust. 1 lit. ca i pkt 3 jest zmianą wynikową i jest związana z opisaną wyżej jednolitą licencją bankową włączającą w ten zakres również banki państwowe </w:t>
      </w:r>
      <w:r>
        <w:rPr>
          <w:rFonts w:ascii="Times New Roman" w:hAnsi="Times New Roman" w:cs="Times New Roman"/>
          <w:bCs/>
          <w:iCs/>
          <w:sz w:val="24"/>
          <w:szCs w:val="24"/>
        </w:rPr>
        <w:t>oraz</w:t>
      </w:r>
      <w:r w:rsidR="007C389F">
        <w:rPr>
          <w:rFonts w:ascii="Times New Roman" w:hAnsi="Times New Roman" w:cs="Times New Roman"/>
          <w:bCs/>
          <w:iCs/>
          <w:sz w:val="24"/>
          <w:szCs w:val="24"/>
        </w:rPr>
        <w:t xml:space="preserve"> </w:t>
      </w:r>
      <w:r w:rsidR="00B04781">
        <w:rPr>
          <w:rFonts w:ascii="Times New Roman" w:hAnsi="Times New Roman" w:cs="Times New Roman"/>
          <w:bCs/>
          <w:iCs/>
          <w:sz w:val="24"/>
          <w:szCs w:val="24"/>
        </w:rPr>
        <w:t>koniecznością zachowania spójności w tym zakresie.</w:t>
      </w:r>
    </w:p>
    <w:p w14:paraId="446EE401" w14:textId="009F6A4A" w:rsidR="000014D0" w:rsidRDefault="00CA6002" w:rsidP="00EF3EA2">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W</w:t>
      </w:r>
      <w:r w:rsidRPr="00CA6002">
        <w:rPr>
          <w:rFonts w:ascii="Times New Roman" w:hAnsi="Times New Roman" w:cs="Times New Roman"/>
          <w:bCs/>
          <w:sz w:val="24"/>
          <w:szCs w:val="24"/>
        </w:rPr>
        <w:t>yłączenie z systemu rekompensat instrumentów finansowych zapisanych w rejestrach i ewidencjach prowadzonych na podstawie ustawy o obrocie instrumentami finansowymi, KSH oraz ustawy o obligacjach, wynika z faktu, że rejestry te oraz ewidencje prowadzone są poza działalnością maklerską. Z kolei rachunki DLT oraz ewidencja DLT mają charakter pilota</w:t>
      </w:r>
      <w:r w:rsidRPr="00CA6002">
        <w:rPr>
          <w:rFonts w:ascii="Times New Roman" w:hAnsi="Times New Roman" w:cs="Times New Roman"/>
          <w:bCs/>
          <w:sz w:val="24"/>
          <w:szCs w:val="24"/>
        </w:rPr>
        <w:lastRenderedPageBreak/>
        <w:t>żowy, z tego też względu decyzja dotycząca objęcia systemem rekompensat instrumentów finansowych zapisanych na tych rachunkach oraz ewidencjach powinna zapaść wraz z ostatecznym wprowadzeniem tych sposobów rejestracji instrumentów finansowych do systemu prawa UE.</w:t>
      </w:r>
      <w:r>
        <w:rPr>
          <w:rFonts w:ascii="Times New Roman" w:hAnsi="Times New Roman" w:cs="Times New Roman"/>
          <w:bCs/>
          <w:sz w:val="24"/>
          <w:szCs w:val="24"/>
        </w:rPr>
        <w:t xml:space="preserve"> </w:t>
      </w:r>
      <w:r w:rsidR="000014D0" w:rsidRPr="006B2CD4">
        <w:rPr>
          <w:rFonts w:ascii="Times New Roman" w:hAnsi="Times New Roman" w:cs="Times New Roman"/>
          <w:bCs/>
          <w:sz w:val="24"/>
          <w:szCs w:val="24"/>
        </w:rPr>
        <w:t>W</w:t>
      </w:r>
      <w:r>
        <w:rPr>
          <w:rFonts w:ascii="Times New Roman" w:hAnsi="Times New Roman" w:cs="Times New Roman"/>
          <w:bCs/>
          <w:sz w:val="24"/>
          <w:szCs w:val="24"/>
        </w:rPr>
        <w:t xml:space="preserve"> związku z powyższym, w</w:t>
      </w:r>
      <w:r w:rsidR="000014D0" w:rsidRPr="006B2CD4">
        <w:rPr>
          <w:rFonts w:ascii="Times New Roman" w:hAnsi="Times New Roman" w:cs="Times New Roman"/>
          <w:bCs/>
          <w:sz w:val="24"/>
          <w:szCs w:val="24"/>
        </w:rPr>
        <w:t xml:space="preserve"> </w:t>
      </w:r>
      <w:r w:rsidR="000014D0">
        <w:rPr>
          <w:rFonts w:ascii="Times New Roman" w:hAnsi="Times New Roman" w:cs="Times New Roman"/>
          <w:bCs/>
          <w:sz w:val="24"/>
          <w:szCs w:val="24"/>
        </w:rPr>
        <w:t xml:space="preserve">proponowanym </w:t>
      </w:r>
      <w:r w:rsidR="000014D0" w:rsidRPr="006B2CD4">
        <w:rPr>
          <w:rFonts w:ascii="Times New Roman" w:hAnsi="Times New Roman" w:cs="Times New Roman"/>
          <w:bCs/>
          <w:sz w:val="24"/>
          <w:szCs w:val="24"/>
        </w:rPr>
        <w:t xml:space="preserve">art. 133 ust. 4 </w:t>
      </w:r>
      <w:r w:rsidR="000014D0">
        <w:rPr>
          <w:rFonts w:ascii="Times New Roman" w:hAnsi="Times New Roman" w:cs="Times New Roman"/>
          <w:bCs/>
          <w:sz w:val="24"/>
          <w:szCs w:val="24"/>
        </w:rPr>
        <w:t>dotyczącym wyłączenia z wypłat z systemu rekompensat</w:t>
      </w:r>
      <w:r w:rsidR="003B5EF3">
        <w:rPr>
          <w:rFonts w:ascii="Times New Roman" w:hAnsi="Times New Roman" w:cs="Times New Roman"/>
          <w:bCs/>
          <w:sz w:val="24"/>
          <w:szCs w:val="24"/>
        </w:rPr>
        <w:t>,</w:t>
      </w:r>
      <w:r w:rsidR="000014D0">
        <w:rPr>
          <w:rFonts w:ascii="Times New Roman" w:hAnsi="Times New Roman" w:cs="Times New Roman"/>
          <w:bCs/>
          <w:sz w:val="24"/>
          <w:szCs w:val="24"/>
        </w:rPr>
        <w:t xml:space="preserve"> </w:t>
      </w:r>
      <w:r w:rsidR="000014D0" w:rsidRPr="006B2CD4">
        <w:rPr>
          <w:rFonts w:ascii="Times New Roman" w:hAnsi="Times New Roman" w:cs="Times New Roman"/>
          <w:bCs/>
          <w:sz w:val="24"/>
          <w:szCs w:val="24"/>
        </w:rPr>
        <w:t xml:space="preserve">powinny zostać uwzględnione również dodatkowe kategorie instrumentów finansowych w postaci akcji spółki akcyjnej w rejestrze akcjonariuszy, </w:t>
      </w:r>
      <w:r w:rsidR="002A706E">
        <w:rPr>
          <w:rFonts w:ascii="Times New Roman" w:hAnsi="Times New Roman" w:cs="Times New Roman"/>
          <w:bCs/>
          <w:sz w:val="24"/>
          <w:szCs w:val="24"/>
        </w:rPr>
        <w:t xml:space="preserve">a także </w:t>
      </w:r>
      <w:r w:rsidR="000014D0" w:rsidRPr="006B2CD4">
        <w:rPr>
          <w:rFonts w:ascii="Times New Roman" w:hAnsi="Times New Roman" w:cs="Times New Roman"/>
          <w:bCs/>
          <w:sz w:val="24"/>
          <w:szCs w:val="24"/>
        </w:rPr>
        <w:t xml:space="preserve">obligacji zapisanych w ewidencji prowadzonej art. 8 ust. 1 ustawy o obligacjach w brzmieniu </w:t>
      </w:r>
      <w:r w:rsidR="002A706E">
        <w:rPr>
          <w:rFonts w:ascii="Times New Roman" w:hAnsi="Times New Roman" w:cs="Times New Roman"/>
          <w:bCs/>
          <w:sz w:val="24"/>
          <w:szCs w:val="24"/>
        </w:rPr>
        <w:t xml:space="preserve">obowiązującym w dniu 30 czerwca </w:t>
      </w:r>
      <w:r w:rsidR="000014D0" w:rsidRPr="006B2CD4">
        <w:rPr>
          <w:rFonts w:ascii="Times New Roman" w:hAnsi="Times New Roman" w:cs="Times New Roman"/>
          <w:bCs/>
          <w:sz w:val="24"/>
          <w:szCs w:val="24"/>
        </w:rPr>
        <w:t>2019 r., oraz środki pieniężne związane z instrumentami finansowymi zapisanymi we wskazanych wyżej rejestrach i ewidencjach.</w:t>
      </w:r>
    </w:p>
    <w:p w14:paraId="75002DCB" w14:textId="1E3A2930" w:rsidR="00B802A9" w:rsidRPr="0068653D" w:rsidRDefault="00B802A9" w:rsidP="000014D0">
      <w:pPr>
        <w:shd w:val="clear" w:color="auto" w:fill="FFFFFF" w:themeFill="background1"/>
        <w:spacing w:line="360" w:lineRule="auto"/>
        <w:jc w:val="both"/>
        <w:rPr>
          <w:rFonts w:ascii="Times New Roman" w:hAnsi="Times New Roman"/>
          <w:sz w:val="24"/>
          <w:szCs w:val="24"/>
        </w:rPr>
      </w:pPr>
      <w:r w:rsidRPr="00B25BED">
        <w:rPr>
          <w:rFonts w:ascii="Times New Roman" w:hAnsi="Times New Roman"/>
          <w:sz w:val="24"/>
          <w:szCs w:val="24"/>
        </w:rPr>
        <w:t>Przepis</w:t>
      </w:r>
      <w:r w:rsidR="00106F9E">
        <w:rPr>
          <w:rFonts w:ascii="Times New Roman" w:hAnsi="Times New Roman"/>
          <w:sz w:val="24"/>
          <w:szCs w:val="24"/>
        </w:rPr>
        <w:t>y</w:t>
      </w:r>
      <w:r w:rsidRPr="00B25BED">
        <w:rPr>
          <w:rFonts w:ascii="Times New Roman" w:hAnsi="Times New Roman"/>
          <w:sz w:val="24"/>
          <w:szCs w:val="24"/>
        </w:rPr>
        <w:t xml:space="preserve"> art. 135</w:t>
      </w:r>
      <w:r w:rsidR="00106F9E">
        <w:rPr>
          <w:rFonts w:ascii="Times New Roman" w:hAnsi="Times New Roman"/>
          <w:sz w:val="24"/>
          <w:szCs w:val="24"/>
        </w:rPr>
        <w:t xml:space="preserve"> i </w:t>
      </w:r>
      <w:r w:rsidR="003B5EF3">
        <w:rPr>
          <w:rFonts w:ascii="Times New Roman" w:hAnsi="Times New Roman"/>
          <w:sz w:val="24"/>
          <w:szCs w:val="24"/>
        </w:rPr>
        <w:t xml:space="preserve">art. </w:t>
      </w:r>
      <w:r w:rsidR="00106F9E">
        <w:rPr>
          <w:rFonts w:ascii="Times New Roman" w:hAnsi="Times New Roman"/>
          <w:sz w:val="24"/>
          <w:szCs w:val="24"/>
        </w:rPr>
        <w:t>35a</w:t>
      </w:r>
      <w:r w:rsidRPr="00B25BED">
        <w:rPr>
          <w:rFonts w:ascii="Times New Roman" w:hAnsi="Times New Roman"/>
          <w:sz w:val="24"/>
          <w:szCs w:val="24"/>
        </w:rPr>
        <w:t xml:space="preserve"> wylicza przypadki, w których </w:t>
      </w:r>
      <w:r w:rsidR="0068653D">
        <w:rPr>
          <w:rFonts w:ascii="Times New Roman" w:hAnsi="Times New Roman"/>
          <w:sz w:val="24"/>
          <w:szCs w:val="24"/>
        </w:rPr>
        <w:t>d</w:t>
      </w:r>
      <w:r w:rsidRPr="00B25BED">
        <w:rPr>
          <w:rFonts w:ascii="Times New Roman" w:hAnsi="Times New Roman"/>
          <w:sz w:val="24"/>
          <w:szCs w:val="24"/>
        </w:rPr>
        <w:t xml:space="preserve">om </w:t>
      </w:r>
      <w:r w:rsidR="0068653D">
        <w:rPr>
          <w:rFonts w:ascii="Times New Roman" w:hAnsi="Times New Roman"/>
          <w:sz w:val="24"/>
          <w:szCs w:val="24"/>
        </w:rPr>
        <w:t>m</w:t>
      </w:r>
      <w:r w:rsidRPr="00B25BED">
        <w:rPr>
          <w:rFonts w:ascii="Times New Roman" w:hAnsi="Times New Roman"/>
          <w:sz w:val="24"/>
          <w:szCs w:val="24"/>
        </w:rPr>
        <w:t xml:space="preserve">aklerski jest zwolniony z uczestnictwa w systemie rekompensat </w:t>
      </w:r>
      <w:r w:rsidR="0068653D">
        <w:rPr>
          <w:rFonts w:ascii="Times New Roman" w:hAnsi="Times New Roman"/>
          <w:sz w:val="24"/>
          <w:szCs w:val="24"/>
        </w:rPr>
        <w:t>–</w:t>
      </w:r>
      <w:r w:rsidRPr="00B25BED">
        <w:rPr>
          <w:rFonts w:ascii="Times New Roman" w:hAnsi="Times New Roman"/>
          <w:sz w:val="24"/>
          <w:szCs w:val="24"/>
        </w:rPr>
        <w:t xml:space="preserve"> jednak w odniesieniu do wygaśnięcia zezwolenia uwzględnia jedynie przypadek określony w art. 89 ust. 1. </w:t>
      </w:r>
      <w:r w:rsidR="0068653D">
        <w:rPr>
          <w:rFonts w:ascii="Times New Roman" w:hAnsi="Times New Roman"/>
          <w:sz w:val="24"/>
          <w:szCs w:val="24"/>
        </w:rPr>
        <w:t>Ze</w:t>
      </w:r>
      <w:r w:rsidRPr="00B25BED">
        <w:rPr>
          <w:rFonts w:ascii="Times New Roman" w:hAnsi="Times New Roman"/>
          <w:sz w:val="24"/>
          <w:szCs w:val="24"/>
        </w:rPr>
        <w:t>zwolenie na prowadzenie działalności maklerskiej może wygasnąć także w innych przypadkach (np. gdy podmiot zaprzestał wykonywania czynności objętych zezwoleniem, podmiot przestał spełniać warunki niezbędne do prowadzenia działalności</w:t>
      </w:r>
      <w:r w:rsidR="007C389F">
        <w:rPr>
          <w:rFonts w:ascii="Times New Roman" w:hAnsi="Times New Roman"/>
          <w:sz w:val="24"/>
          <w:szCs w:val="24"/>
        </w:rPr>
        <w:t xml:space="preserve"> </w:t>
      </w:r>
      <w:r w:rsidRPr="00B25BED">
        <w:rPr>
          <w:rFonts w:ascii="Times New Roman" w:hAnsi="Times New Roman"/>
          <w:sz w:val="24"/>
          <w:szCs w:val="24"/>
        </w:rPr>
        <w:t xml:space="preserve">oraz brak jest woli po stronie podmiotu dalszego prowadzenia działalności), </w:t>
      </w:r>
      <w:r w:rsidR="0068653D">
        <w:rPr>
          <w:rFonts w:ascii="Times New Roman" w:hAnsi="Times New Roman"/>
          <w:sz w:val="24"/>
          <w:szCs w:val="24"/>
        </w:rPr>
        <w:t xml:space="preserve">dlatego </w:t>
      </w:r>
      <w:r w:rsidRPr="00B25BED">
        <w:rPr>
          <w:rFonts w:ascii="Times New Roman" w:hAnsi="Times New Roman"/>
          <w:sz w:val="24"/>
          <w:szCs w:val="24"/>
        </w:rPr>
        <w:t>uzasadnione jest uwzględnienie zwolnienia z ucze</w:t>
      </w:r>
      <w:r w:rsidR="003B5EF3">
        <w:rPr>
          <w:rFonts w:ascii="Times New Roman" w:hAnsi="Times New Roman"/>
          <w:sz w:val="24"/>
          <w:szCs w:val="24"/>
        </w:rPr>
        <w:t>stnictwa w systemie rekompensat</w:t>
      </w:r>
      <w:r w:rsidRPr="00B25BED">
        <w:rPr>
          <w:rFonts w:ascii="Times New Roman" w:hAnsi="Times New Roman"/>
          <w:sz w:val="24"/>
          <w:szCs w:val="24"/>
        </w:rPr>
        <w:t xml:space="preserve"> także w przypadku stwierdzenia wygaśnięcia zezwolenia w innych przypadkach niż określony w art. 89 ust. 1 ustawy o obrocie.</w:t>
      </w:r>
      <w:r w:rsidR="00D17388">
        <w:rPr>
          <w:rFonts w:ascii="Times New Roman" w:hAnsi="Times New Roman"/>
          <w:sz w:val="24"/>
          <w:szCs w:val="24"/>
        </w:rPr>
        <w:t xml:space="preserve"> </w:t>
      </w:r>
    </w:p>
    <w:p w14:paraId="19294C02" w14:textId="0936DD3E" w:rsidR="0068653D" w:rsidRDefault="00B802A9" w:rsidP="0068653D">
      <w:pPr>
        <w:shd w:val="clear" w:color="auto" w:fill="FFFFFF" w:themeFill="background1"/>
        <w:spacing w:after="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 xml:space="preserve">Zmiany w art. 148 ust. 1 pkt 2 lit. </w:t>
      </w:r>
      <w:r>
        <w:rPr>
          <w:rFonts w:ascii="Times New Roman" w:hAnsi="Times New Roman" w:cs="Times New Roman"/>
          <w:bCs/>
          <w:iCs/>
          <w:sz w:val="24"/>
          <w:szCs w:val="24"/>
        </w:rPr>
        <w:t>m</w:t>
      </w:r>
      <w:r w:rsidRPr="006B2CD4">
        <w:rPr>
          <w:rFonts w:ascii="Times New Roman" w:hAnsi="Times New Roman" w:cs="Times New Roman"/>
          <w:b/>
          <w:bCs/>
          <w:iCs/>
          <w:sz w:val="24"/>
          <w:szCs w:val="24"/>
        </w:rPr>
        <w:t xml:space="preserve"> </w:t>
      </w:r>
      <w:r w:rsidRPr="006B2CD4">
        <w:rPr>
          <w:rFonts w:ascii="Times New Roman" w:hAnsi="Times New Roman" w:cs="Times New Roman"/>
          <w:bCs/>
          <w:iCs/>
          <w:sz w:val="24"/>
          <w:szCs w:val="24"/>
        </w:rPr>
        <w:t xml:space="preserve">zmierzają do usunięcia ewentualnych wątpliwości co do obowiązku stosowania przez banki, o których mowa w art. 70 ust. 2, w zakresie działalności </w:t>
      </w:r>
      <w:r w:rsidRPr="006B2CD4">
        <w:rPr>
          <w:rFonts w:ascii="Times New Roman" w:hAnsi="Times New Roman" w:cs="Times New Roman"/>
          <w:bCs/>
          <w:iCs/>
          <w:sz w:val="24"/>
          <w:szCs w:val="24"/>
        </w:rPr>
        <w:lastRenderedPageBreak/>
        <w:t xml:space="preserve">wykonywanej na podstawie ustawy o obrocie, przepisów o tajemnicy zawodowej określonej w przepisach tej ustawy. </w:t>
      </w:r>
    </w:p>
    <w:p w14:paraId="5B2442B6" w14:textId="5064C955" w:rsidR="00B802A9" w:rsidRDefault="0068653D" w:rsidP="0068653D">
      <w:pPr>
        <w:shd w:val="clear" w:color="auto" w:fill="FFFFFF" w:themeFill="background1"/>
        <w:spacing w:after="120" w:line="360" w:lineRule="auto"/>
        <w:jc w:val="both"/>
        <w:rPr>
          <w:rFonts w:ascii="Times New Roman" w:hAnsi="Times New Roman" w:cs="Times New Roman"/>
          <w:bCs/>
          <w:iCs/>
          <w:sz w:val="24"/>
          <w:szCs w:val="24"/>
        </w:rPr>
      </w:pPr>
      <w:r>
        <w:rPr>
          <w:rFonts w:ascii="Times New Roman" w:hAnsi="Times New Roman" w:cs="Times New Roman"/>
          <w:bCs/>
          <w:iCs/>
          <w:sz w:val="24"/>
          <w:szCs w:val="24"/>
        </w:rPr>
        <w:t>D</w:t>
      </w:r>
      <w:r w:rsidR="00B802A9">
        <w:rPr>
          <w:rFonts w:ascii="Times New Roman" w:hAnsi="Times New Roman" w:cs="Times New Roman"/>
          <w:bCs/>
          <w:iCs/>
          <w:sz w:val="24"/>
          <w:szCs w:val="24"/>
        </w:rPr>
        <w:t xml:space="preserve">odanie </w:t>
      </w:r>
      <w:r w:rsidRPr="006B2CD4">
        <w:rPr>
          <w:rFonts w:ascii="Times New Roman" w:hAnsi="Times New Roman" w:cs="Times New Roman"/>
          <w:bCs/>
          <w:iCs/>
          <w:sz w:val="24"/>
          <w:szCs w:val="24"/>
        </w:rPr>
        <w:t xml:space="preserve">ust. 1 pkt 2 </w:t>
      </w:r>
      <w:r w:rsidR="00B802A9">
        <w:rPr>
          <w:rFonts w:ascii="Times New Roman" w:hAnsi="Times New Roman" w:cs="Times New Roman"/>
          <w:bCs/>
          <w:iCs/>
          <w:sz w:val="24"/>
          <w:szCs w:val="24"/>
        </w:rPr>
        <w:t>lit. n związane jest z uwzględnieniem przepisów dotyczących jednolitej licencji bankowej dla banków państwowych.</w:t>
      </w:r>
    </w:p>
    <w:p w14:paraId="0FB19D68" w14:textId="2D21D3EB" w:rsidR="000014D0" w:rsidRPr="006B2CD4" w:rsidRDefault="000014D0" w:rsidP="0068653D">
      <w:pPr>
        <w:shd w:val="clear" w:color="auto" w:fill="FFFFFF" w:themeFill="background1"/>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Proponowane zmiany w art. 149 </w:t>
      </w:r>
      <w:r>
        <w:rPr>
          <w:rFonts w:ascii="Times New Roman" w:hAnsi="Times New Roman" w:cs="Times New Roman"/>
          <w:sz w:val="24"/>
          <w:szCs w:val="24"/>
        </w:rPr>
        <w:t xml:space="preserve">ust. 1 pkt 8d i ust. 2 </w:t>
      </w:r>
      <w:r w:rsidRPr="006B2CD4">
        <w:rPr>
          <w:rFonts w:ascii="Times New Roman" w:hAnsi="Times New Roman" w:cs="Times New Roman"/>
          <w:sz w:val="24"/>
          <w:szCs w:val="24"/>
        </w:rPr>
        <w:t>mają na celu ujednolicenie regulacji dotyczących uprawnień poszczególnych służb do uzyskiwania informacji zawierających tajemnice prawnie chronione. Ponadto dodano regulacje o obowiązku zachowania w tajemnicy informacji o przekazaniu danych uprawnionym służbom</w:t>
      </w:r>
      <w:r w:rsidR="00106F9E">
        <w:rPr>
          <w:rFonts w:ascii="Times New Roman" w:hAnsi="Times New Roman" w:cs="Times New Roman"/>
          <w:sz w:val="24"/>
          <w:szCs w:val="24"/>
        </w:rPr>
        <w:t xml:space="preserve"> określonym w dodawanym ust. 2</w:t>
      </w:r>
      <w:r w:rsidRPr="006B2CD4">
        <w:rPr>
          <w:rFonts w:ascii="Times New Roman" w:hAnsi="Times New Roman" w:cs="Times New Roman"/>
          <w:sz w:val="24"/>
          <w:szCs w:val="24"/>
        </w:rPr>
        <w:t xml:space="preserve">. </w:t>
      </w:r>
    </w:p>
    <w:p w14:paraId="2BF05029" w14:textId="14363A70" w:rsidR="000014D0" w:rsidRPr="0068653D" w:rsidRDefault="00B802A9" w:rsidP="0068653D">
      <w:pPr>
        <w:shd w:val="clear" w:color="auto" w:fill="FFFFFF" w:themeFill="background1"/>
        <w:spacing w:after="0" w:line="360" w:lineRule="auto"/>
        <w:jc w:val="both"/>
        <w:rPr>
          <w:rFonts w:ascii="Times New Roman" w:hAnsi="Times New Roman" w:cs="Times New Roman"/>
          <w:sz w:val="24"/>
          <w:szCs w:val="24"/>
        </w:rPr>
      </w:pPr>
      <w:r w:rsidRPr="0055238C">
        <w:rPr>
          <w:rFonts w:ascii="Times New Roman" w:hAnsi="Times New Roman" w:cs="Times New Roman"/>
          <w:sz w:val="24"/>
        </w:rPr>
        <w:t xml:space="preserve">Zmiana w art. 150 ust. 1 pkt 7 ma na celu umożliwienie Bankowemu Funduszowi Gwarancyjnemu </w:t>
      </w:r>
      <w:r w:rsidRPr="0068653D">
        <w:rPr>
          <w:rFonts w:ascii="Times New Roman" w:hAnsi="Times New Roman" w:cs="Times New Roman"/>
          <w:sz w:val="24"/>
        </w:rPr>
        <w:t xml:space="preserve">wykonywanie </w:t>
      </w:r>
      <w:r w:rsidRPr="0068653D">
        <w:rPr>
          <w:rFonts w:ascii="Times New Roman" w:hAnsi="Times New Roman" w:cs="Times New Roman"/>
          <w:sz w:val="24"/>
          <w:szCs w:val="24"/>
        </w:rPr>
        <w:t>jego ustawowych zadań</w:t>
      </w:r>
      <w:r w:rsidR="0068653D" w:rsidRPr="0068653D">
        <w:rPr>
          <w:rFonts w:ascii="Times New Roman" w:hAnsi="Times New Roman" w:cs="Times New Roman"/>
          <w:sz w:val="24"/>
          <w:szCs w:val="24"/>
        </w:rPr>
        <w:t>,</w:t>
      </w:r>
      <w:r w:rsidRPr="0068653D">
        <w:rPr>
          <w:rFonts w:ascii="Times New Roman" w:hAnsi="Times New Roman" w:cs="Times New Roman"/>
          <w:sz w:val="24"/>
          <w:szCs w:val="24"/>
        </w:rPr>
        <w:t xml:space="preserve"> w szczególności w zakresie przymusowej restrukturyzacji</w:t>
      </w:r>
      <w:r w:rsidR="0068653D" w:rsidRPr="0068653D">
        <w:rPr>
          <w:rFonts w:ascii="Times New Roman" w:hAnsi="Times New Roman" w:cs="Times New Roman"/>
          <w:sz w:val="24"/>
          <w:szCs w:val="24"/>
        </w:rPr>
        <w:t xml:space="preserve">, </w:t>
      </w:r>
      <w:r w:rsidR="0068653D">
        <w:rPr>
          <w:rFonts w:ascii="Times New Roman" w:hAnsi="Times New Roman" w:cs="Times New Roman"/>
          <w:sz w:val="24"/>
          <w:szCs w:val="24"/>
        </w:rPr>
        <w:t xml:space="preserve">przez uzyskanie dostępu do </w:t>
      </w:r>
      <w:r w:rsidR="0068653D" w:rsidRPr="0068653D">
        <w:rPr>
          <w:rFonts w:ascii="Times New Roman" w:hAnsi="Times New Roman" w:cs="Times New Roman"/>
          <w:color w:val="333333"/>
          <w:sz w:val="24"/>
          <w:szCs w:val="24"/>
          <w:shd w:val="clear" w:color="auto" w:fill="FFFFFF"/>
        </w:rPr>
        <w:t>informacji stanowiących tajemnicę</w:t>
      </w:r>
      <w:r w:rsidR="0068653D">
        <w:rPr>
          <w:rFonts w:ascii="Times New Roman" w:hAnsi="Times New Roman" w:cs="Times New Roman"/>
          <w:color w:val="333333"/>
          <w:sz w:val="24"/>
          <w:szCs w:val="24"/>
          <w:shd w:val="clear" w:color="auto" w:fill="FFFFFF"/>
        </w:rPr>
        <w:t xml:space="preserve"> z</w:t>
      </w:r>
      <w:r w:rsidR="0068653D" w:rsidRPr="0068653D">
        <w:rPr>
          <w:rFonts w:ascii="Times New Roman" w:hAnsi="Times New Roman" w:cs="Times New Roman"/>
          <w:color w:val="333333"/>
          <w:sz w:val="24"/>
          <w:szCs w:val="24"/>
          <w:shd w:val="clear" w:color="auto" w:fill="FFFFFF"/>
        </w:rPr>
        <w:t>awodow</w:t>
      </w:r>
      <w:r w:rsidR="0068653D">
        <w:rPr>
          <w:rFonts w:ascii="Times New Roman" w:hAnsi="Times New Roman" w:cs="Times New Roman"/>
          <w:color w:val="333333"/>
          <w:sz w:val="24"/>
          <w:szCs w:val="24"/>
          <w:shd w:val="clear" w:color="auto" w:fill="FFFFFF"/>
        </w:rPr>
        <w:t>ą</w:t>
      </w:r>
      <w:r w:rsidR="0068653D">
        <w:rPr>
          <w:rFonts w:ascii="Times New Roman" w:hAnsi="Times New Roman" w:cs="Times New Roman"/>
          <w:sz w:val="24"/>
          <w:szCs w:val="24"/>
        </w:rPr>
        <w:t>.</w:t>
      </w:r>
    </w:p>
    <w:p w14:paraId="615A3864" w14:textId="7F6C92F5" w:rsidR="0068653D" w:rsidRPr="006B2CD4" w:rsidRDefault="0068653D" w:rsidP="0068653D">
      <w:pPr>
        <w:shd w:val="clear" w:color="auto" w:fill="FFFFFF" w:themeFill="background1"/>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Zmiany w ust. 1 pkt 8, pkt 12 lit. a i b </w:t>
      </w:r>
      <w:r>
        <w:rPr>
          <w:rFonts w:ascii="Times New Roman" w:hAnsi="Times New Roman" w:cs="Times New Roman"/>
          <w:bCs/>
          <w:sz w:val="24"/>
          <w:szCs w:val="24"/>
        </w:rPr>
        <w:t xml:space="preserve">oraz </w:t>
      </w:r>
      <w:r w:rsidRPr="006B2CD4">
        <w:rPr>
          <w:rFonts w:ascii="Times New Roman" w:hAnsi="Times New Roman" w:cs="Times New Roman"/>
          <w:bCs/>
          <w:sz w:val="24"/>
          <w:szCs w:val="24"/>
        </w:rPr>
        <w:t>pkt 17 usuną wątpliwości co do obowiązku stosowania przez banki, o których mowa w art. 70 ust. 2, dotyczących tajemnicy zawodowej</w:t>
      </w:r>
      <w:r w:rsidR="00106F9E">
        <w:rPr>
          <w:rFonts w:ascii="Times New Roman" w:hAnsi="Times New Roman" w:cs="Times New Roman"/>
          <w:bCs/>
          <w:sz w:val="24"/>
          <w:szCs w:val="24"/>
        </w:rPr>
        <w:t xml:space="preserve"> związanej z prowadzonym obrotem instrumentami finansowymi</w:t>
      </w:r>
      <w:r w:rsidRPr="006B2CD4">
        <w:rPr>
          <w:rFonts w:ascii="Times New Roman" w:hAnsi="Times New Roman" w:cs="Times New Roman"/>
          <w:bCs/>
          <w:sz w:val="24"/>
          <w:szCs w:val="24"/>
        </w:rPr>
        <w:t>.</w:t>
      </w:r>
    </w:p>
    <w:p w14:paraId="2A1D900B" w14:textId="44D0C645" w:rsidR="0068653D" w:rsidRPr="006B2CD4" w:rsidRDefault="0068653D" w:rsidP="0068653D">
      <w:pPr>
        <w:shd w:val="clear" w:color="auto" w:fill="FFFFFF" w:themeFill="background1"/>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Dodanie pkt 22, 22a i 24 związane jest</w:t>
      </w:r>
      <w:r w:rsidR="00106F9E">
        <w:rPr>
          <w:rFonts w:ascii="Times New Roman" w:hAnsi="Times New Roman" w:cs="Times New Roman"/>
          <w:bCs/>
          <w:sz w:val="24"/>
          <w:szCs w:val="24"/>
        </w:rPr>
        <w:t xml:space="preserve"> z kolei</w:t>
      </w:r>
      <w:r>
        <w:rPr>
          <w:rFonts w:ascii="Times New Roman" w:hAnsi="Times New Roman" w:cs="Times New Roman"/>
          <w:bCs/>
          <w:sz w:val="24"/>
          <w:szCs w:val="24"/>
        </w:rPr>
        <w:t xml:space="preserve"> z rozszerzeniem jednolitej licencji bankowej na banki państwowe</w:t>
      </w:r>
      <w:r w:rsidR="00106F9E">
        <w:rPr>
          <w:rFonts w:ascii="Times New Roman" w:hAnsi="Times New Roman" w:cs="Times New Roman"/>
          <w:bCs/>
          <w:sz w:val="24"/>
          <w:szCs w:val="24"/>
        </w:rPr>
        <w:t xml:space="preserve"> i koniecznością zachowania spójności w tym zakresie</w:t>
      </w:r>
      <w:r>
        <w:rPr>
          <w:rFonts w:ascii="Times New Roman" w:hAnsi="Times New Roman" w:cs="Times New Roman"/>
          <w:bCs/>
          <w:sz w:val="24"/>
          <w:szCs w:val="24"/>
        </w:rPr>
        <w:t>.</w:t>
      </w:r>
    </w:p>
    <w:p w14:paraId="5BCA47C1" w14:textId="242A0777" w:rsidR="000014D0" w:rsidRDefault="000014D0" w:rsidP="0068653D">
      <w:pPr>
        <w:shd w:val="clear" w:color="auto" w:fill="FFFFFF" w:themeFill="background1"/>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Dodanie </w:t>
      </w:r>
      <w:r>
        <w:rPr>
          <w:rFonts w:ascii="Times New Roman" w:hAnsi="Times New Roman" w:cs="Times New Roman"/>
          <w:bCs/>
          <w:sz w:val="24"/>
          <w:szCs w:val="24"/>
        </w:rPr>
        <w:t xml:space="preserve">ust. 1 </w:t>
      </w:r>
      <w:r w:rsidRPr="006B2CD4">
        <w:rPr>
          <w:rFonts w:ascii="Times New Roman" w:hAnsi="Times New Roman" w:cs="Times New Roman"/>
          <w:bCs/>
          <w:sz w:val="24"/>
          <w:szCs w:val="24"/>
        </w:rPr>
        <w:t xml:space="preserve">pkt 25 </w:t>
      </w:r>
      <w:r>
        <w:rPr>
          <w:rFonts w:ascii="Times New Roman" w:hAnsi="Times New Roman" w:cs="Times New Roman"/>
          <w:bCs/>
          <w:sz w:val="24"/>
          <w:szCs w:val="24"/>
        </w:rPr>
        <w:t xml:space="preserve">ma na celu </w:t>
      </w:r>
      <w:r w:rsidRPr="006B2CD4">
        <w:rPr>
          <w:rFonts w:ascii="Times New Roman" w:hAnsi="Times New Roman" w:cs="Times New Roman"/>
          <w:bCs/>
          <w:sz w:val="24"/>
          <w:szCs w:val="24"/>
        </w:rPr>
        <w:t>uwzględnieni</w:t>
      </w:r>
      <w:r>
        <w:rPr>
          <w:rFonts w:ascii="Times New Roman" w:hAnsi="Times New Roman" w:cs="Times New Roman"/>
          <w:bCs/>
          <w:sz w:val="24"/>
          <w:szCs w:val="24"/>
        </w:rPr>
        <w:t>e</w:t>
      </w:r>
      <w:r w:rsidRPr="006B2CD4">
        <w:rPr>
          <w:rFonts w:ascii="Times New Roman" w:hAnsi="Times New Roman" w:cs="Times New Roman"/>
          <w:bCs/>
          <w:sz w:val="24"/>
          <w:szCs w:val="24"/>
        </w:rPr>
        <w:t xml:space="preserve"> w katalogu przypadków dopuszczalnego przekazywania informacji stanowiących tajemnicę zawodową </w:t>
      </w:r>
      <w:r>
        <w:rPr>
          <w:rFonts w:ascii="Times New Roman" w:hAnsi="Times New Roman" w:cs="Times New Roman"/>
          <w:bCs/>
          <w:sz w:val="24"/>
          <w:szCs w:val="24"/>
        </w:rPr>
        <w:t xml:space="preserve">także </w:t>
      </w:r>
      <w:r w:rsidRPr="006B2CD4">
        <w:rPr>
          <w:rFonts w:ascii="Times New Roman" w:hAnsi="Times New Roman" w:cs="Times New Roman"/>
          <w:bCs/>
          <w:sz w:val="24"/>
          <w:szCs w:val="24"/>
        </w:rPr>
        <w:t>przekazywani</w:t>
      </w:r>
      <w:r>
        <w:rPr>
          <w:rFonts w:ascii="Times New Roman" w:hAnsi="Times New Roman" w:cs="Times New Roman"/>
          <w:bCs/>
          <w:sz w:val="24"/>
          <w:szCs w:val="24"/>
        </w:rPr>
        <w:t>a</w:t>
      </w:r>
      <w:r w:rsidRPr="006B2CD4">
        <w:rPr>
          <w:rFonts w:ascii="Times New Roman" w:hAnsi="Times New Roman" w:cs="Times New Roman"/>
          <w:bCs/>
          <w:sz w:val="24"/>
          <w:szCs w:val="24"/>
        </w:rPr>
        <w:t xml:space="preserve"> informacji podmiotowi objętemu systemem gwarantowania depozytów</w:t>
      </w:r>
      <w:r w:rsidR="00106F9E">
        <w:rPr>
          <w:rFonts w:ascii="Times New Roman" w:hAnsi="Times New Roman" w:cs="Times New Roman"/>
          <w:bCs/>
          <w:sz w:val="24"/>
          <w:szCs w:val="24"/>
        </w:rPr>
        <w:t xml:space="preserve">, czyli </w:t>
      </w:r>
      <w:r w:rsidR="002A269C">
        <w:rPr>
          <w:rFonts w:ascii="Times New Roman" w:hAnsi="Times New Roman" w:cs="Times New Roman"/>
          <w:bCs/>
          <w:sz w:val="24"/>
          <w:szCs w:val="24"/>
        </w:rPr>
        <w:t>BFG</w:t>
      </w:r>
      <w:r w:rsidRPr="006B2CD4">
        <w:rPr>
          <w:rFonts w:ascii="Times New Roman" w:hAnsi="Times New Roman" w:cs="Times New Roman"/>
          <w:bCs/>
          <w:sz w:val="24"/>
          <w:szCs w:val="24"/>
        </w:rPr>
        <w:t xml:space="preserve">, co budzi wątpliwości w obecnym stanie prawnym. Z uwagi na brak takiego wyłączenia, w obecnym stanie prawnym </w:t>
      </w:r>
      <w:r w:rsidRPr="006B2CD4">
        <w:rPr>
          <w:rFonts w:ascii="Times New Roman" w:hAnsi="Times New Roman" w:cs="Times New Roman"/>
          <w:bCs/>
          <w:sz w:val="24"/>
          <w:szCs w:val="24"/>
        </w:rPr>
        <w:lastRenderedPageBreak/>
        <w:t xml:space="preserve">brak jasnej, niebudzącej wątpliwości podstawy przekazywania informacji stanowiących tajemnicę zawodową podmiotowi objętemu systemem gwarantowania depozytów przez firmę inwestycyjną. Informacje takie są przekazywane, jak wskazuje praktyka obrotu, na podstawie art. 150 ust. 1 </w:t>
      </w:r>
      <w:r>
        <w:rPr>
          <w:rFonts w:ascii="Times New Roman" w:hAnsi="Times New Roman" w:cs="Times New Roman"/>
          <w:bCs/>
          <w:sz w:val="24"/>
          <w:szCs w:val="24"/>
        </w:rPr>
        <w:t>pkt 17</w:t>
      </w:r>
      <w:r w:rsidRPr="006B2CD4">
        <w:rPr>
          <w:rFonts w:ascii="Times New Roman" w:hAnsi="Times New Roman" w:cs="Times New Roman"/>
          <w:bCs/>
          <w:sz w:val="24"/>
          <w:szCs w:val="24"/>
        </w:rPr>
        <w:t>, zgodnie z którym nie narusza obowiązku zachowania tajemnicy zawodowej przekazywanie informacji stanowiących taką tajemnicę przez firmę inwestycyjną w związku z zawarciem lub wykonywaniem umowy związanej z prowadzeniem działalności maklerskiej</w:t>
      </w:r>
      <w:r>
        <w:rPr>
          <w:rFonts w:ascii="Times New Roman" w:hAnsi="Times New Roman" w:cs="Times New Roman"/>
          <w:bCs/>
          <w:sz w:val="24"/>
          <w:szCs w:val="24"/>
        </w:rPr>
        <w:t>,</w:t>
      </w:r>
      <w:r w:rsidRPr="006B2CD4">
        <w:rPr>
          <w:rFonts w:ascii="Times New Roman" w:hAnsi="Times New Roman" w:cs="Times New Roman"/>
          <w:bCs/>
          <w:sz w:val="24"/>
          <w:szCs w:val="24"/>
        </w:rPr>
        <w:t xml:space="preserve"> o ile przekazanie tych informacji jest niezbędne dla zawarcia lub wykonania umowy. Wskazując </w:t>
      </w:r>
      <w:r w:rsidRPr="00F576CB">
        <w:rPr>
          <w:rFonts w:ascii="Times New Roman" w:hAnsi="Times New Roman" w:cs="Times New Roman"/>
          <w:bCs/>
          <w:i/>
          <w:sz w:val="24"/>
          <w:szCs w:val="24"/>
        </w:rPr>
        <w:t>expressis verbis</w:t>
      </w:r>
      <w:r w:rsidRPr="006B2CD4">
        <w:rPr>
          <w:rFonts w:ascii="Times New Roman" w:hAnsi="Times New Roman" w:cs="Times New Roman"/>
          <w:bCs/>
          <w:sz w:val="24"/>
          <w:szCs w:val="24"/>
        </w:rPr>
        <w:t xml:space="preserve"> przypadek przekazywania informacji podmiotowi objętemu systemem gwarantowania, zmiana usunie pojawiające się wątpliwości interpretacyjne w tym zakresie. </w:t>
      </w:r>
    </w:p>
    <w:p w14:paraId="7A2FA135" w14:textId="3871FE1E" w:rsidR="000014D0" w:rsidRPr="006B2CD4" w:rsidRDefault="000014D0" w:rsidP="000014D0">
      <w:pPr>
        <w:shd w:val="clear" w:color="auto" w:fill="FFFFFF" w:themeFill="background1"/>
        <w:spacing w:after="120" w:line="360" w:lineRule="auto"/>
        <w:jc w:val="both"/>
        <w:rPr>
          <w:rFonts w:ascii="Times New Roman" w:hAnsi="Times New Roman" w:cs="Times New Roman"/>
          <w:bCs/>
          <w:iCs/>
          <w:sz w:val="24"/>
          <w:szCs w:val="24"/>
        </w:rPr>
      </w:pPr>
      <w:r w:rsidRPr="006B2CD4">
        <w:rPr>
          <w:rFonts w:ascii="Times New Roman" w:hAnsi="Times New Roman" w:cs="Times New Roman"/>
          <w:bCs/>
          <w:sz w:val="24"/>
          <w:szCs w:val="24"/>
        </w:rPr>
        <w:t>Dodanie ust. 2a umożliwi udzielanie upoważnienia do otrzymania informacji stanowiących tajemnicę zawodową również w postaci elektronicznej. Takie rozwiązanie ma na c</w:t>
      </w:r>
      <w:r w:rsidR="003051FB">
        <w:rPr>
          <w:rFonts w:ascii="Times New Roman" w:hAnsi="Times New Roman" w:cs="Times New Roman"/>
          <w:bCs/>
          <w:sz w:val="24"/>
          <w:szCs w:val="24"/>
        </w:rPr>
        <w:t>elu z jednej strony ułatwienie funkcjonowania</w:t>
      </w:r>
      <w:r w:rsidRPr="006B2CD4">
        <w:rPr>
          <w:rFonts w:ascii="Times New Roman" w:hAnsi="Times New Roman" w:cs="Times New Roman"/>
          <w:bCs/>
          <w:sz w:val="24"/>
          <w:szCs w:val="24"/>
        </w:rPr>
        <w:t xml:space="preserve"> podm</w:t>
      </w:r>
      <w:r w:rsidR="003051FB">
        <w:rPr>
          <w:rFonts w:ascii="Times New Roman" w:hAnsi="Times New Roman" w:cs="Times New Roman"/>
          <w:bCs/>
          <w:sz w:val="24"/>
          <w:szCs w:val="24"/>
        </w:rPr>
        <w:t>iotów na rynku kapitałowym, a z</w:t>
      </w:r>
      <w:r w:rsidRPr="006B2CD4">
        <w:rPr>
          <w:rFonts w:ascii="Times New Roman" w:hAnsi="Times New Roman" w:cs="Times New Roman"/>
          <w:bCs/>
          <w:sz w:val="24"/>
          <w:szCs w:val="24"/>
        </w:rPr>
        <w:t xml:space="preserve"> drugie</w:t>
      </w:r>
      <w:r w:rsidR="003051FB">
        <w:rPr>
          <w:rFonts w:ascii="Times New Roman" w:hAnsi="Times New Roman" w:cs="Times New Roman"/>
          <w:bCs/>
          <w:sz w:val="24"/>
          <w:szCs w:val="24"/>
        </w:rPr>
        <w:t>j</w:t>
      </w:r>
      <w:r w:rsidRPr="006B2CD4">
        <w:rPr>
          <w:rFonts w:ascii="Times New Roman" w:hAnsi="Times New Roman" w:cs="Times New Roman"/>
          <w:bCs/>
          <w:sz w:val="24"/>
          <w:szCs w:val="24"/>
        </w:rPr>
        <w:t xml:space="preserve"> wpłynie</w:t>
      </w:r>
      <w:r w:rsidR="003051FB">
        <w:rPr>
          <w:rFonts w:ascii="Times New Roman" w:hAnsi="Times New Roman" w:cs="Times New Roman"/>
          <w:bCs/>
          <w:sz w:val="24"/>
          <w:szCs w:val="24"/>
        </w:rPr>
        <w:t xml:space="preserve">cie </w:t>
      </w:r>
      <w:r w:rsidRPr="006B2CD4">
        <w:rPr>
          <w:rFonts w:ascii="Times New Roman" w:hAnsi="Times New Roman" w:cs="Times New Roman"/>
          <w:bCs/>
          <w:sz w:val="24"/>
          <w:szCs w:val="24"/>
        </w:rPr>
        <w:t xml:space="preserve">na sprawniejsze wykonywanie zadań nadzorczych przez KNF. </w:t>
      </w:r>
      <w:r w:rsidR="003051FB">
        <w:rPr>
          <w:rFonts w:ascii="Times New Roman" w:hAnsi="Times New Roman" w:cs="Times New Roman"/>
          <w:bCs/>
          <w:sz w:val="24"/>
          <w:szCs w:val="24"/>
        </w:rPr>
        <w:t>Jednym z głównych obszarów, który</w:t>
      </w:r>
      <w:r w:rsidRPr="006B2CD4">
        <w:rPr>
          <w:rFonts w:ascii="Times New Roman" w:hAnsi="Times New Roman" w:cs="Times New Roman"/>
          <w:bCs/>
          <w:sz w:val="24"/>
          <w:szCs w:val="24"/>
        </w:rPr>
        <w:t xml:space="preserve"> jest przedmiotem </w:t>
      </w:r>
      <w:r>
        <w:rPr>
          <w:rFonts w:ascii="Times New Roman" w:hAnsi="Times New Roman" w:cs="Times New Roman"/>
          <w:bCs/>
          <w:sz w:val="24"/>
          <w:szCs w:val="24"/>
        </w:rPr>
        <w:t xml:space="preserve">proponowanych </w:t>
      </w:r>
      <w:r w:rsidRPr="006B2CD4">
        <w:rPr>
          <w:rFonts w:ascii="Times New Roman" w:hAnsi="Times New Roman" w:cs="Times New Roman"/>
          <w:bCs/>
          <w:sz w:val="24"/>
          <w:szCs w:val="24"/>
        </w:rPr>
        <w:t>zmian</w:t>
      </w:r>
      <w:r>
        <w:rPr>
          <w:rFonts w:ascii="Times New Roman" w:hAnsi="Times New Roman" w:cs="Times New Roman"/>
          <w:bCs/>
          <w:sz w:val="24"/>
          <w:szCs w:val="24"/>
        </w:rPr>
        <w:t xml:space="preserve">, </w:t>
      </w:r>
      <w:r w:rsidRPr="006B2CD4">
        <w:rPr>
          <w:rFonts w:ascii="Times New Roman" w:hAnsi="Times New Roman" w:cs="Times New Roman"/>
          <w:bCs/>
          <w:sz w:val="24"/>
          <w:szCs w:val="24"/>
        </w:rPr>
        <w:t>jest zwiększenie poziomy cyfryzacji zadań wynikających z ustaw dotyczących rynku finansowego, dlatego takie rozwiązanie będzie stanowiło znaczne udogodnienie zarówno dla osoby lub podmiotu uczestniczącego w rynku, jak i KNF.</w:t>
      </w:r>
      <w:r w:rsidR="007C389F">
        <w:rPr>
          <w:rFonts w:ascii="Times New Roman" w:hAnsi="Times New Roman" w:cs="Times New Roman"/>
          <w:bCs/>
          <w:sz w:val="24"/>
          <w:szCs w:val="24"/>
        </w:rPr>
        <w:t xml:space="preserve"> </w:t>
      </w:r>
      <w:r>
        <w:rPr>
          <w:rFonts w:ascii="Times New Roman" w:hAnsi="Times New Roman" w:cs="Times New Roman"/>
          <w:bCs/>
          <w:sz w:val="24"/>
          <w:szCs w:val="24"/>
        </w:rPr>
        <w:t xml:space="preserve">Proponuje </w:t>
      </w:r>
      <w:r w:rsidRPr="006B2CD4">
        <w:rPr>
          <w:rFonts w:ascii="Times New Roman" w:hAnsi="Times New Roman" w:cs="Times New Roman"/>
          <w:bCs/>
          <w:sz w:val="24"/>
          <w:szCs w:val="24"/>
        </w:rPr>
        <w:t>się również</w:t>
      </w:r>
      <w:r w:rsidR="007C389F">
        <w:rPr>
          <w:rFonts w:ascii="Times New Roman" w:hAnsi="Times New Roman" w:cs="Times New Roman"/>
          <w:bCs/>
          <w:sz w:val="24"/>
          <w:szCs w:val="24"/>
        </w:rPr>
        <w:t xml:space="preserve"> </w:t>
      </w:r>
      <w:r w:rsidR="003051FB">
        <w:rPr>
          <w:rFonts w:ascii="Times New Roman" w:hAnsi="Times New Roman" w:cs="Times New Roman"/>
          <w:bCs/>
          <w:sz w:val="24"/>
          <w:szCs w:val="24"/>
        </w:rPr>
        <w:t>wprowadzenie upoważnienia</w:t>
      </w:r>
      <w:r>
        <w:rPr>
          <w:rFonts w:ascii="Times New Roman" w:hAnsi="Times New Roman" w:cs="Times New Roman"/>
          <w:bCs/>
          <w:sz w:val="24"/>
          <w:szCs w:val="24"/>
        </w:rPr>
        <w:t xml:space="preserve"> dla </w:t>
      </w:r>
      <w:r w:rsidRPr="006B2CD4">
        <w:rPr>
          <w:rFonts w:ascii="Times New Roman" w:hAnsi="Times New Roman" w:cs="Times New Roman"/>
          <w:bCs/>
          <w:sz w:val="24"/>
          <w:szCs w:val="24"/>
        </w:rPr>
        <w:t>firmy inwestycyjnej na elektronicznym nośniku</w:t>
      </w:r>
      <w:r w:rsidR="003051FB">
        <w:rPr>
          <w:rFonts w:ascii="Times New Roman" w:hAnsi="Times New Roman" w:cs="Times New Roman"/>
          <w:bCs/>
          <w:sz w:val="24"/>
          <w:szCs w:val="24"/>
        </w:rPr>
        <w:t>,</w:t>
      </w:r>
      <w:r w:rsidRPr="006B2CD4">
        <w:rPr>
          <w:rFonts w:ascii="Times New Roman" w:hAnsi="Times New Roman" w:cs="Times New Roman"/>
          <w:bCs/>
          <w:sz w:val="24"/>
          <w:szCs w:val="24"/>
        </w:rPr>
        <w:t xml:space="preserve"> w rozumieniu ustawy o informatyzacji działalności podmiotów realizujących zadania publiczne, co jest standardowym rozwiązaniem w zakresie elektronicznej postaci upoważnień.</w:t>
      </w:r>
    </w:p>
    <w:p w14:paraId="10487641" w14:textId="04B7B75F" w:rsidR="000014D0" w:rsidRDefault="000014D0" w:rsidP="000014D0">
      <w:pPr>
        <w:shd w:val="clear" w:color="auto" w:fill="FFFFFF" w:themeFill="background1"/>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lastRenderedPageBreak/>
        <w:t>Zmiany w art. 151a i art. 152 mają na celu usunięci</w:t>
      </w:r>
      <w:r>
        <w:rPr>
          <w:rFonts w:ascii="Times New Roman" w:hAnsi="Times New Roman" w:cs="Times New Roman"/>
          <w:bCs/>
          <w:sz w:val="24"/>
          <w:szCs w:val="24"/>
        </w:rPr>
        <w:t>e</w:t>
      </w:r>
      <w:r w:rsidRPr="006B2CD4">
        <w:rPr>
          <w:rFonts w:ascii="Times New Roman" w:hAnsi="Times New Roman" w:cs="Times New Roman"/>
          <w:bCs/>
          <w:sz w:val="24"/>
          <w:szCs w:val="24"/>
        </w:rPr>
        <w:t xml:space="preserve"> wątpliwości interpretacyjnych co do obowiązków stosowania przez banki, o których mowa w art. 70 ust. 2 (banki z siedzibą na terytorium Rzeczypospolitej Polskiej wykonujące bez zezwolenia na prowadzenie działalności maklerskiej niektóre czynności z zakresu działalności maklerskiej</w:t>
      </w:r>
      <w:r w:rsidR="00106F9E">
        <w:rPr>
          <w:rFonts w:ascii="Times New Roman" w:hAnsi="Times New Roman" w:cs="Times New Roman"/>
          <w:bCs/>
          <w:sz w:val="24"/>
          <w:szCs w:val="24"/>
        </w:rPr>
        <w:t>, w tym banki państwowe</w:t>
      </w:r>
      <w:r w:rsidRPr="006B2CD4">
        <w:rPr>
          <w:rFonts w:ascii="Times New Roman" w:hAnsi="Times New Roman" w:cs="Times New Roman"/>
          <w:bCs/>
          <w:sz w:val="24"/>
          <w:szCs w:val="24"/>
        </w:rPr>
        <w:t xml:space="preserve">) przepisów o tajemnicy zawodowej </w:t>
      </w:r>
      <w:r>
        <w:rPr>
          <w:rFonts w:ascii="Times New Roman" w:hAnsi="Times New Roman" w:cs="Times New Roman"/>
          <w:bCs/>
          <w:sz w:val="24"/>
          <w:szCs w:val="24"/>
        </w:rPr>
        <w:t xml:space="preserve">zawartych w </w:t>
      </w:r>
      <w:r w:rsidRPr="006B2CD4">
        <w:rPr>
          <w:rFonts w:ascii="Times New Roman" w:hAnsi="Times New Roman" w:cs="Times New Roman"/>
          <w:bCs/>
          <w:sz w:val="24"/>
          <w:szCs w:val="24"/>
        </w:rPr>
        <w:t>ustaw</w:t>
      </w:r>
      <w:r>
        <w:rPr>
          <w:rFonts w:ascii="Times New Roman" w:hAnsi="Times New Roman" w:cs="Times New Roman"/>
          <w:bCs/>
          <w:sz w:val="24"/>
          <w:szCs w:val="24"/>
        </w:rPr>
        <w:t>ie</w:t>
      </w:r>
      <w:r w:rsidRPr="006B2CD4">
        <w:rPr>
          <w:rFonts w:ascii="Times New Roman" w:hAnsi="Times New Roman" w:cs="Times New Roman"/>
          <w:bCs/>
          <w:sz w:val="24"/>
          <w:szCs w:val="24"/>
        </w:rPr>
        <w:t xml:space="preserve"> o obrocie. </w:t>
      </w:r>
    </w:p>
    <w:p w14:paraId="46ED42CD" w14:textId="3B1E206C" w:rsidR="000014D0" w:rsidRPr="006B2CD4" w:rsidRDefault="000014D0" w:rsidP="000014D0">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Elementem działalności maklerskiej jest wejście w posiadanie informacji stanowiących tajemnicę zawodową. Niekiedy jednak, dla zapewnienia prawidłowego wykonywania nadzoru nad rynkiem kapitałowym przez KNF lub ochronę interesów podmiotów świadczących usługi na rynku maklerskim</w:t>
      </w:r>
      <w:r>
        <w:rPr>
          <w:rFonts w:ascii="Times New Roman" w:hAnsi="Times New Roman" w:cs="Times New Roman"/>
          <w:bCs/>
          <w:sz w:val="24"/>
          <w:szCs w:val="24"/>
        </w:rPr>
        <w:t>,</w:t>
      </w:r>
      <w:r w:rsidRPr="006B2CD4">
        <w:rPr>
          <w:rFonts w:ascii="Times New Roman" w:hAnsi="Times New Roman" w:cs="Times New Roman"/>
          <w:bCs/>
          <w:sz w:val="24"/>
          <w:szCs w:val="24"/>
        </w:rPr>
        <w:t xml:space="preserve"> konieczne jest przekazanie informacji stanowiącej tajemnicę zawodową. Aktualne brzmienie tych przepisów wyłączało </w:t>
      </w:r>
      <w:r w:rsidRPr="006B2CD4">
        <w:rPr>
          <w:rFonts w:ascii="Times New Roman" w:hAnsi="Times New Roman" w:cs="Times New Roman"/>
          <w:bCs/>
          <w:i/>
          <w:sz w:val="24"/>
          <w:szCs w:val="24"/>
        </w:rPr>
        <w:t xml:space="preserve">de facto </w:t>
      </w:r>
      <w:r w:rsidRPr="006B2CD4">
        <w:rPr>
          <w:rFonts w:ascii="Times New Roman" w:hAnsi="Times New Roman" w:cs="Times New Roman"/>
          <w:bCs/>
          <w:sz w:val="24"/>
          <w:szCs w:val="24"/>
        </w:rPr>
        <w:t>banki, o których mowa w art. 70 ust. 2</w:t>
      </w:r>
      <w:r>
        <w:rPr>
          <w:rFonts w:ascii="Times New Roman" w:hAnsi="Times New Roman" w:cs="Times New Roman"/>
          <w:bCs/>
          <w:sz w:val="24"/>
          <w:szCs w:val="24"/>
        </w:rPr>
        <w:t>,</w:t>
      </w:r>
      <w:r w:rsidRPr="006B2CD4">
        <w:rPr>
          <w:rFonts w:ascii="Times New Roman" w:hAnsi="Times New Roman" w:cs="Times New Roman"/>
          <w:bCs/>
          <w:sz w:val="24"/>
          <w:szCs w:val="24"/>
        </w:rPr>
        <w:t xml:space="preserve"> spod ich zastosowania, co ze względu na sam ich cel w postaci ochrony bezpieczeństwa prowadzonego na rynku jest stanem niepożądanym. W związku z tym zasadne jest dokonanie </w:t>
      </w:r>
      <w:r w:rsidR="003B5EF3">
        <w:rPr>
          <w:rFonts w:ascii="Times New Roman" w:hAnsi="Times New Roman" w:cs="Times New Roman"/>
          <w:bCs/>
          <w:sz w:val="24"/>
          <w:szCs w:val="24"/>
        </w:rPr>
        <w:t>zmiany</w:t>
      </w:r>
      <w:r w:rsidR="007C389F">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w tym zakresie. </w:t>
      </w:r>
    </w:p>
    <w:p w14:paraId="17288C3D" w14:textId="7FB4C885" w:rsidR="000014D0" w:rsidRDefault="003B5EF3" w:rsidP="000014D0">
      <w:pPr>
        <w:shd w:val="clear" w:color="auto" w:fill="FFFFFF" w:themeFill="background1"/>
        <w:spacing w:after="120" w:line="360" w:lineRule="auto"/>
        <w:jc w:val="both"/>
        <w:rPr>
          <w:rFonts w:ascii="Times New Roman" w:hAnsi="Times New Roman" w:cs="Times New Roman"/>
          <w:bCs/>
          <w:iCs/>
          <w:sz w:val="24"/>
          <w:szCs w:val="24"/>
        </w:rPr>
      </w:pPr>
      <w:r>
        <w:rPr>
          <w:rFonts w:ascii="Times New Roman" w:hAnsi="Times New Roman" w:cs="Times New Roman"/>
          <w:bCs/>
          <w:iCs/>
          <w:sz w:val="24"/>
          <w:szCs w:val="24"/>
        </w:rPr>
        <w:t>Zamiana</w:t>
      </w:r>
      <w:r w:rsidR="007C389F">
        <w:rPr>
          <w:rFonts w:ascii="Times New Roman" w:hAnsi="Times New Roman" w:cs="Times New Roman"/>
          <w:bCs/>
          <w:iCs/>
          <w:sz w:val="24"/>
          <w:szCs w:val="24"/>
        </w:rPr>
        <w:t xml:space="preserve"> </w:t>
      </w:r>
      <w:r w:rsidR="000014D0" w:rsidRPr="006B2CD4">
        <w:rPr>
          <w:rFonts w:ascii="Times New Roman" w:hAnsi="Times New Roman" w:cs="Times New Roman"/>
          <w:bCs/>
          <w:iCs/>
          <w:sz w:val="24"/>
          <w:szCs w:val="24"/>
        </w:rPr>
        <w:t xml:space="preserve">art. 153 jest zmianą wynikową mającą </w:t>
      </w:r>
      <w:r w:rsidR="000014D0">
        <w:rPr>
          <w:rFonts w:ascii="Times New Roman" w:hAnsi="Times New Roman" w:cs="Times New Roman"/>
          <w:bCs/>
          <w:iCs/>
          <w:sz w:val="24"/>
          <w:szCs w:val="24"/>
        </w:rPr>
        <w:t>na celu</w:t>
      </w:r>
      <w:r w:rsidR="007C389F">
        <w:rPr>
          <w:rFonts w:ascii="Times New Roman" w:hAnsi="Times New Roman" w:cs="Times New Roman"/>
          <w:bCs/>
          <w:iCs/>
          <w:sz w:val="24"/>
          <w:szCs w:val="24"/>
        </w:rPr>
        <w:t xml:space="preserve"> </w:t>
      </w:r>
      <w:r w:rsidR="000014D0" w:rsidRPr="006B2CD4">
        <w:rPr>
          <w:rFonts w:ascii="Times New Roman" w:hAnsi="Times New Roman" w:cs="Times New Roman"/>
          <w:bCs/>
          <w:iCs/>
          <w:sz w:val="24"/>
          <w:szCs w:val="24"/>
        </w:rPr>
        <w:t xml:space="preserve">rozszerzenie obowiązku zachowania tajemnicy zawodowej na przypadki, o których mowa w </w:t>
      </w:r>
      <w:r w:rsidR="000014D0">
        <w:rPr>
          <w:rFonts w:ascii="Times New Roman" w:hAnsi="Times New Roman" w:cs="Times New Roman"/>
          <w:bCs/>
          <w:iCs/>
          <w:sz w:val="24"/>
          <w:szCs w:val="24"/>
        </w:rPr>
        <w:t xml:space="preserve">proponowanym </w:t>
      </w:r>
      <w:r w:rsidR="000014D0" w:rsidRPr="006B2CD4">
        <w:rPr>
          <w:rFonts w:ascii="Times New Roman" w:hAnsi="Times New Roman" w:cs="Times New Roman"/>
          <w:bCs/>
          <w:iCs/>
          <w:sz w:val="24"/>
          <w:szCs w:val="24"/>
        </w:rPr>
        <w:t>art. 19a ustawy o nadzorze nad rynkiem kapitałowym. Przepis ten dotyczy informacji stanowiących tajemnicę zawodową związaną ze wszczętym lub planowanym postępowaniem cywilnym przeciwko instytucji finansowej. Z uwagi na to, że przepis ten w dotychczasowym brzmieniu obejmuje informacje związane z wymianą informacji m</w:t>
      </w:r>
      <w:r w:rsidR="003051FB">
        <w:rPr>
          <w:rFonts w:ascii="Times New Roman" w:hAnsi="Times New Roman" w:cs="Times New Roman"/>
          <w:bCs/>
          <w:iCs/>
          <w:sz w:val="24"/>
          <w:szCs w:val="24"/>
        </w:rPr>
        <w:t>iędzy organami nadzoru, o których</w:t>
      </w:r>
      <w:r w:rsidR="000014D0" w:rsidRPr="006B2CD4">
        <w:rPr>
          <w:rFonts w:ascii="Times New Roman" w:hAnsi="Times New Roman" w:cs="Times New Roman"/>
          <w:bCs/>
          <w:iCs/>
          <w:sz w:val="24"/>
          <w:szCs w:val="24"/>
        </w:rPr>
        <w:t xml:space="preserve"> mowa w rozdziale </w:t>
      </w:r>
      <w:r w:rsidR="000014D0" w:rsidRPr="006B2CD4">
        <w:rPr>
          <w:rFonts w:ascii="Times New Roman" w:hAnsi="Times New Roman" w:cs="Times New Roman"/>
          <w:bCs/>
          <w:iCs/>
          <w:sz w:val="24"/>
          <w:szCs w:val="24"/>
        </w:rPr>
        <w:lastRenderedPageBreak/>
        <w:t xml:space="preserve">III ustawy o nadzorze nad rynkiem kapitałowym, konieczne jest uzupełnienie tego przepisu o kategorie informacji, o których mowa wyżej. </w:t>
      </w:r>
    </w:p>
    <w:p w14:paraId="1F50EB02" w14:textId="7B8AAED5" w:rsidR="00331DBC" w:rsidRPr="006B2CD4" w:rsidRDefault="003B5EF3" w:rsidP="000014D0">
      <w:pPr>
        <w:shd w:val="clear" w:color="auto" w:fill="FFFFFF" w:themeFill="background1"/>
        <w:spacing w:after="120" w:line="360" w:lineRule="auto"/>
        <w:jc w:val="both"/>
        <w:rPr>
          <w:rFonts w:ascii="Times New Roman" w:hAnsi="Times New Roman" w:cs="Times New Roman"/>
          <w:bCs/>
          <w:iCs/>
          <w:sz w:val="24"/>
          <w:szCs w:val="24"/>
        </w:rPr>
      </w:pPr>
      <w:r>
        <w:rPr>
          <w:rFonts w:ascii="Times New Roman" w:hAnsi="Times New Roman" w:cs="Times New Roman"/>
          <w:bCs/>
          <w:iCs/>
          <w:sz w:val="24"/>
          <w:szCs w:val="24"/>
        </w:rPr>
        <w:t>Przepis a</w:t>
      </w:r>
      <w:r w:rsidR="00331DBC">
        <w:rPr>
          <w:rFonts w:ascii="Times New Roman" w:hAnsi="Times New Roman" w:cs="Times New Roman"/>
          <w:bCs/>
          <w:iCs/>
          <w:sz w:val="24"/>
          <w:szCs w:val="24"/>
        </w:rPr>
        <w:t xml:space="preserve">rt. 162 ust. 1a </w:t>
      </w:r>
      <w:r w:rsidR="00C642EB">
        <w:rPr>
          <w:rFonts w:ascii="Times New Roman" w:hAnsi="Times New Roman" w:cs="Times New Roman"/>
          <w:bCs/>
          <w:iCs/>
          <w:sz w:val="24"/>
          <w:szCs w:val="24"/>
        </w:rPr>
        <w:t>o</w:t>
      </w:r>
      <w:r w:rsidR="00383A82">
        <w:rPr>
          <w:rFonts w:ascii="Times New Roman" w:hAnsi="Times New Roman" w:cs="Times New Roman"/>
          <w:bCs/>
          <w:iCs/>
          <w:sz w:val="24"/>
          <w:szCs w:val="24"/>
        </w:rPr>
        <w:t xml:space="preserve">kreśla wysokość </w:t>
      </w:r>
      <w:r w:rsidR="00331DBC">
        <w:rPr>
          <w:rFonts w:ascii="Times New Roman" w:hAnsi="Times New Roman" w:cs="Times New Roman"/>
          <w:bCs/>
          <w:iCs/>
          <w:sz w:val="24"/>
          <w:szCs w:val="24"/>
        </w:rPr>
        <w:t>opłat</w:t>
      </w:r>
      <w:r w:rsidR="00383A82">
        <w:rPr>
          <w:rFonts w:ascii="Times New Roman" w:hAnsi="Times New Roman" w:cs="Times New Roman"/>
          <w:bCs/>
          <w:iCs/>
          <w:sz w:val="24"/>
          <w:szCs w:val="24"/>
        </w:rPr>
        <w:t>y</w:t>
      </w:r>
      <w:r w:rsidR="00331DBC">
        <w:rPr>
          <w:rFonts w:ascii="Times New Roman" w:hAnsi="Times New Roman" w:cs="Times New Roman"/>
          <w:bCs/>
          <w:iCs/>
          <w:sz w:val="24"/>
          <w:szCs w:val="24"/>
        </w:rPr>
        <w:t xml:space="preserve"> za udzielenie zezwolenia na prowadzenie przez bank państwowy działalności, o której mowa w art. 111a ust. 1.</w:t>
      </w:r>
    </w:p>
    <w:p w14:paraId="0998CADE" w14:textId="05E69FBC" w:rsidR="000014D0" w:rsidRPr="006B2CD4" w:rsidRDefault="000014D0" w:rsidP="000014D0">
      <w:pPr>
        <w:shd w:val="clear" w:color="auto" w:fill="FFFFFF" w:themeFill="background1"/>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Zmian</w:t>
      </w:r>
      <w:r w:rsidR="003B5EF3">
        <w:rPr>
          <w:rFonts w:ascii="Times New Roman" w:hAnsi="Times New Roman" w:cs="Times New Roman"/>
          <w:bCs/>
          <w:sz w:val="24"/>
          <w:szCs w:val="24"/>
        </w:rPr>
        <w:t>a</w:t>
      </w:r>
      <w:r w:rsidRPr="006B2CD4">
        <w:rPr>
          <w:rFonts w:ascii="Times New Roman" w:hAnsi="Times New Roman" w:cs="Times New Roman"/>
          <w:bCs/>
          <w:sz w:val="24"/>
          <w:szCs w:val="24"/>
        </w:rPr>
        <w:t xml:space="preserve"> w art. 163 ust. 7 pkt 1 wynika z potrzeby dostosowania podstawy obliczania opłaty za nadzór do zmian przepisów o rachunkowości, które zastąpiły kategorię przychodów z działalności maklerskiej (</w:t>
      </w:r>
      <w:r w:rsidR="00C642EB">
        <w:rPr>
          <w:rFonts w:ascii="Times New Roman" w:hAnsi="Times New Roman" w:cs="Times New Roman"/>
          <w:bCs/>
          <w:sz w:val="24"/>
          <w:szCs w:val="24"/>
        </w:rPr>
        <w:t>pop</w:t>
      </w:r>
      <w:r w:rsidR="00C642EB" w:rsidRPr="006B2CD4">
        <w:rPr>
          <w:rFonts w:ascii="Times New Roman" w:hAnsi="Times New Roman" w:cs="Times New Roman"/>
          <w:bCs/>
          <w:sz w:val="24"/>
          <w:szCs w:val="24"/>
        </w:rPr>
        <w:t>rzednio</w:t>
      </w:r>
      <w:r w:rsidRPr="006B2CD4">
        <w:rPr>
          <w:rFonts w:ascii="Times New Roman" w:hAnsi="Times New Roman" w:cs="Times New Roman"/>
          <w:bCs/>
          <w:sz w:val="24"/>
          <w:szCs w:val="24"/>
        </w:rPr>
        <w:t xml:space="preserve"> podstawową kategorię przychodów rachunku zysków i strat) przychodami z podstawowej działalności (czyniąc przychody z działalności maklerskiej podzbiorem przychodów z działalności podstawowej). </w:t>
      </w:r>
    </w:p>
    <w:p w14:paraId="45AB5DCC" w14:textId="77777777" w:rsidR="000014D0" w:rsidRPr="006B2CD4" w:rsidRDefault="000014D0" w:rsidP="000014D0">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Proponowana zmiana ust. 8 wynika natomiast z potrzeby zapewnienia proporcjonalności kosztów ponoszonych przez agenta będącego osobą fizyczną i agenta będącego osobą prawną. Obecnie każdy agent ponosi taki sam koszt, w wysokości 500 euro rocznie. W przypadku osób prawnych czynności nadzorcze podejmowane przez KNF są zdecydowanie bardziej angażujące niż w odniesieniu do agentów będących osobami fizycznymi.</w:t>
      </w:r>
    </w:p>
    <w:p w14:paraId="5A3A28F5" w14:textId="40E76A34" w:rsidR="000014D0" w:rsidRPr="006B2CD4" w:rsidRDefault="000014D0" w:rsidP="000014D0">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Przepis </w:t>
      </w:r>
      <w:r w:rsidRPr="006B2CD4">
        <w:rPr>
          <w:rFonts w:ascii="Times New Roman" w:hAnsi="Times New Roman" w:cs="Times New Roman"/>
          <w:bCs/>
          <w:sz w:val="24"/>
          <w:szCs w:val="24"/>
        </w:rPr>
        <w:t xml:space="preserve">art. 165 ust. 1 pkt 2 stanowi doprecyzowanie przesłanki cofnięcia zezwolenia na prowadzenie rynku regulowanego </w:t>
      </w:r>
      <w:r>
        <w:rPr>
          <w:rFonts w:ascii="Times New Roman" w:hAnsi="Times New Roman" w:cs="Times New Roman"/>
          <w:bCs/>
          <w:sz w:val="24"/>
          <w:szCs w:val="24"/>
        </w:rPr>
        <w:t>–</w:t>
      </w:r>
      <w:r w:rsidRPr="006B2CD4">
        <w:rPr>
          <w:rFonts w:ascii="Times New Roman" w:hAnsi="Times New Roman" w:cs="Times New Roman"/>
          <w:bCs/>
          <w:sz w:val="24"/>
          <w:szCs w:val="24"/>
        </w:rPr>
        <w:t xml:space="preserve"> cofnięci</w:t>
      </w:r>
      <w:r>
        <w:rPr>
          <w:rFonts w:ascii="Times New Roman" w:hAnsi="Times New Roman" w:cs="Times New Roman"/>
          <w:bCs/>
          <w:sz w:val="24"/>
          <w:szCs w:val="24"/>
        </w:rPr>
        <w:t>e</w:t>
      </w:r>
      <w:r w:rsidRPr="006B2CD4">
        <w:rPr>
          <w:rFonts w:ascii="Times New Roman" w:hAnsi="Times New Roman" w:cs="Times New Roman"/>
          <w:bCs/>
          <w:sz w:val="24"/>
          <w:szCs w:val="24"/>
        </w:rPr>
        <w:t xml:space="preserve"> zezwolenia po 6 miesiącach nieprowadzenia działalności wymaga dookreślenia, zgodnie z art. 44 ust. 5 lit. a dyrektywy MiFID I</w:t>
      </w:r>
      <w:r>
        <w:rPr>
          <w:rFonts w:ascii="Times New Roman" w:hAnsi="Times New Roman" w:cs="Times New Roman"/>
          <w:bCs/>
          <w:sz w:val="24"/>
          <w:szCs w:val="24"/>
        </w:rPr>
        <w:t xml:space="preserve">. Przepis ten </w:t>
      </w:r>
      <w:r w:rsidRPr="006B2CD4">
        <w:rPr>
          <w:rFonts w:ascii="Times New Roman" w:hAnsi="Times New Roman" w:cs="Times New Roman"/>
          <w:bCs/>
          <w:sz w:val="24"/>
          <w:szCs w:val="24"/>
        </w:rPr>
        <w:t xml:space="preserve">określa możliwość cofnięcia przez właściwy organ nadzoru (w Polsce </w:t>
      </w:r>
      <w:r w:rsidR="00383A82">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KNF) zezwolenia dla rynku regulowanego w przypadku gdy nie wykorzystał zezwolenia w terminie 12 miesięcy, </w:t>
      </w:r>
      <w:r w:rsidRPr="006B2CD4">
        <w:rPr>
          <w:rFonts w:ascii="Times New Roman" w:hAnsi="Times New Roman" w:cs="Times New Roman"/>
          <w:bCs/>
          <w:sz w:val="24"/>
          <w:szCs w:val="24"/>
        </w:rPr>
        <w:lastRenderedPageBreak/>
        <w:t xml:space="preserve">wyraźnie zrzekł się zezwolenia lub nie prowadził żadnej działalności w okresie poprzedzających sześciu miesięcy, chyba że w takich przypadkach dane państwo członkowskie przewidziało możliwość wygaśnięcia zezwolenia. </w:t>
      </w:r>
    </w:p>
    <w:p w14:paraId="044234A5" w14:textId="11DF171E" w:rsidR="000014D0" w:rsidRDefault="000014D0" w:rsidP="000014D0">
      <w:pPr>
        <w:shd w:val="clear" w:color="auto" w:fill="FFFFFF" w:themeFill="background1"/>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Uchylenie przepisów art. 165 ust. 2, a także art. 165a ust. 3, art. 165b ust. 3, art. 166a ust. 3, art. 167a ust. 2a, art. 167c ust. 4, art. 167ca ust. 3,</w:t>
      </w:r>
      <w:r w:rsidR="007C389F">
        <w:rPr>
          <w:rFonts w:ascii="Times New Roman" w:hAnsi="Times New Roman" w:cs="Times New Roman"/>
          <w:bCs/>
          <w:sz w:val="24"/>
          <w:szCs w:val="24"/>
        </w:rPr>
        <w:t xml:space="preserve"> </w:t>
      </w:r>
      <w:r w:rsidRPr="006B2CD4">
        <w:rPr>
          <w:rFonts w:ascii="Times New Roman" w:hAnsi="Times New Roman" w:cs="Times New Roman"/>
          <w:bCs/>
          <w:sz w:val="24"/>
          <w:szCs w:val="24"/>
        </w:rPr>
        <w:t>art. 169c ust. 3, art. 170 ust. 2, art. 170a ust. 2, art. 170b ust. 2, art. 170c ust. 2 art. 171 ust. 3, art. 173 ust. 9, art. 173c ust. 5 oraz art. 174 ust. 3</w:t>
      </w:r>
      <w:r w:rsidR="003B5EF3">
        <w:rPr>
          <w:rFonts w:ascii="Times New Roman" w:hAnsi="Times New Roman" w:cs="Times New Roman"/>
          <w:bCs/>
          <w:sz w:val="24"/>
          <w:szCs w:val="24"/>
        </w:rPr>
        <w:t>,</w:t>
      </w:r>
      <w:r w:rsidR="007C389F">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związane jest z rezygnacją z obowiązku przeprowadzenia przez KNF rozprawy przed wydaniem decyzji administracyjnych w sprawach dotyczących rynku kapitałowego. </w:t>
      </w:r>
    </w:p>
    <w:p w14:paraId="7AEA5828" w14:textId="70D629DA" w:rsidR="000014D0" w:rsidRDefault="000014D0" w:rsidP="000014D0">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Zmiana ta ma na celu usprawnienie procesu decyzyjnego oraz ujednolicenie zasad podejmowania takich decyzji na rynku finansowym. Zgodnie z art. 89 k</w:t>
      </w:r>
      <w:r>
        <w:rPr>
          <w:rFonts w:ascii="Times New Roman" w:hAnsi="Times New Roman" w:cs="Times New Roman"/>
          <w:bCs/>
          <w:sz w:val="24"/>
          <w:szCs w:val="24"/>
        </w:rPr>
        <w:t>.</w:t>
      </w:r>
      <w:r w:rsidRPr="006B2CD4">
        <w:rPr>
          <w:rFonts w:ascii="Times New Roman" w:hAnsi="Times New Roman" w:cs="Times New Roman"/>
          <w:bCs/>
          <w:sz w:val="24"/>
          <w:szCs w:val="24"/>
        </w:rPr>
        <w:t>p</w:t>
      </w:r>
      <w:r>
        <w:rPr>
          <w:rFonts w:ascii="Times New Roman" w:hAnsi="Times New Roman" w:cs="Times New Roman"/>
          <w:bCs/>
          <w:sz w:val="24"/>
          <w:szCs w:val="24"/>
        </w:rPr>
        <w:t>.</w:t>
      </w:r>
      <w:r w:rsidRPr="006B2CD4">
        <w:rPr>
          <w:rFonts w:ascii="Times New Roman" w:hAnsi="Times New Roman" w:cs="Times New Roman"/>
          <w:bCs/>
          <w:sz w:val="24"/>
          <w:szCs w:val="24"/>
        </w:rPr>
        <w:t>a</w:t>
      </w:r>
      <w:r>
        <w:rPr>
          <w:rFonts w:ascii="Times New Roman" w:hAnsi="Times New Roman" w:cs="Times New Roman"/>
          <w:bCs/>
          <w:sz w:val="24"/>
          <w:szCs w:val="24"/>
        </w:rPr>
        <w:t>.</w:t>
      </w:r>
      <w:r w:rsidRPr="006B2CD4">
        <w:rPr>
          <w:rFonts w:ascii="Times New Roman" w:hAnsi="Times New Roman" w:cs="Times New Roman"/>
          <w:bCs/>
          <w:sz w:val="24"/>
          <w:szCs w:val="24"/>
        </w:rPr>
        <w:t xml:space="preserve"> organ administracji publicznej przeprowadza</w:t>
      </w:r>
      <w:r>
        <w:rPr>
          <w:rFonts w:ascii="Times New Roman" w:hAnsi="Times New Roman" w:cs="Times New Roman"/>
          <w:bCs/>
          <w:sz w:val="24"/>
          <w:szCs w:val="24"/>
        </w:rPr>
        <w:t xml:space="preserve"> rozprawę</w:t>
      </w:r>
      <w:r w:rsidRPr="006B2CD4">
        <w:rPr>
          <w:rFonts w:ascii="Times New Roman" w:hAnsi="Times New Roman" w:cs="Times New Roman"/>
          <w:bCs/>
          <w:sz w:val="24"/>
          <w:szCs w:val="24"/>
        </w:rPr>
        <w:t>, z urzędu lub na wniosek strony, w każdym przypadku gdy zapewni to przyspieszenie lub uproszczenie postępowania lub gdy wymaga tego przepis prawa. Ponadto organ powinien przeprowadzić rozprawę</w:t>
      </w:r>
      <w:r>
        <w:rPr>
          <w:rFonts w:ascii="Times New Roman" w:hAnsi="Times New Roman" w:cs="Times New Roman"/>
          <w:bCs/>
          <w:sz w:val="24"/>
          <w:szCs w:val="24"/>
        </w:rPr>
        <w:t xml:space="preserve"> w przypadku </w:t>
      </w:r>
      <w:r w:rsidRPr="006B2CD4">
        <w:rPr>
          <w:rFonts w:ascii="Times New Roman" w:hAnsi="Times New Roman" w:cs="Times New Roman"/>
          <w:bCs/>
          <w:sz w:val="24"/>
          <w:szCs w:val="24"/>
        </w:rPr>
        <w:t xml:space="preserve">gdy zachodzi potrzeba uzgodnienia interesów stron oraz gdy jest to potrzebne dla wyjaśnienia sprawy przy udziale świadków lub biegłych albo w drodze oględzin. Postępowania prowadzone przez KNF, w których rozprawa administracyjna jest obligatoryjna, są postępowaniami o charakterze sankcyjnym, w których nie występuje sprzeczność interesów, a obowiązek przeprowadzenia rozprawy nie przyczynia się do lepszego wyjaśnienia sprawy oraz skrócenia postępowania. Nasilenie zjawisk zachodzących na rynku kapitałowym wymaga usprawnienia podejmowania decyzji o charakterze sankcyjnym. </w:t>
      </w:r>
    </w:p>
    <w:p w14:paraId="3BD00B48" w14:textId="53964516" w:rsidR="001A18CA" w:rsidRDefault="001A18CA" w:rsidP="000014D0">
      <w:pPr>
        <w:shd w:val="clear" w:color="auto" w:fill="FFFFFF" w:themeFill="background1"/>
        <w:spacing w:after="120" w:line="360" w:lineRule="auto"/>
        <w:jc w:val="both"/>
        <w:rPr>
          <w:rFonts w:ascii="Times New Roman" w:hAnsi="Times New Roman"/>
          <w:sz w:val="24"/>
          <w:szCs w:val="24"/>
        </w:rPr>
      </w:pPr>
      <w:r w:rsidRPr="00477DD9">
        <w:rPr>
          <w:rFonts w:ascii="Times New Roman" w:hAnsi="Times New Roman" w:cs="Times New Roman"/>
          <w:bCs/>
          <w:sz w:val="24"/>
          <w:szCs w:val="24"/>
        </w:rPr>
        <w:lastRenderedPageBreak/>
        <w:t xml:space="preserve">Proponowane brzmienie art. 165a ust. 2 pkt 1 ma na celu ujednolicenie regulacji dotyczących sposobu ustalania kwoty stanowiącej górną granicę kary pieniężnej, możliwej do nałożenia na podmiot podlegający ukaraniu, zarówno w obrębie danej ustawy sektorowej </w:t>
      </w:r>
      <w:r w:rsidRPr="00B106F2">
        <w:rPr>
          <w:rFonts w:ascii="Times New Roman" w:hAnsi="Times New Roman" w:cs="Times New Roman"/>
          <w:bCs/>
          <w:sz w:val="24"/>
          <w:szCs w:val="24"/>
        </w:rPr>
        <w:t>jak i w ujęciu systemowym</w:t>
      </w:r>
      <w:r w:rsidR="00D74F00" w:rsidRPr="00D74F00">
        <w:t xml:space="preserve"> </w:t>
      </w:r>
      <w:r w:rsidR="00D74F00" w:rsidRPr="00D74F00">
        <w:rPr>
          <w:rFonts w:ascii="Times New Roman" w:hAnsi="Times New Roman" w:cs="Times New Roman"/>
          <w:bCs/>
          <w:sz w:val="24"/>
          <w:szCs w:val="24"/>
        </w:rPr>
        <w:t>poprzez dokładne określenie rodzaju sprawozdania finansowego</w:t>
      </w:r>
      <w:r w:rsidRPr="00B106F2">
        <w:rPr>
          <w:rFonts w:ascii="Times New Roman" w:hAnsi="Times New Roman" w:cs="Times New Roman"/>
          <w:bCs/>
          <w:sz w:val="24"/>
          <w:szCs w:val="24"/>
        </w:rPr>
        <w:t xml:space="preserve">. </w:t>
      </w:r>
      <w:r w:rsidRPr="00B25BED">
        <w:rPr>
          <w:rFonts w:ascii="Times New Roman" w:hAnsi="Times New Roman"/>
          <w:sz w:val="24"/>
          <w:szCs w:val="24"/>
        </w:rPr>
        <w:t>Ponadto proponowana zmiana służy wyeliminowaniu wątpliwości interpretacyjnych, przez doprecyzowanie rodzaju przychodu podmiotu ujawnionego w sprawozdaniu finansowym oraz okresu objętego sprawozdaniem finansowym, z którego zaczerpnięty jest przychód</w:t>
      </w:r>
      <w:r w:rsidR="00D74F00">
        <w:rPr>
          <w:rFonts w:ascii="Times New Roman" w:hAnsi="Times New Roman"/>
          <w:sz w:val="24"/>
          <w:szCs w:val="24"/>
        </w:rPr>
        <w:t xml:space="preserve"> będący podstawą wymierzenia tej kary</w:t>
      </w:r>
      <w:r w:rsidRPr="00B25BED">
        <w:rPr>
          <w:rFonts w:ascii="Times New Roman" w:hAnsi="Times New Roman"/>
          <w:sz w:val="24"/>
          <w:szCs w:val="24"/>
        </w:rPr>
        <w:t>.</w:t>
      </w:r>
    </w:p>
    <w:p w14:paraId="0199E18D" w14:textId="281EADD5" w:rsidR="00627F37" w:rsidRPr="006B2CD4" w:rsidRDefault="00627F37" w:rsidP="000014D0">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sz w:val="24"/>
          <w:szCs w:val="24"/>
        </w:rPr>
        <w:t>Dodanie przepisu sankcyjnego w art. 165g jest konieczne dla zapewnienia stabilności i efektywności funkcjonowania obrotu papierami wartościowymi DLT. W przypadku rażących naruszeń konieczne jest określenie sankcji, która będzie miała w dużej mierze funkcję prewencyjną.</w:t>
      </w:r>
    </w:p>
    <w:p w14:paraId="7080B30B" w14:textId="5B309909" w:rsidR="000014D0" w:rsidRDefault="000014D0">
      <w:pPr>
        <w:shd w:val="clear" w:color="auto" w:fill="FFFFFF" w:themeFill="background1"/>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Zmiana brzmienia art. 166a ust. 4 przewiduje </w:t>
      </w:r>
      <w:r>
        <w:rPr>
          <w:rFonts w:ascii="Times New Roman" w:hAnsi="Times New Roman" w:cs="Times New Roman"/>
          <w:bCs/>
          <w:sz w:val="24"/>
          <w:szCs w:val="24"/>
        </w:rPr>
        <w:t xml:space="preserve">jako </w:t>
      </w:r>
      <w:r w:rsidRPr="006B2CD4">
        <w:rPr>
          <w:rFonts w:ascii="Times New Roman" w:hAnsi="Times New Roman" w:cs="Times New Roman"/>
          <w:bCs/>
          <w:sz w:val="24"/>
          <w:szCs w:val="24"/>
        </w:rPr>
        <w:t>fakultatywn</w:t>
      </w:r>
      <w:r>
        <w:rPr>
          <w:rFonts w:ascii="Times New Roman" w:hAnsi="Times New Roman" w:cs="Times New Roman"/>
          <w:bCs/>
          <w:sz w:val="24"/>
          <w:szCs w:val="24"/>
        </w:rPr>
        <w:t>ą</w:t>
      </w:r>
      <w:r w:rsidRPr="006B2CD4">
        <w:rPr>
          <w:rFonts w:ascii="Times New Roman" w:hAnsi="Times New Roman" w:cs="Times New Roman"/>
          <w:bCs/>
          <w:sz w:val="24"/>
          <w:szCs w:val="24"/>
        </w:rPr>
        <w:t xml:space="preserve"> </w:t>
      </w:r>
      <w:r>
        <w:rPr>
          <w:rFonts w:ascii="Times New Roman" w:hAnsi="Times New Roman" w:cs="Times New Roman"/>
          <w:bCs/>
          <w:sz w:val="24"/>
          <w:szCs w:val="24"/>
        </w:rPr>
        <w:t xml:space="preserve">możliwość </w:t>
      </w:r>
      <w:r w:rsidRPr="006B2CD4">
        <w:rPr>
          <w:rFonts w:ascii="Times New Roman" w:hAnsi="Times New Roman" w:cs="Times New Roman"/>
          <w:bCs/>
          <w:sz w:val="24"/>
          <w:szCs w:val="24"/>
        </w:rPr>
        <w:t xml:space="preserve">nakazania </w:t>
      </w:r>
      <w:r>
        <w:rPr>
          <w:rFonts w:ascii="Times New Roman" w:hAnsi="Times New Roman" w:cs="Times New Roman"/>
          <w:bCs/>
          <w:sz w:val="24"/>
          <w:szCs w:val="24"/>
        </w:rPr>
        <w:t xml:space="preserve">przez KNF </w:t>
      </w:r>
      <w:r w:rsidRPr="006B2CD4">
        <w:rPr>
          <w:rFonts w:ascii="Times New Roman" w:hAnsi="Times New Roman" w:cs="Times New Roman"/>
          <w:bCs/>
          <w:sz w:val="24"/>
          <w:szCs w:val="24"/>
        </w:rPr>
        <w:t xml:space="preserve">ogłoszenia rozstrzygnięcia o </w:t>
      </w:r>
      <w:r>
        <w:rPr>
          <w:rFonts w:ascii="Times New Roman" w:hAnsi="Times New Roman" w:cs="Times New Roman"/>
          <w:bCs/>
          <w:sz w:val="24"/>
          <w:szCs w:val="24"/>
        </w:rPr>
        <w:t xml:space="preserve">nałożonym na </w:t>
      </w:r>
      <w:r w:rsidRPr="006B2CD4">
        <w:rPr>
          <w:rFonts w:ascii="Times New Roman" w:hAnsi="Times New Roman" w:cs="Times New Roman"/>
          <w:bCs/>
          <w:sz w:val="24"/>
          <w:szCs w:val="24"/>
        </w:rPr>
        <w:t>podmiot prowadząc</w:t>
      </w:r>
      <w:r>
        <w:rPr>
          <w:rFonts w:ascii="Times New Roman" w:hAnsi="Times New Roman" w:cs="Times New Roman"/>
          <w:bCs/>
          <w:sz w:val="24"/>
          <w:szCs w:val="24"/>
        </w:rPr>
        <w:t>y</w:t>
      </w:r>
      <w:r w:rsidR="003051FB">
        <w:rPr>
          <w:rFonts w:ascii="Times New Roman" w:hAnsi="Times New Roman" w:cs="Times New Roman"/>
          <w:bCs/>
          <w:sz w:val="24"/>
          <w:szCs w:val="24"/>
        </w:rPr>
        <w:t xml:space="preserve"> zagraniczny rynek regulowany</w:t>
      </w:r>
      <w:r w:rsidRPr="006B2CD4">
        <w:rPr>
          <w:rFonts w:ascii="Times New Roman" w:hAnsi="Times New Roman" w:cs="Times New Roman"/>
          <w:bCs/>
          <w:sz w:val="24"/>
          <w:szCs w:val="24"/>
        </w:rPr>
        <w:t xml:space="preserve"> ASO albo OTF</w:t>
      </w:r>
      <w:r w:rsidR="003051FB">
        <w:rPr>
          <w:rFonts w:ascii="Times New Roman" w:hAnsi="Times New Roman" w:cs="Times New Roman"/>
          <w:bCs/>
          <w:sz w:val="24"/>
          <w:szCs w:val="24"/>
        </w:rPr>
        <w:t>,</w:t>
      </w:r>
      <w:r w:rsidRPr="006B2CD4">
        <w:rPr>
          <w:rFonts w:ascii="Times New Roman" w:hAnsi="Times New Roman" w:cs="Times New Roman"/>
          <w:bCs/>
          <w:sz w:val="24"/>
          <w:szCs w:val="24"/>
        </w:rPr>
        <w:t xml:space="preserve"> zakazie prowadzenia działalności polegającej na instalowaniu na terytorium Rzeczypospolitej Polskiej systemów informatycznych i urządzeń technicznych umożliwiających dostęp do tego rynku podmiotom prowadzącym działalność na terytorium Rzeczypospolitej Polskiej</w:t>
      </w:r>
      <w:r>
        <w:rPr>
          <w:rFonts w:ascii="Times New Roman" w:hAnsi="Times New Roman" w:cs="Times New Roman"/>
          <w:bCs/>
          <w:sz w:val="24"/>
          <w:szCs w:val="24"/>
        </w:rPr>
        <w:t xml:space="preserve"> (</w:t>
      </w:r>
      <w:r w:rsidRPr="006B2CD4">
        <w:rPr>
          <w:rFonts w:ascii="Times New Roman" w:hAnsi="Times New Roman" w:cs="Times New Roman"/>
          <w:bCs/>
          <w:sz w:val="24"/>
          <w:szCs w:val="24"/>
        </w:rPr>
        <w:t>zamiast dotychczasowej obligatoryjności</w:t>
      </w:r>
      <w:r>
        <w:rPr>
          <w:rFonts w:ascii="Times New Roman" w:hAnsi="Times New Roman" w:cs="Times New Roman"/>
          <w:bCs/>
          <w:sz w:val="24"/>
          <w:szCs w:val="24"/>
        </w:rPr>
        <w:t>)</w:t>
      </w:r>
      <w:r w:rsidRPr="006B2CD4">
        <w:rPr>
          <w:rFonts w:ascii="Times New Roman" w:hAnsi="Times New Roman" w:cs="Times New Roman"/>
          <w:bCs/>
          <w:sz w:val="24"/>
          <w:szCs w:val="24"/>
        </w:rPr>
        <w:t xml:space="preserve">. </w:t>
      </w:r>
      <w:r>
        <w:rPr>
          <w:rFonts w:ascii="Times New Roman" w:hAnsi="Times New Roman" w:cs="Times New Roman"/>
          <w:bCs/>
          <w:sz w:val="24"/>
          <w:szCs w:val="24"/>
        </w:rPr>
        <w:t xml:space="preserve">Wprowadzenie tego </w:t>
      </w:r>
      <w:r w:rsidRPr="006B2CD4">
        <w:rPr>
          <w:rFonts w:ascii="Times New Roman" w:hAnsi="Times New Roman" w:cs="Times New Roman"/>
          <w:bCs/>
          <w:sz w:val="24"/>
          <w:szCs w:val="24"/>
        </w:rPr>
        <w:t>rozwiązani</w:t>
      </w:r>
      <w:r>
        <w:rPr>
          <w:rFonts w:ascii="Times New Roman" w:hAnsi="Times New Roman" w:cs="Times New Roman"/>
          <w:bCs/>
          <w:sz w:val="24"/>
          <w:szCs w:val="24"/>
        </w:rPr>
        <w:t>a</w:t>
      </w:r>
      <w:r w:rsidRPr="006B2CD4">
        <w:rPr>
          <w:rFonts w:ascii="Times New Roman" w:hAnsi="Times New Roman" w:cs="Times New Roman"/>
          <w:bCs/>
          <w:sz w:val="24"/>
          <w:szCs w:val="24"/>
        </w:rPr>
        <w:t xml:space="preserve"> </w:t>
      </w:r>
      <w:r>
        <w:rPr>
          <w:rFonts w:ascii="Times New Roman" w:hAnsi="Times New Roman" w:cs="Times New Roman"/>
          <w:bCs/>
          <w:sz w:val="24"/>
          <w:szCs w:val="24"/>
        </w:rPr>
        <w:t xml:space="preserve">pozwoli na </w:t>
      </w:r>
      <w:r w:rsidRPr="006B2CD4">
        <w:rPr>
          <w:rFonts w:ascii="Times New Roman" w:hAnsi="Times New Roman" w:cs="Times New Roman"/>
          <w:bCs/>
          <w:sz w:val="24"/>
          <w:szCs w:val="24"/>
        </w:rPr>
        <w:t xml:space="preserve">ujednolicenie </w:t>
      </w:r>
      <w:r>
        <w:rPr>
          <w:rFonts w:ascii="Times New Roman" w:hAnsi="Times New Roman" w:cs="Times New Roman"/>
          <w:bCs/>
          <w:sz w:val="24"/>
          <w:szCs w:val="24"/>
        </w:rPr>
        <w:t xml:space="preserve">przepisów ustawy o obrocie </w:t>
      </w:r>
      <w:r w:rsidRPr="006B2CD4">
        <w:rPr>
          <w:rFonts w:ascii="Times New Roman" w:hAnsi="Times New Roman" w:cs="Times New Roman"/>
          <w:bCs/>
          <w:sz w:val="24"/>
          <w:szCs w:val="24"/>
        </w:rPr>
        <w:t>z regulacjami zawartymi w art. 25 ustawy o nadzorze nad rynkiem kapitałowym</w:t>
      </w:r>
      <w:r w:rsidR="002A269C">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który przewiduje usunięcie informacji, o </w:t>
      </w:r>
      <w:r w:rsidRPr="006B2CD4">
        <w:rPr>
          <w:rFonts w:ascii="Times New Roman" w:hAnsi="Times New Roman" w:cs="Times New Roman"/>
          <w:bCs/>
          <w:sz w:val="24"/>
          <w:szCs w:val="24"/>
        </w:rPr>
        <w:lastRenderedPageBreak/>
        <w:t>których mowa w art. 25 ust. 2b i 2c</w:t>
      </w:r>
      <w:r>
        <w:rPr>
          <w:rFonts w:ascii="Times New Roman" w:hAnsi="Times New Roman" w:cs="Times New Roman"/>
          <w:bCs/>
          <w:sz w:val="24"/>
          <w:szCs w:val="24"/>
        </w:rPr>
        <w:t>,</w:t>
      </w:r>
      <w:r w:rsidRPr="006B2CD4">
        <w:rPr>
          <w:rFonts w:ascii="Times New Roman" w:hAnsi="Times New Roman" w:cs="Times New Roman"/>
          <w:bCs/>
          <w:sz w:val="24"/>
          <w:szCs w:val="24"/>
        </w:rPr>
        <w:t xml:space="preserve"> po 5 latach</w:t>
      </w:r>
      <w:r w:rsidR="003B5EF3">
        <w:rPr>
          <w:rFonts w:ascii="Times New Roman" w:hAnsi="Times New Roman" w:cs="Times New Roman"/>
          <w:bCs/>
          <w:sz w:val="24"/>
          <w:szCs w:val="24"/>
        </w:rPr>
        <w:t>,</w:t>
      </w:r>
      <w:r w:rsidRPr="006B2CD4">
        <w:rPr>
          <w:rFonts w:ascii="Times New Roman" w:hAnsi="Times New Roman" w:cs="Times New Roman"/>
          <w:bCs/>
          <w:sz w:val="24"/>
          <w:szCs w:val="24"/>
        </w:rPr>
        <w:t xml:space="preserve"> oraz usunięcie imienia i nazwiska osoby, na którą nałożono sankcję, po roku. </w:t>
      </w:r>
    </w:p>
    <w:p w14:paraId="14619CF1" w14:textId="77777777" w:rsidR="000014D0" w:rsidRDefault="000014D0" w:rsidP="000014D0">
      <w:pPr>
        <w:shd w:val="clear" w:color="auto" w:fill="FFFFFF" w:themeFill="background1"/>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W obecnym stanie prawnym przepisy nie wskazują terminu, po upływie którego informacje, o których mowa w art. 25 ust. 1 ustawy o nadzorze nad rynkiem kapitałowym</w:t>
      </w:r>
      <w:r>
        <w:rPr>
          <w:rFonts w:ascii="Times New Roman" w:hAnsi="Times New Roman" w:cs="Times New Roman"/>
          <w:bCs/>
          <w:sz w:val="24"/>
          <w:szCs w:val="24"/>
        </w:rPr>
        <w:t>,</w:t>
      </w:r>
      <w:r w:rsidRPr="006B2CD4">
        <w:rPr>
          <w:rFonts w:ascii="Times New Roman" w:hAnsi="Times New Roman" w:cs="Times New Roman"/>
          <w:bCs/>
          <w:sz w:val="24"/>
          <w:szCs w:val="24"/>
        </w:rPr>
        <w:t xml:space="preserve"> powinny być usunięte ze strony internetowej KNF. </w:t>
      </w:r>
    </w:p>
    <w:p w14:paraId="7FCE8B69" w14:textId="77777777" w:rsidR="000014D0" w:rsidRDefault="000014D0" w:rsidP="000014D0">
      <w:pPr>
        <w:shd w:val="clear" w:color="auto" w:fill="FFFFFF" w:themeFill="background1"/>
        <w:spacing w:after="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Wprowadzenie </w:t>
      </w:r>
      <w:r>
        <w:rPr>
          <w:rFonts w:ascii="Times New Roman" w:hAnsi="Times New Roman" w:cs="Times New Roman"/>
          <w:bCs/>
          <w:sz w:val="24"/>
          <w:szCs w:val="24"/>
        </w:rPr>
        <w:t xml:space="preserve">proponowanego </w:t>
      </w:r>
      <w:r w:rsidRPr="006B2CD4">
        <w:rPr>
          <w:rFonts w:ascii="Times New Roman" w:hAnsi="Times New Roman" w:cs="Times New Roman"/>
          <w:bCs/>
          <w:sz w:val="24"/>
          <w:szCs w:val="24"/>
        </w:rPr>
        <w:t>rozwiązania jest szczególnie uzasadnione ze względu na fakt, ż</w:t>
      </w:r>
      <w:r>
        <w:rPr>
          <w:rFonts w:ascii="Times New Roman" w:hAnsi="Times New Roman" w:cs="Times New Roman"/>
          <w:bCs/>
          <w:sz w:val="24"/>
          <w:szCs w:val="24"/>
        </w:rPr>
        <w:t>e</w:t>
      </w:r>
      <w:r w:rsidRPr="006B2CD4">
        <w:rPr>
          <w:rFonts w:ascii="Times New Roman" w:hAnsi="Times New Roman" w:cs="Times New Roman"/>
          <w:bCs/>
          <w:sz w:val="24"/>
          <w:szCs w:val="24"/>
        </w:rPr>
        <w:t xml:space="preserve"> art. 25 ust. 2 ustawy o nadzorze nad rynkiem kapitałowym wskazuje przypadki, w których upublicznieniu mogą podlegać dane osobowe podmiotów dopuszczających się naruszenia ustaw, o których mowa w ust. 1 </w:t>
      </w:r>
      <w:r>
        <w:rPr>
          <w:rFonts w:ascii="Times New Roman" w:hAnsi="Times New Roman" w:cs="Times New Roman"/>
          <w:bCs/>
          <w:sz w:val="24"/>
          <w:szCs w:val="24"/>
        </w:rPr>
        <w:t>tego artykułu</w:t>
      </w:r>
      <w:r w:rsidRPr="006B2CD4">
        <w:rPr>
          <w:rFonts w:ascii="Times New Roman" w:hAnsi="Times New Roman" w:cs="Times New Roman"/>
          <w:bCs/>
          <w:sz w:val="24"/>
          <w:szCs w:val="24"/>
        </w:rPr>
        <w:t xml:space="preserve">, a zatem dane będące pod szczególną ochroną z uwagi na obowiązywanie rozporządzenia Parlamentu Europejskiego i Rady (UE) 2016/679 z dnia 27 kwietnia 2016 r. w sprawie ochrony osób fizycznych w związku z przetwarzaniem danych osobowych i w sprawie swobodnego przepływu takich danych oraz uchylenia dyrektywy 95/46/WE (RODO). </w:t>
      </w:r>
    </w:p>
    <w:p w14:paraId="31C72E63" w14:textId="66A1E2BD" w:rsidR="000014D0" w:rsidRPr="006B2CD4" w:rsidRDefault="000014D0" w:rsidP="000014D0">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Z wyżej wskazanymi założeniami, a także z wprowadzanymi w ostatnich latach zmianami art. 25 ustawy o nadzorze nad rynkiem kapitałowym</w:t>
      </w:r>
      <w:r>
        <w:rPr>
          <w:rFonts w:ascii="Times New Roman" w:hAnsi="Times New Roman" w:cs="Times New Roman"/>
          <w:bCs/>
          <w:sz w:val="24"/>
          <w:szCs w:val="24"/>
        </w:rPr>
        <w:t>,</w:t>
      </w:r>
      <w:r w:rsidRPr="006B2CD4">
        <w:rPr>
          <w:rFonts w:ascii="Times New Roman" w:hAnsi="Times New Roman" w:cs="Times New Roman"/>
          <w:bCs/>
          <w:sz w:val="24"/>
          <w:szCs w:val="24"/>
        </w:rPr>
        <w:t xml:space="preserve"> kolidują przepisy nakazujące ogłaszanie niektórych sankcyjnych decyzji KNF w jego Dzienniku Urzędowym. Kluczowy jest problem usunięcia danych osobowych po upływie wskazanego w ustawie okresu. Ogłoszenie decyzji, która zawiera dane osobowe</w:t>
      </w:r>
      <w:r>
        <w:rPr>
          <w:rFonts w:ascii="Times New Roman" w:hAnsi="Times New Roman" w:cs="Times New Roman"/>
          <w:bCs/>
          <w:sz w:val="24"/>
          <w:szCs w:val="24"/>
        </w:rPr>
        <w:t>,</w:t>
      </w:r>
      <w:r w:rsidRPr="006B2CD4">
        <w:rPr>
          <w:rFonts w:ascii="Times New Roman" w:hAnsi="Times New Roman" w:cs="Times New Roman"/>
          <w:bCs/>
          <w:sz w:val="24"/>
          <w:szCs w:val="24"/>
        </w:rPr>
        <w:t xml:space="preserve"> w Dzienniku Urzędowym KNF wyklucza możliwość ich późniejszego usunięcia. Obowiązek ogłaszania decyzji w Dzienniku Urzędowym KNF, o których mowa w </w:t>
      </w:r>
      <w:r w:rsidRPr="006B2CD4">
        <w:rPr>
          <w:rFonts w:ascii="Times New Roman" w:hAnsi="Times New Roman" w:cs="Times New Roman"/>
          <w:bCs/>
          <w:sz w:val="24"/>
          <w:szCs w:val="24"/>
        </w:rPr>
        <w:lastRenderedPageBreak/>
        <w:t>art. 166a ust. 4</w:t>
      </w:r>
      <w:r>
        <w:rPr>
          <w:rFonts w:ascii="Times New Roman" w:hAnsi="Times New Roman" w:cs="Times New Roman"/>
          <w:bCs/>
          <w:sz w:val="24"/>
          <w:szCs w:val="24"/>
        </w:rPr>
        <w:t>,</w:t>
      </w:r>
      <w:r w:rsidRPr="006B2CD4">
        <w:rPr>
          <w:rFonts w:ascii="Times New Roman" w:hAnsi="Times New Roman" w:cs="Times New Roman"/>
          <w:bCs/>
          <w:sz w:val="24"/>
          <w:szCs w:val="24"/>
        </w:rPr>
        <w:t xml:space="preserve"> uznać należy za nadmiarowy względem wynikających z art. 25 ustawy o nadzorze nad rynkiem kapitałowym zasad upubliczniania informacji o zastosowanych przez KNF środkach nadzorczych. </w:t>
      </w:r>
      <w:r w:rsidR="000C3A41">
        <w:rPr>
          <w:rFonts w:ascii="Times New Roman" w:hAnsi="Times New Roman" w:cs="Times New Roman"/>
          <w:bCs/>
          <w:sz w:val="24"/>
          <w:szCs w:val="24"/>
        </w:rPr>
        <w:t xml:space="preserve">Ze względu na to, że </w:t>
      </w:r>
      <w:r w:rsidRPr="006B2CD4">
        <w:rPr>
          <w:rFonts w:ascii="Times New Roman" w:hAnsi="Times New Roman" w:cs="Times New Roman"/>
          <w:bCs/>
          <w:sz w:val="24"/>
          <w:szCs w:val="24"/>
        </w:rPr>
        <w:t>ogłoszenia w Dzienniku Urzędowym KNF mają charakter następczy i informacyjny,</w:t>
      </w:r>
      <w:r w:rsidR="007C389F">
        <w:rPr>
          <w:rFonts w:ascii="Times New Roman" w:hAnsi="Times New Roman" w:cs="Times New Roman"/>
          <w:bCs/>
          <w:sz w:val="24"/>
          <w:szCs w:val="24"/>
        </w:rPr>
        <w:t xml:space="preserve"> </w:t>
      </w:r>
      <w:r w:rsidRPr="006B2CD4">
        <w:rPr>
          <w:rFonts w:ascii="Times New Roman" w:hAnsi="Times New Roman" w:cs="Times New Roman"/>
          <w:bCs/>
          <w:sz w:val="24"/>
          <w:szCs w:val="24"/>
        </w:rPr>
        <w:t>w szczególności nie stanowią elementu wprowadzania rozstrzygnięcia do obrotu prawnego</w:t>
      </w:r>
      <w:r w:rsidR="000C3A41">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ich ogłaszanie w Dzienniku Urzędowym KNF należy uznać za </w:t>
      </w:r>
      <w:r>
        <w:rPr>
          <w:rFonts w:ascii="Times New Roman" w:hAnsi="Times New Roman" w:cs="Times New Roman"/>
          <w:bCs/>
          <w:sz w:val="24"/>
          <w:szCs w:val="24"/>
        </w:rPr>
        <w:t>zbędne</w:t>
      </w:r>
      <w:r w:rsidRPr="006B2CD4">
        <w:rPr>
          <w:rFonts w:ascii="Times New Roman" w:hAnsi="Times New Roman" w:cs="Times New Roman"/>
          <w:bCs/>
          <w:sz w:val="24"/>
          <w:szCs w:val="24"/>
        </w:rPr>
        <w:t>, tym bardziej, że nie jest to rozwiązanie stosowane systemowo i nie dotyczy ani wszystkich decyzji sankcyjnych na rynku kapitałowym, ani decyzji sankcyjnych wydawanych na pozostałych rynkach. W zmienianych przepisach utrzymana została możliwość nakazania przez KNF ogłoszenia decyzji w dwóch dziennikach ogólnopolskich lub w inny sposób na koszt podmiotu.</w:t>
      </w:r>
    </w:p>
    <w:p w14:paraId="00EA0B6A" w14:textId="0A55C24D" w:rsidR="000014D0" w:rsidRDefault="000014D0" w:rsidP="000C3A41">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Uchylenie art. 167 ust. 1 pkt 4 wynika z przeniesienia uprawnienia KNF do cofnięcia zezwolenia po 6 miesiącach nieprowadzenia działalności przez firmę inwestycyjną do art. 89. W ust. 2d pkt 3 zawarto doprecyzowanie w zakresie ustalania wysokości kary pieniężnej w oparciu o wysokość przychodów (przychody ogółem).</w:t>
      </w:r>
    </w:p>
    <w:p w14:paraId="6CE8AC3D" w14:textId="6BDD0EF1" w:rsidR="00C3785B" w:rsidRPr="006B2CD4" w:rsidRDefault="00C3785B" w:rsidP="000C3A41">
      <w:pPr>
        <w:shd w:val="clear" w:color="auto" w:fill="FFFFFF" w:themeFill="background1"/>
        <w:spacing w:after="120" w:line="360" w:lineRule="auto"/>
        <w:jc w:val="both"/>
        <w:rPr>
          <w:rFonts w:ascii="Times New Roman" w:hAnsi="Times New Roman" w:cs="Times New Roman"/>
          <w:bCs/>
          <w:sz w:val="24"/>
          <w:szCs w:val="24"/>
        </w:rPr>
      </w:pPr>
      <w:r w:rsidRPr="00477DD9">
        <w:rPr>
          <w:rFonts w:ascii="Times New Roman" w:hAnsi="Times New Roman" w:cs="Times New Roman"/>
          <w:bCs/>
          <w:sz w:val="24"/>
          <w:szCs w:val="24"/>
        </w:rPr>
        <w:t>Proponowana zmiana</w:t>
      </w:r>
      <w:r>
        <w:rPr>
          <w:rFonts w:ascii="Times New Roman" w:hAnsi="Times New Roman" w:cs="Times New Roman"/>
          <w:bCs/>
          <w:sz w:val="24"/>
          <w:szCs w:val="24"/>
        </w:rPr>
        <w:t xml:space="preserve"> art. 167a ust. 1 </w:t>
      </w:r>
      <w:r w:rsidRPr="00477DD9">
        <w:rPr>
          <w:rFonts w:ascii="Times New Roman" w:hAnsi="Times New Roman" w:cs="Times New Roman"/>
          <w:bCs/>
          <w:sz w:val="24"/>
          <w:szCs w:val="24"/>
        </w:rPr>
        <w:t>ma na celu ujednolicenie</w:t>
      </w:r>
      <w:r w:rsidR="00106F9E">
        <w:rPr>
          <w:rFonts w:ascii="Times New Roman" w:hAnsi="Times New Roman" w:cs="Times New Roman"/>
          <w:bCs/>
          <w:sz w:val="24"/>
          <w:szCs w:val="24"/>
        </w:rPr>
        <w:t xml:space="preserve"> w ramach systemu obrotu instrumentami finansowymi i sprawowanym nad nim nadzorem</w:t>
      </w:r>
      <w:r w:rsidRPr="00477DD9">
        <w:rPr>
          <w:rFonts w:ascii="Times New Roman" w:hAnsi="Times New Roman" w:cs="Times New Roman"/>
          <w:bCs/>
          <w:sz w:val="24"/>
          <w:szCs w:val="24"/>
        </w:rPr>
        <w:t xml:space="preserve"> regulacji dotyczących sposobu ustalania kwoty stanowiącej górną granicę kary pieniężnej, możliwej do nałożenia na podmiot podlegający ukaraniu, zarówno w obrębie danej ustawy sektorowej</w:t>
      </w:r>
      <w:r w:rsidR="000C3A41">
        <w:rPr>
          <w:rFonts w:ascii="Times New Roman" w:hAnsi="Times New Roman" w:cs="Times New Roman"/>
          <w:bCs/>
          <w:sz w:val="24"/>
          <w:szCs w:val="24"/>
        </w:rPr>
        <w:t>,</w:t>
      </w:r>
      <w:r>
        <w:rPr>
          <w:rFonts w:ascii="Times New Roman" w:hAnsi="Times New Roman" w:cs="Times New Roman"/>
          <w:bCs/>
          <w:sz w:val="24"/>
          <w:szCs w:val="24"/>
        </w:rPr>
        <w:t xml:space="preserve"> jak i w ujęciu systemowym. </w:t>
      </w:r>
      <w:r w:rsidRPr="00477DD9">
        <w:rPr>
          <w:rFonts w:ascii="Times New Roman" w:hAnsi="Times New Roman" w:cs="Times New Roman"/>
          <w:bCs/>
          <w:sz w:val="24"/>
          <w:szCs w:val="24"/>
        </w:rPr>
        <w:t xml:space="preserve">Ponadto proponowana zmiana służy wyeliminowaniu wątpliwości interpretacyjnych, </w:t>
      </w:r>
      <w:r w:rsidRPr="00477DD9">
        <w:rPr>
          <w:rFonts w:ascii="Times New Roman" w:hAnsi="Times New Roman" w:cs="Times New Roman"/>
          <w:bCs/>
          <w:sz w:val="24"/>
          <w:szCs w:val="24"/>
        </w:rPr>
        <w:lastRenderedPageBreak/>
        <w:t>przez doprecyzowanie rodzaju przychodu podmiotu ujawnionego w sprawozdaniu finansowym</w:t>
      </w:r>
      <w:r>
        <w:rPr>
          <w:rFonts w:ascii="Times New Roman" w:hAnsi="Times New Roman" w:cs="Times New Roman"/>
          <w:bCs/>
          <w:sz w:val="24"/>
          <w:szCs w:val="24"/>
        </w:rPr>
        <w:t xml:space="preserve"> oraz okresu objętego sprawozdaniem finansowym, z którego zaczerpnięty jest ten przychód.</w:t>
      </w:r>
    </w:p>
    <w:p w14:paraId="2DC48D0B" w14:textId="75F7E797" w:rsidR="000014D0" w:rsidRDefault="000014D0" w:rsidP="000014D0">
      <w:pPr>
        <w:shd w:val="clear" w:color="auto" w:fill="FFFFFF" w:themeFill="background1"/>
        <w:spacing w:after="120" w:line="360" w:lineRule="auto"/>
        <w:jc w:val="both"/>
        <w:rPr>
          <w:rFonts w:ascii="Times New Roman" w:hAnsi="Times New Roman" w:cs="Times New Roman"/>
          <w:bCs/>
          <w:iCs/>
          <w:sz w:val="24"/>
          <w:szCs w:val="24"/>
        </w:rPr>
      </w:pPr>
      <w:r w:rsidRPr="006B2CD4">
        <w:rPr>
          <w:rFonts w:ascii="Times New Roman" w:hAnsi="Times New Roman" w:cs="Times New Roman"/>
          <w:bCs/>
          <w:sz w:val="24"/>
          <w:szCs w:val="24"/>
        </w:rPr>
        <w:t>Dodanie art. 167aa</w:t>
      </w:r>
      <w:r w:rsidRPr="006B2CD4">
        <w:rPr>
          <w:rFonts w:ascii="Times New Roman" w:hAnsi="Times New Roman" w:cs="Times New Roman"/>
          <w:bCs/>
          <w:iCs/>
          <w:sz w:val="24"/>
          <w:szCs w:val="24"/>
        </w:rPr>
        <w:t xml:space="preserve"> ma na celu wprowadzenie sankcji administracyjnych nakładanych na agenta firmy inwestycyjnej za naruszenie przepisów prawa, zasad uczciwego obrotu, interesów zleceniodawcy firmy inwestycyjnej, której dany podmiot jest agentem</w:t>
      </w:r>
      <w:r w:rsidR="000C3A41">
        <w:rPr>
          <w:rFonts w:ascii="Times New Roman" w:hAnsi="Times New Roman" w:cs="Times New Roman"/>
          <w:bCs/>
          <w:iCs/>
          <w:sz w:val="24"/>
          <w:szCs w:val="24"/>
        </w:rPr>
        <w:t>,</w:t>
      </w:r>
      <w:r w:rsidRPr="006B2CD4">
        <w:rPr>
          <w:rFonts w:ascii="Times New Roman" w:hAnsi="Times New Roman" w:cs="Times New Roman"/>
          <w:bCs/>
          <w:iCs/>
          <w:sz w:val="24"/>
          <w:szCs w:val="24"/>
        </w:rPr>
        <w:t xml:space="preserve"> lub umowy zawartej z firmą inwestycyjną. Działalność agenta firmy inwestycyjnej w dużej części odpowiada działalności samej firmy inwestycyjnej i, niosąc podobne ryzyka, wymaga sankcjonowania w oparciu o kryteria</w:t>
      </w:r>
      <w:r>
        <w:rPr>
          <w:rFonts w:ascii="Times New Roman" w:hAnsi="Times New Roman" w:cs="Times New Roman"/>
          <w:bCs/>
          <w:iCs/>
          <w:sz w:val="24"/>
          <w:szCs w:val="24"/>
        </w:rPr>
        <w:t xml:space="preserve"> takie jak w przypadku firmy inwestycyjnej</w:t>
      </w:r>
      <w:r w:rsidRPr="006B2CD4">
        <w:rPr>
          <w:rFonts w:ascii="Times New Roman" w:hAnsi="Times New Roman" w:cs="Times New Roman"/>
          <w:bCs/>
          <w:iCs/>
          <w:sz w:val="24"/>
          <w:szCs w:val="24"/>
        </w:rPr>
        <w:t>.</w:t>
      </w:r>
      <w:r>
        <w:rPr>
          <w:rFonts w:ascii="Times New Roman" w:hAnsi="Times New Roman" w:cs="Times New Roman"/>
          <w:bCs/>
          <w:iCs/>
          <w:sz w:val="24"/>
          <w:szCs w:val="24"/>
        </w:rPr>
        <w:t xml:space="preserve"> W ten sposób nastąpi usunięcie luki prawnej, która mogła potencjalnie przyczyniać się do omijania zasad, które obowiązują firmy inwestycyjne, a jednocześnie nie umożliwiała dochodzenia odpowiedzialności za faktyczne naruszenie takich przepisów</w:t>
      </w:r>
      <w:r w:rsidR="00BE52F1">
        <w:rPr>
          <w:rFonts w:ascii="Times New Roman" w:hAnsi="Times New Roman" w:cs="Times New Roman"/>
          <w:bCs/>
          <w:iCs/>
          <w:sz w:val="24"/>
          <w:szCs w:val="24"/>
        </w:rPr>
        <w:t xml:space="preserve"> Najważniejszą regulacją jest więc określenie katalogu kar pieniężnych i sankcji za ich naruszenie</w:t>
      </w:r>
      <w:r>
        <w:rPr>
          <w:rFonts w:ascii="Times New Roman" w:hAnsi="Times New Roman" w:cs="Times New Roman"/>
          <w:bCs/>
          <w:iCs/>
          <w:sz w:val="24"/>
          <w:szCs w:val="24"/>
        </w:rPr>
        <w:t>.</w:t>
      </w:r>
      <w:r w:rsidR="00BE52F1">
        <w:rPr>
          <w:rFonts w:ascii="Times New Roman" w:hAnsi="Times New Roman" w:cs="Times New Roman"/>
          <w:bCs/>
          <w:iCs/>
          <w:sz w:val="24"/>
          <w:szCs w:val="24"/>
        </w:rPr>
        <w:t xml:space="preserve"> Zgodnie z przyjętymi zasadami określania takich kar, uwzględnione zostały również przesłanki, które powinny być uwzględnione przez KNF przy ustalaniu i określaniu wymiaru kary pieniężnej. Ponadto przewidzian</w:t>
      </w:r>
      <w:r w:rsidR="000C3A41">
        <w:rPr>
          <w:rFonts w:ascii="Times New Roman" w:hAnsi="Times New Roman" w:cs="Times New Roman"/>
          <w:bCs/>
          <w:iCs/>
          <w:sz w:val="24"/>
          <w:szCs w:val="24"/>
        </w:rPr>
        <w:t>o</w:t>
      </w:r>
      <w:r w:rsidR="00BE52F1">
        <w:rPr>
          <w:rFonts w:ascii="Times New Roman" w:hAnsi="Times New Roman" w:cs="Times New Roman"/>
          <w:bCs/>
          <w:iCs/>
          <w:sz w:val="24"/>
          <w:szCs w:val="24"/>
        </w:rPr>
        <w:t xml:space="preserve"> zakaz wpisania podmiotu, wobec którego orzeczona została kara</w:t>
      </w:r>
      <w:r w:rsidR="000C3A41">
        <w:rPr>
          <w:rFonts w:ascii="Times New Roman" w:hAnsi="Times New Roman" w:cs="Times New Roman"/>
          <w:bCs/>
          <w:iCs/>
          <w:sz w:val="24"/>
          <w:szCs w:val="24"/>
        </w:rPr>
        <w:t>,</w:t>
      </w:r>
      <w:r w:rsidR="00BE52F1">
        <w:rPr>
          <w:rFonts w:ascii="Times New Roman" w:hAnsi="Times New Roman" w:cs="Times New Roman"/>
          <w:bCs/>
          <w:iCs/>
          <w:sz w:val="24"/>
          <w:szCs w:val="24"/>
        </w:rPr>
        <w:t xml:space="preserve"> do rejestru agentów firmy inwestycyjnych przed upływem 10 lat </w:t>
      </w:r>
      <w:r w:rsidR="000C3A41">
        <w:rPr>
          <w:rFonts w:ascii="Times New Roman" w:hAnsi="Times New Roman" w:cs="Times New Roman"/>
          <w:bCs/>
          <w:iCs/>
          <w:sz w:val="24"/>
          <w:szCs w:val="24"/>
        </w:rPr>
        <w:t>od nałożenia kary</w:t>
      </w:r>
      <w:r w:rsidR="00C73D6C">
        <w:rPr>
          <w:rFonts w:ascii="Times New Roman" w:hAnsi="Times New Roman" w:cs="Times New Roman"/>
          <w:bCs/>
          <w:iCs/>
          <w:sz w:val="24"/>
          <w:szCs w:val="24"/>
        </w:rPr>
        <w:t xml:space="preserve">, a w przypadku gdy skreślenie nastąpiło w związku z popełnieniem przez agenta formy inwestycyjnej przestępstwa – także przed zatarciem skazania za to przestępstwo. </w:t>
      </w:r>
    </w:p>
    <w:p w14:paraId="1E92E090" w14:textId="4F0CB197" w:rsidR="002D1733" w:rsidRDefault="002D1733" w:rsidP="002D1733">
      <w:pPr>
        <w:shd w:val="clear" w:color="auto" w:fill="FFFFFF" w:themeFill="background1"/>
        <w:spacing w:after="120" w:line="360" w:lineRule="auto"/>
        <w:jc w:val="both"/>
        <w:rPr>
          <w:rFonts w:ascii="Times New Roman" w:hAnsi="Times New Roman" w:cs="Times New Roman"/>
          <w:bCs/>
          <w:iCs/>
          <w:sz w:val="24"/>
          <w:szCs w:val="24"/>
        </w:rPr>
      </w:pPr>
      <w:r>
        <w:rPr>
          <w:rFonts w:ascii="Times New Roman" w:hAnsi="Times New Roman" w:cs="Times New Roman"/>
          <w:bCs/>
          <w:iCs/>
          <w:sz w:val="24"/>
          <w:szCs w:val="24"/>
        </w:rPr>
        <w:lastRenderedPageBreak/>
        <w:t>Zmiany w art. 167c</w:t>
      </w:r>
      <w:r w:rsidR="007035B7">
        <w:rPr>
          <w:rFonts w:ascii="Times New Roman" w:hAnsi="Times New Roman" w:cs="Times New Roman"/>
          <w:bCs/>
          <w:iCs/>
          <w:sz w:val="24"/>
          <w:szCs w:val="24"/>
        </w:rPr>
        <w:t xml:space="preserve"> ust. 2 i 4</w:t>
      </w:r>
      <w:r>
        <w:rPr>
          <w:rFonts w:ascii="Times New Roman" w:hAnsi="Times New Roman" w:cs="Times New Roman"/>
          <w:bCs/>
          <w:iCs/>
          <w:sz w:val="24"/>
          <w:szCs w:val="24"/>
        </w:rPr>
        <w:t>, art. 167ca</w:t>
      </w:r>
      <w:r w:rsidR="007035B7">
        <w:rPr>
          <w:rFonts w:ascii="Times New Roman" w:hAnsi="Times New Roman" w:cs="Times New Roman"/>
          <w:bCs/>
          <w:iCs/>
          <w:sz w:val="24"/>
          <w:szCs w:val="24"/>
        </w:rPr>
        <w:t xml:space="preserve"> ust. 1</w:t>
      </w:r>
      <w:r w:rsidR="000C3A41">
        <w:rPr>
          <w:rFonts w:ascii="Times New Roman" w:hAnsi="Times New Roman" w:cs="Times New Roman"/>
          <w:bCs/>
          <w:iCs/>
          <w:sz w:val="24"/>
          <w:szCs w:val="24"/>
        </w:rPr>
        <w:t>,</w:t>
      </w:r>
      <w:r w:rsidR="007C389F">
        <w:rPr>
          <w:rFonts w:ascii="Times New Roman" w:hAnsi="Times New Roman" w:cs="Times New Roman"/>
          <w:bCs/>
          <w:iCs/>
          <w:sz w:val="24"/>
          <w:szCs w:val="24"/>
        </w:rPr>
        <w:t xml:space="preserve"> </w:t>
      </w:r>
      <w:r>
        <w:rPr>
          <w:rFonts w:ascii="Times New Roman" w:hAnsi="Times New Roman" w:cs="Times New Roman"/>
          <w:bCs/>
          <w:iCs/>
          <w:sz w:val="24"/>
          <w:szCs w:val="24"/>
        </w:rPr>
        <w:t xml:space="preserve">art. 167d </w:t>
      </w:r>
      <w:r w:rsidR="007035B7">
        <w:rPr>
          <w:rFonts w:ascii="Times New Roman" w:hAnsi="Times New Roman" w:cs="Times New Roman"/>
          <w:bCs/>
          <w:iCs/>
          <w:sz w:val="24"/>
          <w:szCs w:val="24"/>
        </w:rPr>
        <w:t xml:space="preserve">ust. 1 pkt 1 </w:t>
      </w:r>
      <w:r>
        <w:rPr>
          <w:rFonts w:ascii="Times New Roman" w:hAnsi="Times New Roman" w:cs="Times New Roman"/>
          <w:bCs/>
          <w:iCs/>
          <w:sz w:val="24"/>
          <w:szCs w:val="24"/>
        </w:rPr>
        <w:t>i art. 171f</w:t>
      </w:r>
      <w:r w:rsidRPr="00B106F2">
        <w:rPr>
          <w:rFonts w:ascii="Times New Roman" w:hAnsi="Times New Roman" w:cs="Times New Roman"/>
          <w:bCs/>
          <w:iCs/>
          <w:sz w:val="24"/>
          <w:szCs w:val="24"/>
        </w:rPr>
        <w:t xml:space="preserve"> </w:t>
      </w:r>
      <w:r w:rsidR="007035B7">
        <w:rPr>
          <w:rFonts w:ascii="Times New Roman" w:hAnsi="Times New Roman" w:cs="Times New Roman"/>
          <w:bCs/>
          <w:iCs/>
          <w:sz w:val="24"/>
          <w:szCs w:val="24"/>
        </w:rPr>
        <w:t xml:space="preserve">ust. 1 </w:t>
      </w:r>
      <w:r w:rsidRPr="00B106F2">
        <w:rPr>
          <w:rFonts w:ascii="Times New Roman" w:hAnsi="Times New Roman" w:cs="Times New Roman"/>
          <w:bCs/>
          <w:iCs/>
          <w:sz w:val="24"/>
          <w:szCs w:val="24"/>
        </w:rPr>
        <w:t xml:space="preserve">mają na celu ujednolicenie regulacji dotyczących sposobu ustalania kwoty stanowiącej górną granicę kary pieniężnej, </w:t>
      </w:r>
      <w:r w:rsidR="000C3A41">
        <w:rPr>
          <w:rFonts w:ascii="Times New Roman" w:hAnsi="Times New Roman" w:cs="Times New Roman"/>
          <w:bCs/>
          <w:iCs/>
          <w:sz w:val="24"/>
          <w:szCs w:val="24"/>
        </w:rPr>
        <w:t xml:space="preserve">która może być nałożona </w:t>
      </w:r>
      <w:r w:rsidRPr="00B106F2">
        <w:rPr>
          <w:rFonts w:ascii="Times New Roman" w:hAnsi="Times New Roman" w:cs="Times New Roman"/>
          <w:bCs/>
          <w:iCs/>
          <w:sz w:val="24"/>
          <w:szCs w:val="24"/>
        </w:rPr>
        <w:t>na podmiot podlegający ukaraniu, zarówno w obrębie danej ustawy sektoro</w:t>
      </w:r>
      <w:r>
        <w:rPr>
          <w:rFonts w:ascii="Times New Roman" w:hAnsi="Times New Roman" w:cs="Times New Roman"/>
          <w:bCs/>
          <w:iCs/>
          <w:sz w:val="24"/>
          <w:szCs w:val="24"/>
        </w:rPr>
        <w:t>wej</w:t>
      </w:r>
      <w:r w:rsidR="000C3A41">
        <w:rPr>
          <w:rFonts w:ascii="Times New Roman" w:hAnsi="Times New Roman" w:cs="Times New Roman"/>
          <w:bCs/>
          <w:iCs/>
          <w:sz w:val="24"/>
          <w:szCs w:val="24"/>
        </w:rPr>
        <w:t>,</w:t>
      </w:r>
      <w:r>
        <w:rPr>
          <w:rFonts w:ascii="Times New Roman" w:hAnsi="Times New Roman" w:cs="Times New Roman"/>
          <w:bCs/>
          <w:iCs/>
          <w:sz w:val="24"/>
          <w:szCs w:val="24"/>
        </w:rPr>
        <w:t xml:space="preserve"> jak i w ujęciu systemowym</w:t>
      </w:r>
      <w:r w:rsidR="000C3A41">
        <w:rPr>
          <w:rFonts w:ascii="Times New Roman" w:hAnsi="Times New Roman" w:cs="Times New Roman"/>
          <w:bCs/>
          <w:iCs/>
          <w:sz w:val="24"/>
          <w:szCs w:val="24"/>
        </w:rPr>
        <w:t xml:space="preserve">, </w:t>
      </w:r>
      <w:r w:rsidR="00C73D6C">
        <w:rPr>
          <w:rFonts w:ascii="Times New Roman" w:hAnsi="Times New Roman" w:cs="Times New Roman"/>
          <w:bCs/>
          <w:iCs/>
          <w:sz w:val="24"/>
          <w:szCs w:val="24"/>
        </w:rPr>
        <w:t>przez określenie rodzaju sprawozdania finansowego</w:t>
      </w:r>
      <w:r>
        <w:rPr>
          <w:rFonts w:ascii="Times New Roman" w:hAnsi="Times New Roman" w:cs="Times New Roman"/>
          <w:bCs/>
          <w:iCs/>
          <w:sz w:val="24"/>
          <w:szCs w:val="24"/>
        </w:rPr>
        <w:t xml:space="preserve">. </w:t>
      </w:r>
      <w:r w:rsidRPr="00B106F2">
        <w:rPr>
          <w:rFonts w:ascii="Times New Roman" w:hAnsi="Times New Roman" w:cs="Times New Roman"/>
          <w:bCs/>
          <w:iCs/>
          <w:sz w:val="24"/>
          <w:szCs w:val="24"/>
        </w:rPr>
        <w:t>Ponadto proponowane zmiany służą wyeliminowaniu wątpliwości interpretacyjnych, przez doprecyzowanie rodzaju przychodu podmiotu ujawnionego w sprawozdaniu finansowym oraz okresu objętego sprawozdaniem finansowym, z którego zaczerpnięty</w:t>
      </w:r>
      <w:r>
        <w:rPr>
          <w:rFonts w:ascii="Times New Roman" w:hAnsi="Times New Roman" w:cs="Times New Roman"/>
          <w:bCs/>
          <w:iCs/>
          <w:sz w:val="24"/>
          <w:szCs w:val="24"/>
        </w:rPr>
        <w:t xml:space="preserve"> jest przychód</w:t>
      </w:r>
      <w:r w:rsidR="004442FA">
        <w:rPr>
          <w:rFonts w:ascii="Times New Roman" w:hAnsi="Times New Roman" w:cs="Times New Roman"/>
          <w:bCs/>
          <w:iCs/>
          <w:sz w:val="24"/>
          <w:szCs w:val="24"/>
        </w:rPr>
        <w:t xml:space="preserve"> będący podstawą wymierzenia kary.</w:t>
      </w:r>
    </w:p>
    <w:p w14:paraId="3EA5D9F2" w14:textId="2BF9EB12" w:rsidR="00F709D9" w:rsidRDefault="002D1733" w:rsidP="00F709D9">
      <w:pPr>
        <w:shd w:val="clear" w:color="auto" w:fill="FFFFFF" w:themeFill="background1"/>
        <w:spacing w:after="120" w:line="360" w:lineRule="auto"/>
        <w:jc w:val="both"/>
        <w:rPr>
          <w:rFonts w:ascii="Times New Roman" w:hAnsi="Times New Roman" w:cs="Times New Roman"/>
          <w:bCs/>
          <w:iCs/>
          <w:sz w:val="24"/>
          <w:szCs w:val="24"/>
        </w:rPr>
      </w:pPr>
      <w:r>
        <w:rPr>
          <w:rFonts w:ascii="Times New Roman" w:hAnsi="Times New Roman" w:cs="Times New Roman"/>
          <w:bCs/>
          <w:iCs/>
          <w:sz w:val="24"/>
          <w:szCs w:val="24"/>
        </w:rPr>
        <w:t>Dodanie art. 167f ma na celu ujednolicenie zasad cofnięcia zezwolenia na prowadzenie działalności maklerskiej dla banków państwowych. Związane jest to z kompleksowym uregulowaniem jednolitej licencji bankowej obejmującej banki państwowe.</w:t>
      </w:r>
      <w:r w:rsidR="004442FA">
        <w:rPr>
          <w:rFonts w:ascii="Times New Roman" w:hAnsi="Times New Roman" w:cs="Times New Roman"/>
          <w:bCs/>
          <w:iCs/>
          <w:sz w:val="24"/>
          <w:szCs w:val="24"/>
        </w:rPr>
        <w:t xml:space="preserve"> </w:t>
      </w:r>
      <w:r w:rsidR="004442FA" w:rsidRPr="004442FA">
        <w:rPr>
          <w:rFonts w:ascii="Times New Roman" w:hAnsi="Times New Roman" w:cs="Times New Roman"/>
          <w:bCs/>
          <w:iCs/>
          <w:sz w:val="24"/>
          <w:szCs w:val="24"/>
        </w:rPr>
        <w:t>Przepisy dotyczące tz</w:t>
      </w:r>
      <w:r w:rsidR="000C3A41">
        <w:rPr>
          <w:rFonts w:ascii="Times New Roman" w:hAnsi="Times New Roman" w:cs="Times New Roman"/>
          <w:bCs/>
          <w:iCs/>
          <w:sz w:val="24"/>
          <w:szCs w:val="24"/>
        </w:rPr>
        <w:t>w. jednolitej licencji bankowej</w:t>
      </w:r>
      <w:r w:rsidR="004442FA" w:rsidRPr="004442FA">
        <w:rPr>
          <w:rFonts w:ascii="Times New Roman" w:hAnsi="Times New Roman" w:cs="Times New Roman"/>
          <w:bCs/>
          <w:iCs/>
          <w:sz w:val="24"/>
          <w:szCs w:val="24"/>
        </w:rPr>
        <w:t xml:space="preserve"> powinny również regulować zasady</w:t>
      </w:r>
      <w:r w:rsidR="000C3A41">
        <w:rPr>
          <w:rFonts w:ascii="Times New Roman" w:hAnsi="Times New Roman" w:cs="Times New Roman"/>
          <w:bCs/>
          <w:iCs/>
          <w:sz w:val="24"/>
          <w:szCs w:val="24"/>
        </w:rPr>
        <w:t>,</w:t>
      </w:r>
      <w:r w:rsidR="004442FA" w:rsidRPr="004442FA">
        <w:rPr>
          <w:rFonts w:ascii="Times New Roman" w:hAnsi="Times New Roman" w:cs="Times New Roman"/>
          <w:bCs/>
          <w:iCs/>
          <w:sz w:val="24"/>
          <w:szCs w:val="24"/>
        </w:rPr>
        <w:t xml:space="preserve"> na jakich bank państwowy może prowadzić działalność maklerską. Statut banku państwowego, odrębnie od statutów banków prowadzących działalność w innej formie prawnej, nie jest uchwalany przez organ tego banku, lecz jest nadawany rozporządzeniem właściwego ministra po zasięgnięciu opinii </w:t>
      </w:r>
      <w:r w:rsidR="004442FA">
        <w:rPr>
          <w:rFonts w:ascii="Times New Roman" w:hAnsi="Times New Roman" w:cs="Times New Roman"/>
          <w:bCs/>
          <w:iCs/>
          <w:sz w:val="24"/>
          <w:szCs w:val="24"/>
        </w:rPr>
        <w:t xml:space="preserve">KNF (art. 19 </w:t>
      </w:r>
      <w:r w:rsidR="000C3A41">
        <w:rPr>
          <w:rFonts w:ascii="Times New Roman" w:hAnsi="Times New Roman" w:cs="Times New Roman"/>
          <w:bCs/>
          <w:iCs/>
          <w:sz w:val="24"/>
          <w:szCs w:val="24"/>
        </w:rPr>
        <w:t xml:space="preserve">ustawy – </w:t>
      </w:r>
      <w:r w:rsidR="004442FA">
        <w:rPr>
          <w:rFonts w:ascii="Times New Roman" w:hAnsi="Times New Roman" w:cs="Times New Roman"/>
          <w:bCs/>
          <w:iCs/>
          <w:sz w:val="24"/>
          <w:szCs w:val="24"/>
        </w:rPr>
        <w:t>Praw</w:t>
      </w:r>
      <w:r w:rsidR="000C3A41">
        <w:rPr>
          <w:rFonts w:ascii="Times New Roman" w:hAnsi="Times New Roman" w:cs="Times New Roman"/>
          <w:bCs/>
          <w:iCs/>
          <w:sz w:val="24"/>
          <w:szCs w:val="24"/>
        </w:rPr>
        <w:t>o</w:t>
      </w:r>
      <w:r w:rsidR="004442FA">
        <w:rPr>
          <w:rFonts w:ascii="Times New Roman" w:hAnsi="Times New Roman" w:cs="Times New Roman"/>
          <w:bCs/>
          <w:iCs/>
          <w:sz w:val="24"/>
          <w:szCs w:val="24"/>
        </w:rPr>
        <w:t xml:space="preserve"> bankowe). </w:t>
      </w:r>
      <w:r w:rsidR="004442FA" w:rsidRPr="004442FA">
        <w:rPr>
          <w:rFonts w:ascii="Times New Roman" w:hAnsi="Times New Roman" w:cs="Times New Roman"/>
          <w:bCs/>
          <w:iCs/>
          <w:sz w:val="24"/>
          <w:szCs w:val="24"/>
        </w:rPr>
        <w:t xml:space="preserve">Procedura przewidziana dla innych banków nie znajdzie zastosowania do banku państwowego. Stąd niezbędne jest wprowadzenie odrębnej procedury uzyskiwania decyzji administracyjnej zezwalającej na prowadzenie działalności maklerskiej bankowi państwowemu i umożliwiającej KNF zweryfikowanie przygotowania banku do prowadzenia takiej działalności. Taka procedura zapewni równy dostęp do rynku i możliwości świadczenia </w:t>
      </w:r>
      <w:r w:rsidR="004442FA" w:rsidRPr="004442FA">
        <w:rPr>
          <w:rFonts w:ascii="Times New Roman" w:hAnsi="Times New Roman" w:cs="Times New Roman"/>
          <w:bCs/>
          <w:iCs/>
          <w:sz w:val="24"/>
          <w:szCs w:val="24"/>
        </w:rPr>
        <w:lastRenderedPageBreak/>
        <w:t>usług wszystkim bankom krajowym, a przede wszystkim zapewni prawidłowe funkcjonowanie rynku kapitałowego, w szczególności bezpieczeństwo obrotu oraz ochronę inwestorów i innych jego uczestników, a także przestrz</w:t>
      </w:r>
      <w:r w:rsidR="004442FA">
        <w:rPr>
          <w:rFonts w:ascii="Times New Roman" w:hAnsi="Times New Roman" w:cs="Times New Roman"/>
          <w:bCs/>
          <w:iCs/>
          <w:sz w:val="24"/>
          <w:szCs w:val="24"/>
        </w:rPr>
        <w:t xml:space="preserve">eganie reguł uczciwego obrotu. </w:t>
      </w:r>
      <w:r w:rsidR="004442FA" w:rsidRPr="004442FA">
        <w:rPr>
          <w:rFonts w:ascii="Times New Roman" w:hAnsi="Times New Roman" w:cs="Times New Roman"/>
          <w:bCs/>
          <w:iCs/>
          <w:sz w:val="24"/>
          <w:szCs w:val="24"/>
        </w:rPr>
        <w:t>Do banku państwowego, w zakresie działalności maklerskiej, powinny mi</w:t>
      </w:r>
      <w:r w:rsidR="003051FB">
        <w:rPr>
          <w:rFonts w:ascii="Times New Roman" w:hAnsi="Times New Roman" w:cs="Times New Roman"/>
          <w:bCs/>
          <w:iCs/>
          <w:sz w:val="24"/>
          <w:szCs w:val="24"/>
        </w:rPr>
        <w:t>eć zastosowanie przepisy ustawy i</w:t>
      </w:r>
      <w:r w:rsidR="004442FA" w:rsidRPr="004442FA">
        <w:rPr>
          <w:rFonts w:ascii="Times New Roman" w:hAnsi="Times New Roman" w:cs="Times New Roman"/>
          <w:bCs/>
          <w:iCs/>
          <w:sz w:val="24"/>
          <w:szCs w:val="24"/>
        </w:rPr>
        <w:t xml:space="preserve"> rozporządzeń UE dotyczące banku prowadzącego działalność maklerską. Proponowane zmiany odpowiadają na potrzebę zrównania praw i obowiązków banku państwowego prowadzącego działalność maklerską z prawami i obowiązkami innych podmiotów </w:t>
      </w:r>
      <w:r w:rsidR="004442FA">
        <w:rPr>
          <w:rFonts w:ascii="Times New Roman" w:hAnsi="Times New Roman" w:cs="Times New Roman"/>
          <w:bCs/>
          <w:iCs/>
          <w:sz w:val="24"/>
          <w:szCs w:val="24"/>
        </w:rPr>
        <w:t xml:space="preserve">prowadzących taką działalność. </w:t>
      </w:r>
      <w:r w:rsidR="00F709D9">
        <w:rPr>
          <w:rFonts w:ascii="Times New Roman" w:hAnsi="Times New Roman" w:cs="Times New Roman"/>
          <w:bCs/>
          <w:iCs/>
          <w:sz w:val="24"/>
          <w:szCs w:val="24"/>
        </w:rPr>
        <w:t>W związku z</w:t>
      </w:r>
      <w:r w:rsidR="007C389F">
        <w:rPr>
          <w:rFonts w:ascii="Times New Roman" w:hAnsi="Times New Roman" w:cs="Times New Roman"/>
          <w:bCs/>
          <w:iCs/>
          <w:sz w:val="24"/>
          <w:szCs w:val="24"/>
        </w:rPr>
        <w:t xml:space="preserve"> </w:t>
      </w:r>
      <w:r w:rsidR="004442FA">
        <w:rPr>
          <w:rFonts w:ascii="Times New Roman" w:hAnsi="Times New Roman" w:cs="Times New Roman"/>
          <w:bCs/>
          <w:iCs/>
          <w:sz w:val="24"/>
          <w:szCs w:val="24"/>
        </w:rPr>
        <w:t xml:space="preserve">powyższym zachodzi również konieczność kompleksowego uregulowania zasad cofania zezwolenia na prowadzenie działalności maklerskiej przez bank państwowy, ze wskazaniem przesłanek czynności podejmowanych przez KNF oraz </w:t>
      </w:r>
      <w:r w:rsidR="000C3A41">
        <w:rPr>
          <w:rFonts w:ascii="Times New Roman" w:hAnsi="Times New Roman" w:cs="Times New Roman"/>
          <w:bCs/>
          <w:iCs/>
          <w:sz w:val="24"/>
          <w:szCs w:val="24"/>
        </w:rPr>
        <w:t xml:space="preserve">ewentualnych </w:t>
      </w:r>
      <w:r w:rsidR="004442FA">
        <w:rPr>
          <w:rFonts w:ascii="Times New Roman" w:hAnsi="Times New Roman" w:cs="Times New Roman"/>
          <w:bCs/>
          <w:iCs/>
          <w:sz w:val="24"/>
          <w:szCs w:val="24"/>
        </w:rPr>
        <w:t>sankcji.</w:t>
      </w:r>
    </w:p>
    <w:p w14:paraId="6863A6ED" w14:textId="792B4C07" w:rsidR="000014D0" w:rsidRDefault="000014D0" w:rsidP="000014D0">
      <w:pPr>
        <w:shd w:val="clear" w:color="auto" w:fill="FFFFFF" w:themeFill="background1"/>
        <w:spacing w:after="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Projektowany art. 169a ust. 1aa umożliwi nałożenie sankcji na osoby odpowiedzialne za naruszenie przepisów przez agenta firmy inwestycyjnej, na zasadach analogicznych do obowiązujących firmy inwestycyjne.</w:t>
      </w:r>
      <w:r>
        <w:rPr>
          <w:rFonts w:ascii="Times New Roman" w:hAnsi="Times New Roman" w:cs="Times New Roman"/>
          <w:bCs/>
          <w:iCs/>
          <w:sz w:val="24"/>
          <w:szCs w:val="24"/>
        </w:rPr>
        <w:t xml:space="preserve"> Przepis ten, po</w:t>
      </w:r>
      <w:r w:rsidR="0046776C">
        <w:rPr>
          <w:rFonts w:ascii="Times New Roman" w:hAnsi="Times New Roman" w:cs="Times New Roman"/>
          <w:bCs/>
          <w:iCs/>
          <w:sz w:val="24"/>
          <w:szCs w:val="24"/>
        </w:rPr>
        <w:t>dobnie jak art. 167</w:t>
      </w:r>
      <w:r>
        <w:rPr>
          <w:rFonts w:ascii="Times New Roman" w:hAnsi="Times New Roman" w:cs="Times New Roman"/>
          <w:bCs/>
          <w:iCs/>
          <w:sz w:val="24"/>
          <w:szCs w:val="24"/>
        </w:rPr>
        <w:t>aa</w:t>
      </w:r>
      <w:r w:rsidR="000C3A41">
        <w:rPr>
          <w:rFonts w:ascii="Times New Roman" w:hAnsi="Times New Roman" w:cs="Times New Roman"/>
          <w:bCs/>
          <w:iCs/>
          <w:sz w:val="24"/>
          <w:szCs w:val="24"/>
        </w:rPr>
        <w:t>,</w:t>
      </w:r>
      <w:r>
        <w:rPr>
          <w:rFonts w:ascii="Times New Roman" w:hAnsi="Times New Roman" w:cs="Times New Roman"/>
          <w:bCs/>
          <w:iCs/>
          <w:sz w:val="24"/>
          <w:szCs w:val="24"/>
        </w:rPr>
        <w:t xml:space="preserve"> umożliwi kompleksową ochronę zasad uczciwego obrotu przez zapewnienie KNF posiadania narzędzi do faktycznego egzekwowania przepisów zapewniających wymóg działania firm inwestycyjnych i osób odpowiedzialnych za ich funkcjonowanie zgodnie z prawem.</w:t>
      </w:r>
      <w:r w:rsidR="007C389F">
        <w:rPr>
          <w:rFonts w:ascii="Times New Roman" w:hAnsi="Times New Roman" w:cs="Times New Roman"/>
          <w:bCs/>
          <w:iCs/>
          <w:sz w:val="24"/>
          <w:szCs w:val="24"/>
        </w:rPr>
        <w:t xml:space="preserve"> </w:t>
      </w:r>
    </w:p>
    <w:p w14:paraId="5207C5D3" w14:textId="77777777" w:rsidR="000014D0" w:rsidRPr="006B2CD4" w:rsidRDefault="000014D0" w:rsidP="00EA3109">
      <w:pPr>
        <w:shd w:val="clear" w:color="auto" w:fill="FFFFFF" w:themeFill="background1"/>
        <w:spacing w:after="120" w:line="360" w:lineRule="auto"/>
        <w:jc w:val="both"/>
        <w:rPr>
          <w:rFonts w:ascii="Times New Roman" w:hAnsi="Times New Roman" w:cs="Times New Roman"/>
          <w:bCs/>
          <w:iCs/>
          <w:sz w:val="24"/>
          <w:szCs w:val="24"/>
        </w:rPr>
      </w:pPr>
      <w:r w:rsidRPr="006B2CD4">
        <w:rPr>
          <w:rFonts w:ascii="Times New Roman" w:hAnsi="Times New Roman" w:cs="Times New Roman"/>
          <w:bCs/>
          <w:iCs/>
          <w:sz w:val="24"/>
          <w:szCs w:val="24"/>
        </w:rPr>
        <w:t xml:space="preserve">Dodanie ust. 1bb rozszerzy możliwość nakładania kar pieniężnych również na byłych członków zarządu i rady nadzorczej, co pozwoli na dostosowanie stosowanych sankcji do zmieniającej się sytuacji na rynku i występowania coraz poważniejszych naruszeń stwierdzanych w </w:t>
      </w:r>
      <w:r w:rsidRPr="006B2CD4">
        <w:rPr>
          <w:rFonts w:ascii="Times New Roman" w:hAnsi="Times New Roman" w:cs="Times New Roman"/>
          <w:bCs/>
          <w:iCs/>
          <w:sz w:val="24"/>
          <w:szCs w:val="24"/>
        </w:rPr>
        <w:lastRenderedPageBreak/>
        <w:t xml:space="preserve">działalności firm inwestycyjnych, które powinny być identyfikowane oraz eliminowane przez zarząd i radę nadzorczą spółki. </w:t>
      </w:r>
    </w:p>
    <w:p w14:paraId="0F3D0B38" w14:textId="70F605AC" w:rsidR="000014D0" w:rsidRPr="006B2CD4" w:rsidRDefault="000014D0" w:rsidP="000014D0">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Uchylenie art. 169</w:t>
      </w:r>
      <w:r w:rsidR="00C73D6C">
        <w:rPr>
          <w:rFonts w:ascii="Times New Roman" w:hAnsi="Times New Roman" w:cs="Times New Roman"/>
          <w:bCs/>
          <w:sz w:val="24"/>
          <w:szCs w:val="24"/>
        </w:rPr>
        <w:t>a</w:t>
      </w:r>
      <w:r>
        <w:rPr>
          <w:rFonts w:ascii="Times New Roman" w:hAnsi="Times New Roman" w:cs="Times New Roman"/>
          <w:bCs/>
          <w:sz w:val="24"/>
          <w:szCs w:val="24"/>
        </w:rPr>
        <w:t xml:space="preserve"> ust. 1c wynika z tego, że przepis ten jest nadmiarowy w stosunku do istniejących już regulacji zawartych w art. 189g k.p.a. Wobec istnienia już stosownej regulacji w przepisach ogólnych określających postępowanie administracyjne w sprawach dotyczących naruszeń przepisów, dodatkowe określenie terminów przedawnienia w ustawie o obrocie jest zbędne.</w:t>
      </w:r>
      <w:r w:rsidRPr="006B2CD4">
        <w:rPr>
          <w:rFonts w:ascii="Times New Roman" w:hAnsi="Times New Roman" w:cs="Times New Roman"/>
          <w:bCs/>
          <w:iCs/>
          <w:sz w:val="24"/>
          <w:szCs w:val="24"/>
        </w:rPr>
        <w:t xml:space="preserve"> Zmiana we wprowadzenia do wyliczenia w ust. 1d</w:t>
      </w:r>
      <w:r w:rsidRPr="006B2CD4">
        <w:rPr>
          <w:rFonts w:ascii="Times New Roman" w:hAnsi="Times New Roman" w:cs="Times New Roman"/>
          <w:b/>
          <w:bCs/>
          <w:iCs/>
          <w:sz w:val="24"/>
          <w:szCs w:val="24"/>
        </w:rPr>
        <w:t xml:space="preserve"> </w:t>
      </w:r>
      <w:r w:rsidRPr="006B2CD4">
        <w:rPr>
          <w:rFonts w:ascii="Times New Roman" w:hAnsi="Times New Roman" w:cs="Times New Roman"/>
          <w:bCs/>
          <w:iCs/>
          <w:sz w:val="24"/>
          <w:szCs w:val="24"/>
        </w:rPr>
        <w:t>ma charakter wynikowy.</w:t>
      </w:r>
    </w:p>
    <w:p w14:paraId="33E41579" w14:textId="7F161E1D" w:rsidR="000014D0" w:rsidRDefault="000014D0" w:rsidP="000014D0">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 xml:space="preserve">Zmiana art. 171 ust. 4 jest zmianą do </w:t>
      </w:r>
      <w:r w:rsidR="00256B56">
        <w:rPr>
          <w:rFonts w:ascii="Times New Roman" w:hAnsi="Times New Roman" w:cs="Times New Roman"/>
          <w:bCs/>
          <w:sz w:val="24"/>
          <w:szCs w:val="24"/>
        </w:rPr>
        <w:t xml:space="preserve">zmiany w </w:t>
      </w:r>
      <w:r w:rsidRPr="006B2CD4">
        <w:rPr>
          <w:rFonts w:ascii="Times New Roman" w:hAnsi="Times New Roman" w:cs="Times New Roman"/>
          <w:bCs/>
          <w:sz w:val="24"/>
          <w:szCs w:val="24"/>
        </w:rPr>
        <w:t xml:space="preserve">art. 166 ust. 4. Z uwagi na te same przesłanki konieczna jest zmiana brzmienia przewidująca, </w:t>
      </w:r>
      <w:r w:rsidR="00256B56">
        <w:rPr>
          <w:rFonts w:ascii="Times New Roman" w:hAnsi="Times New Roman" w:cs="Times New Roman"/>
          <w:bCs/>
          <w:sz w:val="24"/>
          <w:szCs w:val="24"/>
        </w:rPr>
        <w:t xml:space="preserve">że </w:t>
      </w:r>
      <w:r w:rsidRPr="006B2CD4">
        <w:rPr>
          <w:rFonts w:ascii="Times New Roman" w:hAnsi="Times New Roman" w:cs="Times New Roman"/>
          <w:bCs/>
          <w:sz w:val="24"/>
          <w:szCs w:val="24"/>
        </w:rPr>
        <w:t>ogłoszenie rozstrzygnięcia o niedokonaniu zawiadomień, o których mowa w art. 171 ust. 1</w:t>
      </w:r>
      <w:r w:rsidR="000C3A41">
        <w:rPr>
          <w:rFonts w:ascii="Times New Roman" w:hAnsi="Times New Roman" w:cs="Times New Roman"/>
          <w:bCs/>
          <w:sz w:val="24"/>
          <w:szCs w:val="24"/>
        </w:rPr>
        <w:t xml:space="preserve">, </w:t>
      </w:r>
      <w:r w:rsidR="00256B56">
        <w:rPr>
          <w:rFonts w:ascii="Times New Roman" w:hAnsi="Times New Roman" w:cs="Times New Roman"/>
          <w:bCs/>
          <w:sz w:val="24"/>
          <w:szCs w:val="24"/>
        </w:rPr>
        <w:t xml:space="preserve">będzie </w:t>
      </w:r>
      <w:r w:rsidRPr="006B2CD4">
        <w:rPr>
          <w:rFonts w:ascii="Times New Roman" w:hAnsi="Times New Roman" w:cs="Times New Roman"/>
          <w:bCs/>
          <w:sz w:val="24"/>
          <w:szCs w:val="24"/>
        </w:rPr>
        <w:t xml:space="preserve">miało charakter fakultatywny i zostało pozostawione do decyzji KNF. </w:t>
      </w:r>
    </w:p>
    <w:p w14:paraId="2B9D521A" w14:textId="527A00E4" w:rsidR="00C90F0D" w:rsidRDefault="00C90F0D" w:rsidP="00C90F0D">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Zmiana art. 173a i art. 173b ma</w:t>
      </w:r>
      <w:r w:rsidRPr="00B106F2">
        <w:rPr>
          <w:rFonts w:ascii="Times New Roman" w:hAnsi="Times New Roman" w:cs="Times New Roman"/>
          <w:bCs/>
          <w:sz w:val="24"/>
          <w:szCs w:val="24"/>
        </w:rPr>
        <w:t xml:space="preserve"> na celu ujednolicenie regulacji dotyczących sposobu ustalania kwoty stanowiącej górną granicę kary pieniężnej, </w:t>
      </w:r>
      <w:r w:rsidR="000C3A41">
        <w:rPr>
          <w:rFonts w:ascii="Times New Roman" w:hAnsi="Times New Roman" w:cs="Times New Roman"/>
          <w:bCs/>
          <w:sz w:val="24"/>
          <w:szCs w:val="24"/>
        </w:rPr>
        <w:t xml:space="preserve">która może być nałożona </w:t>
      </w:r>
      <w:r w:rsidRPr="00B106F2">
        <w:rPr>
          <w:rFonts w:ascii="Times New Roman" w:hAnsi="Times New Roman" w:cs="Times New Roman"/>
          <w:bCs/>
          <w:sz w:val="24"/>
          <w:szCs w:val="24"/>
        </w:rPr>
        <w:t>na podmiot podlegający ukaraniu, zarówno w obrębie danej ustawy sektoro</w:t>
      </w:r>
      <w:r w:rsidR="000C3A41">
        <w:rPr>
          <w:rFonts w:ascii="Times New Roman" w:hAnsi="Times New Roman" w:cs="Times New Roman"/>
          <w:bCs/>
          <w:sz w:val="24"/>
          <w:szCs w:val="24"/>
        </w:rPr>
        <w:t xml:space="preserve">wej, </w:t>
      </w:r>
      <w:r>
        <w:rPr>
          <w:rFonts w:ascii="Times New Roman" w:hAnsi="Times New Roman" w:cs="Times New Roman"/>
          <w:bCs/>
          <w:sz w:val="24"/>
          <w:szCs w:val="24"/>
        </w:rPr>
        <w:t>jak i w ujęciu systemowym.</w:t>
      </w:r>
      <w:r w:rsidR="005319D8">
        <w:rPr>
          <w:rFonts w:ascii="Times New Roman" w:hAnsi="Times New Roman" w:cs="Times New Roman"/>
          <w:bCs/>
          <w:sz w:val="24"/>
          <w:szCs w:val="24"/>
        </w:rPr>
        <w:t xml:space="preserve"> Zakres ujednolicenia związany jest z uwzględnianiem przy jej wyliczeniu poziomu całkowitego rocznego przychodu danego kontrahenta, co uczyni karę po pierwsze adekwatną, a po drugie proporcjonalną.</w:t>
      </w:r>
      <w:r w:rsidR="007C389F">
        <w:rPr>
          <w:rFonts w:ascii="Times New Roman" w:hAnsi="Times New Roman" w:cs="Times New Roman"/>
          <w:bCs/>
          <w:sz w:val="24"/>
          <w:szCs w:val="24"/>
        </w:rPr>
        <w:t xml:space="preserve"> </w:t>
      </w:r>
      <w:r w:rsidRPr="00B106F2">
        <w:rPr>
          <w:rFonts w:ascii="Times New Roman" w:hAnsi="Times New Roman" w:cs="Times New Roman"/>
          <w:bCs/>
          <w:sz w:val="24"/>
          <w:szCs w:val="24"/>
        </w:rPr>
        <w:t>Ponadto proponowane zmiany służą wyeliminowaniu wątpliwości in</w:t>
      </w:r>
      <w:r w:rsidRPr="00B106F2">
        <w:rPr>
          <w:rFonts w:ascii="Times New Roman" w:hAnsi="Times New Roman" w:cs="Times New Roman"/>
          <w:bCs/>
          <w:sz w:val="24"/>
          <w:szCs w:val="24"/>
        </w:rPr>
        <w:lastRenderedPageBreak/>
        <w:t>terpretacyjnych, przez doprecyzowanie rodzaju przychodu podmiotu ujawnionego w sprawozdaniu finansowym oraz okresu objętego sprawozdaniem finansowym, z którego zaczerpnięty jest ten</w:t>
      </w:r>
      <w:r>
        <w:rPr>
          <w:rFonts w:ascii="Times New Roman" w:hAnsi="Times New Roman" w:cs="Times New Roman"/>
          <w:bCs/>
          <w:sz w:val="24"/>
          <w:szCs w:val="24"/>
        </w:rPr>
        <w:t xml:space="preserve"> przychód</w:t>
      </w:r>
      <w:r w:rsidR="005319D8">
        <w:rPr>
          <w:rFonts w:ascii="Times New Roman" w:hAnsi="Times New Roman" w:cs="Times New Roman"/>
          <w:bCs/>
          <w:sz w:val="24"/>
          <w:szCs w:val="24"/>
        </w:rPr>
        <w:t xml:space="preserve"> będący podstawą wyliczenia wymiaru kary.</w:t>
      </w:r>
    </w:p>
    <w:p w14:paraId="4D638B4F" w14:textId="0C21CC95" w:rsidR="00C90F0D" w:rsidRDefault="00C90F0D" w:rsidP="00C90F0D">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W art. 173c p</w:t>
      </w:r>
      <w:r w:rsidRPr="00B106F2">
        <w:rPr>
          <w:rFonts w:ascii="Times New Roman" w:hAnsi="Times New Roman" w:cs="Times New Roman"/>
          <w:bCs/>
          <w:sz w:val="24"/>
          <w:szCs w:val="24"/>
        </w:rPr>
        <w:t xml:space="preserve">roponowana zmiana </w:t>
      </w:r>
      <w:r w:rsidR="00256B56">
        <w:rPr>
          <w:rFonts w:ascii="Times New Roman" w:hAnsi="Times New Roman" w:cs="Times New Roman"/>
          <w:bCs/>
          <w:sz w:val="24"/>
          <w:szCs w:val="24"/>
        </w:rPr>
        <w:t xml:space="preserve">części wspólnej </w:t>
      </w:r>
      <w:r w:rsidRPr="00B106F2">
        <w:rPr>
          <w:rFonts w:ascii="Times New Roman" w:hAnsi="Times New Roman" w:cs="Times New Roman"/>
          <w:bCs/>
          <w:sz w:val="24"/>
          <w:szCs w:val="24"/>
        </w:rPr>
        <w:t xml:space="preserve">ma na celu ujednolicenie regulacji dotyczących sposobu ustalania kwoty stanowiącej górną granicę kary pieniężnej, </w:t>
      </w:r>
      <w:r w:rsidR="000C3A41">
        <w:rPr>
          <w:rFonts w:ascii="Times New Roman" w:hAnsi="Times New Roman" w:cs="Times New Roman"/>
          <w:bCs/>
          <w:sz w:val="24"/>
          <w:szCs w:val="24"/>
        </w:rPr>
        <w:t xml:space="preserve">która może być nałożona </w:t>
      </w:r>
      <w:r w:rsidRPr="00B106F2">
        <w:rPr>
          <w:rFonts w:ascii="Times New Roman" w:hAnsi="Times New Roman" w:cs="Times New Roman"/>
          <w:bCs/>
          <w:sz w:val="24"/>
          <w:szCs w:val="24"/>
        </w:rPr>
        <w:t>na podmiot podlegający ukaraniu, zarówno w obrębie danej ustawy sektoro</w:t>
      </w:r>
      <w:r w:rsidR="000C3A41">
        <w:rPr>
          <w:rFonts w:ascii="Times New Roman" w:hAnsi="Times New Roman" w:cs="Times New Roman"/>
          <w:bCs/>
          <w:sz w:val="24"/>
          <w:szCs w:val="24"/>
        </w:rPr>
        <w:t xml:space="preserve">wej, </w:t>
      </w:r>
      <w:r>
        <w:rPr>
          <w:rFonts w:ascii="Times New Roman" w:hAnsi="Times New Roman" w:cs="Times New Roman"/>
          <w:bCs/>
          <w:sz w:val="24"/>
          <w:szCs w:val="24"/>
        </w:rPr>
        <w:t>jak i w ujęciu systemowym.</w:t>
      </w:r>
      <w:r w:rsidR="005319D8">
        <w:rPr>
          <w:rFonts w:ascii="Times New Roman" w:hAnsi="Times New Roman" w:cs="Times New Roman"/>
          <w:bCs/>
          <w:sz w:val="24"/>
          <w:szCs w:val="24"/>
        </w:rPr>
        <w:t xml:space="preserve"> Zakres ujednolicenia związany jest z uwzględnianiem przy jej wyliczeniu poziomu całkowitego rocznego przychodu danego kontrahenta, co uczyni karę po pierwsze adekwatną, a po drugie proporcjonalną.</w:t>
      </w:r>
      <w:r>
        <w:rPr>
          <w:rFonts w:ascii="Times New Roman" w:hAnsi="Times New Roman" w:cs="Times New Roman"/>
          <w:bCs/>
          <w:sz w:val="24"/>
          <w:szCs w:val="24"/>
        </w:rPr>
        <w:t xml:space="preserve"> </w:t>
      </w:r>
      <w:r w:rsidRPr="00B106F2">
        <w:rPr>
          <w:rFonts w:ascii="Times New Roman" w:hAnsi="Times New Roman" w:cs="Times New Roman"/>
          <w:bCs/>
          <w:sz w:val="24"/>
          <w:szCs w:val="24"/>
        </w:rPr>
        <w:t>Ponadto proponowana zmiana służy wyeliminowaniu wątpliwości interpretacyjnych, przez doprecyzowanie rodzaju przychodu podmiotu ujawnionego w sprawozdaniu finansowym oraz</w:t>
      </w:r>
      <w:r>
        <w:rPr>
          <w:rFonts w:ascii="Times New Roman" w:hAnsi="Times New Roman" w:cs="Times New Roman"/>
          <w:bCs/>
          <w:sz w:val="24"/>
          <w:szCs w:val="24"/>
        </w:rPr>
        <w:t xml:space="preserve"> okresu objętego sprawozdaniem finansowym, z którego zaczerpnięty jest przychód</w:t>
      </w:r>
      <w:r w:rsidR="000C3A41">
        <w:rPr>
          <w:rFonts w:ascii="Times New Roman" w:hAnsi="Times New Roman" w:cs="Times New Roman"/>
          <w:bCs/>
          <w:sz w:val="24"/>
          <w:szCs w:val="24"/>
        </w:rPr>
        <w:t xml:space="preserve"> </w:t>
      </w:r>
      <w:r w:rsidR="005319D8">
        <w:rPr>
          <w:rFonts w:ascii="Times New Roman" w:hAnsi="Times New Roman" w:cs="Times New Roman"/>
          <w:bCs/>
          <w:sz w:val="24"/>
          <w:szCs w:val="24"/>
        </w:rPr>
        <w:t>będący podstawą wyliczenia wymiaru kary.</w:t>
      </w:r>
    </w:p>
    <w:p w14:paraId="785BEEFC" w14:textId="624CCB61" w:rsidR="00C90F0D" w:rsidRPr="006B2CD4" w:rsidRDefault="00256B56" w:rsidP="000014D0">
      <w:pPr>
        <w:shd w:val="clear" w:color="auto" w:fill="FFFFFF" w:themeFill="background1"/>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Zmiana </w:t>
      </w:r>
      <w:r w:rsidR="00C90F0D">
        <w:rPr>
          <w:rFonts w:ascii="Times New Roman" w:hAnsi="Times New Roman" w:cs="Times New Roman"/>
          <w:bCs/>
          <w:sz w:val="24"/>
          <w:szCs w:val="24"/>
        </w:rPr>
        <w:t xml:space="preserve">art. 178 uzasadniona jest tym, że </w:t>
      </w:r>
      <w:r>
        <w:rPr>
          <w:rFonts w:ascii="Times New Roman" w:hAnsi="Times New Roman" w:cs="Times New Roman"/>
          <w:bCs/>
          <w:sz w:val="24"/>
          <w:szCs w:val="24"/>
        </w:rPr>
        <w:t xml:space="preserve">obecny rodzaj i wymiar </w:t>
      </w:r>
      <w:r w:rsidR="00C90F0D" w:rsidRPr="00B106F2">
        <w:rPr>
          <w:rFonts w:ascii="Times New Roman" w:hAnsi="Times New Roman" w:cs="Times New Roman"/>
          <w:bCs/>
          <w:sz w:val="24"/>
          <w:szCs w:val="24"/>
        </w:rPr>
        <w:t>kar</w:t>
      </w:r>
      <w:r>
        <w:rPr>
          <w:rFonts w:ascii="Times New Roman" w:hAnsi="Times New Roman" w:cs="Times New Roman"/>
          <w:bCs/>
          <w:sz w:val="24"/>
          <w:szCs w:val="24"/>
        </w:rPr>
        <w:t>y</w:t>
      </w:r>
      <w:r w:rsidR="00C90F0D" w:rsidRPr="00B106F2">
        <w:rPr>
          <w:rFonts w:ascii="Times New Roman" w:hAnsi="Times New Roman" w:cs="Times New Roman"/>
          <w:bCs/>
          <w:sz w:val="24"/>
          <w:szCs w:val="24"/>
        </w:rPr>
        <w:t xml:space="preserve"> </w:t>
      </w:r>
      <w:r w:rsidRPr="00B106F2">
        <w:rPr>
          <w:rFonts w:ascii="Times New Roman" w:hAnsi="Times New Roman" w:cs="Times New Roman"/>
          <w:bCs/>
          <w:sz w:val="24"/>
          <w:szCs w:val="24"/>
        </w:rPr>
        <w:t xml:space="preserve">nie ma w istocie charakteru ani prewencji ogólnej ani indywidualnej </w:t>
      </w:r>
      <w:r>
        <w:rPr>
          <w:rFonts w:ascii="Times New Roman" w:hAnsi="Times New Roman" w:cs="Times New Roman"/>
          <w:bCs/>
          <w:sz w:val="24"/>
          <w:szCs w:val="24"/>
        </w:rPr>
        <w:t xml:space="preserve">i </w:t>
      </w:r>
      <w:r w:rsidR="00C90F0D" w:rsidRPr="00B106F2">
        <w:rPr>
          <w:rFonts w:ascii="Times New Roman" w:hAnsi="Times New Roman" w:cs="Times New Roman"/>
          <w:bCs/>
          <w:sz w:val="24"/>
          <w:szCs w:val="24"/>
        </w:rPr>
        <w:t xml:space="preserve">pozostaje w swoistej kolizji z katalogiem sankcji za </w:t>
      </w:r>
      <w:r>
        <w:rPr>
          <w:rFonts w:ascii="Times New Roman" w:hAnsi="Times New Roman" w:cs="Times New Roman"/>
          <w:bCs/>
          <w:sz w:val="24"/>
          <w:szCs w:val="24"/>
        </w:rPr>
        <w:t xml:space="preserve">inne </w:t>
      </w:r>
      <w:r w:rsidR="00C90F0D" w:rsidRPr="00B106F2">
        <w:rPr>
          <w:rFonts w:ascii="Times New Roman" w:hAnsi="Times New Roman" w:cs="Times New Roman"/>
          <w:bCs/>
          <w:sz w:val="24"/>
          <w:szCs w:val="24"/>
        </w:rPr>
        <w:t>czyny przestępcze na rynku finansowym.</w:t>
      </w:r>
      <w:r w:rsidR="007C389F">
        <w:rPr>
          <w:rFonts w:ascii="Times New Roman" w:hAnsi="Times New Roman" w:cs="Times New Roman"/>
          <w:bCs/>
          <w:sz w:val="24"/>
          <w:szCs w:val="24"/>
        </w:rPr>
        <w:t xml:space="preserve"> </w:t>
      </w:r>
      <w:r>
        <w:rPr>
          <w:rFonts w:ascii="Times New Roman" w:hAnsi="Times New Roman" w:cs="Times New Roman"/>
          <w:bCs/>
          <w:sz w:val="24"/>
          <w:szCs w:val="24"/>
        </w:rPr>
        <w:t>C</w:t>
      </w:r>
      <w:r w:rsidR="00C90F0D" w:rsidRPr="00B106F2">
        <w:rPr>
          <w:rFonts w:ascii="Times New Roman" w:hAnsi="Times New Roman" w:cs="Times New Roman"/>
          <w:bCs/>
          <w:sz w:val="24"/>
          <w:szCs w:val="24"/>
        </w:rPr>
        <w:t>zyny mniejszej wagi</w:t>
      </w:r>
      <w:r>
        <w:rPr>
          <w:rFonts w:ascii="Times New Roman" w:hAnsi="Times New Roman" w:cs="Times New Roman"/>
          <w:bCs/>
          <w:sz w:val="24"/>
          <w:szCs w:val="24"/>
        </w:rPr>
        <w:t xml:space="preserve">, </w:t>
      </w:r>
      <w:r w:rsidR="00C90F0D" w:rsidRPr="00B106F2">
        <w:rPr>
          <w:rFonts w:ascii="Times New Roman" w:hAnsi="Times New Roman" w:cs="Times New Roman"/>
          <w:bCs/>
          <w:sz w:val="24"/>
          <w:szCs w:val="24"/>
        </w:rPr>
        <w:t>np</w:t>
      </w:r>
      <w:r w:rsidR="003051FB">
        <w:rPr>
          <w:rFonts w:ascii="Times New Roman" w:hAnsi="Times New Roman" w:cs="Times New Roman"/>
          <w:bCs/>
          <w:sz w:val="24"/>
          <w:szCs w:val="24"/>
        </w:rPr>
        <w:t>. nielegalne używanie oznaczeń „</w:t>
      </w:r>
      <w:r w:rsidR="00C90F0D" w:rsidRPr="00B106F2">
        <w:rPr>
          <w:rFonts w:ascii="Times New Roman" w:hAnsi="Times New Roman" w:cs="Times New Roman"/>
          <w:bCs/>
          <w:sz w:val="24"/>
          <w:szCs w:val="24"/>
        </w:rPr>
        <w:t xml:space="preserve">giełda instrumentów </w:t>
      </w:r>
      <w:r w:rsidR="003051FB">
        <w:rPr>
          <w:rFonts w:ascii="Times New Roman" w:hAnsi="Times New Roman" w:cs="Times New Roman"/>
          <w:bCs/>
          <w:sz w:val="24"/>
          <w:szCs w:val="24"/>
        </w:rPr>
        <w:t>finansowych”</w:t>
      </w:r>
      <w:r w:rsidR="007C389F">
        <w:rPr>
          <w:rFonts w:ascii="Times New Roman" w:hAnsi="Times New Roman" w:cs="Times New Roman"/>
          <w:bCs/>
          <w:sz w:val="24"/>
          <w:szCs w:val="24"/>
        </w:rPr>
        <w:t xml:space="preserve"> </w:t>
      </w:r>
      <w:r w:rsidR="003051FB">
        <w:rPr>
          <w:rFonts w:ascii="Times New Roman" w:hAnsi="Times New Roman" w:cs="Times New Roman"/>
          <w:bCs/>
          <w:sz w:val="24"/>
          <w:szCs w:val="24"/>
        </w:rPr>
        <w:t>czy „rynek regulowany”</w:t>
      </w:r>
      <w:r>
        <w:rPr>
          <w:rFonts w:ascii="Times New Roman" w:hAnsi="Times New Roman" w:cs="Times New Roman"/>
          <w:bCs/>
          <w:sz w:val="24"/>
          <w:szCs w:val="24"/>
        </w:rPr>
        <w:t xml:space="preserve"> (</w:t>
      </w:r>
      <w:r w:rsidRPr="00B106F2">
        <w:rPr>
          <w:rFonts w:ascii="Times New Roman" w:hAnsi="Times New Roman" w:cs="Times New Roman"/>
          <w:bCs/>
          <w:sz w:val="24"/>
          <w:szCs w:val="24"/>
        </w:rPr>
        <w:t>art. 178a</w:t>
      </w:r>
      <w:r w:rsidR="00C90F0D" w:rsidRPr="00B106F2">
        <w:rPr>
          <w:rFonts w:ascii="Times New Roman" w:hAnsi="Times New Roman" w:cs="Times New Roman"/>
          <w:bCs/>
          <w:sz w:val="24"/>
          <w:szCs w:val="24"/>
        </w:rPr>
        <w:t>) przewidują karę</w:t>
      </w:r>
      <w:r>
        <w:rPr>
          <w:rFonts w:ascii="Times New Roman" w:hAnsi="Times New Roman" w:cs="Times New Roman"/>
          <w:bCs/>
          <w:sz w:val="24"/>
          <w:szCs w:val="24"/>
        </w:rPr>
        <w:t xml:space="preserve"> pozbawienia wolności, </w:t>
      </w:r>
      <w:r w:rsidR="00C90F0D" w:rsidRPr="00B106F2">
        <w:rPr>
          <w:rFonts w:ascii="Times New Roman" w:hAnsi="Times New Roman" w:cs="Times New Roman"/>
          <w:bCs/>
          <w:sz w:val="24"/>
          <w:szCs w:val="24"/>
        </w:rPr>
        <w:t xml:space="preserve">natomiast </w:t>
      </w:r>
      <w:r>
        <w:rPr>
          <w:rFonts w:ascii="Times New Roman" w:hAnsi="Times New Roman" w:cs="Times New Roman"/>
          <w:bCs/>
          <w:sz w:val="24"/>
          <w:szCs w:val="24"/>
        </w:rPr>
        <w:t xml:space="preserve">prowadzenie </w:t>
      </w:r>
      <w:r w:rsidR="00C90F0D" w:rsidRPr="00B106F2">
        <w:rPr>
          <w:rFonts w:ascii="Times New Roman" w:hAnsi="Times New Roman" w:cs="Times New Roman"/>
          <w:bCs/>
          <w:sz w:val="24"/>
          <w:szCs w:val="24"/>
        </w:rPr>
        <w:t>giełd</w:t>
      </w:r>
      <w:r>
        <w:rPr>
          <w:rFonts w:ascii="Times New Roman" w:hAnsi="Times New Roman" w:cs="Times New Roman"/>
          <w:bCs/>
          <w:sz w:val="24"/>
          <w:szCs w:val="24"/>
        </w:rPr>
        <w:t xml:space="preserve">y </w:t>
      </w:r>
      <w:r w:rsidR="00C90F0D" w:rsidRPr="00B106F2">
        <w:rPr>
          <w:rFonts w:ascii="Times New Roman" w:hAnsi="Times New Roman" w:cs="Times New Roman"/>
          <w:bCs/>
          <w:sz w:val="24"/>
          <w:szCs w:val="24"/>
        </w:rPr>
        <w:t xml:space="preserve">bez zezwolenia </w:t>
      </w:r>
      <w:r w:rsidR="00551353">
        <w:rPr>
          <w:rFonts w:ascii="Times New Roman" w:hAnsi="Times New Roman" w:cs="Times New Roman"/>
          <w:bCs/>
          <w:sz w:val="24"/>
          <w:szCs w:val="24"/>
        </w:rPr>
        <w:t>nie przewiduje takiej kary.</w:t>
      </w:r>
      <w:r w:rsidR="008F0C42">
        <w:rPr>
          <w:rFonts w:ascii="Times New Roman" w:hAnsi="Times New Roman" w:cs="Times New Roman"/>
          <w:bCs/>
          <w:sz w:val="24"/>
          <w:szCs w:val="24"/>
        </w:rPr>
        <w:t xml:space="preserve"> </w:t>
      </w:r>
      <w:r w:rsidR="00C90F0D" w:rsidRPr="00B106F2">
        <w:rPr>
          <w:rFonts w:ascii="Times New Roman" w:hAnsi="Times New Roman" w:cs="Times New Roman"/>
          <w:bCs/>
          <w:sz w:val="24"/>
          <w:szCs w:val="24"/>
        </w:rPr>
        <w:t>W związku z powyższym</w:t>
      </w:r>
      <w:r w:rsidR="008F0C42">
        <w:rPr>
          <w:rFonts w:ascii="Times New Roman" w:hAnsi="Times New Roman" w:cs="Times New Roman"/>
          <w:bCs/>
          <w:sz w:val="24"/>
          <w:szCs w:val="24"/>
        </w:rPr>
        <w:t xml:space="preserve"> proponuje się </w:t>
      </w:r>
      <w:r w:rsidR="00C90F0D" w:rsidRPr="00B106F2">
        <w:rPr>
          <w:rFonts w:ascii="Times New Roman" w:hAnsi="Times New Roman" w:cs="Times New Roman"/>
          <w:bCs/>
          <w:sz w:val="24"/>
          <w:szCs w:val="24"/>
        </w:rPr>
        <w:t xml:space="preserve">wprowadzenie </w:t>
      </w:r>
      <w:r w:rsidR="008F0C42" w:rsidRPr="00B106F2">
        <w:rPr>
          <w:rFonts w:ascii="Times New Roman" w:hAnsi="Times New Roman" w:cs="Times New Roman"/>
          <w:bCs/>
          <w:sz w:val="24"/>
          <w:szCs w:val="24"/>
        </w:rPr>
        <w:t>kary pozbawienia</w:t>
      </w:r>
      <w:r w:rsidR="008F0C42">
        <w:rPr>
          <w:rFonts w:ascii="Times New Roman" w:hAnsi="Times New Roman" w:cs="Times New Roman"/>
          <w:bCs/>
          <w:sz w:val="24"/>
          <w:szCs w:val="24"/>
        </w:rPr>
        <w:t xml:space="preserve"> wolności do lat 5, </w:t>
      </w:r>
      <w:r w:rsidR="00C90F0D" w:rsidRPr="00B106F2">
        <w:rPr>
          <w:rFonts w:ascii="Times New Roman" w:hAnsi="Times New Roman" w:cs="Times New Roman"/>
          <w:bCs/>
          <w:sz w:val="24"/>
          <w:szCs w:val="24"/>
        </w:rPr>
        <w:t>obok sankcji pieniężnej</w:t>
      </w:r>
      <w:r w:rsidR="008F0C42">
        <w:rPr>
          <w:rFonts w:ascii="Times New Roman" w:hAnsi="Times New Roman" w:cs="Times New Roman"/>
          <w:bCs/>
          <w:sz w:val="24"/>
          <w:szCs w:val="24"/>
        </w:rPr>
        <w:t>, –</w:t>
      </w:r>
      <w:r w:rsidR="00C90F0D" w:rsidRPr="00B106F2">
        <w:rPr>
          <w:rFonts w:ascii="Times New Roman" w:hAnsi="Times New Roman" w:cs="Times New Roman"/>
          <w:bCs/>
          <w:sz w:val="24"/>
          <w:szCs w:val="24"/>
        </w:rPr>
        <w:t xml:space="preserve"> tak jak w ustawie o funduszach inwestycyjnych (art. 287)</w:t>
      </w:r>
      <w:r w:rsidR="008F0C42">
        <w:rPr>
          <w:rFonts w:ascii="Times New Roman" w:hAnsi="Times New Roman" w:cs="Times New Roman"/>
          <w:bCs/>
          <w:sz w:val="24"/>
          <w:szCs w:val="24"/>
        </w:rPr>
        <w:t xml:space="preserve"> czy ustawie – P</w:t>
      </w:r>
      <w:r w:rsidR="00C90F0D" w:rsidRPr="00B106F2">
        <w:rPr>
          <w:rFonts w:ascii="Times New Roman" w:hAnsi="Times New Roman" w:cs="Times New Roman"/>
          <w:bCs/>
          <w:sz w:val="24"/>
          <w:szCs w:val="24"/>
        </w:rPr>
        <w:t>rawo bankowe (art. 171 ust. 1)</w:t>
      </w:r>
      <w:r w:rsidR="008F0C42">
        <w:rPr>
          <w:rFonts w:ascii="Times New Roman" w:hAnsi="Times New Roman" w:cs="Times New Roman"/>
          <w:bCs/>
          <w:sz w:val="24"/>
          <w:szCs w:val="24"/>
        </w:rPr>
        <w:t xml:space="preserve">. </w:t>
      </w:r>
    </w:p>
    <w:p w14:paraId="50188A4A" w14:textId="1D30F4E5" w:rsidR="000014D0" w:rsidRPr="006B2CD4" w:rsidRDefault="000014D0" w:rsidP="000014D0">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lastRenderedPageBreak/>
        <w:t xml:space="preserve">Z uwagi na nałożenie na emitentów nowych obowiązków w art. 7c należy ustanowić sankcję za ich naruszenie </w:t>
      </w:r>
      <w:r>
        <w:rPr>
          <w:rFonts w:ascii="Times New Roman" w:hAnsi="Times New Roman" w:cs="Times New Roman"/>
          <w:bCs/>
          <w:sz w:val="24"/>
          <w:szCs w:val="24"/>
        </w:rPr>
        <w:t xml:space="preserve">– </w:t>
      </w:r>
      <w:r w:rsidRPr="006B2CD4">
        <w:rPr>
          <w:rFonts w:ascii="Times New Roman" w:hAnsi="Times New Roman" w:cs="Times New Roman"/>
          <w:bCs/>
          <w:sz w:val="24"/>
          <w:szCs w:val="24"/>
        </w:rPr>
        <w:t xml:space="preserve">proponuje się, aby art. 178d objął dyspozycją także ten przepis. Obecnie sankcja karna dotyczy odpowiedzialności za naruszenie obowiązków, o których mowa w art. 7b–art. 7c będzie stanowił rozszerzenie tych obowiązków. </w:t>
      </w:r>
    </w:p>
    <w:p w14:paraId="57BD5144" w14:textId="07B219A5" w:rsidR="008F0C42" w:rsidRPr="006B2CD4" w:rsidRDefault="000014D0" w:rsidP="001119B6">
      <w:pPr>
        <w:shd w:val="clear" w:color="auto" w:fill="FFFFFF" w:themeFill="background1"/>
        <w:spacing w:after="120" w:line="360" w:lineRule="auto"/>
        <w:jc w:val="both"/>
        <w:rPr>
          <w:rFonts w:ascii="Times New Roman" w:hAnsi="Times New Roman" w:cs="Times New Roman"/>
          <w:bCs/>
          <w:sz w:val="24"/>
          <w:szCs w:val="24"/>
        </w:rPr>
      </w:pPr>
      <w:r w:rsidRPr="006B2CD4">
        <w:rPr>
          <w:rFonts w:ascii="Times New Roman" w:hAnsi="Times New Roman" w:cs="Times New Roman"/>
          <w:bCs/>
          <w:sz w:val="24"/>
          <w:szCs w:val="24"/>
        </w:rPr>
        <w:t>W związku z proponowanym wprowadzeniem możliwości żądania od agenta firmy inwestycyjnej informacji zgodnie z art. 79 ust. 11 zasadne jest wprowadzenie sankcji karnej za naruszenie tego przepisu – art. 184 ust. 1 przewiduje zatem karę aresztu, ograniczenia wolności albo grzywny za uniemożliwianie lub utrudnianie przeprowadzenia czynności kontrolnych przez upoważnionych pracowników U</w:t>
      </w:r>
      <w:r w:rsidR="000C3A41">
        <w:rPr>
          <w:rFonts w:ascii="Times New Roman" w:hAnsi="Times New Roman" w:cs="Times New Roman"/>
          <w:bCs/>
          <w:sz w:val="24"/>
          <w:szCs w:val="24"/>
        </w:rPr>
        <w:t xml:space="preserve">rzędu </w:t>
      </w:r>
      <w:r w:rsidRPr="006B2CD4">
        <w:rPr>
          <w:rFonts w:ascii="Times New Roman" w:hAnsi="Times New Roman" w:cs="Times New Roman"/>
          <w:bCs/>
          <w:sz w:val="24"/>
          <w:szCs w:val="24"/>
        </w:rPr>
        <w:t>KNF.</w:t>
      </w:r>
    </w:p>
    <w:p w14:paraId="16607A65" w14:textId="24F0C94A" w:rsidR="009C5B76" w:rsidRPr="00F709D9" w:rsidRDefault="00F709D9" w:rsidP="00BA1037">
      <w:pPr>
        <w:shd w:val="clear" w:color="auto" w:fill="FFFFFF" w:themeFill="background1"/>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Art. 1</w:t>
      </w:r>
      <w:r w:rsidR="00CF3CA3">
        <w:rPr>
          <w:rFonts w:ascii="Times New Roman" w:hAnsi="Times New Roman" w:cs="Times New Roman"/>
          <w:b/>
          <w:sz w:val="24"/>
          <w:szCs w:val="24"/>
        </w:rPr>
        <w:t>7</w:t>
      </w:r>
      <w:r w:rsidR="009C5B76" w:rsidRPr="00F709D9">
        <w:rPr>
          <w:rFonts w:ascii="Times New Roman" w:hAnsi="Times New Roman" w:cs="Times New Roman"/>
          <w:b/>
          <w:sz w:val="24"/>
          <w:szCs w:val="24"/>
        </w:rPr>
        <w:t>. Zmiany w ustawie o Centralnym Biurze Antykorupcyjnym</w:t>
      </w:r>
    </w:p>
    <w:p w14:paraId="2BF344EC" w14:textId="5826F775" w:rsidR="009C5B76" w:rsidRDefault="009C5B76" w:rsidP="00BA1037">
      <w:pPr>
        <w:shd w:val="clear" w:color="auto" w:fill="FFFFFF" w:themeFill="background1"/>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Nowelizacja przepisy art. 23 ust. 1 ustawy </w:t>
      </w:r>
      <w:r>
        <w:rPr>
          <w:rFonts w:ascii="Times New Roman" w:hAnsi="Times New Roman"/>
        </w:rPr>
        <w:t>przyczyni się do</w:t>
      </w:r>
      <w:r w:rsidRPr="00D4311D">
        <w:rPr>
          <w:rFonts w:ascii="Times New Roman" w:hAnsi="Times New Roman"/>
        </w:rPr>
        <w:t xml:space="preserve"> efektywnej realizacji ustawowych zadań CBA obejm</w:t>
      </w:r>
      <w:r>
        <w:rPr>
          <w:rFonts w:ascii="Times New Roman" w:hAnsi="Times New Roman"/>
        </w:rPr>
        <w:t xml:space="preserve">ujących weryfikację oświadczeń </w:t>
      </w:r>
      <w:r w:rsidR="00180B92">
        <w:rPr>
          <w:rFonts w:ascii="Times New Roman" w:hAnsi="Times New Roman"/>
        </w:rPr>
        <w:t>i deklaracji</w:t>
      </w:r>
      <w:r>
        <w:rPr>
          <w:rFonts w:ascii="Times New Roman" w:hAnsi="Times New Roman"/>
        </w:rPr>
        <w:t xml:space="preserve">. </w:t>
      </w:r>
      <w:r w:rsidRPr="00D4311D">
        <w:rPr>
          <w:rFonts w:ascii="Times New Roman" w:hAnsi="Times New Roman"/>
        </w:rPr>
        <w:t>Obecne uregulowania, z uwagi na brak możliwości sprawdzan</w:t>
      </w:r>
      <w:r>
        <w:rPr>
          <w:rFonts w:ascii="Times New Roman" w:hAnsi="Times New Roman"/>
        </w:rPr>
        <w:t>ia powiązań finansowych w tym zakresie</w:t>
      </w:r>
      <w:r w:rsidRPr="00D4311D">
        <w:rPr>
          <w:rFonts w:ascii="Times New Roman" w:hAnsi="Times New Roman"/>
        </w:rPr>
        <w:t>, w istotny sposób ograniczają możliwość wer</w:t>
      </w:r>
      <w:r>
        <w:rPr>
          <w:rFonts w:ascii="Times New Roman" w:hAnsi="Times New Roman"/>
        </w:rPr>
        <w:t xml:space="preserve">yfikowania składanych </w:t>
      </w:r>
      <w:r w:rsidRPr="00D4311D">
        <w:rPr>
          <w:rFonts w:ascii="Times New Roman" w:hAnsi="Times New Roman"/>
        </w:rPr>
        <w:t>oświadczeń i deklaracji dot. konfliktu interesów</w:t>
      </w:r>
      <w:r>
        <w:rPr>
          <w:rFonts w:ascii="Times New Roman" w:hAnsi="Times New Roman"/>
        </w:rPr>
        <w:t>.</w:t>
      </w:r>
    </w:p>
    <w:p w14:paraId="48D45CDD" w14:textId="3955B544" w:rsidR="0065031F" w:rsidRPr="006B2CD4" w:rsidRDefault="00E504CD" w:rsidP="004E272A">
      <w:pPr>
        <w:shd w:val="clear" w:color="auto" w:fill="FFFFFF" w:themeFill="background1"/>
        <w:tabs>
          <w:tab w:val="left" w:pos="426"/>
        </w:tabs>
        <w:spacing w:before="120" w:after="120" w:line="360" w:lineRule="auto"/>
        <w:jc w:val="both"/>
        <w:rPr>
          <w:rFonts w:ascii="Times New Roman" w:hAnsi="Times New Roman" w:cs="Times New Roman"/>
          <w:b/>
          <w:sz w:val="24"/>
          <w:szCs w:val="24"/>
        </w:rPr>
      </w:pPr>
      <w:r w:rsidRPr="006B2CD4">
        <w:rPr>
          <w:rFonts w:ascii="Times New Roman" w:hAnsi="Times New Roman" w:cs="Times New Roman"/>
          <w:b/>
          <w:sz w:val="24"/>
          <w:szCs w:val="24"/>
        </w:rPr>
        <w:t>Art. 1</w:t>
      </w:r>
      <w:r w:rsidR="00CF3CA3">
        <w:rPr>
          <w:rFonts w:ascii="Times New Roman" w:hAnsi="Times New Roman" w:cs="Times New Roman"/>
          <w:b/>
          <w:sz w:val="24"/>
          <w:szCs w:val="24"/>
        </w:rPr>
        <w:t>8</w:t>
      </w:r>
      <w:r w:rsidRPr="006B2CD4">
        <w:rPr>
          <w:rFonts w:ascii="Times New Roman" w:hAnsi="Times New Roman" w:cs="Times New Roman"/>
          <w:b/>
          <w:sz w:val="24"/>
          <w:szCs w:val="24"/>
        </w:rPr>
        <w:t xml:space="preserve">. </w:t>
      </w:r>
      <w:r w:rsidR="00923C89" w:rsidRPr="006B2CD4">
        <w:rPr>
          <w:rFonts w:ascii="Times New Roman" w:hAnsi="Times New Roman" w:cs="Times New Roman"/>
          <w:b/>
          <w:sz w:val="24"/>
          <w:szCs w:val="24"/>
        </w:rPr>
        <w:t>Zmiany w ustawie o nadzorze nad rynkiem finansowym</w:t>
      </w:r>
    </w:p>
    <w:p w14:paraId="01B0C43A" w14:textId="186D6FCC" w:rsidR="005B594C" w:rsidRPr="006B2CD4" w:rsidRDefault="005B594C" w:rsidP="008F0ECC">
      <w:pPr>
        <w:shd w:val="clear" w:color="auto" w:fill="FFFFFF" w:themeFill="background1"/>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Zmiana w art. 3g w ust. 1 pkt 6 ustawy o nadzorze nad rynkiem finansowym ma na celu poprawę zawartego w tym przepisie odesłania. Zgodnie tym przepisem KNF może cofnąć osobie trzeciej, o której mowa w art. 27 ust. 2 rozporządzenia 2017/2402, upoważnienie udzielone na </w:t>
      </w:r>
      <w:r w:rsidRPr="006B2CD4">
        <w:rPr>
          <w:rFonts w:ascii="Times New Roman" w:hAnsi="Times New Roman" w:cs="Times New Roman"/>
          <w:sz w:val="24"/>
          <w:szCs w:val="24"/>
        </w:rPr>
        <w:lastRenderedPageBreak/>
        <w:t>podstawie art. 28 ust. 1 rozporządzenia 2017/2402, na okres nie krótszy niż miesiąc i nie dłuższy niż rok – w przypadku, o którym mowa w art. 32 ust. 1 lit. f rozporządzenia 2017/2402 . Prawidłowo przepis ten powinien odsyłać do art. 32 ust. 1 lit. h rozporządzenia 2017/2402, który dotyczy ustanowienia sankcji w przypadku, gdy osoba trzecia upoważniona na podstawie art. 28 nie powiadomiła o istotnych zmianach w informacjach przekazanych zgodnie z art. 28 ust. 1 lub o jakichkolwiek innych zmianach. Błąd jest wynikiem powielenia analogicznego błędu w zakresie odesłania do art. 32 ust. 1 lit. h zamiast art. 32 ust. 1 lit. f zawartego w polskiej wersji językowej rozporządzenia 2017/2402 w art. 32 ust. 2 lit</w:t>
      </w:r>
      <w:r w:rsidR="00897652">
        <w:rPr>
          <w:rFonts w:ascii="Times New Roman" w:hAnsi="Times New Roman" w:cs="Times New Roman"/>
          <w:sz w:val="24"/>
          <w:szCs w:val="24"/>
        </w:rPr>
        <w:t>.</w:t>
      </w:r>
      <w:r w:rsidRPr="006B2CD4">
        <w:rPr>
          <w:rFonts w:ascii="Times New Roman" w:hAnsi="Times New Roman" w:cs="Times New Roman"/>
          <w:sz w:val="24"/>
          <w:szCs w:val="24"/>
        </w:rPr>
        <w:t xml:space="preserve"> h. </w:t>
      </w:r>
    </w:p>
    <w:p w14:paraId="3AB6B4DC" w14:textId="2C749B54" w:rsidR="005B594C" w:rsidRPr="006B2CD4" w:rsidRDefault="005B594C" w:rsidP="004E272A">
      <w:pPr>
        <w:shd w:val="clear" w:color="auto" w:fill="FFFFFF" w:themeFill="background1"/>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Zmiana w art. 6b ustawy o nadzorze nad rynkiem finansowym polegająca na usunięciu zdania drugiego ma charakter porządkujący. Przepis zdania drugiego jest nadmiarowy względem art. 15d ustawy o usługach płatniczych, dodanego w wyniku nowelizacji z 2018 r.</w:t>
      </w:r>
    </w:p>
    <w:p w14:paraId="4FC9A070" w14:textId="2D372604" w:rsidR="005B594C" w:rsidRPr="006B2CD4" w:rsidRDefault="005B594C" w:rsidP="00B459D5">
      <w:pPr>
        <w:shd w:val="clear" w:color="auto" w:fill="FFFFFF" w:themeFill="background1"/>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Przepisy dodanego art. 10a ustawy o nadzorze nad rynkiem finansowym regulują kwestię legityma</w:t>
      </w:r>
      <w:r w:rsidR="007739B7" w:rsidRPr="006B2CD4">
        <w:rPr>
          <w:rFonts w:ascii="Times New Roman" w:hAnsi="Times New Roman" w:cs="Times New Roman"/>
          <w:sz w:val="24"/>
          <w:szCs w:val="24"/>
        </w:rPr>
        <w:t xml:space="preserve">cji służbowej pracowników UKNF. </w:t>
      </w:r>
      <w:r w:rsidRPr="006B2CD4">
        <w:rPr>
          <w:rFonts w:ascii="Times New Roman" w:hAnsi="Times New Roman" w:cs="Times New Roman"/>
          <w:sz w:val="24"/>
          <w:szCs w:val="24"/>
        </w:rPr>
        <w:t>Zgodnie z obowiązującymi przepisami pracownicy UKNF są zobowiązani do posługiwania się legitymacjami służbowymi. Brakuje natomiast regulacji dotyczącej określenia ich wzoru oraz trybu wydawania, wymiany i zwrotu, co ma miejsce w przypadku innych ustaw przewidujących uprawnienia inspekcyjne dla pracowników poszczególnych urzędów lub służb. Istnieje zatem pewna lu</w:t>
      </w:r>
      <w:r w:rsidR="004E272A" w:rsidRPr="006B2CD4">
        <w:rPr>
          <w:rFonts w:ascii="Times New Roman" w:hAnsi="Times New Roman" w:cs="Times New Roman"/>
          <w:sz w:val="24"/>
          <w:szCs w:val="24"/>
        </w:rPr>
        <w:t xml:space="preserve">ka regulacyjna w tym zakresie. </w:t>
      </w:r>
      <w:r w:rsidRPr="006B2CD4">
        <w:rPr>
          <w:rFonts w:ascii="Times New Roman" w:hAnsi="Times New Roman" w:cs="Times New Roman"/>
          <w:sz w:val="24"/>
          <w:szCs w:val="24"/>
        </w:rPr>
        <w:t>Dodatkowo, określenie wzoru legitymacji służbowej pracowników UKNF pozwoli na docelowe włączenie legitymacji służbowych pracowników UKNF do katalogu dokumentów publicznych – w rozumieniu ustawy z dnia 22 listopada 2018 r. o dokumentach publicznych (Dz. U. z 202</w:t>
      </w:r>
      <w:r w:rsidR="005234C2">
        <w:rPr>
          <w:rFonts w:ascii="Times New Roman" w:hAnsi="Times New Roman" w:cs="Times New Roman"/>
          <w:sz w:val="24"/>
          <w:szCs w:val="24"/>
        </w:rPr>
        <w:t>3</w:t>
      </w:r>
      <w:r w:rsidRPr="006B2CD4">
        <w:rPr>
          <w:rFonts w:ascii="Times New Roman" w:hAnsi="Times New Roman" w:cs="Times New Roman"/>
          <w:sz w:val="24"/>
          <w:szCs w:val="24"/>
        </w:rPr>
        <w:t xml:space="preserve"> </w:t>
      </w:r>
      <w:r w:rsidRPr="006B2CD4">
        <w:rPr>
          <w:rFonts w:ascii="Times New Roman" w:hAnsi="Times New Roman" w:cs="Times New Roman"/>
          <w:sz w:val="24"/>
          <w:szCs w:val="24"/>
        </w:rPr>
        <w:lastRenderedPageBreak/>
        <w:t>r. poz. 1</w:t>
      </w:r>
      <w:r w:rsidR="005234C2">
        <w:rPr>
          <w:rFonts w:ascii="Times New Roman" w:hAnsi="Times New Roman" w:cs="Times New Roman"/>
          <w:sz w:val="24"/>
          <w:szCs w:val="24"/>
        </w:rPr>
        <w:t>006</w:t>
      </w:r>
      <w:r w:rsidRPr="006B2CD4">
        <w:rPr>
          <w:rFonts w:ascii="Times New Roman" w:hAnsi="Times New Roman" w:cs="Times New Roman"/>
          <w:sz w:val="24"/>
          <w:szCs w:val="24"/>
        </w:rPr>
        <w:t xml:space="preserve">). Jest to szczególnie istotne ze względu na ujawniające się przypadki podszywania się pod pracowników UKNF. Zwiększa się liczba przestępstw, w których sprawcy podszywają się pod pracowników UKNF posługując się sfałszowanymi dokumentami Urzędu. W tym kontekście należy wskazać, że upoważnieni pracownicy UKNF mają dostęp do pomieszczeń i dokumentów podmiotów nadzorowanych – uzyskują zatem dostęp do informacji szczególnie sensytywnych, w większości objętych tajemnicą ustawowo chronioną, co z kolei powinno nakazywać zapewnienie legitymacjom służbowym możliwie wysokiego poziomu zabezpieczeń przed sfałszowaniem. Zgodnie z art. </w:t>
      </w:r>
      <w:r w:rsidR="00BD34BE" w:rsidRPr="006B2CD4">
        <w:rPr>
          <w:rFonts w:ascii="Times New Roman" w:hAnsi="Times New Roman" w:cs="Times New Roman"/>
          <w:sz w:val="24"/>
          <w:szCs w:val="24"/>
        </w:rPr>
        <w:t>42 ust. 1</w:t>
      </w:r>
      <w:r w:rsidRPr="006B2CD4">
        <w:rPr>
          <w:rFonts w:ascii="Times New Roman" w:hAnsi="Times New Roman" w:cs="Times New Roman"/>
          <w:sz w:val="24"/>
          <w:szCs w:val="24"/>
        </w:rPr>
        <w:t xml:space="preserve"> projektowanej ustawy dodawane przepisy wejdą w życie z 6 </w:t>
      </w:r>
      <w:r w:rsidR="0068606C" w:rsidRPr="006B2CD4">
        <w:rPr>
          <w:rFonts w:ascii="Times New Roman" w:hAnsi="Times New Roman" w:cs="Times New Roman"/>
          <w:sz w:val="24"/>
          <w:szCs w:val="24"/>
        </w:rPr>
        <w:t>miesięczny</w:t>
      </w:r>
      <w:r w:rsidR="0068606C">
        <w:rPr>
          <w:rFonts w:ascii="Times New Roman" w:hAnsi="Times New Roman" w:cs="Times New Roman"/>
          <w:sz w:val="24"/>
          <w:szCs w:val="24"/>
        </w:rPr>
        <w:t>m</w:t>
      </w:r>
      <w:r w:rsidR="0068606C" w:rsidRPr="006B2CD4">
        <w:rPr>
          <w:rFonts w:ascii="Times New Roman" w:hAnsi="Times New Roman" w:cs="Times New Roman"/>
          <w:sz w:val="24"/>
          <w:szCs w:val="24"/>
        </w:rPr>
        <w:t xml:space="preserve"> </w:t>
      </w:r>
      <w:r w:rsidRPr="006B2CD4">
        <w:rPr>
          <w:rFonts w:ascii="Times New Roman" w:hAnsi="Times New Roman" w:cs="Times New Roman"/>
          <w:sz w:val="24"/>
          <w:szCs w:val="24"/>
        </w:rPr>
        <w:t xml:space="preserve">okresem vacatio legis. Legitymacje służbowe pracowników UKNF wydane przed zmianą przepisów utrzymują ważność do czasu upływu ich ważności lub zwrotu. </w:t>
      </w:r>
    </w:p>
    <w:p w14:paraId="44F512E9" w14:textId="02678D71" w:rsidR="005B594C" w:rsidRPr="006B2CD4" w:rsidRDefault="005E0526" w:rsidP="00B856D8">
      <w:pPr>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Zmiana art. 11b </w:t>
      </w:r>
      <w:r w:rsidR="005B594C" w:rsidRPr="006B2CD4">
        <w:rPr>
          <w:rFonts w:ascii="Times New Roman" w:hAnsi="Times New Roman" w:cs="Times New Roman"/>
          <w:sz w:val="24"/>
          <w:szCs w:val="24"/>
        </w:rPr>
        <w:t xml:space="preserve">w zakresie ust. 4 ustawy o nadzorze nad rynkiem finansowym ma na celu wydłużenie okresu na wydanie interpretacji KNF. Zgodnie z obecnie </w:t>
      </w:r>
      <w:r w:rsidR="000F17A9" w:rsidRPr="006B2CD4">
        <w:rPr>
          <w:rFonts w:ascii="Times New Roman" w:hAnsi="Times New Roman" w:cs="Times New Roman"/>
          <w:sz w:val="24"/>
          <w:szCs w:val="24"/>
        </w:rPr>
        <w:t>obowiązując</w:t>
      </w:r>
      <w:r w:rsidR="000F17A9">
        <w:rPr>
          <w:rFonts w:ascii="Times New Roman" w:hAnsi="Times New Roman" w:cs="Times New Roman"/>
          <w:sz w:val="24"/>
          <w:szCs w:val="24"/>
        </w:rPr>
        <w:t>ymi</w:t>
      </w:r>
      <w:r w:rsidR="000F17A9" w:rsidRPr="006B2CD4">
        <w:rPr>
          <w:rFonts w:ascii="Times New Roman" w:hAnsi="Times New Roman" w:cs="Times New Roman"/>
          <w:sz w:val="24"/>
          <w:szCs w:val="24"/>
        </w:rPr>
        <w:t xml:space="preserve"> </w:t>
      </w:r>
      <w:r w:rsidR="005B594C" w:rsidRPr="006B2CD4">
        <w:rPr>
          <w:rFonts w:ascii="Times New Roman" w:hAnsi="Times New Roman" w:cs="Times New Roman"/>
          <w:sz w:val="24"/>
          <w:szCs w:val="24"/>
        </w:rPr>
        <w:t xml:space="preserve">przepisami, po upływie 30 bądź 45 dni wnioskodawca może przyjąć, iż opisane we wniosku rozumienie przepisów ustaw wskazanych w art. 1 ust. 2 ustawy o nadzorze nad rynkiem finansowym jest prawidłowe, a planowany model biznesowy jest zgodny ze wszystkimi regulacjami rynku finansowego. Powoduje to ryzyko prowadzenia przez wnioskodawcę działalności przy braku zrozumienia bądź nieprawidłowej wykładni obowiązków uczestników rynku finansowego. Ze względu na to, iż zagadnienia prawne przedstawiane we wnioskach o interpretacje dotyczą tych aspektów działalności, co do których brak jest utrwalonej praktyki, a udzielenie </w:t>
      </w:r>
      <w:r w:rsidR="005B594C" w:rsidRPr="006B2CD4">
        <w:rPr>
          <w:rFonts w:ascii="Times New Roman" w:hAnsi="Times New Roman" w:cs="Times New Roman"/>
          <w:sz w:val="24"/>
          <w:szCs w:val="24"/>
        </w:rPr>
        <w:lastRenderedPageBreak/>
        <w:t xml:space="preserve">odpowiedzi wymaga analizy planowanego rozwiązania, usługi czy produktu, zasadne jest wydłużenie okresu na wydanie interpretacji. Wydłużenie terminu, z 30 dni do 45 dni oraz z 45 dni do 60 dni w przypadku szczególnie skomplikowanym, na wydanie interpretacji umożliwi przeprowadzenie pełnego procesu oceny wniosku oraz wypracowanie stanowiska. Dodanie pkt 3 w ust. 10 ograniczy możliwość uzyskania odpowiedzi KNF gdy głównym celem nie jest pomoc w interpretacji czy ustaleniu zakresu bądź sposobu stosowania przepisów rynku finansowego, a uniknięcie spełnienia wymagań związanych z funkcjonowaniem na rynku finansowym. Umożliwi to również nieudzielenie odpowiedzi przez organ nadzoru w przypadku, gdy </w:t>
      </w:r>
      <w:r w:rsidR="00B278B1">
        <w:rPr>
          <w:rFonts w:ascii="Times New Roman" w:hAnsi="Times New Roman" w:cs="Times New Roman"/>
          <w:sz w:val="24"/>
          <w:szCs w:val="24"/>
        </w:rPr>
        <w:t xml:space="preserve">zaistnieje </w:t>
      </w:r>
      <w:r w:rsidR="00B278B1" w:rsidRPr="00B278B1">
        <w:rPr>
          <w:rFonts w:ascii="Times New Roman" w:hAnsi="Times New Roman" w:cs="Times New Roman"/>
          <w:sz w:val="24"/>
          <w:szCs w:val="24"/>
        </w:rPr>
        <w:t xml:space="preserve">uzasadnione przypuszczenie, że działalność, której wniosek dotyczy </w:t>
      </w:r>
      <w:r w:rsidR="005B594C" w:rsidRPr="006B2CD4">
        <w:rPr>
          <w:rFonts w:ascii="Times New Roman" w:hAnsi="Times New Roman" w:cs="Times New Roman"/>
          <w:sz w:val="24"/>
          <w:szCs w:val="24"/>
        </w:rPr>
        <w:t>zmierza do naruszenia interesów uczestników rynku</w:t>
      </w:r>
      <w:r w:rsidR="00B278B1">
        <w:rPr>
          <w:rFonts w:ascii="Times New Roman" w:hAnsi="Times New Roman" w:cs="Times New Roman"/>
          <w:sz w:val="24"/>
          <w:szCs w:val="24"/>
        </w:rPr>
        <w:t xml:space="preserve"> lub </w:t>
      </w:r>
      <w:r w:rsidR="00B278B1" w:rsidRPr="00B278B1">
        <w:rPr>
          <w:rFonts w:ascii="Times New Roman" w:hAnsi="Times New Roman" w:cs="Times New Roman"/>
          <w:sz w:val="24"/>
          <w:szCs w:val="24"/>
        </w:rPr>
        <w:t>mo</w:t>
      </w:r>
      <w:r w:rsidR="00B278B1">
        <w:rPr>
          <w:rFonts w:ascii="Times New Roman" w:hAnsi="Times New Roman" w:cs="Times New Roman"/>
          <w:sz w:val="24"/>
          <w:szCs w:val="24"/>
        </w:rPr>
        <w:t>że</w:t>
      </w:r>
      <w:r w:rsidR="00B278B1" w:rsidRPr="00B278B1">
        <w:rPr>
          <w:rFonts w:ascii="Times New Roman" w:hAnsi="Times New Roman" w:cs="Times New Roman"/>
          <w:sz w:val="24"/>
          <w:szCs w:val="24"/>
        </w:rPr>
        <w:t xml:space="preserve"> stanowić obejście przepisów prawa</w:t>
      </w:r>
      <w:r w:rsidR="005B594C" w:rsidRPr="006B2CD4">
        <w:rPr>
          <w:rFonts w:ascii="Times New Roman" w:hAnsi="Times New Roman" w:cs="Times New Roman"/>
          <w:sz w:val="24"/>
          <w:szCs w:val="24"/>
        </w:rPr>
        <w:t xml:space="preserve">. Nie jest celowe wydawanie interpretacji w odniesieniu do usług lub podmiotów, których działalność zmierzałaby jedynie do pokrzywdzenia nieprofesjonalnych uczestników rynku. </w:t>
      </w:r>
    </w:p>
    <w:p w14:paraId="08E34C04" w14:textId="204863E6" w:rsidR="005B594C" w:rsidRPr="006B2CD4" w:rsidRDefault="005B594C" w:rsidP="00B459D5">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W zakresie dodawanego art. 11c ustawy o nadzorze nad rynkiem finansowym zauważenia wymagają przypadki powoływania się przez niektóre podmioty na kontakt z UKNF (w tym składane zapytania oraz uzyskiwane odpowiedzi) w celu pozyskania klientów. Ma to szczególnie miejsce w odniesieniu do podmiotów, które rozpoczynają lub zamierzają rozpocząć prowadzenie działalności na rynku finansowym. Publikowane przez te podmioty informacje mogą, w niektórych przypadkach, mieć charakter wybiórczy, odnosić się jedynie do niektórych zagadnień, które były przedmiotem odpowiedzi UKNF, co ma na celu budowanie, co do ww. podmiotów, zaufania osób trzecich (przyszłych lub pozyskanych już klientów) czy też przekonania </w:t>
      </w:r>
      <w:r w:rsidRPr="006B2CD4">
        <w:rPr>
          <w:rFonts w:ascii="Times New Roman" w:hAnsi="Times New Roman" w:cs="Times New Roman"/>
          <w:sz w:val="24"/>
          <w:szCs w:val="24"/>
        </w:rPr>
        <w:lastRenderedPageBreak/>
        <w:t xml:space="preserve">o zgodności z prawem działań przedsiębiorcy. Przed tego typu sytuacjami nie chronią mechanizmy Programu Innovation Hub, jak również – w ramach interpretacji KNF, wydawanych na podstawie art. 11b tej ustawy – nie istnieją całościowe mechanizmy ochrony przed sytuacjami niewłaściwego wykorzystania wyjaśnień otrzymanych od UKNF. Uczestnicy rynku finansowego, w tym potencjalni klienci przedsiębiorców posiadających produkty czy usługi finansowe, często nie dysponują informacjami związanymi z przedmiotem zapytania przedsiębiorcy oraz z zakresem i treścią odpowiedzi udzielonej przez UKNF. Otrzymując jedynie niepełne informacje, mogą pozostawać w mylnym przekonaniu, o akceptowaniu przez UKNF usługi bądź produktu (ich bezpieczeństwa) oraz o stałym monitorowaniu przez UKNF działalności oraz oferty produktowej tego przedsiębiorcy. Taka praktyka jest niedopuszczalna i konieczne jest wprowadzenie przepisu ograniczającego możliwość wykorzystywania do takich celów autorytetu i pozycji KNF. Zgodnie z dodawanym art. 11c informacje udostępniane przez dany podmiot o działaniach podejmowanych wobec niego lub w zakresie mającym do niego zastosowanie w ramach nadzoru nad rynkiem finansowym w celu wywołania przekonania, że produkty lub usługi oferowane przez dany podmiot są wolne od ryzyka, bądź poziom ryzyka jest znacząco niższy, lub że KNF gwarantuje wywiązanie się danego podmiotu ze zobowiązań z tego tytułu. Wprowadzenie przepisu nie ogranicza natomiast możliwości opublikowania przez podmiot nadzorowany informacji o fakcie objęcia go nadzorem KNF. Komunikat ten będzie mieć jedynie charakter informacyjny. Nie ogranicza to również podmiotów, które uzyskały stosowne interpretacje, odpowiedzi, stanowiska w udostępnianiu w całości tych dokumentów </w:t>
      </w:r>
      <w:r w:rsidRPr="006B2CD4">
        <w:rPr>
          <w:rFonts w:ascii="Times New Roman" w:hAnsi="Times New Roman" w:cs="Times New Roman"/>
          <w:sz w:val="24"/>
          <w:szCs w:val="24"/>
        </w:rPr>
        <w:lastRenderedPageBreak/>
        <w:t xml:space="preserve">potencjalnym inwestorom. W przypadku naruszenia zakazu wykorzystywania wymienionych wyżej informacji w celu pozyskania klientów, </w:t>
      </w:r>
      <w:r w:rsidR="007E110B" w:rsidRPr="006B2CD4">
        <w:rPr>
          <w:rFonts w:ascii="Times New Roman" w:hAnsi="Times New Roman" w:cs="Times New Roman"/>
          <w:sz w:val="24"/>
          <w:szCs w:val="24"/>
        </w:rPr>
        <w:t xml:space="preserve">KNF </w:t>
      </w:r>
      <w:r w:rsidRPr="006B2CD4">
        <w:rPr>
          <w:rFonts w:ascii="Times New Roman" w:hAnsi="Times New Roman" w:cs="Times New Roman"/>
          <w:sz w:val="24"/>
          <w:szCs w:val="24"/>
        </w:rPr>
        <w:t xml:space="preserve">nakazuje zaprzestania określonego sposobu posługiwania się daną informacją. W nakazie </w:t>
      </w:r>
      <w:r w:rsidR="007E110B" w:rsidRPr="006B2CD4">
        <w:rPr>
          <w:rFonts w:ascii="Times New Roman" w:hAnsi="Times New Roman" w:cs="Times New Roman"/>
          <w:sz w:val="24"/>
          <w:szCs w:val="24"/>
        </w:rPr>
        <w:t>KNF</w:t>
      </w:r>
      <w:r w:rsidRPr="006B2CD4">
        <w:rPr>
          <w:rFonts w:ascii="Times New Roman" w:hAnsi="Times New Roman" w:cs="Times New Roman"/>
          <w:sz w:val="24"/>
          <w:szCs w:val="24"/>
        </w:rPr>
        <w:t xml:space="preserve"> może wskazać termin lub sposób wykonania nakazu. W terminie 7 dni od dnia otrzymania nakazu podmiot może zgłosić zastrzeżenie wobec nakazu. W przypadku złożenia zastrzeżenia, </w:t>
      </w:r>
      <w:r w:rsidR="007E110B" w:rsidRPr="006B2CD4">
        <w:rPr>
          <w:rFonts w:ascii="Times New Roman" w:hAnsi="Times New Roman" w:cs="Times New Roman"/>
          <w:sz w:val="24"/>
          <w:szCs w:val="24"/>
        </w:rPr>
        <w:t>KNF</w:t>
      </w:r>
      <w:r w:rsidRPr="006B2CD4">
        <w:rPr>
          <w:rFonts w:ascii="Times New Roman" w:hAnsi="Times New Roman" w:cs="Times New Roman"/>
          <w:sz w:val="24"/>
          <w:szCs w:val="24"/>
        </w:rPr>
        <w:t xml:space="preserve"> może utrzymać nakaz, cofnąć nakaz albo wydać nowy nakaz, w drodze decyzji, zaprzestania określonego sposobu posługiwania się daną informacją. W przypadku gdy podmiot nie zastosuje się do nakazu </w:t>
      </w:r>
      <w:r w:rsidR="007E110B" w:rsidRPr="006B2CD4">
        <w:rPr>
          <w:rFonts w:ascii="Times New Roman" w:hAnsi="Times New Roman" w:cs="Times New Roman"/>
          <w:sz w:val="24"/>
          <w:szCs w:val="24"/>
        </w:rPr>
        <w:t>KNF</w:t>
      </w:r>
      <w:r w:rsidRPr="006B2CD4">
        <w:rPr>
          <w:rFonts w:ascii="Times New Roman" w:hAnsi="Times New Roman" w:cs="Times New Roman"/>
          <w:sz w:val="24"/>
          <w:szCs w:val="24"/>
        </w:rPr>
        <w:t xml:space="preserve"> może nałożyć karę pieniężną w wysokości do 500.000 zł. </w:t>
      </w:r>
    </w:p>
    <w:p w14:paraId="64AF11D7" w14:textId="77777777" w:rsidR="005B594C" w:rsidRPr="006B2CD4" w:rsidRDefault="005B594C" w:rsidP="00B459D5">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Zmiana w art. 12 polegająca na dodaniu nowego ust. 5 jest konsekwencją dodania nowego rozdziału 2b.</w:t>
      </w:r>
    </w:p>
    <w:p w14:paraId="654BFF84" w14:textId="3857B826" w:rsidR="00774261" w:rsidRPr="006B2CD4" w:rsidRDefault="005B594C" w:rsidP="004E272A">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Proponowane dodanie art. 12a w ustawie o nadzorze nad rynkiem finansowym ma na celu wyeliminowanie niepożądanego stanu polegającego na możliwości uniknięcia odpowiedzialności administracyjnej przez podmioty, które dopuściły się naruszeń przepisów prawa w czasie pozostawania pod nadzorem KNF, wyłącznie ze względu na specyficzne uwarunkowanie formalne wynikające z faktu, że podmiotowi, na który kara jest nakładana wygasło lub zostało cofnięte zezwolenie na prowadzenie działalności, z którą wiąże się naruszenie albo podmiot ten został wykreślony z rejestru uprawniającego do prowadzenia takiej działalności. W konsekwencji, podmiot taki albo nie spełnia kryterium podmiotowego wynikającego z normy kompetencyjnej pozwalającej KNF nałożyć karę, albo pozostają w tym względzie wątpliwości interpretacyjne, które należy rozstrzygać na korzyść podmiotu, który dopuścił się deliktu. Brak </w:t>
      </w:r>
      <w:r w:rsidRPr="006B2CD4">
        <w:rPr>
          <w:rFonts w:ascii="Times New Roman" w:hAnsi="Times New Roman" w:cs="Times New Roman"/>
          <w:sz w:val="24"/>
          <w:szCs w:val="24"/>
        </w:rPr>
        <w:lastRenderedPageBreak/>
        <w:t xml:space="preserve">możliwości nakładania kar administracyjnych na podmioty, którym cofnięto zezwolenie lub zezwolenie wygasło, jest sytuacją bardzo niepożądaną z punktu widzenia realizacji celów nadzoru nad rynkiem finansowym, o których mowa w art. 2 ustawy o nadzorze nad rynkiem finansowym. Z tej perspektywy, w zakresie podmiotu, który dopuścił się deliktu powinna istnieć możliwość jego ukarania, jeżeli podmiot ten nadal pozostaje w obrocie gospodarczym. Dodanie przedmiotowego przepisu jest także istotne ze względu na umożliwienie osobom poszkodowanym przez działalność podmiotów, którym zezwolenie wygasło albo zostało cofnięte, wykorzystania decyzji oraz ustaleń w niej zawartych do dochodzenia roszczeń odszkodowawczych w postępowaniu cywilnoprawnym przed sądem powszechnym. Decyzja administracyjna nakładająca sankcję jest objęta w całości tajemnicą zawodową. W przypadku postępowania cywilnego, jeżeli jego stroną jest podmiot, wobec którego została zastosowana sankcja administracyjna, KNF na żądanie sądu prowadzącego postępowanie w sprawie może tę decyzję przekazać. Możliwość uzyskania decyzji KNF, która zawiera ustalenia faktyczne w zakresie naruszeń może stanowić więc znaczne ułatwienie w zakresie dowodowym dla poszkodowanych przez działalność podmiotów nadzorowanych. Zgodnie z nowym art. 12b administracyjna kara pieniężna nakładana w postępowaniach administracyjnych prowadzonych przez </w:t>
      </w:r>
      <w:r w:rsidR="007E110B" w:rsidRPr="006B2CD4">
        <w:rPr>
          <w:rFonts w:ascii="Times New Roman" w:hAnsi="Times New Roman" w:cs="Times New Roman"/>
          <w:sz w:val="24"/>
          <w:szCs w:val="24"/>
        </w:rPr>
        <w:t>KNF</w:t>
      </w:r>
      <w:r w:rsidRPr="006B2CD4">
        <w:rPr>
          <w:rFonts w:ascii="Times New Roman" w:hAnsi="Times New Roman" w:cs="Times New Roman"/>
          <w:sz w:val="24"/>
          <w:szCs w:val="24"/>
        </w:rPr>
        <w:t xml:space="preserve"> może zostać nałożona odrębnie za każdy czyn objęty postępowaniem.</w:t>
      </w:r>
    </w:p>
    <w:p w14:paraId="40970C08" w14:textId="77777777" w:rsidR="00774261" w:rsidRDefault="00774261" w:rsidP="00774261">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Zgodnie z nowym brzmieniem art. 13 ustawy o nadzorze nad rynkiem finansowym w</w:t>
      </w:r>
      <w:r w:rsidRPr="002A15FB">
        <w:rPr>
          <w:rFonts w:ascii="Times New Roman" w:hAnsi="Times New Roman" w:cs="Times New Roman"/>
          <w:sz w:val="24"/>
          <w:szCs w:val="24"/>
        </w:rPr>
        <w:t xml:space="preserve"> przypadku nieobecności Przewodniczącego Komisji lub w zakresie określonym przez Przewodni</w:t>
      </w:r>
      <w:r w:rsidRPr="002A15FB">
        <w:rPr>
          <w:rFonts w:ascii="Times New Roman" w:hAnsi="Times New Roman" w:cs="Times New Roman"/>
          <w:sz w:val="24"/>
          <w:szCs w:val="24"/>
        </w:rPr>
        <w:lastRenderedPageBreak/>
        <w:t>czącego Komisji pracami Komisji kieruje upoważniony przez niego Zastępca Przewodniczącego Komisji.</w:t>
      </w:r>
      <w:r>
        <w:rPr>
          <w:rFonts w:ascii="Times New Roman" w:hAnsi="Times New Roman" w:cs="Times New Roman"/>
          <w:sz w:val="24"/>
          <w:szCs w:val="24"/>
        </w:rPr>
        <w:t xml:space="preserve"> Proponowana z</w:t>
      </w:r>
      <w:r w:rsidRPr="006B2CD4">
        <w:rPr>
          <w:rFonts w:ascii="Times New Roman" w:hAnsi="Times New Roman" w:cs="Times New Roman"/>
          <w:sz w:val="24"/>
          <w:szCs w:val="24"/>
        </w:rPr>
        <w:t xml:space="preserve">miana ma </w:t>
      </w:r>
      <w:r>
        <w:rPr>
          <w:rFonts w:ascii="Times New Roman" w:hAnsi="Times New Roman" w:cs="Times New Roman"/>
          <w:sz w:val="24"/>
          <w:szCs w:val="24"/>
        </w:rPr>
        <w:t xml:space="preserve">na celu </w:t>
      </w:r>
      <w:r w:rsidRPr="006B2CD4">
        <w:rPr>
          <w:rFonts w:ascii="Times New Roman" w:hAnsi="Times New Roman" w:cs="Times New Roman"/>
          <w:sz w:val="24"/>
          <w:szCs w:val="24"/>
        </w:rPr>
        <w:t>stworz</w:t>
      </w:r>
      <w:r>
        <w:rPr>
          <w:rFonts w:ascii="Times New Roman" w:hAnsi="Times New Roman" w:cs="Times New Roman"/>
          <w:sz w:val="24"/>
          <w:szCs w:val="24"/>
        </w:rPr>
        <w:t>enie</w:t>
      </w:r>
      <w:r w:rsidRPr="006B2CD4">
        <w:rPr>
          <w:rFonts w:ascii="Times New Roman" w:hAnsi="Times New Roman" w:cs="Times New Roman"/>
          <w:sz w:val="24"/>
          <w:szCs w:val="24"/>
        </w:rPr>
        <w:t xml:space="preserve"> dodatkow</w:t>
      </w:r>
      <w:r>
        <w:rPr>
          <w:rFonts w:ascii="Times New Roman" w:hAnsi="Times New Roman" w:cs="Times New Roman"/>
          <w:sz w:val="24"/>
          <w:szCs w:val="24"/>
        </w:rPr>
        <w:t>ej</w:t>
      </w:r>
      <w:r w:rsidRPr="006B2CD4">
        <w:rPr>
          <w:rFonts w:ascii="Times New Roman" w:hAnsi="Times New Roman" w:cs="Times New Roman"/>
          <w:sz w:val="24"/>
          <w:szCs w:val="24"/>
        </w:rPr>
        <w:t xml:space="preserve"> możliwość upoważnienia Zastępcy Przewodniczącego do kierowania pracami KNF także podczas obecności Przewodniczącego w zakresie określonym przez Przewodniczącego np. jednej sprawy lub bloku spraw z danego sektora rynku, za który odpowiada bezpośrednio dany Zastępca. Pozwoli to na usprawnienie kierowania pracami KNF i będzie odpowiadało pozycji Zastępców Przewodniczącego i ich zakresowi odpowiedzialności. </w:t>
      </w:r>
    </w:p>
    <w:p w14:paraId="04880DE5" w14:textId="3FA8E244" w:rsidR="005B594C" w:rsidRDefault="00774261" w:rsidP="00B459D5">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Jednocześnie jak wskazano w przepisie </w:t>
      </w:r>
      <w:r w:rsidRPr="002A15FB">
        <w:rPr>
          <w:rFonts w:ascii="Times New Roman" w:hAnsi="Times New Roman" w:cs="Times New Roman"/>
          <w:sz w:val="24"/>
          <w:szCs w:val="24"/>
        </w:rPr>
        <w:t>Zastępca Przewodniczącego KNF może kierować pracami Komisji tylko i wyłącznie w przypadku uzyskaniu odpowiedniego upoważnienia. W chwili upoważnienia Zastępcy do pełnienia określonych czynności Przewodniczący KNF deleguje na niego realizowanie określonego zadania. Wskazane w przepisie upoważnienie będzie m.in. podstawą do ustalenia odpowiedzialności za kierowanie pracami Komisji</w:t>
      </w:r>
      <w:r>
        <w:rPr>
          <w:rFonts w:ascii="Times New Roman" w:hAnsi="Times New Roman" w:cs="Times New Roman"/>
          <w:sz w:val="24"/>
          <w:szCs w:val="24"/>
        </w:rPr>
        <w:t>.</w:t>
      </w:r>
    </w:p>
    <w:p w14:paraId="25087CC1" w14:textId="02147167" w:rsidR="00774261" w:rsidRPr="006B2CD4" w:rsidRDefault="00774261" w:rsidP="00B459D5">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Zmiana art. 13 ustawy o nadzorze nad rynkiem finansowym podyktowana jest również tym, że przepis ten w obecnym stanie prawnym stanowi częściowo superfluum w odniesieniu do art. 3 ust. 5 ustawy o nadzorze nad rynkiem finansowym. Stąd też w zmienianym brzmieniu art. 13 mowa już tylko o przypadkach kierowania pracami KNF przez Zastępcę, ponieważ kierowanie jej pracami przez Przewodniczącego i reprezentowanie jej na zewnątrz wynika z art. 3 ust. 5 ustawy o nadzorze nad rynkiem finansowym. </w:t>
      </w:r>
    </w:p>
    <w:p w14:paraId="7289AD41" w14:textId="44159BC0" w:rsidR="005B594C" w:rsidRPr="006B2CD4" w:rsidRDefault="005B594C" w:rsidP="00B459D5">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lastRenderedPageBreak/>
        <w:t>Dotychczasowa treść art. 16 ust. 5 ustawy o nadzorze nad rynkiem finansowym nie pozwala na przekazywanie informacji objętych tajemnicą zawodową, w zakresie informacji stanowiących tajemnicę bankową, w innych przypadkach niż złożenie przez UKNF zawiadomienia o podejrzeniu popełnienia przestępstwa lub w uzupełnieniu do tego zawiadomienia. Jednocześnie, w trakcie podejmowanych przez UKNF czynności wielokrotnie ujawniają się okoliczności wskazujące na uzasadnione podejrzenie popełnienia przez osoby reprezentujące podmioty działające na rynku finansowym innych przestępstw (np. art. 77 i 79 ustawy z dnia 29 września 1994 r. o rachunkowości, czy art. 286 § 1 kk i 296 § 1 i 1a ustawy z dnia 6 czerwca 1997 r. – Kodeks karny (Dz. U. z 202</w:t>
      </w:r>
      <w:r w:rsidR="00E15E3C" w:rsidRPr="006B2CD4">
        <w:rPr>
          <w:rFonts w:ascii="Times New Roman" w:hAnsi="Times New Roman" w:cs="Times New Roman"/>
          <w:sz w:val="24"/>
          <w:szCs w:val="24"/>
        </w:rPr>
        <w:t>2 r. poz. 1138</w:t>
      </w:r>
      <w:r w:rsidRPr="006B2CD4">
        <w:rPr>
          <w:rFonts w:ascii="Times New Roman" w:hAnsi="Times New Roman" w:cs="Times New Roman"/>
          <w:sz w:val="24"/>
          <w:szCs w:val="24"/>
        </w:rPr>
        <w:t>, z późn. zm.), dalej „k.k.”, niż przestępstwa wskazane w ustawach z art. 1 ust. 2 ustawy o nadzorze nad rynkiem finansowym. W takich przypadkach UKNF ma prawny obowiązek (art. 304 § 2 k.k.) złożenia zawiadomienia o uzasadnionym podejrzeniu popełnienia przestępstwa. Realizacja tego obowiązku bez przekazania w treści zawiadomienia, posiadanych przez KNF, informacji zawierających tajemnicę bankową, może prowadzić do wydania przez Prokuraturę lub Policję postanowienia o odmowie wszczęcia postępowania przygotowawczego m.in. z uwagi na brak danych dostatecznie uzasadniających podejrzenie popełnienia wskazanego w zawiadomieniu czynu. Takie sytuacje nie są pożądane z punktu widzenia prawidłowości funkcjonowania rynku finansowego, jego stabilności, bezpieczeństwa oraz przejrzystości, a także mogą skutkować ograniczeniem ochrony interesów uczestników tego rynku. Należy również zauważyć, że na podstawie art. 6 ust. 2 pkt 1 ustawy o nadzorze nad rynkiem finansowym w „</w:t>
      </w:r>
      <w:r w:rsidRPr="006B2CD4">
        <w:rPr>
          <w:rFonts w:ascii="Times New Roman" w:hAnsi="Times New Roman" w:cs="Times New Roman"/>
          <w:i/>
          <w:sz w:val="24"/>
          <w:szCs w:val="24"/>
        </w:rPr>
        <w:t xml:space="preserve">sprawach o przestępstwa dotyczące czynów </w:t>
      </w:r>
      <w:r w:rsidRPr="006B2CD4">
        <w:rPr>
          <w:rFonts w:ascii="Times New Roman" w:hAnsi="Times New Roman" w:cs="Times New Roman"/>
          <w:i/>
          <w:sz w:val="24"/>
          <w:szCs w:val="24"/>
        </w:rPr>
        <w:lastRenderedPageBreak/>
        <w:t>skierowanych przeciwko interesom uczestników rynku, pozostających w związku z działalnością podmiotów wykonujących działalność na tym rynku - Przewodniczącemu Komisji, na jego wniosek, przysługują uprawnienia pokrzywdzonego w postępowaniu karnym</w:t>
      </w:r>
      <w:r w:rsidRPr="006B2CD4">
        <w:rPr>
          <w:rFonts w:ascii="Times New Roman" w:hAnsi="Times New Roman" w:cs="Times New Roman"/>
          <w:sz w:val="24"/>
          <w:szCs w:val="24"/>
        </w:rPr>
        <w:t>.”. Sposób określenia postępowań, na potrzeby których UKNF mógłby przekazywać, bez zwolnienia z obowiązku zachowania tajemnicy zawodowej i bankowej, posiadane informacje jest powtórzeniem ww. zapisu art. 6 ust. 2 pkt 1 ustawy o nadzorze nad rynkiem finansowym w zakresie sposobu określenia spraw, w których Przewodniczący KNF może złożyć wniosek o działalnie w charakterze pokrzywdzonego i działać w charakterze strony. Katalog ten jest określony elastycznie i jednocześnie powiązany z ustawowo określonym zakresem zadań organu nadzoru nad rynkiem finansowym. Przyjęta redakcja pozwala na dostosowanie działań UKNF do okoliczności konkretnej sprawy, pozostając jednocześnie w obszarze związanym z funkcjonowaniem podmiotów wykonujących działalność na rynku finansowym. Zaproponowana zamiana w treści art. 16 ust. 5 ustawy o nadzorze nad rynkiem finansowym polegająca na rozszerzeniu katalogu spraw, w których UKNF, składając zawiadomienie o uzasadnionym podejrzeniu popełnienia przestępstwa lub w uzupełnieniu do tego zawiadomienia, będzie mógł przekazać w treści zawiadomienia lub uzupełnienia informacje zgromadzone przez organ nadzoru, stanowiące tajemnicę zawodową, zawierającą w swojej treści informacje stanowiące tajemnicę bankową, będzie miała pozytywny wpływ na bezpieczeństwo i przejrzystość funkcjonowania rynku finansowego, a także skutkować będzie wzmocnieniem ochrony interesów uczestników tego rynku.</w:t>
      </w:r>
    </w:p>
    <w:p w14:paraId="26C8971E" w14:textId="77777777" w:rsidR="005B594C" w:rsidRPr="006B2CD4" w:rsidRDefault="005B594C" w:rsidP="00B459D5">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lastRenderedPageBreak/>
        <w:t xml:space="preserve">Celem zmiany w art. 17b ust. 2 ustawy o nadzorze nad rynkiem finansowym jest stworzenie podstawy prawnej do zawarcia porozumienia o współpracy i wymianie informacji pomiędzy Przewodniczącym KNF i Prezesem Polskiej Agencji Nadzoru Audytowego. Przepisy ustawy o nadzorze nad rynkiem finansowym w pozostałych przypadkach nakładania obowiązku tego rodzaju współpracy zawierają także podstawę do zawarcia stosownego porozumienia. </w:t>
      </w:r>
    </w:p>
    <w:p w14:paraId="1A3C55E3" w14:textId="50F873C1" w:rsidR="0061289C" w:rsidRDefault="005B594C" w:rsidP="008E5AA2">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Zmiana art. 17ca ust. 1 i 2 ustawy o nadzorze nad rynkiem finansowym polegająca na dodaniu Prokuratora Krajowego do katalogu organów państwa, które współdziałają z Przewodniczącym KNF w zakresie wymiany informacji, ma na celu dalsze wzmocnienie mechanizmu służącemu zapewnieniu prawidłowego funkcjonowania rynku finansowego, jego stabilności i bezpieczeństwa oraz ochrony interesów uczestników tego rynku. Wzajemna wymiana informacji pozwoli m.in. na dzielenie się wiedzą na temat zidentyfikowanych niepożądanych zjawisk na rynku finansowym, modelu działania wykorzystywanego w popełnianiu czynów niedozwolonych, czy też cech charakterystycznych sposobu postępowania przy popełnianych nieprawidłowości. Uzyskiwanie tej wiedzy będzie pomocne zwłaszcza dla zrozumienia mechanizmu zachowań oraz sprawnej analizy jednorodnych przypadków zachowań niezgodnych z prawem. Niezależnie od powyższych informacji, wprowadzane uprawnienie pozwoli na pozyskiwanie informacji na temat działań podejmowanych w stosunku do poszczególnych czynów objętych zainteresowaniem organów, a tym samym, pozwoli na unikanie dublowania czynności bądź podejmowania działań przez określony organ, które mogłyby stanowić utrudnienie w realizacji przyjętego planu działań przez inny organ.</w:t>
      </w:r>
    </w:p>
    <w:p w14:paraId="2663E86F" w14:textId="77777777" w:rsidR="0061289C" w:rsidRDefault="0061289C" w:rsidP="0061289C">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Jednocześnie zgodnie z dodawanym w art. 17ca ust. 2b </w:t>
      </w:r>
      <w:r w:rsidRPr="00ED3C9E">
        <w:rPr>
          <w:rFonts w:ascii="Times New Roman" w:hAnsi="Times New Roman" w:cs="Times New Roman"/>
          <w:sz w:val="24"/>
          <w:szCs w:val="24"/>
        </w:rPr>
        <w:t>Prokurator Krajowy nie przekazuje dokumentów i informacji, o których mowa w art. 17ca ust. 2</w:t>
      </w:r>
      <w:r>
        <w:rPr>
          <w:rFonts w:ascii="Times New Roman" w:hAnsi="Times New Roman" w:cs="Times New Roman"/>
          <w:sz w:val="24"/>
          <w:szCs w:val="24"/>
        </w:rPr>
        <w:t xml:space="preserve"> ustawy</w:t>
      </w:r>
      <w:r w:rsidRPr="00ED3C9E">
        <w:rPr>
          <w:rFonts w:ascii="Times New Roman" w:hAnsi="Times New Roman" w:cs="Times New Roman"/>
          <w:sz w:val="24"/>
          <w:szCs w:val="24"/>
        </w:rPr>
        <w:t>, jeżeli mogłoby to zagrażać dobru postępowania karnego.</w:t>
      </w:r>
    </w:p>
    <w:p w14:paraId="7C81040B" w14:textId="5046FAD5" w:rsidR="0061289C" w:rsidRDefault="0061289C" w:rsidP="008E5AA2">
      <w:pPr>
        <w:spacing w:after="120" w:line="360" w:lineRule="auto"/>
        <w:jc w:val="both"/>
        <w:rPr>
          <w:rFonts w:ascii="Times New Roman" w:hAnsi="Times New Roman" w:cs="Times New Roman"/>
          <w:sz w:val="24"/>
          <w:szCs w:val="24"/>
        </w:rPr>
      </w:pPr>
      <w:r w:rsidRPr="00ED3C9E">
        <w:rPr>
          <w:rFonts w:ascii="Times New Roman" w:hAnsi="Times New Roman" w:cs="Times New Roman"/>
          <w:sz w:val="24"/>
          <w:szCs w:val="24"/>
        </w:rPr>
        <w:t>Zgodnie z art. 17ca ust. 3 w celu określenia zasad współpracy oraz przekazywania dokumentów i informacji, zawierane są odpowiednie porozumienia. Wskazane w przepisie porozumienie nie wpłynie na tryb oraz sposób pracy Prokuratury Krajowej a proponowane w tym zakresie przepisy nie stanowią zastępstwa, wyłączenia ani też dodatkowej regulacji przepisów określonych w ustawie z dnia 6 czerwca 1997 r. – Kodeks postępowania karnego (Dz. U. z 2022 r. poz. 1375, z późn. zm.) dotyczących procesu postępowania karnego. Treść porozumienia pozostaje bez wpływu na regulacje ustawowe a jego celem jest określenie zasad przekazywania informacji.</w:t>
      </w:r>
    </w:p>
    <w:p w14:paraId="448D8619" w14:textId="4E118F46" w:rsidR="008E5AA2" w:rsidRDefault="005B594C" w:rsidP="008E5AA2">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Nowelizacja art. 17ca ust. 1 i 2 ustawy o nadzorze nad rynkiem finansowym ma także na celu umożliwienie Przewodniczącemu KNF przekazywania informacji w zakresie niezbędnym do realizacji ustawowych zadań </w:t>
      </w:r>
      <w:r w:rsidR="008E5AA2">
        <w:rPr>
          <w:rFonts w:ascii="Times New Roman" w:hAnsi="Times New Roman" w:cs="Times New Roman"/>
          <w:sz w:val="24"/>
          <w:szCs w:val="24"/>
        </w:rPr>
        <w:t xml:space="preserve">Komendanta Głównego Straży Granicznej oraz Prezesa Urzędu Komunikacji Elektronicznej (UKE). </w:t>
      </w:r>
    </w:p>
    <w:p w14:paraId="045E41D4" w14:textId="77777777" w:rsidR="008E5AA2" w:rsidRDefault="008E5AA2" w:rsidP="008E5AA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Włączenie do katalogu </w:t>
      </w:r>
      <w:r w:rsidRPr="00BE0C12">
        <w:rPr>
          <w:rFonts w:ascii="Times New Roman" w:hAnsi="Times New Roman" w:cs="Times New Roman"/>
          <w:sz w:val="24"/>
          <w:szCs w:val="24"/>
        </w:rPr>
        <w:t xml:space="preserve">Prezesa UKE do katalogu organów, z którymi możliwa jest wymiana informacji i dokumentów i informacji, w tym ustawowo chronionych, w zakresie niezbędnym do realizacji ustawowych zadań tych organów oraz KNF, pozostaje niezbędna dla efektywnej współpracy KNF z Prezesem UKE w zakresie cyberbezpieczeństwa. Usługi świadczone przez </w:t>
      </w:r>
      <w:r w:rsidRPr="00BE0C12">
        <w:rPr>
          <w:rFonts w:ascii="Times New Roman" w:hAnsi="Times New Roman" w:cs="Times New Roman"/>
          <w:sz w:val="24"/>
          <w:szCs w:val="24"/>
        </w:rPr>
        <w:lastRenderedPageBreak/>
        <w:t>przedsiębiorców telekomunikacyjnych pozostają kluczowe dla ciągłości działania systemów teleinformatycznych banków i dostępności świadczonych z ich pomocą usług finansowych dla klientów. Ponadto, także ewentualne incydenty po stronie przedsiębiorców telekomunikacyjnych, w szczególności związane z dostępnością ich usług, mogą mieć doniosłe znaczenie dla cyberbezpieczeństwa podmiotów rynku finansowego. Warto także podkreślić, że istotnym zagrożeniem na rynku finansowym pozostają ataki na użytkowników usług świadczonych przez podmioty nadzorowane, które dokonywane są z wykorzystaniem usług telekomunikacyjnych w ramach vishingu, smishingu czy spoofingu. Współpraca KNF i Prezesa UKE ma kluczowe znaczenie dla zapewnienia cyberbezpieczeństwa sektora finansowego i telekomunikacyjnego oraz przeciwdziałania zagrożeniom z tym związanym i przekładać się będzie także na zwiększenie ochrony użytkowników usług finansowych. Dla efektywności takich działań niezbędna jest przy tym ustawowa podstawa wymiany informacji chronionych.</w:t>
      </w:r>
    </w:p>
    <w:p w14:paraId="2F102634" w14:textId="77777777" w:rsidR="008E5AA2" w:rsidRDefault="008E5AA2" w:rsidP="008E5AA2">
      <w:pPr>
        <w:spacing w:after="120" w:line="360" w:lineRule="auto"/>
        <w:jc w:val="both"/>
        <w:rPr>
          <w:rFonts w:ascii="Times New Roman" w:hAnsi="Times New Roman" w:cs="Times New Roman"/>
          <w:sz w:val="24"/>
          <w:szCs w:val="24"/>
        </w:rPr>
      </w:pPr>
      <w:r w:rsidRPr="00BE0C12">
        <w:rPr>
          <w:rFonts w:ascii="Times New Roman" w:hAnsi="Times New Roman" w:cs="Times New Roman"/>
          <w:sz w:val="24"/>
          <w:szCs w:val="24"/>
        </w:rPr>
        <w:t>Z kolei zmiana polegająca na włączeniu do katalogu organów, z którymi możliwa jest wymiana informacji i dokumentów i informacji, w tym ustawowo chronionych, w zakresie niezbędnym do realizacji ustawowych zadań tych organów oraz KNF, Komendanta Głównego Straży Granicznej jest uzasadniona uprawnieniami Komendanta Głównego Straży Granicznej wynikającymi z art. 10c ustawy z dnia 12 października 1990 r. o Straży Granicznej.</w:t>
      </w:r>
      <w:r>
        <w:rPr>
          <w:rFonts w:ascii="Times New Roman" w:hAnsi="Times New Roman" w:cs="Times New Roman"/>
          <w:sz w:val="24"/>
          <w:szCs w:val="24"/>
        </w:rPr>
        <w:t xml:space="preserve"> </w:t>
      </w:r>
      <w:r w:rsidRPr="00BE0C12">
        <w:rPr>
          <w:rFonts w:ascii="Times New Roman" w:hAnsi="Times New Roman" w:cs="Times New Roman"/>
          <w:sz w:val="24"/>
          <w:szCs w:val="24"/>
        </w:rPr>
        <w:t xml:space="preserve">Ponadto wymiana informacji pomiędzy Przewodniczącym KNF a Komendantem Głównym Straży Granicznej </w:t>
      </w:r>
      <w:r w:rsidRPr="00BE0C12">
        <w:rPr>
          <w:rFonts w:ascii="Times New Roman" w:hAnsi="Times New Roman" w:cs="Times New Roman"/>
          <w:sz w:val="24"/>
          <w:szCs w:val="24"/>
        </w:rPr>
        <w:lastRenderedPageBreak/>
        <w:t>przyczyni się do zapobiegania przestępstwom dotyczącym rynku finansowego lub ich wykrywania, a także skuteczniejszego realizowania wybranych działań nadzorczych, w przypadkach gdy sprawy dotyczą osób o statusie cudzoziemców.</w:t>
      </w:r>
    </w:p>
    <w:p w14:paraId="1996579C" w14:textId="570DE1CE" w:rsidR="008E5AA2" w:rsidRDefault="008E5AA2" w:rsidP="008E5AA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Kolejna wprowadzana zmiana polega na dodaniu nowego art. 17caa</w:t>
      </w:r>
      <w:r w:rsidR="00417148">
        <w:rPr>
          <w:rFonts w:ascii="Times New Roman" w:hAnsi="Times New Roman" w:cs="Times New Roman"/>
          <w:sz w:val="24"/>
          <w:szCs w:val="24"/>
        </w:rPr>
        <w:t>,</w:t>
      </w:r>
      <w:r>
        <w:rPr>
          <w:rFonts w:ascii="Times New Roman" w:hAnsi="Times New Roman" w:cs="Times New Roman"/>
          <w:sz w:val="24"/>
          <w:szCs w:val="24"/>
        </w:rPr>
        <w:t xml:space="preserve"> zgodnie z którym </w:t>
      </w:r>
      <w:r w:rsidRPr="00BE0C12">
        <w:rPr>
          <w:rFonts w:ascii="Times New Roman" w:hAnsi="Times New Roman" w:cs="Times New Roman"/>
          <w:sz w:val="24"/>
          <w:szCs w:val="24"/>
        </w:rPr>
        <w:t>Przewodniczący Komisji i minister właściwy do spraw budownictwa, planowania i zagospodarowania przestrzennego oraz mieszkalnictwa mogą przekazywać sobie dokumenty i</w:t>
      </w:r>
      <w:r w:rsidR="007C389F">
        <w:rPr>
          <w:rFonts w:ascii="Times New Roman" w:hAnsi="Times New Roman" w:cs="Times New Roman"/>
          <w:sz w:val="24"/>
          <w:szCs w:val="24"/>
        </w:rPr>
        <w:t xml:space="preserve"> </w:t>
      </w:r>
      <w:r w:rsidRPr="00BE0C12">
        <w:rPr>
          <w:rFonts w:ascii="Times New Roman" w:hAnsi="Times New Roman" w:cs="Times New Roman"/>
          <w:sz w:val="24"/>
          <w:szCs w:val="24"/>
        </w:rPr>
        <w:t>informacje, w tym ustawowo chronione, dotyczące działalności zawodowej wykonywanej przez rzeczoznawców majątkowych w zakresie niezbędnym do realizacji ustawowych zadań Komisji lub zadań ministra</w:t>
      </w:r>
      <w:r w:rsidR="007C389F">
        <w:rPr>
          <w:rFonts w:ascii="Times New Roman" w:hAnsi="Times New Roman" w:cs="Times New Roman"/>
          <w:sz w:val="24"/>
          <w:szCs w:val="24"/>
        </w:rPr>
        <w:t xml:space="preserve"> </w:t>
      </w:r>
      <w:r w:rsidRPr="00BE0C12">
        <w:rPr>
          <w:rFonts w:ascii="Times New Roman" w:hAnsi="Times New Roman" w:cs="Times New Roman"/>
          <w:sz w:val="24"/>
          <w:szCs w:val="24"/>
        </w:rPr>
        <w:t>właściwego do spraw budownictwa, planowania i zagospodarowania przestrzennego oraz mieszkalnictwa określonych w ustawie</w:t>
      </w:r>
      <w:r w:rsidR="007C389F">
        <w:rPr>
          <w:rFonts w:ascii="Times New Roman" w:hAnsi="Times New Roman" w:cs="Times New Roman"/>
          <w:sz w:val="24"/>
          <w:szCs w:val="24"/>
        </w:rPr>
        <w:t xml:space="preserve"> </w:t>
      </w:r>
      <w:r w:rsidRPr="00BE0C12">
        <w:rPr>
          <w:rFonts w:ascii="Times New Roman" w:hAnsi="Times New Roman" w:cs="Times New Roman"/>
          <w:sz w:val="24"/>
          <w:szCs w:val="24"/>
        </w:rPr>
        <w:t>z dnia 21 sierpnia 1997 r. o gospodarce nieruchomościami</w:t>
      </w:r>
      <w:r w:rsidR="007C389F">
        <w:rPr>
          <w:rFonts w:ascii="Times New Roman" w:hAnsi="Times New Roman" w:cs="Times New Roman"/>
          <w:sz w:val="24"/>
          <w:szCs w:val="24"/>
        </w:rPr>
        <w:t xml:space="preserve"> </w:t>
      </w:r>
      <w:r w:rsidRPr="00BE0C12">
        <w:rPr>
          <w:rFonts w:ascii="Times New Roman" w:hAnsi="Times New Roman" w:cs="Times New Roman"/>
          <w:sz w:val="24"/>
          <w:szCs w:val="24"/>
        </w:rPr>
        <w:t xml:space="preserve">(Dz. U. z </w:t>
      </w:r>
      <w:r w:rsidR="00417148" w:rsidRPr="00BE0C12">
        <w:rPr>
          <w:rFonts w:ascii="Times New Roman" w:hAnsi="Times New Roman" w:cs="Times New Roman"/>
          <w:sz w:val="24"/>
          <w:szCs w:val="24"/>
        </w:rPr>
        <w:t>202</w:t>
      </w:r>
      <w:r w:rsidR="005234C2">
        <w:rPr>
          <w:rFonts w:ascii="Times New Roman" w:hAnsi="Times New Roman" w:cs="Times New Roman"/>
          <w:sz w:val="24"/>
          <w:szCs w:val="24"/>
        </w:rPr>
        <w:t>3</w:t>
      </w:r>
      <w:r w:rsidR="00417148" w:rsidRPr="00BE0C12">
        <w:rPr>
          <w:rFonts w:ascii="Times New Roman" w:hAnsi="Times New Roman" w:cs="Times New Roman"/>
          <w:sz w:val="24"/>
          <w:szCs w:val="24"/>
        </w:rPr>
        <w:t xml:space="preserve"> </w:t>
      </w:r>
      <w:r w:rsidRPr="00BE0C12">
        <w:rPr>
          <w:rFonts w:ascii="Times New Roman" w:hAnsi="Times New Roman" w:cs="Times New Roman"/>
          <w:sz w:val="24"/>
          <w:szCs w:val="24"/>
        </w:rPr>
        <w:t xml:space="preserve">r. poz. </w:t>
      </w:r>
      <w:r w:rsidR="005234C2">
        <w:rPr>
          <w:rFonts w:ascii="Times New Roman" w:hAnsi="Times New Roman" w:cs="Times New Roman"/>
          <w:sz w:val="24"/>
          <w:szCs w:val="24"/>
        </w:rPr>
        <w:t>344</w:t>
      </w:r>
      <w:r w:rsidRPr="00BE0C12">
        <w:rPr>
          <w:rFonts w:ascii="Times New Roman" w:hAnsi="Times New Roman" w:cs="Times New Roman"/>
          <w:sz w:val="24"/>
          <w:szCs w:val="24"/>
        </w:rPr>
        <w:t>)</w:t>
      </w:r>
      <w:r>
        <w:rPr>
          <w:rFonts w:ascii="Times New Roman" w:hAnsi="Times New Roman" w:cs="Times New Roman"/>
          <w:sz w:val="24"/>
          <w:szCs w:val="24"/>
        </w:rPr>
        <w:t xml:space="preserve">. </w:t>
      </w:r>
      <w:r w:rsidRPr="00BE0C12">
        <w:rPr>
          <w:rFonts w:ascii="Times New Roman" w:hAnsi="Times New Roman" w:cs="Times New Roman"/>
          <w:sz w:val="24"/>
          <w:szCs w:val="24"/>
        </w:rPr>
        <w:t xml:space="preserve">Dokumenty i informacje, otrzymane od Przewodniczącego </w:t>
      </w:r>
      <w:r>
        <w:rPr>
          <w:rFonts w:ascii="Times New Roman" w:hAnsi="Times New Roman" w:cs="Times New Roman"/>
          <w:sz w:val="24"/>
          <w:szCs w:val="24"/>
        </w:rPr>
        <w:t>KNF</w:t>
      </w:r>
      <w:r w:rsidRPr="00BE0C12">
        <w:rPr>
          <w:rFonts w:ascii="Times New Roman" w:hAnsi="Times New Roman" w:cs="Times New Roman"/>
          <w:sz w:val="24"/>
          <w:szCs w:val="24"/>
        </w:rPr>
        <w:t>, minister</w:t>
      </w:r>
      <w:r w:rsidR="007C389F">
        <w:rPr>
          <w:rFonts w:ascii="Times New Roman" w:hAnsi="Times New Roman" w:cs="Times New Roman"/>
          <w:sz w:val="24"/>
          <w:szCs w:val="24"/>
        </w:rPr>
        <w:t xml:space="preserve"> </w:t>
      </w:r>
      <w:r w:rsidRPr="00BE0C12">
        <w:rPr>
          <w:rFonts w:ascii="Times New Roman" w:hAnsi="Times New Roman" w:cs="Times New Roman"/>
          <w:sz w:val="24"/>
          <w:szCs w:val="24"/>
        </w:rPr>
        <w:t>właściwy do spraw budownictwa, planowania i zagospodarowania przestrzennego oraz mieszkalnictwa może przekazywać Komisji Odpowiedzialności Zawodowej, o której mowa w przepisach ustawy z dnia 21 sierpnia 1997 r. o gospodarce nieruchomościami.</w:t>
      </w:r>
      <w:r>
        <w:rPr>
          <w:rFonts w:ascii="Times New Roman" w:hAnsi="Times New Roman" w:cs="Times New Roman"/>
          <w:sz w:val="24"/>
          <w:szCs w:val="24"/>
        </w:rPr>
        <w:t xml:space="preserve"> Dodatkowo</w:t>
      </w:r>
      <w:r w:rsidRPr="00BE0C12">
        <w:rPr>
          <w:rFonts w:ascii="Times New Roman" w:hAnsi="Times New Roman" w:cs="Times New Roman"/>
          <w:sz w:val="24"/>
          <w:szCs w:val="24"/>
        </w:rPr>
        <w:t xml:space="preserve"> </w:t>
      </w:r>
      <w:r w:rsidR="00417148">
        <w:rPr>
          <w:rFonts w:ascii="Times New Roman" w:hAnsi="Times New Roman" w:cs="Times New Roman"/>
          <w:sz w:val="24"/>
          <w:szCs w:val="24"/>
        </w:rPr>
        <w:t xml:space="preserve">przepis przewiduje, że w </w:t>
      </w:r>
      <w:r w:rsidRPr="00BE0C12">
        <w:rPr>
          <w:rFonts w:ascii="Times New Roman" w:hAnsi="Times New Roman" w:cs="Times New Roman"/>
          <w:sz w:val="24"/>
          <w:szCs w:val="24"/>
        </w:rPr>
        <w:t>celu określenia zasad współpracy oraz przekaz</w:t>
      </w:r>
      <w:r>
        <w:rPr>
          <w:rFonts w:ascii="Times New Roman" w:hAnsi="Times New Roman" w:cs="Times New Roman"/>
          <w:sz w:val="24"/>
          <w:szCs w:val="24"/>
        </w:rPr>
        <w:t>ywania dokumentów i informacji</w:t>
      </w:r>
      <w:r w:rsidRPr="00BE0C12">
        <w:rPr>
          <w:rFonts w:ascii="Times New Roman" w:hAnsi="Times New Roman" w:cs="Times New Roman"/>
          <w:sz w:val="24"/>
          <w:szCs w:val="24"/>
        </w:rPr>
        <w:t xml:space="preserve"> mogą zostać zawarte odpowiednie porozumienia</w:t>
      </w:r>
      <w:r w:rsidR="00F769BF">
        <w:rPr>
          <w:rFonts w:ascii="Times New Roman" w:hAnsi="Times New Roman" w:cs="Times New Roman"/>
          <w:sz w:val="24"/>
          <w:szCs w:val="24"/>
        </w:rPr>
        <w:t>.</w:t>
      </w:r>
    </w:p>
    <w:p w14:paraId="34B6CB68" w14:textId="47BA297E" w:rsidR="005B594C" w:rsidRPr="006B2CD4" w:rsidRDefault="00F769BF" w:rsidP="00B459D5">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Proponowana zmiana p</w:t>
      </w:r>
      <w:r w:rsidRPr="006B2CD4">
        <w:rPr>
          <w:rFonts w:ascii="Times New Roman" w:hAnsi="Times New Roman" w:cs="Times New Roman"/>
          <w:sz w:val="24"/>
          <w:szCs w:val="24"/>
        </w:rPr>
        <w:t>ozwoli na</w:t>
      </w:r>
      <w:r>
        <w:rPr>
          <w:rFonts w:ascii="Times New Roman" w:hAnsi="Times New Roman" w:cs="Times New Roman"/>
          <w:sz w:val="24"/>
          <w:szCs w:val="24"/>
        </w:rPr>
        <w:t xml:space="preserve"> </w:t>
      </w:r>
      <w:r w:rsidR="005B594C" w:rsidRPr="006B2CD4">
        <w:rPr>
          <w:rFonts w:ascii="Times New Roman" w:hAnsi="Times New Roman" w:cs="Times New Roman"/>
          <w:sz w:val="24"/>
          <w:szCs w:val="24"/>
        </w:rPr>
        <w:t xml:space="preserve">dokonywanie wzajemnej wymiany informacji o stwierdzonych nieprawidłowościach dotyczących działalności zawodowej wykonywanej przez rzeczoznawców majątkowych w zakresie związanym z podmiotami podlegającymi nadzorowi KNF </w:t>
      </w:r>
      <w:r w:rsidR="005B594C" w:rsidRPr="006B2CD4">
        <w:rPr>
          <w:rFonts w:ascii="Times New Roman" w:hAnsi="Times New Roman" w:cs="Times New Roman"/>
          <w:sz w:val="24"/>
          <w:szCs w:val="24"/>
        </w:rPr>
        <w:lastRenderedPageBreak/>
        <w:t xml:space="preserve">lub niezbędnych do realizacji ustawowych zadań KNF. Jest to uzasadnione nie tylko sporządzaniem przez rzeczoznawców majątkowych operatów szacunkowych i ekspertyz dotyczących tzw. wartości bankowo-hipotecznej nieruchomości na potrzeby podmiotów sektora bankowego, ale także faktem, iż aktywa wyceniane w oparciu o wyceny sporządzane przez rzeczoznawców majątkowych są powszechnie wykorzystywane m.in. jako zabezpieczenia emitowanych obligacji korporacyjnych i w sytuacji niewypłacalności emitenta obligacji wartość tych zabezpieczeń stanowi jeden z głównych czynników wpływających na wycenę takich obligacji. Biorąc pod uwagę, że obligacje korporacyjne stanowią jedną z istotnych kategorii lokat nabywanych przez instytucje finansowe, w szczególności przez fundusze inwestycyjne, niezbędne jest wprowadzenie stosownych przepisów zapewniających efektywną wymianę informacji o nieprawidłowościach związanych z wycenami sporządzanymi przez rzeczoznawców majątkowych. Wprowadzenie powyższych zasad wymiany informacji ma związek z uprawnieniami ministra właściwego ds. budownictwa, planowania i zagospodarowania przestrzennego oraz mieszkalnictwa do inicjowania postępowań z tytułu odpowiedzialności zawodowej i orzekania o zastosowaniu kar dyscyplinarnych wobec rzeczoznawców majątkowych. Projektowane przepisy usuną przeszkodę w przekazywaniu ministrowi właściwemu ds. budownictwa, planowania i zagospodarowania przestrzennego oraz mieszkalnictwa informacji, które KNF powzięła w toku wykonywania nadzoru nad rynkiem finansowym. Minister właściwy ds. budownictwa, planowania i zagospodarowania przestrzennego oraz mieszkalnictwa będzie z kolei uprawniony do przekazywania KNF informacji o toczących się lub zakończonych postępowaniach </w:t>
      </w:r>
      <w:r w:rsidR="005B594C" w:rsidRPr="006B2CD4">
        <w:rPr>
          <w:rFonts w:ascii="Times New Roman" w:hAnsi="Times New Roman" w:cs="Times New Roman"/>
          <w:sz w:val="24"/>
          <w:szCs w:val="24"/>
        </w:rPr>
        <w:lastRenderedPageBreak/>
        <w:t>oraz informacji z prowadzonego przez siebie centralnego rejestru rzeczoznawców majątkowych – w zakresie w jakim jest niezbędne do wykonywania ustawowo określonych zadań KNF.</w:t>
      </w:r>
    </w:p>
    <w:p w14:paraId="63A62088" w14:textId="7DFB7C16" w:rsidR="005B594C" w:rsidRPr="006B2CD4" w:rsidRDefault="005B594C" w:rsidP="00B459D5">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W art. 17ca po ust. 2a dodaje się ust. 2b, zgodnie z którym, Prokurator Krajowy nie przekazuje informacji, w tym chronionych na podstawie odrębnych ustaw, w zakresie niezbędnym do realizacji ustawowych zadań </w:t>
      </w:r>
      <w:r w:rsidR="007E110B" w:rsidRPr="006B2CD4">
        <w:rPr>
          <w:rFonts w:ascii="Times New Roman" w:hAnsi="Times New Roman" w:cs="Times New Roman"/>
          <w:sz w:val="24"/>
          <w:szCs w:val="24"/>
        </w:rPr>
        <w:t>KNF</w:t>
      </w:r>
      <w:r w:rsidRPr="006B2CD4">
        <w:rPr>
          <w:rFonts w:ascii="Times New Roman" w:hAnsi="Times New Roman" w:cs="Times New Roman"/>
          <w:sz w:val="24"/>
          <w:szCs w:val="24"/>
        </w:rPr>
        <w:t xml:space="preserve">, jeżeli mogłoby to zagrażać dobru postępowania karnego. Zmiana ta ma zapewnić spójność przepisów z ustawą z dnia 28 stycznia 2016 r. </w:t>
      </w:r>
      <w:r w:rsidR="009626BF" w:rsidRPr="006B2CD4">
        <w:rPr>
          <w:rStyle w:val="markedcontent"/>
          <w:rFonts w:ascii="Times New Roman" w:hAnsi="Times New Roman" w:cs="Times New Roman"/>
          <w:sz w:val="24"/>
          <w:szCs w:val="24"/>
        </w:rPr>
        <w:t>–</w:t>
      </w:r>
      <w:r w:rsidRPr="006B2CD4">
        <w:rPr>
          <w:rFonts w:ascii="Times New Roman" w:hAnsi="Times New Roman" w:cs="Times New Roman"/>
          <w:sz w:val="24"/>
          <w:szCs w:val="24"/>
        </w:rPr>
        <w:t xml:space="preserve"> Prawo o prokuraturze (Dz. U. z 202</w:t>
      </w:r>
      <w:r w:rsidR="00AB7AC2" w:rsidRPr="006B2CD4">
        <w:rPr>
          <w:rFonts w:ascii="Times New Roman" w:hAnsi="Times New Roman" w:cs="Times New Roman"/>
          <w:sz w:val="24"/>
          <w:szCs w:val="24"/>
        </w:rPr>
        <w:t xml:space="preserve">2 </w:t>
      </w:r>
      <w:r w:rsidRPr="006B2CD4">
        <w:rPr>
          <w:rFonts w:ascii="Times New Roman" w:hAnsi="Times New Roman" w:cs="Times New Roman"/>
          <w:sz w:val="24"/>
          <w:szCs w:val="24"/>
        </w:rPr>
        <w:t xml:space="preserve">r. poz. </w:t>
      </w:r>
      <w:r w:rsidR="00AB7AC2" w:rsidRPr="006B2CD4">
        <w:rPr>
          <w:rFonts w:ascii="Times New Roman" w:hAnsi="Times New Roman" w:cs="Times New Roman"/>
          <w:sz w:val="24"/>
          <w:szCs w:val="24"/>
        </w:rPr>
        <w:t>1247</w:t>
      </w:r>
      <w:r w:rsidRPr="006B2CD4">
        <w:rPr>
          <w:rFonts w:ascii="Times New Roman" w:hAnsi="Times New Roman" w:cs="Times New Roman"/>
          <w:sz w:val="24"/>
          <w:szCs w:val="24"/>
        </w:rPr>
        <w:t>, z późn. zm.).</w:t>
      </w:r>
    </w:p>
    <w:p w14:paraId="7AB129AE" w14:textId="0CAE4B3E" w:rsidR="005B594C" w:rsidRPr="006B2CD4" w:rsidRDefault="005B594C" w:rsidP="00B459D5">
      <w:pPr>
        <w:shd w:val="clear" w:color="auto" w:fill="FFFFFF" w:themeFill="background1"/>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Zmiany zaproponowane w 18a ust. 1a, 2, 2a</w:t>
      </w:r>
      <w:r w:rsidR="00DA4F5E">
        <w:rPr>
          <w:rFonts w:ascii="Times New Roman" w:hAnsi="Times New Roman" w:cs="Times New Roman"/>
          <w:sz w:val="24"/>
          <w:szCs w:val="24"/>
        </w:rPr>
        <w:t>, 2b</w:t>
      </w:r>
      <w:r w:rsidRPr="006B2CD4">
        <w:rPr>
          <w:rFonts w:ascii="Times New Roman" w:hAnsi="Times New Roman" w:cs="Times New Roman"/>
          <w:sz w:val="24"/>
          <w:szCs w:val="24"/>
        </w:rPr>
        <w:t>, 4 i 5, art. 18b ust. 2 oraz art. 18c ustawy o nadzorze nad rynkiem finansowym mają na celu usprawnienie prowadzonych postępowań wyjaśniających, o których mowa w rozdziale 2a Postępowanie wyjaśniające ustawy o nadzorze nad rynkiem finansowym. Proponowane zmiany uwzględniają cele postępowania przygotowawczego i skutkowałyby umożliwieniem przekazywania uczestnikom tego postępowania mniejszego zakresu informacji wskazujących na kierunek działań podejmowanych przez UKNF poprzez ograniczenie informacji zawartych w treści upoważnienia do podejmowania czynności w postępowaniu wyjaśniającym (dotyczy to zwłaszcza obecnego art. 18c pkt 7 ustawy o nadzorze nad rynkiem finansowym, który odnosi się do przedmiotu i zakresu postępowania). Jednocześnie zakres i przedmiot postępowania wyjaśniającego byłby określany w zarządzeniu Przewodniczącego KNF o wszczęciu postępowania wyjaśniającego. W upoważ</w:t>
      </w:r>
      <w:r w:rsidRPr="006B2CD4">
        <w:rPr>
          <w:rFonts w:ascii="Times New Roman" w:hAnsi="Times New Roman" w:cs="Times New Roman"/>
          <w:sz w:val="24"/>
          <w:szCs w:val="24"/>
        </w:rPr>
        <w:lastRenderedPageBreak/>
        <w:t>nieniu, o którym mowa w art. 18c ustawy o nadzorze nad rynkiem finansowym, byłyby wskazane numer i data zarządzenia Przewodniczącego KNF o wszczęciu postępowania wyjaśniającego. W proponowanym nowym ust. 1a w art. 18a określającym treść zarządzenia Przewodniczącego KNF o wszczęciu postępowania wyjaśniającego, w pkt 2 określono, że w zarządzeniu Przewodniczący KNF może wskazać opis zachowania, w związku z którym wszczyna się postępowanie, jeżeli w chwili wydania zarządzenia, nie można ustalić podmiotu, w związku z działalnością którego wszczyna się postępowanie. Zabieg ten podyktowany jest faktem, że zidentyfikowanie podmiotu, który może dopuszczać się określonego działania (chociażby w sieci Internet), będącego przyczynkiem do wszczęcia postępowania, może być na etapie przed jego wszczęciem niemożliwe lub istotnie utrudnione. Obecny przepis art. 18c pkt 5 ustawy o nadzorze nad rynkiem finansowym, który nakazuje zamieścić w upoważnieniu oznaczenie podmiotu, o którym mowa w art. 18b ust. 2, uniemożliwia wszczęcie postępowania wyjaśniającego, w sytuacji gdy nie można zidentyfikować podmiotu, którego działalność wywołuje podejrzenia popełnienia przestępstwa określonego w ustawach, o których mowa w art. 1 ust. 2, co jest sprzeczne z celem przepisów o postępowaniu wyjaśniającym, określonym w art. 18a ust. 1 ustawy o nadzorze nad rynkiem finansowym. Dodatkowo, treść przepisów o postępowaniu wyjaśniającym powoduje, że w przypadku ujawnienia w toku postępowania wyjaśniającego okoliczności, które mogą wskazywać na naruszenia innych przepisów niż wskazane w upoważnieniu, w praktyce brak jest możliwości ich wyjaśnienia w ramach danego postępowa</w:t>
      </w:r>
      <w:r w:rsidRPr="006B2CD4">
        <w:rPr>
          <w:rFonts w:ascii="Times New Roman" w:hAnsi="Times New Roman" w:cs="Times New Roman"/>
          <w:sz w:val="24"/>
          <w:szCs w:val="24"/>
        </w:rPr>
        <w:lastRenderedPageBreak/>
        <w:t>nia wyjaśniającego. Tym samym okoliczność ta istotnie wpływa na efektywność prowadzonych czynności wyjaśniających. W związku z tym proponuje się dodanie w art. 18a ustawy o nadzorze nad rynkiem finansowym nowych ust. 4 i 5. Mając na uwadze, że w treści obecnie obowiązującego art. 18c pkt 7 ustawy o nadzorze nad rynkiem finansowym wskazano, że upoważnienie do prowadzenia czynności postępowania wyjaśniającego określa „przedmiot oraz zakres prowadzonego” postępowania i nie zawiera konkretnej treści takiego upoważnienia, ustalenie brzmienia przedmiotowego upoważnienia, w tym ustalenie sposobu określenia w jego treści przedmiotu oraz zakresu prowadzonego postępowania, leży w gestii organu prowadzącego postępowanie. Należy mieć na względzie, że czynności wykonywane w trakcie postępowania wyjaśniającego są następnie przekazywane razem z zawiadomieniem do właściwej prokuratury, a tym samym ujawnienie przez UKNF przedmiotu i zakresu postępowania może wpływać na skuteczność czynności podejmowanych przez organy ścigania. W szczególności, wskazanie przedmiotu oraz zakresu postępowania podmiotowi, który potencjalnie prowadzi działalność przestępczą może prowadzić do zacierania śladów przestępstwa, ukrywania majątku pochodzącego z przestępstwa lub ucieczki sprawcy przestępstwa. Dodatkowo, należy zauważyć, że art. 18a ust. 1 ustawy o nadzorze nad rynkiem finansowym wskazuje na ustawowo określony zakres prowadzonych postępowań wyjaśniających: „</w:t>
      </w:r>
      <w:r w:rsidRPr="006B2CD4">
        <w:rPr>
          <w:rFonts w:ascii="Times New Roman" w:hAnsi="Times New Roman" w:cs="Times New Roman"/>
          <w:i/>
          <w:sz w:val="24"/>
          <w:szCs w:val="24"/>
        </w:rPr>
        <w:t xml:space="preserve">W celu ustalenia, czy istnieją podstawy do złożenia zawiadomienia o podejrzeniu popełnienia przestępstwa określonego w ustawach, o których mowa w art. 1 ust. 2, lub do wszczęcia postępowania administracyjnego </w:t>
      </w:r>
      <w:r w:rsidRPr="006B2CD4">
        <w:rPr>
          <w:rFonts w:ascii="Times New Roman" w:hAnsi="Times New Roman" w:cs="Times New Roman"/>
          <w:i/>
          <w:sz w:val="24"/>
          <w:szCs w:val="24"/>
        </w:rPr>
        <w:lastRenderedPageBreak/>
        <w:t>w sprawie naruszenia przepisów prawa w zakresie podlegającym nadzorowi Komisji, Przewodniczący Komisji może zarządzić przeprowadzenie postępowania wyjaśniającego, zwanego dalej „postępowaniem</w:t>
      </w:r>
      <w:r w:rsidRPr="006B2CD4">
        <w:rPr>
          <w:rFonts w:ascii="Times New Roman" w:hAnsi="Times New Roman" w:cs="Times New Roman"/>
          <w:sz w:val="24"/>
          <w:szCs w:val="24"/>
        </w:rPr>
        <w:t>”.</w:t>
      </w:r>
      <w:r w:rsidR="00897652">
        <w:rPr>
          <w:rFonts w:ascii="Times New Roman" w:hAnsi="Times New Roman" w:cs="Times New Roman"/>
          <w:sz w:val="24"/>
          <w:szCs w:val="24"/>
        </w:rPr>
        <w:t>”</w:t>
      </w:r>
      <w:r w:rsidRPr="006B2CD4">
        <w:rPr>
          <w:rFonts w:ascii="Times New Roman" w:hAnsi="Times New Roman" w:cs="Times New Roman"/>
          <w:sz w:val="24"/>
          <w:szCs w:val="24"/>
        </w:rPr>
        <w:t xml:space="preserve"> Przepis ten umożliwia zatem adresatowi ustalenie, w jaki sposób organ może wykorzystać przekazywane przez wyjaśniającego informacje, nie informując przy tym, poprzez treść upoważnienia, o pełnym zakresie prowadzonego postępowania. Dookreślenie przedmiotu i zakresu postępowania wyjaśniającego w treści zarządzenia Przewodniczącego KNF o wszczęciu takiego postępowania, wyznaczy w sposób wystarczający ramy</w:t>
      </w:r>
      <w:r w:rsidR="0000308D">
        <w:rPr>
          <w:rFonts w:ascii="Times New Roman" w:hAnsi="Times New Roman" w:cs="Times New Roman"/>
          <w:sz w:val="24"/>
          <w:szCs w:val="24"/>
        </w:rPr>
        <w:t>,</w:t>
      </w:r>
      <w:r w:rsidRPr="006B2CD4">
        <w:rPr>
          <w:rFonts w:ascii="Times New Roman" w:hAnsi="Times New Roman" w:cs="Times New Roman"/>
          <w:sz w:val="24"/>
          <w:szCs w:val="24"/>
        </w:rPr>
        <w:t xml:space="preserve"> w jakich to postępowanie może być prowadzone.</w:t>
      </w:r>
    </w:p>
    <w:p w14:paraId="7998F8EF" w14:textId="03FBA510" w:rsidR="005B594C" w:rsidRPr="006B2CD4" w:rsidRDefault="005B594C" w:rsidP="00B459D5">
      <w:pPr>
        <w:shd w:val="clear" w:color="auto" w:fill="FFFFFF" w:themeFill="background1"/>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Projektowane przepisy art. 18a ust. 2a</w:t>
      </w:r>
      <w:r w:rsidR="00F074E9">
        <w:rPr>
          <w:rFonts w:ascii="Times New Roman" w:hAnsi="Times New Roman" w:cs="Times New Roman"/>
          <w:sz w:val="24"/>
          <w:szCs w:val="24"/>
        </w:rPr>
        <w:t xml:space="preserve"> </w:t>
      </w:r>
      <w:r w:rsidR="00417148">
        <w:rPr>
          <w:rFonts w:ascii="Times New Roman" w:hAnsi="Times New Roman" w:cs="Times New Roman"/>
          <w:sz w:val="24"/>
          <w:szCs w:val="24"/>
        </w:rPr>
        <w:t>i 2b</w:t>
      </w:r>
      <w:r w:rsidRPr="006B2CD4">
        <w:rPr>
          <w:rFonts w:ascii="Times New Roman" w:hAnsi="Times New Roman" w:cs="Times New Roman"/>
          <w:sz w:val="24"/>
          <w:szCs w:val="24"/>
        </w:rPr>
        <w:t xml:space="preserve"> ustawy o nadzorze nad rynkiem finansowym przewidują uprawnienie pracownika UKNF, przeprowadzającego postępowanie wyjaśniające, do rejestrowania składanych wyjaśnień i oświadczeń, o których mowa w art. 18a ust. 3 tej ustawy, przy użyciu urządzenia rejestrującego jedynie dźwięk albo zarówno dźwięk jak i obraz. Przed uruchomieniem urządzenia pracownik UKNF będzie zobowiązany do poinformowania osoby, od której mają zostać odebrane wyjaśnienia lub oświadczenia, o zamiarze jego użycia, a osoba ta będzie uprawniona do zażądania odtworzenia wykonanego zapisu w całości lub w części. W następstwie odebrania wyjaśnień lub oświadczeń w opisanym trybie, w drodze odstępstwa od przepisu art. 18a ust. 3, sporządzany przez pracownika UKNF protokół będzie mógł być ograniczony do kluczowych wyjaśnień i oświadczeń, a wykonany zapis dźwięku albo obrazu i dźwięku będzie stanowił załącznik do tego protokołu. </w:t>
      </w:r>
    </w:p>
    <w:p w14:paraId="7C92EB6C" w14:textId="635D86F7" w:rsidR="005B594C" w:rsidRPr="006B2CD4" w:rsidRDefault="005B594C" w:rsidP="00B459D5">
      <w:pPr>
        <w:shd w:val="clear" w:color="auto" w:fill="FFFFFF" w:themeFill="background1"/>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lastRenderedPageBreak/>
        <w:t xml:space="preserve">Zmiana w art. 18e ustawy o nadzorze nad rynkiem finansowym, polegająca na dodaniu ust. 1 ma na celu uregulowanie w ramach przepisów dotyczących postępowania wyjaśniającego sytuacji, w których upoważniony pracownik, w ramach czynności postępowania, dokonuje zalogowania się na stronę internetową i utrwala udostępniane w ramach tej strony </w:t>
      </w:r>
      <w:r w:rsidR="00F94873">
        <w:rPr>
          <w:rFonts w:ascii="Times New Roman" w:hAnsi="Times New Roman" w:cs="Times New Roman"/>
          <w:sz w:val="24"/>
          <w:szCs w:val="24"/>
        </w:rPr>
        <w:t>dokumenty i informacje.</w:t>
      </w:r>
      <w:r w:rsidR="00521EE8">
        <w:rPr>
          <w:rFonts w:ascii="Times New Roman" w:hAnsi="Times New Roman" w:cs="Times New Roman"/>
          <w:sz w:val="24"/>
          <w:szCs w:val="24"/>
        </w:rPr>
        <w:t xml:space="preserve"> </w:t>
      </w:r>
      <w:r w:rsidR="00141AD3">
        <w:rPr>
          <w:rFonts w:ascii="Times New Roman" w:hAnsi="Times New Roman" w:cs="Times New Roman"/>
          <w:sz w:val="24"/>
          <w:szCs w:val="24"/>
        </w:rPr>
        <w:t>Taka sytuacja może zaistnieć zarówno w przypadku gdy postępowanie wyjaśniające zostało wszczęte ze wskazaniem podmiotu, jak i wyłącznie pewnych okoliczności, a więc w przypadku gdy nie można zidentyfikować podmiotu stojącego za danym rodzajem działalności. Dostęp do dokumentów lub informacji udostępnianych w Internecie i związanych z oferowaniem określonej usługi finansowej może wymagać utworzenia konta (podania danych, zdefiniowania loginu i utworzenia hasła dostępowego) i indywidualnego (imiennego) zalogowania się, dotyczy to w szczególności różnego rodzaju serwisów transakcyjnych. Postępowanie wyjaśniające może wymagać pozyskania informacji lub dokumentów udostępnianych przez dany podmiot dopiero na etapie zawierania umowy lub dokonywania transakcji, przy czym są to informacje i dokumenty udostępnione w ramach strony internetowej, a nie w systemach wewnętrznych danego podmiotu, z tego względu</w:t>
      </w:r>
      <w:r w:rsidR="007C389F">
        <w:rPr>
          <w:rFonts w:ascii="Times New Roman" w:hAnsi="Times New Roman" w:cs="Times New Roman"/>
          <w:sz w:val="24"/>
          <w:szCs w:val="24"/>
        </w:rPr>
        <w:t xml:space="preserve"> </w:t>
      </w:r>
      <w:r w:rsidR="00141AD3">
        <w:rPr>
          <w:rFonts w:ascii="Times New Roman" w:hAnsi="Times New Roman" w:cs="Times New Roman"/>
          <w:sz w:val="24"/>
          <w:szCs w:val="24"/>
        </w:rPr>
        <w:t xml:space="preserve">pozyskanie przez upoważnionego pracownika dokumentów lub informacji dostępnych </w:t>
      </w:r>
      <w:r w:rsidR="00E129AE">
        <w:rPr>
          <w:rFonts w:ascii="Times New Roman" w:hAnsi="Times New Roman" w:cs="Times New Roman"/>
          <w:sz w:val="24"/>
          <w:szCs w:val="24"/>
        </w:rPr>
        <w:t>w postaci elektr</w:t>
      </w:r>
      <w:r w:rsidR="00B278B1">
        <w:rPr>
          <w:rFonts w:ascii="Times New Roman" w:hAnsi="Times New Roman" w:cs="Times New Roman"/>
          <w:sz w:val="24"/>
          <w:szCs w:val="24"/>
        </w:rPr>
        <w:t>o</w:t>
      </w:r>
      <w:r w:rsidR="00E129AE">
        <w:rPr>
          <w:rFonts w:ascii="Times New Roman" w:hAnsi="Times New Roman" w:cs="Times New Roman"/>
          <w:sz w:val="24"/>
          <w:szCs w:val="24"/>
        </w:rPr>
        <w:t xml:space="preserve">nicznej </w:t>
      </w:r>
      <w:r w:rsidR="00141AD3">
        <w:rPr>
          <w:rFonts w:ascii="Times New Roman" w:hAnsi="Times New Roman" w:cs="Times New Roman"/>
          <w:sz w:val="24"/>
          <w:szCs w:val="24"/>
        </w:rPr>
        <w:t xml:space="preserve">po zalogowaniu się na stronie internetowej, nie stanowi wezwania do złożenia wyjaśnień oraz wydania dokumentu lub innego nośnika informacji, o którym mowa w art. 18a ust. 3. Dodatkowo przepis wskazuje, że wszelkie oświadczenia woli składane przez upoważnionego pracownika w trakcie </w:t>
      </w:r>
      <w:r w:rsidR="00141AD3">
        <w:rPr>
          <w:rFonts w:ascii="Times New Roman" w:hAnsi="Times New Roman" w:cs="Times New Roman"/>
          <w:sz w:val="24"/>
          <w:szCs w:val="24"/>
        </w:rPr>
        <w:lastRenderedPageBreak/>
        <w:t>logowania, w szczególności różnego rodzaju zgody na przetwarzanie danych osobowych, niekiedy wymuszane przez system, nie wywołują skutków prawnych. Ma to chronić upoważnionego pracownika przed indywidualnymi skutkami dokonywanych czynności.</w:t>
      </w:r>
    </w:p>
    <w:p w14:paraId="6340CAD1" w14:textId="3F4293CE" w:rsidR="005B594C" w:rsidRPr="006B2CD4" w:rsidRDefault="005B594C" w:rsidP="00B856D8">
      <w:pPr>
        <w:shd w:val="clear" w:color="auto" w:fill="FFFFFF" w:themeFill="background1"/>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Projektowane przepisy dodawanego rozdziału 2b „Układ w sprawie warunków nadzwyczajnego złagodzenia sankcji</w:t>
      </w:r>
      <w:r w:rsidR="00457862">
        <w:rPr>
          <w:rFonts w:ascii="Times New Roman" w:hAnsi="Times New Roman" w:cs="Times New Roman"/>
          <w:sz w:val="24"/>
          <w:szCs w:val="24"/>
        </w:rPr>
        <w:t>” (art. 12 ust. 5 oraz art. 18k–</w:t>
      </w:r>
      <w:r w:rsidRPr="006B2CD4">
        <w:rPr>
          <w:rFonts w:ascii="Times New Roman" w:hAnsi="Times New Roman" w:cs="Times New Roman"/>
          <w:sz w:val="24"/>
          <w:szCs w:val="24"/>
        </w:rPr>
        <w:t xml:space="preserve">18z) mają stanowić realizację jednego z działań przewidzianych w Strategii rozwoju rynku kapitałowego, określonego jako „Wprowadzenie wobec podmiotów nadzorowanych mechanizmu tzw. czynnego żalu”, co polegać będzie na uwzględnieniu w czynnościach nadzorczych faktu, że podmiot nadzorowany eliminuje nieprawidłowości w organizacji, naprawia szkody wyrządzone inwestorom, czy też wskazuje innych sprawców. Postawa taka wpływałaby na niższy wymiar kary, a przy wyjątkowo pozytywnych postawach i nadzwyczajnych okolicznościach łagodzących możliwe byłoby odstąpienie od wymierzenia kary lub zastosowania innej sankcji. Projektowane przepisy uwzględniają cel Strategii Rozwoju Rynku Kapitałowego, respektując zarazem specyfikę kodeksowych unormowań ogólnego jurysdykcyjnego postępowania administracyjnego. W nowelizacji Kodeksu postępowania administracyjnego z 2017 r. polski ustawodawca nie zdecydował się wprowadzić instytucji umowy administracyjnej jako możliwej formy rozstrzygnięcia sprawy administracyjnej, obok decyzji administracyjnej i wprowadzonego wspomnianą nowelizacją milczącego załatwienia sprawy. Stąd też przewidywany w projektowanych przepisach układ w sprawie warunków nadzwyczajnego złagodzenia sankcji nie będzie samodzielnym instrumentem prawnym łagodzenia sankcji, ani określania warunków tego złagodzenia, ale po jego </w:t>
      </w:r>
      <w:r w:rsidRPr="006B2CD4">
        <w:rPr>
          <w:rFonts w:ascii="Times New Roman" w:hAnsi="Times New Roman" w:cs="Times New Roman"/>
          <w:sz w:val="24"/>
          <w:szCs w:val="24"/>
        </w:rPr>
        <w:lastRenderedPageBreak/>
        <w:t>zawarciu wydawana będzie decyzja administracyjna odzwierciedlającej ustalenia układu, i to z tej decyzji wynikać będą wszelkie skutki prawne dla podmiotu, w stosunku do którego zastosowano nadzwyczajne złagodzenie sankcji. Wprowadzenie tego rozwiązania jest podyktowane przede wszystkim ograniczeniem ryzyka prawnego związanego z zastosowaniem nowej i w istocie nieznanej szerzej polskiemu systemowi prawnemu instytucji umowy administracyjnej. Proponowane jest zatem rozwiązanie mieszane, które będzie realizować przyjęte założenia przy możliwie niskim poziomie ryzyka procesowego.</w:t>
      </w:r>
    </w:p>
    <w:p w14:paraId="4FE8CABA" w14:textId="269DD522" w:rsidR="003774EE" w:rsidRDefault="005B594C" w:rsidP="003774EE">
      <w:pPr>
        <w:shd w:val="clear" w:color="auto" w:fill="FFFFFF" w:themeFill="background1"/>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Wbrew sformułowanemu w Strategii Rozwoju Rynku Kapitałowego postulatowi, nie jest możliwe ograniczenie się do powtórzenia rozwiązań przewidzianych w przepisach dotyczących tzw. czynnego żalu znanych ustawie karnej skarbowej (art. 16 ustawy z dnia 10 września 1999 r. – Kodeks karny skarbowy </w:t>
      </w:r>
      <w:r w:rsidR="00D837F3" w:rsidRPr="006B2CD4">
        <w:rPr>
          <w:rFonts w:ascii="Times New Roman" w:hAnsi="Times New Roman" w:cs="Times New Roman"/>
          <w:sz w:val="24"/>
          <w:szCs w:val="24"/>
        </w:rPr>
        <w:t>(Dz. U. z 202</w:t>
      </w:r>
      <w:r w:rsidR="005234C2">
        <w:rPr>
          <w:rFonts w:ascii="Times New Roman" w:hAnsi="Times New Roman" w:cs="Times New Roman"/>
          <w:sz w:val="24"/>
          <w:szCs w:val="24"/>
        </w:rPr>
        <w:t>3</w:t>
      </w:r>
      <w:r w:rsidR="00D837F3" w:rsidRPr="006B2CD4">
        <w:rPr>
          <w:rFonts w:ascii="Times New Roman" w:hAnsi="Times New Roman" w:cs="Times New Roman"/>
          <w:sz w:val="24"/>
          <w:szCs w:val="24"/>
        </w:rPr>
        <w:t xml:space="preserve"> r. poz. </w:t>
      </w:r>
      <w:r w:rsidR="005234C2">
        <w:rPr>
          <w:rFonts w:ascii="Times New Roman" w:hAnsi="Times New Roman" w:cs="Times New Roman"/>
          <w:sz w:val="24"/>
          <w:szCs w:val="24"/>
        </w:rPr>
        <w:t>6</w:t>
      </w:r>
      <w:r w:rsidR="00D837F3" w:rsidRPr="006B2CD4">
        <w:rPr>
          <w:rFonts w:ascii="Times New Roman" w:hAnsi="Times New Roman" w:cs="Times New Roman"/>
          <w:sz w:val="24"/>
          <w:szCs w:val="24"/>
        </w:rPr>
        <w:t>5</w:t>
      </w:r>
      <w:r w:rsidR="005234C2">
        <w:rPr>
          <w:rFonts w:ascii="Times New Roman" w:hAnsi="Times New Roman" w:cs="Times New Roman"/>
          <w:sz w:val="24"/>
          <w:szCs w:val="24"/>
        </w:rPr>
        <w:t>4</w:t>
      </w:r>
      <w:r w:rsidRPr="006B2CD4">
        <w:rPr>
          <w:rFonts w:ascii="Times New Roman" w:hAnsi="Times New Roman" w:cs="Times New Roman"/>
          <w:sz w:val="24"/>
          <w:szCs w:val="24"/>
        </w:rPr>
        <w:t xml:space="preserve">, z późn. zm.), co wynika przede wszystkim z odmiennej specyfiki postępowań w sprawach karnych skarbowych i postępowań sankcyjnych przed KNF. Przygotowując przepisy dla rynku finansowego, posiłkowo wykorzystano natomiast pewne elementy unormowań prawa ochrony konkurencji, w zakresie tzw. leniency. Nowe przepisy dla rynku finansowego zostały jednak zaprojektowane szerzej i dotyczą zarówno przypadków gdy podmiot z własnej inicjatywy dokonuje autodenuncjacji, jak i przypadków, gdy naruszenia zostały stwierdzone w ramach czynności nadzorczych. Jednym z celów projektowanych przepisów jest bowiem usprawnienie, w szczególności przyspieszenie i skrócenie postępowań sankcyjnych, co może być osiągnięte w przypadku gdy podmiot zainteresowany nadzwyczajnym złagodzeniem sankcji przedstawi wszelkie znane mu okoliczności </w:t>
      </w:r>
      <w:r w:rsidRPr="006B2CD4">
        <w:rPr>
          <w:rFonts w:ascii="Times New Roman" w:hAnsi="Times New Roman" w:cs="Times New Roman"/>
          <w:sz w:val="24"/>
          <w:szCs w:val="24"/>
        </w:rPr>
        <w:lastRenderedPageBreak/>
        <w:t>naruszenia objętego danym postępowaniem i dowody na ich poparcie, i będzie efektywnie współdziałał z organem nadzoru w toku prowadzonego postępowania. Istotnym elementem tej koncepcji jest przyjęcie, że decyzja wydawana w wyniku zawarcia układu będzie miała status decyzji ostatecznej i prawomocnej.</w:t>
      </w:r>
    </w:p>
    <w:p w14:paraId="57826314" w14:textId="6FE1CE03" w:rsidR="003774EE" w:rsidRDefault="003774EE" w:rsidP="00B856D8">
      <w:pPr>
        <w:shd w:val="clear" w:color="auto" w:fill="FFFFFF" w:themeFill="background1"/>
        <w:spacing w:after="0" w:line="360" w:lineRule="auto"/>
        <w:jc w:val="both"/>
        <w:rPr>
          <w:rFonts w:ascii="Times New Roman" w:hAnsi="Times New Roman" w:cs="Times New Roman"/>
          <w:sz w:val="24"/>
          <w:szCs w:val="24"/>
        </w:rPr>
      </w:pPr>
      <w:r w:rsidRPr="002F14B4">
        <w:rPr>
          <w:rFonts w:ascii="Times New Roman" w:hAnsi="Times New Roman" w:cs="Times New Roman"/>
          <w:sz w:val="24"/>
          <w:szCs w:val="24"/>
        </w:rPr>
        <w:t xml:space="preserve">Zrzeczenie się przez podmiot układający się prawa do złożenia wniosku do Komisji o ponowne rozpatrzenie sprawy oraz skargi do wojewódzkiego sądu administracyjnego w odniesieniu do decyzji w sprawie układu następuje w związku ze złożeniem oświadczenia o przyjęciu w całości i bez zastrzeżeń uzgodnionego układu. Podmiot układający się składa oświadczenie w przypadku gdy jest usatysfakcjonowany uzgodnieniami dokonanymi z Komisją w toku postępowania i swoją czynnością aprobuje rozstrzygnięcia późniejszej decyzji, która ma służyć wprowadzeniu do obrotu prawnego postanowień uzgodnionego układu. Nie byłoby zatem zasadne, aby podmiotowi układającemu się przysługiwały środki odwoławcze, które służą do podważenia rozstrzygnięć, które zapadają wbrew woli strony lub niezgodnie z jej oczekiwaniami. Podmiot układający się pozostaje dysponentem zarówno prawa do zaskarżenia decyzji wydanych w pierwszej instancji (art. 78 Konstytucji), jak i prawa do sądu (art. 45 Konstytucji), i zawierając układ świadomie z nich rezygnuje, co nie uchybia jego konstytucyjnie gwarantowanym uprawnieniom. Komisja dodatkowo poucza podmiot układający się o skutkach przyjęcia układu, w tym o ostateczności i prawomocności przyszłej decyzji w sprawie układu. Funkcję gwarancyjną pełni w tym przypadku możliwość wszczęcia postępowania o stwierdzenie nieważności decyzji w sprawie układu. Tego rodzaju postępowanie nadzwyczajne może zostać </w:t>
      </w:r>
      <w:r w:rsidRPr="002F14B4">
        <w:rPr>
          <w:rFonts w:ascii="Times New Roman" w:hAnsi="Times New Roman" w:cs="Times New Roman"/>
          <w:sz w:val="24"/>
          <w:szCs w:val="24"/>
        </w:rPr>
        <w:lastRenderedPageBreak/>
        <w:t xml:space="preserve">wszczęte zarówno na żądanie strony, w tym przypadku podmiotu układającego się, jak i z urzędu. Wadliwa decyzja, która nieprawidłowo odzwierciedlałaby postanowienia układu byłaby bowiem możliwa do wyeliminowana z obrotu prawnego w drodze stwierdzenia jej nieważności. Niezgodność decyzji z układem stanowiłaby bowiem rażące naruszenie przepisów prawa, w rozumieniu art. 156 § 1 pkt 2 </w:t>
      </w:r>
      <w:r>
        <w:rPr>
          <w:rFonts w:ascii="Times New Roman" w:hAnsi="Times New Roman" w:cs="Times New Roman"/>
          <w:sz w:val="24"/>
          <w:szCs w:val="24"/>
        </w:rPr>
        <w:t>k</w:t>
      </w:r>
      <w:r w:rsidRPr="002F14B4">
        <w:rPr>
          <w:rFonts w:ascii="Times New Roman" w:hAnsi="Times New Roman" w:cs="Times New Roman"/>
          <w:sz w:val="24"/>
          <w:szCs w:val="24"/>
        </w:rPr>
        <w:t>.p.a. W odniesieniu do rozstrzygnięć zapadłych w tym postępowaniu nadzwyczajnym przysługują wszystkie środki prawne, na ogólnych zasadach, co stanowi wystarczającą gwarancję dla podmiotu układającego co do tego, że nie będzie on ponosił skutków nieprawidłowego działania organu administracji.</w:t>
      </w:r>
    </w:p>
    <w:p w14:paraId="09C39927" w14:textId="0BE2788B" w:rsidR="005B594C" w:rsidRPr="006B2CD4" w:rsidRDefault="005B594C" w:rsidP="00B856D8">
      <w:pPr>
        <w:shd w:val="clear" w:color="auto" w:fill="FFFFFF" w:themeFill="background1"/>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Samo postępowanie układowe w ramach postępowania sankcyjnego jest ograniczone terminem wyznaczanym przez KNF nie dłuższym niż trzy miesiące, z możliwością przedłużenia o okres nie dłuższy niż trzy miesiące. Pozwala to wyznaczyć adekwatny reżim czasowy dla zawarcia układu i mitygować ryzyko przewlekania postępowania. Zgodnie z projektowaną regulacją KNF będzie mogła, w drodze postanowienia, zawiadomić stronę postępowania sankcyjnego o możliwości zawarcia układu w sprawie warunków nadzwyczajnego złagodzenia sankcji, jeżeli uzna, że przyczyni się do pełniejszej realizacji ustawowych celów nadzoru nad rynkiem finansowym. Wyjście z propozycją zawarcia układu będzie uznaniowym uprawnieniem KNF. Z wnioskiem będzie mógł także wystąpić zainteresowany nadzwyczajnym złagodzeniem sankcji podmiot. Przepisy nie nakładają jednak na KNF przymusu zawarcia układu. Już po wystąpieniu z propozycją zawarcia układu KNF będzie mogła zakończyć postępowanie układowe w przypadku uznania, że działania podmiotu układającego się mają charakter pozorny i </w:t>
      </w:r>
      <w:r w:rsidRPr="006B2CD4">
        <w:rPr>
          <w:rFonts w:ascii="Times New Roman" w:hAnsi="Times New Roman" w:cs="Times New Roman"/>
          <w:sz w:val="24"/>
          <w:szCs w:val="24"/>
        </w:rPr>
        <w:lastRenderedPageBreak/>
        <w:t>nie zmierzają do zawarcia układu, co będzie oznaczało powrót do zwykłego trybu postępowania sankcyjnego, bez potrzeby jego ponownego wszczynania. Projektowane przepisy przewidują, że przesłankami zawarcia układu będzie zaprzestanie naruszenia objętego danym postępowaniem i usunięcie wszelkich dających się usunąć naruszeń oraz ujawnienie przez podmiot dążący do zawarcia układu wszelkich istotnych okoliczności dotyczących naruszenia objętego danym postępowaniem, w tym osób współdziałających. Podmiot dążący do zawarcia układu będzie mógł ponadto zobowiązać się w układzie do usunięcia w określonym terminie dających się usunąć skutków naruszenia objętego danym postępowaniem oraz naprawienia w określonym terminie, w całości lub w części, szkód wyrządzonych w wyniku naruszenia objętego danym postępowaniem, w tym także w przypadkach gdy szkoda ujawni się w przyszłości. Powyższe okoliczności będą miały wpływ na wielkość i charakter złagodzenia sankcji, a w określonych przypadkach mogłyby także skutkować odstąpienie od nałożenia sankcji.</w:t>
      </w:r>
      <w:r w:rsidR="00D837F3" w:rsidRPr="006B2CD4">
        <w:rPr>
          <w:rFonts w:ascii="Times New Roman" w:hAnsi="Times New Roman" w:cs="Times New Roman"/>
          <w:sz w:val="24"/>
          <w:szCs w:val="24"/>
        </w:rPr>
        <w:t xml:space="preserve"> </w:t>
      </w:r>
      <w:r w:rsidRPr="006B2CD4">
        <w:rPr>
          <w:rFonts w:ascii="Times New Roman" w:hAnsi="Times New Roman" w:cs="Times New Roman"/>
          <w:sz w:val="24"/>
          <w:szCs w:val="24"/>
        </w:rPr>
        <w:t xml:space="preserve">W ramach zawieranego układu </w:t>
      </w:r>
      <w:r w:rsidR="00724BC1" w:rsidRPr="006B2CD4">
        <w:rPr>
          <w:rFonts w:ascii="Times New Roman" w:hAnsi="Times New Roman" w:cs="Times New Roman"/>
          <w:sz w:val="24"/>
          <w:szCs w:val="24"/>
        </w:rPr>
        <w:t>KNF</w:t>
      </w:r>
      <w:r w:rsidRPr="006B2CD4">
        <w:rPr>
          <w:rFonts w:ascii="Times New Roman" w:hAnsi="Times New Roman" w:cs="Times New Roman"/>
          <w:sz w:val="24"/>
          <w:szCs w:val="24"/>
        </w:rPr>
        <w:t xml:space="preserve"> może obniżyć karę pieniężną nie mniej niż </w:t>
      </w:r>
      <w:r w:rsidR="00E129AE">
        <w:rPr>
          <w:rFonts w:ascii="Times New Roman" w:hAnsi="Times New Roman" w:cs="Times New Roman"/>
          <w:sz w:val="24"/>
          <w:szCs w:val="24"/>
        </w:rPr>
        <w:t xml:space="preserve">o </w:t>
      </w:r>
      <w:r w:rsidRPr="006B2CD4">
        <w:rPr>
          <w:rFonts w:ascii="Times New Roman" w:hAnsi="Times New Roman" w:cs="Times New Roman"/>
          <w:sz w:val="24"/>
          <w:szCs w:val="24"/>
        </w:rPr>
        <w:t xml:space="preserve">20% i nie więcej niż </w:t>
      </w:r>
      <w:r w:rsidR="00E129AE">
        <w:rPr>
          <w:rFonts w:ascii="Times New Roman" w:hAnsi="Times New Roman" w:cs="Times New Roman"/>
          <w:sz w:val="24"/>
          <w:szCs w:val="24"/>
        </w:rPr>
        <w:t xml:space="preserve">o </w:t>
      </w:r>
      <w:r w:rsidRPr="006B2CD4">
        <w:rPr>
          <w:rFonts w:ascii="Times New Roman" w:hAnsi="Times New Roman" w:cs="Times New Roman"/>
          <w:sz w:val="24"/>
          <w:szCs w:val="24"/>
        </w:rPr>
        <w:t xml:space="preserve">90%, oraz nie mniej niż </w:t>
      </w:r>
      <w:r w:rsidR="00E129AE">
        <w:rPr>
          <w:rFonts w:ascii="Times New Roman" w:hAnsi="Times New Roman" w:cs="Times New Roman"/>
          <w:sz w:val="24"/>
          <w:szCs w:val="24"/>
        </w:rPr>
        <w:t xml:space="preserve">o </w:t>
      </w:r>
      <w:r w:rsidRPr="006B2CD4">
        <w:rPr>
          <w:rFonts w:ascii="Times New Roman" w:hAnsi="Times New Roman" w:cs="Times New Roman"/>
          <w:sz w:val="24"/>
          <w:szCs w:val="24"/>
        </w:rPr>
        <w:t xml:space="preserve">30% i nie więcej niż </w:t>
      </w:r>
      <w:r w:rsidR="00E129AE">
        <w:rPr>
          <w:rFonts w:ascii="Times New Roman" w:hAnsi="Times New Roman" w:cs="Times New Roman"/>
          <w:sz w:val="24"/>
          <w:szCs w:val="24"/>
        </w:rPr>
        <w:t xml:space="preserve">o </w:t>
      </w:r>
      <w:r w:rsidRPr="006B2CD4">
        <w:rPr>
          <w:rFonts w:ascii="Times New Roman" w:hAnsi="Times New Roman" w:cs="Times New Roman"/>
          <w:sz w:val="24"/>
          <w:szCs w:val="24"/>
        </w:rPr>
        <w:t>90%, w stosunku do kary, która zostałaby nałożona bez zawarcia układu, bądź też odpowiednio złagodzić dolegliwość innej sankcji. Ustawienie przedziału procentowego ma na celu zapewnienie elastyczności stopnia złagodzenia kary w zależności od okoliczności, które mogą być bardzo zróżnicowane.</w:t>
      </w:r>
    </w:p>
    <w:p w14:paraId="2FD72B96" w14:textId="4B038C35" w:rsidR="005B594C" w:rsidRPr="006B2CD4" w:rsidRDefault="005B594C" w:rsidP="00B856D8">
      <w:pPr>
        <w:shd w:val="clear" w:color="auto" w:fill="FFFFFF" w:themeFill="background1"/>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W projektowanych przepisach przewidziano również odpowiednie środki prawne mające przeciwdziałać instrumentalnemu zawieraniu układu przez podmioty nadzorowane, bez zamiaru </w:t>
      </w:r>
      <w:r w:rsidRPr="006B2CD4">
        <w:rPr>
          <w:rFonts w:ascii="Times New Roman" w:hAnsi="Times New Roman" w:cs="Times New Roman"/>
          <w:sz w:val="24"/>
          <w:szCs w:val="24"/>
        </w:rPr>
        <w:lastRenderedPageBreak/>
        <w:t>lub możliwości dotrzymania jego warunków. Służy temu przede wszystkim ustanowienie odrębnej kary pieniężnej za niewykonanie przez podmiot, który zawarł układ zobowiązań podjętych w ramach układu, w całości lub w istotnej części, lub istotnych nieprawidłowoś</w:t>
      </w:r>
      <w:r w:rsidR="00C85A10">
        <w:rPr>
          <w:rFonts w:ascii="Times New Roman" w:hAnsi="Times New Roman" w:cs="Times New Roman"/>
          <w:sz w:val="24"/>
          <w:szCs w:val="24"/>
        </w:rPr>
        <w:t xml:space="preserve">ci w wykonaniu tych zobowiązań. </w:t>
      </w:r>
      <w:r w:rsidRPr="006B2CD4">
        <w:rPr>
          <w:rFonts w:ascii="Times New Roman" w:hAnsi="Times New Roman" w:cs="Times New Roman"/>
          <w:sz w:val="24"/>
          <w:szCs w:val="24"/>
        </w:rPr>
        <w:t xml:space="preserve">Także niektóre oświadczenia składane przez podmiot chcący skorzystać z układu w toku postępowania układowego będą objęte odpowiedzialnością karną za składanie fałszywych oświadczeń, co powinno stanowić efektywny środek dyscyplinujący. </w:t>
      </w:r>
    </w:p>
    <w:p w14:paraId="6CAFD8BB" w14:textId="2A9C84D0" w:rsidR="005B594C" w:rsidRDefault="005B594C" w:rsidP="00B459D5">
      <w:pPr>
        <w:shd w:val="clear" w:color="auto" w:fill="FFFFFF" w:themeFill="background1"/>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Przygotowane przepisy mają stanowić nowo wyodrębniony rozdział w ustawie o nadzorze nad rynkiem finansowym. Będą miały zastosowanie do administracyjnych kar pieniężnych, jak i innych sankcji nakładanych przez KNF, w tym także w przypadkach gdy przepis prawa przewiduje za dane naruszenie możliwość jednoczesnego nałożenia kary pieniężnej i cofnięcia zezwolenia, nałożenia zakazu albo zastosowania innej sankcji. Na obecnym etapie w projektowanych przepisach nie zostały przewidziane żadne wyłączenia przedmiotowe, ani podmiotowe. Projektowane przepisy przejściowe przewidują, że nowa regulacja znajdzie zastosowanie także do postępowań sankcyjnych w toku.</w:t>
      </w:r>
    </w:p>
    <w:p w14:paraId="0C484059" w14:textId="4332AF30" w:rsidR="009620D1" w:rsidRPr="006B2CD4" w:rsidRDefault="009620D1" w:rsidP="00B459D5">
      <w:pPr>
        <w:shd w:val="clear" w:color="auto" w:fill="FFFFFF" w:themeFill="background1"/>
        <w:spacing w:after="120" w:line="360" w:lineRule="auto"/>
        <w:jc w:val="both"/>
        <w:rPr>
          <w:rFonts w:ascii="Times New Roman" w:hAnsi="Times New Roman" w:cs="Times New Roman"/>
          <w:sz w:val="24"/>
          <w:szCs w:val="24"/>
        </w:rPr>
      </w:pPr>
      <w:r>
        <w:rPr>
          <w:rFonts w:ascii="Times New Roman" w:hAnsi="Times New Roman" w:cs="Times New Roman"/>
          <w:sz w:val="24"/>
          <w:szCs w:val="24"/>
        </w:rPr>
        <w:t>Mając na uwadze istotę oraz cel wprowadzanych regulacji zasadne wydaje się podkreślenie, że zawarcie układu między podmiotem a KNF jest działaniem dobrowolnym. Decydując się na zawarcie układu pomiot zgadza się i akceptuje tryb prowadzonego postępowania oraz jego warunki. Wprowadzone regulacje nie naruszają konstytucyjnej zasady prawa do sądu. Przepisy w tym zakresie nie ulegają zmianie. Jednocześnie wprowadzanie postępowanie układowe uzupełnia obowiązujące przepisy o dodatkowe rozwiązanie.</w:t>
      </w:r>
    </w:p>
    <w:p w14:paraId="311A6376" w14:textId="71E5EDAD" w:rsidR="005B594C" w:rsidRPr="006B2CD4" w:rsidRDefault="005B594C" w:rsidP="004E272A">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lastRenderedPageBreak/>
        <w:t xml:space="preserve">W art. 19a ust. 2 pkt 2 lit. c o nadzorze nad rynkiem finansowym proponuje się rezygnację z nieaktualnych treści odnoszących się do „agentów firm inwestycyjnych, maklerów giełd towarowych oraz za egzaminy uzupełniające”. Zmiana ma charakter porządkujący. </w:t>
      </w:r>
    </w:p>
    <w:p w14:paraId="5C668480" w14:textId="77777777" w:rsidR="005B594C" w:rsidRPr="006B2CD4" w:rsidRDefault="005B594C" w:rsidP="00B856D8">
      <w:pPr>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Celem dodawanego w art. 19a ust. 5a ustawy o nadzorze nad rynkiem finansowymi jest uzupełnienie unormowań zawartych w ust. 5 o wskazanie, że w postępowaniach w sprawach danin publicznych, jakimi są wpłaty i opłaty, o których mowa w ust. 2 pkt 1‒3 oraz w ust. 3 tego przepisu, stosuje się przepisy k.p.a. </w:t>
      </w:r>
      <w:r w:rsidRPr="006B2CD4">
        <w:rPr>
          <w:rFonts w:ascii="Times New Roman" w:eastAsia="Times New Roman" w:hAnsi="Times New Roman" w:cs="Times New Roman"/>
          <w:bCs/>
          <w:sz w:val="24"/>
          <w:szCs w:val="24"/>
        </w:rPr>
        <w:t>–</w:t>
      </w:r>
      <w:r w:rsidRPr="006B2CD4">
        <w:rPr>
          <w:rFonts w:ascii="Times New Roman" w:hAnsi="Times New Roman" w:cs="Times New Roman"/>
          <w:sz w:val="24"/>
          <w:szCs w:val="24"/>
        </w:rPr>
        <w:t xml:space="preserve"> jest to przepis analogiczny do art. 11 ust. 5 ustawy o nadzorze nad rynkiem finansowymi, o tyle uzasadniony, że w tym przypadku podmiotem administrującym wydającym decyzje administracyjnej jest państwowa osoba prawna </w:t>
      </w:r>
      <w:r w:rsidRPr="006B2CD4">
        <w:rPr>
          <w:rFonts w:ascii="Times New Roman" w:eastAsia="Times New Roman" w:hAnsi="Times New Roman" w:cs="Times New Roman"/>
          <w:bCs/>
          <w:sz w:val="24"/>
          <w:szCs w:val="24"/>
        </w:rPr>
        <w:t xml:space="preserve">– </w:t>
      </w:r>
      <w:r w:rsidRPr="006B2CD4">
        <w:rPr>
          <w:rFonts w:ascii="Times New Roman" w:hAnsi="Times New Roman" w:cs="Times New Roman"/>
          <w:sz w:val="24"/>
          <w:szCs w:val="24"/>
        </w:rPr>
        <w:t xml:space="preserve">UKNF, a nie KNF. W konsekwencji konieczne jest także rozstrzygnięcie o stosowaniu przepisu o wniosku o ponowne rozpatrzenie sprawy </w:t>
      </w:r>
      <w:r w:rsidRPr="006B2CD4">
        <w:rPr>
          <w:rFonts w:ascii="Times New Roman" w:eastAsia="Times New Roman" w:hAnsi="Times New Roman" w:cs="Times New Roman"/>
          <w:bCs/>
          <w:sz w:val="24"/>
          <w:szCs w:val="24"/>
        </w:rPr>
        <w:t>–</w:t>
      </w:r>
      <w:r w:rsidRPr="006B2CD4">
        <w:rPr>
          <w:rFonts w:ascii="Times New Roman" w:hAnsi="Times New Roman" w:cs="Times New Roman"/>
          <w:sz w:val="24"/>
          <w:szCs w:val="24"/>
        </w:rPr>
        <w:t xml:space="preserve"> analogicznie do art. 11 ust. 6 w odniesieniu do KNF.</w:t>
      </w:r>
    </w:p>
    <w:p w14:paraId="63F60C26" w14:textId="5BC5FE2B" w:rsidR="005B594C" w:rsidRDefault="005B594C" w:rsidP="00B459D5">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Z kolei, celem dodawanego w art. 19a ust. 5b ustawy o nadzorze nad rynkiem finansowym jest zwolnienie podmiotów nadzorowanych w stanie upadłości lub likwidacji z obowiązku daninowego wpłat na pokrycie kosztów nadzoru. Formalnie podmiot w upadłości lub likwidacji nadal zachowuje status podmiotu zobowiązanego do ponoszenia kosztów nadzoru, tymczasem uzyskanie od takich podmiotów wpłat jest nadmiernie utrudnione, a często niemożliwe, a z perspektywy finansowej także niecelowe. Dodatkowo, przepis będzie stanowił podstawę do umorzenia należności powstałych przed dniem upadłości lub likwidacji i do tego dnia nieuiszczonych.</w:t>
      </w:r>
    </w:p>
    <w:p w14:paraId="33FA69B3" w14:textId="5CFFC55C" w:rsidR="009020C2" w:rsidRPr="006B2CD4" w:rsidRDefault="009020C2" w:rsidP="00B459D5">
      <w:pPr>
        <w:spacing w:after="120" w:line="360" w:lineRule="auto"/>
        <w:jc w:val="both"/>
        <w:rPr>
          <w:rFonts w:ascii="Times New Roman" w:hAnsi="Times New Roman" w:cs="Times New Roman"/>
          <w:sz w:val="24"/>
          <w:szCs w:val="24"/>
        </w:rPr>
      </w:pPr>
      <w:r w:rsidRPr="000E7055">
        <w:rPr>
          <w:rFonts w:ascii="Times New Roman" w:hAnsi="Times New Roman" w:cs="Times New Roman"/>
          <w:sz w:val="24"/>
          <w:szCs w:val="24"/>
        </w:rPr>
        <w:lastRenderedPageBreak/>
        <w:t xml:space="preserve">W art. 19a dodaje się nowy ust. 8 zgodnie z którym wpłaty i opłaty wnoszone za dany rok nie podlegają zwrotowi w przypadku zakończenia działalności przez podmiot nadzorowany w ciągu roku, za który wpłata lub opłata została wniesiona. Przepisy te są analogiczne do przepisów wprowadzonych </w:t>
      </w:r>
      <w:r w:rsidR="002C6B0B">
        <w:rPr>
          <w:rFonts w:ascii="Times New Roman" w:hAnsi="Times New Roman" w:cs="Times New Roman"/>
          <w:sz w:val="24"/>
          <w:szCs w:val="24"/>
        </w:rPr>
        <w:t xml:space="preserve">w </w:t>
      </w:r>
      <w:r w:rsidRPr="000E7055">
        <w:rPr>
          <w:rFonts w:ascii="Times New Roman" w:hAnsi="Times New Roman" w:cs="Times New Roman"/>
          <w:sz w:val="24"/>
          <w:szCs w:val="24"/>
        </w:rPr>
        <w:t>ustaw</w:t>
      </w:r>
      <w:r w:rsidR="002C6B0B">
        <w:rPr>
          <w:rFonts w:ascii="Times New Roman" w:hAnsi="Times New Roman" w:cs="Times New Roman"/>
          <w:sz w:val="24"/>
          <w:szCs w:val="24"/>
        </w:rPr>
        <w:t>ie</w:t>
      </w:r>
      <w:r w:rsidRPr="000E7055">
        <w:rPr>
          <w:rFonts w:ascii="Times New Roman" w:hAnsi="Times New Roman" w:cs="Times New Roman"/>
          <w:sz w:val="24"/>
          <w:szCs w:val="24"/>
        </w:rPr>
        <w:t xml:space="preserve"> o rozpatrywaniu reklamacji przez podmioty rynku finansowego, o Rzeczniku Finansowym i Funduszu Edukacji Finansowej i mają na celu zapewnienie spójności w przepisach.</w:t>
      </w:r>
    </w:p>
    <w:p w14:paraId="713CEBFD" w14:textId="32510ECD" w:rsidR="005B594C" w:rsidRPr="006B2CD4" w:rsidRDefault="005B594C" w:rsidP="00B459D5">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Zmiana w art. 19b ustawy o nadzorze nad rynkiem finansowym polega na dodaniu ust. 3, zgodnie z którym zmiana planu finansowego jest uchwalana przez KNF i wymaga zatwierdzenia przez Prezesa Rady Ministrów. Zmieniony plan finansowy jest przekazywany ministrowi właściwemu do spraw instytucji finansowych. Zmiana stanowi uzupełnienie obecnej regulacji w zakresie finansowania UKNF.</w:t>
      </w:r>
    </w:p>
    <w:p w14:paraId="17E7C8A2" w14:textId="359C8F46" w:rsidR="00FB03ED" w:rsidRPr="006B2CD4" w:rsidRDefault="005B594C" w:rsidP="00B856D8">
      <w:pPr>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Zmiana w art. 19e ust. 1 i 2 ustawy o nadzorze nad rynkiem finansowym jest konsekwencją określenia nowej kary pieniężnej w art. 11c ust. 7 tej ustawy. Ponadto wpływy z tytułu nowododawanej kary pieniężnej stanowią środki Funduszu Edukacji Finansowej, a do należności z tytułu tej kary pieniężnej stosuje się odpowiednio przepisy działu III ustawy z dnia 29 sierpnia 1997 r. </w:t>
      </w:r>
      <w:r w:rsidR="002D18FB" w:rsidRPr="006B2CD4">
        <w:rPr>
          <w:rStyle w:val="markedcontent"/>
          <w:rFonts w:ascii="Times New Roman" w:hAnsi="Times New Roman" w:cs="Times New Roman"/>
          <w:sz w:val="24"/>
          <w:szCs w:val="24"/>
        </w:rPr>
        <w:t>‒</w:t>
      </w:r>
      <w:r w:rsidRPr="006B2CD4">
        <w:rPr>
          <w:rFonts w:ascii="Times New Roman" w:hAnsi="Times New Roman" w:cs="Times New Roman"/>
          <w:sz w:val="24"/>
          <w:szCs w:val="24"/>
        </w:rPr>
        <w:t xml:space="preserve"> Ordynacja podatkowa (Dz. U. z 202</w:t>
      </w:r>
      <w:r w:rsidR="005234C2">
        <w:rPr>
          <w:rFonts w:ascii="Times New Roman" w:hAnsi="Times New Roman" w:cs="Times New Roman"/>
          <w:sz w:val="24"/>
          <w:szCs w:val="24"/>
        </w:rPr>
        <w:t>2</w:t>
      </w:r>
      <w:r w:rsidRPr="006B2CD4">
        <w:rPr>
          <w:rFonts w:ascii="Times New Roman" w:hAnsi="Times New Roman" w:cs="Times New Roman"/>
          <w:sz w:val="24"/>
          <w:szCs w:val="24"/>
        </w:rPr>
        <w:t xml:space="preserve"> r. poz. </w:t>
      </w:r>
      <w:r w:rsidR="005234C2">
        <w:rPr>
          <w:rFonts w:ascii="Times New Roman" w:hAnsi="Times New Roman" w:cs="Times New Roman"/>
          <w:sz w:val="24"/>
          <w:szCs w:val="24"/>
        </w:rPr>
        <w:t>2651</w:t>
      </w:r>
      <w:r w:rsidRPr="006B2CD4">
        <w:rPr>
          <w:rFonts w:ascii="Times New Roman" w:hAnsi="Times New Roman" w:cs="Times New Roman"/>
          <w:sz w:val="24"/>
          <w:szCs w:val="24"/>
        </w:rPr>
        <w:t>, z późn. zm.) oraz przepisy ustawy z dnia 17 czerwca 1966 r. o postępowaniu egzekucyjnym w administracji (Dz. U. z 202</w:t>
      </w:r>
      <w:r w:rsidR="007B6E26" w:rsidRPr="006B2CD4">
        <w:rPr>
          <w:rFonts w:ascii="Times New Roman" w:hAnsi="Times New Roman" w:cs="Times New Roman"/>
          <w:sz w:val="24"/>
          <w:szCs w:val="24"/>
        </w:rPr>
        <w:t>2</w:t>
      </w:r>
      <w:r w:rsidRPr="006B2CD4">
        <w:rPr>
          <w:rFonts w:ascii="Times New Roman" w:hAnsi="Times New Roman" w:cs="Times New Roman"/>
          <w:sz w:val="24"/>
          <w:szCs w:val="24"/>
        </w:rPr>
        <w:t xml:space="preserve"> r. poz. </w:t>
      </w:r>
      <w:r w:rsidR="007B6E26" w:rsidRPr="006B2CD4">
        <w:rPr>
          <w:rFonts w:ascii="Times New Roman" w:hAnsi="Times New Roman" w:cs="Times New Roman"/>
          <w:sz w:val="24"/>
          <w:szCs w:val="24"/>
        </w:rPr>
        <w:t>479</w:t>
      </w:r>
      <w:r w:rsidRPr="006B2CD4">
        <w:rPr>
          <w:rFonts w:ascii="Times New Roman" w:hAnsi="Times New Roman" w:cs="Times New Roman"/>
          <w:sz w:val="24"/>
          <w:szCs w:val="24"/>
        </w:rPr>
        <w:t>, z późn. zm.).</w:t>
      </w:r>
    </w:p>
    <w:p w14:paraId="27EC0FE9" w14:textId="303F4F54" w:rsidR="00DF0CCC" w:rsidRDefault="00901A2D" w:rsidP="00B856D8">
      <w:pPr>
        <w:spacing w:before="120" w:after="120" w:line="360" w:lineRule="auto"/>
        <w:jc w:val="both"/>
        <w:rPr>
          <w:rFonts w:ascii="Times New Roman" w:hAnsi="Times New Roman" w:cs="Times New Roman"/>
          <w:b/>
          <w:sz w:val="24"/>
          <w:szCs w:val="24"/>
        </w:rPr>
      </w:pPr>
      <w:r w:rsidRPr="006B2CD4">
        <w:rPr>
          <w:rFonts w:ascii="Times New Roman" w:hAnsi="Times New Roman" w:cs="Times New Roman"/>
          <w:b/>
          <w:sz w:val="24"/>
          <w:szCs w:val="24"/>
        </w:rPr>
        <w:t xml:space="preserve">Art. </w:t>
      </w:r>
      <w:r w:rsidR="00A9518E" w:rsidRPr="006B2CD4">
        <w:rPr>
          <w:rFonts w:ascii="Times New Roman" w:hAnsi="Times New Roman" w:cs="Times New Roman"/>
          <w:b/>
          <w:sz w:val="24"/>
          <w:szCs w:val="24"/>
        </w:rPr>
        <w:t>1</w:t>
      </w:r>
      <w:r w:rsidR="00CF3CA3">
        <w:rPr>
          <w:rFonts w:ascii="Times New Roman" w:hAnsi="Times New Roman" w:cs="Times New Roman"/>
          <w:b/>
          <w:sz w:val="24"/>
          <w:szCs w:val="24"/>
        </w:rPr>
        <w:t>9</w:t>
      </w:r>
      <w:r w:rsidRPr="006B2CD4">
        <w:rPr>
          <w:rFonts w:ascii="Times New Roman" w:hAnsi="Times New Roman" w:cs="Times New Roman"/>
          <w:b/>
          <w:sz w:val="24"/>
          <w:szCs w:val="24"/>
        </w:rPr>
        <w:t xml:space="preserve">. </w:t>
      </w:r>
      <w:r w:rsidR="000A1805" w:rsidRPr="006B2CD4">
        <w:rPr>
          <w:rFonts w:ascii="Times New Roman" w:hAnsi="Times New Roman" w:cs="Times New Roman"/>
          <w:b/>
          <w:sz w:val="24"/>
          <w:szCs w:val="24"/>
        </w:rPr>
        <w:t xml:space="preserve">Zmiany w ustawie o </w:t>
      </w:r>
      <w:r w:rsidR="000638FD" w:rsidRPr="006B2CD4">
        <w:rPr>
          <w:rFonts w:ascii="Times New Roman" w:hAnsi="Times New Roman" w:cs="Times New Roman"/>
          <w:b/>
          <w:sz w:val="24"/>
          <w:szCs w:val="24"/>
        </w:rPr>
        <w:t>skok</w:t>
      </w:r>
    </w:p>
    <w:p w14:paraId="66F6784D" w14:textId="79AD1803" w:rsidR="002F2A7A" w:rsidRPr="002F2A7A" w:rsidRDefault="002F2A7A" w:rsidP="002F2A7A">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Proponowana zmiana art. 9f</w:t>
      </w:r>
      <w:r w:rsidR="007C389F">
        <w:rPr>
          <w:rFonts w:ascii="Times New Roman" w:hAnsi="Times New Roman" w:cs="Times New Roman"/>
          <w:sz w:val="24"/>
          <w:szCs w:val="24"/>
        </w:rPr>
        <w:t xml:space="preserve"> </w:t>
      </w:r>
      <w:r w:rsidRPr="008500DA">
        <w:rPr>
          <w:rFonts w:ascii="Times New Roman" w:hAnsi="Times New Roman" w:cs="Times New Roman"/>
          <w:sz w:val="24"/>
          <w:szCs w:val="24"/>
        </w:rPr>
        <w:t xml:space="preserve">ust. 1 </w:t>
      </w:r>
      <w:r>
        <w:rPr>
          <w:rFonts w:ascii="Times New Roman" w:hAnsi="Times New Roman" w:cs="Times New Roman"/>
          <w:sz w:val="24"/>
          <w:szCs w:val="24"/>
        </w:rPr>
        <w:t xml:space="preserve">pkt </w:t>
      </w:r>
      <w:r w:rsidR="00A9518E">
        <w:rPr>
          <w:rFonts w:ascii="Times New Roman" w:hAnsi="Times New Roman" w:cs="Times New Roman"/>
          <w:sz w:val="24"/>
          <w:szCs w:val="24"/>
        </w:rPr>
        <w:t xml:space="preserve">12ba </w:t>
      </w:r>
      <w:r>
        <w:rPr>
          <w:rFonts w:ascii="Times New Roman" w:hAnsi="Times New Roman" w:cs="Times New Roman"/>
          <w:sz w:val="24"/>
          <w:szCs w:val="24"/>
        </w:rPr>
        <w:t xml:space="preserve">ustawy </w:t>
      </w:r>
      <w:r w:rsidR="00A8431A">
        <w:rPr>
          <w:rFonts w:ascii="Times New Roman" w:hAnsi="Times New Roman" w:cs="Times New Roman"/>
          <w:sz w:val="24"/>
          <w:szCs w:val="24"/>
        </w:rPr>
        <w:t xml:space="preserve">o skok </w:t>
      </w:r>
      <w:r w:rsidRPr="006D5E53">
        <w:rPr>
          <w:rFonts w:ascii="Times New Roman" w:hAnsi="Times New Roman" w:cs="Times New Roman"/>
          <w:sz w:val="24"/>
          <w:szCs w:val="24"/>
        </w:rPr>
        <w:t xml:space="preserve">ma na celu ujednolicenie uprawnień służb do wykonywania czynności operacyjno-rozpoznawczych w zakresie dostępu do informacji stanowiących tajemnice prawnie chronione. Niejednolite rozwiązania w tym obszarze, także w ustawach pragmatycznych, mogą spowodować podważanie kompetencji służb w zakresie uzyskiwania informacji stanowiących takie tajemnice. </w:t>
      </w:r>
      <w:r>
        <w:rPr>
          <w:rFonts w:ascii="Times New Roman" w:hAnsi="Times New Roman" w:cs="Times New Roman"/>
          <w:sz w:val="24"/>
          <w:szCs w:val="24"/>
        </w:rPr>
        <w:t xml:space="preserve">Projektowany art. 9f ust. 1 pkt </w:t>
      </w:r>
      <w:r w:rsidR="00A9518E">
        <w:rPr>
          <w:rFonts w:ascii="Times New Roman" w:hAnsi="Times New Roman" w:cs="Times New Roman"/>
          <w:sz w:val="24"/>
          <w:szCs w:val="24"/>
        </w:rPr>
        <w:t xml:space="preserve">12bb </w:t>
      </w:r>
      <w:r>
        <w:rPr>
          <w:rFonts w:ascii="Times New Roman" w:hAnsi="Times New Roman" w:cs="Times New Roman"/>
          <w:sz w:val="24"/>
          <w:szCs w:val="24"/>
        </w:rPr>
        <w:t xml:space="preserve">ma na celu ujednolicenie przepisów prawa, bowiem zgodnie z ustawą </w:t>
      </w:r>
      <w:r w:rsidR="00457862">
        <w:rPr>
          <w:rFonts w:ascii="Times New Roman" w:hAnsi="Times New Roman" w:cs="Times New Roman"/>
          <w:sz w:val="24"/>
          <w:szCs w:val="24"/>
        </w:rPr>
        <w:t>–</w:t>
      </w:r>
      <w:r w:rsidR="00180B92">
        <w:rPr>
          <w:rFonts w:ascii="Times New Roman" w:hAnsi="Times New Roman" w:cs="Times New Roman"/>
          <w:sz w:val="24"/>
          <w:szCs w:val="24"/>
        </w:rPr>
        <w:t xml:space="preserve"> </w:t>
      </w:r>
      <w:r>
        <w:rPr>
          <w:rFonts w:ascii="Times New Roman" w:hAnsi="Times New Roman" w:cs="Times New Roman"/>
          <w:sz w:val="24"/>
          <w:szCs w:val="24"/>
        </w:rPr>
        <w:t>Prawo o ruchu drogowy</w:t>
      </w:r>
      <w:r w:rsidR="00180B92">
        <w:rPr>
          <w:rFonts w:ascii="Times New Roman" w:hAnsi="Times New Roman" w:cs="Times New Roman"/>
          <w:sz w:val="24"/>
          <w:szCs w:val="24"/>
        </w:rPr>
        <w:t xml:space="preserve">m, </w:t>
      </w:r>
      <w:r>
        <w:rPr>
          <w:rFonts w:ascii="Times New Roman" w:hAnsi="Times New Roman" w:cs="Times New Roman"/>
          <w:sz w:val="24"/>
          <w:szCs w:val="24"/>
        </w:rPr>
        <w:t>właściciel lub posiadacz pojazdu zobowiązany jest</w:t>
      </w:r>
      <w:r w:rsidRPr="00240897">
        <w:rPr>
          <w:rFonts w:ascii="Times New Roman" w:hAnsi="Times New Roman" w:cs="Times New Roman"/>
          <w:sz w:val="24"/>
          <w:szCs w:val="24"/>
        </w:rPr>
        <w:t xml:space="preserve"> do wskazania na żądanie uprawnionego organu, komu powierzył pojazd do kierowania lub używania w oznaczonym czasie, chyba że pojazd został użyty wbrew jego woli i wiedzy przez nieznaną osobę, czemu nie mógł zapobiec. </w:t>
      </w:r>
      <w:r w:rsidRPr="00D95E90">
        <w:rPr>
          <w:rFonts w:ascii="Times New Roman" w:hAnsi="Times New Roman" w:cs="Times New Roman"/>
          <w:sz w:val="24"/>
          <w:szCs w:val="24"/>
        </w:rPr>
        <w:t xml:space="preserve">W </w:t>
      </w:r>
      <w:r>
        <w:rPr>
          <w:rFonts w:ascii="Times New Roman" w:hAnsi="Times New Roman" w:cs="Times New Roman"/>
          <w:sz w:val="24"/>
          <w:szCs w:val="24"/>
        </w:rPr>
        <w:t>obecnym brzmieniu ustawy</w:t>
      </w:r>
      <w:r w:rsidRPr="00D95E90">
        <w:rPr>
          <w:rFonts w:ascii="Times New Roman" w:hAnsi="Times New Roman" w:cs="Times New Roman"/>
          <w:sz w:val="24"/>
          <w:szCs w:val="24"/>
        </w:rPr>
        <w:t xml:space="preserve"> o spółdzielczych kasach oszczędnościowo-kredytowych brak jest po</w:t>
      </w:r>
      <w:r>
        <w:rPr>
          <w:rFonts w:ascii="Times New Roman" w:hAnsi="Times New Roman" w:cs="Times New Roman"/>
          <w:sz w:val="24"/>
          <w:szCs w:val="24"/>
        </w:rPr>
        <w:t>dstawy prawnej do uzyskania</w:t>
      </w:r>
      <w:r w:rsidRPr="00D95E90">
        <w:rPr>
          <w:rFonts w:ascii="Times New Roman" w:hAnsi="Times New Roman" w:cs="Times New Roman"/>
          <w:sz w:val="24"/>
          <w:szCs w:val="24"/>
        </w:rPr>
        <w:t xml:space="preserve"> informacji do toczącego się postępowania przygotowawczego lub czynności wyjaśniających. Rozwiązanie takie funkcjonuje natomiast w art. 105 ust. 1 pkt 2 lit. s </w:t>
      </w:r>
      <w:r>
        <w:rPr>
          <w:rFonts w:ascii="Times New Roman" w:hAnsi="Times New Roman" w:cs="Times New Roman"/>
          <w:sz w:val="24"/>
          <w:szCs w:val="24"/>
        </w:rPr>
        <w:t>ustawy</w:t>
      </w:r>
      <w:r w:rsidRPr="00D95E90">
        <w:rPr>
          <w:rFonts w:ascii="Times New Roman" w:hAnsi="Times New Roman" w:cs="Times New Roman"/>
          <w:sz w:val="24"/>
          <w:szCs w:val="24"/>
        </w:rPr>
        <w:t xml:space="preserve"> </w:t>
      </w:r>
      <w:r w:rsidR="00457862">
        <w:rPr>
          <w:rFonts w:ascii="Times New Roman" w:hAnsi="Times New Roman" w:cs="Times New Roman"/>
          <w:sz w:val="24"/>
          <w:szCs w:val="24"/>
        </w:rPr>
        <w:t>–</w:t>
      </w:r>
      <w:r w:rsidR="0004083A">
        <w:rPr>
          <w:rFonts w:ascii="Times New Roman" w:hAnsi="Times New Roman" w:cs="Times New Roman"/>
          <w:sz w:val="24"/>
          <w:szCs w:val="24"/>
        </w:rPr>
        <w:t xml:space="preserve"> </w:t>
      </w:r>
      <w:r w:rsidRPr="00D95E90">
        <w:rPr>
          <w:rFonts w:ascii="Times New Roman" w:hAnsi="Times New Roman" w:cs="Times New Roman"/>
          <w:sz w:val="24"/>
          <w:szCs w:val="24"/>
        </w:rPr>
        <w:t xml:space="preserve">Prawo bankowe. Wprowadzenie </w:t>
      </w:r>
      <w:r>
        <w:rPr>
          <w:rFonts w:ascii="Times New Roman" w:hAnsi="Times New Roman" w:cs="Times New Roman"/>
          <w:sz w:val="24"/>
          <w:szCs w:val="24"/>
        </w:rPr>
        <w:t>analogicznego rozwiązania</w:t>
      </w:r>
      <w:r w:rsidRPr="00240897">
        <w:rPr>
          <w:rFonts w:ascii="Times New Roman" w:hAnsi="Times New Roman" w:cs="Times New Roman"/>
          <w:sz w:val="24"/>
          <w:szCs w:val="24"/>
        </w:rPr>
        <w:t>, które zostało zawarte w proponowa</w:t>
      </w:r>
      <w:r>
        <w:rPr>
          <w:rFonts w:ascii="Times New Roman" w:hAnsi="Times New Roman" w:cs="Times New Roman"/>
          <w:sz w:val="24"/>
          <w:szCs w:val="24"/>
        </w:rPr>
        <w:t xml:space="preserve">nych zmianach, </w:t>
      </w:r>
      <w:r w:rsidRPr="00D95E90">
        <w:rPr>
          <w:rFonts w:ascii="Times New Roman" w:hAnsi="Times New Roman" w:cs="Times New Roman"/>
          <w:sz w:val="24"/>
          <w:szCs w:val="24"/>
        </w:rPr>
        <w:t xml:space="preserve">pozwoli na ujednolicenie przepisów prawa w zakresie uzyskiwania przez uprawnione podmioty danych dotyczących użytkownika pojazdu, niezbędnych w związku z prowadzeniem postępowań w sprawach o przestępstwa lub czynności wyjaśniających w sprawach o wykroczenia – w zakresie określonym </w:t>
      </w:r>
      <w:r>
        <w:rPr>
          <w:rFonts w:ascii="Times New Roman" w:hAnsi="Times New Roman" w:cs="Times New Roman"/>
          <w:sz w:val="24"/>
          <w:szCs w:val="24"/>
        </w:rPr>
        <w:t xml:space="preserve">ustawie </w:t>
      </w:r>
      <w:r w:rsidR="00457862">
        <w:rPr>
          <w:rFonts w:ascii="Times New Roman" w:hAnsi="Times New Roman" w:cs="Times New Roman"/>
          <w:sz w:val="24"/>
          <w:szCs w:val="24"/>
        </w:rPr>
        <w:t>–</w:t>
      </w:r>
      <w:r w:rsidR="0004083A">
        <w:rPr>
          <w:rFonts w:ascii="Times New Roman" w:hAnsi="Times New Roman" w:cs="Times New Roman"/>
          <w:sz w:val="24"/>
          <w:szCs w:val="24"/>
        </w:rPr>
        <w:t xml:space="preserve"> </w:t>
      </w:r>
      <w:r w:rsidRPr="00D95E90">
        <w:rPr>
          <w:rFonts w:ascii="Times New Roman" w:hAnsi="Times New Roman" w:cs="Times New Roman"/>
          <w:sz w:val="24"/>
          <w:szCs w:val="24"/>
        </w:rPr>
        <w:t>Prawo o ruchu drogowym</w:t>
      </w:r>
      <w:r>
        <w:rPr>
          <w:rFonts w:ascii="Times New Roman" w:hAnsi="Times New Roman" w:cs="Times New Roman"/>
          <w:sz w:val="24"/>
          <w:szCs w:val="24"/>
        </w:rPr>
        <w:t>.</w:t>
      </w:r>
    </w:p>
    <w:p w14:paraId="2BC14456" w14:textId="57AF6808" w:rsidR="00C6447E" w:rsidRPr="006B2CD4" w:rsidRDefault="000C7CA4" w:rsidP="004E272A">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lastRenderedPageBreak/>
        <w:t xml:space="preserve">Obecnie obowiązujący przepis art. 13c ustawy o skok nakłada na kasy obowiązki informacyjne wobec gminy ostatniego miejsca zamieszkania posiadacza rachunku członka kasy w przypadku wygaśnięcia lub rozwiązania tego rachunku z przyczyn, o których mowa w art. 13a </w:t>
      </w:r>
      <w:r w:rsidR="00F221F6" w:rsidRPr="006B2CD4">
        <w:rPr>
          <w:rFonts w:ascii="Times New Roman" w:hAnsi="Times New Roman" w:cs="Times New Roman"/>
          <w:sz w:val="24"/>
          <w:szCs w:val="24"/>
        </w:rPr>
        <w:t>ust. 1‒</w:t>
      </w:r>
      <w:r w:rsidRPr="006B2CD4">
        <w:rPr>
          <w:rFonts w:ascii="Times New Roman" w:hAnsi="Times New Roman" w:cs="Times New Roman"/>
          <w:sz w:val="24"/>
          <w:szCs w:val="24"/>
        </w:rPr>
        <w:t xml:space="preserve">3 ustawy o skok </w:t>
      </w:r>
      <w:r w:rsidR="00457862">
        <w:rPr>
          <w:rFonts w:ascii="Times New Roman" w:hAnsi="Times New Roman" w:cs="Times New Roman"/>
          <w:sz w:val="24"/>
          <w:szCs w:val="24"/>
        </w:rPr>
        <w:t>–</w:t>
      </w:r>
      <w:r w:rsidRPr="006B2CD4">
        <w:rPr>
          <w:rFonts w:ascii="Times New Roman" w:hAnsi="Times New Roman" w:cs="Times New Roman"/>
          <w:sz w:val="24"/>
          <w:szCs w:val="24"/>
        </w:rPr>
        <w:t xml:space="preserve"> w związku z możliwością nabycia przez nią prawa do środków pieniężnych zgromadzonych na rachunku, zgodnie z art. 935</w:t>
      </w:r>
      <w:r w:rsidR="00850A3B" w:rsidRPr="006B2CD4">
        <w:rPr>
          <w:rFonts w:ascii="Times New Roman" w:hAnsi="Times New Roman" w:cs="Times New Roman"/>
          <w:sz w:val="24"/>
          <w:szCs w:val="24"/>
        </w:rPr>
        <w:t xml:space="preserve"> </w:t>
      </w:r>
      <w:r w:rsidR="00FD0DBF" w:rsidRPr="006B2CD4">
        <w:rPr>
          <w:rFonts w:ascii="Times New Roman" w:hAnsi="Times New Roman" w:cs="Times New Roman"/>
          <w:sz w:val="24"/>
          <w:szCs w:val="24"/>
        </w:rPr>
        <w:t>k.c.</w:t>
      </w:r>
      <w:r w:rsidRPr="006B2CD4">
        <w:rPr>
          <w:rFonts w:ascii="Times New Roman" w:hAnsi="Times New Roman" w:cs="Times New Roman"/>
          <w:sz w:val="24"/>
          <w:szCs w:val="24"/>
        </w:rPr>
        <w:t xml:space="preserve"> Należy zauważyć, iż zakres informacji udzielanych gminie na podstawie art. 13c jest szeroki</w:t>
      </w:r>
      <w:r w:rsidR="00933088" w:rsidRPr="006B2CD4">
        <w:rPr>
          <w:rFonts w:ascii="Times New Roman" w:hAnsi="Times New Roman" w:cs="Times New Roman"/>
          <w:sz w:val="24"/>
          <w:szCs w:val="24"/>
        </w:rPr>
        <w:t xml:space="preserve"> i</w:t>
      </w:r>
      <w:r w:rsidRPr="006B2CD4">
        <w:rPr>
          <w:rFonts w:ascii="Times New Roman" w:hAnsi="Times New Roman" w:cs="Times New Roman"/>
          <w:sz w:val="24"/>
          <w:szCs w:val="24"/>
        </w:rPr>
        <w:t xml:space="preserve"> obejmuje oprócz daty powzięcia przez kasę informacji o śmierci posiadacza rachunku, datę wydania ostatniej dyspozycji dotyczącej tego rachunku, wysokość środków pieniężnych na rachunku, kwoty i tytuły wypłat dokonanych z rachunku, ze wskazaniem źródła i podstawy ustaleń kasy. </w:t>
      </w:r>
      <w:r w:rsidRPr="006B2CD4">
        <w:rPr>
          <w:rFonts w:ascii="Times New Roman" w:hAnsi="Times New Roman" w:cs="Times New Roman"/>
          <w:iCs/>
          <w:sz w:val="24"/>
          <w:szCs w:val="24"/>
        </w:rPr>
        <w:t xml:space="preserve">Zgodnie z aktualnym brzmieniem przepisu, ww. </w:t>
      </w:r>
      <w:r w:rsidRPr="006B2CD4">
        <w:rPr>
          <w:rFonts w:ascii="Times New Roman" w:hAnsi="Times New Roman" w:cs="Times New Roman"/>
          <w:sz w:val="24"/>
          <w:szCs w:val="24"/>
        </w:rPr>
        <w:t xml:space="preserve">wymogi informacyjne dotyczą przypadku śmierci posiadacza rachunku oraz upływu 10 lat od daty wydania ostatniej dyspozycji dotyczącej rachunku. Do gmin trafiają zatem informacje dotyczące zarówno osób, które faktycznie nie żyją, jak również dotyczące osób żyjących, które mogły zapomnieć o swoim rachunku imiennym w kasie (upływ terminu 10 lat od ostatniej dyspozycji). W takim przypadku nie nastąpi dziedziczenie i gmina nie będzie spadkobiercą takiego rachunku. Istotną zmianą wprowadzaną w ramach projektowanego artykułu jest zatem zwolnienie z nałożonego na </w:t>
      </w:r>
      <w:r w:rsidR="00E20E87" w:rsidRPr="006B2CD4">
        <w:rPr>
          <w:rFonts w:ascii="Times New Roman" w:hAnsi="Times New Roman" w:cs="Times New Roman"/>
          <w:sz w:val="24"/>
          <w:szCs w:val="24"/>
        </w:rPr>
        <w:t xml:space="preserve">kasy </w:t>
      </w:r>
      <w:r w:rsidRPr="006B2CD4">
        <w:rPr>
          <w:rFonts w:ascii="Times New Roman" w:hAnsi="Times New Roman" w:cs="Times New Roman"/>
          <w:sz w:val="24"/>
          <w:szCs w:val="24"/>
        </w:rPr>
        <w:t>obowiązku informowania gmin o rachunkach posiadanych przez osoby żyjące, wygasłych z powodu braku aktywności na rachunku. Ponadto</w:t>
      </w:r>
      <w:r w:rsidR="00463A16" w:rsidRPr="006B2CD4">
        <w:rPr>
          <w:rFonts w:ascii="Times New Roman" w:hAnsi="Times New Roman" w:cs="Times New Roman"/>
          <w:sz w:val="24"/>
          <w:szCs w:val="24"/>
        </w:rPr>
        <w:t>,</w:t>
      </w:r>
      <w:r w:rsidRPr="006B2CD4">
        <w:rPr>
          <w:rFonts w:ascii="Times New Roman" w:hAnsi="Times New Roman" w:cs="Times New Roman"/>
          <w:sz w:val="24"/>
          <w:szCs w:val="24"/>
        </w:rPr>
        <w:t xml:space="preserve"> proponuje się stosowną modyfikację obowiązków informacyjnych wobec gminy w przypadku śmierci posiadacza rachunku, poprzez ograniczenie przekazywanych in</w:t>
      </w:r>
      <w:r w:rsidRPr="006B2CD4">
        <w:rPr>
          <w:rFonts w:ascii="Times New Roman" w:hAnsi="Times New Roman" w:cs="Times New Roman"/>
          <w:sz w:val="24"/>
          <w:szCs w:val="24"/>
        </w:rPr>
        <w:lastRenderedPageBreak/>
        <w:t>formacji do daty powzięcia przez kasę informacji o śmierci posiadacza rachunku, wraz z informacją o</w:t>
      </w:r>
      <w:r w:rsidR="0004083A">
        <w:rPr>
          <w:rFonts w:ascii="Times New Roman" w:hAnsi="Times New Roman" w:cs="Times New Roman"/>
          <w:sz w:val="24"/>
          <w:szCs w:val="24"/>
        </w:rPr>
        <w:t xml:space="preserve"> </w:t>
      </w:r>
      <w:r w:rsidRPr="006B2CD4">
        <w:rPr>
          <w:rFonts w:ascii="Times New Roman" w:hAnsi="Times New Roman" w:cs="Times New Roman"/>
          <w:sz w:val="24"/>
          <w:szCs w:val="24"/>
        </w:rPr>
        <w:t>możliwości nabycia środków pieniężnych, zgodnie z art. 935</w:t>
      </w:r>
      <w:r w:rsidR="00850A3B" w:rsidRPr="006B2CD4">
        <w:rPr>
          <w:rFonts w:ascii="Times New Roman" w:hAnsi="Times New Roman" w:cs="Times New Roman"/>
          <w:sz w:val="24"/>
          <w:szCs w:val="24"/>
        </w:rPr>
        <w:t xml:space="preserve"> </w:t>
      </w:r>
      <w:r w:rsidR="00FD0DBF" w:rsidRPr="006B2CD4">
        <w:rPr>
          <w:rFonts w:ascii="Times New Roman" w:hAnsi="Times New Roman" w:cs="Times New Roman"/>
          <w:sz w:val="24"/>
          <w:szCs w:val="24"/>
        </w:rPr>
        <w:t>k.c.</w:t>
      </w:r>
      <w:r w:rsidRPr="006B2CD4">
        <w:rPr>
          <w:rFonts w:ascii="Times New Roman" w:hAnsi="Times New Roman" w:cs="Times New Roman"/>
          <w:sz w:val="24"/>
          <w:szCs w:val="24"/>
        </w:rPr>
        <w:t xml:space="preserve"> W świetle </w:t>
      </w:r>
      <w:r w:rsidR="004B73F8" w:rsidRPr="006B2CD4">
        <w:rPr>
          <w:rFonts w:ascii="Times New Roman" w:hAnsi="Times New Roman" w:cs="Times New Roman"/>
          <w:sz w:val="24"/>
          <w:szCs w:val="24"/>
        </w:rPr>
        <w:t xml:space="preserve">projektowanego przepisu </w:t>
      </w:r>
      <w:r w:rsidRPr="006B2CD4">
        <w:rPr>
          <w:rFonts w:ascii="Times New Roman" w:hAnsi="Times New Roman" w:cs="Times New Roman"/>
          <w:sz w:val="24"/>
          <w:szCs w:val="24"/>
        </w:rPr>
        <w:t>kasa nie jest obowiązana do informowania gminy, jeśli łączna wysokość środków pieniężnych zgromadzonych na rachunku lub rachunkach członka prowadzonych przez kasę jest niższa lub równa 1/10 minimalnego wynagrodzenia za pracę,</w:t>
      </w:r>
      <w:r w:rsidR="00FA27CB">
        <w:rPr>
          <w:rFonts w:ascii="Times New Roman" w:hAnsi="Times New Roman" w:cs="Times New Roman"/>
          <w:sz w:val="24"/>
          <w:szCs w:val="24"/>
        </w:rPr>
        <w:t xml:space="preserve"> </w:t>
      </w:r>
      <w:r w:rsidRPr="006B2CD4">
        <w:rPr>
          <w:rFonts w:ascii="Times New Roman" w:hAnsi="Times New Roman" w:cs="Times New Roman"/>
          <w:sz w:val="24"/>
          <w:szCs w:val="24"/>
        </w:rPr>
        <w:t>o którym mowa w ustawie z dnia 10 października 2002 r. o minimalnym wynagrodzeniu za pracę. Tego rodzaju rozwiązanie uwzględnia postulaty zgłaszane m.in. przez gminy w odniesieniu do znikomych środków pozostających na rachunkach, w których wskazywano na kwestie konieczności ponoszenia przez gminę kosztów związanych z uzyskaniem tytułu prawnego do spadku.</w:t>
      </w:r>
      <w:r w:rsidR="00FA5D6E" w:rsidRPr="006B2CD4">
        <w:rPr>
          <w:rFonts w:ascii="Times New Roman" w:hAnsi="Times New Roman" w:cs="Times New Roman"/>
          <w:sz w:val="24"/>
          <w:szCs w:val="24"/>
        </w:rPr>
        <w:t xml:space="preserve"> </w:t>
      </w:r>
      <w:r w:rsidRPr="006B2CD4">
        <w:rPr>
          <w:rFonts w:ascii="Times New Roman" w:hAnsi="Times New Roman" w:cs="Times New Roman"/>
          <w:sz w:val="24"/>
          <w:szCs w:val="24"/>
        </w:rPr>
        <w:t xml:space="preserve">Nowe brzmienie przepisu zakłada wydłużenie okresu realizacji przez kasę obowiązku informacyjnego do 2 lat. </w:t>
      </w:r>
      <w:r w:rsidR="00200D81" w:rsidRPr="006B2CD4">
        <w:rPr>
          <w:rFonts w:ascii="Times New Roman" w:hAnsi="Times New Roman" w:cs="Times New Roman"/>
          <w:sz w:val="24"/>
          <w:szCs w:val="24"/>
        </w:rPr>
        <w:t xml:space="preserve">Intencją tej zmiany jest umożliwienie wykonania uprawnień przysługujących osobom posiadającym tytuł prawny do spadku po posiadaczu rachunku, tj. osobom legitymującym się prawomocnym postanowieniem sądu o stwierdzeniu nabycia spadku bądź notarialnym poświadczeniem dziedziczenia, przed zawiadomieniem gminy, zgodnie z projektowanym art. 13c ustawy o skok. W obecnym stanie prawnym zawiadamianie gmin dotyczyło każdego przypadku rozwiązania umowy, bez określonej karencji czasowej, co miało znaczenie zważywszy na możliwość dziedziczenia przez inne osoby uprawnione do spadku (wykluczając tym samym dziedziczenie ustawowe gmin, na podstawie art. 935 k.c.). Okoliczność, że w ciągu 2 lat od powzięcia przez kasę informacji o śmierci posiadacza rachunku postepowanie spadkowe nie zostało zakończone pozostaje bez wpływu na obowiązek informacyjny kasy wobec organu </w:t>
      </w:r>
      <w:r w:rsidR="00200D81" w:rsidRPr="006B2CD4">
        <w:rPr>
          <w:rFonts w:ascii="Times New Roman" w:hAnsi="Times New Roman" w:cs="Times New Roman"/>
          <w:sz w:val="24"/>
          <w:szCs w:val="24"/>
        </w:rPr>
        <w:lastRenderedPageBreak/>
        <w:t xml:space="preserve">gminy. Ze względu na to, że obowiązujące przepisy nie określają podmiotu (organu), który powinien być uprawniony do odbierania informacji przekazywanych na podstawie art. 13c ustawy o skok, zmiana tego artykułu przewiduje doprecyzowanie poprzez wyraźne wskazanie, że podmiotem uprawnionym do odbierania ww. informacji jest organ wykonawczy tej gminy. </w:t>
      </w:r>
    </w:p>
    <w:p w14:paraId="30897FFF" w14:textId="3CB425E3" w:rsidR="00A9518E" w:rsidRPr="00D07B47" w:rsidRDefault="00A9518E" w:rsidP="00A9518E">
      <w:pPr>
        <w:spacing w:after="120" w:line="360" w:lineRule="auto"/>
        <w:jc w:val="both"/>
        <w:rPr>
          <w:rFonts w:ascii="Times New Roman" w:hAnsi="Times New Roman" w:cs="Times New Roman"/>
          <w:b/>
          <w:sz w:val="24"/>
          <w:szCs w:val="24"/>
        </w:rPr>
      </w:pPr>
      <w:r w:rsidRPr="00D07B47">
        <w:rPr>
          <w:rFonts w:ascii="Times New Roman" w:hAnsi="Times New Roman" w:cs="Times New Roman"/>
          <w:b/>
          <w:sz w:val="24"/>
          <w:szCs w:val="24"/>
        </w:rPr>
        <w:t xml:space="preserve">Art. </w:t>
      </w:r>
      <w:r w:rsidR="00CF3CA3">
        <w:rPr>
          <w:rFonts w:ascii="Times New Roman" w:hAnsi="Times New Roman" w:cs="Times New Roman"/>
          <w:b/>
          <w:sz w:val="24"/>
          <w:szCs w:val="24"/>
        </w:rPr>
        <w:t>20</w:t>
      </w:r>
      <w:r w:rsidRPr="00D07B47">
        <w:rPr>
          <w:rFonts w:ascii="Times New Roman" w:hAnsi="Times New Roman" w:cs="Times New Roman"/>
          <w:b/>
          <w:sz w:val="24"/>
          <w:szCs w:val="24"/>
        </w:rPr>
        <w:t>. Zmiany w ustawie o kredycie konsumenckim</w:t>
      </w:r>
    </w:p>
    <w:p w14:paraId="3C36EB8F" w14:textId="46DFAE4B" w:rsidR="00D50FB1" w:rsidRDefault="00A82F3D" w:rsidP="00A84C4D">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Zmiana </w:t>
      </w:r>
      <w:r w:rsidRPr="00A84C4D">
        <w:rPr>
          <w:rFonts w:ascii="Times New Roman" w:hAnsi="Times New Roman" w:cs="Times New Roman"/>
          <w:sz w:val="24"/>
          <w:szCs w:val="24"/>
        </w:rPr>
        <w:t>treści art. 10 ust. 2 ustawy o kredycie konsumenckim</w:t>
      </w:r>
      <w:r w:rsidR="00A9518E">
        <w:rPr>
          <w:rFonts w:ascii="Times New Roman" w:hAnsi="Times New Roman" w:cs="Times New Roman"/>
          <w:sz w:val="24"/>
          <w:szCs w:val="24"/>
        </w:rPr>
        <w:t xml:space="preserve"> j</w:t>
      </w:r>
      <w:r w:rsidR="00A9518E" w:rsidRPr="0021151F">
        <w:rPr>
          <w:rFonts w:ascii="Times New Roman" w:hAnsi="Times New Roman" w:cs="Times New Roman"/>
          <w:sz w:val="24"/>
          <w:szCs w:val="24"/>
        </w:rPr>
        <w:t>est zmian</w:t>
      </w:r>
      <w:r w:rsidR="00A9518E">
        <w:rPr>
          <w:rFonts w:ascii="Times New Roman" w:hAnsi="Times New Roman" w:cs="Times New Roman"/>
          <w:sz w:val="24"/>
          <w:szCs w:val="24"/>
        </w:rPr>
        <w:t>ą</w:t>
      </w:r>
      <w:r w:rsidR="00A9518E" w:rsidRPr="0021151F">
        <w:rPr>
          <w:rFonts w:ascii="Times New Roman" w:hAnsi="Times New Roman" w:cs="Times New Roman"/>
          <w:sz w:val="24"/>
          <w:szCs w:val="24"/>
        </w:rPr>
        <w:t xml:space="preserve"> wynikow</w:t>
      </w:r>
      <w:r w:rsidR="00A9518E">
        <w:rPr>
          <w:rFonts w:ascii="Times New Roman" w:hAnsi="Times New Roman" w:cs="Times New Roman"/>
          <w:sz w:val="24"/>
          <w:szCs w:val="24"/>
        </w:rPr>
        <w:t>ą</w:t>
      </w:r>
      <w:r w:rsidR="00A9518E" w:rsidRPr="0021151F">
        <w:rPr>
          <w:rFonts w:ascii="Times New Roman" w:hAnsi="Times New Roman" w:cs="Times New Roman"/>
          <w:sz w:val="24"/>
          <w:szCs w:val="24"/>
        </w:rPr>
        <w:t xml:space="preserve"> w związku z modyfikacją art. 70a ustawy – Prawo bankowe</w:t>
      </w:r>
      <w:r>
        <w:rPr>
          <w:rFonts w:ascii="Times New Roman" w:hAnsi="Times New Roman" w:cs="Times New Roman"/>
          <w:sz w:val="24"/>
          <w:szCs w:val="24"/>
        </w:rPr>
        <w:t xml:space="preserve">, dotychczas przepis </w:t>
      </w:r>
      <w:r w:rsidR="00A84C4D" w:rsidRPr="00A84C4D">
        <w:rPr>
          <w:rFonts w:ascii="Times New Roman" w:hAnsi="Times New Roman" w:cs="Times New Roman"/>
          <w:sz w:val="24"/>
          <w:szCs w:val="24"/>
        </w:rPr>
        <w:t>zawiera</w:t>
      </w:r>
      <w:r w:rsidR="00A84C4D">
        <w:rPr>
          <w:rFonts w:ascii="Times New Roman" w:hAnsi="Times New Roman" w:cs="Times New Roman"/>
          <w:sz w:val="24"/>
          <w:szCs w:val="24"/>
        </w:rPr>
        <w:t>ł</w:t>
      </w:r>
      <w:r w:rsidR="00A84C4D" w:rsidRPr="00A84C4D">
        <w:rPr>
          <w:rFonts w:ascii="Times New Roman" w:hAnsi="Times New Roman" w:cs="Times New Roman"/>
          <w:sz w:val="24"/>
          <w:szCs w:val="24"/>
        </w:rPr>
        <w:t xml:space="preserve"> odwołanie do ust. 1 i 2 art. 70a Prawa bankowego</w:t>
      </w:r>
      <w:r w:rsidR="00A84C4D">
        <w:rPr>
          <w:rFonts w:ascii="Times New Roman" w:hAnsi="Times New Roman" w:cs="Times New Roman"/>
          <w:sz w:val="24"/>
          <w:szCs w:val="24"/>
        </w:rPr>
        <w:t>, a</w:t>
      </w:r>
      <w:r w:rsidR="00A84C4D" w:rsidRPr="00A84C4D">
        <w:rPr>
          <w:rFonts w:ascii="Times New Roman" w:hAnsi="Times New Roman" w:cs="Times New Roman"/>
          <w:sz w:val="24"/>
          <w:szCs w:val="24"/>
        </w:rPr>
        <w:t xml:space="preserve"> odwołanie powinno odnosić się </w:t>
      </w:r>
      <w:r w:rsidR="00A84C4D">
        <w:rPr>
          <w:rFonts w:ascii="Times New Roman" w:hAnsi="Times New Roman" w:cs="Times New Roman"/>
          <w:sz w:val="24"/>
          <w:szCs w:val="24"/>
        </w:rPr>
        <w:t xml:space="preserve">w obecnym stanie </w:t>
      </w:r>
      <w:r w:rsidR="00457862">
        <w:rPr>
          <w:rFonts w:ascii="Times New Roman" w:hAnsi="Times New Roman" w:cs="Times New Roman"/>
          <w:sz w:val="24"/>
          <w:szCs w:val="24"/>
        </w:rPr>
        <w:t>do art. 70a ust. 1–</w:t>
      </w:r>
      <w:r w:rsidR="00A84C4D" w:rsidRPr="00A84C4D">
        <w:rPr>
          <w:rFonts w:ascii="Times New Roman" w:hAnsi="Times New Roman" w:cs="Times New Roman"/>
          <w:sz w:val="24"/>
          <w:szCs w:val="24"/>
        </w:rPr>
        <w:t>2.</w:t>
      </w:r>
    </w:p>
    <w:p w14:paraId="5F6FFAFB" w14:textId="7E3C1AD6" w:rsidR="00D50FB1" w:rsidRPr="00082777" w:rsidRDefault="00A82F3D" w:rsidP="00082777">
      <w:pPr>
        <w:spacing w:after="120" w:line="360" w:lineRule="auto"/>
        <w:jc w:val="both"/>
        <w:rPr>
          <w:rFonts w:ascii="Times New Roman" w:hAnsi="Times New Roman" w:cs="Times New Roman"/>
          <w:szCs w:val="24"/>
        </w:rPr>
      </w:pPr>
      <w:r w:rsidRPr="00082777">
        <w:rPr>
          <w:rFonts w:ascii="Times New Roman" w:hAnsi="Times New Roman" w:cs="Times New Roman"/>
          <w:sz w:val="24"/>
          <w:szCs w:val="24"/>
        </w:rPr>
        <w:t xml:space="preserve">Zmiana art. 59do </w:t>
      </w:r>
      <w:r w:rsidR="00D50FB1">
        <w:rPr>
          <w:rFonts w:ascii="Times New Roman" w:hAnsi="Times New Roman" w:cs="Times New Roman"/>
          <w:sz w:val="24"/>
          <w:szCs w:val="24"/>
        </w:rPr>
        <w:t>ma na celu zachowanie spójności w przepisach i jest konsekwencją</w:t>
      </w:r>
      <w:r w:rsidR="00D50FB1" w:rsidRPr="00082777">
        <w:rPr>
          <w:rFonts w:ascii="Times New Roman" w:hAnsi="Times New Roman" w:cs="Times New Roman"/>
          <w:sz w:val="24"/>
          <w:szCs w:val="24"/>
        </w:rPr>
        <w:t xml:space="preserve"> zmian</w:t>
      </w:r>
      <w:r w:rsidR="00D50FB1" w:rsidRPr="00D50FB1">
        <w:rPr>
          <w:rFonts w:ascii="Times New Roman" w:hAnsi="Times New Roman" w:cs="Times New Roman"/>
          <w:sz w:val="24"/>
          <w:szCs w:val="24"/>
        </w:rPr>
        <w:t>y</w:t>
      </w:r>
      <w:r w:rsidR="00D50FB1" w:rsidRPr="00082777">
        <w:rPr>
          <w:rFonts w:ascii="Times New Roman" w:hAnsi="Times New Roman" w:cs="Times New Roman"/>
          <w:sz w:val="24"/>
          <w:szCs w:val="24"/>
        </w:rPr>
        <w:t xml:space="preserve"> dokonanej w ustawie z dnia 6 października 2022 r. o zmianie ustaw w celu przeciwdziałania lichwie (Dz. U. poz. 2339) polegając</w:t>
      </w:r>
      <w:r w:rsidR="00D50FB1">
        <w:rPr>
          <w:rFonts w:ascii="Times New Roman" w:hAnsi="Times New Roman" w:cs="Times New Roman"/>
          <w:sz w:val="24"/>
          <w:szCs w:val="24"/>
        </w:rPr>
        <w:t>ej</w:t>
      </w:r>
      <w:r w:rsidR="00D50FB1" w:rsidRPr="00082777">
        <w:rPr>
          <w:rFonts w:ascii="Times New Roman" w:hAnsi="Times New Roman" w:cs="Times New Roman"/>
          <w:sz w:val="24"/>
          <w:szCs w:val="24"/>
        </w:rPr>
        <w:t xml:space="preserve"> na objęciu nadzorem Komisji Nad</w:t>
      </w:r>
      <w:r w:rsidR="0004083A">
        <w:rPr>
          <w:rFonts w:ascii="Times New Roman" w:hAnsi="Times New Roman" w:cs="Times New Roman"/>
          <w:sz w:val="24"/>
          <w:szCs w:val="24"/>
        </w:rPr>
        <w:t xml:space="preserve">zoru Finansowego </w:t>
      </w:r>
      <w:r w:rsidR="00D50FB1" w:rsidRPr="00082777">
        <w:rPr>
          <w:rFonts w:ascii="Times New Roman" w:hAnsi="Times New Roman" w:cs="Times New Roman"/>
          <w:sz w:val="24"/>
          <w:szCs w:val="24"/>
        </w:rPr>
        <w:t xml:space="preserve">instytucji pożyczkowych. </w:t>
      </w:r>
    </w:p>
    <w:p w14:paraId="53237F62" w14:textId="32512678" w:rsidR="00377F1B" w:rsidRDefault="002367D6" w:rsidP="00B856D8">
      <w:pPr>
        <w:spacing w:before="120" w:after="120" w:line="360" w:lineRule="auto"/>
        <w:rPr>
          <w:rFonts w:ascii="Times New Roman" w:hAnsi="Times New Roman" w:cs="Times New Roman"/>
          <w:b/>
          <w:sz w:val="24"/>
          <w:szCs w:val="24"/>
        </w:rPr>
      </w:pPr>
      <w:r w:rsidRPr="006B2CD4">
        <w:rPr>
          <w:rFonts w:ascii="Times New Roman" w:hAnsi="Times New Roman" w:cs="Times New Roman"/>
          <w:b/>
          <w:sz w:val="24"/>
          <w:szCs w:val="24"/>
        </w:rPr>
        <w:t xml:space="preserve">Art. </w:t>
      </w:r>
      <w:r w:rsidR="005D300A">
        <w:rPr>
          <w:rFonts w:ascii="Times New Roman" w:hAnsi="Times New Roman" w:cs="Times New Roman"/>
          <w:b/>
          <w:sz w:val="24"/>
          <w:szCs w:val="24"/>
        </w:rPr>
        <w:t>2</w:t>
      </w:r>
      <w:r w:rsidR="00CF3CA3">
        <w:rPr>
          <w:rFonts w:ascii="Times New Roman" w:hAnsi="Times New Roman" w:cs="Times New Roman"/>
          <w:b/>
          <w:sz w:val="24"/>
          <w:szCs w:val="24"/>
        </w:rPr>
        <w:t>1</w:t>
      </w:r>
      <w:r w:rsidRPr="006B2CD4">
        <w:rPr>
          <w:rFonts w:ascii="Times New Roman" w:hAnsi="Times New Roman" w:cs="Times New Roman"/>
          <w:b/>
          <w:sz w:val="24"/>
          <w:szCs w:val="24"/>
        </w:rPr>
        <w:t xml:space="preserve">. </w:t>
      </w:r>
      <w:r w:rsidR="00036E67" w:rsidRPr="006B2CD4">
        <w:rPr>
          <w:rFonts w:ascii="Times New Roman" w:hAnsi="Times New Roman" w:cs="Times New Roman"/>
          <w:b/>
          <w:sz w:val="24"/>
          <w:szCs w:val="24"/>
        </w:rPr>
        <w:t>Zmiany w ustawie o usługach płatniczych</w:t>
      </w:r>
    </w:p>
    <w:p w14:paraId="4C477A76" w14:textId="23CDB548" w:rsidR="005473CF" w:rsidRPr="005473CF" w:rsidRDefault="005473CF" w:rsidP="00D26FB5">
      <w:pPr>
        <w:spacing w:after="120" w:line="360" w:lineRule="auto"/>
        <w:jc w:val="both"/>
        <w:rPr>
          <w:rFonts w:ascii="Times New Roman" w:hAnsi="Times New Roman" w:cs="Times New Roman"/>
          <w:sz w:val="24"/>
          <w:szCs w:val="24"/>
        </w:rPr>
      </w:pPr>
      <w:r w:rsidRPr="005473CF">
        <w:rPr>
          <w:rFonts w:ascii="Times New Roman" w:hAnsi="Times New Roman" w:cs="Times New Roman"/>
          <w:sz w:val="24"/>
          <w:szCs w:val="24"/>
        </w:rPr>
        <w:t xml:space="preserve">Zmiany ustawy o usługach płatniczych </w:t>
      </w:r>
      <w:r w:rsidR="007F7FFB">
        <w:rPr>
          <w:rFonts w:ascii="Times New Roman" w:hAnsi="Times New Roman" w:cs="Times New Roman"/>
          <w:sz w:val="24"/>
          <w:szCs w:val="24"/>
        </w:rPr>
        <w:t>obejmują</w:t>
      </w:r>
      <w:r w:rsidRPr="005473CF">
        <w:rPr>
          <w:rFonts w:ascii="Times New Roman" w:hAnsi="Times New Roman" w:cs="Times New Roman"/>
          <w:sz w:val="24"/>
          <w:szCs w:val="24"/>
        </w:rPr>
        <w:t xml:space="preserve"> art. 2 pkt 10, 13 i 35d,</w:t>
      </w:r>
      <w:r w:rsidR="00184655" w:rsidRPr="00184655">
        <w:t xml:space="preserve"> </w:t>
      </w:r>
      <w:r w:rsidR="00184655" w:rsidRPr="00184655">
        <w:rPr>
          <w:rFonts w:ascii="Times New Roman" w:hAnsi="Times New Roman" w:cs="Times New Roman"/>
          <w:sz w:val="24"/>
          <w:szCs w:val="24"/>
        </w:rPr>
        <w:t xml:space="preserve">art. 5 ust. 3 i 3a, </w:t>
      </w:r>
      <w:r w:rsidRPr="005473CF">
        <w:rPr>
          <w:rFonts w:ascii="Times New Roman" w:hAnsi="Times New Roman" w:cs="Times New Roman"/>
          <w:sz w:val="24"/>
          <w:szCs w:val="24"/>
        </w:rPr>
        <w:t>art. 6 pkt 2 i 4, art. 14 ust. 10a</w:t>
      </w:r>
      <w:r w:rsidR="007F7FFB">
        <w:rPr>
          <w:rFonts w:ascii="Times New Roman" w:hAnsi="Times New Roman" w:cs="Times New Roman"/>
          <w:sz w:val="24"/>
          <w:szCs w:val="24"/>
        </w:rPr>
        <w:t>–</w:t>
      </w:r>
      <w:r w:rsidRPr="005473CF">
        <w:rPr>
          <w:rFonts w:ascii="Times New Roman" w:hAnsi="Times New Roman" w:cs="Times New Roman"/>
          <w:sz w:val="24"/>
          <w:szCs w:val="24"/>
        </w:rPr>
        <w:t>10b, art. 14aa</w:t>
      </w:r>
      <w:r w:rsidR="007F7FFB">
        <w:rPr>
          <w:rFonts w:ascii="Times New Roman" w:hAnsi="Times New Roman" w:cs="Times New Roman"/>
          <w:sz w:val="24"/>
          <w:szCs w:val="24"/>
        </w:rPr>
        <w:t>–</w:t>
      </w:r>
      <w:r w:rsidRPr="005473CF">
        <w:rPr>
          <w:rFonts w:ascii="Times New Roman" w:hAnsi="Times New Roman" w:cs="Times New Roman"/>
          <w:sz w:val="24"/>
          <w:szCs w:val="24"/>
        </w:rPr>
        <w:t>14ad, art. 14b</w:t>
      </w:r>
      <w:r w:rsidR="001848C3">
        <w:rPr>
          <w:rFonts w:ascii="Times New Roman" w:hAnsi="Times New Roman" w:cs="Times New Roman"/>
          <w:sz w:val="24"/>
          <w:szCs w:val="24"/>
        </w:rPr>
        <w:t xml:space="preserve"> ust. 1 i 4</w:t>
      </w:r>
      <w:r w:rsidRPr="005473CF">
        <w:rPr>
          <w:rFonts w:ascii="Times New Roman" w:hAnsi="Times New Roman" w:cs="Times New Roman"/>
          <w:sz w:val="24"/>
          <w:szCs w:val="24"/>
        </w:rPr>
        <w:t>, art. 14c ust. 1 i 4, art. 14d, art. 32f ust. 2, art. 32h ust. 1, art. 59r ust. 4a, art. 60 ust. 3, art. 61 ust. 2, art. 61a, art.</w:t>
      </w:r>
      <w:r w:rsidR="00F31808">
        <w:rPr>
          <w:rFonts w:ascii="Times New Roman" w:hAnsi="Times New Roman" w:cs="Times New Roman"/>
          <w:sz w:val="24"/>
          <w:szCs w:val="24"/>
        </w:rPr>
        <w:t xml:space="preserve"> 61b ust. 1, art. 64a ust. 3b</w:t>
      </w:r>
      <w:r w:rsidRPr="005473CF">
        <w:rPr>
          <w:rFonts w:ascii="Times New Roman" w:hAnsi="Times New Roman" w:cs="Times New Roman"/>
          <w:sz w:val="24"/>
          <w:szCs w:val="24"/>
        </w:rPr>
        <w:t>, art. 66 ust. 1 i 3, art. 67 ust. 1 pkt 3, art. 73b ust. 2, art. 78 ust.11, art. 102 ust. 1</w:t>
      </w:r>
      <w:r w:rsidR="001848C3">
        <w:rPr>
          <w:rFonts w:ascii="Times New Roman" w:hAnsi="Times New Roman" w:cs="Times New Roman"/>
          <w:sz w:val="24"/>
          <w:szCs w:val="24"/>
        </w:rPr>
        <w:t>a</w:t>
      </w:r>
      <w:r w:rsidR="007F7FFB">
        <w:rPr>
          <w:rFonts w:ascii="Times New Roman" w:hAnsi="Times New Roman" w:cs="Times New Roman"/>
          <w:sz w:val="24"/>
          <w:szCs w:val="24"/>
        </w:rPr>
        <w:t xml:space="preserve"> i </w:t>
      </w:r>
      <w:r w:rsidRPr="005473CF">
        <w:rPr>
          <w:rFonts w:ascii="Times New Roman" w:hAnsi="Times New Roman" w:cs="Times New Roman"/>
          <w:sz w:val="24"/>
          <w:szCs w:val="24"/>
        </w:rPr>
        <w:t>1b, art. 103 ust. 3a</w:t>
      </w:r>
      <w:r w:rsidR="007F7FFB">
        <w:rPr>
          <w:rFonts w:ascii="Times New Roman" w:hAnsi="Times New Roman" w:cs="Times New Roman"/>
          <w:sz w:val="24"/>
          <w:szCs w:val="24"/>
        </w:rPr>
        <w:t xml:space="preserve"> i 3b, art. 105 ust. 1</w:t>
      </w:r>
      <w:r w:rsidRPr="005473CF">
        <w:rPr>
          <w:rFonts w:ascii="Times New Roman" w:hAnsi="Times New Roman" w:cs="Times New Roman"/>
          <w:sz w:val="24"/>
          <w:szCs w:val="24"/>
        </w:rPr>
        <w:t xml:space="preserve">, </w:t>
      </w:r>
      <w:r w:rsidRPr="005473CF">
        <w:rPr>
          <w:rFonts w:ascii="Times New Roman" w:hAnsi="Times New Roman" w:cs="Times New Roman"/>
          <w:color w:val="000000" w:themeColor="text1"/>
          <w:sz w:val="24"/>
          <w:szCs w:val="24"/>
        </w:rPr>
        <w:t xml:space="preserve">art. </w:t>
      </w:r>
      <w:r w:rsidRPr="005473CF">
        <w:rPr>
          <w:rFonts w:ascii="Times New Roman" w:hAnsi="Times New Roman" w:cs="Times New Roman"/>
          <w:sz w:val="24"/>
          <w:szCs w:val="24"/>
        </w:rPr>
        <w:t xml:space="preserve">106 ust. 2 pkt 1, art. 116, art. 116a, art. 117b </w:t>
      </w:r>
      <w:r w:rsidRPr="005473CF">
        <w:rPr>
          <w:rFonts w:ascii="Times New Roman" w:hAnsi="Times New Roman" w:cs="Times New Roman"/>
          <w:sz w:val="24"/>
          <w:szCs w:val="24"/>
        </w:rPr>
        <w:lastRenderedPageBreak/>
        <w:t>ust. 4</w:t>
      </w:r>
      <w:r w:rsidR="001848C3">
        <w:rPr>
          <w:rFonts w:ascii="Times New Roman" w:hAnsi="Times New Roman" w:cs="Times New Roman"/>
          <w:sz w:val="24"/>
          <w:szCs w:val="24"/>
        </w:rPr>
        <w:t xml:space="preserve"> pkt 2 i</w:t>
      </w:r>
      <w:r w:rsidRPr="005473CF">
        <w:rPr>
          <w:rFonts w:ascii="Times New Roman" w:hAnsi="Times New Roman" w:cs="Times New Roman"/>
          <w:sz w:val="24"/>
          <w:szCs w:val="24"/>
        </w:rPr>
        <w:t xml:space="preserve"> ust. 4a, art. 117d ust. 3, 4a, 4b</w:t>
      </w:r>
      <w:r w:rsidR="007F7FFB">
        <w:rPr>
          <w:rFonts w:ascii="Times New Roman" w:hAnsi="Times New Roman" w:cs="Times New Roman"/>
          <w:sz w:val="24"/>
          <w:szCs w:val="24"/>
        </w:rPr>
        <w:t xml:space="preserve"> i </w:t>
      </w:r>
      <w:r w:rsidRPr="005473CF">
        <w:rPr>
          <w:rFonts w:ascii="Times New Roman" w:hAnsi="Times New Roman" w:cs="Times New Roman"/>
          <w:sz w:val="24"/>
          <w:szCs w:val="24"/>
        </w:rPr>
        <w:t>6 pkt 1, art. 117ha, art. 117j ust. 2 pkt 1</w:t>
      </w:r>
      <w:r w:rsidR="007F7FFB">
        <w:rPr>
          <w:rFonts w:ascii="Times New Roman" w:hAnsi="Times New Roman" w:cs="Times New Roman"/>
          <w:sz w:val="24"/>
          <w:szCs w:val="24"/>
        </w:rPr>
        <w:t xml:space="preserve"> i 3–</w:t>
      </w:r>
      <w:r w:rsidRPr="005473CF">
        <w:rPr>
          <w:rFonts w:ascii="Times New Roman" w:hAnsi="Times New Roman" w:cs="Times New Roman"/>
          <w:sz w:val="24"/>
          <w:szCs w:val="24"/>
        </w:rPr>
        <w:t>8 oraz ust. 3, art. 117p ust. 1 pkt 2</w:t>
      </w:r>
      <w:r w:rsidR="007F7FFB">
        <w:rPr>
          <w:rFonts w:ascii="Times New Roman" w:hAnsi="Times New Roman" w:cs="Times New Roman"/>
          <w:sz w:val="24"/>
          <w:szCs w:val="24"/>
        </w:rPr>
        <w:t xml:space="preserve">, ust. </w:t>
      </w:r>
      <w:r w:rsidRPr="005473CF">
        <w:rPr>
          <w:rFonts w:ascii="Times New Roman" w:hAnsi="Times New Roman" w:cs="Times New Roman"/>
          <w:sz w:val="24"/>
          <w:szCs w:val="24"/>
        </w:rPr>
        <w:t>3 i 4, art. 117q ust. 2</w:t>
      </w:r>
      <w:r w:rsidR="007F7FFB">
        <w:rPr>
          <w:rFonts w:ascii="Times New Roman" w:hAnsi="Times New Roman" w:cs="Times New Roman"/>
          <w:sz w:val="24"/>
          <w:szCs w:val="24"/>
        </w:rPr>
        <w:t>–</w:t>
      </w:r>
      <w:r w:rsidRPr="005473CF">
        <w:rPr>
          <w:rFonts w:ascii="Times New Roman" w:hAnsi="Times New Roman" w:cs="Times New Roman"/>
          <w:sz w:val="24"/>
          <w:szCs w:val="24"/>
        </w:rPr>
        <w:t>4, art. 117r ust.</w:t>
      </w:r>
      <w:r w:rsidR="007F7FFB">
        <w:rPr>
          <w:rFonts w:ascii="Times New Roman" w:hAnsi="Times New Roman" w:cs="Times New Roman"/>
          <w:sz w:val="24"/>
          <w:szCs w:val="24"/>
        </w:rPr>
        <w:t xml:space="preserve"> 1 pkt 1,</w:t>
      </w:r>
      <w:r w:rsidR="007C389F">
        <w:rPr>
          <w:rFonts w:ascii="Times New Roman" w:hAnsi="Times New Roman" w:cs="Times New Roman"/>
          <w:sz w:val="24"/>
          <w:szCs w:val="24"/>
        </w:rPr>
        <w:t xml:space="preserve"> </w:t>
      </w:r>
      <w:r w:rsidR="007F7FFB">
        <w:rPr>
          <w:rFonts w:ascii="Times New Roman" w:hAnsi="Times New Roman" w:cs="Times New Roman"/>
          <w:sz w:val="24"/>
          <w:szCs w:val="24"/>
        </w:rPr>
        <w:t>art. 117s ust. 3, 4a, 4</w:t>
      </w:r>
      <w:r w:rsidRPr="005473CF">
        <w:rPr>
          <w:rFonts w:ascii="Times New Roman" w:hAnsi="Times New Roman" w:cs="Times New Roman"/>
          <w:sz w:val="24"/>
          <w:szCs w:val="24"/>
        </w:rPr>
        <w:t>b,</w:t>
      </w:r>
      <w:r w:rsidR="007C389F">
        <w:rPr>
          <w:rFonts w:ascii="Times New Roman" w:hAnsi="Times New Roman" w:cs="Times New Roman"/>
          <w:sz w:val="24"/>
          <w:szCs w:val="24"/>
        </w:rPr>
        <w:t xml:space="preserve"> </w:t>
      </w:r>
      <w:r w:rsidRPr="005473CF">
        <w:rPr>
          <w:rFonts w:ascii="Times New Roman" w:hAnsi="Times New Roman" w:cs="Times New Roman"/>
          <w:sz w:val="24"/>
          <w:szCs w:val="24"/>
        </w:rPr>
        <w:t>6 pkt 1</w:t>
      </w:r>
      <w:r w:rsidR="007C389F">
        <w:rPr>
          <w:rFonts w:ascii="Times New Roman" w:hAnsi="Times New Roman" w:cs="Times New Roman"/>
          <w:sz w:val="24"/>
          <w:szCs w:val="24"/>
        </w:rPr>
        <w:t xml:space="preserve"> </w:t>
      </w:r>
      <w:r w:rsidR="007F7FFB">
        <w:rPr>
          <w:rFonts w:ascii="Times New Roman" w:hAnsi="Times New Roman" w:cs="Times New Roman"/>
          <w:sz w:val="24"/>
          <w:szCs w:val="24"/>
        </w:rPr>
        <w:t>i u</w:t>
      </w:r>
      <w:r w:rsidRPr="005473CF">
        <w:rPr>
          <w:rFonts w:ascii="Times New Roman" w:hAnsi="Times New Roman" w:cs="Times New Roman"/>
          <w:sz w:val="24"/>
          <w:szCs w:val="24"/>
        </w:rPr>
        <w:t>st. 7 pkt 3, art. 118 ust. 2a</w:t>
      </w:r>
      <w:r w:rsidR="007F7FFB">
        <w:rPr>
          <w:rFonts w:ascii="Times New Roman" w:hAnsi="Times New Roman" w:cs="Times New Roman"/>
          <w:sz w:val="24"/>
          <w:szCs w:val="24"/>
        </w:rPr>
        <w:t xml:space="preserve"> i </w:t>
      </w:r>
      <w:r w:rsidRPr="005473CF">
        <w:rPr>
          <w:rFonts w:ascii="Times New Roman" w:hAnsi="Times New Roman" w:cs="Times New Roman"/>
          <w:sz w:val="24"/>
          <w:szCs w:val="24"/>
        </w:rPr>
        <w:t>3a</w:t>
      </w:r>
      <w:r w:rsidR="007F7FFB">
        <w:rPr>
          <w:rFonts w:ascii="Times New Roman" w:hAnsi="Times New Roman" w:cs="Times New Roman"/>
          <w:sz w:val="24"/>
          <w:szCs w:val="24"/>
        </w:rPr>
        <w:t>–</w:t>
      </w:r>
      <w:r w:rsidRPr="005473CF">
        <w:rPr>
          <w:rFonts w:ascii="Times New Roman" w:hAnsi="Times New Roman" w:cs="Times New Roman"/>
          <w:sz w:val="24"/>
          <w:szCs w:val="24"/>
        </w:rPr>
        <w:t>3d,</w:t>
      </w:r>
      <w:r w:rsidR="007C389F">
        <w:rPr>
          <w:rFonts w:ascii="Times New Roman" w:hAnsi="Times New Roman" w:cs="Times New Roman"/>
          <w:sz w:val="24"/>
          <w:szCs w:val="24"/>
        </w:rPr>
        <w:t xml:space="preserve"> </w:t>
      </w:r>
      <w:r w:rsidRPr="005473CF">
        <w:rPr>
          <w:rFonts w:ascii="Times New Roman" w:hAnsi="Times New Roman" w:cs="Times New Roman"/>
          <w:sz w:val="24"/>
          <w:szCs w:val="24"/>
        </w:rPr>
        <w:t>art. 119a ust. 2a, 3 i 5, art. 121, art. 125 ust. 5a i 7,</w:t>
      </w:r>
      <w:r w:rsidR="007C389F">
        <w:rPr>
          <w:rFonts w:ascii="Times New Roman" w:hAnsi="Times New Roman" w:cs="Times New Roman"/>
          <w:sz w:val="24"/>
          <w:szCs w:val="24"/>
        </w:rPr>
        <w:t xml:space="preserve"> </w:t>
      </w:r>
      <w:r w:rsidRPr="005473CF">
        <w:rPr>
          <w:rFonts w:ascii="Times New Roman" w:hAnsi="Times New Roman" w:cs="Times New Roman"/>
          <w:sz w:val="24"/>
          <w:szCs w:val="24"/>
        </w:rPr>
        <w:t xml:space="preserve">art. 126 ust. 1 </w:t>
      </w:r>
      <w:r w:rsidR="007F7FFB">
        <w:rPr>
          <w:rFonts w:ascii="Times New Roman" w:hAnsi="Times New Roman" w:cs="Times New Roman"/>
          <w:sz w:val="24"/>
          <w:szCs w:val="24"/>
        </w:rPr>
        <w:t xml:space="preserve">pkt 2 i ust. </w:t>
      </w:r>
      <w:r w:rsidRPr="005473CF">
        <w:rPr>
          <w:rFonts w:ascii="Times New Roman" w:hAnsi="Times New Roman" w:cs="Times New Roman"/>
          <w:sz w:val="24"/>
          <w:szCs w:val="24"/>
        </w:rPr>
        <w:t>4, art. 126a, art. 127 ust. 2</w:t>
      </w:r>
      <w:r w:rsidR="007F7FFB">
        <w:rPr>
          <w:rFonts w:ascii="Times New Roman" w:hAnsi="Times New Roman" w:cs="Times New Roman"/>
          <w:sz w:val="24"/>
          <w:szCs w:val="24"/>
        </w:rPr>
        <w:t xml:space="preserve"> i </w:t>
      </w:r>
      <w:r w:rsidRPr="005473CF">
        <w:rPr>
          <w:rFonts w:ascii="Times New Roman" w:hAnsi="Times New Roman" w:cs="Times New Roman"/>
          <w:sz w:val="24"/>
          <w:szCs w:val="24"/>
        </w:rPr>
        <w:t>3, art. 128 ust. 1b i 3, art. 129 ust. 3, 4a</w:t>
      </w:r>
      <w:r w:rsidR="007F7FFB">
        <w:rPr>
          <w:rFonts w:ascii="Times New Roman" w:hAnsi="Times New Roman" w:cs="Times New Roman"/>
          <w:sz w:val="24"/>
          <w:szCs w:val="24"/>
        </w:rPr>
        <w:t xml:space="preserve">, </w:t>
      </w:r>
      <w:r w:rsidRPr="005473CF">
        <w:rPr>
          <w:rFonts w:ascii="Times New Roman" w:hAnsi="Times New Roman" w:cs="Times New Roman"/>
          <w:sz w:val="24"/>
          <w:szCs w:val="24"/>
        </w:rPr>
        <w:t xml:space="preserve">4b, 5, 6 pkt 1 </w:t>
      </w:r>
      <w:r w:rsidR="007F7FFB">
        <w:rPr>
          <w:rFonts w:ascii="Times New Roman" w:hAnsi="Times New Roman" w:cs="Times New Roman"/>
          <w:sz w:val="24"/>
          <w:szCs w:val="24"/>
        </w:rPr>
        <w:t xml:space="preserve">i </w:t>
      </w:r>
      <w:r w:rsidRPr="005473CF">
        <w:rPr>
          <w:rFonts w:ascii="Times New Roman" w:hAnsi="Times New Roman" w:cs="Times New Roman"/>
          <w:sz w:val="24"/>
          <w:szCs w:val="24"/>
        </w:rPr>
        <w:t>ust. 6a pkt 2</w:t>
      </w:r>
      <w:r w:rsidR="007F7FFB">
        <w:rPr>
          <w:rFonts w:ascii="Times New Roman" w:hAnsi="Times New Roman" w:cs="Times New Roman"/>
          <w:sz w:val="24"/>
          <w:szCs w:val="24"/>
        </w:rPr>
        <w:t xml:space="preserve"> i </w:t>
      </w:r>
      <w:r w:rsidRPr="005473CF">
        <w:rPr>
          <w:rFonts w:ascii="Times New Roman" w:hAnsi="Times New Roman" w:cs="Times New Roman"/>
          <w:sz w:val="24"/>
          <w:szCs w:val="24"/>
        </w:rPr>
        <w:t>3, art. 130 ust. 1, art. 132b ust. 3, art. 132c</w:t>
      </w:r>
      <w:r w:rsidR="007C389F">
        <w:rPr>
          <w:rFonts w:ascii="Times New Roman" w:hAnsi="Times New Roman" w:cs="Times New Roman"/>
          <w:sz w:val="24"/>
          <w:szCs w:val="24"/>
        </w:rPr>
        <w:t xml:space="preserve"> </w:t>
      </w:r>
      <w:r w:rsidRPr="005473CF">
        <w:rPr>
          <w:rFonts w:ascii="Times New Roman" w:hAnsi="Times New Roman" w:cs="Times New Roman"/>
          <w:sz w:val="24"/>
          <w:szCs w:val="24"/>
        </w:rPr>
        <w:t>ust. 1 i 5, art. 132y ust. 2 i 3, art. 132z ust. 3, 4a</w:t>
      </w:r>
      <w:r w:rsidR="007F7FFB">
        <w:rPr>
          <w:rFonts w:ascii="Times New Roman" w:hAnsi="Times New Roman" w:cs="Times New Roman"/>
          <w:sz w:val="24"/>
          <w:szCs w:val="24"/>
        </w:rPr>
        <w:t xml:space="preserve"> i </w:t>
      </w:r>
      <w:r w:rsidRPr="005473CF">
        <w:rPr>
          <w:rFonts w:ascii="Times New Roman" w:hAnsi="Times New Roman" w:cs="Times New Roman"/>
          <w:sz w:val="24"/>
          <w:szCs w:val="24"/>
        </w:rPr>
        <w:t>4b, art. 132za ust. 2 pkt 1, art. 133 ust. 3 pkt 7, art. 134 pkt 5, art. 139</w:t>
      </w:r>
      <w:r w:rsidR="00F31808">
        <w:rPr>
          <w:rFonts w:ascii="Times New Roman" w:hAnsi="Times New Roman" w:cs="Times New Roman"/>
          <w:sz w:val="24"/>
          <w:szCs w:val="24"/>
        </w:rPr>
        <w:t xml:space="preserve"> ust. 3, art. 142 ust.1 pkt 8</w:t>
      </w:r>
      <w:r w:rsidR="00D26FB5">
        <w:rPr>
          <w:rFonts w:ascii="Times New Roman" w:hAnsi="Times New Roman" w:cs="Times New Roman"/>
          <w:sz w:val="24"/>
          <w:szCs w:val="24"/>
        </w:rPr>
        <w:t>–</w:t>
      </w:r>
      <w:r w:rsidR="00F31808">
        <w:rPr>
          <w:rFonts w:ascii="Times New Roman" w:hAnsi="Times New Roman" w:cs="Times New Roman"/>
          <w:sz w:val="24"/>
          <w:szCs w:val="24"/>
        </w:rPr>
        <w:t>12</w:t>
      </w:r>
      <w:r w:rsidR="007C389F">
        <w:rPr>
          <w:rFonts w:ascii="Times New Roman" w:hAnsi="Times New Roman" w:cs="Times New Roman"/>
          <w:sz w:val="24"/>
          <w:szCs w:val="24"/>
        </w:rPr>
        <w:t xml:space="preserve"> </w:t>
      </w:r>
      <w:r w:rsidRPr="005473CF">
        <w:rPr>
          <w:rFonts w:ascii="Times New Roman" w:hAnsi="Times New Roman" w:cs="Times New Roman"/>
          <w:sz w:val="24"/>
          <w:szCs w:val="24"/>
        </w:rPr>
        <w:t>oraz art. 143b ust. 1.</w:t>
      </w:r>
    </w:p>
    <w:p w14:paraId="6D31CC51" w14:textId="11CF268F" w:rsidR="005473CF" w:rsidRPr="005473CF" w:rsidRDefault="005473CF" w:rsidP="00D26FB5">
      <w:pPr>
        <w:spacing w:after="120" w:line="360" w:lineRule="auto"/>
        <w:jc w:val="both"/>
        <w:rPr>
          <w:rFonts w:ascii="Times New Roman" w:hAnsi="Times New Roman" w:cs="Times New Roman"/>
          <w:sz w:val="24"/>
          <w:szCs w:val="24"/>
        </w:rPr>
      </w:pPr>
      <w:r w:rsidRPr="005473CF">
        <w:rPr>
          <w:rFonts w:ascii="Times New Roman" w:hAnsi="Times New Roman" w:cs="Times New Roman"/>
          <w:sz w:val="24"/>
          <w:szCs w:val="24"/>
        </w:rPr>
        <w:t>Zmiany dotyczą następujących obszarów:</w:t>
      </w:r>
    </w:p>
    <w:p w14:paraId="2A783C42" w14:textId="6542631D" w:rsidR="005473CF" w:rsidRPr="00082777" w:rsidRDefault="00D5306A" w:rsidP="00D26FB5">
      <w:pPr>
        <w:spacing w:before="120" w:after="0" w:line="360" w:lineRule="auto"/>
        <w:jc w:val="both"/>
        <w:rPr>
          <w:rFonts w:ascii="Times New Roman" w:hAnsi="Times New Roman" w:cs="Times New Roman"/>
          <w:sz w:val="24"/>
          <w:szCs w:val="24"/>
          <w:lang w:val="pl"/>
        </w:rPr>
      </w:pPr>
      <w:r>
        <w:rPr>
          <w:rFonts w:ascii="Times New Roman" w:hAnsi="Times New Roman" w:cs="Times New Roman"/>
          <w:sz w:val="24"/>
          <w:szCs w:val="24"/>
        </w:rPr>
        <w:t>1)</w:t>
      </w:r>
      <w:r>
        <w:rPr>
          <w:rFonts w:ascii="Times New Roman" w:hAnsi="Times New Roman" w:cs="Times New Roman"/>
          <w:sz w:val="24"/>
          <w:szCs w:val="24"/>
        </w:rPr>
        <w:tab/>
      </w:r>
      <w:r w:rsidR="001867C0">
        <w:rPr>
          <w:rFonts w:ascii="Times New Roman" w:hAnsi="Times New Roman" w:cs="Times New Roman"/>
          <w:sz w:val="24"/>
          <w:szCs w:val="24"/>
          <w:lang w:val="pl"/>
        </w:rPr>
        <w:t>Art. 21</w:t>
      </w:r>
      <w:r w:rsidR="005473CF" w:rsidRPr="00082777">
        <w:rPr>
          <w:rFonts w:ascii="Times New Roman" w:hAnsi="Times New Roman" w:cs="Times New Roman"/>
          <w:sz w:val="24"/>
          <w:szCs w:val="24"/>
          <w:lang w:val="pl"/>
        </w:rPr>
        <w:t xml:space="preserve"> pkt 1 projektu (art. 2 pkt 10 ustawy)</w:t>
      </w:r>
    </w:p>
    <w:p w14:paraId="61AC7B21" w14:textId="5306EEAD" w:rsidR="005473CF" w:rsidRPr="005473CF" w:rsidRDefault="005473CF" w:rsidP="00D26FB5">
      <w:pPr>
        <w:spacing w:after="120" w:line="360" w:lineRule="auto"/>
        <w:jc w:val="both"/>
        <w:rPr>
          <w:rFonts w:ascii="Times New Roman" w:eastAsia="Arial Unicode MS" w:hAnsi="Times New Roman" w:cs="Times New Roman"/>
          <w:color w:val="000000"/>
          <w:sz w:val="24"/>
          <w:szCs w:val="24"/>
          <w:lang w:eastAsia="pl-PL"/>
        </w:rPr>
      </w:pPr>
      <w:r w:rsidRPr="005473CF">
        <w:rPr>
          <w:rFonts w:ascii="Times New Roman" w:eastAsia="Arial Unicode MS" w:hAnsi="Times New Roman" w:cs="Times New Roman"/>
          <w:color w:val="000000"/>
          <w:sz w:val="24"/>
          <w:szCs w:val="24"/>
          <w:lang w:eastAsia="pl-PL"/>
        </w:rPr>
        <w:t>W pkt 10 proponuje się doprecyzowanie pojęcia „instrument płatniczy” w taki sposób, aby jego zakres uwzględniał indywidualny charakter takiego instrumentu, zarówno w postaci urządzenia</w:t>
      </w:r>
      <w:r w:rsidR="00D26FB5">
        <w:rPr>
          <w:rFonts w:ascii="Times New Roman" w:eastAsia="Arial Unicode MS" w:hAnsi="Times New Roman" w:cs="Times New Roman"/>
          <w:color w:val="000000"/>
          <w:sz w:val="24"/>
          <w:szCs w:val="24"/>
          <w:lang w:eastAsia="pl-PL"/>
        </w:rPr>
        <w:t>,</w:t>
      </w:r>
      <w:r w:rsidRPr="005473CF">
        <w:rPr>
          <w:rFonts w:ascii="Times New Roman" w:eastAsia="Arial Unicode MS" w:hAnsi="Times New Roman" w:cs="Times New Roman"/>
          <w:color w:val="000000"/>
          <w:sz w:val="24"/>
          <w:szCs w:val="24"/>
          <w:lang w:eastAsia="pl-PL"/>
        </w:rPr>
        <w:t xml:space="preserve"> jak i zbioru procedur. Modyfikacja uwzględnia definicję z art. 4 pkt 14 dyrektywy PSD2. </w:t>
      </w:r>
    </w:p>
    <w:p w14:paraId="30FC81F2" w14:textId="05753B60" w:rsidR="005473CF" w:rsidRPr="00082777" w:rsidRDefault="005473CF" w:rsidP="00D26FB5">
      <w:pPr>
        <w:spacing w:after="0" w:line="360" w:lineRule="auto"/>
        <w:jc w:val="both"/>
        <w:rPr>
          <w:rFonts w:ascii="Times New Roman" w:hAnsi="Times New Roman" w:cs="Times New Roman"/>
          <w:sz w:val="24"/>
          <w:szCs w:val="24"/>
          <w:lang w:val="pl"/>
        </w:rPr>
      </w:pPr>
      <w:r w:rsidRPr="00082777">
        <w:rPr>
          <w:rFonts w:ascii="Times New Roman" w:hAnsi="Times New Roman" w:cs="Times New Roman"/>
          <w:sz w:val="24"/>
          <w:szCs w:val="24"/>
        </w:rPr>
        <w:t>2)</w:t>
      </w:r>
      <w:r w:rsidR="00D5306A">
        <w:rPr>
          <w:rFonts w:ascii="Times New Roman" w:hAnsi="Times New Roman" w:cs="Times New Roman"/>
          <w:sz w:val="24"/>
          <w:szCs w:val="24"/>
        </w:rPr>
        <w:tab/>
      </w:r>
      <w:r w:rsidR="001867C0">
        <w:rPr>
          <w:rFonts w:ascii="Times New Roman" w:hAnsi="Times New Roman" w:cs="Times New Roman"/>
          <w:sz w:val="24"/>
          <w:szCs w:val="24"/>
          <w:lang w:val="pl"/>
        </w:rPr>
        <w:t>Art. 21</w:t>
      </w:r>
      <w:r w:rsidRPr="00082777">
        <w:rPr>
          <w:rFonts w:ascii="Times New Roman" w:hAnsi="Times New Roman" w:cs="Times New Roman"/>
          <w:sz w:val="24"/>
          <w:szCs w:val="24"/>
          <w:lang w:val="pl"/>
        </w:rPr>
        <w:t xml:space="preserve"> pkt 1 projektu (art. 2 pkt 13</w:t>
      </w:r>
      <w:r w:rsidR="007C389F">
        <w:rPr>
          <w:rFonts w:ascii="Times New Roman" w:hAnsi="Times New Roman" w:cs="Times New Roman"/>
          <w:sz w:val="24"/>
          <w:szCs w:val="24"/>
          <w:lang w:val="pl"/>
        </w:rPr>
        <w:t xml:space="preserve"> </w:t>
      </w:r>
      <w:r w:rsidRPr="00082777">
        <w:rPr>
          <w:rFonts w:ascii="Times New Roman" w:hAnsi="Times New Roman" w:cs="Times New Roman"/>
          <w:sz w:val="24"/>
          <w:szCs w:val="24"/>
          <w:lang w:val="pl"/>
        </w:rPr>
        <w:t>ustawy)</w:t>
      </w:r>
    </w:p>
    <w:p w14:paraId="6211FC66" w14:textId="77777777" w:rsidR="005473CF" w:rsidRPr="005473CF" w:rsidRDefault="005473CF" w:rsidP="00D26FB5">
      <w:pPr>
        <w:spacing w:after="0" w:line="360" w:lineRule="auto"/>
        <w:jc w:val="both"/>
        <w:rPr>
          <w:rFonts w:ascii="Times New Roman" w:eastAsia="Arial Unicode MS" w:hAnsi="Times New Roman" w:cs="Times New Roman"/>
          <w:color w:val="000000"/>
          <w:sz w:val="24"/>
          <w:szCs w:val="24"/>
          <w:lang w:eastAsia="pl-PL"/>
        </w:rPr>
      </w:pPr>
      <w:r w:rsidRPr="005473CF">
        <w:rPr>
          <w:rFonts w:ascii="Times New Roman" w:eastAsia="Arial Unicode MS" w:hAnsi="Times New Roman" w:cs="Times New Roman"/>
          <w:color w:val="000000"/>
          <w:sz w:val="24"/>
          <w:szCs w:val="24"/>
          <w:lang w:eastAsia="pl-PL"/>
        </w:rPr>
        <w:t xml:space="preserve">W pkt 13 proponuje się rozszerzenie definicji „jednostki dominującej” w taki sposób, aby jej zakres uwzględniał sytuację, w której bezpośrednimi lub pośrednimi wspólnikami lub akcjonariuszami krajowej instytucji płatniczej/krajowej instytucji pieniądza elektronicznego są lub </w:t>
      </w:r>
      <w:r w:rsidRPr="005473CF">
        <w:rPr>
          <w:rFonts w:ascii="Times New Roman" w:eastAsia="Arial Unicode MS" w:hAnsi="Times New Roman" w:cs="Times New Roman"/>
          <w:color w:val="000000"/>
          <w:sz w:val="24"/>
          <w:szCs w:val="24"/>
          <w:lang w:eastAsia="pl-PL"/>
        </w:rPr>
        <w:lastRenderedPageBreak/>
        <w:t>stają się osoby fizyczne, które wywierają wpływ na funkcjonowanie krajowej instytucji płatniczej przez pośrednie lub bezpośrednie powiązania kapitałowe z krajową instytucją płatniczą za jednostkę dominującą.</w:t>
      </w:r>
    </w:p>
    <w:p w14:paraId="670CCCF0" w14:textId="53367C5C" w:rsidR="005473CF" w:rsidRPr="005473CF" w:rsidRDefault="005473CF" w:rsidP="00082777">
      <w:pPr>
        <w:spacing w:after="0" w:line="360" w:lineRule="auto"/>
        <w:jc w:val="both"/>
        <w:rPr>
          <w:rFonts w:ascii="Times New Roman" w:eastAsia="Arial Unicode MS" w:hAnsi="Times New Roman" w:cs="Times New Roman"/>
          <w:color w:val="000000"/>
          <w:sz w:val="24"/>
          <w:szCs w:val="24"/>
          <w:lang w:eastAsia="pl-PL"/>
        </w:rPr>
      </w:pPr>
      <w:r w:rsidRPr="005473CF">
        <w:rPr>
          <w:rFonts w:ascii="Times New Roman" w:eastAsia="Arial Unicode MS" w:hAnsi="Times New Roman" w:cs="Times New Roman"/>
          <w:color w:val="000000"/>
          <w:sz w:val="24"/>
          <w:szCs w:val="24"/>
          <w:lang w:eastAsia="pl-PL"/>
        </w:rPr>
        <w:t>W aktualnym brzmieniu przepis odwołuje się do art. 3 ust. 1 pkt 37 ustawy z dnia 29 września 1994 r. o rachunkowości (Dz. U. 202</w:t>
      </w:r>
      <w:r w:rsidR="00D26FB5">
        <w:rPr>
          <w:rFonts w:ascii="Times New Roman" w:eastAsia="Arial Unicode MS" w:hAnsi="Times New Roman" w:cs="Times New Roman"/>
          <w:color w:val="000000"/>
          <w:sz w:val="24"/>
          <w:szCs w:val="24"/>
          <w:lang w:eastAsia="pl-PL"/>
        </w:rPr>
        <w:t>3</w:t>
      </w:r>
      <w:r w:rsidRPr="005473CF">
        <w:rPr>
          <w:rFonts w:ascii="Times New Roman" w:eastAsia="Arial Unicode MS" w:hAnsi="Times New Roman" w:cs="Times New Roman"/>
          <w:color w:val="000000"/>
          <w:sz w:val="24"/>
          <w:szCs w:val="24"/>
          <w:lang w:eastAsia="pl-PL"/>
        </w:rPr>
        <w:t xml:space="preserve"> </w:t>
      </w:r>
      <w:r w:rsidR="00A45907">
        <w:rPr>
          <w:rFonts w:ascii="Times New Roman" w:eastAsia="Arial Unicode MS" w:hAnsi="Times New Roman" w:cs="Times New Roman"/>
          <w:color w:val="000000"/>
          <w:sz w:val="24"/>
          <w:szCs w:val="24"/>
          <w:lang w:eastAsia="pl-PL"/>
        </w:rPr>
        <w:t xml:space="preserve">r. </w:t>
      </w:r>
      <w:r w:rsidRPr="005473CF">
        <w:rPr>
          <w:rFonts w:ascii="Times New Roman" w:eastAsia="Arial Unicode MS" w:hAnsi="Times New Roman" w:cs="Times New Roman"/>
          <w:color w:val="000000"/>
          <w:sz w:val="24"/>
          <w:szCs w:val="24"/>
          <w:lang w:eastAsia="pl-PL"/>
        </w:rPr>
        <w:t xml:space="preserve">poz. </w:t>
      </w:r>
      <w:r w:rsidR="00D26FB5">
        <w:rPr>
          <w:rFonts w:ascii="Times New Roman" w:eastAsia="Arial Unicode MS" w:hAnsi="Times New Roman" w:cs="Times New Roman"/>
          <w:color w:val="000000"/>
          <w:sz w:val="24"/>
          <w:szCs w:val="24"/>
          <w:lang w:eastAsia="pl-PL"/>
        </w:rPr>
        <w:t>120</w:t>
      </w:r>
      <w:r w:rsidRPr="005473CF">
        <w:rPr>
          <w:rFonts w:ascii="Times New Roman" w:eastAsia="Arial Unicode MS" w:hAnsi="Times New Roman" w:cs="Times New Roman"/>
          <w:color w:val="000000"/>
          <w:sz w:val="24"/>
          <w:szCs w:val="24"/>
          <w:lang w:eastAsia="pl-PL"/>
        </w:rPr>
        <w:t xml:space="preserve">, z późn. zm.), zgodnie z którym jednostką dominującą jest spółka handlowa lub przedsiębiorstwo państwowe. </w:t>
      </w:r>
    </w:p>
    <w:p w14:paraId="711F0500" w14:textId="761E9768" w:rsidR="005473CF" w:rsidRPr="00082777" w:rsidRDefault="005473CF" w:rsidP="00D26FB5">
      <w:pPr>
        <w:spacing w:before="120" w:after="0" w:line="360" w:lineRule="auto"/>
        <w:jc w:val="both"/>
        <w:rPr>
          <w:rFonts w:ascii="Times New Roman" w:hAnsi="Times New Roman" w:cs="Times New Roman"/>
          <w:sz w:val="24"/>
          <w:szCs w:val="24"/>
          <w:lang w:val="pl"/>
        </w:rPr>
      </w:pPr>
      <w:r w:rsidRPr="00082777">
        <w:rPr>
          <w:rFonts w:ascii="Times New Roman" w:hAnsi="Times New Roman" w:cs="Times New Roman"/>
          <w:sz w:val="24"/>
          <w:szCs w:val="24"/>
        </w:rPr>
        <w:t>3)</w:t>
      </w:r>
      <w:r w:rsidR="00D5306A">
        <w:rPr>
          <w:rFonts w:ascii="Times New Roman" w:hAnsi="Times New Roman" w:cs="Times New Roman"/>
          <w:sz w:val="24"/>
          <w:szCs w:val="24"/>
        </w:rPr>
        <w:tab/>
      </w:r>
      <w:r w:rsidR="001867C0">
        <w:rPr>
          <w:rFonts w:ascii="Times New Roman" w:hAnsi="Times New Roman" w:cs="Times New Roman"/>
          <w:sz w:val="24"/>
          <w:szCs w:val="24"/>
          <w:lang w:val="pl"/>
        </w:rPr>
        <w:t>Art. 21</w:t>
      </w:r>
      <w:r w:rsidRPr="00082777">
        <w:rPr>
          <w:rFonts w:ascii="Times New Roman" w:hAnsi="Times New Roman" w:cs="Times New Roman"/>
          <w:sz w:val="24"/>
          <w:szCs w:val="24"/>
          <w:lang w:val="pl"/>
        </w:rPr>
        <w:t xml:space="preserve"> pkt 1 projektu (art. 2 pkt 35d</w:t>
      </w:r>
      <w:r w:rsidR="007C389F">
        <w:rPr>
          <w:rFonts w:ascii="Times New Roman" w:hAnsi="Times New Roman" w:cs="Times New Roman"/>
          <w:sz w:val="24"/>
          <w:szCs w:val="24"/>
          <w:lang w:val="pl"/>
        </w:rPr>
        <w:t xml:space="preserve"> </w:t>
      </w:r>
      <w:r w:rsidRPr="00082777">
        <w:rPr>
          <w:rFonts w:ascii="Times New Roman" w:hAnsi="Times New Roman" w:cs="Times New Roman"/>
          <w:sz w:val="24"/>
          <w:szCs w:val="24"/>
          <w:lang w:val="pl"/>
        </w:rPr>
        <w:t>ustawy)</w:t>
      </w:r>
    </w:p>
    <w:p w14:paraId="4E0FCDD4" w14:textId="41823A6C" w:rsidR="005473CF" w:rsidRPr="005473CF" w:rsidRDefault="005473CF" w:rsidP="00D26FB5">
      <w:pPr>
        <w:spacing w:after="0" w:line="360" w:lineRule="auto"/>
        <w:jc w:val="both"/>
        <w:rPr>
          <w:rFonts w:ascii="Times New Roman" w:eastAsia="Arial Unicode MS" w:hAnsi="Times New Roman" w:cs="Times New Roman"/>
          <w:color w:val="000000"/>
          <w:sz w:val="24"/>
          <w:szCs w:val="24"/>
          <w:lang w:eastAsia="pl-PL"/>
        </w:rPr>
      </w:pPr>
      <w:r w:rsidRPr="005473CF">
        <w:rPr>
          <w:rFonts w:ascii="Times New Roman" w:eastAsia="Arial Unicode MS" w:hAnsi="Times New Roman" w:cs="Times New Roman"/>
          <w:color w:val="000000"/>
          <w:sz w:val="24"/>
          <w:szCs w:val="24"/>
          <w:lang w:eastAsia="pl-PL"/>
        </w:rPr>
        <w:t xml:space="preserve">W dodawanym pkt 35d proponuje się dodanie definicji „usługi wydawania instrumentu płatniczego”. Przyczyni się to do rozwiązania problemów interpretacyjnych związanych z kwalifikacją pojawiąjących się w praktyce nadzorczej modeli prowadzenia działalności pod kątem przepisów wyłączających stosowanie </w:t>
      </w:r>
      <w:r w:rsidR="00CC45BB">
        <w:rPr>
          <w:rFonts w:ascii="Times New Roman" w:eastAsia="Arial Unicode MS" w:hAnsi="Times New Roman" w:cs="Times New Roman"/>
          <w:color w:val="000000"/>
          <w:sz w:val="24"/>
          <w:szCs w:val="24"/>
          <w:lang w:eastAsia="pl-PL"/>
        </w:rPr>
        <w:t>ustawy o usługach płatniczych</w:t>
      </w:r>
      <w:r w:rsidRPr="005473CF">
        <w:rPr>
          <w:rFonts w:ascii="Times New Roman" w:eastAsia="Arial Unicode MS" w:hAnsi="Times New Roman" w:cs="Times New Roman"/>
          <w:color w:val="000000"/>
          <w:sz w:val="24"/>
          <w:szCs w:val="24"/>
          <w:lang w:eastAsia="pl-PL"/>
        </w:rPr>
        <w:t xml:space="preserve"> (w szczególności art. 6 pkt 11). </w:t>
      </w:r>
    </w:p>
    <w:p w14:paraId="4F582F88" w14:textId="43A40BA8" w:rsidR="005473CF" w:rsidRPr="000B4DBD" w:rsidRDefault="005473CF" w:rsidP="000B4DBD">
      <w:pPr>
        <w:spacing w:before="120" w:after="0" w:line="360" w:lineRule="auto"/>
        <w:jc w:val="both"/>
        <w:rPr>
          <w:rFonts w:ascii="Times New Roman" w:eastAsia="Arial Unicode MS" w:hAnsi="Times New Roman" w:cs="Times New Roman"/>
          <w:color w:val="000000"/>
          <w:sz w:val="24"/>
          <w:szCs w:val="24"/>
          <w:lang w:eastAsia="pl-PL"/>
        </w:rPr>
      </w:pPr>
      <w:r w:rsidRPr="005473CF">
        <w:rPr>
          <w:rFonts w:ascii="Times New Roman" w:eastAsia="Arial Unicode MS" w:hAnsi="Times New Roman" w:cs="Times New Roman"/>
          <w:color w:val="000000"/>
          <w:sz w:val="24"/>
          <w:szCs w:val="24"/>
          <w:lang w:eastAsia="pl-PL"/>
        </w:rPr>
        <w:t xml:space="preserve">Należy przy tym zwrócić uwagę na błąd w polskiej wersji językowej art. 4 pkt 45 dyrektywy PSD2 („wydawanie instrumentów płatniczych” oznacza usługę płatniczą, świadczoną przez dostawcę usług płatniczych, który zawiera z odbiorcą </w:t>
      </w:r>
      <w:r w:rsidRPr="005473CF">
        <w:rPr>
          <w:rFonts w:ascii="Times New Roman" w:eastAsia="Arial Unicode MS" w:hAnsi="Times New Roman" w:cs="Times New Roman"/>
          <w:i/>
          <w:color w:val="000000"/>
          <w:sz w:val="24"/>
          <w:szCs w:val="24"/>
          <w:lang w:eastAsia="pl-PL"/>
        </w:rPr>
        <w:t>[powinno być „płatnikiem”]</w:t>
      </w:r>
      <w:r w:rsidRPr="005473CF">
        <w:rPr>
          <w:rFonts w:ascii="Times New Roman" w:eastAsia="Arial Unicode MS" w:hAnsi="Times New Roman" w:cs="Times New Roman"/>
          <w:color w:val="000000"/>
          <w:sz w:val="24"/>
          <w:szCs w:val="24"/>
          <w:lang w:eastAsia="pl-PL"/>
        </w:rPr>
        <w:t xml:space="preserve"> umowę, na podstawie której dostarcza płatnikowi instrument płatniczy służący inicjowaniu i przetwarzaniu transakcji płatniczych płatnika”). Ustawa o usługach płatniczych definiuje bowiem odbiorcę jako przyjmującego płatność (środki pieniężne). Tym samy</w:t>
      </w:r>
      <w:r w:rsidR="00CC45BB">
        <w:rPr>
          <w:rFonts w:ascii="Times New Roman" w:eastAsia="Arial Unicode MS" w:hAnsi="Times New Roman" w:cs="Times New Roman"/>
          <w:color w:val="000000"/>
          <w:sz w:val="24"/>
          <w:szCs w:val="24"/>
          <w:lang w:eastAsia="pl-PL"/>
        </w:rPr>
        <w:t>m, zgodnie z terminologią ustawy o usługach płatniczych</w:t>
      </w:r>
      <w:r w:rsidRPr="005473CF">
        <w:rPr>
          <w:rFonts w:ascii="Times New Roman" w:eastAsia="Arial Unicode MS" w:hAnsi="Times New Roman" w:cs="Times New Roman"/>
          <w:color w:val="000000"/>
          <w:sz w:val="24"/>
          <w:szCs w:val="24"/>
          <w:lang w:eastAsia="pl-PL"/>
        </w:rPr>
        <w:t>,</w:t>
      </w:r>
      <w:r w:rsidRPr="005473CF">
        <w:rPr>
          <w:rFonts w:ascii="Times New Roman" w:hAnsi="Times New Roman" w:cs="Times New Roman"/>
          <w:sz w:val="24"/>
          <w:szCs w:val="24"/>
        </w:rPr>
        <w:t xml:space="preserve"> prowadzi to do zobowiązania wydawcy do zawarcia umowy o </w:t>
      </w:r>
      <w:r w:rsidRPr="005473CF">
        <w:rPr>
          <w:rFonts w:ascii="Times New Roman" w:hAnsi="Times New Roman" w:cs="Times New Roman"/>
          <w:sz w:val="24"/>
          <w:szCs w:val="24"/>
        </w:rPr>
        <w:lastRenderedPageBreak/>
        <w:t>wydanie instrumentu z odbiorcą (płatności), podczas gdy instrument płatniczy jest w większości przypadków związany z płatnikiem. Trzeba tu również wskazać, że wersja angielska definicji nie odnosi się do zawarcia umowy ani do jej zawarcia z odbiorcą (</w:t>
      </w:r>
      <w:r w:rsidRPr="005473CF">
        <w:rPr>
          <w:rFonts w:ascii="Times New Roman" w:hAnsi="Times New Roman" w:cs="Times New Roman"/>
          <w:i/>
          <w:iCs/>
          <w:sz w:val="24"/>
          <w:szCs w:val="24"/>
        </w:rPr>
        <w:t>„issuing of payment instruments” means a payment service by a payment service provider contracting to provide a payer with a payment instrument to initiate and process the payer’s payment transactions</w:t>
      </w:r>
      <w:r w:rsidRPr="005473CF">
        <w:rPr>
          <w:rFonts w:ascii="Times New Roman" w:hAnsi="Times New Roman" w:cs="Times New Roman"/>
          <w:sz w:val="24"/>
          <w:szCs w:val="24"/>
        </w:rPr>
        <w:t xml:space="preserve">). Należy </w:t>
      </w:r>
      <w:r w:rsidRPr="000B4DBD">
        <w:rPr>
          <w:rFonts w:ascii="Times New Roman" w:hAnsi="Times New Roman" w:cs="Times New Roman"/>
          <w:sz w:val="24"/>
          <w:szCs w:val="24"/>
        </w:rPr>
        <w:t>to</w:t>
      </w:r>
      <w:r w:rsidR="007C389F">
        <w:rPr>
          <w:rFonts w:ascii="Times New Roman" w:hAnsi="Times New Roman" w:cs="Times New Roman"/>
          <w:sz w:val="24"/>
          <w:szCs w:val="24"/>
        </w:rPr>
        <w:t xml:space="preserve"> </w:t>
      </w:r>
      <w:r w:rsidRPr="000B4DBD">
        <w:rPr>
          <w:rFonts w:ascii="Times New Roman" w:hAnsi="Times New Roman" w:cs="Times New Roman"/>
          <w:sz w:val="24"/>
          <w:szCs w:val="24"/>
        </w:rPr>
        <w:t>intepretować tak, że wydawca jest zobowiązany do dostarczenia/udostępnienia instrumentu płatniczego płatnikowi</w:t>
      </w:r>
      <w:r w:rsidR="007C389F">
        <w:rPr>
          <w:rFonts w:ascii="Times New Roman" w:hAnsi="Times New Roman" w:cs="Times New Roman"/>
          <w:sz w:val="24"/>
          <w:szCs w:val="24"/>
        </w:rPr>
        <w:t xml:space="preserve"> </w:t>
      </w:r>
      <w:r w:rsidRPr="000B4DBD">
        <w:rPr>
          <w:rFonts w:ascii="Times New Roman" w:hAnsi="Times New Roman" w:cs="Times New Roman"/>
          <w:sz w:val="24"/>
          <w:szCs w:val="24"/>
        </w:rPr>
        <w:t>ale nie zawiera z nim umowy</w:t>
      </w:r>
      <w:r w:rsidRPr="000B4DBD">
        <w:rPr>
          <w:rFonts w:ascii="Times New Roman" w:eastAsia="Arial Unicode MS" w:hAnsi="Times New Roman" w:cs="Times New Roman"/>
          <w:color w:val="000000"/>
          <w:sz w:val="24"/>
          <w:szCs w:val="24"/>
          <w:lang w:eastAsia="pl-PL"/>
        </w:rPr>
        <w:t>.</w:t>
      </w:r>
    </w:p>
    <w:p w14:paraId="707EAAD7" w14:textId="05ADE3F7" w:rsidR="000B4DBD" w:rsidRPr="000B4DBD" w:rsidRDefault="000B4DBD" w:rsidP="000B4DBD">
      <w:pPr>
        <w:spacing w:after="0" w:line="360" w:lineRule="auto"/>
        <w:jc w:val="both"/>
        <w:rPr>
          <w:rFonts w:ascii="Times New Roman" w:eastAsia="Calibri" w:hAnsi="Times New Roman" w:cs="Times New Roman"/>
          <w:sz w:val="24"/>
          <w:szCs w:val="24"/>
        </w:rPr>
      </w:pPr>
      <w:r w:rsidRPr="000B4DBD">
        <w:rPr>
          <w:rFonts w:ascii="Times New Roman" w:eastAsia="Arial Unicode MS" w:hAnsi="Times New Roman" w:cs="Times New Roman"/>
          <w:color w:val="000000"/>
          <w:sz w:val="24"/>
          <w:szCs w:val="24"/>
          <w:lang w:eastAsia="pl-PL"/>
        </w:rPr>
        <w:t>4)</w:t>
      </w:r>
      <w:r w:rsidR="00D5306A">
        <w:rPr>
          <w:rFonts w:ascii="Times New Roman" w:eastAsia="Arial Unicode MS" w:hAnsi="Times New Roman" w:cs="Times New Roman"/>
          <w:color w:val="000000"/>
          <w:sz w:val="24"/>
          <w:szCs w:val="24"/>
          <w:lang w:eastAsia="pl-PL"/>
        </w:rPr>
        <w:tab/>
      </w:r>
      <w:r w:rsidR="001867C0">
        <w:rPr>
          <w:rFonts w:ascii="Times New Roman" w:eastAsia="Calibri" w:hAnsi="Times New Roman" w:cs="Times New Roman"/>
          <w:sz w:val="24"/>
          <w:szCs w:val="24"/>
        </w:rPr>
        <w:t>Art. 21</w:t>
      </w:r>
      <w:r w:rsidRPr="000B4DBD">
        <w:rPr>
          <w:rFonts w:ascii="Times New Roman" w:eastAsia="Calibri" w:hAnsi="Times New Roman" w:cs="Times New Roman"/>
          <w:sz w:val="24"/>
          <w:szCs w:val="24"/>
        </w:rPr>
        <w:t xml:space="preserve"> pkt 2 projektu (art. 4a ust. 5) </w:t>
      </w:r>
    </w:p>
    <w:p w14:paraId="180D3390" w14:textId="1A359D44" w:rsidR="000B4DBD" w:rsidRDefault="000B4DBD" w:rsidP="00082777">
      <w:pPr>
        <w:spacing w:after="0" w:line="360" w:lineRule="auto"/>
        <w:jc w:val="both"/>
        <w:rPr>
          <w:rFonts w:ascii="Times New Roman" w:eastAsia="Calibri" w:hAnsi="Times New Roman" w:cs="Times New Roman"/>
          <w:sz w:val="24"/>
          <w:szCs w:val="24"/>
        </w:rPr>
      </w:pPr>
      <w:r w:rsidRPr="000B4DBD">
        <w:rPr>
          <w:rFonts w:ascii="Times New Roman" w:eastAsia="Calibri" w:hAnsi="Times New Roman" w:cs="Times New Roman"/>
          <w:sz w:val="24"/>
          <w:szCs w:val="24"/>
        </w:rPr>
        <w:t>Dodanie pkt 7 w art. 4a ust. 5 ustawy o usługach płatniczych zapewnia uzupełnienie prerogatyw dla ministra właściwego do spraw instytucji finansowych o określenie sposobu publikacji wykazu identyfikatorów dostawców i numerów rozliczeniowych.</w:t>
      </w:r>
    </w:p>
    <w:p w14:paraId="3EC87460" w14:textId="556A3241" w:rsidR="00184655" w:rsidRPr="00184655" w:rsidRDefault="00D5306A" w:rsidP="00184655">
      <w:pPr>
        <w:spacing w:after="0" w:line="360" w:lineRule="auto"/>
        <w:jc w:val="both"/>
        <w:rPr>
          <w:rFonts w:ascii="Times New Roman" w:eastAsia="Arial Unicode MS" w:hAnsi="Times New Roman" w:cs="Times New Roman"/>
          <w:color w:val="000000"/>
          <w:sz w:val="24"/>
          <w:szCs w:val="24"/>
          <w:lang w:eastAsia="pl-PL"/>
        </w:rPr>
      </w:pPr>
      <w:r>
        <w:rPr>
          <w:rFonts w:ascii="Times New Roman" w:eastAsia="Arial Unicode MS" w:hAnsi="Times New Roman" w:cs="Times New Roman"/>
          <w:color w:val="000000"/>
          <w:sz w:val="24"/>
          <w:szCs w:val="24"/>
          <w:lang w:eastAsia="pl-PL"/>
        </w:rPr>
        <w:t>5)</w:t>
      </w:r>
      <w:r>
        <w:rPr>
          <w:rFonts w:ascii="Times New Roman" w:eastAsia="Arial Unicode MS" w:hAnsi="Times New Roman" w:cs="Times New Roman"/>
          <w:color w:val="000000"/>
          <w:sz w:val="24"/>
          <w:szCs w:val="24"/>
          <w:lang w:eastAsia="pl-PL"/>
        </w:rPr>
        <w:tab/>
      </w:r>
      <w:r w:rsidR="001867C0">
        <w:rPr>
          <w:rFonts w:ascii="Times New Roman" w:eastAsia="Arial Unicode MS" w:hAnsi="Times New Roman" w:cs="Times New Roman"/>
          <w:color w:val="000000"/>
          <w:sz w:val="24"/>
          <w:szCs w:val="24"/>
          <w:lang w:eastAsia="pl-PL"/>
        </w:rPr>
        <w:t>Art. 21</w:t>
      </w:r>
      <w:r w:rsidR="00184655" w:rsidRPr="00184655">
        <w:rPr>
          <w:rFonts w:ascii="Times New Roman" w:eastAsia="Arial Unicode MS" w:hAnsi="Times New Roman" w:cs="Times New Roman"/>
          <w:color w:val="000000"/>
          <w:sz w:val="24"/>
          <w:szCs w:val="24"/>
          <w:lang w:eastAsia="pl-PL"/>
        </w:rPr>
        <w:t xml:space="preserve"> pkt 3 projektu (art. 5 ust. 3 i 3a ustawy)</w:t>
      </w:r>
    </w:p>
    <w:p w14:paraId="3669E3AB" w14:textId="3E82C49E" w:rsidR="00184655" w:rsidRPr="000B4DBD" w:rsidRDefault="00184655" w:rsidP="00184655">
      <w:pPr>
        <w:spacing w:after="0" w:line="360" w:lineRule="auto"/>
        <w:jc w:val="both"/>
        <w:rPr>
          <w:rFonts w:ascii="Times New Roman" w:eastAsia="Arial Unicode MS" w:hAnsi="Times New Roman" w:cs="Times New Roman"/>
          <w:color w:val="000000"/>
          <w:sz w:val="24"/>
          <w:szCs w:val="24"/>
          <w:lang w:eastAsia="pl-PL"/>
        </w:rPr>
      </w:pPr>
      <w:r w:rsidRPr="00184655">
        <w:rPr>
          <w:rFonts w:ascii="Times New Roman" w:eastAsia="Arial Unicode MS" w:hAnsi="Times New Roman" w:cs="Times New Roman"/>
          <w:color w:val="000000"/>
          <w:sz w:val="24"/>
          <w:szCs w:val="24"/>
          <w:lang w:eastAsia="pl-PL"/>
        </w:rPr>
        <w:t xml:space="preserve">Proponowane zmiany art. 5 w ust. 3 i 3a mają na celu </w:t>
      </w:r>
      <w:r>
        <w:rPr>
          <w:rFonts w:ascii="Times New Roman" w:eastAsia="Arial Unicode MS" w:hAnsi="Times New Roman" w:cs="Times New Roman"/>
          <w:color w:val="000000"/>
          <w:sz w:val="24"/>
          <w:szCs w:val="24"/>
          <w:lang w:eastAsia="pl-PL"/>
        </w:rPr>
        <w:t>doprecyzowanie przepisu poprzez</w:t>
      </w:r>
      <w:r w:rsidRPr="00184655">
        <w:rPr>
          <w:rFonts w:ascii="Times New Roman" w:eastAsia="Arial Unicode MS" w:hAnsi="Times New Roman" w:cs="Times New Roman"/>
          <w:color w:val="000000"/>
          <w:sz w:val="24"/>
          <w:szCs w:val="24"/>
          <w:lang w:eastAsia="pl-PL"/>
        </w:rPr>
        <w:t xml:space="preserve"> </w:t>
      </w:r>
      <w:r>
        <w:rPr>
          <w:rFonts w:ascii="Times New Roman" w:eastAsia="Arial Unicode MS" w:hAnsi="Times New Roman" w:cs="Times New Roman"/>
          <w:color w:val="000000"/>
          <w:sz w:val="24"/>
          <w:szCs w:val="24"/>
          <w:lang w:eastAsia="pl-PL"/>
        </w:rPr>
        <w:t xml:space="preserve">wskazanie </w:t>
      </w:r>
      <w:r w:rsidRPr="00184655">
        <w:rPr>
          <w:rFonts w:ascii="Times New Roman" w:eastAsia="Arial Unicode MS" w:hAnsi="Times New Roman" w:cs="Times New Roman"/>
          <w:color w:val="000000"/>
          <w:sz w:val="24"/>
          <w:szCs w:val="24"/>
          <w:lang w:eastAsia="pl-PL"/>
        </w:rPr>
        <w:t xml:space="preserve">w art. 5 w ust. 3 </w:t>
      </w:r>
      <w:r w:rsidR="00066875">
        <w:rPr>
          <w:rFonts w:ascii="Times New Roman" w:eastAsia="Arial Unicode MS" w:hAnsi="Times New Roman" w:cs="Times New Roman"/>
          <w:color w:val="000000"/>
          <w:sz w:val="24"/>
          <w:szCs w:val="24"/>
          <w:lang w:eastAsia="pl-PL"/>
        </w:rPr>
        <w:t xml:space="preserve">odesłania </w:t>
      </w:r>
      <w:r w:rsidRPr="00184655">
        <w:rPr>
          <w:rFonts w:ascii="Times New Roman" w:eastAsia="Arial Unicode MS" w:hAnsi="Times New Roman" w:cs="Times New Roman"/>
          <w:color w:val="000000"/>
          <w:sz w:val="24"/>
          <w:szCs w:val="24"/>
          <w:lang w:eastAsia="pl-PL"/>
        </w:rPr>
        <w:t>do Działu IX transponującego przepisy tytułu IV drugiej dyrektywy w sprawie usług płatnic</w:t>
      </w:r>
      <w:r>
        <w:rPr>
          <w:rFonts w:ascii="Times New Roman" w:eastAsia="Arial Unicode MS" w:hAnsi="Times New Roman" w:cs="Times New Roman"/>
          <w:color w:val="000000"/>
          <w:sz w:val="24"/>
          <w:szCs w:val="24"/>
          <w:lang w:eastAsia="pl-PL"/>
        </w:rPr>
        <w:t xml:space="preserve">zych </w:t>
      </w:r>
      <w:r w:rsidR="00DB5D42">
        <w:rPr>
          <w:rFonts w:ascii="Times New Roman" w:eastAsia="Arial Unicode MS" w:hAnsi="Times New Roman" w:cs="Times New Roman"/>
          <w:color w:val="000000"/>
          <w:sz w:val="24"/>
          <w:szCs w:val="24"/>
          <w:lang w:eastAsia="pl-PL"/>
        </w:rPr>
        <w:t xml:space="preserve">dotyczące odpowiedzialności dostawców usług płatniczych </w:t>
      </w:r>
      <w:r>
        <w:rPr>
          <w:rFonts w:ascii="Times New Roman" w:eastAsia="Arial Unicode MS" w:hAnsi="Times New Roman" w:cs="Times New Roman"/>
          <w:color w:val="000000"/>
          <w:sz w:val="24"/>
          <w:szCs w:val="24"/>
          <w:lang w:eastAsia="pl-PL"/>
        </w:rPr>
        <w:t xml:space="preserve">oraz w ust. 3a </w:t>
      </w:r>
      <w:r w:rsidR="00DB5D42">
        <w:rPr>
          <w:rFonts w:ascii="Times New Roman" w:eastAsia="Arial Unicode MS" w:hAnsi="Times New Roman" w:cs="Times New Roman"/>
          <w:color w:val="000000"/>
          <w:sz w:val="24"/>
          <w:szCs w:val="24"/>
          <w:lang w:eastAsia="pl-PL"/>
        </w:rPr>
        <w:t xml:space="preserve">skorygowanie </w:t>
      </w:r>
      <w:r w:rsidRPr="00184655">
        <w:rPr>
          <w:rFonts w:ascii="Times New Roman" w:eastAsia="Arial Unicode MS" w:hAnsi="Times New Roman" w:cs="Times New Roman"/>
          <w:color w:val="000000"/>
          <w:sz w:val="24"/>
          <w:szCs w:val="24"/>
          <w:lang w:eastAsia="pl-PL"/>
        </w:rPr>
        <w:t>nieprawidłowe</w:t>
      </w:r>
      <w:r w:rsidR="00DB5D42">
        <w:rPr>
          <w:rFonts w:ascii="Times New Roman" w:eastAsia="Arial Unicode MS" w:hAnsi="Times New Roman" w:cs="Times New Roman"/>
          <w:color w:val="000000"/>
          <w:sz w:val="24"/>
          <w:szCs w:val="24"/>
          <w:lang w:eastAsia="pl-PL"/>
        </w:rPr>
        <w:t>go wykluczenia</w:t>
      </w:r>
      <w:r w:rsidRPr="00184655">
        <w:rPr>
          <w:rFonts w:ascii="Times New Roman" w:eastAsia="Arial Unicode MS" w:hAnsi="Times New Roman" w:cs="Times New Roman"/>
          <w:color w:val="000000"/>
          <w:sz w:val="24"/>
          <w:szCs w:val="24"/>
          <w:lang w:eastAsia="pl-PL"/>
        </w:rPr>
        <w:t xml:space="preserve"> art. 144 ust. 2a–2c</w:t>
      </w:r>
      <w:r w:rsidR="00DB5D42">
        <w:rPr>
          <w:rFonts w:ascii="Times New Roman" w:eastAsia="Arial Unicode MS" w:hAnsi="Times New Roman" w:cs="Times New Roman"/>
          <w:color w:val="000000"/>
          <w:sz w:val="24"/>
          <w:szCs w:val="24"/>
          <w:lang w:eastAsia="pl-PL"/>
        </w:rPr>
        <w:t>.</w:t>
      </w:r>
      <w:r w:rsidRPr="00184655">
        <w:rPr>
          <w:rFonts w:ascii="Times New Roman" w:eastAsia="Arial Unicode MS" w:hAnsi="Times New Roman" w:cs="Times New Roman"/>
          <w:color w:val="000000"/>
          <w:sz w:val="24"/>
          <w:szCs w:val="24"/>
          <w:lang w:eastAsia="pl-PL"/>
        </w:rPr>
        <w:t xml:space="preserve"> </w:t>
      </w:r>
    </w:p>
    <w:p w14:paraId="0524555E" w14:textId="7EB51448" w:rsidR="005473CF" w:rsidRPr="00082777" w:rsidRDefault="00DB5D42" w:rsidP="00D26FB5">
      <w:pPr>
        <w:spacing w:before="120" w:after="0" w:line="360" w:lineRule="auto"/>
        <w:jc w:val="both"/>
        <w:rPr>
          <w:rFonts w:ascii="Times New Roman" w:hAnsi="Times New Roman" w:cs="Times New Roman"/>
          <w:sz w:val="24"/>
          <w:szCs w:val="24"/>
          <w:lang w:val="pl"/>
        </w:rPr>
      </w:pPr>
      <w:r>
        <w:rPr>
          <w:rFonts w:ascii="Times New Roman" w:hAnsi="Times New Roman" w:cs="Times New Roman"/>
          <w:sz w:val="24"/>
          <w:szCs w:val="24"/>
        </w:rPr>
        <w:t>6</w:t>
      </w:r>
      <w:r w:rsidR="00D5306A">
        <w:rPr>
          <w:rFonts w:ascii="Times New Roman" w:hAnsi="Times New Roman" w:cs="Times New Roman"/>
          <w:sz w:val="24"/>
          <w:szCs w:val="24"/>
        </w:rPr>
        <w:t>)</w:t>
      </w:r>
      <w:r w:rsidR="00D5306A">
        <w:rPr>
          <w:rFonts w:ascii="Times New Roman" w:hAnsi="Times New Roman" w:cs="Times New Roman"/>
          <w:sz w:val="24"/>
          <w:szCs w:val="24"/>
        </w:rPr>
        <w:tab/>
      </w:r>
      <w:r w:rsidR="001867C0">
        <w:rPr>
          <w:rFonts w:ascii="Times New Roman" w:hAnsi="Times New Roman" w:cs="Times New Roman"/>
          <w:sz w:val="24"/>
          <w:szCs w:val="24"/>
          <w:lang w:val="pl"/>
        </w:rPr>
        <w:t>Art. 21</w:t>
      </w:r>
      <w:r>
        <w:rPr>
          <w:rFonts w:ascii="Times New Roman" w:hAnsi="Times New Roman" w:cs="Times New Roman"/>
          <w:sz w:val="24"/>
          <w:szCs w:val="24"/>
          <w:lang w:val="pl"/>
        </w:rPr>
        <w:t xml:space="preserve"> pkt 4</w:t>
      </w:r>
      <w:r w:rsidR="005473CF" w:rsidRPr="00082777">
        <w:rPr>
          <w:rFonts w:ascii="Times New Roman" w:hAnsi="Times New Roman" w:cs="Times New Roman"/>
          <w:sz w:val="24"/>
          <w:szCs w:val="24"/>
          <w:lang w:val="pl"/>
        </w:rPr>
        <w:t xml:space="preserve"> projektu (art. 6 pkt 2 ustawy)</w:t>
      </w:r>
    </w:p>
    <w:p w14:paraId="5DEBAC45" w14:textId="0C2112EB" w:rsidR="005473CF" w:rsidRPr="005473CF" w:rsidRDefault="005473CF" w:rsidP="00D26FB5">
      <w:pPr>
        <w:spacing w:after="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 xml:space="preserve">Zmiana polega na doprecyzowaniu </w:t>
      </w:r>
      <w:r w:rsidR="00CC45BB">
        <w:rPr>
          <w:rFonts w:ascii="Times New Roman" w:eastAsia="Arial Unicode MS" w:hAnsi="Times New Roman" w:cs="Times New Roman"/>
          <w:color w:val="000000"/>
          <w:sz w:val="24"/>
          <w:szCs w:val="24"/>
          <w:lang w:val="pl" w:eastAsia="pl-PL"/>
        </w:rPr>
        <w:t>katalogu wyłączeń</w:t>
      </w:r>
      <w:r w:rsidR="007C389F">
        <w:rPr>
          <w:rFonts w:ascii="Times New Roman" w:eastAsia="Arial Unicode MS" w:hAnsi="Times New Roman" w:cs="Times New Roman"/>
          <w:color w:val="000000"/>
          <w:sz w:val="24"/>
          <w:szCs w:val="24"/>
          <w:lang w:val="pl" w:eastAsia="pl-PL"/>
        </w:rPr>
        <w:t xml:space="preserve"> </w:t>
      </w:r>
      <w:r w:rsidR="00CC45BB">
        <w:rPr>
          <w:rFonts w:ascii="Times New Roman" w:eastAsia="Arial Unicode MS" w:hAnsi="Times New Roman" w:cs="Times New Roman"/>
          <w:color w:val="000000"/>
          <w:sz w:val="24"/>
          <w:szCs w:val="24"/>
          <w:lang w:val="pl" w:eastAsia="pl-PL"/>
        </w:rPr>
        <w:t>stosowania ustawy o usługach płatniczych</w:t>
      </w:r>
      <w:r w:rsidRPr="005473CF">
        <w:rPr>
          <w:rFonts w:ascii="Times New Roman" w:eastAsia="Arial Unicode MS" w:hAnsi="Times New Roman" w:cs="Times New Roman"/>
          <w:color w:val="000000"/>
          <w:sz w:val="24"/>
          <w:szCs w:val="24"/>
          <w:lang w:val="pl" w:eastAsia="pl-PL"/>
        </w:rPr>
        <w:t xml:space="preserve">. Proponuje się korektę transpozycji art. 3 lit. b dyrektywy PSD2 w zakresie wyłączenia </w:t>
      </w:r>
      <w:r w:rsidRPr="005473CF">
        <w:rPr>
          <w:rFonts w:ascii="Times New Roman" w:eastAsia="Arial Unicode MS" w:hAnsi="Times New Roman" w:cs="Times New Roman"/>
          <w:color w:val="000000"/>
          <w:sz w:val="24"/>
          <w:szCs w:val="24"/>
          <w:lang w:val="pl" w:eastAsia="pl-PL"/>
        </w:rPr>
        <w:lastRenderedPageBreak/>
        <w:t xml:space="preserve">w przypadkach transakcji płatniczych między płatnikiem a odbiorcą, dokonywanych za pośrednictwem umocowanej osoby wykonującej czynności zmierzające do zawarcia przez płatnika i odbiorcę oznaczonej umowy lub zawierającej taką umowę, w imieniu lub na rzecz wyłącznie płatnika albo wyłącznie odbiorcy. </w:t>
      </w:r>
    </w:p>
    <w:p w14:paraId="353CCAF4" w14:textId="606006DF" w:rsidR="005473CF" w:rsidRPr="005473CF" w:rsidRDefault="005473CF" w:rsidP="00D26FB5">
      <w:pPr>
        <w:spacing w:after="120" w:line="360" w:lineRule="auto"/>
        <w:jc w:val="both"/>
        <w:rPr>
          <w:rFonts w:ascii="Times New Roman" w:hAnsi="Times New Roman" w:cs="Times New Roman"/>
          <w:sz w:val="24"/>
          <w:szCs w:val="24"/>
        </w:rPr>
      </w:pPr>
      <w:r w:rsidRPr="005473CF">
        <w:rPr>
          <w:rFonts w:ascii="Times New Roman" w:eastAsia="Arial Unicode MS" w:hAnsi="Times New Roman" w:cs="Times New Roman"/>
          <w:color w:val="000000"/>
          <w:sz w:val="24"/>
          <w:szCs w:val="24"/>
          <w:lang w:val="pl" w:eastAsia="pl-PL"/>
        </w:rPr>
        <w:t>W aktualnym stanie prawnym zakres art. 6</w:t>
      </w:r>
      <w:r w:rsidR="007C389F">
        <w:rPr>
          <w:rFonts w:ascii="Times New Roman" w:eastAsia="Arial Unicode MS" w:hAnsi="Times New Roman" w:cs="Times New Roman"/>
          <w:color w:val="000000"/>
          <w:sz w:val="24"/>
          <w:szCs w:val="24"/>
          <w:lang w:val="pl" w:eastAsia="pl-PL"/>
        </w:rPr>
        <w:t xml:space="preserve"> </w:t>
      </w:r>
      <w:r w:rsidRPr="005473CF">
        <w:rPr>
          <w:rFonts w:ascii="Times New Roman" w:eastAsia="Arial Unicode MS" w:hAnsi="Times New Roman" w:cs="Times New Roman"/>
          <w:color w:val="000000"/>
          <w:sz w:val="24"/>
          <w:szCs w:val="24"/>
          <w:lang w:val="pl" w:eastAsia="pl-PL"/>
        </w:rPr>
        <w:t>pkt</w:t>
      </w:r>
      <w:r w:rsidR="007C389F">
        <w:rPr>
          <w:rFonts w:ascii="Times New Roman" w:eastAsia="Arial Unicode MS" w:hAnsi="Times New Roman" w:cs="Times New Roman"/>
          <w:color w:val="000000"/>
          <w:sz w:val="24"/>
          <w:szCs w:val="24"/>
          <w:lang w:val="pl" w:eastAsia="pl-PL"/>
        </w:rPr>
        <w:t xml:space="preserve"> </w:t>
      </w:r>
      <w:r w:rsidRPr="005473CF">
        <w:rPr>
          <w:rFonts w:ascii="Times New Roman" w:eastAsia="Arial Unicode MS" w:hAnsi="Times New Roman" w:cs="Times New Roman"/>
          <w:color w:val="000000"/>
          <w:sz w:val="24"/>
          <w:szCs w:val="24"/>
          <w:lang w:val="pl" w:eastAsia="pl-PL"/>
        </w:rPr>
        <w:t>2 pozwala na wyłączenie przypadków prowadzenia działalności związanej z transakcjami płatniczymi wykonywanymi w ramach usług pośrednictwa o innym charakterze. W praktyce nadzorczej obserwowane są liczne przypadki powoływania się na art. 6 pkt</w:t>
      </w:r>
      <w:r w:rsidR="007C389F">
        <w:rPr>
          <w:rFonts w:ascii="Times New Roman" w:eastAsia="Arial Unicode MS" w:hAnsi="Times New Roman" w:cs="Times New Roman"/>
          <w:color w:val="000000"/>
          <w:sz w:val="24"/>
          <w:szCs w:val="24"/>
          <w:lang w:val="pl" w:eastAsia="pl-PL"/>
        </w:rPr>
        <w:t xml:space="preserve"> </w:t>
      </w:r>
      <w:r w:rsidRPr="005473CF">
        <w:rPr>
          <w:rFonts w:ascii="Times New Roman" w:eastAsia="Arial Unicode MS" w:hAnsi="Times New Roman" w:cs="Times New Roman"/>
          <w:color w:val="000000"/>
          <w:sz w:val="24"/>
          <w:szCs w:val="24"/>
          <w:lang w:val="pl" w:eastAsia="pl-PL"/>
        </w:rPr>
        <w:t xml:space="preserve">2 przez podmioty pośredniczące w przyjmowaniu darowizn, co stoi w sprzeczności do roli agenta handlowego, jaką przypisuje mu regulacja dyrektywy PSD2 – agent handlowy pośredniczy w zawieraniu umów o charakterze gospodarczym, a zatem zawsze odpłatnych. W związku z tym proponuje się ograniczenie stosowania wyłączenia dotyczącego agentów handlowych jedynie do takich umów. Podkreśleniu roli agenta handlowego jako podmiotu zaangażowanego na rzecz jednej strony transakcji płatniczej służy także zastosowanie alternatywy rozłączną („albo”). Takie podejście spójne jest z charakterem działania agenta handlowego, jaki nadają mu </w:t>
      </w:r>
      <w:r w:rsidRPr="005473CF">
        <w:rPr>
          <w:rFonts w:ascii="Times New Roman" w:hAnsi="Times New Roman" w:cs="Times New Roman"/>
          <w:sz w:val="24"/>
          <w:szCs w:val="24"/>
        </w:rPr>
        <w:t>art. 758–764</w:t>
      </w:r>
      <w:r w:rsidRPr="005473CF">
        <w:rPr>
          <w:sz w:val="20"/>
          <w:szCs w:val="20"/>
          <w:vertAlign w:val="superscript"/>
        </w:rPr>
        <w:t>9</w:t>
      </w:r>
      <w:r w:rsidRPr="005473CF">
        <w:rPr>
          <w:bCs/>
          <w:sz w:val="23"/>
          <w:szCs w:val="23"/>
        </w:rPr>
        <w:t xml:space="preserve"> </w:t>
      </w:r>
      <w:r w:rsidRPr="005473CF">
        <w:rPr>
          <w:rFonts w:ascii="Times New Roman" w:eastAsia="Arial Unicode MS" w:hAnsi="Times New Roman" w:cs="Times New Roman"/>
          <w:color w:val="000000"/>
          <w:sz w:val="24"/>
          <w:szCs w:val="24"/>
          <w:lang w:val="pl" w:eastAsia="pl-PL"/>
        </w:rPr>
        <w:t xml:space="preserve">Kodeksu cywilnego, stanowiąca implementację dyrektywy 86/653/EWG o agentach handlowych (Dz. Urz. UE L 382 z 31.12.1986, str. 17). </w:t>
      </w:r>
    </w:p>
    <w:p w14:paraId="7842BE17" w14:textId="165FBFC5" w:rsidR="005473CF" w:rsidRPr="00082777" w:rsidRDefault="00DB5D42" w:rsidP="00D26FB5">
      <w:pPr>
        <w:spacing w:after="0" w:line="360" w:lineRule="auto"/>
        <w:jc w:val="both"/>
        <w:rPr>
          <w:rFonts w:ascii="Times New Roman" w:hAnsi="Times New Roman" w:cs="Times New Roman"/>
          <w:sz w:val="24"/>
          <w:szCs w:val="24"/>
          <w:lang w:val="pl"/>
        </w:rPr>
      </w:pPr>
      <w:r>
        <w:rPr>
          <w:rFonts w:ascii="Times New Roman" w:hAnsi="Times New Roman" w:cs="Times New Roman"/>
          <w:sz w:val="24"/>
          <w:szCs w:val="24"/>
        </w:rPr>
        <w:t>7</w:t>
      </w:r>
      <w:r w:rsidR="00D5306A">
        <w:rPr>
          <w:rFonts w:ascii="Times New Roman" w:hAnsi="Times New Roman" w:cs="Times New Roman"/>
          <w:sz w:val="24"/>
          <w:szCs w:val="24"/>
        </w:rPr>
        <w:t>)</w:t>
      </w:r>
      <w:r w:rsidR="00D5306A">
        <w:rPr>
          <w:rFonts w:ascii="Times New Roman" w:hAnsi="Times New Roman" w:cs="Times New Roman"/>
          <w:sz w:val="24"/>
          <w:szCs w:val="24"/>
        </w:rPr>
        <w:tab/>
      </w:r>
      <w:r w:rsidR="001867C0">
        <w:rPr>
          <w:rFonts w:ascii="Times New Roman" w:hAnsi="Times New Roman" w:cs="Times New Roman"/>
          <w:sz w:val="24"/>
          <w:szCs w:val="24"/>
          <w:lang w:val="pl"/>
        </w:rPr>
        <w:t>Art. 21</w:t>
      </w:r>
      <w:r>
        <w:rPr>
          <w:rFonts w:ascii="Times New Roman" w:hAnsi="Times New Roman" w:cs="Times New Roman"/>
          <w:sz w:val="24"/>
          <w:szCs w:val="24"/>
          <w:lang w:val="pl"/>
        </w:rPr>
        <w:t xml:space="preserve"> pkt 4</w:t>
      </w:r>
      <w:r w:rsidR="005473CF" w:rsidRPr="00082777">
        <w:rPr>
          <w:rFonts w:ascii="Times New Roman" w:hAnsi="Times New Roman" w:cs="Times New Roman"/>
          <w:b/>
          <w:sz w:val="24"/>
          <w:szCs w:val="24"/>
          <w:lang w:val="pl"/>
        </w:rPr>
        <w:t xml:space="preserve"> </w:t>
      </w:r>
      <w:r w:rsidR="005473CF" w:rsidRPr="00082777">
        <w:rPr>
          <w:rFonts w:ascii="Times New Roman" w:hAnsi="Times New Roman" w:cs="Times New Roman"/>
          <w:sz w:val="24"/>
          <w:szCs w:val="24"/>
          <w:lang w:val="pl"/>
        </w:rPr>
        <w:t>projektu (art. 6 pkt 4 ustawy)</w:t>
      </w:r>
    </w:p>
    <w:p w14:paraId="33837530" w14:textId="48D580E9" w:rsidR="005473CF" w:rsidRPr="005473CF" w:rsidRDefault="005473CF" w:rsidP="00D26FB5">
      <w:pPr>
        <w:autoSpaceDE w:val="0"/>
        <w:autoSpaceDN w:val="0"/>
        <w:adjustRightInd w:val="0"/>
        <w:spacing w:after="0" w:line="360" w:lineRule="auto"/>
        <w:jc w:val="both"/>
        <w:rPr>
          <w:rFonts w:ascii="Times New Roman" w:hAnsi="Times New Roman" w:cs="Times New Roman"/>
          <w:sz w:val="24"/>
          <w:szCs w:val="24"/>
        </w:rPr>
      </w:pPr>
      <w:r w:rsidRPr="005473CF">
        <w:rPr>
          <w:rFonts w:ascii="Times New Roman" w:hAnsi="Times New Roman" w:cs="Times New Roman"/>
          <w:sz w:val="24"/>
          <w:szCs w:val="24"/>
        </w:rPr>
        <w:t>Zmiana w art. 6 pkt 4 jest związana z korektą transpozycji art. 3 lit. d dyrektywy PSD2, który dotyczy wyłączenia transakcji płatniczych obejmujących niezarobkowo gromadzenie i dostarczanie gotówki w ramach działalności charytatywnej, co nie jest tożsame</w:t>
      </w:r>
      <w:r w:rsidR="00CC45BB">
        <w:rPr>
          <w:rFonts w:ascii="Times New Roman" w:hAnsi="Times New Roman" w:cs="Times New Roman"/>
          <w:sz w:val="24"/>
          <w:szCs w:val="24"/>
        </w:rPr>
        <w:t xml:space="preserve"> z przewidzianym </w:t>
      </w:r>
      <w:r w:rsidR="00CC45BB">
        <w:rPr>
          <w:rFonts w:ascii="Times New Roman" w:hAnsi="Times New Roman" w:cs="Times New Roman"/>
          <w:sz w:val="24"/>
          <w:szCs w:val="24"/>
        </w:rPr>
        <w:lastRenderedPageBreak/>
        <w:t>obecnie w ustawie o usługach płatniczych</w:t>
      </w:r>
      <w:r w:rsidRPr="005473CF">
        <w:rPr>
          <w:rFonts w:ascii="Times New Roman" w:hAnsi="Times New Roman" w:cs="Times New Roman"/>
          <w:sz w:val="24"/>
          <w:szCs w:val="24"/>
        </w:rPr>
        <w:t xml:space="preserve"> zbieraniem i wydatkowaniem środków pieniężnych w ramach zbiórek publicznych. Proponuje się w tym zakresie zmianę przez odwołanie do art. 4 ust. 1 ustawy z dnia 24 kwietnia 2003 r. o działalności pożytku publicznego i o wolontariacie (Dz. U. z 202</w:t>
      </w:r>
      <w:r w:rsidR="005234C2">
        <w:rPr>
          <w:rFonts w:ascii="Times New Roman" w:hAnsi="Times New Roman" w:cs="Times New Roman"/>
          <w:sz w:val="24"/>
          <w:szCs w:val="24"/>
        </w:rPr>
        <w:t>3</w:t>
      </w:r>
      <w:r w:rsidRPr="005473CF">
        <w:rPr>
          <w:rFonts w:ascii="Times New Roman" w:hAnsi="Times New Roman" w:cs="Times New Roman"/>
          <w:sz w:val="24"/>
          <w:szCs w:val="24"/>
        </w:rPr>
        <w:t xml:space="preserve"> r. poz. </w:t>
      </w:r>
      <w:r w:rsidR="005234C2">
        <w:rPr>
          <w:rFonts w:ascii="Times New Roman" w:hAnsi="Times New Roman" w:cs="Times New Roman"/>
          <w:sz w:val="24"/>
          <w:szCs w:val="24"/>
        </w:rPr>
        <w:t>571</w:t>
      </w:r>
      <w:r w:rsidRPr="005473CF">
        <w:rPr>
          <w:rFonts w:ascii="Times New Roman" w:hAnsi="Times New Roman" w:cs="Times New Roman"/>
          <w:sz w:val="24"/>
          <w:szCs w:val="24"/>
        </w:rPr>
        <w:t>),</w:t>
      </w:r>
      <w:r w:rsidR="007C389F">
        <w:rPr>
          <w:rFonts w:ascii="Times New Roman" w:hAnsi="Times New Roman" w:cs="Times New Roman"/>
          <w:sz w:val="24"/>
          <w:szCs w:val="24"/>
        </w:rPr>
        <w:t xml:space="preserve"> </w:t>
      </w:r>
      <w:r w:rsidRPr="005473CF">
        <w:rPr>
          <w:rFonts w:ascii="Times New Roman" w:hAnsi="Times New Roman" w:cs="Times New Roman"/>
          <w:sz w:val="24"/>
          <w:szCs w:val="24"/>
        </w:rPr>
        <w:t>co dostosuje wyłączenie zawarte w art. 6 pkt 4 do rozwiązań zawartych w PSD2 (obecnie ma ono szerszy zakres).</w:t>
      </w:r>
    </w:p>
    <w:p w14:paraId="55337D97" w14:textId="515433E1" w:rsidR="005473CF" w:rsidRPr="00082777" w:rsidRDefault="00DB5D42" w:rsidP="003C4098">
      <w:pPr>
        <w:spacing w:before="120" w:after="0" w:line="360" w:lineRule="auto"/>
        <w:jc w:val="both"/>
        <w:rPr>
          <w:rFonts w:ascii="Times New Roman" w:hAnsi="Times New Roman" w:cs="Times New Roman"/>
          <w:sz w:val="24"/>
          <w:szCs w:val="24"/>
          <w:lang w:val="pl"/>
        </w:rPr>
      </w:pPr>
      <w:r>
        <w:rPr>
          <w:rFonts w:ascii="Times New Roman" w:hAnsi="Times New Roman" w:cs="Times New Roman"/>
          <w:sz w:val="24"/>
          <w:szCs w:val="24"/>
        </w:rPr>
        <w:t>8</w:t>
      </w:r>
      <w:r w:rsidR="00D5306A">
        <w:rPr>
          <w:rFonts w:ascii="Times New Roman" w:hAnsi="Times New Roman" w:cs="Times New Roman"/>
          <w:sz w:val="24"/>
          <w:szCs w:val="24"/>
        </w:rPr>
        <w:t>)</w:t>
      </w:r>
      <w:r w:rsidR="00D5306A">
        <w:rPr>
          <w:rFonts w:ascii="Times New Roman" w:hAnsi="Times New Roman" w:cs="Times New Roman"/>
          <w:sz w:val="24"/>
          <w:szCs w:val="24"/>
        </w:rPr>
        <w:tab/>
      </w:r>
      <w:r w:rsidR="001867C0">
        <w:rPr>
          <w:rFonts w:ascii="Times New Roman" w:hAnsi="Times New Roman" w:cs="Times New Roman"/>
          <w:sz w:val="24"/>
          <w:szCs w:val="24"/>
          <w:lang w:val="pl"/>
        </w:rPr>
        <w:t>Art. 21</w:t>
      </w:r>
      <w:r w:rsidR="00066875">
        <w:rPr>
          <w:rFonts w:ascii="Times New Roman" w:hAnsi="Times New Roman" w:cs="Times New Roman"/>
          <w:sz w:val="24"/>
          <w:szCs w:val="24"/>
          <w:lang w:val="pl"/>
        </w:rPr>
        <w:t xml:space="preserve"> pkt 5, 22, 23, 29, 35, 44 i 49</w:t>
      </w:r>
      <w:r w:rsidR="005473CF" w:rsidRPr="00082777">
        <w:rPr>
          <w:rFonts w:ascii="Times New Roman" w:hAnsi="Times New Roman" w:cs="Times New Roman"/>
          <w:sz w:val="24"/>
          <w:szCs w:val="24"/>
          <w:lang w:val="pl"/>
        </w:rPr>
        <w:t xml:space="preserve"> projektu (art. </w:t>
      </w:r>
      <w:r w:rsidR="005473CF" w:rsidRPr="00082777">
        <w:rPr>
          <w:rFonts w:ascii="Times New Roman" w:hAnsi="Times New Roman" w:cs="Times New Roman"/>
          <w:sz w:val="24"/>
          <w:szCs w:val="24"/>
        </w:rPr>
        <w:t>14 ust. 10a i 10b,</w:t>
      </w:r>
      <w:r w:rsidR="007C389F">
        <w:rPr>
          <w:rFonts w:ascii="Times New Roman" w:hAnsi="Times New Roman" w:cs="Times New Roman"/>
          <w:sz w:val="24"/>
          <w:szCs w:val="24"/>
        </w:rPr>
        <w:t xml:space="preserve"> </w:t>
      </w:r>
      <w:r w:rsidR="005473CF" w:rsidRPr="00082777">
        <w:rPr>
          <w:rFonts w:ascii="Times New Roman" w:hAnsi="Times New Roman" w:cs="Times New Roman"/>
          <w:sz w:val="24"/>
          <w:szCs w:val="24"/>
          <w:lang w:val="pl"/>
        </w:rPr>
        <w:t>art. 102 ust. 1a i 1b, art. 103 ust. 3a‒3b,</w:t>
      </w:r>
      <w:r w:rsidR="007C389F">
        <w:rPr>
          <w:rFonts w:ascii="Times New Roman" w:hAnsi="Times New Roman" w:cs="Times New Roman"/>
          <w:sz w:val="24"/>
          <w:szCs w:val="24"/>
          <w:lang w:val="pl"/>
        </w:rPr>
        <w:t xml:space="preserve"> </w:t>
      </w:r>
      <w:r w:rsidR="005473CF" w:rsidRPr="00082777">
        <w:rPr>
          <w:rFonts w:ascii="Times New Roman" w:hAnsi="Times New Roman" w:cs="Times New Roman"/>
          <w:iCs/>
          <w:sz w:val="24"/>
          <w:szCs w:val="24"/>
        </w:rPr>
        <w:t>art. 117d ust. 4a i 4b</w:t>
      </w:r>
      <w:r w:rsidR="005473CF" w:rsidRPr="00082777">
        <w:rPr>
          <w:rFonts w:ascii="Times New Roman" w:hAnsi="Times New Roman" w:cs="Times New Roman"/>
          <w:sz w:val="24"/>
          <w:szCs w:val="24"/>
          <w:lang w:val="pl"/>
        </w:rPr>
        <w:t xml:space="preserve">, </w:t>
      </w:r>
      <w:r w:rsidR="005473CF" w:rsidRPr="00082777">
        <w:rPr>
          <w:rFonts w:ascii="Times New Roman" w:hAnsi="Times New Roman" w:cs="Times New Roman"/>
          <w:iCs/>
          <w:sz w:val="24"/>
          <w:szCs w:val="24"/>
        </w:rPr>
        <w:t>art. 117s ust. 4a i 4b, art. 129 ust. 4a i 4b oraz</w:t>
      </w:r>
      <w:r w:rsidR="007C389F">
        <w:rPr>
          <w:rFonts w:ascii="Times New Roman" w:hAnsi="Times New Roman" w:cs="Times New Roman"/>
          <w:iCs/>
          <w:sz w:val="24"/>
          <w:szCs w:val="24"/>
        </w:rPr>
        <w:t xml:space="preserve"> </w:t>
      </w:r>
      <w:r w:rsidR="005473CF" w:rsidRPr="00082777">
        <w:rPr>
          <w:rFonts w:ascii="Times New Roman" w:hAnsi="Times New Roman" w:cs="Times New Roman"/>
          <w:iCs/>
          <w:sz w:val="24"/>
          <w:szCs w:val="24"/>
        </w:rPr>
        <w:t>art. 132z ust. 4a</w:t>
      </w:r>
      <w:r w:rsidR="003C4098" w:rsidRPr="00082777">
        <w:rPr>
          <w:rFonts w:ascii="Times New Roman" w:hAnsi="Times New Roman" w:cs="Times New Roman"/>
          <w:sz w:val="24"/>
          <w:szCs w:val="24"/>
          <w:lang w:val="pl"/>
        </w:rPr>
        <w:t>‒</w:t>
      </w:r>
      <w:r w:rsidR="005473CF" w:rsidRPr="00082777">
        <w:rPr>
          <w:rFonts w:ascii="Times New Roman" w:hAnsi="Times New Roman" w:cs="Times New Roman"/>
          <w:iCs/>
          <w:sz w:val="24"/>
          <w:szCs w:val="24"/>
        </w:rPr>
        <w:t>4b ustawy</w:t>
      </w:r>
      <w:r w:rsidR="005473CF" w:rsidRPr="00082777">
        <w:rPr>
          <w:rFonts w:ascii="Times New Roman" w:hAnsi="Times New Roman" w:cs="Times New Roman"/>
          <w:sz w:val="24"/>
          <w:szCs w:val="24"/>
          <w:lang w:val="pl"/>
        </w:rPr>
        <w:t>)</w:t>
      </w:r>
    </w:p>
    <w:p w14:paraId="3365EAD0" w14:textId="1BF1F590" w:rsidR="005473CF" w:rsidRPr="00F31808" w:rsidRDefault="005473CF" w:rsidP="003C4098">
      <w:pPr>
        <w:spacing w:after="0" w:line="360" w:lineRule="auto"/>
        <w:jc w:val="both"/>
        <w:rPr>
          <w:rFonts w:ascii="Times New Roman" w:hAnsi="Times New Roman" w:cs="Times New Roman"/>
          <w:sz w:val="24"/>
          <w:szCs w:val="24"/>
        </w:rPr>
      </w:pPr>
      <w:r w:rsidRPr="00F31808">
        <w:rPr>
          <w:rFonts w:ascii="Times New Roman" w:hAnsi="Times New Roman" w:cs="Times New Roman"/>
          <w:sz w:val="24"/>
          <w:szCs w:val="24"/>
        </w:rPr>
        <w:t xml:space="preserve">Proponuje się wprowadzenie możliwości doręczeń elektronicznych w rozumieniu ustawy o doręczeniach elektronicznych w odniesieniu do dokumentów dotyczących czynności kontrolnych </w:t>
      </w:r>
      <w:r w:rsidR="00082777">
        <w:rPr>
          <w:rFonts w:ascii="Times New Roman" w:hAnsi="Times New Roman" w:cs="Times New Roman"/>
          <w:sz w:val="24"/>
          <w:szCs w:val="24"/>
        </w:rPr>
        <w:t>i innych czynności nadzorczych</w:t>
      </w:r>
      <w:r w:rsidRPr="00F31808">
        <w:rPr>
          <w:rFonts w:ascii="Times New Roman" w:hAnsi="Times New Roman" w:cs="Times New Roman"/>
          <w:sz w:val="24"/>
          <w:szCs w:val="24"/>
        </w:rPr>
        <w:t xml:space="preserve">. </w:t>
      </w:r>
    </w:p>
    <w:p w14:paraId="67EE090C" w14:textId="77777777" w:rsidR="005473CF" w:rsidRPr="00F31808" w:rsidRDefault="005473CF" w:rsidP="003C4098">
      <w:pPr>
        <w:spacing w:after="0" w:line="360" w:lineRule="auto"/>
        <w:jc w:val="both"/>
        <w:rPr>
          <w:rFonts w:ascii="Times New Roman" w:hAnsi="Times New Roman" w:cs="Times New Roman"/>
          <w:sz w:val="24"/>
          <w:szCs w:val="24"/>
        </w:rPr>
      </w:pPr>
      <w:r w:rsidRPr="00F31808">
        <w:rPr>
          <w:rFonts w:ascii="Times New Roman" w:hAnsi="Times New Roman" w:cs="Times New Roman"/>
          <w:sz w:val="24"/>
          <w:szCs w:val="24"/>
        </w:rPr>
        <w:t xml:space="preserve">Propozycja dotyczy dokumentów stosowanych w przypadku gdy ww. czynności będą realizowane zdalnie z wykorzystaniem dokumentów sporządzanych w postaci elektronicznej. </w:t>
      </w:r>
    </w:p>
    <w:p w14:paraId="3FF46577" w14:textId="08BAAA1F" w:rsidR="00F31808" w:rsidRPr="00082777" w:rsidRDefault="005473CF" w:rsidP="003C4098">
      <w:pPr>
        <w:spacing w:after="120" w:line="360" w:lineRule="auto"/>
        <w:jc w:val="both"/>
        <w:rPr>
          <w:rFonts w:ascii="Times New Roman" w:hAnsi="Times New Roman" w:cs="Times New Roman"/>
          <w:sz w:val="24"/>
          <w:szCs w:val="24"/>
        </w:rPr>
      </w:pPr>
      <w:r w:rsidRPr="005473CF">
        <w:rPr>
          <w:rFonts w:ascii="Times New Roman" w:hAnsi="Times New Roman" w:cs="Times New Roman"/>
          <w:sz w:val="24"/>
          <w:szCs w:val="24"/>
        </w:rPr>
        <w:t xml:space="preserve">Zmiany obejmą </w:t>
      </w:r>
      <w:r w:rsidRPr="00F31808">
        <w:rPr>
          <w:rFonts w:ascii="Times New Roman" w:hAnsi="Times New Roman" w:cs="Times New Roman"/>
          <w:sz w:val="24"/>
          <w:szCs w:val="24"/>
        </w:rPr>
        <w:t>art. 14 ust. 10a i 10b (będą dotyczyć dostawców o których mowa w art. 4 ust. 2 pkt 1–4, 6 i 9, tj. banku krajowego, oddziału banku zagranicznego, instytucji kredytowej i jej oddziału, instytucji pieniądza elektronicznego, instytucji płatniczej oraz spółdzielczej kasy oszczędnościowo-kredytowej lub Krajowej Spółdzielczej Kasy Oszczędnościowo-Kredytowej),</w:t>
      </w:r>
      <w:r w:rsidR="007C389F">
        <w:rPr>
          <w:rFonts w:ascii="Times New Roman" w:hAnsi="Times New Roman" w:cs="Times New Roman"/>
          <w:sz w:val="24"/>
          <w:szCs w:val="24"/>
        </w:rPr>
        <w:t xml:space="preserve"> </w:t>
      </w:r>
      <w:r w:rsidRPr="00F31808">
        <w:rPr>
          <w:rFonts w:ascii="Times New Roman" w:hAnsi="Times New Roman" w:cs="Times New Roman"/>
          <w:sz w:val="24"/>
          <w:szCs w:val="24"/>
        </w:rPr>
        <w:t>art. 102 ust. 1a i 1b oraz art. 103 ust. 3a‒3b (będą dotyczyć krajowej instytucji płatniczej) art. 117d ust. 4a i 4b (będą dotyczyć dostawców świadczących wyłącznie usługę</w:t>
      </w:r>
      <w:r w:rsidRPr="005473CF">
        <w:rPr>
          <w:rFonts w:ascii="Times New Roman" w:hAnsi="Times New Roman" w:cs="Times New Roman"/>
          <w:iCs/>
          <w:sz w:val="24"/>
          <w:szCs w:val="24"/>
        </w:rPr>
        <w:t xml:space="preserve"> dostępu do informacji o rachunku),</w:t>
      </w:r>
      <w:r w:rsidR="007C389F">
        <w:rPr>
          <w:rFonts w:ascii="Times New Roman" w:hAnsi="Times New Roman" w:cs="Times New Roman"/>
          <w:iCs/>
          <w:sz w:val="24"/>
          <w:szCs w:val="24"/>
        </w:rPr>
        <w:t xml:space="preserve"> </w:t>
      </w:r>
      <w:r w:rsidRPr="005473CF">
        <w:rPr>
          <w:rFonts w:ascii="Times New Roman" w:hAnsi="Times New Roman" w:cs="Times New Roman"/>
          <w:iCs/>
          <w:sz w:val="24"/>
          <w:szCs w:val="24"/>
        </w:rPr>
        <w:t xml:space="preserve">art. 117s ust. 4a i 4b (będą dotyczyć małych instytucji płatniczych), </w:t>
      </w:r>
      <w:r w:rsidRPr="005473CF">
        <w:rPr>
          <w:rFonts w:ascii="Times New Roman" w:hAnsi="Times New Roman" w:cs="Times New Roman"/>
          <w:iCs/>
          <w:sz w:val="24"/>
          <w:szCs w:val="24"/>
        </w:rPr>
        <w:lastRenderedPageBreak/>
        <w:t>art. 129 ust. 4a i 4b (będą dotyczyć biur usług płatniczych) oraz art. 132z ust. 4a</w:t>
      </w:r>
      <w:r w:rsidR="003C4098">
        <w:rPr>
          <w:rFonts w:ascii="Times New Roman" w:hAnsi="Times New Roman" w:cs="Times New Roman"/>
          <w:iCs/>
          <w:sz w:val="24"/>
          <w:szCs w:val="24"/>
        </w:rPr>
        <w:t xml:space="preserve"> i </w:t>
      </w:r>
      <w:r w:rsidRPr="005473CF">
        <w:rPr>
          <w:rFonts w:ascii="Times New Roman" w:hAnsi="Times New Roman" w:cs="Times New Roman"/>
          <w:iCs/>
          <w:sz w:val="24"/>
          <w:szCs w:val="24"/>
        </w:rPr>
        <w:t>4b (będą dotyczyć krajowych instytucji pieniądza elektronicznego)</w:t>
      </w:r>
      <w:r w:rsidRPr="005473CF">
        <w:rPr>
          <w:rFonts w:ascii="Times New Roman" w:hAnsi="Times New Roman" w:cs="Times New Roman"/>
          <w:sz w:val="24"/>
          <w:szCs w:val="24"/>
        </w:rPr>
        <w:t xml:space="preserve">. </w:t>
      </w:r>
    </w:p>
    <w:p w14:paraId="2E158157" w14:textId="4F5E8C0D" w:rsidR="005473CF" w:rsidRPr="00082777" w:rsidRDefault="00DB5D42" w:rsidP="003C4098">
      <w:pPr>
        <w:spacing w:after="0" w:line="360" w:lineRule="auto"/>
        <w:jc w:val="both"/>
        <w:rPr>
          <w:rFonts w:ascii="Times New Roman" w:eastAsia="Arial Unicode MS" w:hAnsi="Times New Roman" w:cs="Times New Roman"/>
          <w:color w:val="000000"/>
          <w:sz w:val="24"/>
          <w:szCs w:val="24"/>
          <w:lang w:val="pl" w:eastAsia="pl-PL"/>
        </w:rPr>
      </w:pPr>
      <w:r>
        <w:rPr>
          <w:rFonts w:ascii="Times New Roman" w:eastAsia="Arial Unicode MS" w:hAnsi="Times New Roman" w:cs="Times New Roman"/>
          <w:color w:val="000000"/>
          <w:sz w:val="24"/>
          <w:szCs w:val="24"/>
          <w:lang w:eastAsia="pl-PL"/>
        </w:rPr>
        <w:t>9</w:t>
      </w:r>
      <w:r w:rsidR="00D5306A">
        <w:rPr>
          <w:rFonts w:ascii="Times New Roman" w:eastAsia="Arial Unicode MS" w:hAnsi="Times New Roman" w:cs="Times New Roman"/>
          <w:color w:val="000000"/>
          <w:sz w:val="24"/>
          <w:szCs w:val="24"/>
          <w:lang w:eastAsia="pl-PL"/>
        </w:rPr>
        <w:t>)</w:t>
      </w:r>
      <w:r w:rsidR="00D5306A">
        <w:rPr>
          <w:rFonts w:ascii="Times New Roman" w:eastAsia="Arial Unicode MS" w:hAnsi="Times New Roman" w:cs="Times New Roman"/>
          <w:color w:val="000000"/>
          <w:sz w:val="24"/>
          <w:szCs w:val="24"/>
          <w:lang w:eastAsia="pl-PL"/>
        </w:rPr>
        <w:tab/>
      </w:r>
      <w:r w:rsidR="001867C0">
        <w:rPr>
          <w:rFonts w:ascii="Times New Roman" w:eastAsia="Arial Unicode MS" w:hAnsi="Times New Roman" w:cs="Times New Roman"/>
          <w:color w:val="000000"/>
          <w:sz w:val="24"/>
          <w:szCs w:val="24"/>
          <w:lang w:val="pl" w:eastAsia="pl-PL"/>
        </w:rPr>
        <w:t>Art. 21</w:t>
      </w:r>
      <w:r w:rsidR="00066875">
        <w:rPr>
          <w:rFonts w:ascii="Times New Roman" w:eastAsia="Arial Unicode MS" w:hAnsi="Times New Roman" w:cs="Times New Roman"/>
          <w:color w:val="000000"/>
          <w:sz w:val="24"/>
          <w:szCs w:val="24"/>
          <w:lang w:val="pl" w:eastAsia="pl-PL"/>
        </w:rPr>
        <w:t xml:space="preserve"> pkt 6</w:t>
      </w:r>
      <w:r w:rsidR="005473CF" w:rsidRPr="00082777">
        <w:rPr>
          <w:rFonts w:ascii="Times New Roman" w:eastAsia="Arial Unicode MS" w:hAnsi="Times New Roman" w:cs="Times New Roman"/>
          <w:b/>
          <w:color w:val="000000"/>
          <w:sz w:val="24"/>
          <w:szCs w:val="24"/>
          <w:lang w:val="pl" w:eastAsia="pl-PL"/>
        </w:rPr>
        <w:t xml:space="preserve"> </w:t>
      </w:r>
      <w:r w:rsidR="005473CF" w:rsidRPr="00082777">
        <w:rPr>
          <w:rFonts w:ascii="Times New Roman" w:eastAsia="Arial Unicode MS" w:hAnsi="Times New Roman" w:cs="Times New Roman"/>
          <w:color w:val="000000"/>
          <w:sz w:val="24"/>
          <w:szCs w:val="24"/>
          <w:lang w:val="pl" w:eastAsia="pl-PL"/>
        </w:rPr>
        <w:t>projektu (art. 14aa–14ad ustawy)</w:t>
      </w:r>
    </w:p>
    <w:p w14:paraId="0A0FBD14" w14:textId="52B4BF3A" w:rsidR="005473CF" w:rsidRPr="005473CF" w:rsidRDefault="005473CF" w:rsidP="003C4098">
      <w:pPr>
        <w:spacing w:after="0" w:line="360" w:lineRule="auto"/>
        <w:jc w:val="both"/>
        <w:rPr>
          <w:rFonts w:ascii="Times New Roman" w:eastAsia="Arial Unicode MS" w:hAnsi="Times New Roman" w:cs="Times New Roman"/>
          <w:color w:val="000000"/>
          <w:sz w:val="24"/>
          <w:szCs w:val="24"/>
          <w:lang w:eastAsia="pl-PL"/>
        </w:rPr>
      </w:pPr>
      <w:r w:rsidRPr="005473CF">
        <w:rPr>
          <w:rFonts w:ascii="Times New Roman" w:eastAsia="Arial Unicode MS" w:hAnsi="Times New Roman" w:cs="Times New Roman"/>
          <w:color w:val="000000"/>
          <w:sz w:val="24"/>
          <w:szCs w:val="24"/>
          <w:lang w:eastAsia="pl-PL"/>
        </w:rPr>
        <w:t>Przewiduje się nałożenie obowiązków sprawozdawczych na dostawcę usług płatniczych lub inny podmiot świadczący usługi na rzecz dostawcy usług płatniczych wydającego instrument płatniczy, będący właścicielem lub posiadaczem bankomatu lub wpłatomatu. Obowiązek przekazywania danych będzie dotyczyć informacji o liczbie bankomatów i wpłatomatów, liczbie i wartości transakcji wykonanych w bankomatach i wpłatomatach oraz liczbie i wartości transakcji nieuprawnionych – obejmie operatorów bankomatów niebędących</w:t>
      </w:r>
      <w:r w:rsidR="007C389F">
        <w:rPr>
          <w:rFonts w:ascii="Times New Roman" w:eastAsia="Arial Unicode MS" w:hAnsi="Times New Roman" w:cs="Times New Roman"/>
          <w:color w:val="000000"/>
          <w:sz w:val="24"/>
          <w:szCs w:val="24"/>
          <w:lang w:eastAsia="pl-PL"/>
        </w:rPr>
        <w:t xml:space="preserve"> </w:t>
      </w:r>
      <w:r w:rsidRPr="005473CF">
        <w:rPr>
          <w:rFonts w:ascii="Times New Roman" w:eastAsia="Arial Unicode MS" w:hAnsi="Times New Roman" w:cs="Times New Roman"/>
          <w:color w:val="000000"/>
          <w:sz w:val="24"/>
          <w:szCs w:val="24"/>
          <w:lang w:eastAsia="pl-PL"/>
        </w:rPr>
        <w:t>bankami.</w:t>
      </w:r>
      <w:r w:rsidR="007C389F">
        <w:rPr>
          <w:rFonts w:ascii="Times New Roman" w:eastAsia="Arial Unicode MS" w:hAnsi="Times New Roman" w:cs="Times New Roman"/>
          <w:color w:val="000000"/>
          <w:sz w:val="24"/>
          <w:szCs w:val="24"/>
          <w:lang w:eastAsia="pl-PL"/>
        </w:rPr>
        <w:t xml:space="preserve"> </w:t>
      </w:r>
    </w:p>
    <w:p w14:paraId="18D54CE9" w14:textId="3B9AAEBF" w:rsidR="005473CF" w:rsidRPr="005473CF" w:rsidRDefault="005473CF" w:rsidP="003C4098">
      <w:pPr>
        <w:spacing w:after="0" w:line="360" w:lineRule="auto"/>
        <w:jc w:val="both"/>
        <w:rPr>
          <w:rFonts w:ascii="Times New Roman" w:hAnsi="Times New Roman" w:cs="Times New Roman"/>
          <w:sz w:val="24"/>
          <w:szCs w:val="24"/>
        </w:rPr>
      </w:pPr>
      <w:r w:rsidRPr="005473CF">
        <w:rPr>
          <w:rFonts w:ascii="Times New Roman" w:eastAsia="Arial Unicode MS" w:hAnsi="Times New Roman" w:cs="Times New Roman"/>
          <w:color w:val="000000"/>
          <w:sz w:val="24"/>
          <w:szCs w:val="24"/>
          <w:lang w:eastAsia="pl-PL"/>
        </w:rPr>
        <w:t>Wprowadza się również obowiązek przekazywania danych do NBP przez dostawcę usług płatniczych</w:t>
      </w:r>
      <w:r w:rsidR="007C389F">
        <w:rPr>
          <w:rFonts w:ascii="Times New Roman" w:eastAsia="Arial Unicode MS" w:hAnsi="Times New Roman" w:cs="Times New Roman"/>
          <w:color w:val="000000"/>
          <w:sz w:val="24"/>
          <w:szCs w:val="24"/>
          <w:lang w:eastAsia="pl-PL"/>
        </w:rPr>
        <w:t xml:space="preserve"> </w:t>
      </w:r>
      <w:r w:rsidRPr="005473CF">
        <w:rPr>
          <w:rFonts w:ascii="Times New Roman" w:eastAsia="Arial Unicode MS" w:hAnsi="Times New Roman" w:cs="Times New Roman"/>
          <w:color w:val="000000"/>
          <w:sz w:val="24"/>
          <w:szCs w:val="24"/>
          <w:lang w:eastAsia="pl-PL"/>
        </w:rPr>
        <w:t>(KIP</w:t>
      </w:r>
      <w:r w:rsidR="00066875">
        <w:rPr>
          <w:rFonts w:ascii="Times New Roman" w:eastAsia="Arial Unicode MS" w:hAnsi="Times New Roman" w:cs="Times New Roman"/>
          <w:color w:val="000000"/>
          <w:sz w:val="24"/>
          <w:szCs w:val="24"/>
          <w:lang w:eastAsia="pl-PL"/>
        </w:rPr>
        <w:t xml:space="preserve">, MIP, </w:t>
      </w:r>
      <w:r w:rsidRPr="005473CF">
        <w:rPr>
          <w:rFonts w:ascii="Times New Roman" w:eastAsia="Arial Unicode MS" w:hAnsi="Times New Roman" w:cs="Times New Roman"/>
          <w:color w:val="000000"/>
          <w:sz w:val="24"/>
          <w:szCs w:val="24"/>
          <w:lang w:eastAsia="pl-PL"/>
        </w:rPr>
        <w:t>dostawcę świadczącego usługę ini</w:t>
      </w:r>
      <w:r w:rsidR="00066875">
        <w:rPr>
          <w:rFonts w:ascii="Times New Roman" w:eastAsia="Arial Unicode MS" w:hAnsi="Times New Roman" w:cs="Times New Roman"/>
          <w:color w:val="000000"/>
          <w:sz w:val="24"/>
          <w:szCs w:val="24"/>
          <w:lang w:eastAsia="pl-PL"/>
        </w:rPr>
        <w:t>cjowania transakcji płatniczej oraz</w:t>
      </w:r>
      <w:r w:rsidR="007C389F">
        <w:rPr>
          <w:rFonts w:ascii="Times New Roman" w:eastAsia="Arial Unicode MS" w:hAnsi="Times New Roman" w:cs="Times New Roman"/>
          <w:color w:val="000000"/>
          <w:sz w:val="24"/>
          <w:szCs w:val="24"/>
          <w:lang w:eastAsia="pl-PL"/>
        </w:rPr>
        <w:t xml:space="preserve"> </w:t>
      </w:r>
      <w:r w:rsidRPr="005473CF">
        <w:rPr>
          <w:rFonts w:ascii="Times New Roman" w:eastAsia="Arial Unicode MS" w:hAnsi="Times New Roman" w:cs="Times New Roman"/>
          <w:color w:val="000000"/>
          <w:sz w:val="24"/>
          <w:szCs w:val="24"/>
          <w:lang w:eastAsia="pl-PL"/>
        </w:rPr>
        <w:t xml:space="preserve">dostawcę świadczącego usługę dostępu do informacji o rachunku). </w:t>
      </w:r>
      <w:r w:rsidRPr="005473CF">
        <w:rPr>
          <w:rFonts w:ascii="Times New Roman" w:hAnsi="Times New Roman" w:cs="Times New Roman"/>
          <w:sz w:val="24"/>
          <w:szCs w:val="24"/>
        </w:rPr>
        <w:t xml:space="preserve">Dostawca prowadzący rachunek będzie obowiązany przekazywać informacje obejmujące liczbę prowadzonych rachunków płatniczych i liczbę rachunków płatniczych, do których dostęp posiada dostawca świadczący usługę dostępu do informacji o rachunku. Dostawca świadczący usługę inicjowania transakcji płatniczej będzie obowiązany przekazywać informacje obejmujące liczbę użytkowników, dla których świadczył usługę inicjowania transakcji płatniczej, liczbę i wartość zainicjowanych transakcji płatniczych oraz liczbę i wartość zainicjowanych transakcji płatniczych naruszających przepisy prawa lub reguły uczciwego obrotu. Dostawca świadczący usługę dostępu do informacji o rachunku będzie natomiast obowiązany przekazywać informacje obejmujące </w:t>
      </w:r>
      <w:r w:rsidRPr="005473CF">
        <w:rPr>
          <w:rFonts w:ascii="Times New Roman" w:hAnsi="Times New Roman" w:cs="Times New Roman"/>
          <w:sz w:val="24"/>
          <w:szCs w:val="24"/>
        </w:rPr>
        <w:lastRenderedPageBreak/>
        <w:t>liczbę użytkowników, dla których świadczył usługę dostępu do informacji o rachunku i liczbę rachunków, do których zapewnił dostęp w ramach usługi dostępu do informacji o rachunku.</w:t>
      </w:r>
    </w:p>
    <w:p w14:paraId="49F4334D" w14:textId="77777777" w:rsidR="005473CF" w:rsidRPr="005473CF" w:rsidRDefault="005473CF" w:rsidP="003C4098">
      <w:pPr>
        <w:spacing w:after="0" w:line="360" w:lineRule="auto"/>
        <w:jc w:val="both"/>
        <w:rPr>
          <w:rFonts w:ascii="Times New Roman" w:eastAsia="Arial Unicode MS" w:hAnsi="Times New Roman" w:cs="Times New Roman"/>
          <w:color w:val="000000"/>
          <w:sz w:val="24"/>
          <w:szCs w:val="24"/>
          <w:lang w:eastAsia="pl-PL"/>
        </w:rPr>
      </w:pPr>
      <w:r w:rsidRPr="005473CF">
        <w:rPr>
          <w:rFonts w:ascii="Times New Roman" w:eastAsia="Arial Unicode MS" w:hAnsi="Times New Roman" w:cs="Times New Roman"/>
          <w:color w:val="000000"/>
          <w:sz w:val="24"/>
          <w:szCs w:val="24"/>
          <w:lang w:eastAsia="pl-PL"/>
        </w:rPr>
        <w:t xml:space="preserve">Nowe obowiązki dotyczą także dostawców świadczących usługi na terytorium Rzeczypospolitej Polskiej w ramach działalności transgranicznej lub za pośrednictwem agenta. </w:t>
      </w:r>
    </w:p>
    <w:p w14:paraId="3860F4B4" w14:textId="77777777" w:rsidR="005473CF" w:rsidRPr="005473CF" w:rsidRDefault="005473CF" w:rsidP="003C4098">
      <w:pPr>
        <w:spacing w:after="120" w:line="360" w:lineRule="auto"/>
        <w:jc w:val="both"/>
        <w:rPr>
          <w:rFonts w:ascii="Times New Roman" w:eastAsia="Calibri" w:hAnsi="Times New Roman" w:cs="Times New Roman"/>
          <w:color w:val="000000"/>
          <w:sz w:val="24"/>
          <w:szCs w:val="24"/>
        </w:rPr>
      </w:pPr>
      <w:r w:rsidRPr="005473CF">
        <w:rPr>
          <w:rFonts w:ascii="Times New Roman" w:eastAsia="Arial Unicode MS" w:hAnsi="Times New Roman" w:cs="Times New Roman"/>
          <w:color w:val="000000"/>
          <w:sz w:val="24"/>
          <w:szCs w:val="24"/>
          <w:lang w:eastAsia="pl-PL"/>
        </w:rPr>
        <w:t xml:space="preserve">Rozszerzenie obowiązków sprawozdawczych jest konsekwencją wejścia w życie </w:t>
      </w:r>
      <w:r w:rsidRPr="005473CF">
        <w:rPr>
          <w:rFonts w:ascii="Times New Roman" w:eastAsia="Calibri" w:hAnsi="Times New Roman" w:cs="Times New Roman"/>
          <w:color w:val="000000"/>
          <w:sz w:val="24"/>
          <w:szCs w:val="24"/>
        </w:rPr>
        <w:t>rozporządzenia Europejskiego Banku Centralnego (EU) 2020 z dnia 1 grudnia 2020 r. zmieniającego rozporządzenie Europejskiego Banku Centralnego (EU) nr 1409/2013 w sprawie statystyki płatności (EBC/2013/43).</w:t>
      </w:r>
    </w:p>
    <w:p w14:paraId="7A986E29" w14:textId="73570FBB" w:rsidR="005473CF" w:rsidRPr="00082777" w:rsidRDefault="00DB5D42" w:rsidP="003C4098">
      <w:pPr>
        <w:spacing w:after="0" w:line="360" w:lineRule="auto"/>
        <w:jc w:val="both"/>
        <w:rPr>
          <w:rFonts w:ascii="Times New Roman" w:eastAsia="Arial Unicode MS" w:hAnsi="Times New Roman" w:cs="Times New Roman"/>
          <w:color w:val="000000"/>
          <w:sz w:val="24"/>
          <w:szCs w:val="24"/>
          <w:lang w:val="pl" w:eastAsia="pl-PL"/>
        </w:rPr>
      </w:pPr>
      <w:r>
        <w:rPr>
          <w:rFonts w:ascii="Times New Roman" w:eastAsia="Arial Unicode MS" w:hAnsi="Times New Roman" w:cs="Times New Roman"/>
          <w:color w:val="000000"/>
          <w:sz w:val="24"/>
          <w:szCs w:val="24"/>
          <w:lang w:val="pl" w:eastAsia="pl-PL"/>
        </w:rPr>
        <w:t>10</w:t>
      </w:r>
      <w:r w:rsidR="005473CF" w:rsidRPr="00082777">
        <w:rPr>
          <w:rFonts w:ascii="Times New Roman" w:eastAsia="Arial Unicode MS" w:hAnsi="Times New Roman" w:cs="Times New Roman"/>
          <w:color w:val="000000"/>
          <w:sz w:val="24"/>
          <w:szCs w:val="24"/>
          <w:lang w:val="pl" w:eastAsia="pl-PL"/>
        </w:rPr>
        <w:t>)</w:t>
      </w:r>
      <w:r w:rsidR="00D5306A">
        <w:rPr>
          <w:rFonts w:ascii="Times New Roman" w:eastAsia="Arial Unicode MS" w:hAnsi="Times New Roman" w:cs="Times New Roman"/>
          <w:color w:val="000000"/>
          <w:sz w:val="24"/>
          <w:szCs w:val="24"/>
          <w:lang w:val="pl" w:eastAsia="pl-PL"/>
        </w:rPr>
        <w:tab/>
      </w:r>
      <w:r w:rsidR="001867C0">
        <w:rPr>
          <w:rFonts w:ascii="Times New Roman" w:eastAsia="Arial Unicode MS" w:hAnsi="Times New Roman" w:cs="Times New Roman"/>
          <w:color w:val="000000"/>
          <w:sz w:val="24"/>
          <w:szCs w:val="24"/>
          <w:lang w:val="pl" w:eastAsia="pl-PL"/>
        </w:rPr>
        <w:t>Art. 21</w:t>
      </w:r>
      <w:r>
        <w:rPr>
          <w:rFonts w:ascii="Times New Roman" w:eastAsia="Arial Unicode MS" w:hAnsi="Times New Roman" w:cs="Times New Roman"/>
          <w:color w:val="000000"/>
          <w:sz w:val="24"/>
          <w:szCs w:val="24"/>
          <w:lang w:val="pl" w:eastAsia="pl-PL"/>
        </w:rPr>
        <w:t xml:space="preserve"> pkt 7</w:t>
      </w:r>
      <w:r w:rsidR="005473CF" w:rsidRPr="00082777">
        <w:rPr>
          <w:rFonts w:ascii="Times New Roman" w:eastAsia="Arial Unicode MS" w:hAnsi="Times New Roman" w:cs="Times New Roman"/>
          <w:color w:val="000000"/>
          <w:sz w:val="24"/>
          <w:szCs w:val="24"/>
          <w:lang w:val="pl" w:eastAsia="pl-PL"/>
        </w:rPr>
        <w:t xml:space="preserve"> projektu (art. 14b ust. 1 i 4 ustawy)</w:t>
      </w:r>
    </w:p>
    <w:p w14:paraId="44C713C1" w14:textId="32DB37A4" w:rsidR="005473CF" w:rsidRPr="005473CF" w:rsidRDefault="005473CF" w:rsidP="003C4098">
      <w:pPr>
        <w:spacing w:after="12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Proponowana zmiana</w:t>
      </w:r>
      <w:r w:rsidR="007C389F">
        <w:rPr>
          <w:rFonts w:ascii="Times New Roman" w:eastAsia="Arial Unicode MS" w:hAnsi="Times New Roman" w:cs="Times New Roman"/>
          <w:color w:val="000000"/>
          <w:sz w:val="24"/>
          <w:szCs w:val="24"/>
          <w:lang w:val="pl" w:eastAsia="pl-PL"/>
        </w:rPr>
        <w:t xml:space="preserve"> </w:t>
      </w:r>
      <w:r w:rsidRPr="005473CF">
        <w:rPr>
          <w:rFonts w:ascii="Times New Roman" w:eastAsia="Arial Unicode MS" w:hAnsi="Times New Roman" w:cs="Times New Roman"/>
          <w:color w:val="000000"/>
          <w:sz w:val="24"/>
          <w:szCs w:val="24"/>
          <w:lang w:val="pl" w:eastAsia="pl-PL"/>
        </w:rPr>
        <w:t xml:space="preserve">dotyczy wydawcy instrumentu płatniczego świadczącego usługi płatnicze na terytorium Rzeczypospolitej Polskiej w ramach działalności transgranicznej lub za pośrednictwem agenta i jest analogiczna do zmiany wprowadzanej w art. 14a. </w:t>
      </w:r>
    </w:p>
    <w:p w14:paraId="244DAC81" w14:textId="1026D730" w:rsidR="005473CF" w:rsidRPr="005473CF" w:rsidRDefault="00DB5D42" w:rsidP="003C4098">
      <w:pPr>
        <w:spacing w:after="0" w:line="360" w:lineRule="auto"/>
        <w:jc w:val="both"/>
        <w:rPr>
          <w:rFonts w:ascii="Times New Roman" w:eastAsia="Arial Unicode MS" w:hAnsi="Times New Roman" w:cs="Times New Roman"/>
          <w:color w:val="000000"/>
          <w:sz w:val="24"/>
          <w:szCs w:val="24"/>
          <w:lang w:val="pl" w:eastAsia="pl-PL"/>
        </w:rPr>
      </w:pPr>
      <w:r>
        <w:rPr>
          <w:rFonts w:ascii="Times New Roman" w:eastAsia="Arial Unicode MS" w:hAnsi="Times New Roman" w:cs="Times New Roman"/>
          <w:color w:val="000000"/>
          <w:sz w:val="24"/>
          <w:szCs w:val="24"/>
          <w:lang w:val="pl" w:eastAsia="pl-PL"/>
        </w:rPr>
        <w:t>11</w:t>
      </w:r>
      <w:r w:rsidR="00D5306A">
        <w:rPr>
          <w:rFonts w:ascii="Times New Roman" w:eastAsia="Arial Unicode MS" w:hAnsi="Times New Roman" w:cs="Times New Roman"/>
          <w:color w:val="000000"/>
          <w:sz w:val="24"/>
          <w:szCs w:val="24"/>
          <w:lang w:val="pl" w:eastAsia="pl-PL"/>
        </w:rPr>
        <w:t>)</w:t>
      </w:r>
      <w:r w:rsidR="00D5306A">
        <w:rPr>
          <w:rFonts w:ascii="Times New Roman" w:eastAsia="Arial Unicode MS" w:hAnsi="Times New Roman" w:cs="Times New Roman"/>
          <w:color w:val="000000"/>
          <w:sz w:val="24"/>
          <w:szCs w:val="24"/>
          <w:lang w:val="pl" w:eastAsia="pl-PL"/>
        </w:rPr>
        <w:tab/>
      </w:r>
      <w:r w:rsidR="001867C0">
        <w:rPr>
          <w:rFonts w:ascii="Times New Roman" w:eastAsia="Arial Unicode MS" w:hAnsi="Times New Roman" w:cs="Times New Roman"/>
          <w:color w:val="000000"/>
          <w:sz w:val="24"/>
          <w:szCs w:val="24"/>
          <w:lang w:val="pl" w:eastAsia="pl-PL"/>
        </w:rPr>
        <w:t>Art. 21</w:t>
      </w:r>
      <w:r>
        <w:rPr>
          <w:rFonts w:ascii="Times New Roman" w:eastAsia="Arial Unicode MS" w:hAnsi="Times New Roman" w:cs="Times New Roman"/>
          <w:color w:val="000000"/>
          <w:sz w:val="24"/>
          <w:szCs w:val="24"/>
          <w:lang w:val="pl" w:eastAsia="pl-PL"/>
        </w:rPr>
        <w:t xml:space="preserve"> pkt 8</w:t>
      </w:r>
      <w:r w:rsidR="005473CF" w:rsidRPr="00082777">
        <w:rPr>
          <w:rFonts w:ascii="Times New Roman" w:eastAsia="Arial Unicode MS" w:hAnsi="Times New Roman" w:cs="Times New Roman"/>
          <w:color w:val="000000"/>
          <w:sz w:val="24"/>
          <w:szCs w:val="24"/>
          <w:lang w:val="pl" w:eastAsia="pl-PL"/>
        </w:rPr>
        <w:t xml:space="preserve"> projektu (art. 14c ust. 1 i 4 ustawy)</w:t>
      </w:r>
    </w:p>
    <w:p w14:paraId="52DF9F16" w14:textId="77777777" w:rsidR="005473CF" w:rsidRPr="005473CF" w:rsidRDefault="005473CF" w:rsidP="003C4098">
      <w:pPr>
        <w:spacing w:after="12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 xml:space="preserve">Proponowana zmiana dotyczy wydawcy pieniądza elektronicznego świadczącego usługi płatnicze na terytorium Rzeczypospolitej Polskiej w ramach działalności transgranicznej lub za pośrednictwem agenta i jest analogiczna do zmiany wprowadzanej w art. 14a i art. 14b. </w:t>
      </w:r>
    </w:p>
    <w:p w14:paraId="67E7011B" w14:textId="1A0085CF" w:rsidR="005473CF" w:rsidRPr="00082777" w:rsidRDefault="005473CF" w:rsidP="003C4098">
      <w:pPr>
        <w:spacing w:after="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1</w:t>
      </w:r>
      <w:r w:rsidR="00DB5D42">
        <w:rPr>
          <w:rFonts w:ascii="Times New Roman" w:eastAsia="Arial Unicode MS" w:hAnsi="Times New Roman" w:cs="Times New Roman"/>
          <w:color w:val="000000"/>
          <w:sz w:val="24"/>
          <w:szCs w:val="24"/>
          <w:lang w:val="pl" w:eastAsia="pl-PL"/>
        </w:rPr>
        <w:t>2</w:t>
      </w:r>
      <w:r w:rsidRPr="005473CF">
        <w:rPr>
          <w:rFonts w:ascii="Times New Roman" w:eastAsia="Arial Unicode MS" w:hAnsi="Times New Roman" w:cs="Times New Roman"/>
          <w:color w:val="000000"/>
          <w:sz w:val="24"/>
          <w:szCs w:val="24"/>
          <w:lang w:val="pl" w:eastAsia="pl-PL"/>
        </w:rPr>
        <w:t>)</w:t>
      </w:r>
      <w:r w:rsidR="00D5306A">
        <w:rPr>
          <w:rFonts w:ascii="Times New Roman" w:eastAsia="Arial Unicode MS" w:hAnsi="Times New Roman" w:cs="Times New Roman"/>
          <w:color w:val="000000"/>
          <w:sz w:val="24"/>
          <w:szCs w:val="24"/>
          <w:lang w:val="pl" w:eastAsia="pl-PL"/>
        </w:rPr>
        <w:tab/>
      </w:r>
      <w:r w:rsidR="001867C0">
        <w:rPr>
          <w:rFonts w:ascii="Times New Roman" w:eastAsia="Arial Unicode MS" w:hAnsi="Times New Roman" w:cs="Times New Roman"/>
          <w:color w:val="000000"/>
          <w:sz w:val="24"/>
          <w:szCs w:val="24"/>
          <w:lang w:val="pl" w:eastAsia="pl-PL"/>
        </w:rPr>
        <w:t>Art. 21</w:t>
      </w:r>
      <w:r w:rsidR="00DB5D42">
        <w:rPr>
          <w:rFonts w:ascii="Times New Roman" w:eastAsia="Arial Unicode MS" w:hAnsi="Times New Roman" w:cs="Times New Roman"/>
          <w:color w:val="000000"/>
          <w:sz w:val="24"/>
          <w:szCs w:val="24"/>
          <w:lang w:val="pl" w:eastAsia="pl-PL"/>
        </w:rPr>
        <w:t xml:space="preserve"> pkt 9</w:t>
      </w:r>
      <w:r w:rsidRPr="00082777">
        <w:rPr>
          <w:rFonts w:ascii="Times New Roman" w:eastAsia="Arial Unicode MS" w:hAnsi="Times New Roman" w:cs="Times New Roman"/>
          <w:color w:val="000000"/>
          <w:sz w:val="24"/>
          <w:szCs w:val="24"/>
          <w:lang w:val="pl" w:eastAsia="pl-PL"/>
        </w:rPr>
        <w:t xml:space="preserve"> projektu (art. 14d ustawy)</w:t>
      </w:r>
    </w:p>
    <w:p w14:paraId="24225B27" w14:textId="77777777" w:rsidR="005473CF" w:rsidRPr="005473CF" w:rsidRDefault="005473CF" w:rsidP="003C4098">
      <w:pPr>
        <w:spacing w:after="12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lastRenderedPageBreak/>
        <w:t xml:space="preserve">Zmiana polega na rozszerzeniu zakresu upoważnienia do wydania aktu wykonawczego przez ministra właściwego do spraw instytucji finansowych – NBP będzie otrzymywać także informacje niezbędne do </w:t>
      </w:r>
      <w:r w:rsidRPr="00082777">
        <w:rPr>
          <w:rFonts w:ascii="Times New Roman" w:eastAsia="Arial Unicode MS" w:hAnsi="Times New Roman" w:cs="Times New Roman"/>
          <w:color w:val="000000"/>
          <w:sz w:val="24"/>
          <w:szCs w:val="24"/>
          <w:lang w:val="pl" w:eastAsia="pl-PL"/>
        </w:rPr>
        <w:t>sporządzenia bilansu płatniczego oraz wykonywania zadań Narodowego Banku Polskiego wynikających z uczestnictwa w Europejskim Systemie Banków Centralnych</w:t>
      </w:r>
      <w:r w:rsidRPr="005473CF">
        <w:rPr>
          <w:rFonts w:ascii="Times New Roman" w:eastAsia="Arial Unicode MS" w:hAnsi="Times New Roman" w:cs="Times New Roman"/>
          <w:color w:val="000000"/>
          <w:sz w:val="24"/>
          <w:szCs w:val="24"/>
          <w:lang w:val="pl" w:eastAsia="pl-PL"/>
        </w:rPr>
        <w:t xml:space="preserve">. </w:t>
      </w:r>
    </w:p>
    <w:p w14:paraId="550FA1B0" w14:textId="10247B42" w:rsidR="005473CF" w:rsidRPr="00082777" w:rsidRDefault="005473CF" w:rsidP="003C4098">
      <w:pPr>
        <w:spacing w:after="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1</w:t>
      </w:r>
      <w:r w:rsidR="00AF1D73">
        <w:rPr>
          <w:rFonts w:ascii="Times New Roman" w:eastAsia="Arial Unicode MS" w:hAnsi="Times New Roman" w:cs="Times New Roman"/>
          <w:color w:val="000000"/>
          <w:sz w:val="24"/>
          <w:szCs w:val="24"/>
          <w:lang w:val="pl" w:eastAsia="pl-PL"/>
        </w:rPr>
        <w:t>3</w:t>
      </w:r>
      <w:r w:rsidRPr="005473CF">
        <w:rPr>
          <w:rFonts w:ascii="Times New Roman" w:eastAsia="Arial Unicode MS" w:hAnsi="Times New Roman" w:cs="Times New Roman"/>
          <w:color w:val="000000"/>
          <w:sz w:val="24"/>
          <w:szCs w:val="24"/>
          <w:lang w:val="pl" w:eastAsia="pl-PL"/>
        </w:rPr>
        <w:t>)</w:t>
      </w:r>
      <w:r w:rsidR="00D5306A">
        <w:rPr>
          <w:rFonts w:ascii="Times New Roman" w:eastAsia="Arial Unicode MS" w:hAnsi="Times New Roman" w:cs="Times New Roman"/>
          <w:color w:val="000000"/>
          <w:sz w:val="24"/>
          <w:szCs w:val="24"/>
          <w:lang w:val="pl" w:eastAsia="pl-PL"/>
        </w:rPr>
        <w:tab/>
      </w:r>
      <w:r w:rsidR="001867C0">
        <w:rPr>
          <w:rFonts w:ascii="Times New Roman" w:eastAsia="Arial Unicode MS" w:hAnsi="Times New Roman" w:cs="Times New Roman"/>
          <w:color w:val="000000"/>
          <w:sz w:val="24"/>
          <w:szCs w:val="24"/>
          <w:lang w:val="pl" w:eastAsia="pl-PL"/>
        </w:rPr>
        <w:t>Art. 21</w:t>
      </w:r>
      <w:r w:rsidR="00AF1D73">
        <w:rPr>
          <w:rFonts w:ascii="Times New Roman" w:eastAsia="Arial Unicode MS" w:hAnsi="Times New Roman" w:cs="Times New Roman"/>
          <w:color w:val="000000"/>
          <w:sz w:val="24"/>
          <w:szCs w:val="24"/>
          <w:lang w:val="pl" w:eastAsia="pl-PL"/>
        </w:rPr>
        <w:t xml:space="preserve"> pkt 10</w:t>
      </w:r>
      <w:r w:rsidRPr="00082777">
        <w:rPr>
          <w:rFonts w:ascii="Times New Roman" w:eastAsia="Arial Unicode MS" w:hAnsi="Times New Roman" w:cs="Times New Roman"/>
          <w:color w:val="000000"/>
          <w:sz w:val="24"/>
          <w:szCs w:val="24"/>
          <w:lang w:val="pl" w:eastAsia="pl-PL"/>
        </w:rPr>
        <w:t xml:space="preserve"> projektu (art. 32f ust. 2 ustawy)</w:t>
      </w:r>
    </w:p>
    <w:p w14:paraId="53BAB175" w14:textId="77777777" w:rsidR="005473CF" w:rsidRPr="00082777" w:rsidRDefault="005473CF" w:rsidP="003C4098">
      <w:pPr>
        <w:spacing w:after="120" w:line="360" w:lineRule="auto"/>
        <w:jc w:val="both"/>
        <w:rPr>
          <w:rFonts w:ascii="Times New Roman" w:eastAsia="Arial Unicode MS" w:hAnsi="Times New Roman" w:cs="Times New Roman"/>
          <w:color w:val="000000"/>
          <w:sz w:val="24"/>
          <w:szCs w:val="24"/>
          <w:lang w:val="pl" w:eastAsia="pl-PL"/>
        </w:rPr>
      </w:pPr>
      <w:r w:rsidRPr="00082777">
        <w:rPr>
          <w:rFonts w:ascii="Times New Roman" w:eastAsia="Arial Unicode MS" w:hAnsi="Times New Roman" w:cs="Times New Roman"/>
          <w:color w:val="000000"/>
          <w:sz w:val="24"/>
          <w:szCs w:val="24"/>
          <w:lang w:val="pl" w:eastAsia="pl-PL"/>
        </w:rPr>
        <w:t>Proponuje się wyłączenie z katalogu podmiotów zobowiązanych do przekazywania do KNF informacji o ocenie i aktualizacji procedur w zakresie zarządzania ryzykiem operacyjnym i ryzykiem naruszenia bezpieczeństwa, a także ocenie środków ograniczających ryzyko oraz mechanizmów kontroli. Jest to uzasadnione ograniczonym zakresem i nieskomplikowanym charakterem działalności BUP, a co za tym idzie ograniczonym ryzykiem związanym z tą działalnością, jak również przewidzianymi ustawą innymi mechanizmami zabezpieczającymi interesy użytkowników.</w:t>
      </w:r>
    </w:p>
    <w:p w14:paraId="3C36AB26" w14:textId="158EEB28" w:rsidR="005473CF" w:rsidRPr="00082777" w:rsidRDefault="005473CF" w:rsidP="003C4098">
      <w:pPr>
        <w:spacing w:after="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1</w:t>
      </w:r>
      <w:r w:rsidR="00AF1D73">
        <w:rPr>
          <w:rFonts w:ascii="Times New Roman" w:eastAsia="Arial Unicode MS" w:hAnsi="Times New Roman" w:cs="Times New Roman"/>
          <w:color w:val="000000"/>
          <w:sz w:val="24"/>
          <w:szCs w:val="24"/>
          <w:lang w:val="pl" w:eastAsia="pl-PL"/>
        </w:rPr>
        <w:t>4</w:t>
      </w:r>
      <w:r w:rsidRPr="005473CF">
        <w:rPr>
          <w:rFonts w:ascii="Times New Roman" w:eastAsia="Arial Unicode MS" w:hAnsi="Times New Roman" w:cs="Times New Roman"/>
          <w:color w:val="000000"/>
          <w:sz w:val="24"/>
          <w:szCs w:val="24"/>
          <w:lang w:val="pl" w:eastAsia="pl-PL"/>
        </w:rPr>
        <w:t>)</w:t>
      </w:r>
      <w:r w:rsidR="00D5306A">
        <w:rPr>
          <w:rFonts w:ascii="Times New Roman" w:eastAsia="Arial Unicode MS" w:hAnsi="Times New Roman" w:cs="Times New Roman"/>
          <w:color w:val="000000"/>
          <w:sz w:val="24"/>
          <w:szCs w:val="24"/>
          <w:lang w:val="pl" w:eastAsia="pl-PL"/>
        </w:rPr>
        <w:tab/>
      </w:r>
      <w:r w:rsidR="001867C0">
        <w:rPr>
          <w:rFonts w:ascii="Times New Roman" w:eastAsia="Arial Unicode MS" w:hAnsi="Times New Roman" w:cs="Times New Roman"/>
          <w:color w:val="000000"/>
          <w:sz w:val="24"/>
          <w:szCs w:val="24"/>
          <w:lang w:val="pl" w:eastAsia="pl-PL"/>
        </w:rPr>
        <w:t>Art. 21</w:t>
      </w:r>
      <w:r w:rsidR="00AF1D73">
        <w:rPr>
          <w:rFonts w:ascii="Times New Roman" w:eastAsia="Arial Unicode MS" w:hAnsi="Times New Roman" w:cs="Times New Roman"/>
          <w:color w:val="000000"/>
          <w:sz w:val="24"/>
          <w:szCs w:val="24"/>
          <w:lang w:val="pl" w:eastAsia="pl-PL"/>
        </w:rPr>
        <w:t xml:space="preserve"> pkt 11</w:t>
      </w:r>
      <w:r w:rsidRPr="00082777">
        <w:rPr>
          <w:rFonts w:ascii="Times New Roman" w:eastAsia="Arial Unicode MS" w:hAnsi="Times New Roman" w:cs="Times New Roman"/>
          <w:color w:val="000000"/>
          <w:sz w:val="24"/>
          <w:szCs w:val="24"/>
          <w:lang w:val="pl" w:eastAsia="pl-PL"/>
        </w:rPr>
        <w:t xml:space="preserve"> projektu (art. 32h ust. 1 ustawy)</w:t>
      </w:r>
    </w:p>
    <w:p w14:paraId="18509BE3" w14:textId="518EC5B8" w:rsidR="005473CF" w:rsidRPr="00082777" w:rsidRDefault="005473CF" w:rsidP="003C4098">
      <w:pPr>
        <w:spacing w:after="120" w:line="360" w:lineRule="auto"/>
        <w:jc w:val="both"/>
        <w:rPr>
          <w:rFonts w:ascii="Times New Roman" w:eastAsia="Arial Unicode MS" w:hAnsi="Times New Roman" w:cs="Times New Roman"/>
          <w:color w:val="000000"/>
          <w:sz w:val="24"/>
          <w:szCs w:val="24"/>
          <w:lang w:val="pl" w:eastAsia="pl-PL"/>
        </w:rPr>
      </w:pPr>
      <w:r w:rsidRPr="00082777">
        <w:rPr>
          <w:rFonts w:ascii="Times New Roman" w:eastAsia="Arial Unicode MS" w:hAnsi="Times New Roman" w:cs="Times New Roman"/>
          <w:color w:val="000000"/>
          <w:sz w:val="24"/>
          <w:szCs w:val="24"/>
          <w:lang w:val="pl" w:eastAsia="pl-PL"/>
        </w:rPr>
        <w:t>Zmianie ulegną terminy przekazywania przez</w:t>
      </w:r>
      <w:r w:rsidR="007C389F">
        <w:rPr>
          <w:rFonts w:ascii="Times New Roman" w:eastAsia="Arial Unicode MS" w:hAnsi="Times New Roman" w:cs="Times New Roman"/>
          <w:color w:val="000000"/>
          <w:sz w:val="24"/>
          <w:szCs w:val="24"/>
          <w:lang w:val="pl" w:eastAsia="pl-PL"/>
        </w:rPr>
        <w:t xml:space="preserve"> </w:t>
      </w:r>
      <w:r w:rsidRPr="00082777">
        <w:rPr>
          <w:rFonts w:ascii="Times New Roman" w:eastAsia="Arial Unicode MS" w:hAnsi="Times New Roman" w:cs="Times New Roman"/>
          <w:color w:val="000000"/>
          <w:sz w:val="24"/>
          <w:szCs w:val="24"/>
          <w:lang w:val="pl" w:eastAsia="pl-PL"/>
        </w:rPr>
        <w:t>dostawców do KNF danych dotyczących oszustw związanych z wykonywanymi usługami płatniczymi – zgodnie z wytycznymi Europejskiego Urzędu Nadzoru Bankowego (EUNB) będą one przekazywane w okresach kwartalnych. Jest to zgodne z wytyczną 3.1. Europejskiego Urzędu Nadzoru Bankowego (EBA/GL/2018/05) w sprawie wymogów zgłaszania nadużyć finansowych na podstawie art. 96 ust. 6 drugiej dyrektywy w sprawie usług płatniczych (PSD2), które przewidują sześciomiesięczny okres sprawozdawczy.</w:t>
      </w:r>
    </w:p>
    <w:p w14:paraId="67790717" w14:textId="398CE883" w:rsidR="005473CF" w:rsidRPr="00082777" w:rsidRDefault="005473CF" w:rsidP="003C4098">
      <w:pPr>
        <w:spacing w:after="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lastRenderedPageBreak/>
        <w:t>1</w:t>
      </w:r>
      <w:r w:rsidR="00AF1D73">
        <w:rPr>
          <w:rFonts w:ascii="Times New Roman" w:eastAsia="Arial Unicode MS" w:hAnsi="Times New Roman" w:cs="Times New Roman"/>
          <w:color w:val="000000"/>
          <w:sz w:val="24"/>
          <w:szCs w:val="24"/>
          <w:lang w:val="pl" w:eastAsia="pl-PL"/>
        </w:rPr>
        <w:t>5</w:t>
      </w:r>
      <w:r w:rsidRPr="005473CF">
        <w:rPr>
          <w:rFonts w:ascii="Times New Roman" w:eastAsia="Arial Unicode MS" w:hAnsi="Times New Roman" w:cs="Times New Roman"/>
          <w:color w:val="000000"/>
          <w:sz w:val="24"/>
          <w:szCs w:val="24"/>
          <w:lang w:val="pl" w:eastAsia="pl-PL"/>
        </w:rPr>
        <w:t>)</w:t>
      </w:r>
      <w:r w:rsidR="00D5306A">
        <w:rPr>
          <w:rFonts w:ascii="Times New Roman" w:eastAsia="Arial Unicode MS" w:hAnsi="Times New Roman" w:cs="Times New Roman"/>
          <w:color w:val="000000"/>
          <w:sz w:val="24"/>
          <w:szCs w:val="24"/>
          <w:lang w:val="pl" w:eastAsia="pl-PL"/>
        </w:rPr>
        <w:tab/>
      </w:r>
      <w:r w:rsidR="001867C0">
        <w:rPr>
          <w:rFonts w:ascii="Times New Roman" w:eastAsia="Arial Unicode MS" w:hAnsi="Times New Roman" w:cs="Times New Roman"/>
          <w:color w:val="000000"/>
          <w:sz w:val="24"/>
          <w:szCs w:val="24"/>
          <w:lang w:val="pl" w:eastAsia="pl-PL"/>
        </w:rPr>
        <w:t>Art. 21</w:t>
      </w:r>
      <w:r w:rsidR="00AF1D73">
        <w:rPr>
          <w:rFonts w:ascii="Times New Roman" w:eastAsia="Arial Unicode MS" w:hAnsi="Times New Roman" w:cs="Times New Roman"/>
          <w:color w:val="000000"/>
          <w:sz w:val="24"/>
          <w:szCs w:val="24"/>
          <w:lang w:val="pl" w:eastAsia="pl-PL"/>
        </w:rPr>
        <w:t xml:space="preserve"> pkt 12</w:t>
      </w:r>
      <w:r w:rsidRPr="00082777">
        <w:rPr>
          <w:rFonts w:ascii="Times New Roman" w:eastAsia="Arial Unicode MS" w:hAnsi="Times New Roman" w:cs="Times New Roman"/>
          <w:color w:val="000000"/>
          <w:sz w:val="24"/>
          <w:szCs w:val="24"/>
          <w:lang w:val="pl" w:eastAsia="pl-PL"/>
        </w:rPr>
        <w:t xml:space="preserve"> projektu (art. 59r ust. 4a ustawy)</w:t>
      </w:r>
    </w:p>
    <w:p w14:paraId="2911DCF7" w14:textId="77777777" w:rsidR="005473CF" w:rsidRPr="005473CF" w:rsidRDefault="005473CF" w:rsidP="003C4098">
      <w:pPr>
        <w:spacing w:after="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 xml:space="preserve">Projektowany przepis zmierza do ograniczenia praktyki pośredniego wprowadzania odpłatności za usługi PIS przez ASPSP wobec dostawcy odbiorcy, który posiada rachunek prowadzony przez tego ASPSP. Mowa jest o sytuacji, w której płatnik dokonuje zakupu w sklepie internetowym wybierając płatność usługą PIS obsługiwaną przez agenta rozliczeniowego posiadającego zezwolenie na świadczenie tej usługi. W takim przypadku agent rozliczeniowy przyjmuje płatność dla akceptanta w ten sposób, że przez usługę PIS płatnik zleca przelew na rachunek agenta rozliczeniowego w tym samym banku. Posiadanie przez agenta rozliczeniowego rachunku w tym samym banku zapewnia możliwość natychmiastowego otrzymania środków przez agenta i ich przekazania akceptantowi. </w:t>
      </w:r>
    </w:p>
    <w:p w14:paraId="2D56C0E1" w14:textId="77777777" w:rsidR="005473CF" w:rsidRPr="005473CF" w:rsidRDefault="005473CF" w:rsidP="003C4098">
      <w:pPr>
        <w:spacing w:after="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 xml:space="preserve">Powyższy model świadczenia usługi PIS w powiązaniu z usługą rachunku dla akceptanta występuje powszechnie w Unii Europejskiej – kolejni ASPSP informują o zamiarze wprowadzenia opłat za każdy krajowy przelew otrzymywany w określonej wysokości, w przypadku gdy liczba przelewów krajowych otrzymanych przez klienta w danym miesiącu przekroczy wolumen określony przez ASPSP. Dotychczas obowiązujące cenniki ASPSP nie przewidywały naliczania opłat za krajowe przelewy przychodzące wykonywane w złotych. Ze względu na przyjęte kryteria nakładania opłat (kryterium przedmiotowe przelewu przychodzącego oraz kryterium ilościowe liczby transakcji) opłaty te w praktyce dotykają przede wszystkim KIP świadczące lub zamierzające świadczyć odbiorcom i akceptantom obsługę przyjmowania płatności </w:t>
      </w:r>
      <w:r w:rsidRPr="005473CF">
        <w:rPr>
          <w:rFonts w:ascii="Times New Roman" w:eastAsia="Arial Unicode MS" w:hAnsi="Times New Roman" w:cs="Times New Roman"/>
          <w:color w:val="000000"/>
          <w:sz w:val="24"/>
          <w:szCs w:val="24"/>
          <w:lang w:val="pl" w:eastAsia="pl-PL"/>
        </w:rPr>
        <w:lastRenderedPageBreak/>
        <w:t xml:space="preserve">z wykorzystaniem usługi PIS, w przypadku której odbiorca (akceptant) transakcji posiada rachunek w danym ASPSP a KIP wchodzi w posiadanie tych środków. </w:t>
      </w:r>
    </w:p>
    <w:p w14:paraId="743246B6" w14:textId="77777777" w:rsidR="005473CF" w:rsidRPr="005473CF" w:rsidRDefault="005473CF" w:rsidP="003C4098">
      <w:pPr>
        <w:spacing w:after="12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Usługi PIS i AIS są jednym z najważniejszych instrumentów wzmacniania uniezależniania gospodarki unijnej od globalnych dostawców usług płatniczych oraz wzmacniania konkurencyjności sektora FinTech wobec tradycyjnych instytucji finansowych.</w:t>
      </w:r>
    </w:p>
    <w:p w14:paraId="47CF9F31" w14:textId="0F2CC1B2" w:rsidR="005473CF" w:rsidRPr="005473CF" w:rsidRDefault="005473CF" w:rsidP="00CF3CA3">
      <w:pPr>
        <w:spacing w:after="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1</w:t>
      </w:r>
      <w:r w:rsidR="00AF1D73">
        <w:rPr>
          <w:rFonts w:ascii="Times New Roman" w:eastAsia="Arial Unicode MS" w:hAnsi="Times New Roman" w:cs="Times New Roman"/>
          <w:color w:val="000000"/>
          <w:sz w:val="24"/>
          <w:szCs w:val="24"/>
          <w:lang w:val="pl" w:eastAsia="pl-PL"/>
        </w:rPr>
        <w:t>6</w:t>
      </w:r>
      <w:r w:rsidR="00D5306A">
        <w:rPr>
          <w:rFonts w:ascii="Times New Roman" w:eastAsia="Arial Unicode MS" w:hAnsi="Times New Roman" w:cs="Times New Roman"/>
          <w:color w:val="000000"/>
          <w:sz w:val="24"/>
          <w:szCs w:val="24"/>
          <w:lang w:val="pl" w:eastAsia="pl-PL"/>
        </w:rPr>
        <w:t>)</w:t>
      </w:r>
      <w:r w:rsidR="00D5306A">
        <w:rPr>
          <w:rFonts w:ascii="Times New Roman" w:eastAsia="Arial Unicode MS" w:hAnsi="Times New Roman" w:cs="Times New Roman"/>
          <w:color w:val="000000"/>
          <w:sz w:val="24"/>
          <w:szCs w:val="24"/>
          <w:lang w:val="pl" w:eastAsia="pl-PL"/>
        </w:rPr>
        <w:tab/>
      </w:r>
      <w:r w:rsidR="001867C0">
        <w:rPr>
          <w:rFonts w:ascii="Times New Roman" w:eastAsia="Arial Unicode MS" w:hAnsi="Times New Roman" w:cs="Times New Roman"/>
          <w:color w:val="000000"/>
          <w:sz w:val="24"/>
          <w:szCs w:val="24"/>
          <w:lang w:val="pl" w:eastAsia="pl-PL"/>
        </w:rPr>
        <w:t>Art. 21</w:t>
      </w:r>
      <w:r w:rsidR="00AF1D73">
        <w:rPr>
          <w:rFonts w:ascii="Times New Roman" w:eastAsia="Arial Unicode MS" w:hAnsi="Times New Roman" w:cs="Times New Roman"/>
          <w:color w:val="000000"/>
          <w:sz w:val="24"/>
          <w:szCs w:val="24"/>
          <w:lang w:val="pl" w:eastAsia="pl-PL"/>
        </w:rPr>
        <w:t xml:space="preserve"> pkt 13, 14, 15 i 46</w:t>
      </w:r>
      <w:r w:rsidRPr="00082777">
        <w:rPr>
          <w:rFonts w:ascii="Times New Roman" w:eastAsia="Arial Unicode MS" w:hAnsi="Times New Roman" w:cs="Times New Roman"/>
          <w:color w:val="000000"/>
          <w:sz w:val="24"/>
          <w:szCs w:val="24"/>
          <w:lang w:val="pl" w:eastAsia="pl-PL"/>
        </w:rPr>
        <w:t xml:space="preserve"> projektu (art. 60 ust. 3, art. 61 ust. 2, art. 61a </w:t>
      </w:r>
      <w:r w:rsidR="003C4098">
        <w:rPr>
          <w:rFonts w:ascii="Times New Roman" w:eastAsia="Arial Unicode MS" w:hAnsi="Times New Roman" w:cs="Times New Roman"/>
          <w:color w:val="000000"/>
          <w:sz w:val="24"/>
          <w:szCs w:val="24"/>
          <w:lang w:val="pl" w:eastAsia="pl-PL"/>
        </w:rPr>
        <w:t xml:space="preserve">i </w:t>
      </w:r>
      <w:r w:rsidRPr="00082777">
        <w:rPr>
          <w:rFonts w:ascii="Times New Roman" w:eastAsia="Arial Unicode MS" w:hAnsi="Times New Roman" w:cs="Times New Roman"/>
          <w:color w:val="000000"/>
          <w:sz w:val="24"/>
          <w:szCs w:val="24"/>
          <w:lang w:val="pl" w:eastAsia="pl-PL"/>
        </w:rPr>
        <w:t>art. 132b ust. 3 ustawy)</w:t>
      </w:r>
    </w:p>
    <w:p w14:paraId="031AE403" w14:textId="77777777" w:rsidR="005473CF" w:rsidRPr="005473CF" w:rsidRDefault="005473CF" w:rsidP="003C4098">
      <w:pPr>
        <w:spacing w:after="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 xml:space="preserve">Projektowane zmiany dotyczą wykreślenia obowiązku zasięgnięcia przez KNF opinii NBP w procesie postępowania o wydanie zezwolenia na świadczenie usług płatniczych w charakterze krajowej instytucji płatniczej obejmującego świadczenie usług o charakterze </w:t>
      </w:r>
      <w:r w:rsidRPr="00082777">
        <w:rPr>
          <w:rFonts w:ascii="Times New Roman" w:eastAsia="Arial Unicode MS" w:hAnsi="Times New Roman" w:cs="Times New Roman"/>
          <w:color w:val="000000"/>
          <w:sz w:val="24"/>
          <w:szCs w:val="24"/>
          <w:lang w:val="pl" w:eastAsia="pl-PL"/>
        </w:rPr>
        <w:t>acquiringu</w:t>
      </w:r>
      <w:r w:rsidRPr="005473CF">
        <w:rPr>
          <w:rFonts w:ascii="Times New Roman" w:eastAsia="Arial Unicode MS" w:hAnsi="Times New Roman" w:cs="Times New Roman"/>
          <w:color w:val="000000"/>
          <w:sz w:val="24"/>
          <w:szCs w:val="24"/>
          <w:lang w:val="pl" w:eastAsia="pl-PL"/>
        </w:rPr>
        <w:t>. Zmiany obejmują również zniesienie obowiązku powiadamiania NBP o późniejszych zmianach dotyczących informacji i dokumentów dołączonych do wniosku o wydanie tego zezwolenia.</w:t>
      </w:r>
    </w:p>
    <w:p w14:paraId="39A9E5F6" w14:textId="77777777" w:rsidR="005473CF" w:rsidRPr="005473CF" w:rsidRDefault="005473CF" w:rsidP="003C4098">
      <w:pPr>
        <w:spacing w:after="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 xml:space="preserve">Rezygnacja z opiniowania przez Prezesa NBP wniosków o udzielenie zezwolenia na świadczenie usług płatniczych w charakterze krajowych instytucji płatniczych, tj. wydawania opinii, o której mowa w art. 60 ust. 3, przyczyni się przede wszystkim do przyspieszenia postępowań prowadzonych przez KNF, a tym samym znacząco skróci termin, w którym krajowe instytucje płatnicze będą mogły podjąć planowaną działalność. Rezygnacja z opiniowania przez Prezesa NBP wniosku o udzielenie zezwolenia na świadczenie usługi </w:t>
      </w:r>
      <w:r w:rsidRPr="00082777">
        <w:rPr>
          <w:rFonts w:ascii="Times New Roman" w:eastAsia="Arial Unicode MS" w:hAnsi="Times New Roman" w:cs="Times New Roman"/>
          <w:color w:val="000000"/>
          <w:sz w:val="24"/>
          <w:szCs w:val="24"/>
          <w:lang w:val="pl" w:eastAsia="pl-PL"/>
        </w:rPr>
        <w:t>acquiringu</w:t>
      </w:r>
      <w:r w:rsidRPr="005473CF">
        <w:rPr>
          <w:rFonts w:ascii="Times New Roman" w:eastAsia="Arial Unicode MS" w:hAnsi="Times New Roman" w:cs="Times New Roman"/>
          <w:color w:val="000000"/>
          <w:sz w:val="24"/>
          <w:szCs w:val="24"/>
          <w:lang w:val="pl" w:eastAsia="pl-PL"/>
        </w:rPr>
        <w:t xml:space="preserve"> uprości zatem proces uzyskania takiego zezwolenia.</w:t>
      </w:r>
    </w:p>
    <w:p w14:paraId="45E7E1EA" w14:textId="6598A689" w:rsidR="005473CF" w:rsidRPr="005473CF" w:rsidRDefault="005473CF" w:rsidP="003C4098">
      <w:pPr>
        <w:spacing w:after="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lastRenderedPageBreak/>
        <w:t xml:space="preserve">Wyposażenie Prezesa NBP w uprawnienie do opiniowania wniosków dotyczących świadczenia usługi </w:t>
      </w:r>
      <w:r w:rsidRPr="00082777">
        <w:rPr>
          <w:rFonts w:ascii="Times New Roman" w:eastAsia="Arial Unicode MS" w:hAnsi="Times New Roman" w:cs="Times New Roman"/>
          <w:color w:val="000000"/>
          <w:sz w:val="24"/>
          <w:szCs w:val="24"/>
          <w:lang w:val="pl" w:eastAsia="pl-PL"/>
        </w:rPr>
        <w:t>acquiringu</w:t>
      </w:r>
      <w:r w:rsidRPr="005473CF">
        <w:rPr>
          <w:rFonts w:ascii="Times New Roman" w:eastAsia="Arial Unicode MS" w:hAnsi="Times New Roman" w:cs="Times New Roman"/>
          <w:color w:val="000000"/>
          <w:sz w:val="24"/>
          <w:szCs w:val="24"/>
          <w:lang w:val="pl" w:eastAsia="pl-PL"/>
        </w:rPr>
        <w:t xml:space="preserve"> było motywowane chęcią wsparcia merytorycznego KNF w początkowym okresie wykonywania przez KNF nadzoru ostrożnościowym nad krajowymi instytucjami płatniczymi (w tym pełniącymi funkcję agentów rozliczeniowych). W chwili obecnej przesłanki te nie występują.</w:t>
      </w:r>
      <w:r w:rsidR="007C389F">
        <w:rPr>
          <w:rFonts w:ascii="Times New Roman" w:eastAsia="Arial Unicode MS" w:hAnsi="Times New Roman" w:cs="Times New Roman"/>
          <w:color w:val="000000"/>
          <w:sz w:val="24"/>
          <w:szCs w:val="24"/>
          <w:lang w:val="pl" w:eastAsia="pl-PL"/>
        </w:rPr>
        <w:t xml:space="preserve"> </w:t>
      </w:r>
    </w:p>
    <w:p w14:paraId="6BD2ACCA" w14:textId="3F881D83" w:rsidR="005473CF" w:rsidRPr="005473CF" w:rsidRDefault="005473CF" w:rsidP="003C4098">
      <w:pPr>
        <w:spacing w:after="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 xml:space="preserve">W roku 2018 r. dopuszczono działalność MIP, które również mogą świadczyć usługę </w:t>
      </w:r>
      <w:r w:rsidRPr="00082777">
        <w:rPr>
          <w:rFonts w:ascii="Times New Roman" w:eastAsia="Arial Unicode MS" w:hAnsi="Times New Roman" w:cs="Times New Roman"/>
          <w:color w:val="000000"/>
          <w:sz w:val="24"/>
          <w:szCs w:val="24"/>
          <w:lang w:val="pl" w:eastAsia="pl-PL"/>
        </w:rPr>
        <w:t>acquiringu</w:t>
      </w:r>
      <w:r w:rsidRPr="005473CF">
        <w:rPr>
          <w:rFonts w:ascii="Times New Roman" w:eastAsia="Arial Unicode MS" w:hAnsi="Times New Roman" w:cs="Times New Roman"/>
          <w:color w:val="000000"/>
          <w:sz w:val="24"/>
          <w:szCs w:val="24"/>
          <w:lang w:val="pl" w:eastAsia="pl-PL"/>
        </w:rPr>
        <w:t xml:space="preserve">, a przy tym są zwolnione z obowiązku uzyskania zezwolenia KNF. Istotna część rynku usług </w:t>
      </w:r>
      <w:r w:rsidRPr="00082777">
        <w:rPr>
          <w:rFonts w:ascii="Times New Roman" w:eastAsia="Arial Unicode MS" w:hAnsi="Times New Roman" w:cs="Times New Roman"/>
          <w:color w:val="000000"/>
          <w:sz w:val="24"/>
          <w:szCs w:val="24"/>
          <w:lang w:val="pl" w:eastAsia="pl-PL"/>
        </w:rPr>
        <w:t>acquiringu</w:t>
      </w:r>
      <w:r w:rsidR="007C389F">
        <w:rPr>
          <w:rFonts w:ascii="Times New Roman" w:eastAsia="Arial Unicode MS" w:hAnsi="Times New Roman" w:cs="Times New Roman"/>
          <w:color w:val="000000"/>
          <w:sz w:val="24"/>
          <w:szCs w:val="24"/>
          <w:lang w:val="pl" w:eastAsia="pl-PL"/>
        </w:rPr>
        <w:t xml:space="preserve"> </w:t>
      </w:r>
      <w:r w:rsidRPr="005473CF">
        <w:rPr>
          <w:rFonts w:ascii="Times New Roman" w:eastAsia="Arial Unicode MS" w:hAnsi="Times New Roman" w:cs="Times New Roman"/>
          <w:color w:val="000000"/>
          <w:sz w:val="24"/>
          <w:szCs w:val="24"/>
          <w:lang w:val="pl" w:eastAsia="pl-PL"/>
        </w:rPr>
        <w:t xml:space="preserve">nie podlega zatem nadzorowi systemowemu Prezesa NBP. Nie odnotowano jednak negatywnych skutków tego stanu rzeczy. Należy również dodać, że w przypadku świadczenia przez KIP usługi płatniczej innej niż </w:t>
      </w:r>
      <w:r w:rsidRPr="00082777">
        <w:rPr>
          <w:rFonts w:ascii="Times New Roman" w:eastAsia="Arial Unicode MS" w:hAnsi="Times New Roman" w:cs="Times New Roman"/>
          <w:color w:val="000000"/>
          <w:sz w:val="24"/>
          <w:szCs w:val="24"/>
          <w:lang w:val="pl" w:eastAsia="pl-PL"/>
        </w:rPr>
        <w:t xml:space="preserve">acquiring </w:t>
      </w:r>
      <w:r w:rsidRPr="005473CF">
        <w:rPr>
          <w:rFonts w:ascii="Times New Roman" w:eastAsia="Arial Unicode MS" w:hAnsi="Times New Roman" w:cs="Times New Roman"/>
          <w:color w:val="000000"/>
          <w:sz w:val="24"/>
          <w:szCs w:val="24"/>
          <w:lang w:val="pl" w:eastAsia="pl-PL"/>
        </w:rPr>
        <w:t xml:space="preserve">wnioski składane do KNF także nie są opiniowane przez Prezesa NBP. </w:t>
      </w:r>
    </w:p>
    <w:p w14:paraId="0C3BB8F9" w14:textId="77777777" w:rsidR="005473CF" w:rsidRPr="005473CF" w:rsidRDefault="005473CF" w:rsidP="003C4098">
      <w:pPr>
        <w:spacing w:after="12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 xml:space="preserve">Efektem proponowanej zmiany będzie ujednolicenie procesu wydawania zezwolenia KIP w zakresie wszystkich usług płatniczych i sprawi, że cały rynek usług </w:t>
      </w:r>
      <w:r w:rsidRPr="00082777">
        <w:rPr>
          <w:rFonts w:ascii="Times New Roman" w:eastAsia="Arial Unicode MS" w:hAnsi="Times New Roman" w:cs="Times New Roman"/>
          <w:color w:val="000000"/>
          <w:sz w:val="24"/>
          <w:szCs w:val="24"/>
          <w:lang w:val="pl" w:eastAsia="pl-PL"/>
        </w:rPr>
        <w:t>acquiringu</w:t>
      </w:r>
      <w:r w:rsidRPr="005473CF">
        <w:rPr>
          <w:rFonts w:ascii="Times New Roman" w:eastAsia="Arial Unicode MS" w:hAnsi="Times New Roman" w:cs="Times New Roman"/>
          <w:color w:val="000000"/>
          <w:sz w:val="24"/>
          <w:szCs w:val="24"/>
          <w:lang w:val="pl" w:eastAsia="pl-PL"/>
        </w:rPr>
        <w:t xml:space="preserve"> (świadczonych zarówno przez KIP jak i MIP ) będzie nadzorowany przez jeden organ nadzoru, tj. KNF.</w:t>
      </w:r>
    </w:p>
    <w:p w14:paraId="6A33D809" w14:textId="71A8BBAA" w:rsidR="005473CF" w:rsidRPr="005473CF" w:rsidRDefault="005473CF" w:rsidP="003C4098">
      <w:pPr>
        <w:spacing w:after="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1</w:t>
      </w:r>
      <w:r w:rsidR="007E0C39">
        <w:rPr>
          <w:rFonts w:ascii="Times New Roman" w:eastAsia="Arial Unicode MS" w:hAnsi="Times New Roman" w:cs="Times New Roman"/>
          <w:color w:val="000000"/>
          <w:sz w:val="24"/>
          <w:szCs w:val="24"/>
          <w:lang w:val="pl" w:eastAsia="pl-PL"/>
        </w:rPr>
        <w:t>7</w:t>
      </w:r>
      <w:r w:rsidR="00D5306A">
        <w:rPr>
          <w:rFonts w:ascii="Times New Roman" w:eastAsia="Arial Unicode MS" w:hAnsi="Times New Roman" w:cs="Times New Roman"/>
          <w:color w:val="000000"/>
          <w:sz w:val="24"/>
          <w:szCs w:val="24"/>
          <w:lang w:val="pl" w:eastAsia="pl-PL"/>
        </w:rPr>
        <w:t>)</w:t>
      </w:r>
      <w:r w:rsidR="00D5306A">
        <w:rPr>
          <w:rFonts w:ascii="Times New Roman" w:eastAsia="Arial Unicode MS" w:hAnsi="Times New Roman" w:cs="Times New Roman"/>
          <w:color w:val="000000"/>
          <w:sz w:val="24"/>
          <w:szCs w:val="24"/>
          <w:lang w:val="pl" w:eastAsia="pl-PL"/>
        </w:rPr>
        <w:tab/>
      </w:r>
      <w:r w:rsidR="001867C0">
        <w:rPr>
          <w:rFonts w:ascii="Times New Roman" w:eastAsia="Arial Unicode MS" w:hAnsi="Times New Roman" w:cs="Times New Roman"/>
          <w:color w:val="000000"/>
          <w:sz w:val="24"/>
          <w:szCs w:val="24"/>
          <w:lang w:val="pl" w:eastAsia="pl-PL"/>
        </w:rPr>
        <w:t>Art. 21</w:t>
      </w:r>
      <w:r w:rsidR="007E0C39">
        <w:rPr>
          <w:rFonts w:ascii="Times New Roman" w:eastAsia="Arial Unicode MS" w:hAnsi="Times New Roman" w:cs="Times New Roman"/>
          <w:color w:val="000000"/>
          <w:sz w:val="24"/>
          <w:szCs w:val="24"/>
          <w:lang w:val="pl" w:eastAsia="pl-PL"/>
        </w:rPr>
        <w:t xml:space="preserve"> pkt 16 i 21</w:t>
      </w:r>
      <w:r w:rsidRPr="00082777">
        <w:rPr>
          <w:rFonts w:ascii="Times New Roman" w:eastAsia="Arial Unicode MS" w:hAnsi="Times New Roman" w:cs="Times New Roman"/>
          <w:color w:val="000000"/>
          <w:sz w:val="24"/>
          <w:szCs w:val="24"/>
          <w:lang w:val="pl" w:eastAsia="pl-PL"/>
        </w:rPr>
        <w:t xml:space="preserve"> projektu (art. 61b ust. 1 </w:t>
      </w:r>
      <w:r w:rsidR="003C4098">
        <w:rPr>
          <w:rFonts w:ascii="Times New Roman" w:eastAsia="Arial Unicode MS" w:hAnsi="Times New Roman" w:cs="Times New Roman"/>
          <w:color w:val="000000"/>
          <w:sz w:val="24"/>
          <w:szCs w:val="24"/>
          <w:lang w:val="pl" w:eastAsia="pl-PL"/>
        </w:rPr>
        <w:t xml:space="preserve">i </w:t>
      </w:r>
      <w:r w:rsidRPr="00082777">
        <w:rPr>
          <w:rFonts w:ascii="Times New Roman" w:eastAsia="Arial Unicode MS" w:hAnsi="Times New Roman" w:cs="Times New Roman"/>
          <w:color w:val="000000"/>
          <w:sz w:val="24"/>
          <w:szCs w:val="24"/>
          <w:lang w:val="pl" w:eastAsia="pl-PL"/>
        </w:rPr>
        <w:t>art. 78 ust. 11 ustawy)</w:t>
      </w:r>
    </w:p>
    <w:p w14:paraId="61F3B838" w14:textId="77777777" w:rsidR="005473CF" w:rsidRPr="00082777" w:rsidRDefault="005473CF" w:rsidP="000B4DBD">
      <w:pPr>
        <w:spacing w:after="120" w:line="360" w:lineRule="auto"/>
        <w:jc w:val="both"/>
        <w:rPr>
          <w:rFonts w:ascii="Times New Roman" w:eastAsia="Arial Unicode MS" w:hAnsi="Times New Roman" w:cs="Times New Roman"/>
          <w:color w:val="000000"/>
          <w:sz w:val="24"/>
          <w:szCs w:val="24"/>
          <w:lang w:val="pl" w:eastAsia="pl-PL"/>
        </w:rPr>
      </w:pPr>
      <w:r w:rsidRPr="00082777">
        <w:rPr>
          <w:rFonts w:ascii="Times New Roman" w:eastAsia="Arial Unicode MS" w:hAnsi="Times New Roman" w:cs="Times New Roman"/>
          <w:color w:val="000000"/>
          <w:sz w:val="24"/>
          <w:szCs w:val="24"/>
          <w:lang w:val="pl" w:eastAsia="pl-PL"/>
        </w:rPr>
        <w:t xml:space="preserve">Proponuje się wprowadzenie wymogu posiadania zabezpieczenia roszczeń użytkownika również dla KIP, analogicznie jak dla dostawców świadczących wyłącznie usługę dostępu do informacji o rachunku (AISP). Brak takiego wymogu w stosunku do KIP świadczących usługi AIS jest nieuzasadniony, zwłaszcza że skala działalności KIP uprawnionego do świadczenia usługi AIS może być dużo większa niż AISP, a tym samym większe może być ryzyko nieuprawnionego użycia danych użytkowników. </w:t>
      </w:r>
    </w:p>
    <w:p w14:paraId="5DEF2C36" w14:textId="7C1659F7" w:rsidR="005473CF" w:rsidRPr="00082777" w:rsidRDefault="005473CF" w:rsidP="003C4098">
      <w:pPr>
        <w:spacing w:after="0" w:line="360" w:lineRule="auto"/>
        <w:jc w:val="both"/>
        <w:rPr>
          <w:rFonts w:ascii="Times New Roman" w:eastAsia="Arial Unicode MS" w:hAnsi="Times New Roman" w:cs="Times New Roman"/>
          <w:color w:val="000000"/>
          <w:sz w:val="24"/>
          <w:szCs w:val="24"/>
          <w:lang w:val="pl" w:eastAsia="pl-PL"/>
        </w:rPr>
      </w:pPr>
      <w:r w:rsidRPr="00082777">
        <w:rPr>
          <w:rFonts w:ascii="Times New Roman" w:eastAsia="Arial Unicode MS" w:hAnsi="Times New Roman" w:cs="Times New Roman"/>
          <w:color w:val="000000"/>
          <w:sz w:val="24"/>
          <w:szCs w:val="24"/>
          <w:lang w:val="pl" w:eastAsia="pl-PL"/>
        </w:rPr>
        <w:t>1</w:t>
      </w:r>
      <w:r w:rsidR="007E0C39">
        <w:rPr>
          <w:rFonts w:ascii="Times New Roman" w:eastAsia="Arial Unicode MS" w:hAnsi="Times New Roman" w:cs="Times New Roman"/>
          <w:color w:val="000000"/>
          <w:sz w:val="24"/>
          <w:szCs w:val="24"/>
          <w:lang w:val="pl" w:eastAsia="pl-PL"/>
        </w:rPr>
        <w:t>8</w:t>
      </w:r>
      <w:r w:rsidR="00D5306A">
        <w:rPr>
          <w:rFonts w:ascii="Times New Roman" w:eastAsia="Arial Unicode MS" w:hAnsi="Times New Roman" w:cs="Times New Roman"/>
          <w:color w:val="000000"/>
          <w:sz w:val="24"/>
          <w:szCs w:val="24"/>
          <w:lang w:val="pl" w:eastAsia="pl-PL"/>
        </w:rPr>
        <w:t>)</w:t>
      </w:r>
      <w:r w:rsidR="00D5306A">
        <w:rPr>
          <w:rFonts w:ascii="Times New Roman" w:eastAsia="Arial Unicode MS" w:hAnsi="Times New Roman" w:cs="Times New Roman"/>
          <w:color w:val="000000"/>
          <w:sz w:val="24"/>
          <w:szCs w:val="24"/>
          <w:lang w:val="pl" w:eastAsia="pl-PL"/>
        </w:rPr>
        <w:tab/>
      </w:r>
      <w:r w:rsidR="001867C0">
        <w:rPr>
          <w:rFonts w:ascii="Times New Roman" w:eastAsia="Arial Unicode MS" w:hAnsi="Times New Roman" w:cs="Times New Roman"/>
          <w:color w:val="000000"/>
          <w:sz w:val="24"/>
          <w:szCs w:val="24"/>
          <w:lang w:val="pl" w:eastAsia="pl-PL"/>
        </w:rPr>
        <w:t>Art. 21</w:t>
      </w:r>
      <w:r w:rsidR="007E0C39">
        <w:rPr>
          <w:rFonts w:ascii="Times New Roman" w:eastAsia="Arial Unicode MS" w:hAnsi="Times New Roman" w:cs="Times New Roman"/>
          <w:color w:val="000000"/>
          <w:sz w:val="24"/>
          <w:szCs w:val="24"/>
          <w:lang w:val="pl" w:eastAsia="pl-PL"/>
        </w:rPr>
        <w:t xml:space="preserve"> pkt 17</w:t>
      </w:r>
      <w:r w:rsidR="001E3F15" w:rsidRPr="00082777">
        <w:rPr>
          <w:rFonts w:ascii="Times New Roman" w:eastAsia="Arial Unicode MS" w:hAnsi="Times New Roman" w:cs="Times New Roman"/>
          <w:color w:val="000000"/>
          <w:sz w:val="24"/>
          <w:szCs w:val="24"/>
          <w:lang w:val="pl" w:eastAsia="pl-PL"/>
        </w:rPr>
        <w:t xml:space="preserve"> projektu (art. 64a </w:t>
      </w:r>
      <w:r w:rsidRPr="00082777">
        <w:rPr>
          <w:rFonts w:ascii="Times New Roman" w:eastAsia="Arial Unicode MS" w:hAnsi="Times New Roman" w:cs="Times New Roman"/>
          <w:color w:val="000000"/>
          <w:sz w:val="24"/>
          <w:szCs w:val="24"/>
          <w:lang w:val="pl" w:eastAsia="pl-PL"/>
        </w:rPr>
        <w:t>ustawy)</w:t>
      </w:r>
    </w:p>
    <w:p w14:paraId="252A0F23" w14:textId="4F016CF5" w:rsidR="00F31808" w:rsidRPr="00082777" w:rsidRDefault="00F31808" w:rsidP="003C4098">
      <w:pPr>
        <w:spacing w:after="0" w:line="360" w:lineRule="auto"/>
        <w:jc w:val="both"/>
        <w:rPr>
          <w:rFonts w:ascii="Times New Roman" w:eastAsia="Arial Unicode MS" w:hAnsi="Times New Roman" w:cs="Times New Roman"/>
          <w:color w:val="000000"/>
          <w:sz w:val="24"/>
          <w:szCs w:val="24"/>
          <w:lang w:val="pl" w:eastAsia="pl-PL"/>
        </w:rPr>
      </w:pPr>
      <w:r w:rsidRPr="00082777">
        <w:rPr>
          <w:rFonts w:ascii="Times New Roman" w:eastAsia="Arial Unicode MS" w:hAnsi="Times New Roman" w:cs="Times New Roman"/>
          <w:color w:val="000000"/>
          <w:sz w:val="24"/>
          <w:szCs w:val="24"/>
          <w:lang w:val="pl" w:eastAsia="pl-PL"/>
        </w:rPr>
        <w:t>Celem projektowanego przepisu w art. 64a ust. 3b jest zapewnienie uwzględnienia przez instytucje płatnicze podczas stosowania środków kontroli bezpieczeństwa i ograniczania ryzyka, o których mowa w ust. 3a, wytycznych wydanych w tym zakresie przez Europejski Urząd Nadzoru Bankowego (EUNB).</w:t>
      </w:r>
    </w:p>
    <w:p w14:paraId="5993748D" w14:textId="77777777" w:rsidR="00F31808" w:rsidRPr="00082777" w:rsidRDefault="00F31808" w:rsidP="003C4098">
      <w:pPr>
        <w:spacing w:after="0" w:line="360" w:lineRule="auto"/>
        <w:jc w:val="both"/>
        <w:rPr>
          <w:rFonts w:ascii="Times New Roman" w:eastAsia="Arial Unicode MS" w:hAnsi="Times New Roman" w:cs="Times New Roman"/>
          <w:color w:val="000000"/>
          <w:sz w:val="24"/>
          <w:szCs w:val="24"/>
          <w:lang w:val="pl" w:eastAsia="pl-PL"/>
        </w:rPr>
      </w:pPr>
      <w:r w:rsidRPr="00082777">
        <w:rPr>
          <w:rFonts w:ascii="Times New Roman" w:eastAsia="Arial Unicode MS" w:hAnsi="Times New Roman" w:cs="Times New Roman"/>
          <w:color w:val="000000"/>
          <w:sz w:val="24"/>
          <w:szCs w:val="24"/>
          <w:lang w:val="pl" w:eastAsia="pl-PL"/>
        </w:rPr>
        <w:t xml:space="preserve">Wytyczne EUNB są opracowywane zgodnie z art. 29 ust. 6 dyrektywy PSD2, który stanowi, że opracowuje projekty regulacyjnych standardów technicznych określających ramy współpracy i wymiany informacji między właściwymi organami państwa członkowskiego pochodzenia a właściwymi organami przyjmującego państwa członkowskiego. </w:t>
      </w:r>
    </w:p>
    <w:p w14:paraId="08EB1FF7" w14:textId="504C7B7D" w:rsidR="00F31808" w:rsidRPr="00F31808" w:rsidRDefault="00F31808" w:rsidP="003C4098">
      <w:pPr>
        <w:spacing w:after="0" w:line="360" w:lineRule="auto"/>
        <w:jc w:val="both"/>
        <w:rPr>
          <w:rFonts w:ascii="Times New Roman" w:eastAsia="Calibri" w:hAnsi="Times New Roman" w:cs="Times New Roman"/>
          <w:color w:val="000000"/>
          <w:sz w:val="24"/>
          <w:szCs w:val="24"/>
          <w:lang w:eastAsia="pl-PL"/>
        </w:rPr>
      </w:pPr>
      <w:r w:rsidRPr="00082777">
        <w:rPr>
          <w:rFonts w:ascii="Times New Roman" w:eastAsia="Arial Unicode MS" w:hAnsi="Times New Roman" w:cs="Times New Roman"/>
          <w:color w:val="000000"/>
          <w:sz w:val="24"/>
          <w:szCs w:val="24"/>
          <w:lang w:val="pl" w:eastAsia="pl-PL"/>
        </w:rPr>
        <w:t>EUNB określa zatem metodę, środki i szczegóły współpracy w dziedzinie nadzoru nad instytucjami płatniczymi prowadzącymi działalność transgraniczną, w szczególności zakres i sposób postępowania z informacjami będącymi przedmiotem wymiany między organami państw członkowskich. Określa także szczególne zasady i częstotliwość sporządzania</w:t>
      </w:r>
      <w:r w:rsidRPr="00F31808">
        <w:rPr>
          <w:rFonts w:ascii="Times New Roman" w:eastAsia="Calibri" w:hAnsi="Times New Roman" w:cs="Times New Roman"/>
          <w:color w:val="000000"/>
          <w:sz w:val="24"/>
          <w:szCs w:val="24"/>
          <w:lang w:eastAsia="pl-PL"/>
        </w:rPr>
        <w:t xml:space="preserve"> i składania sprawozdań przez</w:t>
      </w:r>
      <w:r w:rsidR="007C389F">
        <w:rPr>
          <w:rFonts w:ascii="Times New Roman" w:eastAsia="Calibri" w:hAnsi="Times New Roman" w:cs="Times New Roman"/>
          <w:color w:val="000000"/>
          <w:sz w:val="24"/>
          <w:szCs w:val="24"/>
          <w:lang w:eastAsia="pl-PL"/>
        </w:rPr>
        <w:t xml:space="preserve"> </w:t>
      </w:r>
      <w:r w:rsidRPr="00F31808">
        <w:rPr>
          <w:rFonts w:ascii="Times New Roman" w:eastAsia="Calibri" w:hAnsi="Times New Roman" w:cs="Times New Roman"/>
          <w:color w:val="000000"/>
          <w:sz w:val="24"/>
          <w:szCs w:val="24"/>
          <w:lang w:eastAsia="pl-PL"/>
        </w:rPr>
        <w:t xml:space="preserve">instytucje płatnicze organom przyjmującego państwa członkowskiego w zakresie usług płatniczych świadczonych na ich terytoriach. </w:t>
      </w:r>
    </w:p>
    <w:p w14:paraId="3F35F8EF" w14:textId="77777777" w:rsidR="00F31808" w:rsidRPr="00F31808" w:rsidRDefault="00F31808" w:rsidP="003C4098">
      <w:pPr>
        <w:spacing w:after="0" w:line="360" w:lineRule="auto"/>
        <w:jc w:val="both"/>
        <w:rPr>
          <w:rFonts w:ascii="Times New Roman" w:eastAsia="Calibri" w:hAnsi="Times New Roman" w:cs="Times New Roman"/>
          <w:color w:val="000000"/>
          <w:sz w:val="24"/>
          <w:szCs w:val="24"/>
          <w:lang w:eastAsia="pl-PL"/>
        </w:rPr>
      </w:pPr>
      <w:r w:rsidRPr="00F31808">
        <w:rPr>
          <w:rFonts w:ascii="Times New Roman" w:eastAsia="Calibri" w:hAnsi="Times New Roman" w:cs="Times New Roman"/>
          <w:color w:val="000000"/>
          <w:sz w:val="24"/>
          <w:szCs w:val="24"/>
          <w:lang w:eastAsia="pl-PL"/>
        </w:rPr>
        <w:t xml:space="preserve">Ponadto EUNB opracowuje wytyczne w zakresie środków bezpieczeństwa i ograniczania ryzyka w obszarze usług płatniczych. </w:t>
      </w:r>
    </w:p>
    <w:p w14:paraId="3538E377" w14:textId="0331F7EC" w:rsidR="00F31808" w:rsidRPr="00F31808" w:rsidRDefault="00F31808" w:rsidP="003C4098">
      <w:pPr>
        <w:spacing w:after="120" w:line="360" w:lineRule="auto"/>
        <w:jc w:val="both"/>
        <w:rPr>
          <w:rFonts w:ascii="Times New Roman" w:eastAsia="Calibri" w:hAnsi="Times New Roman" w:cs="Times New Roman"/>
          <w:color w:val="000000"/>
          <w:sz w:val="24"/>
          <w:szCs w:val="24"/>
          <w:lang w:eastAsia="pl-PL"/>
        </w:rPr>
      </w:pPr>
      <w:r w:rsidRPr="00F31808">
        <w:rPr>
          <w:rFonts w:ascii="Times New Roman" w:eastAsia="Calibri" w:hAnsi="Times New Roman" w:cs="Times New Roman"/>
          <w:color w:val="000000"/>
          <w:sz w:val="24"/>
          <w:szCs w:val="24"/>
          <w:lang w:eastAsia="pl-PL"/>
        </w:rPr>
        <w:t xml:space="preserve">Wiążący charakter wytycznych EUNB we wskazanych wyżej obszarach wynika z art. 16 ust. 3 rozporządzenia Parlamentu Europejskiego i Rady (UE) 1093/2010 z dnia 24 listopada 2010 r. </w:t>
      </w:r>
      <w:r w:rsidRPr="00082777">
        <w:rPr>
          <w:rFonts w:ascii="Times New Roman" w:eastAsia="Calibri" w:hAnsi="Times New Roman" w:cs="Times New Roman"/>
          <w:color w:val="000000"/>
          <w:sz w:val="24"/>
          <w:szCs w:val="24"/>
          <w:lang w:eastAsia="pl-PL"/>
        </w:rPr>
        <w:t>w sprawie ustanowienia Europejskiego Urzędu Nadzoru (Europejskiego Urzędu Nadzoru Bankowego), zmiany decyzji nr 716/2009/WE oraz uchylenia decyzji Komisji 2009/78/WE</w:t>
      </w:r>
      <w:r w:rsidRPr="00F31808">
        <w:rPr>
          <w:rFonts w:ascii="Times New Roman" w:eastAsia="Calibri" w:hAnsi="Times New Roman" w:cs="Times New Roman"/>
          <w:color w:val="000000"/>
          <w:sz w:val="24"/>
          <w:szCs w:val="24"/>
          <w:lang w:eastAsia="pl-PL"/>
        </w:rPr>
        <w:t xml:space="preserve"> (Dz. Urz. UE L 331 z 15.12.2010, str. 12, z późn. zm.), zgodnie z którym właściwe organy oraz instytucje finansowe dokładają wszelkich starań, aby zastosować się do wytycznych i zaleceń wydanych EUNB, a dodatkowo są zobowiązane do przekazywania EUNB informacji o dostosowaniu praktyki nadzorczej do tych wytycznych lub zaleceń. </w:t>
      </w:r>
    </w:p>
    <w:p w14:paraId="28E617A8" w14:textId="1110C839" w:rsidR="005473CF" w:rsidRPr="00082777" w:rsidRDefault="005473CF" w:rsidP="003C4098">
      <w:pPr>
        <w:spacing w:after="0" w:line="360" w:lineRule="auto"/>
        <w:jc w:val="both"/>
        <w:rPr>
          <w:rFonts w:ascii="Times New Roman" w:eastAsia="Calibri" w:hAnsi="Times New Roman" w:cs="Times New Roman"/>
          <w:color w:val="000000"/>
          <w:sz w:val="24"/>
          <w:szCs w:val="24"/>
          <w:lang w:eastAsia="pl-PL"/>
        </w:rPr>
      </w:pPr>
      <w:r w:rsidRPr="00082777">
        <w:rPr>
          <w:rFonts w:ascii="Times New Roman" w:eastAsia="Calibri" w:hAnsi="Times New Roman" w:cs="Times New Roman"/>
          <w:color w:val="000000"/>
          <w:sz w:val="24"/>
          <w:szCs w:val="24"/>
          <w:lang w:eastAsia="pl-PL"/>
        </w:rPr>
        <w:t>1</w:t>
      </w:r>
      <w:r w:rsidR="007E0C39">
        <w:rPr>
          <w:rFonts w:ascii="Times New Roman" w:eastAsia="Calibri" w:hAnsi="Times New Roman" w:cs="Times New Roman"/>
          <w:color w:val="000000"/>
          <w:sz w:val="24"/>
          <w:szCs w:val="24"/>
          <w:lang w:eastAsia="pl-PL"/>
        </w:rPr>
        <w:t>9</w:t>
      </w:r>
      <w:r w:rsidR="00D5306A">
        <w:rPr>
          <w:rFonts w:ascii="Times New Roman" w:eastAsia="Calibri" w:hAnsi="Times New Roman" w:cs="Times New Roman"/>
          <w:color w:val="000000"/>
          <w:sz w:val="24"/>
          <w:szCs w:val="24"/>
          <w:lang w:eastAsia="pl-PL"/>
        </w:rPr>
        <w:t>)</w:t>
      </w:r>
      <w:r w:rsidR="00D5306A">
        <w:rPr>
          <w:rFonts w:ascii="Times New Roman" w:eastAsia="Calibri" w:hAnsi="Times New Roman" w:cs="Times New Roman"/>
          <w:color w:val="000000"/>
          <w:sz w:val="24"/>
          <w:szCs w:val="24"/>
          <w:lang w:eastAsia="pl-PL"/>
        </w:rPr>
        <w:tab/>
      </w:r>
      <w:r w:rsidR="001867C0">
        <w:rPr>
          <w:rFonts w:ascii="Times New Roman" w:eastAsia="Calibri" w:hAnsi="Times New Roman" w:cs="Times New Roman"/>
          <w:color w:val="000000"/>
          <w:sz w:val="24"/>
          <w:szCs w:val="24"/>
          <w:lang w:eastAsia="pl-PL"/>
        </w:rPr>
        <w:t>Art. 21</w:t>
      </w:r>
      <w:r w:rsidR="007E0C39">
        <w:rPr>
          <w:rFonts w:ascii="Times New Roman" w:eastAsia="Calibri" w:hAnsi="Times New Roman" w:cs="Times New Roman"/>
          <w:color w:val="000000"/>
          <w:sz w:val="24"/>
          <w:szCs w:val="24"/>
          <w:lang w:eastAsia="pl-PL"/>
        </w:rPr>
        <w:t xml:space="preserve"> pkt 18</w:t>
      </w:r>
      <w:r w:rsidRPr="00082777">
        <w:rPr>
          <w:rFonts w:ascii="Times New Roman" w:eastAsia="Calibri" w:hAnsi="Times New Roman" w:cs="Times New Roman"/>
          <w:color w:val="000000"/>
          <w:sz w:val="24"/>
          <w:szCs w:val="24"/>
          <w:lang w:eastAsia="pl-PL"/>
        </w:rPr>
        <w:t xml:space="preserve"> projektu (art. 66 ust. 1 i 3 ustawy)</w:t>
      </w:r>
    </w:p>
    <w:p w14:paraId="1E2648B2" w14:textId="6AEA4E57" w:rsidR="005473CF" w:rsidRPr="00082777" w:rsidRDefault="005473CF" w:rsidP="003C4098">
      <w:pPr>
        <w:spacing w:after="0" w:line="360" w:lineRule="auto"/>
        <w:jc w:val="both"/>
        <w:rPr>
          <w:rFonts w:ascii="Times New Roman" w:eastAsia="Calibri" w:hAnsi="Times New Roman" w:cs="Times New Roman"/>
          <w:color w:val="000000"/>
          <w:sz w:val="24"/>
          <w:szCs w:val="24"/>
          <w:lang w:eastAsia="pl-PL"/>
        </w:rPr>
      </w:pPr>
      <w:r w:rsidRPr="00082777">
        <w:rPr>
          <w:rFonts w:ascii="Times New Roman" w:eastAsia="Calibri" w:hAnsi="Times New Roman" w:cs="Times New Roman"/>
          <w:color w:val="000000"/>
          <w:sz w:val="24"/>
          <w:szCs w:val="24"/>
          <w:lang w:eastAsia="pl-PL"/>
        </w:rPr>
        <w:t>Proponuje się uproszczenie procedury zmiany zezwolenia na świadczenie usług płatniczych w charakterze KIP przez rezygnację z odpowiedniego stosowania szeregu wymagań określonych w art. 61, art. 61a, art. 63, art. 64 ust. 2, art. 64a i art. 65 istniejących na etapie wniosku o wydanie zezwolenia na świadczenie usług płatniczych w charakterze krajowej instytucji płatniczej. Pozwoli to na uproszczenie i przyspieszenie postępowania w zakresie zmiany (rozszerzenia) tego zezwolenia.</w:t>
      </w:r>
      <w:r w:rsidR="007C389F">
        <w:rPr>
          <w:rFonts w:ascii="Times New Roman" w:eastAsia="Calibri" w:hAnsi="Times New Roman" w:cs="Times New Roman"/>
          <w:color w:val="000000"/>
          <w:sz w:val="24"/>
          <w:szCs w:val="24"/>
          <w:lang w:eastAsia="pl-PL"/>
        </w:rPr>
        <w:t xml:space="preserve"> </w:t>
      </w:r>
    </w:p>
    <w:p w14:paraId="3DBFA523" w14:textId="27B3B647" w:rsidR="005473CF" w:rsidRPr="00082777" w:rsidRDefault="005473CF" w:rsidP="00082777">
      <w:pPr>
        <w:spacing w:before="120" w:after="120" w:line="360" w:lineRule="auto"/>
        <w:jc w:val="both"/>
        <w:rPr>
          <w:rFonts w:ascii="Times New Roman" w:eastAsia="Calibri" w:hAnsi="Times New Roman" w:cs="Times New Roman"/>
          <w:color w:val="000000"/>
          <w:sz w:val="24"/>
          <w:szCs w:val="24"/>
          <w:lang w:eastAsia="pl-PL"/>
        </w:rPr>
      </w:pPr>
      <w:r w:rsidRPr="00082777">
        <w:rPr>
          <w:rFonts w:ascii="Times New Roman" w:eastAsia="Calibri" w:hAnsi="Times New Roman" w:cs="Times New Roman"/>
          <w:color w:val="000000"/>
          <w:sz w:val="24"/>
          <w:szCs w:val="24"/>
          <w:lang w:eastAsia="pl-PL"/>
        </w:rPr>
        <w:t>W obecnym stanie prawnym rozszerzenie zakresu usług płatniczych świadczonych przez KIP wymaga ponownego przeprowadzenia postępowania obejmującego m.in. badanie kwestii, które zostały już uprzednio zweryfikowane, a ponadto są przedmiotem bieżącego nadzoru KNF. Po wprowadzeniu tego przepisu</w:t>
      </w:r>
      <w:r w:rsidR="007C389F">
        <w:rPr>
          <w:rFonts w:ascii="Times New Roman" w:eastAsia="Calibri" w:hAnsi="Times New Roman" w:cs="Times New Roman"/>
          <w:color w:val="000000"/>
          <w:sz w:val="24"/>
          <w:szCs w:val="24"/>
          <w:lang w:eastAsia="pl-PL"/>
        </w:rPr>
        <w:t xml:space="preserve"> </w:t>
      </w:r>
      <w:r w:rsidRPr="00082777">
        <w:rPr>
          <w:rFonts w:ascii="Times New Roman" w:eastAsia="Calibri" w:hAnsi="Times New Roman" w:cs="Times New Roman"/>
          <w:color w:val="000000"/>
          <w:sz w:val="24"/>
          <w:szCs w:val="24"/>
          <w:lang w:eastAsia="pl-PL"/>
        </w:rPr>
        <w:t>KNF dokona zmiany zezwolenia, jeżeli po jej dokonaniu podmiot wnioskujący nadal będzie spełniał wymogi określone w art. 64 ust. 1. Chodzi o wymogi w zakresie posiadania kapitału założycielskiego oraz funduszy własnych</w:t>
      </w:r>
      <w:r w:rsidR="007C389F">
        <w:rPr>
          <w:rFonts w:ascii="Times New Roman" w:eastAsia="Calibri" w:hAnsi="Times New Roman" w:cs="Times New Roman"/>
          <w:color w:val="000000"/>
          <w:sz w:val="24"/>
          <w:szCs w:val="24"/>
          <w:lang w:eastAsia="pl-PL"/>
        </w:rPr>
        <w:t xml:space="preserve"> </w:t>
      </w:r>
      <w:r w:rsidRPr="00082777">
        <w:rPr>
          <w:rFonts w:ascii="Times New Roman" w:eastAsia="Calibri" w:hAnsi="Times New Roman" w:cs="Times New Roman"/>
          <w:color w:val="000000"/>
          <w:sz w:val="24"/>
          <w:szCs w:val="24"/>
          <w:lang w:eastAsia="pl-PL"/>
        </w:rPr>
        <w:t>w wymaganej wysokości oraz zapewniania ostrożnego i stabilnego zarządzania działalnością objętą wnioskiem o wydanie zezwolenia, w szczególności przez posiadanie systemu zarządzania ryzykiem i kontroli wewnętrznej odpowiedniego do rodzaju, skali i stopnia złożoności świadczonych usług płatniczych.</w:t>
      </w:r>
    </w:p>
    <w:p w14:paraId="7C2F0CB3" w14:textId="5292017C" w:rsidR="005473CF" w:rsidRPr="00594FCA" w:rsidRDefault="007E0C39" w:rsidP="003C4098">
      <w:pPr>
        <w:spacing w:after="0" w:line="360" w:lineRule="auto"/>
        <w:jc w:val="both"/>
        <w:rPr>
          <w:rFonts w:ascii="Times New Roman" w:eastAsia="Calibri" w:hAnsi="Times New Roman" w:cs="Times New Roman"/>
          <w:color w:val="000000"/>
          <w:sz w:val="24"/>
          <w:szCs w:val="24"/>
          <w:lang w:eastAsia="pl-PL"/>
        </w:rPr>
      </w:pPr>
      <w:r>
        <w:rPr>
          <w:rFonts w:ascii="Times New Roman" w:eastAsia="Arial Unicode MS" w:hAnsi="Times New Roman" w:cs="Times New Roman"/>
          <w:color w:val="000000"/>
          <w:sz w:val="24"/>
          <w:szCs w:val="24"/>
          <w:lang w:eastAsia="pl-PL"/>
        </w:rPr>
        <w:t>20</w:t>
      </w:r>
      <w:r w:rsidR="00D5306A">
        <w:rPr>
          <w:rFonts w:ascii="Times New Roman" w:eastAsia="Arial Unicode MS" w:hAnsi="Times New Roman" w:cs="Times New Roman"/>
          <w:color w:val="000000"/>
          <w:sz w:val="24"/>
          <w:szCs w:val="24"/>
          <w:lang w:eastAsia="pl-PL"/>
        </w:rPr>
        <w:t>)</w:t>
      </w:r>
      <w:r w:rsidR="00D5306A">
        <w:rPr>
          <w:rFonts w:ascii="Times New Roman" w:eastAsia="Arial Unicode MS" w:hAnsi="Times New Roman" w:cs="Times New Roman"/>
          <w:color w:val="000000"/>
          <w:sz w:val="24"/>
          <w:szCs w:val="24"/>
          <w:lang w:eastAsia="pl-PL"/>
        </w:rPr>
        <w:tab/>
      </w:r>
      <w:r w:rsidR="001867C0">
        <w:rPr>
          <w:rFonts w:ascii="Times New Roman" w:eastAsia="Calibri" w:hAnsi="Times New Roman" w:cs="Times New Roman"/>
          <w:color w:val="000000"/>
          <w:sz w:val="24"/>
          <w:szCs w:val="24"/>
          <w:lang w:eastAsia="pl-PL"/>
        </w:rPr>
        <w:t>Art. 21</w:t>
      </w:r>
      <w:r>
        <w:rPr>
          <w:rFonts w:ascii="Times New Roman" w:eastAsia="Calibri" w:hAnsi="Times New Roman" w:cs="Times New Roman"/>
          <w:color w:val="000000"/>
          <w:sz w:val="24"/>
          <w:szCs w:val="24"/>
          <w:lang w:eastAsia="pl-PL"/>
        </w:rPr>
        <w:t xml:space="preserve"> pkt 19</w:t>
      </w:r>
      <w:r w:rsidR="005473CF" w:rsidRPr="00594FCA">
        <w:rPr>
          <w:rFonts w:ascii="Times New Roman" w:eastAsia="Calibri" w:hAnsi="Times New Roman" w:cs="Times New Roman"/>
          <w:color w:val="000000"/>
          <w:sz w:val="24"/>
          <w:szCs w:val="24"/>
          <w:lang w:eastAsia="pl-PL"/>
        </w:rPr>
        <w:t xml:space="preserve"> projektu (art. 67 ust. 1 pkt 2 ustawy)</w:t>
      </w:r>
    </w:p>
    <w:p w14:paraId="340718D4" w14:textId="77777777" w:rsidR="005473CF" w:rsidRPr="00594FCA" w:rsidRDefault="005473CF" w:rsidP="003C4098">
      <w:pPr>
        <w:spacing w:after="120" w:line="360" w:lineRule="auto"/>
        <w:jc w:val="both"/>
        <w:rPr>
          <w:rFonts w:ascii="Times New Roman" w:eastAsia="Calibri" w:hAnsi="Times New Roman" w:cs="Times New Roman"/>
          <w:color w:val="000000"/>
          <w:sz w:val="24"/>
          <w:szCs w:val="24"/>
          <w:lang w:eastAsia="pl-PL"/>
        </w:rPr>
      </w:pPr>
      <w:r w:rsidRPr="00594FCA">
        <w:rPr>
          <w:rFonts w:ascii="Times New Roman" w:eastAsia="Calibri" w:hAnsi="Times New Roman" w:cs="Times New Roman"/>
          <w:color w:val="000000"/>
          <w:sz w:val="24"/>
          <w:szCs w:val="24"/>
          <w:lang w:eastAsia="pl-PL"/>
        </w:rPr>
        <w:t>Proponuje się uzupełnić przesłanki wydania przez KNF decyzji stwierdzającej wygaśnięcie zezwolenia w przypadku utraty przez KIP bytu prawnego. Oznacza to, że zezwolenie na prowadzenie działalności w charakterze krajowej instytucji płatniczej będzie wygasać nie tylko w przypadku gdy KIP nie rozpoczęła działalności w zakresie usług płatniczych albo nie prowadzi działalności w zakresie usług płatniczych w okresie dłuższym niż 6 kolejnych miesięcy od dnia wydania zezwolenia, ale również w przypadku gdy krajowa instytucja płatnicza w wyniku likwidacji, połączenia albo innego zdarzenia została wykreślona z rejestru przedsiębiorców.</w:t>
      </w:r>
    </w:p>
    <w:p w14:paraId="0F5042C7" w14:textId="1DAB4251" w:rsidR="005473CF" w:rsidRPr="00594FCA" w:rsidRDefault="007E0C39" w:rsidP="003C4098">
      <w:pPr>
        <w:spacing w:after="0" w:line="360" w:lineRule="auto"/>
        <w:jc w:val="both"/>
        <w:rPr>
          <w:rFonts w:ascii="Times New Roman" w:eastAsia="Calibri" w:hAnsi="Times New Roman" w:cs="Times New Roman"/>
          <w:color w:val="000000"/>
          <w:sz w:val="24"/>
          <w:szCs w:val="24"/>
          <w:lang w:eastAsia="pl-PL"/>
        </w:rPr>
      </w:pPr>
      <w:r>
        <w:rPr>
          <w:rFonts w:ascii="Times New Roman" w:eastAsia="Calibri" w:hAnsi="Times New Roman" w:cs="Times New Roman"/>
          <w:color w:val="000000"/>
          <w:sz w:val="24"/>
          <w:szCs w:val="24"/>
          <w:lang w:eastAsia="pl-PL"/>
        </w:rPr>
        <w:t>21</w:t>
      </w:r>
      <w:r w:rsidR="00D5306A">
        <w:rPr>
          <w:rFonts w:ascii="Times New Roman" w:eastAsia="Calibri" w:hAnsi="Times New Roman" w:cs="Times New Roman"/>
          <w:color w:val="000000"/>
          <w:sz w:val="24"/>
          <w:szCs w:val="24"/>
          <w:lang w:eastAsia="pl-PL"/>
        </w:rPr>
        <w:t>)</w:t>
      </w:r>
      <w:r w:rsidR="00D5306A">
        <w:rPr>
          <w:rFonts w:ascii="Times New Roman" w:eastAsia="Calibri" w:hAnsi="Times New Roman" w:cs="Times New Roman"/>
          <w:color w:val="000000"/>
          <w:sz w:val="24"/>
          <w:szCs w:val="24"/>
          <w:lang w:eastAsia="pl-PL"/>
        </w:rPr>
        <w:tab/>
      </w:r>
      <w:r w:rsidR="00F31808" w:rsidRPr="00594FCA">
        <w:rPr>
          <w:rFonts w:ascii="Times New Roman" w:eastAsia="Calibri" w:hAnsi="Times New Roman" w:cs="Times New Roman"/>
          <w:color w:val="000000"/>
          <w:sz w:val="24"/>
          <w:szCs w:val="24"/>
          <w:lang w:eastAsia="pl-PL"/>
        </w:rPr>
        <w:t>Art. 2</w:t>
      </w:r>
      <w:r w:rsidR="001867C0">
        <w:rPr>
          <w:rFonts w:ascii="Times New Roman" w:eastAsia="Calibri" w:hAnsi="Times New Roman" w:cs="Times New Roman"/>
          <w:color w:val="000000"/>
          <w:sz w:val="24"/>
          <w:szCs w:val="24"/>
          <w:lang w:eastAsia="pl-PL"/>
        </w:rPr>
        <w:t>1</w:t>
      </w:r>
      <w:r>
        <w:rPr>
          <w:rFonts w:ascii="Times New Roman" w:eastAsia="Calibri" w:hAnsi="Times New Roman" w:cs="Times New Roman"/>
          <w:color w:val="000000"/>
          <w:sz w:val="24"/>
          <w:szCs w:val="24"/>
          <w:lang w:eastAsia="pl-PL"/>
        </w:rPr>
        <w:t xml:space="preserve"> pkt 20, 32</w:t>
      </w:r>
      <w:r w:rsidR="005473CF" w:rsidRPr="00594FCA">
        <w:rPr>
          <w:rFonts w:ascii="Times New Roman" w:eastAsia="Calibri" w:hAnsi="Times New Roman" w:cs="Times New Roman"/>
          <w:color w:val="000000"/>
          <w:sz w:val="24"/>
          <w:szCs w:val="24"/>
          <w:lang w:eastAsia="pl-PL"/>
        </w:rPr>
        <w:t xml:space="preserve"> </w:t>
      </w:r>
      <w:r>
        <w:rPr>
          <w:rFonts w:ascii="Times New Roman" w:eastAsia="Calibri" w:hAnsi="Times New Roman" w:cs="Times New Roman"/>
          <w:color w:val="000000"/>
          <w:sz w:val="24"/>
          <w:szCs w:val="24"/>
          <w:lang w:eastAsia="pl-PL"/>
        </w:rPr>
        <w:t>i 53</w:t>
      </w:r>
      <w:r w:rsidR="007C389F">
        <w:rPr>
          <w:rFonts w:ascii="Times New Roman" w:eastAsia="Calibri" w:hAnsi="Times New Roman" w:cs="Times New Roman"/>
          <w:color w:val="000000"/>
          <w:sz w:val="24"/>
          <w:szCs w:val="24"/>
          <w:lang w:eastAsia="pl-PL"/>
        </w:rPr>
        <w:t xml:space="preserve"> </w:t>
      </w:r>
      <w:r w:rsidR="003C4098">
        <w:rPr>
          <w:rFonts w:ascii="Times New Roman" w:eastAsia="Calibri" w:hAnsi="Times New Roman" w:cs="Times New Roman"/>
          <w:color w:val="000000"/>
          <w:sz w:val="24"/>
          <w:szCs w:val="24"/>
          <w:lang w:eastAsia="pl-PL"/>
        </w:rPr>
        <w:t>projektu (art. 73b ust. 2</w:t>
      </w:r>
      <w:r w:rsidR="005473CF" w:rsidRPr="00594FCA">
        <w:rPr>
          <w:rFonts w:ascii="Times New Roman" w:eastAsia="Calibri" w:hAnsi="Times New Roman" w:cs="Times New Roman"/>
          <w:color w:val="000000"/>
          <w:sz w:val="24"/>
          <w:szCs w:val="24"/>
          <w:lang w:eastAsia="pl-PL"/>
        </w:rPr>
        <w:t>, art. 117p ust. 4</w:t>
      </w:r>
      <w:r w:rsidR="003C4098">
        <w:rPr>
          <w:rFonts w:ascii="Times New Roman" w:eastAsia="Calibri" w:hAnsi="Times New Roman" w:cs="Times New Roman"/>
          <w:color w:val="000000"/>
          <w:sz w:val="24"/>
          <w:szCs w:val="24"/>
          <w:lang w:eastAsia="pl-PL"/>
        </w:rPr>
        <w:t xml:space="preserve"> i </w:t>
      </w:r>
      <w:r w:rsidR="005473CF" w:rsidRPr="00594FCA">
        <w:rPr>
          <w:rFonts w:ascii="Times New Roman" w:eastAsia="Calibri" w:hAnsi="Times New Roman" w:cs="Times New Roman"/>
          <w:color w:val="000000"/>
          <w:sz w:val="24"/>
          <w:szCs w:val="24"/>
          <w:lang w:eastAsia="pl-PL"/>
        </w:rPr>
        <w:t>art. 139 ust. 3 ustawy)</w:t>
      </w:r>
    </w:p>
    <w:p w14:paraId="151E83E5" w14:textId="57435F62" w:rsidR="005473CF" w:rsidRPr="005473CF" w:rsidRDefault="005473CF" w:rsidP="003C4098">
      <w:pPr>
        <w:spacing w:after="120" w:line="360" w:lineRule="auto"/>
        <w:jc w:val="both"/>
        <w:rPr>
          <w:rFonts w:ascii="Times New Roman" w:eastAsia="Arial Unicode MS" w:hAnsi="Times New Roman" w:cs="Times New Roman"/>
          <w:color w:val="000000"/>
          <w:sz w:val="24"/>
          <w:szCs w:val="24"/>
          <w:lang w:eastAsia="pl-PL"/>
        </w:rPr>
      </w:pPr>
      <w:r w:rsidRPr="00594FCA">
        <w:rPr>
          <w:rFonts w:ascii="Times New Roman" w:eastAsia="Calibri" w:hAnsi="Times New Roman" w:cs="Times New Roman"/>
          <w:color w:val="000000"/>
          <w:sz w:val="24"/>
          <w:szCs w:val="24"/>
          <w:lang w:eastAsia="pl-PL"/>
        </w:rPr>
        <w:t>W związku z proponowaną zmianą w zakresie art. 116, należy wprowadzić zmiany również</w:t>
      </w:r>
      <w:r w:rsidR="007C389F">
        <w:rPr>
          <w:rFonts w:ascii="Times New Roman" w:eastAsia="Calibri" w:hAnsi="Times New Roman" w:cs="Times New Roman"/>
          <w:color w:val="000000"/>
          <w:sz w:val="24"/>
          <w:szCs w:val="24"/>
          <w:lang w:eastAsia="pl-PL"/>
        </w:rPr>
        <w:t xml:space="preserve"> </w:t>
      </w:r>
      <w:r w:rsidRPr="00594FCA">
        <w:rPr>
          <w:rFonts w:ascii="Times New Roman" w:eastAsia="Calibri" w:hAnsi="Times New Roman" w:cs="Times New Roman"/>
          <w:color w:val="000000"/>
          <w:sz w:val="24"/>
          <w:szCs w:val="24"/>
          <w:lang w:eastAsia="pl-PL"/>
        </w:rPr>
        <w:t>w art. 73b ust. 2, art. 117p ust. 4 oraz art. 139 ust. 3, ponieważ zgodnie z uchyleniem art. 116,</w:t>
      </w:r>
      <w:r w:rsidRPr="005473CF">
        <w:rPr>
          <w:rFonts w:ascii="Times New Roman" w:eastAsia="Arial Unicode MS" w:hAnsi="Times New Roman" w:cs="Times New Roman"/>
          <w:color w:val="000000"/>
          <w:sz w:val="24"/>
          <w:szCs w:val="24"/>
          <w:lang w:eastAsia="pl-PL"/>
        </w:rPr>
        <w:t xml:space="preserve"> zbędne staje się odesłania do tego przepisu w normach sankcyjnych dotyczących nakładania kar odpowiednio na: krajową instytucję płatniczą, małą instytucję płatniczą, biuro usług płatniczych oraz podmioty</w:t>
      </w:r>
      <w:r w:rsidR="003C4098">
        <w:rPr>
          <w:rFonts w:ascii="Times New Roman" w:eastAsia="Arial Unicode MS" w:hAnsi="Times New Roman" w:cs="Times New Roman"/>
          <w:color w:val="000000"/>
          <w:sz w:val="24"/>
          <w:szCs w:val="24"/>
          <w:lang w:eastAsia="pl-PL"/>
        </w:rPr>
        <w:t>,</w:t>
      </w:r>
      <w:r w:rsidRPr="005473CF">
        <w:rPr>
          <w:rFonts w:ascii="Times New Roman" w:eastAsia="Arial Unicode MS" w:hAnsi="Times New Roman" w:cs="Times New Roman"/>
          <w:color w:val="000000"/>
          <w:sz w:val="24"/>
          <w:szCs w:val="24"/>
          <w:lang w:eastAsia="pl-PL"/>
        </w:rPr>
        <w:t xml:space="preserve"> o których mowa w ust. 1 art. 139. </w:t>
      </w:r>
    </w:p>
    <w:p w14:paraId="4EB69320" w14:textId="2A2D83CB" w:rsidR="005473CF" w:rsidRPr="00594FCA" w:rsidRDefault="005473CF" w:rsidP="003C4098">
      <w:pPr>
        <w:spacing w:after="0" w:line="360" w:lineRule="auto"/>
        <w:jc w:val="both"/>
        <w:rPr>
          <w:rFonts w:ascii="Times New Roman" w:eastAsia="Arial Unicode MS" w:hAnsi="Times New Roman" w:cs="Times New Roman"/>
          <w:color w:val="000000"/>
          <w:sz w:val="24"/>
          <w:szCs w:val="24"/>
          <w:lang w:eastAsia="pl-PL"/>
        </w:rPr>
      </w:pPr>
      <w:r w:rsidRPr="005473CF">
        <w:rPr>
          <w:rFonts w:ascii="Times New Roman" w:eastAsia="Arial Unicode MS" w:hAnsi="Times New Roman" w:cs="Times New Roman"/>
          <w:color w:val="000000"/>
          <w:sz w:val="24"/>
          <w:szCs w:val="24"/>
          <w:lang w:eastAsia="pl-PL"/>
        </w:rPr>
        <w:t>2</w:t>
      </w:r>
      <w:r w:rsidR="007E0C39">
        <w:rPr>
          <w:rFonts w:ascii="Times New Roman" w:eastAsia="Arial Unicode MS" w:hAnsi="Times New Roman" w:cs="Times New Roman"/>
          <w:color w:val="000000"/>
          <w:sz w:val="24"/>
          <w:szCs w:val="24"/>
          <w:lang w:eastAsia="pl-PL"/>
        </w:rPr>
        <w:t>2</w:t>
      </w:r>
      <w:r w:rsidR="00D5306A">
        <w:rPr>
          <w:rFonts w:ascii="Times New Roman" w:eastAsia="Arial Unicode MS" w:hAnsi="Times New Roman" w:cs="Times New Roman"/>
          <w:color w:val="000000"/>
          <w:sz w:val="24"/>
          <w:szCs w:val="24"/>
          <w:lang w:eastAsia="pl-PL"/>
        </w:rPr>
        <w:t>)</w:t>
      </w:r>
      <w:r w:rsidR="00D5306A">
        <w:rPr>
          <w:rFonts w:ascii="Times New Roman" w:eastAsia="Arial Unicode MS" w:hAnsi="Times New Roman" w:cs="Times New Roman"/>
          <w:color w:val="000000"/>
          <w:sz w:val="24"/>
          <w:szCs w:val="24"/>
          <w:lang w:eastAsia="pl-PL"/>
        </w:rPr>
        <w:tab/>
      </w:r>
      <w:r w:rsidR="001867C0">
        <w:rPr>
          <w:rFonts w:ascii="Times New Roman" w:eastAsia="Arial Unicode MS" w:hAnsi="Times New Roman" w:cs="Times New Roman"/>
          <w:color w:val="000000"/>
          <w:sz w:val="24"/>
          <w:szCs w:val="24"/>
          <w:lang w:eastAsia="pl-PL"/>
        </w:rPr>
        <w:t>Art. 21</w:t>
      </w:r>
      <w:r w:rsidR="007E0C39">
        <w:rPr>
          <w:rFonts w:ascii="Times New Roman" w:eastAsia="Arial Unicode MS" w:hAnsi="Times New Roman" w:cs="Times New Roman"/>
          <w:color w:val="000000"/>
          <w:sz w:val="24"/>
          <w:szCs w:val="24"/>
          <w:lang w:eastAsia="pl-PL"/>
        </w:rPr>
        <w:t xml:space="preserve"> pkt 24, 25, 29, 35, 44 i 50</w:t>
      </w:r>
      <w:r w:rsidRPr="00594FCA">
        <w:rPr>
          <w:rFonts w:ascii="Times New Roman" w:eastAsia="Arial Unicode MS" w:hAnsi="Times New Roman" w:cs="Times New Roman"/>
          <w:color w:val="000000"/>
          <w:sz w:val="24"/>
          <w:szCs w:val="24"/>
          <w:lang w:eastAsia="pl-PL"/>
        </w:rPr>
        <w:t xml:space="preserve"> projektu (art. 105 w ust. 1, art. 106 ust. 2 pkt 1, art. 117d ust. 6 pkt 1, art. 117s ust. 6 pkt 1, art. 129 ust. 6 pkt 1</w:t>
      </w:r>
      <w:r w:rsidR="003C4098">
        <w:rPr>
          <w:rFonts w:ascii="Times New Roman" w:eastAsia="Arial Unicode MS" w:hAnsi="Times New Roman" w:cs="Times New Roman"/>
          <w:color w:val="000000"/>
          <w:sz w:val="24"/>
          <w:szCs w:val="24"/>
          <w:lang w:eastAsia="pl-PL"/>
        </w:rPr>
        <w:t xml:space="preserve"> i </w:t>
      </w:r>
      <w:r w:rsidRPr="00594FCA">
        <w:rPr>
          <w:rFonts w:ascii="Times New Roman" w:eastAsia="Arial Unicode MS" w:hAnsi="Times New Roman" w:cs="Times New Roman"/>
          <w:color w:val="000000"/>
          <w:sz w:val="24"/>
          <w:szCs w:val="24"/>
          <w:lang w:eastAsia="pl-PL"/>
        </w:rPr>
        <w:t>art. 132za ust. 2 pkt 1 ustawy)</w:t>
      </w:r>
    </w:p>
    <w:p w14:paraId="4D370F89" w14:textId="241FAFF5" w:rsidR="005473CF" w:rsidRPr="00594FCA" w:rsidRDefault="005473CF" w:rsidP="003C4098">
      <w:pPr>
        <w:spacing w:after="0" w:line="360" w:lineRule="auto"/>
        <w:jc w:val="both"/>
        <w:rPr>
          <w:rFonts w:ascii="Times New Roman" w:eastAsia="Arial Unicode MS" w:hAnsi="Times New Roman" w:cs="Times New Roman"/>
          <w:color w:val="000000"/>
          <w:sz w:val="24"/>
          <w:szCs w:val="24"/>
          <w:lang w:eastAsia="pl-PL"/>
        </w:rPr>
      </w:pPr>
      <w:r w:rsidRPr="005473CF">
        <w:rPr>
          <w:rFonts w:ascii="Times New Roman" w:eastAsia="Arial Unicode MS" w:hAnsi="Times New Roman" w:cs="Times New Roman"/>
          <w:color w:val="000000"/>
          <w:sz w:val="24"/>
          <w:szCs w:val="24"/>
          <w:lang w:eastAsia="pl-PL"/>
        </w:rPr>
        <w:t>Proponuje się doprecyzowanie zakresu odpowiedzialności krajowej instytucji płatniczej określonego w art. 105 ust. 1 – proponuje się wskazanie, że określone w tym przepisie uprawnienia nadzorcze będą przysługiwały KNF w pr</w:t>
      </w:r>
      <w:r w:rsidR="001867C0">
        <w:rPr>
          <w:rFonts w:ascii="Times New Roman" w:eastAsia="Arial Unicode MS" w:hAnsi="Times New Roman" w:cs="Times New Roman"/>
          <w:color w:val="000000"/>
          <w:sz w:val="24"/>
          <w:szCs w:val="24"/>
          <w:lang w:eastAsia="pl-PL"/>
        </w:rPr>
        <w:t>zypadku naruszenia przez krajową instytucję</w:t>
      </w:r>
      <w:r w:rsidRPr="005473CF">
        <w:rPr>
          <w:rFonts w:ascii="Times New Roman" w:eastAsia="Arial Unicode MS" w:hAnsi="Times New Roman" w:cs="Times New Roman"/>
          <w:color w:val="000000"/>
          <w:sz w:val="24"/>
          <w:szCs w:val="24"/>
          <w:lang w:eastAsia="pl-PL"/>
        </w:rPr>
        <w:t xml:space="preserve"> płatniczą </w:t>
      </w:r>
      <w:r w:rsidRPr="00594FCA">
        <w:rPr>
          <w:rFonts w:ascii="Times New Roman" w:eastAsia="Arial Unicode MS" w:hAnsi="Times New Roman" w:cs="Times New Roman"/>
          <w:color w:val="000000"/>
          <w:sz w:val="24"/>
          <w:szCs w:val="24"/>
          <w:lang w:eastAsia="pl-PL"/>
        </w:rPr>
        <w:t xml:space="preserve">przepisów ustawy, innych ustaw regulujących świadczenie usług płatniczych oraz wydawanie i wykup pieniądza elektronicznego oraz przepisów wydanych na ich podstawie, a także innych bezpośrednio stosowanych przepisów prawa Unii Europejskiej regulujących świadczenie usług płatniczych oraz wydawanie i wykup pieniądza elektronicznego. W obecnym stanie prawnym zastosowano ogólną przesłankę „naruszenia prawa” </w:t>
      </w:r>
      <w:r w:rsidRPr="005473CF">
        <w:rPr>
          <w:rFonts w:ascii="Times New Roman" w:eastAsia="Arial Unicode MS" w:hAnsi="Times New Roman" w:cs="Times New Roman"/>
          <w:color w:val="000000"/>
          <w:sz w:val="24"/>
          <w:szCs w:val="24"/>
          <w:lang w:eastAsia="pl-PL"/>
        </w:rPr>
        <w:t>–</w:t>
      </w:r>
      <w:r w:rsidRPr="00594FCA">
        <w:rPr>
          <w:rFonts w:ascii="Times New Roman" w:eastAsia="Arial Unicode MS" w:hAnsi="Times New Roman" w:cs="Times New Roman"/>
          <w:color w:val="000000"/>
          <w:sz w:val="24"/>
          <w:szCs w:val="24"/>
          <w:lang w:eastAsia="pl-PL"/>
        </w:rPr>
        <w:t xml:space="preserve"> należy jednak dążyć do doprecyzowywania przesłanek odpowiedzialności, co przyczyni się do zwiększenia poziomu pewności prawnej i ochrony praw adresatów tej</w:t>
      </w:r>
      <w:r w:rsidR="007C389F">
        <w:rPr>
          <w:rFonts w:ascii="Times New Roman" w:eastAsia="Arial Unicode MS" w:hAnsi="Times New Roman" w:cs="Times New Roman"/>
          <w:color w:val="000000"/>
          <w:sz w:val="24"/>
          <w:szCs w:val="24"/>
          <w:lang w:eastAsia="pl-PL"/>
        </w:rPr>
        <w:t xml:space="preserve"> </w:t>
      </w:r>
      <w:r w:rsidRPr="00594FCA">
        <w:rPr>
          <w:rFonts w:ascii="Times New Roman" w:eastAsia="Arial Unicode MS" w:hAnsi="Times New Roman" w:cs="Times New Roman"/>
          <w:color w:val="000000"/>
          <w:sz w:val="24"/>
          <w:szCs w:val="24"/>
          <w:lang w:eastAsia="pl-PL"/>
        </w:rPr>
        <w:t>normy.</w:t>
      </w:r>
    </w:p>
    <w:p w14:paraId="545BDD99" w14:textId="7D5020C9" w:rsidR="005473CF" w:rsidRPr="00594FCA" w:rsidRDefault="005473CF" w:rsidP="003C4098">
      <w:pPr>
        <w:spacing w:after="0" w:line="360" w:lineRule="auto"/>
        <w:jc w:val="both"/>
        <w:rPr>
          <w:rFonts w:ascii="Times New Roman" w:eastAsia="Arial Unicode MS" w:hAnsi="Times New Roman" w:cs="Times New Roman"/>
          <w:color w:val="000000"/>
          <w:sz w:val="24"/>
          <w:szCs w:val="24"/>
          <w:lang w:eastAsia="pl-PL"/>
        </w:rPr>
      </w:pPr>
      <w:r w:rsidRPr="00594FCA">
        <w:rPr>
          <w:rFonts w:ascii="Times New Roman" w:eastAsia="Arial Unicode MS" w:hAnsi="Times New Roman" w:cs="Times New Roman"/>
          <w:color w:val="000000"/>
          <w:sz w:val="24"/>
          <w:szCs w:val="24"/>
          <w:lang w:eastAsia="pl-PL"/>
        </w:rPr>
        <w:t>Ponadto projekt przewiduje wprowadzenie możliwości nakładania kar na osoby będące członkiem organów nadzorujących w krajowej instytucji płatniczej (art. 105 ust. 1 pkt 4), w instytucji płatniczej (art. 106 ust. 2 pkt 1), u dostawców świadczących wyłącznie usługę dostępu do informacji o rachunku (art. 117d ust. 6 pkt 1), w małej instytucji płatniczej (art. 117s ust. 6 pkt 1), w biurach usług płatniczych (art. 129 ust. 6 pkt 1), u wydawców pieniądza elektronicznego (art. 132za ust. 2 pkt 1).</w:t>
      </w:r>
    </w:p>
    <w:p w14:paraId="635126D3" w14:textId="24A2C0B1" w:rsidR="005473CF" w:rsidRPr="00594FCA" w:rsidRDefault="005473CF" w:rsidP="003C4098">
      <w:pPr>
        <w:spacing w:after="0" w:line="360" w:lineRule="auto"/>
        <w:jc w:val="both"/>
        <w:rPr>
          <w:rFonts w:ascii="Times New Roman" w:eastAsia="Arial Unicode MS" w:hAnsi="Times New Roman" w:cs="Times New Roman"/>
          <w:color w:val="000000"/>
          <w:sz w:val="24"/>
          <w:szCs w:val="24"/>
          <w:lang w:eastAsia="pl-PL"/>
        </w:rPr>
      </w:pPr>
      <w:r w:rsidRPr="00594FCA">
        <w:rPr>
          <w:rFonts w:ascii="Times New Roman" w:eastAsia="Arial Unicode MS" w:hAnsi="Times New Roman" w:cs="Times New Roman"/>
          <w:color w:val="000000"/>
          <w:sz w:val="24"/>
          <w:szCs w:val="24"/>
          <w:lang w:eastAsia="pl-PL"/>
        </w:rPr>
        <w:t>W obecnym stanie prawnym przepisy te dotyczą wyłącznie osób zarządzających tymi podmiotami. Propozycję wprowadzenia możliwości nałożenia kary finansowej również na członków organów nadzorujących uzasadnia fakt, że przyczyną nieprawidłowości może</w:t>
      </w:r>
      <w:r w:rsidR="001867C0">
        <w:rPr>
          <w:rFonts w:ascii="Times New Roman" w:eastAsia="Arial Unicode MS" w:hAnsi="Times New Roman" w:cs="Times New Roman"/>
          <w:color w:val="000000"/>
          <w:sz w:val="24"/>
          <w:szCs w:val="24"/>
          <w:lang w:eastAsia="pl-PL"/>
        </w:rPr>
        <w:t xml:space="preserve"> być</w:t>
      </w:r>
      <w:r w:rsidRPr="00594FCA">
        <w:rPr>
          <w:rFonts w:ascii="Times New Roman" w:eastAsia="Arial Unicode MS" w:hAnsi="Times New Roman" w:cs="Times New Roman"/>
          <w:color w:val="000000"/>
          <w:sz w:val="24"/>
          <w:szCs w:val="24"/>
          <w:lang w:eastAsia="pl-PL"/>
        </w:rPr>
        <w:t xml:space="preserve"> brak nadzoru ze strony członków tego organu. </w:t>
      </w:r>
    </w:p>
    <w:p w14:paraId="3B4B4A3D" w14:textId="0D222E75" w:rsidR="005473CF" w:rsidRPr="00594FCA" w:rsidRDefault="005473CF" w:rsidP="003C4098">
      <w:pPr>
        <w:spacing w:after="120" w:line="360" w:lineRule="auto"/>
        <w:jc w:val="both"/>
        <w:rPr>
          <w:rFonts w:ascii="Times New Roman" w:eastAsia="Arial Unicode MS" w:hAnsi="Times New Roman" w:cs="Times New Roman"/>
          <w:color w:val="000000"/>
          <w:sz w:val="24"/>
          <w:szCs w:val="24"/>
          <w:lang w:eastAsia="pl-PL"/>
        </w:rPr>
      </w:pPr>
      <w:r w:rsidRPr="00594FCA">
        <w:rPr>
          <w:rFonts w:ascii="Times New Roman" w:eastAsia="Arial Unicode MS" w:hAnsi="Times New Roman" w:cs="Times New Roman"/>
          <w:color w:val="000000"/>
          <w:sz w:val="24"/>
          <w:szCs w:val="24"/>
          <w:lang w:eastAsia="pl-PL"/>
        </w:rPr>
        <w:t>Proponowane zmiany mają także na celu doprecyzowanie, że kary będą mogły być nakładane wyłącznie na osoby które w podmiotach nadzorowanych</w:t>
      </w:r>
      <w:r w:rsidR="007C389F">
        <w:rPr>
          <w:rFonts w:ascii="Times New Roman" w:eastAsia="Arial Unicode MS" w:hAnsi="Times New Roman" w:cs="Times New Roman"/>
          <w:color w:val="000000"/>
          <w:sz w:val="24"/>
          <w:szCs w:val="24"/>
          <w:lang w:eastAsia="pl-PL"/>
        </w:rPr>
        <w:t xml:space="preserve"> </w:t>
      </w:r>
      <w:r w:rsidRPr="00594FCA">
        <w:rPr>
          <w:rFonts w:ascii="Times New Roman" w:eastAsia="Arial Unicode MS" w:hAnsi="Times New Roman" w:cs="Times New Roman"/>
          <w:color w:val="000000"/>
          <w:sz w:val="24"/>
          <w:szCs w:val="24"/>
          <w:lang w:eastAsia="pl-PL"/>
        </w:rPr>
        <w:t xml:space="preserve">pełnią funkcję osoby bezpośrednio zarządzającej obszarem, w którym stwierdzono nieprawidłowości, lub nadzorującej ten obszar. </w:t>
      </w:r>
    </w:p>
    <w:p w14:paraId="526BDAFA" w14:textId="6DB3015A" w:rsidR="005473CF" w:rsidRPr="00594FCA" w:rsidRDefault="005473CF" w:rsidP="003C4098">
      <w:pPr>
        <w:spacing w:after="0" w:line="360" w:lineRule="auto"/>
        <w:jc w:val="both"/>
        <w:rPr>
          <w:rFonts w:ascii="Times New Roman" w:eastAsia="Arial Unicode MS" w:hAnsi="Times New Roman" w:cs="Times New Roman"/>
          <w:color w:val="000000"/>
          <w:sz w:val="24"/>
          <w:szCs w:val="24"/>
          <w:lang w:eastAsia="pl-PL"/>
        </w:rPr>
      </w:pPr>
      <w:r w:rsidRPr="005473CF">
        <w:rPr>
          <w:rFonts w:ascii="Times New Roman" w:eastAsia="Arial Unicode MS" w:hAnsi="Times New Roman" w:cs="Times New Roman"/>
          <w:color w:val="000000"/>
          <w:sz w:val="24"/>
          <w:szCs w:val="24"/>
          <w:lang w:eastAsia="pl-PL"/>
        </w:rPr>
        <w:t>2</w:t>
      </w:r>
      <w:r w:rsidR="007E0C39">
        <w:rPr>
          <w:rFonts w:ascii="Times New Roman" w:eastAsia="Arial Unicode MS" w:hAnsi="Times New Roman" w:cs="Times New Roman"/>
          <w:color w:val="000000"/>
          <w:sz w:val="24"/>
          <w:szCs w:val="24"/>
          <w:lang w:eastAsia="pl-PL"/>
        </w:rPr>
        <w:t>3</w:t>
      </w:r>
      <w:r w:rsidR="00D5306A">
        <w:rPr>
          <w:rFonts w:ascii="Times New Roman" w:eastAsia="Arial Unicode MS" w:hAnsi="Times New Roman" w:cs="Times New Roman"/>
          <w:color w:val="000000"/>
          <w:sz w:val="24"/>
          <w:szCs w:val="24"/>
          <w:lang w:eastAsia="pl-PL"/>
        </w:rPr>
        <w:t>)</w:t>
      </w:r>
      <w:r w:rsidR="00D5306A">
        <w:rPr>
          <w:rFonts w:ascii="Times New Roman" w:eastAsia="Arial Unicode MS" w:hAnsi="Times New Roman" w:cs="Times New Roman"/>
          <w:color w:val="000000"/>
          <w:sz w:val="24"/>
          <w:szCs w:val="24"/>
          <w:lang w:eastAsia="pl-PL"/>
        </w:rPr>
        <w:tab/>
      </w:r>
      <w:r w:rsidR="001867C0">
        <w:rPr>
          <w:rFonts w:ascii="Times New Roman" w:eastAsia="Arial Unicode MS" w:hAnsi="Times New Roman" w:cs="Times New Roman"/>
          <w:color w:val="000000"/>
          <w:sz w:val="24"/>
          <w:szCs w:val="24"/>
          <w:lang w:eastAsia="pl-PL"/>
        </w:rPr>
        <w:t>Art. 21</w:t>
      </w:r>
      <w:r w:rsidR="007E0C39">
        <w:rPr>
          <w:rFonts w:ascii="Times New Roman" w:eastAsia="Arial Unicode MS" w:hAnsi="Times New Roman" w:cs="Times New Roman"/>
          <w:color w:val="000000"/>
          <w:sz w:val="24"/>
          <w:szCs w:val="24"/>
          <w:lang w:eastAsia="pl-PL"/>
        </w:rPr>
        <w:t xml:space="preserve"> pkt 27</w:t>
      </w:r>
      <w:r w:rsidRPr="00594FCA">
        <w:rPr>
          <w:rFonts w:ascii="Times New Roman" w:eastAsia="Arial Unicode MS" w:hAnsi="Times New Roman" w:cs="Times New Roman"/>
          <w:color w:val="000000"/>
          <w:sz w:val="24"/>
          <w:szCs w:val="24"/>
          <w:lang w:eastAsia="pl-PL"/>
        </w:rPr>
        <w:t xml:space="preserve"> projektu (art.116 i art. 116a ustawy)</w:t>
      </w:r>
    </w:p>
    <w:p w14:paraId="0EBC9A57" w14:textId="3ACB2B98" w:rsidR="005473CF" w:rsidRPr="005473CF" w:rsidRDefault="005473CF" w:rsidP="003C4098">
      <w:pPr>
        <w:spacing w:after="0" w:line="360" w:lineRule="auto"/>
        <w:jc w:val="both"/>
        <w:rPr>
          <w:rFonts w:ascii="Times New Roman" w:eastAsia="Arial Unicode MS" w:hAnsi="Times New Roman" w:cs="Times New Roman"/>
          <w:color w:val="000000"/>
          <w:sz w:val="24"/>
          <w:szCs w:val="24"/>
          <w:lang w:eastAsia="pl-PL"/>
        </w:rPr>
      </w:pPr>
      <w:r w:rsidRPr="005473CF">
        <w:rPr>
          <w:rFonts w:ascii="Times New Roman" w:eastAsia="Arial Unicode MS" w:hAnsi="Times New Roman" w:cs="Times New Roman"/>
          <w:color w:val="000000"/>
          <w:sz w:val="24"/>
          <w:szCs w:val="24"/>
          <w:lang w:eastAsia="pl-PL"/>
        </w:rPr>
        <w:t>Proponowana zmiana ma na celu ujednolicenie przepisów sankcyjnych odnoszących się do odpowiedzialności osób fizycznych za naruszenie prawa przez podmiot nadzorowany. Analogiczne rozwiązania znajduję się już w innych przepisach regulujących rynek finansowy, w tym w ustawie o ofercie publicznej, ustawie o działalności ubezpieczeniowej i reasekuracyjnej oraz w ustawie o funduszach inwestycyjnych i zarządzaniu alternatywnymi funduszami inwestycyjnymi. Dotyczy to również terminu przedawnienia. Zgodnie z obecnie</w:t>
      </w:r>
      <w:r w:rsidR="001867C0">
        <w:rPr>
          <w:rFonts w:ascii="Times New Roman" w:eastAsia="Arial Unicode MS" w:hAnsi="Times New Roman" w:cs="Times New Roman"/>
          <w:color w:val="000000"/>
          <w:sz w:val="24"/>
          <w:szCs w:val="24"/>
          <w:lang w:eastAsia="pl-PL"/>
        </w:rPr>
        <w:t xml:space="preserve"> obowiązującym</w:t>
      </w:r>
      <w:r w:rsidRPr="005473CF">
        <w:rPr>
          <w:rFonts w:ascii="Times New Roman" w:eastAsia="Arial Unicode MS" w:hAnsi="Times New Roman" w:cs="Times New Roman"/>
          <w:color w:val="000000"/>
          <w:sz w:val="24"/>
          <w:szCs w:val="24"/>
          <w:lang w:eastAsia="pl-PL"/>
        </w:rPr>
        <w:t xml:space="preserve"> art. 116, postępowanie </w:t>
      </w:r>
      <w:r w:rsidRPr="005473CF">
        <w:rPr>
          <w:rFonts w:ascii="Times New Roman" w:eastAsia="Arial Unicode MS" w:hAnsi="Times New Roman" w:cs="Times New Roman"/>
          <w:bCs/>
          <w:iCs/>
          <w:color w:val="000000"/>
          <w:sz w:val="24"/>
          <w:szCs w:val="24"/>
          <w:lang w:eastAsia="pl-PL"/>
        </w:rPr>
        <w:t>w sprawie nałożenia kary pieniężnej nie może być wszczęte po upływie 6 miesięcy od dnia powzięcia przez KNF informacji o okolicznościach, które mogą</w:t>
      </w:r>
      <w:r w:rsidR="007C389F">
        <w:rPr>
          <w:rFonts w:ascii="Times New Roman" w:eastAsia="Arial Unicode MS" w:hAnsi="Times New Roman" w:cs="Times New Roman"/>
          <w:bCs/>
          <w:iCs/>
          <w:color w:val="000000"/>
          <w:sz w:val="24"/>
          <w:szCs w:val="24"/>
          <w:lang w:eastAsia="pl-PL"/>
        </w:rPr>
        <w:t xml:space="preserve"> </w:t>
      </w:r>
      <w:r w:rsidRPr="005473CF">
        <w:rPr>
          <w:rFonts w:ascii="Times New Roman" w:eastAsia="Arial Unicode MS" w:hAnsi="Times New Roman" w:cs="Times New Roman"/>
          <w:bCs/>
          <w:iCs/>
          <w:color w:val="000000"/>
          <w:sz w:val="24"/>
          <w:szCs w:val="24"/>
          <w:lang w:eastAsia="pl-PL"/>
        </w:rPr>
        <w:t>stanowić podstawę nałożenia kary, albo jeżeli od popełnienia czynu upłynęło więcej niż 2 lata.</w:t>
      </w:r>
    </w:p>
    <w:p w14:paraId="7479B632" w14:textId="77777777" w:rsidR="005473CF" w:rsidRPr="00594FCA" w:rsidRDefault="005473CF" w:rsidP="00C774A2">
      <w:pPr>
        <w:spacing w:after="120" w:line="360" w:lineRule="auto"/>
        <w:jc w:val="both"/>
        <w:rPr>
          <w:rFonts w:ascii="Times New Roman" w:eastAsia="Arial Unicode MS" w:hAnsi="Times New Roman" w:cs="Times New Roman"/>
          <w:bCs/>
          <w:iCs/>
          <w:color w:val="000000"/>
          <w:sz w:val="24"/>
          <w:szCs w:val="24"/>
          <w:lang w:eastAsia="pl-PL"/>
        </w:rPr>
      </w:pPr>
      <w:r w:rsidRPr="00594FCA">
        <w:rPr>
          <w:rFonts w:ascii="Times New Roman" w:eastAsia="Arial Unicode MS" w:hAnsi="Times New Roman" w:cs="Times New Roman"/>
          <w:bCs/>
          <w:iCs/>
          <w:color w:val="000000"/>
          <w:sz w:val="24"/>
          <w:szCs w:val="24"/>
          <w:lang w:eastAsia="pl-PL"/>
        </w:rPr>
        <w:t>W związku z tym proponuje się usuniecie art. 116 natomiast w dodawanym art. 116a proponuje się wprowadzenie rozwiązania polegającego na wykreśleniu szczególnych terminów przedawnienia i tym samym zastosowanie ogólnego, 5-letniego terminu przedawnienia wynikającego z art. 189g § 1 k.p.a.</w:t>
      </w:r>
    </w:p>
    <w:p w14:paraId="30DB3097" w14:textId="5A517B7A" w:rsidR="00C774A2" w:rsidRDefault="005473CF" w:rsidP="00C774A2">
      <w:pPr>
        <w:spacing w:after="0" w:line="360" w:lineRule="auto"/>
        <w:jc w:val="both"/>
        <w:rPr>
          <w:rFonts w:ascii="Times New Roman" w:eastAsia="Arial Unicode MS" w:hAnsi="Times New Roman" w:cs="Times New Roman"/>
          <w:bCs/>
          <w:iCs/>
          <w:color w:val="000000"/>
          <w:sz w:val="24"/>
          <w:szCs w:val="24"/>
          <w:lang w:eastAsia="pl-PL"/>
        </w:rPr>
      </w:pPr>
      <w:r w:rsidRPr="00594FCA">
        <w:rPr>
          <w:rFonts w:ascii="Times New Roman" w:eastAsia="Arial Unicode MS" w:hAnsi="Times New Roman" w:cs="Times New Roman"/>
          <w:bCs/>
          <w:iCs/>
          <w:color w:val="000000"/>
          <w:sz w:val="24"/>
          <w:szCs w:val="24"/>
          <w:lang w:eastAsia="pl-PL"/>
        </w:rPr>
        <w:t>2</w:t>
      </w:r>
      <w:r w:rsidR="0098194B">
        <w:rPr>
          <w:rFonts w:ascii="Times New Roman" w:eastAsia="Arial Unicode MS" w:hAnsi="Times New Roman" w:cs="Times New Roman"/>
          <w:bCs/>
          <w:iCs/>
          <w:color w:val="000000"/>
          <w:sz w:val="24"/>
          <w:szCs w:val="24"/>
          <w:lang w:eastAsia="pl-PL"/>
        </w:rPr>
        <w:t>4</w:t>
      </w:r>
      <w:r w:rsidR="00D5306A">
        <w:rPr>
          <w:rFonts w:ascii="Times New Roman" w:eastAsia="Arial Unicode MS" w:hAnsi="Times New Roman" w:cs="Times New Roman"/>
          <w:bCs/>
          <w:iCs/>
          <w:color w:val="000000"/>
          <w:sz w:val="24"/>
          <w:szCs w:val="24"/>
          <w:lang w:eastAsia="pl-PL"/>
        </w:rPr>
        <w:t>)</w:t>
      </w:r>
      <w:r w:rsidR="00D5306A">
        <w:rPr>
          <w:rFonts w:ascii="Times New Roman" w:eastAsia="Arial Unicode MS" w:hAnsi="Times New Roman" w:cs="Times New Roman"/>
          <w:bCs/>
          <w:iCs/>
          <w:color w:val="000000"/>
          <w:sz w:val="24"/>
          <w:szCs w:val="24"/>
          <w:lang w:eastAsia="pl-PL"/>
        </w:rPr>
        <w:tab/>
      </w:r>
      <w:r w:rsidR="001867C0">
        <w:rPr>
          <w:rFonts w:ascii="Times New Roman" w:eastAsia="Arial Unicode MS" w:hAnsi="Times New Roman" w:cs="Times New Roman"/>
          <w:bCs/>
          <w:iCs/>
          <w:color w:val="000000"/>
          <w:sz w:val="24"/>
          <w:szCs w:val="24"/>
          <w:lang w:eastAsia="pl-PL"/>
        </w:rPr>
        <w:t>Art. 21</w:t>
      </w:r>
      <w:r w:rsidR="0098194B">
        <w:rPr>
          <w:rFonts w:ascii="Times New Roman" w:eastAsia="Arial Unicode MS" w:hAnsi="Times New Roman" w:cs="Times New Roman"/>
          <w:bCs/>
          <w:iCs/>
          <w:color w:val="000000"/>
          <w:sz w:val="24"/>
          <w:szCs w:val="24"/>
          <w:lang w:eastAsia="pl-PL"/>
        </w:rPr>
        <w:t xml:space="preserve"> pkt 28</w:t>
      </w:r>
      <w:r w:rsidRPr="00594FCA">
        <w:rPr>
          <w:rFonts w:ascii="Times New Roman" w:eastAsia="Arial Unicode MS" w:hAnsi="Times New Roman" w:cs="Times New Roman"/>
          <w:bCs/>
          <w:iCs/>
          <w:color w:val="000000"/>
          <w:sz w:val="24"/>
          <w:szCs w:val="24"/>
          <w:lang w:eastAsia="pl-PL"/>
        </w:rPr>
        <w:t xml:space="preserve"> projektu (art. 117b ust. 4 i 4a ustawy)</w:t>
      </w:r>
    </w:p>
    <w:p w14:paraId="156DD10E" w14:textId="63E3CF58" w:rsidR="005473CF" w:rsidRPr="00594FCA" w:rsidRDefault="005473CF" w:rsidP="00C774A2">
      <w:pPr>
        <w:spacing w:after="120" w:line="360" w:lineRule="auto"/>
        <w:jc w:val="both"/>
        <w:rPr>
          <w:rFonts w:ascii="Times New Roman" w:eastAsia="Arial Unicode MS" w:hAnsi="Times New Roman" w:cs="Times New Roman"/>
          <w:bCs/>
          <w:iCs/>
          <w:color w:val="000000"/>
          <w:sz w:val="24"/>
          <w:szCs w:val="24"/>
          <w:lang w:eastAsia="pl-PL"/>
        </w:rPr>
      </w:pPr>
      <w:r w:rsidRPr="00594FCA">
        <w:rPr>
          <w:rFonts w:ascii="Times New Roman" w:eastAsia="Arial Unicode MS" w:hAnsi="Times New Roman" w:cs="Times New Roman"/>
          <w:bCs/>
          <w:iCs/>
          <w:color w:val="000000"/>
          <w:sz w:val="24"/>
          <w:szCs w:val="24"/>
          <w:lang w:eastAsia="pl-PL"/>
        </w:rPr>
        <w:t xml:space="preserve">Proponuje się wprowadzenie możliwości żądania przez KNF uzupełnienia wniosku o rejestrację podmiotu prowadzącego działalność w zakresie świadczenia wyłącznie usługi dostępu do informacji o rachunku o zatwierdzone regulacje wewnętrzne dotyczące kluczowych obszarów organizacyjnych podmiotu. Przepis ten będzie miał zastosowanie w przypadku podmiotów o skomplikowanej strukturze organizacyjnej i większym zakresie działalności planowanej w obszarze usług dostępu do informacji o rachunku. </w:t>
      </w:r>
    </w:p>
    <w:p w14:paraId="30F9B238" w14:textId="32BEB350" w:rsidR="005473CF" w:rsidRPr="00594FCA" w:rsidRDefault="005473CF" w:rsidP="003C4098">
      <w:pPr>
        <w:spacing w:after="0" w:line="360" w:lineRule="auto"/>
        <w:jc w:val="both"/>
        <w:rPr>
          <w:rFonts w:ascii="Times New Roman" w:eastAsia="Arial Unicode MS" w:hAnsi="Times New Roman" w:cs="Times New Roman"/>
          <w:bCs/>
          <w:iCs/>
          <w:color w:val="000000"/>
          <w:sz w:val="24"/>
          <w:szCs w:val="24"/>
          <w:lang w:eastAsia="pl-PL"/>
        </w:rPr>
      </w:pPr>
      <w:r w:rsidRPr="00594FCA">
        <w:rPr>
          <w:rFonts w:ascii="Times New Roman" w:eastAsia="Arial Unicode MS" w:hAnsi="Times New Roman" w:cs="Times New Roman"/>
          <w:bCs/>
          <w:iCs/>
          <w:color w:val="000000"/>
          <w:sz w:val="24"/>
          <w:szCs w:val="24"/>
          <w:lang w:eastAsia="pl-PL"/>
        </w:rPr>
        <w:t>2</w:t>
      </w:r>
      <w:r w:rsidR="00066875">
        <w:rPr>
          <w:rFonts w:ascii="Times New Roman" w:eastAsia="Arial Unicode MS" w:hAnsi="Times New Roman" w:cs="Times New Roman"/>
          <w:bCs/>
          <w:iCs/>
          <w:color w:val="000000"/>
          <w:sz w:val="24"/>
          <w:szCs w:val="24"/>
          <w:lang w:eastAsia="pl-PL"/>
        </w:rPr>
        <w:t>5</w:t>
      </w:r>
      <w:r w:rsidR="00D5306A">
        <w:rPr>
          <w:rFonts w:ascii="Times New Roman" w:eastAsia="Arial Unicode MS" w:hAnsi="Times New Roman" w:cs="Times New Roman"/>
          <w:bCs/>
          <w:iCs/>
          <w:color w:val="000000"/>
          <w:sz w:val="24"/>
          <w:szCs w:val="24"/>
          <w:lang w:eastAsia="pl-PL"/>
        </w:rPr>
        <w:t>)</w:t>
      </w:r>
      <w:r w:rsidR="00D5306A">
        <w:rPr>
          <w:rFonts w:ascii="Times New Roman" w:eastAsia="Arial Unicode MS" w:hAnsi="Times New Roman" w:cs="Times New Roman"/>
          <w:bCs/>
          <w:iCs/>
          <w:color w:val="000000"/>
          <w:sz w:val="24"/>
          <w:szCs w:val="24"/>
          <w:lang w:eastAsia="pl-PL"/>
        </w:rPr>
        <w:tab/>
      </w:r>
      <w:r w:rsidR="001867C0">
        <w:rPr>
          <w:rFonts w:ascii="Times New Roman" w:eastAsia="Arial Unicode MS" w:hAnsi="Times New Roman" w:cs="Times New Roman"/>
          <w:bCs/>
          <w:iCs/>
          <w:color w:val="000000"/>
          <w:sz w:val="24"/>
          <w:szCs w:val="24"/>
          <w:lang w:eastAsia="pl-PL"/>
        </w:rPr>
        <w:t>Art. 21</w:t>
      </w:r>
      <w:r w:rsidR="00066875">
        <w:rPr>
          <w:rFonts w:ascii="Times New Roman" w:eastAsia="Arial Unicode MS" w:hAnsi="Times New Roman" w:cs="Times New Roman"/>
          <w:bCs/>
          <w:iCs/>
          <w:color w:val="000000"/>
          <w:sz w:val="24"/>
          <w:szCs w:val="24"/>
          <w:lang w:eastAsia="pl-PL"/>
        </w:rPr>
        <w:t xml:space="preserve"> pkt 29</w:t>
      </w:r>
      <w:r w:rsidRPr="00594FCA">
        <w:rPr>
          <w:rFonts w:ascii="Times New Roman" w:eastAsia="Arial Unicode MS" w:hAnsi="Times New Roman" w:cs="Times New Roman"/>
          <w:bCs/>
          <w:iCs/>
          <w:color w:val="000000"/>
          <w:sz w:val="24"/>
          <w:szCs w:val="24"/>
          <w:lang w:eastAsia="pl-PL"/>
        </w:rPr>
        <w:t xml:space="preserve"> projektu (art. 117d ust. 3 ustawy)</w:t>
      </w:r>
    </w:p>
    <w:p w14:paraId="336205A7" w14:textId="3F11C138" w:rsidR="005473CF" w:rsidRPr="00594FCA" w:rsidRDefault="005473CF" w:rsidP="003C4098">
      <w:pPr>
        <w:spacing w:after="0" w:line="360" w:lineRule="auto"/>
        <w:jc w:val="both"/>
        <w:rPr>
          <w:rFonts w:ascii="Times New Roman" w:eastAsia="Arial Unicode MS" w:hAnsi="Times New Roman" w:cs="Times New Roman"/>
          <w:bCs/>
          <w:iCs/>
          <w:color w:val="000000"/>
          <w:sz w:val="24"/>
          <w:szCs w:val="24"/>
          <w:lang w:eastAsia="pl-PL"/>
        </w:rPr>
      </w:pPr>
      <w:r w:rsidRPr="00594FCA">
        <w:rPr>
          <w:rFonts w:ascii="Times New Roman" w:eastAsia="Arial Unicode MS" w:hAnsi="Times New Roman" w:cs="Times New Roman"/>
          <w:bCs/>
          <w:iCs/>
          <w:color w:val="000000"/>
          <w:sz w:val="24"/>
          <w:szCs w:val="24"/>
          <w:lang w:eastAsia="pl-PL"/>
        </w:rPr>
        <w:t>Proponuje się wprowadzenie możliwości doręczeń elektronicznych w rozumieniu ustawy o doręczeniach elektronicznych w odniesieniu do dokumentów dotyczących czynności kontrolnych i innych czynności nadzorczych, w przypadku gdy ww. czynności będą realizowane zdalnie z wykorzystaniem dokumentów sporządzanych w postaci elektronicznej, w odniesieniu do dostawców świadczących wyłącznie usługę dostępu do informacji o rachunku.</w:t>
      </w:r>
      <w:r w:rsidR="00594FCA">
        <w:rPr>
          <w:rFonts w:ascii="Times New Roman" w:eastAsia="Arial Unicode MS" w:hAnsi="Times New Roman" w:cs="Times New Roman"/>
          <w:bCs/>
          <w:iCs/>
          <w:color w:val="000000"/>
          <w:sz w:val="24"/>
          <w:szCs w:val="24"/>
          <w:lang w:eastAsia="pl-PL"/>
        </w:rPr>
        <w:t xml:space="preserve"> </w:t>
      </w:r>
      <w:r w:rsidRPr="00594FCA">
        <w:rPr>
          <w:rFonts w:ascii="Times New Roman" w:eastAsia="Arial Unicode MS" w:hAnsi="Times New Roman" w:cs="Times New Roman"/>
          <w:bCs/>
          <w:iCs/>
          <w:color w:val="000000"/>
          <w:sz w:val="24"/>
          <w:szCs w:val="24"/>
          <w:lang w:eastAsia="pl-PL"/>
        </w:rPr>
        <w:t>Zmiana analogiczna jak w art. 117d ust. 4a i 4b.</w:t>
      </w:r>
    </w:p>
    <w:p w14:paraId="527FA79E" w14:textId="1A6531F1" w:rsidR="005473CF" w:rsidRPr="00594FCA" w:rsidRDefault="005473CF" w:rsidP="00167DB4">
      <w:pPr>
        <w:spacing w:before="120" w:after="0" w:line="360" w:lineRule="auto"/>
        <w:jc w:val="both"/>
        <w:rPr>
          <w:rFonts w:ascii="Times New Roman" w:eastAsia="Arial Unicode MS" w:hAnsi="Times New Roman" w:cs="Times New Roman"/>
          <w:bCs/>
          <w:iCs/>
          <w:color w:val="000000"/>
          <w:sz w:val="24"/>
          <w:szCs w:val="24"/>
          <w:lang w:eastAsia="pl-PL"/>
        </w:rPr>
      </w:pPr>
      <w:r w:rsidRPr="00594FCA">
        <w:rPr>
          <w:rFonts w:ascii="Times New Roman" w:eastAsia="Arial Unicode MS" w:hAnsi="Times New Roman" w:cs="Times New Roman"/>
          <w:bCs/>
          <w:iCs/>
          <w:color w:val="000000"/>
          <w:sz w:val="24"/>
          <w:szCs w:val="24"/>
          <w:lang w:eastAsia="pl-PL"/>
        </w:rPr>
        <w:t>2</w:t>
      </w:r>
      <w:r w:rsidR="00066875">
        <w:rPr>
          <w:rFonts w:ascii="Times New Roman" w:eastAsia="Arial Unicode MS" w:hAnsi="Times New Roman" w:cs="Times New Roman"/>
          <w:bCs/>
          <w:iCs/>
          <w:color w:val="000000"/>
          <w:sz w:val="24"/>
          <w:szCs w:val="24"/>
          <w:lang w:eastAsia="pl-PL"/>
        </w:rPr>
        <w:t>6</w:t>
      </w:r>
      <w:r w:rsidR="00D5306A">
        <w:rPr>
          <w:rFonts w:ascii="Times New Roman" w:eastAsia="Arial Unicode MS" w:hAnsi="Times New Roman" w:cs="Times New Roman"/>
          <w:bCs/>
          <w:iCs/>
          <w:color w:val="000000"/>
          <w:sz w:val="24"/>
          <w:szCs w:val="24"/>
          <w:lang w:eastAsia="pl-PL"/>
        </w:rPr>
        <w:t>)</w:t>
      </w:r>
      <w:r w:rsidR="00D5306A">
        <w:rPr>
          <w:rFonts w:ascii="Times New Roman" w:eastAsia="Arial Unicode MS" w:hAnsi="Times New Roman" w:cs="Times New Roman"/>
          <w:bCs/>
          <w:iCs/>
          <w:color w:val="000000"/>
          <w:sz w:val="24"/>
          <w:szCs w:val="24"/>
          <w:lang w:eastAsia="pl-PL"/>
        </w:rPr>
        <w:tab/>
      </w:r>
      <w:r w:rsidR="001867C0">
        <w:rPr>
          <w:rFonts w:ascii="Times New Roman" w:eastAsia="Arial Unicode MS" w:hAnsi="Times New Roman" w:cs="Times New Roman"/>
          <w:bCs/>
          <w:iCs/>
          <w:color w:val="000000"/>
          <w:sz w:val="24"/>
          <w:szCs w:val="24"/>
          <w:lang w:eastAsia="pl-PL"/>
        </w:rPr>
        <w:t>Art. 21</w:t>
      </w:r>
      <w:r w:rsidRPr="00594FCA">
        <w:rPr>
          <w:rFonts w:ascii="Times New Roman" w:eastAsia="Arial Unicode MS" w:hAnsi="Times New Roman" w:cs="Times New Roman"/>
          <w:bCs/>
          <w:iCs/>
          <w:color w:val="000000"/>
          <w:sz w:val="24"/>
          <w:szCs w:val="24"/>
          <w:lang w:eastAsia="pl-PL"/>
        </w:rPr>
        <w:t xml:space="preserve"> pkt</w:t>
      </w:r>
      <w:r w:rsidR="007C389F">
        <w:rPr>
          <w:rFonts w:ascii="Times New Roman" w:eastAsia="Arial Unicode MS" w:hAnsi="Times New Roman" w:cs="Times New Roman"/>
          <w:bCs/>
          <w:iCs/>
          <w:color w:val="000000"/>
          <w:sz w:val="24"/>
          <w:szCs w:val="24"/>
          <w:lang w:eastAsia="pl-PL"/>
        </w:rPr>
        <w:t xml:space="preserve"> </w:t>
      </w:r>
      <w:r w:rsidR="00066875">
        <w:rPr>
          <w:rFonts w:ascii="Times New Roman" w:eastAsia="Arial Unicode MS" w:hAnsi="Times New Roman" w:cs="Times New Roman"/>
          <w:bCs/>
          <w:iCs/>
          <w:color w:val="000000"/>
          <w:sz w:val="24"/>
          <w:szCs w:val="24"/>
          <w:lang w:eastAsia="pl-PL"/>
        </w:rPr>
        <w:t>30 i 36</w:t>
      </w:r>
      <w:r w:rsidRPr="00594FCA">
        <w:rPr>
          <w:rFonts w:ascii="Times New Roman" w:eastAsia="Arial Unicode MS" w:hAnsi="Times New Roman" w:cs="Times New Roman"/>
          <w:bCs/>
          <w:iCs/>
          <w:color w:val="000000"/>
          <w:sz w:val="24"/>
          <w:szCs w:val="24"/>
          <w:lang w:eastAsia="pl-PL"/>
        </w:rPr>
        <w:t xml:space="preserve"> projektu (art. 117ha oraz art. 118 ust. 3c i 3d ustawy)</w:t>
      </w:r>
    </w:p>
    <w:p w14:paraId="064E2AF9" w14:textId="77777777" w:rsidR="005473CF" w:rsidRPr="005473CF" w:rsidRDefault="005473CF" w:rsidP="00167DB4">
      <w:pPr>
        <w:spacing w:after="0" w:line="360" w:lineRule="auto"/>
        <w:jc w:val="both"/>
        <w:rPr>
          <w:rFonts w:ascii="Times New Roman" w:eastAsia="Arial Unicode MS" w:hAnsi="Times New Roman" w:cs="Times New Roman"/>
          <w:color w:val="000000"/>
          <w:sz w:val="24"/>
          <w:szCs w:val="24"/>
          <w:lang w:eastAsia="pl-PL"/>
        </w:rPr>
      </w:pPr>
      <w:r w:rsidRPr="00594FCA">
        <w:rPr>
          <w:rFonts w:ascii="Times New Roman" w:eastAsia="Arial Unicode MS" w:hAnsi="Times New Roman" w:cs="Times New Roman"/>
          <w:bCs/>
          <w:iCs/>
          <w:color w:val="000000"/>
          <w:sz w:val="24"/>
          <w:szCs w:val="24"/>
          <w:lang w:eastAsia="pl-PL"/>
        </w:rPr>
        <w:t xml:space="preserve">Proponowane rozwiązanie polega na wprowadzeniu wobec MIP wymogu dotyczącego obowiązku posiadania specjalnego rachunku u dostawcy prowadzącego rachunki płatnicze, za pośrednictwem którego MIP będzie dokonywać transferu otrzymanych od płatnika środków pieniężnych w przypadku realizacji polecenia przelewu złożonego przez tego płatnika. Rozwiązanie to ma na celu zabezpieczenie środków powierzanych MIP przez użytkowników, przez ich oddzielenie od środków przedsiębiorcy posiadanych z innego tytułu i ryzyka związanego z inną działalnością przedsiębiorcy, oraz ograniczenie ryzyka prania pieniędzy i </w:t>
      </w:r>
      <w:r w:rsidRPr="005473CF">
        <w:rPr>
          <w:rFonts w:ascii="Times New Roman" w:eastAsia="Arial Unicode MS" w:hAnsi="Times New Roman" w:cs="Times New Roman"/>
          <w:color w:val="000000"/>
          <w:sz w:val="24"/>
          <w:szCs w:val="24"/>
          <w:lang w:eastAsia="pl-PL"/>
        </w:rPr>
        <w:t xml:space="preserve">zapewnienie odpowiedniego poziomu kontroli nadzorczej wykonywanej przez KNF w tym zakresie. </w:t>
      </w:r>
    </w:p>
    <w:p w14:paraId="7FD34C5F" w14:textId="77777777" w:rsidR="005473CF" w:rsidRPr="005473CF" w:rsidRDefault="005473CF" w:rsidP="00167DB4">
      <w:pPr>
        <w:spacing w:after="120" w:line="360" w:lineRule="auto"/>
        <w:jc w:val="both"/>
        <w:rPr>
          <w:rFonts w:ascii="Times New Roman" w:eastAsia="Arial Unicode MS" w:hAnsi="Times New Roman" w:cs="Times New Roman"/>
          <w:color w:val="000000"/>
          <w:sz w:val="24"/>
          <w:szCs w:val="24"/>
          <w:lang w:eastAsia="pl-PL"/>
        </w:rPr>
      </w:pPr>
      <w:r w:rsidRPr="005473CF">
        <w:rPr>
          <w:rFonts w:ascii="Times New Roman" w:eastAsia="Arial Unicode MS" w:hAnsi="Times New Roman" w:cs="Times New Roman"/>
          <w:color w:val="000000"/>
          <w:sz w:val="24"/>
          <w:szCs w:val="24"/>
          <w:lang w:eastAsia="pl-PL"/>
        </w:rPr>
        <w:t>Analogiczne rozwiązania zostały zaproponowane dla BUP (art. 118 ust. 3c i 3d).</w:t>
      </w:r>
    </w:p>
    <w:p w14:paraId="6825E85F" w14:textId="52AB44CB" w:rsidR="005473CF" w:rsidRPr="00594FCA" w:rsidRDefault="005473CF" w:rsidP="00167DB4">
      <w:pPr>
        <w:spacing w:after="0" w:line="360" w:lineRule="auto"/>
        <w:jc w:val="both"/>
        <w:rPr>
          <w:rFonts w:ascii="Times New Roman" w:eastAsia="Arial Unicode MS" w:hAnsi="Times New Roman" w:cs="Times New Roman"/>
          <w:color w:val="000000"/>
          <w:sz w:val="24"/>
          <w:szCs w:val="24"/>
          <w:lang w:eastAsia="pl-PL"/>
        </w:rPr>
      </w:pPr>
      <w:r w:rsidRPr="00594FCA">
        <w:rPr>
          <w:rFonts w:ascii="Times New Roman" w:eastAsia="Arial Unicode MS" w:hAnsi="Times New Roman" w:cs="Times New Roman"/>
          <w:color w:val="000000"/>
          <w:sz w:val="24"/>
          <w:szCs w:val="24"/>
          <w:lang w:eastAsia="pl-PL"/>
        </w:rPr>
        <w:t>2</w:t>
      </w:r>
      <w:r w:rsidR="00066875">
        <w:rPr>
          <w:rFonts w:ascii="Times New Roman" w:eastAsia="Arial Unicode MS" w:hAnsi="Times New Roman" w:cs="Times New Roman"/>
          <w:color w:val="000000"/>
          <w:sz w:val="24"/>
          <w:szCs w:val="24"/>
          <w:lang w:eastAsia="pl-PL"/>
        </w:rPr>
        <w:t>7</w:t>
      </w:r>
      <w:r w:rsidR="00D5306A">
        <w:rPr>
          <w:rFonts w:ascii="Times New Roman" w:eastAsia="Arial Unicode MS" w:hAnsi="Times New Roman" w:cs="Times New Roman"/>
          <w:color w:val="000000"/>
          <w:sz w:val="24"/>
          <w:szCs w:val="24"/>
          <w:lang w:eastAsia="pl-PL"/>
        </w:rPr>
        <w:t>)</w:t>
      </w:r>
      <w:r w:rsidR="00D5306A">
        <w:rPr>
          <w:rFonts w:ascii="Times New Roman" w:eastAsia="Arial Unicode MS" w:hAnsi="Times New Roman" w:cs="Times New Roman"/>
          <w:color w:val="000000"/>
          <w:sz w:val="24"/>
          <w:szCs w:val="24"/>
          <w:lang w:eastAsia="pl-PL"/>
        </w:rPr>
        <w:tab/>
      </w:r>
      <w:r w:rsidR="001867C0">
        <w:rPr>
          <w:rFonts w:ascii="Times New Roman" w:eastAsia="Arial Unicode MS" w:hAnsi="Times New Roman" w:cs="Times New Roman"/>
          <w:color w:val="000000"/>
          <w:sz w:val="24"/>
          <w:szCs w:val="24"/>
          <w:lang w:eastAsia="pl-PL"/>
        </w:rPr>
        <w:t>Art. 21</w:t>
      </w:r>
      <w:r w:rsidR="00066875">
        <w:rPr>
          <w:rFonts w:ascii="Times New Roman" w:eastAsia="Arial Unicode MS" w:hAnsi="Times New Roman" w:cs="Times New Roman"/>
          <w:color w:val="000000"/>
          <w:sz w:val="24"/>
          <w:szCs w:val="24"/>
          <w:lang w:eastAsia="pl-PL"/>
        </w:rPr>
        <w:t xml:space="preserve"> pkt 31</w:t>
      </w:r>
      <w:r w:rsidRPr="00594FCA">
        <w:rPr>
          <w:rFonts w:ascii="Times New Roman" w:eastAsia="Arial Unicode MS" w:hAnsi="Times New Roman" w:cs="Times New Roman"/>
          <w:color w:val="000000"/>
          <w:sz w:val="24"/>
          <w:szCs w:val="24"/>
          <w:lang w:eastAsia="pl-PL"/>
        </w:rPr>
        <w:t xml:space="preserve"> projektu (art. 117j ust. 2 i 3 ustawy)</w:t>
      </w:r>
    </w:p>
    <w:p w14:paraId="11507B20" w14:textId="41BF13AB" w:rsidR="005473CF" w:rsidRPr="00594FCA" w:rsidRDefault="005473CF" w:rsidP="00167DB4">
      <w:pPr>
        <w:spacing w:after="0" w:line="360" w:lineRule="auto"/>
        <w:jc w:val="both"/>
        <w:rPr>
          <w:rFonts w:ascii="Times New Roman" w:eastAsia="Arial Unicode MS" w:hAnsi="Times New Roman" w:cs="Times New Roman"/>
          <w:color w:val="000000"/>
          <w:sz w:val="24"/>
          <w:szCs w:val="24"/>
          <w:lang w:eastAsia="pl-PL"/>
        </w:rPr>
      </w:pPr>
      <w:r w:rsidRPr="00594FCA">
        <w:rPr>
          <w:rFonts w:ascii="Times New Roman" w:eastAsia="Arial Unicode MS" w:hAnsi="Times New Roman" w:cs="Times New Roman"/>
          <w:color w:val="000000"/>
          <w:sz w:val="24"/>
          <w:szCs w:val="24"/>
          <w:lang w:eastAsia="pl-PL"/>
        </w:rPr>
        <w:t xml:space="preserve">Doświadczenia nadzorcze wskazują na niezbędność wprowadzenia proponowanych regulacji w celu zapewnienia zgodności działania dostawców usług płatniczych z wymogami prawa, w tym w obszarze zgodności z wymogami regulacji w obszarze prania pieniędzy i finansowania terroryzmu. Dodatkowo należy zauważyć, że działalność regulowana w rozumieniu art. 43 ustawy z dnia 6 marca 2018 r. </w:t>
      </w:r>
      <w:r w:rsidR="00167DB4" w:rsidRPr="00082777">
        <w:rPr>
          <w:rFonts w:ascii="Times New Roman" w:hAnsi="Times New Roman" w:cs="Times New Roman"/>
          <w:sz w:val="24"/>
          <w:szCs w:val="24"/>
          <w:lang w:val="pl"/>
        </w:rPr>
        <w:t>‒</w:t>
      </w:r>
      <w:r w:rsidR="00A4555E">
        <w:rPr>
          <w:rFonts w:ascii="Times New Roman" w:eastAsia="Arial Unicode MS" w:hAnsi="Times New Roman" w:cs="Times New Roman"/>
          <w:color w:val="000000"/>
          <w:sz w:val="24"/>
          <w:szCs w:val="24"/>
          <w:lang w:eastAsia="pl-PL"/>
        </w:rPr>
        <w:t xml:space="preserve"> </w:t>
      </w:r>
      <w:r w:rsidRPr="00594FCA">
        <w:rPr>
          <w:rFonts w:ascii="Times New Roman" w:eastAsia="Arial Unicode MS" w:hAnsi="Times New Roman" w:cs="Times New Roman"/>
          <w:color w:val="000000"/>
          <w:sz w:val="24"/>
          <w:szCs w:val="24"/>
          <w:lang w:eastAsia="pl-PL"/>
        </w:rPr>
        <w:t>Prawo przedsiębiorców (</w:t>
      </w:r>
      <w:r w:rsidR="00A4555E" w:rsidRPr="006B2CD4">
        <w:rPr>
          <w:rFonts w:ascii="Times New Roman" w:hAnsi="Times New Roman" w:cs="Times New Roman"/>
          <w:bCs/>
          <w:sz w:val="24"/>
          <w:szCs w:val="24"/>
        </w:rPr>
        <w:t>Dz. U</w:t>
      </w:r>
      <w:r w:rsidR="00897652">
        <w:rPr>
          <w:rFonts w:ascii="Times New Roman" w:hAnsi="Times New Roman" w:cs="Times New Roman"/>
          <w:bCs/>
          <w:sz w:val="24"/>
          <w:szCs w:val="24"/>
        </w:rPr>
        <w:t>.</w:t>
      </w:r>
      <w:r w:rsidR="00A4555E" w:rsidRPr="006B2CD4">
        <w:rPr>
          <w:rFonts w:ascii="Times New Roman" w:hAnsi="Times New Roman" w:cs="Times New Roman"/>
          <w:bCs/>
          <w:sz w:val="24"/>
          <w:szCs w:val="24"/>
        </w:rPr>
        <w:t xml:space="preserve"> z 202</w:t>
      </w:r>
      <w:r w:rsidR="00A4555E">
        <w:rPr>
          <w:rFonts w:ascii="Times New Roman" w:hAnsi="Times New Roman" w:cs="Times New Roman"/>
          <w:bCs/>
          <w:sz w:val="24"/>
          <w:szCs w:val="24"/>
        </w:rPr>
        <w:t>3</w:t>
      </w:r>
      <w:r w:rsidR="00A4555E" w:rsidRPr="006B2CD4">
        <w:rPr>
          <w:rFonts w:ascii="Times New Roman" w:hAnsi="Times New Roman" w:cs="Times New Roman"/>
          <w:bCs/>
          <w:sz w:val="24"/>
          <w:szCs w:val="24"/>
        </w:rPr>
        <w:t xml:space="preserve"> r. poz.</w:t>
      </w:r>
      <w:r w:rsidR="00A4555E">
        <w:rPr>
          <w:rFonts w:ascii="Times New Roman" w:hAnsi="Times New Roman" w:cs="Times New Roman"/>
          <w:bCs/>
          <w:sz w:val="24"/>
          <w:szCs w:val="24"/>
        </w:rPr>
        <w:t xml:space="preserve"> 221</w:t>
      </w:r>
      <w:r w:rsidR="00167DB4">
        <w:rPr>
          <w:rFonts w:ascii="Times New Roman" w:eastAsia="Arial Unicode MS" w:hAnsi="Times New Roman" w:cs="Times New Roman"/>
          <w:color w:val="000000"/>
          <w:sz w:val="24"/>
          <w:szCs w:val="24"/>
          <w:lang w:eastAsia="pl-PL"/>
        </w:rPr>
        <w:t xml:space="preserve">) </w:t>
      </w:r>
      <w:r w:rsidR="001867C0">
        <w:rPr>
          <w:rFonts w:ascii="Times New Roman" w:eastAsia="Arial Unicode MS" w:hAnsi="Times New Roman" w:cs="Times New Roman"/>
          <w:color w:val="000000"/>
          <w:sz w:val="24"/>
          <w:szCs w:val="24"/>
          <w:lang w:eastAsia="pl-PL"/>
        </w:rPr>
        <w:t xml:space="preserve">może być wykonywana </w:t>
      </w:r>
      <w:r w:rsidRPr="00594FCA">
        <w:rPr>
          <w:rFonts w:ascii="Times New Roman" w:eastAsia="Arial Unicode MS" w:hAnsi="Times New Roman" w:cs="Times New Roman"/>
          <w:color w:val="000000"/>
          <w:sz w:val="24"/>
          <w:szCs w:val="24"/>
          <w:lang w:eastAsia="pl-PL"/>
        </w:rPr>
        <w:t xml:space="preserve">pod warunkiem, że przedsiębiorca spełni wymagane warunki (w tym celu jest składane odpowiednie oświadczenie) i po uzyskaniu wpisu do rejestru małych instytucji płatniczych. </w:t>
      </w:r>
    </w:p>
    <w:p w14:paraId="579042B4" w14:textId="02216BA3" w:rsidR="005473CF" w:rsidRPr="00594FCA" w:rsidRDefault="005473CF" w:rsidP="00167DB4">
      <w:pPr>
        <w:spacing w:after="0" w:line="360" w:lineRule="auto"/>
        <w:jc w:val="both"/>
        <w:rPr>
          <w:rFonts w:ascii="Times New Roman" w:eastAsia="Arial Unicode MS" w:hAnsi="Times New Roman" w:cs="Times New Roman"/>
          <w:color w:val="000000"/>
          <w:sz w:val="24"/>
          <w:szCs w:val="24"/>
          <w:lang w:eastAsia="pl-PL"/>
        </w:rPr>
      </w:pPr>
      <w:r w:rsidRPr="00594FCA">
        <w:rPr>
          <w:rFonts w:ascii="Times New Roman" w:eastAsia="Arial Unicode MS" w:hAnsi="Times New Roman" w:cs="Times New Roman"/>
          <w:color w:val="000000"/>
          <w:sz w:val="24"/>
          <w:szCs w:val="24"/>
          <w:lang w:eastAsia="pl-PL"/>
        </w:rPr>
        <w:t>Spełnienie przez przedsiębiorcę ww. warunków (i złożenia odpowiednich dokumentów)</w:t>
      </w:r>
      <w:r w:rsidR="007C389F">
        <w:rPr>
          <w:rFonts w:ascii="Times New Roman" w:eastAsia="Arial Unicode MS" w:hAnsi="Times New Roman" w:cs="Times New Roman"/>
          <w:color w:val="000000"/>
          <w:sz w:val="24"/>
          <w:szCs w:val="24"/>
          <w:lang w:eastAsia="pl-PL"/>
        </w:rPr>
        <w:t xml:space="preserve"> </w:t>
      </w:r>
      <w:r w:rsidRPr="00594FCA">
        <w:rPr>
          <w:rFonts w:ascii="Times New Roman" w:eastAsia="Arial Unicode MS" w:hAnsi="Times New Roman" w:cs="Times New Roman"/>
          <w:color w:val="000000"/>
          <w:sz w:val="24"/>
          <w:szCs w:val="24"/>
          <w:lang w:eastAsia="pl-PL"/>
        </w:rPr>
        <w:t>rodzi po stronie KNF jako organu rejestrowego obowiązek dokonania wpisu. Uprawnienie do wykonywania działalności w charakterze małej instytucji płatniczej powstaje niezmiennie z mocy samego prawa po spełnieniu przesłanek materialnych i złożeniu wniosku.</w:t>
      </w:r>
    </w:p>
    <w:p w14:paraId="545BE98D" w14:textId="25EDEE81" w:rsidR="005473CF" w:rsidRPr="00594FCA" w:rsidRDefault="005473CF" w:rsidP="00167DB4">
      <w:pPr>
        <w:spacing w:after="0" w:line="360" w:lineRule="auto"/>
        <w:jc w:val="both"/>
        <w:rPr>
          <w:rFonts w:ascii="Times New Roman" w:eastAsia="Arial Unicode MS" w:hAnsi="Times New Roman" w:cs="Times New Roman"/>
          <w:color w:val="000000"/>
          <w:sz w:val="24"/>
          <w:szCs w:val="24"/>
          <w:lang w:eastAsia="pl-PL"/>
        </w:rPr>
      </w:pPr>
      <w:r w:rsidRPr="00594FCA">
        <w:rPr>
          <w:rFonts w:ascii="Times New Roman" w:eastAsia="Arial Unicode MS" w:hAnsi="Times New Roman" w:cs="Times New Roman"/>
          <w:color w:val="000000"/>
          <w:sz w:val="24"/>
          <w:szCs w:val="24"/>
          <w:lang w:eastAsia="pl-PL"/>
        </w:rPr>
        <w:t>Proponowana zmiana dotyczy rozszerzenia dokumentów i informacji dołączanych przez przedsiębiorcę składającego do KNF wniosek o wpis do rejestru małych instytucji płatniczych. Proponuje się dodanie obowiązku dołączania opisu rozwiązań organizacyjnych pozwalających na wyliczenie całkowitej miesięcznej kwoty transakcji płatniczych oraz wykonanie obowiązków związanych z przeciwdziałaniem praniu pieniędzy i finansowaniu terroryzmu zgodnie z ustawą o przeciwdziałaniu praniu pieniędzy.</w:t>
      </w:r>
      <w:r w:rsidR="007C389F">
        <w:rPr>
          <w:rFonts w:ascii="Times New Roman" w:eastAsia="Arial Unicode MS" w:hAnsi="Times New Roman" w:cs="Times New Roman"/>
          <w:color w:val="000000"/>
          <w:sz w:val="24"/>
          <w:szCs w:val="24"/>
          <w:lang w:eastAsia="pl-PL"/>
        </w:rPr>
        <w:t xml:space="preserve"> </w:t>
      </w:r>
    </w:p>
    <w:p w14:paraId="651BB138" w14:textId="5AE1E49F" w:rsidR="005473CF" w:rsidRPr="005473CF"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eastAsia="pl-PL"/>
        </w:rPr>
        <w:t>Szeroki zakres usług świadczonych przez MIP uzasadnia także wprowadzenie obowiązku przekazywania do KNF procedury w zakresie przeciwdziałania praniu pieniędzy i finansowaniu terroryzmu już na etapie ubiegania się o wpis do rejestru. W tym zakresie status MIP zbliży się do sytuacji prawnej KIP. Aktualnie bowiem ocena, czy MIP wywiązuje się z tego obowiązku, w praktyce nadzorczej jest utrudniona –</w:t>
      </w:r>
      <w:r w:rsidR="007C389F">
        <w:rPr>
          <w:rFonts w:ascii="Times New Roman" w:eastAsia="Arial Unicode MS" w:hAnsi="Times New Roman" w:cs="Times New Roman"/>
          <w:color w:val="000000"/>
          <w:sz w:val="24"/>
          <w:szCs w:val="24"/>
          <w:lang w:eastAsia="pl-PL"/>
        </w:rPr>
        <w:t xml:space="preserve"> </w:t>
      </w:r>
      <w:r w:rsidRPr="00594FCA">
        <w:rPr>
          <w:rFonts w:ascii="Times New Roman" w:eastAsia="Arial Unicode MS" w:hAnsi="Times New Roman" w:cs="Times New Roman"/>
          <w:color w:val="000000"/>
          <w:sz w:val="24"/>
          <w:szCs w:val="24"/>
          <w:lang w:eastAsia="pl-PL"/>
        </w:rPr>
        <w:t>wyłącznie w przypadku prowadzenia przez MIP działalności za pośrednictwem agentów przedsiębiorca ubiegający się o wpis do rejestru MIP jest zobowiązany do przekazania KNF, w ramach nadzoru uprzedniego, opisu</w:t>
      </w:r>
      <w:r w:rsidRPr="005473CF">
        <w:rPr>
          <w:rFonts w:ascii="Times New Roman" w:eastAsia="Arial Unicode MS" w:hAnsi="Times New Roman" w:cs="Times New Roman"/>
          <w:color w:val="000000"/>
          <w:sz w:val="24"/>
          <w:szCs w:val="24"/>
          <w:lang w:val="pl" w:eastAsia="pl-PL"/>
        </w:rPr>
        <w:t xml:space="preserve"> mechanizmów kontroli wewnętrznej związanych z zapobieganiem praniu pieniędzy i finansowaniu terroryzmu. Dopiero ustalenie przez KNF, po przeprowadzeniu kontroli, że działalność MIP jest wykony</w:t>
      </w:r>
      <w:r w:rsidR="001867C0">
        <w:rPr>
          <w:rFonts w:ascii="Times New Roman" w:eastAsia="Arial Unicode MS" w:hAnsi="Times New Roman" w:cs="Times New Roman"/>
          <w:color w:val="000000"/>
          <w:sz w:val="24"/>
          <w:szCs w:val="24"/>
          <w:lang w:val="pl" w:eastAsia="pl-PL"/>
        </w:rPr>
        <w:t>wana z naruszeniem prawa, pozwal</w:t>
      </w:r>
      <w:r w:rsidRPr="005473CF">
        <w:rPr>
          <w:rFonts w:ascii="Times New Roman" w:eastAsia="Arial Unicode MS" w:hAnsi="Times New Roman" w:cs="Times New Roman"/>
          <w:color w:val="000000"/>
          <w:sz w:val="24"/>
          <w:szCs w:val="24"/>
          <w:lang w:val="pl" w:eastAsia="pl-PL"/>
        </w:rPr>
        <w:t>a KNF na podjęcie środków nadzorczych. Naruszenie prawa może bowiem dotyczyć braku rozwiązań organizacyjnych związanych z zapobieganiem praniu pieniędzy i finansowaniu terroryzmu</w:t>
      </w:r>
      <w:r w:rsidR="007C389F">
        <w:rPr>
          <w:rFonts w:ascii="Times New Roman" w:eastAsia="Arial Unicode MS" w:hAnsi="Times New Roman" w:cs="Times New Roman"/>
          <w:color w:val="000000"/>
          <w:sz w:val="24"/>
          <w:szCs w:val="24"/>
          <w:lang w:val="pl" w:eastAsia="pl-PL"/>
        </w:rPr>
        <w:t xml:space="preserve"> </w:t>
      </w:r>
      <w:r w:rsidRPr="005473CF">
        <w:rPr>
          <w:rFonts w:ascii="Times New Roman" w:eastAsia="Arial Unicode MS" w:hAnsi="Times New Roman" w:cs="Times New Roman"/>
          <w:color w:val="000000"/>
          <w:sz w:val="24"/>
          <w:szCs w:val="24"/>
          <w:lang w:val="pl" w:eastAsia="pl-PL"/>
        </w:rPr>
        <w:t>albo posiadanie wadliwych rozwiązań w tym zakresie. Brak wewnętrznej procedury w tym obszarze jest także zagrożony sankcją administracyjną na mocy ustawy o przeciwdziałaniu praniu pieniędzy</w:t>
      </w:r>
      <w:r w:rsidRPr="005473CF">
        <w:rPr>
          <w:rFonts w:ascii="Times New Roman" w:hAnsi="Times New Roman" w:cs="Times New Roman"/>
          <w:color w:val="000000"/>
          <w:sz w:val="24"/>
          <w:szCs w:val="24"/>
        </w:rPr>
        <w:t xml:space="preserve"> </w:t>
      </w:r>
      <w:r w:rsidRPr="005473CF">
        <w:rPr>
          <w:rFonts w:ascii="Times New Roman" w:eastAsia="Arial Unicode MS" w:hAnsi="Times New Roman" w:cs="Times New Roman"/>
          <w:color w:val="000000"/>
          <w:sz w:val="24"/>
          <w:szCs w:val="24"/>
          <w:lang w:val="pl" w:eastAsia="pl-PL"/>
        </w:rPr>
        <w:t xml:space="preserve">oraz finansowaniu terroryzmu. </w:t>
      </w:r>
    </w:p>
    <w:p w14:paraId="726A99DE" w14:textId="77777777" w:rsidR="005473CF" w:rsidRPr="00594FCA"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 xml:space="preserve">Proponuje się także uzupełnienie zakresu informacji przekazywanych do KNF o dane związane z branżą, w jakiej działa hybrydowa mała instytucja płatnicza. W procesie rejestracji MIP branża tej działalności nie jest identyfikowana ani weryfikowana przez KNF. Branża prowadzonej działalności podstawowej jest jednym z podstawowych kryteriów oceny ryzyka instytucji w zakresie procesu przeciwdziałania praniu pieniędzy i finansowaniu terroryzmu. Dlatego zobowiązuje się przedsiębiorców składających wniosek o wpis do rejestru małych instytucji płatniczych do wskazania informacji dotyczącej </w:t>
      </w:r>
      <w:r w:rsidRPr="00594FCA">
        <w:rPr>
          <w:rFonts w:ascii="Times New Roman" w:eastAsia="Arial Unicode MS" w:hAnsi="Times New Roman" w:cs="Times New Roman"/>
          <w:color w:val="000000"/>
          <w:sz w:val="24"/>
          <w:szCs w:val="24"/>
          <w:lang w:val="pl" w:eastAsia="pl-PL"/>
        </w:rPr>
        <w:t>programu działalności i planu finansowy na okres pierwszych 12 miesięcy działalności, aktualną procedurę zarządzania ryzykiem, opis działalności gospodarczej prowadzonej przez małą instytucję płatniczą lub którą mała instytucja płatnicza zamierza prowadzić. Proponuje się również, aby wniosek o wpis do przedmiotowego rejestru zawierał informację dotyczącą sposobu ochrony środków pieniężnych otrzymanych przez użytkowników, w tym środki otrzymane za pośrednictwem agentów lub innego dostawcy w celu wykonania transakcji płatniczych.</w:t>
      </w:r>
    </w:p>
    <w:p w14:paraId="7E9DC265" w14:textId="77777777" w:rsidR="005473CF" w:rsidRPr="005473CF"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KNF powinna posiadać niezależne instrumenty weryfikacji prawidłowości wypełniania obowiązków sprawozdawczych oraz obowiązków związanych z przeciwdziałaniem praniu pieniędzy i finansowaniu terroryzmu przez MIP. W związku z tym we wniosku o wpis do rejestru, MIP będzie wskazywać, w jakiej instytucji posiada rachunki służące jej do realizacji usług płatniczych, wraz z numerami tych rachunków. Informacja taka będzie przekazywana do KNF po każdej zmianie takiego rachunku. W ten sposób organ nadzoru, w trybie analitycznym, na podstawie historii rachunków, będzie dokonywać oceny wykonywania ustawowych obowiązków przez MIP.</w:t>
      </w:r>
    </w:p>
    <w:p w14:paraId="05379A80" w14:textId="034202D1" w:rsidR="005473CF" w:rsidRPr="005473CF"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Ponadto proponuje się nałożenie na przedsiębiorcę składającego wniosek o wpis do rejestru małych instytucji płatniczych obowiązku dołączenia informacji o danych kontaktowych MIP dla celów sprawowania nadzoru przez KNF oraz zmianie tych danych. Proponowane zmiany wynikają z doświadczeń nadzorczych KNF, z których wynika, że</w:t>
      </w:r>
      <w:r w:rsidR="007C389F">
        <w:rPr>
          <w:rFonts w:ascii="Times New Roman" w:eastAsia="Arial Unicode MS" w:hAnsi="Times New Roman" w:cs="Times New Roman"/>
          <w:color w:val="000000"/>
          <w:sz w:val="24"/>
          <w:szCs w:val="24"/>
          <w:lang w:val="pl" w:eastAsia="pl-PL"/>
        </w:rPr>
        <w:t xml:space="preserve"> </w:t>
      </w:r>
      <w:r w:rsidRPr="005473CF">
        <w:rPr>
          <w:rFonts w:ascii="Times New Roman" w:eastAsia="Arial Unicode MS" w:hAnsi="Times New Roman" w:cs="Times New Roman"/>
          <w:color w:val="000000"/>
          <w:sz w:val="24"/>
          <w:szCs w:val="24"/>
          <w:lang w:val="pl" w:eastAsia="pl-PL"/>
        </w:rPr>
        <w:t xml:space="preserve">– w celu zapobiegania naruszeniom interesów użytkowników – należy KNF zapewnić posiadanie danych umożliwiających szybki i skuteczny kontakt z MIP. Zmiana te zapewnią lepszą kontrolę KNF nad tymi instytucjami. </w:t>
      </w:r>
    </w:p>
    <w:p w14:paraId="412ED314" w14:textId="77777777" w:rsidR="005473CF" w:rsidRPr="005473CF" w:rsidRDefault="005473CF" w:rsidP="00167DB4">
      <w:pPr>
        <w:spacing w:after="12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Korespondencja z podmiotem wpisanym do rejestru dostawców usług płatniczych prowadzącym działalność regulowaną jest jedynym sposobem komunikacji między podmiotem nadzorowanym a organem nadzoru. Brak kontaktu z danym podmiotem utrudnia, czy wręcz uniemożliwia sprawowanie przez KNF nadzoru nad działalnością regulowaną w zakresie świadczenia usług płatniczych.</w:t>
      </w:r>
    </w:p>
    <w:p w14:paraId="3C64710B" w14:textId="35052173" w:rsidR="005473CF" w:rsidRPr="00594FCA"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2</w:t>
      </w:r>
      <w:r w:rsidR="00066875">
        <w:rPr>
          <w:rFonts w:ascii="Times New Roman" w:eastAsia="Arial Unicode MS" w:hAnsi="Times New Roman" w:cs="Times New Roman"/>
          <w:color w:val="000000"/>
          <w:sz w:val="24"/>
          <w:szCs w:val="24"/>
          <w:lang w:val="pl" w:eastAsia="pl-PL"/>
        </w:rPr>
        <w:t>8</w:t>
      </w:r>
      <w:r w:rsidRPr="005473CF">
        <w:rPr>
          <w:rFonts w:ascii="Times New Roman" w:eastAsia="Arial Unicode MS" w:hAnsi="Times New Roman" w:cs="Times New Roman"/>
          <w:color w:val="000000"/>
          <w:sz w:val="24"/>
          <w:szCs w:val="24"/>
          <w:lang w:val="pl" w:eastAsia="pl-PL"/>
        </w:rPr>
        <w:t>)</w:t>
      </w:r>
      <w:r w:rsidR="00D5306A">
        <w:rPr>
          <w:rFonts w:ascii="Times New Roman" w:eastAsia="Arial Unicode MS" w:hAnsi="Times New Roman" w:cs="Times New Roman"/>
          <w:color w:val="000000"/>
          <w:sz w:val="24"/>
          <w:szCs w:val="24"/>
          <w:lang w:val="pl" w:eastAsia="pl-PL"/>
        </w:rPr>
        <w:tab/>
      </w:r>
      <w:r w:rsidR="001867C0">
        <w:rPr>
          <w:rFonts w:ascii="Times New Roman" w:eastAsia="Arial Unicode MS" w:hAnsi="Times New Roman" w:cs="Times New Roman"/>
          <w:color w:val="000000"/>
          <w:sz w:val="24"/>
          <w:szCs w:val="24"/>
          <w:lang w:val="pl" w:eastAsia="pl-PL"/>
        </w:rPr>
        <w:t>Art. 21</w:t>
      </w:r>
      <w:r w:rsidR="00066875">
        <w:rPr>
          <w:rFonts w:ascii="Times New Roman" w:eastAsia="Arial Unicode MS" w:hAnsi="Times New Roman" w:cs="Times New Roman"/>
          <w:color w:val="000000"/>
          <w:sz w:val="24"/>
          <w:szCs w:val="24"/>
          <w:lang w:val="pl" w:eastAsia="pl-PL"/>
        </w:rPr>
        <w:t xml:space="preserve"> pkt 32</w:t>
      </w:r>
      <w:r w:rsidRPr="00594FCA">
        <w:rPr>
          <w:rFonts w:ascii="Times New Roman" w:eastAsia="Arial Unicode MS" w:hAnsi="Times New Roman" w:cs="Times New Roman"/>
          <w:color w:val="000000"/>
          <w:sz w:val="24"/>
          <w:szCs w:val="24"/>
          <w:lang w:val="pl" w:eastAsia="pl-PL"/>
        </w:rPr>
        <w:t xml:space="preserve"> projektu (art. 117p ust. 1 i 3 ustawy)</w:t>
      </w:r>
    </w:p>
    <w:p w14:paraId="74519779" w14:textId="4D7009B6" w:rsidR="005473CF" w:rsidRPr="00594FCA" w:rsidRDefault="005473CF" w:rsidP="00167DB4">
      <w:pPr>
        <w:spacing w:after="12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 xml:space="preserve">Zmiana ma na celu zapewnienie KNF skuteczniejszej kontroli nad MIP przez zobowiązanie MIP do zgłaszania KNF specjalnego </w:t>
      </w:r>
      <w:r w:rsidRPr="00594FCA">
        <w:rPr>
          <w:rFonts w:ascii="Times New Roman" w:eastAsia="Arial Unicode MS" w:hAnsi="Times New Roman" w:cs="Times New Roman"/>
          <w:color w:val="000000"/>
          <w:sz w:val="24"/>
          <w:szCs w:val="24"/>
          <w:lang w:val="pl" w:eastAsia="pl-PL"/>
        </w:rPr>
        <w:t>numeru rachunku płatniczego utworzonego i prowadzonego dla MIP</w:t>
      </w:r>
      <w:r w:rsidR="007C389F">
        <w:rPr>
          <w:rFonts w:ascii="Times New Roman" w:eastAsia="Arial Unicode MS" w:hAnsi="Times New Roman" w:cs="Times New Roman"/>
          <w:color w:val="000000"/>
          <w:sz w:val="24"/>
          <w:szCs w:val="24"/>
          <w:lang w:val="pl" w:eastAsia="pl-PL"/>
        </w:rPr>
        <w:t xml:space="preserve"> </w:t>
      </w:r>
      <w:r w:rsidRPr="00594FCA">
        <w:rPr>
          <w:rFonts w:ascii="Times New Roman" w:eastAsia="Arial Unicode MS" w:hAnsi="Times New Roman" w:cs="Times New Roman"/>
          <w:color w:val="000000"/>
          <w:sz w:val="24"/>
          <w:szCs w:val="24"/>
          <w:lang w:val="pl" w:eastAsia="pl-PL"/>
        </w:rPr>
        <w:t xml:space="preserve">przez dostawcę prowadzącego rachunek płatniczy wyłącznie dla potrzeb transferów (co jest związane z dodawanym art. 117 ha) oraz zgłaszania zmian w zakresie dokumentów i informacji, które były dołączane przez MIP na etapie składani wniosku o wpis do rejestru (co jest związane z dodawanym art. 117j ust. 2 pkt 3–8). </w:t>
      </w:r>
    </w:p>
    <w:p w14:paraId="792CED0C" w14:textId="79185801" w:rsidR="005473CF" w:rsidRPr="005473CF"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2</w:t>
      </w:r>
      <w:r w:rsidR="00066875">
        <w:rPr>
          <w:rFonts w:ascii="Times New Roman" w:eastAsia="Arial Unicode MS" w:hAnsi="Times New Roman" w:cs="Times New Roman"/>
          <w:color w:val="000000"/>
          <w:sz w:val="24"/>
          <w:szCs w:val="24"/>
          <w:lang w:val="pl" w:eastAsia="pl-PL"/>
        </w:rPr>
        <w:t>9</w:t>
      </w:r>
      <w:r w:rsidRPr="005473CF">
        <w:rPr>
          <w:rFonts w:ascii="Times New Roman" w:eastAsia="Arial Unicode MS" w:hAnsi="Times New Roman" w:cs="Times New Roman"/>
          <w:color w:val="000000"/>
          <w:sz w:val="24"/>
          <w:szCs w:val="24"/>
          <w:lang w:val="pl" w:eastAsia="pl-PL"/>
        </w:rPr>
        <w:t>)</w:t>
      </w:r>
      <w:r w:rsidR="00D5306A">
        <w:rPr>
          <w:rFonts w:ascii="Times New Roman" w:eastAsia="Arial Unicode MS" w:hAnsi="Times New Roman" w:cs="Times New Roman"/>
          <w:color w:val="000000"/>
          <w:sz w:val="24"/>
          <w:szCs w:val="24"/>
          <w:lang w:val="pl" w:eastAsia="pl-PL"/>
        </w:rPr>
        <w:tab/>
      </w:r>
      <w:r w:rsidR="001867C0">
        <w:rPr>
          <w:rFonts w:ascii="Times New Roman" w:eastAsia="Arial Unicode MS" w:hAnsi="Times New Roman" w:cs="Times New Roman"/>
          <w:color w:val="000000"/>
          <w:sz w:val="24"/>
          <w:szCs w:val="24"/>
          <w:lang w:val="pl" w:eastAsia="pl-PL"/>
        </w:rPr>
        <w:t>Art. 21</w:t>
      </w:r>
      <w:r w:rsidR="00066875">
        <w:rPr>
          <w:rFonts w:ascii="Times New Roman" w:eastAsia="Arial Unicode MS" w:hAnsi="Times New Roman" w:cs="Times New Roman"/>
          <w:color w:val="000000"/>
          <w:sz w:val="24"/>
          <w:szCs w:val="24"/>
          <w:lang w:val="pl" w:eastAsia="pl-PL"/>
        </w:rPr>
        <w:t xml:space="preserve"> pkt 33</w:t>
      </w:r>
      <w:r w:rsidRPr="00594FCA">
        <w:rPr>
          <w:rFonts w:ascii="Times New Roman" w:eastAsia="Arial Unicode MS" w:hAnsi="Times New Roman" w:cs="Times New Roman"/>
          <w:color w:val="000000"/>
          <w:sz w:val="24"/>
          <w:szCs w:val="24"/>
          <w:lang w:val="pl" w:eastAsia="pl-PL"/>
        </w:rPr>
        <w:t xml:space="preserve"> projektu (art. 117q ustawy)</w:t>
      </w:r>
    </w:p>
    <w:p w14:paraId="4B8EDB5F" w14:textId="261AD246" w:rsidR="005473CF" w:rsidRPr="00594FCA"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Proponuje się dodanie przepisu umożliwiającego zastosowanie przez KNF sankcji w postaci kary pieniężnej za przekroczenie przez MIP limitów transakcji, o których mowa w art. 117p ust. 1 pkt 1, w przypadku gdy</w:t>
      </w:r>
      <w:r w:rsidR="007C389F">
        <w:rPr>
          <w:rFonts w:ascii="Times New Roman" w:eastAsia="Arial Unicode MS" w:hAnsi="Times New Roman" w:cs="Times New Roman"/>
          <w:color w:val="000000"/>
          <w:sz w:val="24"/>
          <w:szCs w:val="24"/>
          <w:lang w:val="pl" w:eastAsia="pl-PL"/>
        </w:rPr>
        <w:t xml:space="preserve"> </w:t>
      </w:r>
      <w:r w:rsidRPr="00594FCA">
        <w:rPr>
          <w:rFonts w:ascii="Times New Roman" w:eastAsia="Arial Unicode MS" w:hAnsi="Times New Roman" w:cs="Times New Roman"/>
          <w:color w:val="000000"/>
          <w:sz w:val="24"/>
          <w:szCs w:val="24"/>
          <w:lang w:val="pl" w:eastAsia="pl-PL"/>
        </w:rPr>
        <w:t>MIP nie podejmie działań określonych w art. 117q ust. 1.</w:t>
      </w:r>
    </w:p>
    <w:p w14:paraId="16BC05BB" w14:textId="7190ADB0" w:rsidR="005473CF" w:rsidRPr="00594FCA" w:rsidRDefault="005473CF" w:rsidP="00167DB4">
      <w:pPr>
        <w:spacing w:after="12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Uzasadnieniem dla wprowadzenia projektowanej regulacji jest ograniczenie przypadków prowadzenia działalności w charakterze małej instytucji płatniczej z przekroczeniem dopuszczalnych limitów ustawowych. Praktyka nadzorcza wskazuje, że niektóre małe instytucje płatnicze, w krótkim czasie po uzyskaniu wpisu informują o przekroczeniu limitów transakcji oraz składając wniosek o uzyskanie zezwolenia na działalność w charakterze małej instytucji płatniczej, prowadzą działalność poza ustawowymi granicami. Propozycja UKNF nie zmienia dopuszczalności złożenia wniosku o zezwolenie na KIP, ale ogranicza możliwość wykorzystywania okresu po złożeniu wniosku o zezwolenie na KIP do chwili jego uzyskania do nieograniczonego przekraczania limitów nałożonych na MIP. Stan ten jest z założenia ustawodawcy ma charakter przejściowy i nie może być wykorzystywany do obchodzenia ustawowych ograniczeń działalności przez MIP.</w:t>
      </w:r>
    </w:p>
    <w:p w14:paraId="46348F48" w14:textId="6C03E6F8" w:rsidR="005473CF" w:rsidRPr="00594FCA" w:rsidRDefault="00066875" w:rsidP="00167DB4">
      <w:pPr>
        <w:spacing w:after="0" w:line="360" w:lineRule="auto"/>
        <w:jc w:val="both"/>
        <w:rPr>
          <w:rFonts w:ascii="Times New Roman" w:eastAsia="Arial Unicode MS" w:hAnsi="Times New Roman" w:cs="Times New Roman"/>
          <w:color w:val="000000"/>
          <w:sz w:val="24"/>
          <w:szCs w:val="24"/>
          <w:lang w:val="pl" w:eastAsia="pl-PL"/>
        </w:rPr>
      </w:pPr>
      <w:r>
        <w:rPr>
          <w:rFonts w:ascii="Times New Roman" w:eastAsia="Arial Unicode MS" w:hAnsi="Times New Roman" w:cs="Times New Roman"/>
          <w:color w:val="000000"/>
          <w:sz w:val="24"/>
          <w:szCs w:val="24"/>
          <w:lang w:val="pl" w:eastAsia="pl-PL"/>
        </w:rPr>
        <w:t>30</w:t>
      </w:r>
      <w:r w:rsidR="005473CF" w:rsidRPr="005473CF">
        <w:rPr>
          <w:rFonts w:ascii="Times New Roman" w:eastAsia="Arial Unicode MS" w:hAnsi="Times New Roman" w:cs="Times New Roman"/>
          <w:color w:val="000000"/>
          <w:sz w:val="24"/>
          <w:szCs w:val="24"/>
          <w:lang w:val="pl" w:eastAsia="pl-PL"/>
        </w:rPr>
        <w:t>)</w:t>
      </w:r>
      <w:r w:rsidR="00D5306A">
        <w:rPr>
          <w:rFonts w:ascii="Times New Roman" w:eastAsia="Arial Unicode MS" w:hAnsi="Times New Roman" w:cs="Times New Roman"/>
          <w:color w:val="000000"/>
          <w:sz w:val="24"/>
          <w:szCs w:val="24"/>
          <w:lang w:val="pl" w:eastAsia="pl-PL"/>
        </w:rPr>
        <w:tab/>
      </w:r>
      <w:r w:rsidR="001867C0">
        <w:rPr>
          <w:rFonts w:ascii="Times New Roman" w:eastAsia="Arial Unicode MS" w:hAnsi="Times New Roman" w:cs="Times New Roman"/>
          <w:color w:val="000000"/>
          <w:sz w:val="24"/>
          <w:szCs w:val="24"/>
          <w:lang w:val="pl" w:eastAsia="pl-PL"/>
        </w:rPr>
        <w:t>Art. 21</w:t>
      </w:r>
      <w:r>
        <w:rPr>
          <w:rFonts w:ascii="Times New Roman" w:eastAsia="Arial Unicode MS" w:hAnsi="Times New Roman" w:cs="Times New Roman"/>
          <w:color w:val="000000"/>
          <w:sz w:val="24"/>
          <w:szCs w:val="24"/>
          <w:lang w:val="pl" w:eastAsia="pl-PL"/>
        </w:rPr>
        <w:t xml:space="preserve"> pkt 34</w:t>
      </w:r>
      <w:r w:rsidR="005473CF" w:rsidRPr="00594FCA">
        <w:rPr>
          <w:rFonts w:ascii="Times New Roman" w:eastAsia="Arial Unicode MS" w:hAnsi="Times New Roman" w:cs="Times New Roman"/>
          <w:color w:val="000000"/>
          <w:sz w:val="24"/>
          <w:szCs w:val="24"/>
          <w:lang w:val="pl" w:eastAsia="pl-PL"/>
        </w:rPr>
        <w:t xml:space="preserve"> projektu (art. 117r ust. 1 pkt 1 ustawy)</w:t>
      </w:r>
    </w:p>
    <w:p w14:paraId="69698768" w14:textId="77777777" w:rsidR="005473CF" w:rsidRPr="00594FCA" w:rsidRDefault="005473CF" w:rsidP="00167DB4">
      <w:pPr>
        <w:spacing w:after="12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Proponuje się modyfikację zakresu i sposobu przekazywania przez MIP danych sprawozdawczych przez dodanie wymogu przedstawiania danych w podziale na poszczególne usługi płatnicze, co rozszerzy wiedzę KNF na temat charakteru działalności prowadzonej przez MIP.</w:t>
      </w:r>
    </w:p>
    <w:p w14:paraId="107CA136" w14:textId="1F4AD0BC" w:rsidR="005473CF" w:rsidRPr="00594FCA" w:rsidRDefault="00066875" w:rsidP="00167DB4">
      <w:pPr>
        <w:spacing w:after="0" w:line="360" w:lineRule="auto"/>
        <w:jc w:val="both"/>
        <w:rPr>
          <w:rFonts w:ascii="Times New Roman" w:eastAsia="Arial Unicode MS" w:hAnsi="Times New Roman" w:cs="Times New Roman"/>
          <w:color w:val="000000"/>
          <w:sz w:val="24"/>
          <w:szCs w:val="24"/>
          <w:lang w:val="pl" w:eastAsia="pl-PL"/>
        </w:rPr>
      </w:pPr>
      <w:r>
        <w:rPr>
          <w:rFonts w:ascii="Times New Roman" w:eastAsia="Arial Unicode MS" w:hAnsi="Times New Roman" w:cs="Times New Roman"/>
          <w:color w:val="000000"/>
          <w:sz w:val="24"/>
          <w:szCs w:val="24"/>
          <w:lang w:val="pl" w:eastAsia="pl-PL"/>
        </w:rPr>
        <w:t>31</w:t>
      </w:r>
      <w:r w:rsidR="00D5306A">
        <w:rPr>
          <w:rFonts w:ascii="Times New Roman" w:eastAsia="Arial Unicode MS" w:hAnsi="Times New Roman" w:cs="Times New Roman"/>
          <w:color w:val="000000"/>
          <w:sz w:val="24"/>
          <w:szCs w:val="24"/>
          <w:lang w:val="pl" w:eastAsia="pl-PL"/>
        </w:rPr>
        <w:t>)</w:t>
      </w:r>
      <w:r w:rsidR="00D5306A">
        <w:rPr>
          <w:rFonts w:ascii="Times New Roman" w:eastAsia="Arial Unicode MS" w:hAnsi="Times New Roman" w:cs="Times New Roman"/>
          <w:color w:val="000000"/>
          <w:sz w:val="24"/>
          <w:szCs w:val="24"/>
          <w:lang w:val="pl" w:eastAsia="pl-PL"/>
        </w:rPr>
        <w:tab/>
      </w:r>
      <w:r w:rsidR="001867C0">
        <w:rPr>
          <w:rFonts w:ascii="Times New Roman" w:eastAsia="Arial Unicode MS" w:hAnsi="Times New Roman" w:cs="Times New Roman"/>
          <w:color w:val="000000"/>
          <w:sz w:val="24"/>
          <w:szCs w:val="24"/>
          <w:lang w:val="pl" w:eastAsia="pl-PL"/>
        </w:rPr>
        <w:t>Art. 21</w:t>
      </w:r>
      <w:r>
        <w:rPr>
          <w:rFonts w:ascii="Times New Roman" w:eastAsia="Arial Unicode MS" w:hAnsi="Times New Roman" w:cs="Times New Roman"/>
          <w:color w:val="000000"/>
          <w:sz w:val="24"/>
          <w:szCs w:val="24"/>
          <w:lang w:val="pl" w:eastAsia="pl-PL"/>
        </w:rPr>
        <w:t xml:space="preserve"> pkt 35</w:t>
      </w:r>
      <w:r w:rsidR="001E3F15" w:rsidRPr="00594FCA">
        <w:rPr>
          <w:rFonts w:ascii="Times New Roman" w:eastAsia="Arial Unicode MS" w:hAnsi="Times New Roman" w:cs="Times New Roman"/>
          <w:color w:val="000000"/>
          <w:sz w:val="24"/>
          <w:szCs w:val="24"/>
          <w:lang w:val="pl" w:eastAsia="pl-PL"/>
        </w:rPr>
        <w:t xml:space="preserve"> projektu (art. 117s </w:t>
      </w:r>
      <w:r w:rsidR="005473CF" w:rsidRPr="00594FCA">
        <w:rPr>
          <w:rFonts w:ascii="Times New Roman" w:eastAsia="Arial Unicode MS" w:hAnsi="Times New Roman" w:cs="Times New Roman"/>
          <w:color w:val="000000"/>
          <w:sz w:val="24"/>
          <w:szCs w:val="24"/>
          <w:lang w:val="pl" w:eastAsia="pl-PL"/>
        </w:rPr>
        <w:t>ustawy)</w:t>
      </w:r>
    </w:p>
    <w:p w14:paraId="184154D5" w14:textId="77777777" w:rsidR="005473CF" w:rsidRPr="00594FCA"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Proponuje się wprowadzenie możliwości doręczeń elektronicznych w rozumieniu ustawy o doręczeniach elektronicznych w odniesieniu do dokumentów dotyczących czynności kontrolnych i innych czynności nadzorczych, w przypadku gdy ww. czynności będą realizowane zdalnie z wykorzystaniem dokumentów sporządzanych w postaci elektronicznej, w odniesieniu do dostawców świadczących wyłącznie usługę dostępu do informacji o rachunku.</w:t>
      </w:r>
    </w:p>
    <w:p w14:paraId="1D603C68" w14:textId="77777777" w:rsidR="005473CF" w:rsidRPr="00594FCA"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Zmiana analogiczna jak w art. 117s ust. 4a i 4b.</w:t>
      </w:r>
    </w:p>
    <w:p w14:paraId="0FFA3122" w14:textId="49C9E1FA" w:rsidR="005473CF" w:rsidRPr="00594FCA" w:rsidRDefault="005473CF" w:rsidP="00167DB4">
      <w:pPr>
        <w:spacing w:before="120" w:after="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3</w:t>
      </w:r>
      <w:r w:rsidR="00066875">
        <w:rPr>
          <w:rFonts w:ascii="Times New Roman" w:eastAsia="Arial Unicode MS" w:hAnsi="Times New Roman" w:cs="Times New Roman"/>
          <w:color w:val="000000"/>
          <w:sz w:val="24"/>
          <w:szCs w:val="24"/>
          <w:lang w:val="pl" w:eastAsia="pl-PL"/>
        </w:rPr>
        <w:t>2</w:t>
      </w:r>
      <w:r w:rsidR="00D5306A">
        <w:rPr>
          <w:rFonts w:ascii="Times New Roman" w:eastAsia="Arial Unicode MS" w:hAnsi="Times New Roman" w:cs="Times New Roman"/>
          <w:color w:val="000000"/>
          <w:sz w:val="24"/>
          <w:szCs w:val="24"/>
          <w:lang w:val="pl" w:eastAsia="pl-PL"/>
        </w:rPr>
        <w:t>)</w:t>
      </w:r>
      <w:r w:rsidR="00D5306A">
        <w:rPr>
          <w:rFonts w:ascii="Times New Roman" w:eastAsia="Arial Unicode MS" w:hAnsi="Times New Roman" w:cs="Times New Roman"/>
          <w:color w:val="000000"/>
          <w:sz w:val="24"/>
          <w:szCs w:val="24"/>
          <w:lang w:val="pl" w:eastAsia="pl-PL"/>
        </w:rPr>
        <w:tab/>
      </w:r>
      <w:r w:rsidR="001867C0">
        <w:rPr>
          <w:rFonts w:ascii="Times New Roman" w:eastAsia="Arial Unicode MS" w:hAnsi="Times New Roman" w:cs="Times New Roman"/>
          <w:color w:val="000000"/>
          <w:sz w:val="24"/>
          <w:szCs w:val="24"/>
          <w:lang w:val="pl" w:eastAsia="pl-PL"/>
        </w:rPr>
        <w:t>Art. 21</w:t>
      </w:r>
      <w:r w:rsidR="00066875">
        <w:rPr>
          <w:rFonts w:ascii="Times New Roman" w:eastAsia="Arial Unicode MS" w:hAnsi="Times New Roman" w:cs="Times New Roman"/>
          <w:color w:val="000000"/>
          <w:sz w:val="24"/>
          <w:szCs w:val="24"/>
          <w:lang w:val="pl" w:eastAsia="pl-PL"/>
        </w:rPr>
        <w:t xml:space="preserve"> pkt 36</w:t>
      </w:r>
      <w:r w:rsidRPr="00594FCA">
        <w:rPr>
          <w:rFonts w:ascii="Times New Roman" w:eastAsia="Arial Unicode MS" w:hAnsi="Times New Roman" w:cs="Times New Roman"/>
          <w:color w:val="000000"/>
          <w:sz w:val="24"/>
          <w:szCs w:val="24"/>
          <w:lang w:val="pl" w:eastAsia="pl-PL"/>
        </w:rPr>
        <w:t xml:space="preserve"> projektu (art. 118 ust. 2a oraz 3a i 3 b ustawy)</w:t>
      </w:r>
    </w:p>
    <w:p w14:paraId="0C3BA68B" w14:textId="77777777" w:rsidR="005473CF" w:rsidRPr="005473CF"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Proponowane zmiany mają na celu doprecyzowanie przepisów dotyczących BUP. Przewiduje się jednoznaczne wskazanie, że w zakresie usług płatniczych BUP może świadczyć wyłącznie usługę przekazu pieniężnego (ust. 2a). Pozwoli to na wyeliminowanie dotychczasowych wątpliwości interpretacyjnych, skutkujących potencjalnym naruszeniem przez BUP art. 150 ustawy (przepis karny).</w:t>
      </w:r>
    </w:p>
    <w:p w14:paraId="6770D705" w14:textId="77777777" w:rsidR="005473CF" w:rsidRPr="005473CF" w:rsidRDefault="005473CF" w:rsidP="00167DB4">
      <w:pPr>
        <w:spacing w:after="12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Rozwiązanie zaproponowane w ust. 3b ma na celu zabezpieczenie przed obchodzeniem limitu pojedynczej transakcji płatniczej wykonanej przez BUP, określonego w ust. 3a, przez zlecanie przez tego samego płatnika w krótkich odstępach czasu kilku transakcji mieszczących się w tym limicie.</w:t>
      </w:r>
      <w:r w:rsidRPr="00594FCA">
        <w:rPr>
          <w:rFonts w:ascii="Times New Roman" w:eastAsia="Arial Unicode MS" w:hAnsi="Times New Roman" w:cs="Times New Roman"/>
          <w:color w:val="000000"/>
          <w:sz w:val="24"/>
          <w:szCs w:val="24"/>
          <w:lang w:val="pl" w:eastAsia="pl-PL"/>
        </w:rPr>
        <w:t xml:space="preserve"> </w:t>
      </w:r>
      <w:r w:rsidRPr="005473CF">
        <w:rPr>
          <w:rFonts w:ascii="Times New Roman" w:eastAsia="Arial Unicode MS" w:hAnsi="Times New Roman" w:cs="Times New Roman"/>
          <w:color w:val="000000"/>
          <w:sz w:val="24"/>
          <w:szCs w:val="24"/>
          <w:lang w:val="pl" w:eastAsia="pl-PL"/>
        </w:rPr>
        <w:t>Regulacje PSD2 nie odnoszą się do zagadnienia limitu kwoty pojedynczej transakcji. O zasadności jego wprowadzenia przesądzają względy systemowe wyłączenia narodowego przewidzianego w PSD2. Natomiast wysokość limitu została ustalona na podstawie dotychczasowych doświadczeń nadzorczych UKNF.</w:t>
      </w:r>
    </w:p>
    <w:p w14:paraId="6EF5C151" w14:textId="00DDCF31" w:rsidR="005473CF" w:rsidRPr="00594FCA"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3</w:t>
      </w:r>
      <w:r w:rsidR="00066875">
        <w:rPr>
          <w:rFonts w:ascii="Times New Roman" w:eastAsia="Arial Unicode MS" w:hAnsi="Times New Roman" w:cs="Times New Roman"/>
          <w:color w:val="000000"/>
          <w:sz w:val="24"/>
          <w:szCs w:val="24"/>
          <w:lang w:val="pl" w:eastAsia="pl-PL"/>
        </w:rPr>
        <w:t>3</w:t>
      </w:r>
      <w:r w:rsidRPr="005473CF">
        <w:rPr>
          <w:rFonts w:ascii="Times New Roman" w:eastAsia="Arial Unicode MS" w:hAnsi="Times New Roman" w:cs="Times New Roman"/>
          <w:color w:val="000000"/>
          <w:sz w:val="24"/>
          <w:szCs w:val="24"/>
          <w:lang w:val="pl" w:eastAsia="pl-PL"/>
        </w:rPr>
        <w:t>)</w:t>
      </w:r>
      <w:r w:rsidR="00D5306A">
        <w:rPr>
          <w:rFonts w:ascii="Times New Roman" w:eastAsia="Arial Unicode MS" w:hAnsi="Times New Roman" w:cs="Times New Roman"/>
          <w:color w:val="000000"/>
          <w:sz w:val="24"/>
          <w:szCs w:val="24"/>
          <w:lang w:val="pl" w:eastAsia="pl-PL"/>
        </w:rPr>
        <w:tab/>
      </w:r>
      <w:r w:rsidR="001867C0">
        <w:rPr>
          <w:rFonts w:ascii="Times New Roman" w:eastAsia="Arial Unicode MS" w:hAnsi="Times New Roman" w:cs="Times New Roman"/>
          <w:color w:val="000000"/>
          <w:sz w:val="24"/>
          <w:szCs w:val="24"/>
          <w:lang w:val="pl" w:eastAsia="pl-PL"/>
        </w:rPr>
        <w:t>Art. 21</w:t>
      </w:r>
      <w:r w:rsidR="00066875">
        <w:rPr>
          <w:rFonts w:ascii="Times New Roman" w:eastAsia="Arial Unicode MS" w:hAnsi="Times New Roman" w:cs="Times New Roman"/>
          <w:color w:val="000000"/>
          <w:sz w:val="24"/>
          <w:szCs w:val="24"/>
          <w:lang w:val="pl" w:eastAsia="pl-PL"/>
        </w:rPr>
        <w:t xml:space="preserve"> pkt 37</w:t>
      </w:r>
      <w:r w:rsidR="009568D4" w:rsidRPr="00594FCA">
        <w:rPr>
          <w:rFonts w:ascii="Times New Roman" w:eastAsia="Arial Unicode MS" w:hAnsi="Times New Roman" w:cs="Times New Roman"/>
          <w:color w:val="000000"/>
          <w:sz w:val="24"/>
          <w:szCs w:val="24"/>
          <w:lang w:val="pl" w:eastAsia="pl-PL"/>
        </w:rPr>
        <w:t xml:space="preserve"> projektu (art. 119a </w:t>
      </w:r>
      <w:r w:rsidRPr="00594FCA">
        <w:rPr>
          <w:rFonts w:ascii="Times New Roman" w:eastAsia="Arial Unicode MS" w:hAnsi="Times New Roman" w:cs="Times New Roman"/>
          <w:color w:val="000000"/>
          <w:sz w:val="24"/>
          <w:szCs w:val="24"/>
          <w:lang w:val="pl" w:eastAsia="pl-PL"/>
        </w:rPr>
        <w:t>ustawy)</w:t>
      </w:r>
    </w:p>
    <w:p w14:paraId="65062CD8" w14:textId="77777777" w:rsidR="005473CF" w:rsidRPr="005473CF" w:rsidRDefault="005473CF" w:rsidP="00167DB4">
      <w:pPr>
        <w:spacing w:after="12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 xml:space="preserve">Dodawany przepis dotyczy obowiązku dołączania przez przedsiębiorcę składającego wniosek o wpis do rejestru biur usług płatniczych informacji o danych kontaktowych BUP dla celów sprawowania nadzoru przez KNF. Proponowane zmiany są tożsame ze zmianami zaproponowanymi w art. 117j ust. 2 w zakresie MIP. </w:t>
      </w:r>
    </w:p>
    <w:p w14:paraId="38F35461" w14:textId="33814493" w:rsidR="005473CF" w:rsidRPr="00594FCA"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3</w:t>
      </w:r>
      <w:r w:rsidR="00066875">
        <w:rPr>
          <w:rFonts w:ascii="Times New Roman" w:eastAsia="Arial Unicode MS" w:hAnsi="Times New Roman" w:cs="Times New Roman"/>
          <w:color w:val="000000"/>
          <w:sz w:val="24"/>
          <w:szCs w:val="24"/>
          <w:lang w:val="pl" w:eastAsia="pl-PL"/>
        </w:rPr>
        <w:t>4</w:t>
      </w:r>
      <w:r w:rsidRPr="005473CF">
        <w:rPr>
          <w:rFonts w:ascii="Times New Roman" w:eastAsia="Arial Unicode MS" w:hAnsi="Times New Roman" w:cs="Times New Roman"/>
          <w:color w:val="000000"/>
          <w:sz w:val="24"/>
          <w:szCs w:val="24"/>
          <w:lang w:val="pl" w:eastAsia="pl-PL"/>
        </w:rPr>
        <w:t>)</w:t>
      </w:r>
      <w:r w:rsidR="00D5306A">
        <w:rPr>
          <w:rFonts w:ascii="Times New Roman" w:eastAsia="Arial Unicode MS" w:hAnsi="Times New Roman" w:cs="Times New Roman"/>
          <w:color w:val="000000"/>
          <w:sz w:val="24"/>
          <w:szCs w:val="24"/>
          <w:lang w:val="pl" w:eastAsia="pl-PL"/>
        </w:rPr>
        <w:tab/>
      </w:r>
      <w:r w:rsidR="001867C0">
        <w:rPr>
          <w:rFonts w:ascii="Times New Roman" w:eastAsia="Arial Unicode MS" w:hAnsi="Times New Roman" w:cs="Times New Roman"/>
          <w:color w:val="000000"/>
          <w:sz w:val="24"/>
          <w:szCs w:val="24"/>
          <w:lang w:val="pl" w:eastAsia="pl-PL"/>
        </w:rPr>
        <w:t>Art. 21</w:t>
      </w:r>
      <w:r w:rsidR="00066875">
        <w:rPr>
          <w:rFonts w:ascii="Times New Roman" w:eastAsia="Arial Unicode MS" w:hAnsi="Times New Roman" w:cs="Times New Roman"/>
          <w:color w:val="000000"/>
          <w:sz w:val="24"/>
          <w:szCs w:val="24"/>
          <w:lang w:val="pl" w:eastAsia="pl-PL"/>
        </w:rPr>
        <w:t xml:space="preserve"> pkt 38</w:t>
      </w:r>
      <w:r w:rsidRPr="00594FCA">
        <w:rPr>
          <w:rFonts w:ascii="Times New Roman" w:eastAsia="Arial Unicode MS" w:hAnsi="Times New Roman" w:cs="Times New Roman"/>
          <w:color w:val="000000"/>
          <w:sz w:val="24"/>
          <w:szCs w:val="24"/>
          <w:lang w:val="pl" w:eastAsia="pl-PL"/>
        </w:rPr>
        <w:t xml:space="preserve"> projektu (art. 121 ustawy)</w:t>
      </w:r>
    </w:p>
    <w:p w14:paraId="69F8D504" w14:textId="77777777" w:rsidR="005473CF" w:rsidRPr="00594FCA" w:rsidRDefault="005473CF" w:rsidP="00167DB4">
      <w:pPr>
        <w:spacing w:after="12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Proponowana zmiana ma na celu doprecyzowanie zakresu odpowiedniego stosowania wobec BUP przepisów dotyczących agentów i outsourcingu. W szczególności, w świetle ograniczonego zakresu i nieskomplikowanego charakteru działalności BUP, ograniczonego ryzyka związanego z tą działalnością, jak również przewidzianych ustawą innych mechanizmów zabezpieczających interesy użytkowników oraz zakresu odpowiedzialności BUP, uzasadnione jest odstąpienie od odpowiedniego stosowania do BUP wymogów dotyczących outsourcingu, polegających na stosowaniu formy pisemnej, ewidencjonowaniu i informowaniu KNF w zakresie umów zawieranych przez BUP z innym przedsiębiorcom, mających na celu umożliwienie BUP powierzenia temu przedsiębiorcy wykonywania określonych czynności operacyjnych związanych ze świadczeniem usług płatniczych.</w:t>
      </w:r>
    </w:p>
    <w:p w14:paraId="0A10FB1C" w14:textId="17DA0BDB" w:rsidR="005473CF" w:rsidRPr="00594FCA"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3</w:t>
      </w:r>
      <w:r w:rsidR="00066875">
        <w:rPr>
          <w:rFonts w:ascii="Times New Roman" w:eastAsia="Arial Unicode MS" w:hAnsi="Times New Roman" w:cs="Times New Roman"/>
          <w:color w:val="000000"/>
          <w:sz w:val="24"/>
          <w:szCs w:val="24"/>
          <w:lang w:val="pl" w:eastAsia="pl-PL"/>
        </w:rPr>
        <w:t>5</w:t>
      </w:r>
      <w:r w:rsidRPr="005473CF">
        <w:rPr>
          <w:rFonts w:ascii="Times New Roman" w:eastAsia="Arial Unicode MS" w:hAnsi="Times New Roman" w:cs="Times New Roman"/>
          <w:color w:val="000000"/>
          <w:sz w:val="24"/>
          <w:szCs w:val="24"/>
          <w:lang w:val="pl" w:eastAsia="pl-PL"/>
        </w:rPr>
        <w:t>)</w:t>
      </w:r>
      <w:r w:rsidR="00D5306A">
        <w:rPr>
          <w:rFonts w:ascii="Times New Roman" w:eastAsia="Arial Unicode MS" w:hAnsi="Times New Roman" w:cs="Times New Roman"/>
          <w:color w:val="000000"/>
          <w:sz w:val="24"/>
          <w:szCs w:val="24"/>
          <w:lang w:val="pl" w:eastAsia="pl-PL"/>
        </w:rPr>
        <w:tab/>
      </w:r>
      <w:r w:rsidR="001867C0">
        <w:rPr>
          <w:rFonts w:ascii="Times New Roman" w:eastAsia="Arial Unicode MS" w:hAnsi="Times New Roman" w:cs="Times New Roman"/>
          <w:color w:val="000000"/>
          <w:sz w:val="24"/>
          <w:szCs w:val="24"/>
          <w:lang w:val="pl" w:eastAsia="pl-PL"/>
        </w:rPr>
        <w:t>Art. 21</w:t>
      </w:r>
      <w:r w:rsidR="00066875">
        <w:rPr>
          <w:rFonts w:ascii="Times New Roman" w:eastAsia="Arial Unicode MS" w:hAnsi="Times New Roman" w:cs="Times New Roman"/>
          <w:color w:val="000000"/>
          <w:sz w:val="24"/>
          <w:szCs w:val="24"/>
          <w:lang w:val="pl" w:eastAsia="pl-PL"/>
        </w:rPr>
        <w:t xml:space="preserve"> pkt 39</w:t>
      </w:r>
      <w:r w:rsidRPr="00594FCA">
        <w:rPr>
          <w:rFonts w:ascii="Times New Roman" w:eastAsia="Arial Unicode MS" w:hAnsi="Times New Roman" w:cs="Times New Roman"/>
          <w:color w:val="000000"/>
          <w:sz w:val="24"/>
          <w:szCs w:val="24"/>
          <w:lang w:val="pl" w:eastAsia="pl-PL"/>
        </w:rPr>
        <w:t xml:space="preserve"> projektu (art. 125 ust. 5a i 7 ustawy)</w:t>
      </w:r>
    </w:p>
    <w:p w14:paraId="487E0FED" w14:textId="700D9250" w:rsidR="005473CF" w:rsidRPr="00594FCA" w:rsidRDefault="005473CF" w:rsidP="00167DB4">
      <w:pPr>
        <w:spacing w:after="12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Dodawane przepisy nakładają na BUP obowiązek w zakresie udostępnienia użytkownikowi,</w:t>
      </w:r>
      <w:r w:rsidR="007C389F">
        <w:rPr>
          <w:rFonts w:ascii="Times New Roman" w:eastAsia="Arial Unicode MS" w:hAnsi="Times New Roman" w:cs="Times New Roman"/>
          <w:color w:val="000000"/>
          <w:sz w:val="24"/>
          <w:szCs w:val="24"/>
          <w:lang w:val="pl" w:eastAsia="pl-PL"/>
        </w:rPr>
        <w:t xml:space="preserve"> </w:t>
      </w:r>
      <w:r w:rsidRPr="00594FCA">
        <w:rPr>
          <w:rFonts w:ascii="Times New Roman" w:eastAsia="Arial Unicode MS" w:hAnsi="Times New Roman" w:cs="Times New Roman"/>
          <w:color w:val="000000"/>
          <w:sz w:val="24"/>
          <w:szCs w:val="24"/>
          <w:lang w:val="pl" w:eastAsia="pl-PL"/>
        </w:rPr>
        <w:t>przed złożeniem przez niego zlecenia płatniczego,</w:t>
      </w:r>
      <w:r w:rsidR="007C389F">
        <w:rPr>
          <w:rFonts w:ascii="Times New Roman" w:eastAsia="Arial Unicode MS" w:hAnsi="Times New Roman" w:cs="Times New Roman"/>
          <w:color w:val="000000"/>
          <w:sz w:val="24"/>
          <w:szCs w:val="24"/>
          <w:lang w:val="pl" w:eastAsia="pl-PL"/>
        </w:rPr>
        <w:t xml:space="preserve"> </w:t>
      </w:r>
      <w:r w:rsidRPr="00594FCA">
        <w:rPr>
          <w:rFonts w:ascii="Times New Roman" w:eastAsia="Arial Unicode MS" w:hAnsi="Times New Roman" w:cs="Times New Roman"/>
          <w:color w:val="000000"/>
          <w:sz w:val="24"/>
          <w:szCs w:val="24"/>
          <w:lang w:val="pl" w:eastAsia="pl-PL"/>
        </w:rPr>
        <w:t xml:space="preserve">informacji dotyczących zawartej przez biuro umowy gwarancji albo ubezpieczenia. Informacja ta powinna zostać udostępniona użytkownikowi w sposób umożliwiający zapoznanie się użytkownika ze sposobem ochrony środków finansowych. W przypadku gdy użytkownik zawnioskuje o dostarczenie mu informacji w postaci papierowej lub na innym trwałym nośniku informacji, biuro usług płatniczych powinno wykonać ten obowiązek niezwłocznie po wykonaniu transakcji płatniczej zleconej przez użytkownika. </w:t>
      </w:r>
    </w:p>
    <w:p w14:paraId="2735DE20" w14:textId="7D736B7B" w:rsidR="005473CF" w:rsidRPr="00594FCA"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Arial Unicode MS" w:hAnsi="Times New Roman" w:cs="Times New Roman"/>
          <w:color w:val="000000"/>
          <w:sz w:val="24"/>
          <w:szCs w:val="24"/>
          <w:lang w:val="pl" w:eastAsia="pl-PL"/>
        </w:rPr>
        <w:t>3</w:t>
      </w:r>
      <w:r w:rsidR="00066875">
        <w:rPr>
          <w:rFonts w:ascii="Times New Roman" w:eastAsia="Arial Unicode MS" w:hAnsi="Times New Roman" w:cs="Times New Roman"/>
          <w:color w:val="000000"/>
          <w:sz w:val="24"/>
          <w:szCs w:val="24"/>
          <w:lang w:val="pl" w:eastAsia="pl-PL"/>
        </w:rPr>
        <w:t>6</w:t>
      </w:r>
      <w:r w:rsidRPr="005473CF">
        <w:rPr>
          <w:rFonts w:ascii="Times New Roman" w:eastAsia="Arial Unicode MS" w:hAnsi="Times New Roman" w:cs="Times New Roman"/>
          <w:color w:val="000000"/>
          <w:sz w:val="24"/>
          <w:szCs w:val="24"/>
          <w:lang w:val="pl" w:eastAsia="pl-PL"/>
        </w:rPr>
        <w:t>)</w:t>
      </w:r>
      <w:r w:rsidR="00D5306A">
        <w:rPr>
          <w:rFonts w:ascii="Times New Roman" w:eastAsia="Arial Unicode MS" w:hAnsi="Times New Roman" w:cs="Times New Roman"/>
          <w:color w:val="000000"/>
          <w:sz w:val="24"/>
          <w:szCs w:val="24"/>
          <w:lang w:val="pl" w:eastAsia="pl-PL"/>
        </w:rPr>
        <w:tab/>
      </w:r>
      <w:r w:rsidR="001867C0">
        <w:rPr>
          <w:rFonts w:ascii="Times New Roman" w:eastAsia="Arial Unicode MS" w:hAnsi="Times New Roman" w:cs="Times New Roman"/>
          <w:color w:val="000000"/>
          <w:sz w:val="24"/>
          <w:szCs w:val="24"/>
          <w:lang w:val="pl" w:eastAsia="pl-PL"/>
        </w:rPr>
        <w:t>Art. 21</w:t>
      </w:r>
      <w:r w:rsidR="00066875">
        <w:rPr>
          <w:rFonts w:ascii="Times New Roman" w:eastAsia="Arial Unicode MS" w:hAnsi="Times New Roman" w:cs="Times New Roman"/>
          <w:color w:val="000000"/>
          <w:sz w:val="24"/>
          <w:szCs w:val="24"/>
          <w:lang w:val="pl" w:eastAsia="pl-PL"/>
        </w:rPr>
        <w:t xml:space="preserve"> pkt 40, 41</w:t>
      </w:r>
      <w:r w:rsidRPr="00594FCA">
        <w:rPr>
          <w:rFonts w:ascii="Times New Roman" w:eastAsia="Arial Unicode MS" w:hAnsi="Times New Roman" w:cs="Times New Roman"/>
          <w:color w:val="000000"/>
          <w:sz w:val="24"/>
          <w:szCs w:val="24"/>
          <w:lang w:val="pl" w:eastAsia="pl-PL"/>
        </w:rPr>
        <w:t xml:space="preserve">, </w:t>
      </w:r>
      <w:r w:rsidR="00066875">
        <w:rPr>
          <w:rFonts w:ascii="Times New Roman" w:eastAsia="Arial Unicode MS" w:hAnsi="Times New Roman" w:cs="Times New Roman"/>
          <w:color w:val="000000"/>
          <w:sz w:val="24"/>
          <w:szCs w:val="24"/>
          <w:lang w:val="pl" w:eastAsia="pl-PL"/>
        </w:rPr>
        <w:t>42, 43 i 44</w:t>
      </w:r>
      <w:r w:rsidRPr="00594FCA">
        <w:rPr>
          <w:rFonts w:ascii="Times New Roman" w:eastAsia="Arial Unicode MS" w:hAnsi="Times New Roman" w:cs="Times New Roman"/>
          <w:color w:val="000000"/>
          <w:sz w:val="24"/>
          <w:szCs w:val="24"/>
          <w:lang w:val="pl" w:eastAsia="pl-PL"/>
        </w:rPr>
        <w:t xml:space="preserve"> projektu (art. 126 ust. 1 i 4, art. 126a ust. 1</w:t>
      </w:r>
      <w:r w:rsidR="00167DB4">
        <w:rPr>
          <w:rFonts w:ascii="Times New Roman" w:eastAsia="Arial Unicode MS" w:hAnsi="Times New Roman" w:cs="Times New Roman"/>
          <w:color w:val="000000"/>
          <w:sz w:val="24"/>
          <w:szCs w:val="24"/>
          <w:lang w:val="pl" w:eastAsia="pl-PL"/>
        </w:rPr>
        <w:t xml:space="preserve"> i </w:t>
      </w:r>
      <w:r w:rsidRPr="00594FCA">
        <w:rPr>
          <w:rFonts w:ascii="Times New Roman" w:eastAsia="Arial Unicode MS" w:hAnsi="Times New Roman" w:cs="Times New Roman"/>
          <w:color w:val="000000"/>
          <w:sz w:val="24"/>
          <w:szCs w:val="24"/>
          <w:lang w:val="pl" w:eastAsia="pl-PL"/>
        </w:rPr>
        <w:t>2, art. 127 ust. 3, art. 128 ust. 1b i 3 oraz art. 129 ust. 3, 5 i 6a ustawy)</w:t>
      </w:r>
    </w:p>
    <w:p w14:paraId="58974219" w14:textId="40EC4597" w:rsidR="005473CF" w:rsidRPr="005473CF" w:rsidRDefault="005473CF" w:rsidP="00167DB4">
      <w:pPr>
        <w:spacing w:after="0" w:line="360" w:lineRule="auto"/>
        <w:jc w:val="both"/>
        <w:rPr>
          <w:rFonts w:ascii="Times New Roman" w:eastAsia="Book Antiqua" w:hAnsi="Times New Roman" w:cs="Times New Roman"/>
          <w:bCs/>
          <w:color w:val="000000"/>
          <w:sz w:val="24"/>
          <w:szCs w:val="24"/>
          <w:lang w:eastAsia="pl-PL"/>
        </w:rPr>
      </w:pPr>
      <w:r w:rsidRPr="00594FCA">
        <w:rPr>
          <w:rFonts w:ascii="Times New Roman" w:eastAsia="Arial Unicode MS" w:hAnsi="Times New Roman" w:cs="Times New Roman"/>
          <w:color w:val="000000"/>
          <w:sz w:val="24"/>
          <w:szCs w:val="24"/>
          <w:lang w:val="pl" w:eastAsia="pl-PL"/>
        </w:rPr>
        <w:t>Przepis art. 126a wprowadza dodatkowy wymóg, aby biuro usług</w:t>
      </w:r>
      <w:r w:rsidR="000C29A2">
        <w:rPr>
          <w:rFonts w:ascii="Times New Roman" w:eastAsia="Arial Unicode MS" w:hAnsi="Times New Roman" w:cs="Times New Roman"/>
          <w:color w:val="000000"/>
          <w:sz w:val="24"/>
          <w:szCs w:val="24"/>
          <w:lang w:val="pl" w:eastAsia="pl-PL"/>
        </w:rPr>
        <w:t xml:space="preserve"> płatniczych</w:t>
      </w:r>
      <w:r w:rsidRPr="00594FCA">
        <w:rPr>
          <w:rFonts w:ascii="Times New Roman" w:eastAsia="Arial Unicode MS" w:hAnsi="Times New Roman" w:cs="Times New Roman"/>
          <w:color w:val="000000"/>
          <w:sz w:val="24"/>
          <w:szCs w:val="24"/>
          <w:lang w:val="pl" w:eastAsia="pl-PL"/>
        </w:rPr>
        <w:t xml:space="preserve"> zgłaszało KNF numeru rachunku płatniczego, wraz z kopią umowy tego rachunku, a także zmiany w zakresie informacji o danych kontaktowych dla celów sprawowania nadzoru przez KNF, w tym dane kontaktowe mające znaczenie dla celów porozumiewania się z biurem usług płatniczych, w tym imię i nazwisko osoby uprawnionej do</w:t>
      </w:r>
      <w:r w:rsidRPr="005473CF">
        <w:rPr>
          <w:rFonts w:ascii="Times New Roman" w:eastAsia="Book Antiqua" w:hAnsi="Times New Roman" w:cs="Times New Roman"/>
          <w:bCs/>
          <w:color w:val="000000"/>
          <w:sz w:val="24"/>
          <w:szCs w:val="24"/>
          <w:lang w:eastAsia="pl-PL"/>
        </w:rPr>
        <w:t xml:space="preserve"> reprezentowania biura usług płatniczych, numer telefonu oraz adres poczty elektronicznej, jak również adres wskazany do doręczeń korespondencji w formie pisemnej do biura usług płatniczych.</w:t>
      </w:r>
    </w:p>
    <w:p w14:paraId="3DCF9612" w14:textId="15B792A0" w:rsidR="005473CF" w:rsidRPr="00594FCA"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Natomiast przepis art. 127 ust. 3 wskazuje, że w przypadku przekroczenia średniej całkowitej kwoty transakcji płatniczych KNF wzywa biuro usług płatniczych do wykonania obowiązku w terminie wskazanym w wezwaniu. Nowododany ustęp 1b w art. 128</w:t>
      </w:r>
      <w:r w:rsidR="007C389F">
        <w:rPr>
          <w:rFonts w:ascii="Times New Roman" w:eastAsia="Arial Unicode MS" w:hAnsi="Times New Roman" w:cs="Times New Roman"/>
          <w:color w:val="000000"/>
          <w:sz w:val="24"/>
          <w:szCs w:val="24"/>
          <w:lang w:val="pl" w:eastAsia="pl-PL"/>
        </w:rPr>
        <w:t xml:space="preserve"> </w:t>
      </w:r>
      <w:r w:rsidRPr="00594FCA">
        <w:rPr>
          <w:rFonts w:ascii="Times New Roman" w:eastAsia="Arial Unicode MS" w:hAnsi="Times New Roman" w:cs="Times New Roman"/>
          <w:color w:val="000000"/>
          <w:sz w:val="24"/>
          <w:szCs w:val="24"/>
          <w:lang w:val="pl" w:eastAsia="pl-PL"/>
        </w:rPr>
        <w:t>wskazuje, że w przypadku naruszenia obowiązku przekazywania KNF informacji o łącznej wartości i liczbie transakcji płatniczych, KNF wzywa biuro usług płatniczych do przekazania informacji w terminie wskazanym w wezwaniu. W artykule tym dodaje się również zobowiązanie dla KNF do udostępnia NBP ww. danych, które organ nadzoru uzyskuje w poszczególnych miesiącach danego roku – w terminie do dnia 31 stycznia następnego roku.</w:t>
      </w:r>
    </w:p>
    <w:p w14:paraId="5FBCF3F9" w14:textId="77777777" w:rsidR="005473CF" w:rsidRPr="00594FCA"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 xml:space="preserve">Zgodnie z art. 129 ust. 2 celem nadzoru nad BUP jest zapewnienie zgodności działalności biur usług płatniczych z przepisami ustawy oraz ochrona interesów użytkowników usług płatniczych. Celem tym nie jest natomiast, jak w przypadku KIP, zapewnienie bezpieczeństwa finansowego. Jest to podejście uzasadnione tym, że działalność BUP nie generuje ryzyka finansowego, a jedynie ryzyko zgodności i ryzyko dla użytkowników (związane np. z defraudacją). W związku z tym proponowane zmiany dotyczą ograniczenia i uproszczenia nadzoru publicznego (finansowego) nad działalnością BUP do kontroli zdalnej i następczej, w szczególności przez wyłączenie możliwości przeprowadzania inspekcji, zniesienie obowiązku sprawozdawczości kwartalnej, przy pozostawieniu obowiązku sprawozdawczości rocznej i sprawozdawczości związanej z przekroczeniem limitów działalności, oraz ograniczenie kar pieniężnych na rzecz innych środków nadzorczych. </w:t>
      </w:r>
    </w:p>
    <w:p w14:paraId="6EE88393" w14:textId="77777777" w:rsidR="005473CF" w:rsidRPr="00594FCA"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 xml:space="preserve">Realizacja przez BUP obowiązków informacyjnych wobec KNF stanowi istotne narzędzie kontroli przestrzegania przez BUP limitów kwoty transakcji. Konieczność ich rozszerzenia wynika z dodawanych art. 119a ust. 2a oraz art. 118 ust. 3c. </w:t>
      </w:r>
    </w:p>
    <w:p w14:paraId="690CA2B9" w14:textId="77777777" w:rsidR="005473CF" w:rsidRPr="00594FCA"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 xml:space="preserve">W art. 129 ust. 3 przewiduje się uchylenie podstawy prawnej umożliwiającej przeprowadzanie przez KNF kontroli BUP. Będzie ona wykonywana na podstawie przepisów ustawy z dnia 6 marca 2018 r. – Prawo przedsiębiorców. </w:t>
      </w:r>
    </w:p>
    <w:p w14:paraId="24CB8B05" w14:textId="6DBF61B5" w:rsidR="005473CF" w:rsidRPr="00594FCA" w:rsidRDefault="005473CF" w:rsidP="00167DB4">
      <w:pPr>
        <w:spacing w:after="12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Ponadto proponuje się wprowadzenie 3-etapowego systemu stosowania środków nadzorczych w przypadku nierealizowania przez BUP obowiązków wynikających z ustawy. System ten zakłada gradację środków nadzorczych – wezwanie/zalecenie, upomnienie, zakaz prowadzenia działalności. W przypadku stwierdzenia naruszenia obowiązków wynikających z ustawy KNF będzie</w:t>
      </w:r>
      <w:r w:rsidR="007C389F">
        <w:rPr>
          <w:rFonts w:ascii="Times New Roman" w:eastAsia="Arial Unicode MS" w:hAnsi="Times New Roman" w:cs="Times New Roman"/>
          <w:color w:val="000000"/>
          <w:sz w:val="24"/>
          <w:szCs w:val="24"/>
          <w:lang w:val="pl" w:eastAsia="pl-PL"/>
        </w:rPr>
        <w:t xml:space="preserve"> </w:t>
      </w:r>
      <w:r w:rsidRPr="00594FCA">
        <w:rPr>
          <w:rFonts w:ascii="Times New Roman" w:eastAsia="Arial Unicode MS" w:hAnsi="Times New Roman" w:cs="Times New Roman"/>
          <w:color w:val="000000"/>
          <w:sz w:val="24"/>
          <w:szCs w:val="24"/>
          <w:lang w:val="pl" w:eastAsia="pl-PL"/>
        </w:rPr>
        <w:t>wzywać BUP do usunięcia naruszeń, a jeżeli wezwanie okaże się nieskuteczne – będzie mógł udzielić BUP upomnienia, którego dalsza nieskuteczność mogłaby skutkować zakazem prowadzenia działalności. Instytucja upomnienia jest konstrukcją stosowaną na rynku finansowym. Przykładem regulacji przewidującej ten środek nadzorczy jest przepis art. 6c ust. 7, art. 138 ust. 3 i art. 141a ust. 3 ustawy –</w:t>
      </w:r>
      <w:r w:rsidR="004871A7">
        <w:rPr>
          <w:rFonts w:ascii="Times New Roman" w:eastAsia="Arial Unicode MS" w:hAnsi="Times New Roman" w:cs="Times New Roman"/>
          <w:color w:val="000000"/>
          <w:sz w:val="24"/>
          <w:szCs w:val="24"/>
          <w:lang w:val="pl" w:eastAsia="pl-PL"/>
        </w:rPr>
        <w:t xml:space="preserve"> Prawo bankowe. </w:t>
      </w:r>
      <w:r w:rsidRPr="00594FCA">
        <w:rPr>
          <w:rFonts w:ascii="Times New Roman" w:eastAsia="Arial Unicode MS" w:hAnsi="Times New Roman" w:cs="Times New Roman"/>
          <w:color w:val="000000"/>
          <w:sz w:val="24"/>
          <w:szCs w:val="24"/>
          <w:lang w:val="pl" w:eastAsia="pl-PL"/>
        </w:rPr>
        <w:t>Celem upomnienia, które nie jest sankcją, a jedynie środkiem nadzorczym, jest uprzednie ustalenie przez KNF zasadności podjęcia stosownych działań nadzorczych wobec podmiotu. Wprowadzenie formy pisemnej upomnienia wynika ze względów dowodowych.</w:t>
      </w:r>
    </w:p>
    <w:p w14:paraId="2FA1034D" w14:textId="1B173098" w:rsidR="005473CF" w:rsidRPr="00594FCA"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Book Antiqua" w:hAnsi="Times New Roman" w:cs="Times New Roman"/>
          <w:color w:val="000000"/>
          <w:sz w:val="24"/>
          <w:szCs w:val="24"/>
          <w:lang w:val="pl" w:eastAsia="pl-PL"/>
        </w:rPr>
        <w:t>3</w:t>
      </w:r>
      <w:r w:rsidR="00066875">
        <w:rPr>
          <w:rFonts w:ascii="Times New Roman" w:eastAsia="Book Antiqua" w:hAnsi="Times New Roman" w:cs="Times New Roman"/>
          <w:color w:val="000000"/>
          <w:sz w:val="24"/>
          <w:szCs w:val="24"/>
          <w:lang w:val="pl" w:eastAsia="pl-PL"/>
        </w:rPr>
        <w:t>7</w:t>
      </w:r>
      <w:r w:rsidR="00457862">
        <w:rPr>
          <w:rFonts w:ascii="Times New Roman" w:eastAsia="Arial Unicode MS" w:hAnsi="Times New Roman" w:cs="Times New Roman"/>
          <w:color w:val="000000"/>
          <w:sz w:val="24"/>
          <w:szCs w:val="24"/>
          <w:lang w:val="pl" w:eastAsia="pl-PL"/>
        </w:rPr>
        <w:t>)</w:t>
      </w:r>
      <w:r w:rsidR="00457862">
        <w:rPr>
          <w:rFonts w:ascii="Times New Roman" w:eastAsia="Arial Unicode MS" w:hAnsi="Times New Roman" w:cs="Times New Roman"/>
          <w:color w:val="000000"/>
          <w:sz w:val="24"/>
          <w:szCs w:val="24"/>
          <w:lang w:val="pl" w:eastAsia="pl-PL"/>
        </w:rPr>
        <w:tab/>
      </w:r>
      <w:r w:rsidR="001867C0">
        <w:rPr>
          <w:rFonts w:ascii="Times New Roman" w:eastAsia="Arial Unicode MS" w:hAnsi="Times New Roman" w:cs="Times New Roman"/>
          <w:color w:val="000000"/>
          <w:sz w:val="24"/>
          <w:szCs w:val="24"/>
          <w:lang w:val="pl" w:eastAsia="pl-PL"/>
        </w:rPr>
        <w:t>Art. 21</w:t>
      </w:r>
      <w:r w:rsidR="00066875">
        <w:rPr>
          <w:rFonts w:ascii="Times New Roman" w:eastAsia="Arial Unicode MS" w:hAnsi="Times New Roman" w:cs="Times New Roman"/>
          <w:color w:val="000000"/>
          <w:sz w:val="24"/>
          <w:szCs w:val="24"/>
          <w:lang w:val="pl" w:eastAsia="pl-PL"/>
        </w:rPr>
        <w:t xml:space="preserve"> pkt 45</w:t>
      </w:r>
      <w:r w:rsidRPr="00594FCA">
        <w:rPr>
          <w:rFonts w:ascii="Times New Roman" w:eastAsia="Arial Unicode MS" w:hAnsi="Times New Roman" w:cs="Times New Roman"/>
          <w:color w:val="000000"/>
          <w:sz w:val="24"/>
          <w:szCs w:val="24"/>
          <w:lang w:val="pl" w:eastAsia="pl-PL"/>
        </w:rPr>
        <w:t xml:space="preserve"> projektu (art. 130 ust. 1 ustawy)</w:t>
      </w:r>
    </w:p>
    <w:p w14:paraId="4F087B8F" w14:textId="3E4E0212" w:rsidR="005473CF" w:rsidRPr="00594FCA" w:rsidRDefault="005473CF" w:rsidP="00167DB4">
      <w:pPr>
        <w:spacing w:after="12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W związku z ograniczeniem zadań nadzorczych realizowanych przez KNF wobec BUP obniżeniu ulegnie</w:t>
      </w:r>
      <w:r w:rsidR="007C389F">
        <w:rPr>
          <w:rFonts w:ascii="Times New Roman" w:eastAsia="Arial Unicode MS" w:hAnsi="Times New Roman" w:cs="Times New Roman"/>
          <w:color w:val="000000"/>
          <w:sz w:val="24"/>
          <w:szCs w:val="24"/>
          <w:lang w:val="pl" w:eastAsia="pl-PL"/>
        </w:rPr>
        <w:t xml:space="preserve"> </w:t>
      </w:r>
      <w:r w:rsidRPr="00594FCA">
        <w:rPr>
          <w:rFonts w:ascii="Times New Roman" w:eastAsia="Arial Unicode MS" w:hAnsi="Times New Roman" w:cs="Times New Roman"/>
          <w:color w:val="000000"/>
          <w:sz w:val="24"/>
          <w:szCs w:val="24"/>
          <w:lang w:val="pl" w:eastAsia="pl-PL"/>
        </w:rPr>
        <w:t>stawka wpłat ponoszonych przez BUP na pokrycie kosztów nadzoru na rzecz KNF. Obecnie BUP są obowiązane do wnoszenia wpłat na pokrycie kosztów nadzoru w kwocie stanowiącej iloczyn całkowitej kwoty transakcji płatniczych wykonanych przez biuro, w tym także przez jego agentów, i stawki nieprzekraczającej 0,025% – w projekcie przewidziano obniżenie stawki do 0,023%.</w:t>
      </w:r>
    </w:p>
    <w:p w14:paraId="13790DF2" w14:textId="2438F708" w:rsidR="005473CF" w:rsidRPr="00594FCA"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3</w:t>
      </w:r>
      <w:r w:rsidR="00066875">
        <w:rPr>
          <w:rFonts w:ascii="Times New Roman" w:eastAsia="Arial Unicode MS" w:hAnsi="Times New Roman" w:cs="Times New Roman"/>
          <w:color w:val="000000"/>
          <w:sz w:val="24"/>
          <w:szCs w:val="24"/>
          <w:lang w:val="pl" w:eastAsia="pl-PL"/>
        </w:rPr>
        <w:t>8</w:t>
      </w:r>
      <w:r w:rsidR="00457862">
        <w:rPr>
          <w:rFonts w:ascii="Times New Roman" w:eastAsia="Arial Unicode MS" w:hAnsi="Times New Roman" w:cs="Times New Roman"/>
          <w:color w:val="000000"/>
          <w:sz w:val="24"/>
          <w:szCs w:val="24"/>
          <w:lang w:val="pl" w:eastAsia="pl-PL"/>
        </w:rPr>
        <w:t>)</w:t>
      </w:r>
      <w:r w:rsidR="00457862">
        <w:rPr>
          <w:rFonts w:ascii="Times New Roman" w:eastAsia="Arial Unicode MS" w:hAnsi="Times New Roman" w:cs="Times New Roman"/>
          <w:color w:val="000000"/>
          <w:sz w:val="24"/>
          <w:szCs w:val="24"/>
          <w:lang w:val="pl" w:eastAsia="pl-PL"/>
        </w:rPr>
        <w:tab/>
      </w:r>
      <w:r w:rsidR="00EB5C32" w:rsidRPr="00594FCA">
        <w:rPr>
          <w:rFonts w:ascii="Times New Roman" w:eastAsia="Arial Unicode MS" w:hAnsi="Times New Roman" w:cs="Times New Roman"/>
          <w:color w:val="000000"/>
          <w:sz w:val="24"/>
          <w:szCs w:val="24"/>
          <w:lang w:val="pl" w:eastAsia="pl-PL"/>
        </w:rPr>
        <w:t xml:space="preserve">Art. </w:t>
      </w:r>
      <w:r w:rsidR="001867C0">
        <w:rPr>
          <w:rFonts w:ascii="Times New Roman" w:eastAsia="Arial Unicode MS" w:hAnsi="Times New Roman" w:cs="Times New Roman"/>
          <w:color w:val="000000"/>
          <w:sz w:val="24"/>
          <w:szCs w:val="24"/>
          <w:lang w:val="pl" w:eastAsia="pl-PL"/>
        </w:rPr>
        <w:t>21</w:t>
      </w:r>
      <w:r w:rsidR="00066875">
        <w:rPr>
          <w:rFonts w:ascii="Times New Roman" w:eastAsia="Arial Unicode MS" w:hAnsi="Times New Roman" w:cs="Times New Roman"/>
          <w:color w:val="000000"/>
          <w:sz w:val="24"/>
          <w:szCs w:val="24"/>
          <w:lang w:val="pl" w:eastAsia="pl-PL"/>
        </w:rPr>
        <w:t xml:space="preserve"> pkt 47</w:t>
      </w:r>
      <w:r w:rsidRPr="00594FCA">
        <w:rPr>
          <w:rFonts w:ascii="Times New Roman" w:eastAsia="Arial Unicode MS" w:hAnsi="Times New Roman" w:cs="Times New Roman"/>
          <w:color w:val="000000"/>
          <w:sz w:val="24"/>
          <w:szCs w:val="24"/>
          <w:lang w:val="pl" w:eastAsia="pl-PL"/>
        </w:rPr>
        <w:t xml:space="preserve"> projektu (art. 132c ust. 1 i 5 ustawy)</w:t>
      </w:r>
    </w:p>
    <w:p w14:paraId="2618AD18" w14:textId="77777777" w:rsidR="005473CF" w:rsidRPr="00594FCA"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Zmiana mająca na celu dostosowanie przepisów ustawy do art. 3 ust. 3 dyrektywy EMD2, przez usunięcie progu zapewniającego 10% ogólnej liczby głosów w organie stanowiącym lub udziału w kapitale zakładowym krajowej instytucji pieniądza elektronicznego, którego zamiar przekroczenia zarówno przez podmiot zbywający jak i nabywający pakiet akcji lub udziałów krajowej instytucji pieniądza elektronicznego wymagałby zawiadomienia KNF.</w:t>
      </w:r>
    </w:p>
    <w:p w14:paraId="1BB543B1" w14:textId="13C3C201" w:rsidR="005473CF" w:rsidRPr="00594FCA" w:rsidRDefault="005473CF" w:rsidP="00167DB4">
      <w:pPr>
        <w:spacing w:before="120" w:after="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Book Antiqua" w:hAnsi="Times New Roman" w:cs="Times New Roman"/>
          <w:color w:val="000000"/>
          <w:sz w:val="24"/>
          <w:szCs w:val="24"/>
          <w:lang w:val="pl" w:eastAsia="pl-PL"/>
        </w:rPr>
        <w:t>3</w:t>
      </w:r>
      <w:r w:rsidR="00066875">
        <w:rPr>
          <w:rFonts w:ascii="Times New Roman" w:eastAsia="Book Antiqua" w:hAnsi="Times New Roman" w:cs="Times New Roman"/>
          <w:color w:val="000000"/>
          <w:sz w:val="24"/>
          <w:szCs w:val="24"/>
          <w:lang w:val="pl" w:eastAsia="pl-PL"/>
        </w:rPr>
        <w:t>9</w:t>
      </w:r>
      <w:r w:rsidR="00457862">
        <w:rPr>
          <w:rFonts w:ascii="Times New Roman" w:eastAsia="Arial Unicode MS" w:hAnsi="Times New Roman" w:cs="Times New Roman"/>
          <w:color w:val="000000"/>
          <w:sz w:val="24"/>
          <w:szCs w:val="24"/>
          <w:lang w:val="pl" w:eastAsia="pl-PL"/>
        </w:rPr>
        <w:t>)</w:t>
      </w:r>
      <w:r w:rsidR="00457862">
        <w:rPr>
          <w:rFonts w:ascii="Times New Roman" w:eastAsia="Arial Unicode MS" w:hAnsi="Times New Roman" w:cs="Times New Roman"/>
          <w:color w:val="000000"/>
          <w:sz w:val="24"/>
          <w:szCs w:val="24"/>
          <w:lang w:val="pl" w:eastAsia="pl-PL"/>
        </w:rPr>
        <w:tab/>
      </w:r>
      <w:r w:rsidR="001867C0">
        <w:rPr>
          <w:rFonts w:ascii="Times New Roman" w:eastAsia="Arial Unicode MS" w:hAnsi="Times New Roman" w:cs="Times New Roman"/>
          <w:color w:val="000000"/>
          <w:sz w:val="24"/>
          <w:szCs w:val="24"/>
          <w:lang w:val="pl" w:eastAsia="pl-PL"/>
        </w:rPr>
        <w:t>Art. 21</w:t>
      </w:r>
      <w:r w:rsidRPr="00594FCA">
        <w:rPr>
          <w:rFonts w:ascii="Times New Roman" w:eastAsia="Arial Unicode MS" w:hAnsi="Times New Roman" w:cs="Times New Roman"/>
          <w:color w:val="000000"/>
          <w:sz w:val="24"/>
          <w:szCs w:val="24"/>
          <w:lang w:val="pl" w:eastAsia="pl-PL"/>
        </w:rPr>
        <w:t xml:space="preserve"> pk</w:t>
      </w:r>
      <w:r w:rsidR="00066875">
        <w:rPr>
          <w:rFonts w:ascii="Times New Roman" w:eastAsia="Arial Unicode MS" w:hAnsi="Times New Roman" w:cs="Times New Roman"/>
          <w:color w:val="000000"/>
          <w:sz w:val="24"/>
          <w:szCs w:val="24"/>
          <w:lang w:val="pl" w:eastAsia="pl-PL"/>
        </w:rPr>
        <w:t>t 48</w:t>
      </w:r>
      <w:r w:rsidR="00167DB4">
        <w:rPr>
          <w:rFonts w:ascii="Times New Roman" w:eastAsia="Arial Unicode MS" w:hAnsi="Times New Roman" w:cs="Times New Roman"/>
          <w:color w:val="000000"/>
          <w:sz w:val="24"/>
          <w:szCs w:val="24"/>
          <w:lang w:val="pl" w:eastAsia="pl-PL"/>
        </w:rPr>
        <w:t xml:space="preserve"> projektu (art. 132y ust. 1</w:t>
      </w:r>
      <w:r w:rsidR="00167DB4" w:rsidRPr="00082777">
        <w:rPr>
          <w:rFonts w:ascii="Times New Roman" w:hAnsi="Times New Roman" w:cs="Times New Roman"/>
          <w:sz w:val="24"/>
          <w:szCs w:val="24"/>
          <w:lang w:val="pl"/>
        </w:rPr>
        <w:t>‒</w:t>
      </w:r>
      <w:r w:rsidRPr="00594FCA">
        <w:rPr>
          <w:rFonts w:ascii="Times New Roman" w:eastAsia="Arial Unicode MS" w:hAnsi="Times New Roman" w:cs="Times New Roman"/>
          <w:color w:val="000000"/>
          <w:sz w:val="24"/>
          <w:szCs w:val="24"/>
          <w:lang w:val="pl" w:eastAsia="pl-PL"/>
        </w:rPr>
        <w:t>3 ustawy)</w:t>
      </w:r>
    </w:p>
    <w:p w14:paraId="13F2AC34" w14:textId="77777777" w:rsidR="005473CF" w:rsidRPr="00594FCA"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Propozycja zmierza do wprowadzenia podstawy prawnej upoważniającej KNF do przeprowadzania kontroli unijnych instytucji pieniądza elektronicznego, analogicznie jak ma to miejsce w przypadku oddziałów unijnych instytucji płatniczych, tj. w art. 104 ust. 3.</w:t>
      </w:r>
    </w:p>
    <w:p w14:paraId="5FC504A1" w14:textId="77777777" w:rsidR="005473CF" w:rsidRPr="00594FCA" w:rsidRDefault="005473CF" w:rsidP="00167DB4">
      <w:pPr>
        <w:spacing w:after="12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Uprawnienia nadzorcze nad działalnością unijnych instytucji pieniądza elektronicznego wykonujących działalność na terytorium Rzeczypospolitej Polskiej mają charakter ograniczony i są stosowane w sytuacjach wyjątkowych. Propozycja przepisu art. 132y dotyczy działalności unijnych instytucji pieniądza elektronicznego w ujęciu całościowym.</w:t>
      </w:r>
    </w:p>
    <w:p w14:paraId="244F881B" w14:textId="25651928" w:rsidR="005473CF" w:rsidRPr="00594FCA" w:rsidRDefault="00066875" w:rsidP="00C774A2">
      <w:pPr>
        <w:spacing w:after="0" w:line="360" w:lineRule="auto"/>
        <w:jc w:val="both"/>
        <w:rPr>
          <w:rFonts w:ascii="Times New Roman" w:eastAsia="Arial Unicode MS" w:hAnsi="Times New Roman" w:cs="Times New Roman"/>
          <w:color w:val="000000"/>
          <w:sz w:val="24"/>
          <w:szCs w:val="24"/>
          <w:lang w:val="pl" w:eastAsia="pl-PL"/>
        </w:rPr>
      </w:pPr>
      <w:r>
        <w:rPr>
          <w:rFonts w:ascii="Times New Roman" w:eastAsia="Arial Unicode MS" w:hAnsi="Times New Roman" w:cs="Times New Roman"/>
          <w:color w:val="000000"/>
          <w:sz w:val="24"/>
          <w:szCs w:val="24"/>
          <w:lang w:val="pl" w:eastAsia="pl-PL"/>
        </w:rPr>
        <w:t>40</w:t>
      </w:r>
      <w:r w:rsidR="00457862">
        <w:rPr>
          <w:rFonts w:ascii="Times New Roman" w:eastAsia="Arial Unicode MS" w:hAnsi="Times New Roman" w:cs="Times New Roman"/>
          <w:color w:val="000000"/>
          <w:sz w:val="24"/>
          <w:szCs w:val="24"/>
          <w:lang w:val="pl" w:eastAsia="pl-PL"/>
        </w:rPr>
        <w:t>)</w:t>
      </w:r>
      <w:r w:rsidR="00457862">
        <w:rPr>
          <w:rFonts w:ascii="Times New Roman" w:eastAsia="Arial Unicode MS" w:hAnsi="Times New Roman" w:cs="Times New Roman"/>
          <w:color w:val="000000"/>
          <w:sz w:val="24"/>
          <w:szCs w:val="24"/>
          <w:lang w:val="pl" w:eastAsia="pl-PL"/>
        </w:rPr>
        <w:tab/>
      </w:r>
      <w:r w:rsidR="001867C0">
        <w:rPr>
          <w:rFonts w:ascii="Times New Roman" w:eastAsia="Arial Unicode MS" w:hAnsi="Times New Roman" w:cs="Times New Roman"/>
          <w:color w:val="000000"/>
          <w:sz w:val="24"/>
          <w:szCs w:val="24"/>
          <w:lang w:val="pl" w:eastAsia="pl-PL"/>
        </w:rPr>
        <w:t>Art. 21</w:t>
      </w:r>
      <w:r>
        <w:rPr>
          <w:rFonts w:ascii="Times New Roman" w:eastAsia="Arial Unicode MS" w:hAnsi="Times New Roman" w:cs="Times New Roman"/>
          <w:color w:val="000000"/>
          <w:sz w:val="24"/>
          <w:szCs w:val="24"/>
          <w:lang w:val="pl" w:eastAsia="pl-PL"/>
        </w:rPr>
        <w:t xml:space="preserve"> pkt 49</w:t>
      </w:r>
      <w:r w:rsidR="005473CF" w:rsidRPr="00594FCA">
        <w:rPr>
          <w:rFonts w:ascii="Times New Roman" w:eastAsia="Arial Unicode MS" w:hAnsi="Times New Roman" w:cs="Times New Roman"/>
          <w:color w:val="000000"/>
          <w:sz w:val="24"/>
          <w:szCs w:val="24"/>
          <w:lang w:val="pl" w:eastAsia="pl-PL"/>
        </w:rPr>
        <w:t xml:space="preserve"> projektu (art. 132z ust. 3 ustawy)</w:t>
      </w:r>
    </w:p>
    <w:p w14:paraId="1A2531B4" w14:textId="77777777" w:rsidR="005473CF" w:rsidRPr="00EB5C32"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EB5C32">
        <w:rPr>
          <w:rFonts w:ascii="Times New Roman" w:eastAsia="Arial Unicode MS" w:hAnsi="Times New Roman" w:cs="Times New Roman"/>
          <w:color w:val="000000"/>
          <w:sz w:val="24"/>
          <w:szCs w:val="24"/>
          <w:lang w:val="pl" w:eastAsia="pl-PL"/>
        </w:rPr>
        <w:t xml:space="preserve">Proponuje się wprowadzenie możliwości doręczeń elektronicznych w rozumieniu ustawy o doręczeniach elektronicznych w odniesieniu do dokumentów dotyczących czynności kontrolnych i innych czynności nadzorczych, w przypadku gdy ww. czynności będą realizowane zdalnie z wykorzystaniem dokumentów sporządzanych w postaci elektronicznej, w odniesieniu do </w:t>
      </w:r>
      <w:r w:rsidRPr="00594FCA">
        <w:rPr>
          <w:rFonts w:ascii="Times New Roman" w:eastAsia="Arial Unicode MS" w:hAnsi="Times New Roman" w:cs="Times New Roman"/>
          <w:color w:val="000000"/>
          <w:sz w:val="24"/>
          <w:szCs w:val="24"/>
          <w:lang w:val="pl" w:eastAsia="pl-PL"/>
        </w:rPr>
        <w:t>krajowych instytucji pieniądza elektronicznego.</w:t>
      </w:r>
    </w:p>
    <w:p w14:paraId="1FF07B38" w14:textId="77777777" w:rsidR="005473CF" w:rsidRPr="00594FCA" w:rsidRDefault="005473CF" w:rsidP="00167DB4">
      <w:pPr>
        <w:spacing w:after="12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Zmiana analogiczna jak w art. 132z ust. 4a i 4b.</w:t>
      </w:r>
    </w:p>
    <w:p w14:paraId="67B3C8FE" w14:textId="4A97CB45" w:rsidR="005473CF" w:rsidRPr="00594FCA" w:rsidRDefault="00066875" w:rsidP="00C774A2">
      <w:pPr>
        <w:spacing w:after="0" w:line="360" w:lineRule="auto"/>
        <w:jc w:val="both"/>
        <w:rPr>
          <w:rFonts w:ascii="Times New Roman" w:eastAsia="Arial Unicode MS" w:hAnsi="Times New Roman" w:cs="Times New Roman"/>
          <w:color w:val="000000"/>
          <w:sz w:val="24"/>
          <w:szCs w:val="24"/>
          <w:lang w:val="pl" w:eastAsia="pl-PL"/>
        </w:rPr>
      </w:pPr>
      <w:r>
        <w:rPr>
          <w:rFonts w:ascii="Times New Roman" w:eastAsia="Arial Unicode MS" w:hAnsi="Times New Roman" w:cs="Times New Roman"/>
          <w:color w:val="000000"/>
          <w:sz w:val="24"/>
          <w:szCs w:val="24"/>
          <w:lang w:val="pl" w:eastAsia="pl-PL"/>
        </w:rPr>
        <w:t>41</w:t>
      </w:r>
      <w:r w:rsidR="00457862">
        <w:rPr>
          <w:rFonts w:ascii="Times New Roman" w:eastAsia="Arial Unicode MS" w:hAnsi="Times New Roman" w:cs="Times New Roman"/>
          <w:color w:val="000000"/>
          <w:sz w:val="24"/>
          <w:szCs w:val="24"/>
          <w:lang w:val="pl" w:eastAsia="pl-PL"/>
        </w:rPr>
        <w:t>)</w:t>
      </w:r>
      <w:r w:rsidR="00457862">
        <w:rPr>
          <w:rFonts w:ascii="Times New Roman" w:eastAsia="Arial Unicode MS" w:hAnsi="Times New Roman" w:cs="Times New Roman"/>
          <w:color w:val="000000"/>
          <w:sz w:val="24"/>
          <w:szCs w:val="24"/>
          <w:lang w:val="pl" w:eastAsia="pl-PL"/>
        </w:rPr>
        <w:tab/>
      </w:r>
      <w:r w:rsidR="001867C0">
        <w:rPr>
          <w:rFonts w:ascii="Times New Roman" w:eastAsia="Arial Unicode MS" w:hAnsi="Times New Roman" w:cs="Times New Roman"/>
          <w:color w:val="000000"/>
          <w:sz w:val="24"/>
          <w:szCs w:val="24"/>
          <w:lang w:val="pl" w:eastAsia="pl-PL"/>
        </w:rPr>
        <w:t>Art. 21</w:t>
      </w:r>
      <w:r>
        <w:rPr>
          <w:rFonts w:ascii="Times New Roman" w:eastAsia="Arial Unicode MS" w:hAnsi="Times New Roman" w:cs="Times New Roman"/>
          <w:color w:val="000000"/>
          <w:sz w:val="24"/>
          <w:szCs w:val="24"/>
          <w:lang w:val="pl" w:eastAsia="pl-PL"/>
        </w:rPr>
        <w:t xml:space="preserve"> pkt 51</w:t>
      </w:r>
      <w:r w:rsidR="005473CF" w:rsidRPr="00594FCA">
        <w:rPr>
          <w:rFonts w:ascii="Times New Roman" w:eastAsia="Arial Unicode MS" w:hAnsi="Times New Roman" w:cs="Times New Roman"/>
          <w:color w:val="000000"/>
          <w:sz w:val="24"/>
          <w:szCs w:val="24"/>
          <w:lang w:val="pl" w:eastAsia="pl-PL"/>
        </w:rPr>
        <w:t xml:space="preserve"> projektu (art. 133 ust. 3 pkt 7 ustawy)</w:t>
      </w:r>
    </w:p>
    <w:p w14:paraId="77329435" w14:textId="77777777" w:rsidR="005473CF" w:rsidRPr="00594FCA" w:rsidRDefault="005473CF" w:rsidP="00167DB4">
      <w:pPr>
        <w:spacing w:after="12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 xml:space="preserve">Proponuje się rozszerzenie określonego w tym przepisie zakresu rejestru małych instytucji płatniczych o oddziały – usunie to niespójność z art. 136d pkt 4. </w:t>
      </w:r>
    </w:p>
    <w:p w14:paraId="6A6CB095" w14:textId="5A64C675" w:rsidR="005473CF" w:rsidRPr="00594FCA"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4</w:t>
      </w:r>
      <w:r w:rsidR="00066875">
        <w:rPr>
          <w:rFonts w:ascii="Times New Roman" w:eastAsia="Arial Unicode MS" w:hAnsi="Times New Roman" w:cs="Times New Roman"/>
          <w:color w:val="000000"/>
          <w:sz w:val="24"/>
          <w:szCs w:val="24"/>
          <w:lang w:val="pl" w:eastAsia="pl-PL"/>
        </w:rPr>
        <w:t>2</w:t>
      </w:r>
      <w:r w:rsidR="00457862">
        <w:rPr>
          <w:rFonts w:ascii="Times New Roman" w:eastAsia="Arial Unicode MS" w:hAnsi="Times New Roman" w:cs="Times New Roman"/>
          <w:color w:val="000000"/>
          <w:sz w:val="24"/>
          <w:szCs w:val="24"/>
          <w:lang w:val="pl" w:eastAsia="pl-PL"/>
        </w:rPr>
        <w:t>)</w:t>
      </w:r>
      <w:r w:rsidR="00457862">
        <w:rPr>
          <w:rFonts w:ascii="Times New Roman" w:eastAsia="Arial Unicode MS" w:hAnsi="Times New Roman" w:cs="Times New Roman"/>
          <w:color w:val="000000"/>
          <w:sz w:val="24"/>
          <w:szCs w:val="24"/>
          <w:lang w:val="pl" w:eastAsia="pl-PL"/>
        </w:rPr>
        <w:tab/>
      </w:r>
      <w:r w:rsidR="001867C0">
        <w:rPr>
          <w:rFonts w:ascii="Times New Roman" w:eastAsia="Arial Unicode MS" w:hAnsi="Times New Roman" w:cs="Times New Roman"/>
          <w:color w:val="000000"/>
          <w:sz w:val="24"/>
          <w:szCs w:val="24"/>
          <w:lang w:val="pl" w:eastAsia="pl-PL"/>
        </w:rPr>
        <w:t>Art. 21</w:t>
      </w:r>
      <w:r w:rsidR="00066875">
        <w:rPr>
          <w:rFonts w:ascii="Times New Roman" w:eastAsia="Arial Unicode MS" w:hAnsi="Times New Roman" w:cs="Times New Roman"/>
          <w:color w:val="000000"/>
          <w:sz w:val="24"/>
          <w:szCs w:val="24"/>
          <w:lang w:val="pl" w:eastAsia="pl-PL"/>
        </w:rPr>
        <w:t xml:space="preserve"> pkt 52</w:t>
      </w:r>
      <w:r w:rsidRPr="00594FCA">
        <w:rPr>
          <w:rFonts w:ascii="Times New Roman" w:eastAsia="Arial Unicode MS" w:hAnsi="Times New Roman" w:cs="Times New Roman"/>
          <w:color w:val="000000"/>
          <w:sz w:val="24"/>
          <w:szCs w:val="24"/>
          <w:lang w:val="pl" w:eastAsia="pl-PL"/>
        </w:rPr>
        <w:t xml:space="preserve"> projektu (art. 134 pkt 5 ustawy)</w:t>
      </w:r>
    </w:p>
    <w:p w14:paraId="66BF43BB" w14:textId="77777777" w:rsidR="005473CF" w:rsidRPr="00594FCA" w:rsidRDefault="005473CF" w:rsidP="00167DB4">
      <w:pPr>
        <w:spacing w:after="12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Proponowana zmiana ma na celu uwzględnienie w rejestrze KIP także oddziałów krajowych KIP i uspójnienie zakresu danych umieszczanych w rejestrze usług płatniczych dla BUP, MIP i KIP.</w:t>
      </w:r>
    </w:p>
    <w:p w14:paraId="52964396" w14:textId="09C1D5CD" w:rsidR="005473CF" w:rsidRPr="00594FCA"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4</w:t>
      </w:r>
      <w:r w:rsidR="00066875">
        <w:rPr>
          <w:rFonts w:ascii="Times New Roman" w:eastAsia="Arial Unicode MS" w:hAnsi="Times New Roman" w:cs="Times New Roman"/>
          <w:color w:val="000000"/>
          <w:sz w:val="24"/>
          <w:szCs w:val="24"/>
          <w:lang w:val="pl" w:eastAsia="pl-PL"/>
        </w:rPr>
        <w:t>3</w:t>
      </w:r>
      <w:r w:rsidRPr="00594FCA">
        <w:rPr>
          <w:rFonts w:ascii="Times New Roman" w:eastAsia="Arial Unicode MS" w:hAnsi="Times New Roman" w:cs="Times New Roman"/>
          <w:color w:val="000000"/>
          <w:sz w:val="24"/>
          <w:szCs w:val="24"/>
          <w:lang w:val="pl" w:eastAsia="pl-PL"/>
        </w:rPr>
        <w:t>)</w:t>
      </w:r>
      <w:r w:rsidR="00457862">
        <w:rPr>
          <w:rFonts w:ascii="Times New Roman" w:eastAsia="Arial Unicode MS" w:hAnsi="Times New Roman" w:cs="Times New Roman"/>
          <w:color w:val="000000"/>
          <w:sz w:val="24"/>
          <w:szCs w:val="24"/>
          <w:lang w:val="pl" w:eastAsia="pl-PL"/>
        </w:rPr>
        <w:tab/>
      </w:r>
      <w:r w:rsidR="001867C0">
        <w:rPr>
          <w:rFonts w:ascii="Times New Roman" w:eastAsia="Arial Unicode MS" w:hAnsi="Times New Roman" w:cs="Times New Roman"/>
          <w:color w:val="000000"/>
          <w:sz w:val="24"/>
          <w:szCs w:val="24"/>
          <w:lang w:val="pl" w:eastAsia="pl-PL"/>
        </w:rPr>
        <w:t>Art. 21</w:t>
      </w:r>
      <w:r w:rsidR="00066875">
        <w:rPr>
          <w:rFonts w:ascii="Times New Roman" w:eastAsia="Arial Unicode MS" w:hAnsi="Times New Roman" w:cs="Times New Roman"/>
          <w:color w:val="000000"/>
          <w:sz w:val="24"/>
          <w:szCs w:val="24"/>
          <w:lang w:val="pl" w:eastAsia="pl-PL"/>
        </w:rPr>
        <w:t xml:space="preserve"> pkt 54</w:t>
      </w:r>
      <w:r w:rsidRPr="00594FCA">
        <w:rPr>
          <w:rFonts w:ascii="Times New Roman" w:eastAsia="Arial Unicode MS" w:hAnsi="Times New Roman" w:cs="Times New Roman"/>
          <w:color w:val="000000"/>
          <w:sz w:val="24"/>
          <w:szCs w:val="24"/>
          <w:lang w:val="pl" w:eastAsia="pl-PL"/>
        </w:rPr>
        <w:t xml:space="preserve"> pr</w:t>
      </w:r>
      <w:r w:rsidR="00EB5C32" w:rsidRPr="00594FCA">
        <w:rPr>
          <w:rFonts w:ascii="Times New Roman" w:eastAsia="Arial Unicode MS" w:hAnsi="Times New Roman" w:cs="Times New Roman"/>
          <w:color w:val="000000"/>
          <w:sz w:val="24"/>
          <w:szCs w:val="24"/>
          <w:lang w:val="pl" w:eastAsia="pl-PL"/>
        </w:rPr>
        <w:t>ojektu (art. 142 ust. 1 pkt 8</w:t>
      </w:r>
      <w:r w:rsidR="00167DB4" w:rsidRPr="00082777">
        <w:rPr>
          <w:rFonts w:ascii="Times New Roman" w:hAnsi="Times New Roman" w:cs="Times New Roman"/>
          <w:sz w:val="24"/>
          <w:szCs w:val="24"/>
          <w:lang w:val="pl"/>
        </w:rPr>
        <w:t>‒</w:t>
      </w:r>
      <w:r w:rsidR="00EB5C32" w:rsidRPr="00594FCA">
        <w:rPr>
          <w:rFonts w:ascii="Times New Roman" w:eastAsia="Arial Unicode MS" w:hAnsi="Times New Roman" w:cs="Times New Roman"/>
          <w:color w:val="000000"/>
          <w:sz w:val="24"/>
          <w:szCs w:val="24"/>
          <w:lang w:val="pl" w:eastAsia="pl-PL"/>
        </w:rPr>
        <w:t>12</w:t>
      </w:r>
      <w:r w:rsidRPr="00594FCA">
        <w:rPr>
          <w:rFonts w:ascii="Times New Roman" w:eastAsia="Arial Unicode MS" w:hAnsi="Times New Roman" w:cs="Times New Roman"/>
          <w:color w:val="000000"/>
          <w:sz w:val="24"/>
          <w:szCs w:val="24"/>
          <w:lang w:val="pl" w:eastAsia="pl-PL"/>
        </w:rPr>
        <w:t xml:space="preserve"> ustawy)</w:t>
      </w:r>
    </w:p>
    <w:p w14:paraId="69ABA57C" w14:textId="77777777" w:rsidR="005473CF" w:rsidRPr="00594FCA"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 xml:space="preserve">Proponuje się rozszerzenie katalogu okoliczności powodujących wykreślenie z urzędu wpisu w rejestrze KIP o przypadki uzyskania przez KNF informacji o zmianie charakteru (BUP, MIP, KIP), w jakim przedsiębiorca świadczy usługi płatnicze oraz niepodjęcia albo lub nieprowadzenia działalności w zakresie usług płatniczych przez okres dłuższy niż 12 miesięcy. Projektowane rozwiązanie wypełnia lukę regulacyjną w zakresie kompetencji do podjęcia działania przez KNF w przypadku gdy przedsiębiorca dotychczas działających w charakterze BUP uzyskuje wpis do rejestru w charakterze MIP albo dotychczasowy MIP wystąpił i uzyskał zezwolenie na działalność w charakterze KIP. Pozwoli to na uniknięcie nakładania się uprawnień do świadczenia usług płatniczych. </w:t>
      </w:r>
    </w:p>
    <w:p w14:paraId="78F877A3" w14:textId="229BD726" w:rsidR="005473CF" w:rsidRPr="00594FCA"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Ustawa nie przewiduje możliwości równoczesnego prowadzenia działalności w zakresie usług p</w:t>
      </w:r>
      <w:r w:rsidR="00EB5C32" w:rsidRPr="00594FCA">
        <w:rPr>
          <w:rFonts w:ascii="Times New Roman" w:eastAsia="Arial Unicode MS" w:hAnsi="Times New Roman" w:cs="Times New Roman"/>
          <w:color w:val="000000"/>
          <w:sz w:val="24"/>
          <w:szCs w:val="24"/>
          <w:lang w:val="pl" w:eastAsia="pl-PL"/>
        </w:rPr>
        <w:t xml:space="preserve">łatniczych w różnej formie, </w:t>
      </w:r>
      <w:r w:rsidRPr="00594FCA">
        <w:rPr>
          <w:rFonts w:ascii="Times New Roman" w:eastAsia="Arial Unicode MS" w:hAnsi="Times New Roman" w:cs="Times New Roman"/>
          <w:color w:val="000000"/>
          <w:sz w:val="24"/>
          <w:szCs w:val="24"/>
          <w:lang w:val="pl" w:eastAsia="pl-PL"/>
        </w:rPr>
        <w:t>działalność w zakresie usług płatniczych może być świadczona „w charakterze” biura usług płatniczych, małej instytucji płatniczej czy krajowej instytucji płatniczej. Uznanie za dopuszczalne świadczenia w tym samym okresie usług kumulatywnie w dwóch różnych formach doprowadziłaby do zakłóceń w realizacji obowiązków przez konkretnego przedsiębiorcę, który mógłby wybiórczo realizować obowiązki jako biuro usług płatniczych, a świadczyć usługi jako mała instytucja płatnicza, czyli w</w:t>
      </w:r>
      <w:r w:rsidR="007C389F">
        <w:rPr>
          <w:rFonts w:ascii="Times New Roman" w:eastAsia="Arial Unicode MS" w:hAnsi="Times New Roman" w:cs="Times New Roman"/>
          <w:color w:val="000000"/>
          <w:sz w:val="24"/>
          <w:szCs w:val="24"/>
          <w:lang w:val="pl" w:eastAsia="pl-PL"/>
        </w:rPr>
        <w:t xml:space="preserve"> </w:t>
      </w:r>
      <w:r w:rsidRPr="00594FCA">
        <w:rPr>
          <w:rFonts w:ascii="Times New Roman" w:eastAsia="Arial Unicode MS" w:hAnsi="Times New Roman" w:cs="Times New Roman"/>
          <w:color w:val="000000"/>
          <w:sz w:val="24"/>
          <w:szCs w:val="24"/>
          <w:lang w:val="pl" w:eastAsia="pl-PL"/>
        </w:rPr>
        <w:t>szerszym zakresie</w:t>
      </w:r>
      <w:r w:rsidR="007C389F">
        <w:rPr>
          <w:rFonts w:ascii="Times New Roman" w:eastAsia="Arial Unicode MS" w:hAnsi="Times New Roman" w:cs="Times New Roman"/>
          <w:color w:val="000000"/>
          <w:sz w:val="24"/>
          <w:szCs w:val="24"/>
          <w:lang w:val="pl" w:eastAsia="pl-PL"/>
        </w:rPr>
        <w:t xml:space="preserve"> </w:t>
      </w:r>
      <w:r w:rsidRPr="00594FCA">
        <w:rPr>
          <w:rFonts w:ascii="Times New Roman" w:eastAsia="Arial Unicode MS" w:hAnsi="Times New Roman" w:cs="Times New Roman"/>
          <w:color w:val="000000"/>
          <w:sz w:val="24"/>
          <w:szCs w:val="24"/>
          <w:lang w:val="pl" w:eastAsia="pl-PL"/>
        </w:rPr>
        <w:t xml:space="preserve">i z szerszymi uprawnieniami. </w:t>
      </w:r>
    </w:p>
    <w:p w14:paraId="6F129023" w14:textId="422AD570" w:rsidR="005473CF" w:rsidRPr="00594FCA"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Należy zwrócić również uwagę, że krajowa instytucja płatnicza może podjąć działalność w ciągu nie później niż 12 miesięcy od uzyskania zezwolenia. W tym czasie nie można wykluczyć, że przedsiębiorca będący dotychczas małą instytucją płatniczą,</w:t>
      </w:r>
      <w:r w:rsidR="007C389F">
        <w:rPr>
          <w:rFonts w:ascii="Times New Roman" w:eastAsia="Arial Unicode MS" w:hAnsi="Times New Roman" w:cs="Times New Roman"/>
          <w:color w:val="000000"/>
          <w:sz w:val="24"/>
          <w:szCs w:val="24"/>
          <w:lang w:val="pl" w:eastAsia="pl-PL"/>
        </w:rPr>
        <w:t xml:space="preserve"> </w:t>
      </w:r>
      <w:r w:rsidRPr="00594FCA">
        <w:rPr>
          <w:rFonts w:ascii="Times New Roman" w:eastAsia="Arial Unicode MS" w:hAnsi="Times New Roman" w:cs="Times New Roman"/>
          <w:color w:val="000000"/>
          <w:sz w:val="24"/>
          <w:szCs w:val="24"/>
          <w:lang w:val="pl" w:eastAsia="pl-PL"/>
        </w:rPr>
        <w:t>który uzyskał status krajowej instytucji płatniczej, będzie zainteresowany świadczeniem usług</w:t>
      </w:r>
      <w:r w:rsidR="007C389F">
        <w:rPr>
          <w:rFonts w:ascii="Times New Roman" w:eastAsia="Arial Unicode MS" w:hAnsi="Times New Roman" w:cs="Times New Roman"/>
          <w:color w:val="000000"/>
          <w:sz w:val="24"/>
          <w:szCs w:val="24"/>
          <w:lang w:val="pl" w:eastAsia="pl-PL"/>
        </w:rPr>
        <w:t xml:space="preserve"> </w:t>
      </w:r>
      <w:r w:rsidRPr="00594FCA">
        <w:rPr>
          <w:rFonts w:ascii="Times New Roman" w:eastAsia="Arial Unicode MS" w:hAnsi="Times New Roman" w:cs="Times New Roman"/>
          <w:color w:val="000000"/>
          <w:sz w:val="24"/>
          <w:szCs w:val="24"/>
          <w:lang w:val="pl" w:eastAsia="pl-PL"/>
        </w:rPr>
        <w:t>Jako mała instytucja płatnicza). Z tego względu może powstać rozbieżność w zakresie wyraźnego rozgraniczenia, w jakim charakterze świadczona jest dana usługa.</w:t>
      </w:r>
    </w:p>
    <w:p w14:paraId="36308C85" w14:textId="77777777" w:rsidR="005473CF" w:rsidRPr="00594FCA"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 xml:space="preserve">Możliwość wykreślenia biur usług płatniczych i małych instytucji płatniczych niepodejmujących działalności lub zaprzestających jej wykonywania na dłuższy czas ma na celu zapewnienie pewności obrotu – prawdziwości danych zawartych w rejestrze dostawców usług płatniczych i wydawców pieniądza elektronicznego. </w:t>
      </w:r>
    </w:p>
    <w:p w14:paraId="7F8BA341" w14:textId="5E7A3C03" w:rsidR="005473CF" w:rsidRPr="00594FCA" w:rsidRDefault="005473CF" w:rsidP="00167DB4">
      <w:pPr>
        <w:spacing w:after="12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Wykreślenie nie ma w tym przypadku charakteru sankcyjnego, ponieważ nie odbiera przyznanych uprawnień – są one zachowane w związku z uzyskaniem nowego statusu dostawcy. Decyzja administracyjna może stanowić jedynie podstawę wykreślenia w trybie art. 142 pkt 11</w:t>
      </w:r>
      <w:r w:rsidR="00EB5C32" w:rsidRPr="00594FCA">
        <w:rPr>
          <w:rFonts w:ascii="Times New Roman" w:eastAsia="Arial Unicode MS" w:hAnsi="Times New Roman" w:cs="Times New Roman"/>
          <w:color w:val="000000"/>
          <w:sz w:val="24"/>
          <w:szCs w:val="24"/>
          <w:lang w:val="pl" w:eastAsia="pl-PL"/>
        </w:rPr>
        <w:t xml:space="preserve"> i 12.</w:t>
      </w:r>
    </w:p>
    <w:p w14:paraId="2B02E5C2" w14:textId="2BA90AE1" w:rsidR="005473CF" w:rsidRPr="00594FCA"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473CF">
        <w:rPr>
          <w:rFonts w:ascii="Times New Roman" w:eastAsia="Book Antiqua" w:hAnsi="Times New Roman" w:cs="Times New Roman"/>
          <w:color w:val="000000"/>
          <w:sz w:val="24"/>
          <w:szCs w:val="24"/>
          <w:lang w:val="pl" w:eastAsia="pl-PL"/>
        </w:rPr>
        <w:t>4</w:t>
      </w:r>
      <w:r w:rsidR="00066875">
        <w:rPr>
          <w:rFonts w:ascii="Times New Roman" w:eastAsia="Book Antiqua" w:hAnsi="Times New Roman" w:cs="Times New Roman"/>
          <w:color w:val="000000"/>
          <w:sz w:val="24"/>
          <w:szCs w:val="24"/>
          <w:lang w:val="pl" w:eastAsia="pl-PL"/>
        </w:rPr>
        <w:t>4</w:t>
      </w:r>
      <w:r w:rsidR="00457862">
        <w:rPr>
          <w:rFonts w:ascii="Times New Roman" w:eastAsia="Arial Unicode MS" w:hAnsi="Times New Roman" w:cs="Times New Roman"/>
          <w:color w:val="000000"/>
          <w:sz w:val="24"/>
          <w:szCs w:val="24"/>
          <w:lang w:val="pl" w:eastAsia="pl-PL"/>
        </w:rPr>
        <w:t>)</w:t>
      </w:r>
      <w:r w:rsidR="00457862">
        <w:rPr>
          <w:rFonts w:ascii="Times New Roman" w:eastAsia="Arial Unicode MS" w:hAnsi="Times New Roman" w:cs="Times New Roman"/>
          <w:color w:val="000000"/>
          <w:sz w:val="24"/>
          <w:szCs w:val="24"/>
          <w:lang w:val="pl" w:eastAsia="pl-PL"/>
        </w:rPr>
        <w:tab/>
      </w:r>
      <w:r w:rsidR="001867C0">
        <w:rPr>
          <w:rFonts w:ascii="Times New Roman" w:eastAsia="Arial Unicode MS" w:hAnsi="Times New Roman" w:cs="Times New Roman"/>
          <w:color w:val="000000"/>
          <w:sz w:val="24"/>
          <w:szCs w:val="24"/>
          <w:lang w:val="pl" w:eastAsia="pl-PL"/>
        </w:rPr>
        <w:t>Art. 21</w:t>
      </w:r>
      <w:r w:rsidR="00066875">
        <w:rPr>
          <w:rFonts w:ascii="Times New Roman" w:eastAsia="Arial Unicode MS" w:hAnsi="Times New Roman" w:cs="Times New Roman"/>
          <w:color w:val="000000"/>
          <w:sz w:val="24"/>
          <w:szCs w:val="24"/>
          <w:lang w:val="pl" w:eastAsia="pl-PL"/>
        </w:rPr>
        <w:t xml:space="preserve"> pkt 55</w:t>
      </w:r>
      <w:r w:rsidRPr="00594FCA">
        <w:rPr>
          <w:rFonts w:ascii="Times New Roman" w:eastAsia="Arial Unicode MS" w:hAnsi="Times New Roman" w:cs="Times New Roman"/>
          <w:color w:val="000000"/>
          <w:sz w:val="24"/>
          <w:szCs w:val="24"/>
          <w:lang w:val="pl" w:eastAsia="pl-PL"/>
        </w:rPr>
        <w:t xml:space="preserve"> projektu (art. 143b ust. 1 ustawy)</w:t>
      </w:r>
    </w:p>
    <w:p w14:paraId="5CFDD8A6" w14:textId="0E4DC648" w:rsidR="005473CF" w:rsidRPr="00594FCA" w:rsidRDefault="005473CF" w:rsidP="00167DB4">
      <w:pPr>
        <w:spacing w:after="0" w:line="360" w:lineRule="auto"/>
        <w:jc w:val="both"/>
        <w:rPr>
          <w:rFonts w:ascii="Times New Roman" w:eastAsia="Arial Unicode MS" w:hAnsi="Times New Roman" w:cs="Times New Roman"/>
          <w:color w:val="000000"/>
          <w:sz w:val="24"/>
          <w:szCs w:val="24"/>
          <w:lang w:val="pl" w:eastAsia="pl-PL"/>
        </w:rPr>
      </w:pPr>
      <w:r w:rsidRPr="00594FCA">
        <w:rPr>
          <w:rFonts w:ascii="Times New Roman" w:eastAsia="Arial Unicode MS" w:hAnsi="Times New Roman" w:cs="Times New Roman"/>
          <w:color w:val="000000"/>
          <w:sz w:val="24"/>
          <w:szCs w:val="24"/>
          <w:lang w:val="pl" w:eastAsia="pl-PL"/>
        </w:rPr>
        <w:t>Proponuje się ujednolicenie terminu na realizację działań określonych w art. 143a, przez dostawcę płatnika, mających na celu odzyskania kwoty transakcji płatniczej wykonanej z użyciem nieprawidłowego unikatowego identyfikatora. Obecne określenie terminu jako „jednego miesiąca od dnia dokonania zgłoszenia” oznacza, że w zależności od daty złożenia zgłoszenia, termin odzyskania kwoty transakcji płatniczej wykonanej z użyciem nieprawidłowego unikatowego identyfikatora upływ</w:t>
      </w:r>
      <w:r w:rsidR="00594FCA">
        <w:rPr>
          <w:rFonts w:ascii="Times New Roman" w:eastAsia="Arial Unicode MS" w:hAnsi="Times New Roman" w:cs="Times New Roman"/>
          <w:color w:val="000000"/>
          <w:sz w:val="24"/>
          <w:szCs w:val="24"/>
          <w:lang w:val="pl" w:eastAsia="pl-PL"/>
        </w:rPr>
        <w:t>a po 28, 29, 30 albo 31 dniach.</w:t>
      </w:r>
    </w:p>
    <w:p w14:paraId="20CD5D9E" w14:textId="27EDE064" w:rsidR="00465308" w:rsidRPr="006B2CD4" w:rsidRDefault="002367D6" w:rsidP="00CF3CA3">
      <w:pPr>
        <w:spacing w:before="120" w:after="120" w:line="360" w:lineRule="auto"/>
        <w:jc w:val="both"/>
        <w:rPr>
          <w:rFonts w:ascii="Times New Roman" w:hAnsi="Times New Roman" w:cs="Times New Roman"/>
          <w:b/>
          <w:sz w:val="24"/>
          <w:szCs w:val="24"/>
        </w:rPr>
      </w:pPr>
      <w:r w:rsidRPr="001E4677">
        <w:rPr>
          <w:rFonts w:ascii="Times New Roman" w:hAnsi="Times New Roman" w:cs="Times New Roman"/>
          <w:b/>
          <w:sz w:val="24"/>
          <w:szCs w:val="24"/>
        </w:rPr>
        <w:t xml:space="preserve">Art. </w:t>
      </w:r>
      <w:r w:rsidR="005D300A" w:rsidRPr="001E4677">
        <w:rPr>
          <w:rFonts w:ascii="Times New Roman" w:hAnsi="Times New Roman" w:cs="Times New Roman"/>
          <w:b/>
          <w:sz w:val="24"/>
          <w:szCs w:val="24"/>
        </w:rPr>
        <w:t>2</w:t>
      </w:r>
      <w:r w:rsidR="00CF3CA3">
        <w:rPr>
          <w:rFonts w:ascii="Times New Roman" w:hAnsi="Times New Roman" w:cs="Times New Roman"/>
          <w:b/>
          <w:sz w:val="24"/>
          <w:szCs w:val="24"/>
        </w:rPr>
        <w:t>2</w:t>
      </w:r>
      <w:r w:rsidRPr="001E4677">
        <w:rPr>
          <w:rFonts w:ascii="Times New Roman" w:hAnsi="Times New Roman" w:cs="Times New Roman"/>
          <w:b/>
          <w:sz w:val="24"/>
          <w:szCs w:val="24"/>
        </w:rPr>
        <w:t xml:space="preserve">. </w:t>
      </w:r>
      <w:r w:rsidR="00465308" w:rsidRPr="001E4677">
        <w:rPr>
          <w:rFonts w:ascii="Times New Roman" w:hAnsi="Times New Roman" w:cs="Times New Roman"/>
          <w:b/>
          <w:sz w:val="24"/>
          <w:szCs w:val="24"/>
        </w:rPr>
        <w:t>Zmiany</w:t>
      </w:r>
      <w:r w:rsidR="00465308" w:rsidRPr="006B2CD4">
        <w:rPr>
          <w:rFonts w:ascii="Times New Roman" w:hAnsi="Times New Roman" w:cs="Times New Roman"/>
          <w:b/>
          <w:sz w:val="24"/>
          <w:szCs w:val="24"/>
        </w:rPr>
        <w:t xml:space="preserve"> w ustawie o obligacjach </w:t>
      </w:r>
    </w:p>
    <w:p w14:paraId="38EBFCDF" w14:textId="1B0417A0" w:rsidR="009737AE" w:rsidRPr="006B2CD4" w:rsidRDefault="009737AE" w:rsidP="004E272A">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W celu ochrony inwestorów indywidualnych w projektowanym art. 8a ustawy o obligacjach wprowadzono ograniczenie kwotowe w zakresie wartości nominalnej obligacji w przypadku oferowania obligacji podporządkowanych, o którym mowa w art. 22 ust. 2 ustawy o obligacjach. Ograniczenie kwotowe zostało również przyjęte w art. 117 ust. 3 ustawy o funduszach inwestycyjnych i zarządzaniu alternatywnymi funduszami inwestycyjnymi, w którym określono, że osoby fizyczne mogą nabywać certyfikaty inwestycyjne funduszu inwestycyjnego, jeśli wartość certyfikatu inwestycyjnego pierwszej emisji tego funduszu będzie nie mniejsza niż równowartość w złotych 40.000 euro. Następnym etapem we wzmocnieniu ochrony inwestorów indywidualnych jest wprowadzenie analogicznego rozwiązania dla obligacji nienotowanych. Wartość nominalna obligacji nabywanej przez klienta detalicznego nie powinna być niższa niż 40.000 euro lub równowartość tej kwoty wyrażona w walucie polskiej lub innej. Ograniczenie wartości nominalnej obligacji nie miałoby zastosowania, niezależnie od wartości oferty, w przypadku, gdy obligacje te byłyby lub miałyby być dopuszczone do obrotu na rynku regulowanym lub wprowadzone do alternatywnego systemu obrotu. Wprowadzenie progu na poziomie 40.000 euro jest rozwiązaniem analogicznym jak w przypadku progu, który został przyjęty przy obejmowaniu certyfikatów inwestycyjnych. Z kolei w przypadku obligacji zwykłych, w przeciwieństwie do obligacji podporządkowanych, poziom ryzyka inwestycyjnego jest niższy, wobec czego wprowadzenie progu na poziomie analogicznym, jak w przypadku obligacji podporządkowanych, tj. 400.000 zł, byłoby niewspółmierne. Proponowane rozwiązanie opiera się na założeniu, że klient detaliczny, będący osob</w:t>
      </w:r>
      <w:r w:rsidR="00FC1B24">
        <w:rPr>
          <w:rFonts w:ascii="Times New Roman" w:hAnsi="Times New Roman" w:cs="Times New Roman"/>
          <w:sz w:val="24"/>
          <w:szCs w:val="24"/>
        </w:rPr>
        <w:t>ą</w:t>
      </w:r>
      <w:r w:rsidRPr="006B2CD4">
        <w:rPr>
          <w:rFonts w:ascii="Times New Roman" w:hAnsi="Times New Roman" w:cs="Times New Roman"/>
          <w:sz w:val="24"/>
          <w:szCs w:val="24"/>
        </w:rPr>
        <w:t xml:space="preserve"> fizyczną, który dokonuje inwestycji o wartości co najmniej 40.000 euro będzie postępował w sposób staranny, a inwestycja poprzedzona zostanie bardziej wnikliwą analizą ryzyka inwestycyjnego. Z kolei wyłączenie ograniczenia wartości nominalnej dla obligacji, które są lub będą wprowadzone do obrotu na rynku regulowanym lub są notowane w alternatywnym systemie obrotu jest uzasadnione większą transparentnością emitentów, którzy realizują obowiązki informacyjne. Przepis ten ograniczy również skalę ryzyka dla inwestorów nieprofesjonalnych przy zachowaniu możliwości dokonywania ofert obligacji o niż</w:t>
      </w:r>
      <w:r w:rsidR="007243D4">
        <w:rPr>
          <w:rFonts w:ascii="Times New Roman" w:hAnsi="Times New Roman" w:cs="Times New Roman"/>
          <w:sz w:val="24"/>
          <w:szCs w:val="24"/>
        </w:rPr>
        <w:t>sz</w:t>
      </w:r>
      <w:r w:rsidRPr="006B2CD4">
        <w:rPr>
          <w:rFonts w:ascii="Times New Roman" w:hAnsi="Times New Roman" w:cs="Times New Roman"/>
          <w:sz w:val="24"/>
          <w:szCs w:val="24"/>
        </w:rPr>
        <w:t>ej wartości, pod pewnymi warunkami.</w:t>
      </w:r>
    </w:p>
    <w:p w14:paraId="5050DBCA" w14:textId="0ADC769A" w:rsidR="009737AE" w:rsidRPr="006B2CD4" w:rsidRDefault="00DC710B" w:rsidP="009737AE">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Art. </w:t>
      </w:r>
      <w:r w:rsidR="00CF3CA3" w:rsidRPr="006B2CD4">
        <w:rPr>
          <w:rFonts w:ascii="Times New Roman" w:hAnsi="Times New Roman" w:cs="Times New Roman"/>
          <w:sz w:val="24"/>
          <w:szCs w:val="24"/>
        </w:rPr>
        <w:t>27</w:t>
      </w:r>
      <w:r w:rsidR="00CF3CA3">
        <w:rPr>
          <w:rFonts w:ascii="Times New Roman" w:hAnsi="Times New Roman" w:cs="Times New Roman"/>
          <w:sz w:val="24"/>
          <w:szCs w:val="24"/>
        </w:rPr>
        <w:t>p</w:t>
      </w:r>
      <w:r w:rsidR="00CF3CA3" w:rsidRPr="006B2CD4">
        <w:rPr>
          <w:rFonts w:ascii="Times New Roman" w:hAnsi="Times New Roman" w:cs="Times New Roman"/>
          <w:sz w:val="24"/>
          <w:szCs w:val="24"/>
        </w:rPr>
        <w:t>–27</w:t>
      </w:r>
      <w:r w:rsidR="00CF3CA3">
        <w:rPr>
          <w:rFonts w:ascii="Times New Roman" w:hAnsi="Times New Roman" w:cs="Times New Roman"/>
          <w:sz w:val="24"/>
          <w:szCs w:val="24"/>
        </w:rPr>
        <w:t>s</w:t>
      </w:r>
      <w:r w:rsidR="00CF3CA3" w:rsidRPr="006B2CD4">
        <w:rPr>
          <w:rFonts w:ascii="Times New Roman" w:hAnsi="Times New Roman" w:cs="Times New Roman"/>
          <w:sz w:val="24"/>
          <w:szCs w:val="24"/>
        </w:rPr>
        <w:t xml:space="preserve"> ustawy o obligacjach ustanawiają instrument w postaci obligacji transformacyjnych. Strategia Rozwoju Rynku Kapitałowego, przyjęta przez Radę Ministrów w październiku 2019 r., zakłada „</w:t>
      </w:r>
      <w:r w:rsidR="00CF3CA3" w:rsidRPr="006B2CD4">
        <w:rPr>
          <w:rFonts w:ascii="Times New Roman" w:hAnsi="Times New Roman" w:cs="Times New Roman"/>
          <w:i/>
          <w:sz w:val="24"/>
          <w:szCs w:val="24"/>
        </w:rPr>
        <w:t>wprowadzenie obligacji rozwojowych, które będą mogły stać się instrumentem finansowania polskich potrzeb infrastrukturalnych” oraz „wprowadzenie zwolnienia podatkowego dla emisji obligacji rozwojowych</w:t>
      </w:r>
      <w:r w:rsidR="00CF3CA3" w:rsidRPr="006B2CD4">
        <w:rPr>
          <w:rFonts w:ascii="Times New Roman" w:hAnsi="Times New Roman" w:cs="Times New Roman"/>
          <w:sz w:val="24"/>
          <w:szCs w:val="24"/>
        </w:rPr>
        <w:t>”. Zgodnie z art. 27</w:t>
      </w:r>
      <w:r w:rsidR="00CF3CA3">
        <w:rPr>
          <w:rFonts w:ascii="Times New Roman" w:hAnsi="Times New Roman" w:cs="Times New Roman"/>
          <w:sz w:val="24"/>
          <w:szCs w:val="24"/>
        </w:rPr>
        <w:t>p</w:t>
      </w:r>
      <w:r w:rsidR="00CF3CA3" w:rsidRPr="006B2CD4">
        <w:rPr>
          <w:rFonts w:ascii="Times New Roman" w:hAnsi="Times New Roman" w:cs="Times New Roman"/>
          <w:sz w:val="24"/>
          <w:szCs w:val="24"/>
        </w:rPr>
        <w:t xml:space="preserve"> ust. 1 obligacje transformacyjne zostały zdefiniowane jako obligacje, których cel emisji polega na sfinansowaniu nowej inwestycji sprzyjającej przyspieszeniu zrównoważonego rozwoju gospodarczego kraju. Kolejne przepisy określają podstawowe cechy konstytutywne tego instrumentu. Zgodnie z projektowanym art. 27</w:t>
      </w:r>
      <w:r w:rsidR="00CF3CA3">
        <w:rPr>
          <w:rFonts w:ascii="Times New Roman" w:hAnsi="Times New Roman" w:cs="Times New Roman"/>
          <w:sz w:val="24"/>
          <w:szCs w:val="24"/>
        </w:rPr>
        <w:t>p</w:t>
      </w:r>
      <w:r w:rsidR="00CF3CA3" w:rsidRPr="006B2CD4">
        <w:rPr>
          <w:rFonts w:ascii="Times New Roman" w:hAnsi="Times New Roman" w:cs="Times New Roman"/>
          <w:sz w:val="24"/>
          <w:szCs w:val="24"/>
        </w:rPr>
        <w:t xml:space="preserve"> ust. 4 ustawy o obligacjach termin wykupu obligacji powinien wynosić nie mniej niż 5 lat od daty emisji, zaś zgodnie z projektowanym art. 27</w:t>
      </w:r>
      <w:r w:rsidR="00CF3CA3">
        <w:rPr>
          <w:rFonts w:ascii="Times New Roman" w:hAnsi="Times New Roman" w:cs="Times New Roman"/>
          <w:sz w:val="24"/>
          <w:szCs w:val="24"/>
        </w:rPr>
        <w:t>p</w:t>
      </w:r>
      <w:r w:rsidR="00CF3CA3" w:rsidRPr="006B2CD4">
        <w:rPr>
          <w:rFonts w:ascii="Times New Roman" w:hAnsi="Times New Roman" w:cs="Times New Roman"/>
          <w:sz w:val="24"/>
          <w:szCs w:val="24"/>
        </w:rPr>
        <w:t xml:space="preserve"> ust. 2 ustawy o obligacjach emitent zobowiązany jest wydatkować przynajmniej 95% pozyskanych środków w terminie 36 miesięcy od daty emisji. Emisja będzie wymagała uzyskania przez emitenta przynajmniej dwóch opinii na temat wiarygodności kredytowej na poziomie inwestycyjnym (vide projektowane brzmienie art. 27</w:t>
      </w:r>
      <w:r w:rsidR="00CF3CA3">
        <w:rPr>
          <w:rFonts w:ascii="Times New Roman" w:hAnsi="Times New Roman" w:cs="Times New Roman"/>
          <w:sz w:val="24"/>
          <w:szCs w:val="24"/>
        </w:rPr>
        <w:t>r</w:t>
      </w:r>
      <w:r w:rsidR="00CF3CA3" w:rsidRPr="006B2CD4">
        <w:rPr>
          <w:rFonts w:ascii="Times New Roman" w:hAnsi="Times New Roman" w:cs="Times New Roman"/>
          <w:sz w:val="24"/>
          <w:szCs w:val="24"/>
        </w:rPr>
        <w:t xml:space="preserve"> pkt 2 ustawy o obligacjach). Łączna wartość emisji, zgodnie z projektowanym art. 27</w:t>
      </w:r>
      <w:r w:rsidR="00CF3CA3">
        <w:rPr>
          <w:rFonts w:ascii="Times New Roman" w:hAnsi="Times New Roman" w:cs="Times New Roman"/>
          <w:sz w:val="24"/>
          <w:szCs w:val="24"/>
        </w:rPr>
        <w:t>s</w:t>
      </w:r>
      <w:r w:rsidR="00CF3CA3" w:rsidRPr="006B2CD4">
        <w:rPr>
          <w:rFonts w:ascii="Times New Roman" w:hAnsi="Times New Roman" w:cs="Times New Roman"/>
          <w:sz w:val="24"/>
          <w:szCs w:val="24"/>
        </w:rPr>
        <w:t xml:space="preserve"> ust. 2 ustawy o obligacjach, liczona według ceny emisyj</w:t>
      </w:r>
      <w:r w:rsidR="00CF3CA3">
        <w:rPr>
          <w:rFonts w:ascii="Times New Roman" w:hAnsi="Times New Roman" w:cs="Times New Roman"/>
          <w:sz w:val="24"/>
          <w:szCs w:val="24"/>
        </w:rPr>
        <w:t>nej, nie może być mniejsza niż 2</w:t>
      </w:r>
      <w:r w:rsidR="00CF3CA3" w:rsidRPr="006B2CD4">
        <w:rPr>
          <w:rFonts w:ascii="Times New Roman" w:hAnsi="Times New Roman" w:cs="Times New Roman"/>
          <w:sz w:val="24"/>
          <w:szCs w:val="24"/>
        </w:rPr>
        <w:t xml:space="preserve">0 000 000 zł lub równowartości tej kwoty wyrażonej w innej walucie. Istotną cechą obligacji transformacyjnych ma być również cel emisji, z tym że szczegółowe </w:t>
      </w:r>
      <w:r w:rsidR="00CF3CA3">
        <w:rPr>
          <w:rFonts w:ascii="Times New Roman" w:hAnsi="Times New Roman" w:cs="Times New Roman"/>
          <w:sz w:val="24"/>
          <w:szCs w:val="24"/>
        </w:rPr>
        <w:t xml:space="preserve">wymagania, </w:t>
      </w:r>
      <w:r w:rsidR="00CF3CA3" w:rsidRPr="007243D4">
        <w:rPr>
          <w:rFonts w:ascii="Times New Roman" w:hAnsi="Times New Roman" w:cs="Times New Roman"/>
          <w:sz w:val="24"/>
          <w:szCs w:val="24"/>
        </w:rPr>
        <w:t xml:space="preserve">jakie </w:t>
      </w:r>
      <w:r w:rsidR="00CF3CA3">
        <w:rPr>
          <w:rFonts w:ascii="Times New Roman" w:hAnsi="Times New Roman" w:cs="Times New Roman"/>
          <w:sz w:val="24"/>
          <w:szCs w:val="24"/>
        </w:rPr>
        <w:t>będzie musiała</w:t>
      </w:r>
      <w:r w:rsidR="00CF3CA3" w:rsidRPr="007243D4">
        <w:rPr>
          <w:rFonts w:ascii="Times New Roman" w:hAnsi="Times New Roman" w:cs="Times New Roman"/>
          <w:sz w:val="24"/>
          <w:szCs w:val="24"/>
        </w:rPr>
        <w:t xml:space="preserve"> spełniać nowa inwestycja stanowiąca cel emisji, aby mogła zostać uznana za sprzyjającą przyspieszeniu zrównoważonego rozwoju gospodarczego kraju</w:t>
      </w:r>
      <w:r w:rsidR="00CF3CA3">
        <w:rPr>
          <w:rFonts w:ascii="Times New Roman" w:hAnsi="Times New Roman" w:cs="Times New Roman"/>
          <w:sz w:val="24"/>
          <w:szCs w:val="24"/>
        </w:rPr>
        <w:t>,</w:t>
      </w:r>
      <w:r w:rsidR="00CF3CA3" w:rsidRPr="007243D4">
        <w:rPr>
          <w:rFonts w:ascii="Times New Roman" w:hAnsi="Times New Roman" w:cs="Times New Roman"/>
          <w:sz w:val="24"/>
          <w:szCs w:val="24"/>
        </w:rPr>
        <w:t xml:space="preserve"> </w:t>
      </w:r>
      <w:r w:rsidR="00CF3CA3" w:rsidRPr="006B2CD4">
        <w:rPr>
          <w:rFonts w:ascii="Times New Roman" w:hAnsi="Times New Roman" w:cs="Times New Roman"/>
          <w:sz w:val="24"/>
          <w:szCs w:val="24"/>
        </w:rPr>
        <w:t>zostaną określone przez ministra właściwego do spraw finansów publicznych w drodze rozporządzenia (art. 27</w:t>
      </w:r>
      <w:r w:rsidR="00CF3CA3">
        <w:rPr>
          <w:rFonts w:ascii="Times New Roman" w:hAnsi="Times New Roman" w:cs="Times New Roman"/>
          <w:sz w:val="24"/>
          <w:szCs w:val="24"/>
        </w:rPr>
        <w:t>p</w:t>
      </w:r>
      <w:r w:rsidR="00CF3CA3" w:rsidRPr="006B2CD4">
        <w:rPr>
          <w:rFonts w:ascii="Times New Roman" w:hAnsi="Times New Roman" w:cs="Times New Roman"/>
          <w:sz w:val="24"/>
          <w:szCs w:val="24"/>
        </w:rPr>
        <w:t xml:space="preserve"> ust. 6). W samych przepisach ustawy o obligacjach cele emisji zostały określone w sposób ogólny na podstawie najpowszechniejszego międzynarodowego standardu zielonych obligacji („Green Bond Principles”), opracowanego przez Międzynarodowe Stowarzyszenie Rynków Kapitałowych (ICMA). Ponadto przewiduje się, że emisja obligacji transformacyjnych następować będzie w trybie oferty publicznej, zgodnie z art.</w:t>
      </w:r>
      <w:r w:rsidR="00CF3CA3">
        <w:rPr>
          <w:rFonts w:ascii="Times New Roman" w:hAnsi="Times New Roman" w:cs="Times New Roman"/>
          <w:sz w:val="24"/>
          <w:szCs w:val="24"/>
        </w:rPr>
        <w:t xml:space="preserve"> 33 pkt 1 ustawy o obligacjach.</w:t>
      </w:r>
    </w:p>
    <w:p w14:paraId="490CB9FC" w14:textId="77777777" w:rsidR="009737AE" w:rsidRPr="006B2CD4" w:rsidRDefault="009737AE" w:rsidP="004E272A">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Dodanie art. 33a do ustawy o obligacjach związane jest z tym, że na koniec marca 2021 roku wartość zadłużenia z tytułu emisji obligacji spółek, których akcje lub obligacje nie są notowane na rynku regulowanym, wynosiła ponad 77 mld zł. Dla porównania zadłużenie spółek giełdowych wynosiło około 43 mld zł, natomiast banków 49 mld zł. Brak obowiązków informacyjnych ze strony emitentów papierów nienotowanych oraz dystrybucja obligacji bez udziału podmiotów profesjonalnych stwarzają niebezpieczeństwo dla inwestorów indywidualnych w postaci niepełnych lub nierzetelnych informacji oraz ryzyko missellingu. Mając na uwadze popularność i rosnące zainteresowanie klientów detalicznych inwestycjami w obligacje, a także ryzyka związane z ich dystrybucją przez podmioty nieposiadające zezwolenia KNF, zasadnym jest, aby sprzedaż obligacji klientom detalicznym była dokonywana przez profesjonalnych uczestników rynku. Takie podmioty zobowiązane są do działania w najlepiej pojętym interesie inwestorów, a także do przekazywania informacji o sprzedawanych instrumentach w sposób niewprowadzający nabywców w błąd. Weryfikacja przez podmiot pośredniczący, czy inwestycja jest odpowiednia dla klienta detalicznego, zmniejszy ryzyko niedopasowania instrumentu do profilu klienta i jego skłonności do ryzyka. Wprowadzenie wymogu wskazanego w tym przepisie jest kolejnym etapem działań zmierzających do wzmocnienia ochrony najsłabszych uczestników rynku, tj. inwestorów indywidualnych.</w:t>
      </w:r>
    </w:p>
    <w:p w14:paraId="0847DE14" w14:textId="4DF55398" w:rsidR="009737AE" w:rsidRPr="006B2CD4" w:rsidRDefault="009737AE" w:rsidP="009737AE">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Nowelizacja art. 35 i art. 37 ustawy o obligacjach ma za zadanie spełnienie kilku celów. Po pierwsze, doprecyzowanie informacji wymaganych w dokumencie „propozycja nabycia” i obowiązku publikacji sprawozdań. Aktualnie emitenci obligacji obowiązani są do zamieszczania w propozycji nabycia informacji na temat wartości zaciągniętych zobowiązań i perspektyw kształtowania się ich zobowiązań do czasu całkowitego wykupu obligacji proponowanych do nabycia. W przypadku obligacji wieczystych, perspektywy prezentowane są za okres 5 lat od daty ich emisji. Informacje te mają kluczowe znaczenie dla inwestorów podejmujących decyzję inwestycyjną, gdyż umożliwiają ocenę sytuacji finansowej emitenta. Po drugie, nałożenie obowiązku w zakresie wartości zaciągniętych zobowiązań</w:t>
      </w:r>
      <w:r w:rsidRPr="006B2CD4">
        <w:rPr>
          <w:rFonts w:ascii="Times New Roman" w:hAnsi="Times New Roman" w:cs="Times New Roman"/>
          <w:b/>
          <w:sz w:val="24"/>
          <w:szCs w:val="24"/>
        </w:rPr>
        <w:t xml:space="preserve">. </w:t>
      </w:r>
      <w:r w:rsidRPr="006B2CD4">
        <w:rPr>
          <w:rFonts w:ascii="Times New Roman" w:hAnsi="Times New Roman" w:cs="Times New Roman"/>
          <w:sz w:val="24"/>
          <w:szCs w:val="24"/>
        </w:rPr>
        <w:t>Aktualnie informacje o wartości zaciągniętych zobowiązań przedstawiane w propozycji nabycia sporządza się tylko w odniesieniu do emitenta przeprowadzającego emisję obligacji. W przypadku, gdy emitentem jest zawiązana wyłącznie na potrzeby przeprowadzenia emisji obligacji spółka celowa, tzw. SPV, inwestorzy otrzymują informacje wyłącznie na temat tego podmiotu. Objęcie obowiązkiem, o którym mowa w art. 35 ust. 1 pkt 1 ustawy o obligacjach, oprócz emitenta obligacji również podmiotów wchodzących w skład grupy kapitałowej, do której należy emitent, da nabywcy obligacji informację o zadłużeniu i zaległych zobowiązaniach m.in. z tytułu emisji obligacji całej grupy. Informacje te pozwolą szerzej ocenić sytuację emitenta i ryzyko inwestycyjne. Obowiązek będzie dotyczył podmiotów należących do grup kapitałowych, w których sporządzane są sprawozdania skonsolidowane. Powyższe rozwiązanie znajdzie również zastosowanie dla grup kapitałowych, w których jest kilku emitentów obligacji. Proponowana regulacja ma więc przede wszystkim walor ochronny wobec potencjalnych inwestorów. Po trzecie, wskazanie perspektyw kształtowania się zobowiązań do czasu całkowitego wykupu obligacji proponowanych do nabycia. Perspektywy kształtowania się zobowiązań emitenta w praktyce są często prezentowane w sposób lakoniczny oraz nie są poparte rzetelnymi danymi liczbowymi. Proponowana zmiana wprowadza obowiązek przedstawienia szacowanej struktury finansowania rozumianej jako wartość i udział procentowy zobowiązań z tytułu kredytów i pożyczek, emisji dłużnych papierów wartościowych oraz leasingu w sumie pasywów emitenta. Dane te będą przedstawiane na ostatni dzień roku obrotowego, w którym nastąpiła emisja, i na dzień kończący okres dwunastu miesięcy od daty emisji, a przypadku obligacji o tenorze krótszym niż 12 miesięcy – na dzień wykupu obligacji. Dodatkowo wprowadzono obowiązek przedstawiania szacunków dla grupy kapitałowej, w przypadku gdy emitentem jest podmiot, który sporządza skonsolidowane sprawozdanie finansowe w rozumieniu przepisów ustawy o rachunkowości. Dane te pozwolą uczynić prezentowaną przez emitentów prognozę bardziej miarodajną i kompleksową. Emitenci obowiązani będą także do aktualizowania przedstawianych danych na koniec każdego roku obrotowego po dacie emisji, poprzez przedstawienie danych na kolejny, 12 miesięczny okres. Aktualizacje odbywać się będą do czasu całkowitego wykupu obligacji, poprzez publikację na stronie internetowej emitenta, bez względu na rodzaj obligacji (zwykłe, wieczyste). Prognozowanie długoterminowe obowiązujące obecnie jest wymagające i obarczone znacznym błędem. Przedstawianie perspektyw kształtowania się zobowiązań co roku do czasu wykupu obligacji ma na celu zwiększenie ich wiarygodności i rzetelności. Natomiast obowiązek wskazywania i wyjaśniania różnic pomiędzy opublikowanymi perspektywami, a zobowiązaniami finansowymi wynikającymi z ksiąg rachunkowych dodatkowo zmobilizuje emitentów do publikowania możliwie realnych prognoz. W zakresie oświadczenia emitenta wskazać należy z kolei, że zobowiązanie emitentów do załączania do propozycji nabycia oświadczenia, że informacje przekazane do Rejestru Zobowiązań Emitentów (</w:t>
      </w:r>
      <w:r w:rsidR="004C141A">
        <w:rPr>
          <w:rFonts w:ascii="Times New Roman" w:hAnsi="Times New Roman" w:cs="Times New Roman"/>
          <w:sz w:val="24"/>
          <w:szCs w:val="24"/>
        </w:rPr>
        <w:t>dalej „</w:t>
      </w:r>
      <w:r w:rsidRPr="006B2CD4">
        <w:rPr>
          <w:rFonts w:ascii="Times New Roman" w:hAnsi="Times New Roman" w:cs="Times New Roman"/>
          <w:sz w:val="24"/>
          <w:szCs w:val="24"/>
        </w:rPr>
        <w:t>RZE</w:t>
      </w:r>
      <w:r w:rsidR="004C141A">
        <w:rPr>
          <w:rFonts w:ascii="Times New Roman" w:hAnsi="Times New Roman" w:cs="Times New Roman"/>
          <w:sz w:val="24"/>
          <w:szCs w:val="24"/>
        </w:rPr>
        <w:t>”</w:t>
      </w:r>
      <w:r w:rsidRPr="006B2CD4">
        <w:rPr>
          <w:rFonts w:ascii="Times New Roman" w:hAnsi="Times New Roman" w:cs="Times New Roman"/>
          <w:sz w:val="24"/>
          <w:szCs w:val="24"/>
        </w:rPr>
        <w:t>) prowadzonego przez KDPW na temat przeprowadzonych dotychczas i nieumorzonych emisji obligacji są kompletne i aktualne, ma na celu zdyscyplinowanie emitentów do bieżącego aktualizowania danych w RZE. Osiągnięcie tego celu zostało wzmocnione poprzez zastosowanie analogicznego obowiązku dla jednostek dominujących wobec emitentów w rozumieniu art. 3 ust. 1 pkt 37 ustawy o rachunkowości. Rozwiązanie to nakłada na jednostki dominujące współodpowiedzialność za kompletność i aktualność RZE jej podmiotów zależnych. Konieczność złożenia oświadczenia przez jednostkę dominującą będzie czynnikiem skłaniającym jednostkę dominującą do zapewnienia, by informacje przekazane przez emitenta do RZE zostały przez emitenta zaktualizowane i były kompletne. Ponadto, nałożony zostanie tutaj obowiązek publikacji na stronie internetowej emitenta rocznego sprawozdania finansowego wraz ze sprawozdaniem z badania. W celu zwiększenia bezpieczeństwa obligatariuszy oraz transparentności na rynku obligacji warto, aby emitenci przekazywali sprawozdania finansowe od momentu udostępnienia propozycji nabycia aż do dnia wykupu obligacji, nie tylko obligatariuszom, ale także do publicznej wiadomości. Pozwoli to na poznanie sytuacji finansowej emitenta nie tylko przez obligatariuszy, ale również potencjalnych inwestorów nabywających obligacje na rynku wtórnym. Jest to tym istotniejsze,</w:t>
      </w:r>
      <w:r w:rsidR="007243D4">
        <w:rPr>
          <w:rFonts w:ascii="Times New Roman" w:hAnsi="Times New Roman" w:cs="Times New Roman"/>
          <w:sz w:val="24"/>
          <w:szCs w:val="24"/>
        </w:rPr>
        <w:t xml:space="preserve"> </w:t>
      </w:r>
      <w:r w:rsidRPr="006B2CD4">
        <w:rPr>
          <w:rFonts w:ascii="Times New Roman" w:hAnsi="Times New Roman" w:cs="Times New Roman"/>
          <w:sz w:val="24"/>
          <w:szCs w:val="24"/>
        </w:rPr>
        <w:t>im dłuższy jest okres od emisji do wykupu (tzw. tenor obligacji), kiedy to sytuacja finansowa emitenta może ulec istotniej zmianie. Emitenci obligacji nienotowanych nie mają obecnie możliwości ani obowiązku przekazywania sprawozdań finansowych poprzez specjalnie dedykowane systemy dla emitentów papierów wartościowych notowanych na rynku regulowanym lub w alternatywnym systemie obrotu, wobec czego dostęp do informacji na temat ich sytuacji finansowej, dla podmiotów innych niż obligatariusze, jest ograniczony. W celu zapewnienia łatwego dostępu inwestorów do sprawozdań proponuje się obowiązek ich publikowania na stronie internetowej emitenta.</w:t>
      </w:r>
      <w:r w:rsidR="00CA6EDF" w:rsidRPr="00CA6EDF">
        <w:rPr>
          <w:rFonts w:ascii="Times New Roman" w:hAnsi="Times New Roman" w:cs="Times New Roman"/>
          <w:sz w:val="24"/>
          <w:szCs w:val="24"/>
        </w:rPr>
        <w:t xml:space="preserve"> </w:t>
      </w:r>
      <w:r w:rsidR="00CA6EDF">
        <w:rPr>
          <w:rFonts w:ascii="Times New Roman" w:hAnsi="Times New Roman" w:cs="Times New Roman"/>
          <w:sz w:val="24"/>
          <w:szCs w:val="24"/>
        </w:rPr>
        <w:t xml:space="preserve">W tych przepisach przewidziana zostało dodatkowo przewidziane </w:t>
      </w:r>
      <w:r w:rsidR="00CA6EDF" w:rsidRPr="00F41E43">
        <w:rPr>
          <w:rFonts w:ascii="Times New Roman" w:hAnsi="Times New Roman" w:cs="Times New Roman"/>
          <w:sz w:val="24"/>
          <w:szCs w:val="24"/>
        </w:rPr>
        <w:t xml:space="preserve">dostosowanie obowiązku do specyfiki JST. W przypadku jednostek samorządu terytorialnego, których gospodarka finansowa opiera się na budżecie i wieloletniej prognozie finansowej, które są dokumentami jawnymi i publicznie dostępnymi, spełnienie wymogów określonych w projektowanym </w:t>
      </w:r>
      <w:r w:rsidR="00CA6EDF">
        <w:rPr>
          <w:rFonts w:ascii="Times New Roman" w:hAnsi="Times New Roman" w:cs="Times New Roman"/>
          <w:sz w:val="24"/>
          <w:szCs w:val="24"/>
        </w:rPr>
        <w:t xml:space="preserve">w tym zakresie </w:t>
      </w:r>
      <w:r w:rsidR="00CA6EDF" w:rsidRPr="00F41E43">
        <w:rPr>
          <w:rFonts w:ascii="Times New Roman" w:hAnsi="Times New Roman" w:cs="Times New Roman"/>
          <w:sz w:val="24"/>
          <w:szCs w:val="24"/>
        </w:rPr>
        <w:t>przepisie powinno polegać na udostępnieniu ostatniej</w:t>
      </w:r>
      <w:r w:rsidR="00CA6EDF" w:rsidRPr="00F41E43">
        <w:t xml:space="preserve"> </w:t>
      </w:r>
      <w:r w:rsidR="00CA6EDF" w:rsidRPr="00F41E43">
        <w:rPr>
          <w:rFonts w:ascii="Times New Roman" w:hAnsi="Times New Roman" w:cs="Times New Roman"/>
          <w:sz w:val="24"/>
          <w:szCs w:val="24"/>
        </w:rPr>
        <w:t>wieloletniej prognozy finansowej (publikacja na stronie internetowej emitenta).</w:t>
      </w:r>
      <w:r w:rsidR="00CA6EDF">
        <w:rPr>
          <w:rFonts w:ascii="Times New Roman" w:hAnsi="Times New Roman" w:cs="Times New Roman"/>
          <w:sz w:val="24"/>
          <w:szCs w:val="24"/>
        </w:rPr>
        <w:t xml:space="preserve"> Ponadto, dodany został tutaj </w:t>
      </w:r>
      <w:r w:rsidR="00CA6EDF" w:rsidRPr="00F41E43">
        <w:rPr>
          <w:rFonts w:ascii="Times New Roman" w:hAnsi="Times New Roman" w:cs="Times New Roman"/>
          <w:sz w:val="24"/>
          <w:szCs w:val="24"/>
        </w:rPr>
        <w:t>przepis stanowiący, że w przypadku jednostek samorządu terytorialnego spe</w:t>
      </w:r>
      <w:r w:rsidR="00457862">
        <w:rPr>
          <w:rFonts w:ascii="Times New Roman" w:hAnsi="Times New Roman" w:cs="Times New Roman"/>
          <w:sz w:val="24"/>
          <w:szCs w:val="24"/>
        </w:rPr>
        <w:t>łnienie wymogów art. 35 ust. 1a–</w:t>
      </w:r>
      <w:r w:rsidR="00CA6EDF" w:rsidRPr="00F41E43">
        <w:rPr>
          <w:rFonts w:ascii="Times New Roman" w:hAnsi="Times New Roman" w:cs="Times New Roman"/>
          <w:sz w:val="24"/>
          <w:szCs w:val="24"/>
        </w:rPr>
        <w:t>1b uważa się za spełnione przez udostępnienie aktualnej wieloletniej prognozy finansowej oraz odpowiednio wieloletnich prognoz finansowych publikowanych w kolejnych latach.</w:t>
      </w:r>
    </w:p>
    <w:p w14:paraId="22E3AB96" w14:textId="00362E87" w:rsidR="00E324D4" w:rsidRDefault="009737AE" w:rsidP="004E272A">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Dodanie w art. 57 ust. 4 do ustawy o obligacjach związane jest z tym, że zgodnie z art. 57 ust. 1 ustawy o obligacjach, obligatariusz może uczestniczyć w zgromadzeniu obligatariuszy oraz wykonywać prawo głosu osobiście lub przez pełnomocnika. Z uwagi na okoliczność, iż w obecnym stanie prawnym obligacje mogą być emitowane wyłącznie w formie zdematerializowanej i docelowo podlegają zapisaniu na rachunkach maklerskich, firmy inwestycyjne prowadzące rachunki maklerskie zostały trwale włączone w proces emisji i obrotu obligacjami, w tym mogą pełnić funkcję pełnomocnika obligatariusza na zgromadzeniu obligatariuszy. Udzielenie i odwołanie pełnomocnictwa do uczestniczenia oraz wykonywania prawa głosu na zgromadzeniu obligatariuszy wymagają formy pisemnej pod rygorem nieważności (art. 57 ust. 1 zd. 2 ustawy o obligacjach). Konstytutywnym elementem formy pisemnej czynności prawnej jest w myśl art. 78 § 1 k.c. złożenie własnoręcznego podpisu na dokumencie obejmującym treść oświadczenia woli. Na mocy art. 78</w:t>
      </w:r>
      <w:r w:rsidRPr="006B2CD4">
        <w:rPr>
          <w:rFonts w:ascii="Times New Roman" w:hAnsi="Times New Roman" w:cs="Times New Roman"/>
          <w:sz w:val="24"/>
          <w:szCs w:val="24"/>
          <w:vertAlign w:val="superscript"/>
        </w:rPr>
        <w:t>1</w:t>
      </w:r>
      <w:r w:rsidRPr="006B2CD4">
        <w:rPr>
          <w:rFonts w:ascii="Times New Roman" w:hAnsi="Times New Roman" w:cs="Times New Roman"/>
          <w:sz w:val="24"/>
          <w:szCs w:val="24"/>
        </w:rPr>
        <w:t xml:space="preserve"> § 2 k</w:t>
      </w:r>
      <w:r w:rsidR="007243D4">
        <w:rPr>
          <w:rFonts w:ascii="Times New Roman" w:hAnsi="Times New Roman" w:cs="Times New Roman"/>
          <w:sz w:val="24"/>
          <w:szCs w:val="24"/>
        </w:rPr>
        <w:t>.</w:t>
      </w:r>
      <w:r w:rsidRPr="006B2CD4">
        <w:rPr>
          <w:rFonts w:ascii="Times New Roman" w:hAnsi="Times New Roman" w:cs="Times New Roman"/>
          <w:sz w:val="24"/>
          <w:szCs w:val="24"/>
        </w:rPr>
        <w:t>c</w:t>
      </w:r>
      <w:r w:rsidR="007243D4">
        <w:rPr>
          <w:rFonts w:ascii="Times New Roman" w:hAnsi="Times New Roman" w:cs="Times New Roman"/>
          <w:sz w:val="24"/>
          <w:szCs w:val="24"/>
        </w:rPr>
        <w:t>.</w:t>
      </w:r>
      <w:r w:rsidRPr="006B2CD4">
        <w:rPr>
          <w:rFonts w:ascii="Times New Roman" w:hAnsi="Times New Roman" w:cs="Times New Roman"/>
          <w:sz w:val="24"/>
          <w:szCs w:val="24"/>
        </w:rPr>
        <w:t xml:space="preserve"> równoważną formą oświadczenia woli względem formy pisemnej jest forma elektroniczna o cechach określonych w art. 78</w:t>
      </w:r>
      <w:r w:rsidRPr="006B2CD4">
        <w:rPr>
          <w:rFonts w:ascii="Times New Roman" w:hAnsi="Times New Roman" w:cs="Times New Roman"/>
          <w:sz w:val="24"/>
          <w:szCs w:val="24"/>
          <w:vertAlign w:val="superscript"/>
        </w:rPr>
        <w:t>1</w:t>
      </w:r>
      <w:r w:rsidRPr="006B2CD4">
        <w:rPr>
          <w:rFonts w:ascii="Times New Roman" w:hAnsi="Times New Roman" w:cs="Times New Roman"/>
          <w:sz w:val="24"/>
          <w:szCs w:val="24"/>
        </w:rPr>
        <w:t xml:space="preserve"> § 1 k</w:t>
      </w:r>
      <w:r w:rsidR="007243D4">
        <w:rPr>
          <w:rFonts w:ascii="Times New Roman" w:hAnsi="Times New Roman" w:cs="Times New Roman"/>
          <w:sz w:val="24"/>
          <w:szCs w:val="24"/>
        </w:rPr>
        <w:t>.</w:t>
      </w:r>
      <w:r w:rsidRPr="006B2CD4">
        <w:rPr>
          <w:rFonts w:ascii="Times New Roman" w:hAnsi="Times New Roman" w:cs="Times New Roman"/>
          <w:sz w:val="24"/>
          <w:szCs w:val="24"/>
        </w:rPr>
        <w:t>c</w:t>
      </w:r>
      <w:r w:rsidR="007243D4">
        <w:rPr>
          <w:rFonts w:ascii="Times New Roman" w:hAnsi="Times New Roman" w:cs="Times New Roman"/>
          <w:sz w:val="24"/>
          <w:szCs w:val="24"/>
        </w:rPr>
        <w:t>.</w:t>
      </w:r>
      <w:r w:rsidRPr="006B2CD4">
        <w:rPr>
          <w:rFonts w:ascii="Times New Roman" w:hAnsi="Times New Roman" w:cs="Times New Roman"/>
          <w:sz w:val="24"/>
          <w:szCs w:val="24"/>
        </w:rPr>
        <w:t>, zgodnie z którym do zachowania elektronicznej formy czynności prawnej wystarcza złożenie oświadczenia woli w postaci elektronicznej i opatrzenie go kwalifikowanym podpisem elektronicznym. Elektroniczna forma czynności prawnej może być wykorzystana do zastąpienia zwykłej formy pisemnej zarówno w przypadku, gdy wymóg zachowania tej formy wynika z przepisu, jak i z czynności prawnej (tak P. Sobolewski, w: K. Osajda, Komentarz KC, Legalis 2018, art. 781, teza 3). W tym miejscu należy podkreślić, iż funkcjonujące w obrocie elektroniczne formy autoryzacji dokumentów elektronicznych typu podpis zaufany w profilu zaufanym (ePUAP) stosowany w komunikacji z organami administracji publicznej i do potwierdzania tożsamości użytkownika na jej potrzeby, czy też podpis osobisty wprowadzony na podstawie ustawy z dnia 6 sierpnia 2010 r. o dowodach osobistych, nie zastępują ani podpisu własnoręcznego, ani kwalifikowanego podpisu elektronicznego. W obecnym stanie prawnym pełnomocnictwo do uczestniczenia w zgromadzeniu obligatariuszy oraz wykonywania prawa głosu powinno być zatem dla swej ważności udzielone albo w formie pisemnej wymagającej własnoręcznego podpisu obligatariusza (art. 78 § 1 k.c.) albo w formie elektronicznej wymagającej użycia przez obligatariusza kwalifikowanego podpisu elektronicznego (art. 78</w:t>
      </w:r>
      <w:r w:rsidRPr="006B2CD4">
        <w:rPr>
          <w:rFonts w:ascii="Times New Roman" w:hAnsi="Times New Roman" w:cs="Times New Roman"/>
          <w:sz w:val="24"/>
          <w:szCs w:val="24"/>
          <w:vertAlign w:val="superscript"/>
        </w:rPr>
        <w:t>1</w:t>
      </w:r>
      <w:r w:rsidRPr="006B2CD4">
        <w:rPr>
          <w:rFonts w:ascii="Times New Roman" w:hAnsi="Times New Roman" w:cs="Times New Roman"/>
          <w:sz w:val="24"/>
          <w:szCs w:val="24"/>
        </w:rPr>
        <w:t xml:space="preserve"> § 1 k.c.). Podczas gdy w ostatnim czasie standardem stało się odbywanie zgromadzeń obligatariuszy w formule spotkań zdalnych, organizowanych przy wykorzystaniu środków komunikacji elektronicznej, obowiązujące przepisy ustawy o obligacjach w istotny sposób ograniczają możliwość udzielania przez obligatariuszy firmom inwestycyjnym pełnomocnictw do ww. czynności w postaci elektronicznej. Nie uwzględniają one bowiem uproszczonego, elektronicznego sposobu składania oświadczeń woli pomiędzy firmą inwestycyjną a jej klientami (tu obligatariuszami), który przewidziany jest w art. 13 ustawy o obrocie instrumentami finansowymi, a który w szczególności nie wymaga stosowania kwalifikowanego podpisu elektronicznego i mimo to – na mocy art. 13 ust. 3 ustawy o obrocie instrumentami finansowymi – spełnia wymagania formy pisemnej także wtedy, gdy forma pisemna została zastrzeżona pod rygorem nieważności. Mając na względzie okoliczność, iż klienci oczekują jak najprostszych rozwiązań w kontakcie z firmą inwestycyjną i możliwość składania oświadczeń woli w postaci elektronicznej na zasadach określonych w art. 13 ustawy o obrocie instrumentami finansowymi jest często wykorzystywana w stosunkach pomiędzy firmami inwestycyjnymi a klientami, zasadnym jest rozszerzenie katalogu dopuszczalnych form udzielenia i odwołania pełnomocnictwa, o którym mowa w art. 57 ust. 1 ustawy o obligacjach, poprzez wyraźne wskazanie, iż w przypadku, gdy pełnomocnikiem obligatariusza ma być firma inwestycyjna, wystarczającym jest udzielenie i odwołanie rzeczonego pełnomocnictwa w postaci elektronicznej, na zasadach określonych w art. 13 ustawy o obrocie instrumentami finansowymi. Dodanie do art. 57 ust. 4 przyczyni się zatem do uproszczenia organizacji zgromadzeń obligatariuszy, przy jednoczesnym zachowaniu wysokich standardów bezpieczeństwa komunikacji elektronicznej, które zobligowane są stosować firmy inwestycyjne w przypadku działania w sposób, o którym mowa w art. 13 ustawy o obrocie instrumentami finansowymi. Na marginesie warto zaznaczyć, iż w obecnym stanie prawnym, w podobnych sprawach, funkcjonują już regulacje, które przewidują możliwość udzielenia pełnomocnictwa w postaci elektronicznej, niewymagającej zastosowania kwalifikowanego podpisu elektronicznego, nawet na rzecz podmiotu, który nie jest firmą inwestycyjną. Tak jest w przypadku pełnomocnictwa, o którym mowa w art. 412</w:t>
      </w:r>
      <w:r w:rsidRPr="006B2CD4">
        <w:rPr>
          <w:rFonts w:ascii="Times New Roman" w:hAnsi="Times New Roman" w:cs="Times New Roman"/>
          <w:sz w:val="24"/>
          <w:szCs w:val="24"/>
          <w:vertAlign w:val="superscript"/>
        </w:rPr>
        <w:t>1</w:t>
      </w:r>
      <w:r w:rsidRPr="006B2CD4">
        <w:rPr>
          <w:rFonts w:ascii="Times New Roman" w:hAnsi="Times New Roman" w:cs="Times New Roman"/>
          <w:sz w:val="24"/>
          <w:szCs w:val="24"/>
        </w:rPr>
        <w:t xml:space="preserve"> § 2 k.s.h., zgodnie z którym „</w:t>
      </w:r>
      <w:r w:rsidRPr="006B2CD4">
        <w:rPr>
          <w:rFonts w:ascii="Times New Roman" w:hAnsi="Times New Roman" w:cs="Times New Roman"/>
          <w:i/>
          <w:sz w:val="24"/>
          <w:szCs w:val="24"/>
        </w:rPr>
        <w:t>Pełnomocnictwo do uczestniczenia w walnym zgromadzeniu spółki publicznej i wykonywania prawa głosu wymaga udzielenia na piśmie lub w postaci elektronicznej. Udzielenie pełnomocnictwa w postaci elektronicznej nie wymaga opatrzenia kwalifikowanym podpisem elektronicznym</w:t>
      </w:r>
      <w:r w:rsidRPr="006B2CD4">
        <w:rPr>
          <w:rFonts w:ascii="Times New Roman" w:hAnsi="Times New Roman" w:cs="Times New Roman"/>
          <w:sz w:val="24"/>
          <w:szCs w:val="24"/>
        </w:rPr>
        <w:t>.”.</w:t>
      </w:r>
    </w:p>
    <w:p w14:paraId="00E032A2" w14:textId="1B52E39A" w:rsidR="00162F1F" w:rsidRPr="006B2CD4" w:rsidRDefault="002367D6" w:rsidP="004E272A">
      <w:pPr>
        <w:spacing w:before="120" w:after="120" w:line="360" w:lineRule="auto"/>
        <w:jc w:val="both"/>
        <w:rPr>
          <w:rFonts w:ascii="Times New Roman" w:hAnsi="Times New Roman" w:cs="Times New Roman"/>
          <w:b/>
          <w:sz w:val="24"/>
          <w:szCs w:val="24"/>
        </w:rPr>
      </w:pPr>
      <w:r w:rsidRPr="006B2CD4">
        <w:rPr>
          <w:rFonts w:ascii="Times New Roman" w:hAnsi="Times New Roman" w:cs="Times New Roman"/>
          <w:b/>
          <w:sz w:val="24"/>
          <w:szCs w:val="24"/>
        </w:rPr>
        <w:t xml:space="preserve">Art. </w:t>
      </w:r>
      <w:r w:rsidR="005D300A">
        <w:rPr>
          <w:rFonts w:ascii="Times New Roman" w:hAnsi="Times New Roman" w:cs="Times New Roman"/>
          <w:b/>
          <w:sz w:val="24"/>
          <w:szCs w:val="24"/>
        </w:rPr>
        <w:t>2</w:t>
      </w:r>
      <w:r w:rsidR="00DC710B">
        <w:rPr>
          <w:rFonts w:ascii="Times New Roman" w:hAnsi="Times New Roman" w:cs="Times New Roman"/>
          <w:b/>
          <w:sz w:val="24"/>
          <w:szCs w:val="24"/>
        </w:rPr>
        <w:t>3</w:t>
      </w:r>
      <w:r w:rsidRPr="006B2CD4">
        <w:rPr>
          <w:rFonts w:ascii="Times New Roman" w:hAnsi="Times New Roman" w:cs="Times New Roman"/>
          <w:b/>
          <w:sz w:val="24"/>
          <w:szCs w:val="24"/>
        </w:rPr>
        <w:t xml:space="preserve">. </w:t>
      </w:r>
      <w:r w:rsidR="00162F1F" w:rsidRPr="006B2CD4">
        <w:rPr>
          <w:rFonts w:ascii="Times New Roman" w:hAnsi="Times New Roman" w:cs="Times New Roman"/>
          <w:b/>
          <w:sz w:val="24"/>
          <w:szCs w:val="24"/>
        </w:rPr>
        <w:t xml:space="preserve">Zmiany w ustawie </w:t>
      </w:r>
      <w:r w:rsidR="009737AE" w:rsidRPr="006B2CD4">
        <w:rPr>
          <w:rFonts w:ascii="Times New Roman" w:hAnsi="Times New Roman" w:cs="Times New Roman"/>
          <w:bCs/>
          <w:sz w:val="24"/>
          <w:szCs w:val="24"/>
        </w:rPr>
        <w:t>–</w:t>
      </w:r>
      <w:r w:rsidR="00B23622" w:rsidRPr="006B2CD4">
        <w:rPr>
          <w:rFonts w:ascii="Times New Roman" w:hAnsi="Times New Roman" w:cs="Times New Roman"/>
          <w:sz w:val="24"/>
          <w:szCs w:val="24"/>
        </w:rPr>
        <w:t xml:space="preserve"> </w:t>
      </w:r>
      <w:r w:rsidR="00162F1F" w:rsidRPr="006B2CD4">
        <w:rPr>
          <w:rFonts w:ascii="Times New Roman" w:hAnsi="Times New Roman" w:cs="Times New Roman"/>
          <w:b/>
          <w:sz w:val="24"/>
          <w:szCs w:val="24"/>
        </w:rPr>
        <w:t>Prawo restrukturyzacyjne</w:t>
      </w:r>
    </w:p>
    <w:p w14:paraId="09171D2F" w14:textId="77777777" w:rsidR="006D786B" w:rsidRPr="00F41E43" w:rsidRDefault="006D786B" w:rsidP="006D786B">
      <w:pPr>
        <w:tabs>
          <w:tab w:val="left" w:pos="284"/>
          <w:tab w:val="left" w:pos="426"/>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Nadanie brzmienia art. 4 ust. 2 pkt 6 związane jest z tym , że </w:t>
      </w:r>
      <w:r w:rsidRPr="00F41E43">
        <w:rPr>
          <w:rFonts w:ascii="Times New Roman" w:hAnsi="Times New Roman" w:cs="Times New Roman"/>
          <w:sz w:val="24"/>
          <w:szCs w:val="24"/>
        </w:rPr>
        <w:t xml:space="preserve">Prawo restrukturyzacyjne wyłącza </w:t>
      </w:r>
      <w:r>
        <w:rPr>
          <w:rFonts w:ascii="Times New Roman" w:hAnsi="Times New Roman" w:cs="Times New Roman"/>
          <w:sz w:val="24"/>
          <w:szCs w:val="24"/>
        </w:rPr>
        <w:t xml:space="preserve">obecnie </w:t>
      </w:r>
      <w:r w:rsidRPr="00F41E43">
        <w:rPr>
          <w:rFonts w:ascii="Times New Roman" w:hAnsi="Times New Roman" w:cs="Times New Roman"/>
          <w:sz w:val="24"/>
          <w:szCs w:val="24"/>
        </w:rPr>
        <w:t>z postępowania restrukturyzacyjnego jedynie te domy maklerskie, które mogą podlegać restrukturyzacji przymusowej na podstawie ustawy z 10 czerwca 2016 r. o Bankowym Funduszu Gwarancyjnym, systemie gwarantowania depozytów oraz przymusowej restrukturyzacji, a więc domu maklerskie, które posiadają zezwolenie na (i) nabywanie lub zbywanie na własny rachunek instrumentów finansowych, (ii) gwarancję emisji instrumentów finansowych oraz (iii) prowadzenie zorganizowanej platformy.</w:t>
      </w:r>
    </w:p>
    <w:p w14:paraId="56C75ACE" w14:textId="77777777" w:rsidR="006D786B" w:rsidRPr="00F41E43" w:rsidRDefault="006D786B" w:rsidP="006D786B">
      <w:pPr>
        <w:tabs>
          <w:tab w:val="left" w:pos="284"/>
          <w:tab w:val="left" w:pos="426"/>
        </w:tabs>
        <w:spacing w:after="0" w:line="360" w:lineRule="auto"/>
        <w:jc w:val="both"/>
        <w:rPr>
          <w:rFonts w:ascii="Times New Roman" w:hAnsi="Times New Roman" w:cs="Times New Roman"/>
          <w:sz w:val="24"/>
          <w:szCs w:val="24"/>
        </w:rPr>
      </w:pPr>
      <w:r w:rsidRPr="00F41E43">
        <w:rPr>
          <w:rFonts w:ascii="Times New Roman" w:hAnsi="Times New Roman" w:cs="Times New Roman"/>
          <w:sz w:val="24"/>
          <w:szCs w:val="24"/>
        </w:rPr>
        <w:t>Należy jednak zauważyć, że zasady postępowania restrukturyzacyjnego prowadzonego na podstawie Prawa restrukturyzacyjnego nie przystają do regulowanego charakteru działalności podmiotów sektora finansowego. W szczególności postępowanie restrukturyzacyjne nie chroni w należyty sposób interesów klientów takich podmiotów. Z tego też powodu z postępowania restrukturyzacyjnego już obecnie wyłączone pozostają banki, spółdzielcze kasy oszczędnościowo-kredytowe, zakłady ubezpieczeń i asekuracji oraz fundusze inwestycyjne.</w:t>
      </w:r>
    </w:p>
    <w:p w14:paraId="38F37CA9" w14:textId="77777777" w:rsidR="006D786B" w:rsidRPr="00F41E43" w:rsidRDefault="006D786B" w:rsidP="006D786B">
      <w:pPr>
        <w:tabs>
          <w:tab w:val="left" w:pos="284"/>
          <w:tab w:val="left" w:pos="426"/>
        </w:tabs>
        <w:spacing w:after="0" w:line="360" w:lineRule="auto"/>
        <w:jc w:val="both"/>
        <w:rPr>
          <w:rFonts w:ascii="Times New Roman" w:hAnsi="Times New Roman" w:cs="Times New Roman"/>
          <w:sz w:val="24"/>
          <w:szCs w:val="24"/>
        </w:rPr>
      </w:pPr>
      <w:r w:rsidRPr="00F41E43">
        <w:rPr>
          <w:rFonts w:ascii="Times New Roman" w:hAnsi="Times New Roman" w:cs="Times New Roman"/>
          <w:sz w:val="24"/>
          <w:szCs w:val="24"/>
        </w:rPr>
        <w:t xml:space="preserve">Prawo restrukturyzacyjne stosuje się do dłużnika niewypłacalnego lub zagrożonego niewypłacalnością; celem postępowania restrukturyzacyjnego jest uniknięcie ogłoszenia upadłości, a postępowania sanacyjnego przywrócenie dłużnikowi zdolności do wykonywania zobowiązań. Po pierwsze, dom maklerski niewypłacalny lub zagrożony niewypłacalnością – niezależnie od katalogu czynności, na których wykonywanie uzyskał zezwolenie – narusza wymogi ostrożnościowe (Rozporządzenie 2019/2033 w sprawie wymogów ostrożnościowych dla firm inwestycyjnych…), ponadto dom maklerski nie spełnia wymogów płynnościowych, co jest sytuacją zagrażającą zarówno aktywom klientów domu maklerskiego jak i bezpieczeństwu obrotu. Po drugie, przekształcenie majątku dłużnika w masę restrukturyzacyjną (układową lub sanacyjną) zagraża środkom pieniężnym powierzonym dłużnikowi przez klientów w związku ze świadczonymi przez ten podmiot usługami maklerskimi, a w każdym wypadku powoduje, że odzyskanie takich środków będzie znacząco utrudnione i opóźnione. Należy podkreślić, że środki pieniężne powierzone domowi maklerskiemu przez klientów stanowią aktywa domu maklerskiego, co powoduje, że wszelkie działania naprawcze podejmowane przez dom maklerski w toku procedury restrukturyzacyjnej będą się odbywały na koszt klientów, w przypadku niepowodzenia środków naprawczych to klienci domu maklerskiego poniosą stratę. Zgodnie z przepisami regulującymi prowadzenie działalności maklerskiej środki klientów powinny być chronione, m.in. nie wchodzą do masy upadłości, nie podlegają egzekucji prowadzonej przeciwko domowi maklerskiemu, natomiast objęcie domu maklerskiego postępowaniem restrukturyzacyjnym osłabia tą ochronę. Istotną zasadą bezpieczeństwa obrotu na rynku kapitałowym jest ochrona środków klientów, tak aby środki te mogły być wykorzystane wyłącznie w celu świadczenia usług dla klienta, a nie na potrzeby własne domu maklerskie. Ta ochrona ulega zachwianiu w przypadku gdy dom maklerski posiadający zezwolenie na działalność maklerską zostaje objęty postępowaniem restrukturyzacyjnym. </w:t>
      </w:r>
    </w:p>
    <w:p w14:paraId="7002217B" w14:textId="5612E366" w:rsidR="006D786B" w:rsidRPr="00F41E43" w:rsidRDefault="006D786B" w:rsidP="006D786B">
      <w:pPr>
        <w:tabs>
          <w:tab w:val="left" w:pos="284"/>
          <w:tab w:val="left" w:pos="426"/>
        </w:tabs>
        <w:spacing w:after="0" w:line="360" w:lineRule="auto"/>
        <w:jc w:val="both"/>
        <w:rPr>
          <w:rFonts w:ascii="Times New Roman" w:hAnsi="Times New Roman" w:cs="Times New Roman"/>
          <w:sz w:val="24"/>
          <w:szCs w:val="24"/>
        </w:rPr>
      </w:pPr>
      <w:r w:rsidRPr="00F41E43">
        <w:rPr>
          <w:rFonts w:ascii="Times New Roman" w:hAnsi="Times New Roman" w:cs="Times New Roman"/>
          <w:sz w:val="24"/>
          <w:szCs w:val="24"/>
        </w:rPr>
        <w:t>Należy także dodać, że przepisy regulujące prowadzenie działalności maklerskiej przewidują rozwiązania i środki w przypadku gdy dom</w:t>
      </w:r>
      <w:r w:rsidR="007C389F">
        <w:rPr>
          <w:rFonts w:ascii="Times New Roman" w:hAnsi="Times New Roman" w:cs="Times New Roman"/>
          <w:sz w:val="24"/>
          <w:szCs w:val="24"/>
        </w:rPr>
        <w:t xml:space="preserve"> </w:t>
      </w:r>
      <w:r w:rsidRPr="00F41E43">
        <w:rPr>
          <w:rFonts w:ascii="Times New Roman" w:hAnsi="Times New Roman" w:cs="Times New Roman"/>
          <w:sz w:val="24"/>
          <w:szCs w:val="24"/>
        </w:rPr>
        <w:t>maklerski popada w problemy finansowe. Komisja Nadzoru Finansowego jest uprawniona do podejmowania środków nadzorczych mających na celu poprawę sytuacji domu, a w przypadku gdy kontynuowanie działalności przez podmiot stanowi zagrożenie dla bezpieczeństwa aktywów klientów, KNF może zastosować uprawnienia polegające na cofnięciu domowi maklerskiemu zezwolenia i umożliwiające zabezpieczenie środków klientów. Te działania powinny mieć pierwszeństwo przed procedurą restrukturyzacyjną, jako zapewniające ochronę klientom i bezpieczeństwo obrotu.</w:t>
      </w:r>
    </w:p>
    <w:p w14:paraId="566202ED" w14:textId="1CCB4D78" w:rsidR="006D786B" w:rsidRDefault="006D786B" w:rsidP="006D786B">
      <w:pPr>
        <w:tabs>
          <w:tab w:val="left" w:pos="284"/>
          <w:tab w:val="left" w:pos="426"/>
        </w:tabs>
        <w:spacing w:after="0" w:line="360" w:lineRule="auto"/>
        <w:jc w:val="both"/>
        <w:rPr>
          <w:rFonts w:ascii="Times New Roman" w:hAnsi="Times New Roman" w:cs="Times New Roman"/>
          <w:sz w:val="24"/>
          <w:szCs w:val="24"/>
        </w:rPr>
      </w:pPr>
      <w:r w:rsidRPr="00F41E43">
        <w:rPr>
          <w:rFonts w:ascii="Times New Roman" w:hAnsi="Times New Roman" w:cs="Times New Roman"/>
          <w:sz w:val="24"/>
          <w:szCs w:val="24"/>
        </w:rPr>
        <w:t>Dopiero podmiot, któremu cofnięto zezwolenie na prowadzenie działalności maklerskiej, albo którego zezwolenie wygasło (a więc podmiot, który utracił status domu maklerskiego), powinien móc skorzystać z postępowania restrukturyzacyjnego lub sanacyjnego w celu uniknięcia upadłości, poprawienia sytuacji ekonomicznej i przywrócenia zdolności do wykonywania zobowiązań nie naruszając przy tym przepisów dotyczących działalności regulowanej oraz nie zagrażając klientom będących odbiorcami usług regulowanych. W takiej sytuacji działania naprawcze będzie prowadził w oparciu o swoje aktywa, a nie kosztem klientów, którzy w zaufaniu powierzyli mu swoje środki pieniężne.</w:t>
      </w:r>
    </w:p>
    <w:p w14:paraId="3F31304C" w14:textId="41BF3DBD" w:rsidR="007764E9" w:rsidRPr="006B2CD4" w:rsidRDefault="007764E9" w:rsidP="006D786B">
      <w:pPr>
        <w:tabs>
          <w:tab w:val="left" w:pos="284"/>
          <w:tab w:val="left" w:pos="426"/>
        </w:tabs>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Zmiana w art. 243 ustawy </w:t>
      </w:r>
      <w:r w:rsidRPr="006B2CD4">
        <w:rPr>
          <w:rFonts w:ascii="Times New Roman" w:hAnsi="Times New Roman" w:cs="Times New Roman"/>
          <w:bCs/>
          <w:sz w:val="24"/>
          <w:szCs w:val="24"/>
        </w:rPr>
        <w:t>–</w:t>
      </w:r>
      <w:r w:rsidRPr="006B2CD4">
        <w:rPr>
          <w:rFonts w:ascii="Times New Roman" w:hAnsi="Times New Roman" w:cs="Times New Roman"/>
          <w:sz w:val="24"/>
          <w:szCs w:val="24"/>
        </w:rPr>
        <w:t xml:space="preserve"> Prawo restrukturyzacyjne polegająca na zastąpieniu wyrazów „fundusze sekurytyzacyjne” wyrazami „wyspecjalizowane fundusze wierzytelności” związana jest z potrzebą zagwarantowania spójności porządku krajowego z rozporządzeniem Parlamentu Europejskiego i Rady (UE) 2017/2402 z dnia 12 grudnia 2017 r. w sprawie ustanowienia ogólnych ram dla sekurytyzacji oraz utworzenia szczególnych ram dla prostych, przejrzystych i standardowych sekurytyzacji (Dz. Urz. UE L 347 z 28.12.2017, str. 35). Podobna zmiana obejmuje także ustawę </w:t>
      </w:r>
      <w:r w:rsidRPr="006B2CD4">
        <w:rPr>
          <w:rFonts w:ascii="Times New Roman" w:hAnsi="Times New Roman" w:cs="Times New Roman"/>
          <w:bCs/>
          <w:sz w:val="24"/>
          <w:szCs w:val="24"/>
        </w:rPr>
        <w:t>–</w:t>
      </w:r>
      <w:r w:rsidRPr="006B2CD4">
        <w:rPr>
          <w:rFonts w:ascii="Times New Roman" w:hAnsi="Times New Roman" w:cs="Times New Roman"/>
          <w:sz w:val="24"/>
          <w:szCs w:val="24"/>
        </w:rPr>
        <w:t xml:space="preserve"> Prawo upadłościowe.</w:t>
      </w:r>
    </w:p>
    <w:p w14:paraId="780B56E2" w14:textId="537C437F" w:rsidR="0047768E" w:rsidRPr="006B2CD4" w:rsidRDefault="002367D6" w:rsidP="00B856D8">
      <w:pPr>
        <w:tabs>
          <w:tab w:val="left" w:pos="426"/>
        </w:tabs>
        <w:spacing w:before="120" w:after="120" w:line="360" w:lineRule="auto"/>
        <w:jc w:val="both"/>
        <w:rPr>
          <w:rFonts w:ascii="Times New Roman" w:hAnsi="Times New Roman" w:cs="Times New Roman"/>
          <w:b/>
          <w:sz w:val="24"/>
          <w:szCs w:val="24"/>
        </w:rPr>
      </w:pPr>
      <w:r w:rsidRPr="006B2CD4">
        <w:rPr>
          <w:rFonts w:ascii="Times New Roman" w:hAnsi="Times New Roman" w:cs="Times New Roman"/>
          <w:b/>
          <w:sz w:val="24"/>
          <w:szCs w:val="24"/>
        </w:rPr>
        <w:t xml:space="preserve">Art. </w:t>
      </w:r>
      <w:r w:rsidR="005D300A" w:rsidRPr="006B2CD4">
        <w:rPr>
          <w:rFonts w:ascii="Times New Roman" w:hAnsi="Times New Roman" w:cs="Times New Roman"/>
          <w:b/>
          <w:sz w:val="24"/>
          <w:szCs w:val="24"/>
        </w:rPr>
        <w:t>2</w:t>
      </w:r>
      <w:r w:rsidR="008A71EF">
        <w:rPr>
          <w:rFonts w:ascii="Times New Roman" w:hAnsi="Times New Roman" w:cs="Times New Roman"/>
          <w:b/>
          <w:sz w:val="24"/>
          <w:szCs w:val="24"/>
        </w:rPr>
        <w:t>4</w:t>
      </w:r>
      <w:r w:rsidR="00060541" w:rsidRPr="006B2CD4">
        <w:rPr>
          <w:rFonts w:ascii="Times New Roman" w:hAnsi="Times New Roman" w:cs="Times New Roman"/>
          <w:b/>
          <w:sz w:val="24"/>
          <w:szCs w:val="24"/>
        </w:rPr>
        <w:t xml:space="preserve">. </w:t>
      </w:r>
      <w:r w:rsidR="00144C00" w:rsidRPr="006B2CD4">
        <w:rPr>
          <w:rFonts w:ascii="Times New Roman" w:hAnsi="Times New Roman" w:cs="Times New Roman"/>
          <w:b/>
          <w:sz w:val="24"/>
          <w:szCs w:val="24"/>
        </w:rPr>
        <w:t>Zmiany w ustawie o rozpatrywaniu reklamacji przez podmioty rynku finan</w:t>
      </w:r>
      <w:r w:rsidR="0047768E" w:rsidRPr="006B2CD4">
        <w:rPr>
          <w:rFonts w:ascii="Times New Roman" w:hAnsi="Times New Roman" w:cs="Times New Roman"/>
          <w:b/>
          <w:sz w:val="24"/>
          <w:szCs w:val="24"/>
        </w:rPr>
        <w:t>sowego</w:t>
      </w:r>
      <w:r w:rsidR="00506807">
        <w:rPr>
          <w:rFonts w:ascii="Times New Roman" w:hAnsi="Times New Roman" w:cs="Times New Roman"/>
          <w:b/>
          <w:sz w:val="24"/>
          <w:szCs w:val="24"/>
        </w:rPr>
        <w:t xml:space="preserve">, </w:t>
      </w:r>
      <w:r w:rsidR="0047768E" w:rsidRPr="006B2CD4">
        <w:rPr>
          <w:rFonts w:ascii="Times New Roman" w:hAnsi="Times New Roman" w:cs="Times New Roman"/>
          <w:b/>
          <w:sz w:val="24"/>
          <w:szCs w:val="24"/>
        </w:rPr>
        <w:t xml:space="preserve">o Rzeczniku </w:t>
      </w:r>
      <w:r w:rsidR="0047768E" w:rsidRPr="00506807">
        <w:rPr>
          <w:rFonts w:ascii="Times New Roman" w:hAnsi="Times New Roman" w:cs="Times New Roman"/>
          <w:b/>
          <w:sz w:val="24"/>
          <w:szCs w:val="24"/>
        </w:rPr>
        <w:t>Finansowym</w:t>
      </w:r>
      <w:r w:rsidR="00506807" w:rsidRPr="00506807">
        <w:rPr>
          <w:rFonts w:ascii="Times New Roman" w:hAnsi="Times New Roman" w:cs="Times New Roman"/>
          <w:b/>
          <w:sz w:val="24"/>
          <w:szCs w:val="24"/>
        </w:rPr>
        <w:t xml:space="preserve"> i o Funduszu Edukacji Finansowej</w:t>
      </w:r>
    </w:p>
    <w:p w14:paraId="319622B5" w14:textId="5A17A1F8" w:rsidR="008C0AFB" w:rsidRPr="006B2CD4" w:rsidRDefault="008C0AFB" w:rsidP="004E272A">
      <w:pPr>
        <w:tabs>
          <w:tab w:val="left" w:pos="0"/>
        </w:tabs>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Zmiana ustawy o rozpatrywaniu reklamacji pr</w:t>
      </w:r>
      <w:r w:rsidR="00506807">
        <w:rPr>
          <w:rFonts w:ascii="Times New Roman" w:hAnsi="Times New Roman" w:cs="Times New Roman"/>
          <w:sz w:val="24"/>
          <w:szCs w:val="24"/>
        </w:rPr>
        <w:t>zez podmioty rynku finansowego</w:t>
      </w:r>
      <w:r w:rsidRPr="006B2CD4">
        <w:rPr>
          <w:rFonts w:ascii="Times New Roman" w:hAnsi="Times New Roman" w:cs="Times New Roman"/>
          <w:sz w:val="24"/>
          <w:szCs w:val="24"/>
        </w:rPr>
        <w:t xml:space="preserve"> o Rzeczniku Finansowym </w:t>
      </w:r>
      <w:r w:rsidR="00506807">
        <w:rPr>
          <w:rFonts w:ascii="Times New Roman" w:hAnsi="Times New Roman" w:cs="Times New Roman"/>
          <w:sz w:val="24"/>
          <w:szCs w:val="24"/>
        </w:rPr>
        <w:t xml:space="preserve">i o Funduszu Edukacji Finansowej </w:t>
      </w:r>
      <w:r w:rsidRPr="006B2CD4">
        <w:rPr>
          <w:rFonts w:ascii="Times New Roman" w:hAnsi="Times New Roman" w:cs="Times New Roman"/>
          <w:sz w:val="24"/>
          <w:szCs w:val="24"/>
        </w:rPr>
        <w:t>ma charakter wynikowy i jest związana z określeniem nowej kary pieniężnej w art. 11c ust. 6 ustawy o nadzorze nad rynkiem finansowym. Przepis przesądza, że środki pieniężne z tej kary stanowią środki Funduszu Edukacji Finansowej.</w:t>
      </w:r>
    </w:p>
    <w:p w14:paraId="5EF472B4" w14:textId="78C17A27" w:rsidR="00A948C5" w:rsidRPr="006B2CD4" w:rsidRDefault="00060541" w:rsidP="00752774">
      <w:pPr>
        <w:tabs>
          <w:tab w:val="left" w:pos="284"/>
          <w:tab w:val="left" w:pos="426"/>
        </w:tabs>
        <w:spacing w:before="120" w:after="120" w:line="360" w:lineRule="auto"/>
        <w:jc w:val="both"/>
        <w:rPr>
          <w:rFonts w:ascii="Times New Roman" w:hAnsi="Times New Roman" w:cs="Times New Roman"/>
          <w:b/>
          <w:sz w:val="24"/>
          <w:szCs w:val="24"/>
        </w:rPr>
      </w:pPr>
      <w:r w:rsidRPr="006B2CD4">
        <w:rPr>
          <w:rFonts w:ascii="Times New Roman" w:hAnsi="Times New Roman" w:cs="Times New Roman"/>
          <w:b/>
          <w:sz w:val="24"/>
          <w:szCs w:val="24"/>
        </w:rPr>
        <w:t xml:space="preserve">Art. </w:t>
      </w:r>
      <w:r w:rsidR="005D300A" w:rsidRPr="006B2CD4">
        <w:rPr>
          <w:rFonts w:ascii="Times New Roman" w:hAnsi="Times New Roman" w:cs="Times New Roman"/>
          <w:b/>
          <w:sz w:val="24"/>
          <w:szCs w:val="24"/>
        </w:rPr>
        <w:t>2</w:t>
      </w:r>
      <w:r w:rsidR="008A71EF">
        <w:rPr>
          <w:rFonts w:ascii="Times New Roman" w:hAnsi="Times New Roman" w:cs="Times New Roman"/>
          <w:b/>
          <w:sz w:val="24"/>
          <w:szCs w:val="24"/>
        </w:rPr>
        <w:t>5</w:t>
      </w:r>
      <w:r w:rsidRPr="006B2CD4">
        <w:rPr>
          <w:rFonts w:ascii="Times New Roman" w:hAnsi="Times New Roman" w:cs="Times New Roman"/>
          <w:b/>
          <w:sz w:val="24"/>
          <w:szCs w:val="24"/>
        </w:rPr>
        <w:t xml:space="preserve">. </w:t>
      </w:r>
      <w:r w:rsidR="00A948C5" w:rsidRPr="006B2CD4">
        <w:rPr>
          <w:rFonts w:ascii="Times New Roman" w:hAnsi="Times New Roman" w:cs="Times New Roman"/>
          <w:b/>
          <w:sz w:val="24"/>
          <w:szCs w:val="24"/>
        </w:rPr>
        <w:t>Zmiany w ustawie o nadzorze makroostrożnościowym nad systemem finansowym i zarządzaniu kryzysowym w systemie finansowym</w:t>
      </w:r>
    </w:p>
    <w:p w14:paraId="1DBFB7A2" w14:textId="09BC65E2" w:rsidR="00A948C5" w:rsidRPr="006B2CD4" w:rsidRDefault="00A948C5" w:rsidP="004E272A">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Zmiana ustawy o nadzorze makroostrożnościowym nad systemem finansowym i zarządzaniu kryzysowym w systemie finansowym ma na celu zmianę procedury powiadamiania Europejskiej Rady do spraw Ryzyka Systemowego (ERRS) o obowiązującym wskaźniku antycyklicznego bufora kapitałowego. Zgodnie z obecnie obowiązującymi przepisami Komitet Stabilności Finansowej w formule makroostrożnościowej</w:t>
      </w:r>
      <w:r w:rsidR="00AD2B0C" w:rsidRPr="006B2CD4">
        <w:rPr>
          <w:rFonts w:ascii="Times New Roman" w:hAnsi="Times New Roman" w:cs="Times New Roman"/>
          <w:sz w:val="24"/>
          <w:szCs w:val="24"/>
        </w:rPr>
        <w:t>,</w:t>
      </w:r>
      <w:r w:rsidRPr="006B2CD4">
        <w:rPr>
          <w:rFonts w:ascii="Times New Roman" w:hAnsi="Times New Roman" w:cs="Times New Roman"/>
          <w:sz w:val="24"/>
          <w:szCs w:val="24"/>
        </w:rPr>
        <w:t xml:space="preserve"> realizując obowiązek ustawowy</w:t>
      </w:r>
      <w:r w:rsidR="00AD2B0C" w:rsidRPr="006B2CD4">
        <w:rPr>
          <w:rFonts w:ascii="Times New Roman" w:hAnsi="Times New Roman" w:cs="Times New Roman"/>
          <w:sz w:val="24"/>
          <w:szCs w:val="24"/>
        </w:rPr>
        <w:t>,</w:t>
      </w:r>
      <w:r w:rsidRPr="006B2CD4">
        <w:rPr>
          <w:rFonts w:ascii="Times New Roman" w:hAnsi="Times New Roman" w:cs="Times New Roman"/>
          <w:sz w:val="24"/>
          <w:szCs w:val="24"/>
        </w:rPr>
        <w:t xml:space="preserve"> regularnie co kwartał przekazuje ERRS informacje dotyczące wysokości obowiązującego wskaźnika bufora antycyklicznego również w przypadku, gdy wskaźnik nie uległ zmianie. Jednocześnie należy dodać, że od dnia 1 stycznia 2016 r. wskaźnik bufora antycyklicznego wynosi 0%. Projektowana zmiana art. 25 ust. 2 ustawy o nadzorze makroostrożnościowym nad systemem finansowym i zarządzaniu kryzysowym w systemie finansowym przewiduje wprowadzenie obowiązku informowania ERRS w przypadku, gdy wysokość wskaźnika bufora antycyklicznego ulegnie zmianie.</w:t>
      </w:r>
    </w:p>
    <w:p w14:paraId="38CCA5BE" w14:textId="68690291" w:rsidR="00181FE6" w:rsidRDefault="00060541" w:rsidP="004E272A">
      <w:pPr>
        <w:tabs>
          <w:tab w:val="left" w:pos="426"/>
        </w:tabs>
        <w:spacing w:before="120" w:after="120" w:line="360" w:lineRule="auto"/>
        <w:jc w:val="both"/>
        <w:rPr>
          <w:rFonts w:ascii="Times New Roman" w:hAnsi="Times New Roman" w:cs="Times New Roman"/>
          <w:b/>
          <w:sz w:val="24"/>
          <w:szCs w:val="24"/>
        </w:rPr>
      </w:pPr>
      <w:r w:rsidRPr="006B2CD4">
        <w:rPr>
          <w:rFonts w:ascii="Times New Roman" w:hAnsi="Times New Roman" w:cs="Times New Roman"/>
          <w:b/>
          <w:sz w:val="24"/>
          <w:szCs w:val="24"/>
        </w:rPr>
        <w:t xml:space="preserve">Art. </w:t>
      </w:r>
      <w:r w:rsidR="005D300A" w:rsidRPr="006B2CD4">
        <w:rPr>
          <w:rFonts w:ascii="Times New Roman" w:hAnsi="Times New Roman" w:cs="Times New Roman"/>
          <w:b/>
          <w:sz w:val="24"/>
          <w:szCs w:val="24"/>
        </w:rPr>
        <w:t>2</w:t>
      </w:r>
      <w:r w:rsidR="008A71EF">
        <w:rPr>
          <w:rFonts w:ascii="Times New Roman" w:hAnsi="Times New Roman" w:cs="Times New Roman"/>
          <w:b/>
          <w:sz w:val="24"/>
          <w:szCs w:val="24"/>
        </w:rPr>
        <w:t>6</w:t>
      </w:r>
      <w:r w:rsidRPr="006B2CD4">
        <w:rPr>
          <w:rFonts w:ascii="Times New Roman" w:hAnsi="Times New Roman" w:cs="Times New Roman"/>
          <w:b/>
          <w:sz w:val="24"/>
          <w:szCs w:val="24"/>
        </w:rPr>
        <w:t xml:space="preserve">. </w:t>
      </w:r>
      <w:r w:rsidR="00181FE6" w:rsidRPr="006B2CD4">
        <w:rPr>
          <w:rFonts w:ascii="Times New Roman" w:hAnsi="Times New Roman" w:cs="Times New Roman"/>
          <w:b/>
          <w:sz w:val="24"/>
          <w:szCs w:val="24"/>
        </w:rPr>
        <w:t xml:space="preserve">Zmiany w ustawie o działalności ubezpieczeniowej i reasekuracyjnej </w:t>
      </w:r>
    </w:p>
    <w:p w14:paraId="163FF2FF" w14:textId="7C496DA8" w:rsidR="007D088A" w:rsidRPr="006B2CD4" w:rsidRDefault="007D088A" w:rsidP="007D088A">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Zaproponowane zmiany brzmienia art. 35 i </w:t>
      </w:r>
      <w:r>
        <w:rPr>
          <w:rFonts w:ascii="Times New Roman" w:hAnsi="Times New Roman" w:cs="Times New Roman"/>
          <w:sz w:val="24"/>
          <w:szCs w:val="24"/>
        </w:rPr>
        <w:t xml:space="preserve">art. </w:t>
      </w:r>
      <w:r w:rsidRPr="006B2CD4">
        <w:rPr>
          <w:rFonts w:ascii="Times New Roman" w:hAnsi="Times New Roman" w:cs="Times New Roman"/>
          <w:sz w:val="24"/>
          <w:szCs w:val="24"/>
        </w:rPr>
        <w:t>36 ustawy o działalności ubezpieczeniowej i reasekuracyjnej</w:t>
      </w:r>
      <w:r w:rsidRPr="006B2CD4">
        <w:rPr>
          <w:rFonts w:ascii="Times New Roman" w:hAnsi="Times New Roman" w:cs="Times New Roman"/>
          <w:i/>
          <w:sz w:val="24"/>
          <w:szCs w:val="24"/>
        </w:rPr>
        <w:t xml:space="preserve"> </w:t>
      </w:r>
      <w:r w:rsidRPr="006B2CD4">
        <w:rPr>
          <w:rFonts w:ascii="Times New Roman" w:hAnsi="Times New Roman" w:cs="Times New Roman"/>
          <w:sz w:val="24"/>
          <w:szCs w:val="24"/>
        </w:rPr>
        <w:t>mają m.in. na celu wdrożenie po</w:t>
      </w:r>
      <w:r>
        <w:rPr>
          <w:rFonts w:ascii="Times New Roman" w:hAnsi="Times New Roman" w:cs="Times New Roman"/>
          <w:sz w:val="24"/>
          <w:szCs w:val="24"/>
        </w:rPr>
        <w:t>stulatów Zespołu zadaniowego do spraw</w:t>
      </w:r>
      <w:r w:rsidRPr="006B2CD4">
        <w:rPr>
          <w:rFonts w:ascii="Times New Roman" w:hAnsi="Times New Roman" w:cs="Times New Roman"/>
          <w:sz w:val="24"/>
          <w:szCs w:val="24"/>
        </w:rPr>
        <w:t xml:space="preserve"> opracowania metodyki postępowania w związku z zabezpieczeniem majątkowym. Zmiany te obejmują wprowadzenie rozwiązań prawnych umożliwiających skuteczne działanie instytucji państwowych zaangażowanych w przeciwdziałanie i zwalczanie przestępczości gospodarczej oraz ujednolicenie kompetencji poszczególnych służb.</w:t>
      </w:r>
    </w:p>
    <w:p w14:paraId="2E59E4BF" w14:textId="37E62B57" w:rsidR="007D088A" w:rsidRPr="006B2CD4" w:rsidRDefault="007D088A" w:rsidP="007D088A">
      <w:pPr>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W art. 35 w ust. 2 ustawy o działalności ubezpieczeniowej i reasekuracyjnej rozszerzona została grupa organów na żądanie których zakład ubezpieczeń ma obowiązek udzielenia informacji stanowiących tajemnicę dotyczącą poszczególnych umów ubezpieczenia o Straż Graniczną oraz Centralne Biuro Antykorupcyjne. Proponuje się również ujednolicenie z innymi służbami kompetencji Agencji Bezpieczeństwa Wewnętrznego. Zaproponowana zmiana w art. 36 ust. 1 tej ustawy ma na celu rozszerzenie grupy organów, którym zakład ubezpieczeń i osoby w nim zatrudnione oraz osoby, za pośrednictwem których zakład ubezpieczeń wykonuje czynności ubezpieczeniowe, są obowiązane zachować w tajemnicy informacje dotyczące udzielania informacji.</w:t>
      </w:r>
    </w:p>
    <w:p w14:paraId="49A9517F" w14:textId="77777777" w:rsidR="007D088A" w:rsidRPr="006B2CD4" w:rsidRDefault="007D088A" w:rsidP="007D088A">
      <w:pPr>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Ponadto, analogicznie do rozwiązania zawartego w ustawie </w:t>
      </w:r>
      <w:r w:rsidRPr="006B2CD4">
        <w:rPr>
          <w:rFonts w:ascii="Times New Roman" w:hAnsi="Times New Roman" w:cs="Times New Roman"/>
          <w:bCs/>
          <w:sz w:val="24"/>
          <w:szCs w:val="24"/>
        </w:rPr>
        <w:t>–</w:t>
      </w:r>
      <w:r w:rsidRPr="006B2CD4">
        <w:rPr>
          <w:rFonts w:ascii="Times New Roman" w:hAnsi="Times New Roman" w:cs="Times New Roman"/>
          <w:sz w:val="24"/>
          <w:szCs w:val="24"/>
        </w:rPr>
        <w:t xml:space="preserve"> Prawo bankowe, proponuje się umożliwić udzielenie informacji stanowiących tajemnicę dotyczącą poszczególnych umów ubezpieczenia innym zakładom ubezpieczeń, zakładom reasekuracji, dominującym podmiotom ubezpieczeniowym, dominującym podmiotom nieregulowanym lub mieszanym dominującym podmiotom ubezpieczeniowym w zakresie niezbędnym do wykonywania obowiązujących te podmioty przepisów dotyczących nadzoru uzupełniającego sprawowanego na podstawie ustawy z dnia 15 kwietnia 2005 r. o nadzorze uzupełniającym nad instytucjami kredytowymi, zakładami ubezpieczeń, zakładami reasekuracji i firmami inwestycyjnymi wchodzącymi w skład konglomeratu finansowego.</w:t>
      </w:r>
    </w:p>
    <w:p w14:paraId="7FA8545E" w14:textId="77777777" w:rsidR="007D088A" w:rsidRPr="006B2CD4" w:rsidRDefault="007D088A" w:rsidP="007D088A">
      <w:pPr>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Zmiany w art. 41 ustawy o działalności ubezpieczeniowej i reasekuracyjnej w zakresie celów przetwarzania danych dot. wykroczeń lub przestępstw stanowiących naruszenia przepisów ruch drogowego polegają na:</w:t>
      </w:r>
    </w:p>
    <w:p w14:paraId="77B9952D" w14:textId="77777777" w:rsidR="007D088A" w:rsidRPr="006B2CD4" w:rsidRDefault="007D088A" w:rsidP="00DB03EC">
      <w:pPr>
        <w:pStyle w:val="Akapitzlist"/>
        <w:numPr>
          <w:ilvl w:val="0"/>
          <w:numId w:val="6"/>
        </w:numPr>
        <w:spacing w:after="0" w:line="360" w:lineRule="auto"/>
        <w:ind w:left="426" w:hanging="426"/>
        <w:contextualSpacing w:val="0"/>
        <w:jc w:val="both"/>
        <w:rPr>
          <w:rFonts w:ascii="Times New Roman" w:hAnsi="Times New Roman" w:cs="Times New Roman"/>
          <w:sz w:val="24"/>
          <w:szCs w:val="24"/>
        </w:rPr>
      </w:pPr>
      <w:r w:rsidRPr="006B2CD4">
        <w:rPr>
          <w:rFonts w:ascii="Times New Roman" w:hAnsi="Times New Roman" w:cs="Times New Roman"/>
          <w:sz w:val="24"/>
          <w:szCs w:val="24"/>
        </w:rPr>
        <w:t xml:space="preserve">zastąpieniu wyrazu „taryfikacja” wyrazami „ustalanie wysokości składki ubezpieczeniowej”. Terminy te są bliskoznaczne, niemniej w przeciwieństwie do „ustalania wysokości składki ubezpieczeniowej” termin „taryfikacja” nie został określony w ustawie o działalności ubezpieczeniowej i reasekuracyjnej. Przy ustalaniu wysokości składki ubezpieczeniowej zakład ubezpieczeń musi spełnić wymogi określone w </w:t>
      </w:r>
      <w:r>
        <w:rPr>
          <w:rFonts w:ascii="Times New Roman" w:hAnsi="Times New Roman" w:cs="Times New Roman"/>
          <w:sz w:val="24"/>
          <w:szCs w:val="24"/>
        </w:rPr>
        <w:t xml:space="preserve">art. </w:t>
      </w:r>
      <w:r w:rsidRPr="006B2CD4">
        <w:rPr>
          <w:rFonts w:ascii="Times New Roman" w:hAnsi="Times New Roman" w:cs="Times New Roman"/>
          <w:sz w:val="24"/>
          <w:szCs w:val="24"/>
        </w:rPr>
        <w:t>33 ustawy, niezbędne do jej prawidłowego ustalenia (np. wysokość składki ubezpieczeniowej powinna zapewnić wykonanie wszystkich zobowiązań z umów ubezpieczenia oraz</w:t>
      </w:r>
      <w:r>
        <w:rPr>
          <w:rFonts w:ascii="Times New Roman" w:hAnsi="Times New Roman" w:cs="Times New Roman"/>
          <w:sz w:val="24"/>
          <w:szCs w:val="24"/>
        </w:rPr>
        <w:t> </w:t>
      </w:r>
      <w:r w:rsidRPr="006B2CD4">
        <w:rPr>
          <w:rFonts w:ascii="Times New Roman" w:hAnsi="Times New Roman" w:cs="Times New Roman"/>
          <w:sz w:val="24"/>
          <w:szCs w:val="24"/>
        </w:rPr>
        <w:t>pokrycie kosztów wykonywania działalności ubezpieczeniowej). W związku z t</w:t>
      </w:r>
      <w:r>
        <w:rPr>
          <w:rFonts w:ascii="Times New Roman" w:hAnsi="Times New Roman" w:cs="Times New Roman"/>
          <w:sz w:val="24"/>
          <w:szCs w:val="24"/>
        </w:rPr>
        <w:t>ą</w:t>
      </w:r>
      <w:r w:rsidRPr="006B2CD4">
        <w:rPr>
          <w:rFonts w:ascii="Times New Roman" w:hAnsi="Times New Roman" w:cs="Times New Roman"/>
          <w:sz w:val="24"/>
          <w:szCs w:val="24"/>
        </w:rPr>
        <w:t xml:space="preserve"> zmianą odpowiedniego uzupełnienia wymaga również zmiana określona w art. 3 niniejszego projektu dotycząca art. 100ah ust. 1 pkt 21 lit. c ustawy – Prawo o ruchu drogowym,</w:t>
      </w:r>
    </w:p>
    <w:p w14:paraId="259CE971" w14:textId="77777777" w:rsidR="007D088A" w:rsidRPr="006B2CD4" w:rsidRDefault="007D088A" w:rsidP="00DB03EC">
      <w:pPr>
        <w:pStyle w:val="Akapitzlist"/>
        <w:numPr>
          <w:ilvl w:val="0"/>
          <w:numId w:val="6"/>
        </w:numPr>
        <w:spacing w:after="120" w:line="360" w:lineRule="auto"/>
        <w:ind w:left="425" w:hanging="425"/>
        <w:contextualSpacing w:val="0"/>
        <w:jc w:val="both"/>
        <w:rPr>
          <w:rFonts w:ascii="Times New Roman" w:hAnsi="Times New Roman" w:cs="Times New Roman"/>
          <w:sz w:val="24"/>
          <w:szCs w:val="24"/>
        </w:rPr>
      </w:pPr>
      <w:r w:rsidRPr="006B2CD4">
        <w:rPr>
          <w:rFonts w:ascii="Times New Roman" w:hAnsi="Times New Roman" w:cs="Times New Roman"/>
          <w:sz w:val="24"/>
          <w:szCs w:val="24"/>
        </w:rPr>
        <w:t>zmianie terminu usunięcia przez zakład ubezpieczeń danych dot</w:t>
      </w:r>
      <w:r>
        <w:rPr>
          <w:rFonts w:ascii="Times New Roman" w:hAnsi="Times New Roman" w:cs="Times New Roman"/>
          <w:sz w:val="24"/>
          <w:szCs w:val="24"/>
        </w:rPr>
        <w:t>yczących</w:t>
      </w:r>
      <w:r w:rsidRPr="006B2CD4">
        <w:rPr>
          <w:rFonts w:ascii="Times New Roman" w:hAnsi="Times New Roman" w:cs="Times New Roman"/>
          <w:sz w:val="24"/>
          <w:szCs w:val="24"/>
        </w:rPr>
        <w:t xml:space="preserve"> wykroczeń lub przestępstw stanowiących naruszenia przepisów ruch drogowego. Zamiast usunięcia danych „niezwłocznie po dokonaniu czynności” proponuje się usunięcie danych „po upływie terminu przedawnienia roszczeń z umowy ubezpieczenia”. Zmiana ma na celu realne umożliwienie ubezpieczonym dochodzenie roszczeń w sprawie ustalenia przez zakład ubezpieczeń wysokości składki ubezpieczeniowej.</w:t>
      </w:r>
    </w:p>
    <w:p w14:paraId="0FB464E7" w14:textId="5AD703D1" w:rsidR="007D088A" w:rsidRPr="006B2CD4" w:rsidRDefault="007D088A" w:rsidP="007D088A">
      <w:pPr>
        <w:spacing w:after="120" w:line="360" w:lineRule="auto"/>
        <w:jc w:val="both"/>
        <w:rPr>
          <w:rFonts w:ascii="Times New Roman" w:hAnsi="Times New Roman" w:cs="Times New Roman"/>
          <w:color w:val="000000" w:themeColor="text1"/>
          <w:sz w:val="24"/>
          <w:szCs w:val="24"/>
        </w:rPr>
      </w:pPr>
      <w:r w:rsidRPr="006B2CD4">
        <w:rPr>
          <w:rFonts w:ascii="Times New Roman" w:hAnsi="Times New Roman" w:cs="Times New Roman"/>
          <w:sz w:val="24"/>
          <w:szCs w:val="24"/>
        </w:rPr>
        <w:t xml:space="preserve">Zmiana zaproponowana w art. 49 ust. 1 ustawy o działalności ubezpieczeniowej i reasekuracyjnej ma charakter doprecyzowujący </w:t>
      </w:r>
      <w:r w:rsidRPr="006B2CD4">
        <w:rPr>
          <w:rFonts w:ascii="Times New Roman" w:hAnsi="Times New Roman" w:cs="Times New Roman"/>
          <w:color w:val="000000" w:themeColor="text1"/>
          <w:sz w:val="24"/>
          <w:szCs w:val="24"/>
        </w:rPr>
        <w:t>poprzez wprowadzenie konieczności poinformowania organu nadzoru o powołaniu</w:t>
      </w:r>
      <w:r>
        <w:rPr>
          <w:rFonts w:ascii="Times New Roman" w:hAnsi="Times New Roman" w:cs="Times New Roman"/>
          <w:color w:val="000000" w:themeColor="text1"/>
          <w:sz w:val="24"/>
          <w:szCs w:val="24"/>
        </w:rPr>
        <w:t xml:space="preserve"> lub odwołaniu</w:t>
      </w:r>
      <w:r w:rsidRPr="006B2CD4">
        <w:rPr>
          <w:rFonts w:ascii="Times New Roman" w:hAnsi="Times New Roman" w:cs="Times New Roman"/>
          <w:color w:val="000000" w:themeColor="text1"/>
          <w:sz w:val="24"/>
          <w:szCs w:val="24"/>
        </w:rPr>
        <w:t xml:space="preserve"> członka rady nadzorczej </w:t>
      </w:r>
      <w:r>
        <w:rPr>
          <w:rFonts w:ascii="Times New Roman" w:hAnsi="Times New Roman" w:cs="Times New Roman"/>
          <w:color w:val="000000" w:themeColor="text1"/>
          <w:sz w:val="24"/>
          <w:szCs w:val="24"/>
        </w:rPr>
        <w:t>lub</w:t>
      </w:r>
      <w:r w:rsidRPr="006B2CD4">
        <w:rPr>
          <w:rFonts w:ascii="Times New Roman" w:hAnsi="Times New Roman" w:cs="Times New Roman"/>
          <w:color w:val="000000" w:themeColor="text1"/>
          <w:sz w:val="24"/>
          <w:szCs w:val="24"/>
        </w:rPr>
        <w:t xml:space="preserve"> członka zarządu na kolejną kadencję. Obecnie przepis ten obliguje jedynie do informowania o</w:t>
      </w:r>
      <w:r>
        <w:rPr>
          <w:rFonts w:ascii="Times New Roman" w:hAnsi="Times New Roman" w:cs="Times New Roman"/>
          <w:color w:val="000000" w:themeColor="text1"/>
          <w:sz w:val="24"/>
          <w:szCs w:val="24"/>
        </w:rPr>
        <w:t> </w:t>
      </w:r>
      <w:r w:rsidRPr="006B2CD4">
        <w:rPr>
          <w:rFonts w:ascii="Times New Roman" w:hAnsi="Times New Roman" w:cs="Times New Roman"/>
          <w:color w:val="000000" w:themeColor="text1"/>
          <w:sz w:val="24"/>
          <w:szCs w:val="24"/>
        </w:rPr>
        <w:t>zmianach w składzie organu.</w:t>
      </w:r>
    </w:p>
    <w:p w14:paraId="168FA506" w14:textId="77777777" w:rsidR="007D088A" w:rsidRPr="006B2CD4" w:rsidRDefault="007D088A" w:rsidP="007D088A">
      <w:pPr>
        <w:spacing w:after="120" w:line="360" w:lineRule="auto"/>
        <w:jc w:val="both"/>
        <w:rPr>
          <w:rFonts w:ascii="Times New Roman" w:hAnsi="Times New Roman" w:cs="Times New Roman"/>
          <w:color w:val="000000" w:themeColor="text1"/>
          <w:sz w:val="24"/>
          <w:szCs w:val="24"/>
        </w:rPr>
      </w:pPr>
      <w:r w:rsidRPr="006B2CD4">
        <w:rPr>
          <w:rFonts w:ascii="Times New Roman" w:hAnsi="Times New Roman" w:cs="Times New Roman"/>
          <w:color w:val="000000" w:themeColor="text1"/>
          <w:spacing w:val="10"/>
          <w:sz w:val="24"/>
          <w:szCs w:val="24"/>
        </w:rPr>
        <w:t xml:space="preserve">Dodanie w art. 49 </w:t>
      </w:r>
      <w:r w:rsidRPr="006B2CD4">
        <w:rPr>
          <w:rFonts w:ascii="Times New Roman" w:hAnsi="Times New Roman" w:cs="Times New Roman"/>
          <w:color w:val="000000" w:themeColor="text1"/>
          <w:sz w:val="24"/>
          <w:szCs w:val="24"/>
        </w:rPr>
        <w:t xml:space="preserve">ust. 1a ustawy o działalności ubezpieczeniowej i reasekuracyjnej ma na celu wprowadzenie wymogu przekazania przez zakład ubezpieczeń i zakład reasekuracji informacji organowi nadzoru o wewnętrznym podziale kompetencji pomiędzy członkami zarządu zakładu ubezpieczeń i zakładu reasekuracji. Zaproponowane brzmienie przepisu jest analogiczne do art. 22a ust. 2 ustawy </w:t>
      </w:r>
      <w:r w:rsidRPr="006B2CD4">
        <w:rPr>
          <w:rFonts w:ascii="Times New Roman" w:hAnsi="Times New Roman" w:cs="Times New Roman"/>
          <w:bCs/>
          <w:sz w:val="24"/>
          <w:szCs w:val="24"/>
        </w:rPr>
        <w:t>–</w:t>
      </w:r>
      <w:r w:rsidRPr="006B2CD4">
        <w:rPr>
          <w:rFonts w:ascii="Times New Roman" w:hAnsi="Times New Roman" w:cs="Times New Roman"/>
          <w:color w:val="000000" w:themeColor="text1"/>
          <w:sz w:val="24"/>
          <w:szCs w:val="24"/>
        </w:rPr>
        <w:t xml:space="preserve"> Prawo bankowe.</w:t>
      </w:r>
    </w:p>
    <w:p w14:paraId="1FBA8603" w14:textId="77777777" w:rsidR="007D088A" w:rsidRPr="006B2CD4" w:rsidRDefault="007D088A" w:rsidP="007D088A">
      <w:pPr>
        <w:spacing w:after="120" w:line="360" w:lineRule="auto"/>
        <w:jc w:val="both"/>
        <w:rPr>
          <w:rFonts w:ascii="Times New Roman" w:hAnsi="Times New Roman" w:cs="Times New Roman"/>
          <w:sz w:val="24"/>
          <w:szCs w:val="24"/>
        </w:rPr>
      </w:pPr>
      <w:r w:rsidRPr="006B2CD4">
        <w:rPr>
          <w:rFonts w:ascii="Times New Roman" w:hAnsi="Times New Roman" w:cs="Times New Roman"/>
          <w:color w:val="000000" w:themeColor="text1"/>
          <w:sz w:val="24"/>
          <w:szCs w:val="24"/>
        </w:rPr>
        <w:t xml:space="preserve">Zaproponowana zmiana brzmienia art. 51 ust. 1 </w:t>
      </w:r>
      <w:r w:rsidRPr="006B2CD4">
        <w:rPr>
          <w:rFonts w:ascii="Times New Roman" w:hAnsi="Times New Roman" w:cs="Times New Roman"/>
          <w:sz w:val="24"/>
          <w:szCs w:val="24"/>
        </w:rPr>
        <w:t>ustawy o działalności ubezpieczeniowej ma charakter doprecyzowujący. Na podstawie obecnego brzmienia tego przepisu część zakładów ubezpieczeń prezentowała stanowisko, że dopuszczalne jest powierzenie prezesowi zarządu odpowiedzialności za zarządzanie ryzykiem, a w konsekwencji dopuszczalne jest złożenie wniosku o wyrażenie przez organ nadzoru zgody na powołanie członka zarządu, któremu nie powierza się funkcji prezesa zarządu ani członka zarządu odpowiedzialnego za zarządzanie ryzykiem. Wobec powyższych rozbieżności w interpretacji zasadne jest doprecyzowanie brzmienia ust. 2 w ten sposób, aby nie było wątpliwości, że powołanie prezesa zarządu oraz członka zarządu odpowiedzialnego za zarządzanie ryzykiem wymaga wydania przez organ nadzoru dwóch osobnych decyzji.</w:t>
      </w:r>
    </w:p>
    <w:p w14:paraId="51B3E8B8" w14:textId="133381F4" w:rsidR="007D088A" w:rsidRPr="006B2CD4" w:rsidRDefault="007D088A" w:rsidP="007D088A">
      <w:pPr>
        <w:spacing w:after="120" w:line="360" w:lineRule="auto"/>
        <w:jc w:val="both"/>
        <w:rPr>
          <w:rFonts w:ascii="Times New Roman" w:hAnsi="Times New Roman" w:cs="Times New Roman"/>
          <w:sz w:val="24"/>
          <w:szCs w:val="24"/>
        </w:rPr>
      </w:pPr>
      <w:r w:rsidRPr="006B2CD4">
        <w:rPr>
          <w:rFonts w:ascii="Times New Roman" w:hAnsi="Times New Roman" w:cs="Times New Roman"/>
          <w:color w:val="000000" w:themeColor="text1"/>
          <w:sz w:val="24"/>
          <w:szCs w:val="24"/>
        </w:rPr>
        <w:t xml:space="preserve">Zaproponowana zmiana brzmienia art. 69 ust. 2 </w:t>
      </w:r>
      <w:r w:rsidRPr="006B2CD4">
        <w:rPr>
          <w:rFonts w:ascii="Times New Roman" w:hAnsi="Times New Roman" w:cs="Times New Roman"/>
          <w:sz w:val="24"/>
          <w:szCs w:val="24"/>
        </w:rPr>
        <w:t>ustawy o działalności ubezpieczeniowej i reasekuracyjnej ma na celu doprecyzowanie, że skreślenie aktuariusza w przypadku jego śmierci nie wymaga formy decyzji administracyjnej. Zaproponowane brzmienie ust. 2 przesądzi, że skreślenie aktuariusza w przypadku jego śmierci jest czynnością materialno-techniczną.</w:t>
      </w:r>
    </w:p>
    <w:p w14:paraId="7DF3CD8E" w14:textId="1A00FA6E" w:rsidR="007D088A" w:rsidRPr="006B2CD4" w:rsidRDefault="007D088A" w:rsidP="007D088A">
      <w:pPr>
        <w:spacing w:after="120" w:line="360" w:lineRule="auto"/>
        <w:jc w:val="both"/>
        <w:rPr>
          <w:rFonts w:ascii="Times New Roman" w:hAnsi="Times New Roman" w:cs="Times New Roman"/>
          <w:bCs/>
          <w:sz w:val="24"/>
          <w:szCs w:val="24"/>
        </w:rPr>
      </w:pPr>
      <w:r w:rsidRPr="006B2CD4">
        <w:rPr>
          <w:rFonts w:ascii="Times New Roman" w:hAnsi="Times New Roman" w:cs="Times New Roman"/>
          <w:color w:val="000000" w:themeColor="text1"/>
          <w:sz w:val="24"/>
          <w:szCs w:val="24"/>
        </w:rPr>
        <w:t xml:space="preserve">Zaproponowana zmiana brzmienia art. 231 ust. 1 pkt 1 i 2 </w:t>
      </w:r>
      <w:r w:rsidRPr="006B2CD4">
        <w:rPr>
          <w:rFonts w:ascii="Times New Roman" w:hAnsi="Times New Roman" w:cs="Times New Roman"/>
          <w:sz w:val="24"/>
          <w:szCs w:val="24"/>
        </w:rPr>
        <w:t xml:space="preserve">ustawy o działalności ubezpieczeniowej i reasekuracyjnej </w:t>
      </w:r>
      <w:r w:rsidRPr="006B2CD4">
        <w:rPr>
          <w:rFonts w:ascii="Times New Roman" w:hAnsi="Times New Roman" w:cs="Times New Roman"/>
          <w:bCs/>
          <w:sz w:val="24"/>
          <w:szCs w:val="24"/>
        </w:rPr>
        <w:t>polega na zastąpieniu wyrazów „koszty” wyrazami „wydatki” i ma na celu zapewnienie zgodności tych przepisów z art. 78 ust. 1 i 2 dyrektywy (Dz. Urz. UE L 335 z 17.12.2009, s. 1, z późn. zm.), zwanej dalej „dyrektywą 2009/138/WE”</w:t>
      </w:r>
      <w:r>
        <w:rPr>
          <w:rFonts w:ascii="Times New Roman" w:hAnsi="Times New Roman" w:cs="Times New Roman"/>
          <w:bCs/>
          <w:sz w:val="24"/>
          <w:szCs w:val="24"/>
        </w:rPr>
        <w:t>,</w:t>
      </w:r>
      <w:r w:rsidRPr="006B2CD4">
        <w:rPr>
          <w:rFonts w:ascii="Times New Roman" w:hAnsi="Times New Roman" w:cs="Times New Roman"/>
          <w:bCs/>
          <w:sz w:val="24"/>
          <w:szCs w:val="24"/>
        </w:rPr>
        <w:t xml:space="preserve"> </w:t>
      </w:r>
      <w:r w:rsidRPr="00E269DC">
        <w:rPr>
          <w:rFonts w:ascii="Times New Roman" w:hAnsi="Times New Roman" w:cs="Times New Roman"/>
          <w:bCs/>
          <w:sz w:val="24"/>
          <w:szCs w:val="24"/>
        </w:rPr>
        <w:t xml:space="preserve">oraz art. 31 rozporządzenia delegowanego Komisji (UE) 2015/35 </w:t>
      </w:r>
      <w:r w:rsidRPr="00E269DC">
        <w:rPr>
          <w:rFonts w:ascii="Times New Roman" w:hAnsi="Times New Roman" w:cs="Times New Roman"/>
          <w:bCs/>
          <w:sz w:val="24"/>
          <w:szCs w:val="24"/>
          <w:shd w:val="clear" w:color="auto" w:fill="FFFFFF"/>
        </w:rPr>
        <w:t xml:space="preserve">z dnia 10 października 2014 r. uzupełniającego dyrektywę Parlamentu Europejskiego i Rady 2009/138/WE w sprawie podejmowania i prowadzenia działalności ubezpieczeniowej i reasekuracyjnej (Wypłacalność II) </w:t>
      </w:r>
      <w:r w:rsidRPr="006B2CD4">
        <w:rPr>
          <w:rFonts w:ascii="Times New Roman" w:hAnsi="Times New Roman" w:cs="Times New Roman"/>
          <w:bCs/>
          <w:color w:val="333333"/>
          <w:sz w:val="24"/>
          <w:szCs w:val="24"/>
          <w:shd w:val="clear" w:color="auto" w:fill="FFFFFF"/>
        </w:rPr>
        <w:t>(</w:t>
      </w:r>
      <w:r w:rsidRPr="006B2CD4">
        <w:rPr>
          <w:rFonts w:ascii="Times New Roman" w:hAnsi="Times New Roman" w:cs="Times New Roman"/>
          <w:color w:val="000000"/>
          <w:sz w:val="24"/>
          <w:szCs w:val="24"/>
        </w:rPr>
        <w:t xml:space="preserve">Dz. Urz. UE L 012 z 17.1.2015, s. 1, </w:t>
      </w:r>
      <w:r w:rsidRPr="006B2CD4">
        <w:rPr>
          <w:rFonts w:ascii="Times New Roman" w:hAnsi="Times New Roman" w:cs="Times New Roman"/>
          <w:bCs/>
          <w:sz w:val="24"/>
          <w:szCs w:val="24"/>
        </w:rPr>
        <w:t>z późn. zm.), zwanego dalej „rozporządzaniem delegowanym 2015/35”. Art. 78 dyrektywy 2009/138/WE określa elementy uwzględniane przy ustalaniu wartości rezerw techniczno-ubezpieczeniowych dla celów wypłacalności, obejmujące m.in. wydatki uwzględniane przy obliczaniu najlepszego oszacowania. Z kolei art. 31 rozporządzenia delegowanego 2015/35 wskazuje szczegółowo rodzaje wydatków uwzględnianych przy obliczaniu najlepszego oszacowania, o których mowa w art. 78 dyrektywy 2009/138/WE. W art. 78 dyrektywy 2009/138/WE i art. 31 rozporządzenia delegowanego 2015/35 stosowany jest wyraz „wydatki” (w wersji angielskiej dyrektywy „expenses”). Należy również zwrócić uwagę, że przepisy art. 78 ust. 2 dyrektywy 2009/138/WE oraz art. 31 ust. 1 lit. d rozporządzenia delegowanego 2015/35 zostały przetłumaczone z</w:t>
      </w:r>
      <w:r>
        <w:rPr>
          <w:rFonts w:ascii="Times New Roman" w:hAnsi="Times New Roman" w:cs="Times New Roman"/>
          <w:bCs/>
          <w:sz w:val="24"/>
          <w:szCs w:val="24"/>
        </w:rPr>
        <w:t> </w:t>
      </w:r>
      <w:r w:rsidRPr="006B2CD4">
        <w:rPr>
          <w:rFonts w:ascii="Times New Roman" w:hAnsi="Times New Roman" w:cs="Times New Roman"/>
          <w:bCs/>
          <w:sz w:val="24"/>
          <w:szCs w:val="24"/>
        </w:rPr>
        <w:t xml:space="preserve">angielskiego nieprawidłowo. W pierwszym z wymienionych przepisów przetłumaczono „expenses” jako „koszty” zamiast „wydatki”. W drugim z wymienionych przepisów przetłumaczono „aquisition expenses” jako „koszty akwizycji” zamiast „wydatki z tytułu akwizycji”. </w:t>
      </w:r>
    </w:p>
    <w:p w14:paraId="0D21C450" w14:textId="06A211F3" w:rsidR="007D088A" w:rsidRPr="006B2CD4" w:rsidRDefault="007D088A" w:rsidP="007D088A">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Zaproponowane zmiany w art. 237 ust. 3</w:t>
      </w:r>
      <w:r w:rsidR="00B21D56" w:rsidRPr="006B2CD4">
        <w:rPr>
          <w:rFonts w:ascii="Times New Roman" w:hAnsi="Times New Roman" w:cs="Times New Roman"/>
          <w:color w:val="000000" w:themeColor="text1"/>
          <w:sz w:val="24"/>
          <w:szCs w:val="24"/>
        </w:rPr>
        <w:t>–</w:t>
      </w:r>
      <w:r>
        <w:rPr>
          <w:rFonts w:ascii="Times New Roman" w:hAnsi="Times New Roman" w:cs="Times New Roman"/>
          <w:sz w:val="24"/>
          <w:szCs w:val="24"/>
        </w:rPr>
        <w:t>5</w:t>
      </w:r>
      <w:r w:rsidRPr="006B2CD4">
        <w:rPr>
          <w:rFonts w:ascii="Times New Roman" w:hAnsi="Times New Roman" w:cs="Times New Roman"/>
          <w:sz w:val="24"/>
          <w:szCs w:val="24"/>
        </w:rPr>
        <w:t>, art. 250 ust. 5 i 6, art. 335 ust. 1 i 2a, art. 345 ust. 2a</w:t>
      </w:r>
      <w:r w:rsidRPr="006B2CD4">
        <w:rPr>
          <w:rFonts w:ascii="Times New Roman" w:hAnsi="Times New Roman" w:cs="Times New Roman"/>
          <w:color w:val="000000" w:themeColor="text1"/>
          <w:sz w:val="24"/>
          <w:szCs w:val="24"/>
        </w:rPr>
        <w:t>–</w:t>
      </w:r>
      <w:r w:rsidRPr="006B2CD4">
        <w:rPr>
          <w:rFonts w:ascii="Times New Roman" w:hAnsi="Times New Roman" w:cs="Times New Roman"/>
          <w:sz w:val="24"/>
          <w:szCs w:val="24"/>
        </w:rPr>
        <w:t>2c, art. 347 ust. 2a, art. 348 ust. 1, 3</w:t>
      </w:r>
      <w:r w:rsidRPr="006B2CD4">
        <w:rPr>
          <w:rFonts w:ascii="Times New Roman" w:hAnsi="Times New Roman" w:cs="Times New Roman"/>
          <w:color w:val="000000" w:themeColor="text1"/>
          <w:sz w:val="24"/>
          <w:szCs w:val="24"/>
        </w:rPr>
        <w:t xml:space="preserve">–3b i 4a, art. 349 ust. 2 i 3, </w:t>
      </w:r>
      <w:r w:rsidRPr="006B2CD4">
        <w:rPr>
          <w:rFonts w:ascii="Times New Roman" w:hAnsi="Times New Roman" w:cs="Times New Roman"/>
          <w:sz w:val="24"/>
          <w:szCs w:val="24"/>
        </w:rPr>
        <w:t>art. 350 ust. 1</w:t>
      </w:r>
      <w:r w:rsidRPr="006B2CD4">
        <w:rPr>
          <w:rFonts w:ascii="Times New Roman" w:hAnsi="Times New Roman" w:cs="Times New Roman"/>
          <w:color w:val="000000" w:themeColor="text1"/>
          <w:sz w:val="24"/>
          <w:szCs w:val="24"/>
        </w:rPr>
        <w:t>–</w:t>
      </w:r>
      <w:r w:rsidRPr="006B2CD4">
        <w:rPr>
          <w:rFonts w:ascii="Times New Roman" w:hAnsi="Times New Roman" w:cs="Times New Roman"/>
          <w:sz w:val="24"/>
          <w:szCs w:val="24"/>
        </w:rPr>
        <w:t>2a, art.</w:t>
      </w:r>
      <w:r>
        <w:rPr>
          <w:rFonts w:ascii="Times New Roman" w:hAnsi="Times New Roman" w:cs="Times New Roman"/>
          <w:sz w:val="24"/>
          <w:szCs w:val="24"/>
        </w:rPr>
        <w:t> </w:t>
      </w:r>
      <w:r w:rsidRPr="006B2CD4">
        <w:rPr>
          <w:rFonts w:ascii="Times New Roman" w:hAnsi="Times New Roman" w:cs="Times New Roman"/>
          <w:sz w:val="24"/>
          <w:szCs w:val="24"/>
        </w:rPr>
        <w:t>356 ust. 1</w:t>
      </w:r>
      <w:r w:rsidRPr="006B2CD4">
        <w:rPr>
          <w:rFonts w:ascii="Times New Roman" w:hAnsi="Times New Roman" w:cs="Times New Roman"/>
          <w:color w:val="000000" w:themeColor="text1"/>
          <w:sz w:val="24"/>
          <w:szCs w:val="24"/>
        </w:rPr>
        <w:t>–</w:t>
      </w:r>
      <w:r w:rsidRPr="006B2CD4">
        <w:rPr>
          <w:rFonts w:ascii="Times New Roman" w:hAnsi="Times New Roman" w:cs="Times New Roman"/>
          <w:sz w:val="24"/>
          <w:szCs w:val="24"/>
        </w:rPr>
        <w:t xml:space="preserve">1a, art. 358 ust. 5, art. 361 ust. 1 i </w:t>
      </w:r>
      <w:r>
        <w:rPr>
          <w:rFonts w:ascii="Times New Roman" w:hAnsi="Times New Roman" w:cs="Times New Roman"/>
          <w:sz w:val="24"/>
          <w:szCs w:val="24"/>
        </w:rPr>
        <w:t>1a</w:t>
      </w:r>
      <w:r w:rsidRPr="006B2CD4">
        <w:rPr>
          <w:rFonts w:ascii="Times New Roman" w:hAnsi="Times New Roman" w:cs="Times New Roman"/>
          <w:sz w:val="24"/>
          <w:szCs w:val="24"/>
        </w:rPr>
        <w:t xml:space="preserve"> oraz art. 415 ust. 1</w:t>
      </w:r>
      <w:r>
        <w:rPr>
          <w:rFonts w:ascii="Times New Roman" w:hAnsi="Times New Roman" w:cs="Times New Roman"/>
          <w:color w:val="000000" w:themeColor="text1"/>
          <w:sz w:val="24"/>
          <w:szCs w:val="24"/>
        </w:rPr>
        <w:t xml:space="preserve"> i </w:t>
      </w:r>
      <w:r w:rsidRPr="006B2CD4">
        <w:rPr>
          <w:rFonts w:ascii="Times New Roman" w:hAnsi="Times New Roman" w:cs="Times New Roman"/>
          <w:sz w:val="24"/>
          <w:szCs w:val="24"/>
        </w:rPr>
        <w:t>1a ustawy o działalności ubezpieczeniowej i reasekuracyjnej mają na celu wprowadzenie możliwości korzystania z</w:t>
      </w:r>
      <w:r>
        <w:rPr>
          <w:rFonts w:ascii="Times New Roman" w:hAnsi="Times New Roman" w:cs="Times New Roman"/>
          <w:sz w:val="24"/>
          <w:szCs w:val="24"/>
        </w:rPr>
        <w:t> </w:t>
      </w:r>
      <w:r w:rsidRPr="006B2CD4">
        <w:rPr>
          <w:rFonts w:ascii="Times New Roman" w:hAnsi="Times New Roman" w:cs="Times New Roman"/>
          <w:sz w:val="24"/>
          <w:szCs w:val="24"/>
        </w:rPr>
        <w:t>doręczeń elektronicznych w</w:t>
      </w:r>
      <w:r>
        <w:rPr>
          <w:rFonts w:ascii="Times New Roman" w:hAnsi="Times New Roman" w:cs="Times New Roman"/>
          <w:sz w:val="24"/>
          <w:szCs w:val="24"/>
        </w:rPr>
        <w:t> </w:t>
      </w:r>
      <w:r w:rsidRPr="006B2CD4">
        <w:rPr>
          <w:rFonts w:ascii="Times New Roman" w:hAnsi="Times New Roman" w:cs="Times New Roman"/>
          <w:sz w:val="24"/>
          <w:szCs w:val="24"/>
        </w:rPr>
        <w:t>odniesieniu do czynności kontrolnych i innych czynności nadzorczych KNF niemających formy decyzji administracyjnej. Zaproponowane zmiany w ustawie o działalności ubezpieczeniowej i reasekuracyjnej określają zasa</w:t>
      </w:r>
      <w:r>
        <w:rPr>
          <w:rFonts w:ascii="Times New Roman" w:hAnsi="Times New Roman" w:cs="Times New Roman"/>
          <w:sz w:val="24"/>
          <w:szCs w:val="24"/>
        </w:rPr>
        <w:t xml:space="preserve">dy i tryb doręczania dokumentów </w:t>
      </w:r>
      <w:r w:rsidRPr="006B2CD4">
        <w:rPr>
          <w:rFonts w:ascii="Times New Roman" w:hAnsi="Times New Roman" w:cs="Times New Roman"/>
          <w:sz w:val="24"/>
          <w:szCs w:val="24"/>
        </w:rPr>
        <w:t xml:space="preserve">sporządzonych/udzielonych/wydawanych/zgłaszanych (np. protokół kontroli, upoważnienie do przeprowadzenia kontroli, zalecenie, zastrzeżenie) na piśmie utrwalonym w postaci elektronicznej w ramach przeprowadzania kontroli działalności i stanu majątkowego zakładu ubezpieczeń i zakładu reasekuracji oraz przeprowadzania wizyty nadzorczej w zakładzie ubezpieczeń i zakładzie reasekuracji. Doręczenie tych dokumentów będzie następowało na adres do doręczeń elektronicznych. Ponadto, w art. 350 ust. 1 i 2 ustawy o działalności ubezpieczeniowej </w:t>
      </w:r>
      <w:r>
        <w:rPr>
          <w:rFonts w:ascii="Times New Roman" w:hAnsi="Times New Roman" w:cs="Times New Roman"/>
          <w:sz w:val="24"/>
          <w:szCs w:val="24"/>
        </w:rPr>
        <w:t xml:space="preserve">i </w:t>
      </w:r>
      <w:r w:rsidRPr="006B2CD4">
        <w:rPr>
          <w:rFonts w:ascii="Times New Roman" w:hAnsi="Times New Roman" w:cs="Times New Roman"/>
          <w:sz w:val="24"/>
          <w:szCs w:val="24"/>
        </w:rPr>
        <w:t>reasekuracyjnej proponuje się zmianę terminu z 14 dni na 10 dni roboczych dla zgłoszenia zastrzeżeń i uwag do treści protokołu kontroli oraz dla rozpatrzenia ich przez organ nadzoru. Zmiana ta ma na celu wyeliminowanie problemu ze zbyt małą liczbą dni na wniesienie zastrzeżeń do protokołu kontroli oraz rozpatrzenia tych zastrzeżeń w przypadku ich przekazania w okresach świątecznych.</w:t>
      </w:r>
      <w:r w:rsidR="007C389F">
        <w:rPr>
          <w:rFonts w:ascii="Times New Roman" w:hAnsi="Times New Roman" w:cs="Times New Roman"/>
          <w:sz w:val="24"/>
          <w:szCs w:val="24"/>
        </w:rPr>
        <w:t xml:space="preserve"> </w:t>
      </w:r>
      <w:r w:rsidRPr="006B2CD4">
        <w:rPr>
          <w:rFonts w:ascii="Times New Roman" w:hAnsi="Times New Roman" w:cs="Times New Roman"/>
          <w:sz w:val="24"/>
          <w:szCs w:val="24"/>
        </w:rPr>
        <w:t>Przyjęte rozwiązania mają na celu przede wszystkim usprawnienie i zwiększenie efektywności przeprowadz</w:t>
      </w:r>
      <w:r>
        <w:rPr>
          <w:rFonts w:ascii="Times New Roman" w:hAnsi="Times New Roman" w:cs="Times New Roman"/>
          <w:sz w:val="24"/>
          <w:szCs w:val="24"/>
        </w:rPr>
        <w:t>a</w:t>
      </w:r>
      <w:r w:rsidRPr="006B2CD4">
        <w:rPr>
          <w:rFonts w:ascii="Times New Roman" w:hAnsi="Times New Roman" w:cs="Times New Roman"/>
          <w:sz w:val="24"/>
          <w:szCs w:val="24"/>
        </w:rPr>
        <w:t xml:space="preserve">nia czynności kontrolnych i innych czynności nadzorczych KNF oraz przyczynią się do zmniejszenia obrotu korespondencji papierowej oraz obrotu dokumentacji papierowej wewnątrz podmiotów kontrolowanych. Dodatkowo wprowadzone regulacje zapewniają alternatywnie możliwość sporządzania/wydawania dokumentów związanych z przeprowadzoną kontrolą również na piśmie utrwalonym w postaci papierowej. </w:t>
      </w:r>
    </w:p>
    <w:p w14:paraId="6374F120" w14:textId="02E63A5B" w:rsidR="007D088A" w:rsidRPr="006B2CD4" w:rsidRDefault="007D088A" w:rsidP="007D088A">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Projektowane rozwiązania w art. 276 ustawy o działalności ubezpieczeniowej i reasekuracyjnej mają na celu określenie szczególnych zasad związanych z lokowaniem środków finansowych zakładu ubezpieczeń dotyczących umów ubezpieczenia na życie, w których ryzyko lokaty ponosi ubezpieczający nie będący osobą fizyczną, jeśli z tytułu tej umowy ubezpieczenia ponosi koszt składki ubezpieczeniowej, a poprzez to – istotne zwiększenie poziomu ochrony takich osób. Projektowane przepisy przewidują wydanie przez ministra właściwego do spraw instytucji finansowych rozporządzenia mającego określić zasady inwestycyjne przy lokowaniu przez zakład ubezpieczeń </w:t>
      </w:r>
      <w:r w:rsidR="005317A7">
        <w:rPr>
          <w:rFonts w:ascii="Times New Roman" w:hAnsi="Times New Roman" w:cs="Times New Roman"/>
          <w:sz w:val="24"/>
          <w:szCs w:val="24"/>
        </w:rPr>
        <w:t>aktywów z</w:t>
      </w:r>
      <w:r w:rsidRPr="006B2CD4">
        <w:rPr>
          <w:rFonts w:ascii="Times New Roman" w:hAnsi="Times New Roman" w:cs="Times New Roman"/>
          <w:sz w:val="24"/>
          <w:szCs w:val="24"/>
        </w:rPr>
        <w:t xml:space="preserve"> umów ubezpieczenia na życie, w</w:t>
      </w:r>
      <w:r>
        <w:rPr>
          <w:rFonts w:ascii="Times New Roman" w:hAnsi="Times New Roman" w:cs="Times New Roman"/>
          <w:sz w:val="24"/>
          <w:szCs w:val="24"/>
        </w:rPr>
        <w:t> </w:t>
      </w:r>
      <w:r w:rsidRPr="006B2CD4">
        <w:rPr>
          <w:rFonts w:ascii="Times New Roman" w:hAnsi="Times New Roman" w:cs="Times New Roman"/>
          <w:sz w:val="24"/>
          <w:szCs w:val="24"/>
        </w:rPr>
        <w:t xml:space="preserve">których ryzyko lokaty ponosi ubezpieczający będący osobą fizyczną lub ubezpieczający niebędący osobą fizyczną, jeżeli z tytułu tej umowy ubezpieczony ponosi koszt składki ubezpieczeniowej, z wyłączeniem lokowania środków ubezpieczeniowego funduszu kapitałowego będącego funduszem zdefiniowanej daty, o którym mowa w art. 38 ust. 1 ustawy z dnia 4 października 2018 r. o pracowniczych planach kapitałowych. Analogiczne rozwiązania przyjęto w przypadku krajowych funduszy inwestycyjnych otwartych przy lokowaniu swoich aktywów. Takie podejście pozwoli na zapewnienie, że ubezpieczający, który jest osobą fizyczną lub ubezpieczony </w:t>
      </w:r>
      <w:r>
        <w:rPr>
          <w:rFonts w:ascii="Times New Roman" w:hAnsi="Times New Roman" w:cs="Times New Roman"/>
          <w:sz w:val="24"/>
          <w:szCs w:val="24"/>
        </w:rPr>
        <w:t>(</w:t>
      </w:r>
      <w:r w:rsidRPr="006B2CD4">
        <w:rPr>
          <w:rFonts w:ascii="Times New Roman" w:hAnsi="Times New Roman" w:cs="Times New Roman"/>
          <w:sz w:val="24"/>
          <w:szCs w:val="24"/>
        </w:rPr>
        <w:t>osoba fizyczna ponosząca koszt składki ubezpieczeniowej</w:t>
      </w:r>
      <w:r>
        <w:rPr>
          <w:rFonts w:ascii="Times New Roman" w:hAnsi="Times New Roman" w:cs="Times New Roman"/>
          <w:sz w:val="24"/>
          <w:szCs w:val="24"/>
        </w:rPr>
        <w:t>)</w:t>
      </w:r>
      <w:r w:rsidRPr="006B2CD4">
        <w:rPr>
          <w:rFonts w:ascii="Times New Roman" w:hAnsi="Times New Roman" w:cs="Times New Roman"/>
          <w:sz w:val="24"/>
          <w:szCs w:val="24"/>
        </w:rPr>
        <w:t>, ponoszący ryzyko</w:t>
      </w:r>
      <w:r w:rsidR="008A71EF">
        <w:rPr>
          <w:rFonts w:ascii="Times New Roman" w:hAnsi="Times New Roman" w:cs="Times New Roman"/>
          <w:sz w:val="24"/>
          <w:szCs w:val="24"/>
        </w:rPr>
        <w:t xml:space="preserve"> lokaty</w:t>
      </w:r>
      <w:r w:rsidRPr="006B2CD4">
        <w:rPr>
          <w:rFonts w:ascii="Times New Roman" w:hAnsi="Times New Roman" w:cs="Times New Roman"/>
          <w:sz w:val="24"/>
          <w:szCs w:val="24"/>
        </w:rPr>
        <w:t>, zostaną objęci poziomem ochrony zbliżonym do tego, jaki mają zapewniony uczestnicy Funduszy Inwestycyjnych Otwartych w zakresie prowadzonej przez te fundusze działalności lokacyjnej.</w:t>
      </w:r>
    </w:p>
    <w:p w14:paraId="18533E15" w14:textId="77777777" w:rsidR="007D088A" w:rsidRPr="006B2CD4" w:rsidRDefault="007D088A" w:rsidP="007D088A">
      <w:pPr>
        <w:spacing w:after="120" w:line="360" w:lineRule="auto"/>
        <w:jc w:val="both"/>
        <w:rPr>
          <w:rFonts w:ascii="Times New Roman" w:eastAsia="Calibri" w:hAnsi="Times New Roman" w:cs="Times New Roman"/>
          <w:color w:val="FF0000"/>
          <w:sz w:val="24"/>
          <w:szCs w:val="24"/>
        </w:rPr>
      </w:pPr>
      <w:r w:rsidRPr="006B2CD4">
        <w:rPr>
          <w:rFonts w:ascii="Times New Roman" w:hAnsi="Times New Roman" w:cs="Times New Roman"/>
          <w:sz w:val="24"/>
          <w:szCs w:val="24"/>
        </w:rPr>
        <w:t>W art. 280 ustawy o działalności ubezpieczeniowej i reasekuracyjnej, poprzez uchylenie ust. 1, proponuje się rezygnację z obowiązku przedstawienia przez zakład ubezpieczeń i zakład reasekuracji organowi nadzoru rocznych sprawozdań finansowych.</w:t>
      </w:r>
      <w:r w:rsidRPr="006B2CD4">
        <w:rPr>
          <w:rFonts w:ascii="Times New Roman" w:hAnsi="Times New Roman" w:cs="Times New Roman"/>
          <w:color w:val="000000" w:themeColor="text1"/>
          <w:sz w:val="24"/>
          <w:szCs w:val="24"/>
        </w:rPr>
        <w:t xml:space="preserve"> </w:t>
      </w:r>
      <w:r w:rsidRPr="006B2CD4">
        <w:rPr>
          <w:rFonts w:ascii="Times New Roman" w:eastAsia="Calibri" w:hAnsi="Times New Roman" w:cs="Times New Roman"/>
          <w:color w:val="000000" w:themeColor="text1"/>
          <w:sz w:val="24"/>
          <w:szCs w:val="24"/>
        </w:rPr>
        <w:t>Roczne sprawozdanie finansowe mo</w:t>
      </w:r>
      <w:r>
        <w:rPr>
          <w:rFonts w:ascii="Times New Roman" w:eastAsia="Calibri" w:hAnsi="Times New Roman" w:cs="Times New Roman"/>
          <w:color w:val="000000" w:themeColor="text1"/>
          <w:sz w:val="24"/>
          <w:szCs w:val="24"/>
        </w:rPr>
        <w:t>że</w:t>
      </w:r>
      <w:r w:rsidRPr="006B2CD4">
        <w:rPr>
          <w:rFonts w:ascii="Times New Roman" w:eastAsia="Calibri" w:hAnsi="Times New Roman" w:cs="Times New Roman"/>
          <w:color w:val="000000" w:themeColor="text1"/>
          <w:sz w:val="24"/>
          <w:szCs w:val="24"/>
        </w:rPr>
        <w:t xml:space="preserve"> być samodzielnie pobrane przez UKNF za pośrednictwem KRS. Tym samym nie ma zasadności podtrzymania tego obowiązku sprawozdawczego.</w:t>
      </w:r>
    </w:p>
    <w:p w14:paraId="4C815CDB" w14:textId="77777777" w:rsidR="007D088A" w:rsidRPr="006B2CD4" w:rsidRDefault="007D088A" w:rsidP="007D088A">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Dodanie w art. 290 ustawy o działalności ubezpieczeniowej i reasekuracyjnej ust. 1a ma na celu wprowadzenie obowiązku informacyjnego dla zakładów ubezpieczeń i zakładów reasekuracji wobec UKNF w zakresie wyboru firmy audytorskiej do badania sprawozdania o wypłacalności i kondycji finansowej zakładu ubezpieczeń i zakładu reasekuracji. Analogiczny obowiązek dla zakładów ubezpieczeń i zakładów reasekuracji jest przewidziany dla wyboru firmy audytorskiej do badania sprawozdań finansowych (art. 281 ust. 2 ww. ustawy).</w:t>
      </w:r>
    </w:p>
    <w:p w14:paraId="19D4245D" w14:textId="3C3B8BCC" w:rsidR="007D088A" w:rsidRPr="006B2CD4" w:rsidRDefault="007D088A" w:rsidP="007D088A">
      <w:pPr>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Zaproponowana zmiana brzmienia art. 319 ustawy o działalności ubezpieczeniowej i reasekuracyjnej, polegająca na dodaniu regulacji zawartej w ust. 4, ma charakter doprecyzowujący. Z treści dodanego przepisu będzie wynikać, że zakład ubezpieczeń i zakład reasekuracji w likwidacji w dalszym ciągu podlegają nadzorowi organu nadzoru. Zaproponowany przepis jest analogiczny do przepisu art. 316 ust. 7 ustawy o działalności ubezpieczeniowej i reasekuracyjnej określającego prawa i obowiązki zakładu ubezpieczeń i zakładu reasekuracji, w którym organ nadzoru ustanowił zarząd komisaryczny. Doda</w:t>
      </w:r>
      <w:r>
        <w:rPr>
          <w:rFonts w:ascii="Times New Roman" w:hAnsi="Times New Roman" w:cs="Times New Roman"/>
          <w:sz w:val="24"/>
          <w:szCs w:val="24"/>
        </w:rPr>
        <w:t>wa</w:t>
      </w:r>
      <w:r w:rsidRPr="006B2CD4">
        <w:rPr>
          <w:rFonts w:ascii="Times New Roman" w:hAnsi="Times New Roman" w:cs="Times New Roman"/>
          <w:sz w:val="24"/>
          <w:szCs w:val="24"/>
        </w:rPr>
        <w:t xml:space="preserve">ny przepis zapewnia również spójność art. 319 z art. 325 pkt 3 ustawy o działalności ubezpieczeniowej i reasekuracyjnej określającym obowiązki likwidatora zakładu ubezpieczeń albo zakładu reasekuracji w zakresie sprawozdawczości związanej z likwidacją zakładu. </w:t>
      </w:r>
    </w:p>
    <w:p w14:paraId="7A83BF5A" w14:textId="7E9550AC" w:rsidR="007D088A" w:rsidRPr="006B2CD4" w:rsidRDefault="007D088A" w:rsidP="007D088A">
      <w:pPr>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Zaproponowane zmiany przepisu art. 320 ustawy o działalności ubezpieczeniowej i reasekuracyjnej, polegające na zmianie brzmienia ust. 5 oraz dodaniu regulacji zawartych w ust. 6‒8, mają na celu wzmocnienie kompetencji organu nadzoru w zakresie ustanowienia likwidatora z urzędu w przypadku likwidacji dobrowolnej zakładu ubezpieczeń albo zakładu reasekuracji. Obecnie występują trudności w skutecznym korzystaniu z tej kompetencji. W związku z powyższym proponuje się wskazanie w ust. 5 formy działania organu nadzoru (zgodnie z zaproponowanym przepisem ustanowienie likwidatora następuje w drodze decyzji administracyjnej) oraz dodanie regulacji:</w:t>
      </w:r>
    </w:p>
    <w:p w14:paraId="2B50C90C" w14:textId="77777777" w:rsidR="007D088A" w:rsidRPr="006B2CD4" w:rsidRDefault="007D088A" w:rsidP="00DB03EC">
      <w:pPr>
        <w:pStyle w:val="Akapitzlist"/>
        <w:numPr>
          <w:ilvl w:val="0"/>
          <w:numId w:val="8"/>
        </w:numPr>
        <w:spacing w:after="0" w:line="360" w:lineRule="auto"/>
        <w:contextualSpacing w:val="0"/>
        <w:jc w:val="both"/>
        <w:rPr>
          <w:rFonts w:ascii="Times New Roman" w:hAnsi="Times New Roman" w:cs="Times New Roman"/>
          <w:sz w:val="24"/>
          <w:szCs w:val="24"/>
        </w:rPr>
      </w:pPr>
      <w:r w:rsidRPr="006B2CD4">
        <w:rPr>
          <w:rFonts w:ascii="Times New Roman" w:hAnsi="Times New Roman" w:cs="Times New Roman"/>
          <w:sz w:val="24"/>
          <w:szCs w:val="24"/>
        </w:rPr>
        <w:t xml:space="preserve">wskazującej rygor natychmiastowej wykonalności decyzji organu nadzoru z mocy ustawy (dodany ust. 6), </w:t>
      </w:r>
    </w:p>
    <w:p w14:paraId="553D93D2" w14:textId="77777777" w:rsidR="007D088A" w:rsidRPr="006B2CD4" w:rsidRDefault="007D088A" w:rsidP="00DB03EC">
      <w:pPr>
        <w:pStyle w:val="Akapitzlist"/>
        <w:numPr>
          <w:ilvl w:val="0"/>
          <w:numId w:val="8"/>
        </w:numPr>
        <w:spacing w:after="0" w:line="360" w:lineRule="auto"/>
        <w:contextualSpacing w:val="0"/>
        <w:jc w:val="both"/>
        <w:rPr>
          <w:rFonts w:ascii="Times New Roman" w:hAnsi="Times New Roman" w:cs="Times New Roman"/>
          <w:sz w:val="24"/>
          <w:szCs w:val="24"/>
        </w:rPr>
      </w:pPr>
      <w:r w:rsidRPr="006B2CD4">
        <w:rPr>
          <w:rFonts w:ascii="Times New Roman" w:hAnsi="Times New Roman" w:cs="Times New Roman"/>
          <w:sz w:val="24"/>
          <w:szCs w:val="24"/>
        </w:rPr>
        <w:t>określającej relację pomiędzy likwidatorem wskazanym w zawiadomieniu o zamiarze rozwiązania zakładu (art. 320 ust. 1 ustawy), a likwidatorem wyznaczonym przez organ nadzoru (dodany ust. 7),</w:t>
      </w:r>
    </w:p>
    <w:p w14:paraId="365CBD8D" w14:textId="77777777" w:rsidR="007D088A" w:rsidRPr="006B2CD4" w:rsidRDefault="007D088A" w:rsidP="00DB03EC">
      <w:pPr>
        <w:pStyle w:val="Akapitzlist"/>
        <w:numPr>
          <w:ilvl w:val="0"/>
          <w:numId w:val="8"/>
        </w:numPr>
        <w:spacing w:after="120" w:line="360" w:lineRule="auto"/>
        <w:ind w:left="714" w:hanging="357"/>
        <w:contextualSpacing w:val="0"/>
        <w:jc w:val="both"/>
        <w:rPr>
          <w:rFonts w:ascii="Times New Roman" w:hAnsi="Times New Roman" w:cs="Times New Roman"/>
          <w:sz w:val="24"/>
          <w:szCs w:val="24"/>
        </w:rPr>
      </w:pPr>
      <w:r w:rsidRPr="006B2CD4">
        <w:rPr>
          <w:rFonts w:ascii="Times New Roman" w:hAnsi="Times New Roman" w:cs="Times New Roman"/>
          <w:sz w:val="24"/>
          <w:szCs w:val="24"/>
        </w:rPr>
        <w:t xml:space="preserve">określającej zasady wynagradzania likwidatora bądź likwidatorów wyznaczanych przez organ nadzoru, w tym maksymalny poziom wynagrodzenia likwidatora, które nie może być wyższe niż wynagrodzenie </w:t>
      </w:r>
      <w:r w:rsidRPr="006B2CD4">
        <w:rPr>
          <w:rFonts w:ascii="Times New Roman" w:hAnsi="Times New Roman" w:cs="Times New Roman"/>
          <w:color w:val="000000" w:themeColor="text1"/>
          <w:sz w:val="24"/>
          <w:szCs w:val="24"/>
        </w:rPr>
        <w:t>członków dotychczasowego zarządu zakładu ubezpieczeń lub zakładu reasekuracji, w którym ustanowiono likwidatora</w:t>
      </w:r>
      <w:r>
        <w:rPr>
          <w:rFonts w:ascii="Times New Roman" w:hAnsi="Times New Roman" w:cs="Times New Roman"/>
          <w:color w:val="000000" w:themeColor="text1"/>
          <w:sz w:val="24"/>
          <w:szCs w:val="24"/>
        </w:rPr>
        <w:t>,</w:t>
      </w:r>
      <w:r w:rsidRPr="006B2CD4">
        <w:rPr>
          <w:rFonts w:ascii="Times New Roman" w:hAnsi="Times New Roman" w:cs="Times New Roman"/>
          <w:sz w:val="24"/>
          <w:szCs w:val="24"/>
        </w:rPr>
        <w:t xml:space="preserve"> oraz</w:t>
      </w:r>
      <w:r>
        <w:rPr>
          <w:rFonts w:ascii="Times New Roman" w:hAnsi="Times New Roman" w:cs="Times New Roman"/>
          <w:sz w:val="24"/>
          <w:szCs w:val="24"/>
        </w:rPr>
        <w:t> </w:t>
      </w:r>
      <w:r w:rsidRPr="006B2CD4">
        <w:rPr>
          <w:rFonts w:ascii="Times New Roman" w:hAnsi="Times New Roman" w:cs="Times New Roman"/>
          <w:sz w:val="24"/>
          <w:szCs w:val="24"/>
        </w:rPr>
        <w:t>wskazującej, że koszty wynagrodzenia likwidatora ponosi zakład ubezpieczeń albo zakład reasekuracji w likwidacji, analogicznie jak to ma miejsce w przypadku zarządzenia likwidacji przymusowej (dodany ust. 8).</w:t>
      </w:r>
    </w:p>
    <w:p w14:paraId="1EE09108" w14:textId="70A7B897" w:rsidR="007D088A" w:rsidRPr="006B2CD4" w:rsidRDefault="007D088A" w:rsidP="007D088A">
      <w:pPr>
        <w:spacing w:after="120" w:line="360" w:lineRule="auto"/>
        <w:jc w:val="both"/>
        <w:rPr>
          <w:rFonts w:ascii="Times New Roman" w:hAnsi="Times New Roman" w:cs="Times New Roman"/>
          <w:i/>
          <w:iCs/>
          <w:sz w:val="24"/>
          <w:szCs w:val="24"/>
        </w:rPr>
      </w:pPr>
      <w:r w:rsidRPr="006B2CD4">
        <w:rPr>
          <w:rFonts w:ascii="Times New Roman" w:hAnsi="Times New Roman" w:cs="Times New Roman"/>
          <w:sz w:val="24"/>
          <w:szCs w:val="24"/>
        </w:rPr>
        <w:t>Dodanie regulacji zawartych w art. 322 ust. 3‒8 ustawy o działalności ubezpieczeniowej i reasekuracyjnej ma na celu doprecyzowanie przepisów określających uprawnienia i obowiązki organów zakładu ubezpieczeń i zakładu reasekuracji w likwidacji w przypadku likwidacji przymusowej oraz uprawnień i obowiązków likwidatora takiego zakładu. W</w:t>
      </w:r>
      <w:r>
        <w:rPr>
          <w:rFonts w:ascii="Times New Roman" w:hAnsi="Times New Roman" w:cs="Times New Roman"/>
          <w:sz w:val="24"/>
          <w:szCs w:val="24"/>
        </w:rPr>
        <w:t> </w:t>
      </w:r>
      <w:r w:rsidRPr="006B2CD4">
        <w:rPr>
          <w:rFonts w:ascii="Times New Roman" w:hAnsi="Times New Roman" w:cs="Times New Roman"/>
          <w:sz w:val="24"/>
          <w:szCs w:val="24"/>
        </w:rPr>
        <w:t xml:space="preserve">szczególności proponowany art. 322 ust. 4 tej ustawy ma na celu </w:t>
      </w:r>
      <w:r w:rsidRPr="006B2CD4">
        <w:rPr>
          <w:rFonts w:ascii="Times New Roman" w:hAnsi="Times New Roman" w:cs="Times New Roman"/>
          <w:color w:val="000000"/>
          <w:sz w:val="24"/>
          <w:szCs w:val="24"/>
        </w:rPr>
        <w:t xml:space="preserve">doprecyzowanie momentu otwarcia likwidacji przymusowej oraz zgłoszenie decyzji o zarządzeniu likwidacji przymusowej wraz z dowodem jej doręczenia do KRS przez likwidatora. </w:t>
      </w:r>
      <w:r w:rsidRPr="00E269DC">
        <w:rPr>
          <w:rFonts w:ascii="Times New Roman" w:hAnsi="Times New Roman" w:cs="Times New Roman"/>
          <w:sz w:val="24"/>
          <w:szCs w:val="24"/>
        </w:rPr>
        <w:t>Z</w:t>
      </w:r>
      <w:r w:rsidRPr="006B2CD4">
        <w:rPr>
          <w:rFonts w:ascii="Times New Roman" w:hAnsi="Times New Roman" w:cs="Times New Roman"/>
          <w:color w:val="000000"/>
          <w:sz w:val="24"/>
          <w:szCs w:val="24"/>
        </w:rPr>
        <w:t>godnie z obecnym brzmieniem art. 322 ust. 2 ustawy o działalności ubezpieczeniowej i reasekuracyjnej</w:t>
      </w:r>
      <w:r w:rsidRPr="006B2CD4">
        <w:rPr>
          <w:rFonts w:ascii="Times New Roman" w:hAnsi="Times New Roman" w:cs="Times New Roman"/>
          <w:color w:val="000000"/>
          <w:sz w:val="24"/>
          <w:szCs w:val="24"/>
          <w:u w:val="single"/>
        </w:rPr>
        <w:t xml:space="preserve"> </w:t>
      </w:r>
      <w:r w:rsidRPr="006B2CD4">
        <w:rPr>
          <w:rFonts w:ascii="Times New Roman" w:hAnsi="Times New Roman" w:cs="Times New Roman"/>
          <w:color w:val="000000"/>
          <w:sz w:val="24"/>
          <w:szCs w:val="24"/>
        </w:rPr>
        <w:t>decyzja o</w:t>
      </w:r>
      <w:r>
        <w:rPr>
          <w:rFonts w:ascii="Times New Roman" w:hAnsi="Times New Roman" w:cs="Times New Roman"/>
          <w:color w:val="000000"/>
          <w:sz w:val="24"/>
          <w:szCs w:val="24"/>
        </w:rPr>
        <w:t> </w:t>
      </w:r>
      <w:r w:rsidRPr="006B2CD4">
        <w:rPr>
          <w:rFonts w:ascii="Times New Roman" w:hAnsi="Times New Roman" w:cs="Times New Roman"/>
          <w:color w:val="000000"/>
          <w:sz w:val="24"/>
          <w:szCs w:val="24"/>
        </w:rPr>
        <w:t>zarządzeniu likwidacji jest z mocy prawa natychmiast wykonalna, a więc otwarcie likwidacji powinno być powiązane z chwilą uzyskania wykonalności decyzji w przedmiocie zarządzenia likwidacji przymusowej</w:t>
      </w:r>
      <w:r w:rsidRPr="006B2CD4">
        <w:rPr>
          <w:rFonts w:ascii="Times New Roman" w:hAnsi="Times New Roman" w:cs="Times New Roman"/>
          <w:sz w:val="24"/>
          <w:szCs w:val="24"/>
        </w:rPr>
        <w:t xml:space="preserve">, co zostało ujęte w ust. 4. Jednocześnie, </w:t>
      </w:r>
      <w:r w:rsidRPr="006B2CD4">
        <w:rPr>
          <w:rFonts w:ascii="Times New Roman" w:hAnsi="Times New Roman" w:cs="Times New Roman"/>
          <w:color w:val="000000"/>
          <w:sz w:val="24"/>
          <w:szCs w:val="24"/>
        </w:rPr>
        <w:t xml:space="preserve">ujawnienie decyzji o likwidacji przymusowej w KRS będzie wymagało wprowadzenia odpowiednich zmian w </w:t>
      </w:r>
      <w:r w:rsidRPr="006B2CD4">
        <w:rPr>
          <w:rFonts w:ascii="Times New Roman" w:hAnsi="Times New Roman" w:cs="Times New Roman"/>
          <w:iCs/>
          <w:sz w:val="24"/>
          <w:szCs w:val="24"/>
        </w:rPr>
        <w:t xml:space="preserve">rozporządzeniu Ministra Sprawiedliwości z dnia 17 listopada 2014 r. w </w:t>
      </w:r>
      <w:r w:rsidRPr="006B2CD4">
        <w:rPr>
          <w:rStyle w:val="markedcontent"/>
          <w:rFonts w:ascii="Times New Roman" w:hAnsi="Times New Roman" w:cs="Times New Roman"/>
          <w:iCs/>
          <w:sz w:val="24"/>
          <w:szCs w:val="24"/>
        </w:rPr>
        <w:t>sprawie szczegółowego sposobu prowadzenia rejestrów wchodzących w skład Krajowego Rejestru Sądowego</w:t>
      </w:r>
      <w:r w:rsidRPr="006B2CD4">
        <w:rPr>
          <w:rFonts w:ascii="Times New Roman" w:hAnsi="Times New Roman" w:cs="Times New Roman"/>
          <w:iCs/>
          <w:sz w:val="24"/>
          <w:szCs w:val="24"/>
        </w:rPr>
        <w:t xml:space="preserve"> </w:t>
      </w:r>
      <w:r w:rsidRPr="006B2CD4">
        <w:rPr>
          <w:rStyle w:val="markedcontent"/>
          <w:rFonts w:ascii="Times New Roman" w:hAnsi="Times New Roman" w:cs="Times New Roman"/>
          <w:iCs/>
          <w:sz w:val="24"/>
          <w:szCs w:val="24"/>
        </w:rPr>
        <w:t>oraz</w:t>
      </w:r>
      <w:r>
        <w:rPr>
          <w:rStyle w:val="markedcontent"/>
          <w:rFonts w:ascii="Times New Roman" w:hAnsi="Times New Roman" w:cs="Times New Roman"/>
          <w:iCs/>
          <w:sz w:val="24"/>
          <w:szCs w:val="24"/>
        </w:rPr>
        <w:t> </w:t>
      </w:r>
      <w:r w:rsidRPr="006B2CD4">
        <w:rPr>
          <w:rStyle w:val="markedcontent"/>
          <w:rFonts w:ascii="Times New Roman" w:hAnsi="Times New Roman" w:cs="Times New Roman"/>
          <w:iCs/>
          <w:sz w:val="24"/>
          <w:szCs w:val="24"/>
        </w:rPr>
        <w:t>szczegółowej treści wpisów w tych rejestrach (Dz. U. poz. 1667</w:t>
      </w:r>
      <w:r>
        <w:rPr>
          <w:rStyle w:val="markedcontent"/>
          <w:rFonts w:ascii="Times New Roman" w:hAnsi="Times New Roman" w:cs="Times New Roman"/>
          <w:iCs/>
          <w:sz w:val="24"/>
          <w:szCs w:val="24"/>
        </w:rPr>
        <w:t>, z późn. zm.</w:t>
      </w:r>
      <w:r w:rsidRPr="006B2CD4">
        <w:rPr>
          <w:rStyle w:val="markedcontent"/>
          <w:rFonts w:ascii="Times New Roman" w:hAnsi="Times New Roman" w:cs="Times New Roman"/>
          <w:iCs/>
          <w:sz w:val="24"/>
          <w:szCs w:val="24"/>
        </w:rPr>
        <w:t>)</w:t>
      </w:r>
      <w:r w:rsidRPr="006B2CD4">
        <w:rPr>
          <w:rStyle w:val="markedcontent"/>
          <w:rFonts w:ascii="Times New Roman" w:hAnsi="Times New Roman" w:cs="Times New Roman"/>
          <w:i/>
          <w:iCs/>
          <w:sz w:val="24"/>
          <w:szCs w:val="24"/>
        </w:rPr>
        <w:t xml:space="preserve"> </w:t>
      </w:r>
      <w:r w:rsidRPr="006B2CD4">
        <w:rPr>
          <w:rStyle w:val="markedcontent"/>
          <w:rFonts w:ascii="Times New Roman" w:hAnsi="Times New Roman" w:cs="Times New Roman"/>
          <w:iCs/>
          <w:sz w:val="24"/>
          <w:szCs w:val="24"/>
        </w:rPr>
        <w:t xml:space="preserve">poprzez </w:t>
      </w:r>
      <w:r w:rsidRPr="006B2CD4">
        <w:rPr>
          <w:rFonts w:ascii="Times New Roman" w:hAnsi="Times New Roman" w:cs="Times New Roman"/>
          <w:sz w:val="24"/>
          <w:szCs w:val="24"/>
        </w:rPr>
        <w:t xml:space="preserve">zapewnienie wpisania </w:t>
      </w:r>
      <w:r w:rsidRPr="006B2CD4">
        <w:rPr>
          <w:rStyle w:val="markedcontent"/>
          <w:rFonts w:ascii="Times New Roman" w:hAnsi="Times New Roman" w:cs="Times New Roman"/>
          <w:sz w:val="24"/>
          <w:szCs w:val="24"/>
        </w:rPr>
        <w:t>informacji dotyczącej decyzji o otwarciu likwidacji przymusowej w</w:t>
      </w:r>
      <w:r>
        <w:rPr>
          <w:rStyle w:val="markedcontent"/>
          <w:rFonts w:ascii="Times New Roman" w:hAnsi="Times New Roman" w:cs="Times New Roman"/>
          <w:sz w:val="24"/>
          <w:szCs w:val="24"/>
        </w:rPr>
        <w:t> </w:t>
      </w:r>
      <w:r w:rsidRPr="006B2CD4">
        <w:rPr>
          <w:rStyle w:val="markedcontent"/>
          <w:rFonts w:ascii="Times New Roman" w:hAnsi="Times New Roman" w:cs="Times New Roman"/>
          <w:sz w:val="24"/>
          <w:szCs w:val="24"/>
        </w:rPr>
        <w:t xml:space="preserve">odpowiednim dziale i rubryce rejestru przedsiębiorców. </w:t>
      </w:r>
    </w:p>
    <w:p w14:paraId="2828AC56" w14:textId="60309A1F" w:rsidR="007D088A" w:rsidRPr="006B2CD4" w:rsidRDefault="007D088A" w:rsidP="007D088A">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Zaproponowana zmiana brzmienia art. 323 ust. 1 pkt 1 oraz dodanie ust. 1a </w:t>
      </w:r>
      <w:r>
        <w:rPr>
          <w:rFonts w:ascii="Times New Roman" w:hAnsi="Times New Roman" w:cs="Times New Roman"/>
          <w:sz w:val="24"/>
          <w:szCs w:val="24"/>
        </w:rPr>
        <w:t xml:space="preserve">w tym przepisie </w:t>
      </w:r>
      <w:r w:rsidRPr="006B2CD4">
        <w:rPr>
          <w:rFonts w:ascii="Times New Roman" w:hAnsi="Times New Roman" w:cs="Times New Roman"/>
          <w:sz w:val="24"/>
          <w:szCs w:val="24"/>
        </w:rPr>
        <w:t>ustaw</w:t>
      </w:r>
      <w:r>
        <w:rPr>
          <w:rFonts w:ascii="Times New Roman" w:hAnsi="Times New Roman" w:cs="Times New Roman"/>
          <w:sz w:val="24"/>
          <w:szCs w:val="24"/>
        </w:rPr>
        <w:t>y</w:t>
      </w:r>
      <w:r w:rsidRPr="006B2CD4">
        <w:rPr>
          <w:rFonts w:ascii="Times New Roman" w:hAnsi="Times New Roman" w:cs="Times New Roman"/>
          <w:sz w:val="24"/>
          <w:szCs w:val="24"/>
        </w:rPr>
        <w:t xml:space="preserve"> o działalności ubezpieczeniowej i reasekuracyjnej ma na celu wzmocnienie kompetencji organu nadzoru w zakresie likwidacji przymusowej zakładu ubezpieczeń i zakładu reasekuracji. Zgodnie z obecnie obowiązującymi przepisami organ nadzoru nie dysponuje uprawnieniem do ustalania wynagrodzenia likwidatora, co znacznie utrudnia właściwe prowadzenie procesu likwidacji przymusowej. W </w:t>
      </w:r>
      <w:r>
        <w:rPr>
          <w:rFonts w:ascii="Times New Roman" w:hAnsi="Times New Roman" w:cs="Times New Roman"/>
          <w:sz w:val="24"/>
          <w:szCs w:val="24"/>
        </w:rPr>
        <w:t>doda</w:t>
      </w:r>
      <w:r w:rsidRPr="006B2CD4">
        <w:rPr>
          <w:rFonts w:ascii="Times New Roman" w:hAnsi="Times New Roman" w:cs="Times New Roman"/>
          <w:sz w:val="24"/>
          <w:szCs w:val="24"/>
        </w:rPr>
        <w:t>wanym ust. 1a wprowadza się maksymalny poziom wynagrodzeni</w:t>
      </w:r>
      <w:r>
        <w:rPr>
          <w:rFonts w:ascii="Times New Roman" w:hAnsi="Times New Roman" w:cs="Times New Roman"/>
          <w:sz w:val="24"/>
          <w:szCs w:val="24"/>
        </w:rPr>
        <w:t>a</w:t>
      </w:r>
      <w:r w:rsidRPr="006B2CD4">
        <w:rPr>
          <w:rFonts w:ascii="Times New Roman" w:hAnsi="Times New Roman" w:cs="Times New Roman"/>
          <w:sz w:val="24"/>
          <w:szCs w:val="24"/>
        </w:rPr>
        <w:t xml:space="preserve"> likwidatora, które nie może być wyższe niż wynagrodzenie członków dotychczasowego zarządu zakładu ubezpieczeń lub zakładu reasekuracji, w którym ustanowiono likwidatora. </w:t>
      </w:r>
      <w:r w:rsidR="00B05E6D" w:rsidRPr="00B05E6D">
        <w:rPr>
          <w:rFonts w:ascii="Times New Roman" w:hAnsi="Times New Roman" w:cs="Times New Roman"/>
          <w:sz w:val="24"/>
          <w:szCs w:val="24"/>
        </w:rPr>
        <w:t xml:space="preserve">Koszty związane z wykonaniem funkcji likwidatora </w:t>
      </w:r>
      <w:r w:rsidR="00B05E6D">
        <w:rPr>
          <w:rFonts w:ascii="Times New Roman" w:hAnsi="Times New Roman" w:cs="Times New Roman"/>
          <w:sz w:val="24"/>
          <w:szCs w:val="24"/>
        </w:rPr>
        <w:t xml:space="preserve">mają </w:t>
      </w:r>
      <w:r w:rsidR="00B05E6D" w:rsidRPr="00B05E6D">
        <w:rPr>
          <w:rFonts w:ascii="Times New Roman" w:hAnsi="Times New Roman" w:cs="Times New Roman"/>
          <w:sz w:val="24"/>
          <w:szCs w:val="24"/>
        </w:rPr>
        <w:t>obciąża</w:t>
      </w:r>
      <w:r w:rsidR="00B05E6D">
        <w:rPr>
          <w:rFonts w:ascii="Times New Roman" w:hAnsi="Times New Roman" w:cs="Times New Roman"/>
          <w:sz w:val="24"/>
          <w:szCs w:val="24"/>
        </w:rPr>
        <w:t xml:space="preserve">ć </w:t>
      </w:r>
      <w:r w:rsidR="00B05E6D" w:rsidRPr="00B05E6D">
        <w:rPr>
          <w:rFonts w:ascii="Times New Roman" w:hAnsi="Times New Roman" w:cs="Times New Roman"/>
          <w:sz w:val="24"/>
          <w:szCs w:val="24"/>
        </w:rPr>
        <w:t>koszty działalności zakładu ubezpieczeń lub zakładu reasekuracji, w którym go wyznaczono</w:t>
      </w:r>
      <w:r w:rsidR="00B05E6D">
        <w:rPr>
          <w:rFonts w:ascii="Times New Roman" w:hAnsi="Times New Roman" w:cs="Times New Roman"/>
          <w:sz w:val="24"/>
          <w:szCs w:val="24"/>
        </w:rPr>
        <w:t xml:space="preserve"> (dodawany ust. 1b). </w:t>
      </w:r>
      <w:r w:rsidRPr="006B2CD4">
        <w:rPr>
          <w:rFonts w:ascii="Times New Roman" w:hAnsi="Times New Roman" w:cs="Times New Roman"/>
          <w:sz w:val="24"/>
          <w:szCs w:val="24"/>
        </w:rPr>
        <w:t>Analogiczn</w:t>
      </w:r>
      <w:r w:rsidR="00B05E6D">
        <w:rPr>
          <w:rFonts w:ascii="Times New Roman" w:hAnsi="Times New Roman" w:cs="Times New Roman"/>
          <w:sz w:val="24"/>
          <w:szCs w:val="24"/>
        </w:rPr>
        <w:t>e</w:t>
      </w:r>
      <w:r w:rsidRPr="006B2CD4">
        <w:rPr>
          <w:rFonts w:ascii="Times New Roman" w:hAnsi="Times New Roman" w:cs="Times New Roman"/>
          <w:sz w:val="24"/>
          <w:szCs w:val="24"/>
        </w:rPr>
        <w:t xml:space="preserve"> propozycj</w:t>
      </w:r>
      <w:r w:rsidR="00B05E6D">
        <w:rPr>
          <w:rFonts w:ascii="Times New Roman" w:hAnsi="Times New Roman" w:cs="Times New Roman"/>
          <w:sz w:val="24"/>
          <w:szCs w:val="24"/>
        </w:rPr>
        <w:t>e</w:t>
      </w:r>
      <w:r w:rsidRPr="006B2CD4">
        <w:rPr>
          <w:rFonts w:ascii="Times New Roman" w:hAnsi="Times New Roman" w:cs="Times New Roman"/>
          <w:sz w:val="24"/>
          <w:szCs w:val="24"/>
        </w:rPr>
        <w:t xml:space="preserve"> przepisów dotycz</w:t>
      </w:r>
      <w:r w:rsidR="00B05E6D">
        <w:rPr>
          <w:rFonts w:ascii="Times New Roman" w:hAnsi="Times New Roman" w:cs="Times New Roman"/>
          <w:sz w:val="24"/>
          <w:szCs w:val="24"/>
        </w:rPr>
        <w:t>ą</w:t>
      </w:r>
      <w:r w:rsidRPr="006B2CD4">
        <w:rPr>
          <w:rFonts w:ascii="Times New Roman" w:hAnsi="Times New Roman" w:cs="Times New Roman"/>
          <w:sz w:val="24"/>
          <w:szCs w:val="24"/>
        </w:rPr>
        <w:t xml:space="preserve"> wynagrodzenia likwidatora </w:t>
      </w:r>
      <w:r w:rsidR="00B05E6D">
        <w:rPr>
          <w:rFonts w:ascii="Times New Roman" w:hAnsi="Times New Roman" w:cs="Times New Roman"/>
          <w:sz w:val="24"/>
          <w:szCs w:val="24"/>
        </w:rPr>
        <w:t>i kosztów</w:t>
      </w:r>
      <w:r w:rsidR="00B05E6D" w:rsidRPr="00B05E6D">
        <w:rPr>
          <w:rFonts w:ascii="Times New Roman" w:hAnsi="Times New Roman" w:cs="Times New Roman"/>
          <w:sz w:val="24"/>
          <w:szCs w:val="24"/>
        </w:rPr>
        <w:t xml:space="preserve"> związan</w:t>
      </w:r>
      <w:r w:rsidR="00B05E6D">
        <w:rPr>
          <w:rFonts w:ascii="Times New Roman" w:hAnsi="Times New Roman" w:cs="Times New Roman"/>
          <w:sz w:val="24"/>
          <w:szCs w:val="24"/>
        </w:rPr>
        <w:t xml:space="preserve">ych </w:t>
      </w:r>
      <w:r w:rsidR="00B05E6D" w:rsidRPr="00B05E6D">
        <w:rPr>
          <w:rFonts w:ascii="Times New Roman" w:hAnsi="Times New Roman" w:cs="Times New Roman"/>
          <w:sz w:val="24"/>
          <w:szCs w:val="24"/>
        </w:rPr>
        <w:t xml:space="preserve">z wykonaniem funkcji likwidatora </w:t>
      </w:r>
      <w:r w:rsidRPr="006B2CD4">
        <w:rPr>
          <w:rFonts w:ascii="Times New Roman" w:hAnsi="Times New Roman" w:cs="Times New Roman"/>
          <w:sz w:val="24"/>
          <w:szCs w:val="24"/>
        </w:rPr>
        <w:t>w przypadku likwidacji dobrowolnej (zaproponowana zmiana w</w:t>
      </w:r>
      <w:r>
        <w:rPr>
          <w:rFonts w:ascii="Times New Roman" w:hAnsi="Times New Roman" w:cs="Times New Roman"/>
          <w:sz w:val="24"/>
          <w:szCs w:val="24"/>
        </w:rPr>
        <w:t> </w:t>
      </w:r>
      <w:r w:rsidRPr="006B2CD4">
        <w:rPr>
          <w:rFonts w:ascii="Times New Roman" w:hAnsi="Times New Roman" w:cs="Times New Roman"/>
          <w:sz w:val="24"/>
          <w:szCs w:val="24"/>
        </w:rPr>
        <w:t xml:space="preserve">art. 320 ust. </w:t>
      </w:r>
      <w:r w:rsidR="00B05E6D">
        <w:rPr>
          <w:rFonts w:ascii="Times New Roman" w:hAnsi="Times New Roman" w:cs="Times New Roman"/>
          <w:sz w:val="24"/>
          <w:szCs w:val="24"/>
        </w:rPr>
        <w:t>9 i 10</w:t>
      </w:r>
      <w:r w:rsidRPr="006B2CD4">
        <w:rPr>
          <w:rFonts w:ascii="Times New Roman" w:hAnsi="Times New Roman" w:cs="Times New Roman"/>
          <w:sz w:val="24"/>
          <w:szCs w:val="24"/>
        </w:rPr>
        <w:t xml:space="preserve"> ustawy o działalności ubezpieczeniowej i reasekuracyjnej).</w:t>
      </w:r>
      <w:r w:rsidR="007C389F">
        <w:rPr>
          <w:rFonts w:ascii="Times New Roman" w:hAnsi="Times New Roman" w:cs="Times New Roman"/>
          <w:sz w:val="24"/>
          <w:szCs w:val="24"/>
        </w:rPr>
        <w:t xml:space="preserve"> </w:t>
      </w:r>
    </w:p>
    <w:p w14:paraId="3B681D35" w14:textId="77777777" w:rsidR="007D088A" w:rsidRPr="006B2CD4" w:rsidRDefault="007D088A" w:rsidP="007D088A">
      <w:pPr>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Dodanie przepisu art. 324a ustawy o działalności ubezpieczeniowej i reasekuracyjnej ma na celu wprowadzenie do tej ustawy przepisów umożliwiających sprawowanie funkcji likwidatora przez osoby prawne oraz doprecyzowanie przepisów określających wymogi, które powinni spełniać likwidatorzy. Zgodnie z zaproponowanym brzmieniem przepisu funkcje likwidatora zakładów ubezpieczeń i zakładów reasekuracji będą mogły pełnić osoby fizyczne, które spełniają wymogi określone w art. 18 k.s.h.:</w:t>
      </w:r>
    </w:p>
    <w:p w14:paraId="24355C69" w14:textId="77777777" w:rsidR="007D088A" w:rsidRPr="006B2CD4" w:rsidRDefault="007D088A" w:rsidP="00DB03EC">
      <w:pPr>
        <w:pStyle w:val="Akapitzlist"/>
        <w:numPr>
          <w:ilvl w:val="0"/>
          <w:numId w:val="9"/>
        </w:numPr>
        <w:spacing w:after="0" w:line="360" w:lineRule="auto"/>
        <w:contextualSpacing w:val="0"/>
        <w:jc w:val="both"/>
        <w:rPr>
          <w:rFonts w:ascii="Times New Roman" w:hAnsi="Times New Roman" w:cs="Times New Roman"/>
          <w:sz w:val="24"/>
          <w:szCs w:val="24"/>
        </w:rPr>
      </w:pPr>
      <w:r w:rsidRPr="006B2CD4">
        <w:rPr>
          <w:rFonts w:ascii="Times New Roman" w:hAnsi="Times New Roman" w:cs="Times New Roman"/>
          <w:sz w:val="24"/>
          <w:szCs w:val="24"/>
        </w:rPr>
        <w:t>posiadają pełną zdolność do czynności prawnych,</w:t>
      </w:r>
    </w:p>
    <w:p w14:paraId="2E270009" w14:textId="77777777" w:rsidR="007D088A" w:rsidRPr="006B2CD4" w:rsidRDefault="007D088A" w:rsidP="00DB03EC">
      <w:pPr>
        <w:pStyle w:val="Akapitzlist"/>
        <w:numPr>
          <w:ilvl w:val="0"/>
          <w:numId w:val="9"/>
        </w:numPr>
        <w:spacing w:after="0" w:line="360" w:lineRule="auto"/>
        <w:contextualSpacing w:val="0"/>
        <w:jc w:val="both"/>
        <w:rPr>
          <w:rFonts w:ascii="Times New Roman" w:hAnsi="Times New Roman" w:cs="Times New Roman"/>
          <w:sz w:val="24"/>
          <w:szCs w:val="24"/>
        </w:rPr>
      </w:pPr>
      <w:r w:rsidRPr="006B2CD4">
        <w:rPr>
          <w:rFonts w:ascii="Times New Roman" w:hAnsi="Times New Roman" w:cs="Times New Roman"/>
          <w:sz w:val="24"/>
          <w:szCs w:val="24"/>
        </w:rPr>
        <w:t xml:space="preserve">nie zostały skazane prawomocnym wyrokiem za przestępstwa wymienione w art. 18 </w:t>
      </w:r>
      <w:r w:rsidRPr="006B2CD4">
        <w:rPr>
          <w:rStyle w:val="markedcontent"/>
          <w:rFonts w:ascii="Times New Roman" w:hAnsi="Times New Roman" w:cs="Times New Roman"/>
          <w:sz w:val="24"/>
          <w:szCs w:val="24"/>
        </w:rPr>
        <w:t xml:space="preserve">§ </w:t>
      </w:r>
      <w:r w:rsidRPr="006B2CD4">
        <w:rPr>
          <w:rFonts w:ascii="Times New Roman" w:hAnsi="Times New Roman" w:cs="Times New Roman"/>
          <w:sz w:val="24"/>
          <w:szCs w:val="24"/>
        </w:rPr>
        <w:t>2 k.s.h.</w:t>
      </w:r>
    </w:p>
    <w:p w14:paraId="29393595" w14:textId="56DE6A46" w:rsidR="007D088A" w:rsidRPr="006B2CD4" w:rsidRDefault="007D088A" w:rsidP="007D088A">
      <w:pPr>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Analogiczne wymogi będą musieli spełniać członkowie organu zarządzającego osoby prawnej, w przypadku gdy funkcje likwidatora zakładu ubezpieczeń albo zakładu reasekuracji będzie pełnić osoba prawna. </w:t>
      </w:r>
      <w:r w:rsidRPr="006B2CD4">
        <w:rPr>
          <w:rStyle w:val="markedcontent"/>
          <w:rFonts w:ascii="Times New Roman" w:hAnsi="Times New Roman" w:cs="Times New Roman"/>
          <w:sz w:val="24"/>
          <w:szCs w:val="24"/>
        </w:rPr>
        <w:t xml:space="preserve">Przedmiotowa propozycja będzie wymagała </w:t>
      </w:r>
      <w:r w:rsidRPr="006B2CD4">
        <w:rPr>
          <w:rFonts w:ascii="Times New Roman" w:hAnsi="Times New Roman" w:cs="Times New Roman"/>
          <w:sz w:val="24"/>
          <w:szCs w:val="24"/>
        </w:rPr>
        <w:t xml:space="preserve">wprowadzenia zmian w </w:t>
      </w:r>
      <w:r w:rsidRPr="006B2CD4">
        <w:rPr>
          <w:rFonts w:ascii="Times New Roman" w:hAnsi="Times New Roman" w:cs="Times New Roman"/>
          <w:iCs/>
          <w:sz w:val="24"/>
          <w:szCs w:val="24"/>
        </w:rPr>
        <w:t xml:space="preserve">rozporządzeniu Ministra Sprawiedliwości z dnia 17 listopada 2014 r. w </w:t>
      </w:r>
      <w:r w:rsidRPr="006B2CD4">
        <w:rPr>
          <w:rStyle w:val="markedcontent"/>
          <w:rFonts w:ascii="Times New Roman" w:hAnsi="Times New Roman" w:cs="Times New Roman"/>
          <w:iCs/>
          <w:sz w:val="24"/>
          <w:szCs w:val="24"/>
        </w:rPr>
        <w:t>sprawie szczegółowego sposobu prowadzenia rejestrów wchodzących w skład Krajowego Rejestru Sądowego</w:t>
      </w:r>
      <w:r w:rsidRPr="006B2CD4">
        <w:rPr>
          <w:rFonts w:ascii="Times New Roman" w:hAnsi="Times New Roman" w:cs="Times New Roman"/>
          <w:iCs/>
          <w:sz w:val="24"/>
          <w:szCs w:val="24"/>
        </w:rPr>
        <w:t xml:space="preserve"> </w:t>
      </w:r>
      <w:r w:rsidRPr="006B2CD4">
        <w:rPr>
          <w:rStyle w:val="markedcontent"/>
          <w:rFonts w:ascii="Times New Roman" w:hAnsi="Times New Roman" w:cs="Times New Roman"/>
          <w:iCs/>
          <w:sz w:val="24"/>
          <w:szCs w:val="24"/>
        </w:rPr>
        <w:t>oraz szczegółowej treści wpisów w tych rejestrach</w:t>
      </w:r>
      <w:r w:rsidRPr="006B2CD4">
        <w:rPr>
          <w:rFonts w:ascii="Times New Roman" w:hAnsi="Times New Roman" w:cs="Times New Roman"/>
          <w:sz w:val="24"/>
          <w:szCs w:val="24"/>
        </w:rPr>
        <w:t xml:space="preserve"> w zakresie wpisania danych w</w:t>
      </w:r>
      <w:r>
        <w:rPr>
          <w:rFonts w:ascii="Times New Roman" w:hAnsi="Times New Roman" w:cs="Times New Roman"/>
          <w:sz w:val="24"/>
          <w:szCs w:val="24"/>
        </w:rPr>
        <w:t> </w:t>
      </w:r>
      <w:r w:rsidRPr="006B2CD4">
        <w:rPr>
          <w:rFonts w:ascii="Times New Roman" w:hAnsi="Times New Roman" w:cs="Times New Roman"/>
          <w:sz w:val="24"/>
          <w:szCs w:val="24"/>
        </w:rPr>
        <w:t>rejestrze dotyczących likwidatorów umożliwiających wpisanie likwidatora będącego osobą prawną. Obecnie na gruncie ww. rozporządzenia w zakresie zakładów ubezpieczeń i zakładów reasekuracji do rejestru wpisywany jest likwidator będący osobą fizyczną, za wyjątkiem głównego oddziału zagranicznego zakładu ubezpieczeń i głównego oddziału zagranicznego zakładu reasekuracji, w których wskazane są osoby fizyczne i osoby prawne (</w:t>
      </w:r>
      <w:r w:rsidRPr="006B2CD4">
        <w:rPr>
          <w:rStyle w:val="markedcontent"/>
          <w:rFonts w:ascii="Times New Roman" w:hAnsi="Times New Roman" w:cs="Times New Roman"/>
          <w:sz w:val="24"/>
          <w:szCs w:val="24"/>
        </w:rPr>
        <w:t>§ 143 pkt 1 lit. e rozporządzenia).</w:t>
      </w:r>
    </w:p>
    <w:p w14:paraId="12C96694" w14:textId="0BC37581" w:rsidR="007D088A" w:rsidRPr="006B2CD4" w:rsidRDefault="007D088A" w:rsidP="007D088A">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Dodanie w art. 335 w ust. 2 pkt 1a w ustawie o działalności ubezpieczeniowej i reasekuracyjnej ma na celu rozszerzenie uprawnień organu nadzoru do żądania od zakładów ubezpieczeń i zakładów reasekuracji danych i informacji na wniosek EIOPA. Obecnie EIOPA na mocy prawa europejskiego, co do zasady, nie jest uprawniona do bezpośredniego zbierania informacji i wzywania zakładów ubezpieczeń i zakładów reasekuracji do przekazania stosownych danych. Wobec tego EIOPA, w celu sporządzenia raportu, żąda od krajowych organów nadzoru szczegółowych informacji dotyczących podmiotów nadzorowanych. Nadzory krajowe są w</w:t>
      </w:r>
      <w:r>
        <w:rPr>
          <w:rFonts w:ascii="Times New Roman" w:hAnsi="Times New Roman" w:cs="Times New Roman"/>
          <w:sz w:val="24"/>
          <w:szCs w:val="24"/>
        </w:rPr>
        <w:t> </w:t>
      </w:r>
      <w:r w:rsidRPr="006B2CD4">
        <w:rPr>
          <w:rFonts w:ascii="Times New Roman" w:hAnsi="Times New Roman" w:cs="Times New Roman"/>
          <w:sz w:val="24"/>
          <w:szCs w:val="24"/>
        </w:rPr>
        <w:t>konsekwencji zobligowane do zebrania tych danych poprzez wezwania kierowane do zakładów ubezpieczeń i zakładów reasekuracji. Podstawę prawną żądania EIOPA skierowanego do krajowych organów nadzoru stanowi art. 35 ust. 1 Rozporządzenia Parlamentu Europejskiego i Rady (UE) nr 1094/2010 z dnia 24 listopada 2010 r. w sprawie ustanowienia Europejskiego Urzędu Nadzoru (Europejskiego Urzędu Nadzoru Ubezpieczeń i</w:t>
      </w:r>
      <w:r>
        <w:rPr>
          <w:rFonts w:ascii="Times New Roman" w:hAnsi="Times New Roman" w:cs="Times New Roman"/>
          <w:sz w:val="24"/>
          <w:szCs w:val="24"/>
        </w:rPr>
        <w:t> </w:t>
      </w:r>
      <w:r w:rsidRPr="006B2CD4">
        <w:rPr>
          <w:rFonts w:ascii="Times New Roman" w:hAnsi="Times New Roman" w:cs="Times New Roman"/>
          <w:sz w:val="24"/>
          <w:szCs w:val="24"/>
        </w:rPr>
        <w:t>Pracowniczych Programów Emerytalnych), zmiany decyzji nr 716/2009/WE i uchylenia decyzji Komisji 2009/79/WE (</w:t>
      </w:r>
      <w:r w:rsidRPr="006B2CD4">
        <w:rPr>
          <w:rStyle w:val="markedcontent"/>
          <w:rFonts w:ascii="Times New Roman" w:hAnsi="Times New Roman" w:cs="Times New Roman"/>
          <w:sz w:val="24"/>
          <w:szCs w:val="24"/>
        </w:rPr>
        <w:t>Dz. Urz. UE L 331 z 15.12.2010,</w:t>
      </w:r>
      <w:r w:rsidRPr="006B2CD4">
        <w:rPr>
          <w:rFonts w:ascii="Times New Roman" w:hAnsi="Times New Roman" w:cs="Times New Roman"/>
          <w:sz w:val="24"/>
          <w:szCs w:val="24"/>
        </w:rPr>
        <w:t> </w:t>
      </w:r>
      <w:r w:rsidRPr="006B2CD4">
        <w:rPr>
          <w:rStyle w:val="markedcontent"/>
          <w:rFonts w:ascii="Times New Roman" w:hAnsi="Times New Roman" w:cs="Times New Roman"/>
          <w:sz w:val="24"/>
          <w:szCs w:val="24"/>
        </w:rPr>
        <w:t>str. 48, z późn. zm.)</w:t>
      </w:r>
      <w:r w:rsidRPr="006B2CD4">
        <w:rPr>
          <w:rFonts w:ascii="Times New Roman" w:hAnsi="Times New Roman" w:cs="Times New Roman"/>
          <w:sz w:val="24"/>
          <w:szCs w:val="24"/>
        </w:rPr>
        <w:t>. Zgodnie z tym przepisem na wniosek EIOPA właściwe organy państw członkowskich przekazują EIOPA wszelkie informacje niezbędne do wykonywania obowiązków nałożonych na EIOPA, pod warunkiem że posiadają one na mocy odpowiednich przepisów dostęp do odpowiednich informacji oraz że wniosek o informacje jest niezbędny</w:t>
      </w:r>
      <w:r>
        <w:rPr>
          <w:rFonts w:ascii="Times New Roman" w:hAnsi="Times New Roman" w:cs="Times New Roman"/>
          <w:sz w:val="24"/>
          <w:szCs w:val="24"/>
        </w:rPr>
        <w:t>,</w:t>
      </w:r>
      <w:r w:rsidRPr="006B2CD4">
        <w:rPr>
          <w:rFonts w:ascii="Times New Roman" w:hAnsi="Times New Roman" w:cs="Times New Roman"/>
          <w:sz w:val="24"/>
          <w:szCs w:val="24"/>
        </w:rPr>
        <w:t xml:space="preserve"> biorąc pod uwagę charakter danego obowiązku. UKNF, zwracając się do zakładów ubezpieczeń i zakładów reasekuracji o</w:t>
      </w:r>
      <w:r>
        <w:rPr>
          <w:rFonts w:ascii="Times New Roman" w:hAnsi="Times New Roman" w:cs="Times New Roman"/>
          <w:sz w:val="24"/>
          <w:szCs w:val="24"/>
        </w:rPr>
        <w:t> </w:t>
      </w:r>
      <w:r w:rsidRPr="006B2CD4">
        <w:rPr>
          <w:rFonts w:ascii="Times New Roman" w:hAnsi="Times New Roman" w:cs="Times New Roman"/>
          <w:sz w:val="24"/>
          <w:szCs w:val="24"/>
        </w:rPr>
        <w:t xml:space="preserve">przekazanie informacji na żądanie EIOPA, powołuje się na art. 335 ust. 1 oraz ust. </w:t>
      </w:r>
      <w:r>
        <w:rPr>
          <w:rFonts w:ascii="Times New Roman" w:hAnsi="Times New Roman" w:cs="Times New Roman"/>
          <w:sz w:val="24"/>
          <w:szCs w:val="24"/>
        </w:rPr>
        <w:t>2</w:t>
      </w:r>
      <w:r w:rsidRPr="006B2CD4">
        <w:rPr>
          <w:rFonts w:ascii="Times New Roman" w:hAnsi="Times New Roman" w:cs="Times New Roman"/>
          <w:sz w:val="24"/>
          <w:szCs w:val="24"/>
        </w:rPr>
        <w:t xml:space="preserve"> pkt 2 ustawy o działalności ubezpieczeniowej i reasekuracyjnej. Wydaje się jednak, że ta podstawa prawna może w pewnych wypadkach okazać się niewystarczająca. Cele nadzoru, o których mowa w powyższych przepisach i które mogą uzasadniać wystosowanie wezwania, określone są w art. 329 ust. 2 ustawy o działalności ubezpieczeniowej i reasekuracyjnej. Cele te nie są powiązane z zadaniami EIOPA. Nie można zatem z całą pewnością stwierdzić, że każde żądanie EIOPA przekazane organowi nadzoru będzie pozwalało na przekazanie wezwania mającego oparcie w przepisach ustawy </w:t>
      </w:r>
      <w:r>
        <w:rPr>
          <w:rFonts w:ascii="Times New Roman" w:hAnsi="Times New Roman" w:cs="Times New Roman"/>
          <w:sz w:val="24"/>
          <w:szCs w:val="24"/>
        </w:rPr>
        <w:t xml:space="preserve">o </w:t>
      </w:r>
      <w:r w:rsidRPr="006B2CD4">
        <w:rPr>
          <w:rFonts w:ascii="Times New Roman" w:hAnsi="Times New Roman" w:cs="Times New Roman"/>
          <w:sz w:val="24"/>
          <w:szCs w:val="24"/>
        </w:rPr>
        <w:t>działalności ubezpieczeniowej i reasekuracyjnej. W</w:t>
      </w:r>
      <w:r>
        <w:rPr>
          <w:rFonts w:ascii="Times New Roman" w:hAnsi="Times New Roman" w:cs="Times New Roman"/>
          <w:sz w:val="24"/>
          <w:szCs w:val="24"/>
        </w:rPr>
        <w:t> </w:t>
      </w:r>
      <w:r w:rsidRPr="006B2CD4">
        <w:rPr>
          <w:rFonts w:ascii="Times New Roman" w:hAnsi="Times New Roman" w:cs="Times New Roman"/>
          <w:sz w:val="24"/>
          <w:szCs w:val="24"/>
        </w:rPr>
        <w:t>związku z tym, w celu wzmocnienia pozycji organu nadzoru zmiana jest uzasadniona.</w:t>
      </w:r>
    </w:p>
    <w:p w14:paraId="53710040" w14:textId="77777777" w:rsidR="007D088A" w:rsidRPr="006B2CD4" w:rsidRDefault="007D088A" w:rsidP="007D088A">
      <w:pPr>
        <w:spacing w:after="120" w:line="360" w:lineRule="auto"/>
        <w:jc w:val="both"/>
        <w:rPr>
          <w:rFonts w:ascii="Times New Roman" w:hAnsi="Times New Roman" w:cs="Times New Roman"/>
          <w:color w:val="000000" w:themeColor="text1"/>
          <w:sz w:val="24"/>
          <w:szCs w:val="24"/>
        </w:rPr>
      </w:pPr>
      <w:r w:rsidRPr="006B2CD4">
        <w:rPr>
          <w:rFonts w:ascii="Times New Roman" w:hAnsi="Times New Roman" w:cs="Times New Roman"/>
          <w:sz w:val="24"/>
          <w:szCs w:val="24"/>
        </w:rPr>
        <w:t xml:space="preserve">Dodanie w art. 335 w ust. 5 pkt 3 ustawy o działalności ubezpieczeniowej i reasekuracyjnej polega na zapewnieniu możliwości pozyskiwania przez organ </w:t>
      </w:r>
      <w:r w:rsidRPr="006B2CD4">
        <w:rPr>
          <w:rFonts w:ascii="Times New Roman" w:hAnsi="Times New Roman" w:cs="Times New Roman"/>
          <w:color w:val="000000" w:themeColor="text1"/>
          <w:sz w:val="24"/>
          <w:szCs w:val="24"/>
        </w:rPr>
        <w:t>nadzoru od zagranicznych zakładów ubezpieczeń prowadzących działalnoś</w:t>
      </w:r>
      <w:r>
        <w:rPr>
          <w:rFonts w:ascii="Times New Roman" w:hAnsi="Times New Roman" w:cs="Times New Roman"/>
          <w:color w:val="000000" w:themeColor="text1"/>
          <w:sz w:val="24"/>
          <w:szCs w:val="24"/>
        </w:rPr>
        <w:t>ć</w:t>
      </w:r>
      <w:r w:rsidRPr="006B2CD4">
        <w:rPr>
          <w:rFonts w:ascii="Times New Roman" w:hAnsi="Times New Roman" w:cs="Times New Roman"/>
          <w:color w:val="000000" w:themeColor="text1"/>
          <w:sz w:val="24"/>
          <w:szCs w:val="24"/>
        </w:rPr>
        <w:t xml:space="preserve"> na terytorium RP danych i informacji niezbędnych do monitorowania ich kluczowych obszarów działalności, w tym w szczególności skali prowadzonej działalności w zakresie obowiązkowych ubezpieczeń OC posiadaczy pojazdów mechanicznych, np. wartości składki i liczby zawartych umów, wartości i liczby zgłoszonych szkód. Wprowadzenie ww. zapisu będzie stanowiło odpowiednie narzędzie do pozyskiwania od zagranicznych zakładów ubezpieczeń informacji i danych dotyczących działalności realizowanej przez te zakłady ubezpieczeń na terytorium RP, które są niezbędne do właściwego sposobu zabezpieczenia interesów osób ubezpieczonych przez zagraniczne zakłady ubezpieczeń.</w:t>
      </w:r>
    </w:p>
    <w:p w14:paraId="312371D7" w14:textId="6418F4C0" w:rsidR="007D088A" w:rsidRPr="006B2CD4" w:rsidRDefault="007D088A" w:rsidP="007D088A">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Kolejna zaproponowana zmiana w brzmieniu art. 362 </w:t>
      </w:r>
      <w:r w:rsidR="00B21D56">
        <w:rPr>
          <w:rFonts w:ascii="Times New Roman" w:hAnsi="Times New Roman" w:cs="Times New Roman"/>
          <w:sz w:val="24"/>
          <w:szCs w:val="24"/>
        </w:rPr>
        <w:t xml:space="preserve">ust. 1 pkt 1 i 2 </w:t>
      </w:r>
      <w:r w:rsidRPr="006B2CD4">
        <w:rPr>
          <w:rFonts w:ascii="Times New Roman" w:hAnsi="Times New Roman" w:cs="Times New Roman"/>
          <w:sz w:val="24"/>
          <w:szCs w:val="24"/>
        </w:rPr>
        <w:t xml:space="preserve">ustawy o działalności ubezpieczeniowej i reasekuracyjnej polega na zwiększeniu maksymalnej wysokości kar nakładanych na członków zarządu zakładu ubezpieczeń albo zakładów reasekuracji, a także na zakłady ubezpieczeń i zakłady reasekuracji. Wskazać należy, że zgodnie z art. 141 ust. 1 ustawy </w:t>
      </w:r>
      <w:r w:rsidRPr="006B2CD4">
        <w:rPr>
          <w:rFonts w:ascii="Times New Roman" w:hAnsi="Times New Roman" w:cs="Times New Roman"/>
          <w:bCs/>
          <w:sz w:val="24"/>
          <w:szCs w:val="24"/>
        </w:rPr>
        <w:t>–</w:t>
      </w:r>
      <w:r w:rsidRPr="006B2CD4">
        <w:rPr>
          <w:rFonts w:ascii="Times New Roman" w:hAnsi="Times New Roman" w:cs="Times New Roman"/>
          <w:sz w:val="24"/>
          <w:szCs w:val="24"/>
        </w:rPr>
        <w:t xml:space="preserve"> Prawo bankowe organ nadzoru może nałożyć kary na członków zarządu banku do wysokości 21 </w:t>
      </w:r>
      <w:r>
        <w:rPr>
          <w:rFonts w:ascii="Times New Roman" w:hAnsi="Times New Roman" w:cs="Times New Roman"/>
          <w:sz w:val="24"/>
          <w:szCs w:val="24"/>
        </w:rPr>
        <w:t>mln</w:t>
      </w:r>
      <w:r w:rsidRPr="006B2CD4">
        <w:rPr>
          <w:rFonts w:ascii="Times New Roman" w:hAnsi="Times New Roman" w:cs="Times New Roman"/>
          <w:sz w:val="24"/>
          <w:szCs w:val="24"/>
        </w:rPr>
        <w:t xml:space="preserve"> zł. </w:t>
      </w:r>
      <w:r>
        <w:rPr>
          <w:rFonts w:ascii="Times New Roman" w:hAnsi="Times New Roman" w:cs="Times New Roman"/>
          <w:sz w:val="24"/>
          <w:szCs w:val="24"/>
        </w:rPr>
        <w:t>S</w:t>
      </w:r>
      <w:r w:rsidRPr="00C065DA">
        <w:rPr>
          <w:rFonts w:ascii="Times New Roman" w:hAnsi="Times New Roman" w:cs="Times New Roman"/>
          <w:sz w:val="24"/>
          <w:szCs w:val="24"/>
        </w:rPr>
        <w:t xml:space="preserve">ankcja w obecnej wysokości „odpowiadającej trzykrotnemu przeciętnemu miesięcznemu wynagrodzeniu z ostatnich 12 miesięcy, a jeżeli nie można ustalić przeciętnego miesięcznego wynagrodzenia z ostatnich 12 miesięcy - do wysokości 100 000 zł” jest karą w wysokości rażąco niskiej, nieznajdującej uzasadnienia, w sytuacji zagrożeń kar maksymalnych za naruszenia stwierdzane na rynku finansowym. </w:t>
      </w:r>
      <w:r w:rsidRPr="006B2CD4">
        <w:rPr>
          <w:rFonts w:ascii="Times New Roman" w:hAnsi="Times New Roman" w:cs="Times New Roman"/>
          <w:sz w:val="24"/>
          <w:szCs w:val="24"/>
        </w:rPr>
        <w:t>W ocenie projektodawcy dotychczasowe kary pieniężne nie mają charakteru odstraszającego</w:t>
      </w:r>
      <w:r w:rsidR="00B21D56">
        <w:rPr>
          <w:rFonts w:ascii="Times New Roman" w:hAnsi="Times New Roman" w:cs="Times New Roman"/>
          <w:sz w:val="24"/>
          <w:szCs w:val="24"/>
        </w:rPr>
        <w:t>,</w:t>
      </w:r>
      <w:r w:rsidRPr="006B2CD4">
        <w:rPr>
          <w:rFonts w:ascii="Times New Roman" w:hAnsi="Times New Roman" w:cs="Times New Roman"/>
          <w:sz w:val="24"/>
          <w:szCs w:val="24"/>
        </w:rPr>
        <w:t xml:space="preserve"> należy więc zwiększyć maksymalny ich wymiar. Analogicznie do rozwiązań</w:t>
      </w:r>
      <w:r>
        <w:rPr>
          <w:rFonts w:ascii="Times New Roman" w:hAnsi="Times New Roman" w:cs="Times New Roman"/>
          <w:sz w:val="24"/>
          <w:szCs w:val="24"/>
        </w:rPr>
        <w:t xml:space="preserve"> zawartych</w:t>
      </w:r>
      <w:r w:rsidRPr="006B2CD4">
        <w:rPr>
          <w:rFonts w:ascii="Times New Roman" w:hAnsi="Times New Roman" w:cs="Times New Roman"/>
          <w:sz w:val="24"/>
          <w:szCs w:val="24"/>
        </w:rPr>
        <w:t xml:space="preserve"> w ustawie o dystrybucji ubezpieczeń proponuje się podwyższyć wysokość kar pieniężnych nakładanych na osoby fizyczne (członków zarządu zakładu ubezpieczeń albo zakładów reasekuracji) do 3</w:t>
      </w:r>
      <w:r>
        <w:rPr>
          <w:rFonts w:ascii="Times New Roman" w:hAnsi="Times New Roman" w:cs="Times New Roman"/>
          <w:sz w:val="24"/>
          <w:szCs w:val="24"/>
        </w:rPr>
        <w:t> </w:t>
      </w:r>
      <w:r w:rsidRPr="006B2CD4">
        <w:rPr>
          <w:rFonts w:ascii="Times New Roman" w:hAnsi="Times New Roman" w:cs="Times New Roman"/>
          <w:sz w:val="24"/>
          <w:szCs w:val="24"/>
        </w:rPr>
        <w:t>mln zł oraz wprowadzić dodatkową możliwość nakładania kar</w:t>
      </w:r>
      <w:r w:rsidR="00B21D56">
        <w:rPr>
          <w:rFonts w:ascii="Times New Roman" w:hAnsi="Times New Roman" w:cs="Times New Roman"/>
          <w:sz w:val="24"/>
          <w:szCs w:val="24"/>
        </w:rPr>
        <w:t xml:space="preserve"> na</w:t>
      </w:r>
      <w:r w:rsidRPr="006B2CD4">
        <w:rPr>
          <w:rFonts w:ascii="Times New Roman" w:hAnsi="Times New Roman" w:cs="Times New Roman"/>
          <w:sz w:val="24"/>
          <w:szCs w:val="24"/>
        </w:rPr>
        <w:t xml:space="preserve"> zakłady ubezpieczeń i zakłady reasekuracji do 20 mln zł.</w:t>
      </w:r>
      <w:r w:rsidRPr="00F80939">
        <w:t xml:space="preserve"> </w:t>
      </w:r>
      <w:r>
        <w:rPr>
          <w:rFonts w:ascii="Times New Roman" w:hAnsi="Times New Roman" w:cs="Times New Roman"/>
          <w:sz w:val="24"/>
          <w:szCs w:val="24"/>
        </w:rPr>
        <w:t>P</w:t>
      </w:r>
      <w:r w:rsidRPr="00F80939">
        <w:rPr>
          <w:rFonts w:ascii="Times New Roman" w:hAnsi="Times New Roman" w:cs="Times New Roman"/>
          <w:sz w:val="24"/>
          <w:szCs w:val="24"/>
        </w:rPr>
        <w:t xml:space="preserve">ostuluje </w:t>
      </w:r>
      <w:r>
        <w:rPr>
          <w:rFonts w:ascii="Times New Roman" w:hAnsi="Times New Roman" w:cs="Times New Roman"/>
          <w:sz w:val="24"/>
          <w:szCs w:val="24"/>
        </w:rPr>
        <w:t xml:space="preserve">się również rezygnację z </w:t>
      </w:r>
      <w:r w:rsidRPr="00F80939">
        <w:rPr>
          <w:rFonts w:ascii="Times New Roman" w:hAnsi="Times New Roman" w:cs="Times New Roman"/>
          <w:sz w:val="24"/>
          <w:szCs w:val="24"/>
        </w:rPr>
        <w:t xml:space="preserve">możliwości stosowania kar pieniężnych wobec prokurenta – sytuacja </w:t>
      </w:r>
      <w:r>
        <w:rPr>
          <w:rFonts w:ascii="Times New Roman" w:hAnsi="Times New Roman" w:cs="Times New Roman"/>
          <w:sz w:val="24"/>
          <w:szCs w:val="24"/>
        </w:rPr>
        <w:t xml:space="preserve">ta </w:t>
      </w:r>
      <w:r w:rsidRPr="00F80939">
        <w:rPr>
          <w:rFonts w:ascii="Times New Roman" w:hAnsi="Times New Roman" w:cs="Times New Roman"/>
          <w:sz w:val="24"/>
          <w:szCs w:val="24"/>
        </w:rPr>
        <w:t>nie ma odpowiednika w przepisach sankcyjnych pozostałych sektorów rynku finansowego</w:t>
      </w:r>
      <w:r>
        <w:rPr>
          <w:rFonts w:ascii="Times New Roman" w:hAnsi="Times New Roman" w:cs="Times New Roman"/>
          <w:sz w:val="24"/>
          <w:szCs w:val="24"/>
        </w:rPr>
        <w:t>.</w:t>
      </w:r>
    </w:p>
    <w:p w14:paraId="37D30FBC" w14:textId="77777777" w:rsidR="007D088A" w:rsidRPr="006B2CD4" w:rsidRDefault="007D088A" w:rsidP="007D088A">
      <w:pPr>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W art. 366 ustawy o działalności ubezpieczeniowej i reasekuracyjnej proponuje się wprowadzenie przepisów, które wyposażą KNF w środki nadzoru następczego umożliwiające nakładanie administracyjnych kar pieniężnych na podmioty naruszające zakazy lub ograniczenia określone w decyzjach interwencyjnych wydanych na podstawie art. 16 lub art. 17 rozporządzenia Parlamentu Europejskiego i Rady (UE) Nr 1286/2014 z dnia 26 listopada 2014 r. w sprawie dokumentów zawierających kluczowe informacje, dotyczących detalicznych produktów zbiorowego inwestowania i ubezpieczeniowych produktów inwestycyjnych (dalej „rozporządzanie PRIIP”). Proponuje się analogiczne rozwiązania jak w przypadku art. 3c ustawy o nadzorze nad rynkiem</w:t>
      </w:r>
      <w:r>
        <w:rPr>
          <w:rFonts w:ascii="Times New Roman" w:hAnsi="Times New Roman" w:cs="Times New Roman"/>
          <w:sz w:val="24"/>
          <w:szCs w:val="24"/>
        </w:rPr>
        <w:t xml:space="preserve"> finansowym</w:t>
      </w:r>
      <w:r w:rsidRPr="006B2CD4">
        <w:rPr>
          <w:rFonts w:ascii="Times New Roman" w:hAnsi="Times New Roman" w:cs="Times New Roman"/>
          <w:sz w:val="24"/>
          <w:szCs w:val="24"/>
        </w:rPr>
        <w:t>, który określa sankcje administracyjne za naruszenia obowiązków określonych w innych przepisach rozporządzenia PRIIP.</w:t>
      </w:r>
    </w:p>
    <w:p w14:paraId="370F75D7" w14:textId="3808CBB2" w:rsidR="007D088A" w:rsidRPr="006B2CD4" w:rsidRDefault="007D088A" w:rsidP="007D088A">
      <w:pPr>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Przepisy rozporządzenia PRIIP wyposażyły EIOPA, jak również krajowe organy nadzoru, w uprawnienia polegające na możliwości wprowadzenia: </w:t>
      </w:r>
    </w:p>
    <w:p w14:paraId="67288B13" w14:textId="77777777" w:rsidR="007D088A" w:rsidRPr="006B2CD4" w:rsidRDefault="007D088A" w:rsidP="00DB03EC">
      <w:pPr>
        <w:pStyle w:val="Akapitzlist"/>
        <w:numPr>
          <w:ilvl w:val="0"/>
          <w:numId w:val="10"/>
        </w:numPr>
        <w:spacing w:after="0" w:line="360" w:lineRule="auto"/>
        <w:contextualSpacing w:val="0"/>
        <w:jc w:val="both"/>
        <w:rPr>
          <w:rFonts w:ascii="Times New Roman" w:hAnsi="Times New Roman" w:cs="Times New Roman"/>
          <w:sz w:val="24"/>
          <w:szCs w:val="24"/>
        </w:rPr>
      </w:pPr>
      <w:r w:rsidRPr="006B2CD4">
        <w:rPr>
          <w:rFonts w:ascii="Times New Roman" w:hAnsi="Times New Roman" w:cs="Times New Roman"/>
          <w:sz w:val="24"/>
          <w:szCs w:val="24"/>
        </w:rPr>
        <w:t>zakazu lub ograniczenia wprowadzania do obrotu, dystrybucji lub sprzedaży niektórych ubezpieczeniowych produktów inwestycyjnych lub ubezpieczeniowych produktów inwestycyjnych o pewnych określonych cechach, lub</w:t>
      </w:r>
    </w:p>
    <w:p w14:paraId="196C4D2B" w14:textId="77777777" w:rsidR="007D088A" w:rsidRPr="006B2CD4" w:rsidRDefault="007D088A" w:rsidP="00DB03EC">
      <w:pPr>
        <w:pStyle w:val="Akapitzlist"/>
        <w:numPr>
          <w:ilvl w:val="0"/>
          <w:numId w:val="10"/>
        </w:numPr>
        <w:spacing w:after="120" w:line="360" w:lineRule="auto"/>
        <w:ind w:left="714" w:hanging="357"/>
        <w:contextualSpacing w:val="0"/>
        <w:jc w:val="both"/>
        <w:rPr>
          <w:rFonts w:ascii="Times New Roman" w:hAnsi="Times New Roman" w:cs="Times New Roman"/>
          <w:sz w:val="24"/>
          <w:szCs w:val="24"/>
        </w:rPr>
      </w:pPr>
      <w:r w:rsidRPr="006B2CD4">
        <w:rPr>
          <w:rFonts w:ascii="Times New Roman" w:hAnsi="Times New Roman" w:cs="Times New Roman"/>
          <w:sz w:val="24"/>
          <w:szCs w:val="24"/>
        </w:rPr>
        <w:t>zakazu lub ograniczenia w zakresie rodzaju działalności finansowej lub praktyki zakładu ubezpieczeń lub zakładu reasekuracji.</w:t>
      </w:r>
    </w:p>
    <w:p w14:paraId="6AD9285C" w14:textId="3DB20E50" w:rsidR="007D088A" w:rsidRPr="006B2CD4" w:rsidRDefault="007D088A" w:rsidP="007D088A">
      <w:pPr>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Przepisy dotyczące nadzoru ubezpieczeniowego nie przewidują jednak regulacji mających na celu umożliwienie egzekwowania przez organ nadzoru decyzji interwencyjnych. Jakkolwiek taką możliwość stwarza art. 22 ust. 1 rozporządzenia PRIIP, zgodnie z którym bez uszczerbku dla uprawnień nadzorczych właściwych organów oraz prawa państw członkowskich do przewidywania i nakładania sankcji karnych państwa członkowskie ustanawiają przepisy określające odpowiednie sankcje i środki administracyjne mające zastosowanie w przypadkach naruszeń niniejszego rozporządzenia oraz podejmują wszelkie niezbędne środki w celu zapewnienia ich stosowania. Te sankcje i środki muszą być skuteczne, proporcjonalne i</w:t>
      </w:r>
      <w:r>
        <w:rPr>
          <w:rFonts w:ascii="Times New Roman" w:hAnsi="Times New Roman" w:cs="Times New Roman"/>
          <w:sz w:val="24"/>
          <w:szCs w:val="24"/>
        </w:rPr>
        <w:t> </w:t>
      </w:r>
      <w:r w:rsidRPr="006B2CD4">
        <w:rPr>
          <w:rFonts w:ascii="Times New Roman" w:hAnsi="Times New Roman" w:cs="Times New Roman"/>
          <w:sz w:val="24"/>
          <w:szCs w:val="24"/>
        </w:rPr>
        <w:t xml:space="preserve">odstraszające. Proponuje się więc – na wzór art. 3c o nadzorze nad rynkiem finansowym </w:t>
      </w:r>
      <w:r w:rsidR="00457862">
        <w:rPr>
          <w:rFonts w:ascii="Times New Roman" w:hAnsi="Times New Roman" w:cs="Times New Roman"/>
          <w:sz w:val="24"/>
          <w:szCs w:val="24"/>
        </w:rPr>
        <w:t>–</w:t>
      </w:r>
      <w:r w:rsidRPr="006B2CD4">
        <w:rPr>
          <w:rFonts w:ascii="Times New Roman" w:hAnsi="Times New Roman" w:cs="Times New Roman"/>
          <w:sz w:val="24"/>
          <w:szCs w:val="24"/>
        </w:rPr>
        <w:t xml:space="preserve"> przyjęcie przepisów, które wyposażą KNF w środki nadzoru następczego, umożliwiające nakładanie administracyjnych kar pieniężnych na podmioty naruszające zakazy lub ograniczenia wprowadzone decyzją interwencyjną na podstawie art. 16 lub art. 17 rozporządzenia PRIIP. Wysokość kar została określona w oparciu o art. 24 ust. 2 lit. e rozporządzenia PRIIP. </w:t>
      </w:r>
    </w:p>
    <w:p w14:paraId="36164197" w14:textId="0E1B660B" w:rsidR="007D088A" w:rsidRPr="007D088A" w:rsidRDefault="007D088A" w:rsidP="007D088A">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Analogiczne regulacje zostały również wprowadzone w art. 171f ustawy o obrocie instrumentami finansowymi w odniesieniu do interwencji produktowej wydawanej na podstawie art. 40, art. 41 (decyzja interwencyjna wydawana przez Europejski Urząd Nadzoru Giełd i Papierów Wartościowych lub Europejski Urząd Nadzoru Bankowego) lub art. 43 (decyzja właściwego organu krajowego) rozporządzenia </w:t>
      </w:r>
      <w:r w:rsidRPr="006B2CD4">
        <w:rPr>
          <w:rFonts w:ascii="Times New Roman" w:hAnsi="Times New Roman" w:cs="Times New Roman"/>
          <w:color w:val="000000"/>
          <w:sz w:val="24"/>
          <w:szCs w:val="24"/>
        </w:rPr>
        <w:t>Parlamentu Europejskiego i Rady (UE) nr 600/2014 z dnia 15 maja 2014 r. w sprawie rynków instrumentów finansowych oraz zmieniającego rozporządzenie (UE) nr 648/2012.</w:t>
      </w:r>
    </w:p>
    <w:p w14:paraId="5110AE15" w14:textId="037EDE73" w:rsidR="005A1890" w:rsidRDefault="00060541" w:rsidP="00752774">
      <w:pPr>
        <w:tabs>
          <w:tab w:val="left" w:pos="142"/>
          <w:tab w:val="left" w:pos="426"/>
        </w:tabs>
        <w:spacing w:before="120" w:after="120" w:line="360" w:lineRule="auto"/>
        <w:jc w:val="both"/>
        <w:rPr>
          <w:rFonts w:ascii="Times New Roman" w:hAnsi="Times New Roman" w:cs="Times New Roman"/>
          <w:b/>
          <w:sz w:val="24"/>
          <w:szCs w:val="24"/>
        </w:rPr>
      </w:pPr>
      <w:r w:rsidRPr="006B2CD4">
        <w:rPr>
          <w:rFonts w:ascii="Times New Roman" w:hAnsi="Times New Roman" w:cs="Times New Roman"/>
          <w:b/>
          <w:sz w:val="24"/>
          <w:szCs w:val="24"/>
        </w:rPr>
        <w:t xml:space="preserve">Art. </w:t>
      </w:r>
      <w:r w:rsidR="005D300A" w:rsidRPr="006B2CD4">
        <w:rPr>
          <w:rFonts w:ascii="Times New Roman" w:hAnsi="Times New Roman" w:cs="Times New Roman"/>
          <w:b/>
          <w:sz w:val="24"/>
          <w:szCs w:val="24"/>
        </w:rPr>
        <w:t>2</w:t>
      </w:r>
      <w:r w:rsidR="000442E9">
        <w:rPr>
          <w:rFonts w:ascii="Times New Roman" w:hAnsi="Times New Roman" w:cs="Times New Roman"/>
          <w:b/>
          <w:sz w:val="24"/>
          <w:szCs w:val="24"/>
        </w:rPr>
        <w:t>7</w:t>
      </w:r>
      <w:r w:rsidRPr="006B2CD4">
        <w:rPr>
          <w:rFonts w:ascii="Times New Roman" w:hAnsi="Times New Roman" w:cs="Times New Roman"/>
          <w:b/>
          <w:sz w:val="24"/>
          <w:szCs w:val="24"/>
        </w:rPr>
        <w:t xml:space="preserve">. </w:t>
      </w:r>
      <w:r w:rsidR="00B34080" w:rsidRPr="006B2CD4">
        <w:rPr>
          <w:rFonts w:ascii="Times New Roman" w:hAnsi="Times New Roman" w:cs="Times New Roman"/>
          <w:b/>
          <w:sz w:val="24"/>
          <w:szCs w:val="24"/>
        </w:rPr>
        <w:t>Zmiany w ustawie o biegłych rewidentach</w:t>
      </w:r>
    </w:p>
    <w:p w14:paraId="3B64A481" w14:textId="669593CD" w:rsidR="00861CE0" w:rsidRDefault="00861CE0" w:rsidP="00861CE0">
      <w:pPr>
        <w:pStyle w:val="ARTartustawynprozporzdzenia"/>
        <w:spacing w:before="0" w:after="120"/>
        <w:ind w:firstLine="0"/>
      </w:pPr>
      <w:r w:rsidRPr="006B2CD4">
        <w:rPr>
          <w:rFonts w:ascii="Times New Roman" w:hAnsi="Times New Roman" w:cs="Times New Roman"/>
          <w:szCs w:val="24"/>
        </w:rPr>
        <w:t>W art. 13 po ust. 2 ustawy o biegłych rewidentach przewiduje się dodanie ust. 2a</w:t>
      </w:r>
      <w:r w:rsidR="00457862">
        <w:rPr>
          <w:rFonts w:ascii="Times New Roman" w:hAnsi="Times New Roman" w:cs="Times New Roman"/>
          <w:szCs w:val="24"/>
        </w:rPr>
        <w:t>–</w:t>
      </w:r>
      <w:r w:rsidRPr="006B2CD4">
        <w:rPr>
          <w:rFonts w:ascii="Times New Roman" w:hAnsi="Times New Roman" w:cs="Times New Roman"/>
          <w:szCs w:val="24"/>
        </w:rPr>
        <w:t>2</w:t>
      </w:r>
      <w:r>
        <w:rPr>
          <w:rFonts w:ascii="Times New Roman" w:hAnsi="Times New Roman" w:cs="Times New Roman"/>
          <w:szCs w:val="24"/>
        </w:rPr>
        <w:t>c</w:t>
      </w:r>
      <w:r w:rsidRPr="006B2CD4">
        <w:rPr>
          <w:rFonts w:ascii="Times New Roman" w:hAnsi="Times New Roman" w:cs="Times New Roman"/>
          <w:szCs w:val="24"/>
        </w:rPr>
        <w:t>, zgodnie z którymi posiedzenia Komisji Egzaminacyjnej będą mogły się odbywać zdalnie, a także uchwały Komisji Egzaminacyjnej będą mogły być podejmowane w sposób</w:t>
      </w:r>
      <w:r w:rsidR="007C389F">
        <w:rPr>
          <w:rFonts w:ascii="Times New Roman" w:hAnsi="Times New Roman" w:cs="Times New Roman"/>
          <w:szCs w:val="24"/>
        </w:rPr>
        <w:t xml:space="preserve"> </w:t>
      </w:r>
      <w:r>
        <w:rPr>
          <w:rFonts w:ascii="Times New Roman" w:hAnsi="Times New Roman" w:cs="Times New Roman"/>
          <w:szCs w:val="24"/>
        </w:rPr>
        <w:t>obiegowy</w:t>
      </w:r>
      <w:r w:rsidRPr="00B76D38">
        <w:t xml:space="preserve"> </w:t>
      </w:r>
      <w:r>
        <w:rPr>
          <w:rFonts w:ascii="Times New Roman" w:hAnsi="Times New Roman" w:cs="Times New Roman"/>
          <w:szCs w:val="24"/>
        </w:rPr>
        <w:t xml:space="preserve">(np. za pomocą środków komunikacji elektronicznej, czy też „tradycyjnej” poczty) </w:t>
      </w:r>
      <w:r>
        <w:t>po powiadomieniu członków Komisji o treści projektu uchwały i o terminie oddania głosu wyznaczonym przez przewodniczącego Komisji</w:t>
      </w:r>
      <w:r w:rsidRPr="006B2CD4">
        <w:rPr>
          <w:rFonts w:ascii="Times New Roman" w:hAnsi="Times New Roman" w:cs="Times New Roman"/>
          <w:szCs w:val="24"/>
        </w:rPr>
        <w:t>. Projektowany przepis ma na celu usprawnienie dział</w:t>
      </w:r>
      <w:r>
        <w:rPr>
          <w:rFonts w:ascii="Times New Roman" w:hAnsi="Times New Roman" w:cs="Times New Roman"/>
          <w:szCs w:val="24"/>
        </w:rPr>
        <w:t xml:space="preserve">alności Komisji Egzaminacyjnej </w:t>
      </w:r>
      <w:r w:rsidRPr="006B2CD4">
        <w:rPr>
          <w:rFonts w:ascii="Times New Roman" w:hAnsi="Times New Roman" w:cs="Times New Roman"/>
          <w:szCs w:val="24"/>
        </w:rPr>
        <w:t xml:space="preserve">w stosunku do posiedzeń w sposób tradycyjny, a także obniżenie kosztów jej funkcjonowania poprzez brak konieczności zwoływania posiedzenia w przypadku, gdy zaistnieje konieczność podjęcia uchwały. Przedstawione rozwiązanie umożliwi w sposób optymalny organizację posiedzeń Komisji Egzaminacyjnej w szczególności w sprawach wymagających niezwłocznego rozpatrzenia. </w:t>
      </w:r>
      <w:r>
        <w:t>Uchwały Komisji podjęte w trybie obiegowym będą ważne, jeżeli w wyznaczonym terminie głosy odda co najmniej połowa członków Komisji.</w:t>
      </w:r>
    </w:p>
    <w:p w14:paraId="0438EDEF" w14:textId="60B0665B" w:rsidR="00861CE0" w:rsidRPr="006B2CD4" w:rsidRDefault="00861CE0" w:rsidP="00861CE0">
      <w:pPr>
        <w:pStyle w:val="ARTartustawynprozporzdzenia"/>
        <w:spacing w:before="0"/>
        <w:ind w:firstLine="0"/>
        <w:rPr>
          <w:rFonts w:ascii="Times New Roman" w:eastAsia="Times New Roman" w:hAnsi="Times New Roman" w:cs="Times New Roman"/>
          <w:szCs w:val="24"/>
        </w:rPr>
      </w:pPr>
      <w:r w:rsidRPr="006B2CD4">
        <w:rPr>
          <w:rFonts w:ascii="Times New Roman" w:hAnsi="Times New Roman" w:cs="Times New Roman"/>
          <w:szCs w:val="24"/>
        </w:rPr>
        <w:t>W art. 2</w:t>
      </w:r>
      <w:r w:rsidR="00D93783">
        <w:rPr>
          <w:rFonts w:ascii="Times New Roman" w:hAnsi="Times New Roman" w:cs="Times New Roman"/>
          <w:szCs w:val="24"/>
        </w:rPr>
        <w:t>7</w:t>
      </w:r>
      <w:r w:rsidRPr="006B2CD4">
        <w:rPr>
          <w:rFonts w:ascii="Times New Roman" w:hAnsi="Times New Roman" w:cs="Times New Roman"/>
          <w:szCs w:val="24"/>
        </w:rPr>
        <w:t xml:space="preserve">a ustawy o biegłych rewidentach przewiduje się dodanie rozwiązań umożliwiających również zdalne uczestnictwo w posiedzeniach Krajowego Zjazdu Biegłych Rewidentów (dalej „KZBR”) Polskiej Izby Biegłych Rewidentów (dalej „PIBR”). W związku z tym będzie można </w:t>
      </w:r>
      <w:r w:rsidRPr="006B2CD4">
        <w:rPr>
          <w:rFonts w:ascii="Times New Roman" w:eastAsia="Times New Roman" w:hAnsi="Times New Roman" w:cs="Times New Roman"/>
          <w:szCs w:val="24"/>
        </w:rPr>
        <w:t>wziąć udział w KZBR przy wykorzystaniu środków komunikacji elektronicznej. O udziale w KZBR w sposób zdalny będzie postanawiała Krajowa Rada Biegłych Rewidentów (dalej „KRBR”)</w:t>
      </w:r>
      <w:r>
        <w:rPr>
          <w:rFonts w:ascii="Times New Roman" w:eastAsia="Times New Roman" w:hAnsi="Times New Roman" w:cs="Times New Roman"/>
          <w:szCs w:val="24"/>
        </w:rPr>
        <w:t>,</w:t>
      </w:r>
      <w:r w:rsidRPr="006B2CD4">
        <w:rPr>
          <w:rFonts w:ascii="Times New Roman" w:eastAsia="Times New Roman" w:hAnsi="Times New Roman" w:cs="Times New Roman"/>
          <w:szCs w:val="24"/>
        </w:rPr>
        <w:t xml:space="preserve"> zwołując ten zjazd. Jak z powyższego wynika przepis umożliwi zwołanie zjazdu z możliwością tradycyjnego odbywania zjazdu</w:t>
      </w:r>
      <w:r>
        <w:rPr>
          <w:rFonts w:ascii="Times New Roman" w:eastAsia="Times New Roman" w:hAnsi="Times New Roman" w:cs="Times New Roman"/>
          <w:szCs w:val="24"/>
        </w:rPr>
        <w:t>,</w:t>
      </w:r>
      <w:r w:rsidRPr="006B2CD4">
        <w:rPr>
          <w:rFonts w:ascii="Times New Roman" w:eastAsia="Times New Roman" w:hAnsi="Times New Roman" w:cs="Times New Roman"/>
          <w:szCs w:val="24"/>
        </w:rPr>
        <w:t xml:space="preserve"> jak również zdalnego, w tym mającego charakter mieszany. Rozwiązanie to umożliwi optymalizację </w:t>
      </w:r>
      <w:r w:rsidRPr="00596075">
        <w:rPr>
          <w:rFonts w:ascii="Times New Roman" w:eastAsia="Times New Roman" w:hAnsi="Times New Roman" w:cs="Times New Roman"/>
          <w:szCs w:val="24"/>
        </w:rPr>
        <w:t xml:space="preserve">kosztów związanych z KZBR. Przepisy zostały sformułowane w oparciu o analogiczne rozwiązania </w:t>
      </w:r>
      <w:r w:rsidRPr="00596075">
        <w:rPr>
          <w:rFonts w:ascii="Times New Roman" w:hAnsi="Times New Roman"/>
          <w:szCs w:val="24"/>
        </w:rPr>
        <w:t xml:space="preserve">jak wprowadzone zostały w ustawie o rzecznikach patentowych </w:t>
      </w:r>
      <w:r w:rsidRPr="00596075">
        <w:rPr>
          <w:rFonts w:ascii="Times New Roman" w:hAnsi="Times New Roman"/>
          <w:color w:val="000000" w:themeColor="text1"/>
          <w:szCs w:val="24"/>
        </w:rPr>
        <w:t>ustawą z dnia 7 października 2022 r. o zmianie niektórych ustaw w celu uproszczenia procedur administracyjnych dla obywateli i przedsiębiorców (Dz. U. poz. 2185).</w:t>
      </w:r>
      <w:r w:rsidR="007C389F">
        <w:rPr>
          <w:rFonts w:ascii="Times New Roman" w:hAnsi="Times New Roman"/>
          <w:color w:val="000000" w:themeColor="text1"/>
          <w:sz w:val="20"/>
        </w:rPr>
        <w:t xml:space="preserve"> </w:t>
      </w:r>
    </w:p>
    <w:p w14:paraId="170C9AC1" w14:textId="77777777" w:rsidR="00861CE0" w:rsidRPr="006B2CD4" w:rsidRDefault="00861CE0" w:rsidP="00861CE0">
      <w:pPr>
        <w:pStyle w:val="ARTartustawynprozporzdzenia"/>
        <w:spacing w:before="0"/>
        <w:ind w:firstLine="0"/>
        <w:rPr>
          <w:rFonts w:ascii="Times New Roman" w:eastAsia="Times New Roman" w:hAnsi="Times New Roman" w:cs="Times New Roman"/>
          <w:szCs w:val="24"/>
        </w:rPr>
      </w:pPr>
      <w:r w:rsidRPr="006B2CD4">
        <w:rPr>
          <w:rFonts w:ascii="Times New Roman" w:eastAsia="Times New Roman" w:hAnsi="Times New Roman" w:cs="Times New Roman"/>
          <w:szCs w:val="24"/>
        </w:rPr>
        <w:t>Zakłada się, że KZBR w sposób zdalny będzie obejmował w szczególności:</w:t>
      </w:r>
    </w:p>
    <w:p w14:paraId="5999A90A" w14:textId="2F6F9CE1" w:rsidR="00861CE0" w:rsidRDefault="00861CE0" w:rsidP="00861CE0">
      <w:pPr>
        <w:pStyle w:val="ZUSTzmustartykuempunktem"/>
        <w:ind w:left="0" w:firstLine="0"/>
        <w:rPr>
          <w:rFonts w:ascii="Times New Roman" w:hAnsi="Times New Roman" w:cs="Times New Roman"/>
          <w:szCs w:val="24"/>
        </w:rPr>
      </w:pPr>
      <w:r w:rsidRPr="006B2CD4">
        <w:rPr>
          <w:rFonts w:ascii="Times New Roman" w:hAnsi="Times New Roman" w:cs="Times New Roman"/>
          <w:szCs w:val="24"/>
        </w:rPr>
        <w:t>1)</w:t>
      </w:r>
      <w:r w:rsidRPr="006B2CD4">
        <w:rPr>
          <w:rFonts w:ascii="Times New Roman" w:hAnsi="Times New Roman" w:cs="Times New Roman"/>
          <w:szCs w:val="24"/>
        </w:rPr>
        <w:tab/>
      </w:r>
      <w:r>
        <w:rPr>
          <w:rFonts w:ascii="Times New Roman" w:hAnsi="Times New Roman" w:cs="Times New Roman"/>
          <w:szCs w:val="24"/>
        </w:rPr>
        <w:t>transmisję posiedzenia umożliwiającą transmisję obrazu i dźwięku w czasie rzeczywistym między uczestnikami posiedzenia,</w:t>
      </w:r>
    </w:p>
    <w:p w14:paraId="76F6D70C" w14:textId="77777777" w:rsidR="00861CE0" w:rsidRPr="006B2CD4" w:rsidRDefault="00861CE0" w:rsidP="00861CE0">
      <w:pPr>
        <w:pStyle w:val="ZUSTzmustartykuempunktem"/>
        <w:ind w:left="0" w:firstLine="0"/>
        <w:rPr>
          <w:rFonts w:ascii="Times New Roman" w:hAnsi="Times New Roman" w:cs="Times New Roman"/>
          <w:szCs w:val="24"/>
        </w:rPr>
      </w:pPr>
      <w:r>
        <w:rPr>
          <w:rFonts w:ascii="Times New Roman" w:hAnsi="Times New Roman" w:cs="Times New Roman"/>
          <w:szCs w:val="24"/>
        </w:rPr>
        <w:t>2)</w:t>
      </w:r>
      <w:r>
        <w:rPr>
          <w:rFonts w:ascii="Times New Roman" w:hAnsi="Times New Roman" w:cs="Times New Roman"/>
          <w:szCs w:val="24"/>
        </w:rPr>
        <w:tab/>
        <w:t>wielostronną</w:t>
      </w:r>
      <w:r w:rsidRPr="006B2CD4">
        <w:rPr>
          <w:rFonts w:ascii="Times New Roman" w:hAnsi="Times New Roman" w:cs="Times New Roman"/>
          <w:szCs w:val="24"/>
        </w:rPr>
        <w:t xml:space="preserve"> komunikację </w:t>
      </w:r>
      <w:r>
        <w:rPr>
          <w:rFonts w:ascii="Times New Roman" w:hAnsi="Times New Roman" w:cs="Times New Roman"/>
          <w:szCs w:val="24"/>
        </w:rPr>
        <w:t xml:space="preserve">umożliwiającą transmisję obrazu i dźwięku </w:t>
      </w:r>
      <w:r w:rsidRPr="006B2CD4">
        <w:rPr>
          <w:rFonts w:ascii="Times New Roman" w:hAnsi="Times New Roman" w:cs="Times New Roman"/>
          <w:szCs w:val="24"/>
        </w:rPr>
        <w:t xml:space="preserve">w czasie rzeczywistym wszystkich osób uczestniczących w KZBR, w ramach której będą mogły one wypowiadać się w toku obrad KZBR, przebywając w innym miejscu niż miejsce obrad KZBR; </w:t>
      </w:r>
    </w:p>
    <w:p w14:paraId="76A4CF35" w14:textId="77777777" w:rsidR="00861CE0" w:rsidRDefault="00861CE0" w:rsidP="00861CE0">
      <w:pPr>
        <w:pStyle w:val="ZUSTzmustartykuempunktem"/>
        <w:ind w:left="0" w:firstLine="0"/>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rPr>
        <w:tab/>
      </w:r>
      <w:r w:rsidRPr="006B2CD4">
        <w:rPr>
          <w:rFonts w:ascii="Times New Roman" w:hAnsi="Times New Roman" w:cs="Times New Roman"/>
          <w:szCs w:val="24"/>
        </w:rPr>
        <w:t>wykonywanie osobiście prawa głosu</w:t>
      </w:r>
      <w:r w:rsidRPr="006B2CD4">
        <w:rPr>
          <w:rFonts w:ascii="Times New Roman" w:hAnsi="Times New Roman" w:cs="Times New Roman"/>
          <w:color w:val="333333"/>
          <w:szCs w:val="24"/>
        </w:rPr>
        <w:t xml:space="preserve"> </w:t>
      </w:r>
      <w:r w:rsidRPr="006B2CD4">
        <w:rPr>
          <w:rFonts w:ascii="Times New Roman" w:hAnsi="Times New Roman" w:cs="Times New Roman"/>
          <w:szCs w:val="24"/>
        </w:rPr>
        <w:t>w toku KZBR</w:t>
      </w:r>
    </w:p>
    <w:p w14:paraId="2BAE1B2B" w14:textId="2F228281" w:rsidR="00861CE0" w:rsidRPr="006B2CD4" w:rsidRDefault="00457862" w:rsidP="00861CE0">
      <w:pPr>
        <w:pStyle w:val="ZUSTzmustartykuempunktem"/>
        <w:spacing w:after="120"/>
        <w:ind w:left="0" w:firstLine="0"/>
        <w:rPr>
          <w:rFonts w:ascii="Times New Roman" w:hAnsi="Times New Roman" w:cs="Times New Roman"/>
          <w:szCs w:val="24"/>
        </w:rPr>
      </w:pPr>
      <w:r>
        <w:t>–</w:t>
      </w:r>
      <w:r w:rsidR="00861CE0" w:rsidRPr="00852498">
        <w:t xml:space="preserve"> </w:t>
      </w:r>
      <w:r w:rsidR="00861CE0">
        <w:t>z zachowaniem niezbędnych zasad bezpieczeństwa.</w:t>
      </w:r>
    </w:p>
    <w:p w14:paraId="5154FE49" w14:textId="7E33F6A1" w:rsidR="00861CE0" w:rsidRPr="007A5640" w:rsidRDefault="00861CE0" w:rsidP="00861CE0">
      <w:pPr>
        <w:pStyle w:val="ZUSTzmustartykuempunktem"/>
        <w:spacing w:after="120"/>
        <w:ind w:left="0" w:firstLine="0"/>
        <w:rPr>
          <w:rFonts w:ascii="Times New Roman" w:hAnsi="Times New Roman" w:cs="Times New Roman"/>
          <w:color w:val="FF0000"/>
          <w:szCs w:val="24"/>
        </w:rPr>
      </w:pPr>
      <w:r w:rsidRPr="006B2CD4">
        <w:rPr>
          <w:rFonts w:ascii="Times New Roman" w:hAnsi="Times New Roman" w:cs="Times New Roman"/>
          <w:szCs w:val="24"/>
        </w:rPr>
        <w:t>W przepisie art. 2</w:t>
      </w:r>
      <w:r w:rsidR="00D93783">
        <w:rPr>
          <w:rFonts w:ascii="Times New Roman" w:hAnsi="Times New Roman" w:cs="Times New Roman"/>
          <w:szCs w:val="24"/>
        </w:rPr>
        <w:t>7</w:t>
      </w:r>
      <w:r w:rsidRPr="006B2CD4">
        <w:rPr>
          <w:rFonts w:ascii="Times New Roman" w:hAnsi="Times New Roman" w:cs="Times New Roman"/>
          <w:szCs w:val="24"/>
        </w:rPr>
        <w:t xml:space="preserve">a ust. </w:t>
      </w:r>
      <w:r>
        <w:rPr>
          <w:rFonts w:ascii="Times New Roman" w:hAnsi="Times New Roman" w:cs="Times New Roman"/>
          <w:szCs w:val="24"/>
        </w:rPr>
        <w:t>3</w:t>
      </w:r>
      <w:r w:rsidRPr="006B2CD4">
        <w:rPr>
          <w:rFonts w:ascii="Times New Roman" w:hAnsi="Times New Roman" w:cs="Times New Roman"/>
          <w:szCs w:val="24"/>
        </w:rPr>
        <w:t xml:space="preserve"> projektu zostało wprowadzone rozwiązanie</w:t>
      </w:r>
      <w:r>
        <w:rPr>
          <w:rFonts w:ascii="Times New Roman" w:hAnsi="Times New Roman" w:cs="Times New Roman"/>
          <w:szCs w:val="24"/>
        </w:rPr>
        <w:t>,</w:t>
      </w:r>
      <w:r w:rsidRPr="006B2CD4">
        <w:rPr>
          <w:rFonts w:ascii="Times New Roman" w:hAnsi="Times New Roman" w:cs="Times New Roman"/>
          <w:szCs w:val="24"/>
        </w:rPr>
        <w:t xml:space="preserve"> zgodnie z którym w przypadku, gdy przepisy </w:t>
      </w:r>
      <w:r>
        <w:rPr>
          <w:rFonts w:ascii="Times New Roman" w:hAnsi="Times New Roman" w:cs="Times New Roman"/>
          <w:szCs w:val="24"/>
        </w:rPr>
        <w:t>ustawy</w:t>
      </w:r>
      <w:r w:rsidRPr="006B2CD4">
        <w:rPr>
          <w:rFonts w:ascii="Times New Roman" w:hAnsi="Times New Roman" w:cs="Times New Roman"/>
          <w:szCs w:val="24"/>
        </w:rPr>
        <w:t xml:space="preserve"> lub statut </w:t>
      </w:r>
      <w:r>
        <w:rPr>
          <w:rFonts w:ascii="Times New Roman" w:hAnsi="Times New Roman" w:cs="Times New Roman"/>
          <w:szCs w:val="24"/>
        </w:rPr>
        <w:t xml:space="preserve">Polskiej Izby Biegłych Rewidentów </w:t>
      </w:r>
      <w:r w:rsidRPr="006B2CD4">
        <w:rPr>
          <w:rFonts w:ascii="Times New Roman" w:hAnsi="Times New Roman" w:cs="Times New Roman"/>
          <w:szCs w:val="24"/>
        </w:rPr>
        <w:t xml:space="preserve">będą wymagały podjęcia uchwały przez KZBR lub przeprowadzenia wyborów w głosowaniu tajnym, podejmowanie uchwał lub przeprowadzenie wyborów będzie mogło odbywać się przy użyciu środków komunikacji elektronicznej w sposób </w:t>
      </w:r>
      <w:r w:rsidRPr="002D2EE0">
        <w:t>w sposób, o którym mowa w ust. 1</w:t>
      </w:r>
      <w:r>
        <w:t xml:space="preserve"> i 2 oraz art. 28 ust. 2 (</w:t>
      </w:r>
      <w:r>
        <w:rPr>
          <w:rFonts w:ascii="Times New Roman" w:hAnsi="Times New Roman" w:cs="Times New Roman"/>
          <w:szCs w:val="24"/>
        </w:rPr>
        <w:t xml:space="preserve">m.in. </w:t>
      </w:r>
      <w:r w:rsidRPr="006B2CD4">
        <w:rPr>
          <w:rFonts w:ascii="Times New Roman" w:hAnsi="Times New Roman" w:cs="Times New Roman"/>
          <w:szCs w:val="24"/>
        </w:rPr>
        <w:t>zapewniający tajność głosowania</w:t>
      </w:r>
      <w:r>
        <w:rPr>
          <w:rFonts w:ascii="Times New Roman" w:hAnsi="Times New Roman" w:cs="Times New Roman"/>
          <w:szCs w:val="24"/>
        </w:rPr>
        <w:t>)</w:t>
      </w:r>
      <w:r w:rsidRPr="006B2CD4">
        <w:rPr>
          <w:rFonts w:ascii="Times New Roman" w:hAnsi="Times New Roman" w:cs="Times New Roman"/>
          <w:szCs w:val="24"/>
        </w:rPr>
        <w:t xml:space="preserve">. </w:t>
      </w:r>
    </w:p>
    <w:p w14:paraId="44AC232A" w14:textId="0B80AECB" w:rsidR="00861CE0" w:rsidRPr="006B2CD4" w:rsidRDefault="00861CE0" w:rsidP="00861CE0">
      <w:pPr>
        <w:pStyle w:val="ZUSTzmustartykuempunktem"/>
        <w:ind w:left="0" w:firstLine="0"/>
        <w:rPr>
          <w:rFonts w:ascii="Times New Roman" w:hAnsi="Times New Roman" w:cs="Times New Roman"/>
          <w:szCs w:val="24"/>
        </w:rPr>
      </w:pPr>
      <w:r w:rsidRPr="006B2CD4">
        <w:rPr>
          <w:rFonts w:ascii="Times New Roman" w:hAnsi="Times New Roman" w:cs="Times New Roman"/>
          <w:szCs w:val="24"/>
        </w:rPr>
        <w:t xml:space="preserve">Przewiduje się, że KZBR będzie określał w formie regulaminu </w:t>
      </w:r>
      <w:r>
        <w:rPr>
          <w:rFonts w:ascii="Times New Roman" w:hAnsi="Times New Roman" w:cs="Times New Roman"/>
          <w:szCs w:val="24"/>
        </w:rPr>
        <w:t>warunki</w:t>
      </w:r>
      <w:r w:rsidRPr="006B2CD4">
        <w:rPr>
          <w:rFonts w:ascii="Times New Roman" w:hAnsi="Times New Roman" w:cs="Times New Roman"/>
          <w:color w:val="333333"/>
          <w:szCs w:val="24"/>
        </w:rPr>
        <w:t xml:space="preserve"> </w:t>
      </w:r>
      <w:r w:rsidRPr="006B2CD4">
        <w:rPr>
          <w:rFonts w:ascii="Times New Roman" w:hAnsi="Times New Roman" w:cs="Times New Roman"/>
          <w:szCs w:val="24"/>
        </w:rPr>
        <w:t xml:space="preserve">udziału w KZBR, </w:t>
      </w:r>
      <w:r>
        <w:rPr>
          <w:rFonts w:ascii="Times New Roman" w:hAnsi="Times New Roman" w:cs="Times New Roman"/>
          <w:szCs w:val="24"/>
        </w:rPr>
        <w:t xml:space="preserve">sposób </w:t>
      </w:r>
      <w:r w:rsidRPr="006B2CD4">
        <w:rPr>
          <w:rFonts w:ascii="Times New Roman" w:hAnsi="Times New Roman" w:cs="Times New Roman"/>
          <w:szCs w:val="24"/>
        </w:rPr>
        <w:t xml:space="preserve">podejmowania uchwał przez KZBR, </w:t>
      </w:r>
      <w:r>
        <w:rPr>
          <w:rFonts w:ascii="Times New Roman" w:hAnsi="Times New Roman" w:cs="Times New Roman"/>
          <w:szCs w:val="24"/>
        </w:rPr>
        <w:t xml:space="preserve">sposób </w:t>
      </w:r>
      <w:r w:rsidRPr="006B2CD4">
        <w:rPr>
          <w:rFonts w:ascii="Times New Roman" w:hAnsi="Times New Roman" w:cs="Times New Roman"/>
          <w:szCs w:val="24"/>
        </w:rPr>
        <w:t xml:space="preserve">przeprowadzenia wyborów do organów samorządu lub wyboru innych osób na podstawie przepisów ustawy lub statutu Polskiej Izby Biegłych Rewidentów oraz związanych z odwołaniem osób wybranych w trakcie wyborów </w:t>
      </w:r>
      <w:r w:rsidR="00457862">
        <w:rPr>
          <w:rFonts w:ascii="Times New Roman" w:hAnsi="Times New Roman" w:cs="Times New Roman"/>
          <w:szCs w:val="24"/>
        </w:rPr>
        <w:t>–</w:t>
      </w:r>
      <w:r w:rsidRPr="006B2CD4">
        <w:rPr>
          <w:rFonts w:ascii="Times New Roman" w:hAnsi="Times New Roman" w:cs="Times New Roman"/>
          <w:szCs w:val="24"/>
        </w:rPr>
        <w:t xml:space="preserve"> przy użyciu środków komunikacji elektronicznej, z uwzględnieniem wymogów, które będą niezbędne do identyfikacji osób uczestniczących w KZBR oraz zapewnienia bezpieczeństwa komunikacji elektronicznej</w:t>
      </w:r>
      <w:r w:rsidRPr="006B2CD4">
        <w:rPr>
          <w:rFonts w:ascii="Times New Roman" w:hAnsi="Times New Roman" w:cs="Times New Roman"/>
          <w:color w:val="333333"/>
          <w:szCs w:val="24"/>
        </w:rPr>
        <w:t xml:space="preserve">. </w:t>
      </w:r>
      <w:r w:rsidRPr="006B2CD4">
        <w:rPr>
          <w:rFonts w:ascii="Times New Roman" w:hAnsi="Times New Roman" w:cs="Times New Roman"/>
          <w:szCs w:val="24"/>
        </w:rPr>
        <w:t>Powyższe rozwiązanie ma na celu wprowadzenie jasnych zasad związanych z obradami KZBR jeżeli odbywają się one w sposób zdalny.</w:t>
      </w:r>
    </w:p>
    <w:p w14:paraId="1ACDEAA3" w14:textId="77777777" w:rsidR="00861CE0" w:rsidRPr="006B2CD4" w:rsidRDefault="00861CE0" w:rsidP="00861CE0">
      <w:pPr>
        <w:pStyle w:val="ZUSTzmustartykuempunktem"/>
        <w:spacing w:after="120"/>
        <w:ind w:left="0" w:firstLine="0"/>
        <w:rPr>
          <w:rFonts w:ascii="Times New Roman" w:hAnsi="Times New Roman" w:cs="Times New Roman"/>
          <w:szCs w:val="24"/>
        </w:rPr>
      </w:pPr>
      <w:r w:rsidRPr="006B2CD4">
        <w:rPr>
          <w:rFonts w:ascii="Times New Roman" w:hAnsi="Times New Roman" w:cs="Times New Roman"/>
          <w:szCs w:val="24"/>
        </w:rPr>
        <w:t>Przepisy będą miały zastosowanie również do Nadzwyczajnego Krajowego Zjazdu Biegłych Rewidentów i odpowiednie zastosowanie do walnych zgromadzeń w regionalnych oddziałach PIBR.</w:t>
      </w:r>
    </w:p>
    <w:p w14:paraId="68AF23AA" w14:textId="78131AF1" w:rsidR="00861CE0" w:rsidRPr="006B2CD4" w:rsidRDefault="00861CE0" w:rsidP="00861CE0">
      <w:pPr>
        <w:pStyle w:val="ZUSTzmustartykuempunktem"/>
        <w:ind w:left="0" w:firstLine="0"/>
        <w:rPr>
          <w:rFonts w:ascii="Times New Roman" w:hAnsi="Times New Roman" w:cs="Times New Roman"/>
          <w:szCs w:val="24"/>
        </w:rPr>
      </w:pPr>
      <w:r w:rsidRPr="006B2CD4">
        <w:rPr>
          <w:rFonts w:ascii="Times New Roman" w:hAnsi="Times New Roman" w:cs="Times New Roman"/>
          <w:szCs w:val="24"/>
        </w:rPr>
        <w:t>W projektowanym art. 2</w:t>
      </w:r>
      <w:r w:rsidR="00D93783">
        <w:rPr>
          <w:rFonts w:ascii="Times New Roman" w:hAnsi="Times New Roman" w:cs="Times New Roman"/>
          <w:szCs w:val="24"/>
        </w:rPr>
        <w:t>7</w:t>
      </w:r>
      <w:r w:rsidRPr="006B2CD4">
        <w:rPr>
          <w:rFonts w:ascii="Times New Roman" w:hAnsi="Times New Roman" w:cs="Times New Roman"/>
          <w:szCs w:val="24"/>
        </w:rPr>
        <w:t xml:space="preserve">b ustawy o biegłych rewidentach przewiduje się dodanie przepisów związanych podpisywaniem uchwał KZBR. </w:t>
      </w:r>
    </w:p>
    <w:p w14:paraId="21F8104B" w14:textId="77777777" w:rsidR="00861CE0" w:rsidRDefault="00861CE0" w:rsidP="00861CE0">
      <w:pPr>
        <w:pStyle w:val="ZUSTzmustartykuempunktem"/>
        <w:ind w:left="0" w:firstLine="0"/>
        <w:rPr>
          <w:rFonts w:ascii="Times New Roman" w:hAnsi="Times New Roman" w:cs="Times New Roman"/>
          <w:szCs w:val="24"/>
        </w:rPr>
      </w:pPr>
      <w:r w:rsidRPr="006B2CD4">
        <w:rPr>
          <w:rFonts w:ascii="Times New Roman" w:hAnsi="Times New Roman" w:cs="Times New Roman"/>
          <w:szCs w:val="24"/>
        </w:rPr>
        <w:t xml:space="preserve">W przypadku gdy uchwały KZBR będą podjęte przy użyciu środków komunikacji elektronicznej będą one wówczas opatrywane </w:t>
      </w:r>
      <w:r w:rsidRPr="006B2CD4">
        <w:rPr>
          <w:rFonts w:ascii="Times New Roman" w:hAnsi="Times New Roman" w:cs="Times New Roman"/>
          <w:szCs w:val="24"/>
          <w:shd w:val="clear" w:color="auto" w:fill="FFFFFF"/>
        </w:rPr>
        <w:t>kwalifikowanym podpisem elektronicznym, podpisem zaufanym albo podpisem osobistym.</w:t>
      </w:r>
      <w:r w:rsidRPr="006B2CD4">
        <w:rPr>
          <w:rFonts w:ascii="Times New Roman" w:hAnsi="Times New Roman" w:cs="Times New Roman"/>
          <w:szCs w:val="24"/>
        </w:rPr>
        <w:t xml:space="preserve"> </w:t>
      </w:r>
      <w:r>
        <w:rPr>
          <w:rFonts w:ascii="Times New Roman" w:hAnsi="Times New Roman" w:cs="Times New Roman"/>
          <w:szCs w:val="24"/>
        </w:rPr>
        <w:t>Przepisy będą miały zastosowanie również do Nadzwyczajnego Krajowego Zjazdu Biegłych Rewidentów i odpowiednie zastosowanie do walnych zgromadzeń w regionalnych oddziałach PIBR.</w:t>
      </w:r>
    </w:p>
    <w:p w14:paraId="4495D76D" w14:textId="77777777" w:rsidR="00861CE0" w:rsidRDefault="00861CE0" w:rsidP="00861CE0">
      <w:pPr>
        <w:pStyle w:val="ZUSTzmustartykuempunktem"/>
        <w:ind w:left="0" w:firstLine="0"/>
        <w:rPr>
          <w:rFonts w:ascii="Times New Roman" w:hAnsi="Times New Roman" w:cs="Times New Roman"/>
          <w:szCs w:val="24"/>
        </w:rPr>
      </w:pPr>
      <w:r w:rsidRPr="006B2CD4">
        <w:rPr>
          <w:rFonts w:ascii="Times New Roman" w:hAnsi="Times New Roman" w:cs="Times New Roman"/>
          <w:szCs w:val="24"/>
        </w:rPr>
        <w:t>Celem tych propozycji jest uwzględnienie postępu technicznego w komunikowaniu się na odległość i umożliwienie PIBR organizacji zjazdów KZBR oraz podejmowania uchwał i przeprowadzania wyborów do organów samorządu zawodowego w sposób zdalny, co przyczyni się do usprawnienia organizacji zjazdów KZBR oraz ograniczenia kosztów jakie są związane ze zwołaniem KZBR w sposób tradycyjny, przy pozostawieniu dotychczasowych możliwości odbywania KZBR.</w:t>
      </w:r>
    </w:p>
    <w:p w14:paraId="15943501" w14:textId="089ED5FA" w:rsidR="00D93783" w:rsidRPr="00D93783" w:rsidRDefault="00D93783" w:rsidP="00861CE0">
      <w:pPr>
        <w:pStyle w:val="ZUSTzmustartykuempunktem"/>
        <w:ind w:left="0" w:firstLine="0"/>
        <w:rPr>
          <w:rFonts w:ascii="Times New Roman" w:hAnsi="Times New Roman" w:cs="Times New Roman"/>
          <w:szCs w:val="24"/>
        </w:rPr>
      </w:pPr>
      <w:r w:rsidRPr="006B2CD4">
        <w:rPr>
          <w:rFonts w:ascii="Times New Roman" w:hAnsi="Times New Roman" w:cs="Times New Roman"/>
          <w:szCs w:val="24"/>
        </w:rPr>
        <w:t>W art. 29 ustawy o biegłych rewidentach przewiduje się dodanie przepisu z którego będzie wynikało, że KZBR uchwala regulamin obrad, o którym mowa w art. 2</w:t>
      </w:r>
      <w:r>
        <w:rPr>
          <w:rFonts w:ascii="Times New Roman" w:hAnsi="Times New Roman" w:cs="Times New Roman"/>
          <w:szCs w:val="24"/>
        </w:rPr>
        <w:t>7</w:t>
      </w:r>
      <w:r w:rsidRPr="006B2CD4">
        <w:rPr>
          <w:rFonts w:ascii="Times New Roman" w:hAnsi="Times New Roman" w:cs="Times New Roman"/>
          <w:szCs w:val="24"/>
        </w:rPr>
        <w:t xml:space="preserve">a ust. </w:t>
      </w:r>
      <w:r>
        <w:rPr>
          <w:rFonts w:ascii="Times New Roman" w:hAnsi="Times New Roman" w:cs="Times New Roman"/>
          <w:szCs w:val="24"/>
        </w:rPr>
        <w:t>5</w:t>
      </w:r>
      <w:r w:rsidRPr="006B2CD4">
        <w:rPr>
          <w:rFonts w:ascii="Times New Roman" w:hAnsi="Times New Roman" w:cs="Times New Roman"/>
          <w:szCs w:val="24"/>
        </w:rPr>
        <w:t xml:space="preserve"> ustawy </w:t>
      </w:r>
      <w:r>
        <w:rPr>
          <w:rFonts w:ascii="Times New Roman" w:hAnsi="Times New Roman" w:cs="Times New Roman"/>
          <w:szCs w:val="24"/>
        </w:rPr>
        <w:t xml:space="preserve">o biegłych rewidentach, </w:t>
      </w:r>
      <w:r w:rsidRPr="006B2CD4">
        <w:rPr>
          <w:rFonts w:ascii="Times New Roman" w:hAnsi="Times New Roman" w:cs="Times New Roman"/>
          <w:szCs w:val="24"/>
        </w:rPr>
        <w:t xml:space="preserve">w którym określi w szczególności szczegółowe zasady udziału w KZBR przy wykorzystaniu środków komunikacji elektronicznej, przeprowadzania wyborów do organów samorządu, odwoływania </w:t>
      </w:r>
      <w:r>
        <w:rPr>
          <w:rFonts w:ascii="Times New Roman" w:hAnsi="Times New Roman" w:cs="Times New Roman"/>
          <w:szCs w:val="24"/>
        </w:rPr>
        <w:t xml:space="preserve">niektórych </w:t>
      </w:r>
      <w:r w:rsidRPr="006B2CD4">
        <w:rPr>
          <w:rFonts w:ascii="Times New Roman" w:hAnsi="Times New Roman" w:cs="Times New Roman"/>
          <w:szCs w:val="24"/>
        </w:rPr>
        <w:t>osób</w:t>
      </w:r>
      <w:r>
        <w:rPr>
          <w:rFonts w:ascii="Times New Roman" w:hAnsi="Times New Roman" w:cs="Times New Roman"/>
          <w:szCs w:val="24"/>
        </w:rPr>
        <w:t xml:space="preserve"> </w:t>
      </w:r>
      <w:r w:rsidRPr="006B2CD4">
        <w:rPr>
          <w:rFonts w:ascii="Times New Roman" w:hAnsi="Times New Roman" w:cs="Times New Roman"/>
          <w:szCs w:val="24"/>
        </w:rPr>
        <w:t>i podejmowania uchwał przez KZBR</w:t>
      </w:r>
      <w:r>
        <w:rPr>
          <w:rFonts w:ascii="Times New Roman" w:hAnsi="Times New Roman" w:cs="Times New Roman"/>
          <w:szCs w:val="24"/>
        </w:rPr>
        <w:t>,</w:t>
      </w:r>
      <w:r w:rsidRPr="006B2CD4">
        <w:rPr>
          <w:rFonts w:ascii="Times New Roman" w:hAnsi="Times New Roman" w:cs="Times New Roman"/>
          <w:szCs w:val="24"/>
        </w:rPr>
        <w:t xml:space="preserve"> w tym przy użyciu środków komunikacji elektronicznej.</w:t>
      </w:r>
    </w:p>
    <w:p w14:paraId="437643B1" w14:textId="77777777" w:rsidR="00861CE0" w:rsidRPr="006B2CD4" w:rsidRDefault="00861CE0" w:rsidP="00861CE0">
      <w:pPr>
        <w:pStyle w:val="ZUSTzmustartykuempunktem"/>
        <w:spacing w:after="120"/>
        <w:ind w:left="0" w:firstLine="0"/>
        <w:rPr>
          <w:rFonts w:ascii="Times New Roman" w:hAnsi="Times New Roman" w:cs="Times New Roman"/>
          <w:szCs w:val="24"/>
        </w:rPr>
      </w:pPr>
      <w:r w:rsidRPr="006B2CD4">
        <w:rPr>
          <w:rFonts w:ascii="Times New Roman" w:hAnsi="Times New Roman" w:cs="Times New Roman"/>
          <w:szCs w:val="24"/>
        </w:rPr>
        <w:t xml:space="preserve">W art. 31 ustawy o biegłych rewidentach przewiduje się dodanie ust. 2a zgodnie z którym, wybór </w:t>
      </w:r>
      <w:r w:rsidRPr="006B2CD4">
        <w:rPr>
          <w:rFonts w:ascii="Times New Roman" w:hAnsi="Times New Roman" w:cs="Times New Roman"/>
          <w:szCs w:val="24"/>
          <w:shd w:val="clear" w:color="auto" w:fill="FFFFFF"/>
        </w:rPr>
        <w:t>dwóch zastępców prezesa KRBR, sekretarza i skarbnika</w:t>
      </w:r>
      <w:r w:rsidRPr="006B2CD4">
        <w:rPr>
          <w:rFonts w:ascii="Times New Roman" w:hAnsi="Times New Roman" w:cs="Times New Roman"/>
          <w:szCs w:val="24"/>
        </w:rPr>
        <w:t xml:space="preserve"> z grona KRBR</w:t>
      </w:r>
      <w:r w:rsidRPr="006B2CD4">
        <w:rPr>
          <w:rFonts w:ascii="Times New Roman" w:hAnsi="Times New Roman" w:cs="Times New Roman"/>
          <w:b/>
          <w:szCs w:val="24"/>
        </w:rPr>
        <w:t xml:space="preserve"> </w:t>
      </w:r>
      <w:r w:rsidRPr="006B2CD4">
        <w:rPr>
          <w:rFonts w:ascii="Times New Roman" w:hAnsi="Times New Roman" w:cs="Times New Roman"/>
          <w:szCs w:val="24"/>
        </w:rPr>
        <w:t xml:space="preserve">będzie mógł zostać przeprowadzony w sposób, który nie wymaga obecności w tym samym miejscu uprawnionych do udziału w głosowaniu, przy użyciu środków komunikacji elektronicznej umożliwiających przekazywanie obrazu i dźwięku w czasie rzeczywistym, w sposób zapewniający </w:t>
      </w:r>
      <w:r>
        <w:rPr>
          <w:rFonts w:ascii="Times New Roman" w:hAnsi="Times New Roman" w:cs="Times New Roman"/>
          <w:szCs w:val="24"/>
        </w:rPr>
        <w:t xml:space="preserve">m.in. </w:t>
      </w:r>
      <w:r w:rsidRPr="006B2CD4">
        <w:rPr>
          <w:rFonts w:ascii="Times New Roman" w:hAnsi="Times New Roman" w:cs="Times New Roman"/>
          <w:szCs w:val="24"/>
        </w:rPr>
        <w:t xml:space="preserve">tajność głosowania. Celem tego rozwiązania jest umożliwienie wyboru tych osób w sposób zdalny. Rozwiązanie to obniży koszty związane z potrzebą spotkania się członków KRBR w sposób tradycyjny, a także będzie spójne z rozwiązaniem jakie przewidziane zostało dla KZBR. </w:t>
      </w:r>
    </w:p>
    <w:p w14:paraId="2B0FC800" w14:textId="77777777" w:rsidR="00861CE0" w:rsidRDefault="00861CE0" w:rsidP="00861CE0">
      <w:pPr>
        <w:pStyle w:val="ARTartustawynprozporzdzenia"/>
        <w:spacing w:before="0" w:after="120"/>
        <w:ind w:firstLine="0"/>
        <w:rPr>
          <w:rFonts w:ascii="Times New Roman" w:hAnsi="Times New Roman" w:cs="Times New Roman"/>
          <w:szCs w:val="24"/>
        </w:rPr>
      </w:pPr>
      <w:r w:rsidRPr="006B2CD4">
        <w:rPr>
          <w:rFonts w:ascii="Times New Roman" w:hAnsi="Times New Roman" w:cs="Times New Roman"/>
          <w:szCs w:val="24"/>
        </w:rPr>
        <w:t>W ustawie o biegłych rewidentach proponuje się dodanie art. 57a</w:t>
      </w:r>
      <w:r>
        <w:rPr>
          <w:rFonts w:ascii="Times New Roman" w:hAnsi="Times New Roman" w:cs="Times New Roman"/>
          <w:szCs w:val="24"/>
        </w:rPr>
        <w:t>,</w:t>
      </w:r>
      <w:r w:rsidRPr="006B2CD4">
        <w:rPr>
          <w:rFonts w:ascii="Times New Roman" w:hAnsi="Times New Roman" w:cs="Times New Roman"/>
          <w:szCs w:val="24"/>
        </w:rPr>
        <w:t xml:space="preserve"> zgodnie z którym z chwilą wpisu na listę, firma audytorska będzie nabywać prawo do posługiwania się oznaczeniem „firma audytorska” i oznaczenie to będzie podlegało ochronie prawnej. Ochrona wynikająca z przepisów będzie miała zastosowanie również w przypadku firmy audytorskiej z państwa Unii Europejskiej</w:t>
      </w:r>
      <w:r>
        <w:rPr>
          <w:rFonts w:ascii="Times New Roman" w:hAnsi="Times New Roman" w:cs="Times New Roman"/>
          <w:szCs w:val="24"/>
        </w:rPr>
        <w:t xml:space="preserve"> w przypadku wpisania na listę</w:t>
      </w:r>
      <w:r w:rsidRPr="006B2CD4">
        <w:rPr>
          <w:rFonts w:ascii="Times New Roman" w:hAnsi="Times New Roman" w:cs="Times New Roman"/>
          <w:szCs w:val="24"/>
        </w:rPr>
        <w:t xml:space="preserve">. Przewiduje się, że oznaczeniem „firma audytorska” będzie mogła posługiwać się bez naruszenia tych przepisów </w:t>
      </w:r>
      <w:r>
        <w:rPr>
          <w:rFonts w:ascii="Times New Roman" w:hAnsi="Times New Roman" w:cs="Times New Roman"/>
          <w:szCs w:val="24"/>
        </w:rPr>
        <w:t xml:space="preserve">w pewnych sytuacjach (np. ubiegania się o wpis na listę) </w:t>
      </w:r>
      <w:r w:rsidRPr="006B2CD4">
        <w:rPr>
          <w:rFonts w:ascii="Times New Roman" w:hAnsi="Times New Roman" w:cs="Times New Roman"/>
          <w:szCs w:val="24"/>
        </w:rPr>
        <w:t xml:space="preserve">firma audytorska zatwierdzona w innym niż Rzeczypospolita Polska państwie Unii Europejskiej lub z państwa trzeciego. </w:t>
      </w:r>
      <w:r>
        <w:rPr>
          <w:rFonts w:ascii="Times New Roman" w:hAnsi="Times New Roman" w:cs="Times New Roman"/>
          <w:szCs w:val="24"/>
        </w:rPr>
        <w:t xml:space="preserve">Należy odróżnić możliwość posługiwania się oznaczeniem w pewnych sytuacjach od braku możliwości świadczenia usług zastrzeżonych dla osób uprawnionych. </w:t>
      </w:r>
      <w:r w:rsidRPr="006B2CD4">
        <w:rPr>
          <w:rFonts w:ascii="Times New Roman" w:hAnsi="Times New Roman" w:cs="Times New Roman"/>
          <w:szCs w:val="24"/>
        </w:rPr>
        <w:t>Rozwiązanie to ma na celu jednoznaczne wskazanie, że podmioty niewpisane na listę firm audytorskich nie mogą korzystać z oznaczenia „firma audytorska” z wyjątkiem przypadków wyraźnie wskazanych w ustawie. Przepisy te zostały przewidziane</w:t>
      </w:r>
      <w:r>
        <w:rPr>
          <w:rFonts w:ascii="Times New Roman" w:hAnsi="Times New Roman" w:cs="Times New Roman"/>
          <w:szCs w:val="24"/>
        </w:rPr>
        <w:t>,</w:t>
      </w:r>
      <w:r w:rsidRPr="006B2CD4">
        <w:rPr>
          <w:rFonts w:ascii="Times New Roman" w:hAnsi="Times New Roman" w:cs="Times New Roman"/>
          <w:szCs w:val="24"/>
        </w:rPr>
        <w:t xml:space="preserve"> aby uniemożliwić posługiwanie się oznaczeniem firma audytorska przez podmioty do tego nieuprawnione.</w:t>
      </w:r>
    </w:p>
    <w:p w14:paraId="71F2AC83" w14:textId="126222C8" w:rsidR="003209AA" w:rsidRPr="006B2CD4" w:rsidRDefault="003209AA" w:rsidP="00861CE0">
      <w:pPr>
        <w:pStyle w:val="ARTartustawynprozporzdzenia"/>
        <w:spacing w:before="0" w:after="120"/>
        <w:ind w:firstLine="0"/>
        <w:rPr>
          <w:rFonts w:ascii="Times New Roman" w:hAnsi="Times New Roman" w:cs="Times New Roman"/>
          <w:szCs w:val="24"/>
        </w:rPr>
      </w:pPr>
      <w:r>
        <w:rPr>
          <w:rFonts w:ascii="Times New Roman" w:hAnsi="Times New Roman" w:cs="Times New Roman"/>
          <w:szCs w:val="24"/>
        </w:rPr>
        <w:t>W art. 95 w ust. 5 katalog wskazany w pkt 2 obejmujący podmioty/organy, którym przekazanie informacji lub dokumentów przez Polską Agencję Nadzoru Audytowego lub organy PIBR nie narusza tajemnicy zawodowej, rozszerza się o Straż Graniczną. Do jej zadań należy bowiem, podobnie jak ma to miejsce w przypadku Policji, wykonywanie czynności związanych z wykrywaniem i identyfikacją przedmiotów i innych korzyści majątkowych pochodzących z przestępstw. W tym celu jest ona zobowiązana do korzystania ze wszystkich źródeł informacji, które pozwolą jej na właściwe wypełnienie tego zadania. Tym samym niezbędne jest ujęcie Straży Granicznej w tym katalogu.</w:t>
      </w:r>
    </w:p>
    <w:p w14:paraId="177874A8" w14:textId="77777777" w:rsidR="00861CE0" w:rsidRPr="006B2CD4" w:rsidRDefault="00861CE0" w:rsidP="00861CE0">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Przewiduje się także zmianę art. 128 ust. 2 zdanie </w:t>
      </w:r>
      <w:r>
        <w:rPr>
          <w:rFonts w:ascii="Times New Roman" w:hAnsi="Times New Roman" w:cs="Times New Roman"/>
          <w:sz w:val="24"/>
          <w:szCs w:val="24"/>
        </w:rPr>
        <w:t>pierwsze</w:t>
      </w:r>
      <w:r w:rsidRPr="006B2CD4">
        <w:rPr>
          <w:rFonts w:ascii="Times New Roman" w:hAnsi="Times New Roman" w:cs="Times New Roman"/>
          <w:sz w:val="24"/>
          <w:szCs w:val="24"/>
        </w:rPr>
        <w:t xml:space="preserve"> </w:t>
      </w:r>
      <w:r>
        <w:rPr>
          <w:rFonts w:ascii="Times New Roman" w:hAnsi="Times New Roman" w:cs="Times New Roman"/>
          <w:sz w:val="24"/>
          <w:szCs w:val="24"/>
        </w:rPr>
        <w:t xml:space="preserve">ustawy o biegłych rewidentach </w:t>
      </w:r>
      <w:r w:rsidRPr="006B2CD4">
        <w:rPr>
          <w:rFonts w:ascii="Times New Roman" w:hAnsi="Times New Roman" w:cs="Times New Roman"/>
          <w:sz w:val="24"/>
          <w:szCs w:val="24"/>
        </w:rPr>
        <w:t xml:space="preserve">w związku z nowym rozporządzeniem Unii Europejskiej. Z dniem 21 lipca 2019 r. zostało uchylone rozporządzenie Komisji (WE) nr 809/2004 z dnia 29 kwietnia 2004 r. wykonujące dyrektywę 2003/71/WE Parlamentu Europejskiego i Rady w sprawie informacji zawartych w prospektach emisyjnych oraz formy, włączenia przez odniesienia i publikacji takich prospektów emisyjnych oraz rozpowszechniania reklam (Dz. Urz. UE L 149 z 30.04.2004, str. 37, z późn. zm.), dalej „rozporządzenie 809/2004” (stare rozporządzenie prospektowe), do którego odwołania znajdują się w art. 128 i art. 136 ustawy o biegłych rewidentach. Z tego względu należy dokonać korekty w art. 136 w ust. 2 pkt 4 przez odesłanie do nowego rozporządzenia tak, aby było jasne, że badanie sprawozdania do prospektu nie jest usługą zabronioną w myśl rozporządzenia nr 537/2014. </w:t>
      </w:r>
    </w:p>
    <w:p w14:paraId="031FFD8B" w14:textId="79FDB252" w:rsidR="00861CE0" w:rsidRPr="006B2CD4" w:rsidRDefault="00861CE0" w:rsidP="00861CE0">
      <w:pPr>
        <w:spacing w:after="120" w:line="360" w:lineRule="auto"/>
        <w:jc w:val="both"/>
        <w:rPr>
          <w:rFonts w:ascii="Times New Roman" w:hAnsi="Times New Roman" w:cs="Times New Roman"/>
          <w:sz w:val="24"/>
          <w:szCs w:val="24"/>
        </w:rPr>
      </w:pPr>
      <w:r w:rsidRPr="001F5EFB">
        <w:rPr>
          <w:rFonts w:ascii="Times New Roman" w:hAnsi="Times New Roman" w:cs="Times New Roman"/>
          <w:sz w:val="24"/>
          <w:szCs w:val="24"/>
        </w:rPr>
        <w:t xml:space="preserve">W art. 182 ust. 1 pkt 29 ustawy o biegłych rewidentach wprowadza się </w:t>
      </w:r>
      <w:r w:rsidRPr="001F5EFB">
        <w:rPr>
          <w:rFonts w:ascii="Times New Roman" w:hAnsi="Times New Roman"/>
          <w:sz w:val="24"/>
          <w:szCs w:val="24"/>
        </w:rPr>
        <w:t>poprawkę redakcyjną polegająca na zastąpieniu wyrazów „nie świadczy” i „zgodnie” wyrazami „świadczy”</w:t>
      </w:r>
      <w:r w:rsidR="007C389F">
        <w:rPr>
          <w:rFonts w:ascii="Times New Roman" w:hAnsi="Times New Roman"/>
          <w:sz w:val="24"/>
          <w:szCs w:val="24"/>
        </w:rPr>
        <w:t xml:space="preserve"> </w:t>
      </w:r>
      <w:r w:rsidRPr="001F5EFB">
        <w:rPr>
          <w:rFonts w:ascii="Times New Roman" w:hAnsi="Times New Roman"/>
          <w:sz w:val="24"/>
          <w:szCs w:val="24"/>
        </w:rPr>
        <w:t>i „niezgodnie”.</w:t>
      </w:r>
    </w:p>
    <w:p w14:paraId="7D4E6CEC" w14:textId="36E9F465" w:rsidR="00861CE0" w:rsidRPr="006B2CD4" w:rsidRDefault="00861CE0" w:rsidP="00861CE0">
      <w:pPr>
        <w:pStyle w:val="ARTartustawynprozporzdzenia"/>
        <w:spacing w:before="0" w:after="120"/>
        <w:ind w:firstLine="0"/>
        <w:rPr>
          <w:rFonts w:ascii="Times New Roman" w:hAnsi="Times New Roman" w:cs="Times New Roman"/>
          <w:szCs w:val="24"/>
        </w:rPr>
      </w:pPr>
      <w:r w:rsidRPr="006B2CD4">
        <w:rPr>
          <w:rFonts w:ascii="Times New Roman" w:hAnsi="Times New Roman" w:cs="Times New Roman"/>
          <w:szCs w:val="24"/>
        </w:rPr>
        <w:t xml:space="preserve">W art. 192 </w:t>
      </w:r>
      <w:r>
        <w:rPr>
          <w:rFonts w:ascii="Times New Roman" w:hAnsi="Times New Roman" w:cs="Times New Roman"/>
          <w:szCs w:val="24"/>
        </w:rPr>
        <w:t xml:space="preserve">w </w:t>
      </w:r>
      <w:r w:rsidRPr="006B2CD4">
        <w:rPr>
          <w:rFonts w:ascii="Times New Roman" w:hAnsi="Times New Roman" w:cs="Times New Roman"/>
          <w:szCs w:val="24"/>
        </w:rPr>
        <w:t xml:space="preserve">ust. 1 </w:t>
      </w:r>
      <w:r>
        <w:rPr>
          <w:rFonts w:ascii="Times New Roman" w:hAnsi="Times New Roman" w:cs="Times New Roman"/>
          <w:szCs w:val="24"/>
        </w:rPr>
        <w:t xml:space="preserve">w </w:t>
      </w:r>
      <w:r w:rsidRPr="006B2CD4">
        <w:rPr>
          <w:rFonts w:ascii="Times New Roman" w:hAnsi="Times New Roman" w:cs="Times New Roman"/>
          <w:szCs w:val="24"/>
        </w:rPr>
        <w:t>pkt 3</w:t>
      </w:r>
      <w:r w:rsidRPr="006B2CD4">
        <w:rPr>
          <w:rFonts w:ascii="Times New Roman" w:hAnsi="Times New Roman" w:cs="Times New Roman"/>
          <w:b/>
          <w:szCs w:val="24"/>
        </w:rPr>
        <w:t xml:space="preserve"> </w:t>
      </w:r>
      <w:r w:rsidRPr="006B2CD4">
        <w:rPr>
          <w:rFonts w:ascii="Times New Roman" w:hAnsi="Times New Roman" w:cs="Times New Roman"/>
          <w:szCs w:val="24"/>
        </w:rPr>
        <w:t>w lit</w:t>
      </w:r>
      <w:r w:rsidR="00897652">
        <w:rPr>
          <w:rFonts w:ascii="Times New Roman" w:hAnsi="Times New Roman" w:cs="Times New Roman"/>
          <w:szCs w:val="24"/>
        </w:rPr>
        <w:t>.</w:t>
      </w:r>
      <w:r w:rsidRPr="006B2CD4">
        <w:rPr>
          <w:rFonts w:ascii="Times New Roman" w:hAnsi="Times New Roman" w:cs="Times New Roman"/>
          <w:szCs w:val="24"/>
        </w:rPr>
        <w:t xml:space="preserve"> b</w:t>
      </w:r>
      <w:r>
        <w:rPr>
          <w:rFonts w:ascii="Times New Roman" w:hAnsi="Times New Roman" w:cs="Times New Roman"/>
          <w:szCs w:val="24"/>
        </w:rPr>
        <w:t>. ustawy o biegłych rewidentach</w:t>
      </w:r>
      <w:r w:rsidRPr="006B2CD4">
        <w:rPr>
          <w:rFonts w:ascii="Times New Roman" w:hAnsi="Times New Roman" w:cs="Times New Roman"/>
          <w:szCs w:val="24"/>
        </w:rPr>
        <w:t xml:space="preserve"> dokonuje się zmiany </w:t>
      </w:r>
      <w:r>
        <w:rPr>
          <w:rFonts w:ascii="Times New Roman" w:hAnsi="Times New Roman" w:cs="Times New Roman"/>
          <w:szCs w:val="24"/>
        </w:rPr>
        <w:t>dotyczącej</w:t>
      </w:r>
      <w:r w:rsidRPr="006B2CD4">
        <w:rPr>
          <w:rFonts w:ascii="Times New Roman" w:hAnsi="Times New Roman" w:cs="Times New Roman"/>
          <w:szCs w:val="24"/>
        </w:rPr>
        <w:t xml:space="preserve"> penalizacji </w:t>
      </w:r>
      <w:r>
        <w:rPr>
          <w:rFonts w:ascii="Times New Roman" w:hAnsi="Times New Roman" w:cs="Times New Roman"/>
          <w:szCs w:val="24"/>
        </w:rPr>
        <w:t xml:space="preserve">maksymalnego </w:t>
      </w:r>
      <w:r w:rsidRPr="006B2CD4">
        <w:rPr>
          <w:rFonts w:ascii="Times New Roman" w:hAnsi="Times New Roman" w:cs="Times New Roman"/>
          <w:szCs w:val="24"/>
        </w:rPr>
        <w:t>okres</w:t>
      </w:r>
      <w:r>
        <w:rPr>
          <w:rFonts w:ascii="Times New Roman" w:hAnsi="Times New Roman" w:cs="Times New Roman"/>
          <w:szCs w:val="24"/>
        </w:rPr>
        <w:t>u,</w:t>
      </w:r>
      <w:r w:rsidRPr="006B2CD4">
        <w:rPr>
          <w:rFonts w:ascii="Times New Roman" w:hAnsi="Times New Roman" w:cs="Times New Roman"/>
          <w:szCs w:val="24"/>
        </w:rPr>
        <w:t xml:space="preserve"> na któr</w:t>
      </w:r>
      <w:r>
        <w:rPr>
          <w:rFonts w:ascii="Times New Roman" w:hAnsi="Times New Roman" w:cs="Times New Roman"/>
          <w:szCs w:val="24"/>
        </w:rPr>
        <w:t>y</w:t>
      </w:r>
      <w:r w:rsidRPr="006B2CD4">
        <w:rPr>
          <w:rFonts w:ascii="Times New Roman" w:hAnsi="Times New Roman" w:cs="Times New Roman"/>
          <w:szCs w:val="24"/>
        </w:rPr>
        <w:t xml:space="preserve"> jest dopuszczalne zawarcie umowy o badanie</w:t>
      </w:r>
      <w:r>
        <w:rPr>
          <w:rFonts w:ascii="Times New Roman" w:hAnsi="Times New Roman" w:cs="Times New Roman"/>
          <w:szCs w:val="24"/>
        </w:rPr>
        <w:t xml:space="preserve"> oraz doprecyzowuje się brzmienie tego przepisu</w:t>
      </w:r>
      <w:r w:rsidRPr="006B2CD4">
        <w:rPr>
          <w:rFonts w:ascii="Times New Roman" w:hAnsi="Times New Roman" w:cs="Times New Roman"/>
          <w:szCs w:val="24"/>
        </w:rPr>
        <w:t>. Z uwagi</w:t>
      </w:r>
      <w:r>
        <w:rPr>
          <w:rFonts w:ascii="Times New Roman" w:hAnsi="Times New Roman" w:cs="Times New Roman"/>
          <w:szCs w:val="24"/>
        </w:rPr>
        <w:t xml:space="preserve"> na to</w:t>
      </w:r>
      <w:r w:rsidRPr="006B2CD4">
        <w:rPr>
          <w:rFonts w:ascii="Times New Roman" w:hAnsi="Times New Roman" w:cs="Times New Roman"/>
          <w:szCs w:val="24"/>
        </w:rPr>
        <w:t>, iż zgodnie z art. 17 ust</w:t>
      </w:r>
      <w:r w:rsidR="00457862">
        <w:rPr>
          <w:rFonts w:ascii="Times New Roman" w:hAnsi="Times New Roman" w:cs="Times New Roman"/>
          <w:szCs w:val="24"/>
        </w:rPr>
        <w:t>.</w:t>
      </w:r>
      <w:r w:rsidRPr="006B2CD4">
        <w:rPr>
          <w:rFonts w:ascii="Times New Roman" w:hAnsi="Times New Roman" w:cs="Times New Roman"/>
          <w:szCs w:val="24"/>
        </w:rPr>
        <w:t xml:space="preserve"> 1 zdanie drugie rozporządzenia nr 537/2014 maksymalny dopuszczalny okres zawarcia umowy o badanie w przypadku jednostek zainteresowania publicznego wynosi 10 lat, penalizowane jest zawarcie umowy na okres dłuższy niż dopuszczalny. </w:t>
      </w:r>
      <w:r>
        <w:rPr>
          <w:rFonts w:ascii="Times New Roman" w:hAnsi="Times New Roman" w:cs="Times New Roman"/>
          <w:szCs w:val="24"/>
        </w:rPr>
        <w:t xml:space="preserve">Natomiast z art. 66 ust. 5 ustawy o rachunkowości wynika, że umowa o badanie nie może być zawarta na okres krótszy niż 2 lata. </w:t>
      </w:r>
      <w:r w:rsidRPr="006B2CD4">
        <w:rPr>
          <w:rFonts w:ascii="Times New Roman" w:hAnsi="Times New Roman" w:cs="Times New Roman"/>
          <w:szCs w:val="24"/>
        </w:rPr>
        <w:t>Tym samym proponowane doprecyzowanie przepis</w:t>
      </w:r>
      <w:r>
        <w:rPr>
          <w:rFonts w:ascii="Times New Roman" w:hAnsi="Times New Roman" w:cs="Times New Roman"/>
          <w:szCs w:val="24"/>
        </w:rPr>
        <w:t>u</w:t>
      </w:r>
      <w:r w:rsidRPr="006B2CD4">
        <w:rPr>
          <w:rFonts w:ascii="Times New Roman" w:hAnsi="Times New Roman" w:cs="Times New Roman"/>
          <w:szCs w:val="24"/>
        </w:rPr>
        <w:t xml:space="preserve"> </w:t>
      </w:r>
      <w:r>
        <w:rPr>
          <w:rFonts w:ascii="Times New Roman" w:hAnsi="Times New Roman" w:cs="Times New Roman"/>
          <w:szCs w:val="24"/>
        </w:rPr>
        <w:t>ma na</w:t>
      </w:r>
      <w:r w:rsidRPr="006B2CD4">
        <w:rPr>
          <w:rFonts w:ascii="Times New Roman" w:hAnsi="Times New Roman" w:cs="Times New Roman"/>
          <w:szCs w:val="24"/>
        </w:rPr>
        <w:t xml:space="preserve"> celu </w:t>
      </w:r>
      <w:r>
        <w:rPr>
          <w:rFonts w:ascii="Times New Roman" w:hAnsi="Times New Roman" w:cs="Times New Roman"/>
          <w:szCs w:val="24"/>
        </w:rPr>
        <w:t xml:space="preserve">uniknięcie ewentualnych wątpliwości interpretacyjnych poprzez wskazanie, iż karze podlega zawarcie umowy o badanie na okres krótszy niż 2 lata lub dłuższy niż </w:t>
      </w:r>
      <w:r w:rsidRPr="006B2CD4">
        <w:rPr>
          <w:rFonts w:ascii="Times New Roman" w:hAnsi="Times New Roman" w:cs="Times New Roman"/>
          <w:szCs w:val="24"/>
        </w:rPr>
        <w:t>wynikający</w:t>
      </w:r>
      <w:r w:rsidR="003F782E">
        <w:rPr>
          <w:rFonts w:ascii="Times New Roman" w:hAnsi="Times New Roman" w:cs="Times New Roman"/>
          <w:szCs w:val="24"/>
        </w:rPr>
        <w:t xml:space="preserve"> z art. 17 ust. 1 zdani</w:t>
      </w:r>
      <w:r>
        <w:rPr>
          <w:rFonts w:ascii="Times New Roman" w:hAnsi="Times New Roman" w:cs="Times New Roman"/>
          <w:szCs w:val="24"/>
        </w:rPr>
        <w:t>e drugie</w:t>
      </w:r>
      <w:r w:rsidR="007C389F">
        <w:rPr>
          <w:rFonts w:ascii="Times New Roman" w:hAnsi="Times New Roman" w:cs="Times New Roman"/>
          <w:szCs w:val="24"/>
        </w:rPr>
        <w:t xml:space="preserve"> </w:t>
      </w:r>
      <w:r w:rsidRPr="006B2CD4">
        <w:rPr>
          <w:rFonts w:ascii="Times New Roman" w:hAnsi="Times New Roman" w:cs="Times New Roman"/>
          <w:szCs w:val="24"/>
        </w:rPr>
        <w:t>rozporządzenia nr 537/2014</w:t>
      </w:r>
      <w:r>
        <w:rPr>
          <w:rFonts w:ascii="Times New Roman" w:hAnsi="Times New Roman" w:cs="Times New Roman"/>
          <w:szCs w:val="24"/>
        </w:rPr>
        <w:t>.</w:t>
      </w:r>
    </w:p>
    <w:p w14:paraId="44B5991D" w14:textId="77777777" w:rsidR="00861CE0" w:rsidRPr="006B2CD4" w:rsidRDefault="00861CE0" w:rsidP="00861CE0">
      <w:pPr>
        <w:suppressAutoHyphens/>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Po art. 215 ustawy o biegłych rewidentach przewiduje się dodanie nowego rozdziału 12a dotyczącego odpowiedzialności karnej pt. </w:t>
      </w:r>
      <w:r>
        <w:rPr>
          <w:rFonts w:ascii="Times New Roman" w:hAnsi="Times New Roman" w:cs="Times New Roman"/>
          <w:sz w:val="24"/>
          <w:szCs w:val="24"/>
        </w:rPr>
        <w:t>„</w:t>
      </w:r>
      <w:r w:rsidRPr="006B2CD4">
        <w:rPr>
          <w:rFonts w:ascii="Times New Roman" w:hAnsi="Times New Roman" w:cs="Times New Roman"/>
          <w:sz w:val="24"/>
          <w:szCs w:val="24"/>
        </w:rPr>
        <w:t>Przepis karn</w:t>
      </w:r>
      <w:r>
        <w:rPr>
          <w:rFonts w:ascii="Times New Roman" w:hAnsi="Times New Roman" w:cs="Times New Roman"/>
          <w:sz w:val="24"/>
          <w:szCs w:val="24"/>
        </w:rPr>
        <w:t>y”</w:t>
      </w:r>
      <w:r w:rsidRPr="006B2CD4">
        <w:rPr>
          <w:rFonts w:ascii="Times New Roman" w:hAnsi="Times New Roman" w:cs="Times New Roman"/>
          <w:sz w:val="24"/>
          <w:szCs w:val="24"/>
        </w:rPr>
        <w:t xml:space="preserve">. </w:t>
      </w:r>
    </w:p>
    <w:p w14:paraId="290C1E4F" w14:textId="49659774" w:rsidR="00911726" w:rsidRPr="00861CE0" w:rsidRDefault="00861CE0" w:rsidP="00861CE0">
      <w:pPr>
        <w:suppressAutoHyphens/>
        <w:spacing w:before="120"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W ustawie </w:t>
      </w:r>
      <w:r>
        <w:rPr>
          <w:rFonts w:ascii="Times New Roman" w:hAnsi="Times New Roman" w:cs="Times New Roman"/>
          <w:sz w:val="24"/>
          <w:szCs w:val="24"/>
        </w:rPr>
        <w:t xml:space="preserve">o </w:t>
      </w:r>
      <w:r w:rsidRPr="006B2CD4">
        <w:rPr>
          <w:rFonts w:ascii="Times New Roman" w:hAnsi="Times New Roman" w:cs="Times New Roman"/>
          <w:sz w:val="24"/>
          <w:szCs w:val="24"/>
        </w:rPr>
        <w:t>biegłych rewidentach przewiduje się dodanie art. 215a w zakresie odpowiedzialności karnej osoby, która</w:t>
      </w:r>
      <w:r>
        <w:rPr>
          <w:rFonts w:ascii="Times New Roman" w:hAnsi="Times New Roman" w:cs="Times New Roman"/>
          <w:sz w:val="24"/>
          <w:szCs w:val="24"/>
        </w:rPr>
        <w:t>,</w:t>
      </w:r>
      <w:r w:rsidRPr="006B2CD4">
        <w:rPr>
          <w:rFonts w:ascii="Times New Roman" w:hAnsi="Times New Roman" w:cs="Times New Roman"/>
          <w:sz w:val="24"/>
          <w:szCs w:val="24"/>
        </w:rPr>
        <w:t xml:space="preserve"> nie będąc uprawnionym, posługuje się tytułem biegłego rewidenta, oznaczeniem firmy audytorskiej lub wykonuje czynności rewizji finansowej. Dla osób takich przewiduje się grzywnę albo karę ograniczenia wolności. Przepis ma na celu ochronę interesu publicznego w przypadku nieuprawnionego posługiwania się tytułem biegłego rewidenta, oznaczeniem firmy audytorskiej lub wykonywania czynności rewizji finansowej. Podobne rozwiązania związane z odpowiedzialnością karną istnieją w ustawie o doradztwie podatkowym. Wprowadzenie przepisu karnego wynika z potrzeby zachowania pewności obrotu gospodarczego i ochrony interesu publicznego, tak aby nie dochodziło do sytuacji w których badanie sprawozdania finansowego wykonał podmiot do tego nieuprawniony. Przepis ma charakter prewencyjny i ma na celu w głównej mierze zapobieganiu w przeprowadzaniu m.in. badań sprawozdań finansowych lub posługiwanie się tytułem biegłego rewidenta np. przez biegłych rewidentów seniorów</w:t>
      </w:r>
      <w:r>
        <w:rPr>
          <w:rFonts w:ascii="Times New Roman" w:hAnsi="Times New Roman" w:cs="Times New Roman"/>
          <w:sz w:val="24"/>
          <w:szCs w:val="24"/>
        </w:rPr>
        <w:t>,</w:t>
      </w:r>
      <w:r w:rsidRPr="006B2CD4">
        <w:rPr>
          <w:rFonts w:ascii="Times New Roman" w:hAnsi="Times New Roman" w:cs="Times New Roman"/>
          <w:sz w:val="24"/>
          <w:szCs w:val="24"/>
        </w:rPr>
        <w:t xml:space="preserve"> czy też posługiwanie się oznaczeniem „firma audytorska” przez nieuprawnione podmioty. Przepis stanowi też odpowiedź na pojawiające się przypadki wykonywania czynności rewizji finansowej przez byłych biegłych rewidentów za pośrednictwem firm</w:t>
      </w:r>
      <w:r>
        <w:rPr>
          <w:rFonts w:ascii="Times New Roman" w:hAnsi="Times New Roman" w:cs="Times New Roman"/>
          <w:sz w:val="24"/>
          <w:szCs w:val="24"/>
        </w:rPr>
        <w:t>, które</w:t>
      </w:r>
      <w:r w:rsidRPr="006B2CD4">
        <w:rPr>
          <w:rFonts w:ascii="Times New Roman" w:hAnsi="Times New Roman" w:cs="Times New Roman"/>
          <w:sz w:val="24"/>
          <w:szCs w:val="24"/>
        </w:rPr>
        <w:t xml:space="preserve"> nie </w:t>
      </w:r>
      <w:r>
        <w:rPr>
          <w:rFonts w:ascii="Times New Roman" w:hAnsi="Times New Roman" w:cs="Times New Roman"/>
          <w:sz w:val="24"/>
          <w:szCs w:val="24"/>
        </w:rPr>
        <w:t xml:space="preserve">są </w:t>
      </w:r>
      <w:r w:rsidRPr="006B2CD4">
        <w:rPr>
          <w:rFonts w:ascii="Times New Roman" w:hAnsi="Times New Roman" w:cs="Times New Roman"/>
          <w:sz w:val="24"/>
          <w:szCs w:val="24"/>
        </w:rPr>
        <w:t>wpisan</w:t>
      </w:r>
      <w:r>
        <w:rPr>
          <w:rFonts w:ascii="Times New Roman" w:hAnsi="Times New Roman" w:cs="Times New Roman"/>
          <w:sz w:val="24"/>
          <w:szCs w:val="24"/>
        </w:rPr>
        <w:t>e</w:t>
      </w:r>
      <w:r w:rsidRPr="006B2CD4">
        <w:rPr>
          <w:rFonts w:ascii="Times New Roman" w:hAnsi="Times New Roman" w:cs="Times New Roman"/>
          <w:sz w:val="24"/>
          <w:szCs w:val="24"/>
        </w:rPr>
        <w:t xml:space="preserve"> na listę firm audytorskich.</w:t>
      </w:r>
    </w:p>
    <w:p w14:paraId="03A632A5" w14:textId="71D8A5F0" w:rsidR="00181FE6" w:rsidRDefault="00060541" w:rsidP="00643BBC">
      <w:pPr>
        <w:tabs>
          <w:tab w:val="left" w:pos="426"/>
        </w:tabs>
        <w:spacing w:before="120" w:after="120" w:line="360" w:lineRule="auto"/>
        <w:jc w:val="both"/>
        <w:rPr>
          <w:rFonts w:ascii="Times New Roman" w:hAnsi="Times New Roman" w:cs="Times New Roman"/>
          <w:b/>
          <w:sz w:val="24"/>
          <w:szCs w:val="24"/>
        </w:rPr>
      </w:pPr>
      <w:r w:rsidRPr="006B2CD4">
        <w:rPr>
          <w:rFonts w:ascii="Times New Roman" w:hAnsi="Times New Roman" w:cs="Times New Roman"/>
          <w:b/>
          <w:sz w:val="24"/>
          <w:szCs w:val="24"/>
        </w:rPr>
        <w:t xml:space="preserve">Art. </w:t>
      </w:r>
      <w:r w:rsidR="005D300A" w:rsidRPr="006B2CD4">
        <w:rPr>
          <w:rFonts w:ascii="Times New Roman" w:hAnsi="Times New Roman" w:cs="Times New Roman"/>
          <w:b/>
          <w:sz w:val="24"/>
          <w:szCs w:val="24"/>
        </w:rPr>
        <w:t>2</w:t>
      </w:r>
      <w:r w:rsidR="000442E9">
        <w:rPr>
          <w:rFonts w:ascii="Times New Roman" w:hAnsi="Times New Roman" w:cs="Times New Roman"/>
          <w:b/>
          <w:sz w:val="24"/>
          <w:szCs w:val="24"/>
        </w:rPr>
        <w:t>8</w:t>
      </w:r>
      <w:r w:rsidRPr="006B2CD4">
        <w:rPr>
          <w:rFonts w:ascii="Times New Roman" w:hAnsi="Times New Roman" w:cs="Times New Roman"/>
          <w:b/>
          <w:sz w:val="24"/>
          <w:szCs w:val="24"/>
        </w:rPr>
        <w:t xml:space="preserve">. </w:t>
      </w:r>
      <w:r w:rsidR="00181FE6" w:rsidRPr="006B2CD4">
        <w:rPr>
          <w:rFonts w:ascii="Times New Roman" w:hAnsi="Times New Roman" w:cs="Times New Roman"/>
          <w:b/>
          <w:sz w:val="24"/>
          <w:szCs w:val="24"/>
        </w:rPr>
        <w:t>Zmiany w ustawie o dystrybucji ubezpieczeń</w:t>
      </w:r>
    </w:p>
    <w:p w14:paraId="0A83ADDA" w14:textId="77777777" w:rsidR="006318A6" w:rsidRPr="006B2CD4" w:rsidRDefault="006318A6" w:rsidP="006318A6">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Zaproponowana zmiana w art. 12 ust. 6 ustawy o dystrybucji ubezpieczeń ma na celu wyeliminowanie wątpliwości interpretacyjnych dotyczących kwalifikowania szkolenia zawodowego przeprowadzonego w formie wykładów lub seminariów jako szkolenia przeprowadzane w formie e-learningu. </w:t>
      </w:r>
    </w:p>
    <w:p w14:paraId="78B14468" w14:textId="525801EC" w:rsidR="006318A6" w:rsidRPr="006B2CD4" w:rsidRDefault="006318A6" w:rsidP="006318A6">
      <w:pPr>
        <w:spacing w:after="0" w:line="360" w:lineRule="auto"/>
        <w:jc w:val="both"/>
        <w:rPr>
          <w:rFonts w:ascii="Times New Roman" w:hAnsi="Times New Roman" w:cs="Times New Roman"/>
          <w:color w:val="FF0000"/>
          <w:sz w:val="24"/>
          <w:szCs w:val="24"/>
        </w:rPr>
      </w:pPr>
      <w:r w:rsidRPr="006B2CD4">
        <w:rPr>
          <w:rFonts w:ascii="Times New Roman" w:hAnsi="Times New Roman" w:cs="Times New Roman"/>
          <w:sz w:val="24"/>
          <w:szCs w:val="24"/>
        </w:rPr>
        <w:t xml:space="preserve">W art. 12 ust. 8 pkt 3 oraz ust. 9 pkt 2 ustawy o dystrybucji ubezpieczeń przewiduje się zmiany mające na celu </w:t>
      </w:r>
      <w:r w:rsidRPr="006B2CD4">
        <w:rPr>
          <w:rFonts w:ascii="Times New Roman" w:hAnsi="Times New Roman" w:cs="Times New Roman"/>
          <w:color w:val="000000" w:themeColor="text1"/>
          <w:sz w:val="24"/>
          <w:szCs w:val="24"/>
        </w:rPr>
        <w:t>umożliwienia agentom i zakładom ubezpieczeń prawidłową identyfikację i weryfikację zaświadczeń o odbytych szkoleniach zawodowych oraz szkoleniach w formie e</w:t>
      </w:r>
      <w:r w:rsidR="00A73B73">
        <w:rPr>
          <w:rFonts w:ascii="Times New Roman" w:hAnsi="Times New Roman" w:cs="Times New Roman"/>
          <w:color w:val="000000" w:themeColor="text1"/>
          <w:sz w:val="24"/>
          <w:szCs w:val="24"/>
        </w:rPr>
        <w:noBreakHyphen/>
      </w:r>
      <w:r w:rsidRPr="006B2CD4">
        <w:rPr>
          <w:rFonts w:ascii="Times New Roman" w:hAnsi="Times New Roman" w:cs="Times New Roman"/>
          <w:color w:val="000000" w:themeColor="text1"/>
          <w:sz w:val="24"/>
          <w:szCs w:val="24"/>
        </w:rPr>
        <w:t xml:space="preserve">learningu, o których mowa odpowiednio w art. 12 ust. 8 i 9 ustawy o dystrybucji ubezpieczeń. Wprowadzona zmiana polega na podaniu również numeru PESEL na dokumencie poświadczającym odbycie szkolenia przez uczestnika szkolenia. Zgodnie z obecnym brzmieniem ww. przepisów dokument potwierdzający odbycie szkolenia zawiera imię i nazwisko oraz datę urodzenia uczestnika szkolenia. Należy zauważyć, że podanie tylko daty urodzenia jest niewystarczające do identyfikacji zaświadczeń o odbytych szkoleniach zawodowych z uwagi m.in. na występującą powtarzalność osób o tym samym imieniu, nazwisku i dacie urodzenia. Podanie </w:t>
      </w:r>
      <w:r w:rsidRPr="006B2CD4">
        <w:rPr>
          <w:rFonts w:ascii="Times New Roman" w:hAnsi="Times New Roman" w:cs="Times New Roman"/>
          <w:bCs/>
          <w:color w:val="000000" w:themeColor="text1"/>
          <w:sz w:val="24"/>
          <w:szCs w:val="24"/>
        </w:rPr>
        <w:t>numeru PESEL zamiast daty urodzenia</w:t>
      </w:r>
      <w:r w:rsidRPr="006B2CD4">
        <w:rPr>
          <w:rFonts w:ascii="Times New Roman" w:hAnsi="Times New Roman" w:cs="Times New Roman"/>
          <w:color w:val="000000" w:themeColor="text1"/>
          <w:sz w:val="24"/>
          <w:szCs w:val="24"/>
        </w:rPr>
        <w:t xml:space="preserve"> umożliwi zakładom otrzymującym od osób obowiązanych zaświadczenia o udziale w szkoleniach zawodowych, jednoznaczną i szybką weryfikację uczestników szkoleń, co wobec wielu zaświadczeń wystawianych dla każdej osoby w każdym roku ma ogromne znaczenie dla prowadzenia skutecznego nadzoru. Jednocześnie należy zauważyć, że numer PESEL to dana, którą zakłady ubezpieczeń i agenci i tak już posiadają. Natomiast, w przypadku gdy uczestnik szkolenia nie posiada numeru PESEL na dokumencie potwierdzającym odbycie szkolenia wskazana będzie data urodzenia oraz wpisu do rejestru pośredników ubezpieczeniowych. </w:t>
      </w:r>
    </w:p>
    <w:p w14:paraId="439A3D2C" w14:textId="42868D09" w:rsidR="006318A6" w:rsidRPr="006B2CD4" w:rsidRDefault="006318A6" w:rsidP="006318A6">
      <w:pPr>
        <w:spacing w:after="120" w:line="360" w:lineRule="auto"/>
        <w:jc w:val="both"/>
        <w:rPr>
          <w:rFonts w:ascii="Times New Roman" w:hAnsi="Times New Roman" w:cs="Times New Roman"/>
          <w:color w:val="000000" w:themeColor="text1"/>
          <w:sz w:val="24"/>
          <w:szCs w:val="24"/>
        </w:rPr>
      </w:pPr>
      <w:r w:rsidRPr="006B2CD4">
        <w:rPr>
          <w:rFonts w:ascii="Times New Roman" w:hAnsi="Times New Roman" w:cs="Times New Roman"/>
          <w:color w:val="000000" w:themeColor="text1"/>
          <w:sz w:val="24"/>
          <w:szCs w:val="24"/>
        </w:rPr>
        <w:t>W ustawie o dystrybucji ubezpieczeń zaproponowano rozwiązania mające na celu uwzględnienie sytuacji przedsiębiorstwa odpowiednio zmarłego agenta ubezpieczeniowego lub agenta oferującego ubezpieczenia uzupełniające oraz brokera ubezpieczeniowego lub brokera reasekuracyjnego w przypadku gdy ustanawiany jest zarządca sukcesyjny w okresie przed powołaniem i po powołaniu zarządcy sukcesyjnego. Zaproponowane w art. 12 ust. 12, art. 19 ust. 3a, w art. 56 ust. 3a oraz art. 57a ustawy o dystrybucji ubezpieczeń rozwiązania dotyczą zarząd</w:t>
      </w:r>
      <w:r w:rsidR="00403A01">
        <w:rPr>
          <w:rFonts w:ascii="Times New Roman" w:hAnsi="Times New Roman" w:cs="Times New Roman"/>
          <w:color w:val="000000" w:themeColor="text1"/>
          <w:sz w:val="24"/>
          <w:szCs w:val="24"/>
        </w:rPr>
        <w:t>cy</w:t>
      </w:r>
      <w:r w:rsidRPr="006B2CD4">
        <w:rPr>
          <w:rFonts w:ascii="Times New Roman" w:hAnsi="Times New Roman" w:cs="Times New Roman"/>
          <w:color w:val="000000" w:themeColor="text1"/>
          <w:sz w:val="24"/>
          <w:szCs w:val="24"/>
        </w:rPr>
        <w:t xml:space="preserve"> sukcesyjnego zmarłego agenta ubezpieczeniowego i agenta oferującego ubezpieczenia uzupełniające oraz zwolnień zarządcy sukcesyjnego od spełnienia określonych wymogów zawartych w ustawie o dystrybucji ubezpieczeń. Dodawany ust. 12 w art. 12 ustawy o dystrybucji ubezpieczeń rozszerza katalog podmiotów o zarząd</w:t>
      </w:r>
      <w:r w:rsidR="00403A01">
        <w:rPr>
          <w:rFonts w:ascii="Times New Roman" w:hAnsi="Times New Roman" w:cs="Times New Roman"/>
          <w:color w:val="000000" w:themeColor="text1"/>
          <w:sz w:val="24"/>
          <w:szCs w:val="24"/>
        </w:rPr>
        <w:t>cę</w:t>
      </w:r>
      <w:r w:rsidRPr="006B2CD4">
        <w:rPr>
          <w:rFonts w:ascii="Times New Roman" w:hAnsi="Times New Roman" w:cs="Times New Roman"/>
          <w:color w:val="000000" w:themeColor="text1"/>
          <w:sz w:val="24"/>
          <w:szCs w:val="24"/>
        </w:rPr>
        <w:t xml:space="preserve"> sukcesyjn</w:t>
      </w:r>
      <w:r w:rsidR="00403A01">
        <w:rPr>
          <w:rFonts w:ascii="Times New Roman" w:hAnsi="Times New Roman" w:cs="Times New Roman"/>
          <w:color w:val="000000" w:themeColor="text1"/>
          <w:sz w:val="24"/>
          <w:szCs w:val="24"/>
        </w:rPr>
        <w:t>ego</w:t>
      </w:r>
      <w:r w:rsidRPr="006B2CD4">
        <w:rPr>
          <w:rFonts w:ascii="Times New Roman" w:hAnsi="Times New Roman" w:cs="Times New Roman"/>
          <w:color w:val="000000" w:themeColor="text1"/>
          <w:sz w:val="24"/>
          <w:szCs w:val="24"/>
        </w:rPr>
        <w:t>, do którego nie będą stosowane regulacje, o których mowa w ust. 1‒10</w:t>
      </w:r>
      <w:r>
        <w:rPr>
          <w:rFonts w:ascii="Times New Roman" w:hAnsi="Times New Roman" w:cs="Times New Roman"/>
          <w:color w:val="000000" w:themeColor="text1"/>
          <w:sz w:val="24"/>
          <w:szCs w:val="24"/>
        </w:rPr>
        <w:t xml:space="preserve"> tego przepisu</w:t>
      </w:r>
      <w:r w:rsidRPr="006B2CD4">
        <w:rPr>
          <w:rFonts w:ascii="Times New Roman" w:hAnsi="Times New Roman" w:cs="Times New Roman"/>
          <w:color w:val="000000" w:themeColor="text1"/>
          <w:sz w:val="24"/>
          <w:szCs w:val="24"/>
        </w:rPr>
        <w:t>. Dodanie w art. 19 ust. 3a ustawy o dystrybucji ubezpieczeń ma na celu zagwarantowanie, aby zarządca sukcesyjny nie musiał spełniać takich wymogów jak: rękojmi</w:t>
      </w:r>
      <w:r w:rsidR="00AF6F68">
        <w:rPr>
          <w:rFonts w:ascii="Times New Roman" w:hAnsi="Times New Roman" w:cs="Times New Roman"/>
          <w:color w:val="000000" w:themeColor="text1"/>
          <w:sz w:val="24"/>
          <w:szCs w:val="24"/>
        </w:rPr>
        <w:t>a</w:t>
      </w:r>
      <w:r w:rsidRPr="006B2CD4">
        <w:rPr>
          <w:rFonts w:ascii="Times New Roman" w:hAnsi="Times New Roman" w:cs="Times New Roman"/>
          <w:color w:val="000000" w:themeColor="text1"/>
          <w:sz w:val="24"/>
          <w:szCs w:val="24"/>
        </w:rPr>
        <w:t xml:space="preserve"> należytego wykonywania czynności agencyjnych, posiadanie co najmniej wykształcenia średniego lub branżowego, czy zdanie egzaminu przeprowadzonego przez zakład ubezpieczeń lub zakład reasekuracji. Warunkiem odstąpienia od tych wymogów jest wykonywanie czynności agencyjnych przy pomocy osób fizycznych, o których mowa w art. 19 ust. 2 ustawy. W art. 56 ust. 3a ustawy o dystrybucji ubezpieczeń nałożono obowiązek na zakład ubezpieczeń polegający na zgłoszeniu do organu nadzoru zmiany danych objętych wpisem do rejestru agentów dotyczących zmarłego agenta ubezpieczeniowego lub agenta oferującego ubezpieczenia uzupełniające, w którego miejsce wstąpił zarządca sukcesyjny. Obowiązek ten musi zostać spełniony nie później niż w ciągu 14 dni od </w:t>
      </w:r>
      <w:r>
        <w:rPr>
          <w:rFonts w:ascii="Times New Roman" w:hAnsi="Times New Roman" w:cs="Times New Roman"/>
          <w:color w:val="000000" w:themeColor="text1"/>
          <w:sz w:val="24"/>
          <w:szCs w:val="24"/>
        </w:rPr>
        <w:t xml:space="preserve">dnia </w:t>
      </w:r>
      <w:r w:rsidRPr="006B2CD4">
        <w:rPr>
          <w:rFonts w:ascii="Times New Roman" w:hAnsi="Times New Roman" w:cs="Times New Roman"/>
          <w:color w:val="000000" w:themeColor="text1"/>
          <w:sz w:val="24"/>
          <w:szCs w:val="24"/>
        </w:rPr>
        <w:t xml:space="preserve">powzięcia przez zakład ubezpieczeń takiej wiadomości. Dodanie </w:t>
      </w:r>
      <w:r>
        <w:rPr>
          <w:rFonts w:ascii="Times New Roman" w:hAnsi="Times New Roman" w:cs="Times New Roman"/>
          <w:color w:val="000000" w:themeColor="text1"/>
          <w:sz w:val="24"/>
          <w:szCs w:val="24"/>
        </w:rPr>
        <w:t xml:space="preserve">w </w:t>
      </w:r>
      <w:r w:rsidR="00403A01">
        <w:rPr>
          <w:rFonts w:ascii="Times New Roman" w:hAnsi="Times New Roman" w:cs="Times New Roman"/>
          <w:color w:val="000000" w:themeColor="text1"/>
          <w:sz w:val="24"/>
          <w:szCs w:val="24"/>
        </w:rPr>
        <w:t xml:space="preserve">art. 57a ust. 1 </w:t>
      </w:r>
      <w:r w:rsidRPr="006B2CD4">
        <w:rPr>
          <w:rFonts w:ascii="Times New Roman" w:hAnsi="Times New Roman" w:cs="Times New Roman"/>
          <w:color w:val="000000" w:themeColor="text1"/>
          <w:sz w:val="24"/>
          <w:szCs w:val="24"/>
        </w:rPr>
        <w:t>w ustawie o dystrybucji ubezpieczeń ma na celu doprecyzowanie przepisów</w:t>
      </w:r>
      <w:r>
        <w:rPr>
          <w:rFonts w:ascii="Times New Roman" w:hAnsi="Times New Roman" w:cs="Times New Roman"/>
          <w:color w:val="000000" w:themeColor="text1"/>
          <w:sz w:val="24"/>
          <w:szCs w:val="24"/>
        </w:rPr>
        <w:t xml:space="preserve"> w zakresie w jakim dotyczą sytuacji kiedy </w:t>
      </w:r>
      <w:r w:rsidRPr="006B2CD4">
        <w:rPr>
          <w:rFonts w:ascii="Times New Roman" w:hAnsi="Times New Roman" w:cs="Times New Roman"/>
          <w:color w:val="000000" w:themeColor="text1"/>
          <w:sz w:val="24"/>
          <w:szCs w:val="24"/>
        </w:rPr>
        <w:t>umowa agencyjna z zakładem ubezpieczeń przesta</w:t>
      </w:r>
      <w:r>
        <w:rPr>
          <w:rFonts w:ascii="Times New Roman" w:hAnsi="Times New Roman" w:cs="Times New Roman"/>
          <w:color w:val="000000" w:themeColor="text1"/>
          <w:sz w:val="24"/>
          <w:szCs w:val="24"/>
        </w:rPr>
        <w:t>je</w:t>
      </w:r>
      <w:r w:rsidRPr="006B2CD4">
        <w:rPr>
          <w:rFonts w:ascii="Times New Roman" w:hAnsi="Times New Roman" w:cs="Times New Roman"/>
          <w:color w:val="000000" w:themeColor="text1"/>
          <w:sz w:val="24"/>
          <w:szCs w:val="24"/>
        </w:rPr>
        <w:t xml:space="preserve"> wiązać strony z powodów innych niż rozwiązanie umowy. Przypadki te, w takim samym stopniu uzasadniają konieczność złożenia przez zakład ubezpieczeń wniosku o wykreślenie agenta, jak w przypadku rozwiązania umowy. Należą do nich okoliczności takie jak: śmierć agenta, upływ czasu powodujący wygaśnięcie umowy agencyjnej zawartej na czas określony, zakończenie prowadzenia działalności gospodarczej przez agenta, zaprzestanie spełniania przez agenta wymogów ustawowych (w szczególności, gdy sama umowa przewiduje wygaśnięcie umowy na skutek zajścia tego rodzaju okoliczności). Obowiązek ten musi zostać spełniony nie później niż w ciągu 7 dni od dnia, w którym zakład ubezpieczeń dowiedział się o wygaśnięciu umowy. Należy zauważyć, że dotychczasowe brzmienie nie daje jednak podstawy prawnej dla zakładu ubezpieczeń do wystąpienia z wnioskiem o wykreślenie agenta z rejestru mimo, że umowa agencyjna już nie obowiązuje. Tym samym nie daje podstawy prawnej dla organu nadzoru do podjęcia środków nadzorczych mających na celu wyegzekwowanie od zakładu ubezpieczeń złożenia stosownego wniosku o wykreślenie. Zgodnie z proponowanym art. 57a ust. 2 powyższa regulacja nie będzie miała zastosowania, w sytuacji, gdy w miejsce zmarłego agenta wstępuje zarządca sukcesyjny, o którym mowa w art. 19 ust. 3a ustawy o dystrybucji ubezpieczeń.</w:t>
      </w:r>
    </w:p>
    <w:p w14:paraId="0F299056" w14:textId="77777777" w:rsidR="006318A6" w:rsidRPr="006B2CD4" w:rsidRDefault="006318A6" w:rsidP="006318A6">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W art. 19 ust. 1 ustawy o dystrybucji ubezpieczeń we wprowadzeniu do wyliczenia proponuje się ujednolicenie redakcyjne przepisów art. 19 i art. 29 ustawy o dystrybucji dotyczących osób fizycznych uprawnionych do wykonywania czynności agencyjnych/brokerskich. Uregulowanie przepisów o osobie fizycznej wykonującej czynności agencyjne (dalej „OFWCA”) na sposób osoby fizycznej wykonującej czynności brokerskie (dalej „OFWCB”) polegające na wskazaniu, że „agent ubezpieczeniowy, agent oferujący ubezpieczenia uzupełniające, zakład ubezpieczeń i zakład reasekuracji mogą wykonywać czynności wyłącznie przy pomocy osób (...)” zamiast „czynności agencyjne może wykonywać OFWCA (...)”. Obecnie ciężar obowiązku, o którym mowa art. 19 ustawy spoczywa na OFWCA a nie na agencie, zgodnie z literalnym brzmieniem przepisu. Dodatkowym uzasadnieniem wprowadzonej zmiany jest fakt, że czynności agencyjne wykonuje agent za pomocą OFWCA, i on za nią odpowiada. Konsekwencją tej zmiany jest propozycja modyfikacji brzmienia ust. 2 w art. 19 ustawy o dystrybucji ubezpieczeń poprzez dookreślenie, że osoba fizyczna, przy pomocy której agent ubezpieczeniowy i agent oferujący ubezpieczenia uzupełniające zamierza wykonywać czynności agencyjne, może wykonywać te czynności po wpisaniu jej do rejestru agentów. </w:t>
      </w:r>
    </w:p>
    <w:p w14:paraId="4892F46E" w14:textId="77777777" w:rsidR="006318A6" w:rsidRPr="006B2CD4" w:rsidRDefault="006318A6" w:rsidP="006318A6">
      <w:pPr>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Zaproponowana zmiana w art. 19 w ust. 3 w pkt 2 ustawy o dystrybucji ubezpieczeń (polegającej na dodaniu lit. c ma na celu uregulowanie kwestii spełniania wymogów ustawowych przez określone osoby, w sytuacji gdy wspólnikami agentów ubezpieczeniowych oraz agentów oferujących ubezpieczenia uzupełniające, będących spółkami nieposiadającymi osobowości prawnej, są spółki nieposiadające osobowości prawnej. Zgodnie z obecnym brzmieniem przepisu, wymogi ustawowe określone w art. 19 ust. 1 ustawy o dystrybucji ubezpieczeń, w przypadku agentów ubezpieczeniowych oraz agentów oferujących ubezpieczenia uzupełniające będących spółkami nieposiadającymi osobowości prawnej powinni spełniać: </w:t>
      </w:r>
    </w:p>
    <w:p w14:paraId="48B7FAD9" w14:textId="32867B8E" w:rsidR="006318A6" w:rsidRPr="006B2CD4" w:rsidRDefault="006318A6" w:rsidP="00457862">
      <w:pPr>
        <w:pStyle w:val="Akapitzlist"/>
        <w:numPr>
          <w:ilvl w:val="0"/>
          <w:numId w:val="4"/>
        </w:numPr>
        <w:spacing w:after="0" w:line="360" w:lineRule="auto"/>
        <w:ind w:left="426" w:hanging="426"/>
        <w:contextualSpacing w:val="0"/>
        <w:jc w:val="both"/>
        <w:rPr>
          <w:rFonts w:ascii="Times New Roman" w:hAnsi="Times New Roman" w:cs="Times New Roman"/>
          <w:sz w:val="24"/>
          <w:szCs w:val="24"/>
        </w:rPr>
      </w:pPr>
      <w:r w:rsidRPr="006B2CD4">
        <w:rPr>
          <w:rFonts w:ascii="Times New Roman" w:hAnsi="Times New Roman" w:cs="Times New Roman"/>
          <w:sz w:val="24"/>
          <w:szCs w:val="24"/>
        </w:rPr>
        <w:t xml:space="preserve">wspólnicy tych spółek, o ile są osobami fizycznymi, </w:t>
      </w:r>
    </w:p>
    <w:p w14:paraId="551F3D55" w14:textId="77777777" w:rsidR="006318A6" w:rsidRPr="006B2CD4" w:rsidRDefault="006318A6" w:rsidP="00DB03EC">
      <w:pPr>
        <w:pStyle w:val="Akapitzlist"/>
        <w:numPr>
          <w:ilvl w:val="0"/>
          <w:numId w:val="4"/>
        </w:numPr>
        <w:spacing w:after="120" w:line="360" w:lineRule="auto"/>
        <w:ind w:left="425" w:hanging="425"/>
        <w:contextualSpacing w:val="0"/>
        <w:jc w:val="both"/>
        <w:rPr>
          <w:rFonts w:ascii="Times New Roman" w:hAnsi="Times New Roman" w:cs="Times New Roman"/>
          <w:sz w:val="24"/>
          <w:szCs w:val="24"/>
        </w:rPr>
      </w:pPr>
      <w:r w:rsidRPr="006B2CD4">
        <w:rPr>
          <w:rFonts w:ascii="Times New Roman" w:hAnsi="Times New Roman" w:cs="Times New Roman"/>
          <w:sz w:val="24"/>
          <w:szCs w:val="24"/>
        </w:rPr>
        <w:t>w przypadku gdy wspólnikami tych spółek są osoby prawne – co najmniej połowa ich członków zarządu.</w:t>
      </w:r>
    </w:p>
    <w:p w14:paraId="2A80D24D" w14:textId="77777777" w:rsidR="006318A6" w:rsidRPr="006B2CD4" w:rsidRDefault="006318A6" w:rsidP="006318A6">
      <w:pPr>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Przepis w powyższym brzmieniu pomija kwestię spełniania wymogów ustawowych przez wspólników tych spółek, którzy również są spółkami nieposiadającymi osobowości prawnej. Dla przykładu, gdy wspólnikami agenta – spółki jawnej są dwie inne spółki jawne, przepis nie określa w jaki sposób agent ten winien spełniać wymogi określone w art. 19 ust. 1 ustawy o dystrybucji ubezpieczeń. Celem uzupełnienia tej luki koniecznym jest dodanie przepisu, który precyzowałby, które osoby wchodzące w skład spółek będących wspólnikami agenta, muszą spełniać te warunki.</w:t>
      </w:r>
    </w:p>
    <w:p w14:paraId="2B10A772" w14:textId="7DDF517A" w:rsidR="006318A6" w:rsidRPr="006B2CD4" w:rsidRDefault="006318A6" w:rsidP="006318A6">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W związku ze zmianą w art. 19 w ust. 3 ustawy o dystrybucji ubezpieczeń, konieczna jest również zmiana przepisu art. 55 ust. 2 pkt 7 tej ustawy dotyczącego zawartości rejestru agentów ubezpieczeniowych. Zmiana ta służy również realizacji celu prowadzenia rejestru agentów, który powinien stanowić źródło informacji o tym, które osoby spełniają wymogi określone w art. 19 ust. 1 ustawy o dystrybucji ubezpieczeń. Ponadto, przepis w obecnym brzmieniu stanowiąc, że rejestr agentów zawiera „wykaz członków zarządu agenta będącego osobą prawną” nakłada obowiązek rejestracji wszystkich członków zarządu takiego agenta, nie zaś wyłącznie spełniających wymogi ustawowe. Brak jest uzasadnienia, aby zamieszczać w rejestrze dane osób innych niż spełniające warunki konieczne do wykonywania czynności agencyjnych, a wchodzących w skład zarządu, zwłaszcza, że skład zarządu jest ujawniony w KRS. </w:t>
      </w:r>
    </w:p>
    <w:p w14:paraId="38F4813A" w14:textId="77777777" w:rsidR="006318A6" w:rsidRPr="006B2CD4" w:rsidRDefault="006318A6" w:rsidP="006318A6">
      <w:pPr>
        <w:spacing w:after="120" w:line="360" w:lineRule="auto"/>
        <w:jc w:val="both"/>
        <w:rPr>
          <w:rFonts w:ascii="Times New Roman" w:hAnsi="Times New Roman" w:cs="Times New Roman"/>
          <w:color w:val="FF0000"/>
          <w:sz w:val="24"/>
          <w:szCs w:val="24"/>
        </w:rPr>
      </w:pPr>
      <w:r w:rsidRPr="006B2CD4">
        <w:rPr>
          <w:rFonts w:ascii="Times New Roman" w:hAnsi="Times New Roman" w:cs="Times New Roman"/>
          <w:sz w:val="24"/>
          <w:szCs w:val="24"/>
        </w:rPr>
        <w:t xml:space="preserve">Dodanie </w:t>
      </w:r>
      <w:r>
        <w:rPr>
          <w:rFonts w:ascii="Times New Roman" w:hAnsi="Times New Roman" w:cs="Times New Roman"/>
          <w:sz w:val="24"/>
          <w:szCs w:val="24"/>
        </w:rPr>
        <w:t xml:space="preserve">w </w:t>
      </w:r>
      <w:r w:rsidRPr="006B2CD4">
        <w:rPr>
          <w:rFonts w:ascii="Times New Roman" w:hAnsi="Times New Roman" w:cs="Times New Roman"/>
          <w:sz w:val="24"/>
          <w:szCs w:val="24"/>
        </w:rPr>
        <w:t xml:space="preserve">art. 20 ust. 4a ustawy o dystrybucji ubezpieczeń ma na celu usunięcie wątpliwości interpretacyjnych dotyczących ponoszenia odpowiedzialności za działania OFWCA. </w:t>
      </w:r>
    </w:p>
    <w:p w14:paraId="170E6C7C" w14:textId="77777777" w:rsidR="006318A6" w:rsidRPr="006B2CD4" w:rsidRDefault="006318A6" w:rsidP="006318A6">
      <w:pPr>
        <w:spacing w:after="0" w:line="360" w:lineRule="auto"/>
        <w:jc w:val="both"/>
        <w:rPr>
          <w:rFonts w:ascii="Times New Roman" w:hAnsi="Times New Roman" w:cs="Times New Roman"/>
          <w:color w:val="000000" w:themeColor="text1"/>
          <w:sz w:val="24"/>
          <w:szCs w:val="24"/>
        </w:rPr>
      </w:pPr>
      <w:r w:rsidRPr="006B2CD4">
        <w:rPr>
          <w:rFonts w:ascii="Times New Roman" w:hAnsi="Times New Roman" w:cs="Times New Roman"/>
          <w:sz w:val="24"/>
          <w:szCs w:val="24"/>
        </w:rPr>
        <w:t xml:space="preserve">W art. 22 w ust. 5 oraz art. 32 ust. 3 ustawy o dystrybucji ubezpieczeń proponuje się dodanie odpowiednio pkt 5a i 5b oraz pkt 3a i 3b </w:t>
      </w:r>
      <w:r>
        <w:rPr>
          <w:rFonts w:ascii="Times New Roman" w:hAnsi="Times New Roman" w:cs="Times New Roman"/>
          <w:sz w:val="24"/>
          <w:szCs w:val="24"/>
        </w:rPr>
        <w:t>mających na celu</w:t>
      </w:r>
      <w:r w:rsidRPr="006B2CD4">
        <w:rPr>
          <w:rFonts w:ascii="Times New Roman" w:hAnsi="Times New Roman" w:cs="Times New Roman"/>
          <w:sz w:val="24"/>
          <w:szCs w:val="24"/>
        </w:rPr>
        <w:t xml:space="preserve"> doprecyzowani</w:t>
      </w:r>
      <w:r>
        <w:rPr>
          <w:rFonts w:ascii="Times New Roman" w:hAnsi="Times New Roman" w:cs="Times New Roman"/>
          <w:sz w:val="24"/>
          <w:szCs w:val="24"/>
        </w:rPr>
        <w:t>e</w:t>
      </w:r>
      <w:r w:rsidRPr="006B2CD4">
        <w:rPr>
          <w:rFonts w:ascii="Times New Roman" w:hAnsi="Times New Roman" w:cs="Times New Roman"/>
          <w:sz w:val="24"/>
          <w:szCs w:val="24"/>
        </w:rPr>
        <w:t xml:space="preserve">, że kwestia zachowania tajemnicy agencyjnej i tajemnicy brokerskiej dotyczy również odpowiednio OFWCA i OFWCB. Zaproponowane brzmienie </w:t>
      </w:r>
      <w:r w:rsidRPr="006B2CD4">
        <w:rPr>
          <w:rFonts w:ascii="Times New Roman" w:hAnsi="Times New Roman" w:cs="Times New Roman"/>
          <w:color w:val="000000" w:themeColor="text1"/>
          <w:sz w:val="24"/>
          <w:szCs w:val="24"/>
        </w:rPr>
        <w:t xml:space="preserve">przepisów </w:t>
      </w:r>
      <w:r>
        <w:rPr>
          <w:rFonts w:ascii="Times New Roman" w:hAnsi="Times New Roman" w:cs="Times New Roman"/>
          <w:color w:val="000000" w:themeColor="text1"/>
          <w:sz w:val="24"/>
          <w:szCs w:val="24"/>
        </w:rPr>
        <w:t>jest</w:t>
      </w:r>
      <w:r w:rsidRPr="006B2CD4">
        <w:rPr>
          <w:rFonts w:ascii="Times New Roman" w:hAnsi="Times New Roman" w:cs="Times New Roman"/>
          <w:color w:val="000000" w:themeColor="text1"/>
          <w:sz w:val="24"/>
          <w:szCs w:val="24"/>
        </w:rPr>
        <w:t xml:space="preserve"> analogiczne do rozwiązań zawartych w art. 35 ustawy o działalności ubezpieczeniowej, tj. w zakresie obowiązku zachowania tajemnicy oraz udzielenie odpowiedzi na wniosek KNF lub innego uprawnionego organu</w:t>
      </w:r>
      <w:r>
        <w:rPr>
          <w:rFonts w:ascii="Times New Roman" w:hAnsi="Times New Roman" w:cs="Times New Roman"/>
          <w:color w:val="000000" w:themeColor="text1"/>
          <w:sz w:val="24"/>
          <w:szCs w:val="24"/>
        </w:rPr>
        <w:t xml:space="preserve"> i</w:t>
      </w:r>
      <w:r w:rsidRPr="006B2CD4">
        <w:rPr>
          <w:rFonts w:ascii="Times New Roman" w:hAnsi="Times New Roman" w:cs="Times New Roman"/>
          <w:color w:val="000000" w:themeColor="text1"/>
          <w:sz w:val="24"/>
          <w:szCs w:val="24"/>
        </w:rPr>
        <w:t xml:space="preserve"> nie narusza obowiązku zachowania tej tajemnicy.</w:t>
      </w:r>
    </w:p>
    <w:p w14:paraId="1F647F6E" w14:textId="77777777" w:rsidR="006318A6" w:rsidRPr="006B2CD4" w:rsidRDefault="006318A6" w:rsidP="006318A6">
      <w:pPr>
        <w:spacing w:after="120" w:line="360" w:lineRule="auto"/>
        <w:jc w:val="both"/>
        <w:rPr>
          <w:rFonts w:ascii="Times New Roman" w:hAnsi="Times New Roman" w:cs="Times New Roman"/>
          <w:sz w:val="24"/>
          <w:szCs w:val="24"/>
        </w:rPr>
      </w:pPr>
      <w:r w:rsidRPr="006B2CD4">
        <w:rPr>
          <w:rFonts w:ascii="Times New Roman" w:hAnsi="Times New Roman" w:cs="Times New Roman"/>
          <w:color w:val="000000" w:themeColor="text1"/>
          <w:sz w:val="24"/>
          <w:szCs w:val="24"/>
        </w:rPr>
        <w:t>Z kolei, zaproponowana zmiana brzmienia art. 32 ust. 1 pkt 4 ustawy o dystrybucji ubezpieczeń umożliwi klientowi złożenie oświadczenia o rezygnacji z porady w formie</w:t>
      </w:r>
      <w:r>
        <w:rPr>
          <w:rFonts w:ascii="Times New Roman" w:hAnsi="Times New Roman" w:cs="Times New Roman"/>
          <w:color w:val="000000" w:themeColor="text1"/>
          <w:sz w:val="24"/>
          <w:szCs w:val="24"/>
        </w:rPr>
        <w:t xml:space="preserve"> dokumentowej</w:t>
      </w:r>
      <w:r w:rsidRPr="006B2CD4">
        <w:rPr>
          <w:rFonts w:ascii="Times New Roman" w:hAnsi="Times New Roman" w:cs="Times New Roman"/>
          <w:color w:val="000000" w:themeColor="text1"/>
          <w:sz w:val="24"/>
          <w:szCs w:val="24"/>
        </w:rPr>
        <w:t>. Często zdarza się, że oświadczenie o woli kontynuacji umowy u dotychczasowego ubezpieczyciela jest składane np. w korespondencji e-mailowej.</w:t>
      </w:r>
      <w:r w:rsidRPr="00293167">
        <w:t xml:space="preserve"> </w:t>
      </w:r>
      <w:r w:rsidRPr="00293167">
        <w:rPr>
          <w:rFonts w:ascii="Times New Roman" w:hAnsi="Times New Roman" w:cs="Times New Roman"/>
          <w:color w:val="000000" w:themeColor="text1"/>
          <w:sz w:val="24"/>
          <w:szCs w:val="24"/>
        </w:rPr>
        <w:t>Proponowana forma dokumentowa pozwala na dużą elastyczność w zakresie sposobu składania oświadczenia, ale jednocześnie zapewnia dowód na okoliczność jego złożenia.</w:t>
      </w:r>
    </w:p>
    <w:p w14:paraId="6D796325" w14:textId="40F95593" w:rsidR="006318A6" w:rsidRDefault="006318A6" w:rsidP="006318A6">
      <w:pPr>
        <w:spacing w:after="120" w:line="360" w:lineRule="auto"/>
        <w:jc w:val="both"/>
        <w:rPr>
          <w:rFonts w:ascii="Times New Roman" w:hAnsi="Times New Roman" w:cs="Times New Roman"/>
          <w:color w:val="000000" w:themeColor="text1"/>
          <w:sz w:val="24"/>
          <w:szCs w:val="24"/>
        </w:rPr>
      </w:pPr>
      <w:r w:rsidRPr="006B2CD4">
        <w:rPr>
          <w:rFonts w:ascii="Times New Roman" w:hAnsi="Times New Roman" w:cs="Times New Roman"/>
          <w:color w:val="000000" w:themeColor="text1"/>
          <w:sz w:val="24"/>
          <w:szCs w:val="24"/>
        </w:rPr>
        <w:t>Dodanie art. 34a oraz zmiany w art. 39 ust. 5‒8 ustawy o dystrybucji ubezpieczeń mają na celu wprowadzenie rozwiązania dotyczącego zarząd</w:t>
      </w:r>
      <w:r w:rsidR="00F067BD">
        <w:rPr>
          <w:rFonts w:ascii="Times New Roman" w:hAnsi="Times New Roman" w:cs="Times New Roman"/>
          <w:color w:val="000000" w:themeColor="text1"/>
          <w:sz w:val="24"/>
          <w:szCs w:val="24"/>
        </w:rPr>
        <w:t>cy</w:t>
      </w:r>
      <w:r w:rsidRPr="006B2CD4">
        <w:rPr>
          <w:rFonts w:ascii="Times New Roman" w:hAnsi="Times New Roman" w:cs="Times New Roman"/>
          <w:color w:val="000000" w:themeColor="text1"/>
          <w:sz w:val="24"/>
          <w:szCs w:val="24"/>
        </w:rPr>
        <w:t xml:space="preserve"> sukcesyjnego zmarłego brokera ubezpieczeniowego i brokera reasekuracyjnego oraz zwolnień zarządcy sukcesyjnego od spełnienia określonych wymogów zawartych w ustawie o dystrybucji ubezpieczeń. Dodanie art. 34a ma na celu zagwarantowanie, aby zarządca sukcesyjny nie musiał spełniać takich wymogów jak np. rękojmia należytego wykonywania działalności brokerskiej, posiadanie co najmniej wykształcenia średniego lub branżowego, czy zdanie egzaminu przed Komisją Egzaminacyjną dla Brokerów Ubezpieczeniowych i Reasekuracyjnych lub uzyskanie zwolnienia z tego egzaminu. Warunkiem odstąpienia od tych wymogów jest wykonywanie czynności brokerskich przy pomocy osób fizycznych, o których mowa w art. 29 ust.1 ustawy. W art. 39 w ust. 5‒8 ustawy o dystrybucji ubezpieczeń proponowane przepisy mają na celu doprowadzenia przedsiębiorstwa w sukcesji po osobie fizycznej do ustawowych wymogów prowadzenia działalności brokerskiej w zakresie ubezpieczeń lub reasekuracji. Powyższe będzie realizowane poprzez ustawowy obowiązek dostosowania przedsiębiorstwa do ww. wymogów oraz wskazanie terminu na to zastępcze, przejściowe dostosowanie. Biorąc pod uwagę możliwość wystąpienia sytuacji, w której zarządca sukcesyjny lub spadkobierca przedsiębiorstwa nie spełnia wymogów ustawowych do wykonywania działalności brokerskiej, przewidzianych w art. 34 ust. 4, zasadne – na okres po</w:t>
      </w:r>
      <w:r w:rsidR="007C389F">
        <w:rPr>
          <w:rFonts w:ascii="Times New Roman" w:hAnsi="Times New Roman" w:cs="Times New Roman"/>
          <w:color w:val="000000" w:themeColor="text1"/>
          <w:sz w:val="24"/>
          <w:szCs w:val="24"/>
        </w:rPr>
        <w:t xml:space="preserve"> </w:t>
      </w:r>
      <w:r w:rsidRPr="006B2CD4">
        <w:rPr>
          <w:rFonts w:ascii="Times New Roman" w:hAnsi="Times New Roman" w:cs="Times New Roman"/>
          <w:color w:val="000000" w:themeColor="text1"/>
          <w:sz w:val="24"/>
          <w:szCs w:val="24"/>
        </w:rPr>
        <w:t>śmierci brokera ubezpieczeniowego lub brokera reasekuracyjnego – jest wprowadzenie możliwości określonych w proponowanych ww. przepisach ust. 6 i 7 dla spadkobiercy lub zarząd</w:t>
      </w:r>
      <w:r w:rsidR="00F067BD">
        <w:rPr>
          <w:rFonts w:ascii="Times New Roman" w:hAnsi="Times New Roman" w:cs="Times New Roman"/>
          <w:color w:val="000000" w:themeColor="text1"/>
          <w:sz w:val="24"/>
          <w:szCs w:val="24"/>
        </w:rPr>
        <w:t>cy</w:t>
      </w:r>
      <w:r w:rsidRPr="006B2CD4">
        <w:rPr>
          <w:rFonts w:ascii="Times New Roman" w:hAnsi="Times New Roman" w:cs="Times New Roman"/>
          <w:color w:val="000000" w:themeColor="text1"/>
          <w:sz w:val="24"/>
          <w:szCs w:val="24"/>
        </w:rPr>
        <w:t xml:space="preserve"> sukcesyjnego, celem zapewnienia profesjonalnej obsługi ze strony brokera. Proponowanym skutkiem braku działania we wskazanym zakresie byłoby wygaśnięcie zezwolenia (ust. 8).</w:t>
      </w:r>
    </w:p>
    <w:p w14:paraId="20020EB1" w14:textId="77777777" w:rsidR="00B0353A" w:rsidRDefault="00AD182F" w:rsidP="006318A6">
      <w:pPr>
        <w:spacing w:after="120" w:line="360" w:lineRule="auto"/>
        <w:jc w:val="both"/>
        <w:rPr>
          <w:rFonts w:ascii="Times New Roman" w:hAnsi="Times New Roman" w:cs="Times New Roman"/>
          <w:color w:val="000000" w:themeColor="text1"/>
          <w:sz w:val="24"/>
          <w:szCs w:val="24"/>
        </w:rPr>
      </w:pPr>
      <w:r w:rsidRPr="00AD182F">
        <w:rPr>
          <w:rFonts w:ascii="Times New Roman" w:hAnsi="Times New Roman" w:cs="Times New Roman"/>
          <w:color w:val="000000" w:themeColor="text1"/>
          <w:sz w:val="24"/>
          <w:szCs w:val="24"/>
        </w:rPr>
        <w:t>Proponowana regulacja stanowi uzupełnienie rozwiązań przewidzianych w ustawie o zarządzie sukcesyjnym w zakresie specyfiki działalności brokerskiej, natomiast w żadnym przypadku nie wyklucza rozwiązań wynikających z ustawy o zarządzie sukcesyjnym.</w:t>
      </w:r>
      <w:r>
        <w:rPr>
          <w:rFonts w:ascii="Times New Roman" w:hAnsi="Times New Roman" w:cs="Times New Roman"/>
          <w:color w:val="000000" w:themeColor="text1"/>
          <w:sz w:val="24"/>
          <w:szCs w:val="24"/>
        </w:rPr>
        <w:t xml:space="preserve"> </w:t>
      </w:r>
      <w:r w:rsidRPr="00AD182F">
        <w:rPr>
          <w:rFonts w:ascii="Times New Roman" w:hAnsi="Times New Roman" w:cs="Times New Roman"/>
          <w:color w:val="000000" w:themeColor="text1"/>
          <w:sz w:val="24"/>
          <w:szCs w:val="24"/>
        </w:rPr>
        <w:t>Pro</w:t>
      </w:r>
      <w:r>
        <w:rPr>
          <w:rFonts w:ascii="Times New Roman" w:hAnsi="Times New Roman" w:cs="Times New Roman"/>
          <w:color w:val="000000" w:themeColor="text1"/>
          <w:sz w:val="24"/>
          <w:szCs w:val="24"/>
        </w:rPr>
        <w:t xml:space="preserve">jektowany </w:t>
      </w:r>
      <w:r w:rsidRPr="00AD182F">
        <w:rPr>
          <w:rFonts w:ascii="Times New Roman" w:hAnsi="Times New Roman" w:cs="Times New Roman"/>
          <w:color w:val="000000" w:themeColor="text1"/>
          <w:sz w:val="24"/>
          <w:szCs w:val="24"/>
        </w:rPr>
        <w:t>przepis art. 34a ust. 1 odnosi się do kwestii sukcesji ogółem – zarówno w zakresie zezwoleń wydanych dla osób prawnych, jak i osób fizycznych. W obowiązujących przepisach ustawy o dystrybucji ubezpieczeń brak jest wskazania, że zezwolenia wydane osobom prawnym nie podlegają sukcesji, jak np. w przypadku przejęcia przez spółkę kapitałową przedsiębiorstwa brokera ubezpieczeniowego lub reasekuracyjnego działającego jako osoba prawna. Natomiast kolejne proponowane przepisy dotyczące sukcesji po zmarłym brokerze ubezpieczeniowym lub reasekuracyjnym w żaden sposób nie kolidują z przepisami ustawy o zarządzie sukcesyjnym (…). Odnosząc się do problematyki zezwoleń na wykonywanie działalności brokerskiej w zakresie ubezpieczeń lub reasekuracji należy wskazać, iż ustawa o zarządzie sukcesyjnym przewiduje w art. 38 możliwość złożenia przez zarządcę sukcesyjnego do organu nadzoru wniosku o potwierdzenie możliwości wykonywania decyzji – decyzji zezwalającej wykonywanie działalności brokerskiej w terminie 3 miesięcy od dnia ustanowienia zarządu sukcesyjnego. Natomiast w myśl art. 42 ustawy o zarządzie sukcesyjnym właściciel przedsiębiorstwa w spadku może złożyć do organu nadzoru, który wydał decyzję związaną z przedsiębiorstwem – decyzje zezwalającą na wykonywanie działalności brokerskiej, wniosek o przeniesienie na niego tej decyzji w terminie 6 miesięcy od dnia śmierci przedsiębiorcy, jeśli nie został ustanowiony zarząd sukcesyjny albo od dnia wygaśnięcia zarządu sukcesyjnego. Tym samym decyzje w ww. sprawach mogą być wydane dopiero po około 6 miesiącach od daty śmierci brokera. Natomiast proponowane przepisy art. 39 ust. 6 – 8 dotyczą innej kwestii – zapewnienia profesjonalnej obsługi klientów brokera w postaci osoby wykonującej czynności brokerskie w imieniu brokera, spełniającej określone wymogi ustawowe, tj. zgodnie z art. 29 ustawy o dystrybucji ubezpieczeń. Reasumując, proponowane przepisy umożliwiałyby stwierdzenie wygaśnięcia zezwolenia we wcześniejszym terminie niż wynika to z ustawy o zarządzie sukcesyjnym (art. 37), z uwagi na priorytet zapewnienia profesjonalnej obsługi klienta brokera wynikający z przepisów ustawy o dystrybucji ubezpieczeń.</w:t>
      </w:r>
      <w:r>
        <w:rPr>
          <w:rFonts w:ascii="Times New Roman" w:hAnsi="Times New Roman" w:cs="Times New Roman"/>
          <w:color w:val="000000" w:themeColor="text1"/>
          <w:sz w:val="24"/>
          <w:szCs w:val="24"/>
        </w:rPr>
        <w:t xml:space="preserve"> </w:t>
      </w:r>
    </w:p>
    <w:p w14:paraId="64DD6785" w14:textId="24565491" w:rsidR="006318A6" w:rsidRPr="006B2CD4" w:rsidRDefault="006318A6" w:rsidP="006318A6">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W art. 40 ustawy o dystrybucji ubezpieczeń proponuje się uregulowanie na poziomie ustawy oraz ujednolicenie regulacji związanych z zapewnieniem obsługi komisji egzaminacyjnej dla brokerów ubezpieczeniowych i reasekuracyjnych przez UKNF (dodanie ust. 6a). Przepisy ustaw sektorowych stanowią, że UKNF prowadzi obsługę odpowiednich komisji egzaminacyjnych przeprowadzających egzaminy na aktuariuszy, na maklerów papierów wartościowych, doradców inwestycyjnych, agentów firm inwestycyjnych, maklerów giełd towarowych oraz za egzaminy uzupełniające na pośrednika kredytu hipotecznego. W odniesieniu do komisji egzaminacyjnej dla brokerów ubezpieczeniowych i reasekuracyjnych analogiczny przepis nie został określony w ustawie o dystrybucji ubezpieczeń, a w akcie wykonawczym – w § 28 rozporządzenia Ministra Finansów z dnia 23 kwietnia 2019 r. w sprawie egzaminu dla brokerów ubezpieczeniowych i reasekuracyjnych oraz Komisji Egzaminacyjnej dla Brokerów Ubezpieczeniowych i Reasekuracyjnych (Dz. U. poz. 879). Na potrzebę regulacji ustawowej wskazywało Rządowe Centrum Legislacji podczas prac nad tym rozporządzeniem.</w:t>
      </w:r>
    </w:p>
    <w:p w14:paraId="1CD93482" w14:textId="77777777" w:rsidR="006318A6" w:rsidRPr="006B2CD4" w:rsidRDefault="006318A6" w:rsidP="006318A6">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Dodanie w art. 52 ustawy o dystrybucji ubezpieczeń ust. 4a ma na celu umożliwienie pozyskiwania przez zakłady ubezpieczeń, </w:t>
      </w:r>
      <w:r w:rsidRPr="006B2CD4">
        <w:rPr>
          <w:rFonts w:ascii="Times New Roman" w:hAnsi="Times New Roman" w:cs="Times New Roman"/>
          <w:color w:val="000000" w:themeColor="text1"/>
          <w:sz w:val="24"/>
          <w:szCs w:val="24"/>
        </w:rPr>
        <w:t xml:space="preserve">nie częściej niż raz na kwartał, zbiorczej informacji o aktualnych wpisach w rejestrze agentów, objętych wpisem danego zakładu. Konsekwencją powyższej propozycji będzie zmiana upoważnienia ustawowego do wydania rozporządzenia, o którym mowa w art. 52 ust. 10 ustawy o dystrybucji ubezpieczeń. </w:t>
      </w:r>
    </w:p>
    <w:p w14:paraId="53C014E0" w14:textId="77777777" w:rsidR="006318A6" w:rsidRPr="006B2CD4" w:rsidRDefault="006318A6" w:rsidP="006318A6">
      <w:pPr>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Dodanie w art. 53 ust. 2 i 3 oraz dodanie art. 57b w ustawie o dystrybucji ubezpieczeń ma na celu wprowadzenie możliwości zamknięcia wpisu w rejestrze pośredników ubezpieczeniowych </w:t>
      </w:r>
      <w:r>
        <w:rPr>
          <w:rFonts w:ascii="Times New Roman" w:hAnsi="Times New Roman" w:cs="Times New Roman"/>
          <w:sz w:val="24"/>
          <w:szCs w:val="24"/>
        </w:rPr>
        <w:t>w takich przypadkach</w:t>
      </w:r>
      <w:r w:rsidRPr="00D63FAB">
        <w:t xml:space="preserve"> </w:t>
      </w:r>
      <w:r>
        <w:rPr>
          <w:rFonts w:ascii="Times New Roman" w:hAnsi="Times New Roman" w:cs="Times New Roman"/>
          <w:sz w:val="24"/>
          <w:szCs w:val="24"/>
        </w:rPr>
        <w:t>jak c</w:t>
      </w:r>
      <w:r w:rsidRPr="00D63FAB">
        <w:rPr>
          <w:rFonts w:ascii="Times New Roman" w:hAnsi="Times New Roman" w:cs="Times New Roman"/>
          <w:sz w:val="24"/>
          <w:szCs w:val="24"/>
        </w:rPr>
        <w:t>ofnięci</w:t>
      </w:r>
      <w:r>
        <w:rPr>
          <w:rFonts w:ascii="Times New Roman" w:hAnsi="Times New Roman" w:cs="Times New Roman"/>
          <w:sz w:val="24"/>
          <w:szCs w:val="24"/>
        </w:rPr>
        <w:t>e</w:t>
      </w:r>
      <w:r w:rsidRPr="00D63FAB">
        <w:rPr>
          <w:rFonts w:ascii="Times New Roman" w:hAnsi="Times New Roman" w:cs="Times New Roman"/>
          <w:sz w:val="24"/>
          <w:szCs w:val="24"/>
        </w:rPr>
        <w:t xml:space="preserve"> zezwolenia zakładowi ubezpieczeń na wykonywanie działalności ubezpieczeniowej</w:t>
      </w:r>
      <w:r>
        <w:rPr>
          <w:rFonts w:ascii="Times New Roman" w:hAnsi="Times New Roman" w:cs="Times New Roman"/>
          <w:sz w:val="24"/>
          <w:szCs w:val="24"/>
        </w:rPr>
        <w:t xml:space="preserve">, zaprzestania takiej </w:t>
      </w:r>
      <w:r w:rsidRPr="00D63FAB">
        <w:rPr>
          <w:rFonts w:ascii="Times New Roman" w:hAnsi="Times New Roman" w:cs="Times New Roman"/>
          <w:sz w:val="24"/>
          <w:szCs w:val="24"/>
        </w:rPr>
        <w:t>działalności</w:t>
      </w:r>
      <w:r>
        <w:rPr>
          <w:rFonts w:ascii="Times New Roman" w:hAnsi="Times New Roman" w:cs="Times New Roman"/>
          <w:sz w:val="24"/>
          <w:szCs w:val="24"/>
        </w:rPr>
        <w:t xml:space="preserve">, czy </w:t>
      </w:r>
      <w:r w:rsidRPr="00B10521">
        <w:rPr>
          <w:rFonts w:ascii="Times New Roman" w:hAnsi="Times New Roman" w:cs="Times New Roman"/>
          <w:sz w:val="24"/>
          <w:szCs w:val="24"/>
        </w:rPr>
        <w:t>połączenia zakładów ubezpieczeń</w:t>
      </w:r>
      <w:r w:rsidRPr="006B2CD4">
        <w:rPr>
          <w:rFonts w:ascii="Times New Roman" w:hAnsi="Times New Roman" w:cs="Times New Roman"/>
          <w:sz w:val="24"/>
          <w:szCs w:val="24"/>
        </w:rPr>
        <w:t>.</w:t>
      </w:r>
      <w:r w:rsidRPr="006B2CD4">
        <w:rPr>
          <w:rFonts w:ascii="Times New Roman" w:hAnsi="Times New Roman" w:cs="Times New Roman"/>
          <w:b/>
          <w:sz w:val="24"/>
          <w:szCs w:val="24"/>
        </w:rPr>
        <w:t xml:space="preserve"> </w:t>
      </w:r>
      <w:r w:rsidRPr="006B2CD4">
        <w:rPr>
          <w:rFonts w:ascii="Times New Roman" w:hAnsi="Times New Roman" w:cs="Times New Roman"/>
          <w:sz w:val="24"/>
          <w:szCs w:val="24"/>
        </w:rPr>
        <w:t>Obecnie przepisy ustawy o dystrybucji ubezpieczeń dopuszczają wykreślenie agenta z rejestru pośredników ubezpieczeniowych (dalej „RPU”) przez organ nadzoru jedynie na wniosek zakładu ubezpieczeń. W żaden sposób nie wskazują jednak właściwego trybu takiego działania w sytuacji zaprzestania przez zakład ubezpieczeń prowadzeni</w:t>
      </w:r>
      <w:r>
        <w:rPr>
          <w:rFonts w:ascii="Times New Roman" w:hAnsi="Times New Roman" w:cs="Times New Roman"/>
          <w:sz w:val="24"/>
          <w:szCs w:val="24"/>
        </w:rPr>
        <w:t>a</w:t>
      </w:r>
      <w:r w:rsidRPr="006B2CD4">
        <w:rPr>
          <w:rFonts w:ascii="Times New Roman" w:hAnsi="Times New Roman" w:cs="Times New Roman"/>
          <w:sz w:val="24"/>
          <w:szCs w:val="24"/>
        </w:rPr>
        <w:t xml:space="preserve"> działalności. Należy również uwzględnić, iż zgodnie z art. 52 ust. 4 ustawy o dystrybucji ubezpieczeń rejestr jest jawny w zakresie aktualnych danych, o których mowa w art. 55 ust. 1‒3 ww. ustawy, z wyłączeniem wskazanych informacji. Zgodnie z § 7 ust. 1 rozporządzenia Ministra Finansów z dnia 27 grudnia 2018 r. w sprawie prowadzenia rejestru pośredników ubezpieczeniowych oraz udostępniania informacji z tego rejestru (Dz. U. poz. 2467) dane, o których mowa w art. 52 ust. 4 ustawy o dystrybucji ubezpieczeń, są udostępniane za pośrednictwem strony internetowej organu nadzoru. Ujawniane dane powinny być zgodne ze stanem faktycznym, stąd na organie nadzoru ciąży dodatkowy obowiązek zapewnienia zgodności danych rejestrowych ze stanem faktycznym. Zatem niewątpliwie zasadne jest przyznanie organowi nadzoru uprawnienia dającego możliwość dokonania „z urzędu” wykreślenia agenta z RPU w przypadku, kiedy zakład ubezpieczeń przed zakończeniem swojej działalności nie dopełnił obowiązku złożenia wniosków o wykreślenie agentów wpisanych na jego wniosek w RPU. Dla prawidłowego uwzględnienia proponowanego rozwiązania tj. dającego organowi nadzoru uprawnienie skuteczne i realizowalne konieczna jest właściwa identyfikacja przypadków, gdy tego typu reakcja nadzorcza byłaby trafna. Z pewnością należy wziąć pod uwagę przypadek decyzji ostatecznej w przedmiocie cofnięcia zezwolenia na prowadzenie działalności zakładowi ubezpieczeń. Zgodnie </w:t>
      </w:r>
      <w:r>
        <w:rPr>
          <w:rFonts w:ascii="Times New Roman" w:hAnsi="Times New Roman" w:cs="Times New Roman"/>
          <w:sz w:val="24"/>
          <w:szCs w:val="24"/>
        </w:rPr>
        <w:t xml:space="preserve">z </w:t>
      </w:r>
      <w:r w:rsidRPr="006B2CD4">
        <w:rPr>
          <w:rFonts w:ascii="Times New Roman" w:hAnsi="Times New Roman" w:cs="Times New Roman"/>
          <w:sz w:val="24"/>
          <w:szCs w:val="24"/>
        </w:rPr>
        <w:t>proponowanym art. 57b ust. 2 ustawy o dystrybucji ubezpieczeń organ nadzoru jest zobowiązany poinformować agenta ubezpieczeniowego oraz agenta oferującego ubezpieczenia uzupełniające o jego wykreśleniu, nie później niż w terminie 7 dni od dnia wykreślenia.</w:t>
      </w:r>
    </w:p>
    <w:p w14:paraId="0AEDB151" w14:textId="56CA98D6" w:rsidR="006318A6" w:rsidRPr="006B2CD4" w:rsidRDefault="006318A6" w:rsidP="006318A6">
      <w:pPr>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Możliwość wykreślenia agenta z RPU przez organ nadzoru zasadne jest również w sytuacji poinformowania przez macierzysty organ nadzoru państwa członkowskiego UE sprawującego nadzór nad zakładem ubezpieczeń o zaprzestaniu prowadzenia działalności ubezpieczeniowej na terytorium Rzeczypospolitej Polskiej, uregulowanej w art. 206 i art. 207 ustawy o działalności ubezpieczeniowej i reasekuracyjnej. </w:t>
      </w:r>
    </w:p>
    <w:p w14:paraId="5BB81F08" w14:textId="4C8A1576" w:rsidR="006318A6" w:rsidRPr="006B2CD4" w:rsidRDefault="006318A6" w:rsidP="006318A6">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Biorąc pod uwagę praktykę nadzorczą, zasadnym jest również umożliwienie wykreślenia agenta z RPU przez organ nadzoru w przypadku połączenia się zakładów ubezpieczeń na podstawie art. 292 i następnych ustawy o działalności ubez</w:t>
      </w:r>
      <w:r w:rsidR="00457862">
        <w:rPr>
          <w:rFonts w:ascii="Times New Roman" w:hAnsi="Times New Roman" w:cs="Times New Roman"/>
          <w:sz w:val="24"/>
          <w:szCs w:val="24"/>
        </w:rPr>
        <w:t>pieczeniowej i reasekuracyjnej –</w:t>
      </w:r>
      <w:r w:rsidRPr="006B2CD4">
        <w:rPr>
          <w:rFonts w:ascii="Times New Roman" w:hAnsi="Times New Roman" w:cs="Times New Roman"/>
          <w:sz w:val="24"/>
          <w:szCs w:val="24"/>
        </w:rPr>
        <w:t xml:space="preserve"> w odniesieniu do agentów zakładu przejmowanego (dodawany w art. 53 ust. 2 ustawy o dystrybucji ubezpieczeń). Tego typu sytuacje wymagają uwzględnienia brzmienia regulacji określonych w k.s.h., dotyczących skutków łączenia się między sobą spółek kapitałowych, w tym w szczególności regulacji przewidzianych w art. 494 § 1‒2 k.s.h., określających zasady sukcesji uniwersalnej praw i obowiązków wynikających ze stosunków cywilnych oraz ze stosunków administracyjnoprawnych. Stosownie do treści art. 494 § 1 k.s.h., spółka przejmująca albo spółka nowo zawiązana wstępuje z dniem połączenia we wszystkie prawa i obowiązki spółki przejmowanej albo spółek łączących się przez zawiązanie nowej spółki. W myśl powołanego przepisu połączenie dwóch spółek implikuje skutek w postaci sukcesji uniwersalnej. Z dniem połączenia spółek, podmiot przejmujący wstąpi we wszystkie prawa i obowiązki spółki przejmowanej, w tym również wynikające z umów agencyjnych, a zatem stanie się stroną tych umów z mocy prawa bez potrzeby składania w tym zakresie odrębnego oświadczenia woli. Skutek sukcesji uniwersalnej w zakresie stosunków administracyjnoprawnych reguluje art. 494 § 2 k.s.h., stosownie do którego na spółkę przejmującą albo spółkę nowo zawiązaną przechodzą z dniem połączenia w szczególności zezwolenia, koncesje oraz ulgi, które zostały przyznane spółce przejmowanej albo którejkolwiek ze spółek łączących się przez zawiązanie nowej spółki, chyba że ustawa lub decyzja o udzieleniu zezwolenia, koncesji lub ulgi stanowi inaczej. Powołany przepis powoduje konieczność zidentyfikowania procesów będących odwzorowaniem uprawnień wynikających z sukcesji uniwersalnej na gruncie regulacji</w:t>
      </w:r>
      <w:r w:rsidRPr="006B2CD4">
        <w:rPr>
          <w:rFonts w:ascii="Times New Roman" w:hAnsi="Times New Roman" w:cs="Times New Roman"/>
          <w:b/>
          <w:sz w:val="24"/>
          <w:szCs w:val="24"/>
        </w:rPr>
        <w:t xml:space="preserve"> </w:t>
      </w:r>
      <w:r w:rsidRPr="006B2CD4">
        <w:rPr>
          <w:rFonts w:ascii="Times New Roman" w:hAnsi="Times New Roman" w:cs="Times New Roman"/>
          <w:sz w:val="24"/>
          <w:szCs w:val="24"/>
        </w:rPr>
        <w:t>prawnych z zakresu pośrednictwa ubezpieczeniowego. Obecnie obowiązujące regulacje, tj. zarówno ustawa o dystrybucji ubezpieczeń, jak również akty wykonawcze do tej ustawy nie normują trybu postępowania rejestrowego w przypadku połączenia się podmiotów. Częstotliwość występowania takich przypadków jest bardzo niska, niemniej realizacja tego typu procesu w ramach uregulowanych w ustawie o dystrybucji ubezpieczeń trybów wnioskowania przez zakłady ubezpieczeń jest bardzo skomplikowana i niejasna. Zwłaszcza w przypadku podmiotów o rozbudowanej historii danych rejestrowych, agentów działających na rzecz więcej niż jednego zakładu ubezpieczeń oraz osób wykonujących czynności agencyjne objętych wpisem wielu zakładów w kontekście różnych bądź tych samych agentów. Stąd proponuje się uwzględnienie w ustawie o dystrybucji ubezpieczeń, na wzór rozwiązań stosowanych np. na rynku kapitałowym (art. 12a ustawy o nadzorze nad rynkiem kapitałowym: czynność prawna mająca za przedmiot przedsiębiorstwo w rozumieniu k.c. nie obejmuje wchodzących w skład tego przedsiębiorstwa zezwoleń, ani zgód udzielonych przez KNF oraz wpisów do rejestrów uzyskanych na podstawie ustawy o obrocie instrumentami finansowymi, ustawy o ofercie publicznej oraz ustawy o funduszach inwestycyjnych; art. 192 ust. 10 ustawy o funduszach inwestycyjnych. W przypadku połączenia lub podziału podmiotu innego niż bank krajowy zezwolenie, o którym mowa w ust. 1, nie przechodzi na spółkę przejmującą lub spółkę nowo zawiązaną powstałą w związku z połączeni</w:t>
      </w:r>
      <w:r w:rsidR="00AF6F68">
        <w:rPr>
          <w:rFonts w:ascii="Times New Roman" w:hAnsi="Times New Roman" w:cs="Times New Roman"/>
          <w:sz w:val="24"/>
          <w:szCs w:val="24"/>
        </w:rPr>
        <w:t>em lub podziałem tego podmiotu,</w:t>
      </w:r>
      <w:r w:rsidRPr="006B2CD4">
        <w:rPr>
          <w:rFonts w:ascii="Times New Roman" w:hAnsi="Times New Roman" w:cs="Times New Roman"/>
          <w:sz w:val="24"/>
          <w:szCs w:val="24"/>
        </w:rPr>
        <w:t xml:space="preserve"> </w:t>
      </w:r>
      <w:r w:rsidR="00AF6F68">
        <w:rPr>
          <w:rFonts w:ascii="Times New Roman" w:hAnsi="Times New Roman" w:cs="Times New Roman"/>
          <w:sz w:val="24"/>
          <w:szCs w:val="24"/>
        </w:rPr>
        <w:t>r</w:t>
      </w:r>
      <w:r w:rsidRPr="006B2CD4">
        <w:rPr>
          <w:rFonts w:ascii="Times New Roman" w:hAnsi="Times New Roman" w:cs="Times New Roman"/>
          <w:sz w:val="24"/>
          <w:szCs w:val="24"/>
        </w:rPr>
        <w:t xml:space="preserve">ozwiązania wyłączającego sukcesję uniwersalną w odniesieniu do wpisu do rejestru agentów. Powyższe unormowałoby jednolicie zasady działania zakładów ubezpieczeń w tym obszarze na poziomie ustawowej wytycznej. Jak wskazano powyżej postulowana regulacja, poza elementem o charakterze administracyjnym, nie ingeruje w uniwersalizm sukcesji, w tym zwłaszcza w obszarze praw i obowiązków wynikających ze stosunków cywilnych. Zasada wprowadzana w art. 53 ust. 3 ustawy o dystrybucji ubezpieczeń wymaga ograniczenia w przypadku przymusowej restrukturyzacji banku będącego agentem, dokonanej na podstawie decyzji, o której mowa w art. 174 ust. 1 pkt 1 i 2 </w:t>
      </w:r>
      <w:r w:rsidRPr="00BE65E0">
        <w:rPr>
          <w:rFonts w:ascii="Times New Roman" w:hAnsi="Times New Roman" w:cs="Times New Roman"/>
          <w:sz w:val="24"/>
          <w:szCs w:val="24"/>
        </w:rPr>
        <w:t xml:space="preserve">2 albo w art. 188 ust. 1 </w:t>
      </w:r>
      <w:r w:rsidRPr="006B2CD4">
        <w:rPr>
          <w:rFonts w:ascii="Times New Roman" w:hAnsi="Times New Roman" w:cs="Times New Roman"/>
          <w:sz w:val="24"/>
          <w:szCs w:val="24"/>
        </w:rPr>
        <w:t>ustawy o Bankowym Funduszu Gwarancyjnym, systemie gwarantowania depozytów oraz przymusowej restrukturyzacji. Za takim podejściem przemawia wbudowany w ustawę o Bankowym Funduszu Gwarancyjnym mechanizm przymusowej restrukturyzacji i jej cele. We wskazanym w decyzji BFG dniu przejęcia przez podmiot przejmujący przedsiębiorstwa podmiotu w restrukturyzacji</w:t>
      </w:r>
      <w:r w:rsidRPr="00BE65E0">
        <w:t xml:space="preserve"> </w:t>
      </w:r>
      <w:r w:rsidRPr="00BE65E0">
        <w:rPr>
          <w:rFonts w:ascii="Times New Roman" w:hAnsi="Times New Roman" w:cs="Times New Roman"/>
          <w:sz w:val="24"/>
          <w:szCs w:val="24"/>
        </w:rPr>
        <w:t>albo instytucj</w:t>
      </w:r>
      <w:r>
        <w:rPr>
          <w:rFonts w:ascii="Times New Roman" w:hAnsi="Times New Roman" w:cs="Times New Roman"/>
          <w:sz w:val="24"/>
          <w:szCs w:val="24"/>
        </w:rPr>
        <w:t>ę</w:t>
      </w:r>
      <w:r w:rsidRPr="00BE65E0">
        <w:rPr>
          <w:rFonts w:ascii="Times New Roman" w:hAnsi="Times New Roman" w:cs="Times New Roman"/>
          <w:sz w:val="24"/>
          <w:szCs w:val="24"/>
        </w:rPr>
        <w:t xml:space="preserve"> pomostow</w:t>
      </w:r>
      <w:r>
        <w:rPr>
          <w:rFonts w:ascii="Times New Roman" w:hAnsi="Times New Roman" w:cs="Times New Roman"/>
          <w:sz w:val="24"/>
          <w:szCs w:val="24"/>
        </w:rPr>
        <w:t>ą</w:t>
      </w:r>
      <w:r w:rsidRPr="006B2CD4">
        <w:rPr>
          <w:rFonts w:ascii="Times New Roman" w:hAnsi="Times New Roman" w:cs="Times New Roman"/>
          <w:sz w:val="24"/>
          <w:szCs w:val="24"/>
        </w:rPr>
        <w:t>, na mocy decyzji BFG, powinno dojść do przejęcia funkcji agenta zakładów ubezpieczeń pełnionych przez bank przejmowany. Ustawa o dystrybucji ubezpieczeń określa wszelkie wymogi dotyczące pośrednika ubezpieczeniowego, w tym agenta ubezpieczeniowego oraz jego wpisu w RPU. Wpis do rejestru agentów może nastąpić wyłącznie w wyniku złożenia przez zakład ubezpieczeń stosownego wniosku. Stąd zasadne jest wskazanie, iż również w tym przypadku wpis w rejestrze agentów następuje w sposób określony w art. 53 ustawy o dystrybucji ubezpieczeń (w sytuacji, w której agent nie posiada wpisu dla zakładu, dla którego wpisany był agent przejmowany) lub art. 56 ust. 2 ustawy o dystrybucji ubezpieczeń (w sytuacji zmiany danych agenta poprzez dodanie OFWCA agenta przejmowanego).</w:t>
      </w:r>
    </w:p>
    <w:p w14:paraId="418B4EFF" w14:textId="5AFD64B9" w:rsidR="006318A6" w:rsidRPr="006B2CD4" w:rsidRDefault="006318A6" w:rsidP="006318A6">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Dodanie w art. 55 ustawy o dystrybucji ubezpieczeń ust. 2a zakłada uzupełnieni</w:t>
      </w:r>
      <w:r w:rsidR="00AD182F">
        <w:rPr>
          <w:rFonts w:ascii="Times New Roman" w:hAnsi="Times New Roman" w:cs="Times New Roman"/>
          <w:sz w:val="24"/>
          <w:szCs w:val="24"/>
        </w:rPr>
        <w:t>e</w:t>
      </w:r>
      <w:r w:rsidRPr="006B2CD4">
        <w:rPr>
          <w:rFonts w:ascii="Times New Roman" w:hAnsi="Times New Roman" w:cs="Times New Roman"/>
          <w:sz w:val="24"/>
          <w:szCs w:val="24"/>
        </w:rPr>
        <w:t xml:space="preserve"> rejestru agentów o informacje o adresie poczty elektronicznej agenta ubezpieczeniowego i agenta oferującego ubezpieczenia. Dodanie do rejestru agentów informacji o adresie poczty elektronicznej wychodzi na przeciw potrzebie usprawnienia komunikacji między UKNF a agentami, w szczególności w sytuacjach utrudnionego kontaktu z agentem, za pomocą tradycyjnych środków komunikacji. Dane rejestrowe zawierające adres poczty elektronicznej nie będą jawne. Adres poczty elektronicznej w rejestrze agentów będzie tożsamy z adresem poczty elektronicznej agenta, o którym mowa odpowiednio w art. 38 pkt 1a ustawy z dnia 20 sierpnia 1997 r. o Krajowym Rejestrze Sądowym (Dz. U. </w:t>
      </w:r>
      <w:r w:rsidRPr="006B2CD4">
        <w:rPr>
          <w:rStyle w:val="markedcontent"/>
          <w:rFonts w:ascii="Times New Roman" w:hAnsi="Times New Roman" w:cs="Times New Roman"/>
          <w:sz w:val="24"/>
          <w:szCs w:val="24"/>
        </w:rPr>
        <w:t>z 202</w:t>
      </w:r>
      <w:r w:rsidR="005234C2">
        <w:rPr>
          <w:rStyle w:val="markedcontent"/>
          <w:rFonts w:ascii="Times New Roman" w:hAnsi="Times New Roman" w:cs="Times New Roman"/>
          <w:sz w:val="24"/>
          <w:szCs w:val="24"/>
        </w:rPr>
        <w:t>3</w:t>
      </w:r>
      <w:r w:rsidRPr="006B2CD4">
        <w:rPr>
          <w:rStyle w:val="markedcontent"/>
          <w:rFonts w:ascii="Times New Roman" w:hAnsi="Times New Roman" w:cs="Times New Roman"/>
          <w:sz w:val="24"/>
          <w:szCs w:val="24"/>
        </w:rPr>
        <w:t xml:space="preserve"> r. poz. 68</w:t>
      </w:r>
      <w:r w:rsidR="005234C2">
        <w:rPr>
          <w:rStyle w:val="markedcontent"/>
          <w:rFonts w:ascii="Times New Roman" w:hAnsi="Times New Roman" w:cs="Times New Roman"/>
          <w:sz w:val="24"/>
          <w:szCs w:val="24"/>
        </w:rPr>
        <w:t xml:space="preserve">5, </w:t>
      </w:r>
      <w:r w:rsidR="005234C2" w:rsidRPr="006B2CD4">
        <w:rPr>
          <w:rFonts w:ascii="Times New Roman" w:hAnsi="Times New Roman" w:cs="Times New Roman"/>
          <w:sz w:val="24"/>
          <w:szCs w:val="24"/>
        </w:rPr>
        <w:t>z późn. zm.</w:t>
      </w:r>
      <w:r w:rsidRPr="006B2CD4">
        <w:rPr>
          <w:rStyle w:val="markedcontent"/>
          <w:rFonts w:ascii="Times New Roman" w:hAnsi="Times New Roman" w:cs="Times New Roman"/>
          <w:sz w:val="24"/>
          <w:szCs w:val="24"/>
        </w:rPr>
        <w:t xml:space="preserve">) </w:t>
      </w:r>
      <w:r w:rsidRPr="006B2CD4">
        <w:rPr>
          <w:rFonts w:ascii="Times New Roman" w:hAnsi="Times New Roman" w:cs="Times New Roman"/>
          <w:sz w:val="24"/>
          <w:szCs w:val="24"/>
        </w:rPr>
        <w:t xml:space="preserve">albo w art. 5 ust. 1 pkt 7 ustawy z dnia 6 marca 2018 r. </w:t>
      </w:r>
      <w:r w:rsidRPr="006B2CD4">
        <w:rPr>
          <w:rStyle w:val="markedcontent"/>
          <w:rFonts w:ascii="Times New Roman" w:hAnsi="Times New Roman" w:cs="Times New Roman"/>
          <w:sz w:val="24"/>
          <w:szCs w:val="24"/>
        </w:rPr>
        <w:t>o Centralnej Ewidencji i Informacji o Działalności Gospodarczej i Punkcie</w:t>
      </w:r>
      <w:r w:rsidRPr="006B2CD4">
        <w:rPr>
          <w:rFonts w:ascii="Times New Roman" w:hAnsi="Times New Roman" w:cs="Times New Roman"/>
          <w:sz w:val="24"/>
          <w:szCs w:val="24"/>
        </w:rPr>
        <w:t xml:space="preserve"> </w:t>
      </w:r>
      <w:r w:rsidRPr="006B2CD4">
        <w:rPr>
          <w:rStyle w:val="markedcontent"/>
          <w:rFonts w:ascii="Times New Roman" w:hAnsi="Times New Roman" w:cs="Times New Roman"/>
          <w:sz w:val="24"/>
          <w:szCs w:val="24"/>
        </w:rPr>
        <w:t>Informacji dla Przedsiębiorcy (Dz. U. z 2022 r. poz. 541)</w:t>
      </w:r>
      <w:r w:rsidRPr="006B2CD4">
        <w:rPr>
          <w:rFonts w:ascii="Times New Roman" w:hAnsi="Times New Roman" w:cs="Times New Roman"/>
          <w:sz w:val="24"/>
          <w:szCs w:val="24"/>
        </w:rPr>
        <w:t>, co pozwoli również unikać sytuacji, w której zakład ubezpieczeń będzie zgłaszał inn</w:t>
      </w:r>
      <w:r>
        <w:rPr>
          <w:rFonts w:ascii="Times New Roman" w:hAnsi="Times New Roman" w:cs="Times New Roman"/>
          <w:sz w:val="24"/>
          <w:szCs w:val="24"/>
        </w:rPr>
        <w:t>y</w:t>
      </w:r>
      <w:r w:rsidRPr="006B2CD4">
        <w:rPr>
          <w:rFonts w:ascii="Times New Roman" w:hAnsi="Times New Roman" w:cs="Times New Roman"/>
          <w:sz w:val="24"/>
          <w:szCs w:val="24"/>
        </w:rPr>
        <w:t xml:space="preserve"> adres poczty elektronicznej podanej przez agenta działającego na rzecz więcej niż jednego zakładu ubezpieczeń. Jednocześnie proponuje się, aby wejście w życie wskazanego wymogu zostało przesunięte na 18 miesięcy od </w:t>
      </w:r>
      <w:r>
        <w:rPr>
          <w:rFonts w:ascii="Times New Roman" w:hAnsi="Times New Roman" w:cs="Times New Roman"/>
          <w:sz w:val="24"/>
          <w:szCs w:val="24"/>
        </w:rPr>
        <w:t xml:space="preserve">dnia </w:t>
      </w:r>
      <w:r w:rsidRPr="006B2CD4">
        <w:rPr>
          <w:rFonts w:ascii="Times New Roman" w:hAnsi="Times New Roman" w:cs="Times New Roman"/>
          <w:sz w:val="24"/>
          <w:szCs w:val="24"/>
        </w:rPr>
        <w:t>wejścia w życie projektowanej ustawy dla umożliwienia zakładom ubezpieczeń pozyskania adresów agentów oraz dla dostosowania funkcjonalności rejestru agentów do proponowanej zmiany.</w:t>
      </w:r>
    </w:p>
    <w:p w14:paraId="1862655B" w14:textId="3AF54DAB" w:rsidR="006318A6" w:rsidRPr="006B2CD4" w:rsidRDefault="006318A6" w:rsidP="006318A6">
      <w:pPr>
        <w:shd w:val="clear" w:color="auto" w:fill="FFFFFF" w:themeFill="background1"/>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Zaproponowana zmiana art. 55 ust. 4 oraz art. 59 ust. 5 ustawy o dystrybucji ubezpieczeń </w:t>
      </w:r>
      <w:r>
        <w:rPr>
          <w:rFonts w:ascii="Times New Roman" w:hAnsi="Times New Roman" w:cs="Times New Roman"/>
          <w:sz w:val="24"/>
          <w:szCs w:val="24"/>
        </w:rPr>
        <w:t>wynika z</w:t>
      </w:r>
      <w:r w:rsidRPr="006B2CD4">
        <w:rPr>
          <w:rFonts w:ascii="Times New Roman" w:hAnsi="Times New Roman" w:cs="Times New Roman"/>
          <w:sz w:val="24"/>
          <w:szCs w:val="24"/>
        </w:rPr>
        <w:t xml:space="preserve"> konieczności zawężenia zakresu danych odpowiednio w rejestrze </w:t>
      </w:r>
      <w:r>
        <w:rPr>
          <w:rFonts w:ascii="Times New Roman" w:hAnsi="Times New Roman" w:cs="Times New Roman"/>
          <w:sz w:val="24"/>
          <w:szCs w:val="24"/>
        </w:rPr>
        <w:t xml:space="preserve">agentów </w:t>
      </w:r>
      <w:r w:rsidRPr="006B2CD4">
        <w:rPr>
          <w:rFonts w:ascii="Times New Roman" w:hAnsi="Times New Roman" w:cs="Times New Roman"/>
          <w:sz w:val="24"/>
          <w:szCs w:val="24"/>
        </w:rPr>
        <w:t>i rejestrze brokerów odnośnie osób fizycznych będących akcjonariuszami, udziałowcami oraz osobami, które mają bliskie powiązania odpowiednio z agentem albo brokerem. W obecnym brzmieniu przepisu ustawa nakłada obowiązek przekazania danych ww. osób, w tym NIP siedzibę firmy i adres. Są to dane nadmiarowe, które nie znajdują odzwierciedlenia w odpisie z KRS spółki. Nie ma zatem uzasadnionej potrzeby, aby takie dane zawierał rejestr agentów i rejestr brokerów.</w:t>
      </w:r>
    </w:p>
    <w:p w14:paraId="11D709EF" w14:textId="28E5BC97" w:rsidR="006318A6" w:rsidRPr="006B2CD4" w:rsidRDefault="006318A6" w:rsidP="006318A6">
      <w:pPr>
        <w:shd w:val="clear" w:color="auto" w:fill="FFFFFF" w:themeFill="background1"/>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Zaproponowane zmiany w art. 71 ust. 2a i 2b, art. 74 ust. 2a, art. 75 ust. 1, 3‒4a, 7a i 8, art. 76 ust. 2 i 3, art. 77 ust. 1‒2a, art. 80 ust. 2 oraz art. 84 ust. 3‒3a ustawy o dystrybucji ubezpieczeń mają na celu wprowadzenie możliwości doręczeń elektronicznych w odniesieniu do czynności kontrolnych i innych czynności nadzorczych KNF niemających formy decyzji administracyjnej. Zaproponowane zmiany w ustawie o dystrybucji ubezpieczeń określają zasady i tryb doręczania dokumentów sporządzonych/udzielonych/ wydawanych/zgłaszanych (np. protokół kontroli, upoważnienie do przeprowadzenia kontroli zalecenie, zastrzeżenie) na piśmie utrwalonym w postaci elektronicznej w ramach kontroli działalności zakładu ubezpieczeń w zakresie jego korzystania z usług agentów ubezpieczeniowych i agentów oferujących ubezpieczenia uzupełniające, kontroli działalności agenta ubezpieczeniowego i agenta oferującego ubezpieczenia uzupełniające oraz kontroli działalności brokera ubezpieczeniowego i brokera reasekuracyjnego. Doręczenie tych dokumentów będzie następowało na adres do doręczeń elektronicznych. Przyjęte rozwiązania mają na celu przede wszystkim usprawnienie i zwiększenie efektywności przeprowadzenia czynności kontrolnych i innych czynności nadzorczych KNF oraz przyczynią się do zmniejszenia obrotu korespondencji papierowej oraz obrotu dokumentacji papierowej</w:t>
      </w:r>
      <w:r w:rsidR="007C389F">
        <w:rPr>
          <w:rFonts w:ascii="Times New Roman" w:hAnsi="Times New Roman" w:cs="Times New Roman"/>
          <w:sz w:val="24"/>
          <w:szCs w:val="24"/>
        </w:rPr>
        <w:t xml:space="preserve"> </w:t>
      </w:r>
      <w:r w:rsidRPr="006B2CD4">
        <w:rPr>
          <w:rFonts w:ascii="Times New Roman" w:hAnsi="Times New Roman" w:cs="Times New Roman"/>
          <w:sz w:val="24"/>
          <w:szCs w:val="24"/>
        </w:rPr>
        <w:t>wewnątrz podmiotów kontrolowanych. Dodatkowo, wprowadzone regulacje zapewniają alternatywnie możliwość sporządzania/udzielania/wydawania/zgłaszania</w:t>
      </w:r>
      <w:r>
        <w:rPr>
          <w:rFonts w:ascii="Times New Roman" w:hAnsi="Times New Roman" w:cs="Times New Roman"/>
          <w:sz w:val="24"/>
          <w:szCs w:val="24"/>
        </w:rPr>
        <w:t> </w:t>
      </w:r>
      <w:r w:rsidRPr="006B2CD4">
        <w:rPr>
          <w:rFonts w:ascii="Times New Roman" w:hAnsi="Times New Roman" w:cs="Times New Roman"/>
          <w:sz w:val="24"/>
          <w:szCs w:val="24"/>
        </w:rPr>
        <w:t xml:space="preserve">dokumentów związanych z przeprowadzoną kontrolą również na piśmie utrwalonym w postaci papierowej. </w:t>
      </w:r>
    </w:p>
    <w:p w14:paraId="7EA7F610" w14:textId="4DC60EE8" w:rsidR="00050177" w:rsidRPr="006318A6" w:rsidRDefault="006318A6" w:rsidP="006318A6">
      <w:pPr>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Dodanie art. 88a w ustawie o dystrybucji ubezpieczeń ma na celu objęcie zakresem tajemnicy zawodowej osób wykonujących pracę w UKNF na podstawie umowy o dzieło, umowy zlecenia albo innych umów cywilnoprawnych </w:t>
      </w:r>
      <w:r>
        <w:rPr>
          <w:rFonts w:ascii="Times New Roman" w:hAnsi="Times New Roman" w:cs="Times New Roman"/>
          <w:sz w:val="24"/>
          <w:szCs w:val="24"/>
        </w:rPr>
        <w:t xml:space="preserve">oraz </w:t>
      </w:r>
      <w:r w:rsidRPr="00BE65E0">
        <w:rPr>
          <w:rFonts w:ascii="Times New Roman" w:hAnsi="Times New Roman" w:cs="Times New Roman"/>
          <w:sz w:val="24"/>
          <w:szCs w:val="24"/>
        </w:rPr>
        <w:t>os</w:t>
      </w:r>
      <w:r>
        <w:rPr>
          <w:rFonts w:ascii="Times New Roman" w:hAnsi="Times New Roman" w:cs="Times New Roman"/>
          <w:sz w:val="24"/>
          <w:szCs w:val="24"/>
        </w:rPr>
        <w:t xml:space="preserve">ób </w:t>
      </w:r>
      <w:r w:rsidRPr="00BE65E0">
        <w:rPr>
          <w:rFonts w:ascii="Times New Roman" w:hAnsi="Times New Roman" w:cs="Times New Roman"/>
          <w:sz w:val="24"/>
          <w:szCs w:val="24"/>
        </w:rPr>
        <w:t>posiadając</w:t>
      </w:r>
      <w:r>
        <w:rPr>
          <w:rFonts w:ascii="Times New Roman" w:hAnsi="Times New Roman" w:cs="Times New Roman"/>
          <w:sz w:val="24"/>
          <w:szCs w:val="24"/>
        </w:rPr>
        <w:t xml:space="preserve">ych </w:t>
      </w:r>
      <w:r w:rsidRPr="00BE65E0">
        <w:rPr>
          <w:rFonts w:ascii="Times New Roman" w:hAnsi="Times New Roman" w:cs="Times New Roman"/>
          <w:sz w:val="24"/>
          <w:szCs w:val="24"/>
        </w:rPr>
        <w:t>od organu nadzoru</w:t>
      </w:r>
      <w:r w:rsidR="007C389F">
        <w:rPr>
          <w:rFonts w:ascii="Times New Roman" w:hAnsi="Times New Roman" w:cs="Times New Roman"/>
          <w:sz w:val="24"/>
          <w:szCs w:val="24"/>
        </w:rPr>
        <w:t xml:space="preserve"> </w:t>
      </w:r>
      <w:r w:rsidRPr="00BE65E0">
        <w:rPr>
          <w:rFonts w:ascii="Times New Roman" w:hAnsi="Times New Roman" w:cs="Times New Roman"/>
          <w:sz w:val="24"/>
          <w:szCs w:val="24"/>
        </w:rPr>
        <w:t>umocowanie do wykonywania obowiązków wynikających z prowadzonego postępowania naprawczego lub likwidacyjnego</w:t>
      </w:r>
      <w:r>
        <w:rPr>
          <w:rFonts w:ascii="Times New Roman" w:hAnsi="Times New Roman" w:cs="Times New Roman"/>
          <w:sz w:val="24"/>
          <w:szCs w:val="24"/>
        </w:rPr>
        <w:t>, które</w:t>
      </w:r>
      <w:r w:rsidRPr="00BE65E0">
        <w:rPr>
          <w:rFonts w:ascii="Times New Roman" w:hAnsi="Times New Roman" w:cs="Times New Roman"/>
          <w:sz w:val="24"/>
          <w:szCs w:val="24"/>
        </w:rPr>
        <w:t xml:space="preserve"> </w:t>
      </w:r>
      <w:r w:rsidRPr="006B2CD4">
        <w:rPr>
          <w:rFonts w:ascii="Times New Roman" w:hAnsi="Times New Roman" w:cs="Times New Roman"/>
          <w:sz w:val="24"/>
          <w:szCs w:val="24"/>
        </w:rPr>
        <w:t>wykonują obowiązki wynikające z ustawy o dystrybucji ubezpieczeń. Obecnie osoby te nie są objęte zakresem tajemnicy zawodowej określonej w art. 372 ustawy o działalności ubezpieczeniowej i reasekuracyjnej. Zachowanie tajemnicy nie wynika również z ustawy o nadzorze nad rynkiem finansowym, która obliguje do zachowania tajemnicy jeżeli to wynika z innych ustaw. Konieczne jest więc uregulowanie tej kwestii w ustawie o dystrybucji ubezpieczeń.</w:t>
      </w:r>
    </w:p>
    <w:p w14:paraId="18D37D02" w14:textId="488925D1" w:rsidR="00006F2D" w:rsidRDefault="00060541" w:rsidP="00643BBC">
      <w:pPr>
        <w:spacing w:before="120" w:after="120" w:line="360" w:lineRule="auto"/>
        <w:jc w:val="both"/>
        <w:rPr>
          <w:rFonts w:ascii="Times New Roman" w:hAnsi="Times New Roman" w:cs="Times New Roman"/>
          <w:b/>
          <w:sz w:val="24"/>
          <w:szCs w:val="24"/>
        </w:rPr>
      </w:pPr>
      <w:r w:rsidRPr="006B2CD4">
        <w:rPr>
          <w:rFonts w:ascii="Times New Roman" w:hAnsi="Times New Roman" w:cs="Times New Roman"/>
          <w:b/>
          <w:sz w:val="24"/>
          <w:szCs w:val="24"/>
        </w:rPr>
        <w:t xml:space="preserve">Art. </w:t>
      </w:r>
      <w:r w:rsidR="005D300A" w:rsidRPr="006B2CD4">
        <w:rPr>
          <w:rFonts w:ascii="Times New Roman" w:hAnsi="Times New Roman" w:cs="Times New Roman"/>
          <w:b/>
          <w:sz w:val="24"/>
          <w:szCs w:val="24"/>
        </w:rPr>
        <w:t>2</w:t>
      </w:r>
      <w:r w:rsidR="00B745EF">
        <w:rPr>
          <w:rFonts w:ascii="Times New Roman" w:hAnsi="Times New Roman" w:cs="Times New Roman"/>
          <w:b/>
          <w:sz w:val="24"/>
          <w:szCs w:val="24"/>
        </w:rPr>
        <w:t>9</w:t>
      </w:r>
      <w:r w:rsidRPr="006B2CD4">
        <w:rPr>
          <w:rFonts w:ascii="Times New Roman" w:hAnsi="Times New Roman" w:cs="Times New Roman"/>
          <w:b/>
          <w:sz w:val="24"/>
          <w:szCs w:val="24"/>
        </w:rPr>
        <w:t xml:space="preserve">. </w:t>
      </w:r>
      <w:r w:rsidR="005C6D40" w:rsidRPr="006B2CD4">
        <w:rPr>
          <w:rFonts w:ascii="Times New Roman" w:hAnsi="Times New Roman" w:cs="Times New Roman"/>
          <w:b/>
          <w:sz w:val="24"/>
          <w:szCs w:val="24"/>
        </w:rPr>
        <w:t>Zmiany w ustawie o przeciwdziałaniu praniu pieniędzy oraz finansowania terroryzmu</w:t>
      </w:r>
    </w:p>
    <w:p w14:paraId="15AD9A39" w14:textId="1A6F8ED6" w:rsidR="00A85B12" w:rsidRPr="00962714" w:rsidRDefault="00A85B12" w:rsidP="00643BBC">
      <w:pPr>
        <w:spacing w:before="120" w:after="120" w:line="360" w:lineRule="auto"/>
        <w:jc w:val="both"/>
        <w:rPr>
          <w:rFonts w:ascii="Times New Roman" w:hAnsi="Times New Roman" w:cs="Times New Roman"/>
          <w:sz w:val="24"/>
          <w:szCs w:val="24"/>
        </w:rPr>
      </w:pPr>
      <w:r w:rsidRPr="00962714">
        <w:rPr>
          <w:rFonts w:ascii="Times New Roman" w:hAnsi="Times New Roman" w:cs="Times New Roman"/>
          <w:sz w:val="24"/>
          <w:szCs w:val="24"/>
        </w:rPr>
        <w:t xml:space="preserve">Dodanie w art. 2 pkt 10a związane jest z wejściem w życie rozporządzenia DLT Pilot Regime. </w:t>
      </w:r>
      <w:r>
        <w:rPr>
          <w:rFonts w:ascii="Times New Roman" w:hAnsi="Times New Roman" w:cs="Times New Roman"/>
          <w:sz w:val="24"/>
          <w:szCs w:val="24"/>
        </w:rPr>
        <w:t xml:space="preserve">Z uwagi na to, że jego istotnym elementem jest przeciwdziałanie praniu pieniędzy oraz finansowania terroryzmu ważne jest, aby ustawa objęła swoim zakresem również podmioty prowadzące infrastruktury w technologii rozproszonego rejestru. </w:t>
      </w:r>
    </w:p>
    <w:p w14:paraId="3E8706A8" w14:textId="13F6316E" w:rsidR="00315AC8" w:rsidRPr="006B2CD4" w:rsidRDefault="00315AC8" w:rsidP="003F5DF8">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Dodanie pkt 1a w art. 105 ust. 3 </w:t>
      </w:r>
      <w:r w:rsidR="000E63B3" w:rsidRPr="006B2CD4">
        <w:rPr>
          <w:rFonts w:ascii="Times New Roman" w:hAnsi="Times New Roman" w:cs="Times New Roman"/>
          <w:sz w:val="24"/>
          <w:szCs w:val="24"/>
        </w:rPr>
        <w:t xml:space="preserve">w </w:t>
      </w:r>
      <w:r w:rsidRPr="006B2CD4">
        <w:rPr>
          <w:rFonts w:ascii="Times New Roman" w:hAnsi="Times New Roman" w:cs="Times New Roman"/>
          <w:sz w:val="24"/>
          <w:szCs w:val="24"/>
        </w:rPr>
        <w:t>ustaw</w:t>
      </w:r>
      <w:r w:rsidR="000E63B3" w:rsidRPr="006B2CD4">
        <w:rPr>
          <w:rFonts w:ascii="Times New Roman" w:hAnsi="Times New Roman" w:cs="Times New Roman"/>
          <w:sz w:val="24"/>
          <w:szCs w:val="24"/>
        </w:rPr>
        <w:t>ie</w:t>
      </w:r>
      <w:r w:rsidRPr="006B2CD4">
        <w:rPr>
          <w:rFonts w:ascii="Times New Roman" w:hAnsi="Times New Roman" w:cs="Times New Roman"/>
          <w:sz w:val="24"/>
          <w:szCs w:val="24"/>
        </w:rPr>
        <w:t xml:space="preserve"> o przeciwdziałaniu praniu pieniędzy oraz finansowania terroryzmu ma na celu umożliwienie uzyskiwania przez Prezesa NBP od Generalnego Inspektora Informacji Finansowej, (dalej „GIIF”) informacji na temat wypełniania przez przedsiębiorców prowadzących działalność kantorową, będących instytucjami obowiązanymi zgodnie z przepisami ww. ustawy, obowiązków w zakresie przeciwdziałania praniu pieniędzy oraz finansowaniu terroryzmu i kontrolowanymi również w tym zakresie przez Prezesa NBP. Analogiczne uprawnienie przysługuje już innym podmiotom uprawnionym do przeprowadzania kontroli określonej w ustawie o przeciwdziałaniu praniu pieniędzy oraz finansowaniu terroryzmu.</w:t>
      </w:r>
    </w:p>
    <w:p w14:paraId="5D173638" w14:textId="048C6856" w:rsidR="00315AC8" w:rsidRPr="006B2CD4" w:rsidRDefault="00315AC8" w:rsidP="003F5DF8">
      <w:pPr>
        <w:spacing w:after="120" w:line="360" w:lineRule="auto"/>
        <w:jc w:val="both"/>
        <w:rPr>
          <w:rFonts w:ascii="Times New Roman" w:hAnsi="Times New Roman" w:cs="Times New Roman"/>
          <w:sz w:val="24"/>
          <w:szCs w:val="24"/>
          <w:u w:val="single"/>
        </w:rPr>
      </w:pPr>
      <w:r w:rsidRPr="006B2CD4">
        <w:rPr>
          <w:rFonts w:ascii="Times New Roman" w:hAnsi="Times New Roman" w:cs="Times New Roman"/>
          <w:sz w:val="24"/>
          <w:szCs w:val="24"/>
        </w:rPr>
        <w:t>Zmiany w art. 133, art. 134 i art. 141 ustawy o przeciwdziałaniu praniu pieniędzy oraz finansowaniu terroryzmu mają na celu umożliwienie GIIF przeprowadzanie kontroli w instytucjach obowiązanych całkowicie w sposób zdalny. Wdrożenie powyższych zmian wpisuje się w realizację działania nr 11 ze Strategii przeciwdziałania praniu pieniędzy oraz finansowaniu terroryzmu, stanowiącej załącznik do uchwały nr 50 Rady Ministrów z dnia 19 kwietnia 2021 r. w sprawie przyjęcia strategii przeciwdziałania praniu pieniędzy oraz finansowaniu terroryzmu (</w:t>
      </w:r>
      <w:r w:rsidR="005234C2">
        <w:rPr>
          <w:rFonts w:ascii="Times New Roman" w:hAnsi="Times New Roman" w:cs="Times New Roman"/>
          <w:sz w:val="24"/>
          <w:szCs w:val="24"/>
        </w:rPr>
        <w:t>M.P</w:t>
      </w:r>
      <w:r w:rsidRPr="006B2CD4">
        <w:rPr>
          <w:rFonts w:ascii="Times New Roman" w:hAnsi="Times New Roman" w:cs="Times New Roman"/>
          <w:sz w:val="24"/>
          <w:szCs w:val="24"/>
        </w:rPr>
        <w:t>. z 2021 r. poz. 435), zatytułowanego: „Wprowadzenie klarownych przepisów dotyczących prowadzenia przez GIIF kontroli typu off-site w instytucjach obowiązanych.”.</w:t>
      </w:r>
    </w:p>
    <w:p w14:paraId="15F23AFF" w14:textId="653DC6C8" w:rsidR="00315AC8" w:rsidRDefault="00315AC8" w:rsidP="00A02DB2">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Dodanie art. 145a </w:t>
      </w:r>
      <w:r w:rsidR="000E63B3" w:rsidRPr="006B2CD4">
        <w:rPr>
          <w:rFonts w:ascii="Times New Roman" w:hAnsi="Times New Roman" w:cs="Times New Roman"/>
          <w:sz w:val="24"/>
          <w:szCs w:val="24"/>
        </w:rPr>
        <w:t>w</w:t>
      </w:r>
      <w:r w:rsidRPr="006B2CD4">
        <w:rPr>
          <w:rFonts w:ascii="Times New Roman" w:hAnsi="Times New Roman" w:cs="Times New Roman"/>
          <w:sz w:val="24"/>
          <w:szCs w:val="24"/>
        </w:rPr>
        <w:t xml:space="preserve"> ustaw</w:t>
      </w:r>
      <w:r w:rsidR="000E63B3" w:rsidRPr="006B2CD4">
        <w:rPr>
          <w:rFonts w:ascii="Times New Roman" w:hAnsi="Times New Roman" w:cs="Times New Roman"/>
          <w:sz w:val="24"/>
          <w:szCs w:val="24"/>
        </w:rPr>
        <w:t xml:space="preserve">ie </w:t>
      </w:r>
      <w:r w:rsidRPr="006B2CD4">
        <w:rPr>
          <w:rFonts w:ascii="Times New Roman" w:hAnsi="Times New Roman" w:cs="Times New Roman"/>
          <w:sz w:val="24"/>
          <w:szCs w:val="24"/>
        </w:rPr>
        <w:t>o przeciwdziałaniu praniu pieniędzy oraz finansowaniu terroryzmu ma umożliwić instytucjom obowiązanym uzupełnianie braków formalnych (np. braki w pełnomocnictwach czy w reprezentacji wynikającej z przepisów prawa handlowego) w pismach (np. zastrzeżenia do protokołu kontroli czy wyjaśnienia) przekazywanych do GIIF w związku z przeprowadzaną kontrolą.</w:t>
      </w:r>
    </w:p>
    <w:p w14:paraId="25FAD402" w14:textId="0EB9F196" w:rsidR="00A02DB2" w:rsidRPr="006B2CD4" w:rsidRDefault="00A02DB2" w:rsidP="00B856D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Dodanie art. 152a </w:t>
      </w:r>
      <w:r w:rsidRPr="001623BB">
        <w:rPr>
          <w:rFonts w:ascii="Times New Roman" w:hAnsi="Times New Roman" w:cs="Times New Roman"/>
          <w:sz w:val="24"/>
          <w:szCs w:val="24"/>
        </w:rPr>
        <w:t xml:space="preserve">w ustawie o przeciwdziałaniu praniu pieniędzy oraz finansowaniu terroryzmu umożliwi </w:t>
      </w:r>
      <w:r>
        <w:rPr>
          <w:rFonts w:ascii="Times New Roman" w:hAnsi="Times New Roman" w:cs="Times New Roman"/>
          <w:sz w:val="24"/>
          <w:szCs w:val="24"/>
        </w:rPr>
        <w:t>organom zaangażowanym w nakładanie sankcji oraz w kontrole przestrzegania przepisów ustawy</w:t>
      </w:r>
      <w:r w:rsidRPr="001623BB">
        <w:rPr>
          <w:rFonts w:ascii="Times New Roman" w:hAnsi="Times New Roman" w:cs="Times New Roman"/>
          <w:sz w:val="24"/>
          <w:szCs w:val="24"/>
        </w:rPr>
        <w:t xml:space="preserve"> </w:t>
      </w:r>
      <w:r>
        <w:rPr>
          <w:rFonts w:ascii="Times New Roman" w:hAnsi="Times New Roman" w:cs="Times New Roman"/>
          <w:sz w:val="24"/>
          <w:szCs w:val="24"/>
        </w:rPr>
        <w:t>o </w:t>
      </w:r>
      <w:r w:rsidRPr="006B2CD4">
        <w:rPr>
          <w:rFonts w:ascii="Times New Roman" w:hAnsi="Times New Roman" w:cs="Times New Roman"/>
          <w:sz w:val="24"/>
          <w:szCs w:val="24"/>
        </w:rPr>
        <w:t>przeciwdziałaniu praniu pieniędzy oraz finansowaniu terroryzmu</w:t>
      </w:r>
      <w:r>
        <w:rPr>
          <w:rFonts w:ascii="Times New Roman" w:hAnsi="Times New Roman" w:cs="Times New Roman"/>
          <w:sz w:val="24"/>
          <w:szCs w:val="24"/>
        </w:rPr>
        <w:t>,</w:t>
      </w:r>
      <w:r w:rsidRPr="006B2CD4">
        <w:rPr>
          <w:rFonts w:ascii="Times New Roman" w:hAnsi="Times New Roman" w:cs="Times New Roman"/>
          <w:sz w:val="24"/>
          <w:szCs w:val="24"/>
        </w:rPr>
        <w:t xml:space="preserve"> </w:t>
      </w:r>
      <w:r w:rsidRPr="001623BB">
        <w:rPr>
          <w:rFonts w:ascii="Times New Roman" w:hAnsi="Times New Roman" w:cs="Times New Roman"/>
          <w:sz w:val="24"/>
          <w:szCs w:val="24"/>
        </w:rPr>
        <w:t>bezpośrednie przekazywanie europejskim urzędom nadzoru s</w:t>
      </w:r>
      <w:r>
        <w:rPr>
          <w:rFonts w:ascii="Times New Roman" w:hAnsi="Times New Roman" w:cs="Times New Roman"/>
          <w:sz w:val="24"/>
          <w:szCs w:val="24"/>
        </w:rPr>
        <w:t xml:space="preserve">twierdzonych w trakcie kontroli lub nadzoru </w:t>
      </w:r>
      <w:r w:rsidRPr="001623BB">
        <w:rPr>
          <w:rFonts w:ascii="Times New Roman" w:hAnsi="Times New Roman" w:cs="Times New Roman"/>
          <w:sz w:val="24"/>
          <w:szCs w:val="24"/>
        </w:rPr>
        <w:t xml:space="preserve">informacji o </w:t>
      </w:r>
      <w:r>
        <w:rPr>
          <w:rFonts w:ascii="Times New Roman" w:hAnsi="Times New Roman" w:cs="Times New Roman"/>
          <w:sz w:val="24"/>
          <w:szCs w:val="24"/>
        </w:rPr>
        <w:t>niedociągnięciach</w:t>
      </w:r>
      <w:r w:rsidRPr="001623BB">
        <w:rPr>
          <w:rFonts w:ascii="Times New Roman" w:hAnsi="Times New Roman" w:cs="Times New Roman"/>
          <w:sz w:val="24"/>
          <w:szCs w:val="24"/>
        </w:rPr>
        <w:t xml:space="preserve"> w zakresie przeciwdziałania praniu pieniędzy oraz finansowania terroryzmu</w:t>
      </w:r>
      <w:r>
        <w:rPr>
          <w:rFonts w:ascii="Times New Roman" w:hAnsi="Times New Roman" w:cs="Times New Roman"/>
          <w:sz w:val="24"/>
          <w:szCs w:val="24"/>
        </w:rPr>
        <w:t xml:space="preserve"> oraz stosowanych środkach w związku ze stwierdzonymi niedociągnięciami</w:t>
      </w:r>
      <w:r w:rsidRPr="001623BB">
        <w:rPr>
          <w:rFonts w:ascii="Times New Roman" w:hAnsi="Times New Roman" w:cs="Times New Roman"/>
          <w:sz w:val="24"/>
          <w:szCs w:val="24"/>
        </w:rPr>
        <w:t xml:space="preserve">. Europejski urząd nadzoru otrzymane informacje wykorzystuje w celu identyfikacji ryzyka prania pieniędzy i finansowania terroryzmu, które ma wpływ na sektor finansowy UE. </w:t>
      </w:r>
      <w:r>
        <w:rPr>
          <w:rFonts w:ascii="Times New Roman" w:hAnsi="Times New Roman" w:cs="Times New Roman"/>
          <w:sz w:val="24"/>
          <w:szCs w:val="24"/>
        </w:rPr>
        <w:t>Przekazywane dane do unijnego narzędzia</w:t>
      </w:r>
      <w:r w:rsidRPr="001623BB">
        <w:rPr>
          <w:rFonts w:ascii="Times New Roman" w:hAnsi="Times New Roman" w:cs="Times New Roman"/>
          <w:sz w:val="24"/>
          <w:szCs w:val="24"/>
        </w:rPr>
        <w:t xml:space="preserve"> „wczesnego ostrzegania”</w:t>
      </w:r>
      <w:r>
        <w:rPr>
          <w:rFonts w:ascii="Times New Roman" w:hAnsi="Times New Roman" w:cs="Times New Roman"/>
          <w:sz w:val="24"/>
          <w:szCs w:val="24"/>
        </w:rPr>
        <w:t>, będą</w:t>
      </w:r>
      <w:r w:rsidRPr="001623BB">
        <w:rPr>
          <w:rFonts w:ascii="Times New Roman" w:hAnsi="Times New Roman" w:cs="Times New Roman"/>
          <w:sz w:val="24"/>
          <w:szCs w:val="24"/>
        </w:rPr>
        <w:t xml:space="preserve"> wspomagał</w:t>
      </w:r>
      <w:r>
        <w:rPr>
          <w:rFonts w:ascii="Times New Roman" w:hAnsi="Times New Roman" w:cs="Times New Roman"/>
          <w:sz w:val="24"/>
          <w:szCs w:val="24"/>
        </w:rPr>
        <w:t>y</w:t>
      </w:r>
      <w:r w:rsidRPr="001623BB">
        <w:rPr>
          <w:rFonts w:ascii="Times New Roman" w:hAnsi="Times New Roman" w:cs="Times New Roman"/>
          <w:sz w:val="24"/>
          <w:szCs w:val="24"/>
        </w:rPr>
        <w:t xml:space="preserve"> właściwe organy oraz rynki finansowe w uniknięciu materializacji ryzyka prania pieniędzy oraz finansowania terroryzmu.</w:t>
      </w:r>
    </w:p>
    <w:p w14:paraId="36565708" w14:textId="47C48B20" w:rsidR="004C525F" w:rsidRPr="00C730E6" w:rsidRDefault="00060541" w:rsidP="00C730E6">
      <w:pPr>
        <w:tabs>
          <w:tab w:val="left" w:pos="426"/>
        </w:tabs>
        <w:spacing w:before="120" w:after="120" w:line="360" w:lineRule="auto"/>
        <w:jc w:val="both"/>
        <w:rPr>
          <w:rFonts w:ascii="Times New Roman" w:hAnsi="Times New Roman" w:cs="Times New Roman"/>
          <w:b/>
          <w:sz w:val="24"/>
          <w:szCs w:val="24"/>
        </w:rPr>
      </w:pPr>
      <w:r w:rsidRPr="006B2CD4">
        <w:rPr>
          <w:rFonts w:ascii="Times New Roman" w:hAnsi="Times New Roman" w:cs="Times New Roman"/>
          <w:b/>
          <w:sz w:val="24"/>
          <w:szCs w:val="24"/>
        </w:rPr>
        <w:t xml:space="preserve">Art. </w:t>
      </w:r>
      <w:r w:rsidR="00B745EF">
        <w:rPr>
          <w:rFonts w:ascii="Times New Roman" w:hAnsi="Times New Roman" w:cs="Times New Roman"/>
          <w:b/>
          <w:sz w:val="24"/>
          <w:szCs w:val="24"/>
        </w:rPr>
        <w:t>30</w:t>
      </w:r>
      <w:r w:rsidRPr="006B2CD4">
        <w:rPr>
          <w:rFonts w:ascii="Times New Roman" w:hAnsi="Times New Roman" w:cs="Times New Roman"/>
          <w:b/>
          <w:sz w:val="24"/>
          <w:szCs w:val="24"/>
        </w:rPr>
        <w:t xml:space="preserve">. </w:t>
      </w:r>
      <w:r w:rsidR="0075676D" w:rsidRPr="006B2CD4">
        <w:rPr>
          <w:rFonts w:ascii="Times New Roman" w:hAnsi="Times New Roman" w:cs="Times New Roman"/>
          <w:b/>
          <w:sz w:val="24"/>
          <w:szCs w:val="24"/>
        </w:rPr>
        <w:t xml:space="preserve">Zmiany w ustawie o </w:t>
      </w:r>
      <w:r w:rsidR="003C02EC" w:rsidRPr="006B2CD4">
        <w:rPr>
          <w:rFonts w:ascii="Times New Roman" w:hAnsi="Times New Roman" w:cs="Times New Roman"/>
          <w:b/>
          <w:sz w:val="24"/>
          <w:szCs w:val="24"/>
        </w:rPr>
        <w:t>p</w:t>
      </w:r>
      <w:r w:rsidR="0075676D" w:rsidRPr="006B2CD4">
        <w:rPr>
          <w:rFonts w:ascii="Times New Roman" w:hAnsi="Times New Roman" w:cs="Times New Roman"/>
          <w:b/>
          <w:sz w:val="24"/>
          <w:szCs w:val="24"/>
        </w:rPr>
        <w:t xml:space="preserve">racowniczych </w:t>
      </w:r>
      <w:r w:rsidR="003C02EC" w:rsidRPr="006B2CD4">
        <w:rPr>
          <w:rFonts w:ascii="Times New Roman" w:hAnsi="Times New Roman" w:cs="Times New Roman"/>
          <w:b/>
          <w:sz w:val="24"/>
          <w:szCs w:val="24"/>
        </w:rPr>
        <w:t>p</w:t>
      </w:r>
      <w:r w:rsidR="0075676D" w:rsidRPr="006B2CD4">
        <w:rPr>
          <w:rFonts w:ascii="Times New Roman" w:hAnsi="Times New Roman" w:cs="Times New Roman"/>
          <w:b/>
          <w:sz w:val="24"/>
          <w:szCs w:val="24"/>
        </w:rPr>
        <w:t xml:space="preserve">lanach </w:t>
      </w:r>
      <w:r w:rsidR="003C02EC" w:rsidRPr="006B2CD4">
        <w:rPr>
          <w:rFonts w:ascii="Times New Roman" w:hAnsi="Times New Roman" w:cs="Times New Roman"/>
          <w:b/>
          <w:sz w:val="24"/>
          <w:szCs w:val="24"/>
        </w:rPr>
        <w:t>k</w:t>
      </w:r>
      <w:r w:rsidR="0075676D" w:rsidRPr="006B2CD4">
        <w:rPr>
          <w:rFonts w:ascii="Times New Roman" w:hAnsi="Times New Roman" w:cs="Times New Roman"/>
          <w:b/>
          <w:sz w:val="24"/>
          <w:szCs w:val="24"/>
        </w:rPr>
        <w:t xml:space="preserve">apitałowych </w:t>
      </w:r>
    </w:p>
    <w:p w14:paraId="118BEE5F" w14:textId="634B1FDA" w:rsidR="0075676D" w:rsidRDefault="00F60B58" w:rsidP="00B13E8F">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W ustawie o pracowniczych planach kapitałowych </w:t>
      </w:r>
      <w:r w:rsidR="00646C61" w:rsidRPr="006B2CD4">
        <w:rPr>
          <w:rFonts w:ascii="Times New Roman" w:hAnsi="Times New Roman" w:cs="Times New Roman"/>
          <w:sz w:val="24"/>
          <w:szCs w:val="24"/>
        </w:rPr>
        <w:t xml:space="preserve">proponuje się </w:t>
      </w:r>
      <w:r w:rsidR="004C525F" w:rsidRPr="006B2CD4">
        <w:rPr>
          <w:rFonts w:ascii="Times New Roman" w:hAnsi="Times New Roman" w:cs="Times New Roman"/>
          <w:sz w:val="24"/>
          <w:szCs w:val="24"/>
        </w:rPr>
        <w:t xml:space="preserve">również </w:t>
      </w:r>
      <w:r w:rsidR="00EC6595" w:rsidRPr="006B2CD4">
        <w:rPr>
          <w:rFonts w:ascii="Times New Roman" w:hAnsi="Times New Roman" w:cs="Times New Roman"/>
          <w:sz w:val="24"/>
          <w:szCs w:val="24"/>
        </w:rPr>
        <w:t>zmiany</w:t>
      </w:r>
      <w:r w:rsidR="00646C61" w:rsidRPr="006B2CD4">
        <w:rPr>
          <w:rFonts w:ascii="Times New Roman" w:hAnsi="Times New Roman" w:cs="Times New Roman"/>
          <w:sz w:val="24"/>
          <w:szCs w:val="24"/>
        </w:rPr>
        <w:t xml:space="preserve"> w</w:t>
      </w:r>
      <w:r w:rsidR="00EC6595" w:rsidRPr="006B2CD4">
        <w:rPr>
          <w:rFonts w:ascii="Times New Roman" w:hAnsi="Times New Roman" w:cs="Times New Roman"/>
          <w:sz w:val="24"/>
          <w:szCs w:val="24"/>
        </w:rPr>
        <w:t xml:space="preserve"> art.</w:t>
      </w:r>
      <w:r w:rsidR="00514F30" w:rsidRPr="006B2CD4">
        <w:rPr>
          <w:rFonts w:ascii="Times New Roman" w:hAnsi="Times New Roman" w:cs="Times New Roman"/>
          <w:sz w:val="24"/>
          <w:szCs w:val="24"/>
        </w:rPr>
        <w:t xml:space="preserve"> 63, </w:t>
      </w:r>
      <w:r w:rsidR="00646C61" w:rsidRPr="006B2CD4">
        <w:rPr>
          <w:rFonts w:ascii="Times New Roman" w:hAnsi="Times New Roman" w:cs="Times New Roman"/>
          <w:sz w:val="24"/>
          <w:szCs w:val="24"/>
        </w:rPr>
        <w:t>polegające na określeniu</w:t>
      </w:r>
      <w:r w:rsidR="00514F30" w:rsidRPr="006B2CD4">
        <w:rPr>
          <w:rFonts w:ascii="Times New Roman" w:hAnsi="Times New Roman" w:cs="Times New Roman"/>
          <w:sz w:val="24"/>
          <w:szCs w:val="24"/>
        </w:rPr>
        <w:t xml:space="preserve"> procedur</w:t>
      </w:r>
      <w:r w:rsidR="00646C61" w:rsidRPr="006B2CD4">
        <w:rPr>
          <w:rFonts w:ascii="Times New Roman" w:hAnsi="Times New Roman" w:cs="Times New Roman"/>
          <w:sz w:val="24"/>
          <w:szCs w:val="24"/>
        </w:rPr>
        <w:t>y</w:t>
      </w:r>
      <w:r w:rsidR="00514F30" w:rsidRPr="006B2CD4">
        <w:rPr>
          <w:rFonts w:ascii="Times New Roman" w:hAnsi="Times New Roman" w:cs="Times New Roman"/>
          <w:sz w:val="24"/>
          <w:szCs w:val="24"/>
        </w:rPr>
        <w:t xml:space="preserve"> usunięcia </w:t>
      </w:r>
      <w:r w:rsidR="000A326A" w:rsidRPr="006B2CD4">
        <w:rPr>
          <w:rFonts w:ascii="Times New Roman" w:hAnsi="Times New Roman" w:cs="Times New Roman"/>
          <w:sz w:val="24"/>
          <w:szCs w:val="24"/>
        </w:rPr>
        <w:t xml:space="preserve">instytucji finansowej </w:t>
      </w:r>
      <w:r w:rsidR="00514F30" w:rsidRPr="006B2CD4">
        <w:rPr>
          <w:rFonts w:ascii="Times New Roman" w:hAnsi="Times New Roman" w:cs="Times New Roman"/>
          <w:sz w:val="24"/>
          <w:szCs w:val="24"/>
        </w:rPr>
        <w:t xml:space="preserve">z </w:t>
      </w:r>
      <w:r w:rsidR="00D1147A" w:rsidRPr="006B2CD4">
        <w:rPr>
          <w:rFonts w:ascii="Times New Roman" w:hAnsi="Times New Roman" w:cs="Times New Roman"/>
          <w:sz w:val="24"/>
          <w:szCs w:val="24"/>
        </w:rPr>
        <w:t xml:space="preserve">ewidencji </w:t>
      </w:r>
      <w:r w:rsidR="004C525F" w:rsidRPr="006B2CD4">
        <w:rPr>
          <w:rFonts w:ascii="Times New Roman" w:hAnsi="Times New Roman" w:cs="Times New Roman"/>
          <w:sz w:val="24"/>
          <w:szCs w:val="24"/>
        </w:rPr>
        <w:t>P</w:t>
      </w:r>
      <w:r w:rsidR="00DB41BF" w:rsidRPr="006B2CD4">
        <w:rPr>
          <w:rFonts w:ascii="Times New Roman" w:hAnsi="Times New Roman" w:cs="Times New Roman"/>
          <w:sz w:val="24"/>
          <w:szCs w:val="24"/>
        </w:rPr>
        <w:t>PK</w:t>
      </w:r>
      <w:r w:rsidR="00514F30" w:rsidRPr="006B2CD4">
        <w:rPr>
          <w:rFonts w:ascii="Times New Roman" w:hAnsi="Times New Roman" w:cs="Times New Roman"/>
          <w:sz w:val="24"/>
          <w:szCs w:val="24"/>
        </w:rPr>
        <w:t xml:space="preserve">. Dodanie </w:t>
      </w:r>
      <w:r w:rsidR="00646C61" w:rsidRPr="006B2CD4">
        <w:rPr>
          <w:rFonts w:ascii="Times New Roman" w:hAnsi="Times New Roman" w:cs="Times New Roman"/>
          <w:sz w:val="24"/>
          <w:szCs w:val="24"/>
        </w:rPr>
        <w:t xml:space="preserve">w </w:t>
      </w:r>
      <w:r w:rsidR="00514F30" w:rsidRPr="006B2CD4">
        <w:rPr>
          <w:rFonts w:ascii="Times New Roman" w:hAnsi="Times New Roman" w:cs="Times New Roman"/>
          <w:sz w:val="24"/>
          <w:szCs w:val="24"/>
        </w:rPr>
        <w:t>art. 63</w:t>
      </w:r>
      <w:r w:rsidR="000F2414" w:rsidRPr="006B2CD4">
        <w:rPr>
          <w:rFonts w:ascii="Times New Roman" w:hAnsi="Times New Roman" w:cs="Times New Roman"/>
          <w:sz w:val="24"/>
          <w:szCs w:val="24"/>
        </w:rPr>
        <w:t xml:space="preserve"> </w:t>
      </w:r>
      <w:r w:rsidR="00646C61" w:rsidRPr="006B2CD4">
        <w:rPr>
          <w:rFonts w:ascii="Times New Roman" w:hAnsi="Times New Roman" w:cs="Times New Roman"/>
          <w:sz w:val="24"/>
          <w:szCs w:val="24"/>
        </w:rPr>
        <w:t xml:space="preserve">przepisów </w:t>
      </w:r>
      <w:r w:rsidR="00514F30" w:rsidRPr="006B2CD4">
        <w:rPr>
          <w:rFonts w:ascii="Times New Roman" w:hAnsi="Times New Roman" w:cs="Times New Roman"/>
          <w:sz w:val="24"/>
          <w:szCs w:val="24"/>
        </w:rPr>
        <w:t xml:space="preserve">ust. </w:t>
      </w:r>
      <w:r w:rsidR="005C4044" w:rsidRPr="006B2CD4">
        <w:rPr>
          <w:rFonts w:ascii="Times New Roman" w:hAnsi="Times New Roman" w:cs="Times New Roman"/>
          <w:sz w:val="24"/>
          <w:szCs w:val="24"/>
        </w:rPr>
        <w:t xml:space="preserve">7a i 7b </w:t>
      </w:r>
      <w:r w:rsidR="00514F30" w:rsidRPr="006B2CD4">
        <w:rPr>
          <w:rFonts w:ascii="Times New Roman" w:hAnsi="Times New Roman" w:cs="Times New Roman"/>
          <w:sz w:val="24"/>
          <w:szCs w:val="24"/>
        </w:rPr>
        <w:t xml:space="preserve">oraz nowelizacja ust. 11 i 12 stanowiłoby usunięcie luki legislacyjnej, jaka występuje obecnie w polskim systemie prawnym. Na gruncie obowiązujących przepisów prawa towarzystwo funduszy inwestycyjnych, </w:t>
      </w:r>
      <w:r w:rsidR="005C4044" w:rsidRPr="006B2CD4">
        <w:rPr>
          <w:rFonts w:ascii="Times New Roman" w:hAnsi="Times New Roman" w:cs="Times New Roman"/>
          <w:sz w:val="24"/>
          <w:szCs w:val="24"/>
        </w:rPr>
        <w:t>p</w:t>
      </w:r>
      <w:r w:rsidR="00DB41BF" w:rsidRPr="006B2CD4">
        <w:rPr>
          <w:rFonts w:ascii="Times New Roman" w:hAnsi="Times New Roman" w:cs="Times New Roman"/>
          <w:sz w:val="24"/>
          <w:szCs w:val="24"/>
        </w:rPr>
        <w:t xml:space="preserve">owszechne </w:t>
      </w:r>
      <w:r w:rsidR="005C4044" w:rsidRPr="006B2CD4">
        <w:rPr>
          <w:rFonts w:ascii="Times New Roman" w:hAnsi="Times New Roman" w:cs="Times New Roman"/>
          <w:sz w:val="24"/>
          <w:szCs w:val="24"/>
        </w:rPr>
        <w:t>t</w:t>
      </w:r>
      <w:r w:rsidR="00DB41BF" w:rsidRPr="006B2CD4">
        <w:rPr>
          <w:rFonts w:ascii="Times New Roman" w:hAnsi="Times New Roman" w:cs="Times New Roman"/>
          <w:sz w:val="24"/>
          <w:szCs w:val="24"/>
        </w:rPr>
        <w:t xml:space="preserve">owarzystwo </w:t>
      </w:r>
      <w:r w:rsidR="005C4044" w:rsidRPr="006B2CD4">
        <w:rPr>
          <w:rFonts w:ascii="Times New Roman" w:hAnsi="Times New Roman" w:cs="Times New Roman"/>
          <w:sz w:val="24"/>
          <w:szCs w:val="24"/>
        </w:rPr>
        <w:t>e</w:t>
      </w:r>
      <w:r w:rsidR="00DB41BF" w:rsidRPr="006B2CD4">
        <w:rPr>
          <w:rFonts w:ascii="Times New Roman" w:hAnsi="Times New Roman" w:cs="Times New Roman"/>
          <w:sz w:val="24"/>
          <w:szCs w:val="24"/>
        </w:rPr>
        <w:t xml:space="preserve">merytalne (dalej </w:t>
      </w:r>
      <w:r w:rsidR="008411C3" w:rsidRPr="006B2CD4">
        <w:rPr>
          <w:rFonts w:ascii="Times New Roman" w:hAnsi="Times New Roman" w:cs="Times New Roman"/>
          <w:sz w:val="24"/>
          <w:szCs w:val="24"/>
        </w:rPr>
        <w:t>„</w:t>
      </w:r>
      <w:r w:rsidR="00514F30" w:rsidRPr="006B2CD4">
        <w:rPr>
          <w:rFonts w:ascii="Times New Roman" w:hAnsi="Times New Roman" w:cs="Times New Roman"/>
          <w:sz w:val="24"/>
          <w:szCs w:val="24"/>
        </w:rPr>
        <w:t>PTE</w:t>
      </w:r>
      <w:r w:rsidR="008411C3" w:rsidRPr="006B2CD4">
        <w:rPr>
          <w:rFonts w:ascii="Times New Roman" w:hAnsi="Times New Roman" w:cs="Times New Roman"/>
          <w:sz w:val="24"/>
          <w:szCs w:val="24"/>
        </w:rPr>
        <w:t>”</w:t>
      </w:r>
      <w:r w:rsidR="00DB41BF" w:rsidRPr="006B2CD4">
        <w:rPr>
          <w:rFonts w:ascii="Times New Roman" w:hAnsi="Times New Roman" w:cs="Times New Roman"/>
          <w:sz w:val="24"/>
          <w:szCs w:val="24"/>
        </w:rPr>
        <w:t>)</w:t>
      </w:r>
      <w:r w:rsidR="00514F30" w:rsidRPr="006B2CD4">
        <w:rPr>
          <w:rFonts w:ascii="Times New Roman" w:hAnsi="Times New Roman" w:cs="Times New Roman"/>
          <w:sz w:val="24"/>
          <w:szCs w:val="24"/>
        </w:rPr>
        <w:t>, pracownicze towarzystwo emerytalne lub zakład ubezpieczeń zarządzające instytucją finansową, o której mowa w art. 2 ust. 1 pkt 11 ustawy o pracowniczych planach kapitałowych (fundusz inwestycyjny zarządzany przez towarzystwo funduszy inwestycyjnych, które zostało umieszczone w ewidencji PPK w trybie przepisów rozdziału o ewidencji PPK, fundusz emerytalny zarządzany przez PTE albo pracownicze towarzystwo emerytalne, które zostały umieszczone w ewidencji PPK w trybie przepisów rozdziału 10, lub zakład ubezpieczeń, który został umieszczony w ewidencji PPK w trybie przepisów rozdziału o ewidencji PPK), nie ma formalno</w:t>
      </w:r>
      <w:r w:rsidR="00FB2103" w:rsidRPr="006B2CD4">
        <w:rPr>
          <w:rFonts w:ascii="Times New Roman" w:hAnsi="Times New Roman" w:cs="Times New Roman"/>
          <w:sz w:val="24"/>
          <w:szCs w:val="24"/>
        </w:rPr>
        <w:t>-</w:t>
      </w:r>
      <w:r w:rsidR="00514F30" w:rsidRPr="006B2CD4">
        <w:rPr>
          <w:rFonts w:ascii="Times New Roman" w:hAnsi="Times New Roman" w:cs="Times New Roman"/>
          <w:sz w:val="24"/>
          <w:szCs w:val="24"/>
        </w:rPr>
        <w:t xml:space="preserve">prawnych możliwości złożenia wniosku o usunięcie z ewidencji PPK, </w:t>
      </w:r>
      <w:r w:rsidR="00D64893" w:rsidRPr="006B2CD4">
        <w:rPr>
          <w:rFonts w:ascii="Times New Roman" w:hAnsi="Times New Roman" w:cs="Times New Roman"/>
          <w:sz w:val="24"/>
          <w:szCs w:val="24"/>
        </w:rPr>
        <w:t>np.</w:t>
      </w:r>
      <w:r w:rsidR="00514F30" w:rsidRPr="006B2CD4">
        <w:rPr>
          <w:rFonts w:ascii="Times New Roman" w:hAnsi="Times New Roman" w:cs="Times New Roman"/>
          <w:sz w:val="24"/>
          <w:szCs w:val="24"/>
        </w:rPr>
        <w:t xml:space="preserve"> w związku ze zmianą profilu prowadzonej działalności statutowej. </w:t>
      </w:r>
      <w:r w:rsidR="005C4044" w:rsidRPr="006B2CD4">
        <w:rPr>
          <w:rFonts w:ascii="Times New Roman" w:hAnsi="Times New Roman" w:cs="Times New Roman"/>
          <w:sz w:val="24"/>
          <w:szCs w:val="24"/>
        </w:rPr>
        <w:t>Proponowana zmiana ma na celu usunięcie tej luki.</w:t>
      </w:r>
    </w:p>
    <w:p w14:paraId="3A17DA27" w14:textId="21CFCB95" w:rsidR="00E465E4" w:rsidRPr="00CF1424" w:rsidRDefault="00E465E4" w:rsidP="00B13E8F">
      <w:pPr>
        <w:spacing w:after="120" w:line="360" w:lineRule="auto"/>
        <w:jc w:val="both"/>
        <w:rPr>
          <w:rFonts w:ascii="Times New Roman" w:hAnsi="Times New Roman" w:cs="Times New Roman"/>
          <w:b/>
          <w:sz w:val="24"/>
          <w:szCs w:val="24"/>
        </w:rPr>
      </w:pPr>
      <w:r w:rsidRPr="00CF1424">
        <w:rPr>
          <w:rFonts w:ascii="Times New Roman" w:hAnsi="Times New Roman" w:cs="Times New Roman"/>
          <w:b/>
          <w:sz w:val="24"/>
          <w:szCs w:val="24"/>
        </w:rPr>
        <w:t xml:space="preserve">Art. </w:t>
      </w:r>
      <w:r w:rsidR="005D300A">
        <w:rPr>
          <w:rFonts w:ascii="Times New Roman" w:hAnsi="Times New Roman" w:cs="Times New Roman"/>
          <w:b/>
          <w:sz w:val="24"/>
          <w:szCs w:val="24"/>
        </w:rPr>
        <w:t>3</w:t>
      </w:r>
      <w:r w:rsidR="000E1F68">
        <w:rPr>
          <w:rFonts w:ascii="Times New Roman" w:hAnsi="Times New Roman" w:cs="Times New Roman"/>
          <w:b/>
          <w:sz w:val="24"/>
          <w:szCs w:val="24"/>
        </w:rPr>
        <w:t>1</w:t>
      </w:r>
      <w:r w:rsidRPr="00CF1424">
        <w:rPr>
          <w:rFonts w:ascii="Times New Roman" w:hAnsi="Times New Roman" w:cs="Times New Roman"/>
          <w:b/>
          <w:sz w:val="24"/>
          <w:szCs w:val="24"/>
        </w:rPr>
        <w:t>. Zmiany w ustawie o COVID</w:t>
      </w:r>
    </w:p>
    <w:p w14:paraId="788FEFD6" w14:textId="7F23D83D" w:rsidR="008015FE" w:rsidRDefault="00E465E4" w:rsidP="005571E5">
      <w:pPr>
        <w:spacing w:after="120" w:line="360" w:lineRule="auto"/>
        <w:jc w:val="both"/>
        <w:rPr>
          <w:rFonts w:ascii="Times New Roman" w:hAnsi="Times New Roman" w:cs="Times New Roman"/>
          <w:bCs/>
          <w:sz w:val="24"/>
          <w:szCs w:val="24"/>
        </w:rPr>
      </w:pPr>
      <w:r>
        <w:rPr>
          <w:rFonts w:ascii="Times New Roman" w:hAnsi="Times New Roman" w:cs="Times New Roman"/>
          <w:sz w:val="24"/>
          <w:szCs w:val="24"/>
        </w:rPr>
        <w:t xml:space="preserve">Uchylenie art. 31zb w ustawie o COVID jest konsekwencją przeniesienia tego rozwiązania wprost do ustawy </w:t>
      </w:r>
      <w:r w:rsidR="008015FE">
        <w:rPr>
          <w:rFonts w:ascii="Times New Roman" w:hAnsi="Times New Roman" w:cs="Times New Roman"/>
          <w:sz w:val="24"/>
          <w:szCs w:val="24"/>
        </w:rPr>
        <w:t xml:space="preserve">o ofercie publicznej. Szczegółowe wyjaśnienie tej zmiany znajduje się w niniejszym uzasadnieniu w części dotyczącej zmian w ustawie o ofercie publicznej (vide projektowane brzmienie </w:t>
      </w:r>
      <w:r w:rsidR="008015FE" w:rsidRPr="006B2CD4">
        <w:rPr>
          <w:rFonts w:ascii="Times New Roman" w:hAnsi="Times New Roman" w:cs="Times New Roman"/>
          <w:bCs/>
          <w:sz w:val="24"/>
          <w:szCs w:val="24"/>
        </w:rPr>
        <w:t>art. 3 ust. 1a ustawy o ofercie publicznej</w:t>
      </w:r>
      <w:r w:rsidR="005A483D">
        <w:rPr>
          <w:rFonts w:ascii="Times New Roman" w:hAnsi="Times New Roman" w:cs="Times New Roman"/>
          <w:bCs/>
          <w:sz w:val="24"/>
          <w:szCs w:val="24"/>
        </w:rPr>
        <w:t>)</w:t>
      </w:r>
      <w:r w:rsidR="00CF1424">
        <w:rPr>
          <w:rFonts w:ascii="Times New Roman" w:hAnsi="Times New Roman" w:cs="Times New Roman"/>
          <w:bCs/>
          <w:sz w:val="24"/>
          <w:szCs w:val="24"/>
        </w:rPr>
        <w:t>.</w:t>
      </w:r>
    </w:p>
    <w:p w14:paraId="3F13C4F8" w14:textId="4390CAE6" w:rsidR="00742CAB" w:rsidRDefault="00742CAB" w:rsidP="005571E5">
      <w:pPr>
        <w:spacing w:after="120" w:line="360" w:lineRule="auto"/>
        <w:jc w:val="both"/>
        <w:rPr>
          <w:rFonts w:ascii="Times New Roman" w:hAnsi="Times New Roman" w:cs="Times New Roman"/>
          <w:b/>
          <w:bCs/>
          <w:sz w:val="24"/>
          <w:szCs w:val="24"/>
        </w:rPr>
      </w:pPr>
      <w:r w:rsidRPr="005B60F7">
        <w:rPr>
          <w:rFonts w:ascii="Times New Roman" w:hAnsi="Times New Roman" w:cs="Times New Roman"/>
          <w:b/>
          <w:bCs/>
          <w:sz w:val="24"/>
          <w:szCs w:val="24"/>
        </w:rPr>
        <w:t xml:space="preserve">Art. </w:t>
      </w:r>
      <w:r w:rsidR="005D300A">
        <w:rPr>
          <w:rFonts w:ascii="Times New Roman" w:hAnsi="Times New Roman" w:cs="Times New Roman"/>
          <w:b/>
          <w:bCs/>
          <w:sz w:val="24"/>
          <w:szCs w:val="24"/>
        </w:rPr>
        <w:t>3</w:t>
      </w:r>
      <w:r w:rsidR="000E1F68">
        <w:rPr>
          <w:rFonts w:ascii="Times New Roman" w:hAnsi="Times New Roman" w:cs="Times New Roman"/>
          <w:b/>
          <w:bCs/>
          <w:sz w:val="24"/>
          <w:szCs w:val="24"/>
        </w:rPr>
        <w:t>2.</w:t>
      </w:r>
      <w:r w:rsidR="005D300A" w:rsidRPr="005B60F7">
        <w:rPr>
          <w:rFonts w:ascii="Times New Roman" w:hAnsi="Times New Roman" w:cs="Times New Roman"/>
          <w:b/>
          <w:bCs/>
          <w:sz w:val="24"/>
          <w:szCs w:val="24"/>
        </w:rPr>
        <w:t xml:space="preserve"> </w:t>
      </w:r>
      <w:r w:rsidR="005B60F7">
        <w:rPr>
          <w:rFonts w:ascii="Times New Roman" w:hAnsi="Times New Roman" w:cs="Times New Roman"/>
          <w:b/>
          <w:bCs/>
          <w:sz w:val="24"/>
          <w:szCs w:val="24"/>
        </w:rPr>
        <w:t>Zmiany w ustawie o crowdfundingu</w:t>
      </w:r>
    </w:p>
    <w:p w14:paraId="6FAF7DE1" w14:textId="67ADAB16" w:rsidR="005B60F7" w:rsidRPr="00DF3426" w:rsidRDefault="005B60F7" w:rsidP="005B60F7">
      <w:pPr>
        <w:spacing w:after="240" w:line="360" w:lineRule="auto"/>
        <w:jc w:val="both"/>
        <w:rPr>
          <w:rFonts w:ascii="Times New Roman" w:hAnsi="Times New Roman" w:cs="Times New Roman"/>
          <w:bCs/>
          <w:sz w:val="24"/>
          <w:szCs w:val="24"/>
        </w:rPr>
      </w:pPr>
      <w:r w:rsidRPr="00DF3426">
        <w:rPr>
          <w:rFonts w:ascii="Times New Roman" w:hAnsi="Times New Roman" w:cs="Times New Roman"/>
          <w:bCs/>
          <w:sz w:val="24"/>
          <w:szCs w:val="24"/>
        </w:rPr>
        <w:t>Zmiana polegająca na dodaniu art. 14a w ustawie o</w:t>
      </w:r>
      <w:r w:rsidR="00E70454">
        <w:rPr>
          <w:rFonts w:ascii="Times New Roman" w:hAnsi="Times New Roman" w:cs="Times New Roman"/>
          <w:bCs/>
          <w:sz w:val="24"/>
          <w:szCs w:val="24"/>
        </w:rPr>
        <w:t xml:space="preserve"> </w:t>
      </w:r>
      <w:r w:rsidR="00E70454">
        <w:rPr>
          <w:rFonts w:ascii="Times New Roman" w:hAnsi="Times New Roman" w:cs="Times New Roman"/>
          <w:sz w:val="24"/>
          <w:szCs w:val="24"/>
        </w:rPr>
        <w:t>crowdfundingu</w:t>
      </w:r>
      <w:r w:rsidRPr="00DF3426">
        <w:rPr>
          <w:rFonts w:ascii="Times New Roman" w:hAnsi="Times New Roman" w:cs="Times New Roman"/>
          <w:bCs/>
          <w:sz w:val="24"/>
          <w:szCs w:val="24"/>
        </w:rPr>
        <w:t>ma charakter doprecyzowujący w zakresie sposobu ustalania kwot w złotych polskich, które zostały wyrażone w euro w rozporządzeniu 2020/1503. Rozporządzenie to przewiduje sytuacje, w których spełnienie obowiązków jest zależne od kwoty wyrażonej w wartościach liczbowych w euro. Obowiązki te dotyczą kwoty ostrożnościowych środków ochrony, którymi musi dysponować dostawca usług finansowania społeczno</w:t>
      </w:r>
      <w:r w:rsidR="00AF6F68">
        <w:rPr>
          <w:rFonts w:ascii="Times New Roman" w:hAnsi="Times New Roman" w:cs="Times New Roman"/>
          <w:bCs/>
          <w:sz w:val="24"/>
          <w:szCs w:val="24"/>
        </w:rPr>
        <w:t>ściowego (art. 11 ust. 1 lit. a)</w:t>
      </w:r>
      <w:r w:rsidRPr="00DF3426">
        <w:rPr>
          <w:rFonts w:ascii="Times New Roman" w:hAnsi="Times New Roman" w:cs="Times New Roman"/>
          <w:bCs/>
          <w:sz w:val="24"/>
          <w:szCs w:val="24"/>
        </w:rPr>
        <w:t xml:space="preserve"> oraz kwoty, powyżej której inwestycja dokonywana przez inwestora niedoświadczonego musi być poprzedzona obowiązkiem weryfikacyjnym (art. 21 us</w:t>
      </w:r>
      <w:r w:rsidR="00AF6F68">
        <w:rPr>
          <w:rFonts w:ascii="Times New Roman" w:hAnsi="Times New Roman" w:cs="Times New Roman"/>
          <w:bCs/>
          <w:sz w:val="24"/>
          <w:szCs w:val="24"/>
        </w:rPr>
        <w:t>t. 7 r</w:t>
      </w:r>
      <w:r>
        <w:rPr>
          <w:rFonts w:ascii="Times New Roman" w:hAnsi="Times New Roman" w:cs="Times New Roman"/>
          <w:bCs/>
          <w:sz w:val="24"/>
          <w:szCs w:val="24"/>
        </w:rPr>
        <w:t xml:space="preserve">ozporządzenia 2020/1503). </w:t>
      </w:r>
      <w:r w:rsidRPr="00DF3426">
        <w:rPr>
          <w:rFonts w:ascii="Times New Roman" w:hAnsi="Times New Roman" w:cs="Times New Roman"/>
          <w:bCs/>
          <w:sz w:val="24"/>
          <w:szCs w:val="24"/>
        </w:rPr>
        <w:t>Ponieważ przepisy te nie określają kursu wymiany na polski złoty, konieczne jest uregulo</w:t>
      </w:r>
      <w:r w:rsidR="00AF6F68">
        <w:rPr>
          <w:rFonts w:ascii="Times New Roman" w:hAnsi="Times New Roman" w:cs="Times New Roman"/>
          <w:bCs/>
          <w:sz w:val="24"/>
          <w:szCs w:val="24"/>
        </w:rPr>
        <w:t xml:space="preserve">wanie tego na poziomie ustawy. </w:t>
      </w:r>
      <w:r w:rsidRPr="00DF3426">
        <w:rPr>
          <w:rFonts w:ascii="Times New Roman" w:hAnsi="Times New Roman" w:cs="Times New Roman"/>
          <w:bCs/>
          <w:sz w:val="24"/>
          <w:szCs w:val="24"/>
        </w:rPr>
        <w:t>Zaproponowane rozwiązanie w ust. 1 jest analogiczne do rozwiązania przyjętego wobec domów maklerskich (art. 98 u</w:t>
      </w:r>
      <w:r w:rsidR="00AF6F68">
        <w:rPr>
          <w:rFonts w:ascii="Times New Roman" w:hAnsi="Times New Roman" w:cs="Times New Roman"/>
          <w:bCs/>
          <w:sz w:val="24"/>
          <w:szCs w:val="24"/>
        </w:rPr>
        <w:t>st. 10 u</w:t>
      </w:r>
      <w:r w:rsidRPr="00DF3426">
        <w:rPr>
          <w:rFonts w:ascii="Times New Roman" w:hAnsi="Times New Roman" w:cs="Times New Roman"/>
          <w:bCs/>
          <w:sz w:val="24"/>
          <w:szCs w:val="24"/>
        </w:rPr>
        <w:t>stawy o obrocie instrumentami finansowymi). Zaproponowany sposób przeliczenia nie stoi w sprzeczności zarówno z art. 11 ust. 1 Rozporządzenia 2020/1503 przewidującym wymóg dysponowania w każdym momencie ostrożnościowymi środkami ochrony w kwocie co najmniej 25.000 euro, ani z obowiązkiem dokonywania (co najmniej co dwa lata) przeglądu ostrożnościowych środków ochrony zgodnie z art. 4 ust. 3 Rozporządzenia 2020/1503. Ustanowienie jednolitego kursu nie powoduje bowiem, że podmioty te nie muszą już dysponować na bieżąco środkami w ustalonej kwocie, ani, że nie muszą dokonywać regularnego przeglądu tych środków, ale dookreślają wyłącznie relację kwoty wskazanej w euro do polskiego złotego. Ponadto, wprowadzone rozwiązanie zapewnia, że kurs ten jest również aktualny na datę złożenia wniosku, co wynika m.in. z Rozpor</w:t>
      </w:r>
      <w:r w:rsidR="00240BFD">
        <w:rPr>
          <w:rFonts w:ascii="Times New Roman" w:hAnsi="Times New Roman" w:cs="Times New Roman"/>
          <w:bCs/>
          <w:sz w:val="24"/>
          <w:szCs w:val="24"/>
        </w:rPr>
        <w:t>ządzenia Delegowanego 2022/2112</w:t>
      </w:r>
      <w:r w:rsidRPr="00DF3426">
        <w:rPr>
          <w:rFonts w:ascii="Times New Roman" w:hAnsi="Times New Roman" w:cs="Times New Roman"/>
          <w:bCs/>
          <w:sz w:val="24"/>
          <w:szCs w:val="24"/>
        </w:rPr>
        <w:t>, zgodnie z którym we wniosku wskazuje się „kwotę ostrożnościowych środków ochrony, jakimi dysponuje wnioskodawca w chwili składania wniosku o udzielenie zezwolenia, oraz opis założeń przyjętych przy jej określaniu”.</w:t>
      </w:r>
    </w:p>
    <w:p w14:paraId="006945BD" w14:textId="6C20BDFC" w:rsidR="005B60F7" w:rsidRPr="005B60F7" w:rsidRDefault="005B60F7" w:rsidP="0051441B">
      <w:pPr>
        <w:spacing w:after="240" w:line="360" w:lineRule="auto"/>
        <w:jc w:val="both"/>
        <w:rPr>
          <w:rFonts w:ascii="Times New Roman" w:hAnsi="Times New Roman" w:cs="Times New Roman"/>
          <w:bCs/>
          <w:sz w:val="24"/>
          <w:szCs w:val="24"/>
        </w:rPr>
      </w:pPr>
      <w:r w:rsidRPr="00DF3426">
        <w:rPr>
          <w:rFonts w:ascii="Times New Roman" w:hAnsi="Times New Roman" w:cs="Times New Roman"/>
          <w:bCs/>
          <w:sz w:val="24"/>
          <w:szCs w:val="24"/>
        </w:rPr>
        <w:t>W zakresie nowego ust. 2, ponieważ jest to okoliczność jednorazowa, kwota w euro powinna być określana na bieżąco w momencie powstania obowiązku.</w:t>
      </w:r>
    </w:p>
    <w:p w14:paraId="404465D7" w14:textId="56D3ED8D" w:rsidR="00DD2EE6" w:rsidRPr="006B2CD4" w:rsidRDefault="002F0DAB" w:rsidP="00A05F1C">
      <w:pPr>
        <w:pStyle w:val="Akapitzlist"/>
        <w:numPr>
          <w:ilvl w:val="0"/>
          <w:numId w:val="1"/>
        </w:numPr>
        <w:spacing w:before="120" w:after="120" w:line="360" w:lineRule="auto"/>
        <w:ind w:left="568" w:hanging="284"/>
        <w:contextualSpacing w:val="0"/>
        <w:jc w:val="both"/>
        <w:rPr>
          <w:rFonts w:ascii="Times New Roman" w:hAnsi="Times New Roman" w:cs="Times New Roman"/>
          <w:b/>
          <w:sz w:val="24"/>
          <w:szCs w:val="24"/>
        </w:rPr>
      </w:pPr>
      <w:r w:rsidRPr="006B2CD4">
        <w:rPr>
          <w:rFonts w:ascii="Times New Roman" w:hAnsi="Times New Roman" w:cs="Times New Roman"/>
          <w:b/>
          <w:sz w:val="24"/>
          <w:szCs w:val="24"/>
        </w:rPr>
        <w:t>Przepisy przejściowe</w:t>
      </w:r>
      <w:r w:rsidR="00A27852">
        <w:rPr>
          <w:rFonts w:ascii="Times New Roman" w:hAnsi="Times New Roman" w:cs="Times New Roman"/>
          <w:b/>
          <w:sz w:val="24"/>
          <w:szCs w:val="24"/>
        </w:rPr>
        <w:t>, dostosowujące</w:t>
      </w:r>
      <w:r w:rsidRPr="006B2CD4">
        <w:rPr>
          <w:rFonts w:ascii="Times New Roman" w:hAnsi="Times New Roman" w:cs="Times New Roman"/>
          <w:b/>
          <w:sz w:val="24"/>
          <w:szCs w:val="24"/>
        </w:rPr>
        <w:t xml:space="preserve"> i przepis końcowy</w:t>
      </w:r>
    </w:p>
    <w:p w14:paraId="6BD3B401" w14:textId="704278C8" w:rsidR="001D1405" w:rsidRDefault="00A95722" w:rsidP="00B856D8">
      <w:pPr>
        <w:tabs>
          <w:tab w:val="left" w:pos="7920"/>
          <w:tab w:val="left" w:pos="7995"/>
        </w:tabs>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Projekt ustawy wprowadza </w:t>
      </w:r>
      <w:r w:rsidR="00FD6EDA" w:rsidRPr="006B2CD4">
        <w:rPr>
          <w:rFonts w:ascii="Times New Roman" w:hAnsi="Times New Roman" w:cs="Times New Roman"/>
          <w:sz w:val="24"/>
          <w:szCs w:val="24"/>
        </w:rPr>
        <w:t>następujące regulacje o charakterze przejściowym.</w:t>
      </w:r>
    </w:p>
    <w:p w14:paraId="1B22A7A9" w14:textId="3816B07A" w:rsidR="001D1405" w:rsidRDefault="0049399F" w:rsidP="001D1405">
      <w:pPr>
        <w:tabs>
          <w:tab w:val="left" w:pos="7920"/>
          <w:tab w:val="left" w:pos="7995"/>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Art. 3</w:t>
      </w:r>
      <w:r w:rsidR="00FB1205">
        <w:rPr>
          <w:rFonts w:ascii="Times New Roman" w:hAnsi="Times New Roman" w:cs="Times New Roman"/>
          <w:b/>
          <w:sz w:val="24"/>
          <w:szCs w:val="24"/>
        </w:rPr>
        <w:t>3</w:t>
      </w:r>
    </w:p>
    <w:p w14:paraId="777A374A" w14:textId="11276A5F" w:rsidR="00C847E1" w:rsidRDefault="001D1405" w:rsidP="00C847E1">
      <w:pPr>
        <w:tabs>
          <w:tab w:val="left" w:pos="7920"/>
          <w:tab w:val="left" w:pos="7995"/>
        </w:tabs>
        <w:spacing w:after="120" w:line="360" w:lineRule="auto"/>
        <w:jc w:val="both"/>
        <w:rPr>
          <w:rFonts w:ascii="Times New Roman" w:hAnsi="Times New Roman" w:cs="Times New Roman"/>
          <w:sz w:val="24"/>
          <w:szCs w:val="24"/>
        </w:rPr>
      </w:pPr>
      <w:r w:rsidRPr="00A07BBC">
        <w:rPr>
          <w:rFonts w:ascii="Times New Roman" w:hAnsi="Times New Roman" w:cs="Times New Roman"/>
          <w:sz w:val="24"/>
          <w:szCs w:val="24"/>
        </w:rPr>
        <w:t>Zmiany wprowadzone w art. 1</w:t>
      </w:r>
      <w:r w:rsidR="00FB1205">
        <w:rPr>
          <w:rFonts w:ascii="Times New Roman" w:hAnsi="Times New Roman" w:cs="Times New Roman"/>
          <w:sz w:val="24"/>
          <w:szCs w:val="24"/>
        </w:rPr>
        <w:t>8</w:t>
      </w:r>
      <w:r w:rsidRPr="00A07BBC">
        <w:rPr>
          <w:rFonts w:ascii="Times New Roman" w:hAnsi="Times New Roman" w:cs="Times New Roman"/>
          <w:sz w:val="24"/>
          <w:szCs w:val="24"/>
        </w:rPr>
        <w:t xml:space="preserve"> pkt 1</w:t>
      </w:r>
      <w:r w:rsidR="0049399F">
        <w:rPr>
          <w:rFonts w:ascii="Times New Roman" w:hAnsi="Times New Roman" w:cs="Times New Roman"/>
          <w:sz w:val="24"/>
          <w:szCs w:val="24"/>
        </w:rPr>
        <w:t>8</w:t>
      </w:r>
      <w:r w:rsidRPr="00A07BBC">
        <w:rPr>
          <w:rFonts w:ascii="Times New Roman" w:hAnsi="Times New Roman" w:cs="Times New Roman"/>
          <w:sz w:val="24"/>
          <w:szCs w:val="24"/>
        </w:rPr>
        <w:t xml:space="preserve"> ustawy o nadzorze nad rynkiem finansowym stosuje się także do postępowań wszczętych i niezakończonych przed wejściem w życie niniejszej ustawy.</w:t>
      </w:r>
    </w:p>
    <w:p w14:paraId="774659A1" w14:textId="2BA1FDED" w:rsidR="00C847E1" w:rsidRPr="005360DD" w:rsidRDefault="0049399F" w:rsidP="00C847E1">
      <w:pPr>
        <w:tabs>
          <w:tab w:val="left" w:pos="7920"/>
          <w:tab w:val="left" w:pos="7995"/>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Art. 3</w:t>
      </w:r>
      <w:r w:rsidR="00FB1205">
        <w:rPr>
          <w:rFonts w:ascii="Times New Roman" w:hAnsi="Times New Roman" w:cs="Times New Roman"/>
          <w:b/>
          <w:sz w:val="24"/>
          <w:szCs w:val="24"/>
        </w:rPr>
        <w:t>4</w:t>
      </w:r>
    </w:p>
    <w:p w14:paraId="08EF05B3" w14:textId="1C813360" w:rsidR="00C847E1" w:rsidRPr="00FC70DC" w:rsidRDefault="00C847E1" w:rsidP="001D1405">
      <w:pPr>
        <w:tabs>
          <w:tab w:val="left" w:pos="7920"/>
          <w:tab w:val="left" w:pos="7995"/>
        </w:tabs>
        <w:spacing w:after="0" w:line="360" w:lineRule="auto"/>
        <w:jc w:val="both"/>
        <w:rPr>
          <w:rFonts w:ascii="Times New Roman" w:hAnsi="Times New Roman" w:cs="Times New Roman"/>
          <w:sz w:val="24"/>
          <w:szCs w:val="24"/>
        </w:rPr>
      </w:pPr>
      <w:r w:rsidRPr="005360DD">
        <w:rPr>
          <w:rFonts w:ascii="Times New Roman" w:hAnsi="Times New Roman" w:cs="Times New Roman"/>
          <w:sz w:val="24"/>
          <w:szCs w:val="24"/>
        </w:rPr>
        <w:t xml:space="preserve">Zgodnie z przepisem przejściowym </w:t>
      </w:r>
      <w:r>
        <w:rPr>
          <w:rFonts w:ascii="Times New Roman" w:hAnsi="Times New Roman" w:cs="Times New Roman"/>
          <w:sz w:val="24"/>
          <w:szCs w:val="24"/>
        </w:rPr>
        <w:t>n</w:t>
      </w:r>
      <w:r w:rsidRPr="005360DD">
        <w:rPr>
          <w:rFonts w:ascii="Times New Roman" w:hAnsi="Times New Roman" w:cs="Times New Roman"/>
          <w:sz w:val="24"/>
          <w:szCs w:val="24"/>
        </w:rPr>
        <w:t>ależności z tytułu opłat lub wpłat, o których mowa w art. 19a ust. 2 pkt 1 oraz w ust. 3 ustawy zmienianej w art. 1</w:t>
      </w:r>
      <w:r w:rsidR="00FB1205">
        <w:rPr>
          <w:rFonts w:ascii="Times New Roman" w:hAnsi="Times New Roman" w:cs="Times New Roman"/>
          <w:sz w:val="24"/>
          <w:szCs w:val="24"/>
        </w:rPr>
        <w:t>8</w:t>
      </w:r>
      <w:r w:rsidRPr="005360DD">
        <w:rPr>
          <w:rFonts w:ascii="Times New Roman" w:hAnsi="Times New Roman" w:cs="Times New Roman"/>
          <w:sz w:val="24"/>
          <w:szCs w:val="24"/>
        </w:rPr>
        <w:t>, od podmiotów będących w upadłości lub likwidacji, nieuiszczone do dnia wejścia w życie niniejszej ustawy, umarza się.</w:t>
      </w:r>
    </w:p>
    <w:p w14:paraId="4B9BD80C" w14:textId="42EE8060" w:rsidR="00942341" w:rsidRPr="002423A9" w:rsidRDefault="000F53CA" w:rsidP="001D1405">
      <w:pPr>
        <w:tabs>
          <w:tab w:val="left" w:pos="7920"/>
          <w:tab w:val="left" w:pos="7995"/>
        </w:tabs>
        <w:spacing w:after="0" w:line="360" w:lineRule="auto"/>
        <w:jc w:val="both"/>
        <w:rPr>
          <w:rFonts w:ascii="Times New Roman" w:hAnsi="Times New Roman" w:cs="Times New Roman"/>
          <w:b/>
          <w:sz w:val="24"/>
          <w:szCs w:val="24"/>
        </w:rPr>
      </w:pPr>
      <w:r w:rsidRPr="00FC70DC">
        <w:rPr>
          <w:rFonts w:ascii="Times New Roman" w:hAnsi="Times New Roman" w:cs="Times New Roman"/>
          <w:b/>
          <w:sz w:val="24"/>
          <w:szCs w:val="24"/>
        </w:rPr>
        <w:t xml:space="preserve">Art. </w:t>
      </w:r>
      <w:r w:rsidR="00FC70DC" w:rsidRPr="00FC70DC">
        <w:rPr>
          <w:rFonts w:ascii="Times New Roman" w:hAnsi="Times New Roman" w:cs="Times New Roman"/>
          <w:b/>
          <w:sz w:val="24"/>
          <w:szCs w:val="24"/>
        </w:rPr>
        <w:t>3</w:t>
      </w:r>
      <w:r w:rsidR="00FB1205">
        <w:rPr>
          <w:rFonts w:ascii="Times New Roman" w:hAnsi="Times New Roman" w:cs="Times New Roman"/>
          <w:b/>
          <w:sz w:val="24"/>
          <w:szCs w:val="24"/>
        </w:rPr>
        <w:t>5</w:t>
      </w:r>
    </w:p>
    <w:p w14:paraId="0612AEAA" w14:textId="444633E9" w:rsidR="00572B9C" w:rsidRPr="002423A9" w:rsidRDefault="00572B9C" w:rsidP="00B856D8">
      <w:pPr>
        <w:tabs>
          <w:tab w:val="left" w:pos="7920"/>
          <w:tab w:val="left" w:pos="7995"/>
        </w:tabs>
        <w:spacing w:after="0" w:line="360" w:lineRule="auto"/>
        <w:jc w:val="both"/>
        <w:rPr>
          <w:rFonts w:ascii="Times New Roman" w:hAnsi="Times New Roman" w:cs="Times New Roman"/>
          <w:b/>
          <w:sz w:val="24"/>
          <w:szCs w:val="24"/>
        </w:rPr>
      </w:pPr>
      <w:r w:rsidRPr="002423A9">
        <w:rPr>
          <w:rFonts w:ascii="Times New Roman" w:hAnsi="Times New Roman" w:cs="Times New Roman"/>
          <w:sz w:val="24"/>
          <w:szCs w:val="24"/>
        </w:rPr>
        <w:t xml:space="preserve">Zgodnie z przepisem przejściowym, zezwolenia wydane zgodnie z dotychczasowym brzmieniem art. </w:t>
      </w:r>
      <w:r w:rsidR="00D94D62" w:rsidRPr="002423A9">
        <w:rPr>
          <w:rFonts w:ascii="Times New Roman" w:hAnsi="Times New Roman" w:cs="Times New Roman"/>
          <w:sz w:val="24"/>
          <w:szCs w:val="24"/>
        </w:rPr>
        <w:t xml:space="preserve">6a ust. 1 pkt 1 lit. m oraz art. </w:t>
      </w:r>
      <w:r w:rsidRPr="002423A9">
        <w:rPr>
          <w:rFonts w:ascii="Times New Roman" w:hAnsi="Times New Roman" w:cs="Times New Roman"/>
          <w:sz w:val="24"/>
          <w:szCs w:val="24"/>
        </w:rPr>
        <w:t xml:space="preserve">6d ust. 1 ustawy </w:t>
      </w:r>
      <w:r w:rsidR="003B7755" w:rsidRPr="002423A9">
        <w:rPr>
          <w:rFonts w:ascii="Times New Roman" w:hAnsi="Times New Roman" w:cs="Times New Roman"/>
          <w:bCs/>
          <w:sz w:val="24"/>
          <w:szCs w:val="24"/>
        </w:rPr>
        <w:t>–</w:t>
      </w:r>
      <w:r w:rsidR="00997496" w:rsidRPr="002423A9">
        <w:rPr>
          <w:rFonts w:ascii="Times New Roman" w:hAnsi="Times New Roman" w:cs="Times New Roman"/>
          <w:sz w:val="24"/>
          <w:szCs w:val="24"/>
        </w:rPr>
        <w:t xml:space="preserve"> </w:t>
      </w:r>
      <w:r w:rsidR="00771274" w:rsidRPr="002423A9">
        <w:rPr>
          <w:rFonts w:ascii="Times New Roman" w:hAnsi="Times New Roman" w:cs="Times New Roman"/>
          <w:sz w:val="24"/>
          <w:szCs w:val="24"/>
        </w:rPr>
        <w:t>Prawo bankowe</w:t>
      </w:r>
      <w:r w:rsidRPr="002423A9">
        <w:rPr>
          <w:rFonts w:ascii="Times New Roman" w:hAnsi="Times New Roman" w:cs="Times New Roman"/>
          <w:sz w:val="24"/>
          <w:szCs w:val="24"/>
        </w:rPr>
        <w:t xml:space="preserve"> zachowują swoją ważność do czasu wygaśnięcia lub rozwiązania umów zawartych </w:t>
      </w:r>
      <w:r w:rsidR="002423A9" w:rsidRPr="002423A9">
        <w:rPr>
          <w:rFonts w:ascii="Times New Roman" w:hAnsi="Times New Roman" w:cs="Times New Roman"/>
          <w:sz w:val="24"/>
          <w:szCs w:val="24"/>
        </w:rPr>
        <w:t>w związku z ich udzieleniem</w:t>
      </w:r>
      <w:r w:rsidRPr="002423A9">
        <w:rPr>
          <w:rFonts w:ascii="Times New Roman" w:hAnsi="Times New Roman" w:cs="Times New Roman"/>
          <w:sz w:val="24"/>
          <w:szCs w:val="24"/>
        </w:rPr>
        <w:t>.</w:t>
      </w:r>
      <w:r w:rsidR="00006DCB" w:rsidRPr="002423A9">
        <w:rPr>
          <w:rFonts w:ascii="Times New Roman" w:hAnsi="Times New Roman" w:cs="Times New Roman"/>
          <w:sz w:val="24"/>
          <w:szCs w:val="24"/>
        </w:rPr>
        <w:t xml:space="preserve"> </w:t>
      </w:r>
      <w:r w:rsidR="001A22D5" w:rsidRPr="002423A9">
        <w:rPr>
          <w:rFonts w:ascii="Times New Roman" w:hAnsi="Times New Roman" w:cs="Times New Roman"/>
          <w:sz w:val="24"/>
          <w:szCs w:val="24"/>
        </w:rPr>
        <w:t xml:space="preserve">Wprowadzane w ustawie </w:t>
      </w:r>
      <w:r w:rsidR="003B7755" w:rsidRPr="002423A9">
        <w:rPr>
          <w:rFonts w:ascii="Times New Roman" w:hAnsi="Times New Roman" w:cs="Times New Roman"/>
          <w:bCs/>
          <w:sz w:val="24"/>
          <w:szCs w:val="24"/>
        </w:rPr>
        <w:t>–</w:t>
      </w:r>
      <w:r w:rsidR="00D94D62" w:rsidRPr="002423A9">
        <w:rPr>
          <w:rFonts w:ascii="Times New Roman" w:hAnsi="Times New Roman" w:cs="Times New Roman"/>
          <w:sz w:val="24"/>
          <w:szCs w:val="24"/>
        </w:rPr>
        <w:t xml:space="preserve"> </w:t>
      </w:r>
      <w:r w:rsidR="001A22D5" w:rsidRPr="002423A9">
        <w:rPr>
          <w:rFonts w:ascii="Times New Roman" w:hAnsi="Times New Roman" w:cs="Times New Roman"/>
          <w:sz w:val="24"/>
          <w:szCs w:val="24"/>
        </w:rPr>
        <w:t>Prawo bankowe zawiadomienia</w:t>
      </w:r>
      <w:r w:rsidR="005E0D3D" w:rsidRPr="002423A9">
        <w:rPr>
          <w:rFonts w:ascii="Times New Roman" w:hAnsi="Times New Roman" w:cs="Times New Roman"/>
          <w:sz w:val="24"/>
          <w:szCs w:val="24"/>
        </w:rPr>
        <w:t xml:space="preserve"> w zakresie outsourcingu</w:t>
      </w:r>
      <w:r w:rsidR="001A22D5" w:rsidRPr="002423A9">
        <w:rPr>
          <w:rFonts w:ascii="Times New Roman" w:hAnsi="Times New Roman" w:cs="Times New Roman"/>
          <w:sz w:val="24"/>
          <w:szCs w:val="24"/>
        </w:rPr>
        <w:t xml:space="preserve"> wiążą się z </w:t>
      </w:r>
      <w:r w:rsidR="00A4614A" w:rsidRPr="002423A9">
        <w:rPr>
          <w:rFonts w:ascii="Times New Roman" w:hAnsi="Times New Roman" w:cs="Times New Roman"/>
          <w:sz w:val="24"/>
          <w:szCs w:val="24"/>
        </w:rPr>
        <w:t>innym</w:t>
      </w:r>
      <w:r w:rsidR="001A22D5" w:rsidRPr="002423A9">
        <w:rPr>
          <w:rFonts w:ascii="Times New Roman" w:hAnsi="Times New Roman" w:cs="Times New Roman"/>
          <w:sz w:val="24"/>
          <w:szCs w:val="24"/>
        </w:rPr>
        <w:t xml:space="preserve"> zakresem dołączanych do zawiadomienia dokumentów</w:t>
      </w:r>
      <w:r w:rsidR="005E0D3D" w:rsidRPr="002423A9">
        <w:rPr>
          <w:rFonts w:ascii="Times New Roman" w:hAnsi="Times New Roman" w:cs="Times New Roman"/>
          <w:sz w:val="24"/>
          <w:szCs w:val="24"/>
        </w:rPr>
        <w:t>.</w:t>
      </w:r>
      <w:r w:rsidR="001A22D5" w:rsidRPr="002423A9">
        <w:rPr>
          <w:rFonts w:ascii="Times New Roman" w:hAnsi="Times New Roman" w:cs="Times New Roman"/>
          <w:sz w:val="24"/>
          <w:szCs w:val="24"/>
        </w:rPr>
        <w:t xml:space="preserve"> </w:t>
      </w:r>
      <w:r w:rsidR="005E0D3D" w:rsidRPr="002423A9">
        <w:rPr>
          <w:rFonts w:ascii="Times New Roman" w:hAnsi="Times New Roman" w:cs="Times New Roman"/>
          <w:sz w:val="24"/>
          <w:szCs w:val="24"/>
        </w:rPr>
        <w:t>W celu</w:t>
      </w:r>
      <w:r w:rsidR="001A22D5" w:rsidRPr="002423A9">
        <w:rPr>
          <w:rFonts w:ascii="Times New Roman" w:hAnsi="Times New Roman" w:cs="Times New Roman"/>
          <w:sz w:val="24"/>
          <w:szCs w:val="24"/>
        </w:rPr>
        <w:t xml:space="preserve"> </w:t>
      </w:r>
      <w:r w:rsidR="005E0D3D" w:rsidRPr="002423A9">
        <w:rPr>
          <w:rFonts w:ascii="Times New Roman" w:hAnsi="Times New Roman" w:cs="Times New Roman"/>
          <w:sz w:val="24"/>
          <w:szCs w:val="24"/>
        </w:rPr>
        <w:t>zapewnienia</w:t>
      </w:r>
      <w:r w:rsidR="001A22D5" w:rsidRPr="002423A9">
        <w:rPr>
          <w:rFonts w:ascii="Times New Roman" w:hAnsi="Times New Roman" w:cs="Times New Roman"/>
          <w:sz w:val="24"/>
          <w:szCs w:val="24"/>
        </w:rPr>
        <w:t xml:space="preserve"> dalsze</w:t>
      </w:r>
      <w:r w:rsidR="005E0D3D" w:rsidRPr="002423A9">
        <w:rPr>
          <w:rFonts w:ascii="Times New Roman" w:hAnsi="Times New Roman" w:cs="Times New Roman"/>
          <w:sz w:val="24"/>
          <w:szCs w:val="24"/>
        </w:rPr>
        <w:t>go</w:t>
      </w:r>
      <w:r w:rsidR="001A22D5" w:rsidRPr="002423A9">
        <w:rPr>
          <w:rFonts w:ascii="Times New Roman" w:hAnsi="Times New Roman" w:cs="Times New Roman"/>
          <w:sz w:val="24"/>
          <w:szCs w:val="24"/>
        </w:rPr>
        <w:t xml:space="preserve"> procedowani</w:t>
      </w:r>
      <w:r w:rsidR="005E0D3D" w:rsidRPr="002423A9">
        <w:rPr>
          <w:rFonts w:ascii="Times New Roman" w:hAnsi="Times New Roman" w:cs="Times New Roman"/>
          <w:sz w:val="24"/>
          <w:szCs w:val="24"/>
        </w:rPr>
        <w:t>a</w:t>
      </w:r>
      <w:r w:rsidR="001A22D5" w:rsidRPr="002423A9">
        <w:rPr>
          <w:rFonts w:ascii="Times New Roman" w:hAnsi="Times New Roman" w:cs="Times New Roman"/>
          <w:sz w:val="24"/>
          <w:szCs w:val="24"/>
        </w:rPr>
        <w:t xml:space="preserve"> wszystkich wszczętych i niezakończonych postępowań</w:t>
      </w:r>
      <w:r w:rsidR="005E0D3D" w:rsidRPr="002423A9">
        <w:rPr>
          <w:rFonts w:ascii="Times New Roman" w:hAnsi="Times New Roman" w:cs="Times New Roman"/>
          <w:sz w:val="24"/>
          <w:szCs w:val="24"/>
        </w:rPr>
        <w:t xml:space="preserve"> o wydanie zezwolenia </w:t>
      </w:r>
      <w:r w:rsidR="001A22D5" w:rsidRPr="002423A9">
        <w:rPr>
          <w:rFonts w:ascii="Times New Roman" w:hAnsi="Times New Roman" w:cs="Times New Roman"/>
          <w:sz w:val="24"/>
          <w:szCs w:val="24"/>
        </w:rPr>
        <w:t>bez konieczności uzupełniania dokumentów</w:t>
      </w:r>
      <w:r w:rsidR="005E0D3D" w:rsidRPr="002423A9">
        <w:rPr>
          <w:rFonts w:ascii="Times New Roman" w:hAnsi="Times New Roman" w:cs="Times New Roman"/>
          <w:sz w:val="24"/>
          <w:szCs w:val="24"/>
        </w:rPr>
        <w:t>,</w:t>
      </w:r>
      <w:r w:rsidR="001A22D5" w:rsidRPr="002423A9">
        <w:rPr>
          <w:rFonts w:ascii="Times New Roman" w:hAnsi="Times New Roman" w:cs="Times New Roman"/>
          <w:sz w:val="24"/>
          <w:szCs w:val="24"/>
        </w:rPr>
        <w:t xml:space="preserve"> </w:t>
      </w:r>
      <w:r w:rsidR="005E0D3D" w:rsidRPr="002423A9">
        <w:rPr>
          <w:rFonts w:ascii="Times New Roman" w:hAnsi="Times New Roman" w:cs="Times New Roman"/>
          <w:sz w:val="24"/>
          <w:szCs w:val="24"/>
        </w:rPr>
        <w:t>do procedowanych wniosków mają zastosowanie dotychczasowe przepisy</w:t>
      </w:r>
      <w:r w:rsidR="00C00DB5" w:rsidRPr="002423A9">
        <w:rPr>
          <w:rFonts w:ascii="Times New Roman" w:hAnsi="Times New Roman" w:cs="Times New Roman"/>
          <w:sz w:val="24"/>
          <w:szCs w:val="24"/>
        </w:rPr>
        <w:t>.</w:t>
      </w:r>
      <w:r w:rsidR="001A22D5" w:rsidRPr="002423A9">
        <w:rPr>
          <w:rFonts w:ascii="Times New Roman" w:hAnsi="Times New Roman" w:cs="Times New Roman"/>
          <w:sz w:val="24"/>
          <w:szCs w:val="24"/>
        </w:rPr>
        <w:t xml:space="preserve"> </w:t>
      </w:r>
      <w:r w:rsidR="005E0D3D" w:rsidRPr="002423A9">
        <w:rPr>
          <w:rFonts w:ascii="Times New Roman" w:hAnsi="Times New Roman" w:cs="Times New Roman"/>
          <w:sz w:val="24"/>
          <w:szCs w:val="24"/>
        </w:rPr>
        <w:t>Takie rozwiązanie wyeliminuje ryzyko pozostawienia wniosku bez rozpatrzenia</w:t>
      </w:r>
      <w:r w:rsidR="002423A9">
        <w:rPr>
          <w:rFonts w:ascii="Times New Roman" w:hAnsi="Times New Roman" w:cs="Times New Roman"/>
          <w:sz w:val="24"/>
          <w:szCs w:val="24"/>
        </w:rPr>
        <w:t>,</w:t>
      </w:r>
      <w:r w:rsidR="005E0D3D" w:rsidRPr="002423A9">
        <w:rPr>
          <w:rFonts w:ascii="Times New Roman" w:hAnsi="Times New Roman" w:cs="Times New Roman"/>
          <w:sz w:val="24"/>
          <w:szCs w:val="24"/>
        </w:rPr>
        <w:t xml:space="preserve"> w przypadku gdy w wyznaczonym terminie przedsiębiorca nie zdążyłby uzupełnić dokumentacji.</w:t>
      </w:r>
    </w:p>
    <w:p w14:paraId="3F399C60" w14:textId="1DAC98AB" w:rsidR="00942341" w:rsidRPr="002423A9" w:rsidRDefault="00CD1FDB" w:rsidP="00B856D8">
      <w:pPr>
        <w:spacing w:after="0" w:line="360" w:lineRule="auto"/>
        <w:jc w:val="both"/>
        <w:rPr>
          <w:rFonts w:ascii="Times New Roman" w:hAnsi="Times New Roman" w:cs="Times New Roman"/>
          <w:b/>
          <w:sz w:val="24"/>
          <w:szCs w:val="24"/>
        </w:rPr>
      </w:pPr>
      <w:r w:rsidRPr="002423A9">
        <w:rPr>
          <w:rFonts w:ascii="Times New Roman" w:hAnsi="Times New Roman" w:cs="Times New Roman"/>
          <w:b/>
          <w:sz w:val="24"/>
          <w:szCs w:val="24"/>
        </w:rPr>
        <w:t xml:space="preserve">Art. </w:t>
      </w:r>
      <w:r w:rsidR="00DE79A1" w:rsidRPr="002423A9">
        <w:rPr>
          <w:rFonts w:ascii="Times New Roman" w:hAnsi="Times New Roman" w:cs="Times New Roman"/>
          <w:b/>
          <w:sz w:val="24"/>
          <w:szCs w:val="24"/>
        </w:rPr>
        <w:t>3</w:t>
      </w:r>
      <w:r w:rsidR="00FB1205">
        <w:rPr>
          <w:rFonts w:ascii="Times New Roman" w:hAnsi="Times New Roman" w:cs="Times New Roman"/>
          <w:b/>
          <w:sz w:val="24"/>
          <w:szCs w:val="24"/>
        </w:rPr>
        <w:t>6</w:t>
      </w:r>
    </w:p>
    <w:p w14:paraId="0435C14D" w14:textId="39FF8F34" w:rsidR="00A95722" w:rsidRPr="002423A9" w:rsidRDefault="00EF1E41" w:rsidP="00B856D8">
      <w:pPr>
        <w:spacing w:after="0" w:line="360" w:lineRule="auto"/>
        <w:jc w:val="both"/>
        <w:rPr>
          <w:rFonts w:ascii="Times New Roman" w:hAnsi="Times New Roman" w:cs="Times New Roman"/>
          <w:sz w:val="24"/>
          <w:szCs w:val="24"/>
        </w:rPr>
      </w:pPr>
      <w:r w:rsidRPr="002423A9">
        <w:rPr>
          <w:rFonts w:ascii="Times New Roman" w:hAnsi="Times New Roman" w:cs="Times New Roman"/>
          <w:sz w:val="24"/>
          <w:szCs w:val="24"/>
        </w:rPr>
        <w:t>Zgodnie z art. </w:t>
      </w:r>
      <w:r w:rsidR="00DE79A1" w:rsidRPr="002423A9">
        <w:rPr>
          <w:rFonts w:ascii="Times New Roman" w:hAnsi="Times New Roman" w:cs="Times New Roman"/>
          <w:sz w:val="24"/>
          <w:szCs w:val="24"/>
        </w:rPr>
        <w:t>3</w:t>
      </w:r>
      <w:r w:rsidR="00FB1205">
        <w:rPr>
          <w:rFonts w:ascii="Times New Roman" w:hAnsi="Times New Roman" w:cs="Times New Roman"/>
          <w:sz w:val="24"/>
          <w:szCs w:val="24"/>
        </w:rPr>
        <w:t>6</w:t>
      </w:r>
      <w:r w:rsidR="00DE79A1" w:rsidRPr="002423A9">
        <w:rPr>
          <w:rFonts w:ascii="Times New Roman" w:hAnsi="Times New Roman" w:cs="Times New Roman"/>
          <w:sz w:val="24"/>
          <w:szCs w:val="24"/>
        </w:rPr>
        <w:t xml:space="preserve"> </w:t>
      </w:r>
      <w:r w:rsidRPr="002423A9">
        <w:rPr>
          <w:rFonts w:ascii="Times New Roman" w:hAnsi="Times New Roman" w:cs="Times New Roman"/>
          <w:sz w:val="24"/>
          <w:szCs w:val="24"/>
        </w:rPr>
        <w:t>ust. 1</w:t>
      </w:r>
      <w:r w:rsidR="00DF2225" w:rsidRPr="002423A9">
        <w:rPr>
          <w:rFonts w:ascii="Times New Roman" w:hAnsi="Times New Roman" w:cs="Times New Roman"/>
          <w:sz w:val="24"/>
          <w:szCs w:val="24"/>
        </w:rPr>
        <w:t xml:space="preserve"> projektu ustawy</w:t>
      </w:r>
      <w:r w:rsidRPr="002423A9">
        <w:rPr>
          <w:rFonts w:ascii="Times New Roman" w:hAnsi="Times New Roman" w:cs="Times New Roman"/>
          <w:sz w:val="24"/>
          <w:szCs w:val="24"/>
        </w:rPr>
        <w:t>, zezwolenia dla banków prowadzących działalność maklerską w dniu wejścia w życie ustawy pozostają w mocy do dnia uzyskania zezwolenia na odpowiednią zmianę statutu. Z kolei, zgodnie z art. </w:t>
      </w:r>
      <w:r w:rsidR="00526ECB" w:rsidRPr="002423A9">
        <w:rPr>
          <w:rFonts w:ascii="Times New Roman" w:hAnsi="Times New Roman" w:cs="Times New Roman"/>
          <w:sz w:val="24"/>
          <w:szCs w:val="24"/>
        </w:rPr>
        <w:t>3</w:t>
      </w:r>
      <w:r w:rsidR="00FB1205">
        <w:rPr>
          <w:rFonts w:ascii="Times New Roman" w:hAnsi="Times New Roman" w:cs="Times New Roman"/>
          <w:sz w:val="24"/>
          <w:szCs w:val="24"/>
        </w:rPr>
        <w:t>6</w:t>
      </w:r>
      <w:r w:rsidRPr="002423A9">
        <w:rPr>
          <w:rFonts w:ascii="Times New Roman" w:hAnsi="Times New Roman" w:cs="Times New Roman"/>
          <w:sz w:val="24"/>
          <w:szCs w:val="24"/>
        </w:rPr>
        <w:t xml:space="preserve"> ust. 2, bank, który posiada zezwolenie na prowadzenie działalności maklerskiej lub faktycznie wykonuje czynności maklerskie na podstawie obowiązujących przepisów, powinien wystąpić do </w:t>
      </w:r>
      <w:r w:rsidR="00370539" w:rsidRPr="002423A9">
        <w:rPr>
          <w:rFonts w:ascii="Times New Roman" w:hAnsi="Times New Roman" w:cs="Times New Roman"/>
          <w:sz w:val="24"/>
          <w:szCs w:val="24"/>
        </w:rPr>
        <w:t>KNF</w:t>
      </w:r>
      <w:r w:rsidRPr="002423A9">
        <w:rPr>
          <w:rFonts w:ascii="Times New Roman" w:hAnsi="Times New Roman" w:cs="Times New Roman"/>
          <w:sz w:val="24"/>
          <w:szCs w:val="24"/>
        </w:rPr>
        <w:t xml:space="preserve"> z wnioskiem o odpowiednie dostosowanie treści statutu w terminie 6 miesięcy od dnia wejścia w życie ustawy. Zgodnie natomiast z art. </w:t>
      </w:r>
      <w:r w:rsidR="00C13F37" w:rsidRPr="002423A9">
        <w:rPr>
          <w:rFonts w:ascii="Times New Roman" w:hAnsi="Times New Roman" w:cs="Times New Roman"/>
          <w:sz w:val="24"/>
          <w:szCs w:val="24"/>
        </w:rPr>
        <w:t>3</w:t>
      </w:r>
      <w:r w:rsidR="00FB1205">
        <w:rPr>
          <w:rFonts w:ascii="Times New Roman" w:hAnsi="Times New Roman" w:cs="Times New Roman"/>
          <w:sz w:val="24"/>
          <w:szCs w:val="24"/>
        </w:rPr>
        <w:t>6</w:t>
      </w:r>
      <w:r w:rsidRPr="002423A9">
        <w:rPr>
          <w:rFonts w:ascii="Times New Roman" w:hAnsi="Times New Roman" w:cs="Times New Roman"/>
          <w:sz w:val="24"/>
          <w:szCs w:val="24"/>
        </w:rPr>
        <w:t xml:space="preserve"> ust. 3, bank, którego statut spełnia odpowiednie warunki ustawowe, umożliwiając prowadzenie działalności na własny rachunek, powinien powiadomić </w:t>
      </w:r>
      <w:r w:rsidR="00370539" w:rsidRPr="002423A9">
        <w:rPr>
          <w:rFonts w:ascii="Times New Roman" w:hAnsi="Times New Roman" w:cs="Times New Roman"/>
          <w:sz w:val="24"/>
          <w:szCs w:val="24"/>
        </w:rPr>
        <w:t>KNF</w:t>
      </w:r>
      <w:r w:rsidRPr="002423A9">
        <w:rPr>
          <w:rFonts w:ascii="Times New Roman" w:hAnsi="Times New Roman" w:cs="Times New Roman"/>
          <w:sz w:val="24"/>
          <w:szCs w:val="24"/>
        </w:rPr>
        <w:t xml:space="preserve"> na miesiąc przed rozpoczęciem tej działalności.</w:t>
      </w:r>
    </w:p>
    <w:p w14:paraId="07D59DB4" w14:textId="61DFBBDE" w:rsidR="00A16EDF" w:rsidRPr="00A16EDF" w:rsidRDefault="00A16EDF" w:rsidP="00B856D8">
      <w:pPr>
        <w:spacing w:after="0" w:line="360" w:lineRule="auto"/>
        <w:jc w:val="both"/>
        <w:rPr>
          <w:rFonts w:ascii="Times New Roman" w:hAnsi="Times New Roman" w:cs="Times New Roman"/>
          <w:b/>
          <w:sz w:val="24"/>
          <w:szCs w:val="24"/>
        </w:rPr>
      </w:pPr>
      <w:r w:rsidRPr="002423A9">
        <w:rPr>
          <w:rFonts w:ascii="Times New Roman" w:hAnsi="Times New Roman" w:cs="Times New Roman"/>
          <w:b/>
          <w:sz w:val="24"/>
          <w:szCs w:val="24"/>
        </w:rPr>
        <w:t>Art. 3</w:t>
      </w:r>
      <w:r w:rsidR="00FB1205">
        <w:rPr>
          <w:rFonts w:ascii="Times New Roman" w:hAnsi="Times New Roman" w:cs="Times New Roman"/>
          <w:b/>
          <w:sz w:val="24"/>
          <w:szCs w:val="24"/>
        </w:rPr>
        <w:t>7</w:t>
      </w:r>
    </w:p>
    <w:p w14:paraId="64EF29BF" w14:textId="1C25920A" w:rsidR="00A16EDF" w:rsidRDefault="00A16EDF" w:rsidP="00B856D8">
      <w:pPr>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Przepis przejściowy zawarty w art. 3</w:t>
      </w:r>
      <w:r w:rsidR="00FB1205">
        <w:rPr>
          <w:rFonts w:ascii="Times New Roman" w:hAnsi="Times New Roman" w:cs="Times New Roman"/>
          <w:color w:val="000000" w:themeColor="text1"/>
          <w:sz w:val="24"/>
          <w:szCs w:val="24"/>
        </w:rPr>
        <w:t>7</w:t>
      </w:r>
      <w:r>
        <w:rPr>
          <w:rFonts w:ascii="Times New Roman" w:hAnsi="Times New Roman" w:cs="Times New Roman"/>
          <w:color w:val="000000" w:themeColor="text1"/>
          <w:sz w:val="24"/>
          <w:szCs w:val="24"/>
        </w:rPr>
        <w:t xml:space="preserve"> związany jest ze zrównaniem wymogów emitentów </w:t>
      </w:r>
      <w:r w:rsidR="00C338D0">
        <w:rPr>
          <w:rFonts w:ascii="Times New Roman" w:hAnsi="Times New Roman" w:cs="Times New Roman"/>
          <w:color w:val="000000" w:themeColor="text1"/>
          <w:sz w:val="24"/>
          <w:szCs w:val="24"/>
        </w:rPr>
        <w:t xml:space="preserve">w zakresie </w:t>
      </w:r>
      <w:r>
        <w:rPr>
          <w:rFonts w:ascii="Times New Roman" w:hAnsi="Times New Roman" w:cs="Times New Roman"/>
          <w:color w:val="000000" w:themeColor="text1"/>
          <w:sz w:val="24"/>
          <w:szCs w:val="24"/>
        </w:rPr>
        <w:t>przekazywania informacji do bazy RZE. Ze względu na to, że przepis ten obejmuje swoim zakresem zarówno podmioty będące już emitentami jak i te, które będą dokonywać emisji po raz pierwszy, konieczne jest określenie terminu dla pierwszej kategorii wskazanych podmiotów na przekazanie dodatkowych informacji po to, aby wymóg ten stał się skutecznie egzekwowalny. Szacuje się, że wskazany w art. 3</w:t>
      </w:r>
      <w:r w:rsidR="00FB1205">
        <w:rPr>
          <w:rFonts w:ascii="Times New Roman" w:hAnsi="Times New Roman" w:cs="Times New Roman"/>
          <w:color w:val="000000" w:themeColor="text1"/>
          <w:sz w:val="24"/>
          <w:szCs w:val="24"/>
        </w:rPr>
        <w:t>7</w:t>
      </w:r>
      <w:r>
        <w:rPr>
          <w:rFonts w:ascii="Times New Roman" w:hAnsi="Times New Roman" w:cs="Times New Roman"/>
          <w:color w:val="000000" w:themeColor="text1"/>
          <w:sz w:val="24"/>
          <w:szCs w:val="24"/>
        </w:rPr>
        <w:t xml:space="preserve"> termin </w:t>
      </w:r>
      <w:r w:rsidR="00FC70DC">
        <w:rPr>
          <w:rFonts w:ascii="Times New Roman" w:hAnsi="Times New Roman" w:cs="Times New Roman"/>
          <w:color w:val="000000" w:themeColor="text1"/>
          <w:sz w:val="24"/>
          <w:szCs w:val="24"/>
        </w:rPr>
        <w:t>6</w:t>
      </w:r>
      <w:r>
        <w:rPr>
          <w:rFonts w:ascii="Times New Roman" w:hAnsi="Times New Roman" w:cs="Times New Roman"/>
          <w:color w:val="000000" w:themeColor="text1"/>
          <w:sz w:val="24"/>
          <w:szCs w:val="24"/>
        </w:rPr>
        <w:t xml:space="preserve"> </w:t>
      </w:r>
      <w:r w:rsidR="00FC70DC">
        <w:rPr>
          <w:rFonts w:ascii="Times New Roman" w:hAnsi="Times New Roman" w:cs="Times New Roman"/>
          <w:color w:val="000000" w:themeColor="text1"/>
          <w:sz w:val="24"/>
          <w:szCs w:val="24"/>
        </w:rPr>
        <w:t>miesięcy</w:t>
      </w:r>
      <w:r>
        <w:rPr>
          <w:rFonts w:ascii="Times New Roman" w:hAnsi="Times New Roman" w:cs="Times New Roman"/>
          <w:color w:val="000000" w:themeColor="text1"/>
          <w:sz w:val="24"/>
          <w:szCs w:val="24"/>
        </w:rPr>
        <w:t xml:space="preserve"> od dnia wejścia w życie niniejszej ustawy jest terminem wystarczającym na dokonanie takiej czynności</w:t>
      </w:r>
      <w:r w:rsidR="00FB1205">
        <w:rPr>
          <w:rFonts w:ascii="Times New Roman" w:hAnsi="Times New Roman" w:cs="Times New Roman"/>
          <w:color w:val="000000" w:themeColor="text1"/>
          <w:sz w:val="24"/>
          <w:szCs w:val="24"/>
        </w:rPr>
        <w:t>.</w:t>
      </w:r>
    </w:p>
    <w:p w14:paraId="0681E56F" w14:textId="70A9B45D" w:rsidR="00701CD2" w:rsidRPr="00991311" w:rsidRDefault="00701CD2" w:rsidP="00701CD2">
      <w:pPr>
        <w:spacing w:after="0" w:line="360" w:lineRule="auto"/>
        <w:jc w:val="both"/>
        <w:rPr>
          <w:rFonts w:ascii="Times New Roman" w:hAnsi="Times New Roman" w:cs="Times New Roman"/>
          <w:b/>
          <w:color w:val="000000" w:themeColor="text1"/>
          <w:sz w:val="24"/>
          <w:szCs w:val="24"/>
        </w:rPr>
      </w:pPr>
      <w:r w:rsidRPr="00991311">
        <w:rPr>
          <w:rFonts w:ascii="Times New Roman" w:hAnsi="Times New Roman" w:cs="Times New Roman"/>
          <w:b/>
          <w:color w:val="000000" w:themeColor="text1"/>
          <w:sz w:val="24"/>
          <w:szCs w:val="24"/>
        </w:rPr>
        <w:t>Art. 3</w:t>
      </w:r>
      <w:r w:rsidR="00FB1205">
        <w:rPr>
          <w:rFonts w:ascii="Times New Roman" w:hAnsi="Times New Roman" w:cs="Times New Roman"/>
          <w:b/>
          <w:color w:val="000000" w:themeColor="text1"/>
          <w:sz w:val="24"/>
          <w:szCs w:val="24"/>
        </w:rPr>
        <w:t>8</w:t>
      </w:r>
    </w:p>
    <w:p w14:paraId="1F9AC8BD" w14:textId="2F3D955E" w:rsidR="00E032B3" w:rsidRPr="00991311" w:rsidRDefault="00E032B3" w:rsidP="00E032B3">
      <w:pPr>
        <w:spacing w:after="0" w:line="360" w:lineRule="auto"/>
        <w:jc w:val="both"/>
        <w:rPr>
          <w:rFonts w:ascii="Times New Roman" w:hAnsi="Times New Roman" w:cs="Times New Roman"/>
          <w:bCs/>
          <w:color w:val="000000" w:themeColor="text1"/>
          <w:sz w:val="24"/>
          <w:szCs w:val="24"/>
        </w:rPr>
      </w:pPr>
      <w:r w:rsidRPr="00991311">
        <w:rPr>
          <w:rFonts w:ascii="Times New Roman" w:hAnsi="Times New Roman" w:cs="Times New Roman"/>
          <w:bCs/>
          <w:color w:val="000000" w:themeColor="text1"/>
          <w:sz w:val="24"/>
          <w:szCs w:val="24"/>
        </w:rPr>
        <w:t>Przepis art. 3</w:t>
      </w:r>
      <w:r w:rsidR="00FB1205">
        <w:rPr>
          <w:rFonts w:ascii="Times New Roman" w:hAnsi="Times New Roman" w:cs="Times New Roman"/>
          <w:bCs/>
          <w:color w:val="000000" w:themeColor="text1"/>
          <w:sz w:val="24"/>
          <w:szCs w:val="24"/>
        </w:rPr>
        <w:t>8</w:t>
      </w:r>
      <w:r w:rsidRPr="00991311">
        <w:rPr>
          <w:rFonts w:ascii="Times New Roman" w:hAnsi="Times New Roman" w:cs="Times New Roman"/>
          <w:bCs/>
          <w:color w:val="000000" w:themeColor="text1"/>
          <w:sz w:val="24"/>
          <w:szCs w:val="24"/>
        </w:rPr>
        <w:t xml:space="preserve"> ma na celu zapewnienie ministrowi właściwemu ds. instytucji finansowych odpowiedniego czasu na wydanie nowych rozporządzeń, umożliwiając</w:t>
      </w:r>
      <w:r w:rsidR="000B1643" w:rsidRPr="00991311">
        <w:rPr>
          <w:rFonts w:ascii="Times New Roman" w:hAnsi="Times New Roman" w:cs="Times New Roman"/>
          <w:bCs/>
          <w:color w:val="000000" w:themeColor="text1"/>
          <w:sz w:val="24"/>
          <w:szCs w:val="24"/>
        </w:rPr>
        <w:t>ych</w:t>
      </w:r>
      <w:r w:rsidR="003B7057">
        <w:rPr>
          <w:rFonts w:ascii="Times New Roman" w:hAnsi="Times New Roman" w:cs="Times New Roman"/>
          <w:bCs/>
          <w:color w:val="000000" w:themeColor="text1"/>
          <w:sz w:val="24"/>
          <w:szCs w:val="24"/>
        </w:rPr>
        <w:t xml:space="preserve"> </w:t>
      </w:r>
      <w:r w:rsidRPr="00991311">
        <w:rPr>
          <w:rFonts w:ascii="Times New Roman" w:hAnsi="Times New Roman" w:cs="Times New Roman"/>
          <w:bCs/>
          <w:color w:val="000000" w:themeColor="text1"/>
          <w:sz w:val="24"/>
          <w:szCs w:val="24"/>
        </w:rPr>
        <w:t xml:space="preserve">w szczególności przeprowadzenie w niezbędnych uzgodnień i konsultacji publicznych z udziałem szerokiego kręgu instytucji i podmiotów działających w różnych sektorach rynku finansowego. </w:t>
      </w:r>
    </w:p>
    <w:p w14:paraId="469AF34F" w14:textId="175E2A27" w:rsidR="00E032B3" w:rsidRPr="00991311" w:rsidRDefault="00E032B3" w:rsidP="00701CD2">
      <w:pPr>
        <w:spacing w:after="0" w:line="360" w:lineRule="auto"/>
        <w:jc w:val="both"/>
        <w:rPr>
          <w:rFonts w:ascii="Times New Roman" w:hAnsi="Times New Roman" w:cs="Times New Roman"/>
          <w:bCs/>
          <w:color w:val="000000" w:themeColor="text1"/>
          <w:sz w:val="24"/>
          <w:szCs w:val="24"/>
        </w:rPr>
      </w:pPr>
      <w:r w:rsidRPr="00991311">
        <w:rPr>
          <w:rFonts w:ascii="Times New Roman" w:hAnsi="Times New Roman" w:cs="Times New Roman"/>
          <w:bCs/>
          <w:color w:val="000000" w:themeColor="text1"/>
          <w:sz w:val="24"/>
          <w:szCs w:val="24"/>
        </w:rPr>
        <w:t>Na podstawie ust. 1 zostanie utrzymane w mocy dotychczas obowiązujące rozporządzenie Ministra Finansów z dnia 11 marca 2020 r. w sprawie wysokości składki wnoszonej przez zakłady ubezpieczeń na rzecz U</w:t>
      </w:r>
      <w:r w:rsidR="005234C2">
        <w:rPr>
          <w:rFonts w:ascii="Times New Roman" w:hAnsi="Times New Roman" w:cs="Times New Roman"/>
          <w:bCs/>
          <w:color w:val="000000" w:themeColor="text1"/>
          <w:sz w:val="24"/>
          <w:szCs w:val="24"/>
        </w:rPr>
        <w:t xml:space="preserve">bezpieczeniowego </w:t>
      </w:r>
      <w:r w:rsidRPr="00991311">
        <w:rPr>
          <w:rFonts w:ascii="Times New Roman" w:hAnsi="Times New Roman" w:cs="Times New Roman"/>
          <w:bCs/>
          <w:color w:val="000000" w:themeColor="text1"/>
          <w:sz w:val="24"/>
          <w:szCs w:val="24"/>
        </w:rPr>
        <w:t>F</w:t>
      </w:r>
      <w:r w:rsidR="005234C2">
        <w:rPr>
          <w:rFonts w:ascii="Times New Roman" w:hAnsi="Times New Roman" w:cs="Times New Roman"/>
          <w:bCs/>
          <w:color w:val="000000" w:themeColor="text1"/>
          <w:sz w:val="24"/>
          <w:szCs w:val="24"/>
        </w:rPr>
        <w:t xml:space="preserve">unduszu </w:t>
      </w:r>
      <w:r w:rsidRPr="00991311">
        <w:rPr>
          <w:rFonts w:ascii="Times New Roman" w:hAnsi="Times New Roman" w:cs="Times New Roman"/>
          <w:bCs/>
          <w:color w:val="000000" w:themeColor="text1"/>
          <w:sz w:val="24"/>
          <w:szCs w:val="24"/>
        </w:rPr>
        <w:t>G</w:t>
      </w:r>
      <w:r w:rsidR="005234C2">
        <w:rPr>
          <w:rFonts w:ascii="Times New Roman" w:hAnsi="Times New Roman" w:cs="Times New Roman"/>
          <w:bCs/>
          <w:color w:val="000000" w:themeColor="text1"/>
          <w:sz w:val="24"/>
          <w:szCs w:val="24"/>
        </w:rPr>
        <w:t>warancyjnego</w:t>
      </w:r>
      <w:r w:rsidRPr="00991311">
        <w:rPr>
          <w:rFonts w:ascii="Times New Roman" w:hAnsi="Times New Roman" w:cs="Times New Roman"/>
          <w:bCs/>
          <w:color w:val="000000" w:themeColor="text1"/>
          <w:sz w:val="24"/>
          <w:szCs w:val="24"/>
        </w:rPr>
        <w:t xml:space="preserve"> oraz terminów uiszczania tej składki (Dz.</w:t>
      </w:r>
      <w:r w:rsidR="00526ECB" w:rsidRPr="00991311">
        <w:rPr>
          <w:rFonts w:ascii="Times New Roman" w:hAnsi="Times New Roman" w:cs="Times New Roman"/>
          <w:bCs/>
          <w:color w:val="000000" w:themeColor="text1"/>
          <w:sz w:val="24"/>
          <w:szCs w:val="24"/>
        </w:rPr>
        <w:t xml:space="preserve"> </w:t>
      </w:r>
      <w:r w:rsidRPr="00991311">
        <w:rPr>
          <w:rFonts w:ascii="Times New Roman" w:hAnsi="Times New Roman" w:cs="Times New Roman"/>
          <w:bCs/>
          <w:color w:val="000000" w:themeColor="text1"/>
          <w:sz w:val="24"/>
          <w:szCs w:val="24"/>
        </w:rPr>
        <w:t xml:space="preserve">U. z 2020 r. poz. 484), do dnia wejścia w życie nowych regulacji w tym zakresie. </w:t>
      </w:r>
    </w:p>
    <w:p w14:paraId="482989DC" w14:textId="6F18EC79" w:rsidR="00A16EDF" w:rsidRPr="00991311" w:rsidRDefault="000B1643" w:rsidP="00701CD2">
      <w:pPr>
        <w:spacing w:after="0" w:line="360" w:lineRule="auto"/>
        <w:jc w:val="both"/>
        <w:rPr>
          <w:rFonts w:ascii="Times New Roman" w:hAnsi="Times New Roman" w:cs="Times New Roman"/>
          <w:bCs/>
          <w:color w:val="000000" w:themeColor="text1"/>
          <w:sz w:val="24"/>
          <w:szCs w:val="24"/>
        </w:rPr>
      </w:pPr>
      <w:r w:rsidRPr="00991311">
        <w:rPr>
          <w:rFonts w:ascii="Times New Roman" w:hAnsi="Times New Roman" w:cs="Times New Roman"/>
          <w:bCs/>
          <w:color w:val="000000" w:themeColor="text1"/>
          <w:sz w:val="24"/>
          <w:szCs w:val="24"/>
        </w:rPr>
        <w:t xml:space="preserve">Przepis </w:t>
      </w:r>
      <w:r w:rsidR="00CE665F" w:rsidRPr="00991311">
        <w:rPr>
          <w:rFonts w:ascii="Times New Roman" w:hAnsi="Times New Roman" w:cs="Times New Roman"/>
          <w:bCs/>
          <w:color w:val="000000" w:themeColor="text1"/>
          <w:sz w:val="24"/>
          <w:szCs w:val="24"/>
        </w:rPr>
        <w:t xml:space="preserve">ust. 2 dotyczy przepisów wykonawczych </w:t>
      </w:r>
      <w:r w:rsidR="006C6347">
        <w:rPr>
          <w:rFonts w:ascii="Times New Roman" w:hAnsi="Times New Roman" w:cs="Times New Roman"/>
          <w:bCs/>
          <w:color w:val="000000" w:themeColor="text1"/>
          <w:sz w:val="24"/>
          <w:szCs w:val="24"/>
        </w:rPr>
        <w:t xml:space="preserve">do ustawy o obrocie instrumentami finansowymi </w:t>
      </w:r>
      <w:r w:rsidR="00CE665F" w:rsidRPr="00991311">
        <w:rPr>
          <w:rFonts w:ascii="Times New Roman" w:hAnsi="Times New Roman" w:cs="Times New Roman"/>
          <w:bCs/>
          <w:color w:val="000000" w:themeColor="text1"/>
          <w:sz w:val="24"/>
          <w:szCs w:val="24"/>
        </w:rPr>
        <w:t xml:space="preserve">określających </w:t>
      </w:r>
      <w:r w:rsidR="00C338D0" w:rsidRPr="00C338D0">
        <w:rPr>
          <w:rFonts w:ascii="Times New Roman" w:hAnsi="Times New Roman" w:cs="Times New Roman"/>
          <w:bCs/>
          <w:color w:val="000000" w:themeColor="text1"/>
          <w:sz w:val="24"/>
          <w:szCs w:val="24"/>
        </w:rPr>
        <w:t>szczegółow</w:t>
      </w:r>
      <w:r w:rsidR="00C338D0">
        <w:rPr>
          <w:rFonts w:ascii="Times New Roman" w:hAnsi="Times New Roman" w:cs="Times New Roman"/>
          <w:bCs/>
          <w:color w:val="000000" w:themeColor="text1"/>
          <w:sz w:val="24"/>
          <w:szCs w:val="24"/>
        </w:rPr>
        <w:t>e</w:t>
      </w:r>
      <w:r w:rsidR="00C338D0" w:rsidRPr="00C338D0">
        <w:rPr>
          <w:rFonts w:ascii="Times New Roman" w:hAnsi="Times New Roman" w:cs="Times New Roman"/>
          <w:bCs/>
          <w:color w:val="000000" w:themeColor="text1"/>
          <w:sz w:val="24"/>
          <w:szCs w:val="24"/>
        </w:rPr>
        <w:t xml:space="preserve"> warunk</w:t>
      </w:r>
      <w:r w:rsidR="00C338D0">
        <w:rPr>
          <w:rFonts w:ascii="Times New Roman" w:hAnsi="Times New Roman" w:cs="Times New Roman"/>
          <w:bCs/>
          <w:color w:val="000000" w:themeColor="text1"/>
          <w:sz w:val="24"/>
          <w:szCs w:val="24"/>
        </w:rPr>
        <w:t>i</w:t>
      </w:r>
      <w:r w:rsidR="00C338D0" w:rsidRPr="00C338D0">
        <w:rPr>
          <w:rFonts w:ascii="Times New Roman" w:hAnsi="Times New Roman" w:cs="Times New Roman"/>
          <w:bCs/>
          <w:color w:val="000000" w:themeColor="text1"/>
          <w:sz w:val="24"/>
          <w:szCs w:val="24"/>
        </w:rPr>
        <w:t xml:space="preserve"> techniczn</w:t>
      </w:r>
      <w:r w:rsidR="00C338D0">
        <w:rPr>
          <w:rFonts w:ascii="Times New Roman" w:hAnsi="Times New Roman" w:cs="Times New Roman"/>
          <w:bCs/>
          <w:color w:val="000000" w:themeColor="text1"/>
          <w:sz w:val="24"/>
          <w:szCs w:val="24"/>
        </w:rPr>
        <w:t>e</w:t>
      </w:r>
      <w:r w:rsidR="00C338D0" w:rsidRPr="00C338D0">
        <w:rPr>
          <w:rFonts w:ascii="Times New Roman" w:hAnsi="Times New Roman" w:cs="Times New Roman"/>
          <w:bCs/>
          <w:color w:val="000000" w:themeColor="text1"/>
          <w:sz w:val="24"/>
          <w:szCs w:val="24"/>
        </w:rPr>
        <w:t xml:space="preserve"> i organizacyjn</w:t>
      </w:r>
      <w:r w:rsidR="00C338D0">
        <w:rPr>
          <w:rFonts w:ascii="Times New Roman" w:hAnsi="Times New Roman" w:cs="Times New Roman"/>
          <w:bCs/>
          <w:color w:val="000000" w:themeColor="text1"/>
          <w:sz w:val="24"/>
          <w:szCs w:val="24"/>
        </w:rPr>
        <w:t>e</w:t>
      </w:r>
      <w:r w:rsidR="00C338D0" w:rsidRPr="00C338D0">
        <w:rPr>
          <w:rFonts w:ascii="Times New Roman" w:hAnsi="Times New Roman" w:cs="Times New Roman"/>
          <w:bCs/>
          <w:color w:val="000000" w:themeColor="text1"/>
          <w:sz w:val="24"/>
          <w:szCs w:val="24"/>
        </w:rPr>
        <w:t xml:space="preserve"> dla firm inwestycyjnych, banków, o których mowa w art. 70 ust. 2 ustawy o obrocie instrumentami finansowymi, i banków powierniczych</w:t>
      </w:r>
      <w:r w:rsidR="00C338D0">
        <w:rPr>
          <w:rFonts w:ascii="Times New Roman" w:hAnsi="Times New Roman" w:cs="Times New Roman"/>
          <w:bCs/>
          <w:color w:val="000000" w:themeColor="text1"/>
          <w:sz w:val="24"/>
          <w:szCs w:val="24"/>
        </w:rPr>
        <w:t xml:space="preserve">, </w:t>
      </w:r>
      <w:r w:rsidR="00C338D0" w:rsidRPr="00C338D0">
        <w:rPr>
          <w:rFonts w:ascii="Times New Roman" w:hAnsi="Times New Roman" w:cs="Times New Roman"/>
          <w:bCs/>
          <w:color w:val="000000" w:themeColor="text1"/>
          <w:sz w:val="24"/>
          <w:szCs w:val="24"/>
        </w:rPr>
        <w:t xml:space="preserve">trybu i warunków postępowania </w:t>
      </w:r>
      <w:r w:rsidR="00C338D0">
        <w:rPr>
          <w:rFonts w:ascii="Times New Roman" w:hAnsi="Times New Roman" w:cs="Times New Roman"/>
          <w:bCs/>
          <w:color w:val="000000" w:themeColor="text1"/>
          <w:sz w:val="24"/>
          <w:szCs w:val="24"/>
        </w:rPr>
        <w:t xml:space="preserve">tych podmiotów oraz </w:t>
      </w:r>
      <w:r w:rsidR="00CE665F" w:rsidRPr="00991311">
        <w:rPr>
          <w:rFonts w:ascii="Times New Roman" w:hAnsi="Times New Roman" w:cs="Times New Roman"/>
          <w:bCs/>
          <w:color w:val="000000" w:themeColor="text1"/>
          <w:sz w:val="24"/>
          <w:szCs w:val="24"/>
        </w:rPr>
        <w:t>szczegółowe zasady wydzielenia organizacyjnego działalności maklerskiej banku.</w:t>
      </w:r>
    </w:p>
    <w:p w14:paraId="20DF3F84" w14:textId="05B50FE2" w:rsidR="00461145" w:rsidRDefault="000B1643" w:rsidP="00461145">
      <w:pPr>
        <w:spacing w:after="0" w:line="360" w:lineRule="auto"/>
        <w:jc w:val="both"/>
        <w:rPr>
          <w:rFonts w:ascii="Times New Roman" w:hAnsi="Times New Roman" w:cs="Times New Roman"/>
          <w:sz w:val="24"/>
          <w:szCs w:val="24"/>
        </w:rPr>
      </w:pPr>
      <w:r w:rsidRPr="00991311">
        <w:rPr>
          <w:rFonts w:ascii="Times New Roman" w:hAnsi="Times New Roman" w:cs="Times New Roman"/>
          <w:sz w:val="24"/>
          <w:szCs w:val="24"/>
        </w:rPr>
        <w:t>P</w:t>
      </w:r>
      <w:r w:rsidR="00461145" w:rsidRPr="00991311">
        <w:rPr>
          <w:rFonts w:ascii="Times New Roman" w:hAnsi="Times New Roman" w:cs="Times New Roman"/>
          <w:sz w:val="24"/>
          <w:szCs w:val="24"/>
        </w:rPr>
        <w:t xml:space="preserve">rzepis </w:t>
      </w:r>
      <w:r w:rsidRPr="00991311">
        <w:rPr>
          <w:rFonts w:ascii="Times New Roman" w:hAnsi="Times New Roman" w:cs="Times New Roman"/>
          <w:sz w:val="24"/>
          <w:szCs w:val="24"/>
        </w:rPr>
        <w:t>ust. 3 utrzymuje</w:t>
      </w:r>
      <w:r w:rsidR="007C389F">
        <w:rPr>
          <w:rFonts w:ascii="Times New Roman" w:hAnsi="Times New Roman" w:cs="Times New Roman"/>
          <w:sz w:val="24"/>
          <w:szCs w:val="24"/>
        </w:rPr>
        <w:t xml:space="preserve"> </w:t>
      </w:r>
      <w:r w:rsidRPr="00991311">
        <w:rPr>
          <w:rFonts w:ascii="Times New Roman" w:hAnsi="Times New Roman" w:cs="Times New Roman"/>
          <w:sz w:val="24"/>
          <w:szCs w:val="24"/>
        </w:rPr>
        <w:t xml:space="preserve">w mocy </w:t>
      </w:r>
      <w:r w:rsidR="00461145" w:rsidRPr="00991311">
        <w:rPr>
          <w:rFonts w:ascii="Times New Roman" w:hAnsi="Times New Roman" w:cs="Times New Roman"/>
          <w:sz w:val="24"/>
          <w:szCs w:val="24"/>
        </w:rPr>
        <w:t>przepisy wykonawcze wydane na podstawie art. 52 ust. 10 ustawy o dystrybucji ubezpieczeń zmienianej w art. 2</w:t>
      </w:r>
      <w:r w:rsidR="00FB1205">
        <w:rPr>
          <w:rFonts w:ascii="Times New Roman" w:hAnsi="Times New Roman" w:cs="Times New Roman"/>
          <w:sz w:val="24"/>
          <w:szCs w:val="24"/>
        </w:rPr>
        <w:t>8</w:t>
      </w:r>
      <w:r w:rsidR="00461145" w:rsidRPr="00991311">
        <w:rPr>
          <w:rFonts w:ascii="Times New Roman" w:hAnsi="Times New Roman" w:cs="Times New Roman"/>
          <w:sz w:val="24"/>
          <w:szCs w:val="24"/>
        </w:rPr>
        <w:t>, w brzmieniu dotychczasowym, do dnia wejścia w życie nowych przepisów wykonawczych wydanych na podstawie art. 52 ust. 10 tej ustawy, nie dłużej jednak niż przez 12 miesięcy od dnia jej wejścia w życie.</w:t>
      </w:r>
      <w:r w:rsidR="00461145" w:rsidRPr="006B2CD4">
        <w:rPr>
          <w:rFonts w:ascii="Times New Roman" w:hAnsi="Times New Roman" w:cs="Times New Roman"/>
          <w:sz w:val="24"/>
          <w:szCs w:val="24"/>
        </w:rPr>
        <w:t xml:space="preserve"> </w:t>
      </w:r>
    </w:p>
    <w:p w14:paraId="1373C4CF" w14:textId="5D55087C" w:rsidR="00E032B3" w:rsidRPr="006B2CD4" w:rsidRDefault="00E032B3" w:rsidP="00E032B3">
      <w:pPr>
        <w:spacing w:after="0" w:line="360" w:lineRule="auto"/>
        <w:jc w:val="both"/>
        <w:rPr>
          <w:rFonts w:ascii="Times New Roman" w:hAnsi="Times New Roman" w:cs="Times New Roman"/>
          <w:b/>
          <w:color w:val="000000" w:themeColor="text1"/>
          <w:sz w:val="24"/>
          <w:szCs w:val="24"/>
        </w:rPr>
      </w:pPr>
      <w:r w:rsidRPr="006B2CD4">
        <w:rPr>
          <w:rFonts w:ascii="Times New Roman" w:hAnsi="Times New Roman" w:cs="Times New Roman"/>
          <w:b/>
          <w:color w:val="000000" w:themeColor="text1"/>
          <w:sz w:val="24"/>
          <w:szCs w:val="24"/>
        </w:rPr>
        <w:t>Art. 3</w:t>
      </w:r>
      <w:r w:rsidR="00FB1205">
        <w:rPr>
          <w:rFonts w:ascii="Times New Roman" w:hAnsi="Times New Roman" w:cs="Times New Roman"/>
          <w:b/>
          <w:color w:val="000000" w:themeColor="text1"/>
          <w:sz w:val="24"/>
          <w:szCs w:val="24"/>
        </w:rPr>
        <w:t>9</w:t>
      </w:r>
    </w:p>
    <w:p w14:paraId="7E275765" w14:textId="6067E4B7" w:rsidR="00AC7523" w:rsidRDefault="00E032B3" w:rsidP="00E032B3">
      <w:pPr>
        <w:spacing w:after="0" w:line="360" w:lineRule="auto"/>
        <w:jc w:val="both"/>
        <w:rPr>
          <w:rFonts w:ascii="Times New Roman" w:hAnsi="Times New Roman" w:cs="Times New Roman"/>
          <w:bCs/>
          <w:color w:val="000000" w:themeColor="text1"/>
          <w:sz w:val="24"/>
          <w:szCs w:val="24"/>
        </w:rPr>
      </w:pPr>
      <w:r w:rsidRPr="00B00F12">
        <w:rPr>
          <w:rFonts w:ascii="Times New Roman" w:hAnsi="Times New Roman" w:cs="Times New Roman"/>
          <w:color w:val="000000" w:themeColor="text1"/>
          <w:sz w:val="24"/>
          <w:szCs w:val="24"/>
        </w:rPr>
        <w:t xml:space="preserve">Przepis ten pozostaje związany z proponowanymi zmianami regulacji zawartych w ustawie </w:t>
      </w:r>
      <w:r w:rsidRPr="00B00F12">
        <w:rPr>
          <w:rFonts w:ascii="Times New Roman" w:hAnsi="Times New Roman" w:cs="Times New Roman"/>
          <w:bCs/>
          <w:color w:val="000000" w:themeColor="text1"/>
          <w:sz w:val="24"/>
          <w:szCs w:val="24"/>
        </w:rPr>
        <w:t>o ubezpieczeniach obowiązkowych, Ubezpieczeniowym Funduszu Gwarancyjnym i Polskim Biurze Ubezpieczycieli Komunikacyjnych</w:t>
      </w:r>
      <w:r>
        <w:rPr>
          <w:rFonts w:ascii="Times New Roman" w:hAnsi="Times New Roman" w:cs="Times New Roman"/>
          <w:bCs/>
          <w:color w:val="000000" w:themeColor="text1"/>
          <w:sz w:val="24"/>
          <w:szCs w:val="24"/>
        </w:rPr>
        <w:t>,</w:t>
      </w:r>
      <w:r w:rsidRPr="00B00F12">
        <w:rPr>
          <w:rFonts w:ascii="Times New Roman" w:hAnsi="Times New Roman" w:cs="Times New Roman"/>
          <w:bCs/>
          <w:color w:val="000000" w:themeColor="text1"/>
          <w:sz w:val="24"/>
          <w:szCs w:val="24"/>
        </w:rPr>
        <w:t xml:space="preserve"> w zakresie przekazania z PBUK do UFG zadania związanego z pozyskiwaniem informacji z tzw. „notatek policyjnych”. </w:t>
      </w:r>
      <w:r w:rsidR="00AC7523">
        <w:rPr>
          <w:rFonts w:ascii="Times New Roman" w:hAnsi="Times New Roman" w:cs="Times New Roman"/>
          <w:bCs/>
          <w:color w:val="000000" w:themeColor="text1"/>
          <w:sz w:val="24"/>
          <w:szCs w:val="24"/>
        </w:rPr>
        <w:t xml:space="preserve">Zawarte w nim regulacje dotyczą materii postępowania z danymi i informacjami przekazanymi z PBUK do UFG. </w:t>
      </w:r>
    </w:p>
    <w:p w14:paraId="7158F5DC" w14:textId="46A06A7A" w:rsidR="00E032B3" w:rsidRDefault="00E032B3" w:rsidP="00E032B3">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Art. </w:t>
      </w:r>
      <w:r w:rsidR="00FB1205">
        <w:rPr>
          <w:rFonts w:ascii="Times New Roman" w:hAnsi="Times New Roman" w:cs="Times New Roman"/>
          <w:b/>
          <w:color w:val="000000" w:themeColor="text1"/>
          <w:sz w:val="24"/>
          <w:szCs w:val="24"/>
        </w:rPr>
        <w:t>40</w:t>
      </w:r>
    </w:p>
    <w:p w14:paraId="57104147" w14:textId="4216A6EF" w:rsidR="00E032B3" w:rsidRDefault="00E032B3" w:rsidP="00E032B3">
      <w:pPr>
        <w:spacing w:after="0" w:line="360" w:lineRule="auto"/>
        <w:jc w:val="both"/>
        <w:rPr>
          <w:rFonts w:ascii="Times New Roman" w:hAnsi="Times New Roman" w:cs="Times New Roman"/>
          <w:sz w:val="24"/>
          <w:szCs w:val="24"/>
        </w:rPr>
      </w:pPr>
      <w:r w:rsidRPr="006B2CD4">
        <w:rPr>
          <w:rFonts w:ascii="Times New Roman" w:hAnsi="Times New Roman" w:cs="Times New Roman"/>
          <w:color w:val="000000" w:themeColor="text1"/>
          <w:sz w:val="24"/>
          <w:szCs w:val="24"/>
        </w:rPr>
        <w:t>Przepis</w:t>
      </w:r>
      <w:r>
        <w:rPr>
          <w:rFonts w:ascii="Times New Roman" w:hAnsi="Times New Roman" w:cs="Times New Roman"/>
          <w:color w:val="000000" w:themeColor="text1"/>
          <w:sz w:val="24"/>
          <w:szCs w:val="24"/>
        </w:rPr>
        <w:t xml:space="preserve"> ten </w:t>
      </w:r>
      <w:r w:rsidRPr="006B2CD4">
        <w:rPr>
          <w:rFonts w:ascii="Times New Roman" w:hAnsi="Times New Roman" w:cs="Times New Roman"/>
          <w:color w:val="000000" w:themeColor="text1"/>
          <w:sz w:val="24"/>
          <w:szCs w:val="24"/>
        </w:rPr>
        <w:t>pozostaj</w:t>
      </w:r>
      <w:r>
        <w:rPr>
          <w:rFonts w:ascii="Times New Roman" w:hAnsi="Times New Roman" w:cs="Times New Roman"/>
          <w:color w:val="000000" w:themeColor="text1"/>
          <w:sz w:val="24"/>
          <w:szCs w:val="24"/>
        </w:rPr>
        <w:t>e</w:t>
      </w:r>
      <w:r w:rsidRPr="006B2CD4">
        <w:rPr>
          <w:rFonts w:ascii="Times New Roman" w:hAnsi="Times New Roman" w:cs="Times New Roman"/>
          <w:color w:val="000000" w:themeColor="text1"/>
          <w:sz w:val="24"/>
          <w:szCs w:val="24"/>
        </w:rPr>
        <w:t xml:space="preserve"> związan</w:t>
      </w:r>
      <w:r>
        <w:rPr>
          <w:rFonts w:ascii="Times New Roman" w:hAnsi="Times New Roman" w:cs="Times New Roman"/>
          <w:color w:val="000000" w:themeColor="text1"/>
          <w:sz w:val="24"/>
          <w:szCs w:val="24"/>
        </w:rPr>
        <w:t>y</w:t>
      </w:r>
      <w:r w:rsidRPr="006B2CD4">
        <w:rPr>
          <w:rFonts w:ascii="Times New Roman" w:hAnsi="Times New Roman" w:cs="Times New Roman"/>
          <w:color w:val="000000" w:themeColor="text1"/>
          <w:sz w:val="24"/>
          <w:szCs w:val="24"/>
        </w:rPr>
        <w:t xml:space="preserve"> z proponowanymi zmianami regulacji zawartych w ustawie </w:t>
      </w:r>
      <w:r w:rsidRPr="006B2CD4">
        <w:rPr>
          <w:rFonts w:ascii="Times New Roman" w:hAnsi="Times New Roman" w:cs="Times New Roman"/>
          <w:bCs/>
          <w:color w:val="000000" w:themeColor="text1"/>
          <w:sz w:val="24"/>
          <w:szCs w:val="24"/>
        </w:rPr>
        <w:t xml:space="preserve">o ubezpieczeniach obowiązkowych, Ubezpieczeniowym Funduszu Gwarancyjnym i Polskim Biurze Ubezpieczycieli Komunikacyjnych, w zakresie przekształcenia członkostwa zakładów ubezpieczeń na uczestnictwo w związku z korzystaniem z informatycznej bazy danych UFG. W związku z </w:t>
      </w:r>
      <w:r w:rsidRPr="006B2CD4">
        <w:rPr>
          <w:rFonts w:ascii="Times New Roman" w:hAnsi="Times New Roman" w:cs="Times New Roman"/>
          <w:color w:val="000000" w:themeColor="text1"/>
          <w:sz w:val="24"/>
          <w:szCs w:val="24"/>
        </w:rPr>
        <w:t>powyższymi zmianami proponuje się wprowadzenie przepisu przejściowego na podstawie którego, z</w:t>
      </w:r>
      <w:r w:rsidRPr="006B2CD4">
        <w:rPr>
          <w:rFonts w:ascii="Times New Roman" w:hAnsi="Times New Roman" w:cs="Times New Roman"/>
          <w:bCs/>
          <w:color w:val="000000" w:themeColor="text1"/>
          <w:sz w:val="24"/>
          <w:szCs w:val="24"/>
        </w:rPr>
        <w:t xml:space="preserve"> dniem wejścia w życie ustawy przestaną być członkami Funduszu zakłady ubezpieczeń, które przed dniem wejścia w życie ustawy złożyły deklarację członkowską na podstawie art. 97 ust. 1a ustawy o ubezpieczeniach obowiązkowych, Ubezpieczeniowym Funduszu Gwarancyjnym i Polskim Biurze Ubezpieczycieli Komunikacyjnych</w:t>
      </w:r>
      <w:r>
        <w:rPr>
          <w:rFonts w:ascii="Times New Roman" w:hAnsi="Times New Roman" w:cs="Times New Roman"/>
          <w:bCs/>
          <w:color w:val="000000" w:themeColor="text1"/>
          <w:sz w:val="24"/>
          <w:szCs w:val="24"/>
        </w:rPr>
        <w:t>.</w:t>
      </w:r>
      <w:r w:rsidRPr="006B2CD4">
        <w:rPr>
          <w:rFonts w:ascii="Times New Roman" w:hAnsi="Times New Roman" w:cs="Times New Roman"/>
          <w:bCs/>
          <w:color w:val="000000" w:themeColor="text1"/>
          <w:sz w:val="24"/>
          <w:szCs w:val="24"/>
        </w:rPr>
        <w:t xml:space="preserve"> </w:t>
      </w:r>
      <w:r>
        <w:rPr>
          <w:rFonts w:ascii="Times New Roman" w:hAnsi="Times New Roman" w:cs="Times New Roman"/>
          <w:sz w:val="24"/>
          <w:szCs w:val="24"/>
        </w:rPr>
        <w:tab/>
      </w:r>
    </w:p>
    <w:p w14:paraId="327FEE8C" w14:textId="0D756121" w:rsidR="00FC70DC" w:rsidRPr="004A4390" w:rsidRDefault="00FC70DC" w:rsidP="00FC70DC">
      <w:pPr>
        <w:spacing w:after="0" w:line="360" w:lineRule="auto"/>
        <w:jc w:val="both"/>
        <w:rPr>
          <w:rFonts w:ascii="Times New Roman" w:hAnsi="Times New Roman" w:cs="Times New Roman"/>
          <w:b/>
          <w:color w:val="000000" w:themeColor="text1"/>
          <w:sz w:val="24"/>
          <w:szCs w:val="24"/>
        </w:rPr>
      </w:pPr>
      <w:r w:rsidRPr="004A4390">
        <w:rPr>
          <w:rFonts w:ascii="Times New Roman" w:hAnsi="Times New Roman" w:cs="Times New Roman"/>
          <w:b/>
          <w:color w:val="000000" w:themeColor="text1"/>
          <w:sz w:val="24"/>
          <w:szCs w:val="24"/>
        </w:rPr>
        <w:t xml:space="preserve">Art. </w:t>
      </w:r>
      <w:r w:rsidR="0049399F">
        <w:rPr>
          <w:rFonts w:ascii="Times New Roman" w:hAnsi="Times New Roman" w:cs="Times New Roman"/>
          <w:b/>
          <w:color w:val="000000" w:themeColor="text1"/>
          <w:sz w:val="24"/>
          <w:szCs w:val="24"/>
        </w:rPr>
        <w:t>4</w:t>
      </w:r>
      <w:r w:rsidR="00FB1205">
        <w:rPr>
          <w:rFonts w:ascii="Times New Roman" w:hAnsi="Times New Roman" w:cs="Times New Roman"/>
          <w:b/>
          <w:color w:val="000000" w:themeColor="text1"/>
          <w:sz w:val="24"/>
          <w:szCs w:val="24"/>
        </w:rPr>
        <w:t>1</w:t>
      </w:r>
    </w:p>
    <w:p w14:paraId="78136A0E" w14:textId="2A34D4CC" w:rsidR="00FB1205" w:rsidRPr="00FB1205" w:rsidRDefault="00FC70DC" w:rsidP="00FC70DC">
      <w:pPr>
        <w:spacing w:after="0" w:line="360" w:lineRule="auto"/>
        <w:jc w:val="both"/>
        <w:rPr>
          <w:rFonts w:ascii="Times New Roman" w:hAnsi="Times New Roman" w:cs="Times New Roman"/>
          <w:color w:val="000000" w:themeColor="text1"/>
          <w:sz w:val="24"/>
          <w:szCs w:val="24"/>
        </w:rPr>
      </w:pPr>
      <w:r w:rsidRPr="004A4390">
        <w:rPr>
          <w:rFonts w:ascii="Times New Roman" w:hAnsi="Times New Roman" w:cs="Times New Roman"/>
          <w:color w:val="000000" w:themeColor="text1"/>
          <w:sz w:val="24"/>
          <w:szCs w:val="24"/>
        </w:rPr>
        <w:t xml:space="preserve">Przepis przejściowy zawarty w art. </w:t>
      </w:r>
      <w:r w:rsidR="0049399F">
        <w:rPr>
          <w:rFonts w:ascii="Times New Roman" w:hAnsi="Times New Roman" w:cs="Times New Roman"/>
          <w:color w:val="000000" w:themeColor="text1"/>
          <w:sz w:val="24"/>
          <w:szCs w:val="24"/>
        </w:rPr>
        <w:t>4</w:t>
      </w:r>
      <w:r w:rsidR="00FB1205">
        <w:rPr>
          <w:rFonts w:ascii="Times New Roman" w:hAnsi="Times New Roman" w:cs="Times New Roman"/>
          <w:color w:val="000000" w:themeColor="text1"/>
          <w:sz w:val="24"/>
          <w:szCs w:val="24"/>
        </w:rPr>
        <w:t>1</w:t>
      </w:r>
      <w:r w:rsidRPr="004A4390">
        <w:rPr>
          <w:rFonts w:ascii="Times New Roman" w:hAnsi="Times New Roman" w:cs="Times New Roman"/>
          <w:color w:val="000000" w:themeColor="text1"/>
          <w:sz w:val="24"/>
          <w:szCs w:val="24"/>
        </w:rPr>
        <w:t xml:space="preserve"> związany jest ze zmianami wprowadzanymi w ustawie o funduszach inwestycyjnych dotyczącymi tworzenia i funkcjonowania portfelowych funduszy inwestycyjnych. Przepis ten przesądza, że fundusz portfelowy, który uzyskał zezwolenie na prowadzenie działalności przed dniem wejścia w życie ustawy jest obowiązany dos</w:t>
      </w:r>
      <w:r w:rsidR="00A83EB3">
        <w:rPr>
          <w:rFonts w:ascii="Times New Roman" w:hAnsi="Times New Roman" w:cs="Times New Roman"/>
          <w:color w:val="000000" w:themeColor="text1"/>
          <w:sz w:val="24"/>
          <w:szCs w:val="24"/>
        </w:rPr>
        <w:t xml:space="preserve">tosować swój statut </w:t>
      </w:r>
      <w:r w:rsidR="006C6347">
        <w:rPr>
          <w:rFonts w:ascii="Times New Roman" w:hAnsi="Times New Roman" w:cs="Times New Roman"/>
          <w:color w:val="000000" w:themeColor="text1"/>
          <w:sz w:val="24"/>
          <w:szCs w:val="24"/>
        </w:rPr>
        <w:t xml:space="preserve">do znowelizowanych przepisów </w:t>
      </w:r>
      <w:r w:rsidR="00A83EB3">
        <w:rPr>
          <w:rFonts w:ascii="Times New Roman" w:hAnsi="Times New Roman" w:cs="Times New Roman"/>
          <w:color w:val="000000" w:themeColor="text1"/>
          <w:sz w:val="24"/>
          <w:szCs w:val="24"/>
        </w:rPr>
        <w:t>w terminie 6</w:t>
      </w:r>
      <w:r w:rsidRPr="004A4390">
        <w:rPr>
          <w:rFonts w:ascii="Times New Roman" w:hAnsi="Times New Roman" w:cs="Times New Roman"/>
          <w:color w:val="000000" w:themeColor="text1"/>
          <w:sz w:val="24"/>
          <w:szCs w:val="24"/>
        </w:rPr>
        <w:t xml:space="preserve"> miesięcy od dnia wejścia w życie ustawy. Ponadto przewidziano zachowanie ważności prospektu emisyjnego funduszu portfelowego do dnia sporządzenia oraz opublikowania prospektu informacyjnego, co pozwoli na płynne przejście funduszy portfelowych na nowy dokument informacyjny.</w:t>
      </w:r>
    </w:p>
    <w:p w14:paraId="07AD52D3" w14:textId="77777777" w:rsidR="00FB1205" w:rsidRPr="00B36FB2" w:rsidRDefault="00FB1205" w:rsidP="00FB1205">
      <w:pPr>
        <w:spacing w:after="0" w:line="360" w:lineRule="auto"/>
        <w:jc w:val="both"/>
        <w:rPr>
          <w:rFonts w:ascii="Times New Roman" w:hAnsi="Times New Roman" w:cs="Times New Roman"/>
          <w:b/>
          <w:color w:val="000000" w:themeColor="text1"/>
          <w:sz w:val="24"/>
          <w:szCs w:val="24"/>
        </w:rPr>
      </w:pPr>
      <w:r w:rsidRPr="00B36FB2">
        <w:rPr>
          <w:rFonts w:ascii="Times New Roman" w:hAnsi="Times New Roman" w:cs="Times New Roman"/>
          <w:b/>
          <w:color w:val="000000" w:themeColor="text1"/>
          <w:sz w:val="24"/>
          <w:szCs w:val="24"/>
        </w:rPr>
        <w:t>Art. 42</w:t>
      </w:r>
    </w:p>
    <w:p w14:paraId="1F4F1D54" w14:textId="4DFF8EC4" w:rsidR="00FB1205" w:rsidRPr="00E032B3" w:rsidRDefault="00FB1205" w:rsidP="00FB1205">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 celu zapewnienia pewności prawa, które znajduje zastosowanie w konkretnej sytuacji określonej w ustawie zmienionej w art. 13 ustawy, w art. 42 ust. 1 przewidziano, że do podstępowań wszczętych na podstawie ustawy zmienianej w art. 13 przed dniem wejścia w życie ustawy stosuje się przepisy w brzmieniu dotychczasowym. Z kolei w ust. 2, zgodnie z zasadą stosowania ustawy względniejszej dla sprawcy czynu zabronionego i wypływającym z tego obowiązkiem oceny całokształtu konsekwencji wynikających z zastosowania brzmienia przed i po wejściu w życie ustawy, do zachowań stanowiących naruszenie przepisów ustawy zmienianej w ust. 13 zaistniałych przed dniem wejścia w życie ustawy wprowadzono zasadę stosowania właściwych przepisów w brzmieniu dotychczasowym, chyba że nowe brzmienie będzie właśnie względniejsze dla sprawcy. </w:t>
      </w:r>
    </w:p>
    <w:p w14:paraId="5F1A1BE7" w14:textId="1B7F8040" w:rsidR="00FB1205" w:rsidRPr="00663E45" w:rsidRDefault="00FB1205" w:rsidP="00FB1205">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Art. 43</w:t>
      </w:r>
    </w:p>
    <w:p w14:paraId="4E72DCE4" w14:textId="6068D038" w:rsidR="00FC70DC" w:rsidRPr="00FC70DC" w:rsidRDefault="00FC70DC" w:rsidP="00FC70DC">
      <w:pPr>
        <w:spacing w:after="0" w:line="360" w:lineRule="auto"/>
        <w:jc w:val="both"/>
        <w:rPr>
          <w:rFonts w:ascii="Times New Roman" w:hAnsi="Times New Roman" w:cs="Times New Roman"/>
          <w:sz w:val="24"/>
          <w:szCs w:val="24"/>
        </w:rPr>
      </w:pPr>
      <w:r w:rsidRPr="00663E45">
        <w:rPr>
          <w:rFonts w:ascii="Times New Roman" w:hAnsi="Times New Roman" w:cs="Times New Roman"/>
          <w:sz w:val="24"/>
          <w:szCs w:val="24"/>
        </w:rPr>
        <w:t xml:space="preserve">Przepisy te związane są z </w:t>
      </w:r>
      <w:r w:rsidR="006C6347">
        <w:rPr>
          <w:rFonts w:ascii="Times New Roman" w:hAnsi="Times New Roman" w:cs="Times New Roman"/>
          <w:sz w:val="24"/>
          <w:szCs w:val="24"/>
        </w:rPr>
        <w:t xml:space="preserve">przewidzianymi projektem ustawy ograniczeniami we wprowadzaniu </w:t>
      </w:r>
      <w:r w:rsidRPr="00663E45">
        <w:rPr>
          <w:rFonts w:ascii="Times New Roman" w:hAnsi="Times New Roman" w:cs="Times New Roman"/>
          <w:sz w:val="24"/>
          <w:szCs w:val="24"/>
        </w:rPr>
        <w:t xml:space="preserve">ASI do obrotu wśród </w:t>
      </w:r>
      <w:r w:rsidR="006C6347">
        <w:rPr>
          <w:rFonts w:ascii="Times New Roman" w:hAnsi="Times New Roman" w:cs="Times New Roman"/>
          <w:sz w:val="24"/>
          <w:szCs w:val="24"/>
        </w:rPr>
        <w:t xml:space="preserve">osób fizycznych </w:t>
      </w:r>
      <w:r w:rsidRPr="00663E45">
        <w:rPr>
          <w:rFonts w:ascii="Times New Roman" w:hAnsi="Times New Roman" w:cs="Times New Roman"/>
          <w:sz w:val="24"/>
          <w:szCs w:val="24"/>
        </w:rPr>
        <w:t>oraz zakaz</w:t>
      </w:r>
      <w:r w:rsidR="006C6347">
        <w:rPr>
          <w:rFonts w:ascii="Times New Roman" w:hAnsi="Times New Roman" w:cs="Times New Roman"/>
          <w:sz w:val="24"/>
          <w:szCs w:val="24"/>
        </w:rPr>
        <w:t>em</w:t>
      </w:r>
      <w:r w:rsidRPr="00962714">
        <w:rPr>
          <w:rFonts w:ascii="Times New Roman" w:hAnsi="Times New Roman" w:cs="Times New Roman"/>
          <w:sz w:val="24"/>
          <w:szCs w:val="24"/>
        </w:rPr>
        <w:t xml:space="preserve"> zaciągania przez ASI pożyczek od osób fizycznych</w:t>
      </w:r>
      <w:r w:rsidR="00441653">
        <w:rPr>
          <w:rFonts w:ascii="Times New Roman" w:hAnsi="Times New Roman" w:cs="Times New Roman"/>
          <w:sz w:val="24"/>
          <w:szCs w:val="24"/>
        </w:rPr>
        <w:t>.</w:t>
      </w:r>
      <w:r w:rsidRPr="004A4390">
        <w:rPr>
          <w:rFonts w:ascii="Times New Roman" w:hAnsi="Times New Roman" w:cs="Times New Roman"/>
          <w:sz w:val="24"/>
          <w:szCs w:val="24"/>
        </w:rPr>
        <w:t xml:space="preserve"> </w:t>
      </w:r>
      <w:r w:rsidRPr="00FC70DC">
        <w:rPr>
          <w:rFonts w:ascii="Times New Roman" w:hAnsi="Times New Roman" w:cs="Times New Roman"/>
          <w:sz w:val="24"/>
          <w:szCs w:val="24"/>
        </w:rPr>
        <w:t xml:space="preserve">W zakresie przepisów przejściowych uregulowano sytuację dotychczasowych posiadaczy praw uczestnictwa ASI, będących osobami fizycznymi, w zakresie umożliwienia im dalszego posiadania praw uczestnictwa ASI, z ograniczeniem możliwości nabywania </w:t>
      </w:r>
      <w:r w:rsidRPr="00441653">
        <w:rPr>
          <w:rFonts w:ascii="Times New Roman" w:hAnsi="Times New Roman" w:cs="Times New Roman"/>
          <w:sz w:val="24"/>
          <w:szCs w:val="24"/>
        </w:rPr>
        <w:t>przez</w:t>
      </w:r>
      <w:r w:rsidRPr="00FC70DC">
        <w:rPr>
          <w:rFonts w:ascii="Times New Roman" w:hAnsi="Times New Roman" w:cs="Times New Roman"/>
          <w:sz w:val="24"/>
          <w:szCs w:val="24"/>
        </w:rPr>
        <w:t xml:space="preserve"> nich nowych praw uczestnictwa ASI. </w:t>
      </w:r>
      <w:r w:rsidR="006C6347">
        <w:rPr>
          <w:rFonts w:ascii="Times New Roman" w:hAnsi="Times New Roman" w:cs="Times New Roman"/>
          <w:sz w:val="24"/>
          <w:szCs w:val="24"/>
        </w:rPr>
        <w:t xml:space="preserve">Przepis ten dotyczy osób posiadających prawa uczestnictwa </w:t>
      </w:r>
      <w:r w:rsidR="006C6347" w:rsidRPr="006C6347">
        <w:rPr>
          <w:rFonts w:ascii="Times New Roman" w:hAnsi="Times New Roman" w:cs="Times New Roman"/>
          <w:sz w:val="24"/>
          <w:szCs w:val="24"/>
        </w:rPr>
        <w:t>alternatywnej spółki inwestycyjnej, której co najmniej 50% praw uczestnictwa nie posiadają klienci profesjonalni</w:t>
      </w:r>
      <w:r w:rsidR="00355676">
        <w:rPr>
          <w:rFonts w:ascii="Times New Roman" w:hAnsi="Times New Roman" w:cs="Times New Roman"/>
          <w:sz w:val="24"/>
          <w:szCs w:val="24"/>
        </w:rPr>
        <w:t xml:space="preserve">. Zmiany przewidziane w art. 70k ustawy o funduszach inwestycyjnych dotyczą bowiem w głównej mierze tych osób. </w:t>
      </w:r>
      <w:r w:rsidRPr="00FC70DC">
        <w:rPr>
          <w:rFonts w:ascii="Times New Roman" w:hAnsi="Times New Roman" w:cs="Times New Roman"/>
          <w:sz w:val="24"/>
          <w:szCs w:val="24"/>
        </w:rPr>
        <w:t>Wprowadzono także przepisy przejściowe w zakresie dotychczasowych umów pożyczek oraz innych umów o charakterze podobnym zaciągniętych przez ASI</w:t>
      </w:r>
      <w:r w:rsidR="00441653">
        <w:rPr>
          <w:rFonts w:ascii="Times New Roman" w:hAnsi="Times New Roman" w:cs="Times New Roman"/>
          <w:sz w:val="24"/>
          <w:szCs w:val="24"/>
        </w:rPr>
        <w:t>,</w:t>
      </w:r>
      <w:r w:rsidRPr="00FC70DC">
        <w:rPr>
          <w:rFonts w:ascii="Times New Roman" w:hAnsi="Times New Roman" w:cs="Times New Roman"/>
          <w:sz w:val="24"/>
          <w:szCs w:val="24"/>
        </w:rPr>
        <w:t xml:space="preserve"> jak też w zakresie obowiązków informacyjnych zarządzających ASI w zw. z wejściem w życie ustawy.</w:t>
      </w:r>
    </w:p>
    <w:p w14:paraId="279105F3" w14:textId="548FE8A0" w:rsidR="00FC70DC" w:rsidRDefault="00FC70DC" w:rsidP="00FC70DC">
      <w:pPr>
        <w:spacing w:after="0" w:line="360" w:lineRule="auto"/>
        <w:jc w:val="both"/>
        <w:rPr>
          <w:rFonts w:ascii="Times New Roman" w:hAnsi="Times New Roman" w:cs="Times New Roman"/>
          <w:sz w:val="24"/>
          <w:szCs w:val="24"/>
        </w:rPr>
      </w:pPr>
      <w:r w:rsidRPr="00FC70DC">
        <w:rPr>
          <w:rFonts w:ascii="Times New Roman" w:hAnsi="Times New Roman" w:cs="Times New Roman"/>
          <w:sz w:val="24"/>
          <w:szCs w:val="24"/>
        </w:rPr>
        <w:t xml:space="preserve">Proponuje się także </w:t>
      </w:r>
      <w:r w:rsidR="00355676">
        <w:rPr>
          <w:rFonts w:ascii="Times New Roman" w:hAnsi="Times New Roman" w:cs="Times New Roman"/>
          <w:sz w:val="24"/>
          <w:szCs w:val="24"/>
        </w:rPr>
        <w:t xml:space="preserve">zapewnienie uczestnikom alternatywnych spółek inwestycyjnych odstępu do informacji na temat zmian przewidzianych niniejszą ustawą o zmianach </w:t>
      </w:r>
      <w:r w:rsidR="00355676" w:rsidRPr="00355676">
        <w:rPr>
          <w:rFonts w:ascii="Times New Roman" w:hAnsi="Times New Roman" w:cs="Times New Roman"/>
          <w:sz w:val="24"/>
          <w:szCs w:val="24"/>
        </w:rPr>
        <w:t>dotyczących obejmowania praw uczestnictwa alternatywnych spółek inwestycyjnych przez klientów detalicznych, w szczególności o treści przepisu ust. 1 oraz o treści przepisu art. 8a ust. 4 oraz art. 70k ustawy zmienianej w art. 13.</w:t>
      </w:r>
    </w:p>
    <w:p w14:paraId="3C2B68E1" w14:textId="1E7003C1" w:rsidR="00FC70DC" w:rsidRDefault="00FC70DC" w:rsidP="00962714">
      <w:pPr>
        <w:spacing w:after="0" w:line="360" w:lineRule="auto"/>
        <w:jc w:val="both"/>
        <w:rPr>
          <w:rFonts w:ascii="Times New Roman" w:hAnsi="Times New Roman" w:cs="Times New Roman"/>
          <w:b/>
          <w:sz w:val="24"/>
          <w:szCs w:val="24"/>
        </w:rPr>
      </w:pPr>
      <w:r w:rsidRPr="00FC70DC">
        <w:rPr>
          <w:rFonts w:ascii="Times New Roman" w:hAnsi="Times New Roman" w:cs="Times New Roman"/>
          <w:b/>
          <w:sz w:val="24"/>
          <w:szCs w:val="24"/>
        </w:rPr>
        <w:t>Art. 4</w:t>
      </w:r>
      <w:r w:rsidR="00FB1205">
        <w:rPr>
          <w:rFonts w:ascii="Times New Roman" w:hAnsi="Times New Roman" w:cs="Times New Roman"/>
          <w:b/>
          <w:sz w:val="24"/>
          <w:szCs w:val="24"/>
        </w:rPr>
        <w:t>4</w:t>
      </w:r>
    </w:p>
    <w:p w14:paraId="3D0ECEE9" w14:textId="7D4A61E9" w:rsidR="00FC70DC" w:rsidRDefault="00FC70DC" w:rsidP="00FC70DC">
      <w:pPr>
        <w:spacing w:after="0" w:line="360" w:lineRule="auto"/>
        <w:jc w:val="both"/>
        <w:rPr>
          <w:rFonts w:ascii="Times New Roman" w:hAnsi="Times New Roman" w:cs="Times New Roman"/>
          <w:sz w:val="24"/>
          <w:szCs w:val="24"/>
        </w:rPr>
      </w:pPr>
      <w:r w:rsidRPr="004A4390">
        <w:rPr>
          <w:rFonts w:ascii="Times New Roman" w:hAnsi="Times New Roman" w:cs="Times New Roman"/>
          <w:sz w:val="24"/>
          <w:szCs w:val="24"/>
        </w:rPr>
        <w:t xml:space="preserve">W związku z wprowadzonym obowiązkiem zatwierdzenia przez KNF regulaminu funduszu zabezpieczającego prawidłowe wykonanie zobowiązań wynikających z rozliczania transakcji zawartych również poza rynkiem regulowanym, który dotychczas nie podlegał takiemu reżimowi (wymagana jest obecnie umowa zawierana z podmiotem organizującym ASO), w art. </w:t>
      </w:r>
      <w:r w:rsidR="001D2D51">
        <w:rPr>
          <w:rFonts w:ascii="Times New Roman" w:hAnsi="Times New Roman" w:cs="Times New Roman"/>
          <w:sz w:val="24"/>
          <w:szCs w:val="24"/>
        </w:rPr>
        <w:t>4</w:t>
      </w:r>
      <w:r w:rsidR="00FB1205">
        <w:rPr>
          <w:rFonts w:ascii="Times New Roman" w:hAnsi="Times New Roman" w:cs="Times New Roman"/>
          <w:sz w:val="24"/>
          <w:szCs w:val="24"/>
        </w:rPr>
        <w:t>4</w:t>
      </w:r>
      <w:r w:rsidRPr="004A4390">
        <w:rPr>
          <w:rFonts w:ascii="Times New Roman" w:hAnsi="Times New Roman" w:cs="Times New Roman"/>
          <w:sz w:val="24"/>
          <w:szCs w:val="24"/>
        </w:rPr>
        <w:t xml:space="preserve"> zawarto przepis przejściowy mający na celu wskazanie 18 miesięcznego okresu na dostosowanie przez podmiot rozliczający przedmiotowego regulaminu do przepisów projektowanej ustawy.</w:t>
      </w:r>
    </w:p>
    <w:p w14:paraId="638F1CEA" w14:textId="3F772B9D" w:rsidR="001D2D51" w:rsidRPr="00663E45" w:rsidRDefault="001D2D51" w:rsidP="00FC70DC">
      <w:pPr>
        <w:spacing w:after="0" w:line="360" w:lineRule="auto"/>
        <w:jc w:val="both"/>
        <w:rPr>
          <w:rFonts w:ascii="Times New Roman" w:hAnsi="Times New Roman" w:cs="Times New Roman"/>
          <w:b/>
          <w:sz w:val="24"/>
          <w:szCs w:val="24"/>
        </w:rPr>
      </w:pPr>
      <w:r w:rsidRPr="00663E45">
        <w:rPr>
          <w:rFonts w:ascii="Times New Roman" w:hAnsi="Times New Roman" w:cs="Times New Roman"/>
          <w:b/>
          <w:sz w:val="24"/>
          <w:szCs w:val="24"/>
        </w:rPr>
        <w:t>Art. 4</w:t>
      </w:r>
      <w:r w:rsidR="00FB1205">
        <w:rPr>
          <w:rFonts w:ascii="Times New Roman" w:hAnsi="Times New Roman" w:cs="Times New Roman"/>
          <w:b/>
          <w:sz w:val="24"/>
          <w:szCs w:val="24"/>
        </w:rPr>
        <w:t>5</w:t>
      </w:r>
    </w:p>
    <w:p w14:paraId="1846C04A" w14:textId="77777777" w:rsidR="00663E45" w:rsidRDefault="00663E45" w:rsidP="00B856D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Przepis ten zapewnia zakaz wpisu agenta firm inwestycyjnych w przypadku popełnienia przez niego przestępstw wskazanych w tym przepisie przed wejściem w życie tej ustawy. Z uwagi na doniosłość tego przepisu i jego znaczenie dla stabilności rynku finansowego i bezpieczeństwa inwestorów zasadne jest zastosowanie takiego rozwiązania, bowiem obecnie nadal występuje luka w tym zakresie. </w:t>
      </w:r>
    </w:p>
    <w:p w14:paraId="2989F0D9" w14:textId="5572B771" w:rsidR="00C65B4E" w:rsidRPr="00355676" w:rsidRDefault="00C65B4E" w:rsidP="00B856D8">
      <w:pPr>
        <w:spacing w:after="0" w:line="360" w:lineRule="auto"/>
        <w:jc w:val="both"/>
        <w:rPr>
          <w:rFonts w:ascii="Times New Roman" w:hAnsi="Times New Roman" w:cs="Times New Roman"/>
          <w:b/>
          <w:sz w:val="24"/>
          <w:szCs w:val="24"/>
        </w:rPr>
      </w:pPr>
      <w:r w:rsidRPr="00355676">
        <w:rPr>
          <w:rFonts w:ascii="Times New Roman" w:hAnsi="Times New Roman" w:cs="Times New Roman"/>
          <w:b/>
          <w:sz w:val="24"/>
          <w:szCs w:val="24"/>
        </w:rPr>
        <w:t>Art. 46</w:t>
      </w:r>
    </w:p>
    <w:p w14:paraId="49AB8DFB" w14:textId="1896AC04" w:rsidR="00C65B4E" w:rsidRPr="00355676" w:rsidRDefault="00355676" w:rsidP="00B856D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Mając na uwadze zmiany przewidziane w art. 83b ustawy o obrocie instrumentami finansowymi w art. 46 przewidziano 12 miesięczny termin na dostosowanie przez firmy inwestycyjne przyjętych przez nie systemów kontroli wewnętrznej do tych zmian.</w:t>
      </w:r>
    </w:p>
    <w:p w14:paraId="286FEFD8" w14:textId="072F6820" w:rsidR="00FC70DC" w:rsidRDefault="00FC70DC" w:rsidP="00B856D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Art. 4</w:t>
      </w:r>
      <w:r w:rsidR="00C65B4E">
        <w:rPr>
          <w:rFonts w:ascii="Times New Roman" w:hAnsi="Times New Roman" w:cs="Times New Roman"/>
          <w:b/>
          <w:sz w:val="24"/>
          <w:szCs w:val="24"/>
        </w:rPr>
        <w:t>7</w:t>
      </w:r>
    </w:p>
    <w:p w14:paraId="4AA50AB0" w14:textId="3162EFEE" w:rsidR="00911726" w:rsidRDefault="00FC70DC" w:rsidP="00962714">
      <w:pPr>
        <w:spacing w:after="0" w:line="360" w:lineRule="auto"/>
        <w:jc w:val="both"/>
        <w:rPr>
          <w:rFonts w:ascii="Times New Roman" w:hAnsi="Times New Roman" w:cs="Times New Roman"/>
          <w:sz w:val="24"/>
          <w:szCs w:val="24"/>
        </w:rPr>
      </w:pPr>
      <w:r w:rsidRPr="00FC70DC">
        <w:rPr>
          <w:rFonts w:ascii="Times New Roman" w:hAnsi="Times New Roman" w:cs="Times New Roman"/>
          <w:sz w:val="24"/>
          <w:szCs w:val="24"/>
        </w:rPr>
        <w:t>Art. 4</w:t>
      </w:r>
      <w:r w:rsidR="00C65B4E">
        <w:rPr>
          <w:rFonts w:ascii="Times New Roman" w:hAnsi="Times New Roman" w:cs="Times New Roman"/>
          <w:sz w:val="24"/>
          <w:szCs w:val="24"/>
        </w:rPr>
        <w:t>7</w:t>
      </w:r>
      <w:r w:rsidRPr="00FC70DC">
        <w:rPr>
          <w:rFonts w:ascii="Times New Roman" w:hAnsi="Times New Roman" w:cs="Times New Roman"/>
          <w:sz w:val="24"/>
          <w:szCs w:val="24"/>
        </w:rPr>
        <w:t xml:space="preserve"> wprowadza okres przejściowy dla banków powierniczych umożliwiający im prowadzenie działalności w zakresie pośrednictwa w pożyczkach papierów wartościowych na uproszczonych zasadach w terminie dwóch lat od dnia wejścia projektowanej ustawy, a w przypadku gdy bank w tym okresie wystąpi o zezwolenie na prowadzenie tej działalności w pełnym zakresie do momentu uzyskania tego zezwolenia. Okres ten ma pozwolić bankom powierniczym na przygotowanie studium opłacalności i wykonalności prowadzenia przedmiotowej działalności. Niemniej mając na uwadze, że działalność ta będzie wykonywana bez zezwolenia KNF oraz znajdą do niej zastosowanie w ograniczonym stopniu przepisy znajdujące zastosowanie do firm inwestycyjnych przy świadczeniu analogicznych usług zdecydowano, że w okresie przejściowym działalność ta będzie mogła być prowadzona wyłącznie na rzecz klientów profesjonalnych, tj. z wyłączeniem klientów detalicznych.</w:t>
      </w:r>
    </w:p>
    <w:p w14:paraId="3B9B501C" w14:textId="716FFFA2" w:rsidR="00C65B4E" w:rsidRPr="005B2402" w:rsidRDefault="00C65B4E" w:rsidP="00962714">
      <w:pPr>
        <w:spacing w:after="0" w:line="360" w:lineRule="auto"/>
        <w:jc w:val="both"/>
        <w:rPr>
          <w:rFonts w:ascii="Times New Roman" w:hAnsi="Times New Roman" w:cs="Times New Roman"/>
          <w:b/>
          <w:sz w:val="24"/>
          <w:szCs w:val="24"/>
        </w:rPr>
      </w:pPr>
      <w:r w:rsidRPr="005B2402">
        <w:rPr>
          <w:rFonts w:ascii="Times New Roman" w:hAnsi="Times New Roman" w:cs="Times New Roman"/>
          <w:b/>
          <w:sz w:val="24"/>
          <w:szCs w:val="24"/>
        </w:rPr>
        <w:t>Art. 48</w:t>
      </w:r>
    </w:p>
    <w:p w14:paraId="06547743" w14:textId="21430D62" w:rsidR="00C65B4E" w:rsidRDefault="005B2402" w:rsidP="00962714">
      <w:pPr>
        <w:spacing w:after="0" w:line="360" w:lineRule="auto"/>
        <w:jc w:val="both"/>
        <w:rPr>
          <w:rFonts w:ascii="Times New Roman" w:hAnsi="Times New Roman" w:cs="Times New Roman"/>
          <w:sz w:val="24"/>
          <w:szCs w:val="24"/>
        </w:rPr>
      </w:pPr>
      <w:r w:rsidRPr="005B2402">
        <w:rPr>
          <w:rFonts w:ascii="Times New Roman" w:hAnsi="Times New Roman" w:cs="Times New Roman"/>
          <w:sz w:val="24"/>
          <w:szCs w:val="24"/>
        </w:rPr>
        <w:t>W ustawie o nadzorze nad rynkiem kapitałowym dodany został przepis określający termin udostępniania przez KNF na swojej stornie internetowej informacji, o których mowa w art. 25 ust. 1 i 1a</w:t>
      </w:r>
      <w:r>
        <w:rPr>
          <w:rFonts w:ascii="Times New Roman" w:hAnsi="Times New Roman" w:cs="Times New Roman"/>
          <w:sz w:val="24"/>
          <w:szCs w:val="24"/>
        </w:rPr>
        <w:t xml:space="preserve"> tej ustawy</w:t>
      </w:r>
      <w:r w:rsidRPr="005B2402">
        <w:rPr>
          <w:rFonts w:ascii="Times New Roman" w:hAnsi="Times New Roman" w:cs="Times New Roman"/>
          <w:sz w:val="24"/>
          <w:szCs w:val="24"/>
        </w:rPr>
        <w:t>. Przepis ten będzie miał zastosowanie do informacji publikowanych przez ten organ od dnia jego wejścia w życie. Mając na uwadze, że na stronie internetowej KNF zamieszczone są już informacje, o których mowa w art. 25 ust. 1 i 1a ustawy o nadzorze nad rynkiem kapitałowym</w:t>
      </w:r>
      <w:r>
        <w:rPr>
          <w:rFonts w:ascii="Times New Roman" w:hAnsi="Times New Roman" w:cs="Times New Roman"/>
          <w:sz w:val="24"/>
          <w:szCs w:val="24"/>
        </w:rPr>
        <w:t>,</w:t>
      </w:r>
      <w:r w:rsidRPr="005B2402">
        <w:rPr>
          <w:rFonts w:ascii="Times New Roman" w:hAnsi="Times New Roman" w:cs="Times New Roman"/>
          <w:sz w:val="24"/>
          <w:szCs w:val="24"/>
        </w:rPr>
        <w:t xml:space="preserve"> zasadne jest również uregulowanie dostępności tych informacji, czemu służy art. 48.</w:t>
      </w:r>
    </w:p>
    <w:p w14:paraId="42354EFD" w14:textId="64406104" w:rsidR="00CC45BB" w:rsidRDefault="00CC45BB" w:rsidP="00CC45BB">
      <w:pPr>
        <w:spacing w:after="0" w:line="360" w:lineRule="auto"/>
        <w:jc w:val="both"/>
        <w:rPr>
          <w:rFonts w:ascii="Times New Roman" w:hAnsi="Times New Roman" w:cs="Times New Roman"/>
          <w:b/>
          <w:sz w:val="24"/>
          <w:szCs w:val="24"/>
        </w:rPr>
      </w:pPr>
      <w:r w:rsidRPr="00E91310">
        <w:rPr>
          <w:rFonts w:ascii="Times New Roman" w:hAnsi="Times New Roman" w:cs="Times New Roman"/>
          <w:b/>
          <w:sz w:val="24"/>
          <w:szCs w:val="24"/>
        </w:rPr>
        <w:t>Art. 4</w:t>
      </w:r>
      <w:r w:rsidR="00C65B4E">
        <w:rPr>
          <w:rFonts w:ascii="Times New Roman" w:hAnsi="Times New Roman" w:cs="Times New Roman"/>
          <w:b/>
          <w:sz w:val="24"/>
          <w:szCs w:val="24"/>
        </w:rPr>
        <w:t>9</w:t>
      </w:r>
    </w:p>
    <w:p w14:paraId="12241D46" w14:textId="52119D1A" w:rsidR="00CC45BB" w:rsidRDefault="00CC45BB" w:rsidP="00CC45BB">
      <w:pPr>
        <w:spacing w:after="0" w:line="360" w:lineRule="auto"/>
        <w:jc w:val="both"/>
        <w:rPr>
          <w:rFonts w:ascii="Times New Roman" w:hAnsi="Times New Roman" w:cs="Times New Roman"/>
          <w:sz w:val="24"/>
          <w:szCs w:val="24"/>
        </w:rPr>
      </w:pPr>
      <w:r w:rsidRPr="00E91310">
        <w:rPr>
          <w:rFonts w:ascii="Times New Roman" w:hAnsi="Times New Roman" w:cs="Times New Roman"/>
          <w:sz w:val="24"/>
          <w:szCs w:val="24"/>
        </w:rPr>
        <w:t xml:space="preserve">Z uwagi na propozycję uchylenia obowiązku uzyskania opinii Prezesa NBP wobec podmiotu, który ubiega się o uzyskanie zezwolenia KNF na świadczenie usługi o której mowa w art. 60 ust. 3 </w:t>
      </w:r>
      <w:r>
        <w:rPr>
          <w:rFonts w:ascii="Times New Roman" w:hAnsi="Times New Roman" w:cs="Times New Roman"/>
          <w:sz w:val="24"/>
          <w:szCs w:val="24"/>
        </w:rPr>
        <w:t>ustawy o usługach płatniczych</w:t>
      </w:r>
      <w:r w:rsidRPr="00E91310">
        <w:rPr>
          <w:rFonts w:ascii="Times New Roman" w:hAnsi="Times New Roman" w:cs="Times New Roman"/>
          <w:sz w:val="24"/>
          <w:szCs w:val="24"/>
        </w:rPr>
        <w:t xml:space="preserve"> w charakterze krajowej instytucji płatniczej, zachodzi konieczność rozstrzygnięcia w przepisie przejściowym sytuacji postępowań wszczętych przed dniem wejścia w życie ustawy – będą one prowadzone na nowych zasadach.</w:t>
      </w:r>
    </w:p>
    <w:p w14:paraId="0E83C659" w14:textId="52EE81CF" w:rsidR="00CC45BB" w:rsidRDefault="00C65B4E" w:rsidP="00CC45B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Art. 50</w:t>
      </w:r>
    </w:p>
    <w:p w14:paraId="1CCEBCFF" w14:textId="3BF4FD44" w:rsidR="00CC45BB" w:rsidRPr="00D54641" w:rsidRDefault="00CC45BB" w:rsidP="00962714">
      <w:pPr>
        <w:spacing w:after="0" w:line="360" w:lineRule="auto"/>
        <w:jc w:val="both"/>
        <w:rPr>
          <w:rFonts w:ascii="Times New Roman" w:hAnsi="Times New Roman" w:cs="Times New Roman"/>
          <w:sz w:val="24"/>
          <w:szCs w:val="24"/>
        </w:rPr>
      </w:pPr>
      <w:r w:rsidRPr="009C6DD2">
        <w:rPr>
          <w:rFonts w:ascii="Times New Roman" w:hAnsi="Times New Roman" w:cs="Times New Roman"/>
          <w:sz w:val="24"/>
          <w:szCs w:val="24"/>
        </w:rPr>
        <w:t xml:space="preserve">Przepis przejściowy dotyczy wniosków o wpisanie do rejestru MIP </w:t>
      </w:r>
      <w:r>
        <w:rPr>
          <w:rFonts w:ascii="Times New Roman" w:hAnsi="Times New Roman" w:cs="Times New Roman"/>
          <w:sz w:val="24"/>
          <w:szCs w:val="24"/>
        </w:rPr>
        <w:t xml:space="preserve">oraz BUP </w:t>
      </w:r>
      <w:r w:rsidRPr="009C6DD2">
        <w:rPr>
          <w:rFonts w:ascii="Times New Roman" w:hAnsi="Times New Roman" w:cs="Times New Roman"/>
          <w:sz w:val="24"/>
          <w:szCs w:val="24"/>
        </w:rPr>
        <w:t>w zakresie aktualizacji</w:t>
      </w:r>
      <w:r w:rsidR="007C389F">
        <w:rPr>
          <w:rFonts w:ascii="Times New Roman" w:hAnsi="Times New Roman" w:cs="Times New Roman"/>
          <w:sz w:val="24"/>
          <w:szCs w:val="24"/>
        </w:rPr>
        <w:t xml:space="preserve"> </w:t>
      </w:r>
      <w:r w:rsidRPr="009C6DD2">
        <w:rPr>
          <w:rFonts w:ascii="Times New Roman" w:hAnsi="Times New Roman" w:cs="Times New Roman"/>
          <w:sz w:val="24"/>
          <w:szCs w:val="24"/>
        </w:rPr>
        <w:t xml:space="preserve">obowiązku, o którym mowa w art. </w:t>
      </w:r>
      <w:r>
        <w:rPr>
          <w:rFonts w:ascii="Times New Roman" w:hAnsi="Times New Roman" w:cs="Times New Roman"/>
          <w:sz w:val="24"/>
          <w:szCs w:val="24"/>
        </w:rPr>
        <w:t>20 pkt 29 oraz art. 20 pkt 35 projektu</w:t>
      </w:r>
      <w:r w:rsidRPr="009C6DD2">
        <w:rPr>
          <w:rFonts w:ascii="Times New Roman" w:hAnsi="Times New Roman" w:cs="Times New Roman"/>
          <w:sz w:val="24"/>
          <w:szCs w:val="24"/>
        </w:rPr>
        <w:t xml:space="preserve"> tj. dołączenia dodatkowych dokumentów z</w:t>
      </w:r>
      <w:r>
        <w:rPr>
          <w:rFonts w:ascii="Times New Roman" w:hAnsi="Times New Roman" w:cs="Times New Roman"/>
          <w:sz w:val="24"/>
          <w:szCs w:val="24"/>
        </w:rPr>
        <w:t xml:space="preserve">godnie z art. 117j ust. 1 oraz 119a ust. 1 ustawy o usługach płatniczych. </w:t>
      </w:r>
    </w:p>
    <w:p w14:paraId="64EBC917" w14:textId="6E5F1FE3" w:rsidR="00E524F4" w:rsidRPr="00E524F4" w:rsidRDefault="00C65B4E" w:rsidP="00E524F4">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Art. 51</w:t>
      </w:r>
    </w:p>
    <w:p w14:paraId="434CB5BE" w14:textId="14002315" w:rsidR="00E524F4" w:rsidRPr="00E524F4" w:rsidRDefault="00E524F4" w:rsidP="0096271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Zmiany wprowadzone w </w:t>
      </w:r>
      <w:r w:rsidRPr="00BD4A2F">
        <w:rPr>
          <w:rFonts w:ascii="Times New Roman" w:hAnsi="Times New Roman" w:cs="Times New Roman"/>
          <w:sz w:val="24"/>
          <w:szCs w:val="24"/>
        </w:rPr>
        <w:t xml:space="preserve">art. 14aa–14ad, a także </w:t>
      </w:r>
      <w:r>
        <w:rPr>
          <w:rFonts w:ascii="Times New Roman" w:hAnsi="Times New Roman" w:cs="Times New Roman"/>
          <w:sz w:val="24"/>
          <w:szCs w:val="24"/>
        </w:rPr>
        <w:t xml:space="preserve">w </w:t>
      </w:r>
      <w:r w:rsidRPr="00BD4A2F">
        <w:rPr>
          <w:rFonts w:ascii="Times New Roman" w:hAnsi="Times New Roman" w:cs="Times New Roman"/>
          <w:sz w:val="24"/>
          <w:szCs w:val="24"/>
        </w:rPr>
        <w:t>art. 14b, 14c oraz 14d</w:t>
      </w:r>
      <w:r w:rsidR="007C389F">
        <w:rPr>
          <w:rFonts w:ascii="Times New Roman" w:hAnsi="Times New Roman" w:cs="Times New Roman"/>
          <w:sz w:val="24"/>
          <w:szCs w:val="24"/>
        </w:rPr>
        <w:t xml:space="preserve"> </w:t>
      </w:r>
      <w:r w:rsidRPr="00B8398B">
        <w:rPr>
          <w:rFonts w:ascii="Times New Roman" w:hAnsi="Times New Roman" w:cs="Times New Roman"/>
          <w:sz w:val="24"/>
          <w:szCs w:val="24"/>
        </w:rPr>
        <w:t>będą miały wpływ na treść rozporządzenia wykonawczego, wydanego na podstawie art. 14d, co oznacza, że dotychczas wydane rozporządzenie</w:t>
      </w:r>
      <w:r>
        <w:rPr>
          <w:rFonts w:ascii="Times New Roman" w:hAnsi="Times New Roman" w:cs="Times New Roman"/>
          <w:sz w:val="24"/>
          <w:szCs w:val="24"/>
        </w:rPr>
        <w:t xml:space="preserve"> zostanie uchylone</w:t>
      </w:r>
      <w:r w:rsidRPr="00B8398B">
        <w:rPr>
          <w:rFonts w:ascii="Times New Roman" w:hAnsi="Times New Roman" w:cs="Times New Roman"/>
          <w:sz w:val="24"/>
          <w:szCs w:val="24"/>
        </w:rPr>
        <w:t xml:space="preserve">. </w:t>
      </w:r>
      <w:r>
        <w:rPr>
          <w:rFonts w:ascii="Times New Roman" w:hAnsi="Times New Roman" w:cs="Times New Roman"/>
          <w:sz w:val="24"/>
          <w:szCs w:val="24"/>
        </w:rPr>
        <w:t xml:space="preserve">Proponuje się tym samym </w:t>
      </w:r>
      <w:r w:rsidRPr="00B8398B">
        <w:rPr>
          <w:rFonts w:ascii="Times New Roman" w:hAnsi="Times New Roman" w:cs="Times New Roman"/>
          <w:sz w:val="24"/>
          <w:szCs w:val="24"/>
        </w:rPr>
        <w:t>prz</w:t>
      </w:r>
      <w:r>
        <w:rPr>
          <w:rFonts w:ascii="Times New Roman" w:hAnsi="Times New Roman" w:cs="Times New Roman"/>
          <w:sz w:val="24"/>
          <w:szCs w:val="24"/>
        </w:rPr>
        <w:t>epis przejściowy</w:t>
      </w:r>
      <w:r w:rsidRPr="00B8398B">
        <w:rPr>
          <w:rFonts w:ascii="Times New Roman" w:hAnsi="Times New Roman" w:cs="Times New Roman"/>
          <w:sz w:val="24"/>
          <w:szCs w:val="24"/>
        </w:rPr>
        <w:t xml:space="preserve"> dotyczącego obowiązywania dotychczasowego rozporządzenia, tj. rozporządzenia Ministra Finansów z dnia 22 grudnia 2022 r. w sprawie przekazywania informacji Narodowemu Bankowi Polskiemu przez agentów rozliczeniowych, wydawców instrumentów płatniczych oraz wydawców pieniądza elektronicznego.</w:t>
      </w:r>
    </w:p>
    <w:p w14:paraId="61252FD5" w14:textId="7A2E73D0" w:rsidR="001D2D51" w:rsidRDefault="001D2D51" w:rsidP="00962714">
      <w:pPr>
        <w:spacing w:after="0" w:line="360" w:lineRule="auto"/>
        <w:jc w:val="both"/>
        <w:rPr>
          <w:rFonts w:ascii="Times New Roman" w:hAnsi="Times New Roman" w:cs="Times New Roman"/>
          <w:b/>
          <w:sz w:val="24"/>
          <w:szCs w:val="24"/>
        </w:rPr>
      </w:pPr>
      <w:r w:rsidRPr="006074CA">
        <w:rPr>
          <w:rFonts w:ascii="Times New Roman" w:hAnsi="Times New Roman" w:cs="Times New Roman"/>
          <w:b/>
          <w:sz w:val="24"/>
          <w:szCs w:val="24"/>
        </w:rPr>
        <w:t>Art.</w:t>
      </w:r>
      <w:r w:rsidR="00D54641" w:rsidRPr="006074CA">
        <w:rPr>
          <w:rFonts w:ascii="Times New Roman" w:hAnsi="Times New Roman" w:cs="Times New Roman"/>
          <w:b/>
          <w:sz w:val="24"/>
          <w:szCs w:val="24"/>
        </w:rPr>
        <w:t xml:space="preserve"> </w:t>
      </w:r>
      <w:r w:rsidR="00C65B4E">
        <w:rPr>
          <w:rFonts w:ascii="Times New Roman" w:hAnsi="Times New Roman" w:cs="Times New Roman"/>
          <w:b/>
          <w:sz w:val="24"/>
          <w:szCs w:val="24"/>
        </w:rPr>
        <w:t>52</w:t>
      </w:r>
    </w:p>
    <w:p w14:paraId="195A6655" w14:textId="4811D894" w:rsidR="00327FFD" w:rsidRDefault="00327FFD" w:rsidP="00327FF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 a</w:t>
      </w:r>
      <w:r w:rsidRPr="00327FFD">
        <w:rPr>
          <w:rFonts w:ascii="Times New Roman" w:hAnsi="Times New Roman" w:cs="Times New Roman"/>
          <w:sz w:val="24"/>
          <w:szCs w:val="24"/>
        </w:rPr>
        <w:t>rt. 52</w:t>
      </w:r>
      <w:r>
        <w:rPr>
          <w:rFonts w:ascii="Times New Roman" w:hAnsi="Times New Roman" w:cs="Times New Roman"/>
          <w:sz w:val="24"/>
          <w:szCs w:val="24"/>
        </w:rPr>
        <w:t xml:space="preserve"> wprowadzono przepisy przejściowe dla wprowadzanego </w:t>
      </w:r>
      <w:r w:rsidR="00D277E4">
        <w:rPr>
          <w:rFonts w:ascii="Times New Roman" w:hAnsi="Times New Roman" w:cs="Times New Roman"/>
          <w:sz w:val="24"/>
          <w:szCs w:val="24"/>
        </w:rPr>
        <w:t xml:space="preserve">art. </w:t>
      </w:r>
      <w:r w:rsidRPr="00327FFD">
        <w:rPr>
          <w:rFonts w:ascii="Times New Roman" w:hAnsi="Times New Roman" w:cs="Times New Roman"/>
          <w:sz w:val="24"/>
          <w:szCs w:val="24"/>
        </w:rPr>
        <w:t xml:space="preserve">276 ust. 10 ustawy </w:t>
      </w:r>
      <w:r>
        <w:rPr>
          <w:rFonts w:ascii="Times New Roman" w:hAnsi="Times New Roman" w:cs="Times New Roman"/>
          <w:sz w:val="24"/>
          <w:szCs w:val="24"/>
        </w:rPr>
        <w:t xml:space="preserve">o działalności ubezpieczeniowej i reasekuracyjnej. </w:t>
      </w:r>
      <w:r w:rsidRPr="00327FFD">
        <w:rPr>
          <w:rFonts w:ascii="Times New Roman" w:hAnsi="Times New Roman" w:cs="Times New Roman"/>
          <w:sz w:val="24"/>
          <w:szCs w:val="24"/>
        </w:rPr>
        <w:t>Przepis</w:t>
      </w:r>
      <w:r w:rsidR="00D277E4">
        <w:rPr>
          <w:rFonts w:ascii="Times New Roman" w:hAnsi="Times New Roman" w:cs="Times New Roman"/>
          <w:sz w:val="24"/>
          <w:szCs w:val="24"/>
        </w:rPr>
        <w:t>y</w:t>
      </w:r>
      <w:r w:rsidRPr="00327FFD">
        <w:rPr>
          <w:rFonts w:ascii="Times New Roman" w:hAnsi="Times New Roman" w:cs="Times New Roman"/>
          <w:sz w:val="24"/>
          <w:szCs w:val="24"/>
        </w:rPr>
        <w:t xml:space="preserve"> </w:t>
      </w:r>
      <w:r>
        <w:rPr>
          <w:rFonts w:ascii="Times New Roman" w:hAnsi="Times New Roman" w:cs="Times New Roman"/>
          <w:sz w:val="24"/>
          <w:szCs w:val="24"/>
        </w:rPr>
        <w:t>wykonawcz</w:t>
      </w:r>
      <w:r w:rsidR="00D277E4">
        <w:rPr>
          <w:rFonts w:ascii="Times New Roman" w:hAnsi="Times New Roman" w:cs="Times New Roman"/>
          <w:sz w:val="24"/>
          <w:szCs w:val="24"/>
        </w:rPr>
        <w:t xml:space="preserve">e </w:t>
      </w:r>
      <w:r w:rsidRPr="00327FFD">
        <w:rPr>
          <w:rFonts w:ascii="Times New Roman" w:hAnsi="Times New Roman" w:cs="Times New Roman"/>
          <w:sz w:val="24"/>
          <w:szCs w:val="24"/>
        </w:rPr>
        <w:t>wyda</w:t>
      </w:r>
      <w:r w:rsidR="00D277E4">
        <w:rPr>
          <w:rFonts w:ascii="Times New Roman" w:hAnsi="Times New Roman" w:cs="Times New Roman"/>
          <w:sz w:val="24"/>
          <w:szCs w:val="24"/>
        </w:rPr>
        <w:t xml:space="preserve">wane </w:t>
      </w:r>
      <w:r w:rsidRPr="00327FFD">
        <w:rPr>
          <w:rFonts w:ascii="Times New Roman" w:hAnsi="Times New Roman" w:cs="Times New Roman"/>
          <w:sz w:val="24"/>
          <w:szCs w:val="24"/>
        </w:rPr>
        <w:t xml:space="preserve">na podstawie art. 276 ust. 10 </w:t>
      </w:r>
      <w:r>
        <w:rPr>
          <w:rFonts w:ascii="Times New Roman" w:hAnsi="Times New Roman" w:cs="Times New Roman"/>
          <w:sz w:val="24"/>
          <w:szCs w:val="24"/>
        </w:rPr>
        <w:t xml:space="preserve">tej </w:t>
      </w:r>
      <w:r w:rsidR="00D277E4">
        <w:rPr>
          <w:rFonts w:ascii="Times New Roman" w:hAnsi="Times New Roman" w:cs="Times New Roman"/>
          <w:sz w:val="24"/>
          <w:szCs w:val="24"/>
        </w:rPr>
        <w:t>u</w:t>
      </w:r>
      <w:r w:rsidRPr="00327FFD">
        <w:rPr>
          <w:rFonts w:ascii="Times New Roman" w:hAnsi="Times New Roman" w:cs="Times New Roman"/>
          <w:sz w:val="24"/>
          <w:szCs w:val="24"/>
        </w:rPr>
        <w:t xml:space="preserve">stawy nie </w:t>
      </w:r>
      <w:r>
        <w:rPr>
          <w:rFonts w:ascii="Times New Roman" w:hAnsi="Times New Roman" w:cs="Times New Roman"/>
          <w:sz w:val="24"/>
          <w:szCs w:val="24"/>
        </w:rPr>
        <w:t xml:space="preserve">będą </w:t>
      </w:r>
      <w:r w:rsidRPr="00327FFD">
        <w:rPr>
          <w:rFonts w:ascii="Times New Roman" w:hAnsi="Times New Roman" w:cs="Times New Roman"/>
          <w:sz w:val="24"/>
          <w:szCs w:val="24"/>
        </w:rPr>
        <w:t>stos</w:t>
      </w:r>
      <w:r>
        <w:rPr>
          <w:rFonts w:ascii="Times New Roman" w:hAnsi="Times New Roman" w:cs="Times New Roman"/>
          <w:sz w:val="24"/>
          <w:szCs w:val="24"/>
        </w:rPr>
        <w:t xml:space="preserve">owane </w:t>
      </w:r>
      <w:r w:rsidRPr="00327FFD">
        <w:rPr>
          <w:rFonts w:ascii="Times New Roman" w:hAnsi="Times New Roman" w:cs="Times New Roman"/>
          <w:sz w:val="24"/>
          <w:szCs w:val="24"/>
        </w:rPr>
        <w:t>do lokowania środków ubezpieczeniowego funduszu kapitałowego, który był oferowany przez zakład ubezpieczeń w ramach umów ubezpieczenia na życie z ubezpieczeniowym funduszem kapitałowym, zawartych przed upływem 9 miesięcy od dnia ogłoszenia niniejszej ustawy z ubezpieczającym będącym osobą fizyczną albo ubezpieczającym niebędącym osobą fizyczną, jeżeli z tytułu tej umowy ubezpieczony ponosi koszt składki ubezpieczeniowej.</w:t>
      </w:r>
      <w:r>
        <w:rPr>
          <w:rFonts w:ascii="Times New Roman" w:hAnsi="Times New Roman" w:cs="Times New Roman"/>
          <w:sz w:val="24"/>
          <w:szCs w:val="24"/>
        </w:rPr>
        <w:t xml:space="preserve"> Ponadto z</w:t>
      </w:r>
      <w:r w:rsidRPr="00327FFD">
        <w:rPr>
          <w:rFonts w:ascii="Times New Roman" w:hAnsi="Times New Roman" w:cs="Times New Roman"/>
          <w:sz w:val="24"/>
          <w:szCs w:val="24"/>
        </w:rPr>
        <w:t>akład ubezpieczeń w ramach umów ubezpieczenia na życie z ubezpieczeniowym funduszem kapitałowym zawartych po upływie 9 miesięcy od dnia ogłoszenia niniejszej ustawy z ubezpieczającym będącym osobą fizyczną albo ubezpieczającym niebędącym osobą fizyczną, jeżeli z tytułu tej umowy ubezpieczony ponosi koszt składki ubezpieczeniowej, nie może oferować ubezpieczeniowego funduszu kapitałowego, do którego lokowania środków nie stosuje przepisów ustawy wydanych na podstawie art. 276 ust. 10 ustawy zmienianej w art. 26 niniejszej ustawy.</w:t>
      </w:r>
    </w:p>
    <w:p w14:paraId="770FD846" w14:textId="37EBF62D" w:rsidR="00327FFD" w:rsidRPr="00EA05AE" w:rsidRDefault="00327FFD" w:rsidP="00962714">
      <w:pPr>
        <w:spacing w:after="0" w:line="360" w:lineRule="auto"/>
        <w:jc w:val="both"/>
        <w:rPr>
          <w:rFonts w:ascii="Times New Roman" w:hAnsi="Times New Roman" w:cs="Times New Roman"/>
          <w:b/>
          <w:sz w:val="24"/>
          <w:szCs w:val="24"/>
        </w:rPr>
      </w:pPr>
      <w:r w:rsidRPr="00EA05AE">
        <w:rPr>
          <w:rFonts w:ascii="Times New Roman" w:hAnsi="Times New Roman" w:cs="Times New Roman"/>
          <w:b/>
          <w:sz w:val="24"/>
          <w:szCs w:val="24"/>
        </w:rPr>
        <w:t>Art. 5</w:t>
      </w:r>
      <w:r w:rsidR="00EA05AE">
        <w:rPr>
          <w:rFonts w:ascii="Times New Roman" w:hAnsi="Times New Roman" w:cs="Times New Roman"/>
          <w:b/>
          <w:sz w:val="24"/>
          <w:szCs w:val="24"/>
        </w:rPr>
        <w:t>3</w:t>
      </w:r>
    </w:p>
    <w:p w14:paraId="185AB9AE" w14:textId="39CD1BE8" w:rsidR="00D54641" w:rsidRPr="00D54641" w:rsidRDefault="00D54641" w:rsidP="00962714">
      <w:pPr>
        <w:spacing w:after="0" w:line="360" w:lineRule="auto"/>
        <w:jc w:val="both"/>
        <w:rPr>
          <w:rFonts w:ascii="Times New Roman" w:hAnsi="Times New Roman" w:cs="Times New Roman"/>
          <w:sz w:val="24"/>
          <w:szCs w:val="24"/>
        </w:rPr>
      </w:pPr>
      <w:r w:rsidRPr="00FC70DC">
        <w:rPr>
          <w:rFonts w:ascii="Times New Roman" w:hAnsi="Times New Roman" w:cs="Times New Roman"/>
          <w:sz w:val="24"/>
          <w:szCs w:val="24"/>
        </w:rPr>
        <w:t xml:space="preserve">W art. </w:t>
      </w:r>
      <w:r w:rsidR="00FB1205">
        <w:rPr>
          <w:rFonts w:ascii="Times New Roman" w:hAnsi="Times New Roman" w:cs="Times New Roman"/>
          <w:sz w:val="24"/>
          <w:szCs w:val="24"/>
        </w:rPr>
        <w:t>5</w:t>
      </w:r>
      <w:r w:rsidR="00D277E4">
        <w:rPr>
          <w:rFonts w:ascii="Times New Roman" w:hAnsi="Times New Roman" w:cs="Times New Roman"/>
          <w:sz w:val="24"/>
          <w:szCs w:val="24"/>
        </w:rPr>
        <w:t>3</w:t>
      </w:r>
      <w:r w:rsidRPr="00FC70DC">
        <w:rPr>
          <w:rFonts w:ascii="Times New Roman" w:hAnsi="Times New Roman" w:cs="Times New Roman"/>
          <w:sz w:val="24"/>
          <w:szCs w:val="24"/>
        </w:rPr>
        <w:t xml:space="preserve"> projektu ustawy przewidziane zostało, że KZBR dostosuje statut PIBR do przepisów ustawy zmienianej w art. 2</w:t>
      </w:r>
      <w:r w:rsidR="00FB1205">
        <w:rPr>
          <w:rFonts w:ascii="Times New Roman" w:hAnsi="Times New Roman" w:cs="Times New Roman"/>
          <w:sz w:val="24"/>
          <w:szCs w:val="24"/>
        </w:rPr>
        <w:t>7</w:t>
      </w:r>
      <w:r w:rsidRPr="00FC70DC">
        <w:rPr>
          <w:rFonts w:ascii="Times New Roman" w:hAnsi="Times New Roman" w:cs="Times New Roman"/>
          <w:sz w:val="24"/>
          <w:szCs w:val="24"/>
        </w:rPr>
        <w:t>, w brzmieniu nadanym niniejszą ustawą, na najbliższym KZBR. W tym przypadku chodzi o rozwiązania przewidziane w projektowanym brzmieniu art. 2</w:t>
      </w:r>
      <w:r w:rsidR="00D93783">
        <w:rPr>
          <w:rFonts w:ascii="Times New Roman" w:hAnsi="Times New Roman" w:cs="Times New Roman"/>
          <w:sz w:val="24"/>
          <w:szCs w:val="24"/>
        </w:rPr>
        <w:t>7</w:t>
      </w:r>
      <w:r>
        <w:rPr>
          <w:rFonts w:ascii="Times New Roman" w:hAnsi="Times New Roman" w:cs="Times New Roman"/>
          <w:sz w:val="24"/>
          <w:szCs w:val="24"/>
        </w:rPr>
        <w:t>a</w:t>
      </w:r>
      <w:r w:rsidR="00D93783">
        <w:rPr>
          <w:rFonts w:ascii="Times New Roman" w:hAnsi="Times New Roman" w:cs="Times New Roman"/>
          <w:sz w:val="24"/>
          <w:szCs w:val="24"/>
        </w:rPr>
        <w:t xml:space="preserve">, </w:t>
      </w:r>
      <w:r w:rsidRPr="00FC70DC">
        <w:rPr>
          <w:rFonts w:ascii="Times New Roman" w:hAnsi="Times New Roman" w:cs="Times New Roman"/>
          <w:sz w:val="24"/>
          <w:szCs w:val="24"/>
        </w:rPr>
        <w:t>art. 2</w:t>
      </w:r>
      <w:r w:rsidR="00D93783">
        <w:rPr>
          <w:rFonts w:ascii="Times New Roman" w:hAnsi="Times New Roman" w:cs="Times New Roman"/>
          <w:sz w:val="24"/>
          <w:szCs w:val="24"/>
        </w:rPr>
        <w:t>7</w:t>
      </w:r>
      <w:r>
        <w:rPr>
          <w:rFonts w:ascii="Times New Roman" w:hAnsi="Times New Roman" w:cs="Times New Roman"/>
          <w:sz w:val="24"/>
          <w:szCs w:val="24"/>
        </w:rPr>
        <w:t>b</w:t>
      </w:r>
      <w:r w:rsidRPr="00FC70DC">
        <w:rPr>
          <w:rFonts w:ascii="Times New Roman" w:hAnsi="Times New Roman" w:cs="Times New Roman"/>
          <w:sz w:val="24"/>
          <w:szCs w:val="24"/>
        </w:rPr>
        <w:t xml:space="preserve"> </w:t>
      </w:r>
      <w:r w:rsidR="00D93783">
        <w:rPr>
          <w:rFonts w:ascii="Times New Roman" w:hAnsi="Times New Roman" w:cs="Times New Roman"/>
          <w:sz w:val="24"/>
          <w:szCs w:val="24"/>
        </w:rPr>
        <w:t xml:space="preserve">i art. 29 </w:t>
      </w:r>
      <w:r w:rsidRPr="00FC70DC">
        <w:rPr>
          <w:rFonts w:ascii="Times New Roman" w:hAnsi="Times New Roman" w:cs="Times New Roman"/>
          <w:sz w:val="24"/>
          <w:szCs w:val="24"/>
        </w:rPr>
        <w:t xml:space="preserve">ustawy o biegłych rewidentach, które dotyczą odbywania posiedzeń w sposób zdalny KZBR. Przepisy ustawy w takim przypadku będą miały zastosowanie przed postanowieniami statutu. Niemniej jednak, aby nie prowadzić do dodatkowych kosztów zwoływania KZBR zaproponowane zostało rozwiązanie, że KZBR dostosuje postanowienia statutu na najbliższym KZBR. </w:t>
      </w:r>
    </w:p>
    <w:p w14:paraId="0262DC9B" w14:textId="7FC9EAEF" w:rsidR="00F24C00" w:rsidRDefault="00F24C00" w:rsidP="00B856D8">
      <w:pPr>
        <w:spacing w:after="0" w:line="360" w:lineRule="auto"/>
        <w:jc w:val="both"/>
        <w:rPr>
          <w:rFonts w:ascii="Times New Roman" w:hAnsi="Times New Roman" w:cs="Times New Roman"/>
          <w:b/>
          <w:sz w:val="24"/>
          <w:szCs w:val="24"/>
        </w:rPr>
      </w:pPr>
      <w:r w:rsidRPr="006074CA">
        <w:rPr>
          <w:rFonts w:ascii="Times New Roman" w:hAnsi="Times New Roman" w:cs="Times New Roman"/>
          <w:b/>
          <w:sz w:val="24"/>
          <w:szCs w:val="24"/>
        </w:rPr>
        <w:t xml:space="preserve">Art. </w:t>
      </w:r>
      <w:r w:rsidR="00C65B4E">
        <w:rPr>
          <w:rFonts w:ascii="Times New Roman" w:hAnsi="Times New Roman" w:cs="Times New Roman"/>
          <w:b/>
          <w:sz w:val="24"/>
          <w:szCs w:val="24"/>
        </w:rPr>
        <w:t>5</w:t>
      </w:r>
      <w:r w:rsidR="00EA05AE">
        <w:rPr>
          <w:rFonts w:ascii="Times New Roman" w:hAnsi="Times New Roman" w:cs="Times New Roman"/>
          <w:b/>
          <w:sz w:val="24"/>
          <w:szCs w:val="24"/>
        </w:rPr>
        <w:t>4</w:t>
      </w:r>
    </w:p>
    <w:p w14:paraId="1C3ED110" w14:textId="3C9DECB4" w:rsidR="00D54641" w:rsidRPr="00D54641" w:rsidRDefault="00D54641" w:rsidP="00B856D8">
      <w:pPr>
        <w:spacing w:after="0" w:line="360" w:lineRule="auto"/>
        <w:jc w:val="both"/>
        <w:rPr>
          <w:rFonts w:ascii="Times New Roman" w:hAnsi="Times New Roman" w:cs="Times New Roman"/>
          <w:sz w:val="24"/>
          <w:szCs w:val="24"/>
        </w:rPr>
      </w:pPr>
      <w:r w:rsidRPr="00FC70DC">
        <w:rPr>
          <w:rFonts w:ascii="Times New Roman" w:hAnsi="Times New Roman" w:cs="Times New Roman"/>
          <w:sz w:val="24"/>
          <w:szCs w:val="24"/>
        </w:rPr>
        <w:t xml:space="preserve">W art. </w:t>
      </w:r>
      <w:r w:rsidR="00FB1205">
        <w:rPr>
          <w:rFonts w:ascii="Times New Roman" w:hAnsi="Times New Roman" w:cs="Times New Roman"/>
          <w:sz w:val="24"/>
          <w:szCs w:val="24"/>
        </w:rPr>
        <w:t>5</w:t>
      </w:r>
      <w:r w:rsidR="00D277E4">
        <w:rPr>
          <w:rFonts w:ascii="Times New Roman" w:hAnsi="Times New Roman" w:cs="Times New Roman"/>
          <w:sz w:val="24"/>
          <w:szCs w:val="24"/>
        </w:rPr>
        <w:t>4</w:t>
      </w:r>
      <w:r w:rsidR="007C389F">
        <w:rPr>
          <w:rFonts w:ascii="Times New Roman" w:hAnsi="Times New Roman" w:cs="Times New Roman"/>
          <w:sz w:val="24"/>
          <w:szCs w:val="24"/>
        </w:rPr>
        <w:t xml:space="preserve"> </w:t>
      </w:r>
      <w:r w:rsidRPr="00FC70DC">
        <w:rPr>
          <w:rFonts w:ascii="Times New Roman" w:hAnsi="Times New Roman" w:cs="Times New Roman"/>
          <w:sz w:val="24"/>
          <w:szCs w:val="24"/>
        </w:rPr>
        <w:t xml:space="preserve">projektu ustawy przewidziane zostało, że </w:t>
      </w:r>
      <w:r w:rsidRPr="00FC70DC">
        <w:rPr>
          <w:rFonts w:ascii="Times New Roman" w:hAnsi="Times New Roman" w:cs="Times New Roman"/>
          <w:sz w:val="24"/>
          <w:szCs w:val="24"/>
          <w:shd w:val="clear" w:color="auto" w:fill="FFFFFF"/>
        </w:rPr>
        <w:t>w przypadku zwołania pierwszego zjazdu KZBR przez KRBR przy użyciu środków komunikacji elektronicznej po dniu wejścia w życie niniejszej ustawy, Krajowy Zjazd Biegłych Rewidentów podejmuje uchwałę (tj. regulamin), o której mowa w art. 29 ust. 1 pkt 6 ustawy zmienianej w art. 2</w:t>
      </w:r>
      <w:r w:rsidR="00FB1205">
        <w:rPr>
          <w:rFonts w:ascii="Times New Roman" w:hAnsi="Times New Roman" w:cs="Times New Roman"/>
          <w:sz w:val="24"/>
          <w:szCs w:val="24"/>
          <w:shd w:val="clear" w:color="auto" w:fill="FFFFFF"/>
        </w:rPr>
        <w:t>7</w:t>
      </w:r>
      <w:r w:rsidRPr="00FC70DC">
        <w:rPr>
          <w:rFonts w:ascii="Times New Roman" w:hAnsi="Times New Roman" w:cs="Times New Roman"/>
          <w:sz w:val="24"/>
          <w:szCs w:val="24"/>
          <w:shd w:val="clear" w:color="auto" w:fill="FFFFFF"/>
        </w:rPr>
        <w:t xml:space="preserve"> w brzmieniu nadanym niniejszą ustawą w sposób, o którym mowa w art. 2</w:t>
      </w:r>
      <w:r w:rsidR="00EF2B54">
        <w:rPr>
          <w:rFonts w:ascii="Times New Roman" w:hAnsi="Times New Roman" w:cs="Times New Roman"/>
          <w:sz w:val="24"/>
          <w:szCs w:val="24"/>
          <w:shd w:val="clear" w:color="auto" w:fill="FFFFFF"/>
        </w:rPr>
        <w:t>7</w:t>
      </w:r>
      <w:r w:rsidRPr="00FC70DC">
        <w:rPr>
          <w:rFonts w:ascii="Times New Roman" w:hAnsi="Times New Roman" w:cs="Times New Roman"/>
          <w:sz w:val="24"/>
          <w:szCs w:val="24"/>
          <w:shd w:val="clear" w:color="auto" w:fill="FFFFFF"/>
        </w:rPr>
        <w:t>a i 2</w:t>
      </w:r>
      <w:r w:rsidR="00EF2B54">
        <w:rPr>
          <w:rFonts w:ascii="Times New Roman" w:hAnsi="Times New Roman" w:cs="Times New Roman"/>
          <w:sz w:val="24"/>
          <w:szCs w:val="24"/>
          <w:shd w:val="clear" w:color="auto" w:fill="FFFFFF"/>
        </w:rPr>
        <w:t>7</w:t>
      </w:r>
      <w:r w:rsidRPr="00FC70DC">
        <w:rPr>
          <w:rFonts w:ascii="Times New Roman" w:hAnsi="Times New Roman" w:cs="Times New Roman"/>
          <w:sz w:val="24"/>
          <w:szCs w:val="24"/>
          <w:shd w:val="clear" w:color="auto" w:fill="FFFFFF"/>
        </w:rPr>
        <w:t>b ustawy zmienianej w art. 2</w:t>
      </w:r>
      <w:r w:rsidR="00FB1205">
        <w:rPr>
          <w:rFonts w:ascii="Times New Roman" w:hAnsi="Times New Roman" w:cs="Times New Roman"/>
          <w:sz w:val="24"/>
          <w:szCs w:val="24"/>
          <w:shd w:val="clear" w:color="auto" w:fill="FFFFFF"/>
        </w:rPr>
        <w:t>7</w:t>
      </w:r>
      <w:r w:rsidRPr="00FC70DC">
        <w:rPr>
          <w:rFonts w:ascii="Times New Roman" w:hAnsi="Times New Roman" w:cs="Times New Roman"/>
          <w:sz w:val="24"/>
          <w:szCs w:val="24"/>
          <w:shd w:val="clear" w:color="auto" w:fill="FFFFFF"/>
        </w:rPr>
        <w:t xml:space="preserve"> niniejszej ustawy – czyli zdalnie. </w:t>
      </w:r>
      <w:r w:rsidRPr="00FC70DC">
        <w:rPr>
          <w:rFonts w:ascii="Times New Roman" w:hAnsi="Times New Roman" w:cs="Times New Roman"/>
          <w:sz w:val="24"/>
          <w:szCs w:val="24"/>
        </w:rPr>
        <w:t>Zwołanie KZBR w sposób stacjonarny wiąże się z dużymi kosztami. Dlatego niezbędne jest wprowadzenie przepisu dającego podstawę prawną dla zwołanego w sposób zdalny KZBR do podjęcia regulaminu. Przepis ten przewiduje wprowadzenie takiej podstawy dla KZBR, gdyż przyjęcie tego regulaminu umożliwi KZBR dalsze prowadzenie zjazdu i rozpatrywanie pozostałych spraw.</w:t>
      </w:r>
    </w:p>
    <w:p w14:paraId="18E4FA79" w14:textId="39007AF2" w:rsidR="00433532" w:rsidRPr="00433532" w:rsidRDefault="00433532" w:rsidP="00341616">
      <w:pPr>
        <w:spacing w:after="0" w:line="360" w:lineRule="auto"/>
        <w:jc w:val="both"/>
        <w:rPr>
          <w:rFonts w:ascii="Times New Roman" w:hAnsi="Times New Roman" w:cs="Times New Roman"/>
          <w:b/>
          <w:sz w:val="24"/>
          <w:szCs w:val="24"/>
        </w:rPr>
      </w:pPr>
      <w:r w:rsidRPr="00433532">
        <w:rPr>
          <w:rFonts w:ascii="Times New Roman" w:hAnsi="Times New Roman" w:cs="Times New Roman"/>
          <w:b/>
          <w:sz w:val="24"/>
          <w:szCs w:val="24"/>
        </w:rPr>
        <w:t xml:space="preserve">Art. </w:t>
      </w:r>
      <w:r w:rsidR="00E524F4">
        <w:rPr>
          <w:rFonts w:ascii="Times New Roman" w:hAnsi="Times New Roman" w:cs="Times New Roman"/>
          <w:b/>
          <w:sz w:val="24"/>
          <w:szCs w:val="24"/>
        </w:rPr>
        <w:t>5</w:t>
      </w:r>
      <w:r w:rsidR="00EA05AE">
        <w:rPr>
          <w:rFonts w:ascii="Times New Roman" w:hAnsi="Times New Roman" w:cs="Times New Roman"/>
          <w:b/>
          <w:sz w:val="24"/>
          <w:szCs w:val="24"/>
        </w:rPr>
        <w:t>5</w:t>
      </w:r>
    </w:p>
    <w:p w14:paraId="3CA4C9F8" w14:textId="10DC8F7D" w:rsidR="00433532" w:rsidRDefault="00433532" w:rsidP="00433532">
      <w:pPr>
        <w:tabs>
          <w:tab w:val="left" w:pos="7920"/>
          <w:tab w:val="left" w:pos="799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Zgodnie z przepisem przejściowym, d</w:t>
      </w:r>
      <w:r w:rsidRPr="00B02363">
        <w:rPr>
          <w:rFonts w:ascii="Times New Roman" w:hAnsi="Times New Roman" w:cs="Times New Roman"/>
          <w:sz w:val="24"/>
          <w:szCs w:val="24"/>
        </w:rPr>
        <w:t>o kontroli, o których mowa w art. 130 ust. 1 ustawy o przeciwdziałaniu praniu pieniędzy oraz finansowaniu terroryzmu, wszczętych i niezakończonych przed dniem wejścia w życie ustawy</w:t>
      </w:r>
      <w:r>
        <w:rPr>
          <w:rFonts w:ascii="Times New Roman" w:hAnsi="Times New Roman" w:cs="Times New Roman"/>
          <w:sz w:val="24"/>
          <w:szCs w:val="24"/>
        </w:rPr>
        <w:t xml:space="preserve"> oraz </w:t>
      </w:r>
      <w:r w:rsidRPr="00B02363">
        <w:rPr>
          <w:rFonts w:ascii="Times New Roman" w:hAnsi="Times New Roman" w:cs="Times New Roman"/>
          <w:sz w:val="24"/>
          <w:szCs w:val="24"/>
        </w:rPr>
        <w:t>postępowań w sprawie nałożenia kar administracyjnych, o których mowa w art. 150 ust. 1 ustawy o przeciwdziałaniu praniu pieniędzy oraz f</w:t>
      </w:r>
      <w:r>
        <w:rPr>
          <w:rFonts w:ascii="Times New Roman" w:hAnsi="Times New Roman" w:cs="Times New Roman"/>
          <w:sz w:val="24"/>
          <w:szCs w:val="24"/>
        </w:rPr>
        <w:t>inansowaniu terroryzmu</w:t>
      </w:r>
      <w:r w:rsidRPr="00B02363">
        <w:rPr>
          <w:rFonts w:ascii="Times New Roman" w:hAnsi="Times New Roman" w:cs="Times New Roman"/>
          <w:sz w:val="24"/>
          <w:szCs w:val="24"/>
        </w:rPr>
        <w:t xml:space="preserve"> wszczętych i niezakończonych przed dniem wejścia w życie</w:t>
      </w:r>
      <w:r>
        <w:rPr>
          <w:rFonts w:ascii="Times New Roman" w:hAnsi="Times New Roman" w:cs="Times New Roman"/>
          <w:sz w:val="24"/>
          <w:szCs w:val="24"/>
        </w:rPr>
        <w:t>,</w:t>
      </w:r>
      <w:r w:rsidRPr="00B02363">
        <w:rPr>
          <w:rFonts w:ascii="Times New Roman" w:hAnsi="Times New Roman" w:cs="Times New Roman"/>
          <w:sz w:val="24"/>
          <w:szCs w:val="24"/>
        </w:rPr>
        <w:t xml:space="preserve"> ustawy stosuje się przepisy niniejszej ustawy</w:t>
      </w:r>
      <w:r>
        <w:rPr>
          <w:rFonts w:ascii="Times New Roman" w:hAnsi="Times New Roman" w:cs="Times New Roman"/>
          <w:sz w:val="24"/>
          <w:szCs w:val="24"/>
        </w:rPr>
        <w:t xml:space="preserve">. </w:t>
      </w:r>
    </w:p>
    <w:p w14:paraId="3FAA848A" w14:textId="65515B3C" w:rsidR="00FB26DF" w:rsidRDefault="00FB26DF" w:rsidP="00FB26DF">
      <w:pPr>
        <w:tabs>
          <w:tab w:val="left" w:pos="7920"/>
          <w:tab w:val="left" w:pos="7995"/>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Art. 5</w:t>
      </w:r>
      <w:r w:rsidR="00EA05AE">
        <w:rPr>
          <w:rFonts w:ascii="Times New Roman" w:hAnsi="Times New Roman" w:cs="Times New Roman"/>
          <w:b/>
          <w:sz w:val="24"/>
          <w:szCs w:val="24"/>
        </w:rPr>
        <w:t>6</w:t>
      </w:r>
    </w:p>
    <w:p w14:paraId="0D743F3B" w14:textId="4AB1C8CC" w:rsidR="00FB26DF" w:rsidRPr="00B02363" w:rsidRDefault="00FB26DF" w:rsidP="00433532">
      <w:pPr>
        <w:tabs>
          <w:tab w:val="left" w:pos="7920"/>
          <w:tab w:val="left" w:pos="7995"/>
        </w:tabs>
        <w:spacing w:after="0" w:line="360" w:lineRule="auto"/>
        <w:jc w:val="both"/>
        <w:rPr>
          <w:rFonts w:ascii="Times New Roman" w:hAnsi="Times New Roman" w:cs="Times New Roman"/>
          <w:sz w:val="24"/>
          <w:szCs w:val="24"/>
        </w:rPr>
      </w:pPr>
      <w:r w:rsidRPr="0044527F">
        <w:rPr>
          <w:rFonts w:ascii="Times New Roman" w:hAnsi="Times New Roman" w:cs="Times New Roman"/>
          <w:sz w:val="24"/>
          <w:szCs w:val="24"/>
        </w:rPr>
        <w:t xml:space="preserve">Przepisy przejściowe do przepisów wprowadzających </w:t>
      </w:r>
      <w:r>
        <w:rPr>
          <w:rFonts w:ascii="Times New Roman" w:hAnsi="Times New Roman" w:cs="Times New Roman"/>
          <w:sz w:val="24"/>
          <w:szCs w:val="24"/>
        </w:rPr>
        <w:t>dodatkową przesłankę</w:t>
      </w:r>
      <w:r w:rsidRPr="0044527F">
        <w:rPr>
          <w:rFonts w:ascii="Times New Roman" w:hAnsi="Times New Roman" w:cs="Times New Roman"/>
          <w:sz w:val="24"/>
          <w:szCs w:val="24"/>
        </w:rPr>
        <w:t xml:space="preserve"> wykreślenia podmiotów z rejestrów wskazanych w rozdziale 11A ustawy o przeciwdziałaniu praniu pieniędzy oraz finansowaniu terroryzmu</w:t>
      </w:r>
      <w:r>
        <w:rPr>
          <w:rFonts w:ascii="Times New Roman" w:hAnsi="Times New Roman" w:cs="Times New Roman"/>
          <w:sz w:val="24"/>
          <w:szCs w:val="24"/>
        </w:rPr>
        <w:t xml:space="preserve"> przewidują możliwość wykreślenia podmiotów z rejestru także w przypadku, gdy postępowanie w sprawie nałożenia kary administracyjnej było w toku w momencie wejścia w życie ustawy zmieniającej. Zakończenia takich postępowań, które były wszczęte przed wejściem w życie ustawy zmieniającej, wydaniem nakazu zaprzestania przez instytucję obowiązaną określonych czynności (działalności na rzecz spółek lub trustów lub działalności w zakresie walut wirtualnych), będzie skutkowało wykreśleniem takiego podmiotu z odpowiedniego rejestru.</w:t>
      </w:r>
    </w:p>
    <w:p w14:paraId="06F33E2C" w14:textId="330DA161" w:rsidR="00433532" w:rsidRPr="00FC70DC" w:rsidRDefault="00FC70DC" w:rsidP="00341616">
      <w:pPr>
        <w:spacing w:after="0" w:line="360" w:lineRule="auto"/>
        <w:jc w:val="both"/>
        <w:rPr>
          <w:rFonts w:ascii="Times New Roman" w:hAnsi="Times New Roman" w:cs="Times New Roman"/>
          <w:b/>
          <w:sz w:val="24"/>
          <w:szCs w:val="24"/>
        </w:rPr>
      </w:pPr>
      <w:r w:rsidRPr="00FC70DC">
        <w:rPr>
          <w:rFonts w:ascii="Times New Roman" w:hAnsi="Times New Roman" w:cs="Times New Roman"/>
          <w:b/>
          <w:sz w:val="24"/>
          <w:szCs w:val="24"/>
        </w:rPr>
        <w:t xml:space="preserve">Art. </w:t>
      </w:r>
      <w:r w:rsidR="001D2D51">
        <w:rPr>
          <w:rFonts w:ascii="Times New Roman" w:hAnsi="Times New Roman" w:cs="Times New Roman"/>
          <w:b/>
          <w:sz w:val="24"/>
          <w:szCs w:val="24"/>
        </w:rPr>
        <w:t>5</w:t>
      </w:r>
      <w:r w:rsidR="00EA05AE">
        <w:rPr>
          <w:rFonts w:ascii="Times New Roman" w:hAnsi="Times New Roman" w:cs="Times New Roman"/>
          <w:b/>
          <w:sz w:val="24"/>
          <w:szCs w:val="24"/>
        </w:rPr>
        <w:t>7</w:t>
      </w:r>
    </w:p>
    <w:p w14:paraId="37314C2B" w14:textId="3EB6AE9B" w:rsidR="00E032B3" w:rsidRDefault="00FC70DC" w:rsidP="00A16BD8">
      <w:pPr>
        <w:spacing w:line="360" w:lineRule="auto"/>
        <w:jc w:val="both"/>
        <w:rPr>
          <w:rFonts w:ascii="Times New Roman" w:hAnsi="Times New Roman" w:cs="Times New Roman"/>
          <w:sz w:val="24"/>
          <w:szCs w:val="24"/>
        </w:rPr>
      </w:pPr>
      <w:r w:rsidRPr="005C62C4">
        <w:rPr>
          <w:rFonts w:ascii="Times New Roman" w:hAnsi="Times New Roman" w:cs="Times New Roman"/>
          <w:sz w:val="24"/>
          <w:szCs w:val="24"/>
        </w:rPr>
        <w:t xml:space="preserve">Przepis art. </w:t>
      </w:r>
      <w:r w:rsidR="001D2D51">
        <w:rPr>
          <w:rFonts w:ascii="Times New Roman" w:hAnsi="Times New Roman" w:cs="Times New Roman"/>
          <w:sz w:val="24"/>
          <w:szCs w:val="24"/>
        </w:rPr>
        <w:t>5</w:t>
      </w:r>
      <w:r w:rsidR="00D277E4">
        <w:rPr>
          <w:rFonts w:ascii="Times New Roman" w:hAnsi="Times New Roman" w:cs="Times New Roman"/>
          <w:sz w:val="24"/>
          <w:szCs w:val="24"/>
        </w:rPr>
        <w:t>7</w:t>
      </w:r>
      <w:r w:rsidRPr="005C62C4">
        <w:rPr>
          <w:rFonts w:ascii="Times New Roman" w:hAnsi="Times New Roman" w:cs="Times New Roman"/>
          <w:sz w:val="24"/>
          <w:szCs w:val="24"/>
        </w:rPr>
        <w:t xml:space="preserve"> projektu dotyczy możliwości przenoszenia praw z obligacji niemających postaci dokumentu, wyemitowanych przed dniem 30 listopada 2019 r., zapisanych w ewidencji osób uprawnionych z papierów wartościowych albo zarejestrowanych w depozycie papierów wartościowych. Obowiązujące przepisy w tym zakresie nie są jednoznaczne i powodują wątpliwości interpretacyjne w zakresie prawnej możliwości przenoszenia praw z takich obligacji po terminie wykupu.</w:t>
      </w:r>
    </w:p>
    <w:p w14:paraId="17BF34EE" w14:textId="77777777" w:rsidR="00341616" w:rsidRPr="006B2CD4" w:rsidRDefault="00341616" w:rsidP="00341616">
      <w:pPr>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Przewiduje się, że ustawa wejdzie w życie w terminie 30 dni od dnia jej ogłoszenia z wyjątkiem zmian wprowadzonych w:</w:t>
      </w:r>
    </w:p>
    <w:p w14:paraId="1D5E4310" w14:textId="77777777" w:rsidR="00341616" w:rsidRPr="006B2CD4" w:rsidRDefault="00341616" w:rsidP="00DB03EC">
      <w:pPr>
        <w:pStyle w:val="Akapitzlist"/>
        <w:numPr>
          <w:ilvl w:val="0"/>
          <w:numId w:val="11"/>
        </w:numPr>
        <w:spacing w:after="0" w:line="360" w:lineRule="auto"/>
        <w:contextualSpacing w:val="0"/>
        <w:jc w:val="both"/>
        <w:rPr>
          <w:rFonts w:ascii="Times New Roman" w:hAnsi="Times New Roman" w:cs="Times New Roman"/>
          <w:b/>
          <w:bCs/>
          <w:sz w:val="24"/>
          <w:szCs w:val="24"/>
        </w:rPr>
      </w:pPr>
      <w:r w:rsidRPr="006B2CD4">
        <w:rPr>
          <w:rFonts w:ascii="Times New Roman" w:hAnsi="Times New Roman" w:cs="Times New Roman"/>
          <w:sz w:val="24"/>
          <w:szCs w:val="24"/>
        </w:rPr>
        <w:t>art. 69 ust. 2a</w:t>
      </w:r>
      <w:r>
        <w:rPr>
          <w:rFonts w:ascii="Times New Roman" w:hAnsi="Times New Roman" w:cs="Times New Roman"/>
          <w:sz w:val="24"/>
          <w:szCs w:val="24"/>
        </w:rPr>
        <w:t xml:space="preserve"> i </w:t>
      </w:r>
      <w:r w:rsidRPr="006B2CD4">
        <w:rPr>
          <w:rFonts w:ascii="Times New Roman" w:hAnsi="Times New Roman" w:cs="Times New Roman"/>
          <w:sz w:val="24"/>
          <w:szCs w:val="24"/>
        </w:rPr>
        <w:t>2</w:t>
      </w:r>
      <w:r>
        <w:rPr>
          <w:rFonts w:ascii="Times New Roman" w:hAnsi="Times New Roman" w:cs="Times New Roman"/>
          <w:sz w:val="24"/>
          <w:szCs w:val="24"/>
        </w:rPr>
        <w:t>b</w:t>
      </w:r>
      <w:r w:rsidRPr="006B2CD4">
        <w:rPr>
          <w:rFonts w:ascii="Times New Roman" w:hAnsi="Times New Roman" w:cs="Times New Roman"/>
          <w:sz w:val="24"/>
          <w:szCs w:val="24"/>
        </w:rPr>
        <w:t xml:space="preserve"> ustawy o ofercie publicznej, który wchodzi w życie w terminie 6 miesięcy od dnia ogłoszenia. Dłuższa </w:t>
      </w:r>
      <w:r w:rsidRPr="006B2CD4">
        <w:rPr>
          <w:rFonts w:ascii="Times New Roman" w:hAnsi="Times New Roman" w:cs="Times New Roman"/>
          <w:i/>
          <w:iCs/>
          <w:sz w:val="24"/>
          <w:szCs w:val="24"/>
        </w:rPr>
        <w:t>vacatio legis</w:t>
      </w:r>
      <w:r w:rsidRPr="006B2CD4">
        <w:rPr>
          <w:rFonts w:ascii="Times New Roman" w:hAnsi="Times New Roman" w:cs="Times New Roman"/>
          <w:sz w:val="24"/>
          <w:szCs w:val="24"/>
        </w:rPr>
        <w:t xml:space="preserve"> w odniesieniu do wskazanych przepisów ustawy o ofercie publicznej uzasadniona jest koniecznością stworzenia elektronicznego systemu do notyfikacji obrotu znacznymi pakietami akcji wykorzystujących formularz elektroniczny,</w:t>
      </w:r>
    </w:p>
    <w:p w14:paraId="443F83EB" w14:textId="77777777" w:rsidR="00341616" w:rsidRPr="00CE7DC0" w:rsidRDefault="00341616" w:rsidP="00DB03EC">
      <w:pPr>
        <w:pStyle w:val="Akapitzlist"/>
        <w:numPr>
          <w:ilvl w:val="0"/>
          <w:numId w:val="11"/>
        </w:numPr>
        <w:spacing w:after="0" w:line="360" w:lineRule="auto"/>
        <w:contextualSpacing w:val="0"/>
        <w:jc w:val="both"/>
        <w:rPr>
          <w:rFonts w:ascii="Times New Roman" w:hAnsi="Times New Roman" w:cs="Times New Roman"/>
          <w:b/>
          <w:bCs/>
          <w:sz w:val="24"/>
          <w:szCs w:val="24"/>
        </w:rPr>
      </w:pPr>
      <w:r w:rsidRPr="006B2CD4">
        <w:rPr>
          <w:rFonts w:ascii="Times New Roman" w:hAnsi="Times New Roman" w:cs="Times New Roman"/>
          <w:bCs/>
          <w:sz w:val="24"/>
          <w:szCs w:val="24"/>
        </w:rPr>
        <w:t xml:space="preserve">art. 10a ustawy o nadzorze nad rynkiem finansowym. </w:t>
      </w:r>
      <w:r w:rsidRPr="006B2CD4">
        <w:rPr>
          <w:rFonts w:ascii="Times New Roman" w:hAnsi="Times New Roman" w:cs="Times New Roman"/>
          <w:sz w:val="24"/>
          <w:szCs w:val="24"/>
        </w:rPr>
        <w:t xml:space="preserve">Dłuższa </w:t>
      </w:r>
      <w:r w:rsidRPr="006B2CD4">
        <w:rPr>
          <w:rFonts w:ascii="Times New Roman" w:hAnsi="Times New Roman" w:cs="Times New Roman"/>
          <w:i/>
          <w:sz w:val="24"/>
          <w:szCs w:val="24"/>
        </w:rPr>
        <w:t>vacatio legis</w:t>
      </w:r>
      <w:r w:rsidRPr="006B2CD4">
        <w:rPr>
          <w:rFonts w:ascii="Times New Roman" w:hAnsi="Times New Roman" w:cs="Times New Roman"/>
          <w:sz w:val="24"/>
          <w:szCs w:val="24"/>
        </w:rPr>
        <w:t xml:space="preserve"> w odniesieniu do wskazanych przepisów ustawy o nadzorze nad rynkiem finansowym uzasadniona jest koniecznością wydania rozporządzenia Prezesa Rady Ministrów określającego wzór legitymacji służbowej pracownika UKNF oraz tryb wydawania, wymiany i zwrotu takich legitymacji, mając na względzie zapewnienie właściwej identyfikacji pracowników UKNF oraz zapewnienia właściwej ochrony legitymacji służbowych,</w:t>
      </w:r>
    </w:p>
    <w:p w14:paraId="0A371F14" w14:textId="69508D49" w:rsidR="00E129AE" w:rsidRPr="00066875" w:rsidRDefault="00E129AE" w:rsidP="00DB03EC">
      <w:pPr>
        <w:pStyle w:val="Akapitzlist"/>
        <w:numPr>
          <w:ilvl w:val="0"/>
          <w:numId w:val="11"/>
        </w:numPr>
        <w:spacing w:after="0" w:line="360" w:lineRule="auto"/>
        <w:contextualSpacing w:val="0"/>
        <w:jc w:val="both"/>
        <w:rPr>
          <w:rFonts w:ascii="Times New Roman" w:hAnsi="Times New Roman" w:cs="Times New Roman"/>
          <w:b/>
          <w:bCs/>
          <w:sz w:val="24"/>
          <w:szCs w:val="24"/>
        </w:rPr>
      </w:pPr>
      <w:r>
        <w:rPr>
          <w:rFonts w:ascii="Times New Roman" w:hAnsi="Times New Roman" w:cs="Times New Roman"/>
          <w:sz w:val="24"/>
          <w:szCs w:val="24"/>
        </w:rPr>
        <w:t>art</w:t>
      </w:r>
      <w:r w:rsidRPr="00991311">
        <w:rPr>
          <w:rFonts w:ascii="Times New Roman" w:hAnsi="Times New Roman" w:cs="Times New Roman"/>
          <w:sz w:val="24"/>
          <w:szCs w:val="24"/>
        </w:rPr>
        <w:t>.</w:t>
      </w:r>
      <w:r>
        <w:rPr>
          <w:rFonts w:ascii="Times New Roman" w:hAnsi="Times New Roman" w:cs="Times New Roman"/>
          <w:sz w:val="24"/>
          <w:szCs w:val="24"/>
        </w:rPr>
        <w:t xml:space="preserve"> </w:t>
      </w:r>
      <w:r w:rsidRPr="00ED3968">
        <w:rPr>
          <w:rFonts w:ascii="Times New Roman" w:hAnsi="Times New Roman" w:cs="Times New Roman"/>
          <w:sz w:val="24"/>
          <w:szCs w:val="24"/>
        </w:rPr>
        <w:t>11c</w:t>
      </w:r>
      <w:r w:rsidR="00BC0446">
        <w:rPr>
          <w:rFonts w:ascii="Times New Roman" w:hAnsi="Times New Roman" w:cs="Times New Roman"/>
          <w:sz w:val="24"/>
          <w:szCs w:val="24"/>
        </w:rPr>
        <w:t xml:space="preserve"> i</w:t>
      </w:r>
      <w:r w:rsidRPr="00F55069">
        <w:rPr>
          <w:rFonts w:ascii="Times New Roman" w:hAnsi="Times New Roman" w:cs="Times New Roman"/>
          <w:sz w:val="24"/>
          <w:szCs w:val="24"/>
        </w:rPr>
        <w:t xml:space="preserve"> art. 19e ust. 1 i 2</w:t>
      </w:r>
      <w:r>
        <w:rPr>
          <w:rFonts w:ascii="Times New Roman" w:hAnsi="Times New Roman" w:cs="Times New Roman"/>
          <w:sz w:val="24"/>
          <w:szCs w:val="24"/>
        </w:rPr>
        <w:t xml:space="preserve"> ustawy o nadzorze nad rynkiem finansowym oraz </w:t>
      </w:r>
      <w:r w:rsidRPr="00F55069">
        <w:rPr>
          <w:rFonts w:ascii="Times New Roman" w:hAnsi="Times New Roman" w:cs="Times New Roman"/>
          <w:sz w:val="24"/>
          <w:szCs w:val="24"/>
        </w:rPr>
        <w:t>art. 43g pkt 1</w:t>
      </w:r>
      <w:r>
        <w:rPr>
          <w:rFonts w:ascii="Times New Roman" w:hAnsi="Times New Roman" w:cs="Times New Roman"/>
          <w:sz w:val="24"/>
          <w:szCs w:val="24"/>
        </w:rPr>
        <w:t xml:space="preserve"> ustawy </w:t>
      </w:r>
      <w:r w:rsidRPr="00F55069">
        <w:rPr>
          <w:rFonts w:ascii="Times New Roman" w:hAnsi="Times New Roman" w:cs="Times New Roman"/>
          <w:sz w:val="24"/>
          <w:szCs w:val="24"/>
        </w:rPr>
        <w:t>o rozpatrywaniu reklamacji przez podmioty rynku finansowego, o Rzeczniku Finansowym i o Funduszu Edukacji Finansowej</w:t>
      </w:r>
      <w:r>
        <w:rPr>
          <w:rFonts w:ascii="Times New Roman" w:hAnsi="Times New Roman" w:cs="Times New Roman"/>
          <w:sz w:val="24"/>
          <w:szCs w:val="24"/>
        </w:rPr>
        <w:t xml:space="preserve">, które wchodzą w życie w terminie 1 października 2023 r. </w:t>
      </w:r>
      <w:r w:rsidRPr="00991311">
        <w:rPr>
          <w:rFonts w:ascii="Times New Roman" w:hAnsi="Times New Roman" w:cs="Times New Roman"/>
          <w:sz w:val="24"/>
          <w:szCs w:val="24"/>
        </w:rPr>
        <w:t xml:space="preserve">Dłuższa </w:t>
      </w:r>
      <w:r w:rsidRPr="00991311">
        <w:rPr>
          <w:rFonts w:ascii="Times New Roman" w:hAnsi="Times New Roman" w:cs="Times New Roman"/>
          <w:i/>
          <w:iCs/>
          <w:sz w:val="24"/>
          <w:szCs w:val="24"/>
        </w:rPr>
        <w:t>vacatio legis</w:t>
      </w:r>
      <w:r>
        <w:rPr>
          <w:rFonts w:ascii="Times New Roman" w:hAnsi="Times New Roman" w:cs="Times New Roman"/>
          <w:sz w:val="24"/>
          <w:szCs w:val="24"/>
        </w:rPr>
        <w:t xml:space="preserve"> wskazanych</w:t>
      </w:r>
      <w:r w:rsidRPr="00991311">
        <w:rPr>
          <w:rFonts w:ascii="Times New Roman" w:hAnsi="Times New Roman" w:cs="Times New Roman"/>
          <w:sz w:val="24"/>
          <w:szCs w:val="24"/>
        </w:rPr>
        <w:t xml:space="preserve"> przepis</w:t>
      </w:r>
      <w:r>
        <w:rPr>
          <w:rFonts w:ascii="Times New Roman" w:hAnsi="Times New Roman" w:cs="Times New Roman"/>
          <w:sz w:val="24"/>
          <w:szCs w:val="24"/>
        </w:rPr>
        <w:t xml:space="preserve">ów </w:t>
      </w:r>
      <w:r w:rsidRPr="00F55069">
        <w:rPr>
          <w:rFonts w:ascii="Times New Roman" w:hAnsi="Times New Roman" w:cs="Times New Roman"/>
          <w:sz w:val="24"/>
          <w:szCs w:val="24"/>
        </w:rPr>
        <w:t>ma na celu zachowanie zgodności z terminem wejścia w życie analogicznych przepisów ustawy z dnia 14 kwietnia 2023 r. o zmianie ustawy o funduszach inwestycyjnych i zarządzaniu alternatywnymi funduszami inwestycyjnymi, ustawy o obligacjach, ustawy o Bankowym Funduszu Gwarancyjnym, systemie gwarantowania depozytów oraz przymusowej restrukturyzacji oraz niektórych innych ustaw (Dz. U. poz. 825), określonym w tej ustawie na dzień 1 października 2023 r.</w:t>
      </w:r>
    </w:p>
    <w:p w14:paraId="04D1ADB8" w14:textId="113E228C" w:rsidR="00066875" w:rsidRPr="00066875" w:rsidRDefault="00066875" w:rsidP="00066875">
      <w:pPr>
        <w:pStyle w:val="Akapitzlist"/>
        <w:numPr>
          <w:ilvl w:val="0"/>
          <w:numId w:val="11"/>
        </w:numPr>
        <w:spacing w:after="0" w:line="360" w:lineRule="auto"/>
        <w:contextualSpacing w:val="0"/>
        <w:jc w:val="both"/>
        <w:rPr>
          <w:rFonts w:ascii="Times New Roman" w:hAnsi="Times New Roman" w:cs="Times New Roman"/>
          <w:b/>
          <w:bCs/>
          <w:color w:val="000000" w:themeColor="text1"/>
          <w:sz w:val="24"/>
          <w:szCs w:val="24"/>
        </w:rPr>
      </w:pPr>
      <w:r w:rsidRPr="00066875">
        <w:rPr>
          <w:rFonts w:ascii="Times New Roman" w:eastAsia="Times New Roman" w:hAnsi="Times New Roman" w:cs="Arial"/>
          <w:color w:val="000000" w:themeColor="text1"/>
          <w:sz w:val="24"/>
          <w:szCs w:val="20"/>
          <w:lang w:eastAsia="pl-PL"/>
        </w:rPr>
        <w:t xml:space="preserve">art. 130 ust. 1 ustawy o usługach płatniczych, który wchodzi w życie z dniem 1 stycznia 2024 r. Zaproponowane </w:t>
      </w:r>
      <w:r w:rsidRPr="00066875">
        <w:rPr>
          <w:rFonts w:ascii="Times New Roman" w:eastAsia="Times New Roman" w:hAnsi="Times New Roman" w:cs="Arial"/>
          <w:i/>
          <w:color w:val="000000" w:themeColor="text1"/>
          <w:sz w:val="24"/>
          <w:szCs w:val="20"/>
          <w:lang w:eastAsia="pl-PL"/>
        </w:rPr>
        <w:t>vacatio legis</w:t>
      </w:r>
      <w:r w:rsidRPr="00066875">
        <w:rPr>
          <w:rFonts w:ascii="Times New Roman" w:eastAsia="Times New Roman" w:hAnsi="Times New Roman" w:cs="Arial"/>
          <w:color w:val="000000" w:themeColor="text1"/>
          <w:sz w:val="24"/>
          <w:szCs w:val="20"/>
          <w:lang w:eastAsia="pl-PL"/>
        </w:rPr>
        <w:t xml:space="preserve"> ma na celu ułatwienie rozliczania się podmiotów z opłat nadzorczych biorąc pod uwagę ramy czasowe okresów rozliczeniowych,</w:t>
      </w:r>
    </w:p>
    <w:p w14:paraId="53B4B6AC" w14:textId="00F9A18B" w:rsidR="00341616" w:rsidRPr="006B2CD4" w:rsidRDefault="00341616" w:rsidP="00DB03EC">
      <w:pPr>
        <w:pStyle w:val="Akapitzlist"/>
        <w:numPr>
          <w:ilvl w:val="0"/>
          <w:numId w:val="11"/>
        </w:numPr>
        <w:spacing w:after="0" w:line="360" w:lineRule="auto"/>
        <w:contextualSpacing w:val="0"/>
        <w:jc w:val="both"/>
        <w:rPr>
          <w:rFonts w:ascii="Times New Roman" w:hAnsi="Times New Roman" w:cs="Times New Roman"/>
          <w:color w:val="1F497D"/>
          <w:sz w:val="24"/>
          <w:szCs w:val="24"/>
        </w:rPr>
      </w:pPr>
      <w:r w:rsidRPr="006B2CD4">
        <w:rPr>
          <w:rFonts w:ascii="Times New Roman" w:hAnsi="Times New Roman" w:cs="Times New Roman"/>
          <w:bCs/>
          <w:sz w:val="24"/>
          <w:szCs w:val="24"/>
        </w:rPr>
        <w:t xml:space="preserve">art. 276 ust. 10 </w:t>
      </w:r>
      <w:r w:rsidRPr="006B2CD4">
        <w:rPr>
          <w:rFonts w:ascii="Times New Roman" w:hAnsi="Times New Roman" w:cs="Times New Roman"/>
          <w:sz w:val="24"/>
          <w:szCs w:val="24"/>
        </w:rPr>
        <w:t xml:space="preserve">ustawy o działalności ubezpieczeniowej i </w:t>
      </w:r>
      <w:r w:rsidRPr="006B2CD4">
        <w:rPr>
          <w:rFonts w:ascii="Times New Roman" w:hAnsi="Times New Roman" w:cs="Times New Roman"/>
          <w:color w:val="000000" w:themeColor="text1"/>
          <w:sz w:val="24"/>
          <w:szCs w:val="24"/>
        </w:rPr>
        <w:t xml:space="preserve">reasekuracyjnej, który wchodzi w życie po upływie </w:t>
      </w:r>
      <w:r w:rsidR="00F01658">
        <w:rPr>
          <w:rFonts w:ascii="Times New Roman" w:hAnsi="Times New Roman" w:cs="Times New Roman"/>
          <w:color w:val="000000" w:themeColor="text1"/>
          <w:sz w:val="24"/>
          <w:szCs w:val="24"/>
        </w:rPr>
        <w:t>9</w:t>
      </w:r>
      <w:r w:rsidRPr="006B2CD4">
        <w:rPr>
          <w:rFonts w:ascii="Times New Roman" w:hAnsi="Times New Roman" w:cs="Times New Roman"/>
          <w:color w:val="000000" w:themeColor="text1"/>
          <w:sz w:val="24"/>
          <w:szCs w:val="24"/>
        </w:rPr>
        <w:t xml:space="preserve"> miesięcy od dnia ogłoszenia. Dłuższe </w:t>
      </w:r>
      <w:r w:rsidRPr="005D0590">
        <w:rPr>
          <w:rFonts w:ascii="Times New Roman" w:hAnsi="Times New Roman" w:cs="Times New Roman"/>
          <w:i/>
          <w:color w:val="000000" w:themeColor="text1"/>
          <w:sz w:val="24"/>
          <w:szCs w:val="24"/>
        </w:rPr>
        <w:t>vacatio legis</w:t>
      </w:r>
      <w:r w:rsidRPr="006B2CD4">
        <w:rPr>
          <w:rFonts w:ascii="Times New Roman" w:hAnsi="Times New Roman" w:cs="Times New Roman"/>
          <w:color w:val="000000" w:themeColor="text1"/>
          <w:sz w:val="24"/>
          <w:szCs w:val="24"/>
        </w:rPr>
        <w:t xml:space="preserve"> wynika z potrzeby dostosowania się przez zakłady ubezpieczeń do nowych wymogów w zakresie polityki lokacyjnej UFK,</w:t>
      </w:r>
    </w:p>
    <w:p w14:paraId="56D0B854" w14:textId="66E00995" w:rsidR="00341616" w:rsidRPr="006B2CD4" w:rsidRDefault="00341616" w:rsidP="00DB03EC">
      <w:pPr>
        <w:pStyle w:val="Akapitzlist"/>
        <w:numPr>
          <w:ilvl w:val="0"/>
          <w:numId w:val="11"/>
        </w:numPr>
        <w:spacing w:after="0" w:line="360" w:lineRule="auto"/>
        <w:contextualSpacing w:val="0"/>
        <w:jc w:val="both"/>
        <w:rPr>
          <w:rFonts w:ascii="Times New Roman" w:hAnsi="Times New Roman" w:cs="Times New Roman"/>
          <w:bCs/>
          <w:sz w:val="24"/>
          <w:szCs w:val="24"/>
        </w:rPr>
      </w:pPr>
      <w:r w:rsidRPr="006B2CD4">
        <w:rPr>
          <w:rFonts w:ascii="Times New Roman" w:hAnsi="Times New Roman" w:cs="Times New Roman"/>
          <w:sz w:val="24"/>
          <w:szCs w:val="24"/>
        </w:rPr>
        <w:t xml:space="preserve">art. 322 ust. 3‒8 i art. 324a ustawy o działalności ubezpieczeniowej i reasekuracyjnej, które wchodzą w życie z dniem 1 </w:t>
      </w:r>
      <w:r w:rsidR="00F01658">
        <w:rPr>
          <w:rFonts w:ascii="Times New Roman" w:hAnsi="Times New Roman" w:cs="Times New Roman"/>
          <w:sz w:val="24"/>
          <w:szCs w:val="24"/>
        </w:rPr>
        <w:t xml:space="preserve">października </w:t>
      </w:r>
      <w:r w:rsidRPr="006B2CD4">
        <w:rPr>
          <w:rFonts w:ascii="Times New Roman" w:hAnsi="Times New Roman" w:cs="Times New Roman"/>
          <w:sz w:val="24"/>
          <w:szCs w:val="24"/>
        </w:rPr>
        <w:t xml:space="preserve">2023 r. Dłuższa </w:t>
      </w:r>
      <w:r w:rsidRPr="006B2CD4">
        <w:rPr>
          <w:rFonts w:ascii="Times New Roman" w:hAnsi="Times New Roman" w:cs="Times New Roman"/>
          <w:i/>
          <w:iCs/>
          <w:sz w:val="24"/>
          <w:szCs w:val="24"/>
        </w:rPr>
        <w:t>vacatio legis</w:t>
      </w:r>
      <w:r w:rsidRPr="006B2CD4">
        <w:rPr>
          <w:rFonts w:ascii="Times New Roman" w:hAnsi="Times New Roman" w:cs="Times New Roman"/>
          <w:sz w:val="24"/>
          <w:szCs w:val="24"/>
        </w:rPr>
        <w:t xml:space="preserve"> w odniesieniu ma przede wszystkim na celu dostosowanie systemu teleinformatycznego obsługującego KRS do zaproponowanych zmian. System wpisów w rejestrze oraz jego strukturę i zakres wpisywanych w nim danych określa rozporządzenie Ministra Sprawiedliwości z dnia 17 listopada 2014 r. w sprawie szczegółowego sposobu prowadzenia rejestrów wchodzących w skład Krajowego Rejestru Sądowego oraz szczegółowej treści wpisów w tych rejestrach (Dz. U. poz. 1667</w:t>
      </w:r>
      <w:r w:rsidR="005234C2">
        <w:rPr>
          <w:rFonts w:ascii="Times New Roman" w:hAnsi="Times New Roman" w:cs="Times New Roman"/>
          <w:sz w:val="24"/>
          <w:szCs w:val="24"/>
        </w:rPr>
        <w:t xml:space="preserve">, </w:t>
      </w:r>
      <w:r w:rsidR="005234C2" w:rsidRPr="006B2CD4">
        <w:rPr>
          <w:rFonts w:ascii="Times New Roman" w:hAnsi="Times New Roman" w:cs="Times New Roman"/>
          <w:sz w:val="24"/>
          <w:szCs w:val="24"/>
        </w:rPr>
        <w:t>z późn. zm.</w:t>
      </w:r>
      <w:r w:rsidRPr="006B2CD4">
        <w:rPr>
          <w:rFonts w:ascii="Times New Roman" w:hAnsi="Times New Roman" w:cs="Times New Roman"/>
          <w:sz w:val="24"/>
          <w:szCs w:val="24"/>
        </w:rPr>
        <w:t>).</w:t>
      </w:r>
      <w:r w:rsidR="007C389F">
        <w:rPr>
          <w:rFonts w:ascii="Times New Roman" w:hAnsi="Times New Roman" w:cs="Times New Roman"/>
          <w:sz w:val="24"/>
          <w:szCs w:val="24"/>
        </w:rPr>
        <w:t xml:space="preserve"> </w:t>
      </w:r>
      <w:r w:rsidRPr="006B2CD4">
        <w:rPr>
          <w:rFonts w:ascii="Times New Roman" w:hAnsi="Times New Roman" w:cs="Times New Roman"/>
          <w:sz w:val="24"/>
          <w:szCs w:val="24"/>
        </w:rPr>
        <w:t xml:space="preserve">W ww. rozporządzeniu konieczne będzie zatem zapewnienie wpisania </w:t>
      </w:r>
      <w:r w:rsidRPr="006B2CD4">
        <w:rPr>
          <w:rStyle w:val="markedcontent"/>
          <w:rFonts w:ascii="Times New Roman" w:hAnsi="Times New Roman" w:cs="Times New Roman"/>
          <w:sz w:val="24"/>
          <w:szCs w:val="24"/>
        </w:rPr>
        <w:t>informacji dotyczącej decyzji o otwarciu likwidacji przymusowej zakładu ubezpieczeń lub zakładu reasekuracji w odpowiednim dziale i rubryce rejestru przedsiębiorców (art. 332 ust. 4 ustawy o działalności ubezpieczeniowej i reasekuracyjnej). W zakresie propozycji dodania art. 324a ustawy o działalności ubezpieczeniowej i reasekuracyjnej</w:t>
      </w:r>
      <w:r w:rsidR="007C389F">
        <w:rPr>
          <w:rStyle w:val="markedcontent"/>
          <w:rFonts w:ascii="Times New Roman" w:hAnsi="Times New Roman" w:cs="Times New Roman"/>
          <w:sz w:val="24"/>
          <w:szCs w:val="24"/>
        </w:rPr>
        <w:t xml:space="preserve"> </w:t>
      </w:r>
      <w:r w:rsidRPr="006B2CD4">
        <w:rPr>
          <w:rStyle w:val="markedcontent"/>
          <w:rFonts w:ascii="Times New Roman" w:hAnsi="Times New Roman" w:cs="Times New Roman"/>
          <w:sz w:val="24"/>
          <w:szCs w:val="24"/>
        </w:rPr>
        <w:t>niezbędne będzie</w:t>
      </w:r>
      <w:r w:rsidR="007C389F">
        <w:rPr>
          <w:rStyle w:val="markedcontent"/>
          <w:rFonts w:ascii="Times New Roman" w:hAnsi="Times New Roman" w:cs="Times New Roman"/>
          <w:sz w:val="24"/>
          <w:szCs w:val="24"/>
        </w:rPr>
        <w:t xml:space="preserve"> </w:t>
      </w:r>
      <w:r w:rsidRPr="006B2CD4">
        <w:rPr>
          <w:rFonts w:ascii="Times New Roman" w:hAnsi="Times New Roman" w:cs="Times New Roman"/>
          <w:sz w:val="24"/>
          <w:szCs w:val="24"/>
        </w:rPr>
        <w:t>wprowadzenia zmian do ww. rozporządzenia w zakresie wpisania danych w KRS dotyczących likwidatora zakładu ubezpieczeń lub zakładu reasekuracji będącego osobą prawną,</w:t>
      </w:r>
    </w:p>
    <w:p w14:paraId="40481393" w14:textId="389B5814" w:rsidR="00721247" w:rsidRPr="00991311" w:rsidRDefault="00341616" w:rsidP="00DB03EC">
      <w:pPr>
        <w:pStyle w:val="Akapitzlist"/>
        <w:numPr>
          <w:ilvl w:val="0"/>
          <w:numId w:val="11"/>
        </w:numPr>
        <w:spacing w:after="120" w:line="360" w:lineRule="auto"/>
        <w:ind w:left="714" w:hanging="357"/>
        <w:contextualSpacing w:val="0"/>
        <w:jc w:val="both"/>
        <w:rPr>
          <w:rFonts w:ascii="Times New Roman" w:hAnsi="Times New Roman" w:cs="Times New Roman"/>
          <w:bCs/>
          <w:sz w:val="24"/>
          <w:szCs w:val="24"/>
        </w:rPr>
      </w:pPr>
      <w:r w:rsidRPr="00991311">
        <w:rPr>
          <w:rFonts w:ascii="Times New Roman" w:hAnsi="Times New Roman" w:cs="Times New Roman"/>
          <w:bCs/>
          <w:sz w:val="24"/>
          <w:szCs w:val="24"/>
        </w:rPr>
        <w:t xml:space="preserve">art. </w:t>
      </w:r>
      <w:r w:rsidRPr="00991311">
        <w:rPr>
          <w:rFonts w:ascii="Times New Roman" w:hAnsi="Times New Roman" w:cs="Times New Roman"/>
          <w:sz w:val="24"/>
          <w:szCs w:val="24"/>
        </w:rPr>
        <w:t xml:space="preserve">55 ust. 2a ustawy o dystrybucji ubezpieczeń, który wchodzi w życie po upływie 18 miesięcy od dnia ogłoszenia. Dłuższa </w:t>
      </w:r>
      <w:r w:rsidRPr="00991311">
        <w:rPr>
          <w:rFonts w:ascii="Times New Roman" w:hAnsi="Times New Roman" w:cs="Times New Roman"/>
          <w:i/>
          <w:iCs/>
          <w:sz w:val="24"/>
          <w:szCs w:val="24"/>
        </w:rPr>
        <w:t>vacatio legis</w:t>
      </w:r>
      <w:r w:rsidRPr="00991311">
        <w:rPr>
          <w:rFonts w:ascii="Times New Roman" w:hAnsi="Times New Roman" w:cs="Times New Roman"/>
          <w:sz w:val="24"/>
          <w:szCs w:val="24"/>
        </w:rPr>
        <w:t xml:space="preserve"> w odniesieniu do wskazanego</w:t>
      </w:r>
      <w:r w:rsidR="007C389F">
        <w:rPr>
          <w:rFonts w:ascii="Times New Roman" w:hAnsi="Times New Roman" w:cs="Times New Roman"/>
          <w:sz w:val="24"/>
          <w:szCs w:val="24"/>
        </w:rPr>
        <w:t xml:space="preserve"> </w:t>
      </w:r>
      <w:r w:rsidRPr="00991311">
        <w:rPr>
          <w:rFonts w:ascii="Times New Roman" w:hAnsi="Times New Roman" w:cs="Times New Roman"/>
          <w:sz w:val="24"/>
          <w:szCs w:val="24"/>
        </w:rPr>
        <w:t>przepisu ma na celu umożliwienie zakładom ubezpieczeń pozyskanie adresów poczty elektronicznej agentów, które będą wpisywane do rejestru agentów oraz dostosowanie i zapewnienie funkcjonalności rejestru agentów do tej zmiany.</w:t>
      </w:r>
    </w:p>
    <w:p w14:paraId="33EB2AE5" w14:textId="77777777" w:rsidR="00243341" w:rsidRPr="006B2CD4" w:rsidRDefault="00661636" w:rsidP="00643BBC">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Projekt </w:t>
      </w:r>
      <w:r w:rsidR="00D14D67" w:rsidRPr="006B2CD4">
        <w:rPr>
          <w:rFonts w:ascii="Times New Roman" w:hAnsi="Times New Roman" w:cs="Times New Roman"/>
          <w:sz w:val="24"/>
          <w:szCs w:val="24"/>
        </w:rPr>
        <w:t xml:space="preserve">ustawy </w:t>
      </w:r>
      <w:r w:rsidRPr="006B2CD4">
        <w:rPr>
          <w:rFonts w:ascii="Times New Roman" w:hAnsi="Times New Roman" w:cs="Times New Roman"/>
          <w:sz w:val="24"/>
          <w:szCs w:val="24"/>
        </w:rPr>
        <w:t xml:space="preserve">nie wymaga przedstawienia właściwym organom i instytucjom Unii Europejskiej, w tym Europejskiemu Bankowi Centralnemu, w celu uzyskania opinii, dokonania powiadomienia, konsultacji albo uzgodnienia. </w:t>
      </w:r>
    </w:p>
    <w:p w14:paraId="5FD96B15" w14:textId="4E90A8C7" w:rsidR="00661636" w:rsidRPr="006B2CD4" w:rsidRDefault="00243341" w:rsidP="00643BBC">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Projekt ustawy pozytywnie wpłynie na działalność mikro-, małych i średnich przedsiębiorców w obszarze outsouringu i podoutsouringu bankowego m.in. w zakresie uproszczenia stosowanej procedury dotyczącej powierzania czynności przedsiębiorcy zagranicznemu. Wprowadzone regulacja dotyczące digitalizacji i elektronizacji doręczeń ułatwią i usprawnią wzajemną współpracę pomiędzy KNF a podmiotami nadzorowanymi. </w:t>
      </w:r>
    </w:p>
    <w:p w14:paraId="32EDE0F1" w14:textId="77777777" w:rsidR="00661636" w:rsidRPr="006B2CD4" w:rsidRDefault="00661636" w:rsidP="00643BBC">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Projekt ustaw</w:t>
      </w:r>
      <w:r w:rsidR="00B26E57" w:rsidRPr="006B2CD4">
        <w:rPr>
          <w:rFonts w:ascii="Times New Roman" w:hAnsi="Times New Roman" w:cs="Times New Roman"/>
          <w:sz w:val="24"/>
          <w:szCs w:val="24"/>
        </w:rPr>
        <w:t>y</w:t>
      </w:r>
      <w:r w:rsidRPr="006B2CD4">
        <w:rPr>
          <w:rFonts w:ascii="Times New Roman" w:hAnsi="Times New Roman" w:cs="Times New Roman"/>
          <w:sz w:val="24"/>
          <w:szCs w:val="24"/>
        </w:rPr>
        <w:t xml:space="preserve"> nie zawiera przepisów technicznych, zatem nie podlega procedurze notyfikacji w rozumieniu przepisów rozporządzenia Rady Ministrów z dnia 23 grudnia 2002 r. w sprawie sposobu funkcjonowania krajowego systemu notyfikacji norm i aktów prawnych (Dz. U. poz. 2039, z późn. zm.).</w:t>
      </w:r>
    </w:p>
    <w:p w14:paraId="6ADB4EFF" w14:textId="77777777" w:rsidR="00661636" w:rsidRPr="006B2CD4" w:rsidRDefault="00661636" w:rsidP="00643BBC">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Stosownie do art. 4 ustawy z dnia 7 lipca 2005 r. o działalności lobbingowej w procesie stanowienia prawa (Dz. U. z 2017 r. poz. 248) projekt zosta</w:t>
      </w:r>
      <w:r w:rsidR="00F0298A" w:rsidRPr="006B2CD4">
        <w:rPr>
          <w:rFonts w:ascii="Times New Roman" w:hAnsi="Times New Roman" w:cs="Times New Roman"/>
          <w:sz w:val="24"/>
          <w:szCs w:val="24"/>
        </w:rPr>
        <w:t>ł</w:t>
      </w:r>
      <w:r w:rsidR="00313903" w:rsidRPr="006B2CD4">
        <w:rPr>
          <w:rFonts w:ascii="Times New Roman" w:hAnsi="Times New Roman" w:cs="Times New Roman"/>
          <w:sz w:val="24"/>
          <w:szCs w:val="24"/>
        </w:rPr>
        <w:t xml:space="preserve"> </w:t>
      </w:r>
      <w:r w:rsidRPr="006B2CD4">
        <w:rPr>
          <w:rFonts w:ascii="Times New Roman" w:hAnsi="Times New Roman" w:cs="Times New Roman"/>
          <w:sz w:val="24"/>
          <w:szCs w:val="24"/>
        </w:rPr>
        <w:t xml:space="preserve">zamieszczony w wykazie prac legislacyjnych </w:t>
      </w:r>
      <w:r w:rsidR="00B57635" w:rsidRPr="006B2CD4">
        <w:rPr>
          <w:rFonts w:ascii="Times New Roman" w:hAnsi="Times New Roman" w:cs="Times New Roman"/>
          <w:sz w:val="24"/>
          <w:szCs w:val="24"/>
        </w:rPr>
        <w:t xml:space="preserve">i programowych </w:t>
      </w:r>
      <w:r w:rsidRPr="006B2CD4">
        <w:rPr>
          <w:rFonts w:ascii="Times New Roman" w:hAnsi="Times New Roman" w:cs="Times New Roman"/>
          <w:sz w:val="24"/>
          <w:szCs w:val="24"/>
        </w:rPr>
        <w:t>Rady Ministrów</w:t>
      </w:r>
      <w:r w:rsidR="00F0298A" w:rsidRPr="006B2CD4">
        <w:rPr>
          <w:rFonts w:ascii="Times New Roman" w:hAnsi="Times New Roman" w:cs="Times New Roman"/>
          <w:sz w:val="24"/>
          <w:szCs w:val="24"/>
        </w:rPr>
        <w:t xml:space="preserve"> pod numerem UD235</w:t>
      </w:r>
      <w:r w:rsidRPr="006B2CD4">
        <w:rPr>
          <w:rFonts w:ascii="Times New Roman" w:hAnsi="Times New Roman" w:cs="Times New Roman"/>
          <w:sz w:val="24"/>
          <w:szCs w:val="24"/>
        </w:rPr>
        <w:t>.</w:t>
      </w:r>
    </w:p>
    <w:p w14:paraId="5A13E7FB" w14:textId="37E99EEF" w:rsidR="002B55A9" w:rsidRPr="006B2CD4" w:rsidRDefault="00151220" w:rsidP="00643BBC">
      <w:pPr>
        <w:spacing w:after="12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Zgodnie z art. 5 ustawy z dnia 7 lipca 2005 r. o działalności lobbingowej w procesie stanowienia prawa oraz § 52 uchwały nr 190 Rady Ministrów z dnia 29 października 2013 r. – Regulamin pracy Rady Ministrów (M.P. z </w:t>
      </w:r>
      <w:r w:rsidR="00026A4D" w:rsidRPr="006B2CD4">
        <w:rPr>
          <w:rFonts w:ascii="Times New Roman" w:hAnsi="Times New Roman" w:cs="Times New Roman"/>
          <w:sz w:val="24"/>
          <w:szCs w:val="24"/>
        </w:rPr>
        <w:t xml:space="preserve">2022 </w:t>
      </w:r>
      <w:r w:rsidRPr="006B2CD4">
        <w:rPr>
          <w:rFonts w:ascii="Times New Roman" w:hAnsi="Times New Roman" w:cs="Times New Roman"/>
          <w:sz w:val="24"/>
          <w:szCs w:val="24"/>
        </w:rPr>
        <w:t xml:space="preserve">r. poz. </w:t>
      </w:r>
      <w:r w:rsidR="00026A4D" w:rsidRPr="006B2CD4">
        <w:rPr>
          <w:rFonts w:ascii="Times New Roman" w:hAnsi="Times New Roman" w:cs="Times New Roman"/>
          <w:sz w:val="24"/>
          <w:szCs w:val="24"/>
        </w:rPr>
        <w:t>348</w:t>
      </w:r>
      <w:r w:rsidRPr="006B2CD4">
        <w:rPr>
          <w:rFonts w:ascii="Times New Roman" w:hAnsi="Times New Roman" w:cs="Times New Roman"/>
          <w:sz w:val="24"/>
          <w:szCs w:val="24"/>
        </w:rPr>
        <w:t>) projekt ustawy zosta</w:t>
      </w:r>
      <w:r w:rsidR="005871BD" w:rsidRPr="006B2CD4">
        <w:rPr>
          <w:rFonts w:ascii="Times New Roman" w:hAnsi="Times New Roman" w:cs="Times New Roman"/>
          <w:sz w:val="24"/>
          <w:szCs w:val="24"/>
        </w:rPr>
        <w:t>ł</w:t>
      </w:r>
      <w:r w:rsidR="00313903" w:rsidRPr="006B2CD4">
        <w:rPr>
          <w:rFonts w:ascii="Times New Roman" w:hAnsi="Times New Roman" w:cs="Times New Roman"/>
          <w:sz w:val="24"/>
          <w:szCs w:val="24"/>
        </w:rPr>
        <w:t xml:space="preserve"> </w:t>
      </w:r>
      <w:r w:rsidRPr="006B2CD4">
        <w:rPr>
          <w:rFonts w:ascii="Times New Roman" w:hAnsi="Times New Roman" w:cs="Times New Roman"/>
          <w:sz w:val="24"/>
          <w:szCs w:val="24"/>
        </w:rPr>
        <w:t>udostępniony w Biuletynie Informacji Publicznej na stronie podmiotowej Rządowego Centrum Legislacji, w serwisie Rządowy Proces Legislacyjny</w:t>
      </w:r>
      <w:r w:rsidR="001122BC" w:rsidRPr="006B2CD4">
        <w:rPr>
          <w:rFonts w:ascii="Times New Roman" w:hAnsi="Times New Roman" w:cs="Times New Roman"/>
          <w:sz w:val="24"/>
          <w:szCs w:val="24"/>
        </w:rPr>
        <w:t>,</w:t>
      </w:r>
      <w:r w:rsidR="001122BC" w:rsidRPr="006B2CD4">
        <w:rPr>
          <w:rFonts w:ascii="Times New Roman" w:eastAsia="Calibri" w:hAnsi="Times New Roman" w:cs="Times New Roman"/>
          <w:sz w:val="24"/>
          <w:szCs w:val="24"/>
        </w:rPr>
        <w:t xml:space="preserve"> z chwilą przekazania go do uzgodnień z członkami Rady Ministrów</w:t>
      </w:r>
      <w:r w:rsidRPr="006B2CD4">
        <w:rPr>
          <w:rFonts w:ascii="Times New Roman" w:hAnsi="Times New Roman" w:cs="Times New Roman"/>
          <w:sz w:val="24"/>
          <w:szCs w:val="24"/>
        </w:rPr>
        <w:t xml:space="preserve">. </w:t>
      </w:r>
    </w:p>
    <w:p w14:paraId="12415DAB" w14:textId="48B76804" w:rsidR="003C02EC" w:rsidRPr="006B2CD4" w:rsidRDefault="0082338D" w:rsidP="00B856D8">
      <w:pPr>
        <w:spacing w:after="0" w:line="360" w:lineRule="auto"/>
        <w:jc w:val="both"/>
        <w:rPr>
          <w:rFonts w:ascii="Times New Roman" w:hAnsi="Times New Roman" w:cs="Times New Roman"/>
          <w:sz w:val="24"/>
          <w:szCs w:val="24"/>
        </w:rPr>
      </w:pPr>
      <w:r w:rsidRPr="006B2CD4">
        <w:rPr>
          <w:rFonts w:ascii="Times New Roman" w:hAnsi="Times New Roman" w:cs="Times New Roman"/>
          <w:sz w:val="24"/>
          <w:szCs w:val="24"/>
        </w:rPr>
        <w:t xml:space="preserve">Projekt ustawy jest zgodny z prawem Unii Europejskiej. </w:t>
      </w:r>
    </w:p>
    <w:sectPr w:rsidR="003C02EC" w:rsidRPr="006B2CD4" w:rsidSect="007F6882">
      <w:headerReference w:type="default" r:id="rId8"/>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6DBE27" w14:textId="77777777" w:rsidR="006C47E6" w:rsidRDefault="006C47E6" w:rsidP="009E186E">
      <w:pPr>
        <w:spacing w:line="240" w:lineRule="auto"/>
      </w:pPr>
      <w:r>
        <w:separator/>
      </w:r>
    </w:p>
  </w:endnote>
  <w:endnote w:type="continuationSeparator" w:id="0">
    <w:p w14:paraId="3D4F5AED" w14:textId="77777777" w:rsidR="006C47E6" w:rsidRDefault="006C47E6" w:rsidP="009E18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imesNewRomanPSMT">
    <w:altName w:val="Arial"/>
    <w:panose1 w:val="00000000000000000000"/>
    <w:charset w:val="00"/>
    <w:family w:val="swiss"/>
    <w:notTrueType/>
    <w:pitch w:val="default"/>
    <w:sig w:usb0="00000001"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2ABE8" w14:textId="5A81824C" w:rsidR="00FC69C1" w:rsidRPr="00653C0C" w:rsidRDefault="00FC69C1" w:rsidP="00653C0C">
    <w:pPr>
      <w:pStyle w:val="Stopka"/>
      <w:tabs>
        <w:tab w:val="left" w:pos="5192"/>
      </w:tabs>
      <w:rPr>
        <w:sz w:val="24"/>
      </w:rPr>
    </w:pPr>
    <w:r>
      <w:tab/>
    </w:r>
    <w:sdt>
      <w:sdtPr>
        <w:rPr>
          <w:sz w:val="24"/>
        </w:rPr>
        <w:id w:val="-1655829361"/>
        <w:docPartObj>
          <w:docPartGallery w:val="Page Numbers (Bottom of Page)"/>
          <w:docPartUnique/>
        </w:docPartObj>
      </w:sdtPr>
      <w:sdtEndPr/>
      <w:sdtContent>
        <w:r w:rsidRPr="00D5306A">
          <w:rPr>
            <w:sz w:val="24"/>
          </w:rPr>
          <w:fldChar w:fldCharType="begin"/>
        </w:r>
        <w:r w:rsidRPr="00D5306A">
          <w:rPr>
            <w:sz w:val="24"/>
          </w:rPr>
          <w:instrText>PAGE   \* MERGEFORMAT</w:instrText>
        </w:r>
        <w:r w:rsidRPr="00D5306A">
          <w:rPr>
            <w:sz w:val="24"/>
          </w:rPr>
          <w:fldChar w:fldCharType="separate"/>
        </w:r>
        <w:r w:rsidR="00757C7B">
          <w:rPr>
            <w:noProof/>
            <w:sz w:val="24"/>
          </w:rPr>
          <w:t>164</w:t>
        </w:r>
        <w:r w:rsidRPr="00D5306A">
          <w:rPr>
            <w:sz w:val="24"/>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CA01FE" w14:textId="77777777" w:rsidR="006C47E6" w:rsidRDefault="006C47E6" w:rsidP="009E186E">
      <w:pPr>
        <w:spacing w:line="240" w:lineRule="auto"/>
      </w:pPr>
      <w:r>
        <w:separator/>
      </w:r>
    </w:p>
  </w:footnote>
  <w:footnote w:type="continuationSeparator" w:id="0">
    <w:p w14:paraId="15B60DFC" w14:textId="77777777" w:rsidR="006C47E6" w:rsidRDefault="006C47E6" w:rsidP="009E186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DEE61" w14:textId="77777777" w:rsidR="00FC69C1" w:rsidRDefault="00FC69C1" w:rsidP="004031EF">
    <w:pPr>
      <w:pStyle w:val="Nagwek"/>
      <w:tabs>
        <w:tab w:val="clear" w:pos="4536"/>
        <w:tab w:val="clear" w:pos="9072"/>
        <w:tab w:val="left" w:pos="669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E3D05"/>
    <w:multiLevelType w:val="hybridMultilevel"/>
    <w:tmpl w:val="2D8A79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E05C5F"/>
    <w:multiLevelType w:val="hybridMultilevel"/>
    <w:tmpl w:val="E9C4956C"/>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2" w15:restartNumberingAfterBreak="0">
    <w:nsid w:val="06273845"/>
    <w:multiLevelType w:val="hybridMultilevel"/>
    <w:tmpl w:val="4B92A6EC"/>
    <w:lvl w:ilvl="0" w:tplc="04150011">
      <w:start w:val="1"/>
      <w:numFmt w:val="decimal"/>
      <w:lvlText w:val="%1)"/>
      <w:lvlJc w:val="lef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3" w15:restartNumberingAfterBreak="0">
    <w:nsid w:val="091F0F0C"/>
    <w:multiLevelType w:val="hybridMultilevel"/>
    <w:tmpl w:val="E2464C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59E7963"/>
    <w:multiLevelType w:val="hybridMultilevel"/>
    <w:tmpl w:val="B38805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6283404"/>
    <w:multiLevelType w:val="hybridMultilevel"/>
    <w:tmpl w:val="5674196A"/>
    <w:lvl w:ilvl="0" w:tplc="66AC4F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6B145CF"/>
    <w:multiLevelType w:val="hybridMultilevel"/>
    <w:tmpl w:val="A7B08E54"/>
    <w:lvl w:ilvl="0" w:tplc="66AC4F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81F1C6F"/>
    <w:multiLevelType w:val="hybridMultilevel"/>
    <w:tmpl w:val="0E60D4C8"/>
    <w:lvl w:ilvl="0" w:tplc="B32C35A4">
      <w:start w:val="9"/>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1F49AE"/>
    <w:multiLevelType w:val="hybridMultilevel"/>
    <w:tmpl w:val="D450A964"/>
    <w:lvl w:ilvl="0" w:tplc="98DCBEB8">
      <w:start w:val="2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A795358"/>
    <w:multiLevelType w:val="hybridMultilevel"/>
    <w:tmpl w:val="2416CCD6"/>
    <w:lvl w:ilvl="0" w:tplc="66AC4F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AF55E3F"/>
    <w:multiLevelType w:val="hybridMultilevel"/>
    <w:tmpl w:val="2FBA5764"/>
    <w:lvl w:ilvl="0" w:tplc="66AC4F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D707C29"/>
    <w:multiLevelType w:val="hybridMultilevel"/>
    <w:tmpl w:val="A0B2552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ECE08D8"/>
    <w:multiLevelType w:val="hybridMultilevel"/>
    <w:tmpl w:val="C9683CF2"/>
    <w:lvl w:ilvl="0" w:tplc="2CF86D8E">
      <w:start w:val="1"/>
      <w:numFmt w:val="bullet"/>
      <w:lvlText w:val=""/>
      <w:lvlJc w:val="left"/>
      <w:pPr>
        <w:ind w:left="643" w:hanging="360"/>
      </w:pPr>
      <w:rPr>
        <w:rFonts w:ascii="Symbol" w:hAnsi="Symbol" w:hint="default"/>
      </w:rPr>
    </w:lvl>
    <w:lvl w:ilvl="1" w:tplc="04150003" w:tentative="1">
      <w:start w:val="1"/>
      <w:numFmt w:val="bullet"/>
      <w:lvlText w:val="o"/>
      <w:lvlJc w:val="left"/>
      <w:pPr>
        <w:ind w:left="1363" w:hanging="360"/>
      </w:pPr>
      <w:rPr>
        <w:rFonts w:ascii="Courier New" w:hAnsi="Courier New" w:cs="Courier New" w:hint="default"/>
      </w:rPr>
    </w:lvl>
    <w:lvl w:ilvl="2" w:tplc="04150005" w:tentative="1">
      <w:start w:val="1"/>
      <w:numFmt w:val="bullet"/>
      <w:lvlText w:val=""/>
      <w:lvlJc w:val="left"/>
      <w:pPr>
        <w:ind w:left="2083" w:hanging="360"/>
      </w:pPr>
      <w:rPr>
        <w:rFonts w:ascii="Wingdings" w:hAnsi="Wingdings" w:hint="default"/>
      </w:rPr>
    </w:lvl>
    <w:lvl w:ilvl="3" w:tplc="04150001" w:tentative="1">
      <w:start w:val="1"/>
      <w:numFmt w:val="bullet"/>
      <w:lvlText w:val=""/>
      <w:lvlJc w:val="left"/>
      <w:pPr>
        <w:ind w:left="2803" w:hanging="360"/>
      </w:pPr>
      <w:rPr>
        <w:rFonts w:ascii="Symbol" w:hAnsi="Symbol" w:hint="default"/>
      </w:rPr>
    </w:lvl>
    <w:lvl w:ilvl="4" w:tplc="04150003" w:tentative="1">
      <w:start w:val="1"/>
      <w:numFmt w:val="bullet"/>
      <w:lvlText w:val="o"/>
      <w:lvlJc w:val="left"/>
      <w:pPr>
        <w:ind w:left="3523" w:hanging="360"/>
      </w:pPr>
      <w:rPr>
        <w:rFonts w:ascii="Courier New" w:hAnsi="Courier New" w:cs="Courier New" w:hint="default"/>
      </w:rPr>
    </w:lvl>
    <w:lvl w:ilvl="5" w:tplc="04150005" w:tentative="1">
      <w:start w:val="1"/>
      <w:numFmt w:val="bullet"/>
      <w:lvlText w:val=""/>
      <w:lvlJc w:val="left"/>
      <w:pPr>
        <w:ind w:left="4243" w:hanging="360"/>
      </w:pPr>
      <w:rPr>
        <w:rFonts w:ascii="Wingdings" w:hAnsi="Wingdings" w:hint="default"/>
      </w:rPr>
    </w:lvl>
    <w:lvl w:ilvl="6" w:tplc="04150001" w:tentative="1">
      <w:start w:val="1"/>
      <w:numFmt w:val="bullet"/>
      <w:lvlText w:val=""/>
      <w:lvlJc w:val="left"/>
      <w:pPr>
        <w:ind w:left="4963" w:hanging="360"/>
      </w:pPr>
      <w:rPr>
        <w:rFonts w:ascii="Symbol" w:hAnsi="Symbol" w:hint="default"/>
      </w:rPr>
    </w:lvl>
    <w:lvl w:ilvl="7" w:tplc="04150003" w:tentative="1">
      <w:start w:val="1"/>
      <w:numFmt w:val="bullet"/>
      <w:lvlText w:val="o"/>
      <w:lvlJc w:val="left"/>
      <w:pPr>
        <w:ind w:left="5683" w:hanging="360"/>
      </w:pPr>
      <w:rPr>
        <w:rFonts w:ascii="Courier New" w:hAnsi="Courier New" w:cs="Courier New" w:hint="default"/>
      </w:rPr>
    </w:lvl>
    <w:lvl w:ilvl="8" w:tplc="04150005" w:tentative="1">
      <w:start w:val="1"/>
      <w:numFmt w:val="bullet"/>
      <w:lvlText w:val=""/>
      <w:lvlJc w:val="left"/>
      <w:pPr>
        <w:ind w:left="6403" w:hanging="360"/>
      </w:pPr>
      <w:rPr>
        <w:rFonts w:ascii="Wingdings" w:hAnsi="Wingdings" w:hint="default"/>
      </w:rPr>
    </w:lvl>
  </w:abstractNum>
  <w:abstractNum w:abstractNumId="13" w15:restartNumberingAfterBreak="0">
    <w:nsid w:val="225979E0"/>
    <w:multiLevelType w:val="hybridMultilevel"/>
    <w:tmpl w:val="BA12F80A"/>
    <w:lvl w:ilvl="0" w:tplc="3B74459E">
      <w:start w:val="22"/>
      <w:numFmt w:val="decimal"/>
      <w:lvlText w:val="%1."/>
      <w:lvlJc w:val="left"/>
      <w:pPr>
        <w:ind w:left="720" w:hanging="360"/>
      </w:pPr>
      <w:rPr>
        <w:rFonts w:ascii="Times New Roman" w:hAnsi="Times New Roman" w:cs="Times New Roman" w:hint="default"/>
        <w:b/>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3413068"/>
    <w:multiLevelType w:val="hybridMultilevel"/>
    <w:tmpl w:val="8CBED84E"/>
    <w:lvl w:ilvl="0" w:tplc="806E8FD4">
      <w:start w:val="20"/>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4550A57"/>
    <w:multiLevelType w:val="hybridMultilevel"/>
    <w:tmpl w:val="CB1A4BA6"/>
    <w:lvl w:ilvl="0" w:tplc="D8CC9C22">
      <w:start w:val="19"/>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5992937"/>
    <w:multiLevelType w:val="hybridMultilevel"/>
    <w:tmpl w:val="AD6E004E"/>
    <w:lvl w:ilvl="0" w:tplc="66AC4F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6484CD9"/>
    <w:multiLevelType w:val="hybridMultilevel"/>
    <w:tmpl w:val="01182C84"/>
    <w:lvl w:ilvl="0" w:tplc="4A0C2106">
      <w:start w:val="12"/>
      <w:numFmt w:val="lowerLetter"/>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A0652C8"/>
    <w:multiLevelType w:val="hybridMultilevel"/>
    <w:tmpl w:val="612A26B8"/>
    <w:lvl w:ilvl="0" w:tplc="66AC4F68">
      <w:start w:val="1"/>
      <w:numFmt w:val="bullet"/>
      <w:lvlText w:val=""/>
      <w:lvlJc w:val="left"/>
      <w:pPr>
        <w:ind w:left="784" w:hanging="360"/>
      </w:pPr>
      <w:rPr>
        <w:rFonts w:ascii="Symbol" w:hAnsi="Symbol"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19" w15:restartNumberingAfterBreak="0">
    <w:nsid w:val="2A4C6555"/>
    <w:multiLevelType w:val="hybridMultilevel"/>
    <w:tmpl w:val="85628CA0"/>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20" w15:restartNumberingAfterBreak="0">
    <w:nsid w:val="2B841D30"/>
    <w:multiLevelType w:val="hybridMultilevel"/>
    <w:tmpl w:val="8B5CCF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F615CA1"/>
    <w:multiLevelType w:val="hybridMultilevel"/>
    <w:tmpl w:val="2A04352C"/>
    <w:lvl w:ilvl="0" w:tplc="66A2C118">
      <w:start w:val="21"/>
      <w:numFmt w:val="decimal"/>
      <w:lvlText w:val="%1."/>
      <w:lvlJc w:val="left"/>
      <w:pPr>
        <w:ind w:left="720" w:hanging="360"/>
      </w:pPr>
      <w:rPr>
        <w:rFonts w:ascii="Times New Roman" w:hAnsi="Times New Roman" w:cs="Times New Roman" w:hint="default"/>
        <w:b/>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0B95FBC"/>
    <w:multiLevelType w:val="hybridMultilevel"/>
    <w:tmpl w:val="DC1822D0"/>
    <w:lvl w:ilvl="0" w:tplc="66AC4F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10B332D"/>
    <w:multiLevelType w:val="hybridMultilevel"/>
    <w:tmpl w:val="F5B49712"/>
    <w:lvl w:ilvl="0" w:tplc="66AC4F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4054EC8"/>
    <w:multiLevelType w:val="hybridMultilevel"/>
    <w:tmpl w:val="DC88EE2E"/>
    <w:lvl w:ilvl="0" w:tplc="A40613FE">
      <w:start w:val="7"/>
      <w:numFmt w:val="lowerLetter"/>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74B0446"/>
    <w:multiLevelType w:val="hybridMultilevel"/>
    <w:tmpl w:val="404AC298"/>
    <w:lvl w:ilvl="0" w:tplc="D78EEF64">
      <w:start w:val="13"/>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92504B5"/>
    <w:multiLevelType w:val="hybridMultilevel"/>
    <w:tmpl w:val="AA70FCD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 w15:restartNumberingAfterBreak="0">
    <w:nsid w:val="3A4B7E87"/>
    <w:multiLevelType w:val="hybridMultilevel"/>
    <w:tmpl w:val="2770581E"/>
    <w:lvl w:ilvl="0" w:tplc="66AC4F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ABF6703"/>
    <w:multiLevelType w:val="hybridMultilevel"/>
    <w:tmpl w:val="7BFE3430"/>
    <w:lvl w:ilvl="0" w:tplc="2EFE4EAC">
      <w:start w:val="18"/>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B9F001B"/>
    <w:multiLevelType w:val="hybridMultilevel"/>
    <w:tmpl w:val="69265512"/>
    <w:lvl w:ilvl="0" w:tplc="66AC4F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C5E30BD"/>
    <w:multiLevelType w:val="hybridMultilevel"/>
    <w:tmpl w:val="110A0B5E"/>
    <w:lvl w:ilvl="0" w:tplc="5B3A2C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D3549FD"/>
    <w:multiLevelType w:val="hybridMultilevel"/>
    <w:tmpl w:val="6FEAFBC6"/>
    <w:lvl w:ilvl="0" w:tplc="66AC4F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431F3E2A"/>
    <w:multiLevelType w:val="hybridMultilevel"/>
    <w:tmpl w:val="12021262"/>
    <w:lvl w:ilvl="0" w:tplc="1996F4C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43403A88"/>
    <w:multiLevelType w:val="hybridMultilevel"/>
    <w:tmpl w:val="657A736E"/>
    <w:lvl w:ilvl="0" w:tplc="66AC4F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97378A9"/>
    <w:multiLevelType w:val="hybridMultilevel"/>
    <w:tmpl w:val="7C82EF9C"/>
    <w:lvl w:ilvl="0" w:tplc="66AC4F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4B705173"/>
    <w:multiLevelType w:val="hybridMultilevel"/>
    <w:tmpl w:val="E5AA610E"/>
    <w:lvl w:ilvl="0" w:tplc="66AC4F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FDD21C8"/>
    <w:multiLevelType w:val="hybridMultilevel"/>
    <w:tmpl w:val="49B068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32F7F3D"/>
    <w:multiLevelType w:val="hybridMultilevel"/>
    <w:tmpl w:val="290C1D10"/>
    <w:lvl w:ilvl="0" w:tplc="B058CE04">
      <w:start w:val="1"/>
      <w:numFmt w:val="lowerLetter"/>
      <w:lvlText w:val="%1)"/>
      <w:lvlJc w:val="left"/>
      <w:pPr>
        <w:ind w:left="779" w:hanging="360"/>
      </w:pPr>
    </w:lvl>
    <w:lvl w:ilvl="1" w:tplc="04150019" w:tentative="1">
      <w:start w:val="1"/>
      <w:numFmt w:val="lowerLetter"/>
      <w:lvlText w:val="%2."/>
      <w:lvlJc w:val="left"/>
      <w:pPr>
        <w:ind w:left="1499" w:hanging="360"/>
      </w:pPr>
    </w:lvl>
    <w:lvl w:ilvl="2" w:tplc="0415001B" w:tentative="1">
      <w:start w:val="1"/>
      <w:numFmt w:val="lowerRoman"/>
      <w:lvlText w:val="%3."/>
      <w:lvlJc w:val="right"/>
      <w:pPr>
        <w:ind w:left="2219" w:hanging="180"/>
      </w:pPr>
    </w:lvl>
    <w:lvl w:ilvl="3" w:tplc="0415000F" w:tentative="1">
      <w:start w:val="1"/>
      <w:numFmt w:val="decimal"/>
      <w:lvlText w:val="%4."/>
      <w:lvlJc w:val="left"/>
      <w:pPr>
        <w:ind w:left="2939" w:hanging="360"/>
      </w:pPr>
    </w:lvl>
    <w:lvl w:ilvl="4" w:tplc="04150019" w:tentative="1">
      <w:start w:val="1"/>
      <w:numFmt w:val="lowerLetter"/>
      <w:lvlText w:val="%5."/>
      <w:lvlJc w:val="left"/>
      <w:pPr>
        <w:ind w:left="3659" w:hanging="360"/>
      </w:pPr>
    </w:lvl>
    <w:lvl w:ilvl="5" w:tplc="0415001B" w:tentative="1">
      <w:start w:val="1"/>
      <w:numFmt w:val="lowerRoman"/>
      <w:lvlText w:val="%6."/>
      <w:lvlJc w:val="right"/>
      <w:pPr>
        <w:ind w:left="4379" w:hanging="180"/>
      </w:pPr>
    </w:lvl>
    <w:lvl w:ilvl="6" w:tplc="0415000F" w:tentative="1">
      <w:start w:val="1"/>
      <w:numFmt w:val="decimal"/>
      <w:lvlText w:val="%7."/>
      <w:lvlJc w:val="left"/>
      <w:pPr>
        <w:ind w:left="5099" w:hanging="360"/>
      </w:pPr>
    </w:lvl>
    <w:lvl w:ilvl="7" w:tplc="04150019" w:tentative="1">
      <w:start w:val="1"/>
      <w:numFmt w:val="lowerLetter"/>
      <w:lvlText w:val="%8."/>
      <w:lvlJc w:val="left"/>
      <w:pPr>
        <w:ind w:left="5819" w:hanging="360"/>
      </w:pPr>
    </w:lvl>
    <w:lvl w:ilvl="8" w:tplc="0415001B" w:tentative="1">
      <w:start w:val="1"/>
      <w:numFmt w:val="lowerRoman"/>
      <w:lvlText w:val="%9."/>
      <w:lvlJc w:val="right"/>
      <w:pPr>
        <w:ind w:left="6539" w:hanging="180"/>
      </w:pPr>
    </w:lvl>
  </w:abstractNum>
  <w:abstractNum w:abstractNumId="38" w15:restartNumberingAfterBreak="0">
    <w:nsid w:val="543E0EE5"/>
    <w:multiLevelType w:val="hybridMultilevel"/>
    <w:tmpl w:val="1C14A82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9F25D59"/>
    <w:multiLevelType w:val="hybridMultilevel"/>
    <w:tmpl w:val="AB5A4CD6"/>
    <w:lvl w:ilvl="0" w:tplc="04150011">
      <w:start w:val="1"/>
      <w:numFmt w:val="decimal"/>
      <w:lvlText w:val="%1)"/>
      <w:lvlJc w:val="left"/>
      <w:pPr>
        <w:ind w:left="1080" w:hanging="72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B7265C0"/>
    <w:multiLevelType w:val="hybridMultilevel"/>
    <w:tmpl w:val="7270CE20"/>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5B77392E"/>
    <w:multiLevelType w:val="hybridMultilevel"/>
    <w:tmpl w:val="8D80DEE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BA45EF4"/>
    <w:multiLevelType w:val="hybridMultilevel"/>
    <w:tmpl w:val="B14AF956"/>
    <w:lvl w:ilvl="0" w:tplc="D5DC028A">
      <w:start w:val="1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CF73182"/>
    <w:multiLevelType w:val="hybridMultilevel"/>
    <w:tmpl w:val="2F5421D8"/>
    <w:lvl w:ilvl="0" w:tplc="268C4314">
      <w:start w:val="19"/>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D392DF2"/>
    <w:multiLevelType w:val="hybridMultilevel"/>
    <w:tmpl w:val="4B92A6EC"/>
    <w:lvl w:ilvl="0" w:tplc="04150011">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45" w15:restartNumberingAfterBreak="0">
    <w:nsid w:val="5DEF6EC8"/>
    <w:multiLevelType w:val="hybridMultilevel"/>
    <w:tmpl w:val="687A8CFA"/>
    <w:lvl w:ilvl="0" w:tplc="66AC4F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5E2576AC"/>
    <w:multiLevelType w:val="hybridMultilevel"/>
    <w:tmpl w:val="4D807744"/>
    <w:lvl w:ilvl="0" w:tplc="66AC4F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61A37F5F"/>
    <w:multiLevelType w:val="hybridMultilevel"/>
    <w:tmpl w:val="7A52234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9DA2CCA"/>
    <w:multiLevelType w:val="hybridMultilevel"/>
    <w:tmpl w:val="0C428A22"/>
    <w:lvl w:ilvl="0" w:tplc="5B3A2C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6B8D56B7"/>
    <w:multiLevelType w:val="hybridMultilevel"/>
    <w:tmpl w:val="006C957C"/>
    <w:lvl w:ilvl="0" w:tplc="5B3A2CF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0" w15:restartNumberingAfterBreak="0">
    <w:nsid w:val="70CC0BCE"/>
    <w:multiLevelType w:val="hybridMultilevel"/>
    <w:tmpl w:val="0ABE5FCE"/>
    <w:lvl w:ilvl="0" w:tplc="04150017">
      <w:start w:val="1"/>
      <w:numFmt w:val="lowerLetter"/>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1D71808"/>
    <w:multiLevelType w:val="hybridMultilevel"/>
    <w:tmpl w:val="AAD41DCA"/>
    <w:lvl w:ilvl="0" w:tplc="5330DB5A">
      <w:start w:val="10"/>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736710AB"/>
    <w:multiLevelType w:val="hybridMultilevel"/>
    <w:tmpl w:val="68C4BD9C"/>
    <w:lvl w:ilvl="0" w:tplc="66AC4F6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7675405A"/>
    <w:multiLevelType w:val="hybridMultilevel"/>
    <w:tmpl w:val="2A4AAA52"/>
    <w:lvl w:ilvl="0" w:tplc="3DD6A0E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68D606D"/>
    <w:multiLevelType w:val="hybridMultilevel"/>
    <w:tmpl w:val="F3DCF038"/>
    <w:lvl w:ilvl="0" w:tplc="2CF86D8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7B496738"/>
    <w:multiLevelType w:val="hybridMultilevel"/>
    <w:tmpl w:val="D50CB0D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7CB87767"/>
    <w:multiLevelType w:val="hybridMultilevel"/>
    <w:tmpl w:val="D3166BDA"/>
    <w:lvl w:ilvl="0" w:tplc="04150011">
      <w:start w:val="1"/>
      <w:numFmt w:val="decimal"/>
      <w:lvlText w:val="%1)"/>
      <w:lvlJc w:val="left"/>
      <w:pPr>
        <w:ind w:left="2487" w:hanging="360"/>
      </w:pPr>
    </w:lvl>
    <w:lvl w:ilvl="1" w:tplc="04150019">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num w:numId="1">
    <w:abstractNumId w:val="11"/>
  </w:num>
  <w:num w:numId="2">
    <w:abstractNumId w:val="2"/>
  </w:num>
  <w:num w:numId="3">
    <w:abstractNumId w:val="37"/>
  </w:num>
  <w:num w:numId="4">
    <w:abstractNumId w:val="47"/>
  </w:num>
  <w:num w:numId="5">
    <w:abstractNumId w:val="56"/>
  </w:num>
  <w:num w:numId="6">
    <w:abstractNumId w:val="33"/>
  </w:num>
  <w:num w:numId="7">
    <w:abstractNumId w:val="46"/>
  </w:num>
  <w:num w:numId="8">
    <w:abstractNumId w:val="34"/>
  </w:num>
  <w:num w:numId="9">
    <w:abstractNumId w:val="45"/>
  </w:num>
  <w:num w:numId="10">
    <w:abstractNumId w:val="16"/>
  </w:num>
  <w:num w:numId="11">
    <w:abstractNumId w:val="22"/>
  </w:num>
  <w:num w:numId="12">
    <w:abstractNumId w:val="10"/>
  </w:num>
  <w:num w:numId="13">
    <w:abstractNumId w:val="52"/>
  </w:num>
  <w:num w:numId="14">
    <w:abstractNumId w:val="31"/>
  </w:num>
  <w:num w:numId="15">
    <w:abstractNumId w:val="38"/>
  </w:num>
  <w:num w:numId="16">
    <w:abstractNumId w:val="24"/>
  </w:num>
  <w:num w:numId="17">
    <w:abstractNumId w:val="30"/>
  </w:num>
  <w:num w:numId="18">
    <w:abstractNumId w:val="49"/>
  </w:num>
  <w:num w:numId="19">
    <w:abstractNumId w:val="7"/>
  </w:num>
  <w:num w:numId="20">
    <w:abstractNumId w:val="17"/>
  </w:num>
  <w:num w:numId="21">
    <w:abstractNumId w:val="48"/>
  </w:num>
  <w:num w:numId="22">
    <w:abstractNumId w:val="40"/>
  </w:num>
  <w:num w:numId="23">
    <w:abstractNumId w:val="39"/>
  </w:num>
  <w:num w:numId="24">
    <w:abstractNumId w:val="27"/>
  </w:num>
  <w:num w:numId="25">
    <w:abstractNumId w:val="55"/>
  </w:num>
  <w:num w:numId="26">
    <w:abstractNumId w:val="53"/>
  </w:num>
  <w:num w:numId="27">
    <w:abstractNumId w:val="4"/>
  </w:num>
  <w:num w:numId="28">
    <w:abstractNumId w:val="50"/>
  </w:num>
  <w:num w:numId="29">
    <w:abstractNumId w:val="6"/>
  </w:num>
  <w:num w:numId="30">
    <w:abstractNumId w:val="23"/>
  </w:num>
  <w:num w:numId="31">
    <w:abstractNumId w:val="28"/>
  </w:num>
  <w:num w:numId="32">
    <w:abstractNumId w:val="15"/>
  </w:num>
  <w:num w:numId="33">
    <w:abstractNumId w:val="43"/>
  </w:num>
  <w:num w:numId="34">
    <w:abstractNumId w:val="14"/>
  </w:num>
  <w:num w:numId="35">
    <w:abstractNumId w:val="18"/>
  </w:num>
  <w:num w:numId="36">
    <w:abstractNumId w:val="5"/>
  </w:num>
  <w:num w:numId="37">
    <w:abstractNumId w:val="21"/>
  </w:num>
  <w:num w:numId="38">
    <w:abstractNumId w:val="35"/>
  </w:num>
  <w:num w:numId="39">
    <w:abstractNumId w:val="20"/>
  </w:num>
  <w:num w:numId="40">
    <w:abstractNumId w:val="13"/>
  </w:num>
  <w:num w:numId="41">
    <w:abstractNumId w:val="36"/>
  </w:num>
  <w:num w:numId="42">
    <w:abstractNumId w:val="29"/>
  </w:num>
  <w:num w:numId="43">
    <w:abstractNumId w:val="51"/>
  </w:num>
  <w:num w:numId="44">
    <w:abstractNumId w:val="25"/>
  </w:num>
  <w:num w:numId="45">
    <w:abstractNumId w:val="42"/>
  </w:num>
  <w:num w:numId="46">
    <w:abstractNumId w:val="8"/>
  </w:num>
  <w:num w:numId="47">
    <w:abstractNumId w:val="26"/>
  </w:num>
  <w:num w:numId="48">
    <w:abstractNumId w:val="54"/>
  </w:num>
  <w:num w:numId="49">
    <w:abstractNumId w:val="1"/>
  </w:num>
  <w:num w:numId="50">
    <w:abstractNumId w:val="3"/>
  </w:num>
  <w:num w:numId="51">
    <w:abstractNumId w:val="9"/>
  </w:num>
  <w:num w:numId="52">
    <w:abstractNumId w:val="19"/>
  </w:num>
  <w:num w:numId="53">
    <w:abstractNumId w:val="0"/>
  </w:num>
  <w:num w:numId="54">
    <w:abstractNumId w:val="12"/>
  </w:num>
  <w:num w:numId="55">
    <w:abstractNumId w:val="41"/>
  </w:num>
  <w:num w:numId="56">
    <w:abstractNumId w:val="32"/>
  </w:num>
  <w:num w:numId="57">
    <w:abstractNumId w:val="4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cumentProtection w:edit="trackedChanges" w:enforcement="0"/>
  <w:defaultTabStop w:val="45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86E"/>
    <w:rsid w:val="0000090D"/>
    <w:rsid w:val="000013BC"/>
    <w:rsid w:val="000014D0"/>
    <w:rsid w:val="00001C64"/>
    <w:rsid w:val="00002719"/>
    <w:rsid w:val="0000308D"/>
    <w:rsid w:val="000031AE"/>
    <w:rsid w:val="000034CC"/>
    <w:rsid w:val="000045C1"/>
    <w:rsid w:val="00005397"/>
    <w:rsid w:val="00005E50"/>
    <w:rsid w:val="000061C7"/>
    <w:rsid w:val="000065E4"/>
    <w:rsid w:val="00006DCB"/>
    <w:rsid w:val="00006F2D"/>
    <w:rsid w:val="000077C2"/>
    <w:rsid w:val="00007A72"/>
    <w:rsid w:val="00010550"/>
    <w:rsid w:val="00010D2D"/>
    <w:rsid w:val="00011830"/>
    <w:rsid w:val="00011D9D"/>
    <w:rsid w:val="000127D6"/>
    <w:rsid w:val="0001287A"/>
    <w:rsid w:val="00012BEE"/>
    <w:rsid w:val="00012E6E"/>
    <w:rsid w:val="00014777"/>
    <w:rsid w:val="00015115"/>
    <w:rsid w:val="00016483"/>
    <w:rsid w:val="000168C2"/>
    <w:rsid w:val="00016956"/>
    <w:rsid w:val="00016FD9"/>
    <w:rsid w:val="0001758F"/>
    <w:rsid w:val="00020868"/>
    <w:rsid w:val="00020AD0"/>
    <w:rsid w:val="00020E7A"/>
    <w:rsid w:val="00021A4A"/>
    <w:rsid w:val="000238FF"/>
    <w:rsid w:val="00024130"/>
    <w:rsid w:val="0002444C"/>
    <w:rsid w:val="00024606"/>
    <w:rsid w:val="00025477"/>
    <w:rsid w:val="00025972"/>
    <w:rsid w:val="00025AC8"/>
    <w:rsid w:val="0002668C"/>
    <w:rsid w:val="00026A4D"/>
    <w:rsid w:val="00027F22"/>
    <w:rsid w:val="00030303"/>
    <w:rsid w:val="00034047"/>
    <w:rsid w:val="0003460D"/>
    <w:rsid w:val="00034B64"/>
    <w:rsid w:val="00035251"/>
    <w:rsid w:val="00035670"/>
    <w:rsid w:val="000356C6"/>
    <w:rsid w:val="00036E67"/>
    <w:rsid w:val="000372AD"/>
    <w:rsid w:val="000379A3"/>
    <w:rsid w:val="00037F09"/>
    <w:rsid w:val="00040771"/>
    <w:rsid w:val="0004083A"/>
    <w:rsid w:val="00042480"/>
    <w:rsid w:val="00043D02"/>
    <w:rsid w:val="000442E9"/>
    <w:rsid w:val="00044339"/>
    <w:rsid w:val="000467B1"/>
    <w:rsid w:val="00047388"/>
    <w:rsid w:val="00047575"/>
    <w:rsid w:val="00047856"/>
    <w:rsid w:val="00047A65"/>
    <w:rsid w:val="00050177"/>
    <w:rsid w:val="000508B1"/>
    <w:rsid w:val="00051624"/>
    <w:rsid w:val="000529D5"/>
    <w:rsid w:val="000548B6"/>
    <w:rsid w:val="0005649A"/>
    <w:rsid w:val="00056C50"/>
    <w:rsid w:val="000575D5"/>
    <w:rsid w:val="00060541"/>
    <w:rsid w:val="0006179F"/>
    <w:rsid w:val="000617F9"/>
    <w:rsid w:val="00061885"/>
    <w:rsid w:val="000623F0"/>
    <w:rsid w:val="00062610"/>
    <w:rsid w:val="00062D93"/>
    <w:rsid w:val="00062FE0"/>
    <w:rsid w:val="000638FD"/>
    <w:rsid w:val="000642BA"/>
    <w:rsid w:val="000647E1"/>
    <w:rsid w:val="00064BCA"/>
    <w:rsid w:val="00066875"/>
    <w:rsid w:val="0006689F"/>
    <w:rsid w:val="00066907"/>
    <w:rsid w:val="0006699B"/>
    <w:rsid w:val="00067080"/>
    <w:rsid w:val="000670E5"/>
    <w:rsid w:val="00067FEE"/>
    <w:rsid w:val="000701D6"/>
    <w:rsid w:val="00071833"/>
    <w:rsid w:val="00071B5C"/>
    <w:rsid w:val="000732B1"/>
    <w:rsid w:val="00073DEE"/>
    <w:rsid w:val="00074348"/>
    <w:rsid w:val="00074E8E"/>
    <w:rsid w:val="00075363"/>
    <w:rsid w:val="000753A1"/>
    <w:rsid w:val="000766C0"/>
    <w:rsid w:val="0007713B"/>
    <w:rsid w:val="00077C3A"/>
    <w:rsid w:val="00082130"/>
    <w:rsid w:val="00082777"/>
    <w:rsid w:val="000832FF"/>
    <w:rsid w:val="000842E7"/>
    <w:rsid w:val="000843A1"/>
    <w:rsid w:val="00087F6B"/>
    <w:rsid w:val="00090195"/>
    <w:rsid w:val="00090873"/>
    <w:rsid w:val="00091405"/>
    <w:rsid w:val="00093667"/>
    <w:rsid w:val="000939E0"/>
    <w:rsid w:val="00093B4E"/>
    <w:rsid w:val="000955E3"/>
    <w:rsid w:val="00095CC4"/>
    <w:rsid w:val="00097299"/>
    <w:rsid w:val="000A083C"/>
    <w:rsid w:val="000A12ED"/>
    <w:rsid w:val="000A1805"/>
    <w:rsid w:val="000A1F3B"/>
    <w:rsid w:val="000A2F86"/>
    <w:rsid w:val="000A326A"/>
    <w:rsid w:val="000B1643"/>
    <w:rsid w:val="000B4934"/>
    <w:rsid w:val="000B49C1"/>
    <w:rsid w:val="000B4C31"/>
    <w:rsid w:val="000B4DBD"/>
    <w:rsid w:val="000B5172"/>
    <w:rsid w:val="000B6A17"/>
    <w:rsid w:val="000B6A1C"/>
    <w:rsid w:val="000B7A16"/>
    <w:rsid w:val="000C0955"/>
    <w:rsid w:val="000C0C78"/>
    <w:rsid w:val="000C1700"/>
    <w:rsid w:val="000C1950"/>
    <w:rsid w:val="000C1D54"/>
    <w:rsid w:val="000C287F"/>
    <w:rsid w:val="000C29A2"/>
    <w:rsid w:val="000C2C6A"/>
    <w:rsid w:val="000C34B3"/>
    <w:rsid w:val="000C351C"/>
    <w:rsid w:val="000C3A41"/>
    <w:rsid w:val="000C4013"/>
    <w:rsid w:val="000C4F90"/>
    <w:rsid w:val="000C5988"/>
    <w:rsid w:val="000C6F9B"/>
    <w:rsid w:val="000C74A7"/>
    <w:rsid w:val="000C7CA4"/>
    <w:rsid w:val="000D015B"/>
    <w:rsid w:val="000D0563"/>
    <w:rsid w:val="000D11E6"/>
    <w:rsid w:val="000D1633"/>
    <w:rsid w:val="000D1DF7"/>
    <w:rsid w:val="000D243C"/>
    <w:rsid w:val="000D32B1"/>
    <w:rsid w:val="000D3846"/>
    <w:rsid w:val="000D38D6"/>
    <w:rsid w:val="000D50C1"/>
    <w:rsid w:val="000D5C19"/>
    <w:rsid w:val="000D6B98"/>
    <w:rsid w:val="000D7141"/>
    <w:rsid w:val="000D7A2C"/>
    <w:rsid w:val="000E0714"/>
    <w:rsid w:val="000E07C4"/>
    <w:rsid w:val="000E13EB"/>
    <w:rsid w:val="000E1719"/>
    <w:rsid w:val="000E1F68"/>
    <w:rsid w:val="000E27EF"/>
    <w:rsid w:val="000E2E2C"/>
    <w:rsid w:val="000E3597"/>
    <w:rsid w:val="000E379A"/>
    <w:rsid w:val="000E39B2"/>
    <w:rsid w:val="000E3CE7"/>
    <w:rsid w:val="000E5A89"/>
    <w:rsid w:val="000E63B3"/>
    <w:rsid w:val="000E7339"/>
    <w:rsid w:val="000F02C4"/>
    <w:rsid w:val="000F0E48"/>
    <w:rsid w:val="000F17A9"/>
    <w:rsid w:val="000F1A0B"/>
    <w:rsid w:val="000F2414"/>
    <w:rsid w:val="000F3619"/>
    <w:rsid w:val="000F489D"/>
    <w:rsid w:val="000F4F88"/>
    <w:rsid w:val="000F50DC"/>
    <w:rsid w:val="000F53CA"/>
    <w:rsid w:val="000F5F99"/>
    <w:rsid w:val="000F6E9C"/>
    <w:rsid w:val="000F7526"/>
    <w:rsid w:val="000F7FFD"/>
    <w:rsid w:val="00100286"/>
    <w:rsid w:val="001015DD"/>
    <w:rsid w:val="00102615"/>
    <w:rsid w:val="0010336C"/>
    <w:rsid w:val="00103415"/>
    <w:rsid w:val="001054D4"/>
    <w:rsid w:val="00105572"/>
    <w:rsid w:val="001068A3"/>
    <w:rsid w:val="00106A93"/>
    <w:rsid w:val="00106CD5"/>
    <w:rsid w:val="00106F9E"/>
    <w:rsid w:val="00107688"/>
    <w:rsid w:val="00107B7E"/>
    <w:rsid w:val="001108E6"/>
    <w:rsid w:val="001119B6"/>
    <w:rsid w:val="00111DDF"/>
    <w:rsid w:val="001122BC"/>
    <w:rsid w:val="00112440"/>
    <w:rsid w:val="00112B7B"/>
    <w:rsid w:val="00115595"/>
    <w:rsid w:val="00115CD6"/>
    <w:rsid w:val="00116F2B"/>
    <w:rsid w:val="00117359"/>
    <w:rsid w:val="00117422"/>
    <w:rsid w:val="00120368"/>
    <w:rsid w:val="00123C1D"/>
    <w:rsid w:val="0012458E"/>
    <w:rsid w:val="00127546"/>
    <w:rsid w:val="00130C5F"/>
    <w:rsid w:val="00131BDA"/>
    <w:rsid w:val="00131BF9"/>
    <w:rsid w:val="00132DBF"/>
    <w:rsid w:val="001339A1"/>
    <w:rsid w:val="00134972"/>
    <w:rsid w:val="00134CAB"/>
    <w:rsid w:val="0013527A"/>
    <w:rsid w:val="00135A5C"/>
    <w:rsid w:val="00135C32"/>
    <w:rsid w:val="00136DC7"/>
    <w:rsid w:val="00137AF8"/>
    <w:rsid w:val="0014007A"/>
    <w:rsid w:val="00140605"/>
    <w:rsid w:val="00140997"/>
    <w:rsid w:val="00140AF9"/>
    <w:rsid w:val="00141129"/>
    <w:rsid w:val="001416E7"/>
    <w:rsid w:val="001417B4"/>
    <w:rsid w:val="001417E7"/>
    <w:rsid w:val="00141AD3"/>
    <w:rsid w:val="00141BD7"/>
    <w:rsid w:val="00141E79"/>
    <w:rsid w:val="00143283"/>
    <w:rsid w:val="00144C00"/>
    <w:rsid w:val="0014572B"/>
    <w:rsid w:val="00146239"/>
    <w:rsid w:val="00146B8F"/>
    <w:rsid w:val="00146F36"/>
    <w:rsid w:val="0014759F"/>
    <w:rsid w:val="0014769A"/>
    <w:rsid w:val="00150A0B"/>
    <w:rsid w:val="00151220"/>
    <w:rsid w:val="001524C1"/>
    <w:rsid w:val="00153931"/>
    <w:rsid w:val="0015395D"/>
    <w:rsid w:val="00153E3E"/>
    <w:rsid w:val="00154FDA"/>
    <w:rsid w:val="00155041"/>
    <w:rsid w:val="0015561D"/>
    <w:rsid w:val="00155A9A"/>
    <w:rsid w:val="00155E73"/>
    <w:rsid w:val="001561E2"/>
    <w:rsid w:val="001570DA"/>
    <w:rsid w:val="0016199B"/>
    <w:rsid w:val="00161B15"/>
    <w:rsid w:val="00162F1F"/>
    <w:rsid w:val="00163358"/>
    <w:rsid w:val="0016360A"/>
    <w:rsid w:val="0016382D"/>
    <w:rsid w:val="00164314"/>
    <w:rsid w:val="00164CCA"/>
    <w:rsid w:val="00165491"/>
    <w:rsid w:val="001654BA"/>
    <w:rsid w:val="00165DEA"/>
    <w:rsid w:val="001665D0"/>
    <w:rsid w:val="00166A55"/>
    <w:rsid w:val="00166EAC"/>
    <w:rsid w:val="00167DB4"/>
    <w:rsid w:val="00170D5B"/>
    <w:rsid w:val="00171D0C"/>
    <w:rsid w:val="00171D9B"/>
    <w:rsid w:val="001726FE"/>
    <w:rsid w:val="00172EEB"/>
    <w:rsid w:val="001732AB"/>
    <w:rsid w:val="00173AF1"/>
    <w:rsid w:val="00173B05"/>
    <w:rsid w:val="00174B38"/>
    <w:rsid w:val="001767EC"/>
    <w:rsid w:val="00177B0F"/>
    <w:rsid w:val="0018082E"/>
    <w:rsid w:val="00180917"/>
    <w:rsid w:val="0018095D"/>
    <w:rsid w:val="00180B92"/>
    <w:rsid w:val="001813AA"/>
    <w:rsid w:val="00181FE6"/>
    <w:rsid w:val="00182269"/>
    <w:rsid w:val="001834AB"/>
    <w:rsid w:val="00183562"/>
    <w:rsid w:val="00183EE5"/>
    <w:rsid w:val="00184161"/>
    <w:rsid w:val="00184655"/>
    <w:rsid w:val="001848C3"/>
    <w:rsid w:val="00185F6E"/>
    <w:rsid w:val="001867C0"/>
    <w:rsid w:val="00186C52"/>
    <w:rsid w:val="00186D90"/>
    <w:rsid w:val="001878E0"/>
    <w:rsid w:val="001912EB"/>
    <w:rsid w:val="0019158B"/>
    <w:rsid w:val="001919D2"/>
    <w:rsid w:val="00191CEE"/>
    <w:rsid w:val="00192454"/>
    <w:rsid w:val="00193162"/>
    <w:rsid w:val="001949FA"/>
    <w:rsid w:val="00194AC9"/>
    <w:rsid w:val="00195486"/>
    <w:rsid w:val="00195B6F"/>
    <w:rsid w:val="00196ABB"/>
    <w:rsid w:val="00196C56"/>
    <w:rsid w:val="001978B4"/>
    <w:rsid w:val="00197C7D"/>
    <w:rsid w:val="001A056A"/>
    <w:rsid w:val="001A129C"/>
    <w:rsid w:val="001A16C3"/>
    <w:rsid w:val="001A18CA"/>
    <w:rsid w:val="001A2027"/>
    <w:rsid w:val="001A2271"/>
    <w:rsid w:val="001A22D5"/>
    <w:rsid w:val="001A2B95"/>
    <w:rsid w:val="001A342C"/>
    <w:rsid w:val="001A3AB5"/>
    <w:rsid w:val="001A49D4"/>
    <w:rsid w:val="001A53CF"/>
    <w:rsid w:val="001A5EF1"/>
    <w:rsid w:val="001A5F76"/>
    <w:rsid w:val="001A6687"/>
    <w:rsid w:val="001A7088"/>
    <w:rsid w:val="001A7AF8"/>
    <w:rsid w:val="001B0DFF"/>
    <w:rsid w:val="001B0E11"/>
    <w:rsid w:val="001B13F1"/>
    <w:rsid w:val="001B36E8"/>
    <w:rsid w:val="001B3BBD"/>
    <w:rsid w:val="001B3CF9"/>
    <w:rsid w:val="001B4199"/>
    <w:rsid w:val="001B4663"/>
    <w:rsid w:val="001B4E58"/>
    <w:rsid w:val="001B4F9A"/>
    <w:rsid w:val="001B52B2"/>
    <w:rsid w:val="001B5378"/>
    <w:rsid w:val="001B5CF5"/>
    <w:rsid w:val="001B619C"/>
    <w:rsid w:val="001B6A08"/>
    <w:rsid w:val="001B7F56"/>
    <w:rsid w:val="001C0D80"/>
    <w:rsid w:val="001C33BD"/>
    <w:rsid w:val="001C45CE"/>
    <w:rsid w:val="001C4908"/>
    <w:rsid w:val="001C4DCC"/>
    <w:rsid w:val="001C50BE"/>
    <w:rsid w:val="001C6405"/>
    <w:rsid w:val="001C6411"/>
    <w:rsid w:val="001C6F11"/>
    <w:rsid w:val="001C7A89"/>
    <w:rsid w:val="001D0A00"/>
    <w:rsid w:val="001D1405"/>
    <w:rsid w:val="001D16D6"/>
    <w:rsid w:val="001D1C88"/>
    <w:rsid w:val="001D2D51"/>
    <w:rsid w:val="001D2E65"/>
    <w:rsid w:val="001D30BF"/>
    <w:rsid w:val="001D4140"/>
    <w:rsid w:val="001D41C4"/>
    <w:rsid w:val="001D4883"/>
    <w:rsid w:val="001D54CB"/>
    <w:rsid w:val="001D6AFE"/>
    <w:rsid w:val="001D7D60"/>
    <w:rsid w:val="001E0CA3"/>
    <w:rsid w:val="001E1358"/>
    <w:rsid w:val="001E1885"/>
    <w:rsid w:val="001E2059"/>
    <w:rsid w:val="001E24F4"/>
    <w:rsid w:val="001E3F15"/>
    <w:rsid w:val="001E415B"/>
    <w:rsid w:val="001E440F"/>
    <w:rsid w:val="001E4677"/>
    <w:rsid w:val="001E4879"/>
    <w:rsid w:val="001E5A25"/>
    <w:rsid w:val="001E5B55"/>
    <w:rsid w:val="001E6C4B"/>
    <w:rsid w:val="001E6D9B"/>
    <w:rsid w:val="001E7A30"/>
    <w:rsid w:val="001F0D2F"/>
    <w:rsid w:val="001F152A"/>
    <w:rsid w:val="001F171D"/>
    <w:rsid w:val="001F1A0A"/>
    <w:rsid w:val="001F2656"/>
    <w:rsid w:val="001F29FF"/>
    <w:rsid w:val="001F3992"/>
    <w:rsid w:val="001F3EF5"/>
    <w:rsid w:val="001F3F36"/>
    <w:rsid w:val="001F3F38"/>
    <w:rsid w:val="001F46D5"/>
    <w:rsid w:val="001F550B"/>
    <w:rsid w:val="001F6851"/>
    <w:rsid w:val="001F6C83"/>
    <w:rsid w:val="001F7A82"/>
    <w:rsid w:val="00200766"/>
    <w:rsid w:val="00200A01"/>
    <w:rsid w:val="00200D81"/>
    <w:rsid w:val="0020422E"/>
    <w:rsid w:val="00204F31"/>
    <w:rsid w:val="00205692"/>
    <w:rsid w:val="0020753D"/>
    <w:rsid w:val="00207C5C"/>
    <w:rsid w:val="00207FEF"/>
    <w:rsid w:val="00210296"/>
    <w:rsid w:val="00210FA8"/>
    <w:rsid w:val="0021151F"/>
    <w:rsid w:val="00211790"/>
    <w:rsid w:val="00212C7E"/>
    <w:rsid w:val="00212EE6"/>
    <w:rsid w:val="002144E3"/>
    <w:rsid w:val="00214641"/>
    <w:rsid w:val="00215282"/>
    <w:rsid w:val="0021576C"/>
    <w:rsid w:val="00216210"/>
    <w:rsid w:val="00217006"/>
    <w:rsid w:val="002170C3"/>
    <w:rsid w:val="00217117"/>
    <w:rsid w:val="00217AE1"/>
    <w:rsid w:val="002207CF"/>
    <w:rsid w:val="0022221E"/>
    <w:rsid w:val="00222C86"/>
    <w:rsid w:val="00224AA5"/>
    <w:rsid w:val="002253D5"/>
    <w:rsid w:val="002266DD"/>
    <w:rsid w:val="0022789F"/>
    <w:rsid w:val="00227E58"/>
    <w:rsid w:val="00230698"/>
    <w:rsid w:val="00231A2C"/>
    <w:rsid w:val="00231DB2"/>
    <w:rsid w:val="002328B2"/>
    <w:rsid w:val="00232945"/>
    <w:rsid w:val="00233058"/>
    <w:rsid w:val="00233AB4"/>
    <w:rsid w:val="00234AE1"/>
    <w:rsid w:val="002359D7"/>
    <w:rsid w:val="00235D15"/>
    <w:rsid w:val="00236089"/>
    <w:rsid w:val="002364E6"/>
    <w:rsid w:val="0023659D"/>
    <w:rsid w:val="002367D6"/>
    <w:rsid w:val="00236BD6"/>
    <w:rsid w:val="00237D78"/>
    <w:rsid w:val="00240BF0"/>
    <w:rsid w:val="00240BFD"/>
    <w:rsid w:val="00240D53"/>
    <w:rsid w:val="00240DE4"/>
    <w:rsid w:val="00241D87"/>
    <w:rsid w:val="002423A9"/>
    <w:rsid w:val="00243341"/>
    <w:rsid w:val="00244120"/>
    <w:rsid w:val="002447C0"/>
    <w:rsid w:val="002454A3"/>
    <w:rsid w:val="002472E6"/>
    <w:rsid w:val="002505D5"/>
    <w:rsid w:val="0025072C"/>
    <w:rsid w:val="00251467"/>
    <w:rsid w:val="0025289F"/>
    <w:rsid w:val="00253E1F"/>
    <w:rsid w:val="00253FDF"/>
    <w:rsid w:val="002564BC"/>
    <w:rsid w:val="00256B56"/>
    <w:rsid w:val="00256DF0"/>
    <w:rsid w:val="00257255"/>
    <w:rsid w:val="00257A7A"/>
    <w:rsid w:val="002606AC"/>
    <w:rsid w:val="0026184D"/>
    <w:rsid w:val="00263C76"/>
    <w:rsid w:val="00265F0F"/>
    <w:rsid w:val="00265F4A"/>
    <w:rsid w:val="002661E5"/>
    <w:rsid w:val="00266316"/>
    <w:rsid w:val="00270338"/>
    <w:rsid w:val="002704B1"/>
    <w:rsid w:val="00270C24"/>
    <w:rsid w:val="00270CD1"/>
    <w:rsid w:val="00271ADD"/>
    <w:rsid w:val="00273532"/>
    <w:rsid w:val="0027487B"/>
    <w:rsid w:val="002757EB"/>
    <w:rsid w:val="002761A2"/>
    <w:rsid w:val="00276CC2"/>
    <w:rsid w:val="00277EBF"/>
    <w:rsid w:val="00280A2D"/>
    <w:rsid w:val="002832E6"/>
    <w:rsid w:val="00283489"/>
    <w:rsid w:val="00283613"/>
    <w:rsid w:val="00284095"/>
    <w:rsid w:val="002873EF"/>
    <w:rsid w:val="00290D7E"/>
    <w:rsid w:val="00291889"/>
    <w:rsid w:val="00291D31"/>
    <w:rsid w:val="00291E91"/>
    <w:rsid w:val="0029233E"/>
    <w:rsid w:val="0029264A"/>
    <w:rsid w:val="00293BA9"/>
    <w:rsid w:val="00297B83"/>
    <w:rsid w:val="002A0CC5"/>
    <w:rsid w:val="002A1705"/>
    <w:rsid w:val="002A245E"/>
    <w:rsid w:val="002A269C"/>
    <w:rsid w:val="002A3CC0"/>
    <w:rsid w:val="002A4DC3"/>
    <w:rsid w:val="002A51FD"/>
    <w:rsid w:val="002A52C8"/>
    <w:rsid w:val="002A6570"/>
    <w:rsid w:val="002A6B2D"/>
    <w:rsid w:val="002A706E"/>
    <w:rsid w:val="002A752E"/>
    <w:rsid w:val="002A7A86"/>
    <w:rsid w:val="002B0606"/>
    <w:rsid w:val="002B0E36"/>
    <w:rsid w:val="002B14B2"/>
    <w:rsid w:val="002B238E"/>
    <w:rsid w:val="002B3085"/>
    <w:rsid w:val="002B37C9"/>
    <w:rsid w:val="002B4C3E"/>
    <w:rsid w:val="002B55A9"/>
    <w:rsid w:val="002B5992"/>
    <w:rsid w:val="002B59C6"/>
    <w:rsid w:val="002B6E11"/>
    <w:rsid w:val="002C09C7"/>
    <w:rsid w:val="002C11A9"/>
    <w:rsid w:val="002C1427"/>
    <w:rsid w:val="002C1C1C"/>
    <w:rsid w:val="002C21E6"/>
    <w:rsid w:val="002C2546"/>
    <w:rsid w:val="002C2ACB"/>
    <w:rsid w:val="002C3A82"/>
    <w:rsid w:val="002C3D13"/>
    <w:rsid w:val="002C3EB6"/>
    <w:rsid w:val="002C439E"/>
    <w:rsid w:val="002C493B"/>
    <w:rsid w:val="002C4D83"/>
    <w:rsid w:val="002C501C"/>
    <w:rsid w:val="002C5E0B"/>
    <w:rsid w:val="002C6069"/>
    <w:rsid w:val="002C6525"/>
    <w:rsid w:val="002C69AB"/>
    <w:rsid w:val="002C69E9"/>
    <w:rsid w:val="002C6B0B"/>
    <w:rsid w:val="002C6C40"/>
    <w:rsid w:val="002C6CA9"/>
    <w:rsid w:val="002C7649"/>
    <w:rsid w:val="002C784F"/>
    <w:rsid w:val="002C7B27"/>
    <w:rsid w:val="002D0C49"/>
    <w:rsid w:val="002D15E1"/>
    <w:rsid w:val="002D16EB"/>
    <w:rsid w:val="002D1733"/>
    <w:rsid w:val="002D18FB"/>
    <w:rsid w:val="002D27D6"/>
    <w:rsid w:val="002D2FD6"/>
    <w:rsid w:val="002D30E5"/>
    <w:rsid w:val="002D478B"/>
    <w:rsid w:val="002D49B8"/>
    <w:rsid w:val="002D5B41"/>
    <w:rsid w:val="002D7005"/>
    <w:rsid w:val="002E05BD"/>
    <w:rsid w:val="002E1C3A"/>
    <w:rsid w:val="002E242C"/>
    <w:rsid w:val="002E2BDC"/>
    <w:rsid w:val="002E405D"/>
    <w:rsid w:val="002E5236"/>
    <w:rsid w:val="002E7387"/>
    <w:rsid w:val="002F0532"/>
    <w:rsid w:val="002F0DAB"/>
    <w:rsid w:val="002F1AE6"/>
    <w:rsid w:val="002F2409"/>
    <w:rsid w:val="002F2A7A"/>
    <w:rsid w:val="002F3439"/>
    <w:rsid w:val="002F3CCD"/>
    <w:rsid w:val="002F4045"/>
    <w:rsid w:val="002F4C33"/>
    <w:rsid w:val="002F672E"/>
    <w:rsid w:val="002F779A"/>
    <w:rsid w:val="00301129"/>
    <w:rsid w:val="00301A6A"/>
    <w:rsid w:val="00301B0D"/>
    <w:rsid w:val="00301CBE"/>
    <w:rsid w:val="003044A0"/>
    <w:rsid w:val="00304761"/>
    <w:rsid w:val="003051FB"/>
    <w:rsid w:val="003073FD"/>
    <w:rsid w:val="0030740A"/>
    <w:rsid w:val="0030782A"/>
    <w:rsid w:val="00311F15"/>
    <w:rsid w:val="00312104"/>
    <w:rsid w:val="00313735"/>
    <w:rsid w:val="00313903"/>
    <w:rsid w:val="003151B3"/>
    <w:rsid w:val="003157D7"/>
    <w:rsid w:val="00315AC8"/>
    <w:rsid w:val="00316339"/>
    <w:rsid w:val="00317AEF"/>
    <w:rsid w:val="003209AA"/>
    <w:rsid w:val="003210F8"/>
    <w:rsid w:val="003217DC"/>
    <w:rsid w:val="003218EC"/>
    <w:rsid w:val="00321A87"/>
    <w:rsid w:val="003223ED"/>
    <w:rsid w:val="0032349E"/>
    <w:rsid w:val="00323855"/>
    <w:rsid w:val="003259AC"/>
    <w:rsid w:val="00325ED7"/>
    <w:rsid w:val="00326FE2"/>
    <w:rsid w:val="003276F0"/>
    <w:rsid w:val="00327FFD"/>
    <w:rsid w:val="00331A2F"/>
    <w:rsid w:val="00331DBC"/>
    <w:rsid w:val="0033234A"/>
    <w:rsid w:val="003325E6"/>
    <w:rsid w:val="00332AAB"/>
    <w:rsid w:val="003365BD"/>
    <w:rsid w:val="0033756A"/>
    <w:rsid w:val="0034039D"/>
    <w:rsid w:val="003408D6"/>
    <w:rsid w:val="00340A0F"/>
    <w:rsid w:val="00340D7E"/>
    <w:rsid w:val="0034157C"/>
    <w:rsid w:val="00341616"/>
    <w:rsid w:val="00342621"/>
    <w:rsid w:val="00342E6B"/>
    <w:rsid w:val="00344476"/>
    <w:rsid w:val="0034646D"/>
    <w:rsid w:val="003466F9"/>
    <w:rsid w:val="00347CD4"/>
    <w:rsid w:val="00347DAB"/>
    <w:rsid w:val="003503D1"/>
    <w:rsid w:val="00350CB6"/>
    <w:rsid w:val="003531F6"/>
    <w:rsid w:val="00353CFF"/>
    <w:rsid w:val="00354AB9"/>
    <w:rsid w:val="00355676"/>
    <w:rsid w:val="0035639E"/>
    <w:rsid w:val="0036018A"/>
    <w:rsid w:val="00361FA8"/>
    <w:rsid w:val="003624A7"/>
    <w:rsid w:val="00362B0B"/>
    <w:rsid w:val="00362FE5"/>
    <w:rsid w:val="00364362"/>
    <w:rsid w:val="003669B3"/>
    <w:rsid w:val="00370539"/>
    <w:rsid w:val="00370E2B"/>
    <w:rsid w:val="00371BD8"/>
    <w:rsid w:val="00371DC5"/>
    <w:rsid w:val="003720A9"/>
    <w:rsid w:val="00372B2E"/>
    <w:rsid w:val="00372B82"/>
    <w:rsid w:val="00374F35"/>
    <w:rsid w:val="00375832"/>
    <w:rsid w:val="00375DBE"/>
    <w:rsid w:val="0037715F"/>
    <w:rsid w:val="003774EE"/>
    <w:rsid w:val="00377B1E"/>
    <w:rsid w:val="00377F1B"/>
    <w:rsid w:val="00380A23"/>
    <w:rsid w:val="00381596"/>
    <w:rsid w:val="00382BC3"/>
    <w:rsid w:val="00383A82"/>
    <w:rsid w:val="00383D16"/>
    <w:rsid w:val="00383FB1"/>
    <w:rsid w:val="003842A3"/>
    <w:rsid w:val="0038501B"/>
    <w:rsid w:val="003876AF"/>
    <w:rsid w:val="00387D73"/>
    <w:rsid w:val="00390327"/>
    <w:rsid w:val="003908BB"/>
    <w:rsid w:val="00391A50"/>
    <w:rsid w:val="00391D39"/>
    <w:rsid w:val="00392317"/>
    <w:rsid w:val="00392ECB"/>
    <w:rsid w:val="00393483"/>
    <w:rsid w:val="00394968"/>
    <w:rsid w:val="00394CC7"/>
    <w:rsid w:val="0039714B"/>
    <w:rsid w:val="003972E2"/>
    <w:rsid w:val="003A009E"/>
    <w:rsid w:val="003A073B"/>
    <w:rsid w:val="003A2626"/>
    <w:rsid w:val="003A3A04"/>
    <w:rsid w:val="003A5921"/>
    <w:rsid w:val="003A5BFF"/>
    <w:rsid w:val="003A6122"/>
    <w:rsid w:val="003A6700"/>
    <w:rsid w:val="003A6A0D"/>
    <w:rsid w:val="003A7A81"/>
    <w:rsid w:val="003B009A"/>
    <w:rsid w:val="003B0247"/>
    <w:rsid w:val="003B0BEA"/>
    <w:rsid w:val="003B132B"/>
    <w:rsid w:val="003B1C0C"/>
    <w:rsid w:val="003B1DD4"/>
    <w:rsid w:val="003B2B63"/>
    <w:rsid w:val="003B4F10"/>
    <w:rsid w:val="003B57B0"/>
    <w:rsid w:val="003B5EF3"/>
    <w:rsid w:val="003B63B6"/>
    <w:rsid w:val="003B6A36"/>
    <w:rsid w:val="003B7057"/>
    <w:rsid w:val="003B741E"/>
    <w:rsid w:val="003B7755"/>
    <w:rsid w:val="003B7BA0"/>
    <w:rsid w:val="003C02EC"/>
    <w:rsid w:val="003C0A6A"/>
    <w:rsid w:val="003C1148"/>
    <w:rsid w:val="003C18F8"/>
    <w:rsid w:val="003C1F86"/>
    <w:rsid w:val="003C2896"/>
    <w:rsid w:val="003C36A0"/>
    <w:rsid w:val="003C4098"/>
    <w:rsid w:val="003C66C2"/>
    <w:rsid w:val="003C6E04"/>
    <w:rsid w:val="003C77C2"/>
    <w:rsid w:val="003D0078"/>
    <w:rsid w:val="003D0904"/>
    <w:rsid w:val="003D29F5"/>
    <w:rsid w:val="003D36C7"/>
    <w:rsid w:val="003D4ABB"/>
    <w:rsid w:val="003D7408"/>
    <w:rsid w:val="003E035F"/>
    <w:rsid w:val="003E06C7"/>
    <w:rsid w:val="003E1499"/>
    <w:rsid w:val="003E2240"/>
    <w:rsid w:val="003E2490"/>
    <w:rsid w:val="003E268C"/>
    <w:rsid w:val="003E2A55"/>
    <w:rsid w:val="003E36BB"/>
    <w:rsid w:val="003E3A88"/>
    <w:rsid w:val="003E3FCE"/>
    <w:rsid w:val="003E451E"/>
    <w:rsid w:val="003E519B"/>
    <w:rsid w:val="003E54CF"/>
    <w:rsid w:val="003E5D38"/>
    <w:rsid w:val="003E60D3"/>
    <w:rsid w:val="003E6613"/>
    <w:rsid w:val="003E6F60"/>
    <w:rsid w:val="003E70B5"/>
    <w:rsid w:val="003E71CA"/>
    <w:rsid w:val="003E7D39"/>
    <w:rsid w:val="003F0F7A"/>
    <w:rsid w:val="003F12B0"/>
    <w:rsid w:val="003F1319"/>
    <w:rsid w:val="003F16C4"/>
    <w:rsid w:val="003F1F02"/>
    <w:rsid w:val="003F21AE"/>
    <w:rsid w:val="003F3BA6"/>
    <w:rsid w:val="003F5CEC"/>
    <w:rsid w:val="003F5DF8"/>
    <w:rsid w:val="003F63CE"/>
    <w:rsid w:val="003F74A0"/>
    <w:rsid w:val="003F782E"/>
    <w:rsid w:val="004000FF"/>
    <w:rsid w:val="004007BF"/>
    <w:rsid w:val="00400A11"/>
    <w:rsid w:val="004031EF"/>
    <w:rsid w:val="00403A01"/>
    <w:rsid w:val="00404076"/>
    <w:rsid w:val="00406447"/>
    <w:rsid w:val="00407A84"/>
    <w:rsid w:val="00407F58"/>
    <w:rsid w:val="0041093B"/>
    <w:rsid w:val="00410EE4"/>
    <w:rsid w:val="004117E2"/>
    <w:rsid w:val="00411A62"/>
    <w:rsid w:val="0041381A"/>
    <w:rsid w:val="00414D08"/>
    <w:rsid w:val="004152CA"/>
    <w:rsid w:val="00415632"/>
    <w:rsid w:val="004164BE"/>
    <w:rsid w:val="00417148"/>
    <w:rsid w:val="004177EA"/>
    <w:rsid w:val="00420352"/>
    <w:rsid w:val="00421003"/>
    <w:rsid w:val="00422100"/>
    <w:rsid w:val="0042256A"/>
    <w:rsid w:val="00422CAF"/>
    <w:rsid w:val="00423224"/>
    <w:rsid w:val="0042359C"/>
    <w:rsid w:val="00425293"/>
    <w:rsid w:val="0042564A"/>
    <w:rsid w:val="00425D8B"/>
    <w:rsid w:val="00426048"/>
    <w:rsid w:val="004272CB"/>
    <w:rsid w:val="0042752F"/>
    <w:rsid w:val="00427EB9"/>
    <w:rsid w:val="00430F66"/>
    <w:rsid w:val="00430FD9"/>
    <w:rsid w:val="004310B4"/>
    <w:rsid w:val="00433532"/>
    <w:rsid w:val="004339C2"/>
    <w:rsid w:val="00433A7D"/>
    <w:rsid w:val="00434B79"/>
    <w:rsid w:val="004358E1"/>
    <w:rsid w:val="00436EF5"/>
    <w:rsid w:val="00437043"/>
    <w:rsid w:val="00440AFE"/>
    <w:rsid w:val="00441653"/>
    <w:rsid w:val="0044181E"/>
    <w:rsid w:val="00441F57"/>
    <w:rsid w:val="004429CB"/>
    <w:rsid w:val="00443845"/>
    <w:rsid w:val="0044411B"/>
    <w:rsid w:val="004442FA"/>
    <w:rsid w:val="00444A73"/>
    <w:rsid w:val="00445BF5"/>
    <w:rsid w:val="0044778B"/>
    <w:rsid w:val="00447871"/>
    <w:rsid w:val="004478F1"/>
    <w:rsid w:val="00447A9A"/>
    <w:rsid w:val="0045078F"/>
    <w:rsid w:val="00451099"/>
    <w:rsid w:val="0045264C"/>
    <w:rsid w:val="00452A78"/>
    <w:rsid w:val="004535E2"/>
    <w:rsid w:val="00453EF3"/>
    <w:rsid w:val="00454A32"/>
    <w:rsid w:val="0045558D"/>
    <w:rsid w:val="00455E5B"/>
    <w:rsid w:val="004564D4"/>
    <w:rsid w:val="00456A73"/>
    <w:rsid w:val="00456AF5"/>
    <w:rsid w:val="00457862"/>
    <w:rsid w:val="00461145"/>
    <w:rsid w:val="00462357"/>
    <w:rsid w:val="004623FC"/>
    <w:rsid w:val="00463583"/>
    <w:rsid w:val="00463A16"/>
    <w:rsid w:val="00463A19"/>
    <w:rsid w:val="0046421C"/>
    <w:rsid w:val="00464FE6"/>
    <w:rsid w:val="00465308"/>
    <w:rsid w:val="00465DF0"/>
    <w:rsid w:val="004664A1"/>
    <w:rsid w:val="00466E35"/>
    <w:rsid w:val="004672F1"/>
    <w:rsid w:val="0046776C"/>
    <w:rsid w:val="00467900"/>
    <w:rsid w:val="00470274"/>
    <w:rsid w:val="004706D0"/>
    <w:rsid w:val="00471C55"/>
    <w:rsid w:val="00472765"/>
    <w:rsid w:val="004737B5"/>
    <w:rsid w:val="00473A2A"/>
    <w:rsid w:val="00473DD2"/>
    <w:rsid w:val="004743F0"/>
    <w:rsid w:val="00475BBA"/>
    <w:rsid w:val="004767E3"/>
    <w:rsid w:val="0047768E"/>
    <w:rsid w:val="004776F7"/>
    <w:rsid w:val="0048058A"/>
    <w:rsid w:val="004821FF"/>
    <w:rsid w:val="00482D5E"/>
    <w:rsid w:val="00483423"/>
    <w:rsid w:val="00483D4E"/>
    <w:rsid w:val="004843D7"/>
    <w:rsid w:val="0048471F"/>
    <w:rsid w:val="0048474D"/>
    <w:rsid w:val="004853EC"/>
    <w:rsid w:val="00485A16"/>
    <w:rsid w:val="00485D3C"/>
    <w:rsid w:val="004861BA"/>
    <w:rsid w:val="00486F80"/>
    <w:rsid w:val="004871A7"/>
    <w:rsid w:val="0049081F"/>
    <w:rsid w:val="00490956"/>
    <w:rsid w:val="00490B2D"/>
    <w:rsid w:val="00490FF5"/>
    <w:rsid w:val="00491703"/>
    <w:rsid w:val="00491727"/>
    <w:rsid w:val="00491E71"/>
    <w:rsid w:val="00492863"/>
    <w:rsid w:val="00492FA4"/>
    <w:rsid w:val="0049399F"/>
    <w:rsid w:val="00493F03"/>
    <w:rsid w:val="00493FFE"/>
    <w:rsid w:val="00495E23"/>
    <w:rsid w:val="00497AF2"/>
    <w:rsid w:val="004A02E1"/>
    <w:rsid w:val="004A2B45"/>
    <w:rsid w:val="004A489E"/>
    <w:rsid w:val="004A7A0C"/>
    <w:rsid w:val="004A7A5A"/>
    <w:rsid w:val="004A7DDB"/>
    <w:rsid w:val="004B12F7"/>
    <w:rsid w:val="004B1CC3"/>
    <w:rsid w:val="004B1DEB"/>
    <w:rsid w:val="004B3E4A"/>
    <w:rsid w:val="004B4A6D"/>
    <w:rsid w:val="004B5886"/>
    <w:rsid w:val="004B599D"/>
    <w:rsid w:val="004B5E4F"/>
    <w:rsid w:val="004B6BE6"/>
    <w:rsid w:val="004B6C56"/>
    <w:rsid w:val="004B71DC"/>
    <w:rsid w:val="004B73F8"/>
    <w:rsid w:val="004B7EC7"/>
    <w:rsid w:val="004C0D82"/>
    <w:rsid w:val="004C0F6B"/>
    <w:rsid w:val="004C141A"/>
    <w:rsid w:val="004C18F6"/>
    <w:rsid w:val="004C2B3C"/>
    <w:rsid w:val="004C3D7B"/>
    <w:rsid w:val="004C42BD"/>
    <w:rsid w:val="004C474C"/>
    <w:rsid w:val="004C525F"/>
    <w:rsid w:val="004D0195"/>
    <w:rsid w:val="004D03D8"/>
    <w:rsid w:val="004D0BAB"/>
    <w:rsid w:val="004D1401"/>
    <w:rsid w:val="004D1832"/>
    <w:rsid w:val="004D1FA5"/>
    <w:rsid w:val="004D4F5A"/>
    <w:rsid w:val="004D5FB4"/>
    <w:rsid w:val="004D6825"/>
    <w:rsid w:val="004E272A"/>
    <w:rsid w:val="004E2749"/>
    <w:rsid w:val="004E4903"/>
    <w:rsid w:val="004E57E3"/>
    <w:rsid w:val="004E637E"/>
    <w:rsid w:val="004E65CD"/>
    <w:rsid w:val="004E6973"/>
    <w:rsid w:val="004E728B"/>
    <w:rsid w:val="004E7B14"/>
    <w:rsid w:val="004E7B85"/>
    <w:rsid w:val="004E7E87"/>
    <w:rsid w:val="004F03E6"/>
    <w:rsid w:val="004F0F3C"/>
    <w:rsid w:val="004F15E2"/>
    <w:rsid w:val="004F1C60"/>
    <w:rsid w:val="004F1D30"/>
    <w:rsid w:val="004F3B0D"/>
    <w:rsid w:val="004F4454"/>
    <w:rsid w:val="004F4FA2"/>
    <w:rsid w:val="004F7510"/>
    <w:rsid w:val="005007EC"/>
    <w:rsid w:val="005010E9"/>
    <w:rsid w:val="005012E5"/>
    <w:rsid w:val="00502DA7"/>
    <w:rsid w:val="0050323F"/>
    <w:rsid w:val="00504902"/>
    <w:rsid w:val="00506155"/>
    <w:rsid w:val="00506807"/>
    <w:rsid w:val="00507CEC"/>
    <w:rsid w:val="0051230B"/>
    <w:rsid w:val="005125A2"/>
    <w:rsid w:val="00512C30"/>
    <w:rsid w:val="00512F21"/>
    <w:rsid w:val="005142FE"/>
    <w:rsid w:val="0051441B"/>
    <w:rsid w:val="00514F30"/>
    <w:rsid w:val="00515014"/>
    <w:rsid w:val="00515164"/>
    <w:rsid w:val="00515734"/>
    <w:rsid w:val="005159A8"/>
    <w:rsid w:val="00517172"/>
    <w:rsid w:val="0051737D"/>
    <w:rsid w:val="005177C7"/>
    <w:rsid w:val="00520F7B"/>
    <w:rsid w:val="005218CA"/>
    <w:rsid w:val="00521EE8"/>
    <w:rsid w:val="00522B11"/>
    <w:rsid w:val="00522CE8"/>
    <w:rsid w:val="005232CD"/>
    <w:rsid w:val="005234C2"/>
    <w:rsid w:val="00524EF7"/>
    <w:rsid w:val="0052504B"/>
    <w:rsid w:val="005256D9"/>
    <w:rsid w:val="00526ECB"/>
    <w:rsid w:val="00527195"/>
    <w:rsid w:val="005317A7"/>
    <w:rsid w:val="005319D8"/>
    <w:rsid w:val="00531A51"/>
    <w:rsid w:val="00531AAA"/>
    <w:rsid w:val="00531D09"/>
    <w:rsid w:val="00531E36"/>
    <w:rsid w:val="00532A7E"/>
    <w:rsid w:val="00533050"/>
    <w:rsid w:val="005335DC"/>
    <w:rsid w:val="00533C16"/>
    <w:rsid w:val="00534E99"/>
    <w:rsid w:val="00535587"/>
    <w:rsid w:val="00536D7A"/>
    <w:rsid w:val="00540A43"/>
    <w:rsid w:val="00541814"/>
    <w:rsid w:val="005419A3"/>
    <w:rsid w:val="0054231B"/>
    <w:rsid w:val="005432DE"/>
    <w:rsid w:val="005448B4"/>
    <w:rsid w:val="00545A28"/>
    <w:rsid w:val="00545AC9"/>
    <w:rsid w:val="00545E4D"/>
    <w:rsid w:val="00545E5A"/>
    <w:rsid w:val="005467A4"/>
    <w:rsid w:val="005473CF"/>
    <w:rsid w:val="0055011F"/>
    <w:rsid w:val="00550BDA"/>
    <w:rsid w:val="00551353"/>
    <w:rsid w:val="00551B18"/>
    <w:rsid w:val="00551F5E"/>
    <w:rsid w:val="005523B6"/>
    <w:rsid w:val="0055267F"/>
    <w:rsid w:val="00552A72"/>
    <w:rsid w:val="005538D7"/>
    <w:rsid w:val="00555402"/>
    <w:rsid w:val="00556F5B"/>
    <w:rsid w:val="005571E5"/>
    <w:rsid w:val="00557CC4"/>
    <w:rsid w:val="00557CC5"/>
    <w:rsid w:val="00560907"/>
    <w:rsid w:val="00562845"/>
    <w:rsid w:val="0056370D"/>
    <w:rsid w:val="005642FC"/>
    <w:rsid w:val="0056466A"/>
    <w:rsid w:val="005658F6"/>
    <w:rsid w:val="00565C97"/>
    <w:rsid w:val="0056675B"/>
    <w:rsid w:val="005669C4"/>
    <w:rsid w:val="00567131"/>
    <w:rsid w:val="0056727E"/>
    <w:rsid w:val="00567C20"/>
    <w:rsid w:val="0057030D"/>
    <w:rsid w:val="005705B6"/>
    <w:rsid w:val="00570609"/>
    <w:rsid w:val="00570ED9"/>
    <w:rsid w:val="005710BF"/>
    <w:rsid w:val="00571BD7"/>
    <w:rsid w:val="00571DCF"/>
    <w:rsid w:val="00572B9C"/>
    <w:rsid w:val="00573105"/>
    <w:rsid w:val="00573679"/>
    <w:rsid w:val="005736DD"/>
    <w:rsid w:val="005749AC"/>
    <w:rsid w:val="00574DE2"/>
    <w:rsid w:val="00574FBB"/>
    <w:rsid w:val="0057633A"/>
    <w:rsid w:val="00576550"/>
    <w:rsid w:val="00576D60"/>
    <w:rsid w:val="005778EA"/>
    <w:rsid w:val="00577FCF"/>
    <w:rsid w:val="00580910"/>
    <w:rsid w:val="0058136B"/>
    <w:rsid w:val="0058266E"/>
    <w:rsid w:val="005826C6"/>
    <w:rsid w:val="00583BAC"/>
    <w:rsid w:val="00584340"/>
    <w:rsid w:val="005845B0"/>
    <w:rsid w:val="00584D91"/>
    <w:rsid w:val="00585EFD"/>
    <w:rsid w:val="005871BD"/>
    <w:rsid w:val="00587C7C"/>
    <w:rsid w:val="00587D7E"/>
    <w:rsid w:val="005902E8"/>
    <w:rsid w:val="00590F42"/>
    <w:rsid w:val="005917CD"/>
    <w:rsid w:val="005927A8"/>
    <w:rsid w:val="005927D1"/>
    <w:rsid w:val="00592EBF"/>
    <w:rsid w:val="00594497"/>
    <w:rsid w:val="005949D7"/>
    <w:rsid w:val="00594FCA"/>
    <w:rsid w:val="00595CDF"/>
    <w:rsid w:val="00595EBC"/>
    <w:rsid w:val="00595F2A"/>
    <w:rsid w:val="0059716A"/>
    <w:rsid w:val="005973B0"/>
    <w:rsid w:val="00597529"/>
    <w:rsid w:val="005A094A"/>
    <w:rsid w:val="005A0F6C"/>
    <w:rsid w:val="005A1219"/>
    <w:rsid w:val="005A181A"/>
    <w:rsid w:val="005A1890"/>
    <w:rsid w:val="005A2274"/>
    <w:rsid w:val="005A31E6"/>
    <w:rsid w:val="005A3849"/>
    <w:rsid w:val="005A3AAC"/>
    <w:rsid w:val="005A42BD"/>
    <w:rsid w:val="005A483D"/>
    <w:rsid w:val="005A543C"/>
    <w:rsid w:val="005A55C2"/>
    <w:rsid w:val="005A57A8"/>
    <w:rsid w:val="005A65AD"/>
    <w:rsid w:val="005A6CE6"/>
    <w:rsid w:val="005A6E8C"/>
    <w:rsid w:val="005A74B2"/>
    <w:rsid w:val="005B0436"/>
    <w:rsid w:val="005B2093"/>
    <w:rsid w:val="005B20C6"/>
    <w:rsid w:val="005B2402"/>
    <w:rsid w:val="005B2B69"/>
    <w:rsid w:val="005B2C96"/>
    <w:rsid w:val="005B3D2A"/>
    <w:rsid w:val="005B3E5E"/>
    <w:rsid w:val="005B52BB"/>
    <w:rsid w:val="005B52D3"/>
    <w:rsid w:val="005B594C"/>
    <w:rsid w:val="005B5BEB"/>
    <w:rsid w:val="005B60F7"/>
    <w:rsid w:val="005B7EC8"/>
    <w:rsid w:val="005C0ABA"/>
    <w:rsid w:val="005C2B29"/>
    <w:rsid w:val="005C2C60"/>
    <w:rsid w:val="005C2C92"/>
    <w:rsid w:val="005C3965"/>
    <w:rsid w:val="005C4044"/>
    <w:rsid w:val="005C4391"/>
    <w:rsid w:val="005C6D40"/>
    <w:rsid w:val="005C7521"/>
    <w:rsid w:val="005D0590"/>
    <w:rsid w:val="005D1D84"/>
    <w:rsid w:val="005D29B8"/>
    <w:rsid w:val="005D300A"/>
    <w:rsid w:val="005D39C8"/>
    <w:rsid w:val="005D4189"/>
    <w:rsid w:val="005D4809"/>
    <w:rsid w:val="005D6B80"/>
    <w:rsid w:val="005D78BC"/>
    <w:rsid w:val="005E0526"/>
    <w:rsid w:val="005E0D3D"/>
    <w:rsid w:val="005E1778"/>
    <w:rsid w:val="005E19C1"/>
    <w:rsid w:val="005E25B3"/>
    <w:rsid w:val="005E30D6"/>
    <w:rsid w:val="005E4C22"/>
    <w:rsid w:val="005E5214"/>
    <w:rsid w:val="005E7279"/>
    <w:rsid w:val="005E7BF7"/>
    <w:rsid w:val="005F0399"/>
    <w:rsid w:val="005F0BB5"/>
    <w:rsid w:val="005F183C"/>
    <w:rsid w:val="005F1BFB"/>
    <w:rsid w:val="005F1F26"/>
    <w:rsid w:val="005F2741"/>
    <w:rsid w:val="005F313E"/>
    <w:rsid w:val="005F3AB6"/>
    <w:rsid w:val="005F3D8F"/>
    <w:rsid w:val="005F44E8"/>
    <w:rsid w:val="005F5D96"/>
    <w:rsid w:val="005F664E"/>
    <w:rsid w:val="005F71C6"/>
    <w:rsid w:val="005F7215"/>
    <w:rsid w:val="00600A5D"/>
    <w:rsid w:val="006015BF"/>
    <w:rsid w:val="00601D30"/>
    <w:rsid w:val="00601F1B"/>
    <w:rsid w:val="00602874"/>
    <w:rsid w:val="00602F98"/>
    <w:rsid w:val="0060319C"/>
    <w:rsid w:val="006032DE"/>
    <w:rsid w:val="00603459"/>
    <w:rsid w:val="00603CDB"/>
    <w:rsid w:val="006043BD"/>
    <w:rsid w:val="00605ECA"/>
    <w:rsid w:val="00606972"/>
    <w:rsid w:val="00606997"/>
    <w:rsid w:val="00606B74"/>
    <w:rsid w:val="00606E00"/>
    <w:rsid w:val="006074CA"/>
    <w:rsid w:val="00607E9B"/>
    <w:rsid w:val="00607ECF"/>
    <w:rsid w:val="00610032"/>
    <w:rsid w:val="006118AF"/>
    <w:rsid w:val="00612268"/>
    <w:rsid w:val="0061289C"/>
    <w:rsid w:val="00612BAA"/>
    <w:rsid w:val="00613AFA"/>
    <w:rsid w:val="0061486C"/>
    <w:rsid w:val="00614D6A"/>
    <w:rsid w:val="00615440"/>
    <w:rsid w:val="00617749"/>
    <w:rsid w:val="00617A88"/>
    <w:rsid w:val="00617B0C"/>
    <w:rsid w:val="00617FF8"/>
    <w:rsid w:val="006211B9"/>
    <w:rsid w:val="00622D1C"/>
    <w:rsid w:val="00623256"/>
    <w:rsid w:val="00623874"/>
    <w:rsid w:val="00624061"/>
    <w:rsid w:val="006247BB"/>
    <w:rsid w:val="00625154"/>
    <w:rsid w:val="00627527"/>
    <w:rsid w:val="006276F2"/>
    <w:rsid w:val="00627F37"/>
    <w:rsid w:val="00630191"/>
    <w:rsid w:val="006318A6"/>
    <w:rsid w:val="00631B03"/>
    <w:rsid w:val="0063209F"/>
    <w:rsid w:val="00632328"/>
    <w:rsid w:val="006324E8"/>
    <w:rsid w:val="00632838"/>
    <w:rsid w:val="0064261B"/>
    <w:rsid w:val="00643BBC"/>
    <w:rsid w:val="00643C21"/>
    <w:rsid w:val="00644699"/>
    <w:rsid w:val="00644D59"/>
    <w:rsid w:val="00645B6B"/>
    <w:rsid w:val="00645E19"/>
    <w:rsid w:val="00646929"/>
    <w:rsid w:val="00646C61"/>
    <w:rsid w:val="006473FD"/>
    <w:rsid w:val="00647571"/>
    <w:rsid w:val="0065031F"/>
    <w:rsid w:val="00650719"/>
    <w:rsid w:val="00653C0C"/>
    <w:rsid w:val="006546E7"/>
    <w:rsid w:val="00654D20"/>
    <w:rsid w:val="00654FF6"/>
    <w:rsid w:val="00655C36"/>
    <w:rsid w:val="00660133"/>
    <w:rsid w:val="00660177"/>
    <w:rsid w:val="00660814"/>
    <w:rsid w:val="006608D0"/>
    <w:rsid w:val="00661636"/>
    <w:rsid w:val="0066274B"/>
    <w:rsid w:val="0066331D"/>
    <w:rsid w:val="00663729"/>
    <w:rsid w:val="00663E45"/>
    <w:rsid w:val="00665EB3"/>
    <w:rsid w:val="0066627C"/>
    <w:rsid w:val="00666467"/>
    <w:rsid w:val="0066721A"/>
    <w:rsid w:val="006673EA"/>
    <w:rsid w:val="00670523"/>
    <w:rsid w:val="0067057F"/>
    <w:rsid w:val="00670691"/>
    <w:rsid w:val="00674D52"/>
    <w:rsid w:val="00675986"/>
    <w:rsid w:val="00676141"/>
    <w:rsid w:val="006767C6"/>
    <w:rsid w:val="0067778B"/>
    <w:rsid w:val="006777C9"/>
    <w:rsid w:val="00680B25"/>
    <w:rsid w:val="00680CC0"/>
    <w:rsid w:val="006815EC"/>
    <w:rsid w:val="006838AB"/>
    <w:rsid w:val="006838B0"/>
    <w:rsid w:val="00683CF9"/>
    <w:rsid w:val="006840F0"/>
    <w:rsid w:val="00685B56"/>
    <w:rsid w:val="0068606C"/>
    <w:rsid w:val="006862F2"/>
    <w:rsid w:val="0068653D"/>
    <w:rsid w:val="006868C5"/>
    <w:rsid w:val="006900A1"/>
    <w:rsid w:val="00690498"/>
    <w:rsid w:val="00691158"/>
    <w:rsid w:val="00691B1C"/>
    <w:rsid w:val="00691F38"/>
    <w:rsid w:val="00693455"/>
    <w:rsid w:val="006934C5"/>
    <w:rsid w:val="006940D4"/>
    <w:rsid w:val="0069489A"/>
    <w:rsid w:val="00694DF8"/>
    <w:rsid w:val="00694E0B"/>
    <w:rsid w:val="0069584D"/>
    <w:rsid w:val="00695C22"/>
    <w:rsid w:val="00696762"/>
    <w:rsid w:val="00696A60"/>
    <w:rsid w:val="00697C34"/>
    <w:rsid w:val="006A03A7"/>
    <w:rsid w:val="006A0F3C"/>
    <w:rsid w:val="006A11AE"/>
    <w:rsid w:val="006A1792"/>
    <w:rsid w:val="006A293E"/>
    <w:rsid w:val="006A2D99"/>
    <w:rsid w:val="006A37E0"/>
    <w:rsid w:val="006A4A28"/>
    <w:rsid w:val="006A4AAC"/>
    <w:rsid w:val="006A5AD4"/>
    <w:rsid w:val="006A5DB7"/>
    <w:rsid w:val="006B0830"/>
    <w:rsid w:val="006B16BD"/>
    <w:rsid w:val="006B1863"/>
    <w:rsid w:val="006B21A8"/>
    <w:rsid w:val="006B23C6"/>
    <w:rsid w:val="006B2CD4"/>
    <w:rsid w:val="006B44A0"/>
    <w:rsid w:val="006B557B"/>
    <w:rsid w:val="006B5691"/>
    <w:rsid w:val="006B6FF6"/>
    <w:rsid w:val="006B7855"/>
    <w:rsid w:val="006B7FCF"/>
    <w:rsid w:val="006C09CA"/>
    <w:rsid w:val="006C1424"/>
    <w:rsid w:val="006C1BF2"/>
    <w:rsid w:val="006C1BF9"/>
    <w:rsid w:val="006C28FA"/>
    <w:rsid w:val="006C47E6"/>
    <w:rsid w:val="006C54E8"/>
    <w:rsid w:val="006C5A5D"/>
    <w:rsid w:val="006C6347"/>
    <w:rsid w:val="006C7FC4"/>
    <w:rsid w:val="006D068E"/>
    <w:rsid w:val="006D20C0"/>
    <w:rsid w:val="006D4093"/>
    <w:rsid w:val="006D48C1"/>
    <w:rsid w:val="006D4BFB"/>
    <w:rsid w:val="006D4DEE"/>
    <w:rsid w:val="006D6667"/>
    <w:rsid w:val="006D6970"/>
    <w:rsid w:val="006D6C57"/>
    <w:rsid w:val="006D6D20"/>
    <w:rsid w:val="006D7104"/>
    <w:rsid w:val="006D72F5"/>
    <w:rsid w:val="006D786B"/>
    <w:rsid w:val="006D7BB1"/>
    <w:rsid w:val="006D7EF6"/>
    <w:rsid w:val="006E0999"/>
    <w:rsid w:val="006E1226"/>
    <w:rsid w:val="006E30B0"/>
    <w:rsid w:val="006E32E4"/>
    <w:rsid w:val="006E3BEC"/>
    <w:rsid w:val="006E4E0C"/>
    <w:rsid w:val="006E4FCD"/>
    <w:rsid w:val="006E567A"/>
    <w:rsid w:val="006E5B57"/>
    <w:rsid w:val="006E7E7A"/>
    <w:rsid w:val="006F061F"/>
    <w:rsid w:val="006F0CB9"/>
    <w:rsid w:val="006F0D6B"/>
    <w:rsid w:val="006F141E"/>
    <w:rsid w:val="006F24F4"/>
    <w:rsid w:val="006F2B39"/>
    <w:rsid w:val="006F2E8D"/>
    <w:rsid w:val="006F384D"/>
    <w:rsid w:val="006F4E8F"/>
    <w:rsid w:val="006F51A3"/>
    <w:rsid w:val="006F54F9"/>
    <w:rsid w:val="006F5F8E"/>
    <w:rsid w:val="006F62BC"/>
    <w:rsid w:val="006F7501"/>
    <w:rsid w:val="006F7DE7"/>
    <w:rsid w:val="00701CD2"/>
    <w:rsid w:val="00701E26"/>
    <w:rsid w:val="007035B7"/>
    <w:rsid w:val="00703CE1"/>
    <w:rsid w:val="0070430B"/>
    <w:rsid w:val="007048E3"/>
    <w:rsid w:val="00704D1E"/>
    <w:rsid w:val="00705AA7"/>
    <w:rsid w:val="00706BF5"/>
    <w:rsid w:val="0070702E"/>
    <w:rsid w:val="00707657"/>
    <w:rsid w:val="00707DE1"/>
    <w:rsid w:val="0071014D"/>
    <w:rsid w:val="007102CF"/>
    <w:rsid w:val="00710946"/>
    <w:rsid w:val="007109AB"/>
    <w:rsid w:val="00710AC1"/>
    <w:rsid w:val="00711568"/>
    <w:rsid w:val="00711F57"/>
    <w:rsid w:val="00711F5F"/>
    <w:rsid w:val="007123F3"/>
    <w:rsid w:val="0071257F"/>
    <w:rsid w:val="00716BEA"/>
    <w:rsid w:val="00716C10"/>
    <w:rsid w:val="00717656"/>
    <w:rsid w:val="00717D38"/>
    <w:rsid w:val="00717EC1"/>
    <w:rsid w:val="0072053A"/>
    <w:rsid w:val="00721247"/>
    <w:rsid w:val="007223C0"/>
    <w:rsid w:val="00723954"/>
    <w:rsid w:val="007243D4"/>
    <w:rsid w:val="007245ED"/>
    <w:rsid w:val="00724BC1"/>
    <w:rsid w:val="00724E8E"/>
    <w:rsid w:val="00724FA3"/>
    <w:rsid w:val="00725687"/>
    <w:rsid w:val="0072598A"/>
    <w:rsid w:val="00726A46"/>
    <w:rsid w:val="00727405"/>
    <w:rsid w:val="007274E2"/>
    <w:rsid w:val="007304C8"/>
    <w:rsid w:val="00731AA2"/>
    <w:rsid w:val="00732365"/>
    <w:rsid w:val="00732481"/>
    <w:rsid w:val="007326BF"/>
    <w:rsid w:val="007328F3"/>
    <w:rsid w:val="00732913"/>
    <w:rsid w:val="00732F86"/>
    <w:rsid w:val="00733631"/>
    <w:rsid w:val="0073422E"/>
    <w:rsid w:val="00734B54"/>
    <w:rsid w:val="007351E5"/>
    <w:rsid w:val="00735A91"/>
    <w:rsid w:val="0073630C"/>
    <w:rsid w:val="00736643"/>
    <w:rsid w:val="00736A17"/>
    <w:rsid w:val="00736AF5"/>
    <w:rsid w:val="00737864"/>
    <w:rsid w:val="00740527"/>
    <w:rsid w:val="00741330"/>
    <w:rsid w:val="00742202"/>
    <w:rsid w:val="0074235B"/>
    <w:rsid w:val="00742CAB"/>
    <w:rsid w:val="007433F1"/>
    <w:rsid w:val="007438CC"/>
    <w:rsid w:val="00746CCD"/>
    <w:rsid w:val="0074754E"/>
    <w:rsid w:val="007508B5"/>
    <w:rsid w:val="00750D31"/>
    <w:rsid w:val="00751680"/>
    <w:rsid w:val="00751E3C"/>
    <w:rsid w:val="00752774"/>
    <w:rsid w:val="00752C55"/>
    <w:rsid w:val="007533BF"/>
    <w:rsid w:val="0075346D"/>
    <w:rsid w:val="00754D71"/>
    <w:rsid w:val="00756474"/>
    <w:rsid w:val="0075676D"/>
    <w:rsid w:val="00756BC2"/>
    <w:rsid w:val="00756EDA"/>
    <w:rsid w:val="007571A1"/>
    <w:rsid w:val="00757C7B"/>
    <w:rsid w:val="0076132D"/>
    <w:rsid w:val="00761536"/>
    <w:rsid w:val="00761621"/>
    <w:rsid w:val="00761BA8"/>
    <w:rsid w:val="00762C50"/>
    <w:rsid w:val="00762E6D"/>
    <w:rsid w:val="0076317C"/>
    <w:rsid w:val="0076398F"/>
    <w:rsid w:val="00763A9E"/>
    <w:rsid w:val="007640CA"/>
    <w:rsid w:val="0076512B"/>
    <w:rsid w:val="007708F6"/>
    <w:rsid w:val="00770B51"/>
    <w:rsid w:val="00771274"/>
    <w:rsid w:val="0077196D"/>
    <w:rsid w:val="00771BF0"/>
    <w:rsid w:val="00771C45"/>
    <w:rsid w:val="00772404"/>
    <w:rsid w:val="007739B7"/>
    <w:rsid w:val="00773C08"/>
    <w:rsid w:val="00774261"/>
    <w:rsid w:val="007747D7"/>
    <w:rsid w:val="007751E2"/>
    <w:rsid w:val="00775B3E"/>
    <w:rsid w:val="00775E10"/>
    <w:rsid w:val="00775EE5"/>
    <w:rsid w:val="007761FB"/>
    <w:rsid w:val="007764E9"/>
    <w:rsid w:val="00776766"/>
    <w:rsid w:val="00777767"/>
    <w:rsid w:val="007820CA"/>
    <w:rsid w:val="00782106"/>
    <w:rsid w:val="00782C45"/>
    <w:rsid w:val="007833EF"/>
    <w:rsid w:val="00783A4E"/>
    <w:rsid w:val="00784D91"/>
    <w:rsid w:val="00785338"/>
    <w:rsid w:val="00785358"/>
    <w:rsid w:val="00787103"/>
    <w:rsid w:val="00787593"/>
    <w:rsid w:val="00790165"/>
    <w:rsid w:val="00790CC8"/>
    <w:rsid w:val="0079524D"/>
    <w:rsid w:val="0079553A"/>
    <w:rsid w:val="00795FAE"/>
    <w:rsid w:val="00796944"/>
    <w:rsid w:val="00796DC2"/>
    <w:rsid w:val="0079773A"/>
    <w:rsid w:val="00797C63"/>
    <w:rsid w:val="007A063B"/>
    <w:rsid w:val="007A1349"/>
    <w:rsid w:val="007A14A5"/>
    <w:rsid w:val="007A14FF"/>
    <w:rsid w:val="007A174C"/>
    <w:rsid w:val="007A2F66"/>
    <w:rsid w:val="007A3048"/>
    <w:rsid w:val="007A3167"/>
    <w:rsid w:val="007A3E99"/>
    <w:rsid w:val="007A4A5E"/>
    <w:rsid w:val="007A4B45"/>
    <w:rsid w:val="007A58F0"/>
    <w:rsid w:val="007A5A62"/>
    <w:rsid w:val="007A6583"/>
    <w:rsid w:val="007A689D"/>
    <w:rsid w:val="007A6F6D"/>
    <w:rsid w:val="007A7ACC"/>
    <w:rsid w:val="007B1842"/>
    <w:rsid w:val="007B21FB"/>
    <w:rsid w:val="007B2806"/>
    <w:rsid w:val="007B323E"/>
    <w:rsid w:val="007B440C"/>
    <w:rsid w:val="007B6882"/>
    <w:rsid w:val="007B6E26"/>
    <w:rsid w:val="007B76D0"/>
    <w:rsid w:val="007B7BC0"/>
    <w:rsid w:val="007B7F55"/>
    <w:rsid w:val="007C0287"/>
    <w:rsid w:val="007C121A"/>
    <w:rsid w:val="007C1746"/>
    <w:rsid w:val="007C1777"/>
    <w:rsid w:val="007C1888"/>
    <w:rsid w:val="007C18F7"/>
    <w:rsid w:val="007C226F"/>
    <w:rsid w:val="007C3203"/>
    <w:rsid w:val="007C32BD"/>
    <w:rsid w:val="007C344A"/>
    <w:rsid w:val="007C389F"/>
    <w:rsid w:val="007C4B2A"/>
    <w:rsid w:val="007C4E21"/>
    <w:rsid w:val="007C58F4"/>
    <w:rsid w:val="007C5FFD"/>
    <w:rsid w:val="007C617B"/>
    <w:rsid w:val="007D07CC"/>
    <w:rsid w:val="007D0877"/>
    <w:rsid w:val="007D088A"/>
    <w:rsid w:val="007D08CE"/>
    <w:rsid w:val="007D0A58"/>
    <w:rsid w:val="007D4442"/>
    <w:rsid w:val="007D4AEB"/>
    <w:rsid w:val="007D5CB3"/>
    <w:rsid w:val="007D64EA"/>
    <w:rsid w:val="007D737F"/>
    <w:rsid w:val="007E0C39"/>
    <w:rsid w:val="007E110B"/>
    <w:rsid w:val="007E2135"/>
    <w:rsid w:val="007E2E25"/>
    <w:rsid w:val="007E3472"/>
    <w:rsid w:val="007E379D"/>
    <w:rsid w:val="007E3FBF"/>
    <w:rsid w:val="007E44B9"/>
    <w:rsid w:val="007E4D93"/>
    <w:rsid w:val="007E62E8"/>
    <w:rsid w:val="007E667A"/>
    <w:rsid w:val="007E71CB"/>
    <w:rsid w:val="007F0483"/>
    <w:rsid w:val="007F14B0"/>
    <w:rsid w:val="007F1E8C"/>
    <w:rsid w:val="007F3C25"/>
    <w:rsid w:val="007F4BA9"/>
    <w:rsid w:val="007F4D20"/>
    <w:rsid w:val="007F6882"/>
    <w:rsid w:val="007F6BE0"/>
    <w:rsid w:val="007F6EF6"/>
    <w:rsid w:val="007F7FFB"/>
    <w:rsid w:val="008015FE"/>
    <w:rsid w:val="00801DB8"/>
    <w:rsid w:val="00802433"/>
    <w:rsid w:val="0080399E"/>
    <w:rsid w:val="00805117"/>
    <w:rsid w:val="008054CF"/>
    <w:rsid w:val="00806C24"/>
    <w:rsid w:val="0080793F"/>
    <w:rsid w:val="00807C87"/>
    <w:rsid w:val="00811E6C"/>
    <w:rsid w:val="00811FB8"/>
    <w:rsid w:val="00812D8D"/>
    <w:rsid w:val="00812FCE"/>
    <w:rsid w:val="00813463"/>
    <w:rsid w:val="00813F1E"/>
    <w:rsid w:val="00814713"/>
    <w:rsid w:val="00815320"/>
    <w:rsid w:val="008158E1"/>
    <w:rsid w:val="00815B6F"/>
    <w:rsid w:val="00815CF7"/>
    <w:rsid w:val="00821306"/>
    <w:rsid w:val="00821BD8"/>
    <w:rsid w:val="00821ECE"/>
    <w:rsid w:val="0082338D"/>
    <w:rsid w:val="0082344E"/>
    <w:rsid w:val="0082387C"/>
    <w:rsid w:val="008259A6"/>
    <w:rsid w:val="0082637F"/>
    <w:rsid w:val="00826476"/>
    <w:rsid w:val="00826A14"/>
    <w:rsid w:val="00827F6E"/>
    <w:rsid w:val="0083048E"/>
    <w:rsid w:val="0083115C"/>
    <w:rsid w:val="00831763"/>
    <w:rsid w:val="00831E55"/>
    <w:rsid w:val="008334B1"/>
    <w:rsid w:val="00833F1D"/>
    <w:rsid w:val="00834086"/>
    <w:rsid w:val="00834B20"/>
    <w:rsid w:val="00834DBB"/>
    <w:rsid w:val="0083513D"/>
    <w:rsid w:val="008358C6"/>
    <w:rsid w:val="008358EC"/>
    <w:rsid w:val="008364B6"/>
    <w:rsid w:val="00836B2A"/>
    <w:rsid w:val="0083700A"/>
    <w:rsid w:val="00837227"/>
    <w:rsid w:val="0083754D"/>
    <w:rsid w:val="0083760B"/>
    <w:rsid w:val="0083762A"/>
    <w:rsid w:val="00837CFA"/>
    <w:rsid w:val="008406A2"/>
    <w:rsid w:val="008411C3"/>
    <w:rsid w:val="008412F7"/>
    <w:rsid w:val="00841419"/>
    <w:rsid w:val="00841C20"/>
    <w:rsid w:val="00844B69"/>
    <w:rsid w:val="00847566"/>
    <w:rsid w:val="00850A3B"/>
    <w:rsid w:val="008519CB"/>
    <w:rsid w:val="008522AB"/>
    <w:rsid w:val="008533FD"/>
    <w:rsid w:val="00854426"/>
    <w:rsid w:val="00854A43"/>
    <w:rsid w:val="00855F8A"/>
    <w:rsid w:val="0085603E"/>
    <w:rsid w:val="00857A80"/>
    <w:rsid w:val="00857ED7"/>
    <w:rsid w:val="008616CC"/>
    <w:rsid w:val="00861CE0"/>
    <w:rsid w:val="00862894"/>
    <w:rsid w:val="0086363F"/>
    <w:rsid w:val="0086408E"/>
    <w:rsid w:val="00864A64"/>
    <w:rsid w:val="0086540A"/>
    <w:rsid w:val="00865B71"/>
    <w:rsid w:val="00866069"/>
    <w:rsid w:val="008663F6"/>
    <w:rsid w:val="00866E6B"/>
    <w:rsid w:val="00867612"/>
    <w:rsid w:val="00867737"/>
    <w:rsid w:val="008678F2"/>
    <w:rsid w:val="00870399"/>
    <w:rsid w:val="008719F4"/>
    <w:rsid w:val="00871F43"/>
    <w:rsid w:val="00872D58"/>
    <w:rsid w:val="0087381F"/>
    <w:rsid w:val="00873ACA"/>
    <w:rsid w:val="00875121"/>
    <w:rsid w:val="008759AC"/>
    <w:rsid w:val="00876B97"/>
    <w:rsid w:val="008773FC"/>
    <w:rsid w:val="008777D1"/>
    <w:rsid w:val="008807A8"/>
    <w:rsid w:val="00882003"/>
    <w:rsid w:val="0088314A"/>
    <w:rsid w:val="00883431"/>
    <w:rsid w:val="008840F7"/>
    <w:rsid w:val="00885286"/>
    <w:rsid w:val="008854BB"/>
    <w:rsid w:val="008857F5"/>
    <w:rsid w:val="0088626E"/>
    <w:rsid w:val="00886578"/>
    <w:rsid w:val="00886A4E"/>
    <w:rsid w:val="00887304"/>
    <w:rsid w:val="00887B00"/>
    <w:rsid w:val="00890462"/>
    <w:rsid w:val="00891451"/>
    <w:rsid w:val="00891B3D"/>
    <w:rsid w:val="00891E40"/>
    <w:rsid w:val="0089326F"/>
    <w:rsid w:val="008936B5"/>
    <w:rsid w:val="00896DDB"/>
    <w:rsid w:val="0089727A"/>
    <w:rsid w:val="00897652"/>
    <w:rsid w:val="008A1756"/>
    <w:rsid w:val="008A2033"/>
    <w:rsid w:val="008A2975"/>
    <w:rsid w:val="008A624F"/>
    <w:rsid w:val="008A71EF"/>
    <w:rsid w:val="008A7209"/>
    <w:rsid w:val="008B0BFC"/>
    <w:rsid w:val="008B0DDD"/>
    <w:rsid w:val="008B1278"/>
    <w:rsid w:val="008B2619"/>
    <w:rsid w:val="008B26BC"/>
    <w:rsid w:val="008B3160"/>
    <w:rsid w:val="008B36C4"/>
    <w:rsid w:val="008B3ECA"/>
    <w:rsid w:val="008B523C"/>
    <w:rsid w:val="008B5867"/>
    <w:rsid w:val="008B59F4"/>
    <w:rsid w:val="008B6859"/>
    <w:rsid w:val="008B6F44"/>
    <w:rsid w:val="008B75ED"/>
    <w:rsid w:val="008C06FB"/>
    <w:rsid w:val="008C0A84"/>
    <w:rsid w:val="008C0AFB"/>
    <w:rsid w:val="008C1630"/>
    <w:rsid w:val="008C16B7"/>
    <w:rsid w:val="008C1BE9"/>
    <w:rsid w:val="008C2E1F"/>
    <w:rsid w:val="008C3095"/>
    <w:rsid w:val="008C3A1C"/>
    <w:rsid w:val="008C3E85"/>
    <w:rsid w:val="008C4302"/>
    <w:rsid w:val="008C4A3B"/>
    <w:rsid w:val="008C6A15"/>
    <w:rsid w:val="008C73EB"/>
    <w:rsid w:val="008C794C"/>
    <w:rsid w:val="008D0658"/>
    <w:rsid w:val="008D09B4"/>
    <w:rsid w:val="008D0D42"/>
    <w:rsid w:val="008D1122"/>
    <w:rsid w:val="008D204A"/>
    <w:rsid w:val="008D226A"/>
    <w:rsid w:val="008D3785"/>
    <w:rsid w:val="008D3CDF"/>
    <w:rsid w:val="008D44A9"/>
    <w:rsid w:val="008D499C"/>
    <w:rsid w:val="008D4B61"/>
    <w:rsid w:val="008D5352"/>
    <w:rsid w:val="008D5D10"/>
    <w:rsid w:val="008D63A4"/>
    <w:rsid w:val="008D68F0"/>
    <w:rsid w:val="008D7BEF"/>
    <w:rsid w:val="008D7EFD"/>
    <w:rsid w:val="008D7FCA"/>
    <w:rsid w:val="008E1898"/>
    <w:rsid w:val="008E23B4"/>
    <w:rsid w:val="008E2438"/>
    <w:rsid w:val="008E2449"/>
    <w:rsid w:val="008E3748"/>
    <w:rsid w:val="008E3B81"/>
    <w:rsid w:val="008E3DFC"/>
    <w:rsid w:val="008E4232"/>
    <w:rsid w:val="008E5785"/>
    <w:rsid w:val="008E5AA2"/>
    <w:rsid w:val="008E7314"/>
    <w:rsid w:val="008F07D8"/>
    <w:rsid w:val="008F0C42"/>
    <w:rsid w:val="008F0E62"/>
    <w:rsid w:val="008F0ECC"/>
    <w:rsid w:val="008F16BD"/>
    <w:rsid w:val="008F1705"/>
    <w:rsid w:val="008F2E88"/>
    <w:rsid w:val="008F4799"/>
    <w:rsid w:val="008F7620"/>
    <w:rsid w:val="008F7E23"/>
    <w:rsid w:val="008F7EBA"/>
    <w:rsid w:val="0090043F"/>
    <w:rsid w:val="009013A9"/>
    <w:rsid w:val="00901705"/>
    <w:rsid w:val="00901A2D"/>
    <w:rsid w:val="009020C2"/>
    <w:rsid w:val="0090263F"/>
    <w:rsid w:val="00904335"/>
    <w:rsid w:val="00906173"/>
    <w:rsid w:val="00906A6F"/>
    <w:rsid w:val="00907523"/>
    <w:rsid w:val="00910E2B"/>
    <w:rsid w:val="00911305"/>
    <w:rsid w:val="00911726"/>
    <w:rsid w:val="00914151"/>
    <w:rsid w:val="00914352"/>
    <w:rsid w:val="00914D85"/>
    <w:rsid w:val="00915C5F"/>
    <w:rsid w:val="009168C0"/>
    <w:rsid w:val="00920A3B"/>
    <w:rsid w:val="00921994"/>
    <w:rsid w:val="009233EF"/>
    <w:rsid w:val="00923C89"/>
    <w:rsid w:val="00924B4C"/>
    <w:rsid w:val="00925025"/>
    <w:rsid w:val="00925914"/>
    <w:rsid w:val="00925DF8"/>
    <w:rsid w:val="00926619"/>
    <w:rsid w:val="009266DF"/>
    <w:rsid w:val="00926863"/>
    <w:rsid w:val="0092745B"/>
    <w:rsid w:val="009301D6"/>
    <w:rsid w:val="00930633"/>
    <w:rsid w:val="009311D7"/>
    <w:rsid w:val="00931BC4"/>
    <w:rsid w:val="00931C94"/>
    <w:rsid w:val="00931CE2"/>
    <w:rsid w:val="00931DD1"/>
    <w:rsid w:val="00931E13"/>
    <w:rsid w:val="00932718"/>
    <w:rsid w:val="00932D27"/>
    <w:rsid w:val="00933088"/>
    <w:rsid w:val="009335DC"/>
    <w:rsid w:val="00934DFF"/>
    <w:rsid w:val="009364BA"/>
    <w:rsid w:val="00936836"/>
    <w:rsid w:val="00936BBC"/>
    <w:rsid w:val="00937F51"/>
    <w:rsid w:val="00940898"/>
    <w:rsid w:val="00941E7F"/>
    <w:rsid w:val="00941FB4"/>
    <w:rsid w:val="00942341"/>
    <w:rsid w:val="00942590"/>
    <w:rsid w:val="00942F8C"/>
    <w:rsid w:val="009434A8"/>
    <w:rsid w:val="0094364C"/>
    <w:rsid w:val="00943F8E"/>
    <w:rsid w:val="00943FEA"/>
    <w:rsid w:val="009446C7"/>
    <w:rsid w:val="00945155"/>
    <w:rsid w:val="0094516B"/>
    <w:rsid w:val="009459C6"/>
    <w:rsid w:val="00945E66"/>
    <w:rsid w:val="009470FE"/>
    <w:rsid w:val="009476A3"/>
    <w:rsid w:val="009477B6"/>
    <w:rsid w:val="009519E9"/>
    <w:rsid w:val="00951B9C"/>
    <w:rsid w:val="00952443"/>
    <w:rsid w:val="00952B7B"/>
    <w:rsid w:val="00955FFD"/>
    <w:rsid w:val="00956668"/>
    <w:rsid w:val="009568D4"/>
    <w:rsid w:val="00956E67"/>
    <w:rsid w:val="00957083"/>
    <w:rsid w:val="00957099"/>
    <w:rsid w:val="00957B08"/>
    <w:rsid w:val="0096023C"/>
    <w:rsid w:val="00961A0F"/>
    <w:rsid w:val="009620AA"/>
    <w:rsid w:val="009620D1"/>
    <w:rsid w:val="00962111"/>
    <w:rsid w:val="009626BF"/>
    <w:rsid w:val="00962714"/>
    <w:rsid w:val="00963163"/>
    <w:rsid w:val="00963345"/>
    <w:rsid w:val="00964B93"/>
    <w:rsid w:val="0096672A"/>
    <w:rsid w:val="009676E9"/>
    <w:rsid w:val="0096770E"/>
    <w:rsid w:val="00970E2C"/>
    <w:rsid w:val="009737AE"/>
    <w:rsid w:val="00975224"/>
    <w:rsid w:val="00976D1F"/>
    <w:rsid w:val="00977565"/>
    <w:rsid w:val="00977A8F"/>
    <w:rsid w:val="00980050"/>
    <w:rsid w:val="0098194B"/>
    <w:rsid w:val="00981D9E"/>
    <w:rsid w:val="009836D4"/>
    <w:rsid w:val="00983DA8"/>
    <w:rsid w:val="00984CD3"/>
    <w:rsid w:val="00985105"/>
    <w:rsid w:val="009851D5"/>
    <w:rsid w:val="009853C0"/>
    <w:rsid w:val="00985B4D"/>
    <w:rsid w:val="00986291"/>
    <w:rsid w:val="009910CD"/>
    <w:rsid w:val="00991311"/>
    <w:rsid w:val="0099197D"/>
    <w:rsid w:val="00992528"/>
    <w:rsid w:val="00992E75"/>
    <w:rsid w:val="00993F7C"/>
    <w:rsid w:val="00995764"/>
    <w:rsid w:val="00995B1C"/>
    <w:rsid w:val="0099649E"/>
    <w:rsid w:val="0099684B"/>
    <w:rsid w:val="009969FD"/>
    <w:rsid w:val="00997496"/>
    <w:rsid w:val="009A000F"/>
    <w:rsid w:val="009A0685"/>
    <w:rsid w:val="009A0A64"/>
    <w:rsid w:val="009A2D8F"/>
    <w:rsid w:val="009A5EF2"/>
    <w:rsid w:val="009A6E0E"/>
    <w:rsid w:val="009A6E38"/>
    <w:rsid w:val="009A7549"/>
    <w:rsid w:val="009A7E75"/>
    <w:rsid w:val="009B0008"/>
    <w:rsid w:val="009B000D"/>
    <w:rsid w:val="009B0A26"/>
    <w:rsid w:val="009B0F77"/>
    <w:rsid w:val="009B12AF"/>
    <w:rsid w:val="009B1575"/>
    <w:rsid w:val="009B1A4A"/>
    <w:rsid w:val="009B30BD"/>
    <w:rsid w:val="009B37DA"/>
    <w:rsid w:val="009B3F32"/>
    <w:rsid w:val="009B5F12"/>
    <w:rsid w:val="009B768A"/>
    <w:rsid w:val="009C0863"/>
    <w:rsid w:val="009C086D"/>
    <w:rsid w:val="009C2633"/>
    <w:rsid w:val="009C282A"/>
    <w:rsid w:val="009C2C0D"/>
    <w:rsid w:val="009C2E8D"/>
    <w:rsid w:val="009C2ECC"/>
    <w:rsid w:val="009C41EB"/>
    <w:rsid w:val="009C443A"/>
    <w:rsid w:val="009C4839"/>
    <w:rsid w:val="009C48B3"/>
    <w:rsid w:val="009C5B76"/>
    <w:rsid w:val="009C6FB4"/>
    <w:rsid w:val="009C7559"/>
    <w:rsid w:val="009C7C23"/>
    <w:rsid w:val="009D020E"/>
    <w:rsid w:val="009D2857"/>
    <w:rsid w:val="009D3370"/>
    <w:rsid w:val="009D3A10"/>
    <w:rsid w:val="009D66EC"/>
    <w:rsid w:val="009E04C0"/>
    <w:rsid w:val="009E0794"/>
    <w:rsid w:val="009E186E"/>
    <w:rsid w:val="009E18D2"/>
    <w:rsid w:val="009E2234"/>
    <w:rsid w:val="009E281D"/>
    <w:rsid w:val="009E3340"/>
    <w:rsid w:val="009E3DFB"/>
    <w:rsid w:val="009E4438"/>
    <w:rsid w:val="009E5194"/>
    <w:rsid w:val="009E5B46"/>
    <w:rsid w:val="009E60B2"/>
    <w:rsid w:val="009E78D5"/>
    <w:rsid w:val="009F3269"/>
    <w:rsid w:val="009F3790"/>
    <w:rsid w:val="009F38C4"/>
    <w:rsid w:val="009F3F40"/>
    <w:rsid w:val="009F4364"/>
    <w:rsid w:val="009F4511"/>
    <w:rsid w:val="009F50FB"/>
    <w:rsid w:val="009F537A"/>
    <w:rsid w:val="009F61E2"/>
    <w:rsid w:val="009F6313"/>
    <w:rsid w:val="009F6857"/>
    <w:rsid w:val="009F79D5"/>
    <w:rsid w:val="009F7AEC"/>
    <w:rsid w:val="00A01A87"/>
    <w:rsid w:val="00A02DB2"/>
    <w:rsid w:val="00A03426"/>
    <w:rsid w:val="00A05185"/>
    <w:rsid w:val="00A05F1C"/>
    <w:rsid w:val="00A068FB"/>
    <w:rsid w:val="00A0745F"/>
    <w:rsid w:val="00A10F72"/>
    <w:rsid w:val="00A1288D"/>
    <w:rsid w:val="00A13BFC"/>
    <w:rsid w:val="00A142FE"/>
    <w:rsid w:val="00A1478E"/>
    <w:rsid w:val="00A16B30"/>
    <w:rsid w:val="00A16BD8"/>
    <w:rsid w:val="00A16EDF"/>
    <w:rsid w:val="00A1751E"/>
    <w:rsid w:val="00A20C47"/>
    <w:rsid w:val="00A20D7A"/>
    <w:rsid w:val="00A21923"/>
    <w:rsid w:val="00A21A08"/>
    <w:rsid w:val="00A21C15"/>
    <w:rsid w:val="00A21C64"/>
    <w:rsid w:val="00A21FBB"/>
    <w:rsid w:val="00A22F6B"/>
    <w:rsid w:val="00A25142"/>
    <w:rsid w:val="00A26016"/>
    <w:rsid w:val="00A269B7"/>
    <w:rsid w:val="00A272CB"/>
    <w:rsid w:val="00A27795"/>
    <w:rsid w:val="00A27852"/>
    <w:rsid w:val="00A27962"/>
    <w:rsid w:val="00A3002D"/>
    <w:rsid w:val="00A30B69"/>
    <w:rsid w:val="00A30DC5"/>
    <w:rsid w:val="00A329D3"/>
    <w:rsid w:val="00A3375D"/>
    <w:rsid w:val="00A33F0C"/>
    <w:rsid w:val="00A34ADA"/>
    <w:rsid w:val="00A351CA"/>
    <w:rsid w:val="00A35237"/>
    <w:rsid w:val="00A354A0"/>
    <w:rsid w:val="00A35703"/>
    <w:rsid w:val="00A365BA"/>
    <w:rsid w:val="00A37746"/>
    <w:rsid w:val="00A401C8"/>
    <w:rsid w:val="00A4048F"/>
    <w:rsid w:val="00A431FA"/>
    <w:rsid w:val="00A43AE9"/>
    <w:rsid w:val="00A43ED8"/>
    <w:rsid w:val="00A443B6"/>
    <w:rsid w:val="00A44B75"/>
    <w:rsid w:val="00A4555E"/>
    <w:rsid w:val="00A45907"/>
    <w:rsid w:val="00A4610B"/>
    <w:rsid w:val="00A4614A"/>
    <w:rsid w:val="00A5063A"/>
    <w:rsid w:val="00A50B3B"/>
    <w:rsid w:val="00A5108A"/>
    <w:rsid w:val="00A511D8"/>
    <w:rsid w:val="00A52308"/>
    <w:rsid w:val="00A523C5"/>
    <w:rsid w:val="00A52EB2"/>
    <w:rsid w:val="00A53AE5"/>
    <w:rsid w:val="00A545FE"/>
    <w:rsid w:val="00A546FA"/>
    <w:rsid w:val="00A54FCB"/>
    <w:rsid w:val="00A552FA"/>
    <w:rsid w:val="00A55ECD"/>
    <w:rsid w:val="00A56ABD"/>
    <w:rsid w:val="00A60927"/>
    <w:rsid w:val="00A6101A"/>
    <w:rsid w:val="00A6230F"/>
    <w:rsid w:val="00A636D2"/>
    <w:rsid w:val="00A637AA"/>
    <w:rsid w:val="00A639F9"/>
    <w:rsid w:val="00A6434A"/>
    <w:rsid w:val="00A6449F"/>
    <w:rsid w:val="00A658BC"/>
    <w:rsid w:val="00A65FBB"/>
    <w:rsid w:val="00A66306"/>
    <w:rsid w:val="00A668B9"/>
    <w:rsid w:val="00A7083C"/>
    <w:rsid w:val="00A71D1F"/>
    <w:rsid w:val="00A722F9"/>
    <w:rsid w:val="00A72A0F"/>
    <w:rsid w:val="00A73015"/>
    <w:rsid w:val="00A73B73"/>
    <w:rsid w:val="00A74490"/>
    <w:rsid w:val="00A755D0"/>
    <w:rsid w:val="00A75777"/>
    <w:rsid w:val="00A75E63"/>
    <w:rsid w:val="00A76739"/>
    <w:rsid w:val="00A7698D"/>
    <w:rsid w:val="00A76B13"/>
    <w:rsid w:val="00A76FF8"/>
    <w:rsid w:val="00A774EC"/>
    <w:rsid w:val="00A77801"/>
    <w:rsid w:val="00A77F77"/>
    <w:rsid w:val="00A808AC"/>
    <w:rsid w:val="00A81297"/>
    <w:rsid w:val="00A81ED5"/>
    <w:rsid w:val="00A82912"/>
    <w:rsid w:val="00A82F3D"/>
    <w:rsid w:val="00A833D0"/>
    <w:rsid w:val="00A83D76"/>
    <w:rsid w:val="00A83EB3"/>
    <w:rsid w:val="00A8431A"/>
    <w:rsid w:val="00A84C4D"/>
    <w:rsid w:val="00A84F3B"/>
    <w:rsid w:val="00A85B12"/>
    <w:rsid w:val="00A87C4D"/>
    <w:rsid w:val="00A90103"/>
    <w:rsid w:val="00A90715"/>
    <w:rsid w:val="00A9183A"/>
    <w:rsid w:val="00A91E6A"/>
    <w:rsid w:val="00A91F1F"/>
    <w:rsid w:val="00A92844"/>
    <w:rsid w:val="00A944CD"/>
    <w:rsid w:val="00A94866"/>
    <w:rsid w:val="00A948C5"/>
    <w:rsid w:val="00A9518E"/>
    <w:rsid w:val="00A95722"/>
    <w:rsid w:val="00A96162"/>
    <w:rsid w:val="00A968BA"/>
    <w:rsid w:val="00A9709E"/>
    <w:rsid w:val="00A972CE"/>
    <w:rsid w:val="00A97696"/>
    <w:rsid w:val="00A97DCF"/>
    <w:rsid w:val="00A97FE8"/>
    <w:rsid w:val="00AA1108"/>
    <w:rsid w:val="00AA3494"/>
    <w:rsid w:val="00AA34A5"/>
    <w:rsid w:val="00AA3C81"/>
    <w:rsid w:val="00AA7C7E"/>
    <w:rsid w:val="00AA7CA2"/>
    <w:rsid w:val="00AB07CF"/>
    <w:rsid w:val="00AB09F8"/>
    <w:rsid w:val="00AB14CB"/>
    <w:rsid w:val="00AB2084"/>
    <w:rsid w:val="00AB32B6"/>
    <w:rsid w:val="00AB3763"/>
    <w:rsid w:val="00AB40C5"/>
    <w:rsid w:val="00AB4198"/>
    <w:rsid w:val="00AB5D8C"/>
    <w:rsid w:val="00AB5F90"/>
    <w:rsid w:val="00AB6E5F"/>
    <w:rsid w:val="00AB79BE"/>
    <w:rsid w:val="00AB7AC2"/>
    <w:rsid w:val="00AC048E"/>
    <w:rsid w:val="00AC24B6"/>
    <w:rsid w:val="00AC4E93"/>
    <w:rsid w:val="00AC6D63"/>
    <w:rsid w:val="00AC7523"/>
    <w:rsid w:val="00AC764E"/>
    <w:rsid w:val="00AD0B7D"/>
    <w:rsid w:val="00AD0FBB"/>
    <w:rsid w:val="00AD14A1"/>
    <w:rsid w:val="00AD1510"/>
    <w:rsid w:val="00AD15E7"/>
    <w:rsid w:val="00AD182F"/>
    <w:rsid w:val="00AD196B"/>
    <w:rsid w:val="00AD2959"/>
    <w:rsid w:val="00AD2B0C"/>
    <w:rsid w:val="00AD2DF6"/>
    <w:rsid w:val="00AD4205"/>
    <w:rsid w:val="00AD4F0F"/>
    <w:rsid w:val="00AD6567"/>
    <w:rsid w:val="00AD67CA"/>
    <w:rsid w:val="00AD7CD5"/>
    <w:rsid w:val="00AE0402"/>
    <w:rsid w:val="00AE0964"/>
    <w:rsid w:val="00AE09EC"/>
    <w:rsid w:val="00AE2496"/>
    <w:rsid w:val="00AE25BB"/>
    <w:rsid w:val="00AE2E63"/>
    <w:rsid w:val="00AE3137"/>
    <w:rsid w:val="00AE3AC0"/>
    <w:rsid w:val="00AE4716"/>
    <w:rsid w:val="00AE4925"/>
    <w:rsid w:val="00AE4D86"/>
    <w:rsid w:val="00AE507E"/>
    <w:rsid w:val="00AE5E20"/>
    <w:rsid w:val="00AE5F3C"/>
    <w:rsid w:val="00AE657A"/>
    <w:rsid w:val="00AE6D2B"/>
    <w:rsid w:val="00AE6E8D"/>
    <w:rsid w:val="00AE79CD"/>
    <w:rsid w:val="00AF06FE"/>
    <w:rsid w:val="00AF1196"/>
    <w:rsid w:val="00AF19BA"/>
    <w:rsid w:val="00AF1AF3"/>
    <w:rsid w:val="00AF1D73"/>
    <w:rsid w:val="00AF3407"/>
    <w:rsid w:val="00AF3A4A"/>
    <w:rsid w:val="00AF4673"/>
    <w:rsid w:val="00AF47EA"/>
    <w:rsid w:val="00AF5011"/>
    <w:rsid w:val="00AF5CC2"/>
    <w:rsid w:val="00AF5D98"/>
    <w:rsid w:val="00AF624C"/>
    <w:rsid w:val="00AF6B35"/>
    <w:rsid w:val="00AF6EB4"/>
    <w:rsid w:val="00AF6F68"/>
    <w:rsid w:val="00AF79BC"/>
    <w:rsid w:val="00B0274F"/>
    <w:rsid w:val="00B03457"/>
    <w:rsid w:val="00B0353A"/>
    <w:rsid w:val="00B036B3"/>
    <w:rsid w:val="00B03914"/>
    <w:rsid w:val="00B03D97"/>
    <w:rsid w:val="00B04781"/>
    <w:rsid w:val="00B04AED"/>
    <w:rsid w:val="00B04C3C"/>
    <w:rsid w:val="00B05081"/>
    <w:rsid w:val="00B05BF3"/>
    <w:rsid w:val="00B05D99"/>
    <w:rsid w:val="00B05E6D"/>
    <w:rsid w:val="00B05E8C"/>
    <w:rsid w:val="00B06DBB"/>
    <w:rsid w:val="00B102F9"/>
    <w:rsid w:val="00B10D2D"/>
    <w:rsid w:val="00B11648"/>
    <w:rsid w:val="00B11B52"/>
    <w:rsid w:val="00B11C64"/>
    <w:rsid w:val="00B13E8F"/>
    <w:rsid w:val="00B15BFA"/>
    <w:rsid w:val="00B175B8"/>
    <w:rsid w:val="00B201F1"/>
    <w:rsid w:val="00B20622"/>
    <w:rsid w:val="00B2099F"/>
    <w:rsid w:val="00B209DD"/>
    <w:rsid w:val="00B2145E"/>
    <w:rsid w:val="00B214F7"/>
    <w:rsid w:val="00B21D56"/>
    <w:rsid w:val="00B21DC2"/>
    <w:rsid w:val="00B2204F"/>
    <w:rsid w:val="00B220B8"/>
    <w:rsid w:val="00B226B5"/>
    <w:rsid w:val="00B23622"/>
    <w:rsid w:val="00B23C40"/>
    <w:rsid w:val="00B24837"/>
    <w:rsid w:val="00B25039"/>
    <w:rsid w:val="00B2655B"/>
    <w:rsid w:val="00B26A43"/>
    <w:rsid w:val="00B26E57"/>
    <w:rsid w:val="00B278B1"/>
    <w:rsid w:val="00B27F73"/>
    <w:rsid w:val="00B3059D"/>
    <w:rsid w:val="00B305E5"/>
    <w:rsid w:val="00B313B2"/>
    <w:rsid w:val="00B32A4D"/>
    <w:rsid w:val="00B32EBC"/>
    <w:rsid w:val="00B339D0"/>
    <w:rsid w:val="00B33C9E"/>
    <w:rsid w:val="00B34080"/>
    <w:rsid w:val="00B349D5"/>
    <w:rsid w:val="00B34F4D"/>
    <w:rsid w:val="00B35234"/>
    <w:rsid w:val="00B360CF"/>
    <w:rsid w:val="00B362A2"/>
    <w:rsid w:val="00B36F24"/>
    <w:rsid w:val="00B406C9"/>
    <w:rsid w:val="00B412C5"/>
    <w:rsid w:val="00B41E05"/>
    <w:rsid w:val="00B425D2"/>
    <w:rsid w:val="00B42AC3"/>
    <w:rsid w:val="00B43021"/>
    <w:rsid w:val="00B43872"/>
    <w:rsid w:val="00B44B17"/>
    <w:rsid w:val="00B459D5"/>
    <w:rsid w:val="00B45BB1"/>
    <w:rsid w:val="00B46374"/>
    <w:rsid w:val="00B46815"/>
    <w:rsid w:val="00B46EAC"/>
    <w:rsid w:val="00B473C5"/>
    <w:rsid w:val="00B509D0"/>
    <w:rsid w:val="00B51CBB"/>
    <w:rsid w:val="00B52A1B"/>
    <w:rsid w:val="00B5497F"/>
    <w:rsid w:val="00B54F18"/>
    <w:rsid w:val="00B5572B"/>
    <w:rsid w:val="00B5593B"/>
    <w:rsid w:val="00B56E02"/>
    <w:rsid w:val="00B56EA0"/>
    <w:rsid w:val="00B570A6"/>
    <w:rsid w:val="00B57635"/>
    <w:rsid w:val="00B60046"/>
    <w:rsid w:val="00B60B68"/>
    <w:rsid w:val="00B60B8E"/>
    <w:rsid w:val="00B61238"/>
    <w:rsid w:val="00B6159C"/>
    <w:rsid w:val="00B617D6"/>
    <w:rsid w:val="00B61C9F"/>
    <w:rsid w:val="00B61ED9"/>
    <w:rsid w:val="00B6205C"/>
    <w:rsid w:val="00B62618"/>
    <w:rsid w:val="00B628A7"/>
    <w:rsid w:val="00B63FF0"/>
    <w:rsid w:val="00B642BE"/>
    <w:rsid w:val="00B64726"/>
    <w:rsid w:val="00B6487A"/>
    <w:rsid w:val="00B6578C"/>
    <w:rsid w:val="00B6616F"/>
    <w:rsid w:val="00B66402"/>
    <w:rsid w:val="00B66AE7"/>
    <w:rsid w:val="00B67E22"/>
    <w:rsid w:val="00B711C4"/>
    <w:rsid w:val="00B7137D"/>
    <w:rsid w:val="00B717EB"/>
    <w:rsid w:val="00B71BD2"/>
    <w:rsid w:val="00B738B9"/>
    <w:rsid w:val="00B73DE6"/>
    <w:rsid w:val="00B745EF"/>
    <w:rsid w:val="00B7484A"/>
    <w:rsid w:val="00B74BD3"/>
    <w:rsid w:val="00B7503C"/>
    <w:rsid w:val="00B754F2"/>
    <w:rsid w:val="00B7797B"/>
    <w:rsid w:val="00B802A9"/>
    <w:rsid w:val="00B80FB6"/>
    <w:rsid w:val="00B81DB0"/>
    <w:rsid w:val="00B827B6"/>
    <w:rsid w:val="00B834A9"/>
    <w:rsid w:val="00B84597"/>
    <w:rsid w:val="00B845CC"/>
    <w:rsid w:val="00B856D8"/>
    <w:rsid w:val="00B865E6"/>
    <w:rsid w:val="00B87140"/>
    <w:rsid w:val="00B87CA6"/>
    <w:rsid w:val="00B900A3"/>
    <w:rsid w:val="00B90223"/>
    <w:rsid w:val="00B91F57"/>
    <w:rsid w:val="00B91FF0"/>
    <w:rsid w:val="00B92AA8"/>
    <w:rsid w:val="00B92B80"/>
    <w:rsid w:val="00B94131"/>
    <w:rsid w:val="00B95388"/>
    <w:rsid w:val="00B95401"/>
    <w:rsid w:val="00B961F0"/>
    <w:rsid w:val="00B9692E"/>
    <w:rsid w:val="00B9721A"/>
    <w:rsid w:val="00B97C2E"/>
    <w:rsid w:val="00BA0FD1"/>
    <w:rsid w:val="00BA1037"/>
    <w:rsid w:val="00BA1433"/>
    <w:rsid w:val="00BA2592"/>
    <w:rsid w:val="00BA267C"/>
    <w:rsid w:val="00BA3C4F"/>
    <w:rsid w:val="00BA3DCA"/>
    <w:rsid w:val="00BA4F34"/>
    <w:rsid w:val="00BA6276"/>
    <w:rsid w:val="00BA62C7"/>
    <w:rsid w:val="00BA6717"/>
    <w:rsid w:val="00BA6F2B"/>
    <w:rsid w:val="00BA73A1"/>
    <w:rsid w:val="00BA7F23"/>
    <w:rsid w:val="00BB011D"/>
    <w:rsid w:val="00BB0789"/>
    <w:rsid w:val="00BB08C2"/>
    <w:rsid w:val="00BB1A6C"/>
    <w:rsid w:val="00BB25F9"/>
    <w:rsid w:val="00BB282C"/>
    <w:rsid w:val="00BB2AEE"/>
    <w:rsid w:val="00BB2CF7"/>
    <w:rsid w:val="00BB3942"/>
    <w:rsid w:val="00BB5739"/>
    <w:rsid w:val="00BB5993"/>
    <w:rsid w:val="00BB5B18"/>
    <w:rsid w:val="00BB6AD0"/>
    <w:rsid w:val="00BB73E9"/>
    <w:rsid w:val="00BB7ACE"/>
    <w:rsid w:val="00BC0446"/>
    <w:rsid w:val="00BC06C4"/>
    <w:rsid w:val="00BC138B"/>
    <w:rsid w:val="00BC159E"/>
    <w:rsid w:val="00BC27D4"/>
    <w:rsid w:val="00BC3A24"/>
    <w:rsid w:val="00BC3D25"/>
    <w:rsid w:val="00BC409F"/>
    <w:rsid w:val="00BC449B"/>
    <w:rsid w:val="00BC4714"/>
    <w:rsid w:val="00BC54CF"/>
    <w:rsid w:val="00BC7774"/>
    <w:rsid w:val="00BC7CE8"/>
    <w:rsid w:val="00BD0A03"/>
    <w:rsid w:val="00BD1317"/>
    <w:rsid w:val="00BD14EB"/>
    <w:rsid w:val="00BD18AC"/>
    <w:rsid w:val="00BD1EEB"/>
    <w:rsid w:val="00BD217F"/>
    <w:rsid w:val="00BD34BE"/>
    <w:rsid w:val="00BD359C"/>
    <w:rsid w:val="00BD4CC2"/>
    <w:rsid w:val="00BD4E1A"/>
    <w:rsid w:val="00BD566D"/>
    <w:rsid w:val="00BD5F8B"/>
    <w:rsid w:val="00BD60AB"/>
    <w:rsid w:val="00BD65F6"/>
    <w:rsid w:val="00BD6AFE"/>
    <w:rsid w:val="00BE027C"/>
    <w:rsid w:val="00BE08DA"/>
    <w:rsid w:val="00BE1192"/>
    <w:rsid w:val="00BE221A"/>
    <w:rsid w:val="00BE2A45"/>
    <w:rsid w:val="00BE2AB5"/>
    <w:rsid w:val="00BE35BC"/>
    <w:rsid w:val="00BE35FB"/>
    <w:rsid w:val="00BE4982"/>
    <w:rsid w:val="00BE4ADC"/>
    <w:rsid w:val="00BE52F1"/>
    <w:rsid w:val="00BE5618"/>
    <w:rsid w:val="00BE5AC9"/>
    <w:rsid w:val="00BE68E4"/>
    <w:rsid w:val="00BF0495"/>
    <w:rsid w:val="00BF299F"/>
    <w:rsid w:val="00BF33E4"/>
    <w:rsid w:val="00BF43F6"/>
    <w:rsid w:val="00BF5451"/>
    <w:rsid w:val="00BF562C"/>
    <w:rsid w:val="00BF79F4"/>
    <w:rsid w:val="00BF7F18"/>
    <w:rsid w:val="00C002D3"/>
    <w:rsid w:val="00C0075E"/>
    <w:rsid w:val="00C00DB5"/>
    <w:rsid w:val="00C018F5"/>
    <w:rsid w:val="00C01DA8"/>
    <w:rsid w:val="00C02601"/>
    <w:rsid w:val="00C02D4C"/>
    <w:rsid w:val="00C033A2"/>
    <w:rsid w:val="00C03762"/>
    <w:rsid w:val="00C04D49"/>
    <w:rsid w:val="00C050A4"/>
    <w:rsid w:val="00C063E6"/>
    <w:rsid w:val="00C10229"/>
    <w:rsid w:val="00C10EB8"/>
    <w:rsid w:val="00C10F3D"/>
    <w:rsid w:val="00C12017"/>
    <w:rsid w:val="00C13F37"/>
    <w:rsid w:val="00C144A5"/>
    <w:rsid w:val="00C14647"/>
    <w:rsid w:val="00C151AC"/>
    <w:rsid w:val="00C16729"/>
    <w:rsid w:val="00C1682F"/>
    <w:rsid w:val="00C17A43"/>
    <w:rsid w:val="00C17E3F"/>
    <w:rsid w:val="00C2185D"/>
    <w:rsid w:val="00C22169"/>
    <w:rsid w:val="00C224E5"/>
    <w:rsid w:val="00C22A9D"/>
    <w:rsid w:val="00C230CB"/>
    <w:rsid w:val="00C236E7"/>
    <w:rsid w:val="00C23CB4"/>
    <w:rsid w:val="00C24070"/>
    <w:rsid w:val="00C24FD7"/>
    <w:rsid w:val="00C25021"/>
    <w:rsid w:val="00C26402"/>
    <w:rsid w:val="00C27246"/>
    <w:rsid w:val="00C2777A"/>
    <w:rsid w:val="00C31446"/>
    <w:rsid w:val="00C3219F"/>
    <w:rsid w:val="00C32ADF"/>
    <w:rsid w:val="00C335D4"/>
    <w:rsid w:val="00C338D0"/>
    <w:rsid w:val="00C34AB6"/>
    <w:rsid w:val="00C358FF"/>
    <w:rsid w:val="00C369F3"/>
    <w:rsid w:val="00C36A2D"/>
    <w:rsid w:val="00C36AD4"/>
    <w:rsid w:val="00C3785B"/>
    <w:rsid w:val="00C40153"/>
    <w:rsid w:val="00C40215"/>
    <w:rsid w:val="00C4113C"/>
    <w:rsid w:val="00C418D4"/>
    <w:rsid w:val="00C42274"/>
    <w:rsid w:val="00C42DAE"/>
    <w:rsid w:val="00C45781"/>
    <w:rsid w:val="00C45814"/>
    <w:rsid w:val="00C45938"/>
    <w:rsid w:val="00C46BC1"/>
    <w:rsid w:val="00C4792B"/>
    <w:rsid w:val="00C53391"/>
    <w:rsid w:val="00C533A3"/>
    <w:rsid w:val="00C535C5"/>
    <w:rsid w:val="00C5389F"/>
    <w:rsid w:val="00C53FF1"/>
    <w:rsid w:val="00C55702"/>
    <w:rsid w:val="00C5620F"/>
    <w:rsid w:val="00C57A9D"/>
    <w:rsid w:val="00C60294"/>
    <w:rsid w:val="00C60CFF"/>
    <w:rsid w:val="00C62607"/>
    <w:rsid w:val="00C6291D"/>
    <w:rsid w:val="00C63C44"/>
    <w:rsid w:val="00C642A9"/>
    <w:rsid w:val="00C642EB"/>
    <w:rsid w:val="00C6447E"/>
    <w:rsid w:val="00C6538E"/>
    <w:rsid w:val="00C65B4E"/>
    <w:rsid w:val="00C67534"/>
    <w:rsid w:val="00C6758A"/>
    <w:rsid w:val="00C71AAC"/>
    <w:rsid w:val="00C72D2C"/>
    <w:rsid w:val="00C730E6"/>
    <w:rsid w:val="00C73D6C"/>
    <w:rsid w:val="00C74CED"/>
    <w:rsid w:val="00C750A1"/>
    <w:rsid w:val="00C75246"/>
    <w:rsid w:val="00C75D0C"/>
    <w:rsid w:val="00C76047"/>
    <w:rsid w:val="00C76687"/>
    <w:rsid w:val="00C7714A"/>
    <w:rsid w:val="00C774A2"/>
    <w:rsid w:val="00C777B3"/>
    <w:rsid w:val="00C778B0"/>
    <w:rsid w:val="00C80305"/>
    <w:rsid w:val="00C824F1"/>
    <w:rsid w:val="00C833C2"/>
    <w:rsid w:val="00C8344F"/>
    <w:rsid w:val="00C83D50"/>
    <w:rsid w:val="00C845D5"/>
    <w:rsid w:val="00C847E1"/>
    <w:rsid w:val="00C84941"/>
    <w:rsid w:val="00C84C87"/>
    <w:rsid w:val="00C85475"/>
    <w:rsid w:val="00C85779"/>
    <w:rsid w:val="00C859AD"/>
    <w:rsid w:val="00C85A10"/>
    <w:rsid w:val="00C861CA"/>
    <w:rsid w:val="00C865E6"/>
    <w:rsid w:val="00C86C19"/>
    <w:rsid w:val="00C90711"/>
    <w:rsid w:val="00C90F0D"/>
    <w:rsid w:val="00C915AC"/>
    <w:rsid w:val="00C917C4"/>
    <w:rsid w:val="00C9193A"/>
    <w:rsid w:val="00C927EE"/>
    <w:rsid w:val="00C92D7D"/>
    <w:rsid w:val="00C92DDC"/>
    <w:rsid w:val="00C935A3"/>
    <w:rsid w:val="00C93E90"/>
    <w:rsid w:val="00C94AC5"/>
    <w:rsid w:val="00C97CD0"/>
    <w:rsid w:val="00CA02AD"/>
    <w:rsid w:val="00CA05ED"/>
    <w:rsid w:val="00CA135D"/>
    <w:rsid w:val="00CA1A00"/>
    <w:rsid w:val="00CA21F5"/>
    <w:rsid w:val="00CA3092"/>
    <w:rsid w:val="00CA42AD"/>
    <w:rsid w:val="00CA4327"/>
    <w:rsid w:val="00CA4339"/>
    <w:rsid w:val="00CA6002"/>
    <w:rsid w:val="00CA6280"/>
    <w:rsid w:val="00CA6AF0"/>
    <w:rsid w:val="00CA6D51"/>
    <w:rsid w:val="00CA6EDF"/>
    <w:rsid w:val="00CA75E0"/>
    <w:rsid w:val="00CB01B3"/>
    <w:rsid w:val="00CB2209"/>
    <w:rsid w:val="00CB410D"/>
    <w:rsid w:val="00CB52E0"/>
    <w:rsid w:val="00CB538D"/>
    <w:rsid w:val="00CB56CC"/>
    <w:rsid w:val="00CB5890"/>
    <w:rsid w:val="00CB5D9C"/>
    <w:rsid w:val="00CB7CF7"/>
    <w:rsid w:val="00CC0ABA"/>
    <w:rsid w:val="00CC1DFE"/>
    <w:rsid w:val="00CC312A"/>
    <w:rsid w:val="00CC39D6"/>
    <w:rsid w:val="00CC45BB"/>
    <w:rsid w:val="00CC6331"/>
    <w:rsid w:val="00CC64F8"/>
    <w:rsid w:val="00CC724D"/>
    <w:rsid w:val="00CC7D37"/>
    <w:rsid w:val="00CD047E"/>
    <w:rsid w:val="00CD07B1"/>
    <w:rsid w:val="00CD15F3"/>
    <w:rsid w:val="00CD1FDB"/>
    <w:rsid w:val="00CD312A"/>
    <w:rsid w:val="00CD4499"/>
    <w:rsid w:val="00CD4724"/>
    <w:rsid w:val="00CD697A"/>
    <w:rsid w:val="00CE12CD"/>
    <w:rsid w:val="00CE1440"/>
    <w:rsid w:val="00CE465A"/>
    <w:rsid w:val="00CE4738"/>
    <w:rsid w:val="00CE57BA"/>
    <w:rsid w:val="00CE6468"/>
    <w:rsid w:val="00CE665F"/>
    <w:rsid w:val="00CE7762"/>
    <w:rsid w:val="00CE7C43"/>
    <w:rsid w:val="00CE7DC0"/>
    <w:rsid w:val="00CF1424"/>
    <w:rsid w:val="00CF1C8A"/>
    <w:rsid w:val="00CF2612"/>
    <w:rsid w:val="00CF2876"/>
    <w:rsid w:val="00CF2E34"/>
    <w:rsid w:val="00CF305F"/>
    <w:rsid w:val="00CF393E"/>
    <w:rsid w:val="00CF3CA3"/>
    <w:rsid w:val="00CF458F"/>
    <w:rsid w:val="00CF69E7"/>
    <w:rsid w:val="00CF6A4A"/>
    <w:rsid w:val="00CF717F"/>
    <w:rsid w:val="00CF71E4"/>
    <w:rsid w:val="00CF7802"/>
    <w:rsid w:val="00D0194F"/>
    <w:rsid w:val="00D01E00"/>
    <w:rsid w:val="00D01F0C"/>
    <w:rsid w:val="00D02459"/>
    <w:rsid w:val="00D03803"/>
    <w:rsid w:val="00D03CEE"/>
    <w:rsid w:val="00D04278"/>
    <w:rsid w:val="00D0459A"/>
    <w:rsid w:val="00D0671F"/>
    <w:rsid w:val="00D06998"/>
    <w:rsid w:val="00D07041"/>
    <w:rsid w:val="00D07303"/>
    <w:rsid w:val="00D07B47"/>
    <w:rsid w:val="00D07E74"/>
    <w:rsid w:val="00D1002B"/>
    <w:rsid w:val="00D100A4"/>
    <w:rsid w:val="00D1031C"/>
    <w:rsid w:val="00D107C3"/>
    <w:rsid w:val="00D10911"/>
    <w:rsid w:val="00D1147A"/>
    <w:rsid w:val="00D131A8"/>
    <w:rsid w:val="00D13427"/>
    <w:rsid w:val="00D13D7E"/>
    <w:rsid w:val="00D14860"/>
    <w:rsid w:val="00D14D67"/>
    <w:rsid w:val="00D14E7A"/>
    <w:rsid w:val="00D15268"/>
    <w:rsid w:val="00D1556A"/>
    <w:rsid w:val="00D15707"/>
    <w:rsid w:val="00D157B2"/>
    <w:rsid w:val="00D15952"/>
    <w:rsid w:val="00D15F51"/>
    <w:rsid w:val="00D15F8E"/>
    <w:rsid w:val="00D1607E"/>
    <w:rsid w:val="00D165D7"/>
    <w:rsid w:val="00D17388"/>
    <w:rsid w:val="00D1773D"/>
    <w:rsid w:val="00D17DAC"/>
    <w:rsid w:val="00D2085D"/>
    <w:rsid w:val="00D20E79"/>
    <w:rsid w:val="00D21381"/>
    <w:rsid w:val="00D21D2D"/>
    <w:rsid w:val="00D223B9"/>
    <w:rsid w:val="00D232F9"/>
    <w:rsid w:val="00D23E0C"/>
    <w:rsid w:val="00D240CA"/>
    <w:rsid w:val="00D24B9B"/>
    <w:rsid w:val="00D25235"/>
    <w:rsid w:val="00D25D96"/>
    <w:rsid w:val="00D25DDB"/>
    <w:rsid w:val="00D26FB5"/>
    <w:rsid w:val="00D27134"/>
    <w:rsid w:val="00D277E4"/>
    <w:rsid w:val="00D3075B"/>
    <w:rsid w:val="00D31093"/>
    <w:rsid w:val="00D310BC"/>
    <w:rsid w:val="00D31170"/>
    <w:rsid w:val="00D33383"/>
    <w:rsid w:val="00D33697"/>
    <w:rsid w:val="00D3391F"/>
    <w:rsid w:val="00D34983"/>
    <w:rsid w:val="00D35067"/>
    <w:rsid w:val="00D358F8"/>
    <w:rsid w:val="00D35FA3"/>
    <w:rsid w:val="00D3732F"/>
    <w:rsid w:val="00D3779D"/>
    <w:rsid w:val="00D4061C"/>
    <w:rsid w:val="00D42138"/>
    <w:rsid w:val="00D42379"/>
    <w:rsid w:val="00D4248C"/>
    <w:rsid w:val="00D43091"/>
    <w:rsid w:val="00D435CE"/>
    <w:rsid w:val="00D4424F"/>
    <w:rsid w:val="00D445E8"/>
    <w:rsid w:val="00D44A7A"/>
    <w:rsid w:val="00D44FFE"/>
    <w:rsid w:val="00D462FD"/>
    <w:rsid w:val="00D4686E"/>
    <w:rsid w:val="00D502EB"/>
    <w:rsid w:val="00D50A42"/>
    <w:rsid w:val="00D50B84"/>
    <w:rsid w:val="00D50FB1"/>
    <w:rsid w:val="00D51860"/>
    <w:rsid w:val="00D5306A"/>
    <w:rsid w:val="00D53A56"/>
    <w:rsid w:val="00D53B9A"/>
    <w:rsid w:val="00D53BFB"/>
    <w:rsid w:val="00D53C57"/>
    <w:rsid w:val="00D54413"/>
    <w:rsid w:val="00D54641"/>
    <w:rsid w:val="00D54A05"/>
    <w:rsid w:val="00D54DE5"/>
    <w:rsid w:val="00D550F1"/>
    <w:rsid w:val="00D55E5B"/>
    <w:rsid w:val="00D56562"/>
    <w:rsid w:val="00D572BF"/>
    <w:rsid w:val="00D601E8"/>
    <w:rsid w:val="00D6078E"/>
    <w:rsid w:val="00D607A4"/>
    <w:rsid w:val="00D61775"/>
    <w:rsid w:val="00D623AA"/>
    <w:rsid w:val="00D629AB"/>
    <w:rsid w:val="00D62CAD"/>
    <w:rsid w:val="00D62D13"/>
    <w:rsid w:val="00D64893"/>
    <w:rsid w:val="00D64DD6"/>
    <w:rsid w:val="00D654FA"/>
    <w:rsid w:val="00D6580F"/>
    <w:rsid w:val="00D65D29"/>
    <w:rsid w:val="00D65DC0"/>
    <w:rsid w:val="00D65DDF"/>
    <w:rsid w:val="00D67C3B"/>
    <w:rsid w:val="00D67D66"/>
    <w:rsid w:val="00D7110D"/>
    <w:rsid w:val="00D725A3"/>
    <w:rsid w:val="00D730F5"/>
    <w:rsid w:val="00D73B5C"/>
    <w:rsid w:val="00D744D8"/>
    <w:rsid w:val="00D74F00"/>
    <w:rsid w:val="00D77CEA"/>
    <w:rsid w:val="00D80CBA"/>
    <w:rsid w:val="00D818EB"/>
    <w:rsid w:val="00D81EE3"/>
    <w:rsid w:val="00D82D69"/>
    <w:rsid w:val="00D837F3"/>
    <w:rsid w:val="00D83C3E"/>
    <w:rsid w:val="00D8465A"/>
    <w:rsid w:val="00D8536D"/>
    <w:rsid w:val="00D85765"/>
    <w:rsid w:val="00D8609C"/>
    <w:rsid w:val="00D8742C"/>
    <w:rsid w:val="00D90642"/>
    <w:rsid w:val="00D90A13"/>
    <w:rsid w:val="00D90CA2"/>
    <w:rsid w:val="00D90E06"/>
    <w:rsid w:val="00D9213E"/>
    <w:rsid w:val="00D92F51"/>
    <w:rsid w:val="00D935A3"/>
    <w:rsid w:val="00D93663"/>
    <w:rsid w:val="00D93783"/>
    <w:rsid w:val="00D93F15"/>
    <w:rsid w:val="00D94D62"/>
    <w:rsid w:val="00D953AB"/>
    <w:rsid w:val="00D96AD1"/>
    <w:rsid w:val="00D974F5"/>
    <w:rsid w:val="00D97F7C"/>
    <w:rsid w:val="00DA1079"/>
    <w:rsid w:val="00DA1531"/>
    <w:rsid w:val="00DA1C95"/>
    <w:rsid w:val="00DA23CE"/>
    <w:rsid w:val="00DA25BA"/>
    <w:rsid w:val="00DA36FB"/>
    <w:rsid w:val="00DA4F5E"/>
    <w:rsid w:val="00DA658A"/>
    <w:rsid w:val="00DA7CB4"/>
    <w:rsid w:val="00DB03EC"/>
    <w:rsid w:val="00DB0B82"/>
    <w:rsid w:val="00DB29DB"/>
    <w:rsid w:val="00DB2C92"/>
    <w:rsid w:val="00DB30CB"/>
    <w:rsid w:val="00DB41BF"/>
    <w:rsid w:val="00DB5D42"/>
    <w:rsid w:val="00DB6A29"/>
    <w:rsid w:val="00DB7665"/>
    <w:rsid w:val="00DC03F2"/>
    <w:rsid w:val="00DC06A8"/>
    <w:rsid w:val="00DC0915"/>
    <w:rsid w:val="00DC0DE7"/>
    <w:rsid w:val="00DC0F81"/>
    <w:rsid w:val="00DC16BA"/>
    <w:rsid w:val="00DC2B6D"/>
    <w:rsid w:val="00DC2CA5"/>
    <w:rsid w:val="00DC2CD4"/>
    <w:rsid w:val="00DC2CE7"/>
    <w:rsid w:val="00DC2D84"/>
    <w:rsid w:val="00DC30EF"/>
    <w:rsid w:val="00DC4920"/>
    <w:rsid w:val="00DC497B"/>
    <w:rsid w:val="00DC51CC"/>
    <w:rsid w:val="00DC52D8"/>
    <w:rsid w:val="00DC5352"/>
    <w:rsid w:val="00DC710B"/>
    <w:rsid w:val="00DC7849"/>
    <w:rsid w:val="00DD0634"/>
    <w:rsid w:val="00DD0890"/>
    <w:rsid w:val="00DD14B3"/>
    <w:rsid w:val="00DD1728"/>
    <w:rsid w:val="00DD26C1"/>
    <w:rsid w:val="00DD27CD"/>
    <w:rsid w:val="00DD2EE6"/>
    <w:rsid w:val="00DD37FB"/>
    <w:rsid w:val="00DD3CF0"/>
    <w:rsid w:val="00DD4060"/>
    <w:rsid w:val="00DD48C4"/>
    <w:rsid w:val="00DD68ED"/>
    <w:rsid w:val="00DD6BCC"/>
    <w:rsid w:val="00DE076A"/>
    <w:rsid w:val="00DE0B43"/>
    <w:rsid w:val="00DE1650"/>
    <w:rsid w:val="00DE2402"/>
    <w:rsid w:val="00DE29CF"/>
    <w:rsid w:val="00DE2E5B"/>
    <w:rsid w:val="00DE3B6C"/>
    <w:rsid w:val="00DE3DB6"/>
    <w:rsid w:val="00DE41CF"/>
    <w:rsid w:val="00DE52ED"/>
    <w:rsid w:val="00DE53D7"/>
    <w:rsid w:val="00DE65F6"/>
    <w:rsid w:val="00DE79A1"/>
    <w:rsid w:val="00DF0CCC"/>
    <w:rsid w:val="00DF0F67"/>
    <w:rsid w:val="00DF1496"/>
    <w:rsid w:val="00DF2225"/>
    <w:rsid w:val="00DF3422"/>
    <w:rsid w:val="00DF450F"/>
    <w:rsid w:val="00DF47A4"/>
    <w:rsid w:val="00DF55D6"/>
    <w:rsid w:val="00DF5890"/>
    <w:rsid w:val="00DF6015"/>
    <w:rsid w:val="00DF7D7D"/>
    <w:rsid w:val="00E000A1"/>
    <w:rsid w:val="00E003FA"/>
    <w:rsid w:val="00E010B1"/>
    <w:rsid w:val="00E01322"/>
    <w:rsid w:val="00E01C10"/>
    <w:rsid w:val="00E02B35"/>
    <w:rsid w:val="00E032B3"/>
    <w:rsid w:val="00E0394D"/>
    <w:rsid w:val="00E057BF"/>
    <w:rsid w:val="00E061C8"/>
    <w:rsid w:val="00E06233"/>
    <w:rsid w:val="00E07C7C"/>
    <w:rsid w:val="00E11BC7"/>
    <w:rsid w:val="00E129AE"/>
    <w:rsid w:val="00E13EED"/>
    <w:rsid w:val="00E14007"/>
    <w:rsid w:val="00E14162"/>
    <w:rsid w:val="00E14E5B"/>
    <w:rsid w:val="00E157C9"/>
    <w:rsid w:val="00E15829"/>
    <w:rsid w:val="00E15E3C"/>
    <w:rsid w:val="00E20932"/>
    <w:rsid w:val="00E20E87"/>
    <w:rsid w:val="00E21058"/>
    <w:rsid w:val="00E21767"/>
    <w:rsid w:val="00E21FD8"/>
    <w:rsid w:val="00E2200A"/>
    <w:rsid w:val="00E22F0C"/>
    <w:rsid w:val="00E23052"/>
    <w:rsid w:val="00E235A5"/>
    <w:rsid w:val="00E237EB"/>
    <w:rsid w:val="00E238FF"/>
    <w:rsid w:val="00E2473C"/>
    <w:rsid w:val="00E25FF4"/>
    <w:rsid w:val="00E263EE"/>
    <w:rsid w:val="00E269DC"/>
    <w:rsid w:val="00E26DA7"/>
    <w:rsid w:val="00E301E4"/>
    <w:rsid w:val="00E30BBF"/>
    <w:rsid w:val="00E3115F"/>
    <w:rsid w:val="00E31591"/>
    <w:rsid w:val="00E31EAE"/>
    <w:rsid w:val="00E324D4"/>
    <w:rsid w:val="00E32C26"/>
    <w:rsid w:val="00E32E87"/>
    <w:rsid w:val="00E33B25"/>
    <w:rsid w:val="00E33D42"/>
    <w:rsid w:val="00E3408B"/>
    <w:rsid w:val="00E348BB"/>
    <w:rsid w:val="00E35494"/>
    <w:rsid w:val="00E35593"/>
    <w:rsid w:val="00E3724D"/>
    <w:rsid w:val="00E374BD"/>
    <w:rsid w:val="00E40244"/>
    <w:rsid w:val="00E41970"/>
    <w:rsid w:val="00E420A0"/>
    <w:rsid w:val="00E42EA9"/>
    <w:rsid w:val="00E43517"/>
    <w:rsid w:val="00E43FF9"/>
    <w:rsid w:val="00E4433E"/>
    <w:rsid w:val="00E44451"/>
    <w:rsid w:val="00E44524"/>
    <w:rsid w:val="00E44AFF"/>
    <w:rsid w:val="00E45D71"/>
    <w:rsid w:val="00E465E4"/>
    <w:rsid w:val="00E46B6B"/>
    <w:rsid w:val="00E46EC2"/>
    <w:rsid w:val="00E46F3E"/>
    <w:rsid w:val="00E47537"/>
    <w:rsid w:val="00E504CD"/>
    <w:rsid w:val="00E507D2"/>
    <w:rsid w:val="00E50F70"/>
    <w:rsid w:val="00E521E5"/>
    <w:rsid w:val="00E524F4"/>
    <w:rsid w:val="00E52942"/>
    <w:rsid w:val="00E52D23"/>
    <w:rsid w:val="00E530E7"/>
    <w:rsid w:val="00E53864"/>
    <w:rsid w:val="00E538C9"/>
    <w:rsid w:val="00E5486B"/>
    <w:rsid w:val="00E54C97"/>
    <w:rsid w:val="00E55C4A"/>
    <w:rsid w:val="00E56537"/>
    <w:rsid w:val="00E578DE"/>
    <w:rsid w:val="00E579EB"/>
    <w:rsid w:val="00E57FC8"/>
    <w:rsid w:val="00E603D5"/>
    <w:rsid w:val="00E60475"/>
    <w:rsid w:val="00E60DAA"/>
    <w:rsid w:val="00E60FA3"/>
    <w:rsid w:val="00E614BE"/>
    <w:rsid w:val="00E61C0B"/>
    <w:rsid w:val="00E62843"/>
    <w:rsid w:val="00E62CC8"/>
    <w:rsid w:val="00E64E79"/>
    <w:rsid w:val="00E654C1"/>
    <w:rsid w:val="00E655AA"/>
    <w:rsid w:val="00E658D0"/>
    <w:rsid w:val="00E66A2F"/>
    <w:rsid w:val="00E66E5A"/>
    <w:rsid w:val="00E67036"/>
    <w:rsid w:val="00E67C2E"/>
    <w:rsid w:val="00E7031C"/>
    <w:rsid w:val="00E70454"/>
    <w:rsid w:val="00E71319"/>
    <w:rsid w:val="00E71547"/>
    <w:rsid w:val="00E718FA"/>
    <w:rsid w:val="00E72144"/>
    <w:rsid w:val="00E72466"/>
    <w:rsid w:val="00E72AE4"/>
    <w:rsid w:val="00E7349E"/>
    <w:rsid w:val="00E73D66"/>
    <w:rsid w:val="00E74AEF"/>
    <w:rsid w:val="00E75529"/>
    <w:rsid w:val="00E76114"/>
    <w:rsid w:val="00E76953"/>
    <w:rsid w:val="00E76ADD"/>
    <w:rsid w:val="00E770AC"/>
    <w:rsid w:val="00E80293"/>
    <w:rsid w:val="00E80CDF"/>
    <w:rsid w:val="00E80FFE"/>
    <w:rsid w:val="00E82F40"/>
    <w:rsid w:val="00E83FEF"/>
    <w:rsid w:val="00E84D3F"/>
    <w:rsid w:val="00E86D8D"/>
    <w:rsid w:val="00E86F04"/>
    <w:rsid w:val="00E87427"/>
    <w:rsid w:val="00E87C6F"/>
    <w:rsid w:val="00E90095"/>
    <w:rsid w:val="00E91E5D"/>
    <w:rsid w:val="00E92ACC"/>
    <w:rsid w:val="00E93AFE"/>
    <w:rsid w:val="00E93D2B"/>
    <w:rsid w:val="00E94E58"/>
    <w:rsid w:val="00E96277"/>
    <w:rsid w:val="00E971FD"/>
    <w:rsid w:val="00E9749C"/>
    <w:rsid w:val="00E97844"/>
    <w:rsid w:val="00E97CB7"/>
    <w:rsid w:val="00EA05AE"/>
    <w:rsid w:val="00EA147B"/>
    <w:rsid w:val="00EA175F"/>
    <w:rsid w:val="00EA19F8"/>
    <w:rsid w:val="00EA276C"/>
    <w:rsid w:val="00EA2FDA"/>
    <w:rsid w:val="00EA3109"/>
    <w:rsid w:val="00EA52D7"/>
    <w:rsid w:val="00EA5C69"/>
    <w:rsid w:val="00EA7C24"/>
    <w:rsid w:val="00EB0AFC"/>
    <w:rsid w:val="00EB28DF"/>
    <w:rsid w:val="00EB2FCB"/>
    <w:rsid w:val="00EB3353"/>
    <w:rsid w:val="00EB355E"/>
    <w:rsid w:val="00EB3FD7"/>
    <w:rsid w:val="00EB4D90"/>
    <w:rsid w:val="00EB5C32"/>
    <w:rsid w:val="00EB5CD6"/>
    <w:rsid w:val="00EB7018"/>
    <w:rsid w:val="00EB70FA"/>
    <w:rsid w:val="00EB7925"/>
    <w:rsid w:val="00EC0012"/>
    <w:rsid w:val="00EC033D"/>
    <w:rsid w:val="00EC10A5"/>
    <w:rsid w:val="00EC13BE"/>
    <w:rsid w:val="00EC1F61"/>
    <w:rsid w:val="00EC1F84"/>
    <w:rsid w:val="00EC2B64"/>
    <w:rsid w:val="00EC2FD2"/>
    <w:rsid w:val="00EC6595"/>
    <w:rsid w:val="00ED09A1"/>
    <w:rsid w:val="00ED09FD"/>
    <w:rsid w:val="00ED314F"/>
    <w:rsid w:val="00ED326A"/>
    <w:rsid w:val="00ED415E"/>
    <w:rsid w:val="00ED5141"/>
    <w:rsid w:val="00ED6457"/>
    <w:rsid w:val="00ED649A"/>
    <w:rsid w:val="00ED6764"/>
    <w:rsid w:val="00ED6C72"/>
    <w:rsid w:val="00ED7EE9"/>
    <w:rsid w:val="00EE03C8"/>
    <w:rsid w:val="00EE0638"/>
    <w:rsid w:val="00EE090B"/>
    <w:rsid w:val="00EE0ECF"/>
    <w:rsid w:val="00EE1380"/>
    <w:rsid w:val="00EE17D4"/>
    <w:rsid w:val="00EE643E"/>
    <w:rsid w:val="00EE7A71"/>
    <w:rsid w:val="00EE7D80"/>
    <w:rsid w:val="00EF011F"/>
    <w:rsid w:val="00EF0318"/>
    <w:rsid w:val="00EF08FE"/>
    <w:rsid w:val="00EF1848"/>
    <w:rsid w:val="00EF1E41"/>
    <w:rsid w:val="00EF264D"/>
    <w:rsid w:val="00EF2B54"/>
    <w:rsid w:val="00EF2D8D"/>
    <w:rsid w:val="00EF3EA2"/>
    <w:rsid w:val="00EF3FD1"/>
    <w:rsid w:val="00EF5D25"/>
    <w:rsid w:val="00EF6515"/>
    <w:rsid w:val="00EF6EB1"/>
    <w:rsid w:val="00EF6FC2"/>
    <w:rsid w:val="00EF7ABC"/>
    <w:rsid w:val="00F00505"/>
    <w:rsid w:val="00F01658"/>
    <w:rsid w:val="00F01AAE"/>
    <w:rsid w:val="00F01AE2"/>
    <w:rsid w:val="00F0258F"/>
    <w:rsid w:val="00F0298A"/>
    <w:rsid w:val="00F032B7"/>
    <w:rsid w:val="00F03620"/>
    <w:rsid w:val="00F0508A"/>
    <w:rsid w:val="00F0642B"/>
    <w:rsid w:val="00F067BD"/>
    <w:rsid w:val="00F074E9"/>
    <w:rsid w:val="00F07608"/>
    <w:rsid w:val="00F11111"/>
    <w:rsid w:val="00F11447"/>
    <w:rsid w:val="00F125CC"/>
    <w:rsid w:val="00F13104"/>
    <w:rsid w:val="00F13B1B"/>
    <w:rsid w:val="00F15AA9"/>
    <w:rsid w:val="00F15EEB"/>
    <w:rsid w:val="00F164CD"/>
    <w:rsid w:val="00F16F59"/>
    <w:rsid w:val="00F17481"/>
    <w:rsid w:val="00F2054C"/>
    <w:rsid w:val="00F20BBD"/>
    <w:rsid w:val="00F21BC1"/>
    <w:rsid w:val="00F21C70"/>
    <w:rsid w:val="00F221F6"/>
    <w:rsid w:val="00F23653"/>
    <w:rsid w:val="00F243B0"/>
    <w:rsid w:val="00F24B47"/>
    <w:rsid w:val="00F24BF5"/>
    <w:rsid w:val="00F24C00"/>
    <w:rsid w:val="00F25F19"/>
    <w:rsid w:val="00F26820"/>
    <w:rsid w:val="00F27C0F"/>
    <w:rsid w:val="00F303F7"/>
    <w:rsid w:val="00F306F1"/>
    <w:rsid w:val="00F31808"/>
    <w:rsid w:val="00F3310B"/>
    <w:rsid w:val="00F335EC"/>
    <w:rsid w:val="00F33D29"/>
    <w:rsid w:val="00F351F1"/>
    <w:rsid w:val="00F35472"/>
    <w:rsid w:val="00F35CDF"/>
    <w:rsid w:val="00F35CE1"/>
    <w:rsid w:val="00F35F8B"/>
    <w:rsid w:val="00F36DC1"/>
    <w:rsid w:val="00F40C2F"/>
    <w:rsid w:val="00F40CC4"/>
    <w:rsid w:val="00F40DC6"/>
    <w:rsid w:val="00F41A3D"/>
    <w:rsid w:val="00F41FBE"/>
    <w:rsid w:val="00F42968"/>
    <w:rsid w:val="00F42FF2"/>
    <w:rsid w:val="00F44484"/>
    <w:rsid w:val="00F44A12"/>
    <w:rsid w:val="00F458A0"/>
    <w:rsid w:val="00F45EEA"/>
    <w:rsid w:val="00F46B3B"/>
    <w:rsid w:val="00F503E7"/>
    <w:rsid w:val="00F51817"/>
    <w:rsid w:val="00F53AFB"/>
    <w:rsid w:val="00F53EA3"/>
    <w:rsid w:val="00F543A8"/>
    <w:rsid w:val="00F55E37"/>
    <w:rsid w:val="00F56316"/>
    <w:rsid w:val="00F576CB"/>
    <w:rsid w:val="00F604AF"/>
    <w:rsid w:val="00F609DC"/>
    <w:rsid w:val="00F60B58"/>
    <w:rsid w:val="00F614B6"/>
    <w:rsid w:val="00F616FA"/>
    <w:rsid w:val="00F61CF6"/>
    <w:rsid w:val="00F620C9"/>
    <w:rsid w:val="00F620E9"/>
    <w:rsid w:val="00F62195"/>
    <w:rsid w:val="00F63129"/>
    <w:rsid w:val="00F63C15"/>
    <w:rsid w:val="00F63C2D"/>
    <w:rsid w:val="00F645B3"/>
    <w:rsid w:val="00F64BCD"/>
    <w:rsid w:val="00F6536D"/>
    <w:rsid w:val="00F655AF"/>
    <w:rsid w:val="00F66B12"/>
    <w:rsid w:val="00F66C22"/>
    <w:rsid w:val="00F709D9"/>
    <w:rsid w:val="00F70CEA"/>
    <w:rsid w:val="00F70E7D"/>
    <w:rsid w:val="00F71835"/>
    <w:rsid w:val="00F720C9"/>
    <w:rsid w:val="00F7372E"/>
    <w:rsid w:val="00F73BEF"/>
    <w:rsid w:val="00F73ECD"/>
    <w:rsid w:val="00F7400E"/>
    <w:rsid w:val="00F74025"/>
    <w:rsid w:val="00F74D1E"/>
    <w:rsid w:val="00F764A7"/>
    <w:rsid w:val="00F769BF"/>
    <w:rsid w:val="00F77010"/>
    <w:rsid w:val="00F8038B"/>
    <w:rsid w:val="00F807C0"/>
    <w:rsid w:val="00F821AD"/>
    <w:rsid w:val="00F8277F"/>
    <w:rsid w:val="00F82B86"/>
    <w:rsid w:val="00F833C2"/>
    <w:rsid w:val="00F834BE"/>
    <w:rsid w:val="00F839EF"/>
    <w:rsid w:val="00F849C2"/>
    <w:rsid w:val="00F849F6"/>
    <w:rsid w:val="00F84BF4"/>
    <w:rsid w:val="00F867B8"/>
    <w:rsid w:val="00F867DF"/>
    <w:rsid w:val="00F86EF4"/>
    <w:rsid w:val="00F86F3B"/>
    <w:rsid w:val="00F87CDA"/>
    <w:rsid w:val="00F908FE"/>
    <w:rsid w:val="00F90FB3"/>
    <w:rsid w:val="00F90FED"/>
    <w:rsid w:val="00F91B47"/>
    <w:rsid w:val="00F91FDB"/>
    <w:rsid w:val="00F94873"/>
    <w:rsid w:val="00F94F62"/>
    <w:rsid w:val="00F95747"/>
    <w:rsid w:val="00F95B49"/>
    <w:rsid w:val="00F95F67"/>
    <w:rsid w:val="00F975C3"/>
    <w:rsid w:val="00F975CE"/>
    <w:rsid w:val="00F975F1"/>
    <w:rsid w:val="00FA00D7"/>
    <w:rsid w:val="00FA0D65"/>
    <w:rsid w:val="00FA27CB"/>
    <w:rsid w:val="00FA28D4"/>
    <w:rsid w:val="00FA28E3"/>
    <w:rsid w:val="00FA2C75"/>
    <w:rsid w:val="00FA2E56"/>
    <w:rsid w:val="00FA37AB"/>
    <w:rsid w:val="00FA43AE"/>
    <w:rsid w:val="00FA4D71"/>
    <w:rsid w:val="00FA5D6E"/>
    <w:rsid w:val="00FA5DEB"/>
    <w:rsid w:val="00FA62CE"/>
    <w:rsid w:val="00FA6AE0"/>
    <w:rsid w:val="00FA7CBB"/>
    <w:rsid w:val="00FA7F67"/>
    <w:rsid w:val="00FB023C"/>
    <w:rsid w:val="00FB03ED"/>
    <w:rsid w:val="00FB1205"/>
    <w:rsid w:val="00FB2103"/>
    <w:rsid w:val="00FB224F"/>
    <w:rsid w:val="00FB243A"/>
    <w:rsid w:val="00FB26DF"/>
    <w:rsid w:val="00FB2FE0"/>
    <w:rsid w:val="00FB33FD"/>
    <w:rsid w:val="00FB3CC2"/>
    <w:rsid w:val="00FB3EBD"/>
    <w:rsid w:val="00FB490B"/>
    <w:rsid w:val="00FB57F5"/>
    <w:rsid w:val="00FB59DC"/>
    <w:rsid w:val="00FB6E47"/>
    <w:rsid w:val="00FB6EDB"/>
    <w:rsid w:val="00FB7BAE"/>
    <w:rsid w:val="00FC0A8E"/>
    <w:rsid w:val="00FC0B76"/>
    <w:rsid w:val="00FC0FDA"/>
    <w:rsid w:val="00FC14C6"/>
    <w:rsid w:val="00FC1B24"/>
    <w:rsid w:val="00FC3110"/>
    <w:rsid w:val="00FC3B9B"/>
    <w:rsid w:val="00FC43C6"/>
    <w:rsid w:val="00FC46C9"/>
    <w:rsid w:val="00FC4BF6"/>
    <w:rsid w:val="00FC52E6"/>
    <w:rsid w:val="00FC64C0"/>
    <w:rsid w:val="00FC69C1"/>
    <w:rsid w:val="00FC7085"/>
    <w:rsid w:val="00FC70DC"/>
    <w:rsid w:val="00FC7ED6"/>
    <w:rsid w:val="00FD012E"/>
    <w:rsid w:val="00FD0DBF"/>
    <w:rsid w:val="00FD0F1B"/>
    <w:rsid w:val="00FD1322"/>
    <w:rsid w:val="00FD1CFB"/>
    <w:rsid w:val="00FD2501"/>
    <w:rsid w:val="00FD33B9"/>
    <w:rsid w:val="00FD3AA8"/>
    <w:rsid w:val="00FD43CF"/>
    <w:rsid w:val="00FD44EF"/>
    <w:rsid w:val="00FD5BE0"/>
    <w:rsid w:val="00FD5FAA"/>
    <w:rsid w:val="00FD6B14"/>
    <w:rsid w:val="00FD6BE5"/>
    <w:rsid w:val="00FD6EDA"/>
    <w:rsid w:val="00FD6EFD"/>
    <w:rsid w:val="00FD7322"/>
    <w:rsid w:val="00FD7785"/>
    <w:rsid w:val="00FD7B23"/>
    <w:rsid w:val="00FE2589"/>
    <w:rsid w:val="00FE2A57"/>
    <w:rsid w:val="00FE3248"/>
    <w:rsid w:val="00FE3E9A"/>
    <w:rsid w:val="00FE4C0B"/>
    <w:rsid w:val="00FE587E"/>
    <w:rsid w:val="00FE5ADA"/>
    <w:rsid w:val="00FE5E47"/>
    <w:rsid w:val="00FE602A"/>
    <w:rsid w:val="00FE6244"/>
    <w:rsid w:val="00FE63D3"/>
    <w:rsid w:val="00FE71BB"/>
    <w:rsid w:val="00FE7284"/>
    <w:rsid w:val="00FE77D5"/>
    <w:rsid w:val="00FF0A25"/>
    <w:rsid w:val="00FF1DED"/>
    <w:rsid w:val="00FF27B3"/>
    <w:rsid w:val="00FF35F4"/>
    <w:rsid w:val="00FF416B"/>
    <w:rsid w:val="00FF450D"/>
    <w:rsid w:val="00FF4647"/>
    <w:rsid w:val="00FF528D"/>
    <w:rsid w:val="00FF5B68"/>
    <w:rsid w:val="00FF5E74"/>
    <w:rsid w:val="00FF6A77"/>
    <w:rsid w:val="00FF7555"/>
    <w:rsid w:val="00FF7998"/>
    <w:rsid w:val="00FF7E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723A55"/>
  <w15:chartTrackingRefBased/>
  <w15:docId w15:val="{F96E09FA-8F1E-4B39-9CEF-5D9EAA5D9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6018A"/>
  </w:style>
  <w:style w:type="paragraph" w:styleId="Nagwek1">
    <w:name w:val="heading 1"/>
    <w:basedOn w:val="Normalny"/>
    <w:next w:val="Normalny"/>
    <w:link w:val="Nagwek1Znak"/>
    <w:uiPriority w:val="99"/>
    <w:rsid w:val="0036018A"/>
    <w:pPr>
      <w:keepNext/>
      <w:keepLines/>
      <w:suppressAutoHyphens/>
      <w:spacing w:before="480"/>
      <w:outlineLvl w:val="0"/>
    </w:pPr>
    <w:rPr>
      <w:rFonts w:asciiTheme="majorHAnsi" w:eastAsiaTheme="majorEastAsia" w:hAnsiTheme="majorHAnsi" w:cstheme="majorBidi"/>
      <w:b/>
      <w:bCs/>
      <w:color w:val="2E74B5"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36018A"/>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rsid w:val="0036018A"/>
    <w:rPr>
      <w:rFonts w:ascii="Times" w:eastAsia="Times New Roman" w:hAnsi="Times" w:cs="Times New Roman"/>
      <w:kern w:val="1"/>
      <w:sz w:val="24"/>
      <w:szCs w:val="24"/>
      <w:lang w:eastAsia="ar-SA"/>
    </w:rPr>
  </w:style>
  <w:style w:type="paragraph" w:styleId="Stopka">
    <w:name w:val="footer"/>
    <w:basedOn w:val="Normalny"/>
    <w:link w:val="StopkaZnak"/>
    <w:uiPriority w:val="99"/>
    <w:rsid w:val="0036018A"/>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rsid w:val="0036018A"/>
    <w:rPr>
      <w:rFonts w:ascii="Times" w:eastAsia="Times New Roman" w:hAnsi="Times" w:cs="Times New Roman"/>
      <w:kern w:val="1"/>
      <w:sz w:val="24"/>
      <w:szCs w:val="24"/>
      <w:lang w:eastAsia="ar-SA"/>
    </w:rPr>
  </w:style>
  <w:style w:type="paragraph" w:styleId="Akapitzlist">
    <w:name w:val="List Paragraph"/>
    <w:basedOn w:val="Normalny"/>
    <w:uiPriority w:val="34"/>
    <w:qFormat/>
    <w:rsid w:val="00ED6C72"/>
    <w:pPr>
      <w:ind w:left="720"/>
      <w:contextualSpacing/>
    </w:pPr>
  </w:style>
  <w:style w:type="paragraph" w:styleId="Tekstprzypisukocowego">
    <w:name w:val="endnote text"/>
    <w:basedOn w:val="Normalny"/>
    <w:link w:val="TekstprzypisukocowegoZnak"/>
    <w:uiPriority w:val="99"/>
    <w:semiHidden/>
    <w:unhideWhenUsed/>
    <w:rsid w:val="00AE4D86"/>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AE4D86"/>
    <w:rPr>
      <w:sz w:val="20"/>
      <w:szCs w:val="20"/>
    </w:rPr>
  </w:style>
  <w:style w:type="character" w:styleId="Odwoanieprzypisukocowego">
    <w:name w:val="endnote reference"/>
    <w:basedOn w:val="Domylnaczcionkaakapitu"/>
    <w:uiPriority w:val="99"/>
    <w:semiHidden/>
    <w:unhideWhenUsed/>
    <w:rsid w:val="00AE4D86"/>
    <w:rPr>
      <w:vertAlign w:val="superscript"/>
    </w:rPr>
  </w:style>
  <w:style w:type="paragraph" w:styleId="Bezodstpw">
    <w:name w:val="No Spacing"/>
    <w:uiPriority w:val="1"/>
    <w:qFormat/>
    <w:rsid w:val="0036018A"/>
    <w:pPr>
      <w:widowControl w:val="0"/>
      <w:suppressAutoHyphens/>
      <w:spacing w:after="0" w:line="360" w:lineRule="auto"/>
    </w:pPr>
    <w:rPr>
      <w:rFonts w:ascii="Times" w:eastAsia="Times New Roman" w:hAnsi="Times" w:cs="Times New Roman"/>
      <w:kern w:val="1"/>
      <w:sz w:val="24"/>
      <w:szCs w:val="24"/>
      <w:lang w:eastAsia="ar-SA"/>
    </w:rPr>
  </w:style>
  <w:style w:type="paragraph" w:styleId="Tekstdymka">
    <w:name w:val="Balloon Text"/>
    <w:basedOn w:val="Normalny"/>
    <w:link w:val="TekstdymkaZnak"/>
    <w:uiPriority w:val="99"/>
    <w:semiHidden/>
    <w:rsid w:val="0036018A"/>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36018A"/>
    <w:rPr>
      <w:rFonts w:ascii="Tahoma" w:eastAsia="Times New Roman" w:hAnsi="Tahoma" w:cs="Tahoma"/>
      <w:kern w:val="1"/>
      <w:sz w:val="24"/>
      <w:szCs w:val="16"/>
      <w:lang w:eastAsia="ar-SA"/>
    </w:rPr>
  </w:style>
  <w:style w:type="character" w:styleId="Odwoaniedokomentarza">
    <w:name w:val="annotation reference"/>
    <w:basedOn w:val="Domylnaczcionkaakapitu"/>
    <w:uiPriority w:val="99"/>
    <w:semiHidden/>
    <w:rsid w:val="0036018A"/>
    <w:rPr>
      <w:sz w:val="16"/>
      <w:szCs w:val="16"/>
    </w:rPr>
  </w:style>
  <w:style w:type="paragraph" w:styleId="Tekstkomentarza">
    <w:name w:val="annotation text"/>
    <w:basedOn w:val="Normalny"/>
    <w:link w:val="TekstkomentarzaZnak"/>
    <w:uiPriority w:val="99"/>
    <w:rsid w:val="0036018A"/>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36018A"/>
    <w:rPr>
      <w:rFonts w:ascii="Times" w:eastAsia="Times New Roman" w:hAnsi="Times" w:cs="Times New Roman"/>
      <w:sz w:val="24"/>
      <w:szCs w:val="24"/>
      <w:lang w:eastAsia="pl-PL"/>
    </w:rPr>
  </w:style>
  <w:style w:type="paragraph" w:styleId="Tematkomentarza">
    <w:name w:val="annotation subject"/>
    <w:basedOn w:val="Tekstkomentarza"/>
    <w:next w:val="Tekstkomentarza"/>
    <w:link w:val="TematkomentarzaZnak"/>
    <w:uiPriority w:val="99"/>
    <w:semiHidden/>
    <w:rsid w:val="0036018A"/>
    <w:rPr>
      <w:b/>
      <w:bCs/>
    </w:rPr>
  </w:style>
  <w:style w:type="character" w:customStyle="1" w:styleId="TematkomentarzaZnak">
    <w:name w:val="Temat komentarza Znak"/>
    <w:basedOn w:val="TekstkomentarzaZnak"/>
    <w:link w:val="Tematkomentarza"/>
    <w:uiPriority w:val="99"/>
    <w:semiHidden/>
    <w:rsid w:val="0036018A"/>
    <w:rPr>
      <w:rFonts w:ascii="Times" w:eastAsia="Times New Roman" w:hAnsi="Times" w:cs="Times New Roman"/>
      <w:b/>
      <w:bCs/>
      <w:sz w:val="24"/>
      <w:szCs w:val="24"/>
      <w:lang w:eastAsia="pl-PL"/>
    </w:rPr>
  </w:style>
  <w:style w:type="character" w:customStyle="1" w:styleId="IGPKindeksgrnyipogrubieniekursywa">
    <w:name w:val="_IG_P_K_ – indeks górny i pogrubienie kursywa"/>
    <w:basedOn w:val="Domylnaczcionkaakapitu"/>
    <w:uiPriority w:val="2"/>
    <w:qFormat/>
    <w:rsid w:val="0036018A"/>
    <w:rPr>
      <w:b/>
      <w:i/>
      <w:vanish w:val="0"/>
      <w:spacing w:val="0"/>
      <w:vertAlign w:val="superscript"/>
    </w:rPr>
  </w:style>
  <w:style w:type="paragraph" w:customStyle="1" w:styleId="ARTartustawynprozporzdzenia">
    <w:name w:val="ART(§) – art. ustawy (§ np. rozporządzenia)"/>
    <w:uiPriority w:val="11"/>
    <w:qFormat/>
    <w:rsid w:val="0036018A"/>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36018A"/>
    <w:rPr>
      <w:b/>
    </w:rPr>
  </w:style>
  <w:style w:type="paragraph" w:customStyle="1" w:styleId="PKTpunkt">
    <w:name w:val="PKT – punkt"/>
    <w:uiPriority w:val="13"/>
    <w:qFormat/>
    <w:rsid w:val="0036018A"/>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36018A"/>
    <w:pPr>
      <w:ind w:left="986" w:hanging="476"/>
    </w:pPr>
  </w:style>
  <w:style w:type="paragraph" w:styleId="Poprawka">
    <w:name w:val="Revision"/>
    <w:hidden/>
    <w:uiPriority w:val="99"/>
    <w:semiHidden/>
    <w:rsid w:val="00193162"/>
    <w:pPr>
      <w:spacing w:after="0" w:line="240" w:lineRule="auto"/>
    </w:pPr>
  </w:style>
  <w:style w:type="paragraph" w:customStyle="1" w:styleId="ZUSTzmustartykuempunktem">
    <w:name w:val="Z/UST(§) – zm. ust. (§) artykułem (punktem)"/>
    <w:basedOn w:val="ZARTzmartartykuempunktem"/>
    <w:uiPriority w:val="30"/>
    <w:qFormat/>
    <w:rsid w:val="0036018A"/>
  </w:style>
  <w:style w:type="character" w:customStyle="1" w:styleId="markedcontent">
    <w:name w:val="markedcontent"/>
    <w:basedOn w:val="Domylnaczcionkaakapitu"/>
    <w:rsid w:val="00C10EB8"/>
  </w:style>
  <w:style w:type="paragraph" w:styleId="NormalnyWeb">
    <w:name w:val="Normal (Web)"/>
    <w:basedOn w:val="Normalny"/>
    <w:uiPriority w:val="99"/>
    <w:semiHidden/>
    <w:unhideWhenUsed/>
    <w:rsid w:val="009301D6"/>
    <w:pPr>
      <w:spacing w:before="100" w:beforeAutospacing="1" w:after="100" w:afterAutospacing="1" w:line="240" w:lineRule="auto"/>
    </w:pPr>
    <w:rPr>
      <w:rFonts w:cs="Times New Roman"/>
      <w:szCs w:val="24"/>
    </w:rPr>
  </w:style>
  <w:style w:type="character" w:customStyle="1" w:styleId="ms-rtethemeforecolor-2-0">
    <w:name w:val="ms-rtethemeforecolor-2-0"/>
    <w:basedOn w:val="Domylnaczcionkaakapitu"/>
    <w:rsid w:val="009301D6"/>
  </w:style>
  <w:style w:type="character" w:styleId="Hipercze">
    <w:name w:val="Hyperlink"/>
    <w:basedOn w:val="Domylnaczcionkaakapitu"/>
    <w:uiPriority w:val="99"/>
    <w:unhideWhenUsed/>
    <w:rsid w:val="006F2B39"/>
    <w:rPr>
      <w:color w:val="0563C1" w:themeColor="hyperlink"/>
      <w:u w:val="single"/>
    </w:rPr>
  </w:style>
  <w:style w:type="paragraph" w:customStyle="1" w:styleId="Default">
    <w:name w:val="Default"/>
    <w:rsid w:val="00762C5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gwek1Znak">
    <w:name w:val="Nagłówek 1 Znak"/>
    <w:basedOn w:val="Domylnaczcionkaakapitu"/>
    <w:link w:val="Nagwek1"/>
    <w:uiPriority w:val="99"/>
    <w:rsid w:val="0036018A"/>
    <w:rPr>
      <w:rFonts w:asciiTheme="majorHAnsi" w:eastAsiaTheme="majorEastAsia" w:hAnsiTheme="majorHAnsi" w:cstheme="majorBidi"/>
      <w:b/>
      <w:bCs/>
      <w:color w:val="2E74B5"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36018A"/>
    <w:pPr>
      <w:ind w:left="1497"/>
    </w:pPr>
  </w:style>
  <w:style w:type="paragraph" w:customStyle="1" w:styleId="ZTIRwPKTzmtirwpktartykuempunktem">
    <w:name w:val="Z/TIR_w_PKT – zm. tir. w pkt artykułem (punktem)"/>
    <w:basedOn w:val="TIRtiret"/>
    <w:uiPriority w:val="33"/>
    <w:qFormat/>
    <w:rsid w:val="003601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36018A"/>
    <w:pPr>
      <w:ind w:left="1021"/>
    </w:pPr>
  </w:style>
  <w:style w:type="paragraph" w:customStyle="1" w:styleId="2TIRpodwjnytiret">
    <w:name w:val="2TIR – podwójny tiret"/>
    <w:basedOn w:val="TIRtiret"/>
    <w:uiPriority w:val="73"/>
    <w:qFormat/>
    <w:rsid w:val="0036018A"/>
    <w:pPr>
      <w:ind w:left="1780"/>
    </w:pPr>
  </w:style>
  <w:style w:type="character" w:styleId="Odwoanieprzypisudolnego">
    <w:name w:val="footnote reference"/>
    <w:uiPriority w:val="99"/>
    <w:semiHidden/>
    <w:rsid w:val="0036018A"/>
    <w:rPr>
      <w:rFonts w:cs="Times New Roman"/>
      <w:vertAlign w:val="superscript"/>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36018A"/>
    <w:pPr>
      <w:ind w:left="1497"/>
    </w:pPr>
  </w:style>
  <w:style w:type="paragraph" w:customStyle="1" w:styleId="ZTIRwLITzmtirwlitartykuempunktem">
    <w:name w:val="Z/TIR_w_LIT – zm. tir. w lit. artykułem (punktem)"/>
    <w:basedOn w:val="TIRtiret"/>
    <w:uiPriority w:val="33"/>
    <w:qFormat/>
    <w:rsid w:val="003601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36018A"/>
  </w:style>
  <w:style w:type="paragraph" w:customStyle="1" w:styleId="ZPKTzmpktartykuempunktem">
    <w:name w:val="Z/PKT – zm. pkt artykułem (punktem)"/>
    <w:basedOn w:val="PKTpunkt"/>
    <w:uiPriority w:val="31"/>
    <w:qFormat/>
    <w:rsid w:val="0036018A"/>
    <w:pPr>
      <w:ind w:left="1020"/>
    </w:pPr>
  </w:style>
  <w:style w:type="paragraph" w:customStyle="1" w:styleId="ZARTzmartartykuempunktem">
    <w:name w:val="Z/ART(§) – zm. art. (§) artykułem (punktem)"/>
    <w:basedOn w:val="ARTartustawynprozporzdzenia"/>
    <w:uiPriority w:val="30"/>
    <w:qFormat/>
    <w:rsid w:val="003601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36018A"/>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36018A"/>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36018A"/>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36018A"/>
    <w:rPr>
      <w:bCs/>
    </w:rPr>
  </w:style>
  <w:style w:type="paragraph" w:customStyle="1" w:styleId="OZNRODZAKTUtznustawalubrozporzdzenieiorganwydajcy">
    <w:name w:val="OZN_RODZ_AKTU – tzn. ustawa lub rozporządzenie i organ wydający"/>
    <w:next w:val="DATAAKTUdatauchwalenialubwydaniaaktu"/>
    <w:uiPriority w:val="5"/>
    <w:qFormat/>
    <w:rsid w:val="0036018A"/>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36018A"/>
    <w:pPr>
      <w:spacing w:before="0"/>
    </w:pPr>
    <w:rPr>
      <w:bCs/>
    </w:rPr>
  </w:style>
  <w:style w:type="paragraph" w:customStyle="1" w:styleId="CZWSPPKTczwsplnapunktw">
    <w:name w:val="CZ_WSP_PKT – część wspólna punktów"/>
    <w:basedOn w:val="PKTpunkt"/>
    <w:next w:val="USTustnpkodeksu"/>
    <w:uiPriority w:val="16"/>
    <w:qFormat/>
    <w:rsid w:val="0036018A"/>
    <w:pPr>
      <w:ind w:left="0" w:firstLine="0"/>
    </w:pPr>
  </w:style>
  <w:style w:type="paragraph" w:customStyle="1" w:styleId="CZWSPLITczwsplnaliter">
    <w:name w:val="CZ_WSP_LIT – część wspólna liter"/>
    <w:basedOn w:val="LITlitera"/>
    <w:next w:val="USTustnpkodeksu"/>
    <w:uiPriority w:val="17"/>
    <w:qFormat/>
    <w:rsid w:val="0036018A"/>
    <w:pPr>
      <w:ind w:left="510" w:firstLine="0"/>
    </w:pPr>
    <w:rPr>
      <w:szCs w:val="24"/>
    </w:rPr>
  </w:style>
  <w:style w:type="paragraph" w:customStyle="1" w:styleId="TIRtiret">
    <w:name w:val="TIR – tiret"/>
    <w:basedOn w:val="LITlitera"/>
    <w:uiPriority w:val="15"/>
    <w:qFormat/>
    <w:rsid w:val="0036018A"/>
    <w:pPr>
      <w:ind w:left="1384" w:hanging="397"/>
    </w:pPr>
  </w:style>
  <w:style w:type="paragraph" w:customStyle="1" w:styleId="CZWSPTIRczwsplnatiret">
    <w:name w:val="CZ_WSP_TIR – część wspólna tiret"/>
    <w:basedOn w:val="TIRtiret"/>
    <w:next w:val="USTustnpkodeksu"/>
    <w:uiPriority w:val="17"/>
    <w:qFormat/>
    <w:rsid w:val="0036018A"/>
    <w:pPr>
      <w:ind w:left="987" w:firstLine="0"/>
    </w:pPr>
  </w:style>
  <w:style w:type="paragraph" w:customStyle="1" w:styleId="CYTcytatnpprzysigi">
    <w:name w:val="CYT – cytat np. przysięgi"/>
    <w:basedOn w:val="USTustnpkodeksu"/>
    <w:next w:val="USTustnpkodeksu"/>
    <w:uiPriority w:val="18"/>
    <w:qFormat/>
    <w:rsid w:val="003601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36018A"/>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ZLITzmlitartykuempunktem">
    <w:name w:val="Z/LIT – zm. lit. artykułem (punktem)"/>
    <w:basedOn w:val="LITlitera"/>
    <w:uiPriority w:val="32"/>
    <w:qFormat/>
    <w:rsid w:val="0036018A"/>
  </w:style>
  <w:style w:type="paragraph" w:customStyle="1" w:styleId="ZLITCZWSPTIRwLITzmczciwsptirwlitliter">
    <w:name w:val="Z_LIT/CZ_WSP_TIR_w_LIT – zm. części wsp. tir. w lit. literą"/>
    <w:basedOn w:val="CZWSPTIRczwsplnatiret"/>
    <w:next w:val="LITlitera"/>
    <w:uiPriority w:val="51"/>
    <w:qFormat/>
    <w:rsid w:val="0036018A"/>
    <w:pPr>
      <w:ind w:left="1463"/>
    </w:pPr>
  </w:style>
  <w:style w:type="paragraph" w:customStyle="1" w:styleId="ZLITTIRwLITzmtirwlitliter">
    <w:name w:val="Z_LIT/TIR_w_LIT – zm. tir. w lit. literą"/>
    <w:basedOn w:val="TIRtiret"/>
    <w:uiPriority w:val="49"/>
    <w:qFormat/>
    <w:rsid w:val="0036018A"/>
    <w:pPr>
      <w:ind w:left="1860"/>
    </w:pPr>
  </w:style>
  <w:style w:type="paragraph" w:customStyle="1" w:styleId="TYTDZOZNoznaczenietytuulubdziau">
    <w:name w:val="TYT(DZ)_OZN – oznaczenie tytułu lub działu"/>
    <w:next w:val="Normalny"/>
    <w:uiPriority w:val="9"/>
    <w:qFormat/>
    <w:rsid w:val="0036018A"/>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36018A"/>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3601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36018A"/>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3601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36018A"/>
    <w:pPr>
      <w:ind w:left="510"/>
    </w:pPr>
  </w:style>
  <w:style w:type="paragraph" w:customStyle="1" w:styleId="ZZLITzmianazmlit">
    <w:name w:val="ZZ/LIT – zmiana zm. lit."/>
    <w:basedOn w:val="ZZPKTzmianazmpkt"/>
    <w:uiPriority w:val="67"/>
    <w:qFormat/>
    <w:rsid w:val="0036018A"/>
    <w:pPr>
      <w:ind w:left="2370" w:hanging="476"/>
    </w:pPr>
  </w:style>
  <w:style w:type="paragraph" w:customStyle="1" w:styleId="ZZTIRzmianazmtir">
    <w:name w:val="ZZ/TIR – zmiana zm. tir."/>
    <w:basedOn w:val="ZZLITzmianazmlit"/>
    <w:uiPriority w:val="67"/>
    <w:qFormat/>
    <w:rsid w:val="003601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36018A"/>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LITUSTzmustliter">
    <w:name w:val="Z_LIT/UST(§) – zm. ust. (§) literą"/>
    <w:basedOn w:val="USTustnpkodeksu"/>
    <w:uiPriority w:val="46"/>
    <w:qFormat/>
    <w:rsid w:val="0036018A"/>
    <w:pPr>
      <w:ind w:left="987"/>
    </w:pPr>
  </w:style>
  <w:style w:type="paragraph" w:customStyle="1" w:styleId="ZLITPKTzmpktliter">
    <w:name w:val="Z_LIT/PKT – zm. pkt literą"/>
    <w:basedOn w:val="PKTpunkt"/>
    <w:uiPriority w:val="47"/>
    <w:qFormat/>
    <w:rsid w:val="0036018A"/>
    <w:pPr>
      <w:ind w:left="1497"/>
    </w:pPr>
  </w:style>
  <w:style w:type="paragraph" w:customStyle="1" w:styleId="ZZCZWSPPKTzmianazmczciwsppkt">
    <w:name w:val="ZZ/CZ_WSP_PKT – zmiana. zm. części wsp. pkt"/>
    <w:basedOn w:val="ZZARTzmianazmart"/>
    <w:next w:val="ZPKTzmpktartykuempunktem"/>
    <w:uiPriority w:val="68"/>
    <w:qFormat/>
    <w:rsid w:val="0036018A"/>
    <w:pPr>
      <w:ind w:firstLine="0"/>
    </w:pPr>
  </w:style>
  <w:style w:type="paragraph" w:customStyle="1" w:styleId="ZLITLITzmlitliter">
    <w:name w:val="Z_LIT/LIT – zm. lit. literą"/>
    <w:basedOn w:val="LITlitera"/>
    <w:uiPriority w:val="48"/>
    <w:qFormat/>
    <w:rsid w:val="0036018A"/>
    <w:pPr>
      <w:ind w:left="1463"/>
    </w:pPr>
  </w:style>
  <w:style w:type="paragraph" w:customStyle="1" w:styleId="ZLITCZWSPPKTzmczciwsppktliter">
    <w:name w:val="Z_LIT/CZ_WSP_PKT – zm. części wsp. pkt literą"/>
    <w:basedOn w:val="CZWSPLITczwsplnaliter"/>
    <w:next w:val="LITlitera"/>
    <w:uiPriority w:val="50"/>
    <w:qFormat/>
    <w:rsid w:val="0036018A"/>
    <w:pPr>
      <w:ind w:left="987"/>
    </w:pPr>
  </w:style>
  <w:style w:type="paragraph" w:customStyle="1" w:styleId="ZLITTIRzmtirliter">
    <w:name w:val="Z_LIT/TIR – zm. tir. literą"/>
    <w:basedOn w:val="TIRtiret"/>
    <w:uiPriority w:val="49"/>
    <w:qFormat/>
    <w:rsid w:val="0036018A"/>
  </w:style>
  <w:style w:type="paragraph" w:customStyle="1" w:styleId="ZZCZWSPLITwPKTzmianazmczciwsplitwpkt">
    <w:name w:val="ZZ/CZ_WSP_LIT_w_PKT – zmiana zm. części wsp. lit. w pkt"/>
    <w:basedOn w:val="ZZLITwPKTzmianazmlitwpkt"/>
    <w:uiPriority w:val="69"/>
    <w:qFormat/>
    <w:rsid w:val="0036018A"/>
    <w:pPr>
      <w:ind w:left="2404" w:firstLine="0"/>
    </w:pPr>
  </w:style>
  <w:style w:type="paragraph" w:customStyle="1" w:styleId="ZLITLITwPKTzmlitwpktliter">
    <w:name w:val="Z_LIT/LIT_w_PKT – zm. lit. w pkt literą"/>
    <w:basedOn w:val="LITlitera"/>
    <w:uiPriority w:val="48"/>
    <w:qFormat/>
    <w:rsid w:val="0036018A"/>
    <w:pPr>
      <w:ind w:left="1973"/>
    </w:pPr>
  </w:style>
  <w:style w:type="paragraph" w:customStyle="1" w:styleId="ZLITCZWSPLITwPKTzmczciwsplitwpktliter">
    <w:name w:val="Z_LIT/CZ_WSP_LIT_w_PKT – zm. części wsp. lit. w pkt literą"/>
    <w:basedOn w:val="CZWSPLITczwsplnaliter"/>
    <w:next w:val="LITlitera"/>
    <w:uiPriority w:val="51"/>
    <w:qFormat/>
    <w:rsid w:val="0036018A"/>
    <w:pPr>
      <w:ind w:left="1497"/>
    </w:pPr>
  </w:style>
  <w:style w:type="paragraph" w:customStyle="1" w:styleId="ZLITTIRwPKTzmtirwpktliter">
    <w:name w:val="Z_LIT/TIR_w_PKT – zm. tir. w pkt literą"/>
    <w:basedOn w:val="TIRtiret"/>
    <w:uiPriority w:val="49"/>
    <w:qFormat/>
    <w:rsid w:val="0036018A"/>
    <w:pPr>
      <w:ind w:left="2370"/>
    </w:pPr>
  </w:style>
  <w:style w:type="paragraph" w:customStyle="1" w:styleId="ZLITCZWSPTIRwPKTzmczciwsptirwpktliter">
    <w:name w:val="Z_LIT/CZ_WSP_TIR_w_PKT – zm. części wsp. tir. w pkt literą"/>
    <w:basedOn w:val="CZWSPTIRczwsplnatiret"/>
    <w:next w:val="LITlitera"/>
    <w:uiPriority w:val="51"/>
    <w:qFormat/>
    <w:rsid w:val="0036018A"/>
    <w:pPr>
      <w:ind w:left="1973"/>
    </w:pPr>
  </w:style>
  <w:style w:type="paragraph" w:styleId="Tekstprzypisudolnego">
    <w:name w:val="footnote text"/>
    <w:basedOn w:val="Normalny"/>
    <w:link w:val="TekstprzypisudolnegoZnak"/>
    <w:uiPriority w:val="99"/>
    <w:semiHidden/>
    <w:qFormat/>
    <w:rsid w:val="0036018A"/>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36018A"/>
    <w:rPr>
      <w:rFonts w:ascii="Times" w:eastAsia="Times New Roman" w:hAnsi="Times" w:cs="Times New Roman"/>
      <w:sz w:val="24"/>
      <w:szCs w:val="24"/>
      <w:lang w:eastAsia="pl-PL"/>
    </w:rPr>
  </w:style>
  <w:style w:type="paragraph" w:customStyle="1" w:styleId="ZTIRLITzmlittiret">
    <w:name w:val="Z_TIR/LIT – zm. lit. tiret"/>
    <w:basedOn w:val="LITlitera"/>
    <w:uiPriority w:val="57"/>
    <w:qFormat/>
    <w:rsid w:val="0036018A"/>
    <w:pPr>
      <w:ind w:left="1859"/>
    </w:pPr>
  </w:style>
  <w:style w:type="paragraph" w:customStyle="1" w:styleId="ZTIRCZWSPPKTzmczciwsppkttiret">
    <w:name w:val="Z_TIR/CZ_WSP_PKT – zm. części wsp. pkt tiret"/>
    <w:basedOn w:val="CZWSPLITczwsplnaliter"/>
    <w:next w:val="TIRtiret"/>
    <w:uiPriority w:val="58"/>
    <w:qFormat/>
    <w:rsid w:val="0036018A"/>
    <w:pPr>
      <w:ind w:left="1383"/>
    </w:pPr>
  </w:style>
  <w:style w:type="paragraph" w:customStyle="1" w:styleId="ZTIRTIRzmtirtiret">
    <w:name w:val="Z_TIR/TIR – zm. tir. tiret"/>
    <w:basedOn w:val="TIRtiret"/>
    <w:uiPriority w:val="57"/>
    <w:qFormat/>
    <w:rsid w:val="0036018A"/>
    <w:pPr>
      <w:ind w:left="1780"/>
    </w:pPr>
  </w:style>
  <w:style w:type="paragraph" w:customStyle="1" w:styleId="ZZCZWSPTIRwPKTzmianazmczciwsptirwpkt">
    <w:name w:val="ZZ/CZ_WSP_TIR_w_PKT – zmiana zm. części wsp. tir. w pkt"/>
    <w:basedOn w:val="ZZTIRwPKTzmianazmtirwpkt"/>
    <w:uiPriority w:val="70"/>
    <w:qFormat/>
    <w:rsid w:val="0036018A"/>
    <w:pPr>
      <w:ind w:left="2880" w:firstLine="0"/>
    </w:pPr>
  </w:style>
  <w:style w:type="paragraph" w:customStyle="1" w:styleId="ZZTIRwLITzmianazmtirwlit">
    <w:name w:val="ZZ/TIR_w_LIT – zmiana zm. tir. w lit."/>
    <w:basedOn w:val="ZZTIRzmianazmtir"/>
    <w:uiPriority w:val="67"/>
    <w:qFormat/>
    <w:rsid w:val="0036018A"/>
    <w:pPr>
      <w:ind w:left="2767"/>
    </w:pPr>
  </w:style>
  <w:style w:type="paragraph" w:customStyle="1" w:styleId="ZTIRTIRwLITzmtirwlittiret">
    <w:name w:val="Z_TIR/TIR_w_LIT – zm. tir. w lit. tiret"/>
    <w:basedOn w:val="TIRtiret"/>
    <w:uiPriority w:val="57"/>
    <w:qFormat/>
    <w:rsid w:val="0036018A"/>
    <w:pPr>
      <w:ind w:left="2257"/>
    </w:pPr>
  </w:style>
  <w:style w:type="paragraph" w:customStyle="1" w:styleId="ZTIRCZWSPTIRwLITzmczciwsptirwlittiret">
    <w:name w:val="Z_TIR/CZ_WSP_TIR_w_LIT – zm. części wsp. tir. w lit. tiret"/>
    <w:basedOn w:val="CZWSPTIRczwsplnatiret"/>
    <w:next w:val="TIRtiret"/>
    <w:uiPriority w:val="60"/>
    <w:qFormat/>
    <w:rsid w:val="0036018A"/>
    <w:pPr>
      <w:ind w:left="1860"/>
    </w:pPr>
  </w:style>
  <w:style w:type="paragraph" w:customStyle="1" w:styleId="CZWSP2TIRczwsplnapodwjnychtiret">
    <w:name w:val="CZ_WSP_2TIR – część wspólna podwójnych tiret"/>
    <w:basedOn w:val="CZWSPTIRczwsplnatiret"/>
    <w:next w:val="TIRtiret"/>
    <w:uiPriority w:val="73"/>
    <w:qFormat/>
    <w:rsid w:val="0036018A"/>
    <w:pPr>
      <w:ind w:left="1780"/>
    </w:pPr>
  </w:style>
  <w:style w:type="paragraph" w:customStyle="1" w:styleId="Z2TIRzmpodwtirartykuempunktem">
    <w:name w:val="Z/2TIR – zm. podw. tir. artykułem (punktem)"/>
    <w:basedOn w:val="TIRtiret"/>
    <w:uiPriority w:val="73"/>
    <w:qFormat/>
    <w:rsid w:val="0036018A"/>
    <w:pPr>
      <w:ind w:left="907"/>
    </w:pPr>
  </w:style>
  <w:style w:type="paragraph" w:customStyle="1" w:styleId="ZZCZWSPTIRwLITzmianazmczciwsptirwlit">
    <w:name w:val="ZZ/CZ_WSP_TIR_w_LIT – zmiana zm. części wsp. tir. w lit."/>
    <w:basedOn w:val="ZZTIRwLITzmianazmtirwlit"/>
    <w:uiPriority w:val="70"/>
    <w:qFormat/>
    <w:rsid w:val="0036018A"/>
    <w:pPr>
      <w:ind w:left="2370" w:firstLine="0"/>
    </w:pPr>
  </w:style>
  <w:style w:type="paragraph" w:customStyle="1" w:styleId="ZLIT2TIRzmpodwtirliter">
    <w:name w:val="Z_LIT/2TIR – zm. podw. tir. literą"/>
    <w:basedOn w:val="TIRtiret"/>
    <w:uiPriority w:val="75"/>
    <w:qFormat/>
    <w:rsid w:val="0036018A"/>
  </w:style>
  <w:style w:type="paragraph" w:customStyle="1" w:styleId="ZTIR2TIRzmpodwtirtiret">
    <w:name w:val="Z_TIR/2TIR – zm. podw. tir. tiret"/>
    <w:basedOn w:val="TIRtiret"/>
    <w:uiPriority w:val="78"/>
    <w:qFormat/>
    <w:rsid w:val="003601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36018A"/>
    <w:pPr>
      <w:ind w:left="1780"/>
    </w:pPr>
  </w:style>
  <w:style w:type="paragraph" w:customStyle="1" w:styleId="Z2TIRwPKTzmpodwtirwpktartykuempunktem">
    <w:name w:val="Z/2TIR_w_PKT – zm. podw. tir. w pkt artykułem (punktem)"/>
    <w:basedOn w:val="TIRtiret"/>
    <w:next w:val="ZPKTzmpktartykuempunktem"/>
    <w:uiPriority w:val="74"/>
    <w:qFormat/>
    <w:rsid w:val="0036018A"/>
    <w:pPr>
      <w:ind w:left="2291"/>
    </w:pPr>
  </w:style>
  <w:style w:type="paragraph" w:customStyle="1" w:styleId="ZTIRPKTzmpkttiret">
    <w:name w:val="Z_TIR/PKT – zm. pkt tiret"/>
    <w:basedOn w:val="PKTpunkt"/>
    <w:uiPriority w:val="56"/>
    <w:qFormat/>
    <w:rsid w:val="0036018A"/>
    <w:pPr>
      <w:ind w:left="1893"/>
    </w:pPr>
  </w:style>
  <w:style w:type="paragraph" w:customStyle="1" w:styleId="ZTIRLITwPKTzmlitwpkttiret">
    <w:name w:val="Z_TIR/LIT_w_PKT – zm. lit. w pkt tiret"/>
    <w:basedOn w:val="LITlitera"/>
    <w:uiPriority w:val="57"/>
    <w:qFormat/>
    <w:rsid w:val="0036018A"/>
    <w:pPr>
      <w:ind w:left="2336"/>
    </w:pPr>
  </w:style>
  <w:style w:type="paragraph" w:customStyle="1" w:styleId="ZTIRCZWSPLITwPKTzmczciwsplitwpkttiret">
    <w:name w:val="Z_TIR/CZ_WSP_LIT_w_PKT – zm. części wsp. lit. w pkt tiret"/>
    <w:basedOn w:val="CZWSPLITczwsplnaliter"/>
    <w:uiPriority w:val="59"/>
    <w:qFormat/>
    <w:rsid w:val="0036018A"/>
    <w:pPr>
      <w:ind w:left="1860"/>
    </w:pPr>
  </w:style>
  <w:style w:type="paragraph" w:customStyle="1" w:styleId="ZTIR2TIRwLITzmpodwtirwlittiret">
    <w:name w:val="Z_TIR/2TIR_w_LIT – zm. podw. tir. w lit. tiret"/>
    <w:basedOn w:val="TIRtiret"/>
    <w:uiPriority w:val="79"/>
    <w:qFormat/>
    <w:rsid w:val="003601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36018A"/>
    <w:pPr>
      <w:ind w:left="2257"/>
    </w:pPr>
  </w:style>
  <w:style w:type="paragraph" w:customStyle="1" w:styleId="ZTIR2TIRwTIRzmpodwtirwtirtiret">
    <w:name w:val="Z_TIR/2TIR_w_TIR – zm. podw. tir. w tir. tiret"/>
    <w:basedOn w:val="TIRtiret"/>
    <w:uiPriority w:val="78"/>
    <w:qFormat/>
    <w:rsid w:val="0036018A"/>
    <w:pPr>
      <w:ind w:left="2177"/>
    </w:pPr>
  </w:style>
  <w:style w:type="paragraph" w:customStyle="1" w:styleId="ZTIRCZWSP2TIRwTIRzmczciwsppodwtirwtirtiret">
    <w:name w:val="Z_TIR/CZ_WSP_2TIR_w_TIR – zm. części wsp. podw. tir. w tir. tiret"/>
    <w:basedOn w:val="CZWSPTIRczwsplnatiret"/>
    <w:uiPriority w:val="79"/>
    <w:qFormat/>
    <w:rsid w:val="0036018A"/>
    <w:pPr>
      <w:ind w:left="1780"/>
    </w:pPr>
  </w:style>
  <w:style w:type="paragraph" w:customStyle="1" w:styleId="Z2TIRLITzmlitpodwjnymtiret">
    <w:name w:val="Z_2TIR/LIT – zm. lit. podwójnym tiret"/>
    <w:basedOn w:val="LITlitera"/>
    <w:uiPriority w:val="84"/>
    <w:qFormat/>
    <w:rsid w:val="0036018A"/>
    <w:pPr>
      <w:ind w:left="2256"/>
    </w:pPr>
  </w:style>
  <w:style w:type="paragraph" w:customStyle="1" w:styleId="ZZ2TIRwTIRzmianazmpodwtirwtir">
    <w:name w:val="ZZ/2TIR_w_TIR – zmiana zm. podw. tir. w tir."/>
    <w:basedOn w:val="ZZCZWSP2TIRzmianazmczciwsppodwtir"/>
    <w:uiPriority w:val="93"/>
    <w:qFormat/>
    <w:rsid w:val="0036018A"/>
    <w:pPr>
      <w:ind w:left="2688" w:hanging="397"/>
    </w:pPr>
  </w:style>
  <w:style w:type="paragraph" w:customStyle="1" w:styleId="ZZ2TIRwLITzmianazmpodwtirwlit">
    <w:name w:val="ZZ/2TIR_w_LIT – zmiana zm. podw. tir. w lit."/>
    <w:basedOn w:val="ZZ2TIRwTIRzmianazmpodwtirwtir"/>
    <w:uiPriority w:val="94"/>
    <w:qFormat/>
    <w:rsid w:val="0036018A"/>
    <w:pPr>
      <w:ind w:left="3164"/>
    </w:pPr>
  </w:style>
  <w:style w:type="paragraph" w:customStyle="1" w:styleId="Z2TIRTIRwLITzmtirwlitpodwjnymtiret">
    <w:name w:val="Z_2TIR/TIR_w_LIT – zm. tir. w lit. podwójnym tiret"/>
    <w:basedOn w:val="TIRtiret"/>
    <w:uiPriority w:val="84"/>
    <w:qFormat/>
    <w:rsid w:val="003601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36018A"/>
    <w:pPr>
      <w:ind w:left="2257"/>
    </w:pPr>
  </w:style>
  <w:style w:type="paragraph" w:customStyle="1" w:styleId="ZZ2TIRwPKTzmianazmpodwtirwpkt">
    <w:name w:val="ZZ/2TIR_w_PKT – zmiana zm. podw. tir. w pkt"/>
    <w:basedOn w:val="ZZ2TIRwLITzmianazmpodwtirwlit"/>
    <w:uiPriority w:val="94"/>
    <w:qFormat/>
    <w:rsid w:val="0036018A"/>
    <w:pPr>
      <w:ind w:left="3674"/>
    </w:pPr>
  </w:style>
  <w:style w:type="paragraph" w:customStyle="1" w:styleId="ZZCZWSP2TIRwTIRzmianazmczciwsppodwtirwtir">
    <w:name w:val="ZZ/CZ_WSP_2TIR_w_TIR – zmiana zm. części wsp. podw. tir. w tir."/>
    <w:basedOn w:val="ZZ2TIRwLITzmianazmpodwtirwlit"/>
    <w:uiPriority w:val="94"/>
    <w:qFormat/>
    <w:rsid w:val="0036018A"/>
    <w:pPr>
      <w:ind w:left="2291" w:firstLine="0"/>
    </w:pPr>
  </w:style>
  <w:style w:type="paragraph" w:customStyle="1" w:styleId="Z2TIR2TIRwTIRzmpodwtirwtirpodwjnymtiret">
    <w:name w:val="Z_2TIR/2TIR_w_TIR – zm. podw. tir. w tir. podwójnym tiret"/>
    <w:basedOn w:val="TIRtiret"/>
    <w:uiPriority w:val="85"/>
    <w:qFormat/>
    <w:rsid w:val="003601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36018A"/>
    <w:pPr>
      <w:ind w:left="2177"/>
    </w:pPr>
  </w:style>
  <w:style w:type="paragraph" w:customStyle="1" w:styleId="Z2TIR2TIRwLITzmpodwtirwlitpodwjnymtiret">
    <w:name w:val="Z_2TIR/2TIR_w_LIT – zm. podw. tir. w lit. podwójnym tiret"/>
    <w:basedOn w:val="TIRtiret"/>
    <w:uiPriority w:val="86"/>
    <w:qFormat/>
    <w:rsid w:val="003601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3601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3601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36018A"/>
    <w:pPr>
      <w:spacing w:after="120"/>
      <w:ind w:left="510"/>
    </w:pPr>
    <w:rPr>
      <w:b w:val="0"/>
    </w:rPr>
  </w:style>
  <w:style w:type="paragraph" w:customStyle="1" w:styleId="ZZARTzmianazmart">
    <w:name w:val="ZZ/ART(§) – zmiana zm. art. (§)"/>
    <w:basedOn w:val="ZARTzmartartykuempunktem"/>
    <w:uiPriority w:val="65"/>
    <w:qFormat/>
    <w:rsid w:val="0036018A"/>
    <w:pPr>
      <w:ind w:left="1894"/>
    </w:pPr>
  </w:style>
  <w:style w:type="paragraph" w:customStyle="1" w:styleId="ZZPKTzmianazmpkt">
    <w:name w:val="ZZ/PKT – zmiana zm. pkt"/>
    <w:basedOn w:val="ZPKTzmpktartykuempunktem"/>
    <w:uiPriority w:val="66"/>
    <w:qFormat/>
    <w:rsid w:val="0036018A"/>
    <w:pPr>
      <w:ind w:left="2404"/>
    </w:pPr>
  </w:style>
  <w:style w:type="paragraph" w:customStyle="1" w:styleId="ZZLITwPKTzmianazmlitwpkt">
    <w:name w:val="ZZ/LIT_w_PKT – zmiana zm. lit. w pkt"/>
    <w:basedOn w:val="ZLITwPKTzmlitwpktartykuempunktem"/>
    <w:uiPriority w:val="67"/>
    <w:qFormat/>
    <w:rsid w:val="0036018A"/>
    <w:pPr>
      <w:ind w:left="2880"/>
    </w:pPr>
  </w:style>
  <w:style w:type="paragraph" w:customStyle="1" w:styleId="ZZTIRwPKTzmianazmtirwpkt">
    <w:name w:val="ZZ/TIR_w_PKT – zmiana zm. tir. w pkt"/>
    <w:basedOn w:val="ZTIRwPKTzmtirwpktartykuempunktem"/>
    <w:uiPriority w:val="67"/>
    <w:qFormat/>
    <w:rsid w:val="0036018A"/>
    <w:pPr>
      <w:ind w:left="3277"/>
    </w:pPr>
  </w:style>
  <w:style w:type="paragraph" w:customStyle="1" w:styleId="ZZWMATFIZCHEMzmwzorumatfizlubchem">
    <w:name w:val="ZZ/W_MAT(FIZ|CHEM) – zm. wzoru mat. (fiz. lub chem.)"/>
    <w:basedOn w:val="ZWMATFIZCHEMzmwzorumatfizlubchemartykuempunktem"/>
    <w:uiPriority w:val="71"/>
    <w:qFormat/>
    <w:rsid w:val="0036018A"/>
    <w:pPr>
      <w:ind w:left="2404"/>
    </w:pPr>
  </w:style>
  <w:style w:type="paragraph" w:customStyle="1" w:styleId="ODNONIKtreodnonika">
    <w:name w:val="ODNOŚNIK – treść odnośnika"/>
    <w:uiPriority w:val="19"/>
    <w:qFormat/>
    <w:rsid w:val="0036018A"/>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3601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3601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36018A"/>
    <w:rPr>
      <w:rFonts w:ascii="Times New Roman" w:hAnsi="Times New Roman"/>
    </w:rPr>
  </w:style>
  <w:style w:type="paragraph" w:customStyle="1" w:styleId="ZTIRTIRwPKTzmtirwpkttiret">
    <w:name w:val="Z_TIR/TIR_w_PKT – zm. tir. w pkt tiret"/>
    <w:basedOn w:val="ZTIRTIRwLITzmtirwlittiret"/>
    <w:uiPriority w:val="57"/>
    <w:qFormat/>
    <w:rsid w:val="0036018A"/>
    <w:pPr>
      <w:ind w:left="2733"/>
    </w:pPr>
  </w:style>
  <w:style w:type="paragraph" w:customStyle="1" w:styleId="ZTIRCZWSPTIRwPKTzmczciwsptirtiret">
    <w:name w:val="Z_TIR/CZ_WSP_TIR_w_PKT – zm. części wsp. tir. tiret"/>
    <w:basedOn w:val="ZTIRTIRwPKTzmtirwpkttiret"/>
    <w:next w:val="TIRtiret"/>
    <w:uiPriority w:val="60"/>
    <w:qFormat/>
    <w:rsid w:val="003601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36018A"/>
    <w:pPr>
      <w:ind w:left="510" w:firstLine="0"/>
    </w:pPr>
  </w:style>
  <w:style w:type="paragraph" w:customStyle="1" w:styleId="ROZDZODDZOZNoznaczenierozdziauluboddziau">
    <w:name w:val="ROZDZ(ODDZ)_OZN – oznaczenie rozdziału lub oddziału"/>
    <w:next w:val="ARTartustawynprozporzdzenia"/>
    <w:uiPriority w:val="10"/>
    <w:qFormat/>
    <w:rsid w:val="0036018A"/>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36018A"/>
    <w:pPr>
      <w:ind w:left="2177"/>
    </w:pPr>
  </w:style>
  <w:style w:type="paragraph" w:customStyle="1" w:styleId="Z2TIRTIRzmtirpodwjnymtiret">
    <w:name w:val="Z_2TIR/TIR – zm. tir. podwójnym tiret"/>
    <w:basedOn w:val="TIRtiret"/>
    <w:uiPriority w:val="84"/>
    <w:qFormat/>
    <w:rsid w:val="003601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36018A"/>
    <w:pPr>
      <w:ind w:left="1021"/>
    </w:pPr>
  </w:style>
  <w:style w:type="paragraph" w:customStyle="1" w:styleId="ZLITSKARNzmsankcjikarnejliter">
    <w:name w:val="Z_LIT/S_KARN – zm. sankcji karnej literą"/>
    <w:basedOn w:val="ZSKARNzmsankcjikarnejwszczeglnociwKodeksiekarnym"/>
    <w:uiPriority w:val="53"/>
    <w:qFormat/>
    <w:rsid w:val="003601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3601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3601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36018A"/>
    <w:pPr>
      <w:ind w:left="1780"/>
    </w:pPr>
  </w:style>
  <w:style w:type="paragraph" w:customStyle="1" w:styleId="Z2TIRwTIRzmpodwtirwtirartykuempunktem">
    <w:name w:val="Z/2TIR_w_TIR – zm. podw. tir. w tir. artykułem (punktem)"/>
    <w:basedOn w:val="Z2TIRwLITzmpodwtirwlitartykuempunktem"/>
    <w:uiPriority w:val="73"/>
    <w:qFormat/>
    <w:rsid w:val="003601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3601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36018A"/>
    <w:pPr>
      <w:ind w:left="1383" w:firstLine="0"/>
    </w:pPr>
  </w:style>
  <w:style w:type="paragraph" w:customStyle="1" w:styleId="ZZCZWSP2TIRzmianazmczciwsppodwtir">
    <w:name w:val="ZZ/CZ_WSP_2TIR – zmiana zm. części wsp. podw. tir."/>
    <w:basedOn w:val="ZZTIRzmianazmtir"/>
    <w:next w:val="ZZUSTzmianazmust"/>
    <w:uiPriority w:val="94"/>
    <w:qFormat/>
    <w:rsid w:val="0036018A"/>
    <w:pPr>
      <w:ind w:left="1894" w:firstLine="0"/>
    </w:pPr>
  </w:style>
  <w:style w:type="paragraph" w:customStyle="1" w:styleId="PKTODNONIKApunktodnonika">
    <w:name w:val="PKT_ODNOŚNIKA – punkt odnośnika"/>
    <w:basedOn w:val="ODNONIKtreodnonika"/>
    <w:uiPriority w:val="19"/>
    <w:qFormat/>
    <w:rsid w:val="0036018A"/>
    <w:pPr>
      <w:ind w:left="568"/>
    </w:pPr>
  </w:style>
  <w:style w:type="paragraph" w:customStyle="1" w:styleId="ZODNONIKAzmtekstuodnonikaartykuempunktem">
    <w:name w:val="Z/ODNOŚNIKA – zm. tekstu odnośnika artykułem (punktem)"/>
    <w:basedOn w:val="ODNONIKtreodnonika"/>
    <w:uiPriority w:val="39"/>
    <w:qFormat/>
    <w:rsid w:val="003601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36018A"/>
    <w:pPr>
      <w:ind w:left="1304"/>
    </w:pPr>
  </w:style>
  <w:style w:type="paragraph" w:customStyle="1" w:styleId="ZPKTODNONIKAzmpktodnonikaartykuempunktem">
    <w:name w:val="Z/PKT_ODNOŚNIKA – zm. pkt odnośnika artykułem (punktem)"/>
    <w:basedOn w:val="ZODNONIKAzmtekstuodnonikaartykuempunktem"/>
    <w:uiPriority w:val="39"/>
    <w:qFormat/>
    <w:rsid w:val="0036018A"/>
  </w:style>
  <w:style w:type="paragraph" w:customStyle="1" w:styleId="ZLIT2TIRwTIRzmpodwtirwtirliter">
    <w:name w:val="Z_LIT/2TIR_w_TIR – zm. podw. tir. w tir. literą"/>
    <w:basedOn w:val="ZLIT2TIRzmpodwtirliter"/>
    <w:uiPriority w:val="75"/>
    <w:qFormat/>
    <w:rsid w:val="0036018A"/>
    <w:pPr>
      <w:ind w:left="1780"/>
    </w:pPr>
  </w:style>
  <w:style w:type="paragraph" w:customStyle="1" w:styleId="ZLIT2TIRwLITzmpodwtirwlitliter">
    <w:name w:val="Z_LIT/2TIR_w_LIT – zm. podw. tir. w lit. literą"/>
    <w:basedOn w:val="ZLIT2TIRwTIRzmpodwtirwtirliter"/>
    <w:uiPriority w:val="76"/>
    <w:qFormat/>
    <w:rsid w:val="0036018A"/>
    <w:pPr>
      <w:ind w:left="2257"/>
    </w:pPr>
  </w:style>
  <w:style w:type="paragraph" w:customStyle="1" w:styleId="ZLIT2TIRwPKTzmpodwtirwpktliter">
    <w:name w:val="Z_LIT/2TIR_w_PKT – zm. podw. tir. w pkt literą"/>
    <w:basedOn w:val="ZLIT2TIRwLITzmpodwtirwlitliter"/>
    <w:uiPriority w:val="76"/>
    <w:qFormat/>
    <w:rsid w:val="003601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3601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3601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36018A"/>
    <w:pPr>
      <w:ind w:left="2370" w:firstLine="0"/>
    </w:pPr>
  </w:style>
  <w:style w:type="paragraph" w:customStyle="1" w:styleId="ZTIR2TIRwPKTzmpodwtirwpkttiret">
    <w:name w:val="Z_TIR/2TIR_w_PKT – zm. podw. tir. w pkt tiret"/>
    <w:basedOn w:val="ZTIR2TIRwLITzmpodwtirwlittiret"/>
    <w:uiPriority w:val="79"/>
    <w:qFormat/>
    <w:rsid w:val="003601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3601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36018A"/>
    <w:pPr>
      <w:ind w:left="2767"/>
    </w:pPr>
  </w:style>
  <w:style w:type="paragraph" w:customStyle="1" w:styleId="ZZCZWSP2TIRwPKTzmianazmczciwsppodwtirwpkt">
    <w:name w:val="ZZ/CZ_WSP_2TIR_w_PKT – zmiana zm. części wsp. podw. tir. w pkt"/>
    <w:basedOn w:val="ZZ2TIRwLITzmianazmpodwtirwlit"/>
    <w:uiPriority w:val="95"/>
    <w:qFormat/>
    <w:rsid w:val="003601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36018A"/>
  </w:style>
  <w:style w:type="paragraph" w:customStyle="1" w:styleId="ZLITCZWSP2TIRzmczciwsppodwtirliter">
    <w:name w:val="Z_LIT/CZ_WSP_2TIR – zm. części wsp. podw. tir. literą"/>
    <w:basedOn w:val="ZLITCZWSPPKTzmczciwsppktliter"/>
    <w:next w:val="LITlitera"/>
    <w:uiPriority w:val="76"/>
    <w:qFormat/>
    <w:rsid w:val="0036018A"/>
  </w:style>
  <w:style w:type="paragraph" w:customStyle="1" w:styleId="ZTIRCZWSP2TIRzmczciwsppodwtirtiret">
    <w:name w:val="Z_TIR/CZ_WSP_2TIR – zm. części wsp. podw. tir. tiret"/>
    <w:basedOn w:val="ZLITCZWSP2TIRzmczciwsppodwtirliter"/>
    <w:next w:val="TIRtiret"/>
    <w:uiPriority w:val="79"/>
    <w:qFormat/>
    <w:rsid w:val="0036018A"/>
  </w:style>
  <w:style w:type="paragraph" w:customStyle="1" w:styleId="ZZ2TIRzmianazmpodwtir">
    <w:name w:val="ZZ/2TIR – zmiana zm. podw. tir."/>
    <w:basedOn w:val="ZZCZWSP2TIRzmianazmczciwsppodwtir"/>
    <w:uiPriority w:val="93"/>
    <w:qFormat/>
    <w:rsid w:val="003601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36018A"/>
  </w:style>
  <w:style w:type="paragraph" w:customStyle="1" w:styleId="ZCZWSPTIRzmczciwsptirartykuempunktem">
    <w:name w:val="Z/CZ_WSP_TIR – zm. części wsp. tir. artykułem (punktem)"/>
    <w:basedOn w:val="ZCZWSPPKTzmczciwsppktartykuempunktem"/>
    <w:next w:val="PKTpunkt"/>
    <w:uiPriority w:val="35"/>
    <w:qFormat/>
    <w:rsid w:val="0036018A"/>
  </w:style>
  <w:style w:type="paragraph" w:customStyle="1" w:styleId="ZLITCZWSPLITzmczciwsplitliter">
    <w:name w:val="Z_LIT/CZ_WSP_LIT – zm. części wsp. lit. literą"/>
    <w:basedOn w:val="ZLITCZWSPPKTzmczciwsppktliter"/>
    <w:next w:val="LITlitera"/>
    <w:uiPriority w:val="51"/>
    <w:qFormat/>
    <w:rsid w:val="0036018A"/>
  </w:style>
  <w:style w:type="paragraph" w:customStyle="1" w:styleId="ZLITCZWSPTIRzmczciwsptirliter">
    <w:name w:val="Z_LIT/CZ_WSP_TIR – zm. części wsp. tir. literą"/>
    <w:basedOn w:val="ZLITCZWSPPKTzmczciwsppktliter"/>
    <w:next w:val="LITlitera"/>
    <w:uiPriority w:val="51"/>
    <w:qFormat/>
    <w:rsid w:val="0036018A"/>
  </w:style>
  <w:style w:type="paragraph" w:customStyle="1" w:styleId="ZTIRCZWSPLITzmczciwsplittiret">
    <w:name w:val="Z_TIR/CZ_WSP_LIT – zm. części wsp. lit. tiret"/>
    <w:basedOn w:val="ZTIRCZWSPPKTzmczciwsppkttiret"/>
    <w:next w:val="TIRtiret"/>
    <w:uiPriority w:val="59"/>
    <w:qFormat/>
    <w:rsid w:val="0036018A"/>
  </w:style>
  <w:style w:type="paragraph" w:customStyle="1" w:styleId="ZTIRCZWSPTIRzmczciwsptirtiret">
    <w:name w:val="Z_TIR/CZ_WSP_TIR – zm. części wsp. tir. tiret"/>
    <w:basedOn w:val="ZTIRCZWSPPKTzmczciwsppkttiret"/>
    <w:next w:val="TIRtiret"/>
    <w:uiPriority w:val="60"/>
    <w:qFormat/>
    <w:rsid w:val="0036018A"/>
  </w:style>
  <w:style w:type="paragraph" w:customStyle="1" w:styleId="ZZCZWSPLITzmianazmczciwsplit">
    <w:name w:val="ZZ/CZ_WSP_LIT – zmiana. zm. części wsp. lit."/>
    <w:basedOn w:val="ZZCZWSPPKTzmianazmczciwsppkt"/>
    <w:uiPriority w:val="69"/>
    <w:qFormat/>
    <w:rsid w:val="0036018A"/>
  </w:style>
  <w:style w:type="paragraph" w:customStyle="1" w:styleId="ZZCZWSPTIRzmianazmczciwsptir">
    <w:name w:val="ZZ/CZ_WSP_TIR – zmiana. zm. części wsp. tir."/>
    <w:basedOn w:val="ZZCZWSPPKTzmianazmczciwsppkt"/>
    <w:uiPriority w:val="69"/>
    <w:qFormat/>
    <w:rsid w:val="0036018A"/>
  </w:style>
  <w:style w:type="paragraph" w:customStyle="1" w:styleId="Z2TIRCZWSPTIRzmczciwsptirpodwjnymtiret">
    <w:name w:val="Z_2TIR/CZ_WSP_TIR – zm. części wsp. tir. podwójnym tiret"/>
    <w:basedOn w:val="Z2TIRCZWSPLITzmczciwsplitpodwjnymtiret"/>
    <w:next w:val="2TIRpodwjnytiret"/>
    <w:uiPriority w:val="87"/>
    <w:qFormat/>
    <w:rsid w:val="003601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36018A"/>
  </w:style>
  <w:style w:type="paragraph" w:customStyle="1" w:styleId="ZZUSTzmianazmust">
    <w:name w:val="ZZ/UST(§) – zmiana zm. ust. (§)"/>
    <w:basedOn w:val="ZZARTzmianazmart"/>
    <w:uiPriority w:val="65"/>
    <w:qFormat/>
    <w:rsid w:val="0036018A"/>
  </w:style>
  <w:style w:type="paragraph" w:customStyle="1" w:styleId="TYTDZPRZEDMprzedmiotregulacjitytuulubdziau">
    <w:name w:val="TYT(DZ)_PRZEDM – przedmiot regulacji tytułu lub działu"/>
    <w:next w:val="ARTartustawynprozporzdzenia"/>
    <w:uiPriority w:val="9"/>
    <w:qFormat/>
    <w:rsid w:val="0036018A"/>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3601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3601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3601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3601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3601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36018A"/>
    <w:pPr>
      <w:ind w:left="1894"/>
    </w:pPr>
  </w:style>
  <w:style w:type="paragraph" w:customStyle="1" w:styleId="P1wTABELIpoziom1numeracjiwtabeli">
    <w:name w:val="P1_w_TABELI – poziom 1 numeracji w tabeli"/>
    <w:basedOn w:val="PKTpunkt"/>
    <w:uiPriority w:val="24"/>
    <w:qFormat/>
    <w:rsid w:val="003601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36018A"/>
    <w:pPr>
      <w:ind w:left="0" w:firstLine="0"/>
    </w:pPr>
  </w:style>
  <w:style w:type="paragraph" w:customStyle="1" w:styleId="P2wTABELIpoziom2numeracjiwtabeli">
    <w:name w:val="P2_w_TABELI – poziom 2 numeracji w tabeli"/>
    <w:basedOn w:val="P1wTABELIpoziom1numeracjiwtabeli"/>
    <w:uiPriority w:val="24"/>
    <w:qFormat/>
    <w:rsid w:val="0036018A"/>
    <w:pPr>
      <w:ind w:left="794"/>
    </w:pPr>
  </w:style>
  <w:style w:type="paragraph" w:customStyle="1" w:styleId="P3wTABELIpoziom3numeracjiwtabeli">
    <w:name w:val="P3_w_TABELI – poziom 3 numeracji w tabeli"/>
    <w:basedOn w:val="P2wTABELIpoziom2numeracjiwtabeli"/>
    <w:uiPriority w:val="24"/>
    <w:qFormat/>
    <w:rsid w:val="003601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3601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3601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36018A"/>
    <w:pPr>
      <w:ind w:left="1191"/>
    </w:pPr>
  </w:style>
  <w:style w:type="paragraph" w:customStyle="1" w:styleId="P4wTABELIpoziom4numeracjiwtabeli">
    <w:name w:val="P4_w_TABELI – poziom 4 numeracji w tabeli"/>
    <w:basedOn w:val="P3wTABELIpoziom3numeracjiwtabeli"/>
    <w:uiPriority w:val="24"/>
    <w:qFormat/>
    <w:rsid w:val="0036018A"/>
    <w:pPr>
      <w:ind w:left="1588"/>
    </w:pPr>
  </w:style>
  <w:style w:type="paragraph" w:customStyle="1" w:styleId="TYTTABELItytutabeli">
    <w:name w:val="TYT_TABELI – tytuł tabeli"/>
    <w:basedOn w:val="TYTDZOZNoznaczenietytuulubdziau"/>
    <w:uiPriority w:val="22"/>
    <w:qFormat/>
    <w:rsid w:val="0036018A"/>
    <w:rPr>
      <w:b/>
    </w:rPr>
  </w:style>
  <w:style w:type="paragraph" w:customStyle="1" w:styleId="OZNPROJEKTUwskazaniedatylubwersjiprojektu">
    <w:name w:val="OZN_PROJEKTU – wskazanie daty lub wersji projektu"/>
    <w:next w:val="OZNRODZAKTUtznustawalubrozporzdzenieiorganwydajcy"/>
    <w:uiPriority w:val="5"/>
    <w:qFormat/>
    <w:rsid w:val="0036018A"/>
    <w:pPr>
      <w:spacing w:after="0" w:line="360" w:lineRule="auto"/>
      <w:jc w:val="right"/>
    </w:pPr>
    <w:rPr>
      <w:rFonts w:ascii="Times New Roman" w:eastAsiaTheme="minorEastAsia"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3601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36018A"/>
    <w:pPr>
      <w:ind w:left="0" w:right="4820"/>
      <w:jc w:val="left"/>
    </w:pPr>
  </w:style>
  <w:style w:type="paragraph" w:customStyle="1" w:styleId="TEKSTwporozumieniu">
    <w:name w:val="TEKST&quot;w porozumieniu:&quot;"/>
    <w:next w:val="NAZORGWPOROZUMIENIUnazwaorganuwporozumieniuzktrymaktjestwydawany"/>
    <w:uiPriority w:val="27"/>
    <w:qFormat/>
    <w:rsid w:val="0036018A"/>
    <w:pPr>
      <w:spacing w:after="0" w:line="360" w:lineRule="auto"/>
    </w:pPr>
    <w:rPr>
      <w:rFonts w:ascii="Times New Roman" w:eastAsiaTheme="minorEastAsia"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3601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36018A"/>
    <w:pPr>
      <w:ind w:left="510" w:firstLine="0"/>
    </w:pPr>
  </w:style>
  <w:style w:type="paragraph" w:customStyle="1" w:styleId="NOTATKILEGISLATORA">
    <w:name w:val="NOTATKI_LEGISLATORA"/>
    <w:basedOn w:val="Normalny"/>
    <w:uiPriority w:val="5"/>
    <w:qFormat/>
    <w:rsid w:val="0036018A"/>
    <w:rPr>
      <w:b/>
      <w:i/>
    </w:rPr>
  </w:style>
  <w:style w:type="paragraph" w:customStyle="1" w:styleId="OZNZACZNIKAwskazanienrzacznika">
    <w:name w:val="OZN_ZAŁĄCZNIKA – wskazanie nr załącznika"/>
    <w:basedOn w:val="OZNPROJEKTUwskazaniedatylubwersjiprojektu"/>
    <w:uiPriority w:val="28"/>
    <w:qFormat/>
    <w:rsid w:val="0036018A"/>
    <w:pPr>
      <w:keepNext/>
    </w:pPr>
    <w:rPr>
      <w:b/>
      <w:u w:val="none"/>
    </w:rPr>
  </w:style>
  <w:style w:type="paragraph" w:customStyle="1" w:styleId="OZNPARAFYADNOTACJE">
    <w:name w:val="OZN_PARAFY(ADNOTACJE)"/>
    <w:basedOn w:val="ODNONIKtreodnonika"/>
    <w:uiPriority w:val="26"/>
    <w:qFormat/>
    <w:rsid w:val="0036018A"/>
  </w:style>
  <w:style w:type="paragraph" w:customStyle="1" w:styleId="TEKSTZacznikido">
    <w:name w:val="TEKST&quot;Załącznik(i) do ...&quot;"/>
    <w:uiPriority w:val="28"/>
    <w:qFormat/>
    <w:rsid w:val="0036018A"/>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36018A"/>
    <w:pPr>
      <w:ind w:left="851"/>
    </w:pPr>
  </w:style>
  <w:style w:type="paragraph" w:customStyle="1" w:styleId="CZWSPLITODNONIKAczwspliterodnonika">
    <w:name w:val="CZ_WSP_LIT_ODNOŚNIKA – część wsp. liter odnośnika"/>
    <w:basedOn w:val="LITODNONIKAliteraodnonika"/>
    <w:uiPriority w:val="22"/>
    <w:qFormat/>
    <w:rsid w:val="003601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3601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3601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3601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36018A"/>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3601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3601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36018A"/>
  </w:style>
  <w:style w:type="paragraph" w:customStyle="1" w:styleId="ZLITwPKTODNONIKAzmlitwpktodnonikaartykuempunktem">
    <w:name w:val="Z/LIT_w_PKT_ODNOŚNIKA – zm. lit. w pkt odnośnika artykułem (punktem)"/>
    <w:basedOn w:val="ZLITODNONIKAzmlitodnonikaartykuempunktem"/>
    <w:uiPriority w:val="40"/>
    <w:qFormat/>
    <w:rsid w:val="003601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3601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3601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3601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3601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3601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36018A"/>
  </w:style>
  <w:style w:type="paragraph" w:customStyle="1" w:styleId="ZZFRAGzmianazmfragmentunpzdania">
    <w:name w:val="ZZ/FRAG – zmiana zm. fragmentu (np. zdania)"/>
    <w:basedOn w:val="ZZCZWSPPKTzmianazmczciwsppkt"/>
    <w:uiPriority w:val="70"/>
    <w:qFormat/>
    <w:rsid w:val="0036018A"/>
  </w:style>
  <w:style w:type="paragraph" w:customStyle="1" w:styleId="Z2TIRPKTzmpktpodwjnymtiret">
    <w:name w:val="Z_2TIR/PKT – zm. pkt podwójnym tiret"/>
    <w:basedOn w:val="Z2TIRLITzmlitpodwjnymtiret"/>
    <w:uiPriority w:val="83"/>
    <w:qFormat/>
    <w:rsid w:val="003601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3601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3601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3601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36018A"/>
    <w:pPr>
      <w:ind w:left="1780" w:firstLine="510"/>
    </w:pPr>
  </w:style>
  <w:style w:type="paragraph" w:customStyle="1" w:styleId="Z2TIRUSTzmustpodwjnymtiret">
    <w:name w:val="Z_2TIR/UST(§) – zm. ust. (§) podwójnym tiret"/>
    <w:basedOn w:val="Z2TIRPKTzmpktpodwjnymtiret"/>
    <w:uiPriority w:val="82"/>
    <w:qFormat/>
    <w:rsid w:val="003601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36018A"/>
    <w:pPr>
      <w:ind w:left="3164" w:firstLine="0"/>
    </w:pPr>
  </w:style>
  <w:style w:type="paragraph" w:customStyle="1" w:styleId="Z2TIRCZWSPPKTzmczciwsppktpodwjnymtiret">
    <w:name w:val="Z_2TIR/CZ_WSP_PKT – zm. części wsp. pkt podwójnym tiret"/>
    <w:basedOn w:val="Z2TIRPKTzmpktpodwjnymtiret"/>
    <w:uiPriority w:val="86"/>
    <w:qFormat/>
    <w:rsid w:val="003601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3601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36018A"/>
    <w:pPr>
      <w:ind w:left="2767" w:firstLine="0"/>
    </w:pPr>
  </w:style>
  <w:style w:type="paragraph" w:customStyle="1" w:styleId="ZLITARTzmartliter">
    <w:name w:val="Z_LIT/ART(§) – zm. art. (§) literą"/>
    <w:basedOn w:val="ZLITUSTzmustliter"/>
    <w:uiPriority w:val="46"/>
    <w:qFormat/>
    <w:rsid w:val="0036018A"/>
    <w:rPr>
      <w:rFonts w:ascii="Times New Roman" w:hAnsi="Times New Roman"/>
    </w:rPr>
  </w:style>
  <w:style w:type="paragraph" w:customStyle="1" w:styleId="ZTIRARTzmarttiret">
    <w:name w:val="Z_TIR/ART(§) – zm. art. (§) tiret"/>
    <w:basedOn w:val="ZTIRPKTzmpkttiret"/>
    <w:uiPriority w:val="55"/>
    <w:qFormat/>
    <w:rsid w:val="0036018A"/>
    <w:pPr>
      <w:ind w:left="1383" w:firstLine="510"/>
    </w:pPr>
    <w:rPr>
      <w:rFonts w:ascii="Times New Roman" w:hAnsi="Times New Roman"/>
    </w:rPr>
  </w:style>
  <w:style w:type="paragraph" w:customStyle="1" w:styleId="ZTIRUSTzmusttiret">
    <w:name w:val="Z_TIR/UST(§) – zm. ust. (§) tiret"/>
    <w:basedOn w:val="ZTIRARTzmarttiret"/>
    <w:uiPriority w:val="55"/>
    <w:qFormat/>
    <w:rsid w:val="0036018A"/>
  </w:style>
  <w:style w:type="paragraph" w:customStyle="1" w:styleId="ZLITKSIGIzmozniprzedmksigiliter">
    <w:name w:val="Z_LIT/KSIĘGI – zm. ozn. i przedm. księgi literą"/>
    <w:basedOn w:val="ZCZCIKSIGIzmozniprzedmczciksigiartykuempunktem"/>
    <w:uiPriority w:val="44"/>
    <w:qFormat/>
    <w:rsid w:val="003601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3601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3601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3601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36018A"/>
    <w:pPr>
      <w:ind w:left="987"/>
    </w:pPr>
  </w:style>
  <w:style w:type="paragraph" w:customStyle="1" w:styleId="ZTIRDZOZNzmozndziautiret">
    <w:name w:val="Z_TIR/DZ_OZN – zm. ozn. działu tiret"/>
    <w:basedOn w:val="ZLITTYTDZOZNzmozntytuudziauliter"/>
    <w:next w:val="ZTIRDZPRZEDMzmprzedmdziautiret"/>
    <w:uiPriority w:val="54"/>
    <w:qFormat/>
    <w:rsid w:val="0036018A"/>
    <w:pPr>
      <w:ind w:left="1383"/>
    </w:pPr>
  </w:style>
  <w:style w:type="paragraph" w:customStyle="1" w:styleId="ZTIRDZPRZEDMzmprzedmdziautiret">
    <w:name w:val="Z_TIR/DZ_PRZEDM – zm. przedm. działu tiret"/>
    <w:basedOn w:val="ZLITTYTDZPRZEDMzmprzedmtytuudziauliter"/>
    <w:uiPriority w:val="54"/>
    <w:qFormat/>
    <w:rsid w:val="003601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36018A"/>
    <w:pPr>
      <w:ind w:left="1383"/>
    </w:pPr>
  </w:style>
  <w:style w:type="paragraph" w:customStyle="1" w:styleId="ZTIRROZDZODDZPRZEDMzmprzedmrozdzoddztiret">
    <w:name w:val="Z_TIR/ROZDZ(ODDZ)_PRZEDM – zm. przedm. rozdz. (oddz.) tiret"/>
    <w:basedOn w:val="ZLITROZDZODDZPRZEDMzmprzedmrozdzoddzliter"/>
    <w:uiPriority w:val="54"/>
    <w:qFormat/>
    <w:rsid w:val="003601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3601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36018A"/>
    <w:pPr>
      <w:ind w:left="1780"/>
    </w:pPr>
  </w:style>
  <w:style w:type="character" w:customStyle="1" w:styleId="IGindeksgrny">
    <w:name w:val="_IG_ – indeks górny"/>
    <w:basedOn w:val="Domylnaczcionkaakapitu"/>
    <w:uiPriority w:val="2"/>
    <w:qFormat/>
    <w:rsid w:val="0036018A"/>
    <w:rPr>
      <w:b w:val="0"/>
      <w:i w:val="0"/>
      <w:vanish w:val="0"/>
      <w:spacing w:val="0"/>
      <w:vertAlign w:val="superscript"/>
    </w:rPr>
  </w:style>
  <w:style w:type="character" w:customStyle="1" w:styleId="IDindeksdolny">
    <w:name w:val="_ID_ – indeks dolny"/>
    <w:basedOn w:val="Domylnaczcionkaakapitu"/>
    <w:uiPriority w:val="3"/>
    <w:qFormat/>
    <w:rsid w:val="0036018A"/>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36018A"/>
    <w:rPr>
      <w:b/>
      <w:vanish w:val="0"/>
      <w:spacing w:val="0"/>
      <w:vertAlign w:val="subscript"/>
    </w:rPr>
  </w:style>
  <w:style w:type="character" w:customStyle="1" w:styleId="IDKindeksdolnyikursywa">
    <w:name w:val="_ID_K_ – indeks dolny i kursywa"/>
    <w:basedOn w:val="Domylnaczcionkaakapitu"/>
    <w:uiPriority w:val="3"/>
    <w:qFormat/>
    <w:rsid w:val="0036018A"/>
    <w:rPr>
      <w:i/>
      <w:vanish w:val="0"/>
      <w:spacing w:val="0"/>
      <w:vertAlign w:val="subscript"/>
    </w:rPr>
  </w:style>
  <w:style w:type="character" w:customStyle="1" w:styleId="IGPindeksgrnyipogrubienie">
    <w:name w:val="_IG_P_ – indeks górny i pogrubienie"/>
    <w:basedOn w:val="Domylnaczcionkaakapitu"/>
    <w:uiPriority w:val="2"/>
    <w:qFormat/>
    <w:rsid w:val="0036018A"/>
    <w:rPr>
      <w:b/>
      <w:vanish w:val="0"/>
      <w:spacing w:val="0"/>
      <w:vertAlign w:val="superscript"/>
    </w:rPr>
  </w:style>
  <w:style w:type="character" w:customStyle="1" w:styleId="IGKindeksgrnyikursywa">
    <w:name w:val="_IG_K_ – indeks górny i kursywa"/>
    <w:basedOn w:val="Domylnaczcionkaakapitu"/>
    <w:uiPriority w:val="2"/>
    <w:qFormat/>
    <w:rsid w:val="0036018A"/>
    <w:rPr>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36018A"/>
    <w:rPr>
      <w:b/>
      <w:i/>
      <w:vanish w:val="0"/>
      <w:spacing w:val="0"/>
      <w:vertAlign w:val="subscript"/>
    </w:rPr>
  </w:style>
  <w:style w:type="character" w:customStyle="1" w:styleId="Kkursywa">
    <w:name w:val="_K_ – kursywa"/>
    <w:basedOn w:val="Domylnaczcionkaakapitu"/>
    <w:uiPriority w:val="1"/>
    <w:qFormat/>
    <w:rsid w:val="0036018A"/>
    <w:rPr>
      <w:i/>
    </w:rPr>
  </w:style>
  <w:style w:type="character" w:customStyle="1" w:styleId="PKpogrubieniekursywa">
    <w:name w:val="_P_K_ – pogrubienie kursywa"/>
    <w:basedOn w:val="Domylnaczcionkaakapitu"/>
    <w:uiPriority w:val="1"/>
    <w:qFormat/>
    <w:rsid w:val="0036018A"/>
    <w:rPr>
      <w:b/>
      <w:i/>
    </w:rPr>
  </w:style>
  <w:style w:type="character" w:customStyle="1" w:styleId="TEKSTOZNACZONYWDOKUMENCIERDOWYMJAKOUKRYTY">
    <w:name w:val="_TEKST_OZNACZONY_W_DOKUMENCIE_ŹRÓDŁOWYM_JAKO_UKRYTY_"/>
    <w:basedOn w:val="Domylnaczcionkaakapitu"/>
    <w:uiPriority w:val="4"/>
    <w:unhideWhenUsed/>
    <w:qFormat/>
    <w:rsid w:val="0036018A"/>
    <w:rPr>
      <w:vanish w:val="0"/>
      <w:color w:val="FF0000"/>
      <w:u w:val="single" w:color="FF0000"/>
    </w:rPr>
  </w:style>
  <w:style w:type="character" w:customStyle="1" w:styleId="BEZWERSALIKW">
    <w:name w:val="_BEZ_WERSALIKÓW_"/>
    <w:basedOn w:val="Domylnaczcionkaakapitu"/>
    <w:uiPriority w:val="4"/>
    <w:qFormat/>
    <w:rsid w:val="0036018A"/>
    <w:rPr>
      <w:caps/>
    </w:rPr>
  </w:style>
  <w:style w:type="character" w:customStyle="1" w:styleId="IIGPindeksgrnyindeksugrnegoipogrubienie">
    <w:name w:val="_IIG_P_ – indeks górny indeksu górnego i pogrubienie"/>
    <w:basedOn w:val="Domylnaczcionkaakapitu"/>
    <w:uiPriority w:val="3"/>
    <w:qFormat/>
    <w:rsid w:val="0036018A"/>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18A"/>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36018A"/>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36018A"/>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36018A"/>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36018A"/>
    <w:pPr>
      <w:ind w:left="1894"/>
    </w:pPr>
  </w:style>
  <w:style w:type="paragraph" w:customStyle="1" w:styleId="ZZSKARNzmianazmsankcjikarnej">
    <w:name w:val="ZZ/S_KARN – zmiana zm. sankcji karnej"/>
    <w:basedOn w:val="ZZFRAGzmianazmfragmentunpzdania"/>
    <w:uiPriority w:val="71"/>
    <w:qFormat/>
    <w:rsid w:val="0036018A"/>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36018A"/>
    <w:pPr>
      <w:ind w:left="2291" w:firstLine="0"/>
    </w:pPr>
  </w:style>
  <w:style w:type="paragraph" w:customStyle="1" w:styleId="WMATFIZCHEMwzrmatfizlubchem">
    <w:name w:val="W_MAT(FIZ|CHEM) – wzór mat. (fiz. lub chem.)"/>
    <w:uiPriority w:val="18"/>
    <w:qFormat/>
    <w:rsid w:val="0036018A"/>
    <w:pPr>
      <w:spacing w:after="0" w:line="360" w:lineRule="auto"/>
      <w:jc w:val="center"/>
    </w:pPr>
    <w:rPr>
      <w:rFonts w:ascii="Times New Roman" w:eastAsiaTheme="minorEastAsia"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36018A"/>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36018A"/>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36018A"/>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36018A"/>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36018A"/>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36018A"/>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36018A"/>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36018A"/>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36018A"/>
    <w:pPr>
      <w:ind w:left="3085"/>
    </w:pPr>
  </w:style>
  <w:style w:type="paragraph" w:customStyle="1" w:styleId="ZLITCYTzmcytatunpprzysigiliter">
    <w:name w:val="Z_LIT/CYT – zm. cytatu np. przysięgi literą"/>
    <w:basedOn w:val="ZCYTzmcytatunpprzysigiartykuempunktem"/>
    <w:uiPriority w:val="53"/>
    <w:qFormat/>
    <w:rsid w:val="0036018A"/>
    <w:pPr>
      <w:ind w:left="1497"/>
    </w:pPr>
  </w:style>
  <w:style w:type="paragraph" w:customStyle="1" w:styleId="ZTIRCYTzmcytatunpprzysigitiret">
    <w:name w:val="Z_TIR/CYT – zm. cytatu np. przysięgi tiret"/>
    <w:basedOn w:val="ZLITCYTzmcytatunpprzysigiliter"/>
    <w:next w:val="ZTIRUSTzmusttiret"/>
    <w:uiPriority w:val="61"/>
    <w:qFormat/>
    <w:rsid w:val="0036018A"/>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36018A"/>
    <w:pPr>
      <w:ind w:left="2291"/>
    </w:pPr>
  </w:style>
  <w:style w:type="paragraph" w:customStyle="1" w:styleId="ZZCYTzmianazmcytatunpprzysigi">
    <w:name w:val="ZZ/CYT – zmiana zm. cytatu np. przysięgi"/>
    <w:basedOn w:val="ZZFRAGzmianazmfragmentunpzdania"/>
    <w:next w:val="ZZUSTzmianazmust"/>
    <w:uiPriority w:val="71"/>
    <w:qFormat/>
    <w:rsid w:val="0036018A"/>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36018A"/>
    <w:pPr>
      <w:ind w:left="1780"/>
    </w:pPr>
  </w:style>
  <w:style w:type="table" w:styleId="Tabela-Siatka">
    <w:name w:val="Table Grid"/>
    <w:basedOn w:val="Standardowy"/>
    <w:rsid w:val="0036018A"/>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36018A"/>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36018A"/>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36018A"/>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36018A"/>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6018A"/>
    <w:rPr>
      <w:color w:val="808080"/>
    </w:rPr>
  </w:style>
  <w:style w:type="table" w:customStyle="1" w:styleId="TABELA2zszablonu1">
    <w:name w:val="TABELA 2 z szablonu1"/>
    <w:basedOn w:val="Tabela-Elegancki"/>
    <w:uiPriority w:val="99"/>
    <w:rsid w:val="005473CF"/>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3zszablonu1">
    <w:name w:val="TABELA 3 z szablonu1"/>
    <w:basedOn w:val="TABELA2zszablonu"/>
    <w:uiPriority w:val="99"/>
    <w:rsid w:val="005473CF"/>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185967">
      <w:bodyDiv w:val="1"/>
      <w:marLeft w:val="0"/>
      <w:marRight w:val="0"/>
      <w:marTop w:val="0"/>
      <w:marBottom w:val="0"/>
      <w:divBdr>
        <w:top w:val="none" w:sz="0" w:space="0" w:color="auto"/>
        <w:left w:val="none" w:sz="0" w:space="0" w:color="auto"/>
        <w:bottom w:val="none" w:sz="0" w:space="0" w:color="auto"/>
        <w:right w:val="none" w:sz="0" w:space="0" w:color="auto"/>
      </w:divBdr>
    </w:div>
    <w:div w:id="227570539">
      <w:bodyDiv w:val="1"/>
      <w:marLeft w:val="0"/>
      <w:marRight w:val="0"/>
      <w:marTop w:val="0"/>
      <w:marBottom w:val="0"/>
      <w:divBdr>
        <w:top w:val="none" w:sz="0" w:space="0" w:color="auto"/>
        <w:left w:val="none" w:sz="0" w:space="0" w:color="auto"/>
        <w:bottom w:val="none" w:sz="0" w:space="0" w:color="auto"/>
        <w:right w:val="none" w:sz="0" w:space="0" w:color="auto"/>
      </w:divBdr>
    </w:div>
    <w:div w:id="460614005">
      <w:bodyDiv w:val="1"/>
      <w:marLeft w:val="0"/>
      <w:marRight w:val="0"/>
      <w:marTop w:val="0"/>
      <w:marBottom w:val="0"/>
      <w:divBdr>
        <w:top w:val="none" w:sz="0" w:space="0" w:color="auto"/>
        <w:left w:val="none" w:sz="0" w:space="0" w:color="auto"/>
        <w:bottom w:val="none" w:sz="0" w:space="0" w:color="auto"/>
        <w:right w:val="none" w:sz="0" w:space="0" w:color="auto"/>
      </w:divBdr>
    </w:div>
    <w:div w:id="487598634">
      <w:bodyDiv w:val="1"/>
      <w:marLeft w:val="0"/>
      <w:marRight w:val="0"/>
      <w:marTop w:val="0"/>
      <w:marBottom w:val="0"/>
      <w:divBdr>
        <w:top w:val="none" w:sz="0" w:space="0" w:color="auto"/>
        <w:left w:val="none" w:sz="0" w:space="0" w:color="auto"/>
        <w:bottom w:val="none" w:sz="0" w:space="0" w:color="auto"/>
        <w:right w:val="none" w:sz="0" w:space="0" w:color="auto"/>
      </w:divBdr>
    </w:div>
    <w:div w:id="488642881">
      <w:bodyDiv w:val="1"/>
      <w:marLeft w:val="0"/>
      <w:marRight w:val="0"/>
      <w:marTop w:val="0"/>
      <w:marBottom w:val="0"/>
      <w:divBdr>
        <w:top w:val="none" w:sz="0" w:space="0" w:color="auto"/>
        <w:left w:val="none" w:sz="0" w:space="0" w:color="auto"/>
        <w:bottom w:val="none" w:sz="0" w:space="0" w:color="auto"/>
        <w:right w:val="none" w:sz="0" w:space="0" w:color="auto"/>
      </w:divBdr>
    </w:div>
    <w:div w:id="591207759">
      <w:bodyDiv w:val="1"/>
      <w:marLeft w:val="0"/>
      <w:marRight w:val="0"/>
      <w:marTop w:val="0"/>
      <w:marBottom w:val="0"/>
      <w:divBdr>
        <w:top w:val="none" w:sz="0" w:space="0" w:color="auto"/>
        <w:left w:val="none" w:sz="0" w:space="0" w:color="auto"/>
        <w:bottom w:val="none" w:sz="0" w:space="0" w:color="auto"/>
        <w:right w:val="none" w:sz="0" w:space="0" w:color="auto"/>
      </w:divBdr>
    </w:div>
    <w:div w:id="601843313">
      <w:bodyDiv w:val="1"/>
      <w:marLeft w:val="0"/>
      <w:marRight w:val="0"/>
      <w:marTop w:val="0"/>
      <w:marBottom w:val="0"/>
      <w:divBdr>
        <w:top w:val="none" w:sz="0" w:space="0" w:color="auto"/>
        <w:left w:val="none" w:sz="0" w:space="0" w:color="auto"/>
        <w:bottom w:val="none" w:sz="0" w:space="0" w:color="auto"/>
        <w:right w:val="none" w:sz="0" w:space="0" w:color="auto"/>
      </w:divBdr>
    </w:div>
    <w:div w:id="645545327">
      <w:bodyDiv w:val="1"/>
      <w:marLeft w:val="0"/>
      <w:marRight w:val="0"/>
      <w:marTop w:val="0"/>
      <w:marBottom w:val="0"/>
      <w:divBdr>
        <w:top w:val="none" w:sz="0" w:space="0" w:color="auto"/>
        <w:left w:val="none" w:sz="0" w:space="0" w:color="auto"/>
        <w:bottom w:val="none" w:sz="0" w:space="0" w:color="auto"/>
        <w:right w:val="none" w:sz="0" w:space="0" w:color="auto"/>
      </w:divBdr>
    </w:div>
    <w:div w:id="746346324">
      <w:bodyDiv w:val="1"/>
      <w:marLeft w:val="0"/>
      <w:marRight w:val="0"/>
      <w:marTop w:val="0"/>
      <w:marBottom w:val="0"/>
      <w:divBdr>
        <w:top w:val="none" w:sz="0" w:space="0" w:color="auto"/>
        <w:left w:val="none" w:sz="0" w:space="0" w:color="auto"/>
        <w:bottom w:val="none" w:sz="0" w:space="0" w:color="auto"/>
        <w:right w:val="none" w:sz="0" w:space="0" w:color="auto"/>
      </w:divBdr>
    </w:div>
    <w:div w:id="765149260">
      <w:bodyDiv w:val="1"/>
      <w:marLeft w:val="0"/>
      <w:marRight w:val="0"/>
      <w:marTop w:val="0"/>
      <w:marBottom w:val="0"/>
      <w:divBdr>
        <w:top w:val="none" w:sz="0" w:space="0" w:color="auto"/>
        <w:left w:val="none" w:sz="0" w:space="0" w:color="auto"/>
        <w:bottom w:val="none" w:sz="0" w:space="0" w:color="auto"/>
        <w:right w:val="none" w:sz="0" w:space="0" w:color="auto"/>
      </w:divBdr>
    </w:div>
    <w:div w:id="989481676">
      <w:bodyDiv w:val="1"/>
      <w:marLeft w:val="0"/>
      <w:marRight w:val="0"/>
      <w:marTop w:val="0"/>
      <w:marBottom w:val="0"/>
      <w:divBdr>
        <w:top w:val="none" w:sz="0" w:space="0" w:color="auto"/>
        <w:left w:val="none" w:sz="0" w:space="0" w:color="auto"/>
        <w:bottom w:val="none" w:sz="0" w:space="0" w:color="auto"/>
        <w:right w:val="none" w:sz="0" w:space="0" w:color="auto"/>
      </w:divBdr>
    </w:div>
    <w:div w:id="996228144">
      <w:bodyDiv w:val="1"/>
      <w:marLeft w:val="0"/>
      <w:marRight w:val="0"/>
      <w:marTop w:val="0"/>
      <w:marBottom w:val="0"/>
      <w:divBdr>
        <w:top w:val="none" w:sz="0" w:space="0" w:color="auto"/>
        <w:left w:val="none" w:sz="0" w:space="0" w:color="auto"/>
        <w:bottom w:val="none" w:sz="0" w:space="0" w:color="auto"/>
        <w:right w:val="none" w:sz="0" w:space="0" w:color="auto"/>
      </w:divBdr>
    </w:div>
    <w:div w:id="1039623908">
      <w:bodyDiv w:val="1"/>
      <w:marLeft w:val="0"/>
      <w:marRight w:val="0"/>
      <w:marTop w:val="0"/>
      <w:marBottom w:val="0"/>
      <w:divBdr>
        <w:top w:val="none" w:sz="0" w:space="0" w:color="auto"/>
        <w:left w:val="none" w:sz="0" w:space="0" w:color="auto"/>
        <w:bottom w:val="none" w:sz="0" w:space="0" w:color="auto"/>
        <w:right w:val="none" w:sz="0" w:space="0" w:color="auto"/>
      </w:divBdr>
    </w:div>
    <w:div w:id="1068773483">
      <w:bodyDiv w:val="1"/>
      <w:marLeft w:val="0"/>
      <w:marRight w:val="0"/>
      <w:marTop w:val="0"/>
      <w:marBottom w:val="0"/>
      <w:divBdr>
        <w:top w:val="none" w:sz="0" w:space="0" w:color="auto"/>
        <w:left w:val="none" w:sz="0" w:space="0" w:color="auto"/>
        <w:bottom w:val="none" w:sz="0" w:space="0" w:color="auto"/>
        <w:right w:val="none" w:sz="0" w:space="0" w:color="auto"/>
      </w:divBdr>
    </w:div>
    <w:div w:id="1145202978">
      <w:bodyDiv w:val="1"/>
      <w:marLeft w:val="0"/>
      <w:marRight w:val="0"/>
      <w:marTop w:val="0"/>
      <w:marBottom w:val="0"/>
      <w:divBdr>
        <w:top w:val="none" w:sz="0" w:space="0" w:color="auto"/>
        <w:left w:val="none" w:sz="0" w:space="0" w:color="auto"/>
        <w:bottom w:val="none" w:sz="0" w:space="0" w:color="auto"/>
        <w:right w:val="none" w:sz="0" w:space="0" w:color="auto"/>
      </w:divBdr>
    </w:div>
    <w:div w:id="1147087708">
      <w:bodyDiv w:val="1"/>
      <w:marLeft w:val="0"/>
      <w:marRight w:val="0"/>
      <w:marTop w:val="0"/>
      <w:marBottom w:val="0"/>
      <w:divBdr>
        <w:top w:val="none" w:sz="0" w:space="0" w:color="auto"/>
        <w:left w:val="none" w:sz="0" w:space="0" w:color="auto"/>
        <w:bottom w:val="none" w:sz="0" w:space="0" w:color="auto"/>
        <w:right w:val="none" w:sz="0" w:space="0" w:color="auto"/>
      </w:divBdr>
    </w:div>
    <w:div w:id="1209534308">
      <w:bodyDiv w:val="1"/>
      <w:marLeft w:val="0"/>
      <w:marRight w:val="0"/>
      <w:marTop w:val="0"/>
      <w:marBottom w:val="0"/>
      <w:divBdr>
        <w:top w:val="none" w:sz="0" w:space="0" w:color="auto"/>
        <w:left w:val="none" w:sz="0" w:space="0" w:color="auto"/>
        <w:bottom w:val="none" w:sz="0" w:space="0" w:color="auto"/>
        <w:right w:val="none" w:sz="0" w:space="0" w:color="auto"/>
      </w:divBdr>
    </w:div>
    <w:div w:id="1254897417">
      <w:bodyDiv w:val="1"/>
      <w:marLeft w:val="0"/>
      <w:marRight w:val="0"/>
      <w:marTop w:val="0"/>
      <w:marBottom w:val="0"/>
      <w:divBdr>
        <w:top w:val="none" w:sz="0" w:space="0" w:color="auto"/>
        <w:left w:val="none" w:sz="0" w:space="0" w:color="auto"/>
        <w:bottom w:val="none" w:sz="0" w:space="0" w:color="auto"/>
        <w:right w:val="none" w:sz="0" w:space="0" w:color="auto"/>
      </w:divBdr>
    </w:div>
    <w:div w:id="1395204724">
      <w:bodyDiv w:val="1"/>
      <w:marLeft w:val="0"/>
      <w:marRight w:val="0"/>
      <w:marTop w:val="0"/>
      <w:marBottom w:val="0"/>
      <w:divBdr>
        <w:top w:val="none" w:sz="0" w:space="0" w:color="auto"/>
        <w:left w:val="none" w:sz="0" w:space="0" w:color="auto"/>
        <w:bottom w:val="none" w:sz="0" w:space="0" w:color="auto"/>
        <w:right w:val="none" w:sz="0" w:space="0" w:color="auto"/>
      </w:divBdr>
    </w:div>
    <w:div w:id="1599756887">
      <w:bodyDiv w:val="1"/>
      <w:marLeft w:val="0"/>
      <w:marRight w:val="0"/>
      <w:marTop w:val="0"/>
      <w:marBottom w:val="0"/>
      <w:divBdr>
        <w:top w:val="none" w:sz="0" w:space="0" w:color="auto"/>
        <w:left w:val="none" w:sz="0" w:space="0" w:color="auto"/>
        <w:bottom w:val="none" w:sz="0" w:space="0" w:color="auto"/>
        <w:right w:val="none" w:sz="0" w:space="0" w:color="auto"/>
      </w:divBdr>
    </w:div>
    <w:div w:id="1620255003">
      <w:bodyDiv w:val="1"/>
      <w:marLeft w:val="0"/>
      <w:marRight w:val="0"/>
      <w:marTop w:val="0"/>
      <w:marBottom w:val="0"/>
      <w:divBdr>
        <w:top w:val="none" w:sz="0" w:space="0" w:color="auto"/>
        <w:left w:val="none" w:sz="0" w:space="0" w:color="auto"/>
        <w:bottom w:val="none" w:sz="0" w:space="0" w:color="auto"/>
        <w:right w:val="none" w:sz="0" w:space="0" w:color="auto"/>
      </w:divBdr>
    </w:div>
    <w:div w:id="1678969305">
      <w:bodyDiv w:val="1"/>
      <w:marLeft w:val="0"/>
      <w:marRight w:val="0"/>
      <w:marTop w:val="0"/>
      <w:marBottom w:val="0"/>
      <w:divBdr>
        <w:top w:val="none" w:sz="0" w:space="0" w:color="auto"/>
        <w:left w:val="none" w:sz="0" w:space="0" w:color="auto"/>
        <w:bottom w:val="none" w:sz="0" w:space="0" w:color="auto"/>
        <w:right w:val="none" w:sz="0" w:space="0" w:color="auto"/>
      </w:divBdr>
    </w:div>
    <w:div w:id="1737703664">
      <w:bodyDiv w:val="1"/>
      <w:marLeft w:val="0"/>
      <w:marRight w:val="0"/>
      <w:marTop w:val="0"/>
      <w:marBottom w:val="0"/>
      <w:divBdr>
        <w:top w:val="none" w:sz="0" w:space="0" w:color="auto"/>
        <w:left w:val="none" w:sz="0" w:space="0" w:color="auto"/>
        <w:bottom w:val="none" w:sz="0" w:space="0" w:color="auto"/>
        <w:right w:val="none" w:sz="0" w:space="0" w:color="auto"/>
      </w:divBdr>
    </w:div>
    <w:div w:id="1853255148">
      <w:bodyDiv w:val="1"/>
      <w:marLeft w:val="0"/>
      <w:marRight w:val="0"/>
      <w:marTop w:val="0"/>
      <w:marBottom w:val="0"/>
      <w:divBdr>
        <w:top w:val="none" w:sz="0" w:space="0" w:color="auto"/>
        <w:left w:val="none" w:sz="0" w:space="0" w:color="auto"/>
        <w:bottom w:val="none" w:sz="0" w:space="0" w:color="auto"/>
        <w:right w:val="none" w:sz="0" w:space="0" w:color="auto"/>
      </w:divBdr>
    </w:div>
    <w:div w:id="2065177798">
      <w:bodyDiv w:val="1"/>
      <w:marLeft w:val="0"/>
      <w:marRight w:val="0"/>
      <w:marTop w:val="0"/>
      <w:marBottom w:val="0"/>
      <w:divBdr>
        <w:top w:val="none" w:sz="0" w:space="0" w:color="auto"/>
        <w:left w:val="none" w:sz="0" w:space="0" w:color="auto"/>
        <w:bottom w:val="none" w:sz="0" w:space="0" w:color="auto"/>
        <w:right w:val="none" w:sz="0" w:space="0" w:color="auto"/>
      </w:divBdr>
    </w:div>
    <w:div w:id="213956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F3ED5-DC71-4472-8CEF-2859D6183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165</Pages>
  <Words>90259</Words>
  <Characters>541557</Characters>
  <Application>Microsoft Office Word</Application>
  <DocSecurity>0</DocSecurity>
  <Lines>4512</Lines>
  <Paragraphs>1261</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630555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Podmiotko Sebastian</dc:creator>
  <cp:keywords/>
  <dc:description/>
  <cp:lastModifiedBy>Kołakowska Iwona</cp:lastModifiedBy>
  <cp:revision>3</cp:revision>
  <cp:lastPrinted>2023-05-12T08:31:00Z</cp:lastPrinted>
  <dcterms:created xsi:type="dcterms:W3CDTF">2023-06-07T12:26:00Z</dcterms:created>
  <dcterms:modified xsi:type="dcterms:W3CDTF">2023-06-07T12:26:00Z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InformacjePubliczneInformacjeSektoraPublicznego</vt:lpwstr>
  </property>
  <property fmtid="{D5CDD505-2E9C-101B-9397-08002B2CF9AE}" pid="3" name="MFClassifiedBy">
    <vt:lpwstr>UxC4dwLulzfINJ8nQH+xvX5LNGipWa4BRSZhPgxsCvkWRliAk/+zglj4SBo8AkCvV4MmYDVZbtP+jqEGISuD8Q==</vt:lpwstr>
  </property>
  <property fmtid="{D5CDD505-2E9C-101B-9397-08002B2CF9AE}" pid="4" name="MFClassificationDate">
    <vt:lpwstr>2022-01-31T14:09:53.1036560+01:00</vt:lpwstr>
  </property>
  <property fmtid="{D5CDD505-2E9C-101B-9397-08002B2CF9AE}" pid="5" name="MFClassifiedBySID">
    <vt:lpwstr>UxC4dwLulzfINJ8nQH+xvX5LNGipWa4BRSZhPgxsCvm42mrIC/DSDv0ggS+FjUN/2v1BBotkLlY5aAiEhoi6uXIrSaAlUDbety+V13W6N6Fpaur+zhmAF2Br2W7Vb97h</vt:lpwstr>
  </property>
  <property fmtid="{D5CDD505-2E9C-101B-9397-08002B2CF9AE}" pid="6" name="MFGRNItemId">
    <vt:lpwstr>GRN-86060b9e-501b-415f-ad40-23b7817fc02d</vt:lpwstr>
  </property>
  <property fmtid="{D5CDD505-2E9C-101B-9397-08002B2CF9AE}" pid="7" name="MFHash">
    <vt:lpwstr>JjjSZhvmss/3ZCJG6s1gFSrJJgm3gWUw9XO3FJT2iE4=</vt:lpwstr>
  </property>
  <property fmtid="{D5CDD505-2E9C-101B-9397-08002B2CF9AE}" pid="8" name="DLPManualFileClassification">
    <vt:lpwstr>{2755b7d9-e53d-4779-a40c-03797dcf43b3}</vt:lpwstr>
  </property>
  <property fmtid="{D5CDD505-2E9C-101B-9397-08002B2CF9AE}" pid="9" name="MFRefresh">
    <vt:lpwstr>False</vt:lpwstr>
  </property>
</Properties>
</file>