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F4E6E" w:rsidRPr="00654BDF" w:rsidRDefault="00E815BF" w:rsidP="00654BDF">
      <w:pPr>
        <w:spacing w:line="360" w:lineRule="auto"/>
        <w:jc w:val="right"/>
        <w:rPr>
          <w:rFonts w:ascii="Tahoma" w:eastAsia="Times New Roman" w:hAnsi="Tahoma" w:cs="Tahoma"/>
          <w:b/>
          <w:sz w:val="24"/>
          <w:szCs w:val="24"/>
          <w:u w:val="single"/>
        </w:rPr>
      </w:pPr>
      <w:r w:rsidRPr="00654BDF">
        <w:rPr>
          <w:rFonts w:ascii="Tahoma" w:eastAsia="Times New Roman" w:hAnsi="Tahoma" w:cs="Tahoma"/>
          <w:b/>
          <w:sz w:val="24"/>
          <w:szCs w:val="24"/>
          <w:u w:val="single"/>
        </w:rPr>
        <w:t>projekt</w:t>
      </w:r>
    </w:p>
    <w:p w14:paraId="00000002" w14:textId="77777777" w:rsidR="004F4E6E" w:rsidRPr="00654BDF" w:rsidRDefault="004F4E6E" w:rsidP="00654BDF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3" w14:textId="77777777" w:rsidR="004F4E6E" w:rsidRPr="00654BDF" w:rsidRDefault="00E815BF" w:rsidP="00654BDF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 xml:space="preserve">Ustawa </w:t>
      </w:r>
    </w:p>
    <w:p w14:paraId="00000004" w14:textId="77777777" w:rsidR="004F4E6E" w:rsidRPr="00654BDF" w:rsidRDefault="004F4E6E" w:rsidP="00654BDF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00000005" w14:textId="435CE977" w:rsidR="004F4E6E" w:rsidRPr="00654BDF" w:rsidRDefault="00E815BF" w:rsidP="00654BDF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z dnia</w:t>
      </w:r>
      <w:r w:rsidR="00654BDF">
        <w:rPr>
          <w:rFonts w:ascii="Tahoma" w:eastAsia="Times New Roman" w:hAnsi="Tahoma" w:cs="Tahoma"/>
          <w:sz w:val="24"/>
          <w:szCs w:val="24"/>
        </w:rPr>
        <w:t xml:space="preserve"> </w:t>
      </w:r>
      <w:r w:rsidRPr="00654BDF">
        <w:rPr>
          <w:rFonts w:ascii="Tahoma" w:eastAsia="Times New Roman" w:hAnsi="Tahoma" w:cs="Tahoma"/>
          <w:sz w:val="24"/>
          <w:szCs w:val="24"/>
        </w:rPr>
        <w:t>… 2020 roku</w:t>
      </w:r>
    </w:p>
    <w:p w14:paraId="00000006" w14:textId="77777777" w:rsidR="004F4E6E" w:rsidRPr="00654BDF" w:rsidRDefault="00E815BF" w:rsidP="00654BDF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07" w14:textId="77777777" w:rsidR="004F4E6E" w:rsidRPr="00654BDF" w:rsidRDefault="00E815BF" w:rsidP="00654BDF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 xml:space="preserve">o dofinansowaniu kosztów stałych przedsiębiorców w warunkach zagrożenia ekonomicznego w następstwie wystąpienia COVID-19 </w:t>
      </w:r>
    </w:p>
    <w:p w14:paraId="00000008" w14:textId="77777777" w:rsidR="004F4E6E" w:rsidRPr="00654BDF" w:rsidRDefault="004F4E6E" w:rsidP="00654BDF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9" w14:textId="77777777" w:rsidR="004F4E6E" w:rsidRPr="00654BDF" w:rsidRDefault="004F4E6E" w:rsidP="00654BDF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A" w14:textId="77777777" w:rsidR="004F4E6E" w:rsidRPr="00654BDF" w:rsidRDefault="00E815BF" w:rsidP="00654BDF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Art. 1.</w:t>
      </w:r>
      <w:r w:rsidRPr="00654BDF">
        <w:rPr>
          <w:rFonts w:ascii="Tahoma" w:eastAsia="Times New Roman" w:hAnsi="Tahoma" w:cs="Tahoma"/>
          <w:sz w:val="24"/>
          <w:szCs w:val="24"/>
        </w:rPr>
        <w:t xml:space="preserve"> 1. Koszty stałe przedsiębiorcy w rozumieniu art. 4 ust. 1 lub 2 ustawy z dnia 6 marca 2018 r. – Prawo przedsiębiorców (Dz. U. z 2019 r. poz. 1292, 1495 z 2020 r. poz. 424), spełniającego warunki określone w ust. 3, są dofinansowane z budżetu państwa do kwoty nieprzekraczającej 50 tys. złotych miesięcznie przez okres 6 miesięcy.</w:t>
      </w:r>
    </w:p>
    <w:p w14:paraId="0000000B" w14:textId="77777777" w:rsidR="004F4E6E" w:rsidRPr="00654BDF" w:rsidRDefault="00E815BF" w:rsidP="00654BDF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2. Kosztami stałymi, o których mowa w ust. 1, są w szczególności:</w:t>
      </w:r>
    </w:p>
    <w:p w14:paraId="0000000C" w14:textId="761696D6" w:rsidR="004F4E6E" w:rsidRPr="00654BDF" w:rsidRDefault="00E815BF" w:rsidP="00654B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zapłata za dostarczanie paliw gazowych lub energii w rozumieniu przepisów ustawy z dnia 10 kwietnia 1997 r. - Prawo energetyczne (Dz. U. z 2019 r. poz. 755, z późn. zm.);</w:t>
      </w:r>
    </w:p>
    <w:p w14:paraId="0000000D" w14:textId="3BB76FF7" w:rsidR="004F4E6E" w:rsidRPr="00654BDF" w:rsidRDefault="00E815BF" w:rsidP="00654B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zapłata za świadczenie publicznie dostępnych usług telekomunikacyjnych w rozumieniu przepisów ustawy z dnia 16 lipca 2004 r. - Prawo telekomunikacyjne (Dz. U. z 2019 r. poz. 2460, z późn. zm.);</w:t>
      </w:r>
    </w:p>
    <w:p w14:paraId="0000000E" w14:textId="47C231F6" w:rsidR="004F4E6E" w:rsidRPr="00654BDF" w:rsidRDefault="00E815BF" w:rsidP="00654B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zapłata za zaopatrzenie w wodę lub odprowadzanie ścieków w rozumieniu przepisów ustawy z dnia 7 czerwca 2001 r. o zbiorowym zaopatrzeniu w wodę i zbiorowym odprowadzaniu ścieków (Dz. U. z 2019 r. poz. 1437, z późn. zm.);</w:t>
      </w:r>
    </w:p>
    <w:p w14:paraId="0000000F" w14:textId="4C60CF12" w:rsidR="004F4E6E" w:rsidRPr="00654BDF" w:rsidRDefault="00E815BF" w:rsidP="00654BDF">
      <w:pPr>
        <w:spacing w:line="360" w:lineRule="auto"/>
        <w:ind w:left="69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płatność czynszu w rozumieniu art. 669 Kodeksu cywilnego (Dz. U. z 2019 r. poz. 1145, z późn. zm.);</w:t>
      </w:r>
    </w:p>
    <w:p w14:paraId="00000010" w14:textId="049BEE8F" w:rsidR="004F4E6E" w:rsidRPr="00654BDF" w:rsidRDefault="00E815BF" w:rsidP="00654B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rata leasingu i składka z tytułu ubezpieczenia rzeczy od jej utraty w czasie trwania leasingu w rozumieniu art. 7091 i art. 7096 Kodeksu cywilnego (Dz. U. z 2019 r. poz. 1145, z późn. zm.);</w:t>
      </w:r>
    </w:p>
    <w:p w14:paraId="00000011" w14:textId="213C13F4" w:rsidR="004F4E6E" w:rsidRPr="00654BDF" w:rsidRDefault="00E815BF" w:rsidP="00654B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lastRenderedPageBreak/>
        <w:t>opłata roczna za oddanie nieruchomości gruntowej w użytkowanie wieczyste z rozumieniu art. 71 ust. 4 ustawy z dnia 21 sierpnia 1997 r. o gospodarce nieruchomościami (Dz.U. z 2020 r. poz. 65);</w:t>
      </w:r>
    </w:p>
    <w:p w14:paraId="00000012" w14:textId="1D74CB1B" w:rsidR="004F4E6E" w:rsidRPr="00654BDF" w:rsidRDefault="00E815BF" w:rsidP="00654B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składki na ubezpieczenia, o których mowa w ustawie z dnia 22 maja 2003 r.</w:t>
      </w:r>
      <w:r w:rsidR="00654BDF" w:rsidRPr="00654BDF">
        <w:rPr>
          <w:rFonts w:ascii="Tahoma" w:eastAsia="Times New Roman" w:hAnsi="Tahoma" w:cs="Tahoma"/>
          <w:sz w:val="24"/>
          <w:szCs w:val="24"/>
        </w:rPr>
        <w:t xml:space="preserve"> </w:t>
      </w:r>
      <w:r w:rsidRPr="00654BDF">
        <w:rPr>
          <w:rFonts w:ascii="Tahoma" w:eastAsia="Times New Roman" w:hAnsi="Tahoma" w:cs="Tahoma"/>
          <w:sz w:val="24"/>
          <w:szCs w:val="24"/>
        </w:rPr>
        <w:t xml:space="preserve">o </w:t>
      </w:r>
      <w:r w:rsidR="00654BDF" w:rsidRPr="00654BDF">
        <w:rPr>
          <w:rFonts w:ascii="Tahoma" w:eastAsia="Times New Roman" w:hAnsi="Tahoma" w:cs="Tahoma"/>
          <w:sz w:val="24"/>
          <w:szCs w:val="24"/>
        </w:rPr>
        <w:t>ub</w:t>
      </w:r>
      <w:r w:rsidRPr="00654BDF">
        <w:rPr>
          <w:rFonts w:ascii="Tahoma" w:eastAsia="Times New Roman" w:hAnsi="Tahoma" w:cs="Tahoma"/>
          <w:sz w:val="24"/>
          <w:szCs w:val="24"/>
        </w:rPr>
        <w:t>e</w:t>
      </w:r>
      <w:r w:rsidR="00654BDF" w:rsidRPr="00654BDF">
        <w:rPr>
          <w:rFonts w:ascii="Tahoma" w:eastAsia="Times New Roman" w:hAnsi="Tahoma" w:cs="Tahoma"/>
          <w:sz w:val="24"/>
          <w:szCs w:val="24"/>
        </w:rPr>
        <w:t>zpie</w:t>
      </w:r>
      <w:r w:rsidRPr="00654BDF">
        <w:rPr>
          <w:rFonts w:ascii="Tahoma" w:eastAsia="Times New Roman" w:hAnsi="Tahoma" w:cs="Tahoma"/>
          <w:sz w:val="24"/>
          <w:szCs w:val="24"/>
        </w:rPr>
        <w:t>czeniach obowiązkowych, Ubezpieczeniowym Funduszu Gwarancyjnym i Polskim Biurze Ubezpieczycieli Komunikacyjnych (Dz.U. z 2019 r. poz. 2214);</w:t>
      </w:r>
    </w:p>
    <w:p w14:paraId="00000013" w14:textId="08699B7C" w:rsidR="004F4E6E" w:rsidRPr="00654BDF" w:rsidRDefault="00654BDF" w:rsidP="00654B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składki</w:t>
      </w:r>
      <w:r w:rsidR="00E815BF" w:rsidRPr="00654BDF">
        <w:rPr>
          <w:rFonts w:ascii="Tahoma" w:eastAsia="Times New Roman" w:hAnsi="Tahoma" w:cs="Tahoma"/>
          <w:sz w:val="24"/>
          <w:szCs w:val="24"/>
        </w:rPr>
        <w:t xml:space="preserve"> na ubezpieczenia, o których mowa w ustawie z dnia 11 września 2015 r. o działalności ubezpieczeniowej i reasekuracyjnej (Dz.U. z 2019 r. poz. 381), jeżeli umowa ubezpieczenia została zawarta przed 1 marca 2020 r.</w:t>
      </w:r>
    </w:p>
    <w:p w14:paraId="00000014" w14:textId="77777777" w:rsidR="004F4E6E" w:rsidRPr="00654BDF" w:rsidRDefault="00E815BF" w:rsidP="00654BDF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3. Dofinansowanie kosztów stałych, o których mowa w ust. 1, przysługuje przedsiębiorcy po spełnieniu warunku, jakim jest spadek sprzedaży towarów lub usług, w warunkach zagrożenia ekonomicznego w następstwie wystąpienia COVID-19, w ujęciu ilościowym lub wartościowym o:</w:t>
      </w:r>
    </w:p>
    <w:p w14:paraId="00000015" w14:textId="72D7AD50" w:rsidR="004F4E6E" w:rsidRPr="00654BDF" w:rsidRDefault="00E815BF" w:rsidP="00654BDF">
      <w:pPr>
        <w:spacing w:line="360" w:lineRule="auto"/>
        <w:ind w:left="851" w:hanging="284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1) nie mniej niż o 20%, obliczony jako stosunek łącznych obrotów w ciągu dowolnie wskazanych 2 kolejnych miesięcy kalendarzowych, przypadających w okresie po dniu 1 lutego 2020 r. do dnia poprzedzającego dzień złożenia wniosku, o którym mowa w ust. 4, w porównaniu do łącznych obrotów z analogicznych 2 kolejnych miesięcy kalendarzowych roku poprzedniego; za miesiąc uważa się także 30 kolejno po sobie następujących dni kalendarzowych, w przypadku gdy dwumiesięczny okres porównawczy rozpoczyna się w trakcie miesiąca kalendarzowego, to jest w dniu innym niż pierwszy dzień danego miesiąca kalendarzowego, lub</w:t>
      </w:r>
    </w:p>
    <w:p w14:paraId="00000016" w14:textId="5720C03C" w:rsidR="004F4E6E" w:rsidRPr="00654BDF" w:rsidRDefault="00E815BF" w:rsidP="00654BDF">
      <w:pPr>
        <w:spacing w:line="360" w:lineRule="auto"/>
        <w:ind w:left="851" w:hanging="284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2) nie mniej niż o 30%, obliczony jako stosunek obrotów z dowolnie wskazanego miesiąca kalendarzowego, przypadającego po dniu 1 lutego 2020 r. do dnia poprzedzającego dzień złożenia wniosku, o którym mowa w ust. 4, w porównaniu do obrotów z miesiąca poprzedniego; za miesiąc uważa się także 30 kolejno po sobie następujących dni kalendarzowych, w przypadku gdy okres porównawczy rozpoczyna się w trakcie miesiąca kalendarzowego, to jest w dniu innym niż pierwszy dzień danego miesiąca kalendarzowego.</w:t>
      </w:r>
    </w:p>
    <w:p w14:paraId="00000017" w14:textId="77777777" w:rsidR="004F4E6E" w:rsidRPr="00654BDF" w:rsidRDefault="00E815BF" w:rsidP="00654BDF">
      <w:pPr>
        <w:spacing w:line="360" w:lineRule="auto"/>
        <w:ind w:left="142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lastRenderedPageBreak/>
        <w:t>4. Koszty stałe finansowane są ze środków budżetu państwa na pisemny wniosek przedsiębiorcy.</w:t>
      </w:r>
    </w:p>
    <w:p w14:paraId="00000018" w14:textId="77777777" w:rsidR="004F4E6E" w:rsidRPr="00654BDF" w:rsidRDefault="00E815BF" w:rsidP="00654BDF">
      <w:pPr>
        <w:spacing w:line="360" w:lineRule="auto"/>
        <w:ind w:left="142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5. Finansowania udziela minister właściwy do spraw gospodarki.</w:t>
      </w:r>
    </w:p>
    <w:p w14:paraId="00000019" w14:textId="77777777" w:rsidR="004F4E6E" w:rsidRPr="00654BDF" w:rsidRDefault="004F4E6E" w:rsidP="00654BDF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1A" w14:textId="77777777" w:rsidR="004F4E6E" w:rsidRPr="00654BDF" w:rsidRDefault="00E815BF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Art. 2.</w:t>
      </w:r>
      <w:r w:rsidRPr="00654BDF">
        <w:rPr>
          <w:rFonts w:ascii="Tahoma" w:eastAsia="Times New Roman" w:hAnsi="Tahoma" w:cs="Tahoma"/>
          <w:sz w:val="24"/>
          <w:szCs w:val="24"/>
        </w:rPr>
        <w:t xml:space="preserve"> 1. Minister właściwy do spraw gospodarki może powierzyć udzielanie finansowania wojewodom właściwym ze względu na siedzibę przedsiębiorcy.</w:t>
      </w:r>
    </w:p>
    <w:p w14:paraId="0000001B" w14:textId="77777777" w:rsidR="004F4E6E" w:rsidRPr="00654BDF" w:rsidRDefault="00E815BF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2. Środki budżetu państwa przeznaczone na finansowanie kosztów stałych przedsiębiorcy są przekazywane właściwym wojewodom przez ministra właściwego do spraw gospodarki w drodze dotacji celowej.</w:t>
      </w:r>
    </w:p>
    <w:p w14:paraId="0000001C" w14:textId="77777777" w:rsidR="004F4E6E" w:rsidRPr="00654BDF" w:rsidRDefault="004F4E6E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</w:p>
    <w:p w14:paraId="0000001D" w14:textId="77777777" w:rsidR="004F4E6E" w:rsidRPr="00654BDF" w:rsidRDefault="00E815BF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 xml:space="preserve">Art. 3 </w:t>
      </w:r>
      <w:r w:rsidRPr="00654BDF">
        <w:rPr>
          <w:rFonts w:ascii="Tahoma" w:eastAsia="Times New Roman" w:hAnsi="Tahoma" w:cs="Tahoma"/>
          <w:sz w:val="24"/>
          <w:szCs w:val="24"/>
        </w:rPr>
        <w:t>1. Dotacja, o której mowa w art. 2 ust. 2 jest rozliczana na zasadach określonych w ustawie z dnia 27 sierpnia 2009 r. o finansach publicznych (Dz. U. z 2019 r. poz. 869, z późn. zm.).</w:t>
      </w:r>
    </w:p>
    <w:p w14:paraId="0000001E" w14:textId="0863C893" w:rsidR="004F4E6E" w:rsidRPr="00654BDF" w:rsidRDefault="00E815BF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2. Minister właściwy do spraw gospodarki w porozumieniu z ministrem właściwym do spraw finansów publicznych w drodze rozporządzenia określi warunki złożenia wniosku o finansowanie kosztów, o których mowa w art. 1 ust. 1, oraz szczegółowe warunki finansowania kosztów, mając na względzie maks</w:t>
      </w:r>
      <w:r w:rsidR="00654BDF">
        <w:rPr>
          <w:rFonts w:ascii="Tahoma" w:eastAsia="Times New Roman" w:hAnsi="Tahoma" w:cs="Tahoma"/>
          <w:sz w:val="24"/>
          <w:szCs w:val="24"/>
        </w:rPr>
        <w:t>ymalne uproszczenie procedury i </w:t>
      </w:r>
      <w:r w:rsidRPr="00654BDF">
        <w:rPr>
          <w:rFonts w:ascii="Tahoma" w:eastAsia="Times New Roman" w:hAnsi="Tahoma" w:cs="Tahoma"/>
          <w:sz w:val="24"/>
          <w:szCs w:val="24"/>
        </w:rPr>
        <w:t>zapewnienie wsparcia wszystkim potrzebującym przedsiębiorcom.</w:t>
      </w:r>
    </w:p>
    <w:p w14:paraId="0000001F" w14:textId="77777777" w:rsidR="004F4E6E" w:rsidRPr="00654BDF" w:rsidRDefault="004F4E6E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</w:p>
    <w:p w14:paraId="00000020" w14:textId="77777777" w:rsidR="004F4E6E" w:rsidRPr="00654BDF" w:rsidRDefault="00E815BF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Art. 4.</w:t>
      </w:r>
      <w:r w:rsidRPr="00654BDF">
        <w:rPr>
          <w:rFonts w:ascii="Tahoma" w:eastAsia="Times New Roman" w:hAnsi="Tahoma" w:cs="Tahoma"/>
          <w:sz w:val="24"/>
          <w:szCs w:val="24"/>
        </w:rPr>
        <w:t xml:space="preserve"> Dofinansowanie, o którym mowa w art. 1 ust. 1, nie stanowi przedmiotu opodatkowania w rozumieniu art. 7 ustawy z dnia 15 lutego 1992 r. o podatku dochodowym od osób prawnych (Dz.U. z 2019 r. poz. 865) lub art. 9 ustawy z dnia 26 lipca 1991 r.o  podatku dochodowym od osób fizycznych (Dz.U. z 2019 r. poz. 1387).</w:t>
      </w:r>
    </w:p>
    <w:p w14:paraId="00000021" w14:textId="77777777" w:rsidR="004F4E6E" w:rsidRPr="00654BDF" w:rsidRDefault="004F4E6E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</w:p>
    <w:p w14:paraId="00000022" w14:textId="77777777" w:rsidR="004F4E6E" w:rsidRPr="00654BDF" w:rsidRDefault="00E815BF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 xml:space="preserve">Art. 5. </w:t>
      </w:r>
      <w:r w:rsidRPr="00654BDF">
        <w:rPr>
          <w:rFonts w:ascii="Tahoma" w:eastAsia="Times New Roman" w:hAnsi="Tahoma" w:cs="Tahoma"/>
          <w:sz w:val="24"/>
          <w:szCs w:val="24"/>
          <w:highlight w:val="white"/>
        </w:rPr>
        <w:t>Dofinansowanie, o którym mowa w art. 1 ust. 1, stanowi pomoc de minimis.</w:t>
      </w:r>
    </w:p>
    <w:p w14:paraId="00000023" w14:textId="77777777" w:rsidR="004F4E6E" w:rsidRPr="00654BDF" w:rsidRDefault="004F4E6E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</w:p>
    <w:p w14:paraId="00000024" w14:textId="77777777" w:rsidR="004F4E6E" w:rsidRPr="00654BDF" w:rsidRDefault="00E815BF" w:rsidP="00654BDF">
      <w:pPr>
        <w:spacing w:line="360" w:lineRule="auto"/>
        <w:ind w:firstLine="567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 xml:space="preserve">Art. 6. </w:t>
      </w:r>
      <w:r w:rsidRPr="00654BDF">
        <w:rPr>
          <w:rFonts w:ascii="Tahoma" w:eastAsia="Times New Roman" w:hAnsi="Tahoma" w:cs="Tahoma"/>
          <w:sz w:val="24"/>
          <w:szCs w:val="24"/>
        </w:rPr>
        <w:t xml:space="preserve">Ustawa wchodzi w życie z dniem następującym po dniu ogłoszenia, z mocą od 1 kwietnia 2020 roku. </w:t>
      </w:r>
    </w:p>
    <w:p w14:paraId="00000025" w14:textId="77777777" w:rsidR="004F4E6E" w:rsidRPr="00654BDF" w:rsidRDefault="004F4E6E" w:rsidP="00654BDF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bookmarkStart w:id="0" w:name="_GoBack"/>
      <w:bookmarkEnd w:id="0"/>
    </w:p>
    <w:sectPr w:rsidR="004F4E6E" w:rsidRPr="00654BDF" w:rsidSect="00654BDF">
      <w:pgSz w:w="11909" w:h="16834"/>
      <w:pgMar w:top="1440" w:right="1703" w:bottom="1440" w:left="1418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B350A"/>
    <w:multiLevelType w:val="multilevel"/>
    <w:tmpl w:val="B748F5D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8184767"/>
    <w:multiLevelType w:val="hybridMultilevel"/>
    <w:tmpl w:val="F67210F4"/>
    <w:lvl w:ilvl="0" w:tplc="04150011">
      <w:start w:val="1"/>
      <w:numFmt w:val="decimal"/>
      <w:lvlText w:val="%1)"/>
      <w:lvlJc w:val="left"/>
      <w:pPr>
        <w:ind w:left="1418" w:hanging="360"/>
      </w:p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E6E"/>
    <w:rsid w:val="000B1492"/>
    <w:rsid w:val="004F4E6E"/>
    <w:rsid w:val="00654BDF"/>
    <w:rsid w:val="0093344D"/>
    <w:rsid w:val="00943550"/>
    <w:rsid w:val="00E8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ACC2"/>
  <w15:docId w15:val="{4CE57B2B-3817-4DD2-9041-5F5F9F98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654B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35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3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cp:lastPrinted>2020-04-24T07:25:00Z</cp:lastPrinted>
  <dcterms:created xsi:type="dcterms:W3CDTF">2020-04-24T08:15:00Z</dcterms:created>
  <dcterms:modified xsi:type="dcterms:W3CDTF">2020-04-28T08:44:00Z</dcterms:modified>
</cp:coreProperties>
</file>