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28" w14:textId="77777777" w:rsidR="004F4E6E" w:rsidRPr="00654BDF" w:rsidRDefault="00E815BF" w:rsidP="00654BDF">
      <w:pPr>
        <w:spacing w:line="360" w:lineRule="auto"/>
        <w:ind w:left="283"/>
        <w:jc w:val="center"/>
        <w:rPr>
          <w:rFonts w:ascii="Tahoma" w:eastAsia="Times New Roman" w:hAnsi="Tahoma" w:cs="Tahoma"/>
          <w:b/>
          <w:sz w:val="24"/>
          <w:szCs w:val="24"/>
        </w:rPr>
      </w:pPr>
      <w:bookmarkStart w:id="0" w:name="_GoBack"/>
      <w:bookmarkEnd w:id="0"/>
      <w:r w:rsidRPr="00654BDF">
        <w:rPr>
          <w:rFonts w:ascii="Tahoma" w:eastAsia="Times New Roman" w:hAnsi="Tahoma" w:cs="Tahoma"/>
          <w:b/>
          <w:sz w:val="24"/>
          <w:szCs w:val="24"/>
        </w:rPr>
        <w:t>Uzasadnienie</w:t>
      </w:r>
    </w:p>
    <w:p w14:paraId="00000029" w14:textId="77777777" w:rsidR="004F4E6E" w:rsidRPr="00654BDF" w:rsidRDefault="004F4E6E" w:rsidP="00654BDF">
      <w:pPr>
        <w:spacing w:line="360" w:lineRule="auto"/>
        <w:ind w:left="283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0000002A" w14:textId="77777777" w:rsidR="004F4E6E" w:rsidRPr="00654BDF" w:rsidRDefault="00E815BF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t>1. Potrzeba i cel uchwalenia ustawy</w:t>
      </w:r>
    </w:p>
    <w:p w14:paraId="0000002B" w14:textId="77777777" w:rsidR="004F4E6E" w:rsidRPr="00654BDF" w:rsidRDefault="004F4E6E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2C" w14:textId="77777777" w:rsidR="004F4E6E" w:rsidRPr="00654BDF" w:rsidRDefault="00E815BF" w:rsidP="00654BDF">
      <w:pPr>
        <w:spacing w:line="360" w:lineRule="auto"/>
        <w:ind w:left="283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 xml:space="preserve">Pandemia SARS-CoV-2 stanowi największe wyzwanie dla światowej gospodarki od zakończenia II wojny światowej. Dla wielu sektorów oznacza 100-procentowy spadek obrotów. Z punktu widzenia przedsiębiorcy oznacza to wstrzymane jakiejkolwiek aktywności gospodarczej. W jej wyniku przedsiębiorca nie ponosi kosztów zmiennych, bezpośrednio związanych z prowadzeniem działalności. Ponosi jednak koszty stałe, które wobec braku przychodów wielokrotnie oznaczają konieczność postawienia przedsiębiorstwa w stan upadłości. Jest to niekorzystne dla przedsiębiorcy, jego pracowników, a także dla całej gospodarki, zwłaszcza w kontekście rozwoju gospodarczego po ustąpieniu epidemii. </w:t>
      </w:r>
    </w:p>
    <w:p w14:paraId="0000002D" w14:textId="77777777" w:rsidR="004F4E6E" w:rsidRPr="00654BDF" w:rsidRDefault="00E815BF" w:rsidP="00654BDF">
      <w:pPr>
        <w:spacing w:line="360" w:lineRule="auto"/>
        <w:ind w:left="283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 xml:space="preserve">Dlatego konieczne jest finansowe zaangażowanie państwa w pokrywaniu części kosztów stałych, dzięki czemu całe branże przetrwają kolejne miesiące kryzysu wywołanego przez epidemię. </w:t>
      </w:r>
    </w:p>
    <w:p w14:paraId="0000002E" w14:textId="77777777" w:rsidR="004F4E6E" w:rsidRPr="00654BDF" w:rsidRDefault="004F4E6E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2F" w14:textId="77777777" w:rsidR="004F4E6E" w:rsidRPr="00654BDF" w:rsidRDefault="004F4E6E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30" w14:textId="77777777" w:rsidR="004F4E6E" w:rsidRPr="00654BDF" w:rsidRDefault="00E815BF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t>2. Projektowane rozwiązania</w:t>
      </w:r>
    </w:p>
    <w:p w14:paraId="00000031" w14:textId="77777777" w:rsidR="004F4E6E" w:rsidRPr="00654BDF" w:rsidRDefault="004F4E6E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32" w14:textId="77777777" w:rsidR="004F4E6E" w:rsidRPr="00654BDF" w:rsidRDefault="00E815BF" w:rsidP="00654BDF">
      <w:pPr>
        <w:spacing w:line="360" w:lineRule="auto"/>
        <w:ind w:left="283" w:firstLine="436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W</w:t>
      </w:r>
      <w:r w:rsidRPr="00654BDF">
        <w:rPr>
          <w:rFonts w:ascii="Tahoma" w:eastAsia="Times New Roman" w:hAnsi="Tahoma" w:cs="Tahoma"/>
          <w:b/>
          <w:sz w:val="24"/>
          <w:szCs w:val="24"/>
        </w:rPr>
        <w:t xml:space="preserve"> art. 1 </w:t>
      </w:r>
      <w:r w:rsidRPr="00654BDF">
        <w:rPr>
          <w:rFonts w:ascii="Tahoma" w:eastAsia="Times New Roman" w:hAnsi="Tahoma" w:cs="Tahoma"/>
          <w:sz w:val="24"/>
          <w:szCs w:val="24"/>
        </w:rPr>
        <w:t>wprowadza się możliwość uzyskania dofinansowania kosztów stałych przedsiębiorcy z budżetu państwa do kwoty nieprzekraczającej 50 tys. złotych miesięcznie przez okres 6 miesięcy. Przez koszty stałe rozumie się:</w:t>
      </w:r>
    </w:p>
    <w:p w14:paraId="00000033" w14:textId="77777777" w:rsidR="004F4E6E" w:rsidRPr="00654BDF" w:rsidRDefault="00E815BF" w:rsidP="00654BDF">
      <w:pPr>
        <w:spacing w:line="360" w:lineRule="auto"/>
        <w:ind w:left="708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 xml:space="preserve">1) zapłatę za dostarczanie paliw gazowych lub energii; </w:t>
      </w:r>
    </w:p>
    <w:p w14:paraId="00000034" w14:textId="77777777" w:rsidR="004F4E6E" w:rsidRPr="00654BDF" w:rsidRDefault="00E815BF" w:rsidP="00654BDF">
      <w:pPr>
        <w:spacing w:line="360" w:lineRule="auto"/>
        <w:ind w:left="708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2) zapłatę za świadczenie publicznie dostępnych usług telekomunikacyjnych;</w:t>
      </w:r>
    </w:p>
    <w:p w14:paraId="00000035" w14:textId="77777777" w:rsidR="004F4E6E" w:rsidRPr="00654BDF" w:rsidRDefault="00E815BF" w:rsidP="00654BDF">
      <w:pPr>
        <w:spacing w:line="360" w:lineRule="auto"/>
        <w:ind w:left="708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 xml:space="preserve">3) zapłatę za zaopatrzenie w wodę lub odprowadzanie ścieków; </w:t>
      </w:r>
    </w:p>
    <w:p w14:paraId="00000036" w14:textId="77777777" w:rsidR="004F4E6E" w:rsidRPr="00654BDF" w:rsidRDefault="00E815BF" w:rsidP="00654BDF">
      <w:pPr>
        <w:spacing w:line="360" w:lineRule="auto"/>
        <w:ind w:left="708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 xml:space="preserve">4) płatność czynszu; </w:t>
      </w:r>
    </w:p>
    <w:p w14:paraId="00000037" w14:textId="77777777" w:rsidR="004F4E6E" w:rsidRPr="00654BDF" w:rsidRDefault="00E815BF" w:rsidP="00654BDF">
      <w:pPr>
        <w:spacing w:line="360" w:lineRule="auto"/>
        <w:ind w:left="708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5) ratę leasingu i składka z tytułu ubezpieczenia rzeczy od jej utraty w czasie trwania leasingu;</w:t>
      </w:r>
    </w:p>
    <w:p w14:paraId="00000038" w14:textId="77777777" w:rsidR="004F4E6E" w:rsidRPr="00654BDF" w:rsidRDefault="00E815BF" w:rsidP="00654BDF">
      <w:pPr>
        <w:spacing w:line="360" w:lineRule="auto"/>
        <w:ind w:left="708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6) opłata roczna za oddanie nieruchomości gruntowej w użytkowanie wieczyste;</w:t>
      </w:r>
    </w:p>
    <w:p w14:paraId="00000039" w14:textId="77777777" w:rsidR="004F4E6E" w:rsidRPr="00654BDF" w:rsidRDefault="00E815BF" w:rsidP="00654BDF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7) składki na ubezpieczenia.</w:t>
      </w:r>
    </w:p>
    <w:p w14:paraId="0000003A" w14:textId="77777777" w:rsidR="004F4E6E" w:rsidRPr="00654BDF" w:rsidRDefault="00E815BF" w:rsidP="00654BDF">
      <w:pPr>
        <w:spacing w:line="360" w:lineRule="auto"/>
        <w:ind w:left="283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lastRenderedPageBreak/>
        <w:t xml:space="preserve">Ustalono również warunek uzyskania dofinansowania, którym jest spadek sprzedaży towarów lub usług, ilościowo lub wartościowo o: </w:t>
      </w:r>
    </w:p>
    <w:p w14:paraId="0000003B" w14:textId="77777777" w:rsidR="004F4E6E" w:rsidRPr="00654BDF" w:rsidRDefault="00E815BF" w:rsidP="00654BDF">
      <w:pPr>
        <w:spacing w:line="360" w:lineRule="auto"/>
        <w:ind w:left="708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 xml:space="preserve">1) </w:t>
      </w:r>
      <w:r w:rsidRPr="00654BDF">
        <w:rPr>
          <w:rFonts w:ascii="Tahoma" w:eastAsia="Times New Roman" w:hAnsi="Tahoma" w:cs="Tahoma"/>
          <w:sz w:val="24"/>
          <w:szCs w:val="24"/>
        </w:rPr>
        <w:tab/>
        <w:t>nie mniej niż o 20%, jako stosunek łącznych obrotów w ciągu dowolnie wskazanych 2 kolejnych miesięcy kalendarzowych, przypadających w okresie po dniu 1 lutego 2020 r. do dnia poprzedzającego dzień złożenia wniosku, w porównaniu do łącznych obrotów z analogicznych 2 kolejnych miesięcy kalendarzowych roku poprzedniego, lub</w:t>
      </w:r>
    </w:p>
    <w:p w14:paraId="0000003C" w14:textId="77777777" w:rsidR="004F4E6E" w:rsidRPr="00654BDF" w:rsidRDefault="00E815BF" w:rsidP="00654BDF">
      <w:pPr>
        <w:spacing w:line="360" w:lineRule="auto"/>
        <w:ind w:left="708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 xml:space="preserve">2) </w:t>
      </w:r>
      <w:r w:rsidRPr="00654BDF">
        <w:rPr>
          <w:rFonts w:ascii="Tahoma" w:eastAsia="Times New Roman" w:hAnsi="Tahoma" w:cs="Tahoma"/>
          <w:sz w:val="24"/>
          <w:szCs w:val="24"/>
        </w:rPr>
        <w:tab/>
        <w:t>nie mniej niż o 30%, obliczony jako stosunek obrotów z dowolnie wskazanego miesiąca kalendarzowego, przypadającego po dniu 1 lutego 2020 r. do dnia poprzedzającego dzień złożenia wniosku w porównaniu do obrotów z miesiąca poprzedniego; za miesiąc uważa się także 30 kolejno po sobie następujących dni kalendarzowych.</w:t>
      </w:r>
    </w:p>
    <w:p w14:paraId="0000003D" w14:textId="77777777" w:rsidR="004F4E6E" w:rsidRPr="00654BDF" w:rsidRDefault="004F4E6E" w:rsidP="00654BDF">
      <w:pPr>
        <w:spacing w:line="360" w:lineRule="auto"/>
        <w:ind w:left="283"/>
        <w:jc w:val="both"/>
        <w:rPr>
          <w:rFonts w:ascii="Tahoma" w:eastAsia="Times New Roman" w:hAnsi="Tahoma" w:cs="Tahoma"/>
          <w:sz w:val="24"/>
          <w:szCs w:val="24"/>
        </w:rPr>
      </w:pPr>
    </w:p>
    <w:p w14:paraId="0000003E" w14:textId="77777777" w:rsidR="004F4E6E" w:rsidRPr="00654BDF" w:rsidRDefault="00E815BF" w:rsidP="00654BDF">
      <w:pPr>
        <w:spacing w:line="360" w:lineRule="auto"/>
        <w:ind w:left="283" w:firstLine="436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Finansowania udziela minister właściwy do spraw gospodarki lub właściwy wojewoda, o czym mowa w projektowanym</w:t>
      </w:r>
      <w:r w:rsidRPr="00654BDF">
        <w:rPr>
          <w:rFonts w:ascii="Tahoma" w:eastAsia="Times New Roman" w:hAnsi="Tahoma" w:cs="Tahoma"/>
          <w:b/>
          <w:sz w:val="24"/>
          <w:szCs w:val="24"/>
        </w:rPr>
        <w:t xml:space="preserve"> art. 2.</w:t>
      </w:r>
      <w:r w:rsidRPr="00654BDF">
        <w:rPr>
          <w:rFonts w:ascii="Tahoma" w:eastAsia="Times New Roman" w:hAnsi="Tahoma" w:cs="Tahoma"/>
          <w:sz w:val="24"/>
          <w:szCs w:val="24"/>
        </w:rPr>
        <w:t xml:space="preserve">  W </w:t>
      </w:r>
      <w:r w:rsidRPr="00654BDF">
        <w:rPr>
          <w:rFonts w:ascii="Tahoma" w:eastAsia="Times New Roman" w:hAnsi="Tahoma" w:cs="Tahoma"/>
          <w:b/>
          <w:sz w:val="24"/>
          <w:szCs w:val="24"/>
        </w:rPr>
        <w:t>art. 3</w:t>
      </w:r>
      <w:r w:rsidRPr="00654BDF">
        <w:rPr>
          <w:rFonts w:ascii="Tahoma" w:eastAsia="Times New Roman" w:hAnsi="Tahoma" w:cs="Tahoma"/>
          <w:sz w:val="24"/>
          <w:szCs w:val="24"/>
        </w:rPr>
        <w:t xml:space="preserve"> zapisano delegację do wydania rozporządzenia ministra właściwego do spraw gospodarki w celu wykonania proponowanej ustawy.</w:t>
      </w:r>
    </w:p>
    <w:p w14:paraId="0000003F" w14:textId="77777777" w:rsidR="004F4E6E" w:rsidRPr="00654BDF" w:rsidRDefault="00E815BF" w:rsidP="00654BDF">
      <w:pPr>
        <w:spacing w:line="360" w:lineRule="auto"/>
        <w:ind w:left="283" w:firstLine="436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 xml:space="preserve">W </w:t>
      </w:r>
      <w:r w:rsidRPr="00654BDF">
        <w:rPr>
          <w:rFonts w:ascii="Tahoma" w:eastAsia="Times New Roman" w:hAnsi="Tahoma" w:cs="Tahoma"/>
          <w:b/>
          <w:sz w:val="24"/>
          <w:szCs w:val="24"/>
        </w:rPr>
        <w:t>art. 4 i 5</w:t>
      </w:r>
      <w:r w:rsidRPr="00654BDF">
        <w:rPr>
          <w:rFonts w:ascii="Tahoma" w:eastAsia="Times New Roman" w:hAnsi="Tahoma" w:cs="Tahoma"/>
          <w:sz w:val="24"/>
          <w:szCs w:val="24"/>
        </w:rPr>
        <w:t xml:space="preserve"> wskazano, że dofinansowanie kosztów stałych nie stanowi przedmiotu opodatkowania oraz jest pomocą de minimis.</w:t>
      </w:r>
    </w:p>
    <w:p w14:paraId="00000040" w14:textId="77777777" w:rsidR="004F4E6E" w:rsidRPr="00654BDF" w:rsidRDefault="00E815BF" w:rsidP="00654BDF">
      <w:pPr>
        <w:spacing w:line="360" w:lineRule="auto"/>
        <w:ind w:left="283" w:firstLine="436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Ze względu na wyjątkowe okoliczności, proponuje się ustalenie terminu wejścia w życie proponowanej ustawy na dzień następujący po dniu ogłoszenia, z mocą od 1 kwietnia 2020 roku. W tej sposób jak najwięcej przedsiębiorców będzie mogło skorzystać z pomocy przewidywanej w proponowanej ustawie.</w:t>
      </w:r>
    </w:p>
    <w:p w14:paraId="00000041" w14:textId="77777777" w:rsidR="004F4E6E" w:rsidRPr="00654BDF" w:rsidRDefault="004F4E6E" w:rsidP="00654BDF">
      <w:pPr>
        <w:spacing w:line="360" w:lineRule="auto"/>
        <w:ind w:left="283"/>
        <w:jc w:val="both"/>
        <w:rPr>
          <w:rFonts w:ascii="Tahoma" w:eastAsia="Times New Roman" w:hAnsi="Tahoma" w:cs="Tahoma"/>
          <w:sz w:val="24"/>
          <w:szCs w:val="24"/>
        </w:rPr>
      </w:pPr>
    </w:p>
    <w:p w14:paraId="00000042" w14:textId="77777777" w:rsidR="004F4E6E" w:rsidRPr="00654BDF" w:rsidRDefault="00E815BF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t>3. Źródła finansowania</w:t>
      </w:r>
    </w:p>
    <w:p w14:paraId="00000043" w14:textId="77777777" w:rsidR="004F4E6E" w:rsidRPr="00654BDF" w:rsidRDefault="004F4E6E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44" w14:textId="77777777" w:rsidR="004F4E6E" w:rsidRPr="00654BDF" w:rsidRDefault="00E815BF" w:rsidP="00654BDF">
      <w:pPr>
        <w:spacing w:line="360" w:lineRule="auto"/>
        <w:ind w:left="283" w:firstLine="436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 xml:space="preserve">Projektodawca szacuje, że z pomocy maksymalnie może skorzystać do 500 tys. przedsiębiorców. Ze względu na strukturę polskich przedsiębiorstw, przeciętne dofinansowanie będzie wynosić około 15 tys. złotych. W związku z tym maksymalne wydatki związane z proponowaną ustawą będą wynosić ok. 45 mld złotych. Wydatki te, podobnie jak w przypadku rozwiązań proponowanych w rządowej Tarczy Antykryzysowej, będą pochodzić z części budżetu państwa </w:t>
      </w:r>
      <w:r w:rsidRPr="00654BDF">
        <w:rPr>
          <w:rFonts w:ascii="Tahoma" w:eastAsia="Times New Roman" w:hAnsi="Tahoma" w:cs="Tahoma"/>
          <w:sz w:val="24"/>
          <w:szCs w:val="24"/>
        </w:rPr>
        <w:lastRenderedPageBreak/>
        <w:t xml:space="preserve">będącej w dyspozycji ministra właściwego do spraw gospodarki. Zmiana ustawy budżetowej na 2020 rok jest zapowiadana przez Radę Ministrów i powinny znaleźć się tam proponowane rozwiązania. </w:t>
      </w:r>
    </w:p>
    <w:p w14:paraId="00000045" w14:textId="77777777" w:rsidR="004F4E6E" w:rsidRPr="00654BDF" w:rsidRDefault="004F4E6E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46" w14:textId="77777777" w:rsidR="004F4E6E" w:rsidRPr="00654BDF" w:rsidRDefault="00E815BF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t>4. Oświadczenie o zgodności projektu ustawy z prawem Unii Europejskiej i braku obowiązku przedstawienia projektu instytucjom Unii Europejskiej</w:t>
      </w:r>
    </w:p>
    <w:p w14:paraId="00000047" w14:textId="77777777" w:rsidR="004F4E6E" w:rsidRPr="00654BDF" w:rsidRDefault="004F4E6E" w:rsidP="00654BDF">
      <w:pPr>
        <w:spacing w:line="360" w:lineRule="auto"/>
        <w:ind w:left="283"/>
        <w:jc w:val="both"/>
        <w:rPr>
          <w:rFonts w:ascii="Tahoma" w:eastAsia="Times New Roman" w:hAnsi="Tahoma" w:cs="Tahoma"/>
          <w:sz w:val="24"/>
          <w:szCs w:val="24"/>
        </w:rPr>
      </w:pPr>
    </w:p>
    <w:p w14:paraId="00000048" w14:textId="77777777" w:rsidR="004F4E6E" w:rsidRPr="00654BDF" w:rsidRDefault="00E815BF" w:rsidP="00654BDF">
      <w:pPr>
        <w:spacing w:line="360" w:lineRule="auto"/>
        <w:ind w:left="283" w:firstLine="436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W ocenie projektodawcy przedmiot projektowanej regulacji nie jest sprzeczny prawem Unii Europejskiej.</w:t>
      </w:r>
    </w:p>
    <w:p w14:paraId="00000049" w14:textId="77777777" w:rsidR="004F4E6E" w:rsidRPr="00654BDF" w:rsidRDefault="004F4E6E" w:rsidP="00654BDF">
      <w:pPr>
        <w:spacing w:line="360" w:lineRule="auto"/>
        <w:ind w:left="283"/>
        <w:jc w:val="both"/>
        <w:rPr>
          <w:rFonts w:ascii="Tahoma" w:eastAsia="Times New Roman" w:hAnsi="Tahoma" w:cs="Tahoma"/>
          <w:sz w:val="24"/>
          <w:szCs w:val="24"/>
        </w:rPr>
      </w:pPr>
    </w:p>
    <w:p w14:paraId="0000004A" w14:textId="77777777" w:rsidR="004F4E6E" w:rsidRPr="00654BDF" w:rsidRDefault="00E815BF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t>5. Brak obowiązku notyfikacji zgodnie z przepisami dotyczącymi funkcjonowania krajowego systemu notyfikacji norm i aktów prawnych</w:t>
      </w:r>
    </w:p>
    <w:p w14:paraId="0000004B" w14:textId="77777777" w:rsidR="004F4E6E" w:rsidRPr="00654BDF" w:rsidRDefault="004F4E6E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4C" w14:textId="77777777" w:rsidR="004F4E6E" w:rsidRPr="00654BDF" w:rsidRDefault="00E815BF" w:rsidP="00654BDF">
      <w:pPr>
        <w:spacing w:line="360" w:lineRule="auto"/>
        <w:ind w:left="283" w:firstLine="436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Projekt ustawy wymaga przedstawienia właściwym organom i instytucjom Unii Europejskiej, w tym Europejskiemu Bankowi Centralnemu, w celu uzyskania opinii, dokonania powiadomienia, konsultacji lub uzgodnienia.</w:t>
      </w:r>
    </w:p>
    <w:p w14:paraId="0000004D" w14:textId="77777777" w:rsidR="004F4E6E" w:rsidRPr="00654BDF" w:rsidRDefault="004F4E6E" w:rsidP="00654BDF">
      <w:pPr>
        <w:spacing w:line="360" w:lineRule="auto"/>
        <w:ind w:left="283"/>
        <w:jc w:val="both"/>
        <w:rPr>
          <w:rFonts w:ascii="Tahoma" w:eastAsia="Times New Roman" w:hAnsi="Tahoma" w:cs="Tahoma"/>
          <w:sz w:val="24"/>
          <w:szCs w:val="24"/>
        </w:rPr>
      </w:pPr>
    </w:p>
    <w:p w14:paraId="0000004E" w14:textId="77777777" w:rsidR="004F4E6E" w:rsidRPr="00654BDF" w:rsidRDefault="00E815BF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t>6. Wpływ na działalność mikroprzedsiębiorców oraz małych i średnich przedsiębiorstw</w:t>
      </w:r>
    </w:p>
    <w:p w14:paraId="0000004F" w14:textId="77777777" w:rsidR="004F4E6E" w:rsidRPr="00654BDF" w:rsidRDefault="004F4E6E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50" w14:textId="77777777" w:rsidR="004F4E6E" w:rsidRPr="00654BDF" w:rsidRDefault="00E815BF" w:rsidP="00654BDF">
      <w:pPr>
        <w:spacing w:line="360" w:lineRule="auto"/>
        <w:ind w:left="283" w:right="-15" w:firstLine="436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Zmiany proponowane w projekcie dotyczą wszystkich przedsiębiorców działających w warunkach zagrożenia ekonomicznego w następstwie wystąpienia COVID-19. W związku z tym nie zachodzi zjawisko dyskryminacji określonej grupy przedsiębiorców.</w:t>
      </w:r>
    </w:p>
    <w:p w14:paraId="00000051" w14:textId="77777777" w:rsidR="004F4E6E" w:rsidRPr="00654BDF" w:rsidRDefault="004F4E6E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52" w14:textId="77777777" w:rsidR="004F4E6E" w:rsidRPr="00654BDF" w:rsidRDefault="00E815BF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t>7. Konsultacje społeczne</w:t>
      </w:r>
    </w:p>
    <w:p w14:paraId="00000053" w14:textId="77777777" w:rsidR="004F4E6E" w:rsidRPr="00654BDF" w:rsidRDefault="004F4E6E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54" w14:textId="77777777" w:rsidR="004F4E6E" w:rsidRPr="00654BDF" w:rsidRDefault="00E815BF" w:rsidP="00654BDF">
      <w:pPr>
        <w:spacing w:line="360" w:lineRule="auto"/>
        <w:ind w:left="283" w:right="-15" w:firstLine="436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Proponowany projekt ustawy nie był poddany wcześniejszym konsultacjom społecznym.</w:t>
      </w:r>
    </w:p>
    <w:p w14:paraId="00000055" w14:textId="77777777" w:rsidR="004F4E6E" w:rsidRPr="00654BDF" w:rsidRDefault="004F4E6E" w:rsidP="00654BDF">
      <w:pPr>
        <w:spacing w:line="360" w:lineRule="auto"/>
        <w:ind w:left="283" w:right="-15"/>
        <w:jc w:val="both"/>
        <w:rPr>
          <w:rFonts w:ascii="Tahoma" w:eastAsia="Times New Roman" w:hAnsi="Tahoma" w:cs="Tahoma"/>
          <w:sz w:val="24"/>
          <w:szCs w:val="24"/>
        </w:rPr>
      </w:pPr>
    </w:p>
    <w:p w14:paraId="00000056" w14:textId="77777777" w:rsidR="004F4E6E" w:rsidRPr="00654BDF" w:rsidRDefault="00E815BF" w:rsidP="00654BDF">
      <w:pPr>
        <w:spacing w:line="360" w:lineRule="auto"/>
        <w:ind w:left="283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lastRenderedPageBreak/>
        <w:t xml:space="preserve">8. Zgodność z Konstytucją RP. </w:t>
      </w:r>
    </w:p>
    <w:p w14:paraId="00000057" w14:textId="77777777" w:rsidR="004F4E6E" w:rsidRPr="00654BDF" w:rsidRDefault="004F4E6E" w:rsidP="00654BDF">
      <w:pPr>
        <w:spacing w:line="360" w:lineRule="auto"/>
        <w:ind w:left="283" w:right="-15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58" w14:textId="77777777" w:rsidR="004F4E6E" w:rsidRPr="00654BDF" w:rsidRDefault="00E815BF" w:rsidP="00654BDF">
      <w:pPr>
        <w:spacing w:line="360" w:lineRule="auto"/>
        <w:ind w:left="283" w:right="-15" w:firstLine="436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>W ocenie projektodawcy przedstawiony projekt ustawy jest zgodny z Konstytucją RP.</w:t>
      </w:r>
    </w:p>
    <w:p w14:paraId="00000059" w14:textId="77777777" w:rsidR="004F4E6E" w:rsidRPr="00654BDF" w:rsidRDefault="004F4E6E" w:rsidP="00654BDF">
      <w:pPr>
        <w:spacing w:line="360" w:lineRule="auto"/>
        <w:ind w:left="283" w:right="-15"/>
        <w:jc w:val="both"/>
        <w:rPr>
          <w:rFonts w:ascii="Tahoma" w:eastAsia="Times New Roman" w:hAnsi="Tahoma" w:cs="Tahoma"/>
          <w:sz w:val="24"/>
          <w:szCs w:val="24"/>
        </w:rPr>
      </w:pPr>
    </w:p>
    <w:p w14:paraId="0000005A" w14:textId="77777777" w:rsidR="004F4E6E" w:rsidRPr="00654BDF" w:rsidRDefault="00E815BF" w:rsidP="00654BDF">
      <w:pPr>
        <w:spacing w:line="360" w:lineRule="auto"/>
        <w:ind w:left="283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b/>
          <w:sz w:val="24"/>
          <w:szCs w:val="24"/>
        </w:rPr>
        <w:t>9. Założenia projektów podstawowych aktów wykonawczych</w:t>
      </w:r>
      <w:r w:rsidRPr="00654BDF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0000005B" w14:textId="77777777" w:rsidR="004F4E6E" w:rsidRPr="00654BDF" w:rsidRDefault="00E815BF" w:rsidP="00654BDF">
      <w:pPr>
        <w:spacing w:line="360" w:lineRule="auto"/>
        <w:ind w:left="283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ab/>
      </w:r>
    </w:p>
    <w:p w14:paraId="0000005C" w14:textId="77777777" w:rsidR="004F4E6E" w:rsidRPr="00654BDF" w:rsidRDefault="00E815BF" w:rsidP="00654BDF">
      <w:pPr>
        <w:spacing w:line="360" w:lineRule="auto"/>
        <w:ind w:left="283"/>
        <w:jc w:val="both"/>
        <w:rPr>
          <w:rFonts w:ascii="Tahoma" w:eastAsia="Times New Roman" w:hAnsi="Tahoma" w:cs="Tahoma"/>
          <w:sz w:val="24"/>
          <w:szCs w:val="24"/>
        </w:rPr>
      </w:pPr>
      <w:r w:rsidRPr="00654BDF">
        <w:rPr>
          <w:rFonts w:ascii="Tahoma" w:eastAsia="Times New Roman" w:hAnsi="Tahoma" w:cs="Tahoma"/>
          <w:sz w:val="24"/>
          <w:szCs w:val="24"/>
        </w:rPr>
        <w:tab/>
        <w:t>Minister właściwy do spraw gospodarki w porozumieniu z ministrem właściwym do spraw finansów publicznych w drodze rozporządzenia określi warunki złożenia wniosku o finansowanie kosztów, o których mowa w art. 1 ust. 1, oraz szczegółowe warunki finansowania kosztów, mając na względzie maksymalne uproszczenie procedury i zapewnienie wsparcia wszystkim potrzebującym przedsiębiorcom. W szczególności określi możliwość składania wniosków droga elektroniczną oraz załączniki w formie rachunków wskazujących wysokość kosztów, o których mowa w art. 1 ust. 2 proponowanej ustawy. Wskaże również maksymalny czas rozpatrzenia wniosków, jednak nie dłuższy niż 14 dni.</w:t>
      </w:r>
    </w:p>
    <w:p w14:paraId="0000005D" w14:textId="77777777" w:rsidR="004F4E6E" w:rsidRPr="00654BDF" w:rsidRDefault="004F4E6E" w:rsidP="00654BDF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0000005E" w14:textId="77777777" w:rsidR="004F4E6E" w:rsidRPr="00654BDF" w:rsidRDefault="004F4E6E" w:rsidP="00654BDF">
      <w:pPr>
        <w:spacing w:line="360" w:lineRule="auto"/>
        <w:jc w:val="center"/>
        <w:rPr>
          <w:rFonts w:ascii="Tahoma" w:eastAsia="Times New Roman" w:hAnsi="Tahoma" w:cs="Tahoma"/>
          <w:b/>
          <w:sz w:val="24"/>
          <w:szCs w:val="24"/>
        </w:rPr>
      </w:pPr>
    </w:p>
    <w:sectPr w:rsidR="004F4E6E" w:rsidRPr="00654BDF" w:rsidSect="00654BDF">
      <w:pgSz w:w="11909" w:h="16834"/>
      <w:pgMar w:top="1440" w:right="1703" w:bottom="1440" w:left="1418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BB350A"/>
    <w:multiLevelType w:val="multilevel"/>
    <w:tmpl w:val="B748F5D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8184767"/>
    <w:multiLevelType w:val="hybridMultilevel"/>
    <w:tmpl w:val="F67210F4"/>
    <w:lvl w:ilvl="0" w:tplc="04150011">
      <w:start w:val="1"/>
      <w:numFmt w:val="decimal"/>
      <w:lvlText w:val="%1)"/>
      <w:lvlJc w:val="left"/>
      <w:pPr>
        <w:ind w:left="1418" w:hanging="360"/>
      </w:pPr>
    </w:lvl>
    <w:lvl w:ilvl="1" w:tplc="04150019" w:tentative="1">
      <w:start w:val="1"/>
      <w:numFmt w:val="lowerLetter"/>
      <w:lvlText w:val="%2."/>
      <w:lvlJc w:val="left"/>
      <w:pPr>
        <w:ind w:left="2138" w:hanging="360"/>
      </w:pPr>
    </w:lvl>
    <w:lvl w:ilvl="2" w:tplc="0415001B" w:tentative="1">
      <w:start w:val="1"/>
      <w:numFmt w:val="lowerRoman"/>
      <w:lvlText w:val="%3."/>
      <w:lvlJc w:val="right"/>
      <w:pPr>
        <w:ind w:left="2858" w:hanging="180"/>
      </w:pPr>
    </w:lvl>
    <w:lvl w:ilvl="3" w:tplc="0415000F" w:tentative="1">
      <w:start w:val="1"/>
      <w:numFmt w:val="decimal"/>
      <w:lvlText w:val="%4."/>
      <w:lvlJc w:val="left"/>
      <w:pPr>
        <w:ind w:left="3578" w:hanging="360"/>
      </w:pPr>
    </w:lvl>
    <w:lvl w:ilvl="4" w:tplc="04150019" w:tentative="1">
      <w:start w:val="1"/>
      <w:numFmt w:val="lowerLetter"/>
      <w:lvlText w:val="%5."/>
      <w:lvlJc w:val="left"/>
      <w:pPr>
        <w:ind w:left="4298" w:hanging="360"/>
      </w:pPr>
    </w:lvl>
    <w:lvl w:ilvl="5" w:tplc="0415001B" w:tentative="1">
      <w:start w:val="1"/>
      <w:numFmt w:val="lowerRoman"/>
      <w:lvlText w:val="%6."/>
      <w:lvlJc w:val="right"/>
      <w:pPr>
        <w:ind w:left="5018" w:hanging="180"/>
      </w:pPr>
    </w:lvl>
    <w:lvl w:ilvl="6" w:tplc="0415000F" w:tentative="1">
      <w:start w:val="1"/>
      <w:numFmt w:val="decimal"/>
      <w:lvlText w:val="%7."/>
      <w:lvlJc w:val="left"/>
      <w:pPr>
        <w:ind w:left="5738" w:hanging="360"/>
      </w:pPr>
    </w:lvl>
    <w:lvl w:ilvl="7" w:tplc="04150019" w:tentative="1">
      <w:start w:val="1"/>
      <w:numFmt w:val="lowerLetter"/>
      <w:lvlText w:val="%8."/>
      <w:lvlJc w:val="left"/>
      <w:pPr>
        <w:ind w:left="6458" w:hanging="360"/>
      </w:pPr>
    </w:lvl>
    <w:lvl w:ilvl="8" w:tplc="0415001B" w:tentative="1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E6E"/>
    <w:rsid w:val="003704C5"/>
    <w:rsid w:val="004F4E6E"/>
    <w:rsid w:val="00654BDF"/>
    <w:rsid w:val="0093344D"/>
    <w:rsid w:val="00943550"/>
    <w:rsid w:val="00E8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9ACC2"/>
  <w15:docId w15:val="{4CE57B2B-3817-4DD2-9041-5F5F9F980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654BD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355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35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5512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Standerski</dc:creator>
  <cp:lastModifiedBy>Grzegorz Molesztak</cp:lastModifiedBy>
  <cp:revision>3</cp:revision>
  <cp:lastPrinted>2020-04-24T07:25:00Z</cp:lastPrinted>
  <dcterms:created xsi:type="dcterms:W3CDTF">2020-04-24T08:15:00Z</dcterms:created>
  <dcterms:modified xsi:type="dcterms:W3CDTF">2020-04-28T08:45:00Z</dcterms:modified>
</cp:coreProperties>
</file>