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36C6A" w14:textId="143B5B29" w:rsidR="00DE3982" w:rsidRDefault="00DE3982" w:rsidP="008E2D5D"/>
    <w:p w14:paraId="4AACA3C2" w14:textId="4B2E0BA1" w:rsidR="00E16372" w:rsidRPr="008E2D5D" w:rsidRDefault="008E2D5D" w:rsidP="00DE3982">
      <w:pPr>
        <w:pStyle w:val="TYTTABELItytutabeli"/>
        <w:rPr>
          <w:rFonts w:ascii="Times New Roman" w:hAnsi="Times New Roman" w:cs="Times New Roman"/>
          <w:b w:val="0"/>
        </w:rPr>
      </w:pPr>
      <w:r w:rsidRPr="008E2D5D">
        <w:rPr>
          <w:rFonts w:ascii="Times New Roman" w:hAnsi="Times New Roman" w:cs="Times New Roman"/>
          <w:b w:val="0"/>
        </w:rPr>
        <w:t>Uzasadnienie</w:t>
      </w:r>
    </w:p>
    <w:sdt>
      <w:sdtPr>
        <w:rPr>
          <w:b/>
        </w:rPr>
        <w:id w:val="-1162237757"/>
        <w:docPartObj>
          <w:docPartGallery w:val="Table of Contents"/>
          <w:docPartUnique/>
        </w:docPartObj>
      </w:sdtPr>
      <w:sdtEndPr>
        <w:rPr>
          <w:b w:val="0"/>
          <w:bCs/>
        </w:rPr>
      </w:sdtEndPr>
      <w:sdtContent>
        <w:p w14:paraId="5C132A6F" w14:textId="77777777" w:rsidR="00E16372" w:rsidRPr="0024375B" w:rsidRDefault="00E16372" w:rsidP="001C5AF2">
          <w:pPr>
            <w:tabs>
              <w:tab w:val="left" w:pos="1410"/>
            </w:tabs>
          </w:pPr>
          <w:r w:rsidRPr="0024375B">
            <w:t>Spis treści</w:t>
          </w:r>
          <w:r w:rsidR="000D34AB">
            <w:tab/>
          </w:r>
        </w:p>
        <w:p w14:paraId="664FBFCF" w14:textId="7CF4D26C" w:rsidR="00C405E1" w:rsidRDefault="004C364B">
          <w:pPr>
            <w:pStyle w:val="Spistreci1"/>
            <w:tabs>
              <w:tab w:val="left" w:pos="480"/>
              <w:tab w:val="right" w:leader="dot" w:pos="10456"/>
            </w:tabs>
            <w:rPr>
              <w:rFonts w:asciiTheme="minorHAnsi" w:hAnsiTheme="minorHAnsi" w:cstheme="minorBidi"/>
              <w:b w:val="0"/>
              <w:noProof/>
              <w:sz w:val="22"/>
              <w:szCs w:val="22"/>
            </w:rPr>
          </w:pPr>
          <w:r>
            <w:rPr>
              <w:b w:val="0"/>
              <w:bCs/>
            </w:rPr>
            <w:fldChar w:fldCharType="begin"/>
          </w:r>
          <w:r>
            <w:rPr>
              <w:b w:val="0"/>
              <w:bCs/>
            </w:rPr>
            <w:instrText xml:space="preserve"> TOC \o "1-3" \h \z \u </w:instrText>
          </w:r>
          <w:r>
            <w:rPr>
              <w:b w:val="0"/>
              <w:bCs/>
            </w:rPr>
            <w:fldChar w:fldCharType="separate"/>
          </w:r>
          <w:hyperlink w:anchor="_Toc136511038" w:history="1">
            <w:r w:rsidR="00C405E1" w:rsidRPr="009E7B63">
              <w:rPr>
                <w:rStyle w:val="Hipercze"/>
                <w:rFonts w:cs="Times New Roman"/>
                <w:noProof/>
              </w:rPr>
              <w:t>1</w:t>
            </w:r>
            <w:r w:rsidR="00C405E1">
              <w:rPr>
                <w:rFonts w:asciiTheme="minorHAnsi" w:hAnsiTheme="minorHAnsi" w:cstheme="minorBidi"/>
                <w:b w:val="0"/>
                <w:noProof/>
                <w:sz w:val="22"/>
                <w:szCs w:val="22"/>
              </w:rPr>
              <w:tab/>
            </w:r>
            <w:r w:rsidR="00C405E1" w:rsidRPr="009E7B63">
              <w:rPr>
                <w:rStyle w:val="Hipercze"/>
                <w:rFonts w:cs="Times New Roman"/>
                <w:noProof/>
              </w:rPr>
              <w:t>Wstęp</w:t>
            </w:r>
            <w:r w:rsidR="00C405E1">
              <w:rPr>
                <w:noProof/>
                <w:webHidden/>
              </w:rPr>
              <w:tab/>
            </w:r>
            <w:r w:rsidR="00C405E1">
              <w:rPr>
                <w:noProof/>
                <w:webHidden/>
              </w:rPr>
              <w:fldChar w:fldCharType="begin"/>
            </w:r>
            <w:r w:rsidR="00C405E1">
              <w:rPr>
                <w:noProof/>
                <w:webHidden/>
              </w:rPr>
              <w:instrText xml:space="preserve"> PAGEREF _Toc136511038 \h </w:instrText>
            </w:r>
            <w:r w:rsidR="00C405E1">
              <w:rPr>
                <w:noProof/>
                <w:webHidden/>
              </w:rPr>
            </w:r>
            <w:r w:rsidR="00C405E1">
              <w:rPr>
                <w:noProof/>
                <w:webHidden/>
              </w:rPr>
              <w:fldChar w:fldCharType="separate"/>
            </w:r>
            <w:r w:rsidR="00FD68F8">
              <w:rPr>
                <w:noProof/>
                <w:webHidden/>
              </w:rPr>
              <w:t>3</w:t>
            </w:r>
            <w:r w:rsidR="00C405E1">
              <w:rPr>
                <w:noProof/>
                <w:webHidden/>
              </w:rPr>
              <w:fldChar w:fldCharType="end"/>
            </w:r>
          </w:hyperlink>
        </w:p>
        <w:p w14:paraId="1C7E6016" w14:textId="547B7DD8" w:rsidR="00C405E1" w:rsidRDefault="00BB2494">
          <w:pPr>
            <w:pStyle w:val="Spistreci1"/>
            <w:tabs>
              <w:tab w:val="left" w:pos="480"/>
              <w:tab w:val="right" w:leader="dot" w:pos="10456"/>
            </w:tabs>
            <w:rPr>
              <w:rFonts w:asciiTheme="minorHAnsi" w:hAnsiTheme="minorHAnsi" w:cstheme="minorBidi"/>
              <w:b w:val="0"/>
              <w:noProof/>
              <w:sz w:val="22"/>
              <w:szCs w:val="22"/>
            </w:rPr>
          </w:pPr>
          <w:hyperlink w:anchor="_Toc136511039" w:history="1">
            <w:r w:rsidR="00C405E1" w:rsidRPr="009E7B63">
              <w:rPr>
                <w:rStyle w:val="Hipercze"/>
                <w:noProof/>
              </w:rPr>
              <w:t>2</w:t>
            </w:r>
            <w:r w:rsidR="00C405E1">
              <w:rPr>
                <w:rFonts w:asciiTheme="minorHAnsi" w:hAnsiTheme="minorHAnsi" w:cstheme="minorBidi"/>
                <w:b w:val="0"/>
                <w:noProof/>
                <w:sz w:val="22"/>
                <w:szCs w:val="22"/>
              </w:rPr>
              <w:tab/>
            </w:r>
            <w:r w:rsidR="00C405E1" w:rsidRPr="009E7B63">
              <w:rPr>
                <w:rStyle w:val="Hipercze"/>
                <w:noProof/>
              </w:rPr>
              <w:t>Uzasadnienie poszczególnych przepisów</w:t>
            </w:r>
            <w:r w:rsidR="00C405E1">
              <w:rPr>
                <w:noProof/>
                <w:webHidden/>
              </w:rPr>
              <w:tab/>
            </w:r>
            <w:r w:rsidR="00C405E1">
              <w:rPr>
                <w:noProof/>
                <w:webHidden/>
              </w:rPr>
              <w:fldChar w:fldCharType="begin"/>
            </w:r>
            <w:r w:rsidR="00C405E1">
              <w:rPr>
                <w:noProof/>
                <w:webHidden/>
              </w:rPr>
              <w:instrText xml:space="preserve"> PAGEREF _Toc136511039 \h </w:instrText>
            </w:r>
            <w:r w:rsidR="00C405E1">
              <w:rPr>
                <w:noProof/>
                <w:webHidden/>
              </w:rPr>
            </w:r>
            <w:r w:rsidR="00C405E1">
              <w:rPr>
                <w:noProof/>
                <w:webHidden/>
              </w:rPr>
              <w:fldChar w:fldCharType="separate"/>
            </w:r>
            <w:r w:rsidR="00FD68F8">
              <w:rPr>
                <w:noProof/>
                <w:webHidden/>
              </w:rPr>
              <w:t>19</w:t>
            </w:r>
            <w:r w:rsidR="00C405E1">
              <w:rPr>
                <w:noProof/>
                <w:webHidden/>
              </w:rPr>
              <w:fldChar w:fldCharType="end"/>
            </w:r>
          </w:hyperlink>
        </w:p>
        <w:p w14:paraId="3738F772" w14:textId="774D2040" w:rsidR="00C405E1" w:rsidRDefault="00BB2494">
          <w:pPr>
            <w:pStyle w:val="Spistreci2"/>
            <w:tabs>
              <w:tab w:val="left" w:pos="880"/>
              <w:tab w:val="right" w:leader="dot" w:pos="10456"/>
            </w:tabs>
            <w:rPr>
              <w:rFonts w:asciiTheme="minorHAnsi" w:hAnsiTheme="minorHAnsi" w:cstheme="minorBidi"/>
              <w:noProof/>
              <w:sz w:val="22"/>
              <w:szCs w:val="22"/>
            </w:rPr>
          </w:pPr>
          <w:hyperlink w:anchor="_Toc136511040" w:history="1">
            <w:r w:rsidR="00C405E1" w:rsidRPr="009E7B63">
              <w:rPr>
                <w:rStyle w:val="Hipercze"/>
                <w:noProof/>
              </w:rPr>
              <w:t>2.1</w:t>
            </w:r>
            <w:r w:rsidR="00C405E1">
              <w:rPr>
                <w:rFonts w:asciiTheme="minorHAnsi" w:hAnsiTheme="minorHAnsi" w:cstheme="minorBidi"/>
                <w:noProof/>
                <w:sz w:val="22"/>
                <w:szCs w:val="22"/>
              </w:rPr>
              <w:tab/>
            </w:r>
            <w:r w:rsidR="00C405E1" w:rsidRPr="009E7B63">
              <w:rPr>
                <w:rStyle w:val="Hipercze"/>
                <w:noProof/>
              </w:rPr>
              <w:t>Zmiany w ustawie o KSC</w:t>
            </w:r>
            <w:r w:rsidR="00C405E1">
              <w:rPr>
                <w:noProof/>
                <w:webHidden/>
              </w:rPr>
              <w:tab/>
            </w:r>
            <w:r w:rsidR="00C405E1">
              <w:rPr>
                <w:noProof/>
                <w:webHidden/>
              </w:rPr>
              <w:fldChar w:fldCharType="begin"/>
            </w:r>
            <w:r w:rsidR="00C405E1">
              <w:rPr>
                <w:noProof/>
                <w:webHidden/>
              </w:rPr>
              <w:instrText xml:space="preserve"> PAGEREF _Toc136511040 \h </w:instrText>
            </w:r>
            <w:r w:rsidR="00C405E1">
              <w:rPr>
                <w:noProof/>
                <w:webHidden/>
              </w:rPr>
            </w:r>
            <w:r w:rsidR="00C405E1">
              <w:rPr>
                <w:noProof/>
                <w:webHidden/>
              </w:rPr>
              <w:fldChar w:fldCharType="separate"/>
            </w:r>
            <w:r w:rsidR="00FD68F8">
              <w:rPr>
                <w:noProof/>
                <w:webHidden/>
              </w:rPr>
              <w:t>19</w:t>
            </w:r>
            <w:r w:rsidR="00C405E1">
              <w:rPr>
                <w:noProof/>
                <w:webHidden/>
              </w:rPr>
              <w:fldChar w:fldCharType="end"/>
            </w:r>
          </w:hyperlink>
        </w:p>
        <w:p w14:paraId="1F79A6E2" w14:textId="49D40456"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41" w:history="1">
            <w:r w:rsidR="00C405E1" w:rsidRPr="009E7B63">
              <w:rPr>
                <w:rStyle w:val="Hipercze"/>
                <w:noProof/>
              </w:rPr>
              <w:t>2.1.1</w:t>
            </w:r>
            <w:r w:rsidR="00C405E1">
              <w:rPr>
                <w:rFonts w:asciiTheme="minorHAnsi" w:hAnsiTheme="minorHAnsi" w:cstheme="minorBidi"/>
                <w:noProof/>
                <w:sz w:val="22"/>
                <w:szCs w:val="22"/>
              </w:rPr>
              <w:tab/>
            </w:r>
            <w:r w:rsidR="00C405E1" w:rsidRPr="009E7B63">
              <w:rPr>
                <w:rStyle w:val="Hipercze"/>
                <w:noProof/>
              </w:rPr>
              <w:t>Zmiany w definicjach, katalogu podmiotów krajowego systemu cyberbezpieczeństwa zakresu przedmiotowego</w:t>
            </w:r>
            <w:r w:rsidR="00C405E1">
              <w:rPr>
                <w:noProof/>
                <w:webHidden/>
              </w:rPr>
              <w:tab/>
            </w:r>
            <w:r w:rsidR="00C405E1">
              <w:rPr>
                <w:noProof/>
                <w:webHidden/>
              </w:rPr>
              <w:fldChar w:fldCharType="begin"/>
            </w:r>
            <w:r w:rsidR="00C405E1">
              <w:rPr>
                <w:noProof/>
                <w:webHidden/>
              </w:rPr>
              <w:instrText xml:space="preserve"> PAGEREF _Toc136511041 \h </w:instrText>
            </w:r>
            <w:r w:rsidR="00C405E1">
              <w:rPr>
                <w:noProof/>
                <w:webHidden/>
              </w:rPr>
            </w:r>
            <w:r w:rsidR="00C405E1">
              <w:rPr>
                <w:noProof/>
                <w:webHidden/>
              </w:rPr>
              <w:fldChar w:fldCharType="separate"/>
            </w:r>
            <w:r w:rsidR="00FD68F8">
              <w:rPr>
                <w:noProof/>
                <w:webHidden/>
              </w:rPr>
              <w:t>19</w:t>
            </w:r>
            <w:r w:rsidR="00C405E1">
              <w:rPr>
                <w:noProof/>
                <w:webHidden/>
              </w:rPr>
              <w:fldChar w:fldCharType="end"/>
            </w:r>
          </w:hyperlink>
        </w:p>
        <w:p w14:paraId="1903F71C" w14:textId="4189514A"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42" w:history="1">
            <w:r w:rsidR="00C405E1" w:rsidRPr="009E7B63">
              <w:rPr>
                <w:rStyle w:val="Hipercze"/>
                <w:noProof/>
              </w:rPr>
              <w:t>2.1.2</w:t>
            </w:r>
            <w:r w:rsidR="00C405E1">
              <w:rPr>
                <w:rFonts w:asciiTheme="minorHAnsi" w:hAnsiTheme="minorHAnsi" w:cstheme="minorBidi"/>
                <w:noProof/>
                <w:sz w:val="22"/>
                <w:szCs w:val="22"/>
              </w:rPr>
              <w:tab/>
            </w:r>
            <w:r w:rsidR="00C405E1" w:rsidRPr="009E7B63">
              <w:rPr>
                <w:rStyle w:val="Hipercze"/>
                <w:noProof/>
              </w:rPr>
              <w:t>Przepisy o operatorach usług kluczowych oraz SOC</w:t>
            </w:r>
            <w:r w:rsidR="00C405E1">
              <w:rPr>
                <w:noProof/>
                <w:webHidden/>
              </w:rPr>
              <w:tab/>
            </w:r>
            <w:r w:rsidR="00C405E1">
              <w:rPr>
                <w:noProof/>
                <w:webHidden/>
              </w:rPr>
              <w:fldChar w:fldCharType="begin"/>
            </w:r>
            <w:r w:rsidR="00C405E1">
              <w:rPr>
                <w:noProof/>
                <w:webHidden/>
              </w:rPr>
              <w:instrText xml:space="preserve"> PAGEREF _Toc136511042 \h </w:instrText>
            </w:r>
            <w:r w:rsidR="00C405E1">
              <w:rPr>
                <w:noProof/>
                <w:webHidden/>
              </w:rPr>
            </w:r>
            <w:r w:rsidR="00C405E1">
              <w:rPr>
                <w:noProof/>
                <w:webHidden/>
              </w:rPr>
              <w:fldChar w:fldCharType="separate"/>
            </w:r>
            <w:r w:rsidR="00FD68F8">
              <w:rPr>
                <w:noProof/>
                <w:webHidden/>
              </w:rPr>
              <w:t>27</w:t>
            </w:r>
            <w:r w:rsidR="00C405E1">
              <w:rPr>
                <w:noProof/>
                <w:webHidden/>
              </w:rPr>
              <w:fldChar w:fldCharType="end"/>
            </w:r>
          </w:hyperlink>
        </w:p>
        <w:p w14:paraId="482B99D4" w14:textId="463AA6D1"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43" w:history="1">
            <w:r w:rsidR="00C405E1" w:rsidRPr="009E7B63">
              <w:rPr>
                <w:rStyle w:val="Hipercze"/>
                <w:noProof/>
              </w:rPr>
              <w:t>2.1.3</w:t>
            </w:r>
            <w:r w:rsidR="00C405E1">
              <w:rPr>
                <w:rFonts w:asciiTheme="minorHAnsi" w:hAnsiTheme="minorHAnsi" w:cstheme="minorBidi"/>
                <w:noProof/>
                <w:sz w:val="22"/>
                <w:szCs w:val="22"/>
              </w:rPr>
              <w:tab/>
            </w:r>
            <w:r w:rsidR="00C405E1" w:rsidRPr="009E7B63">
              <w:rPr>
                <w:rStyle w:val="Hipercze"/>
                <w:noProof/>
              </w:rPr>
              <w:t>Zmiany w przepisach dotyczących dostawców usług cyfrowych</w:t>
            </w:r>
            <w:r w:rsidR="00C405E1">
              <w:rPr>
                <w:noProof/>
                <w:webHidden/>
              </w:rPr>
              <w:tab/>
            </w:r>
            <w:r w:rsidR="00C405E1">
              <w:rPr>
                <w:noProof/>
                <w:webHidden/>
              </w:rPr>
              <w:fldChar w:fldCharType="begin"/>
            </w:r>
            <w:r w:rsidR="00C405E1">
              <w:rPr>
                <w:noProof/>
                <w:webHidden/>
              </w:rPr>
              <w:instrText xml:space="preserve"> PAGEREF _Toc136511043 \h </w:instrText>
            </w:r>
            <w:r w:rsidR="00C405E1">
              <w:rPr>
                <w:noProof/>
                <w:webHidden/>
              </w:rPr>
            </w:r>
            <w:r w:rsidR="00C405E1">
              <w:rPr>
                <w:noProof/>
                <w:webHidden/>
              </w:rPr>
              <w:fldChar w:fldCharType="separate"/>
            </w:r>
            <w:r w:rsidR="00FD68F8">
              <w:rPr>
                <w:noProof/>
                <w:webHidden/>
              </w:rPr>
              <w:t>33</w:t>
            </w:r>
            <w:r w:rsidR="00C405E1">
              <w:rPr>
                <w:noProof/>
                <w:webHidden/>
              </w:rPr>
              <w:fldChar w:fldCharType="end"/>
            </w:r>
          </w:hyperlink>
        </w:p>
        <w:p w14:paraId="4BB93DBF" w14:textId="53FE3CB1"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44" w:history="1">
            <w:r w:rsidR="00C405E1" w:rsidRPr="009E7B63">
              <w:rPr>
                <w:rStyle w:val="Hipercze"/>
                <w:noProof/>
              </w:rPr>
              <w:t>2.1.4</w:t>
            </w:r>
            <w:r w:rsidR="00C405E1">
              <w:rPr>
                <w:rFonts w:asciiTheme="minorHAnsi" w:hAnsiTheme="minorHAnsi" w:cstheme="minorBidi"/>
                <w:noProof/>
                <w:sz w:val="22"/>
                <w:szCs w:val="22"/>
              </w:rPr>
              <w:tab/>
            </w:r>
            <w:r w:rsidR="00C405E1" w:rsidRPr="009E7B63">
              <w:rPr>
                <w:rStyle w:val="Hipercze"/>
                <w:noProof/>
              </w:rPr>
              <w:t>Przepisy o obowiązkach przedsiębiorców komunikacji elektronicznej w krajowym systemie cyberbezpieczeństwa</w:t>
            </w:r>
            <w:r w:rsidR="00C405E1">
              <w:rPr>
                <w:noProof/>
                <w:webHidden/>
              </w:rPr>
              <w:tab/>
            </w:r>
            <w:r w:rsidR="00C405E1">
              <w:rPr>
                <w:noProof/>
                <w:webHidden/>
              </w:rPr>
              <w:fldChar w:fldCharType="begin"/>
            </w:r>
            <w:r w:rsidR="00C405E1">
              <w:rPr>
                <w:noProof/>
                <w:webHidden/>
              </w:rPr>
              <w:instrText xml:space="preserve"> PAGEREF _Toc136511044 \h </w:instrText>
            </w:r>
            <w:r w:rsidR="00C405E1">
              <w:rPr>
                <w:noProof/>
                <w:webHidden/>
              </w:rPr>
            </w:r>
            <w:r w:rsidR="00C405E1">
              <w:rPr>
                <w:noProof/>
                <w:webHidden/>
              </w:rPr>
              <w:fldChar w:fldCharType="separate"/>
            </w:r>
            <w:r w:rsidR="00FD68F8">
              <w:rPr>
                <w:noProof/>
                <w:webHidden/>
              </w:rPr>
              <w:t>34</w:t>
            </w:r>
            <w:r w:rsidR="00C405E1">
              <w:rPr>
                <w:noProof/>
                <w:webHidden/>
              </w:rPr>
              <w:fldChar w:fldCharType="end"/>
            </w:r>
          </w:hyperlink>
        </w:p>
        <w:p w14:paraId="1C829929" w14:textId="3B9CFAD3"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45" w:history="1">
            <w:r w:rsidR="00C405E1" w:rsidRPr="009E7B63">
              <w:rPr>
                <w:rStyle w:val="Hipercze"/>
                <w:rFonts w:eastAsia="Times New Roman"/>
                <w:noProof/>
              </w:rPr>
              <w:t>2.1.5</w:t>
            </w:r>
            <w:r w:rsidR="00C405E1">
              <w:rPr>
                <w:rFonts w:asciiTheme="minorHAnsi" w:hAnsiTheme="minorHAnsi" w:cstheme="minorBidi"/>
                <w:noProof/>
                <w:sz w:val="22"/>
                <w:szCs w:val="22"/>
              </w:rPr>
              <w:tab/>
            </w:r>
            <w:r w:rsidR="00C405E1" w:rsidRPr="009E7B63">
              <w:rPr>
                <w:rStyle w:val="Hipercze"/>
                <w:rFonts w:eastAsia="Times New Roman"/>
                <w:noProof/>
              </w:rPr>
              <w:t>Zmiany w przepisach dotyczących podmiotów publicznych</w:t>
            </w:r>
            <w:r w:rsidR="00C405E1">
              <w:rPr>
                <w:noProof/>
                <w:webHidden/>
              </w:rPr>
              <w:tab/>
            </w:r>
            <w:r w:rsidR="00C405E1">
              <w:rPr>
                <w:noProof/>
                <w:webHidden/>
              </w:rPr>
              <w:fldChar w:fldCharType="begin"/>
            </w:r>
            <w:r w:rsidR="00C405E1">
              <w:rPr>
                <w:noProof/>
                <w:webHidden/>
              </w:rPr>
              <w:instrText xml:space="preserve"> PAGEREF _Toc136511045 \h </w:instrText>
            </w:r>
            <w:r w:rsidR="00C405E1">
              <w:rPr>
                <w:noProof/>
                <w:webHidden/>
              </w:rPr>
            </w:r>
            <w:r w:rsidR="00C405E1">
              <w:rPr>
                <w:noProof/>
                <w:webHidden/>
              </w:rPr>
              <w:fldChar w:fldCharType="separate"/>
            </w:r>
            <w:r w:rsidR="00FD68F8">
              <w:rPr>
                <w:noProof/>
                <w:webHidden/>
              </w:rPr>
              <w:t>44</w:t>
            </w:r>
            <w:r w:rsidR="00C405E1">
              <w:rPr>
                <w:noProof/>
                <w:webHidden/>
              </w:rPr>
              <w:fldChar w:fldCharType="end"/>
            </w:r>
          </w:hyperlink>
        </w:p>
        <w:p w14:paraId="593A8C64" w14:textId="4D932DD1"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46" w:history="1">
            <w:r w:rsidR="00C405E1" w:rsidRPr="009E7B63">
              <w:rPr>
                <w:rStyle w:val="Hipercze"/>
                <w:noProof/>
              </w:rPr>
              <w:t>2.1.6</w:t>
            </w:r>
            <w:r w:rsidR="00C405E1">
              <w:rPr>
                <w:rFonts w:asciiTheme="minorHAnsi" w:hAnsiTheme="minorHAnsi" w:cstheme="minorBidi"/>
                <w:noProof/>
                <w:sz w:val="22"/>
                <w:szCs w:val="22"/>
              </w:rPr>
              <w:tab/>
            </w:r>
            <w:r w:rsidR="00C405E1" w:rsidRPr="009E7B63">
              <w:rPr>
                <w:rStyle w:val="Hipercze"/>
                <w:noProof/>
              </w:rPr>
              <w:t>ISAC i wykaz ISAC</w:t>
            </w:r>
            <w:r w:rsidR="00C405E1">
              <w:rPr>
                <w:noProof/>
                <w:webHidden/>
              </w:rPr>
              <w:tab/>
            </w:r>
            <w:r w:rsidR="00C405E1">
              <w:rPr>
                <w:noProof/>
                <w:webHidden/>
              </w:rPr>
              <w:fldChar w:fldCharType="begin"/>
            </w:r>
            <w:r w:rsidR="00C405E1">
              <w:rPr>
                <w:noProof/>
                <w:webHidden/>
              </w:rPr>
              <w:instrText xml:space="preserve"> PAGEREF _Toc136511046 \h </w:instrText>
            </w:r>
            <w:r w:rsidR="00C405E1">
              <w:rPr>
                <w:noProof/>
                <w:webHidden/>
              </w:rPr>
            </w:r>
            <w:r w:rsidR="00C405E1">
              <w:rPr>
                <w:noProof/>
                <w:webHidden/>
              </w:rPr>
              <w:fldChar w:fldCharType="separate"/>
            </w:r>
            <w:r w:rsidR="00FD68F8">
              <w:rPr>
                <w:noProof/>
                <w:webHidden/>
              </w:rPr>
              <w:t>44</w:t>
            </w:r>
            <w:r w:rsidR="00C405E1">
              <w:rPr>
                <w:noProof/>
                <w:webHidden/>
              </w:rPr>
              <w:fldChar w:fldCharType="end"/>
            </w:r>
          </w:hyperlink>
        </w:p>
        <w:p w14:paraId="3628B1A5" w14:textId="2A5C9C07"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47" w:history="1">
            <w:r w:rsidR="00C405E1" w:rsidRPr="009E7B63">
              <w:rPr>
                <w:rStyle w:val="Hipercze"/>
                <w:noProof/>
              </w:rPr>
              <w:t>2.1.7</w:t>
            </w:r>
            <w:r w:rsidR="00C405E1">
              <w:rPr>
                <w:rFonts w:asciiTheme="minorHAnsi" w:hAnsiTheme="minorHAnsi" w:cstheme="minorBidi"/>
                <w:noProof/>
                <w:sz w:val="22"/>
                <w:szCs w:val="22"/>
              </w:rPr>
              <w:tab/>
            </w:r>
            <w:r w:rsidR="00C405E1" w:rsidRPr="009E7B63">
              <w:rPr>
                <w:rStyle w:val="Hipercze"/>
                <w:noProof/>
              </w:rPr>
              <w:t>Nowe obowiązki zespołów CSIRT GOV, CSIRT MON i CSIRT NASK</w:t>
            </w:r>
            <w:r w:rsidR="00C405E1">
              <w:rPr>
                <w:noProof/>
                <w:webHidden/>
              </w:rPr>
              <w:tab/>
            </w:r>
            <w:r w:rsidR="00C405E1">
              <w:rPr>
                <w:noProof/>
                <w:webHidden/>
              </w:rPr>
              <w:fldChar w:fldCharType="begin"/>
            </w:r>
            <w:r w:rsidR="00C405E1">
              <w:rPr>
                <w:noProof/>
                <w:webHidden/>
              </w:rPr>
              <w:instrText xml:space="preserve"> PAGEREF _Toc136511047 \h </w:instrText>
            </w:r>
            <w:r w:rsidR="00C405E1">
              <w:rPr>
                <w:noProof/>
                <w:webHidden/>
              </w:rPr>
            </w:r>
            <w:r w:rsidR="00C405E1">
              <w:rPr>
                <w:noProof/>
                <w:webHidden/>
              </w:rPr>
              <w:fldChar w:fldCharType="separate"/>
            </w:r>
            <w:r w:rsidR="00FD68F8">
              <w:rPr>
                <w:noProof/>
                <w:webHidden/>
              </w:rPr>
              <w:t>47</w:t>
            </w:r>
            <w:r w:rsidR="00C405E1">
              <w:rPr>
                <w:noProof/>
                <w:webHidden/>
              </w:rPr>
              <w:fldChar w:fldCharType="end"/>
            </w:r>
          </w:hyperlink>
        </w:p>
        <w:p w14:paraId="5233CE33" w14:textId="00ADDF23"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48" w:history="1">
            <w:r w:rsidR="00C405E1" w:rsidRPr="009E7B63">
              <w:rPr>
                <w:rStyle w:val="Hipercze"/>
                <w:noProof/>
              </w:rPr>
              <w:t>2.1.8</w:t>
            </w:r>
            <w:r w:rsidR="00C405E1">
              <w:rPr>
                <w:rFonts w:asciiTheme="minorHAnsi" w:hAnsiTheme="minorHAnsi" w:cstheme="minorBidi"/>
                <w:noProof/>
                <w:sz w:val="22"/>
                <w:szCs w:val="22"/>
              </w:rPr>
              <w:tab/>
            </w:r>
            <w:r w:rsidR="00C405E1" w:rsidRPr="009E7B63">
              <w:rPr>
                <w:rStyle w:val="Hipercze"/>
                <w:noProof/>
              </w:rPr>
              <w:t>Zadania CSIRT INT</w:t>
            </w:r>
            <w:r w:rsidR="00C405E1">
              <w:rPr>
                <w:noProof/>
                <w:webHidden/>
              </w:rPr>
              <w:tab/>
            </w:r>
            <w:r w:rsidR="00C405E1">
              <w:rPr>
                <w:noProof/>
                <w:webHidden/>
              </w:rPr>
              <w:fldChar w:fldCharType="begin"/>
            </w:r>
            <w:r w:rsidR="00C405E1">
              <w:rPr>
                <w:noProof/>
                <w:webHidden/>
              </w:rPr>
              <w:instrText xml:space="preserve"> PAGEREF _Toc136511048 \h </w:instrText>
            </w:r>
            <w:r w:rsidR="00C405E1">
              <w:rPr>
                <w:noProof/>
                <w:webHidden/>
              </w:rPr>
            </w:r>
            <w:r w:rsidR="00C405E1">
              <w:rPr>
                <w:noProof/>
                <w:webHidden/>
              </w:rPr>
              <w:fldChar w:fldCharType="separate"/>
            </w:r>
            <w:r w:rsidR="00FD68F8">
              <w:rPr>
                <w:noProof/>
                <w:webHidden/>
              </w:rPr>
              <w:t>53</w:t>
            </w:r>
            <w:r w:rsidR="00C405E1">
              <w:rPr>
                <w:noProof/>
                <w:webHidden/>
              </w:rPr>
              <w:fldChar w:fldCharType="end"/>
            </w:r>
          </w:hyperlink>
        </w:p>
        <w:p w14:paraId="287A4A67" w14:textId="620B0634"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49" w:history="1">
            <w:r w:rsidR="00C405E1" w:rsidRPr="009E7B63">
              <w:rPr>
                <w:rStyle w:val="Hipercze"/>
                <w:noProof/>
              </w:rPr>
              <w:t>2.1.9</w:t>
            </w:r>
            <w:r w:rsidR="00C405E1">
              <w:rPr>
                <w:rFonts w:asciiTheme="minorHAnsi" w:hAnsiTheme="minorHAnsi" w:cstheme="minorBidi"/>
                <w:noProof/>
                <w:sz w:val="22"/>
                <w:szCs w:val="22"/>
              </w:rPr>
              <w:tab/>
            </w:r>
            <w:r w:rsidR="00C405E1" w:rsidRPr="009E7B63">
              <w:rPr>
                <w:rStyle w:val="Hipercze"/>
                <w:noProof/>
              </w:rPr>
              <w:t>Ocena bezpieczeństwa</w:t>
            </w:r>
            <w:r w:rsidR="00C405E1">
              <w:rPr>
                <w:noProof/>
                <w:webHidden/>
              </w:rPr>
              <w:tab/>
            </w:r>
            <w:r w:rsidR="00C405E1">
              <w:rPr>
                <w:noProof/>
                <w:webHidden/>
              </w:rPr>
              <w:fldChar w:fldCharType="begin"/>
            </w:r>
            <w:r w:rsidR="00C405E1">
              <w:rPr>
                <w:noProof/>
                <w:webHidden/>
              </w:rPr>
              <w:instrText xml:space="preserve"> PAGEREF _Toc136511049 \h </w:instrText>
            </w:r>
            <w:r w:rsidR="00C405E1">
              <w:rPr>
                <w:noProof/>
                <w:webHidden/>
              </w:rPr>
            </w:r>
            <w:r w:rsidR="00C405E1">
              <w:rPr>
                <w:noProof/>
                <w:webHidden/>
              </w:rPr>
              <w:fldChar w:fldCharType="separate"/>
            </w:r>
            <w:r w:rsidR="00FD68F8">
              <w:rPr>
                <w:noProof/>
                <w:webHidden/>
              </w:rPr>
              <w:t>54</w:t>
            </w:r>
            <w:r w:rsidR="00C405E1">
              <w:rPr>
                <w:noProof/>
                <w:webHidden/>
              </w:rPr>
              <w:fldChar w:fldCharType="end"/>
            </w:r>
          </w:hyperlink>
        </w:p>
        <w:p w14:paraId="76851D05" w14:textId="1E5BE05D"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0" w:history="1">
            <w:r w:rsidR="00C405E1" w:rsidRPr="009E7B63">
              <w:rPr>
                <w:rStyle w:val="Hipercze"/>
                <w:noProof/>
              </w:rPr>
              <w:t>2.1.10</w:t>
            </w:r>
            <w:r w:rsidR="00C405E1">
              <w:rPr>
                <w:rFonts w:asciiTheme="minorHAnsi" w:hAnsiTheme="minorHAnsi" w:cstheme="minorBidi"/>
                <w:noProof/>
                <w:sz w:val="22"/>
                <w:szCs w:val="22"/>
              </w:rPr>
              <w:tab/>
            </w:r>
            <w:r w:rsidR="00C405E1" w:rsidRPr="009E7B63">
              <w:rPr>
                <w:rStyle w:val="Hipercze"/>
                <w:noProof/>
              </w:rPr>
              <w:t>Zmiany w przepisach o przetwarzaniu danych</w:t>
            </w:r>
            <w:r w:rsidR="00C405E1">
              <w:rPr>
                <w:noProof/>
                <w:webHidden/>
              </w:rPr>
              <w:tab/>
            </w:r>
            <w:r w:rsidR="00C405E1">
              <w:rPr>
                <w:noProof/>
                <w:webHidden/>
              </w:rPr>
              <w:fldChar w:fldCharType="begin"/>
            </w:r>
            <w:r w:rsidR="00C405E1">
              <w:rPr>
                <w:noProof/>
                <w:webHidden/>
              </w:rPr>
              <w:instrText xml:space="preserve"> PAGEREF _Toc136511050 \h </w:instrText>
            </w:r>
            <w:r w:rsidR="00C405E1">
              <w:rPr>
                <w:noProof/>
                <w:webHidden/>
              </w:rPr>
            </w:r>
            <w:r w:rsidR="00C405E1">
              <w:rPr>
                <w:noProof/>
                <w:webHidden/>
              </w:rPr>
              <w:fldChar w:fldCharType="separate"/>
            </w:r>
            <w:r w:rsidR="00FD68F8">
              <w:rPr>
                <w:noProof/>
                <w:webHidden/>
              </w:rPr>
              <w:t>57</w:t>
            </w:r>
            <w:r w:rsidR="00C405E1">
              <w:rPr>
                <w:noProof/>
                <w:webHidden/>
              </w:rPr>
              <w:fldChar w:fldCharType="end"/>
            </w:r>
          </w:hyperlink>
        </w:p>
        <w:p w14:paraId="6BB72D38" w14:textId="329B7176"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1" w:history="1">
            <w:r w:rsidR="00C405E1" w:rsidRPr="009E7B63">
              <w:rPr>
                <w:rStyle w:val="Hipercze"/>
                <w:noProof/>
              </w:rPr>
              <w:t>2.1.11</w:t>
            </w:r>
            <w:r w:rsidR="00C405E1">
              <w:rPr>
                <w:rFonts w:asciiTheme="minorHAnsi" w:hAnsiTheme="minorHAnsi" w:cstheme="minorBidi"/>
                <w:noProof/>
                <w:sz w:val="22"/>
                <w:szCs w:val="22"/>
              </w:rPr>
              <w:tab/>
            </w:r>
            <w:r w:rsidR="00C405E1" w:rsidRPr="009E7B63">
              <w:rPr>
                <w:rStyle w:val="Hipercze"/>
                <w:noProof/>
              </w:rPr>
              <w:t>Zmiany w przepisach o organach właściwych do spraw cyberbezpieczeństwa</w:t>
            </w:r>
            <w:r w:rsidR="00C405E1">
              <w:rPr>
                <w:noProof/>
                <w:webHidden/>
              </w:rPr>
              <w:tab/>
            </w:r>
            <w:r w:rsidR="00C405E1">
              <w:rPr>
                <w:noProof/>
                <w:webHidden/>
              </w:rPr>
              <w:fldChar w:fldCharType="begin"/>
            </w:r>
            <w:r w:rsidR="00C405E1">
              <w:rPr>
                <w:noProof/>
                <w:webHidden/>
              </w:rPr>
              <w:instrText xml:space="preserve"> PAGEREF _Toc136511051 \h </w:instrText>
            </w:r>
            <w:r w:rsidR="00C405E1">
              <w:rPr>
                <w:noProof/>
                <w:webHidden/>
              </w:rPr>
            </w:r>
            <w:r w:rsidR="00C405E1">
              <w:rPr>
                <w:noProof/>
                <w:webHidden/>
              </w:rPr>
              <w:fldChar w:fldCharType="separate"/>
            </w:r>
            <w:r w:rsidR="00FD68F8">
              <w:rPr>
                <w:noProof/>
                <w:webHidden/>
              </w:rPr>
              <w:t>59</w:t>
            </w:r>
            <w:r w:rsidR="00C405E1">
              <w:rPr>
                <w:noProof/>
                <w:webHidden/>
              </w:rPr>
              <w:fldChar w:fldCharType="end"/>
            </w:r>
          </w:hyperlink>
        </w:p>
        <w:p w14:paraId="6D4EA677" w14:textId="492D6657"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2" w:history="1">
            <w:r w:rsidR="00C405E1" w:rsidRPr="009E7B63">
              <w:rPr>
                <w:rStyle w:val="Hipercze"/>
                <w:noProof/>
              </w:rPr>
              <w:t>2.1.12</w:t>
            </w:r>
            <w:r w:rsidR="00C405E1">
              <w:rPr>
                <w:rFonts w:asciiTheme="minorHAnsi" w:hAnsiTheme="minorHAnsi" w:cstheme="minorBidi"/>
                <w:noProof/>
                <w:sz w:val="22"/>
                <w:szCs w:val="22"/>
              </w:rPr>
              <w:tab/>
            </w:r>
            <w:r w:rsidR="00C405E1" w:rsidRPr="009E7B63">
              <w:rPr>
                <w:rStyle w:val="Hipercze"/>
                <w:noProof/>
              </w:rPr>
              <w:t>Zadania i obowiązki CSIRT sektorowych oraz CSIRT Telco</w:t>
            </w:r>
            <w:r w:rsidR="00C405E1">
              <w:rPr>
                <w:noProof/>
                <w:webHidden/>
              </w:rPr>
              <w:tab/>
            </w:r>
            <w:r w:rsidR="00C405E1">
              <w:rPr>
                <w:noProof/>
                <w:webHidden/>
              </w:rPr>
              <w:fldChar w:fldCharType="begin"/>
            </w:r>
            <w:r w:rsidR="00C405E1">
              <w:rPr>
                <w:noProof/>
                <w:webHidden/>
              </w:rPr>
              <w:instrText xml:space="preserve"> PAGEREF _Toc136511052 \h </w:instrText>
            </w:r>
            <w:r w:rsidR="00C405E1">
              <w:rPr>
                <w:noProof/>
                <w:webHidden/>
              </w:rPr>
            </w:r>
            <w:r w:rsidR="00C405E1">
              <w:rPr>
                <w:noProof/>
                <w:webHidden/>
              </w:rPr>
              <w:fldChar w:fldCharType="separate"/>
            </w:r>
            <w:r w:rsidR="00FD68F8">
              <w:rPr>
                <w:noProof/>
                <w:webHidden/>
              </w:rPr>
              <w:t>60</w:t>
            </w:r>
            <w:r w:rsidR="00C405E1">
              <w:rPr>
                <w:noProof/>
                <w:webHidden/>
              </w:rPr>
              <w:fldChar w:fldCharType="end"/>
            </w:r>
          </w:hyperlink>
        </w:p>
        <w:p w14:paraId="7D551D6F" w14:textId="613850E8"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3" w:history="1">
            <w:r w:rsidR="00C405E1" w:rsidRPr="009E7B63">
              <w:rPr>
                <w:rStyle w:val="Hipercze"/>
                <w:noProof/>
              </w:rPr>
              <w:t>2.1.13</w:t>
            </w:r>
            <w:r w:rsidR="00C405E1">
              <w:rPr>
                <w:rFonts w:asciiTheme="minorHAnsi" w:hAnsiTheme="minorHAnsi" w:cstheme="minorBidi"/>
                <w:noProof/>
                <w:sz w:val="22"/>
                <w:szCs w:val="22"/>
              </w:rPr>
              <w:tab/>
            </w:r>
            <w:r w:rsidR="00C405E1" w:rsidRPr="009E7B63">
              <w:rPr>
                <w:rStyle w:val="Hipercze"/>
                <w:noProof/>
              </w:rPr>
              <w:t>Zmiany dot. systemu S46, zadań MON oraz nadzoru</w:t>
            </w:r>
            <w:r w:rsidR="00C405E1">
              <w:rPr>
                <w:noProof/>
                <w:webHidden/>
              </w:rPr>
              <w:tab/>
            </w:r>
            <w:r w:rsidR="00C405E1">
              <w:rPr>
                <w:noProof/>
                <w:webHidden/>
              </w:rPr>
              <w:fldChar w:fldCharType="begin"/>
            </w:r>
            <w:r w:rsidR="00C405E1">
              <w:rPr>
                <w:noProof/>
                <w:webHidden/>
              </w:rPr>
              <w:instrText xml:space="preserve"> PAGEREF _Toc136511053 \h </w:instrText>
            </w:r>
            <w:r w:rsidR="00C405E1">
              <w:rPr>
                <w:noProof/>
                <w:webHidden/>
              </w:rPr>
            </w:r>
            <w:r w:rsidR="00C405E1">
              <w:rPr>
                <w:noProof/>
                <w:webHidden/>
              </w:rPr>
              <w:fldChar w:fldCharType="separate"/>
            </w:r>
            <w:r w:rsidR="00FD68F8">
              <w:rPr>
                <w:noProof/>
                <w:webHidden/>
              </w:rPr>
              <w:t>63</w:t>
            </w:r>
            <w:r w:rsidR="00C405E1">
              <w:rPr>
                <w:noProof/>
                <w:webHidden/>
              </w:rPr>
              <w:fldChar w:fldCharType="end"/>
            </w:r>
          </w:hyperlink>
        </w:p>
        <w:p w14:paraId="4557356B" w14:textId="298AF9B9"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4" w:history="1">
            <w:r w:rsidR="00C405E1" w:rsidRPr="009E7B63">
              <w:rPr>
                <w:rStyle w:val="Hipercze"/>
                <w:rFonts w:eastAsia="Times New Roman"/>
                <w:noProof/>
              </w:rPr>
              <w:t>2.1.14</w:t>
            </w:r>
            <w:r w:rsidR="00C405E1">
              <w:rPr>
                <w:rFonts w:asciiTheme="minorHAnsi" w:hAnsiTheme="minorHAnsi" w:cstheme="minorBidi"/>
                <w:noProof/>
                <w:sz w:val="22"/>
                <w:szCs w:val="22"/>
              </w:rPr>
              <w:tab/>
            </w:r>
            <w:r w:rsidR="00C405E1" w:rsidRPr="009E7B63">
              <w:rPr>
                <w:rStyle w:val="Hipercze"/>
                <w:rFonts w:eastAsia="Times New Roman"/>
                <w:noProof/>
              </w:rPr>
              <w:t>Krajowy system certyfikacji cyberbezpieczeństwa</w:t>
            </w:r>
            <w:r w:rsidR="00C405E1">
              <w:rPr>
                <w:noProof/>
                <w:webHidden/>
              </w:rPr>
              <w:tab/>
            </w:r>
            <w:r w:rsidR="00C405E1">
              <w:rPr>
                <w:noProof/>
                <w:webHidden/>
              </w:rPr>
              <w:fldChar w:fldCharType="begin"/>
            </w:r>
            <w:r w:rsidR="00C405E1">
              <w:rPr>
                <w:noProof/>
                <w:webHidden/>
              </w:rPr>
              <w:instrText xml:space="preserve"> PAGEREF _Toc136511054 \h </w:instrText>
            </w:r>
            <w:r w:rsidR="00C405E1">
              <w:rPr>
                <w:noProof/>
                <w:webHidden/>
              </w:rPr>
            </w:r>
            <w:r w:rsidR="00C405E1">
              <w:rPr>
                <w:noProof/>
                <w:webHidden/>
              </w:rPr>
              <w:fldChar w:fldCharType="separate"/>
            </w:r>
            <w:r w:rsidR="00FD68F8">
              <w:rPr>
                <w:noProof/>
                <w:webHidden/>
              </w:rPr>
              <w:t>66</w:t>
            </w:r>
            <w:r w:rsidR="00C405E1">
              <w:rPr>
                <w:noProof/>
                <w:webHidden/>
              </w:rPr>
              <w:fldChar w:fldCharType="end"/>
            </w:r>
          </w:hyperlink>
        </w:p>
        <w:p w14:paraId="3DA91AB8" w14:textId="7A65EA7F"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5" w:history="1">
            <w:r w:rsidR="00C405E1" w:rsidRPr="009E7B63">
              <w:rPr>
                <w:rStyle w:val="Hipercze"/>
                <w:noProof/>
              </w:rPr>
              <w:t>2.1.15</w:t>
            </w:r>
            <w:r w:rsidR="00C405E1">
              <w:rPr>
                <w:rFonts w:asciiTheme="minorHAnsi" w:hAnsiTheme="minorHAnsi" w:cstheme="minorBidi"/>
                <w:noProof/>
                <w:sz w:val="22"/>
                <w:szCs w:val="22"/>
              </w:rPr>
              <w:tab/>
            </w:r>
            <w:r w:rsidR="00C405E1" w:rsidRPr="009E7B63">
              <w:rPr>
                <w:rStyle w:val="Hipercze"/>
                <w:noProof/>
              </w:rPr>
              <w:t>Rekomendacje Pełnomocnika. Nowi członkowie oraz zadania Kolegium</w:t>
            </w:r>
            <w:r w:rsidR="00C405E1">
              <w:rPr>
                <w:noProof/>
                <w:webHidden/>
              </w:rPr>
              <w:tab/>
            </w:r>
            <w:r w:rsidR="00C405E1">
              <w:rPr>
                <w:noProof/>
                <w:webHidden/>
              </w:rPr>
              <w:fldChar w:fldCharType="begin"/>
            </w:r>
            <w:r w:rsidR="00C405E1">
              <w:rPr>
                <w:noProof/>
                <w:webHidden/>
              </w:rPr>
              <w:instrText xml:space="preserve"> PAGEREF _Toc136511055 \h </w:instrText>
            </w:r>
            <w:r w:rsidR="00C405E1">
              <w:rPr>
                <w:noProof/>
                <w:webHidden/>
              </w:rPr>
            </w:r>
            <w:r w:rsidR="00C405E1">
              <w:rPr>
                <w:noProof/>
                <w:webHidden/>
              </w:rPr>
              <w:fldChar w:fldCharType="separate"/>
            </w:r>
            <w:r w:rsidR="00FD68F8">
              <w:rPr>
                <w:noProof/>
                <w:webHidden/>
              </w:rPr>
              <w:t>76</w:t>
            </w:r>
            <w:r w:rsidR="00C405E1">
              <w:rPr>
                <w:noProof/>
                <w:webHidden/>
              </w:rPr>
              <w:fldChar w:fldCharType="end"/>
            </w:r>
          </w:hyperlink>
        </w:p>
        <w:p w14:paraId="1B72DE50" w14:textId="26516ABB"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6" w:history="1">
            <w:r w:rsidR="00C405E1" w:rsidRPr="009E7B63">
              <w:rPr>
                <w:rStyle w:val="Hipercze"/>
                <w:noProof/>
              </w:rPr>
              <w:t>2.1.16</w:t>
            </w:r>
            <w:r w:rsidR="00C405E1">
              <w:rPr>
                <w:rFonts w:asciiTheme="minorHAnsi" w:hAnsiTheme="minorHAnsi" w:cstheme="minorBidi"/>
                <w:noProof/>
                <w:sz w:val="22"/>
                <w:szCs w:val="22"/>
              </w:rPr>
              <w:tab/>
            </w:r>
            <w:r w:rsidR="00C405E1" w:rsidRPr="009E7B63">
              <w:rPr>
                <w:rStyle w:val="Hipercze"/>
                <w:noProof/>
              </w:rPr>
              <w:t>Postępowanie w sprawie uznania dostawcy za dostawcę wysokiego ryzyka</w:t>
            </w:r>
            <w:r w:rsidR="00C405E1">
              <w:rPr>
                <w:noProof/>
                <w:webHidden/>
              </w:rPr>
              <w:tab/>
            </w:r>
            <w:r w:rsidR="00C405E1">
              <w:rPr>
                <w:noProof/>
                <w:webHidden/>
              </w:rPr>
              <w:fldChar w:fldCharType="begin"/>
            </w:r>
            <w:r w:rsidR="00C405E1">
              <w:rPr>
                <w:noProof/>
                <w:webHidden/>
              </w:rPr>
              <w:instrText xml:space="preserve"> PAGEREF _Toc136511056 \h </w:instrText>
            </w:r>
            <w:r w:rsidR="00C405E1">
              <w:rPr>
                <w:noProof/>
                <w:webHidden/>
              </w:rPr>
            </w:r>
            <w:r w:rsidR="00C405E1">
              <w:rPr>
                <w:noProof/>
                <w:webHidden/>
              </w:rPr>
              <w:fldChar w:fldCharType="separate"/>
            </w:r>
            <w:r w:rsidR="00FD68F8">
              <w:rPr>
                <w:noProof/>
                <w:webHidden/>
              </w:rPr>
              <w:t>78</w:t>
            </w:r>
            <w:r w:rsidR="00C405E1">
              <w:rPr>
                <w:noProof/>
                <w:webHidden/>
              </w:rPr>
              <w:fldChar w:fldCharType="end"/>
            </w:r>
          </w:hyperlink>
        </w:p>
        <w:p w14:paraId="20C751E5" w14:textId="4F93EE63"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7" w:history="1">
            <w:r w:rsidR="00C405E1" w:rsidRPr="009E7B63">
              <w:rPr>
                <w:rStyle w:val="Hipercze"/>
                <w:noProof/>
              </w:rPr>
              <w:t>2.1.17</w:t>
            </w:r>
            <w:r w:rsidR="00C405E1">
              <w:rPr>
                <w:rFonts w:asciiTheme="minorHAnsi" w:hAnsiTheme="minorHAnsi" w:cstheme="minorBidi"/>
                <w:noProof/>
                <w:sz w:val="22"/>
                <w:szCs w:val="22"/>
              </w:rPr>
              <w:tab/>
            </w:r>
            <w:r w:rsidR="00C405E1" w:rsidRPr="009E7B63">
              <w:rPr>
                <w:rStyle w:val="Hipercze"/>
                <w:noProof/>
              </w:rPr>
              <w:t>Ostrzeżenie</w:t>
            </w:r>
            <w:r w:rsidR="00C405E1">
              <w:rPr>
                <w:noProof/>
                <w:webHidden/>
              </w:rPr>
              <w:tab/>
            </w:r>
            <w:r w:rsidR="00C405E1">
              <w:rPr>
                <w:noProof/>
                <w:webHidden/>
              </w:rPr>
              <w:fldChar w:fldCharType="begin"/>
            </w:r>
            <w:r w:rsidR="00C405E1">
              <w:rPr>
                <w:noProof/>
                <w:webHidden/>
              </w:rPr>
              <w:instrText xml:space="preserve"> PAGEREF _Toc136511057 \h </w:instrText>
            </w:r>
            <w:r w:rsidR="00C405E1">
              <w:rPr>
                <w:noProof/>
                <w:webHidden/>
              </w:rPr>
            </w:r>
            <w:r w:rsidR="00C405E1">
              <w:rPr>
                <w:noProof/>
                <w:webHidden/>
              </w:rPr>
              <w:fldChar w:fldCharType="separate"/>
            </w:r>
            <w:r w:rsidR="00FD68F8">
              <w:rPr>
                <w:noProof/>
                <w:webHidden/>
              </w:rPr>
              <w:t>93</w:t>
            </w:r>
            <w:r w:rsidR="00C405E1">
              <w:rPr>
                <w:noProof/>
                <w:webHidden/>
              </w:rPr>
              <w:fldChar w:fldCharType="end"/>
            </w:r>
          </w:hyperlink>
        </w:p>
        <w:p w14:paraId="199D85D3" w14:textId="567FE571"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8" w:history="1">
            <w:r w:rsidR="00C405E1" w:rsidRPr="009E7B63">
              <w:rPr>
                <w:rStyle w:val="Hipercze"/>
                <w:noProof/>
              </w:rPr>
              <w:t>2.1.18</w:t>
            </w:r>
            <w:r w:rsidR="00C405E1">
              <w:rPr>
                <w:rFonts w:asciiTheme="minorHAnsi" w:hAnsiTheme="minorHAnsi" w:cstheme="minorBidi"/>
                <w:noProof/>
                <w:sz w:val="22"/>
                <w:szCs w:val="22"/>
              </w:rPr>
              <w:tab/>
            </w:r>
            <w:r w:rsidR="00C405E1" w:rsidRPr="009E7B63">
              <w:rPr>
                <w:rStyle w:val="Hipercze"/>
                <w:noProof/>
              </w:rPr>
              <w:t>Zmiany w przepisach o administracyjnych karach pieniężnych</w:t>
            </w:r>
            <w:r w:rsidR="00C405E1">
              <w:rPr>
                <w:noProof/>
                <w:webHidden/>
              </w:rPr>
              <w:tab/>
            </w:r>
            <w:r w:rsidR="00C405E1">
              <w:rPr>
                <w:noProof/>
                <w:webHidden/>
              </w:rPr>
              <w:fldChar w:fldCharType="begin"/>
            </w:r>
            <w:r w:rsidR="00C405E1">
              <w:rPr>
                <w:noProof/>
                <w:webHidden/>
              </w:rPr>
              <w:instrText xml:space="preserve"> PAGEREF _Toc136511058 \h </w:instrText>
            </w:r>
            <w:r w:rsidR="00C405E1">
              <w:rPr>
                <w:noProof/>
                <w:webHidden/>
              </w:rPr>
            </w:r>
            <w:r w:rsidR="00C405E1">
              <w:rPr>
                <w:noProof/>
                <w:webHidden/>
              </w:rPr>
              <w:fldChar w:fldCharType="separate"/>
            </w:r>
            <w:r w:rsidR="00FD68F8">
              <w:rPr>
                <w:noProof/>
                <w:webHidden/>
              </w:rPr>
              <w:t>95</w:t>
            </w:r>
            <w:r w:rsidR="00C405E1">
              <w:rPr>
                <w:noProof/>
                <w:webHidden/>
              </w:rPr>
              <w:fldChar w:fldCharType="end"/>
            </w:r>
          </w:hyperlink>
        </w:p>
        <w:p w14:paraId="4B23BC01" w14:textId="1614C47F"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59" w:history="1">
            <w:r w:rsidR="00C405E1" w:rsidRPr="009E7B63">
              <w:rPr>
                <w:rStyle w:val="Hipercze"/>
                <w:noProof/>
              </w:rPr>
              <w:t>2.1.19</w:t>
            </w:r>
            <w:r w:rsidR="00C405E1">
              <w:rPr>
                <w:rFonts w:asciiTheme="minorHAnsi" w:hAnsiTheme="minorHAnsi" w:cstheme="minorBidi"/>
                <w:noProof/>
                <w:sz w:val="22"/>
                <w:szCs w:val="22"/>
              </w:rPr>
              <w:tab/>
            </w:r>
            <w:r w:rsidR="00C405E1" w:rsidRPr="009E7B63">
              <w:rPr>
                <w:rStyle w:val="Hipercze"/>
                <w:noProof/>
              </w:rPr>
              <w:t>Strategiczna sieć bezpieczeństwa</w:t>
            </w:r>
            <w:r w:rsidR="00C405E1">
              <w:rPr>
                <w:noProof/>
                <w:webHidden/>
              </w:rPr>
              <w:tab/>
            </w:r>
            <w:r w:rsidR="00C405E1">
              <w:rPr>
                <w:noProof/>
                <w:webHidden/>
              </w:rPr>
              <w:fldChar w:fldCharType="begin"/>
            </w:r>
            <w:r w:rsidR="00C405E1">
              <w:rPr>
                <w:noProof/>
                <w:webHidden/>
              </w:rPr>
              <w:instrText xml:space="preserve"> PAGEREF _Toc136511059 \h </w:instrText>
            </w:r>
            <w:r w:rsidR="00C405E1">
              <w:rPr>
                <w:noProof/>
                <w:webHidden/>
              </w:rPr>
            </w:r>
            <w:r w:rsidR="00C405E1">
              <w:rPr>
                <w:noProof/>
                <w:webHidden/>
              </w:rPr>
              <w:fldChar w:fldCharType="separate"/>
            </w:r>
            <w:r w:rsidR="00FD68F8">
              <w:rPr>
                <w:noProof/>
                <w:webHidden/>
              </w:rPr>
              <w:t>99</w:t>
            </w:r>
            <w:r w:rsidR="00C405E1">
              <w:rPr>
                <w:noProof/>
                <w:webHidden/>
              </w:rPr>
              <w:fldChar w:fldCharType="end"/>
            </w:r>
          </w:hyperlink>
        </w:p>
        <w:p w14:paraId="34F04FBA" w14:textId="15EA439E"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60" w:history="1">
            <w:r w:rsidR="00C405E1" w:rsidRPr="009E7B63">
              <w:rPr>
                <w:rStyle w:val="Hipercze"/>
                <w:noProof/>
              </w:rPr>
              <w:t>2.1.20</w:t>
            </w:r>
            <w:r w:rsidR="00C405E1">
              <w:rPr>
                <w:rFonts w:asciiTheme="minorHAnsi" w:hAnsiTheme="minorHAnsi" w:cstheme="minorBidi"/>
                <w:noProof/>
                <w:sz w:val="22"/>
                <w:szCs w:val="22"/>
              </w:rPr>
              <w:tab/>
            </w:r>
            <w:r w:rsidR="00C405E1" w:rsidRPr="009E7B63">
              <w:rPr>
                <w:rStyle w:val="Hipercze"/>
                <w:noProof/>
              </w:rPr>
              <w:t>Przyznanie częstotliwości z zakresu 703–713 MHz oraz 758–768 MHz</w:t>
            </w:r>
            <w:r w:rsidR="00C405E1">
              <w:rPr>
                <w:noProof/>
                <w:webHidden/>
              </w:rPr>
              <w:tab/>
            </w:r>
            <w:r w:rsidR="00C405E1">
              <w:rPr>
                <w:noProof/>
                <w:webHidden/>
              </w:rPr>
              <w:fldChar w:fldCharType="begin"/>
            </w:r>
            <w:r w:rsidR="00C405E1">
              <w:rPr>
                <w:noProof/>
                <w:webHidden/>
              </w:rPr>
              <w:instrText xml:space="preserve"> PAGEREF _Toc136511060 \h </w:instrText>
            </w:r>
            <w:r w:rsidR="00C405E1">
              <w:rPr>
                <w:noProof/>
                <w:webHidden/>
              </w:rPr>
            </w:r>
            <w:r w:rsidR="00C405E1">
              <w:rPr>
                <w:noProof/>
                <w:webHidden/>
              </w:rPr>
              <w:fldChar w:fldCharType="separate"/>
            </w:r>
            <w:r w:rsidR="00FD68F8">
              <w:rPr>
                <w:noProof/>
                <w:webHidden/>
              </w:rPr>
              <w:t>110</w:t>
            </w:r>
            <w:r w:rsidR="00C405E1">
              <w:rPr>
                <w:noProof/>
                <w:webHidden/>
              </w:rPr>
              <w:fldChar w:fldCharType="end"/>
            </w:r>
          </w:hyperlink>
        </w:p>
        <w:p w14:paraId="022F527D" w14:textId="06FEB087"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61" w:history="1">
            <w:r w:rsidR="00C405E1" w:rsidRPr="009E7B63">
              <w:rPr>
                <w:rStyle w:val="Hipercze"/>
                <w:bCs/>
                <w:noProof/>
              </w:rPr>
              <w:t>2.1.21</w:t>
            </w:r>
            <w:r w:rsidR="00C405E1">
              <w:rPr>
                <w:rFonts w:asciiTheme="minorHAnsi" w:hAnsiTheme="minorHAnsi" w:cstheme="minorBidi"/>
                <w:noProof/>
                <w:sz w:val="22"/>
                <w:szCs w:val="22"/>
              </w:rPr>
              <w:tab/>
            </w:r>
            <w:r w:rsidR="00C405E1" w:rsidRPr="009E7B63">
              <w:rPr>
                <w:rStyle w:val="Hipercze"/>
                <w:noProof/>
              </w:rPr>
              <w:t>Finansowanie strategicznej sieci bezpieczeństwa</w:t>
            </w:r>
            <w:r w:rsidR="00C405E1">
              <w:rPr>
                <w:noProof/>
                <w:webHidden/>
              </w:rPr>
              <w:tab/>
            </w:r>
            <w:r w:rsidR="00C405E1">
              <w:rPr>
                <w:noProof/>
                <w:webHidden/>
              </w:rPr>
              <w:fldChar w:fldCharType="begin"/>
            </w:r>
            <w:r w:rsidR="00C405E1">
              <w:rPr>
                <w:noProof/>
                <w:webHidden/>
              </w:rPr>
              <w:instrText xml:space="preserve"> PAGEREF _Toc136511061 \h </w:instrText>
            </w:r>
            <w:r w:rsidR="00C405E1">
              <w:rPr>
                <w:noProof/>
                <w:webHidden/>
              </w:rPr>
            </w:r>
            <w:r w:rsidR="00C405E1">
              <w:rPr>
                <w:noProof/>
                <w:webHidden/>
              </w:rPr>
              <w:fldChar w:fldCharType="separate"/>
            </w:r>
            <w:r w:rsidR="00FD68F8">
              <w:rPr>
                <w:noProof/>
                <w:webHidden/>
              </w:rPr>
              <w:t>113</w:t>
            </w:r>
            <w:r w:rsidR="00C405E1">
              <w:rPr>
                <w:noProof/>
                <w:webHidden/>
              </w:rPr>
              <w:fldChar w:fldCharType="end"/>
            </w:r>
          </w:hyperlink>
        </w:p>
        <w:p w14:paraId="6C7C3690" w14:textId="30561A5A"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62" w:history="1">
            <w:r w:rsidR="00C405E1" w:rsidRPr="009E7B63">
              <w:rPr>
                <w:rStyle w:val="Hipercze"/>
                <w:noProof/>
              </w:rPr>
              <w:t>2.1.22</w:t>
            </w:r>
            <w:r w:rsidR="00C405E1">
              <w:rPr>
                <w:rFonts w:asciiTheme="minorHAnsi" w:hAnsiTheme="minorHAnsi" w:cstheme="minorBidi"/>
                <w:noProof/>
                <w:sz w:val="22"/>
                <w:szCs w:val="22"/>
              </w:rPr>
              <w:tab/>
            </w:r>
            <w:r w:rsidR="00C405E1" w:rsidRPr="009E7B63">
              <w:rPr>
                <w:rStyle w:val="Hipercze"/>
                <w:noProof/>
              </w:rPr>
              <w:t>Zmiany w art. 93</w:t>
            </w:r>
            <w:r w:rsidR="00C405E1">
              <w:rPr>
                <w:noProof/>
                <w:webHidden/>
              </w:rPr>
              <w:tab/>
            </w:r>
            <w:r w:rsidR="00C405E1">
              <w:rPr>
                <w:noProof/>
                <w:webHidden/>
              </w:rPr>
              <w:fldChar w:fldCharType="begin"/>
            </w:r>
            <w:r w:rsidR="00C405E1">
              <w:rPr>
                <w:noProof/>
                <w:webHidden/>
              </w:rPr>
              <w:instrText xml:space="preserve"> PAGEREF _Toc136511062 \h </w:instrText>
            </w:r>
            <w:r w:rsidR="00C405E1">
              <w:rPr>
                <w:noProof/>
                <w:webHidden/>
              </w:rPr>
            </w:r>
            <w:r w:rsidR="00C405E1">
              <w:rPr>
                <w:noProof/>
                <w:webHidden/>
              </w:rPr>
              <w:fldChar w:fldCharType="separate"/>
            </w:r>
            <w:r w:rsidR="00FD68F8">
              <w:rPr>
                <w:noProof/>
                <w:webHidden/>
              </w:rPr>
              <w:t>113</w:t>
            </w:r>
            <w:r w:rsidR="00C405E1">
              <w:rPr>
                <w:noProof/>
                <w:webHidden/>
              </w:rPr>
              <w:fldChar w:fldCharType="end"/>
            </w:r>
          </w:hyperlink>
        </w:p>
        <w:p w14:paraId="74461225" w14:textId="435AAE72" w:rsidR="00C405E1" w:rsidRDefault="00BB2494">
          <w:pPr>
            <w:pStyle w:val="Spistreci3"/>
            <w:tabs>
              <w:tab w:val="left" w:pos="1320"/>
              <w:tab w:val="right" w:leader="dot" w:pos="10456"/>
            </w:tabs>
            <w:rPr>
              <w:rFonts w:asciiTheme="minorHAnsi" w:hAnsiTheme="minorHAnsi" w:cstheme="minorBidi"/>
              <w:noProof/>
              <w:sz w:val="22"/>
              <w:szCs w:val="22"/>
            </w:rPr>
          </w:pPr>
          <w:hyperlink w:anchor="_Toc136511063" w:history="1">
            <w:r w:rsidR="00C405E1" w:rsidRPr="009E7B63">
              <w:rPr>
                <w:rStyle w:val="Hipercze"/>
                <w:noProof/>
              </w:rPr>
              <w:t>2.1.23</w:t>
            </w:r>
            <w:r w:rsidR="00C405E1">
              <w:rPr>
                <w:rFonts w:asciiTheme="minorHAnsi" w:hAnsiTheme="minorHAnsi" w:cstheme="minorBidi"/>
                <w:noProof/>
                <w:sz w:val="22"/>
                <w:szCs w:val="22"/>
              </w:rPr>
              <w:tab/>
            </w:r>
            <w:r w:rsidR="00C405E1" w:rsidRPr="009E7B63">
              <w:rPr>
                <w:rStyle w:val="Hipercze"/>
                <w:noProof/>
              </w:rPr>
              <w:t>Zmiany w załącznikach do ustawy</w:t>
            </w:r>
            <w:r w:rsidR="00C405E1">
              <w:rPr>
                <w:noProof/>
                <w:webHidden/>
              </w:rPr>
              <w:tab/>
            </w:r>
            <w:r w:rsidR="00C405E1">
              <w:rPr>
                <w:noProof/>
                <w:webHidden/>
              </w:rPr>
              <w:fldChar w:fldCharType="begin"/>
            </w:r>
            <w:r w:rsidR="00C405E1">
              <w:rPr>
                <w:noProof/>
                <w:webHidden/>
              </w:rPr>
              <w:instrText xml:space="preserve"> PAGEREF _Toc136511063 \h </w:instrText>
            </w:r>
            <w:r w:rsidR="00C405E1">
              <w:rPr>
                <w:noProof/>
                <w:webHidden/>
              </w:rPr>
            </w:r>
            <w:r w:rsidR="00C405E1">
              <w:rPr>
                <w:noProof/>
                <w:webHidden/>
              </w:rPr>
              <w:fldChar w:fldCharType="separate"/>
            </w:r>
            <w:r w:rsidR="00FD68F8">
              <w:rPr>
                <w:noProof/>
                <w:webHidden/>
              </w:rPr>
              <w:t>114</w:t>
            </w:r>
            <w:r w:rsidR="00C405E1">
              <w:rPr>
                <w:noProof/>
                <w:webHidden/>
              </w:rPr>
              <w:fldChar w:fldCharType="end"/>
            </w:r>
          </w:hyperlink>
        </w:p>
        <w:p w14:paraId="3F33127F" w14:textId="0F40E775" w:rsidR="00C405E1" w:rsidRDefault="00BB2494">
          <w:pPr>
            <w:pStyle w:val="Spistreci2"/>
            <w:tabs>
              <w:tab w:val="left" w:pos="880"/>
              <w:tab w:val="right" w:leader="dot" w:pos="10456"/>
            </w:tabs>
            <w:rPr>
              <w:rFonts w:asciiTheme="minorHAnsi" w:hAnsiTheme="minorHAnsi" w:cstheme="minorBidi"/>
              <w:noProof/>
              <w:sz w:val="22"/>
              <w:szCs w:val="22"/>
            </w:rPr>
          </w:pPr>
          <w:hyperlink w:anchor="_Toc136511064" w:history="1">
            <w:r w:rsidR="00C405E1" w:rsidRPr="009E7B63">
              <w:rPr>
                <w:rStyle w:val="Hipercze"/>
                <w:noProof/>
              </w:rPr>
              <w:t>2.2</w:t>
            </w:r>
            <w:r w:rsidR="00C405E1">
              <w:rPr>
                <w:rFonts w:asciiTheme="minorHAnsi" w:hAnsiTheme="minorHAnsi" w:cstheme="minorBidi"/>
                <w:noProof/>
                <w:sz w:val="22"/>
                <w:szCs w:val="22"/>
              </w:rPr>
              <w:tab/>
            </w:r>
            <w:r w:rsidR="00C405E1" w:rsidRPr="009E7B63">
              <w:rPr>
                <w:rStyle w:val="Hipercze"/>
                <w:noProof/>
              </w:rPr>
              <w:t>Zmiany w innych ustawach</w:t>
            </w:r>
            <w:r w:rsidR="00C405E1">
              <w:rPr>
                <w:noProof/>
                <w:webHidden/>
              </w:rPr>
              <w:tab/>
            </w:r>
            <w:r w:rsidR="00C405E1">
              <w:rPr>
                <w:noProof/>
                <w:webHidden/>
              </w:rPr>
              <w:fldChar w:fldCharType="begin"/>
            </w:r>
            <w:r w:rsidR="00C405E1">
              <w:rPr>
                <w:noProof/>
                <w:webHidden/>
              </w:rPr>
              <w:instrText xml:space="preserve"> PAGEREF _Toc136511064 \h </w:instrText>
            </w:r>
            <w:r w:rsidR="00C405E1">
              <w:rPr>
                <w:noProof/>
                <w:webHidden/>
              </w:rPr>
            </w:r>
            <w:r w:rsidR="00C405E1">
              <w:rPr>
                <w:noProof/>
                <w:webHidden/>
              </w:rPr>
              <w:fldChar w:fldCharType="separate"/>
            </w:r>
            <w:r w:rsidR="00FD68F8">
              <w:rPr>
                <w:noProof/>
                <w:webHidden/>
              </w:rPr>
              <w:t>114</w:t>
            </w:r>
            <w:r w:rsidR="00C405E1">
              <w:rPr>
                <w:noProof/>
                <w:webHidden/>
              </w:rPr>
              <w:fldChar w:fldCharType="end"/>
            </w:r>
          </w:hyperlink>
        </w:p>
        <w:p w14:paraId="2559721F" w14:textId="3186E4CD" w:rsidR="00C405E1" w:rsidRDefault="00BB2494">
          <w:pPr>
            <w:pStyle w:val="Spistreci2"/>
            <w:tabs>
              <w:tab w:val="left" w:pos="880"/>
              <w:tab w:val="right" w:leader="dot" w:pos="10456"/>
            </w:tabs>
            <w:rPr>
              <w:rFonts w:asciiTheme="minorHAnsi" w:hAnsiTheme="minorHAnsi" w:cstheme="minorBidi"/>
              <w:noProof/>
              <w:sz w:val="22"/>
              <w:szCs w:val="22"/>
            </w:rPr>
          </w:pPr>
          <w:hyperlink w:anchor="_Toc136511065" w:history="1">
            <w:r w:rsidR="00C405E1" w:rsidRPr="009E7B63">
              <w:rPr>
                <w:rStyle w:val="Hipercze"/>
                <w:noProof/>
              </w:rPr>
              <w:t>2.3</w:t>
            </w:r>
            <w:r w:rsidR="00C405E1">
              <w:rPr>
                <w:rFonts w:asciiTheme="minorHAnsi" w:hAnsiTheme="minorHAnsi" w:cstheme="minorBidi"/>
                <w:noProof/>
                <w:sz w:val="22"/>
                <w:szCs w:val="22"/>
              </w:rPr>
              <w:tab/>
            </w:r>
            <w:r w:rsidR="00C405E1" w:rsidRPr="009E7B63">
              <w:rPr>
                <w:rStyle w:val="Hipercze"/>
                <w:noProof/>
              </w:rPr>
              <w:t>Pozostałe przepisy przejściowe i dostosowujące</w:t>
            </w:r>
            <w:r w:rsidR="00C405E1">
              <w:rPr>
                <w:noProof/>
                <w:webHidden/>
              </w:rPr>
              <w:tab/>
            </w:r>
            <w:r w:rsidR="00C405E1">
              <w:rPr>
                <w:noProof/>
                <w:webHidden/>
              </w:rPr>
              <w:fldChar w:fldCharType="begin"/>
            </w:r>
            <w:r w:rsidR="00C405E1">
              <w:rPr>
                <w:noProof/>
                <w:webHidden/>
              </w:rPr>
              <w:instrText xml:space="preserve"> PAGEREF _Toc136511065 \h </w:instrText>
            </w:r>
            <w:r w:rsidR="00C405E1">
              <w:rPr>
                <w:noProof/>
                <w:webHidden/>
              </w:rPr>
            </w:r>
            <w:r w:rsidR="00C405E1">
              <w:rPr>
                <w:noProof/>
                <w:webHidden/>
              </w:rPr>
              <w:fldChar w:fldCharType="separate"/>
            </w:r>
            <w:r w:rsidR="00FD68F8">
              <w:rPr>
                <w:noProof/>
                <w:webHidden/>
              </w:rPr>
              <w:t>115</w:t>
            </w:r>
            <w:r w:rsidR="00C405E1">
              <w:rPr>
                <w:noProof/>
                <w:webHidden/>
              </w:rPr>
              <w:fldChar w:fldCharType="end"/>
            </w:r>
          </w:hyperlink>
        </w:p>
        <w:p w14:paraId="737BDCE2" w14:textId="06E15C39" w:rsidR="00C405E1" w:rsidRDefault="00BB2494">
          <w:pPr>
            <w:pStyle w:val="Spistreci1"/>
            <w:tabs>
              <w:tab w:val="left" w:pos="480"/>
              <w:tab w:val="right" w:leader="dot" w:pos="10456"/>
            </w:tabs>
            <w:rPr>
              <w:rFonts w:asciiTheme="minorHAnsi" w:hAnsiTheme="minorHAnsi" w:cstheme="minorBidi"/>
              <w:b w:val="0"/>
              <w:noProof/>
              <w:sz w:val="22"/>
              <w:szCs w:val="22"/>
            </w:rPr>
          </w:pPr>
          <w:hyperlink w:anchor="_Toc136511066" w:history="1">
            <w:r w:rsidR="00C405E1" w:rsidRPr="009E7B63">
              <w:rPr>
                <w:rStyle w:val="Hipercze"/>
                <w:noProof/>
              </w:rPr>
              <w:t>3</w:t>
            </w:r>
            <w:r w:rsidR="00C405E1">
              <w:rPr>
                <w:rFonts w:asciiTheme="minorHAnsi" w:hAnsiTheme="minorHAnsi" w:cstheme="minorBidi"/>
                <w:b w:val="0"/>
                <w:noProof/>
                <w:sz w:val="22"/>
                <w:szCs w:val="22"/>
              </w:rPr>
              <w:tab/>
            </w:r>
            <w:r w:rsidR="00C405E1" w:rsidRPr="009E7B63">
              <w:rPr>
                <w:rStyle w:val="Hipercze"/>
                <w:noProof/>
              </w:rPr>
              <w:t>Pozostałe informacje</w:t>
            </w:r>
            <w:r w:rsidR="00C405E1">
              <w:rPr>
                <w:noProof/>
                <w:webHidden/>
              </w:rPr>
              <w:tab/>
            </w:r>
            <w:r w:rsidR="00C405E1">
              <w:rPr>
                <w:noProof/>
                <w:webHidden/>
              </w:rPr>
              <w:fldChar w:fldCharType="begin"/>
            </w:r>
            <w:r w:rsidR="00C405E1">
              <w:rPr>
                <w:noProof/>
                <w:webHidden/>
              </w:rPr>
              <w:instrText xml:space="preserve"> PAGEREF _Toc136511066 \h </w:instrText>
            </w:r>
            <w:r w:rsidR="00C405E1">
              <w:rPr>
                <w:noProof/>
                <w:webHidden/>
              </w:rPr>
            </w:r>
            <w:r w:rsidR="00C405E1">
              <w:rPr>
                <w:noProof/>
                <w:webHidden/>
              </w:rPr>
              <w:fldChar w:fldCharType="separate"/>
            </w:r>
            <w:r w:rsidR="00FD68F8">
              <w:rPr>
                <w:noProof/>
                <w:webHidden/>
              </w:rPr>
              <w:t>118</w:t>
            </w:r>
            <w:r w:rsidR="00C405E1">
              <w:rPr>
                <w:noProof/>
                <w:webHidden/>
              </w:rPr>
              <w:fldChar w:fldCharType="end"/>
            </w:r>
          </w:hyperlink>
        </w:p>
        <w:p w14:paraId="71D5D132" w14:textId="77777777" w:rsidR="007157A6" w:rsidRPr="007157A6" w:rsidRDefault="004C364B" w:rsidP="007157A6">
          <w:r>
            <w:rPr>
              <w:b/>
              <w:bCs/>
            </w:rPr>
            <w:fldChar w:fldCharType="end"/>
          </w:r>
        </w:p>
      </w:sdtContent>
    </w:sdt>
    <w:bookmarkStart w:id="0" w:name="_Toc100751022" w:displacedByCustomXml="prev"/>
    <w:p w14:paraId="32C75830" w14:textId="77777777" w:rsidR="00F13D85" w:rsidRDefault="00F13D85" w:rsidP="00F13D85">
      <w:pPr>
        <w:pStyle w:val="Nagwek1"/>
        <w:numPr>
          <w:ilvl w:val="0"/>
          <w:numId w:val="0"/>
        </w:numPr>
        <w:ind w:left="432"/>
        <w:rPr>
          <w:rFonts w:cs="Times New Roman"/>
        </w:rPr>
      </w:pPr>
      <w:r>
        <w:rPr>
          <w:rFonts w:cs="Times New Roman"/>
        </w:rPr>
        <w:br w:type="page"/>
      </w:r>
      <w:bookmarkStart w:id="1" w:name="_GoBack"/>
      <w:bookmarkEnd w:id="1"/>
    </w:p>
    <w:p w14:paraId="248EE801" w14:textId="77777777" w:rsidR="00E16372" w:rsidRPr="0024375B" w:rsidRDefault="00E16372" w:rsidP="0024375B">
      <w:pPr>
        <w:pStyle w:val="Nagwek1"/>
        <w:rPr>
          <w:rFonts w:cs="Times New Roman"/>
        </w:rPr>
      </w:pPr>
      <w:bookmarkStart w:id="2" w:name="_Toc136511038"/>
      <w:r w:rsidRPr="0024375B">
        <w:rPr>
          <w:rFonts w:cs="Times New Roman"/>
        </w:rPr>
        <w:lastRenderedPageBreak/>
        <w:t>Wstęp</w:t>
      </w:r>
      <w:bookmarkEnd w:id="0"/>
      <w:bookmarkEnd w:id="2"/>
    </w:p>
    <w:p w14:paraId="19673B8B" w14:textId="7756FBD2" w:rsidR="00F6749E" w:rsidRPr="0024375B" w:rsidRDefault="00F6749E" w:rsidP="0024375B">
      <w:pPr>
        <w:pStyle w:val="NIEARTTEKSTtekstnieartykuowanynppodstprawnarozplubpreambua"/>
        <w:spacing w:before="0"/>
        <w:rPr>
          <w:rFonts w:ascii="Times New Roman" w:hAnsi="Times New Roman" w:cs="Times New Roman"/>
        </w:rPr>
      </w:pPr>
      <w:r w:rsidRPr="0024375B">
        <w:rPr>
          <w:rFonts w:ascii="Times New Roman" w:hAnsi="Times New Roman" w:cs="Times New Roman"/>
        </w:rPr>
        <w:t>Ustawa</w:t>
      </w:r>
      <w:r w:rsidR="002161FE">
        <w:rPr>
          <w:rFonts w:ascii="Times New Roman" w:hAnsi="Times New Roman" w:cs="Times New Roman"/>
        </w:rPr>
        <w:t xml:space="preserve"> z </w:t>
      </w:r>
      <w:r w:rsidR="00A17508" w:rsidRPr="0024375B">
        <w:rPr>
          <w:rFonts w:ascii="Times New Roman" w:hAnsi="Times New Roman" w:cs="Times New Roman"/>
        </w:rPr>
        <w:t>dnia 5 lipca 2018 r.</w:t>
      </w:r>
      <w:r w:rsidR="0077165A">
        <w:rPr>
          <w:rFonts w:ascii="Times New Roman" w:hAnsi="Times New Roman" w:cs="Times New Roman"/>
        </w:rPr>
        <w:t xml:space="preserve"> o </w:t>
      </w:r>
      <w:r w:rsidR="009A33D0" w:rsidRPr="0024375B">
        <w:rPr>
          <w:rFonts w:ascii="Times New Roman" w:hAnsi="Times New Roman" w:cs="Times New Roman"/>
        </w:rPr>
        <w:t>krajowym systemie cyberbezpieczeństwa</w:t>
      </w:r>
      <w:r w:rsidR="00FD40FF">
        <w:rPr>
          <w:rFonts w:ascii="Times New Roman" w:hAnsi="Times New Roman" w:cs="Times New Roman"/>
        </w:rPr>
        <w:t xml:space="preserve"> (Dz. U. z 2023 r. poz. 913)</w:t>
      </w:r>
      <w:r w:rsidRPr="0024375B">
        <w:rPr>
          <w:rFonts w:ascii="Times New Roman" w:hAnsi="Times New Roman" w:cs="Times New Roman"/>
        </w:rPr>
        <w:t>, zwana dalej „ustawą</w:t>
      </w:r>
      <w:r w:rsidR="0077165A">
        <w:rPr>
          <w:rFonts w:ascii="Times New Roman" w:hAnsi="Times New Roman" w:cs="Times New Roman"/>
        </w:rPr>
        <w:t xml:space="preserve"> o </w:t>
      </w:r>
      <w:r w:rsidRPr="0024375B">
        <w:rPr>
          <w:rFonts w:ascii="Times New Roman" w:hAnsi="Times New Roman" w:cs="Times New Roman"/>
        </w:rPr>
        <w:t xml:space="preserve">KSC”, </w:t>
      </w:r>
      <w:r w:rsidR="00940E73" w:rsidRPr="0024375B">
        <w:rPr>
          <w:rFonts w:ascii="Times New Roman" w:hAnsi="Times New Roman" w:cs="Times New Roman"/>
        </w:rPr>
        <w:t>uchwalona</w:t>
      </w:r>
      <w:r w:rsidR="00EA1900">
        <w:rPr>
          <w:rFonts w:ascii="Times New Roman" w:hAnsi="Times New Roman" w:cs="Times New Roman"/>
        </w:rPr>
        <w:t xml:space="preserve"> w </w:t>
      </w:r>
      <w:r w:rsidRPr="0024375B">
        <w:rPr>
          <w:rFonts w:ascii="Times New Roman" w:hAnsi="Times New Roman" w:cs="Times New Roman"/>
        </w:rPr>
        <w:t xml:space="preserve">2018 r., tworzy podstawy prawno-instytucjonalne dla cyberbezpieczeństwa na poziomie krajowym. </w:t>
      </w:r>
      <w:r w:rsidR="009A33D0" w:rsidRPr="0024375B">
        <w:rPr>
          <w:rFonts w:ascii="Times New Roman" w:hAnsi="Times New Roman" w:cs="Times New Roman"/>
        </w:rPr>
        <w:t>Ustawa</w:t>
      </w:r>
      <w:r w:rsidR="0077165A">
        <w:rPr>
          <w:rFonts w:ascii="Times New Roman" w:hAnsi="Times New Roman" w:cs="Times New Roman"/>
        </w:rPr>
        <w:t xml:space="preserve"> o </w:t>
      </w:r>
      <w:r w:rsidR="009A33D0" w:rsidRPr="0024375B">
        <w:rPr>
          <w:rFonts w:ascii="Times New Roman" w:hAnsi="Times New Roman" w:cs="Times New Roman"/>
        </w:rPr>
        <w:t>KSC jest</w:t>
      </w:r>
      <w:r w:rsidRPr="0024375B">
        <w:rPr>
          <w:rFonts w:ascii="Times New Roman" w:hAnsi="Times New Roman" w:cs="Times New Roman"/>
        </w:rPr>
        <w:t xml:space="preserve"> </w:t>
      </w:r>
      <w:r w:rsidR="009A33D0" w:rsidRPr="0024375B">
        <w:rPr>
          <w:rFonts w:ascii="Times New Roman" w:hAnsi="Times New Roman" w:cs="Times New Roman"/>
        </w:rPr>
        <w:t xml:space="preserve">implementacją </w:t>
      </w:r>
      <w:r w:rsidRPr="0024375B">
        <w:rPr>
          <w:rFonts w:ascii="Times New Roman" w:hAnsi="Times New Roman" w:cs="Times New Roman"/>
        </w:rPr>
        <w:t>dyrektywy NIS</w:t>
      </w:r>
      <w:r w:rsidR="00EC0335" w:rsidRPr="0024375B">
        <w:rPr>
          <w:rStyle w:val="Odwoanieprzypisudolnego"/>
          <w:rFonts w:ascii="Times New Roman" w:hAnsi="Times New Roman"/>
        </w:rPr>
        <w:footnoteReference w:id="2"/>
      </w:r>
      <w:r w:rsidR="00CE3276">
        <w:rPr>
          <w:rFonts w:ascii="Times New Roman" w:hAnsi="Times New Roman" w:cs="Times New Roman"/>
          <w:vertAlign w:val="superscript"/>
        </w:rPr>
        <w:t>)</w:t>
      </w:r>
      <w:r w:rsidRPr="0024375B">
        <w:rPr>
          <w:rFonts w:ascii="Times New Roman" w:hAnsi="Times New Roman" w:cs="Times New Roman"/>
        </w:rPr>
        <w:t>.</w:t>
      </w:r>
      <w:r w:rsidR="00C1510B">
        <w:rPr>
          <w:rFonts w:ascii="Times New Roman" w:hAnsi="Times New Roman" w:cs="Times New Roman"/>
        </w:rPr>
        <w:t xml:space="preserve"> </w:t>
      </w:r>
    </w:p>
    <w:p w14:paraId="2863FA6C" w14:textId="77777777" w:rsidR="00F6749E" w:rsidRPr="0024375B" w:rsidRDefault="00F6749E" w:rsidP="0024375B">
      <w:pPr>
        <w:pStyle w:val="NIEARTTEKSTtekstnieartykuowanynppodstprawnarozplubpreambua"/>
        <w:spacing w:before="0"/>
        <w:rPr>
          <w:rFonts w:ascii="Times New Roman" w:hAnsi="Times New Roman" w:cs="Times New Roman"/>
        </w:rPr>
      </w:pPr>
      <w:r w:rsidRPr="0024375B">
        <w:rPr>
          <w:rFonts w:ascii="Times New Roman" w:hAnsi="Times New Roman" w:cs="Times New Roman"/>
        </w:rPr>
        <w:t xml:space="preserve">Krajowy system cyberbezpieczeństwa </w:t>
      </w:r>
      <w:r w:rsidR="009A33D0" w:rsidRPr="0024375B">
        <w:rPr>
          <w:rFonts w:ascii="Times New Roman" w:hAnsi="Times New Roman" w:cs="Times New Roman"/>
        </w:rPr>
        <w:t>tworzy</w:t>
      </w:r>
      <w:r w:rsidRPr="0024375B">
        <w:rPr>
          <w:rFonts w:ascii="Times New Roman" w:hAnsi="Times New Roman" w:cs="Times New Roman"/>
        </w:rPr>
        <w:t xml:space="preserve"> </w:t>
      </w:r>
      <w:r w:rsidR="009A33D0" w:rsidRPr="0024375B">
        <w:rPr>
          <w:rFonts w:ascii="Times New Roman" w:hAnsi="Times New Roman" w:cs="Times New Roman"/>
        </w:rPr>
        <w:t xml:space="preserve">wiele </w:t>
      </w:r>
      <w:r w:rsidRPr="0024375B">
        <w:rPr>
          <w:rFonts w:ascii="Times New Roman" w:hAnsi="Times New Roman" w:cs="Times New Roman"/>
        </w:rPr>
        <w:t>podmiotów</w:t>
      </w:r>
      <w:r w:rsidR="009A33D0" w:rsidRPr="0024375B">
        <w:rPr>
          <w:rFonts w:ascii="Times New Roman" w:hAnsi="Times New Roman" w:cs="Times New Roman"/>
        </w:rPr>
        <w:t>, p</w:t>
      </w:r>
      <w:r w:rsidRPr="0024375B">
        <w:rPr>
          <w:rFonts w:ascii="Times New Roman" w:hAnsi="Times New Roman" w:cs="Times New Roman"/>
        </w:rPr>
        <w:t>rzede wszystkim operatorzy usług kluczowych, dostawcy usług cyfrowych oraz podmioty publiczne, na które nałożono obowiązki związane</w:t>
      </w:r>
      <w:r w:rsidR="002161FE">
        <w:rPr>
          <w:rFonts w:ascii="Times New Roman" w:hAnsi="Times New Roman" w:cs="Times New Roman"/>
        </w:rPr>
        <w:t xml:space="preserve"> z </w:t>
      </w:r>
      <w:r w:rsidRPr="0024375B">
        <w:rPr>
          <w:rFonts w:ascii="Times New Roman" w:hAnsi="Times New Roman" w:cs="Times New Roman"/>
        </w:rPr>
        <w:t>zapewnieniem bezpieczeństwa informacji,</w:t>
      </w:r>
      <w:r w:rsidR="002161FE">
        <w:rPr>
          <w:rFonts w:ascii="Times New Roman" w:hAnsi="Times New Roman" w:cs="Times New Roman"/>
        </w:rPr>
        <w:t xml:space="preserve"> a </w:t>
      </w:r>
      <w:r w:rsidRPr="0024375B">
        <w:rPr>
          <w:rFonts w:ascii="Times New Roman" w:hAnsi="Times New Roman" w:cs="Times New Roman"/>
        </w:rPr>
        <w:t>także obsługą incydentów. Operatorzy usług kluczowych zostali podzieleni według sektorów</w:t>
      </w:r>
      <w:r w:rsidR="002161FE">
        <w:rPr>
          <w:rFonts w:ascii="Times New Roman" w:hAnsi="Times New Roman" w:cs="Times New Roman"/>
        </w:rPr>
        <w:t xml:space="preserve"> i </w:t>
      </w:r>
      <w:r w:rsidRPr="0024375B">
        <w:rPr>
          <w:rFonts w:ascii="Times New Roman" w:hAnsi="Times New Roman" w:cs="Times New Roman"/>
        </w:rPr>
        <w:t>podsektorów wskazanych</w:t>
      </w:r>
      <w:r w:rsidR="00EA1900">
        <w:rPr>
          <w:rFonts w:ascii="Times New Roman" w:hAnsi="Times New Roman" w:cs="Times New Roman"/>
        </w:rPr>
        <w:t xml:space="preserve"> w </w:t>
      </w:r>
      <w:r w:rsidRPr="0024375B">
        <w:rPr>
          <w:rFonts w:ascii="Times New Roman" w:hAnsi="Times New Roman" w:cs="Times New Roman"/>
        </w:rPr>
        <w:t>załączniku nr 1 do ustawy</w:t>
      </w:r>
      <w:r w:rsidR="0077165A">
        <w:rPr>
          <w:rFonts w:ascii="Times New Roman" w:hAnsi="Times New Roman" w:cs="Times New Roman"/>
        </w:rPr>
        <w:t xml:space="preserve"> o </w:t>
      </w:r>
      <w:r w:rsidRPr="0024375B">
        <w:rPr>
          <w:rFonts w:ascii="Times New Roman" w:hAnsi="Times New Roman" w:cs="Times New Roman"/>
        </w:rPr>
        <w:t xml:space="preserve">KSC. Dla każdego sektora ustanowiono organ właściwy do spraw cyberbezpieczeństwa (zwany dalej „organem właściwym”), który odpowiada za </w:t>
      </w:r>
      <w:r w:rsidR="004641D1" w:rsidRPr="0024375B">
        <w:rPr>
          <w:rFonts w:ascii="Times New Roman" w:hAnsi="Times New Roman" w:cs="Times New Roman"/>
        </w:rPr>
        <w:t>identyfikację</w:t>
      </w:r>
      <w:r w:rsidR="002161FE">
        <w:rPr>
          <w:rFonts w:ascii="Times New Roman" w:hAnsi="Times New Roman" w:cs="Times New Roman"/>
        </w:rPr>
        <w:t xml:space="preserve"> i </w:t>
      </w:r>
      <w:r w:rsidR="004641D1" w:rsidRPr="0024375B">
        <w:rPr>
          <w:rFonts w:ascii="Times New Roman" w:hAnsi="Times New Roman" w:cs="Times New Roman"/>
        </w:rPr>
        <w:t xml:space="preserve">wyznaczanie </w:t>
      </w:r>
      <w:r w:rsidRPr="0024375B">
        <w:rPr>
          <w:rFonts w:ascii="Times New Roman" w:hAnsi="Times New Roman" w:cs="Times New Roman"/>
        </w:rPr>
        <w:t>operatorów</w:t>
      </w:r>
      <w:r w:rsidR="004641D1" w:rsidRPr="0024375B">
        <w:rPr>
          <w:rFonts w:ascii="Times New Roman" w:hAnsi="Times New Roman" w:cs="Times New Roman"/>
        </w:rPr>
        <w:t xml:space="preserve"> usług kluczowych</w:t>
      </w:r>
      <w:r w:rsidRPr="0024375B">
        <w:rPr>
          <w:rFonts w:ascii="Times New Roman" w:hAnsi="Times New Roman" w:cs="Times New Roman"/>
        </w:rPr>
        <w:t xml:space="preserve"> oraz nadzór</w:t>
      </w:r>
      <w:r w:rsidR="002161FE">
        <w:rPr>
          <w:rFonts w:ascii="Times New Roman" w:hAnsi="Times New Roman" w:cs="Times New Roman"/>
        </w:rPr>
        <w:t xml:space="preserve"> i </w:t>
      </w:r>
      <w:r w:rsidRPr="0024375B">
        <w:rPr>
          <w:rFonts w:ascii="Times New Roman" w:hAnsi="Times New Roman" w:cs="Times New Roman"/>
        </w:rPr>
        <w:t>kontrolę nad przestrzeganiem przepisów ustawy</w:t>
      </w:r>
      <w:r w:rsidR="00EA1900">
        <w:rPr>
          <w:rFonts w:ascii="Times New Roman" w:hAnsi="Times New Roman" w:cs="Times New Roman"/>
        </w:rPr>
        <w:t xml:space="preserve"> w </w:t>
      </w:r>
      <w:r w:rsidRPr="0024375B">
        <w:rPr>
          <w:rFonts w:ascii="Times New Roman" w:hAnsi="Times New Roman" w:cs="Times New Roman"/>
        </w:rPr>
        <w:t>danym sektorze.</w:t>
      </w:r>
    </w:p>
    <w:p w14:paraId="1E8ABA2F" w14:textId="7138AB02" w:rsidR="00055E57" w:rsidRPr="0024375B" w:rsidRDefault="00055E57" w:rsidP="0024375B">
      <w:pPr>
        <w:pStyle w:val="NIEARTTEKSTtekstnieartykuowanynppodstprawnarozplubpreambua"/>
        <w:spacing w:before="0"/>
        <w:rPr>
          <w:rFonts w:ascii="Times New Roman" w:hAnsi="Times New Roman" w:cs="Times New Roman"/>
        </w:rPr>
      </w:pPr>
      <w:r w:rsidRPr="0024375B">
        <w:rPr>
          <w:rFonts w:ascii="Times New Roman" w:hAnsi="Times New Roman" w:cs="Times New Roman"/>
        </w:rPr>
        <w:t>Obecnie ani przedsiębiorcy telekomunikacyjni ani dostawcy usług zaufania nie są podmiotami krajowego systemu cyberbezpieczeństwa.</w:t>
      </w:r>
    </w:p>
    <w:p w14:paraId="4B155259" w14:textId="77777777" w:rsidR="00F6749E" w:rsidRPr="0024375B" w:rsidRDefault="00F6749E" w:rsidP="0024375B">
      <w:pPr>
        <w:pStyle w:val="NIEARTTEKSTtekstnieartykuowanynppodstprawnarozplubpreambua"/>
        <w:spacing w:before="0"/>
        <w:rPr>
          <w:rFonts w:ascii="Times New Roman" w:hAnsi="Times New Roman" w:cs="Times New Roman"/>
        </w:rPr>
      </w:pPr>
      <w:r w:rsidRPr="0024375B">
        <w:rPr>
          <w:rFonts w:ascii="Times New Roman" w:hAnsi="Times New Roman" w:cs="Times New Roman"/>
        </w:rPr>
        <w:t>Incydenty wpływające na działalność operatorów usług kluczowych (incydenty poważne)</w:t>
      </w:r>
      <w:r w:rsidR="002161FE">
        <w:rPr>
          <w:rFonts w:ascii="Times New Roman" w:hAnsi="Times New Roman" w:cs="Times New Roman"/>
        </w:rPr>
        <w:t xml:space="preserve"> i </w:t>
      </w:r>
      <w:r w:rsidRPr="0024375B">
        <w:rPr>
          <w:rFonts w:ascii="Times New Roman" w:hAnsi="Times New Roman" w:cs="Times New Roman"/>
        </w:rPr>
        <w:t>dostawców usług cyfrowych (incydenty istotne),</w:t>
      </w:r>
      <w:r w:rsidR="002161FE">
        <w:rPr>
          <w:rFonts w:ascii="Times New Roman" w:hAnsi="Times New Roman" w:cs="Times New Roman"/>
        </w:rPr>
        <w:t xml:space="preserve"> a </w:t>
      </w:r>
      <w:r w:rsidRPr="0024375B">
        <w:rPr>
          <w:rFonts w:ascii="Times New Roman" w:hAnsi="Times New Roman" w:cs="Times New Roman"/>
        </w:rPr>
        <w:t>także incydenty</w:t>
      </w:r>
      <w:r w:rsidR="00EA1900">
        <w:rPr>
          <w:rFonts w:ascii="Times New Roman" w:hAnsi="Times New Roman" w:cs="Times New Roman"/>
        </w:rPr>
        <w:t xml:space="preserve"> w </w:t>
      </w:r>
      <w:r w:rsidRPr="0024375B">
        <w:rPr>
          <w:rFonts w:ascii="Times New Roman" w:hAnsi="Times New Roman" w:cs="Times New Roman"/>
        </w:rPr>
        <w:t>podmiotach publicznych, są raportowane do jednego</w:t>
      </w:r>
      <w:r w:rsidR="002161FE">
        <w:rPr>
          <w:rFonts w:ascii="Times New Roman" w:hAnsi="Times New Roman" w:cs="Times New Roman"/>
        </w:rPr>
        <w:t xml:space="preserve"> z </w:t>
      </w:r>
      <w:r w:rsidRPr="0024375B">
        <w:rPr>
          <w:rFonts w:ascii="Times New Roman" w:hAnsi="Times New Roman" w:cs="Times New Roman"/>
        </w:rPr>
        <w:t xml:space="preserve">trzech krajowych zespołów reagowania na incydenty bezpieczeństwa komputerowego (zwanych dalej ,,CSIRT”). Do zadań zespołów CSIRT należy </w:t>
      </w:r>
      <w:r w:rsidR="005074D6" w:rsidRPr="0024375B">
        <w:rPr>
          <w:rFonts w:ascii="Times New Roman" w:hAnsi="Times New Roman" w:cs="Times New Roman"/>
        </w:rPr>
        <w:t xml:space="preserve">m.in. </w:t>
      </w:r>
      <w:r w:rsidRPr="0024375B">
        <w:rPr>
          <w:rFonts w:ascii="Times New Roman" w:hAnsi="Times New Roman" w:cs="Times New Roman"/>
        </w:rPr>
        <w:t xml:space="preserve">klasyfikowanie </w:t>
      </w:r>
      <w:r w:rsidR="00AC4F43" w:rsidRPr="0024375B">
        <w:rPr>
          <w:rFonts w:ascii="Times New Roman" w:hAnsi="Times New Roman" w:cs="Times New Roman"/>
        </w:rPr>
        <w:t>incydentów jako</w:t>
      </w:r>
      <w:r w:rsidRPr="0024375B">
        <w:rPr>
          <w:rFonts w:ascii="Times New Roman" w:hAnsi="Times New Roman" w:cs="Times New Roman"/>
        </w:rPr>
        <w:t xml:space="preserve"> krytyczne. Ustawa usankcjonowała istnienie trzech zespołów</w:t>
      </w:r>
      <w:r w:rsidR="00055E57" w:rsidRPr="0024375B">
        <w:rPr>
          <w:rFonts w:ascii="Times New Roman" w:hAnsi="Times New Roman" w:cs="Times New Roman"/>
        </w:rPr>
        <w:t xml:space="preserve"> na poziomie krajowym</w:t>
      </w:r>
      <w:r w:rsidRPr="0024375B">
        <w:rPr>
          <w:rFonts w:ascii="Times New Roman" w:hAnsi="Times New Roman" w:cs="Times New Roman"/>
        </w:rPr>
        <w:t xml:space="preserve"> – CSIRT GOV (działającego</w:t>
      </w:r>
      <w:r w:rsidR="00EA1900">
        <w:rPr>
          <w:rFonts w:ascii="Times New Roman" w:hAnsi="Times New Roman" w:cs="Times New Roman"/>
        </w:rPr>
        <w:t xml:space="preserve"> w </w:t>
      </w:r>
      <w:r w:rsidRPr="0024375B">
        <w:rPr>
          <w:rFonts w:ascii="Times New Roman" w:hAnsi="Times New Roman" w:cs="Times New Roman"/>
        </w:rPr>
        <w:t>Agencji Bezpieczeństwa Wewnętrznego), CSIRT NASK (działającego</w:t>
      </w:r>
      <w:r w:rsidR="00EA1900">
        <w:rPr>
          <w:rFonts w:ascii="Times New Roman" w:hAnsi="Times New Roman" w:cs="Times New Roman"/>
        </w:rPr>
        <w:t xml:space="preserve"> w </w:t>
      </w:r>
      <w:r w:rsidRPr="0024375B">
        <w:rPr>
          <w:rFonts w:ascii="Times New Roman" w:hAnsi="Times New Roman" w:cs="Times New Roman"/>
        </w:rPr>
        <w:t>Naukowej</w:t>
      </w:r>
      <w:r w:rsidR="002161FE">
        <w:rPr>
          <w:rFonts w:ascii="Times New Roman" w:hAnsi="Times New Roman" w:cs="Times New Roman"/>
        </w:rPr>
        <w:t xml:space="preserve"> i </w:t>
      </w:r>
      <w:r w:rsidRPr="0024375B">
        <w:rPr>
          <w:rFonts w:ascii="Times New Roman" w:hAnsi="Times New Roman" w:cs="Times New Roman"/>
        </w:rPr>
        <w:t>Akademickiej Sieci Komputerowej</w:t>
      </w:r>
      <w:r w:rsidR="00E96F6D" w:rsidRPr="0024375B">
        <w:rPr>
          <w:rFonts w:ascii="Times New Roman" w:hAnsi="Times New Roman" w:cs="Times New Roman"/>
        </w:rPr>
        <w:t xml:space="preserve"> – </w:t>
      </w:r>
      <w:r w:rsidRPr="0024375B">
        <w:rPr>
          <w:rFonts w:ascii="Times New Roman" w:hAnsi="Times New Roman" w:cs="Times New Roman"/>
        </w:rPr>
        <w:t>Państwowym Instytucie Badawczym, zwanym dalej „NASK</w:t>
      </w:r>
      <w:r w:rsidR="004641D1" w:rsidRPr="0024375B">
        <w:rPr>
          <w:rFonts w:ascii="Times New Roman" w:hAnsi="Times New Roman" w:cs="Times New Roman"/>
        </w:rPr>
        <w:t>-PIB</w:t>
      </w:r>
      <w:r w:rsidRPr="0024375B">
        <w:rPr>
          <w:rFonts w:ascii="Times New Roman" w:hAnsi="Times New Roman" w:cs="Times New Roman"/>
        </w:rPr>
        <w:t>”) oraz CSIRT MON (</w:t>
      </w:r>
      <w:r w:rsidR="00055E57" w:rsidRPr="0024375B">
        <w:rPr>
          <w:rFonts w:ascii="Times New Roman" w:hAnsi="Times New Roman" w:cs="Times New Roman"/>
        </w:rPr>
        <w:t xml:space="preserve">prowadzonego </w:t>
      </w:r>
      <w:r w:rsidR="004C2837" w:rsidRPr="0024375B">
        <w:rPr>
          <w:rFonts w:ascii="Times New Roman" w:hAnsi="Times New Roman" w:cs="Times New Roman"/>
        </w:rPr>
        <w:t>przez</w:t>
      </w:r>
      <w:r w:rsidRPr="0024375B">
        <w:rPr>
          <w:rFonts w:ascii="Times New Roman" w:hAnsi="Times New Roman" w:cs="Times New Roman"/>
        </w:rPr>
        <w:t xml:space="preserve"> </w:t>
      </w:r>
      <w:r w:rsidR="004C2837" w:rsidRPr="0024375B">
        <w:rPr>
          <w:rFonts w:ascii="Times New Roman" w:hAnsi="Times New Roman" w:cs="Times New Roman"/>
        </w:rPr>
        <w:t xml:space="preserve">Ministra </w:t>
      </w:r>
      <w:r w:rsidRPr="0024375B">
        <w:rPr>
          <w:rFonts w:ascii="Times New Roman" w:hAnsi="Times New Roman" w:cs="Times New Roman"/>
        </w:rPr>
        <w:t>Obrony Narodowej). Zespoły CSIRT współpracują ze sobą</w:t>
      </w:r>
      <w:r w:rsidR="00EA1900">
        <w:rPr>
          <w:rFonts w:ascii="Times New Roman" w:hAnsi="Times New Roman" w:cs="Times New Roman"/>
        </w:rPr>
        <w:t xml:space="preserve"> w </w:t>
      </w:r>
      <w:r w:rsidRPr="0024375B">
        <w:rPr>
          <w:rFonts w:ascii="Times New Roman" w:hAnsi="Times New Roman" w:cs="Times New Roman"/>
        </w:rPr>
        <w:t xml:space="preserve">ramach </w:t>
      </w:r>
      <w:r w:rsidR="004641D1" w:rsidRPr="0024375B">
        <w:rPr>
          <w:rFonts w:ascii="Times New Roman" w:hAnsi="Times New Roman" w:cs="Times New Roman"/>
        </w:rPr>
        <w:t>Z</w:t>
      </w:r>
      <w:r w:rsidRPr="0024375B">
        <w:rPr>
          <w:rFonts w:ascii="Times New Roman" w:hAnsi="Times New Roman" w:cs="Times New Roman"/>
        </w:rPr>
        <w:t>espołu do spraw incydentów krytycznych.</w:t>
      </w:r>
      <w:r w:rsidR="00E96F6D" w:rsidRPr="0024375B">
        <w:rPr>
          <w:rFonts w:ascii="Times New Roman" w:hAnsi="Times New Roman" w:cs="Times New Roman"/>
        </w:rPr>
        <w:t xml:space="preserve"> </w:t>
      </w:r>
    </w:p>
    <w:p w14:paraId="0C04FFCB" w14:textId="77777777" w:rsidR="00F6749E" w:rsidRPr="0024375B" w:rsidRDefault="00F6749E" w:rsidP="0024375B">
      <w:pPr>
        <w:pStyle w:val="NIEARTTEKSTtekstnieartykuowanynppodstprawnarozplubpreambua"/>
        <w:rPr>
          <w:rFonts w:ascii="Times New Roman" w:hAnsi="Times New Roman" w:cs="Times New Roman"/>
          <w:u w:val="single"/>
        </w:rPr>
      </w:pPr>
      <w:r w:rsidRPr="0024375B">
        <w:rPr>
          <w:rFonts w:ascii="Times New Roman" w:hAnsi="Times New Roman" w:cs="Times New Roman"/>
          <w:u w:val="single"/>
        </w:rPr>
        <w:t>Sektorowe zespoły cyberbezpieczeństwa</w:t>
      </w:r>
    </w:p>
    <w:p w14:paraId="36D5D1F5"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Organ właściwy może powołać sektorowy zespół cyberbezpieczeństwa. Zespół ten odpowiada </w:t>
      </w:r>
      <w:r w:rsidR="004641D1" w:rsidRPr="0024375B">
        <w:rPr>
          <w:rFonts w:ascii="Times New Roman" w:hAnsi="Times New Roman" w:cs="Times New Roman"/>
        </w:rPr>
        <w:t>za</w:t>
      </w:r>
      <w:r w:rsidR="00DB44AE" w:rsidRPr="0024375B">
        <w:rPr>
          <w:rFonts w:ascii="Times New Roman" w:hAnsi="Times New Roman" w:cs="Times New Roman"/>
        </w:rPr>
        <w:t> </w:t>
      </w:r>
      <w:r w:rsidRPr="0024375B">
        <w:rPr>
          <w:rFonts w:ascii="Times New Roman" w:hAnsi="Times New Roman" w:cs="Times New Roman"/>
        </w:rPr>
        <w:t xml:space="preserve">wsparcie obsługi incydentów </w:t>
      </w:r>
      <w:r w:rsidR="004641D1" w:rsidRPr="0024375B">
        <w:rPr>
          <w:rFonts w:ascii="Times New Roman" w:hAnsi="Times New Roman" w:cs="Times New Roman"/>
        </w:rPr>
        <w:t>u operatorów usług kluczowych</w:t>
      </w:r>
      <w:r w:rsidR="00EA1900">
        <w:rPr>
          <w:rFonts w:ascii="Times New Roman" w:hAnsi="Times New Roman" w:cs="Times New Roman"/>
        </w:rPr>
        <w:t xml:space="preserve"> w </w:t>
      </w:r>
      <w:r w:rsidRPr="0024375B">
        <w:rPr>
          <w:rFonts w:ascii="Times New Roman" w:hAnsi="Times New Roman" w:cs="Times New Roman"/>
        </w:rPr>
        <w:t>konkretnym sektorze lub podsektorze. Do</w:t>
      </w:r>
      <w:r w:rsidR="00DB44AE" w:rsidRPr="0024375B">
        <w:rPr>
          <w:rFonts w:ascii="Times New Roman" w:hAnsi="Times New Roman" w:cs="Times New Roman"/>
        </w:rPr>
        <w:t> </w:t>
      </w:r>
      <w:r w:rsidRPr="0024375B">
        <w:rPr>
          <w:rFonts w:ascii="Times New Roman" w:hAnsi="Times New Roman" w:cs="Times New Roman"/>
        </w:rPr>
        <w:t>tej pory powołano tylko jeden taki zespół</w:t>
      </w:r>
      <w:r w:rsidR="00055E57" w:rsidRPr="0024375B">
        <w:rPr>
          <w:rFonts w:ascii="Times New Roman" w:hAnsi="Times New Roman" w:cs="Times New Roman"/>
        </w:rPr>
        <w:t xml:space="preserve">, tj. </w:t>
      </w:r>
      <w:r w:rsidRPr="0024375B">
        <w:rPr>
          <w:rFonts w:ascii="Times New Roman" w:hAnsi="Times New Roman" w:cs="Times New Roman"/>
        </w:rPr>
        <w:t xml:space="preserve">CSIRT KNF </w:t>
      </w:r>
      <w:r w:rsidR="005074D6" w:rsidRPr="0024375B">
        <w:rPr>
          <w:rFonts w:ascii="Times New Roman" w:hAnsi="Times New Roman" w:cs="Times New Roman"/>
        </w:rPr>
        <w:t xml:space="preserve">(zespół </w:t>
      </w:r>
      <w:r w:rsidRPr="0024375B">
        <w:rPr>
          <w:rFonts w:ascii="Times New Roman" w:hAnsi="Times New Roman" w:cs="Times New Roman"/>
        </w:rPr>
        <w:t>dla sektora finansowego</w:t>
      </w:r>
      <w:r w:rsidR="005074D6" w:rsidRPr="0024375B">
        <w:rPr>
          <w:rFonts w:ascii="Times New Roman" w:hAnsi="Times New Roman" w:cs="Times New Roman"/>
        </w:rPr>
        <w:t>)</w:t>
      </w:r>
      <w:r w:rsidR="00055E57" w:rsidRPr="0024375B">
        <w:rPr>
          <w:rFonts w:ascii="Times New Roman" w:hAnsi="Times New Roman" w:cs="Times New Roman"/>
        </w:rPr>
        <w:t>,</w:t>
      </w:r>
      <w:r w:rsidR="005074D6" w:rsidRPr="0024375B">
        <w:rPr>
          <w:rFonts w:ascii="Times New Roman" w:hAnsi="Times New Roman" w:cs="Times New Roman"/>
        </w:rPr>
        <w:t xml:space="preserve"> funkcjonujący</w:t>
      </w:r>
      <w:r w:rsidRPr="0024375B">
        <w:rPr>
          <w:rFonts w:ascii="Times New Roman" w:hAnsi="Times New Roman" w:cs="Times New Roman"/>
        </w:rPr>
        <w:t xml:space="preserve"> przy Komisji Nadzoru Finansowego</w:t>
      </w:r>
      <w:r w:rsidR="004641D1" w:rsidRPr="0024375B">
        <w:rPr>
          <w:rStyle w:val="Odwoanieprzypisudolnego"/>
          <w:rFonts w:ascii="Times New Roman" w:hAnsi="Times New Roman"/>
        </w:rPr>
        <w:footnoteReference w:id="3"/>
      </w:r>
      <w:r w:rsidR="00CE3276">
        <w:rPr>
          <w:rFonts w:ascii="Times New Roman" w:hAnsi="Times New Roman" w:cs="Times New Roman"/>
          <w:vertAlign w:val="superscript"/>
        </w:rPr>
        <w:t>)</w:t>
      </w:r>
      <w:r w:rsidRPr="0024375B">
        <w:rPr>
          <w:rFonts w:ascii="Times New Roman" w:hAnsi="Times New Roman" w:cs="Times New Roman"/>
        </w:rPr>
        <w:t>.</w:t>
      </w:r>
    </w:p>
    <w:p w14:paraId="43E47B38" w14:textId="77777777" w:rsidR="00F6749E" w:rsidRPr="0024375B" w:rsidRDefault="00F6749E" w:rsidP="00FC6B8C">
      <w:pPr>
        <w:pStyle w:val="NIEARTTEKSTtekstnieartykuowanynppodstprawnarozplubpreambua"/>
        <w:keepNext/>
        <w:keepLines/>
        <w:rPr>
          <w:rFonts w:ascii="Times New Roman" w:hAnsi="Times New Roman" w:cs="Times New Roman"/>
          <w:u w:val="single"/>
        </w:rPr>
      </w:pPr>
      <w:r w:rsidRPr="0024375B">
        <w:rPr>
          <w:rFonts w:ascii="Times New Roman" w:hAnsi="Times New Roman" w:cs="Times New Roman"/>
          <w:u w:val="single"/>
        </w:rPr>
        <w:lastRenderedPageBreak/>
        <w:t xml:space="preserve">Pełnomocnik </w:t>
      </w:r>
      <w:r w:rsidR="004209C8" w:rsidRPr="0024375B">
        <w:rPr>
          <w:rFonts w:ascii="Times New Roman" w:hAnsi="Times New Roman" w:cs="Times New Roman"/>
          <w:u w:val="single"/>
        </w:rPr>
        <w:t>Rządu do Spraw Cyberbezpieczeństwa</w:t>
      </w:r>
    </w:p>
    <w:p w14:paraId="2F57FDAB" w14:textId="77777777" w:rsidR="00F6749E" w:rsidRPr="0024375B" w:rsidRDefault="00F6749E" w:rsidP="00FC6B8C">
      <w:pPr>
        <w:pStyle w:val="NIEARTTEKSTtekstnieartykuowanynppodstprawnarozplubpreambua"/>
        <w:keepNext/>
        <w:keepLines/>
        <w:rPr>
          <w:rFonts w:ascii="Times New Roman" w:hAnsi="Times New Roman" w:cs="Times New Roman"/>
        </w:rPr>
      </w:pPr>
      <w:r w:rsidRPr="0024375B">
        <w:rPr>
          <w:rFonts w:ascii="Times New Roman" w:hAnsi="Times New Roman" w:cs="Times New Roman"/>
        </w:rPr>
        <w:t>Pełnomocnik Rządu do Spraw Cyberbezpieczeństwa</w:t>
      </w:r>
      <w:r w:rsidR="00E96F6D" w:rsidRPr="0024375B">
        <w:rPr>
          <w:rFonts w:ascii="Times New Roman" w:hAnsi="Times New Roman" w:cs="Times New Roman"/>
        </w:rPr>
        <w:t xml:space="preserve"> (</w:t>
      </w:r>
      <w:r w:rsidRPr="0024375B">
        <w:rPr>
          <w:rFonts w:ascii="Times New Roman" w:hAnsi="Times New Roman" w:cs="Times New Roman"/>
        </w:rPr>
        <w:t>zwany dalej ,,Pełnomocnikiem”</w:t>
      </w:r>
      <w:r w:rsidR="00E96F6D" w:rsidRPr="0024375B">
        <w:rPr>
          <w:rFonts w:ascii="Times New Roman" w:hAnsi="Times New Roman" w:cs="Times New Roman"/>
        </w:rPr>
        <w:t>)</w:t>
      </w:r>
      <w:r w:rsidRPr="0024375B">
        <w:rPr>
          <w:rFonts w:ascii="Times New Roman" w:hAnsi="Times New Roman" w:cs="Times New Roman"/>
        </w:rPr>
        <w:t xml:space="preserve"> jest odpowiedzialny za koordynowanie </w:t>
      </w:r>
      <w:r w:rsidR="00055E57" w:rsidRPr="0024375B">
        <w:rPr>
          <w:rFonts w:ascii="Times New Roman" w:hAnsi="Times New Roman" w:cs="Times New Roman"/>
        </w:rPr>
        <w:t>działań</w:t>
      </w:r>
      <w:r w:rsidR="002161FE">
        <w:rPr>
          <w:rFonts w:ascii="Times New Roman" w:hAnsi="Times New Roman" w:cs="Times New Roman"/>
        </w:rPr>
        <w:t xml:space="preserve"> i </w:t>
      </w:r>
      <w:r w:rsidR="00055E57" w:rsidRPr="0024375B">
        <w:rPr>
          <w:rFonts w:ascii="Times New Roman" w:hAnsi="Times New Roman" w:cs="Times New Roman"/>
          <w:color w:val="333333"/>
          <w:szCs w:val="24"/>
          <w:shd w:val="clear" w:color="auto" w:fill="FFFFFF"/>
        </w:rPr>
        <w:t>realizowanie polityki rządu</w:t>
      </w:r>
      <w:r w:rsidR="00EA1900">
        <w:rPr>
          <w:rFonts w:ascii="Times New Roman" w:hAnsi="Times New Roman" w:cs="Times New Roman"/>
          <w:color w:val="333333"/>
          <w:szCs w:val="24"/>
          <w:shd w:val="clear" w:color="auto" w:fill="FFFFFF"/>
        </w:rPr>
        <w:t xml:space="preserve"> w </w:t>
      </w:r>
      <w:r w:rsidR="00055E57" w:rsidRPr="0024375B">
        <w:rPr>
          <w:rFonts w:ascii="Times New Roman" w:hAnsi="Times New Roman" w:cs="Times New Roman"/>
          <w:color w:val="333333"/>
          <w:szCs w:val="24"/>
          <w:shd w:val="clear" w:color="auto" w:fill="FFFFFF"/>
        </w:rPr>
        <w:t>zakresie zapewnienia</w:t>
      </w:r>
      <w:r w:rsidR="00DB44AE" w:rsidRPr="0024375B">
        <w:rPr>
          <w:rFonts w:ascii="Times New Roman" w:hAnsi="Times New Roman" w:cs="Times New Roman"/>
          <w:color w:val="333333"/>
          <w:sz w:val="21"/>
          <w:szCs w:val="21"/>
          <w:shd w:val="clear" w:color="auto" w:fill="FFFFFF"/>
        </w:rPr>
        <w:t xml:space="preserve"> </w:t>
      </w:r>
      <w:r w:rsidRPr="0024375B">
        <w:rPr>
          <w:rFonts w:ascii="Times New Roman" w:hAnsi="Times New Roman" w:cs="Times New Roman"/>
        </w:rPr>
        <w:t>cyberbezpieczeństwa</w:t>
      </w:r>
      <w:r w:rsidR="00EA1900">
        <w:rPr>
          <w:rFonts w:ascii="Times New Roman" w:hAnsi="Times New Roman" w:cs="Times New Roman"/>
        </w:rPr>
        <w:t xml:space="preserve"> w </w:t>
      </w:r>
      <w:r w:rsidRPr="0024375B">
        <w:rPr>
          <w:rFonts w:ascii="Times New Roman" w:hAnsi="Times New Roman" w:cs="Times New Roman"/>
        </w:rPr>
        <w:t>Rzeczypospolitej Polskiej. Pełnomocnik,</w:t>
      </w:r>
      <w:r w:rsidR="00EA1900">
        <w:rPr>
          <w:rFonts w:ascii="Times New Roman" w:hAnsi="Times New Roman" w:cs="Times New Roman"/>
        </w:rPr>
        <w:t xml:space="preserve"> w </w:t>
      </w:r>
      <w:r w:rsidRPr="0024375B">
        <w:rPr>
          <w:rFonts w:ascii="Times New Roman" w:hAnsi="Times New Roman" w:cs="Times New Roman"/>
        </w:rPr>
        <w:t xml:space="preserve">randze ministra, sekretarza stanu </w:t>
      </w:r>
      <w:r w:rsidR="005074D6" w:rsidRPr="0024375B">
        <w:rPr>
          <w:rFonts w:ascii="Times New Roman" w:hAnsi="Times New Roman" w:cs="Times New Roman"/>
        </w:rPr>
        <w:t xml:space="preserve">albo </w:t>
      </w:r>
      <w:r w:rsidRPr="0024375B">
        <w:rPr>
          <w:rFonts w:ascii="Times New Roman" w:hAnsi="Times New Roman" w:cs="Times New Roman"/>
        </w:rPr>
        <w:t>podsekretarza stanu, jest powoływany</w:t>
      </w:r>
      <w:r w:rsidR="002161FE">
        <w:rPr>
          <w:rFonts w:ascii="Times New Roman" w:hAnsi="Times New Roman" w:cs="Times New Roman"/>
        </w:rPr>
        <w:t xml:space="preserve"> i </w:t>
      </w:r>
      <w:r w:rsidRPr="0024375B">
        <w:rPr>
          <w:rFonts w:ascii="Times New Roman" w:hAnsi="Times New Roman" w:cs="Times New Roman"/>
        </w:rPr>
        <w:t xml:space="preserve">odwoływany przez Prezesa Rady Ministrów. Do jego zadań należy </w:t>
      </w:r>
      <w:r w:rsidR="005074D6" w:rsidRPr="0024375B">
        <w:rPr>
          <w:rFonts w:ascii="Times New Roman" w:hAnsi="Times New Roman" w:cs="Times New Roman"/>
        </w:rPr>
        <w:t xml:space="preserve">zarówno </w:t>
      </w:r>
      <w:r w:rsidRPr="0024375B">
        <w:rPr>
          <w:rFonts w:ascii="Times New Roman" w:hAnsi="Times New Roman" w:cs="Times New Roman"/>
        </w:rPr>
        <w:t>analiza</w:t>
      </w:r>
      <w:r w:rsidR="002161FE">
        <w:rPr>
          <w:rFonts w:ascii="Times New Roman" w:hAnsi="Times New Roman" w:cs="Times New Roman"/>
        </w:rPr>
        <w:t xml:space="preserve"> i </w:t>
      </w:r>
      <w:r w:rsidRPr="0024375B">
        <w:rPr>
          <w:rFonts w:ascii="Times New Roman" w:hAnsi="Times New Roman" w:cs="Times New Roman"/>
        </w:rPr>
        <w:t xml:space="preserve">ocena funkcjonowania krajowego systemu cyberbezpieczeństwa </w:t>
      </w:r>
      <w:r w:rsidR="005074D6" w:rsidRPr="0024375B">
        <w:rPr>
          <w:rFonts w:ascii="Times New Roman" w:hAnsi="Times New Roman" w:cs="Times New Roman"/>
        </w:rPr>
        <w:t xml:space="preserve">(dokonywana </w:t>
      </w:r>
      <w:r w:rsidRPr="0024375B">
        <w:rPr>
          <w:rFonts w:ascii="Times New Roman" w:hAnsi="Times New Roman" w:cs="Times New Roman"/>
        </w:rPr>
        <w:t>na</w:t>
      </w:r>
      <w:r w:rsidR="00DB44AE" w:rsidRPr="0024375B">
        <w:rPr>
          <w:rFonts w:ascii="Times New Roman" w:hAnsi="Times New Roman" w:cs="Times New Roman"/>
        </w:rPr>
        <w:t> </w:t>
      </w:r>
      <w:r w:rsidRPr="0024375B">
        <w:rPr>
          <w:rFonts w:ascii="Times New Roman" w:hAnsi="Times New Roman" w:cs="Times New Roman"/>
        </w:rPr>
        <w:t>podstawie zagregowanych danych</w:t>
      </w:r>
      <w:r w:rsidR="002161FE">
        <w:rPr>
          <w:rFonts w:ascii="Times New Roman" w:hAnsi="Times New Roman" w:cs="Times New Roman"/>
        </w:rPr>
        <w:t xml:space="preserve"> i </w:t>
      </w:r>
      <w:r w:rsidRPr="0024375B">
        <w:rPr>
          <w:rFonts w:ascii="Times New Roman" w:hAnsi="Times New Roman" w:cs="Times New Roman"/>
        </w:rPr>
        <w:t>wskaźników opracowanych przy udziale organów administracji państwowej, organów właściwych</w:t>
      </w:r>
      <w:r w:rsidR="002161FE">
        <w:rPr>
          <w:rFonts w:ascii="Times New Roman" w:hAnsi="Times New Roman" w:cs="Times New Roman"/>
        </w:rPr>
        <w:t xml:space="preserve"> i </w:t>
      </w:r>
      <w:r w:rsidRPr="0024375B">
        <w:rPr>
          <w:rFonts w:ascii="Times New Roman" w:hAnsi="Times New Roman" w:cs="Times New Roman"/>
        </w:rPr>
        <w:t>zespołów CSIRT</w:t>
      </w:r>
      <w:r w:rsidR="005074D6" w:rsidRPr="0024375B">
        <w:rPr>
          <w:rFonts w:ascii="Times New Roman" w:hAnsi="Times New Roman" w:cs="Times New Roman"/>
        </w:rPr>
        <w:t>)</w:t>
      </w:r>
      <w:r w:rsidRPr="0024375B">
        <w:rPr>
          <w:rFonts w:ascii="Times New Roman" w:hAnsi="Times New Roman" w:cs="Times New Roman"/>
        </w:rPr>
        <w:t>, jak</w:t>
      </w:r>
      <w:r w:rsidR="002161FE">
        <w:rPr>
          <w:rFonts w:ascii="Times New Roman" w:hAnsi="Times New Roman" w:cs="Times New Roman"/>
        </w:rPr>
        <w:t xml:space="preserve"> i </w:t>
      </w:r>
      <w:r w:rsidRPr="0024375B">
        <w:rPr>
          <w:rFonts w:ascii="Times New Roman" w:hAnsi="Times New Roman" w:cs="Times New Roman"/>
        </w:rPr>
        <w:t>nadzór nad procesem zarządzania ryzykiem krajowego systemu cyberbezpieczeństwa</w:t>
      </w:r>
      <w:r w:rsidR="002161FE">
        <w:rPr>
          <w:rFonts w:ascii="Times New Roman" w:hAnsi="Times New Roman" w:cs="Times New Roman"/>
        </w:rPr>
        <w:t xml:space="preserve"> z </w:t>
      </w:r>
      <w:r w:rsidRPr="0024375B">
        <w:rPr>
          <w:rFonts w:ascii="Times New Roman" w:hAnsi="Times New Roman" w:cs="Times New Roman"/>
        </w:rPr>
        <w:t>wykorzystaniem zagregowanych danych</w:t>
      </w:r>
      <w:r w:rsidR="002161FE">
        <w:rPr>
          <w:rFonts w:ascii="Times New Roman" w:hAnsi="Times New Roman" w:cs="Times New Roman"/>
        </w:rPr>
        <w:t xml:space="preserve"> i </w:t>
      </w:r>
      <w:r w:rsidRPr="0024375B">
        <w:rPr>
          <w:rFonts w:ascii="Times New Roman" w:hAnsi="Times New Roman" w:cs="Times New Roman"/>
        </w:rPr>
        <w:t>wskaźników opracowanych przy udziale organów właściwych</w:t>
      </w:r>
      <w:r w:rsidR="002161FE">
        <w:rPr>
          <w:rFonts w:ascii="Times New Roman" w:hAnsi="Times New Roman" w:cs="Times New Roman"/>
        </w:rPr>
        <w:t xml:space="preserve"> i </w:t>
      </w:r>
      <w:r w:rsidRPr="0024375B">
        <w:rPr>
          <w:rFonts w:ascii="Times New Roman" w:hAnsi="Times New Roman" w:cs="Times New Roman"/>
        </w:rPr>
        <w:t>zespołów CSIRT. Pełnomocnik jest ponadto odpowiedzialny za opiniowanie projektów aktów prawnych oraz innych dokumentów rządowych mających wpływ na realizację zadań</w:t>
      </w:r>
      <w:r w:rsidR="002161FE">
        <w:rPr>
          <w:rFonts w:ascii="Times New Roman" w:hAnsi="Times New Roman" w:cs="Times New Roman"/>
        </w:rPr>
        <w:t xml:space="preserve"> z </w:t>
      </w:r>
      <w:r w:rsidRPr="0024375B">
        <w:rPr>
          <w:rFonts w:ascii="Times New Roman" w:hAnsi="Times New Roman" w:cs="Times New Roman"/>
        </w:rPr>
        <w:t>zakresu cyberbezpieczeństwa. Inicjuje także krajowe ćwiczenia</w:t>
      </w:r>
      <w:r w:rsidR="002161FE">
        <w:rPr>
          <w:rFonts w:ascii="Times New Roman" w:hAnsi="Times New Roman" w:cs="Times New Roman"/>
        </w:rPr>
        <w:t xml:space="preserve"> z </w:t>
      </w:r>
      <w:r w:rsidRPr="0024375B">
        <w:rPr>
          <w:rFonts w:ascii="Times New Roman" w:hAnsi="Times New Roman" w:cs="Times New Roman"/>
        </w:rPr>
        <w:t>zakresu cyberbezpieczeństwa.</w:t>
      </w:r>
    </w:p>
    <w:p w14:paraId="5DAB594B" w14:textId="77777777" w:rsidR="00F6749E" w:rsidRPr="0024375B" w:rsidRDefault="00F6749E" w:rsidP="0024375B">
      <w:pPr>
        <w:pStyle w:val="NIEARTTEKSTtekstnieartykuowanynppodstprawnarozplubpreambua"/>
        <w:spacing w:after="240"/>
        <w:rPr>
          <w:rFonts w:ascii="Times New Roman" w:hAnsi="Times New Roman" w:cs="Times New Roman"/>
          <w:u w:val="single"/>
        </w:rPr>
      </w:pPr>
      <w:r w:rsidRPr="0024375B">
        <w:rPr>
          <w:rFonts w:ascii="Times New Roman" w:hAnsi="Times New Roman" w:cs="Times New Roman"/>
          <w:u w:val="single"/>
        </w:rPr>
        <w:t>Kolegium</w:t>
      </w:r>
      <w:r w:rsidR="004209C8" w:rsidRPr="0024375B">
        <w:rPr>
          <w:rFonts w:ascii="Times New Roman" w:hAnsi="Times New Roman" w:cs="Times New Roman"/>
          <w:u w:val="single"/>
        </w:rPr>
        <w:t xml:space="preserve"> do Spraw Cyberbezpieczeństwa</w:t>
      </w:r>
    </w:p>
    <w:p w14:paraId="118D79BA" w14:textId="09AD1CBA"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Kolegium do Spraw Cyberbezpieczeństwa</w:t>
      </w:r>
      <w:r w:rsidR="00E96F6D" w:rsidRPr="0024375B">
        <w:rPr>
          <w:rFonts w:ascii="Times New Roman" w:hAnsi="Times New Roman" w:cs="Times New Roman"/>
          <w:szCs w:val="24"/>
        </w:rPr>
        <w:t xml:space="preserve"> (</w:t>
      </w:r>
      <w:r w:rsidRPr="0024375B">
        <w:rPr>
          <w:rFonts w:ascii="Times New Roman" w:hAnsi="Times New Roman" w:cs="Times New Roman"/>
          <w:szCs w:val="24"/>
        </w:rPr>
        <w:t>zwane dalej ,,Kolegium”</w:t>
      </w:r>
      <w:r w:rsidR="00E96F6D" w:rsidRPr="0024375B">
        <w:rPr>
          <w:rFonts w:ascii="Times New Roman" w:hAnsi="Times New Roman" w:cs="Times New Roman"/>
          <w:szCs w:val="24"/>
        </w:rPr>
        <w:t>)</w:t>
      </w:r>
      <w:r w:rsidRPr="0024375B">
        <w:rPr>
          <w:rFonts w:ascii="Times New Roman" w:hAnsi="Times New Roman" w:cs="Times New Roman"/>
          <w:szCs w:val="24"/>
        </w:rPr>
        <w:t xml:space="preserve"> jest organem opiniodawczo-doradczym</w:t>
      </w:r>
      <w:r w:rsidR="00EA1900">
        <w:rPr>
          <w:rFonts w:ascii="Times New Roman" w:hAnsi="Times New Roman" w:cs="Times New Roman"/>
          <w:szCs w:val="24"/>
        </w:rPr>
        <w:t xml:space="preserve"> w </w:t>
      </w:r>
      <w:r w:rsidRPr="0024375B">
        <w:rPr>
          <w:rFonts w:ascii="Times New Roman" w:hAnsi="Times New Roman" w:cs="Times New Roman"/>
          <w:szCs w:val="24"/>
        </w:rPr>
        <w:t>sprawach planowania, nadzorowania</w:t>
      </w:r>
      <w:r w:rsidR="002161FE">
        <w:rPr>
          <w:rFonts w:ascii="Times New Roman" w:hAnsi="Times New Roman" w:cs="Times New Roman"/>
          <w:szCs w:val="24"/>
        </w:rPr>
        <w:t xml:space="preserve"> i </w:t>
      </w:r>
      <w:r w:rsidRPr="0024375B">
        <w:rPr>
          <w:rFonts w:ascii="Times New Roman" w:hAnsi="Times New Roman" w:cs="Times New Roman"/>
          <w:szCs w:val="24"/>
        </w:rPr>
        <w:t xml:space="preserve">koordynowania działalności zespołów CSIRT, sektorowych zespołów cyberbezpieczeństwa oraz organów właściwych. Kolegium opiniuje </w:t>
      </w:r>
      <w:r w:rsidR="00243A1D" w:rsidRPr="0024375B">
        <w:rPr>
          <w:rFonts w:ascii="Times New Roman" w:hAnsi="Times New Roman" w:cs="Times New Roman"/>
          <w:szCs w:val="24"/>
        </w:rPr>
        <w:t>sprawy</w:t>
      </w:r>
      <w:r w:rsidR="00986745" w:rsidRPr="0024375B">
        <w:rPr>
          <w:rFonts w:ascii="Times New Roman" w:hAnsi="Times New Roman" w:cs="Times New Roman"/>
          <w:szCs w:val="24"/>
        </w:rPr>
        <w:t xml:space="preserve"> </w:t>
      </w:r>
      <w:r w:rsidR="00986745" w:rsidRPr="0024375B">
        <w:rPr>
          <w:rFonts w:ascii="Times New Roman" w:hAnsi="Times New Roman" w:cs="Times New Roman"/>
          <w:szCs w:val="24"/>
          <w:shd w:val="clear" w:color="auto" w:fill="FFFFFF"/>
        </w:rPr>
        <w:t>planowan</w:t>
      </w:r>
      <w:r w:rsidR="00243A1D" w:rsidRPr="0024375B">
        <w:rPr>
          <w:rFonts w:ascii="Times New Roman" w:hAnsi="Times New Roman" w:cs="Times New Roman"/>
          <w:szCs w:val="24"/>
          <w:shd w:val="clear" w:color="auto" w:fill="FFFFFF"/>
        </w:rPr>
        <w:t>e</w:t>
      </w:r>
      <w:r w:rsidR="00986745" w:rsidRPr="0024375B">
        <w:rPr>
          <w:rFonts w:ascii="Times New Roman" w:hAnsi="Times New Roman" w:cs="Times New Roman"/>
          <w:szCs w:val="24"/>
          <w:shd w:val="clear" w:color="auto" w:fill="FFFFFF"/>
        </w:rPr>
        <w:t xml:space="preserve"> do ustalenia przez Prezesa Urzędu Komunikacji Elektronicznej</w:t>
      </w:r>
      <w:r w:rsidR="00EA1900">
        <w:rPr>
          <w:rFonts w:ascii="Times New Roman" w:hAnsi="Times New Roman" w:cs="Times New Roman"/>
          <w:szCs w:val="24"/>
          <w:shd w:val="clear" w:color="auto" w:fill="FFFFFF"/>
        </w:rPr>
        <w:t xml:space="preserve"> w </w:t>
      </w:r>
      <w:r w:rsidR="00986745" w:rsidRPr="0024375B">
        <w:rPr>
          <w:rFonts w:ascii="Times New Roman" w:hAnsi="Times New Roman" w:cs="Times New Roman"/>
          <w:szCs w:val="24"/>
          <w:shd w:val="clear" w:color="auto" w:fill="FFFFFF"/>
        </w:rPr>
        <w:t>projekcie rozstrzygnięcia decyzji</w:t>
      </w:r>
      <w:r w:rsidR="00EA1900">
        <w:rPr>
          <w:rFonts w:ascii="Times New Roman" w:hAnsi="Times New Roman" w:cs="Times New Roman"/>
          <w:szCs w:val="24"/>
          <w:shd w:val="clear" w:color="auto" w:fill="FFFFFF"/>
        </w:rPr>
        <w:t xml:space="preserve"> w </w:t>
      </w:r>
      <w:r w:rsidR="00986745" w:rsidRPr="0024375B">
        <w:rPr>
          <w:rFonts w:ascii="Times New Roman" w:hAnsi="Times New Roman" w:cs="Times New Roman"/>
          <w:szCs w:val="24"/>
          <w:shd w:val="clear" w:color="auto" w:fill="FFFFFF"/>
        </w:rPr>
        <w:t>sprawie rezerwacji częstotliwości,</w:t>
      </w:r>
      <w:r w:rsidR="0077165A">
        <w:rPr>
          <w:rFonts w:ascii="Times New Roman" w:hAnsi="Times New Roman" w:cs="Times New Roman"/>
          <w:szCs w:val="24"/>
          <w:shd w:val="clear" w:color="auto" w:fill="FFFFFF"/>
        </w:rPr>
        <w:t xml:space="preserve"> o </w:t>
      </w:r>
      <w:r w:rsidR="00986745" w:rsidRPr="0024375B">
        <w:rPr>
          <w:rFonts w:ascii="Times New Roman" w:hAnsi="Times New Roman" w:cs="Times New Roman"/>
          <w:szCs w:val="24"/>
          <w:shd w:val="clear" w:color="auto" w:fill="FFFFFF"/>
        </w:rPr>
        <w:t>którym mowa</w:t>
      </w:r>
      <w:r w:rsidR="00EA1900">
        <w:rPr>
          <w:rFonts w:ascii="Times New Roman" w:hAnsi="Times New Roman" w:cs="Times New Roman"/>
          <w:szCs w:val="24"/>
          <w:shd w:val="clear" w:color="auto" w:fill="FFFFFF"/>
        </w:rPr>
        <w:t xml:space="preserve"> w </w:t>
      </w:r>
      <w:r w:rsidR="00986745" w:rsidRPr="00377FC0">
        <w:rPr>
          <w:rFonts w:ascii="Times New Roman" w:hAnsi="Times New Roman" w:cs="Times New Roman"/>
          <w:szCs w:val="24"/>
          <w:shd w:val="clear" w:color="auto" w:fill="FFFFFF"/>
        </w:rPr>
        <w:t xml:space="preserve">art. 118 </w:t>
      </w:r>
      <w:r w:rsidR="00D00CB4" w:rsidRPr="00377FC0">
        <w:rPr>
          <w:rFonts w:ascii="Times New Roman" w:hAnsi="Times New Roman" w:cs="Times New Roman"/>
          <w:szCs w:val="24"/>
          <w:shd w:val="clear" w:color="auto" w:fill="FFFFFF"/>
        </w:rPr>
        <w:t>ust. </w:t>
      </w:r>
      <w:r w:rsidR="00986745" w:rsidRPr="00377FC0">
        <w:rPr>
          <w:rFonts w:ascii="Times New Roman" w:hAnsi="Times New Roman" w:cs="Times New Roman"/>
          <w:szCs w:val="24"/>
          <w:shd w:val="clear" w:color="auto" w:fill="FFFFFF"/>
        </w:rPr>
        <w:t>2</w:t>
      </w:r>
      <w:r w:rsidR="00986745" w:rsidRPr="0024375B">
        <w:rPr>
          <w:rFonts w:ascii="Times New Roman" w:hAnsi="Times New Roman" w:cs="Times New Roman"/>
          <w:szCs w:val="24"/>
          <w:shd w:val="clear" w:color="auto" w:fill="FFFFFF"/>
        </w:rPr>
        <w:t> ustawy</w:t>
      </w:r>
      <w:r w:rsidR="002161FE">
        <w:rPr>
          <w:rFonts w:ascii="Times New Roman" w:hAnsi="Times New Roman" w:cs="Times New Roman"/>
          <w:szCs w:val="24"/>
          <w:shd w:val="clear" w:color="auto" w:fill="FFFFFF"/>
        </w:rPr>
        <w:t xml:space="preserve"> z </w:t>
      </w:r>
      <w:r w:rsidR="00986745" w:rsidRPr="0024375B">
        <w:rPr>
          <w:rFonts w:ascii="Times New Roman" w:hAnsi="Times New Roman" w:cs="Times New Roman"/>
          <w:szCs w:val="24"/>
          <w:shd w:val="clear" w:color="auto" w:fill="FFFFFF"/>
        </w:rPr>
        <w:t>dnia 16 lipca 2004 r.</w:t>
      </w:r>
      <w:r w:rsidR="000F24AC" w:rsidRPr="0024375B">
        <w:rPr>
          <w:rFonts w:ascii="Times New Roman" w:hAnsi="Times New Roman" w:cs="Times New Roman"/>
          <w:szCs w:val="24"/>
          <w:shd w:val="clear" w:color="auto" w:fill="FFFFFF"/>
        </w:rPr>
        <w:t xml:space="preserve"> –</w:t>
      </w:r>
      <w:r w:rsidR="00986745" w:rsidRPr="0024375B">
        <w:rPr>
          <w:rFonts w:ascii="Times New Roman" w:hAnsi="Times New Roman" w:cs="Times New Roman"/>
          <w:szCs w:val="24"/>
          <w:shd w:val="clear" w:color="auto" w:fill="FFFFFF"/>
        </w:rPr>
        <w:t xml:space="preserve"> Prawo telekomunikacyjne</w:t>
      </w:r>
      <w:r w:rsidR="000F24AC" w:rsidRPr="0024375B">
        <w:rPr>
          <w:rFonts w:ascii="Times New Roman" w:hAnsi="Times New Roman" w:cs="Times New Roman"/>
          <w:szCs w:val="24"/>
          <w:shd w:val="clear" w:color="auto" w:fill="FFFFFF"/>
        </w:rPr>
        <w:t xml:space="preserve"> (zwane dalej „Prawem telekomunikacyjnym”)</w:t>
      </w:r>
      <w:r w:rsidRPr="0024375B">
        <w:rPr>
          <w:rFonts w:ascii="Times New Roman" w:hAnsi="Times New Roman" w:cs="Times New Roman"/>
          <w:szCs w:val="24"/>
        </w:rPr>
        <w:t>. Przewodniczącym Kolegium jest Prezes Rady Ministrów, a</w:t>
      </w:r>
      <w:r w:rsidR="00EA1900">
        <w:rPr>
          <w:rFonts w:ascii="Times New Roman" w:hAnsi="Times New Roman" w:cs="Times New Roman"/>
          <w:szCs w:val="24"/>
        </w:rPr>
        <w:t xml:space="preserve"> w </w:t>
      </w:r>
      <w:r w:rsidRPr="0024375B">
        <w:rPr>
          <w:rFonts w:ascii="Times New Roman" w:hAnsi="Times New Roman" w:cs="Times New Roman"/>
          <w:szCs w:val="24"/>
        </w:rPr>
        <w:t>jego skład wchodzą: minister właściwy do spraw wewnętrznych, minister właściwy do</w:t>
      </w:r>
      <w:r w:rsidR="000F24AC" w:rsidRPr="0024375B">
        <w:rPr>
          <w:rFonts w:ascii="Times New Roman" w:hAnsi="Times New Roman" w:cs="Times New Roman"/>
          <w:szCs w:val="24"/>
        </w:rPr>
        <w:t> </w:t>
      </w:r>
      <w:r w:rsidRPr="0024375B">
        <w:rPr>
          <w:rFonts w:ascii="Times New Roman" w:hAnsi="Times New Roman" w:cs="Times New Roman"/>
          <w:szCs w:val="24"/>
        </w:rPr>
        <w:t>spraw informatyzacji, Minister Obrony Narodowej, minister właściwy do spraw zagranicznych (ww. ministrowie mogą być reprezentowani przez swoich zastępców), Szef Biura Bezpieczeństwa Narodowego (jeżeli został wyznaczony przez Prezydenta RP), minister – członek Rady Ministrów właściwy do spraw koordynowania działalności służb specjalnych,</w:t>
      </w:r>
      <w:r w:rsidR="002161FE">
        <w:rPr>
          <w:rFonts w:ascii="Times New Roman" w:hAnsi="Times New Roman" w:cs="Times New Roman"/>
          <w:szCs w:val="24"/>
        </w:rPr>
        <w:t xml:space="preserve"> a </w:t>
      </w:r>
      <w:r w:rsidRPr="0024375B">
        <w:rPr>
          <w:rFonts w:ascii="Times New Roman" w:hAnsi="Times New Roman" w:cs="Times New Roman"/>
          <w:szCs w:val="24"/>
        </w:rPr>
        <w:t>jeżeli nie został wyznaczony – Szef Agencji Bezpieczeństwa Wewnętrznego oraz Sekretarz Kolegium.</w:t>
      </w:r>
      <w:r w:rsidR="00116933">
        <w:rPr>
          <w:rFonts w:ascii="Times New Roman" w:hAnsi="Times New Roman" w:cs="Times New Roman"/>
          <w:szCs w:val="24"/>
        </w:rPr>
        <w:t xml:space="preserve"> W </w:t>
      </w:r>
      <w:r w:rsidRPr="0024375B">
        <w:rPr>
          <w:rFonts w:ascii="Times New Roman" w:hAnsi="Times New Roman" w:cs="Times New Roman"/>
          <w:szCs w:val="24"/>
        </w:rPr>
        <w:t>posiedzeniach Kolegium uczestniczą także: Dyrektor Rządowego Centrum Bezpieczeństwa, Szef Agencji Bezpieczeństwa Wewnętrznego, Szef Służby Kontrwywiadu Wojskowego</w:t>
      </w:r>
      <w:r w:rsidR="002161FE">
        <w:rPr>
          <w:rFonts w:ascii="Times New Roman" w:hAnsi="Times New Roman" w:cs="Times New Roman"/>
          <w:szCs w:val="24"/>
        </w:rPr>
        <w:t xml:space="preserve"> i </w:t>
      </w:r>
      <w:r w:rsidRPr="0024375B">
        <w:rPr>
          <w:rFonts w:ascii="Times New Roman" w:hAnsi="Times New Roman" w:cs="Times New Roman"/>
          <w:szCs w:val="24"/>
        </w:rPr>
        <w:t>Dyrektor NASK</w:t>
      </w:r>
      <w:r w:rsidR="00243A1D" w:rsidRPr="0024375B">
        <w:rPr>
          <w:rFonts w:ascii="Times New Roman" w:hAnsi="Times New Roman" w:cs="Times New Roman"/>
          <w:szCs w:val="24"/>
        </w:rPr>
        <w:t>-PIB</w:t>
      </w:r>
      <w:r w:rsidRPr="0024375B">
        <w:rPr>
          <w:rFonts w:ascii="Times New Roman" w:hAnsi="Times New Roman" w:cs="Times New Roman"/>
          <w:szCs w:val="24"/>
        </w:rPr>
        <w:t>. Przewodniczący Kolegium może zapraszać do udziału</w:t>
      </w:r>
      <w:r w:rsidR="00EA1900">
        <w:rPr>
          <w:rFonts w:ascii="Times New Roman" w:hAnsi="Times New Roman" w:cs="Times New Roman"/>
          <w:szCs w:val="24"/>
        </w:rPr>
        <w:t xml:space="preserve"> w </w:t>
      </w:r>
      <w:r w:rsidRPr="0024375B">
        <w:rPr>
          <w:rFonts w:ascii="Times New Roman" w:hAnsi="Times New Roman" w:cs="Times New Roman"/>
          <w:szCs w:val="24"/>
        </w:rPr>
        <w:t>posiedzeniach Kolegium także inne osoby. Po</w:t>
      </w:r>
      <w:r w:rsidR="00DB44AE" w:rsidRPr="0024375B">
        <w:rPr>
          <w:rFonts w:ascii="Times New Roman" w:hAnsi="Times New Roman" w:cs="Times New Roman"/>
          <w:szCs w:val="24"/>
        </w:rPr>
        <w:t> </w:t>
      </w:r>
      <w:r w:rsidRPr="0024375B">
        <w:rPr>
          <w:rFonts w:ascii="Times New Roman" w:hAnsi="Times New Roman" w:cs="Times New Roman"/>
          <w:szCs w:val="24"/>
        </w:rPr>
        <w:t>otrzymaniu rekomendacji Kolegium, Prezes Rady Ministrów</w:t>
      </w:r>
      <w:r w:rsidR="00883B9B" w:rsidRPr="0024375B">
        <w:rPr>
          <w:rFonts w:ascii="Times New Roman" w:hAnsi="Times New Roman" w:cs="Times New Roman"/>
          <w:szCs w:val="24"/>
        </w:rPr>
        <w:t>,</w:t>
      </w:r>
      <w:r w:rsidR="00EA1900">
        <w:rPr>
          <w:rFonts w:ascii="Times New Roman" w:hAnsi="Times New Roman" w:cs="Times New Roman"/>
          <w:szCs w:val="24"/>
        </w:rPr>
        <w:t xml:space="preserve"> w </w:t>
      </w:r>
      <w:r w:rsidR="00883B9B" w:rsidRPr="0024375B">
        <w:rPr>
          <w:rFonts w:ascii="Times New Roman" w:hAnsi="Times New Roman" w:cs="Times New Roman"/>
          <w:szCs w:val="24"/>
        </w:rPr>
        <w:t>celu koordynacji działań administracji rządowej</w:t>
      </w:r>
      <w:r w:rsidR="00EA1900">
        <w:rPr>
          <w:rFonts w:ascii="Times New Roman" w:hAnsi="Times New Roman" w:cs="Times New Roman"/>
          <w:szCs w:val="24"/>
        </w:rPr>
        <w:t xml:space="preserve"> w </w:t>
      </w:r>
      <w:r w:rsidR="00883B9B" w:rsidRPr="0024375B">
        <w:rPr>
          <w:rFonts w:ascii="Times New Roman" w:hAnsi="Times New Roman" w:cs="Times New Roman"/>
          <w:szCs w:val="24"/>
        </w:rPr>
        <w:t>zakresie cyberbezpieczeństwa,</w:t>
      </w:r>
      <w:r w:rsidRPr="0024375B">
        <w:rPr>
          <w:rFonts w:ascii="Times New Roman" w:hAnsi="Times New Roman" w:cs="Times New Roman"/>
          <w:szCs w:val="24"/>
        </w:rPr>
        <w:t xml:space="preserve"> może wyda</w:t>
      </w:r>
      <w:r w:rsidR="00883B9B" w:rsidRPr="0024375B">
        <w:rPr>
          <w:rFonts w:ascii="Times New Roman" w:hAnsi="Times New Roman" w:cs="Times New Roman"/>
          <w:szCs w:val="24"/>
        </w:rPr>
        <w:t>wa</w:t>
      </w:r>
      <w:r w:rsidRPr="0024375B">
        <w:rPr>
          <w:rFonts w:ascii="Times New Roman" w:hAnsi="Times New Roman" w:cs="Times New Roman"/>
          <w:szCs w:val="24"/>
        </w:rPr>
        <w:t>ć wiążące wytyczne</w:t>
      </w:r>
      <w:r w:rsidR="00883B9B" w:rsidRPr="0024375B">
        <w:rPr>
          <w:rFonts w:ascii="Times New Roman" w:hAnsi="Times New Roman" w:cs="Times New Roman"/>
          <w:szCs w:val="24"/>
        </w:rPr>
        <w:t xml:space="preserve"> dotyczące zapewnienia</w:t>
      </w:r>
      <w:bookmarkStart w:id="3" w:name="highlightHit_156"/>
      <w:bookmarkEnd w:id="3"/>
      <w:r w:rsidR="00883B9B" w:rsidRPr="0024375B">
        <w:rPr>
          <w:rFonts w:ascii="Times New Roman" w:hAnsi="Times New Roman" w:cs="Times New Roman"/>
          <w:szCs w:val="24"/>
        </w:rPr>
        <w:t xml:space="preserve"> cyberbezpieczeństwa na poziomie</w:t>
      </w:r>
      <w:bookmarkStart w:id="4" w:name="highlightHit_157"/>
      <w:bookmarkEnd w:id="4"/>
      <w:r w:rsidR="00883B9B" w:rsidRPr="0024375B">
        <w:rPr>
          <w:rFonts w:ascii="Times New Roman" w:hAnsi="Times New Roman" w:cs="Times New Roman"/>
          <w:szCs w:val="24"/>
        </w:rPr>
        <w:t xml:space="preserve"> krajowym oraz funkcjonowania</w:t>
      </w:r>
      <w:bookmarkStart w:id="5" w:name="highlightHit_158"/>
      <w:bookmarkEnd w:id="5"/>
      <w:r w:rsidR="00883B9B" w:rsidRPr="0024375B">
        <w:rPr>
          <w:rFonts w:ascii="Times New Roman" w:hAnsi="Times New Roman" w:cs="Times New Roman"/>
          <w:szCs w:val="24"/>
        </w:rPr>
        <w:t xml:space="preserve"> krajowego</w:t>
      </w:r>
      <w:bookmarkStart w:id="6" w:name="highlightHit_159"/>
      <w:bookmarkEnd w:id="6"/>
      <w:r w:rsidR="00883B9B" w:rsidRPr="0024375B">
        <w:rPr>
          <w:rFonts w:ascii="Times New Roman" w:hAnsi="Times New Roman" w:cs="Times New Roman"/>
          <w:szCs w:val="24"/>
        </w:rPr>
        <w:t xml:space="preserve"> systemu cyberbezpieczeństwa</w:t>
      </w:r>
      <w:r w:rsidRPr="0024375B">
        <w:rPr>
          <w:rFonts w:ascii="Times New Roman" w:hAnsi="Times New Roman" w:cs="Times New Roman"/>
          <w:szCs w:val="24"/>
        </w:rPr>
        <w:t>.</w:t>
      </w:r>
    </w:p>
    <w:p w14:paraId="7B838220" w14:textId="77777777" w:rsidR="00F6749E" w:rsidRPr="0024375B" w:rsidRDefault="00F6749E" w:rsidP="0024375B">
      <w:pPr>
        <w:pStyle w:val="NIEARTTEKSTtekstnieartykuowanynppodstprawnarozplubpreambua"/>
        <w:spacing w:before="0"/>
        <w:rPr>
          <w:rFonts w:ascii="Times New Roman" w:hAnsi="Times New Roman" w:cs="Times New Roman"/>
          <w:szCs w:val="24"/>
          <w:u w:val="single"/>
        </w:rPr>
      </w:pPr>
      <w:r w:rsidRPr="0024375B">
        <w:rPr>
          <w:rFonts w:ascii="Times New Roman" w:hAnsi="Times New Roman" w:cs="Times New Roman"/>
          <w:szCs w:val="24"/>
          <w:u w:val="single"/>
        </w:rPr>
        <w:t>Potrzeba</w:t>
      </w:r>
      <w:r w:rsidR="002161FE">
        <w:rPr>
          <w:rFonts w:ascii="Times New Roman" w:hAnsi="Times New Roman" w:cs="Times New Roman"/>
          <w:szCs w:val="24"/>
          <w:u w:val="single"/>
        </w:rPr>
        <w:t xml:space="preserve"> i </w:t>
      </w:r>
      <w:r w:rsidRPr="0024375B">
        <w:rPr>
          <w:rFonts w:ascii="Times New Roman" w:hAnsi="Times New Roman" w:cs="Times New Roman"/>
          <w:szCs w:val="24"/>
          <w:u w:val="single"/>
        </w:rPr>
        <w:t>cele projektu ustawy</w:t>
      </w:r>
      <w:r w:rsidR="00C5654C" w:rsidRPr="0024375B">
        <w:rPr>
          <w:rFonts w:ascii="Times New Roman" w:hAnsi="Times New Roman" w:cs="Times New Roman"/>
          <w:szCs w:val="24"/>
          <w:u w:val="single"/>
        </w:rPr>
        <w:t xml:space="preserve"> nowelizującej</w:t>
      </w:r>
    </w:p>
    <w:p w14:paraId="7F23F03F"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lastRenderedPageBreak/>
        <w:t>Ustawa</w:t>
      </w:r>
      <w:r w:rsidR="00BE3121" w:rsidRPr="0024375B">
        <w:rPr>
          <w:rFonts w:ascii="Times New Roman" w:hAnsi="Times New Roman" w:cs="Times New Roman"/>
          <w:szCs w:val="24"/>
        </w:rPr>
        <w:t>, kształtując krajowy system cyberbezpieczeństwa,</w:t>
      </w:r>
      <w:r w:rsidRPr="0024375B">
        <w:rPr>
          <w:rFonts w:ascii="Times New Roman" w:hAnsi="Times New Roman" w:cs="Times New Roman"/>
          <w:szCs w:val="24"/>
        </w:rPr>
        <w:t xml:space="preserve"> umożliwiła podjęcie prac nad </w:t>
      </w:r>
      <w:r w:rsidR="00BE3121" w:rsidRPr="0024375B">
        <w:rPr>
          <w:rFonts w:ascii="Times New Roman" w:hAnsi="Times New Roman" w:cs="Times New Roman"/>
          <w:szCs w:val="24"/>
        </w:rPr>
        <w:t xml:space="preserve">jego </w:t>
      </w:r>
      <w:r w:rsidRPr="0024375B">
        <w:rPr>
          <w:rFonts w:ascii="Times New Roman" w:hAnsi="Times New Roman" w:cs="Times New Roman"/>
          <w:szCs w:val="24"/>
        </w:rPr>
        <w:t>dalszym rozwojem</w:t>
      </w:r>
      <w:r w:rsidR="00BE3121" w:rsidRPr="0024375B">
        <w:rPr>
          <w:rFonts w:ascii="Times New Roman" w:hAnsi="Times New Roman" w:cs="Times New Roman"/>
          <w:szCs w:val="24"/>
        </w:rPr>
        <w:t>. D</w:t>
      </w:r>
      <w:r w:rsidRPr="0024375B">
        <w:rPr>
          <w:rFonts w:ascii="Times New Roman" w:hAnsi="Times New Roman" w:cs="Times New Roman"/>
          <w:szCs w:val="24"/>
        </w:rPr>
        <w:t xml:space="preserve">oświadczenia zebrane </w:t>
      </w:r>
      <w:r w:rsidR="00883B9B" w:rsidRPr="0024375B">
        <w:rPr>
          <w:rFonts w:ascii="Times New Roman" w:hAnsi="Times New Roman" w:cs="Times New Roman"/>
          <w:szCs w:val="24"/>
        </w:rPr>
        <w:t xml:space="preserve">na przestrzeni </w:t>
      </w:r>
      <w:r w:rsidRPr="0024375B">
        <w:rPr>
          <w:rFonts w:ascii="Times New Roman" w:hAnsi="Times New Roman" w:cs="Times New Roman"/>
          <w:szCs w:val="24"/>
        </w:rPr>
        <w:t xml:space="preserve">lat funkcjonowania </w:t>
      </w:r>
      <w:r w:rsidR="00883B9B" w:rsidRPr="0024375B">
        <w:rPr>
          <w:rFonts w:ascii="Times New Roman" w:hAnsi="Times New Roman" w:cs="Times New Roman"/>
          <w:szCs w:val="24"/>
        </w:rPr>
        <w:t xml:space="preserve">tego </w:t>
      </w:r>
      <w:r w:rsidRPr="0024375B">
        <w:rPr>
          <w:rFonts w:ascii="Times New Roman" w:hAnsi="Times New Roman" w:cs="Times New Roman"/>
          <w:szCs w:val="24"/>
        </w:rPr>
        <w:t>systemu</w:t>
      </w:r>
      <w:r w:rsidR="00EA1900">
        <w:rPr>
          <w:rFonts w:ascii="Times New Roman" w:hAnsi="Times New Roman" w:cs="Times New Roman"/>
          <w:szCs w:val="24"/>
        </w:rPr>
        <w:t xml:space="preserve"> w </w:t>
      </w:r>
      <w:r w:rsidRPr="0024375B">
        <w:rPr>
          <w:rFonts w:ascii="Times New Roman" w:hAnsi="Times New Roman" w:cs="Times New Roman"/>
          <w:szCs w:val="24"/>
        </w:rPr>
        <w:t xml:space="preserve">Polsce </w:t>
      </w:r>
      <w:r w:rsidR="00BE3121" w:rsidRPr="0024375B">
        <w:rPr>
          <w:rFonts w:ascii="Times New Roman" w:hAnsi="Times New Roman" w:cs="Times New Roman"/>
          <w:szCs w:val="24"/>
        </w:rPr>
        <w:t>wskazują na</w:t>
      </w:r>
      <w:r w:rsidR="00C5654C" w:rsidRPr="0024375B">
        <w:rPr>
          <w:rFonts w:ascii="Times New Roman" w:hAnsi="Times New Roman" w:cs="Times New Roman"/>
          <w:szCs w:val="24"/>
        </w:rPr>
        <w:t> </w:t>
      </w:r>
      <w:r w:rsidR="00BE3121" w:rsidRPr="0024375B">
        <w:rPr>
          <w:rFonts w:ascii="Times New Roman" w:hAnsi="Times New Roman" w:cs="Times New Roman"/>
          <w:szCs w:val="24"/>
        </w:rPr>
        <w:t xml:space="preserve">konieczność wprowadzenia rozwiązań, wymagających </w:t>
      </w:r>
      <w:r w:rsidRPr="0024375B">
        <w:rPr>
          <w:rFonts w:ascii="Times New Roman" w:hAnsi="Times New Roman" w:cs="Times New Roman"/>
          <w:szCs w:val="24"/>
        </w:rPr>
        <w:t>dokonania zmian na poziomie ustawowym.</w:t>
      </w:r>
    </w:p>
    <w:p w14:paraId="20C48D03"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 xml:space="preserve">Mimo </w:t>
      </w:r>
      <w:r w:rsidR="00BE3121" w:rsidRPr="0024375B">
        <w:rPr>
          <w:rFonts w:ascii="Times New Roman" w:hAnsi="Times New Roman" w:cs="Times New Roman"/>
          <w:szCs w:val="24"/>
        </w:rPr>
        <w:t xml:space="preserve">stworzonej przez obowiązujące przepisy </w:t>
      </w:r>
      <w:r w:rsidRPr="0024375B">
        <w:rPr>
          <w:rFonts w:ascii="Times New Roman" w:hAnsi="Times New Roman" w:cs="Times New Roman"/>
          <w:szCs w:val="24"/>
        </w:rPr>
        <w:t>możliwości</w:t>
      </w:r>
      <w:r w:rsidR="00BE3121" w:rsidRPr="0024375B">
        <w:rPr>
          <w:rFonts w:ascii="Times New Roman" w:hAnsi="Times New Roman" w:cs="Times New Roman"/>
          <w:szCs w:val="24"/>
        </w:rPr>
        <w:t xml:space="preserve"> powoływania</w:t>
      </w:r>
      <w:r w:rsidRPr="0024375B">
        <w:rPr>
          <w:rFonts w:ascii="Times New Roman" w:hAnsi="Times New Roman" w:cs="Times New Roman"/>
          <w:szCs w:val="24"/>
        </w:rPr>
        <w:t xml:space="preserve"> </w:t>
      </w:r>
      <w:r w:rsidR="00BE3121" w:rsidRPr="0024375B">
        <w:rPr>
          <w:rFonts w:ascii="Times New Roman" w:hAnsi="Times New Roman" w:cs="Times New Roman"/>
          <w:szCs w:val="24"/>
        </w:rPr>
        <w:t xml:space="preserve">sektorowych zespołów </w:t>
      </w:r>
      <w:r w:rsidRPr="0024375B">
        <w:rPr>
          <w:rFonts w:ascii="Times New Roman" w:hAnsi="Times New Roman" w:cs="Times New Roman"/>
          <w:szCs w:val="24"/>
        </w:rPr>
        <w:t>cyberbezpieczeństwa</w:t>
      </w:r>
      <w:r w:rsidR="00BE3121" w:rsidRPr="0024375B">
        <w:rPr>
          <w:rFonts w:ascii="Times New Roman" w:hAnsi="Times New Roman" w:cs="Times New Roman"/>
          <w:szCs w:val="24"/>
        </w:rPr>
        <w:t>, zespoły takie</w:t>
      </w:r>
      <w:r w:rsidRPr="0024375B">
        <w:rPr>
          <w:rFonts w:ascii="Times New Roman" w:hAnsi="Times New Roman" w:cs="Times New Roman"/>
          <w:szCs w:val="24"/>
        </w:rPr>
        <w:t xml:space="preserve"> nie </w:t>
      </w:r>
      <w:r w:rsidR="00BE3121" w:rsidRPr="0024375B">
        <w:rPr>
          <w:rFonts w:ascii="Times New Roman" w:hAnsi="Times New Roman" w:cs="Times New Roman"/>
          <w:szCs w:val="24"/>
        </w:rPr>
        <w:t xml:space="preserve">były </w:t>
      </w:r>
      <w:r w:rsidRPr="0024375B">
        <w:rPr>
          <w:rFonts w:ascii="Times New Roman" w:hAnsi="Times New Roman" w:cs="Times New Roman"/>
          <w:szCs w:val="24"/>
        </w:rPr>
        <w:t>dotychczas powoł</w:t>
      </w:r>
      <w:r w:rsidR="00BE3121" w:rsidRPr="0024375B">
        <w:rPr>
          <w:rFonts w:ascii="Times New Roman" w:hAnsi="Times New Roman" w:cs="Times New Roman"/>
          <w:szCs w:val="24"/>
        </w:rPr>
        <w:t>ywane</w:t>
      </w:r>
      <w:r w:rsidRPr="0024375B">
        <w:rPr>
          <w:rFonts w:ascii="Times New Roman" w:hAnsi="Times New Roman" w:cs="Times New Roman"/>
          <w:szCs w:val="24"/>
        </w:rPr>
        <w:t xml:space="preserve">. </w:t>
      </w:r>
      <w:r w:rsidR="00BE3121" w:rsidRPr="0024375B">
        <w:rPr>
          <w:rFonts w:ascii="Times New Roman" w:hAnsi="Times New Roman" w:cs="Times New Roman"/>
          <w:szCs w:val="24"/>
        </w:rPr>
        <w:t>Wyjątek stanowi zespół,</w:t>
      </w:r>
      <w:r w:rsidRPr="0024375B">
        <w:rPr>
          <w:rFonts w:ascii="Times New Roman" w:hAnsi="Times New Roman" w:cs="Times New Roman"/>
          <w:szCs w:val="24"/>
        </w:rPr>
        <w:t xml:space="preserve"> </w:t>
      </w:r>
      <w:r w:rsidR="00BE3121" w:rsidRPr="0024375B">
        <w:rPr>
          <w:rFonts w:ascii="Times New Roman" w:hAnsi="Times New Roman" w:cs="Times New Roman"/>
          <w:szCs w:val="24"/>
        </w:rPr>
        <w:t>powołany przy Komisji Nadzoru Finansowego, dla najbardziej dojrzałego ze wszystkich sektorów, tj</w:t>
      </w:r>
      <w:r w:rsidR="00C5654C" w:rsidRPr="0024375B">
        <w:rPr>
          <w:rFonts w:ascii="Times New Roman" w:hAnsi="Times New Roman" w:cs="Times New Roman"/>
          <w:szCs w:val="24"/>
        </w:rPr>
        <w:t>.</w:t>
      </w:r>
      <w:r w:rsidR="00BE3121" w:rsidRPr="0024375B">
        <w:rPr>
          <w:rFonts w:ascii="Times New Roman" w:hAnsi="Times New Roman" w:cs="Times New Roman"/>
          <w:szCs w:val="24"/>
        </w:rPr>
        <w:t xml:space="preserve"> sektora finansowego </w:t>
      </w:r>
      <w:r w:rsidR="00E96F6D" w:rsidRPr="0024375B">
        <w:rPr>
          <w:rFonts w:ascii="Times New Roman" w:hAnsi="Times New Roman" w:cs="Times New Roman"/>
          <w:szCs w:val="24"/>
        </w:rPr>
        <w:t xml:space="preserve">– </w:t>
      </w:r>
      <w:r w:rsidRPr="0024375B">
        <w:rPr>
          <w:rFonts w:ascii="Times New Roman" w:hAnsi="Times New Roman" w:cs="Times New Roman"/>
          <w:szCs w:val="24"/>
        </w:rPr>
        <w:t xml:space="preserve">CSIRT KNF. Zespół </w:t>
      </w:r>
      <w:r w:rsidR="00BE3121" w:rsidRPr="0024375B">
        <w:rPr>
          <w:rFonts w:ascii="Times New Roman" w:hAnsi="Times New Roman" w:cs="Times New Roman"/>
          <w:szCs w:val="24"/>
        </w:rPr>
        <w:t xml:space="preserve">ten </w:t>
      </w:r>
      <w:r w:rsidRPr="0024375B">
        <w:rPr>
          <w:rFonts w:ascii="Times New Roman" w:hAnsi="Times New Roman" w:cs="Times New Roman"/>
          <w:szCs w:val="24"/>
        </w:rPr>
        <w:t>powstał</w:t>
      </w:r>
      <w:r w:rsidR="00EA1900">
        <w:rPr>
          <w:rFonts w:ascii="Times New Roman" w:hAnsi="Times New Roman" w:cs="Times New Roman"/>
          <w:szCs w:val="24"/>
        </w:rPr>
        <w:t xml:space="preserve"> w </w:t>
      </w:r>
      <w:r w:rsidRPr="0024375B">
        <w:rPr>
          <w:rFonts w:ascii="Times New Roman" w:hAnsi="Times New Roman" w:cs="Times New Roman"/>
          <w:szCs w:val="24"/>
        </w:rPr>
        <w:t>oparciu</w:t>
      </w:r>
      <w:r w:rsidR="0077165A">
        <w:rPr>
          <w:rFonts w:ascii="Times New Roman" w:hAnsi="Times New Roman" w:cs="Times New Roman"/>
          <w:szCs w:val="24"/>
        </w:rPr>
        <w:t xml:space="preserve"> o </w:t>
      </w:r>
      <w:r w:rsidRPr="0024375B">
        <w:rPr>
          <w:rFonts w:ascii="Times New Roman" w:hAnsi="Times New Roman" w:cs="Times New Roman"/>
          <w:szCs w:val="24"/>
        </w:rPr>
        <w:t>wewnętrzne środki</w:t>
      </w:r>
      <w:r w:rsidR="002161FE">
        <w:rPr>
          <w:rFonts w:ascii="Times New Roman" w:hAnsi="Times New Roman" w:cs="Times New Roman"/>
          <w:szCs w:val="24"/>
        </w:rPr>
        <w:t xml:space="preserve"> i </w:t>
      </w:r>
      <w:r w:rsidRPr="0024375B">
        <w:rPr>
          <w:rFonts w:ascii="Times New Roman" w:hAnsi="Times New Roman" w:cs="Times New Roman"/>
          <w:szCs w:val="24"/>
        </w:rPr>
        <w:t>zasoby kadrowe U</w:t>
      </w:r>
      <w:r w:rsidR="00EC0335" w:rsidRPr="0024375B">
        <w:rPr>
          <w:rFonts w:ascii="Times New Roman" w:hAnsi="Times New Roman" w:cs="Times New Roman"/>
          <w:szCs w:val="24"/>
        </w:rPr>
        <w:t xml:space="preserve">rzędu </w:t>
      </w:r>
      <w:r w:rsidRPr="0024375B">
        <w:rPr>
          <w:rFonts w:ascii="Times New Roman" w:hAnsi="Times New Roman" w:cs="Times New Roman"/>
          <w:szCs w:val="24"/>
        </w:rPr>
        <w:t>K</w:t>
      </w:r>
      <w:r w:rsidR="00EC0335" w:rsidRPr="0024375B">
        <w:rPr>
          <w:rFonts w:ascii="Times New Roman" w:hAnsi="Times New Roman" w:cs="Times New Roman"/>
          <w:szCs w:val="24"/>
        </w:rPr>
        <w:t xml:space="preserve">omisji </w:t>
      </w:r>
      <w:r w:rsidRPr="0024375B">
        <w:rPr>
          <w:rFonts w:ascii="Times New Roman" w:hAnsi="Times New Roman" w:cs="Times New Roman"/>
          <w:szCs w:val="24"/>
        </w:rPr>
        <w:t>N</w:t>
      </w:r>
      <w:r w:rsidR="00EC0335" w:rsidRPr="0024375B">
        <w:rPr>
          <w:rFonts w:ascii="Times New Roman" w:hAnsi="Times New Roman" w:cs="Times New Roman"/>
          <w:szCs w:val="24"/>
        </w:rPr>
        <w:t xml:space="preserve">adzoru </w:t>
      </w:r>
      <w:r w:rsidRPr="0024375B">
        <w:rPr>
          <w:rFonts w:ascii="Times New Roman" w:hAnsi="Times New Roman" w:cs="Times New Roman"/>
          <w:szCs w:val="24"/>
        </w:rPr>
        <w:t>F</w:t>
      </w:r>
      <w:r w:rsidR="00EC0335" w:rsidRPr="0024375B">
        <w:rPr>
          <w:rFonts w:ascii="Times New Roman" w:hAnsi="Times New Roman" w:cs="Times New Roman"/>
          <w:szCs w:val="24"/>
        </w:rPr>
        <w:t>inansowego</w:t>
      </w:r>
      <w:r w:rsidRPr="0024375B">
        <w:rPr>
          <w:rFonts w:ascii="Times New Roman" w:hAnsi="Times New Roman" w:cs="Times New Roman"/>
          <w:szCs w:val="24"/>
        </w:rPr>
        <w:t xml:space="preserve">. </w:t>
      </w:r>
      <w:r w:rsidR="00883B9B" w:rsidRPr="0024375B">
        <w:rPr>
          <w:rFonts w:ascii="Times New Roman" w:hAnsi="Times New Roman" w:cs="Times New Roman"/>
          <w:szCs w:val="24"/>
        </w:rPr>
        <w:t>Funkcjonowanie tego zespołu wskazuje, że ustanowienie CSIRT sektorowych dla każdego</w:t>
      </w:r>
      <w:r w:rsidR="002161FE">
        <w:rPr>
          <w:rFonts w:ascii="Times New Roman" w:hAnsi="Times New Roman" w:cs="Times New Roman"/>
          <w:szCs w:val="24"/>
        </w:rPr>
        <w:t xml:space="preserve"> z </w:t>
      </w:r>
      <w:r w:rsidR="00883B9B" w:rsidRPr="0024375B">
        <w:rPr>
          <w:rFonts w:ascii="Times New Roman" w:hAnsi="Times New Roman" w:cs="Times New Roman"/>
          <w:szCs w:val="24"/>
        </w:rPr>
        <w:t xml:space="preserve">kluczowych sektorów polskiej gospodarki ma kluczowy </w:t>
      </w:r>
      <w:r w:rsidR="004211D9" w:rsidRPr="0024375B">
        <w:rPr>
          <w:rFonts w:ascii="Times New Roman" w:hAnsi="Times New Roman" w:cs="Times New Roman"/>
          <w:szCs w:val="24"/>
        </w:rPr>
        <w:t>wpływ na p</w:t>
      </w:r>
      <w:r w:rsidRPr="0024375B">
        <w:rPr>
          <w:rFonts w:ascii="Times New Roman" w:hAnsi="Times New Roman" w:cs="Times New Roman"/>
          <w:szCs w:val="24"/>
        </w:rPr>
        <w:t>odniesieni</w:t>
      </w:r>
      <w:r w:rsidR="00BE3121" w:rsidRPr="0024375B">
        <w:rPr>
          <w:rFonts w:ascii="Times New Roman" w:hAnsi="Times New Roman" w:cs="Times New Roman"/>
          <w:szCs w:val="24"/>
        </w:rPr>
        <w:t>e</w:t>
      </w:r>
      <w:r w:rsidRPr="0024375B">
        <w:rPr>
          <w:rFonts w:ascii="Times New Roman" w:hAnsi="Times New Roman" w:cs="Times New Roman"/>
          <w:szCs w:val="24"/>
        </w:rPr>
        <w:t xml:space="preserve"> skuteczności reagowania na incydenty. Dzięki temu operatorzy usług kluczowych będą</w:t>
      </w:r>
      <w:r w:rsidR="00EA1900">
        <w:rPr>
          <w:rFonts w:ascii="Times New Roman" w:hAnsi="Times New Roman" w:cs="Times New Roman"/>
          <w:szCs w:val="24"/>
        </w:rPr>
        <w:t xml:space="preserve"> w </w:t>
      </w:r>
      <w:r w:rsidRPr="0024375B">
        <w:rPr>
          <w:rFonts w:ascii="Times New Roman" w:hAnsi="Times New Roman" w:cs="Times New Roman"/>
          <w:szCs w:val="24"/>
        </w:rPr>
        <w:t>stanie szybciej</w:t>
      </w:r>
      <w:r w:rsidR="002161FE">
        <w:rPr>
          <w:rFonts w:ascii="Times New Roman" w:hAnsi="Times New Roman" w:cs="Times New Roman"/>
          <w:szCs w:val="24"/>
        </w:rPr>
        <w:t xml:space="preserve"> i </w:t>
      </w:r>
      <w:r w:rsidR="004211D9" w:rsidRPr="0024375B">
        <w:rPr>
          <w:rFonts w:ascii="Times New Roman" w:hAnsi="Times New Roman" w:cs="Times New Roman"/>
          <w:szCs w:val="24"/>
        </w:rPr>
        <w:t xml:space="preserve">bardziej efektywnie </w:t>
      </w:r>
      <w:r w:rsidRPr="0024375B">
        <w:rPr>
          <w:rFonts w:ascii="Times New Roman" w:hAnsi="Times New Roman" w:cs="Times New Roman"/>
          <w:szCs w:val="24"/>
        </w:rPr>
        <w:t>radzić sobie</w:t>
      </w:r>
      <w:r w:rsidR="002161FE">
        <w:rPr>
          <w:rFonts w:ascii="Times New Roman" w:hAnsi="Times New Roman" w:cs="Times New Roman"/>
          <w:szCs w:val="24"/>
        </w:rPr>
        <w:t xml:space="preserve"> z </w:t>
      </w:r>
      <w:r w:rsidRPr="0024375B">
        <w:rPr>
          <w:rFonts w:ascii="Times New Roman" w:hAnsi="Times New Roman" w:cs="Times New Roman"/>
          <w:szCs w:val="24"/>
        </w:rPr>
        <w:t>incydentami, gdyż otrzymają bezpośrednie wsparcie</w:t>
      </w:r>
      <w:r w:rsidR="00EA1900">
        <w:rPr>
          <w:rFonts w:ascii="Times New Roman" w:hAnsi="Times New Roman" w:cs="Times New Roman"/>
          <w:szCs w:val="24"/>
        </w:rPr>
        <w:t xml:space="preserve"> w </w:t>
      </w:r>
      <w:r w:rsidRPr="0024375B">
        <w:rPr>
          <w:rFonts w:ascii="Times New Roman" w:hAnsi="Times New Roman" w:cs="Times New Roman"/>
          <w:szCs w:val="24"/>
        </w:rPr>
        <w:t>reagowaniu na</w:t>
      </w:r>
      <w:r w:rsidR="00C5654C" w:rsidRPr="0024375B">
        <w:rPr>
          <w:rFonts w:ascii="Times New Roman" w:hAnsi="Times New Roman" w:cs="Times New Roman"/>
          <w:szCs w:val="24"/>
        </w:rPr>
        <w:t> </w:t>
      </w:r>
      <w:r w:rsidRPr="0024375B">
        <w:rPr>
          <w:rFonts w:ascii="Times New Roman" w:hAnsi="Times New Roman" w:cs="Times New Roman"/>
          <w:szCs w:val="24"/>
        </w:rPr>
        <w:t xml:space="preserve">incydenty. </w:t>
      </w:r>
    </w:p>
    <w:p w14:paraId="2F6263C3"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 xml:space="preserve">Zauważono </w:t>
      </w:r>
      <w:r w:rsidR="004211D9" w:rsidRPr="0024375B">
        <w:rPr>
          <w:rFonts w:ascii="Times New Roman" w:hAnsi="Times New Roman" w:cs="Times New Roman"/>
          <w:szCs w:val="24"/>
        </w:rPr>
        <w:t xml:space="preserve">także </w:t>
      </w:r>
      <w:r w:rsidRPr="0024375B">
        <w:rPr>
          <w:rFonts w:ascii="Times New Roman" w:hAnsi="Times New Roman" w:cs="Times New Roman"/>
          <w:szCs w:val="24"/>
        </w:rPr>
        <w:t xml:space="preserve">potrzebę zwiększenia </w:t>
      </w:r>
      <w:r w:rsidR="00E232F1" w:rsidRPr="0024375B">
        <w:rPr>
          <w:rFonts w:ascii="Times New Roman" w:hAnsi="Times New Roman" w:cs="Times New Roman"/>
          <w:szCs w:val="24"/>
        </w:rPr>
        <w:t xml:space="preserve">zakresu </w:t>
      </w:r>
      <w:r w:rsidRPr="0024375B">
        <w:rPr>
          <w:rFonts w:ascii="Times New Roman" w:hAnsi="Times New Roman" w:cs="Times New Roman"/>
          <w:szCs w:val="24"/>
        </w:rPr>
        <w:t>uprawnień Pełnomocnika</w:t>
      </w:r>
      <w:r w:rsidR="00EA1900">
        <w:rPr>
          <w:rFonts w:ascii="Times New Roman" w:hAnsi="Times New Roman" w:cs="Times New Roman"/>
          <w:szCs w:val="24"/>
        </w:rPr>
        <w:t xml:space="preserve"> w </w:t>
      </w:r>
      <w:r w:rsidR="002E2851" w:rsidRPr="0024375B">
        <w:rPr>
          <w:rFonts w:ascii="Times New Roman" w:hAnsi="Times New Roman" w:cs="Times New Roman"/>
          <w:szCs w:val="24"/>
        </w:rPr>
        <w:t xml:space="preserve">obszarze zapewniania </w:t>
      </w:r>
      <w:r w:rsidRPr="0024375B">
        <w:rPr>
          <w:rFonts w:ascii="Times New Roman" w:hAnsi="Times New Roman" w:cs="Times New Roman"/>
          <w:szCs w:val="24"/>
        </w:rPr>
        <w:t>koordynacji współpracy pomiędzy podmiotami krajowego systemu cyberbezpieczeństwa</w:t>
      </w:r>
      <w:r w:rsidR="002E2851" w:rsidRPr="0024375B">
        <w:rPr>
          <w:rFonts w:ascii="Times New Roman" w:hAnsi="Times New Roman" w:cs="Times New Roman"/>
          <w:szCs w:val="24"/>
        </w:rPr>
        <w:t>, której wzmocnienie jest niezbędne</w:t>
      </w:r>
      <w:r w:rsidR="002161FE">
        <w:rPr>
          <w:rFonts w:ascii="Times New Roman" w:hAnsi="Times New Roman" w:cs="Times New Roman"/>
          <w:szCs w:val="24"/>
        </w:rPr>
        <w:t xml:space="preserve"> z </w:t>
      </w:r>
      <w:r w:rsidR="002E2851" w:rsidRPr="0024375B">
        <w:rPr>
          <w:rFonts w:ascii="Times New Roman" w:hAnsi="Times New Roman" w:cs="Times New Roman"/>
          <w:szCs w:val="24"/>
        </w:rPr>
        <w:t>punktu widzenia</w:t>
      </w:r>
      <w:r w:rsidR="004211D9" w:rsidRPr="0024375B">
        <w:rPr>
          <w:rFonts w:ascii="Times New Roman" w:hAnsi="Times New Roman" w:cs="Times New Roman"/>
          <w:szCs w:val="24"/>
        </w:rPr>
        <w:t xml:space="preserve"> </w:t>
      </w:r>
      <w:r w:rsidR="002E2851" w:rsidRPr="0024375B">
        <w:rPr>
          <w:rFonts w:ascii="Times New Roman" w:hAnsi="Times New Roman" w:cs="Times New Roman"/>
          <w:szCs w:val="24"/>
        </w:rPr>
        <w:t xml:space="preserve">zwiększenia efektywności </w:t>
      </w:r>
      <w:r w:rsidRPr="0024375B">
        <w:rPr>
          <w:rFonts w:ascii="Times New Roman" w:hAnsi="Times New Roman" w:cs="Times New Roman"/>
          <w:szCs w:val="24"/>
        </w:rPr>
        <w:t>odpowiedzi na nowe cyberzagrożenia</w:t>
      </w:r>
      <w:r w:rsidR="00C5654C" w:rsidRPr="0024375B">
        <w:rPr>
          <w:rFonts w:ascii="Times New Roman" w:hAnsi="Times New Roman" w:cs="Times New Roman"/>
          <w:szCs w:val="24"/>
        </w:rPr>
        <w:t>,</w:t>
      </w:r>
      <w:r w:rsidR="002161FE">
        <w:rPr>
          <w:rFonts w:ascii="Times New Roman" w:hAnsi="Times New Roman" w:cs="Times New Roman"/>
          <w:szCs w:val="24"/>
        </w:rPr>
        <w:t xml:space="preserve"> a </w:t>
      </w:r>
      <w:r w:rsidR="00C5654C" w:rsidRPr="0024375B">
        <w:rPr>
          <w:rFonts w:ascii="Times New Roman" w:hAnsi="Times New Roman" w:cs="Times New Roman"/>
          <w:szCs w:val="24"/>
        </w:rPr>
        <w:t>także jest zgodne</w:t>
      </w:r>
      <w:r w:rsidR="002161FE">
        <w:rPr>
          <w:rFonts w:ascii="Times New Roman" w:hAnsi="Times New Roman" w:cs="Times New Roman"/>
          <w:szCs w:val="24"/>
        </w:rPr>
        <w:t xml:space="preserve"> z </w:t>
      </w:r>
      <w:r w:rsidR="00C5654C" w:rsidRPr="0024375B">
        <w:rPr>
          <w:rFonts w:ascii="Times New Roman" w:hAnsi="Times New Roman" w:cs="Times New Roman"/>
          <w:szCs w:val="24"/>
        </w:rPr>
        <w:t>oczekiwaniem ustawodawcy co do koordynacyjnej funkcji Pełnomocnika</w:t>
      </w:r>
      <w:r w:rsidRPr="0024375B">
        <w:rPr>
          <w:rFonts w:ascii="Times New Roman" w:hAnsi="Times New Roman" w:cs="Times New Roman"/>
          <w:szCs w:val="24"/>
        </w:rPr>
        <w:t>.</w:t>
      </w:r>
    </w:p>
    <w:p w14:paraId="6C9A081A"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Jednym</w:t>
      </w:r>
      <w:r w:rsidR="002161FE">
        <w:rPr>
          <w:rFonts w:ascii="Times New Roman" w:hAnsi="Times New Roman" w:cs="Times New Roman"/>
          <w:szCs w:val="24"/>
        </w:rPr>
        <w:t xml:space="preserve"> z </w:t>
      </w:r>
      <w:r w:rsidRPr="0024375B">
        <w:rPr>
          <w:rFonts w:ascii="Times New Roman" w:hAnsi="Times New Roman" w:cs="Times New Roman"/>
          <w:szCs w:val="24"/>
        </w:rPr>
        <w:t>najczęściej występujących problemów</w:t>
      </w:r>
      <w:r w:rsidR="008D345E" w:rsidRPr="0024375B">
        <w:rPr>
          <w:rFonts w:ascii="Times New Roman" w:hAnsi="Times New Roman" w:cs="Times New Roman"/>
          <w:szCs w:val="24"/>
        </w:rPr>
        <w:t xml:space="preserve"> związanych</w:t>
      </w:r>
      <w:r w:rsidR="002161FE">
        <w:rPr>
          <w:rFonts w:ascii="Times New Roman" w:hAnsi="Times New Roman" w:cs="Times New Roman"/>
          <w:szCs w:val="24"/>
        </w:rPr>
        <w:t xml:space="preserve"> z </w:t>
      </w:r>
      <w:r w:rsidR="008D345E" w:rsidRPr="0024375B">
        <w:rPr>
          <w:rFonts w:ascii="Times New Roman" w:hAnsi="Times New Roman" w:cs="Times New Roman"/>
          <w:szCs w:val="24"/>
        </w:rPr>
        <w:t>funkcjonowaniem krajowego systemu cyberbezpieczeństwa</w:t>
      </w:r>
      <w:r w:rsidRPr="0024375B">
        <w:rPr>
          <w:rFonts w:ascii="Times New Roman" w:hAnsi="Times New Roman" w:cs="Times New Roman"/>
          <w:szCs w:val="24"/>
        </w:rPr>
        <w:t xml:space="preserve"> jest brak </w:t>
      </w:r>
      <w:r w:rsidR="00E232F1" w:rsidRPr="0024375B">
        <w:rPr>
          <w:rFonts w:ascii="Times New Roman" w:hAnsi="Times New Roman" w:cs="Times New Roman"/>
          <w:szCs w:val="24"/>
        </w:rPr>
        <w:t xml:space="preserve">powołania przez </w:t>
      </w:r>
      <w:r w:rsidR="006F3611" w:rsidRPr="0024375B">
        <w:rPr>
          <w:rFonts w:ascii="Times New Roman" w:hAnsi="Times New Roman" w:cs="Times New Roman"/>
          <w:szCs w:val="24"/>
        </w:rPr>
        <w:t xml:space="preserve">operatorów usług kluczowych </w:t>
      </w:r>
      <w:r w:rsidR="00E232F1" w:rsidRPr="0024375B">
        <w:rPr>
          <w:rFonts w:ascii="Times New Roman" w:hAnsi="Times New Roman" w:cs="Times New Roman"/>
          <w:szCs w:val="24"/>
        </w:rPr>
        <w:t xml:space="preserve">odpowiednio ukształtowanych </w:t>
      </w:r>
      <w:r w:rsidRPr="0024375B">
        <w:rPr>
          <w:rFonts w:ascii="Times New Roman" w:hAnsi="Times New Roman" w:cs="Times New Roman"/>
          <w:szCs w:val="24"/>
        </w:rPr>
        <w:t>struktur odpowiedzialnych za cyberbezpieczeństwo</w:t>
      </w:r>
      <w:r w:rsidR="006F3611" w:rsidRPr="0024375B">
        <w:rPr>
          <w:rFonts w:ascii="Times New Roman" w:hAnsi="Times New Roman" w:cs="Times New Roman"/>
          <w:szCs w:val="24"/>
        </w:rPr>
        <w:t xml:space="preserve">. </w:t>
      </w:r>
      <w:r w:rsidR="002E2851" w:rsidRPr="0024375B">
        <w:rPr>
          <w:rFonts w:ascii="Times New Roman" w:hAnsi="Times New Roman" w:cs="Times New Roman"/>
          <w:szCs w:val="24"/>
        </w:rPr>
        <w:t>Do problemów utrudniających</w:t>
      </w:r>
      <w:r w:rsidR="00822C0A" w:rsidRPr="0024375B">
        <w:rPr>
          <w:rFonts w:ascii="Times New Roman" w:hAnsi="Times New Roman" w:cs="Times New Roman"/>
          <w:szCs w:val="24"/>
        </w:rPr>
        <w:t xml:space="preserve"> skuteczną obsługę incydentów</w:t>
      </w:r>
      <w:r w:rsidR="002E2851" w:rsidRPr="0024375B">
        <w:rPr>
          <w:rFonts w:ascii="Times New Roman" w:hAnsi="Times New Roman" w:cs="Times New Roman"/>
          <w:szCs w:val="24"/>
        </w:rPr>
        <w:t xml:space="preserve"> należą także</w:t>
      </w:r>
      <w:r w:rsidR="006F3611" w:rsidRPr="0024375B">
        <w:rPr>
          <w:rFonts w:ascii="Times New Roman" w:hAnsi="Times New Roman" w:cs="Times New Roman"/>
          <w:szCs w:val="24"/>
        </w:rPr>
        <w:t>:</w:t>
      </w:r>
      <w:r w:rsidRPr="0024375B">
        <w:rPr>
          <w:rFonts w:ascii="Times New Roman" w:hAnsi="Times New Roman" w:cs="Times New Roman"/>
          <w:szCs w:val="24"/>
        </w:rPr>
        <w:t xml:space="preserve"> </w:t>
      </w:r>
      <w:r w:rsidR="002E2851" w:rsidRPr="0024375B">
        <w:rPr>
          <w:rFonts w:ascii="Times New Roman" w:hAnsi="Times New Roman" w:cs="Times New Roman"/>
          <w:szCs w:val="24"/>
        </w:rPr>
        <w:t xml:space="preserve">nieodpowiadający faktycznym potrzebom </w:t>
      </w:r>
      <w:r w:rsidRPr="0024375B">
        <w:rPr>
          <w:rFonts w:ascii="Times New Roman" w:hAnsi="Times New Roman" w:cs="Times New Roman"/>
          <w:szCs w:val="24"/>
        </w:rPr>
        <w:t xml:space="preserve">zakres posiadanych </w:t>
      </w:r>
      <w:r w:rsidR="006F3611" w:rsidRPr="0024375B">
        <w:rPr>
          <w:rFonts w:ascii="Times New Roman" w:hAnsi="Times New Roman" w:cs="Times New Roman"/>
          <w:szCs w:val="24"/>
        </w:rPr>
        <w:t xml:space="preserve">przez pracowników operatora </w:t>
      </w:r>
      <w:r w:rsidRPr="0024375B">
        <w:rPr>
          <w:rFonts w:ascii="Times New Roman" w:hAnsi="Times New Roman" w:cs="Times New Roman"/>
          <w:szCs w:val="24"/>
        </w:rPr>
        <w:t xml:space="preserve">kwalifikacji oraz </w:t>
      </w:r>
      <w:r w:rsidR="006F3611" w:rsidRPr="0024375B">
        <w:rPr>
          <w:rFonts w:ascii="Times New Roman" w:hAnsi="Times New Roman" w:cs="Times New Roman"/>
          <w:szCs w:val="24"/>
        </w:rPr>
        <w:t>ograniczon</w:t>
      </w:r>
      <w:r w:rsidR="00822C0A" w:rsidRPr="0024375B">
        <w:rPr>
          <w:rFonts w:ascii="Times New Roman" w:hAnsi="Times New Roman" w:cs="Times New Roman"/>
          <w:szCs w:val="24"/>
        </w:rPr>
        <w:t>y</w:t>
      </w:r>
      <w:r w:rsidR="006F3611" w:rsidRPr="0024375B">
        <w:rPr>
          <w:rFonts w:ascii="Times New Roman" w:hAnsi="Times New Roman" w:cs="Times New Roman"/>
          <w:szCs w:val="24"/>
        </w:rPr>
        <w:t xml:space="preserve"> dostęp</w:t>
      </w:r>
      <w:r w:rsidR="00822C0A" w:rsidRPr="0024375B">
        <w:rPr>
          <w:rFonts w:ascii="Times New Roman" w:hAnsi="Times New Roman" w:cs="Times New Roman"/>
          <w:szCs w:val="24"/>
        </w:rPr>
        <w:t xml:space="preserve"> </w:t>
      </w:r>
      <w:r w:rsidRPr="0024375B">
        <w:rPr>
          <w:rFonts w:ascii="Times New Roman" w:hAnsi="Times New Roman" w:cs="Times New Roman"/>
          <w:szCs w:val="24"/>
        </w:rPr>
        <w:t>do informacji</w:t>
      </w:r>
      <w:r w:rsidR="0077165A">
        <w:rPr>
          <w:rFonts w:ascii="Times New Roman" w:hAnsi="Times New Roman" w:cs="Times New Roman"/>
          <w:szCs w:val="24"/>
        </w:rPr>
        <w:t xml:space="preserve"> o </w:t>
      </w:r>
      <w:r w:rsidRPr="0024375B">
        <w:rPr>
          <w:rFonts w:ascii="Times New Roman" w:hAnsi="Times New Roman" w:cs="Times New Roman"/>
          <w:szCs w:val="24"/>
        </w:rPr>
        <w:t>cyberzagrożeniach.</w:t>
      </w:r>
    </w:p>
    <w:p w14:paraId="6C35CC99" w14:textId="77777777" w:rsidR="00F6749E" w:rsidRPr="0024375B" w:rsidRDefault="002E2851" w:rsidP="0024375B">
      <w:pPr>
        <w:pStyle w:val="NIEARTTEKSTtekstnieartykuowanynppodstprawnarozplubpreambua"/>
        <w:spacing w:before="0"/>
        <w:rPr>
          <w:rFonts w:ascii="Times New Roman" w:hAnsi="Times New Roman" w:cs="Times New Roman"/>
        </w:rPr>
      </w:pPr>
      <w:r w:rsidRPr="0024375B">
        <w:rPr>
          <w:rFonts w:ascii="Times New Roman" w:hAnsi="Times New Roman" w:cs="Times New Roman"/>
        </w:rPr>
        <w:t xml:space="preserve">Wyniki przeprowadzonych na zlecenie Ministra Cyfryzacji </w:t>
      </w:r>
      <w:r w:rsidR="00E232F1" w:rsidRPr="0024375B">
        <w:rPr>
          <w:rFonts w:ascii="Times New Roman" w:hAnsi="Times New Roman" w:cs="Times New Roman"/>
        </w:rPr>
        <w:t xml:space="preserve">analiz </w:t>
      </w:r>
      <w:r w:rsidRPr="0024375B">
        <w:rPr>
          <w:rFonts w:ascii="Times New Roman" w:hAnsi="Times New Roman" w:cs="Times New Roman"/>
        </w:rPr>
        <w:t>wskazują na zróżnicowany, często wywołujący zastrzeżenia</w:t>
      </w:r>
      <w:r w:rsidR="00363CB1" w:rsidRPr="0024375B">
        <w:rPr>
          <w:rFonts w:ascii="Times New Roman" w:hAnsi="Times New Roman" w:cs="Times New Roman"/>
        </w:rPr>
        <w:t>,</w:t>
      </w:r>
      <w:r w:rsidR="00E232F1" w:rsidRPr="0024375B">
        <w:rPr>
          <w:rFonts w:ascii="Times New Roman" w:hAnsi="Times New Roman" w:cs="Times New Roman"/>
        </w:rPr>
        <w:t xml:space="preserve"> poziom zabezpieczeń e-usług oferowanych przez samorządy. Potwierdzenie</w:t>
      </w:r>
      <w:r w:rsidRPr="0024375B">
        <w:rPr>
          <w:rFonts w:ascii="Times New Roman" w:hAnsi="Times New Roman" w:cs="Times New Roman"/>
        </w:rPr>
        <w:t>m</w:t>
      </w:r>
      <w:r w:rsidR="00DB44AE" w:rsidRPr="0024375B">
        <w:rPr>
          <w:rFonts w:ascii="Times New Roman" w:hAnsi="Times New Roman" w:cs="Times New Roman"/>
        </w:rPr>
        <w:t xml:space="preserve"> </w:t>
      </w:r>
      <w:r w:rsidR="00363CB1" w:rsidRPr="0024375B">
        <w:rPr>
          <w:rFonts w:ascii="Times New Roman" w:hAnsi="Times New Roman" w:cs="Times New Roman"/>
        </w:rPr>
        <w:t>są</w:t>
      </w:r>
      <w:r w:rsidR="008D345E" w:rsidRPr="0024375B">
        <w:rPr>
          <w:rFonts w:ascii="Times New Roman" w:hAnsi="Times New Roman" w:cs="Times New Roman"/>
        </w:rPr>
        <w:t> </w:t>
      </w:r>
      <w:r w:rsidR="00363CB1" w:rsidRPr="0024375B">
        <w:rPr>
          <w:rFonts w:ascii="Times New Roman" w:hAnsi="Times New Roman" w:cs="Times New Roman"/>
        </w:rPr>
        <w:t>ustalenia pokontrolne zawarte</w:t>
      </w:r>
      <w:r w:rsidR="00EA1900">
        <w:rPr>
          <w:rFonts w:ascii="Times New Roman" w:hAnsi="Times New Roman" w:cs="Times New Roman"/>
        </w:rPr>
        <w:t xml:space="preserve"> w </w:t>
      </w:r>
      <w:r w:rsidR="00F6749E" w:rsidRPr="0024375B">
        <w:rPr>
          <w:rFonts w:ascii="Times New Roman" w:hAnsi="Times New Roman" w:cs="Times New Roman"/>
        </w:rPr>
        <w:t>wystąpieniu pokontrolnym Najwyższej Izby Kontroli</w:t>
      </w:r>
      <w:r w:rsidR="002161FE">
        <w:rPr>
          <w:rFonts w:ascii="Times New Roman" w:hAnsi="Times New Roman" w:cs="Times New Roman"/>
        </w:rPr>
        <w:t xml:space="preserve"> z </w:t>
      </w:r>
      <w:r w:rsidR="00F6749E" w:rsidRPr="0024375B">
        <w:rPr>
          <w:rFonts w:ascii="Times New Roman" w:hAnsi="Times New Roman" w:cs="Times New Roman"/>
        </w:rPr>
        <w:t>2019 r.</w:t>
      </w:r>
      <w:r w:rsidR="00E232F1" w:rsidRPr="0024375B">
        <w:rPr>
          <w:rFonts w:ascii="Times New Roman" w:hAnsi="Times New Roman" w:cs="Times New Roman"/>
        </w:rPr>
        <w:t>,</w:t>
      </w:r>
      <w:r w:rsidR="002161FE">
        <w:rPr>
          <w:rFonts w:ascii="Times New Roman" w:hAnsi="Times New Roman" w:cs="Times New Roman"/>
        </w:rPr>
        <w:t xml:space="preserve"> z </w:t>
      </w:r>
      <w:r w:rsidR="00E232F1" w:rsidRPr="0024375B">
        <w:rPr>
          <w:rFonts w:ascii="Times New Roman" w:hAnsi="Times New Roman" w:cs="Times New Roman"/>
        </w:rPr>
        <w:t>którego</w:t>
      </w:r>
      <w:r w:rsidR="00F6749E" w:rsidRPr="0024375B">
        <w:rPr>
          <w:rFonts w:ascii="Times New Roman" w:hAnsi="Times New Roman" w:cs="Times New Roman"/>
        </w:rPr>
        <w:t xml:space="preserve"> wynika, że negatywnie oceniono aż 70% kontrolowanych jednostek samorządu terytorialnego</w:t>
      </w:r>
      <w:r w:rsidR="00EA1900">
        <w:rPr>
          <w:rFonts w:ascii="Times New Roman" w:hAnsi="Times New Roman" w:cs="Times New Roman"/>
        </w:rPr>
        <w:t xml:space="preserve"> w </w:t>
      </w:r>
      <w:r w:rsidR="00F6749E" w:rsidRPr="0024375B">
        <w:rPr>
          <w:rFonts w:ascii="Times New Roman" w:hAnsi="Times New Roman" w:cs="Times New Roman"/>
        </w:rPr>
        <w:t>zakresie wykonywania zadań związanych</w:t>
      </w:r>
      <w:r w:rsidR="002161FE">
        <w:rPr>
          <w:rFonts w:ascii="Times New Roman" w:hAnsi="Times New Roman" w:cs="Times New Roman"/>
        </w:rPr>
        <w:t xml:space="preserve"> z </w:t>
      </w:r>
      <w:r w:rsidR="00F6749E" w:rsidRPr="0024375B">
        <w:rPr>
          <w:rFonts w:ascii="Times New Roman" w:hAnsi="Times New Roman" w:cs="Times New Roman"/>
        </w:rPr>
        <w:t>zapewnieniem bezpieczeństwa przetwarzania informacji</w:t>
      </w:r>
      <w:r w:rsidR="00E232F1" w:rsidRPr="00465EE3">
        <w:rPr>
          <w:rFonts w:ascii="Times New Roman" w:hAnsi="Times New Roman" w:cs="Times New Roman"/>
          <w:vertAlign w:val="superscript"/>
        </w:rPr>
        <w:footnoteReference w:id="4"/>
      </w:r>
      <w:r w:rsidR="00467208">
        <w:rPr>
          <w:rFonts w:ascii="Times New Roman" w:hAnsi="Times New Roman" w:cs="Times New Roman"/>
          <w:vertAlign w:val="superscript"/>
        </w:rPr>
        <w:t>)</w:t>
      </w:r>
      <w:r w:rsidR="00F6749E" w:rsidRPr="0024375B">
        <w:rPr>
          <w:rFonts w:ascii="Times New Roman" w:hAnsi="Times New Roman" w:cs="Times New Roman"/>
        </w:rPr>
        <w:t>. NIK zalecił Ministrowi Cyfryzacji szeroką promocję wśród organów administracji wiedzy</w:t>
      </w:r>
      <w:r w:rsidR="0077165A">
        <w:rPr>
          <w:rFonts w:ascii="Times New Roman" w:hAnsi="Times New Roman" w:cs="Times New Roman"/>
        </w:rPr>
        <w:t xml:space="preserve"> o </w:t>
      </w:r>
      <w:r w:rsidR="00F6749E" w:rsidRPr="0024375B">
        <w:rPr>
          <w:rFonts w:ascii="Times New Roman" w:hAnsi="Times New Roman" w:cs="Times New Roman"/>
        </w:rPr>
        <w:t>wymogach</w:t>
      </w:r>
      <w:r w:rsidR="00EA1900">
        <w:rPr>
          <w:rFonts w:ascii="Times New Roman" w:hAnsi="Times New Roman" w:cs="Times New Roman"/>
        </w:rPr>
        <w:t xml:space="preserve"> w </w:t>
      </w:r>
      <w:r w:rsidR="00F6749E" w:rsidRPr="0024375B">
        <w:rPr>
          <w:rFonts w:ascii="Times New Roman" w:hAnsi="Times New Roman" w:cs="Times New Roman"/>
        </w:rPr>
        <w:t xml:space="preserve">zakresie bezpieczeństwa informacji. </w:t>
      </w:r>
    </w:p>
    <w:p w14:paraId="66F6ECDC" w14:textId="77777777" w:rsidR="00056D18" w:rsidRPr="0024375B" w:rsidRDefault="009C2EB4"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W kontekście podnoszenia poziomu cyberbezpieczeństwa k</w:t>
      </w:r>
      <w:r w:rsidR="00F6749E" w:rsidRPr="0024375B">
        <w:rPr>
          <w:rFonts w:ascii="Times New Roman" w:hAnsi="Times New Roman" w:cs="Times New Roman"/>
          <w:szCs w:val="24"/>
        </w:rPr>
        <w:t>luczow</w:t>
      </w:r>
      <w:r w:rsidRPr="0024375B">
        <w:rPr>
          <w:rFonts w:ascii="Times New Roman" w:hAnsi="Times New Roman" w:cs="Times New Roman"/>
          <w:szCs w:val="24"/>
        </w:rPr>
        <w:t>e znaczenie ma</w:t>
      </w:r>
      <w:r w:rsidR="00F6749E" w:rsidRPr="0024375B">
        <w:rPr>
          <w:rFonts w:ascii="Times New Roman" w:hAnsi="Times New Roman" w:cs="Times New Roman"/>
          <w:szCs w:val="24"/>
        </w:rPr>
        <w:t xml:space="preserve"> </w:t>
      </w:r>
      <w:r w:rsidR="00056D18" w:rsidRPr="0024375B">
        <w:rPr>
          <w:rFonts w:ascii="Times New Roman" w:hAnsi="Times New Roman" w:cs="Times New Roman"/>
          <w:szCs w:val="24"/>
        </w:rPr>
        <w:t xml:space="preserve">zapewnienie </w:t>
      </w:r>
      <w:r w:rsidR="00F6749E" w:rsidRPr="0024375B">
        <w:rPr>
          <w:rFonts w:ascii="Times New Roman" w:hAnsi="Times New Roman" w:cs="Times New Roman"/>
          <w:szCs w:val="24"/>
        </w:rPr>
        <w:t xml:space="preserve">dostępu do wiedzy eksperckiej dotyczącej cyberzagrożeń. </w:t>
      </w:r>
      <w:r w:rsidR="00B46FF3" w:rsidRPr="0024375B">
        <w:rPr>
          <w:rFonts w:ascii="Times New Roman" w:hAnsi="Times New Roman" w:cs="Times New Roman"/>
          <w:szCs w:val="24"/>
        </w:rPr>
        <w:t xml:space="preserve">Jednym ze sposobów na zapewnienie takiego dostępu jest tworzenie ISAC. </w:t>
      </w:r>
      <w:r w:rsidR="00F6749E" w:rsidRPr="0024375B">
        <w:rPr>
          <w:rFonts w:ascii="Times New Roman" w:hAnsi="Times New Roman" w:cs="Times New Roman"/>
          <w:szCs w:val="24"/>
        </w:rPr>
        <w:t xml:space="preserve">Pierwsze ISAC </w:t>
      </w:r>
      <w:r w:rsidR="00056D18" w:rsidRPr="0024375B">
        <w:rPr>
          <w:rFonts w:ascii="Times New Roman" w:hAnsi="Times New Roman" w:cs="Times New Roman"/>
          <w:szCs w:val="24"/>
        </w:rPr>
        <w:t>(</w:t>
      </w:r>
      <w:r w:rsidR="008D345E" w:rsidRPr="0024375B">
        <w:rPr>
          <w:rFonts w:ascii="Times New Roman" w:hAnsi="Times New Roman" w:cs="Times New Roman"/>
          <w:szCs w:val="24"/>
        </w:rPr>
        <w:t xml:space="preserve">eng. </w:t>
      </w:r>
      <w:r w:rsidR="00056D18" w:rsidRPr="0024375B">
        <w:rPr>
          <w:rFonts w:ascii="Times New Roman" w:hAnsi="Times New Roman" w:cs="Times New Roman"/>
          <w:i/>
          <w:szCs w:val="24"/>
        </w:rPr>
        <w:t>Information Sharing and Analysis Center</w:t>
      </w:r>
      <w:r w:rsidR="00056D18" w:rsidRPr="0024375B">
        <w:rPr>
          <w:rFonts w:ascii="Times New Roman" w:hAnsi="Times New Roman" w:cs="Times New Roman"/>
          <w:szCs w:val="24"/>
        </w:rPr>
        <w:t xml:space="preserve">) </w:t>
      </w:r>
      <w:r w:rsidR="00F6749E" w:rsidRPr="0024375B">
        <w:rPr>
          <w:rFonts w:ascii="Times New Roman" w:hAnsi="Times New Roman" w:cs="Times New Roman"/>
          <w:szCs w:val="24"/>
        </w:rPr>
        <w:t>powstały</w:t>
      </w:r>
      <w:r w:rsidR="00EA1900">
        <w:rPr>
          <w:rFonts w:ascii="Times New Roman" w:hAnsi="Times New Roman" w:cs="Times New Roman"/>
          <w:szCs w:val="24"/>
        </w:rPr>
        <w:t xml:space="preserve"> w </w:t>
      </w:r>
      <w:r w:rsidR="00F6749E" w:rsidRPr="0024375B">
        <w:rPr>
          <w:rFonts w:ascii="Times New Roman" w:hAnsi="Times New Roman" w:cs="Times New Roman"/>
          <w:szCs w:val="24"/>
        </w:rPr>
        <w:t>Stanach Zjednoczonych pod koniec lat dziewięćdziesiątych XX wieku. ISAC gromadzi informacje</w:t>
      </w:r>
      <w:r w:rsidR="0077165A">
        <w:rPr>
          <w:rFonts w:ascii="Times New Roman" w:hAnsi="Times New Roman" w:cs="Times New Roman"/>
          <w:szCs w:val="24"/>
        </w:rPr>
        <w:t xml:space="preserve"> o </w:t>
      </w:r>
      <w:r w:rsidR="00F6749E" w:rsidRPr="0024375B">
        <w:rPr>
          <w:rFonts w:ascii="Times New Roman" w:hAnsi="Times New Roman" w:cs="Times New Roman"/>
          <w:szCs w:val="24"/>
        </w:rPr>
        <w:t>podatnościach</w:t>
      </w:r>
      <w:r w:rsidR="002161FE">
        <w:rPr>
          <w:rFonts w:ascii="Times New Roman" w:hAnsi="Times New Roman" w:cs="Times New Roman"/>
          <w:szCs w:val="24"/>
        </w:rPr>
        <w:t xml:space="preserve"> </w:t>
      </w:r>
      <w:r w:rsidR="002161FE">
        <w:rPr>
          <w:rFonts w:ascii="Times New Roman" w:hAnsi="Times New Roman" w:cs="Times New Roman"/>
          <w:szCs w:val="24"/>
        </w:rPr>
        <w:lastRenderedPageBreak/>
        <w:t>i </w:t>
      </w:r>
      <w:r w:rsidR="00057FC4" w:rsidRPr="0024375B">
        <w:rPr>
          <w:rFonts w:ascii="Times New Roman" w:hAnsi="Times New Roman" w:cs="Times New Roman"/>
          <w:szCs w:val="24"/>
        </w:rPr>
        <w:t>cyberzagrożeniach</w:t>
      </w:r>
      <w:r w:rsidR="00F6749E" w:rsidRPr="0024375B">
        <w:rPr>
          <w:rFonts w:ascii="Times New Roman" w:hAnsi="Times New Roman" w:cs="Times New Roman"/>
          <w:szCs w:val="24"/>
        </w:rPr>
        <w:t>,</w:t>
      </w:r>
      <w:r w:rsidR="002161FE">
        <w:rPr>
          <w:rFonts w:ascii="Times New Roman" w:hAnsi="Times New Roman" w:cs="Times New Roman"/>
          <w:szCs w:val="24"/>
        </w:rPr>
        <w:t xml:space="preserve"> a </w:t>
      </w:r>
      <w:r w:rsidR="00F6749E" w:rsidRPr="0024375B">
        <w:rPr>
          <w:rFonts w:ascii="Times New Roman" w:hAnsi="Times New Roman" w:cs="Times New Roman"/>
          <w:szCs w:val="24"/>
        </w:rPr>
        <w:t>następnie przekazuje te informacje oraz zestawy dobrych praktyk do podmiotów, które uczestniczą</w:t>
      </w:r>
      <w:r w:rsidR="00EA1900">
        <w:rPr>
          <w:rFonts w:ascii="Times New Roman" w:hAnsi="Times New Roman" w:cs="Times New Roman"/>
          <w:szCs w:val="24"/>
        </w:rPr>
        <w:t xml:space="preserve"> w </w:t>
      </w:r>
      <w:r w:rsidR="00F6749E" w:rsidRPr="0024375B">
        <w:rPr>
          <w:rFonts w:ascii="Times New Roman" w:hAnsi="Times New Roman" w:cs="Times New Roman"/>
          <w:szCs w:val="24"/>
        </w:rPr>
        <w:t>systemie</w:t>
      </w:r>
      <w:r w:rsidRPr="0024375B">
        <w:rPr>
          <w:rFonts w:ascii="Times New Roman" w:hAnsi="Times New Roman" w:cs="Times New Roman"/>
          <w:szCs w:val="24"/>
        </w:rPr>
        <w:t xml:space="preserve"> wymiany takich informacji</w:t>
      </w:r>
      <w:r w:rsidR="00F6749E" w:rsidRPr="0024375B">
        <w:rPr>
          <w:rFonts w:ascii="Times New Roman" w:hAnsi="Times New Roman" w:cs="Times New Roman"/>
          <w:szCs w:val="24"/>
        </w:rPr>
        <w:t xml:space="preserve">. Taka formuła </w:t>
      </w:r>
      <w:r w:rsidRPr="0024375B">
        <w:rPr>
          <w:rFonts w:ascii="Times New Roman" w:hAnsi="Times New Roman" w:cs="Times New Roman"/>
          <w:szCs w:val="24"/>
        </w:rPr>
        <w:t xml:space="preserve">współpracy </w:t>
      </w:r>
      <w:r w:rsidR="00F6749E" w:rsidRPr="0024375B">
        <w:rPr>
          <w:rFonts w:ascii="Times New Roman" w:hAnsi="Times New Roman" w:cs="Times New Roman"/>
          <w:szCs w:val="24"/>
        </w:rPr>
        <w:t>znacząco wpływa na poprawę cyberbezpieczeństwa</w:t>
      </w:r>
      <w:r w:rsidR="002161FE">
        <w:rPr>
          <w:rFonts w:ascii="Times New Roman" w:hAnsi="Times New Roman" w:cs="Times New Roman"/>
          <w:szCs w:val="24"/>
        </w:rPr>
        <w:t xml:space="preserve"> i </w:t>
      </w:r>
      <w:r w:rsidR="00F6749E" w:rsidRPr="0024375B">
        <w:rPr>
          <w:rFonts w:ascii="Times New Roman" w:hAnsi="Times New Roman" w:cs="Times New Roman"/>
          <w:szCs w:val="24"/>
        </w:rPr>
        <w:t>jest praktykowana</w:t>
      </w:r>
      <w:r w:rsidR="00EA1900">
        <w:rPr>
          <w:rFonts w:ascii="Times New Roman" w:hAnsi="Times New Roman" w:cs="Times New Roman"/>
          <w:szCs w:val="24"/>
        </w:rPr>
        <w:t xml:space="preserve"> w </w:t>
      </w:r>
      <w:r w:rsidR="00F6749E" w:rsidRPr="0024375B">
        <w:rPr>
          <w:rFonts w:ascii="Times New Roman" w:hAnsi="Times New Roman" w:cs="Times New Roman"/>
          <w:szCs w:val="24"/>
        </w:rPr>
        <w:t xml:space="preserve">państwach Unii Europejskiej. </w:t>
      </w:r>
    </w:p>
    <w:p w14:paraId="29E9A7B0" w14:textId="77777777" w:rsidR="00954C8C" w:rsidRPr="0024375B" w:rsidRDefault="00954C8C" w:rsidP="0024375B">
      <w:pPr>
        <w:pStyle w:val="NIEARTTEKSTtekstnieartykuowanynppodstprawnarozplubpreambua"/>
        <w:spacing w:before="0"/>
      </w:pPr>
      <w:r w:rsidRPr="0024375B">
        <w:rPr>
          <w:rFonts w:cs="Times New Roman"/>
          <w:bCs w:val="0"/>
        </w:rPr>
        <w:t xml:space="preserve">Przykładem sektorowego ISAC na poziomie europejskim jest </w:t>
      </w:r>
      <w:r w:rsidRPr="0024375B">
        <w:rPr>
          <w:rFonts w:cs="Times New Roman"/>
          <w:bCs w:val="0"/>
          <w:i/>
          <w:iCs/>
        </w:rPr>
        <w:t>European Energy Information Sharing &amp; Analysis Centre</w:t>
      </w:r>
      <w:r w:rsidRPr="0024375B">
        <w:rPr>
          <w:rFonts w:cs="Times New Roman"/>
          <w:bCs w:val="0"/>
        </w:rPr>
        <w:t xml:space="preserve"> (EE ISAC)</w:t>
      </w:r>
      <w:r w:rsidRPr="0024375B">
        <w:rPr>
          <w:rStyle w:val="Odwoanieprzypisudolnego"/>
          <w:szCs w:val="24"/>
        </w:rPr>
        <w:footnoteReference w:id="5"/>
      </w:r>
      <w:r w:rsidR="007873A2">
        <w:rPr>
          <w:rFonts w:cs="Times New Roman"/>
          <w:bCs w:val="0"/>
          <w:vertAlign w:val="superscript"/>
        </w:rPr>
        <w:t>)</w:t>
      </w:r>
      <w:r w:rsidRPr="0024375B">
        <w:rPr>
          <w:rFonts w:cs="Times New Roman"/>
        </w:rPr>
        <w:t>. Został on zorganizowany</w:t>
      </w:r>
      <w:r w:rsidR="002161FE">
        <w:rPr>
          <w:rFonts w:cs="Times New Roman"/>
        </w:rPr>
        <w:t xml:space="preserve"> z </w:t>
      </w:r>
      <w:r w:rsidRPr="0024375B">
        <w:rPr>
          <w:rFonts w:cs="Times New Roman"/>
        </w:rPr>
        <w:t>inicjatywy przemysłu energetycznego.</w:t>
      </w:r>
      <w:r w:rsidR="00116933">
        <w:rPr>
          <w:rFonts w:cs="Times New Roman"/>
        </w:rPr>
        <w:t xml:space="preserve"> W </w:t>
      </w:r>
      <w:r w:rsidRPr="0024375B">
        <w:rPr>
          <w:rFonts w:cs="Times New Roman"/>
        </w:rPr>
        <w:t>ramach EE ISAC wymieniają informacje dostawcy usług, przedsiębiorstwa użyteczności publicznej, instytucje naukowe, organizacje rządowe</w:t>
      </w:r>
      <w:r w:rsidR="002161FE">
        <w:rPr>
          <w:rFonts w:cs="Times New Roman"/>
        </w:rPr>
        <w:t xml:space="preserve"> i </w:t>
      </w:r>
      <w:r w:rsidRPr="0024375B">
        <w:rPr>
          <w:rFonts w:cs="Times New Roman"/>
        </w:rPr>
        <w:t>pozarządowe (m.in. członkiem EE ISAC są Polskie Sieci Elektroenergetyczne Spółka Akcyjna).</w:t>
      </w:r>
      <w:r w:rsidR="00116933">
        <w:rPr>
          <w:rFonts w:cs="Times New Roman"/>
        </w:rPr>
        <w:t xml:space="preserve"> W </w:t>
      </w:r>
      <w:r w:rsidRPr="0024375B">
        <w:t xml:space="preserve">Europie działa również amerykański </w:t>
      </w:r>
      <w:r w:rsidRPr="0024375B">
        <w:rPr>
          <w:i/>
          <w:iCs/>
        </w:rPr>
        <w:t>Financial Services Information Sharing and Analysis Center</w:t>
      </w:r>
      <w:r w:rsidRPr="0024375B">
        <w:rPr>
          <w:rStyle w:val="Odwoanieprzypisudolnego"/>
          <w:rFonts w:ascii="Times New Roman" w:hAnsi="Times New Roman"/>
          <w:i/>
          <w:szCs w:val="24"/>
        </w:rPr>
        <w:footnoteReference w:id="6"/>
      </w:r>
      <w:r w:rsidR="00CE3276">
        <w:rPr>
          <w:i/>
          <w:iCs/>
          <w:vertAlign w:val="superscript"/>
        </w:rPr>
        <w:t>)</w:t>
      </w:r>
      <w:r w:rsidRPr="0024375B">
        <w:rPr>
          <w:i/>
          <w:iCs/>
        </w:rPr>
        <w:t>,</w:t>
      </w:r>
      <w:r w:rsidRPr="0024375B">
        <w:t xml:space="preserve"> zrzeszający około 7 000 instytucji finansowych</w:t>
      </w:r>
      <w:r w:rsidR="002161FE">
        <w:t xml:space="preserve"> z </w:t>
      </w:r>
      <w:r w:rsidRPr="0024375B">
        <w:t>całego świata.</w:t>
      </w:r>
    </w:p>
    <w:p w14:paraId="03D2D6C5" w14:textId="77777777" w:rsidR="00056D18" w:rsidRPr="0024375B" w:rsidRDefault="00954C8C"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rPr>
        <w:t>Również z</w:t>
      </w:r>
      <w:r w:rsidR="00056D18" w:rsidRPr="0024375B">
        <w:rPr>
          <w:rFonts w:ascii="Times New Roman" w:hAnsi="Times New Roman" w:cs="Times New Roman"/>
        </w:rPr>
        <w:t>daniem ENISA do prawidłowego rozwoju cyberbezpieczeństwa niezbędna jest współpraca pomiędzy sektorem publicznym</w:t>
      </w:r>
      <w:r w:rsidR="002161FE">
        <w:rPr>
          <w:rFonts w:ascii="Times New Roman" w:hAnsi="Times New Roman" w:cs="Times New Roman"/>
        </w:rPr>
        <w:t xml:space="preserve"> a </w:t>
      </w:r>
      <w:r w:rsidR="00056D18" w:rsidRPr="0024375B">
        <w:rPr>
          <w:rFonts w:ascii="Times New Roman" w:hAnsi="Times New Roman" w:cs="Times New Roman"/>
        </w:rPr>
        <w:t>prywatnym</w:t>
      </w:r>
      <w:r w:rsidR="00056D18" w:rsidRPr="0024375B">
        <w:rPr>
          <w:rStyle w:val="Odwoanieprzypisudolnego"/>
          <w:rFonts w:ascii="Times New Roman" w:hAnsi="Times New Roman"/>
          <w:szCs w:val="24"/>
        </w:rPr>
        <w:footnoteReference w:id="7"/>
      </w:r>
      <w:r w:rsidR="00CE3276">
        <w:rPr>
          <w:rFonts w:ascii="Times New Roman" w:hAnsi="Times New Roman" w:cs="Times New Roman"/>
          <w:vertAlign w:val="superscript"/>
        </w:rPr>
        <w:t>)</w:t>
      </w:r>
      <w:r w:rsidR="00056D18" w:rsidRPr="0024375B">
        <w:rPr>
          <w:rFonts w:ascii="Times New Roman" w:hAnsi="Times New Roman" w:cs="Times New Roman"/>
        </w:rPr>
        <w:t>. Centra ISAC stanowią platformę takiej współpracy zapewniając wymianę informacji na temat przyczyn, incydentów, cyberzagrożeń, jak również dzielenie się doświadczeniem, wiedzą</w:t>
      </w:r>
      <w:r w:rsidR="002161FE">
        <w:rPr>
          <w:rFonts w:ascii="Times New Roman" w:hAnsi="Times New Roman" w:cs="Times New Roman"/>
        </w:rPr>
        <w:t xml:space="preserve"> i </w:t>
      </w:r>
      <w:r w:rsidR="00056D18" w:rsidRPr="0024375B">
        <w:rPr>
          <w:rFonts w:ascii="Times New Roman" w:hAnsi="Times New Roman" w:cs="Times New Roman"/>
        </w:rPr>
        <w:t xml:space="preserve">analizami. </w:t>
      </w:r>
    </w:p>
    <w:p w14:paraId="4A85F026" w14:textId="77777777" w:rsidR="00056D18" w:rsidRPr="0024375B" w:rsidRDefault="00056D18" w:rsidP="0024375B">
      <w:pPr>
        <w:pStyle w:val="ARTartustawynprozporzdzenia"/>
        <w:spacing w:before="0"/>
        <w:rPr>
          <w:szCs w:val="24"/>
        </w:rPr>
      </w:pPr>
      <w:r w:rsidRPr="0024375B">
        <w:rPr>
          <w:rFonts w:ascii="Times New Roman" w:hAnsi="Times New Roman" w:cs="Times New Roman"/>
        </w:rPr>
        <w:t>Rozporządzenie</w:t>
      </w:r>
      <w:r w:rsidR="00EA1900">
        <w:rPr>
          <w:rFonts w:ascii="Times New Roman" w:hAnsi="Times New Roman" w:cs="Times New Roman"/>
        </w:rPr>
        <w:t xml:space="preserve"> w </w:t>
      </w:r>
      <w:r w:rsidRPr="0024375B">
        <w:rPr>
          <w:rFonts w:ascii="Times New Roman" w:hAnsi="Times New Roman" w:cs="Times New Roman"/>
        </w:rPr>
        <w:t>sprawie ENISA (Agencji Unii Europejskiej ds. Cyberbezpieczeństwa) oraz certyfikacji cyberbezpieczeństwa</w:t>
      </w:r>
      <w:r w:rsidR="00EA1900">
        <w:rPr>
          <w:rFonts w:ascii="Times New Roman" w:hAnsi="Times New Roman" w:cs="Times New Roman"/>
        </w:rPr>
        <w:t xml:space="preserve"> w </w:t>
      </w:r>
      <w:r w:rsidRPr="0024375B">
        <w:rPr>
          <w:rFonts w:ascii="Times New Roman" w:hAnsi="Times New Roman" w:cs="Times New Roman"/>
        </w:rPr>
        <w:t>zakresie technologii informacyjno-komunikacyjnych oraz uchylenia rozporządzenia (UE) nr 526/2013</w:t>
      </w:r>
      <w:r w:rsidRPr="0024375B">
        <w:rPr>
          <w:rStyle w:val="Odwoanieprzypisudolnego"/>
          <w:rFonts w:ascii="Times New Roman" w:hAnsi="Times New Roman"/>
          <w:szCs w:val="24"/>
        </w:rPr>
        <w:footnoteReference w:id="8"/>
      </w:r>
      <w:r w:rsidR="00CE3276">
        <w:rPr>
          <w:rFonts w:ascii="Times New Roman" w:hAnsi="Times New Roman" w:cs="Times New Roman"/>
          <w:vertAlign w:val="superscript"/>
        </w:rPr>
        <w:t>)</w:t>
      </w:r>
      <w:r w:rsidR="006A75AF" w:rsidRPr="0024375B">
        <w:rPr>
          <w:rFonts w:ascii="Times New Roman" w:hAnsi="Times New Roman" w:cs="Times New Roman"/>
        </w:rPr>
        <w:t>)</w:t>
      </w:r>
      <w:r w:rsidRPr="0024375B">
        <w:rPr>
          <w:rFonts w:ascii="Times New Roman" w:hAnsi="Times New Roman" w:cs="Times New Roman"/>
        </w:rPr>
        <w:t xml:space="preserve">, zwane dalej </w:t>
      </w:r>
      <w:r w:rsidR="00CE3276">
        <w:rPr>
          <w:rFonts w:ascii="Times New Roman" w:hAnsi="Times New Roman" w:cs="Times New Roman"/>
        </w:rPr>
        <w:t>„</w:t>
      </w:r>
      <w:r w:rsidRPr="0024375B">
        <w:rPr>
          <w:rFonts w:ascii="Times New Roman" w:hAnsi="Times New Roman" w:cs="Times New Roman"/>
        </w:rPr>
        <w:t>Aktem</w:t>
      </w:r>
      <w:r w:rsidR="0077165A">
        <w:rPr>
          <w:rFonts w:ascii="Times New Roman" w:hAnsi="Times New Roman" w:cs="Times New Roman"/>
        </w:rPr>
        <w:t xml:space="preserve"> o </w:t>
      </w:r>
      <w:r w:rsidRPr="0024375B">
        <w:rPr>
          <w:rFonts w:ascii="Times New Roman" w:hAnsi="Times New Roman" w:cs="Times New Roman"/>
        </w:rPr>
        <w:t>cyberbezpieczeństwie”, zachęca do tworzenia ISAC</w:t>
      </w:r>
      <w:r w:rsidRPr="0024375B">
        <w:rPr>
          <w:rStyle w:val="Odwoanieprzypisudolnego"/>
          <w:rFonts w:ascii="Times New Roman" w:hAnsi="Times New Roman"/>
          <w:szCs w:val="24"/>
        </w:rPr>
        <w:footnoteReference w:id="9"/>
      </w:r>
      <w:r w:rsidR="00CE3276">
        <w:rPr>
          <w:rFonts w:ascii="Times New Roman" w:hAnsi="Times New Roman" w:cs="Times New Roman"/>
          <w:vertAlign w:val="superscript"/>
        </w:rPr>
        <w:t>)</w:t>
      </w:r>
      <w:r w:rsidRPr="0024375B">
        <w:rPr>
          <w:rFonts w:ascii="Times New Roman" w:hAnsi="Times New Roman" w:cs="Times New Roman"/>
        </w:rPr>
        <w:t>.</w:t>
      </w:r>
    </w:p>
    <w:p w14:paraId="0F5ABE92" w14:textId="77777777" w:rsidR="00F6749E" w:rsidRPr="0024375B" w:rsidRDefault="00056D18" w:rsidP="0024375B">
      <w:pPr>
        <w:pStyle w:val="NIEARTTEKSTtekstnieartykuowanynppodstprawnarozplubpreambua"/>
        <w:spacing w:before="0"/>
        <w:rPr>
          <w:rFonts w:ascii="Times New Roman" w:hAnsi="Times New Roman" w:cs="Times New Roman"/>
          <w:szCs w:val="24"/>
        </w:rPr>
      </w:pPr>
      <w:r w:rsidRPr="0024375B">
        <w:rPr>
          <w:rFonts w:cs="Times New Roman"/>
          <w:szCs w:val="24"/>
        </w:rPr>
        <w:t>Do tej pory powstało</w:t>
      </w:r>
      <w:r w:rsidR="00EA1900">
        <w:rPr>
          <w:rFonts w:cs="Times New Roman"/>
          <w:szCs w:val="24"/>
        </w:rPr>
        <w:t xml:space="preserve"> w </w:t>
      </w:r>
      <w:r w:rsidRPr="0024375B">
        <w:rPr>
          <w:rFonts w:cs="Times New Roman"/>
          <w:szCs w:val="24"/>
        </w:rPr>
        <w:t xml:space="preserve">Polsce tylko jedno centrum wymiany informacji pomiędzy podmiotami krajowego systemu cyberbezpieczeństwa. </w:t>
      </w:r>
      <w:r w:rsidR="00F6749E" w:rsidRPr="0024375B">
        <w:rPr>
          <w:rFonts w:cs="Times New Roman"/>
          <w:szCs w:val="24"/>
        </w:rPr>
        <w:t>Wskazane jest, aby</w:t>
      </w:r>
      <w:r w:rsidR="00EA1900">
        <w:rPr>
          <w:rFonts w:cs="Times New Roman"/>
          <w:szCs w:val="24"/>
        </w:rPr>
        <w:t xml:space="preserve"> w </w:t>
      </w:r>
      <w:r w:rsidR="009C2EB4" w:rsidRPr="0024375B">
        <w:rPr>
          <w:rFonts w:cs="Times New Roman"/>
          <w:szCs w:val="24"/>
        </w:rPr>
        <w:t xml:space="preserve">Polsce powstało </w:t>
      </w:r>
      <w:r w:rsidR="00F6749E" w:rsidRPr="0024375B">
        <w:rPr>
          <w:rFonts w:cs="Times New Roman"/>
          <w:szCs w:val="24"/>
        </w:rPr>
        <w:t xml:space="preserve">więcej organizacji </w:t>
      </w:r>
      <w:r w:rsidR="009C2EB4" w:rsidRPr="0024375B">
        <w:rPr>
          <w:rFonts w:cs="Times New Roman"/>
          <w:szCs w:val="24"/>
        </w:rPr>
        <w:t>ISAC</w:t>
      </w:r>
      <w:r w:rsidRPr="0024375B">
        <w:rPr>
          <w:rFonts w:cs="Times New Roman"/>
          <w:szCs w:val="24"/>
        </w:rPr>
        <w:t>, co</w:t>
      </w:r>
      <w:r w:rsidR="008D345E" w:rsidRPr="0024375B">
        <w:rPr>
          <w:rFonts w:ascii="Times New Roman" w:hAnsi="Times New Roman" w:cs="Times New Roman"/>
          <w:szCs w:val="24"/>
        </w:rPr>
        <w:t> </w:t>
      </w:r>
      <w:r w:rsidRPr="0024375B">
        <w:rPr>
          <w:rFonts w:cs="Times New Roman"/>
          <w:szCs w:val="24"/>
        </w:rPr>
        <w:t>zdecydowanie powinno przyczynić się do ułatwienia dostępu do specjalistycznej wiedzy</w:t>
      </w:r>
      <w:r w:rsidR="002161FE">
        <w:rPr>
          <w:rFonts w:cs="Times New Roman"/>
          <w:szCs w:val="24"/>
        </w:rPr>
        <w:t xml:space="preserve"> i </w:t>
      </w:r>
      <w:r w:rsidRPr="0024375B">
        <w:rPr>
          <w:rFonts w:cs="Times New Roman"/>
          <w:szCs w:val="24"/>
        </w:rPr>
        <w:t>do wymiany informacji</w:t>
      </w:r>
      <w:r w:rsidR="0077165A">
        <w:rPr>
          <w:rFonts w:cs="Times New Roman"/>
          <w:szCs w:val="24"/>
        </w:rPr>
        <w:t xml:space="preserve"> o </w:t>
      </w:r>
      <w:r w:rsidRPr="0024375B">
        <w:rPr>
          <w:rFonts w:cs="Times New Roman"/>
          <w:szCs w:val="24"/>
        </w:rPr>
        <w:t>stosowanych rozwiązaniach, tzw. dobrych praktykach</w:t>
      </w:r>
      <w:r w:rsidR="00F6749E" w:rsidRPr="0024375B">
        <w:rPr>
          <w:rFonts w:cs="Times New Roman"/>
          <w:szCs w:val="24"/>
        </w:rPr>
        <w:t xml:space="preserve">. </w:t>
      </w:r>
    </w:p>
    <w:p w14:paraId="274D9592" w14:textId="26056483" w:rsidR="005C21E8" w:rsidRPr="0024375B" w:rsidRDefault="00F6749E" w:rsidP="0024375B">
      <w:pPr>
        <w:pStyle w:val="NIEARTTEKSTtekstnieartykuowanynppodstprawnarozplubpreambua"/>
        <w:spacing w:before="0"/>
        <w:rPr>
          <w:szCs w:val="24"/>
        </w:rPr>
      </w:pPr>
      <w:r w:rsidRPr="0024375B">
        <w:t>Coraz większe znaczeni</w:t>
      </w:r>
      <w:r w:rsidR="007A71FE">
        <w:t>e</w:t>
      </w:r>
      <w:r w:rsidRPr="0024375B">
        <w:t xml:space="preserve"> dla bezpieczeństwa usług kluczowych ma niezawodność usług telekomunikacyjnych. Stacjonarne sieci szerokopasmowe </w:t>
      </w:r>
      <w:r w:rsidR="00B46FF3" w:rsidRPr="0024375B">
        <w:t xml:space="preserve">są </w:t>
      </w:r>
      <w:r w:rsidRPr="0024375B">
        <w:t>uzupełniane przez sieci mobilne nowej generacji (sieci 5G</w:t>
      </w:r>
      <w:r w:rsidR="002161FE">
        <w:t xml:space="preserve"> i </w:t>
      </w:r>
      <w:r w:rsidRPr="0024375B">
        <w:t>kolejnych generacji).</w:t>
      </w:r>
      <w:r w:rsidR="005C21E8" w:rsidRPr="0024375B">
        <w:t xml:space="preserve"> Komisja Europejska wielokrotnie</w:t>
      </w:r>
      <w:r w:rsidR="00B46FF3" w:rsidRPr="0024375B">
        <w:t>,</w:t>
      </w:r>
      <w:r w:rsidR="005C21E8" w:rsidRPr="0024375B">
        <w:t xml:space="preserve"> m.in.</w:t>
      </w:r>
      <w:r w:rsidR="00EA1900">
        <w:t xml:space="preserve"> w </w:t>
      </w:r>
      <w:r w:rsidR="005C21E8" w:rsidRPr="0024375B">
        <w:t>opublikowanych</w:t>
      </w:r>
      <w:r w:rsidR="00EA1900">
        <w:t xml:space="preserve"> w </w:t>
      </w:r>
      <w:r w:rsidR="005C21E8" w:rsidRPr="0024375B">
        <w:t>marcu 2019 r. zaleceniach dot. cyberbezpieczeństwa sieci 5G, podkreślała, że kwestia zapewnienia bezpieczeństwa wdrażanej technologii 5G jest priorytetem. Potwierdzenie tego znajduje swój wymiar</w:t>
      </w:r>
      <w:r w:rsidR="00EA1900">
        <w:t xml:space="preserve"> w </w:t>
      </w:r>
      <w:r w:rsidR="005C21E8" w:rsidRPr="0024375B">
        <w:t>opublikowanym</w:t>
      </w:r>
      <w:r w:rsidR="00EA1900">
        <w:t xml:space="preserve"> </w:t>
      </w:r>
      <w:r w:rsidR="00EA1900">
        <w:lastRenderedPageBreak/>
        <w:t>w </w:t>
      </w:r>
      <w:r w:rsidR="005C21E8" w:rsidRPr="0024375B">
        <w:t>styczniu 2020 r. zestawie środków dot. minimalnej harmonizacji</w:t>
      </w:r>
      <w:r w:rsidR="002161FE">
        <w:t xml:space="preserve"> i </w:t>
      </w:r>
      <w:r w:rsidR="005C21E8" w:rsidRPr="0024375B">
        <w:t xml:space="preserve">standaryzacji na poziomie UE rozwiązań cyberbezpieczeństwa sieci 5G, </w:t>
      </w:r>
      <w:r w:rsidR="00B46FF3" w:rsidRPr="0024375B">
        <w:t xml:space="preserve">określanym </w:t>
      </w:r>
      <w:r w:rsidR="005C21E8" w:rsidRPr="0024375B">
        <w:t>jako 5G Toolbox</w:t>
      </w:r>
      <w:r w:rsidR="005C21E8" w:rsidRPr="0024375B">
        <w:rPr>
          <w:vertAlign w:val="superscript"/>
        </w:rPr>
        <w:footnoteReference w:id="10"/>
      </w:r>
      <w:r w:rsidR="00CE3276">
        <w:rPr>
          <w:vertAlign w:val="superscript"/>
        </w:rPr>
        <w:t>)</w:t>
      </w:r>
      <w:r w:rsidR="005C21E8" w:rsidRPr="0024375B">
        <w:t xml:space="preserve">. Zestaw obejmuje zarówno </w:t>
      </w:r>
      <w:r w:rsidR="000F24AC" w:rsidRPr="0024375B">
        <w:t>rozwiązania</w:t>
      </w:r>
      <w:r w:rsidR="0077165A">
        <w:t xml:space="preserve"> o </w:t>
      </w:r>
      <w:r w:rsidR="005C21E8" w:rsidRPr="0024375B">
        <w:t>charakterze strategicznym</w:t>
      </w:r>
      <w:r w:rsidR="008D345E" w:rsidRPr="0024375B">
        <w:t>,</w:t>
      </w:r>
      <w:r w:rsidR="005C21E8" w:rsidRPr="0024375B">
        <w:t xml:space="preserve"> technicznym, jak</w:t>
      </w:r>
      <w:r w:rsidR="002161FE">
        <w:t xml:space="preserve"> i </w:t>
      </w:r>
      <w:r w:rsidR="0077165A">
        <w:t>o </w:t>
      </w:r>
      <w:r w:rsidR="005C21E8" w:rsidRPr="0024375B">
        <w:t>charakterze wspierającym. Cel</w:t>
      </w:r>
      <w:r w:rsidR="008D345E" w:rsidRPr="0024375B">
        <w:t>ami zestawu narzędzi</w:t>
      </w:r>
      <w:r w:rsidR="005C21E8" w:rsidRPr="0024375B">
        <w:t xml:space="preserve"> są</w:t>
      </w:r>
      <w:r w:rsidR="008D345E" w:rsidRPr="0024375B">
        <w:t>,</w:t>
      </w:r>
      <w:r w:rsidR="005C21E8" w:rsidRPr="0024375B">
        <w:t xml:space="preserve"> po</w:t>
      </w:r>
      <w:r w:rsidR="000F24AC" w:rsidRPr="0024375B">
        <w:t> </w:t>
      </w:r>
      <w:r w:rsidR="005C21E8" w:rsidRPr="0024375B">
        <w:t>pierwsze</w:t>
      </w:r>
      <w:r w:rsidR="008D345E" w:rsidRPr="0024375B">
        <w:t xml:space="preserve">, </w:t>
      </w:r>
      <w:r w:rsidR="005C21E8" w:rsidRPr="0024375B">
        <w:t>bezpieczeństwo sieci 5G,</w:t>
      </w:r>
      <w:r w:rsidR="002161FE">
        <w:t xml:space="preserve"> a </w:t>
      </w:r>
      <w:r w:rsidR="005C21E8" w:rsidRPr="0024375B">
        <w:t>po drugie</w:t>
      </w:r>
      <w:r w:rsidR="000F24AC" w:rsidRPr="0024375B">
        <w:t xml:space="preserve"> – </w:t>
      </w:r>
      <w:r w:rsidR="005C21E8" w:rsidRPr="0024375B">
        <w:t>uspójnienie polityk państw członkowskich</w:t>
      </w:r>
      <w:r w:rsidR="00EA1900">
        <w:t xml:space="preserve"> w </w:t>
      </w:r>
      <w:r w:rsidR="005C21E8" w:rsidRPr="0024375B">
        <w:t xml:space="preserve">obszarze bezpieczeństwa technologii 5G. 5G Toolbox </w:t>
      </w:r>
      <w:r w:rsidR="00B46FF3" w:rsidRPr="0024375B">
        <w:t>definiuje</w:t>
      </w:r>
      <w:r w:rsidR="005C21E8" w:rsidRPr="0024375B">
        <w:t xml:space="preserve"> zestaw środków zabezpieczających na poziomie strategicznym</w:t>
      </w:r>
      <w:r w:rsidR="002161FE">
        <w:t xml:space="preserve"> i </w:t>
      </w:r>
      <w:r w:rsidR="005C21E8" w:rsidRPr="0024375B">
        <w:t>technicznym oraz wskazuje działania wspierające stosowanie tych środków</w:t>
      </w:r>
      <w:r w:rsidR="00B46FF3" w:rsidRPr="0024375B">
        <w:t>, niezbędne</w:t>
      </w:r>
      <w:r w:rsidR="005C21E8" w:rsidRPr="0024375B">
        <w:rPr>
          <w:bCs w:val="0"/>
          <w:szCs w:val="24"/>
        </w:rPr>
        <w:t xml:space="preserve"> </w:t>
      </w:r>
      <w:r w:rsidR="00B46FF3" w:rsidRPr="0024375B">
        <w:t>do</w:t>
      </w:r>
      <w:r w:rsidR="000F24AC" w:rsidRPr="0024375B">
        <w:t> </w:t>
      </w:r>
      <w:r w:rsidR="005C21E8" w:rsidRPr="0024375B">
        <w:t>ograniczenia ryzyk cyberbezpieczeństwa</w:t>
      </w:r>
      <w:r w:rsidR="00EA1900">
        <w:t xml:space="preserve"> w </w:t>
      </w:r>
      <w:r w:rsidR="005C21E8" w:rsidRPr="0024375B">
        <w:t xml:space="preserve">sieciach 5G, które będą </w:t>
      </w:r>
      <w:r w:rsidR="008D345E" w:rsidRPr="0024375B">
        <w:t>„</w:t>
      </w:r>
      <w:r w:rsidR="005C21E8" w:rsidRPr="0024375B">
        <w:t>kręgosłupem</w:t>
      </w:r>
      <w:r w:rsidR="008D345E" w:rsidRPr="0024375B">
        <w:t>”</w:t>
      </w:r>
      <w:r w:rsidR="005C21E8" w:rsidRPr="0024375B">
        <w:t xml:space="preserve"> Jednolitego Rynku Cyfrowego UE. </w:t>
      </w:r>
      <w:r w:rsidR="00B46FF3" w:rsidRPr="0024375B">
        <w:t>Wśród opisanych</w:t>
      </w:r>
      <w:r w:rsidR="00EA1900">
        <w:t xml:space="preserve"> w </w:t>
      </w:r>
      <w:r w:rsidR="00B46FF3" w:rsidRPr="0024375B">
        <w:t>5G Toolbox</w:t>
      </w:r>
      <w:r w:rsidR="005C21E8" w:rsidRPr="0024375B">
        <w:rPr>
          <w:bCs w:val="0"/>
          <w:szCs w:val="24"/>
        </w:rPr>
        <w:t xml:space="preserve"> </w:t>
      </w:r>
      <w:r w:rsidR="00B46FF3" w:rsidRPr="0024375B">
        <w:t>środków są środki</w:t>
      </w:r>
      <w:r w:rsidR="0077165A">
        <w:t xml:space="preserve"> o </w:t>
      </w:r>
      <w:r w:rsidR="00B46FF3" w:rsidRPr="0024375B">
        <w:t>charakterze</w:t>
      </w:r>
      <w:r w:rsidR="005C21E8" w:rsidRPr="0024375B">
        <w:rPr>
          <w:bCs w:val="0"/>
          <w:szCs w:val="24"/>
        </w:rPr>
        <w:t>:</w:t>
      </w:r>
      <w:r w:rsidR="00DB44AE" w:rsidRPr="0024375B">
        <w:t xml:space="preserve"> </w:t>
      </w:r>
    </w:p>
    <w:p w14:paraId="666FD429" w14:textId="77777777" w:rsidR="005C21E8" w:rsidRPr="0024375B" w:rsidRDefault="00B46FF3" w:rsidP="0024375B">
      <w:pPr>
        <w:widowControl/>
        <w:numPr>
          <w:ilvl w:val="0"/>
          <w:numId w:val="4"/>
        </w:numPr>
        <w:autoSpaceDE/>
        <w:autoSpaceDN/>
        <w:adjustRightInd/>
        <w:jc w:val="both"/>
        <w:rPr>
          <w:rFonts w:ascii="Times" w:hAnsi="Times"/>
          <w:szCs w:val="24"/>
        </w:rPr>
      </w:pPr>
      <w:r w:rsidRPr="0024375B">
        <w:rPr>
          <w:rFonts w:ascii="Times" w:hAnsi="Times"/>
          <w:szCs w:val="24"/>
        </w:rPr>
        <w:t>strategicznym</w:t>
      </w:r>
      <w:r w:rsidR="008D345E" w:rsidRPr="0024375B">
        <w:rPr>
          <w:rFonts w:ascii="Times" w:hAnsi="Times"/>
          <w:szCs w:val="24"/>
        </w:rPr>
        <w:t xml:space="preserve"> –</w:t>
      </w:r>
      <w:r w:rsidR="005C21E8" w:rsidRPr="0024375B">
        <w:rPr>
          <w:rFonts w:ascii="Times" w:hAnsi="Times"/>
          <w:szCs w:val="24"/>
        </w:rPr>
        <w:t xml:space="preserve"> m.in. większe uprawnienia dla organów właściwych,</w:t>
      </w:r>
      <w:r w:rsidR="00EA1900">
        <w:rPr>
          <w:rFonts w:ascii="Times" w:hAnsi="Times"/>
          <w:szCs w:val="24"/>
        </w:rPr>
        <w:t xml:space="preserve"> w </w:t>
      </w:r>
      <w:r w:rsidR="005C21E8" w:rsidRPr="0024375B">
        <w:rPr>
          <w:rFonts w:ascii="Times" w:hAnsi="Times"/>
          <w:szCs w:val="24"/>
        </w:rPr>
        <w:t>tym</w:t>
      </w:r>
      <w:r w:rsidR="00EA1900">
        <w:rPr>
          <w:rFonts w:ascii="Times" w:hAnsi="Times"/>
          <w:szCs w:val="24"/>
        </w:rPr>
        <w:t xml:space="preserve"> w </w:t>
      </w:r>
      <w:r w:rsidRPr="0024375B">
        <w:rPr>
          <w:rFonts w:ascii="Times" w:hAnsi="Times"/>
          <w:szCs w:val="24"/>
        </w:rPr>
        <w:t xml:space="preserve">zakresie oceny </w:t>
      </w:r>
      <w:r w:rsidR="005C21E8" w:rsidRPr="0024375B">
        <w:rPr>
          <w:rFonts w:ascii="Times" w:hAnsi="Times"/>
          <w:szCs w:val="24"/>
        </w:rPr>
        <w:t>bezpieczeństwa łańcucha dostaw, większe wymagania dla przedsiębiorców telekomunikacyjnych oraz ocena ryzyka dostawców sprzętu lub oprogramowania,</w:t>
      </w:r>
    </w:p>
    <w:p w14:paraId="6B2B05BA" w14:textId="77777777" w:rsidR="005C21E8" w:rsidRPr="0024375B" w:rsidRDefault="00B46FF3" w:rsidP="0024375B">
      <w:pPr>
        <w:widowControl/>
        <w:numPr>
          <w:ilvl w:val="0"/>
          <w:numId w:val="4"/>
        </w:numPr>
        <w:autoSpaceDE/>
        <w:autoSpaceDN/>
        <w:adjustRightInd/>
        <w:jc w:val="both"/>
        <w:rPr>
          <w:rFonts w:ascii="Times" w:hAnsi="Times"/>
          <w:szCs w:val="24"/>
        </w:rPr>
      </w:pPr>
      <w:r w:rsidRPr="0024375B">
        <w:rPr>
          <w:rFonts w:ascii="Times" w:hAnsi="Times"/>
          <w:szCs w:val="24"/>
        </w:rPr>
        <w:t xml:space="preserve">technicznym </w:t>
      </w:r>
      <w:r w:rsidR="005C21E8" w:rsidRPr="0024375B">
        <w:rPr>
          <w:rFonts w:ascii="Times" w:hAnsi="Times"/>
          <w:szCs w:val="24"/>
        </w:rPr>
        <w:t>–</w:t>
      </w:r>
      <w:r w:rsidRPr="0024375B">
        <w:rPr>
          <w:rFonts w:ascii="Times" w:hAnsi="Times"/>
          <w:szCs w:val="24"/>
        </w:rPr>
        <w:t xml:space="preserve"> </w:t>
      </w:r>
      <w:r w:rsidR="005C21E8" w:rsidRPr="0024375B">
        <w:rPr>
          <w:rFonts w:ascii="Times" w:hAnsi="Times"/>
          <w:szCs w:val="24"/>
        </w:rPr>
        <w:t>m.in. badanie bezpieczeństwa oprogramowania</w:t>
      </w:r>
      <w:r w:rsidR="002161FE">
        <w:rPr>
          <w:rFonts w:ascii="Times" w:hAnsi="Times"/>
          <w:szCs w:val="24"/>
        </w:rPr>
        <w:t xml:space="preserve"> i </w:t>
      </w:r>
      <w:r w:rsidR="005C21E8" w:rsidRPr="0024375B">
        <w:rPr>
          <w:rFonts w:ascii="Times" w:hAnsi="Times"/>
          <w:szCs w:val="24"/>
        </w:rPr>
        <w:t xml:space="preserve">urządzeń – </w:t>
      </w:r>
      <w:r w:rsidRPr="0024375B">
        <w:rPr>
          <w:rFonts w:ascii="Times" w:hAnsi="Times"/>
          <w:szCs w:val="24"/>
        </w:rPr>
        <w:t xml:space="preserve">czego odzwierciedleniem są na gruncie prawa krajowego </w:t>
      </w:r>
      <w:r w:rsidR="005C21E8" w:rsidRPr="0024375B">
        <w:rPr>
          <w:rFonts w:ascii="Times" w:hAnsi="Times"/>
          <w:szCs w:val="24"/>
        </w:rPr>
        <w:t>uprawnienia Pełnomocnika Rządu ds. Cyberbezpieczeństwa oraz zespołów CSIRT poziomu krajowego: CSIRT GOV, CSIRT MON, CSIRT NASK</w:t>
      </w:r>
      <w:r w:rsidRPr="0024375B">
        <w:rPr>
          <w:rFonts w:ascii="Times" w:hAnsi="Times"/>
          <w:szCs w:val="24"/>
        </w:rPr>
        <w:t>,</w:t>
      </w:r>
      <w:r w:rsidR="005C21E8" w:rsidRPr="0024375B">
        <w:rPr>
          <w:rFonts w:ascii="Times" w:hAnsi="Times"/>
          <w:szCs w:val="24"/>
        </w:rPr>
        <w:t xml:space="preserve"> wynikające</w:t>
      </w:r>
      <w:r w:rsidR="002161FE">
        <w:rPr>
          <w:rFonts w:ascii="Times" w:hAnsi="Times"/>
          <w:szCs w:val="24"/>
        </w:rPr>
        <w:t xml:space="preserve"> z</w:t>
      </w:r>
      <w:r w:rsidR="00EA1900">
        <w:rPr>
          <w:rFonts w:ascii="Times" w:hAnsi="Times"/>
          <w:szCs w:val="24"/>
        </w:rPr>
        <w:t xml:space="preserve"> art. </w:t>
      </w:r>
      <w:r w:rsidR="005C21E8" w:rsidRPr="0024375B">
        <w:rPr>
          <w:rFonts w:ascii="Times" w:hAnsi="Times"/>
          <w:szCs w:val="24"/>
        </w:rPr>
        <w:t>33 ustawy</w:t>
      </w:r>
      <w:r w:rsidR="0077165A">
        <w:rPr>
          <w:rFonts w:ascii="Times" w:hAnsi="Times"/>
          <w:szCs w:val="24"/>
        </w:rPr>
        <w:t xml:space="preserve"> o </w:t>
      </w:r>
      <w:r w:rsidR="005C21E8" w:rsidRPr="0024375B">
        <w:rPr>
          <w:rFonts w:ascii="Times" w:hAnsi="Times"/>
          <w:szCs w:val="24"/>
        </w:rPr>
        <w:t>KSC,</w:t>
      </w:r>
    </w:p>
    <w:p w14:paraId="6C87B2CB" w14:textId="77777777" w:rsidR="005C21E8" w:rsidRPr="0024375B" w:rsidRDefault="00B46FF3" w:rsidP="0024375B">
      <w:pPr>
        <w:widowControl/>
        <w:numPr>
          <w:ilvl w:val="0"/>
          <w:numId w:val="4"/>
        </w:numPr>
        <w:autoSpaceDE/>
        <w:autoSpaceDN/>
        <w:adjustRightInd/>
        <w:jc w:val="both"/>
        <w:rPr>
          <w:rFonts w:ascii="Times" w:hAnsi="Times"/>
          <w:szCs w:val="24"/>
        </w:rPr>
      </w:pPr>
      <w:r w:rsidRPr="0024375B">
        <w:rPr>
          <w:rFonts w:ascii="Times" w:hAnsi="Times"/>
          <w:szCs w:val="24"/>
        </w:rPr>
        <w:t xml:space="preserve">wspierającym </w:t>
      </w:r>
      <w:r w:rsidR="005C21E8" w:rsidRPr="0024375B">
        <w:rPr>
          <w:rFonts w:ascii="Times" w:hAnsi="Times"/>
          <w:szCs w:val="24"/>
        </w:rPr>
        <w:t>– m.in. dotyczące prac nad europejskim programem standaryzacji</w:t>
      </w:r>
      <w:r w:rsidR="002161FE">
        <w:rPr>
          <w:rFonts w:ascii="Times" w:hAnsi="Times"/>
          <w:szCs w:val="24"/>
        </w:rPr>
        <w:t xml:space="preserve"> i </w:t>
      </w:r>
      <w:r w:rsidR="005C21E8" w:rsidRPr="0024375B">
        <w:rPr>
          <w:rFonts w:ascii="Times" w:hAnsi="Times"/>
          <w:szCs w:val="24"/>
        </w:rPr>
        <w:t>certyfikacji cyberbezpieczeństwa</w:t>
      </w:r>
      <w:r w:rsidRPr="0024375B">
        <w:rPr>
          <w:rFonts w:ascii="Times" w:hAnsi="Times"/>
          <w:szCs w:val="24"/>
        </w:rPr>
        <w:t>.</w:t>
      </w:r>
    </w:p>
    <w:p w14:paraId="2CE30A43" w14:textId="77777777" w:rsidR="00F6749E" w:rsidRPr="0024375B" w:rsidRDefault="00F6749E" w:rsidP="0024375B">
      <w:pPr>
        <w:pStyle w:val="NIEARTTEKSTtekstnieartykuowanynppodstprawnarozplubpreambua"/>
        <w:spacing w:before="0"/>
        <w:rPr>
          <w:bCs w:val="0"/>
          <w:szCs w:val="24"/>
        </w:rPr>
      </w:pPr>
      <w:r w:rsidRPr="0024375B">
        <w:rPr>
          <w:bCs w:val="0"/>
          <w:szCs w:val="24"/>
        </w:rPr>
        <w:t>Wprowadzenie zmian do ustawy</w:t>
      </w:r>
      <w:r w:rsidR="0077165A">
        <w:rPr>
          <w:bCs w:val="0"/>
          <w:szCs w:val="24"/>
        </w:rPr>
        <w:t xml:space="preserve"> o </w:t>
      </w:r>
      <w:r w:rsidRPr="0024375B">
        <w:rPr>
          <w:bCs w:val="0"/>
          <w:szCs w:val="24"/>
        </w:rPr>
        <w:t>KSC jest elementem działań na rzecz wdrożenia zaleceń</w:t>
      </w:r>
      <w:r w:rsidR="002161FE">
        <w:rPr>
          <w:bCs w:val="0"/>
          <w:szCs w:val="24"/>
        </w:rPr>
        <w:t xml:space="preserve"> z </w:t>
      </w:r>
      <w:r w:rsidRPr="0024375B">
        <w:rPr>
          <w:bCs w:val="0"/>
          <w:szCs w:val="24"/>
        </w:rPr>
        <w:t>5G Toolbox</w:t>
      </w:r>
      <w:r w:rsidR="00EA1900">
        <w:rPr>
          <w:bCs w:val="0"/>
          <w:szCs w:val="24"/>
        </w:rPr>
        <w:t xml:space="preserve"> w </w:t>
      </w:r>
      <w:r w:rsidR="009C2EB4" w:rsidRPr="0024375B">
        <w:rPr>
          <w:bCs w:val="0"/>
          <w:szCs w:val="24"/>
        </w:rPr>
        <w:t>Polsce</w:t>
      </w:r>
      <w:r w:rsidRPr="0024375B">
        <w:rPr>
          <w:bCs w:val="0"/>
          <w:szCs w:val="24"/>
        </w:rPr>
        <w:t>.</w:t>
      </w:r>
    </w:p>
    <w:p w14:paraId="1D0D7134" w14:textId="77777777" w:rsidR="005C21E8" w:rsidRPr="0024375B" w:rsidRDefault="00375939" w:rsidP="00FC6B8C">
      <w:pPr>
        <w:pStyle w:val="NIEARTTEKSTtekstnieartykuowanynppodstprawnarozplubpreambua"/>
        <w:rPr>
          <w:rFonts w:eastAsia="Times New Roman"/>
          <w:szCs w:val="24"/>
        </w:rPr>
      </w:pPr>
      <w:r w:rsidRPr="0024375B">
        <w:rPr>
          <w:rFonts w:eastAsia="Times New Roman"/>
        </w:rPr>
        <w:t>Europejski Kodeks Łączności Elektronicznej (EKŁE)</w:t>
      </w:r>
      <w:r w:rsidRPr="0024375B">
        <w:rPr>
          <w:rStyle w:val="Odwoanieprzypisudolnego"/>
          <w:rFonts w:ascii="Times New Roman" w:eastAsia="Times New Roman" w:hAnsi="Times New Roman"/>
          <w:color w:val="000000" w:themeColor="text1"/>
          <w:szCs w:val="24"/>
        </w:rPr>
        <w:footnoteReference w:id="11"/>
      </w:r>
      <w:r w:rsidR="006A75AF" w:rsidRPr="0024375B">
        <w:rPr>
          <w:rFonts w:eastAsia="Times New Roman"/>
          <w:vertAlign w:val="superscript"/>
        </w:rPr>
        <w:t>)</w:t>
      </w:r>
      <w:r w:rsidRPr="0024375B">
        <w:rPr>
          <w:rFonts w:eastAsia="Times New Roman"/>
        </w:rPr>
        <w:t xml:space="preserve"> </w:t>
      </w:r>
      <w:r w:rsidR="005C21E8" w:rsidRPr="0024375B">
        <w:rPr>
          <w:rFonts w:eastAsia="Times New Roman"/>
        </w:rPr>
        <w:t>umożliwia (w odróżnieniu od poprzedniej regulacji tzw. dyrektywy ramowej) uspójnienie procedury zgłaszania</w:t>
      </w:r>
      <w:r w:rsidR="002161FE">
        <w:rPr>
          <w:rFonts w:eastAsia="Times New Roman"/>
        </w:rPr>
        <w:t xml:space="preserve"> i </w:t>
      </w:r>
      <w:r w:rsidR="005C21E8" w:rsidRPr="0024375B">
        <w:rPr>
          <w:rFonts w:eastAsia="Times New Roman"/>
        </w:rPr>
        <w:t xml:space="preserve">reagowania na incydenty na poziomie krajowym. </w:t>
      </w:r>
      <w:r w:rsidR="009B2A9D" w:rsidRPr="0024375B">
        <w:rPr>
          <w:rFonts w:eastAsia="Times New Roman"/>
        </w:rPr>
        <w:t>Na możliwość</w:t>
      </w:r>
      <w:r w:rsidR="005C21E8" w:rsidRPr="0024375B">
        <w:rPr>
          <w:rFonts w:eastAsia="Times New Roman"/>
        </w:rPr>
        <w:t xml:space="preserve"> </w:t>
      </w:r>
      <w:r w:rsidR="009B2A9D" w:rsidRPr="0024375B">
        <w:rPr>
          <w:rFonts w:eastAsia="Times New Roman"/>
        </w:rPr>
        <w:t xml:space="preserve">zharmonizowania </w:t>
      </w:r>
      <w:r w:rsidR="005C21E8" w:rsidRPr="0024375B">
        <w:rPr>
          <w:rFonts w:eastAsia="Times New Roman"/>
        </w:rPr>
        <w:t>procedury zgłaszania incydentów</w:t>
      </w:r>
      <w:r w:rsidR="00EA1900">
        <w:rPr>
          <w:rFonts w:eastAsia="Times New Roman"/>
        </w:rPr>
        <w:t xml:space="preserve"> w </w:t>
      </w:r>
      <w:r w:rsidR="005C21E8" w:rsidRPr="0024375B">
        <w:rPr>
          <w:rFonts w:eastAsia="Times New Roman"/>
        </w:rPr>
        <w:t>rozumieniu ustawy</w:t>
      </w:r>
      <w:r w:rsidR="0077165A">
        <w:rPr>
          <w:rFonts w:eastAsia="Times New Roman"/>
        </w:rPr>
        <w:t xml:space="preserve"> o </w:t>
      </w:r>
      <w:r w:rsidR="005C21E8" w:rsidRPr="0024375B">
        <w:rPr>
          <w:rFonts w:eastAsia="Times New Roman"/>
        </w:rPr>
        <w:t>KSC</w:t>
      </w:r>
      <w:r w:rsidR="002161FE">
        <w:rPr>
          <w:rFonts w:eastAsia="Times New Roman"/>
        </w:rPr>
        <w:t xml:space="preserve"> z </w:t>
      </w:r>
      <w:r w:rsidR="005C21E8" w:rsidRPr="0024375B">
        <w:rPr>
          <w:rFonts w:eastAsia="Times New Roman"/>
        </w:rPr>
        <w:t>incydentami raportowanymi przez przedsiębiorców telekomunikacyjnych wskazuje się także</w:t>
      </w:r>
      <w:r w:rsidR="0077165A">
        <w:rPr>
          <w:rFonts w:eastAsia="Times New Roman"/>
        </w:rPr>
        <w:t xml:space="preserve"> w</w:t>
      </w:r>
      <w:r w:rsidR="005C21E8" w:rsidRPr="0024375B">
        <w:rPr>
          <w:rFonts w:eastAsia="Times New Roman"/>
        </w:rPr>
        <w:t xml:space="preserve"> opublikowanym eksperckim opracowaniu </w:t>
      </w:r>
      <w:r w:rsidR="005C21E8" w:rsidRPr="0024375B">
        <w:rPr>
          <w:rFonts w:eastAsia="Times New Roman"/>
          <w:i/>
          <w:iCs/>
        </w:rPr>
        <w:t>Synergies in Cybersecurity Incident Reporting</w:t>
      </w:r>
      <w:r w:rsidR="006D1FB3" w:rsidRPr="0024375B">
        <w:rPr>
          <w:rStyle w:val="Odwoanieprzypisudolnego"/>
          <w:rFonts w:ascii="Times New Roman" w:eastAsia="Times New Roman" w:hAnsi="Times New Roman"/>
          <w:color w:val="000000" w:themeColor="text1"/>
        </w:rPr>
        <w:footnoteReference w:id="12"/>
      </w:r>
      <w:r w:rsidR="00CE3276">
        <w:rPr>
          <w:rFonts w:eastAsia="Times New Roman"/>
          <w:i/>
          <w:iCs/>
          <w:vertAlign w:val="superscript"/>
        </w:rPr>
        <w:t>)</w:t>
      </w:r>
      <w:r w:rsidR="005C21E8" w:rsidRPr="0024375B">
        <w:rPr>
          <w:rFonts w:eastAsia="Times New Roman"/>
        </w:rPr>
        <w:t>. Jest to dokument przygotowany przez Grupę Współpracy NIS we współpracy</w:t>
      </w:r>
      <w:r w:rsidR="002161FE">
        <w:rPr>
          <w:rFonts w:eastAsia="Times New Roman"/>
        </w:rPr>
        <w:t xml:space="preserve"> z </w:t>
      </w:r>
      <w:r w:rsidR="005C21E8" w:rsidRPr="0024375B">
        <w:rPr>
          <w:rFonts w:eastAsia="Times New Roman"/>
        </w:rPr>
        <w:t>Agencją Unii Europejskiej ds. Cyberbezpieczeństwa</w:t>
      </w:r>
      <w:r w:rsidR="009B2A9D" w:rsidRPr="0024375B">
        <w:rPr>
          <w:rFonts w:eastAsia="Times New Roman"/>
        </w:rPr>
        <w:t xml:space="preserve"> (zwaną </w:t>
      </w:r>
      <w:r w:rsidR="005C21E8" w:rsidRPr="0024375B">
        <w:rPr>
          <w:rFonts w:eastAsia="Times New Roman"/>
        </w:rPr>
        <w:t>dalej „ENISA”</w:t>
      </w:r>
      <w:r w:rsidR="009B2A9D" w:rsidRPr="0024375B">
        <w:rPr>
          <w:rFonts w:eastAsia="Times New Roman"/>
        </w:rPr>
        <w:t>)</w:t>
      </w:r>
      <w:r w:rsidR="005C21E8" w:rsidRPr="0024375B">
        <w:rPr>
          <w:rFonts w:eastAsia="Times New Roman"/>
        </w:rPr>
        <w:t xml:space="preserve"> oraz </w:t>
      </w:r>
      <w:r w:rsidR="009B2A9D" w:rsidRPr="0024375B">
        <w:rPr>
          <w:rFonts w:eastAsia="Times New Roman"/>
        </w:rPr>
        <w:t xml:space="preserve">Komisją </w:t>
      </w:r>
      <w:r w:rsidR="005C21E8" w:rsidRPr="0024375B">
        <w:rPr>
          <w:rFonts w:eastAsia="Times New Roman"/>
        </w:rPr>
        <w:t>Europejską.</w:t>
      </w:r>
      <w:r w:rsidR="00116933">
        <w:rPr>
          <w:rFonts w:eastAsia="Times New Roman"/>
        </w:rPr>
        <w:t xml:space="preserve"> W </w:t>
      </w:r>
      <w:r w:rsidR="008B2CF2" w:rsidRPr="0024375B">
        <w:rPr>
          <w:rFonts w:eastAsia="Times New Roman"/>
        </w:rPr>
        <w:t>o</w:t>
      </w:r>
      <w:r w:rsidR="005C21E8" w:rsidRPr="0024375B">
        <w:rPr>
          <w:rFonts w:eastAsia="Times New Roman"/>
        </w:rPr>
        <w:t>pracowani</w:t>
      </w:r>
      <w:r w:rsidR="008B2CF2" w:rsidRPr="0024375B">
        <w:rPr>
          <w:rFonts w:eastAsia="Times New Roman"/>
        </w:rPr>
        <w:t>u tym</w:t>
      </w:r>
      <w:r w:rsidR="005C21E8" w:rsidRPr="0024375B">
        <w:rPr>
          <w:rFonts w:eastAsia="Times New Roman"/>
        </w:rPr>
        <w:t xml:space="preserve"> wprost </w:t>
      </w:r>
      <w:r w:rsidR="008B2CF2" w:rsidRPr="0024375B">
        <w:rPr>
          <w:rFonts w:eastAsia="Times New Roman"/>
        </w:rPr>
        <w:t>wskazano</w:t>
      </w:r>
      <w:r w:rsidR="005C21E8" w:rsidRPr="0024375B">
        <w:rPr>
          <w:rFonts w:eastAsia="Times New Roman"/>
        </w:rPr>
        <w:t>, że państwa mogą dokonać harmonizacji procedur</w:t>
      </w:r>
      <w:r w:rsidR="002161FE">
        <w:rPr>
          <w:rFonts w:eastAsia="Times New Roman"/>
        </w:rPr>
        <w:t xml:space="preserve"> z </w:t>
      </w:r>
      <w:r w:rsidR="005C21E8" w:rsidRPr="0024375B">
        <w:rPr>
          <w:rFonts w:eastAsia="Times New Roman"/>
        </w:rPr>
        <w:t>dyrektywy NIS, EKŁE oraz rozporządzenia eIDAS, dzięki m.in. posiadaniu podobn</w:t>
      </w:r>
      <w:r w:rsidR="000F24AC" w:rsidRPr="0024375B">
        <w:rPr>
          <w:rFonts w:eastAsia="Times New Roman"/>
        </w:rPr>
        <w:t>ych założeń</w:t>
      </w:r>
      <w:r w:rsidR="00EA1900">
        <w:rPr>
          <w:rFonts w:eastAsia="Times New Roman"/>
        </w:rPr>
        <w:t xml:space="preserve"> w </w:t>
      </w:r>
      <w:r w:rsidR="005C21E8" w:rsidRPr="0024375B">
        <w:rPr>
          <w:rFonts w:eastAsia="Times New Roman"/>
        </w:rPr>
        <w:t>klasyfikacji incydentów, określ</w:t>
      </w:r>
      <w:r w:rsidR="00BD3F17" w:rsidRPr="0024375B">
        <w:rPr>
          <w:rFonts w:eastAsia="Times New Roman"/>
        </w:rPr>
        <w:t>a</w:t>
      </w:r>
      <w:r w:rsidR="005C21E8" w:rsidRPr="0024375B">
        <w:rPr>
          <w:rFonts w:eastAsia="Times New Roman"/>
        </w:rPr>
        <w:t>ni</w:t>
      </w:r>
      <w:r w:rsidR="00BD3F17" w:rsidRPr="0024375B">
        <w:rPr>
          <w:rFonts w:eastAsia="Times New Roman"/>
        </w:rPr>
        <w:t>u</w:t>
      </w:r>
      <w:r w:rsidR="005C21E8" w:rsidRPr="0024375B">
        <w:rPr>
          <w:rFonts w:eastAsia="Times New Roman"/>
        </w:rPr>
        <w:t xml:space="preserve"> progów </w:t>
      </w:r>
      <w:r w:rsidR="005C21E8" w:rsidRPr="0024375B">
        <w:rPr>
          <w:rFonts w:eastAsia="Times New Roman"/>
        </w:rPr>
        <w:lastRenderedPageBreak/>
        <w:t>incydentów. Co więcej</w:t>
      </w:r>
      <w:r w:rsidR="00BD3F17" w:rsidRPr="0024375B">
        <w:rPr>
          <w:rFonts w:eastAsia="Times New Roman"/>
        </w:rPr>
        <w:t>,</w:t>
      </w:r>
      <w:r w:rsidR="005C21E8" w:rsidRPr="0024375B">
        <w:rPr>
          <w:rFonts w:eastAsia="Times New Roman"/>
        </w:rPr>
        <w:t xml:space="preserve"> podkreślono fakt, że usługi objęte tymi trzema reżimami prawnymi mają krytyczne znaczenie dla społeczeństwa.</w:t>
      </w:r>
    </w:p>
    <w:p w14:paraId="27BC8899" w14:textId="77777777" w:rsidR="00B101F3" w:rsidRPr="0024375B" w:rsidRDefault="00B101F3" w:rsidP="00FC6B8C">
      <w:pPr>
        <w:pStyle w:val="NIEARTTEKSTtekstnieartykuowanynppodstprawnarozplubpreambua"/>
        <w:rPr>
          <w:rFonts w:ascii="Times New Roman" w:eastAsia="Times New Roman" w:hAnsi="Times New Roman" w:cs="Times New Roman"/>
          <w:color w:val="000000" w:themeColor="text1"/>
          <w:szCs w:val="24"/>
        </w:rPr>
      </w:pPr>
      <w:r w:rsidRPr="0024375B">
        <w:rPr>
          <w:rFonts w:ascii="Times New Roman" w:eastAsia="Times New Roman" w:hAnsi="Times New Roman" w:cs="Times New Roman"/>
          <w:color w:val="000000" w:themeColor="text1"/>
          <w:szCs w:val="24"/>
        </w:rPr>
        <w:t>Jak już wspomniano wcześniej</w:t>
      </w:r>
      <w:r w:rsidR="00BD3F17" w:rsidRPr="0024375B">
        <w:rPr>
          <w:rFonts w:ascii="Times New Roman" w:eastAsia="Times New Roman" w:hAnsi="Times New Roman" w:cs="Times New Roman"/>
          <w:color w:val="000000" w:themeColor="text1"/>
          <w:szCs w:val="24"/>
        </w:rPr>
        <w:t>,</w:t>
      </w:r>
      <w:r w:rsidRPr="0024375B">
        <w:rPr>
          <w:rFonts w:ascii="Times New Roman" w:eastAsia="Times New Roman" w:hAnsi="Times New Roman" w:cs="Times New Roman"/>
          <w:color w:val="000000" w:themeColor="text1"/>
          <w:szCs w:val="24"/>
        </w:rPr>
        <w:t xml:space="preserve"> s</w:t>
      </w:r>
      <w:r w:rsidRPr="0024375B">
        <w:rPr>
          <w:szCs w:val="24"/>
        </w:rPr>
        <w:t xml:space="preserve">ieć 5G będzie </w:t>
      </w:r>
      <w:r w:rsidR="00260B78" w:rsidRPr="0024375B">
        <w:rPr>
          <w:szCs w:val="24"/>
        </w:rPr>
        <w:t>jednym</w:t>
      </w:r>
      <w:r w:rsidR="002161FE">
        <w:rPr>
          <w:szCs w:val="24"/>
        </w:rPr>
        <w:t xml:space="preserve"> z </w:t>
      </w:r>
      <w:r w:rsidR="00260B78" w:rsidRPr="0024375B">
        <w:rPr>
          <w:szCs w:val="24"/>
        </w:rPr>
        <w:t xml:space="preserve">kluczowych </w:t>
      </w:r>
      <w:r w:rsidRPr="0024375B">
        <w:rPr>
          <w:szCs w:val="24"/>
        </w:rPr>
        <w:t>element</w:t>
      </w:r>
      <w:r w:rsidR="00260B78" w:rsidRPr="0024375B">
        <w:rPr>
          <w:szCs w:val="24"/>
        </w:rPr>
        <w:t>ów mających znaczenie</w:t>
      </w:r>
      <w:r w:rsidRPr="0024375B">
        <w:rPr>
          <w:szCs w:val="24"/>
        </w:rPr>
        <w:t xml:space="preserve"> cyberbezpieczeństwa na poziomie państwa.</w:t>
      </w:r>
      <w:r w:rsidR="00116933">
        <w:rPr>
          <w:szCs w:val="24"/>
        </w:rPr>
        <w:t xml:space="preserve"> W </w:t>
      </w:r>
      <w:r w:rsidRPr="0024375B">
        <w:rPr>
          <w:szCs w:val="24"/>
        </w:rPr>
        <w:t>związku</w:t>
      </w:r>
      <w:r w:rsidR="002161FE">
        <w:rPr>
          <w:szCs w:val="24"/>
        </w:rPr>
        <w:t xml:space="preserve"> z </w:t>
      </w:r>
      <w:r w:rsidRPr="0024375B">
        <w:rPr>
          <w:szCs w:val="24"/>
        </w:rPr>
        <w:t>tym</w:t>
      </w:r>
      <w:r w:rsidR="00260B78" w:rsidRPr="0024375B">
        <w:rPr>
          <w:szCs w:val="24"/>
        </w:rPr>
        <w:t>,</w:t>
      </w:r>
      <w:r w:rsidRPr="0024375B">
        <w:rPr>
          <w:szCs w:val="24"/>
        </w:rPr>
        <w:t xml:space="preserve"> </w:t>
      </w:r>
      <w:r w:rsidR="00260B78" w:rsidRPr="0024375B">
        <w:rPr>
          <w:szCs w:val="24"/>
        </w:rPr>
        <w:t>kwestie związane</w:t>
      </w:r>
      <w:r w:rsidR="002161FE">
        <w:rPr>
          <w:szCs w:val="24"/>
        </w:rPr>
        <w:t xml:space="preserve"> z </w:t>
      </w:r>
      <w:r w:rsidR="00260B78" w:rsidRPr="0024375B">
        <w:rPr>
          <w:szCs w:val="24"/>
        </w:rPr>
        <w:t>budową</w:t>
      </w:r>
      <w:r w:rsidR="002161FE">
        <w:rPr>
          <w:szCs w:val="24"/>
        </w:rPr>
        <w:t xml:space="preserve"> i </w:t>
      </w:r>
      <w:r w:rsidR="00260B78" w:rsidRPr="0024375B">
        <w:rPr>
          <w:szCs w:val="24"/>
        </w:rPr>
        <w:t>funkcjonowaniem</w:t>
      </w:r>
      <w:r w:rsidRPr="0024375B">
        <w:rPr>
          <w:szCs w:val="24"/>
        </w:rPr>
        <w:t xml:space="preserve"> </w:t>
      </w:r>
      <w:r w:rsidR="00260B78" w:rsidRPr="0024375B">
        <w:rPr>
          <w:szCs w:val="24"/>
        </w:rPr>
        <w:t xml:space="preserve">sieci 5G </w:t>
      </w:r>
      <w:r w:rsidRPr="0024375B">
        <w:rPr>
          <w:szCs w:val="24"/>
        </w:rPr>
        <w:t xml:space="preserve">nie </w:t>
      </w:r>
      <w:r w:rsidR="00260B78" w:rsidRPr="0024375B">
        <w:rPr>
          <w:szCs w:val="24"/>
        </w:rPr>
        <w:t>mogą zostać pominięte</w:t>
      </w:r>
      <w:r w:rsidR="00EA1900">
        <w:rPr>
          <w:szCs w:val="24"/>
        </w:rPr>
        <w:t xml:space="preserve"> w </w:t>
      </w:r>
      <w:r w:rsidR="00260B78" w:rsidRPr="0024375B">
        <w:rPr>
          <w:szCs w:val="24"/>
        </w:rPr>
        <w:t>kształtowaniu otoczenia prawnego funkcjonowania krajowego systemu cyberbezpieczeństwa,</w:t>
      </w:r>
      <w:r w:rsidRPr="0024375B">
        <w:rPr>
          <w:szCs w:val="24"/>
        </w:rPr>
        <w:t xml:space="preserve"> którego celem jest zapewnienie tego bezpieczeństwa. Ponadto, sieć 5G będzie miała kluczowe znaczenie dla funkcjonowania wszystkich sektorów gospodarki. Pozostawienie jej (podmiotów świadczących </w:t>
      </w:r>
      <w:r w:rsidR="000F24AC" w:rsidRPr="0024375B">
        <w:rPr>
          <w:szCs w:val="24"/>
        </w:rPr>
        <w:t xml:space="preserve">dostarczających </w:t>
      </w:r>
      <w:r w:rsidRPr="0024375B">
        <w:rPr>
          <w:szCs w:val="24"/>
        </w:rPr>
        <w:t>sieci 5G, czyli operatorów telekomunikacyjnych) poza krajowym systemem cyberbezpieczeństwa znacząco ograniczyłoby możliwość reagowania na pojawiające się cyberzagrożenia.</w:t>
      </w:r>
    </w:p>
    <w:p w14:paraId="06D10B9C" w14:textId="77777777" w:rsidR="00B101F3" w:rsidRPr="0024375B" w:rsidRDefault="00B101F3" w:rsidP="00FC6B8C">
      <w:pPr>
        <w:pStyle w:val="NIEARTTEKSTtekstnieartykuowanynppodstprawnarozplubpreambua"/>
        <w:rPr>
          <w:szCs w:val="24"/>
        </w:rPr>
      </w:pPr>
      <w:r w:rsidRPr="0024375B">
        <w:rPr>
          <w:szCs w:val="24"/>
        </w:rPr>
        <w:t>Obecnie funkcjonują odrębne systemy zgłaszania naruszeń (jak określane są incydenty telekomunikacyjne</w:t>
      </w:r>
      <w:r w:rsidR="00EA1900">
        <w:rPr>
          <w:szCs w:val="24"/>
        </w:rPr>
        <w:t xml:space="preserve"> w </w:t>
      </w:r>
      <w:r w:rsidRPr="0024375B">
        <w:rPr>
          <w:szCs w:val="24"/>
        </w:rPr>
        <w:t>obowiązującym Prawie telekomunikacyjnym) przez przedsiębiorców telekomunikacyjnych oraz incydentów przez operatorów usług kluczowych. Przedsiębiorcy telekomunikacyjni zgłaszają naruszenia do</w:t>
      </w:r>
      <w:r w:rsidR="000F24AC" w:rsidRPr="0024375B">
        <w:rPr>
          <w:szCs w:val="24"/>
        </w:rPr>
        <w:t xml:space="preserve"> Prezesa </w:t>
      </w:r>
      <w:r w:rsidRPr="0024375B">
        <w:rPr>
          <w:szCs w:val="24"/>
        </w:rPr>
        <w:t>U</w:t>
      </w:r>
      <w:r w:rsidR="000F24AC" w:rsidRPr="0024375B">
        <w:rPr>
          <w:szCs w:val="24"/>
        </w:rPr>
        <w:t>rzędu Komunikacji Elektronicznej</w:t>
      </w:r>
      <w:r w:rsidRPr="0024375B">
        <w:rPr>
          <w:szCs w:val="24"/>
        </w:rPr>
        <w:t>, podczas gdy operatorzy usług kluczowych zgłaszają incydenty bezpośrednio do właściwych CSIRT</w:t>
      </w:r>
      <w:r w:rsidR="000F24AC" w:rsidRPr="0024375B">
        <w:rPr>
          <w:szCs w:val="24"/>
        </w:rPr>
        <w:t>’</w:t>
      </w:r>
      <w:r w:rsidRPr="0024375B">
        <w:rPr>
          <w:szCs w:val="24"/>
        </w:rPr>
        <w:t>ów. Proponowane</w:t>
      </w:r>
      <w:r w:rsidR="00EA1900">
        <w:rPr>
          <w:szCs w:val="24"/>
        </w:rPr>
        <w:t xml:space="preserve"> w </w:t>
      </w:r>
      <w:r w:rsidR="00CA1F55" w:rsidRPr="0024375B">
        <w:rPr>
          <w:szCs w:val="24"/>
        </w:rPr>
        <w:t xml:space="preserve">projekcie ustawy </w:t>
      </w:r>
      <w:r w:rsidRPr="0024375B">
        <w:rPr>
          <w:szCs w:val="24"/>
        </w:rPr>
        <w:t>zmiany usprawnią przepływ informacji</w:t>
      </w:r>
      <w:r w:rsidR="0077165A">
        <w:rPr>
          <w:szCs w:val="24"/>
        </w:rPr>
        <w:t xml:space="preserve"> o </w:t>
      </w:r>
      <w:r w:rsidRPr="0024375B">
        <w:rPr>
          <w:szCs w:val="24"/>
        </w:rPr>
        <w:t>naruszeniach</w:t>
      </w:r>
      <w:r w:rsidR="000F24AC" w:rsidRPr="0024375B">
        <w:rPr>
          <w:szCs w:val="24"/>
        </w:rPr>
        <w:t xml:space="preserve"> - </w:t>
      </w:r>
      <w:r w:rsidRPr="0024375B">
        <w:rPr>
          <w:szCs w:val="24"/>
        </w:rPr>
        <w:t>incydentach</w:t>
      </w:r>
      <w:r w:rsidR="00CA1F55" w:rsidRPr="0024375B">
        <w:rPr>
          <w:szCs w:val="24"/>
        </w:rPr>
        <w:t>. Stworzony zostanie</w:t>
      </w:r>
      <w:r w:rsidRPr="0024375B">
        <w:rPr>
          <w:szCs w:val="24"/>
        </w:rPr>
        <w:t xml:space="preserve"> jednolity system</w:t>
      </w:r>
      <w:r w:rsidR="00CA1F55" w:rsidRPr="0024375B">
        <w:rPr>
          <w:szCs w:val="24"/>
        </w:rPr>
        <w:t xml:space="preserve"> oraz</w:t>
      </w:r>
      <w:r w:rsidRPr="0024375B">
        <w:rPr>
          <w:szCs w:val="24"/>
        </w:rPr>
        <w:t xml:space="preserve"> </w:t>
      </w:r>
      <w:r w:rsidR="00CA1F55" w:rsidRPr="0024375B">
        <w:rPr>
          <w:szCs w:val="24"/>
        </w:rPr>
        <w:t xml:space="preserve">ujednolicone zostaną </w:t>
      </w:r>
      <w:r w:rsidRPr="0024375B">
        <w:rPr>
          <w:szCs w:val="24"/>
        </w:rPr>
        <w:t>procedury</w:t>
      </w:r>
      <w:r w:rsidR="00EA1900">
        <w:rPr>
          <w:szCs w:val="24"/>
        </w:rPr>
        <w:t xml:space="preserve"> w </w:t>
      </w:r>
      <w:r w:rsidRPr="0024375B">
        <w:rPr>
          <w:szCs w:val="24"/>
        </w:rPr>
        <w:t>zakresie reagowania na incydenty</w:t>
      </w:r>
      <w:r w:rsidR="00CA1F55" w:rsidRPr="0024375B">
        <w:rPr>
          <w:szCs w:val="24"/>
        </w:rPr>
        <w:t>. Rolę koordynacyjną</w:t>
      </w:r>
      <w:r w:rsidR="00EA1900">
        <w:rPr>
          <w:szCs w:val="24"/>
        </w:rPr>
        <w:t xml:space="preserve"> w </w:t>
      </w:r>
      <w:r w:rsidR="00CA1F55" w:rsidRPr="0024375B">
        <w:rPr>
          <w:szCs w:val="24"/>
        </w:rPr>
        <w:t xml:space="preserve">tym systemie pełnić będą </w:t>
      </w:r>
      <w:r w:rsidRPr="0024375B">
        <w:rPr>
          <w:szCs w:val="24"/>
        </w:rPr>
        <w:t>CSIRT poziomu krajowego</w:t>
      </w:r>
      <w:r w:rsidR="00CA1F55" w:rsidRPr="0024375B">
        <w:rPr>
          <w:szCs w:val="24"/>
        </w:rPr>
        <w:t>, każdy</w:t>
      </w:r>
      <w:r w:rsidR="00EA1900">
        <w:rPr>
          <w:szCs w:val="24"/>
        </w:rPr>
        <w:t xml:space="preserve"> w </w:t>
      </w:r>
      <w:r w:rsidR="00CA1F55" w:rsidRPr="0024375B">
        <w:rPr>
          <w:szCs w:val="24"/>
        </w:rPr>
        <w:t>obrębie swojej właściwości podmiotowej</w:t>
      </w:r>
      <w:r w:rsidRPr="0024375B">
        <w:rPr>
          <w:szCs w:val="24"/>
        </w:rPr>
        <w:t>.</w:t>
      </w:r>
      <w:r w:rsidR="005B3E76" w:rsidRPr="0024375B">
        <w:rPr>
          <w:szCs w:val="24"/>
        </w:rPr>
        <w:t xml:space="preserve"> </w:t>
      </w:r>
    </w:p>
    <w:p w14:paraId="1CB711BA" w14:textId="77777777" w:rsidR="00B101F3" w:rsidRPr="0024375B" w:rsidRDefault="000F24AC" w:rsidP="00FC6B8C">
      <w:pPr>
        <w:pStyle w:val="NIEARTTEKSTtekstnieartykuowanynppodstprawnarozplubpreambua"/>
        <w:rPr>
          <w:szCs w:val="24"/>
        </w:rPr>
      </w:pPr>
      <w:r w:rsidRPr="0024375B">
        <w:rPr>
          <w:szCs w:val="24"/>
        </w:rPr>
        <w:t>B</w:t>
      </w:r>
      <w:r w:rsidR="00B101F3" w:rsidRPr="0024375B">
        <w:rPr>
          <w:szCs w:val="24"/>
        </w:rPr>
        <w:t xml:space="preserve">ezpieczeństwo sektora telekomunikacji </w:t>
      </w:r>
      <w:r w:rsidR="00DD5DC4" w:rsidRPr="0024375B">
        <w:rPr>
          <w:szCs w:val="24"/>
        </w:rPr>
        <w:t>ma wpływ na</w:t>
      </w:r>
      <w:r w:rsidR="00B101F3" w:rsidRPr="0024375B">
        <w:rPr>
          <w:szCs w:val="24"/>
        </w:rPr>
        <w:t xml:space="preserve"> </w:t>
      </w:r>
      <w:r w:rsidR="00DD5DC4" w:rsidRPr="0024375B">
        <w:rPr>
          <w:szCs w:val="24"/>
        </w:rPr>
        <w:t xml:space="preserve">poprawne </w:t>
      </w:r>
      <w:r w:rsidR="00B101F3" w:rsidRPr="0024375B">
        <w:rPr>
          <w:szCs w:val="24"/>
        </w:rPr>
        <w:t>funkcjonowanie innych sektorów gospodarki. Incydent telekomunikacyjny może łatwo spowodować np. niedostępność usług bankowych,</w:t>
      </w:r>
      <w:r w:rsidR="002161FE">
        <w:rPr>
          <w:szCs w:val="24"/>
        </w:rPr>
        <w:t xml:space="preserve"> a </w:t>
      </w:r>
      <w:r w:rsidR="00B101F3" w:rsidRPr="0024375B">
        <w:rPr>
          <w:szCs w:val="24"/>
        </w:rPr>
        <w:t>więc wstrzymać wykonywanie usług</w:t>
      </w:r>
      <w:r w:rsidR="00EA1900">
        <w:rPr>
          <w:szCs w:val="24"/>
        </w:rPr>
        <w:t xml:space="preserve"> w </w:t>
      </w:r>
      <w:r w:rsidR="00B101F3" w:rsidRPr="0024375B">
        <w:rPr>
          <w:szCs w:val="24"/>
        </w:rPr>
        <w:t>innym sektorze.</w:t>
      </w:r>
      <w:r w:rsidR="00116933">
        <w:rPr>
          <w:szCs w:val="24"/>
        </w:rPr>
        <w:t xml:space="preserve"> W </w:t>
      </w:r>
      <w:r w:rsidR="00DD5DC4" w:rsidRPr="0024375B">
        <w:rPr>
          <w:szCs w:val="24"/>
        </w:rPr>
        <w:t>związku</w:t>
      </w:r>
      <w:r w:rsidR="002161FE">
        <w:rPr>
          <w:szCs w:val="24"/>
        </w:rPr>
        <w:t xml:space="preserve"> z </w:t>
      </w:r>
      <w:r w:rsidR="00DD5DC4" w:rsidRPr="0024375B">
        <w:rPr>
          <w:szCs w:val="24"/>
        </w:rPr>
        <w:t>powyższym</w:t>
      </w:r>
      <w:r w:rsidR="00EA1900">
        <w:rPr>
          <w:szCs w:val="24"/>
        </w:rPr>
        <w:t xml:space="preserve"> w </w:t>
      </w:r>
      <w:r w:rsidR="00DD5DC4" w:rsidRPr="0024375B">
        <w:rPr>
          <w:szCs w:val="24"/>
        </w:rPr>
        <w:t xml:space="preserve">projekcie ustawy </w:t>
      </w:r>
      <w:r w:rsidR="00A70377" w:rsidRPr="0024375B">
        <w:rPr>
          <w:szCs w:val="24"/>
        </w:rPr>
        <w:t>wprowadzono rozwiązania zwiększające przepływ informacji</w:t>
      </w:r>
      <w:r w:rsidR="0077165A">
        <w:rPr>
          <w:szCs w:val="24"/>
        </w:rPr>
        <w:t xml:space="preserve"> o </w:t>
      </w:r>
      <w:r w:rsidR="00A70377" w:rsidRPr="0024375B">
        <w:rPr>
          <w:szCs w:val="24"/>
        </w:rPr>
        <w:t>incydentach, dzięki którym</w:t>
      </w:r>
      <w:r w:rsidR="00DD5DC4" w:rsidRPr="0024375B">
        <w:rPr>
          <w:szCs w:val="24"/>
        </w:rPr>
        <w:t xml:space="preserve"> </w:t>
      </w:r>
      <w:r w:rsidR="00B101F3" w:rsidRPr="0024375B">
        <w:rPr>
          <w:szCs w:val="24"/>
        </w:rPr>
        <w:t>zarówno CSIRT</w:t>
      </w:r>
      <w:r w:rsidRPr="0024375B">
        <w:rPr>
          <w:szCs w:val="24"/>
        </w:rPr>
        <w:t>’</w:t>
      </w:r>
      <w:r w:rsidR="00B101F3" w:rsidRPr="0024375B">
        <w:rPr>
          <w:szCs w:val="24"/>
        </w:rPr>
        <w:t>y poziomu krajowego, jak</w:t>
      </w:r>
      <w:r w:rsidR="002161FE">
        <w:rPr>
          <w:szCs w:val="24"/>
        </w:rPr>
        <w:t xml:space="preserve"> i </w:t>
      </w:r>
      <w:r w:rsidR="00B101F3" w:rsidRPr="0024375B">
        <w:rPr>
          <w:szCs w:val="24"/>
        </w:rPr>
        <w:t>operatorzy usług kluczowych będą sprawniej uzyskiwali informacje</w:t>
      </w:r>
      <w:r w:rsidR="0077165A">
        <w:rPr>
          <w:szCs w:val="24"/>
        </w:rPr>
        <w:t xml:space="preserve"> o </w:t>
      </w:r>
      <w:r w:rsidR="00B101F3" w:rsidRPr="0024375B">
        <w:rPr>
          <w:szCs w:val="24"/>
        </w:rPr>
        <w:t>incydentach występujących</w:t>
      </w:r>
      <w:r w:rsidR="00EA1900">
        <w:rPr>
          <w:szCs w:val="24"/>
        </w:rPr>
        <w:t xml:space="preserve"> w </w:t>
      </w:r>
      <w:r w:rsidR="00B101F3" w:rsidRPr="0024375B">
        <w:rPr>
          <w:szCs w:val="24"/>
        </w:rPr>
        <w:t xml:space="preserve">innych sektorach. </w:t>
      </w:r>
      <w:r w:rsidR="005B3E76" w:rsidRPr="0024375B">
        <w:rPr>
          <w:szCs w:val="24"/>
        </w:rPr>
        <w:t xml:space="preserve">Warto podkreślić, że zespoły CSIRT odpowiadają </w:t>
      </w:r>
      <w:r w:rsidR="00C56AAC" w:rsidRPr="0024375B">
        <w:rPr>
          <w:szCs w:val="24"/>
        </w:rPr>
        <w:t>za szacowanie</w:t>
      </w:r>
      <w:r w:rsidR="005B3E76" w:rsidRPr="0024375B">
        <w:rPr>
          <w:szCs w:val="24"/>
        </w:rPr>
        <w:t xml:space="preserve"> ryzyka na poziomie krajowym, związanego</w:t>
      </w:r>
      <w:r w:rsidR="002161FE">
        <w:rPr>
          <w:szCs w:val="24"/>
        </w:rPr>
        <w:t xml:space="preserve"> z </w:t>
      </w:r>
      <w:r w:rsidR="005B3E76" w:rsidRPr="0024375B">
        <w:rPr>
          <w:szCs w:val="24"/>
        </w:rPr>
        <w:t xml:space="preserve">ujawnionymi cyberzagrożeniami oraz zaistniałymi incydentami. Dzięki </w:t>
      </w:r>
      <w:r w:rsidR="00A70377" w:rsidRPr="0024375B">
        <w:rPr>
          <w:szCs w:val="24"/>
        </w:rPr>
        <w:t>projektowanym</w:t>
      </w:r>
      <w:r w:rsidR="005B3E76" w:rsidRPr="0024375B">
        <w:rPr>
          <w:szCs w:val="24"/>
        </w:rPr>
        <w:t xml:space="preserve"> zmianom uzyskają pełen obraz cyberbezpieczeństwa na poziomie krajowym.</w:t>
      </w:r>
    </w:p>
    <w:p w14:paraId="362FCCEF" w14:textId="77777777" w:rsidR="00B101F3" w:rsidRPr="0024375B" w:rsidRDefault="00A70377" w:rsidP="00FC6B8C">
      <w:pPr>
        <w:pStyle w:val="NIEARTTEKSTtekstnieartykuowanynppodstprawnarozplubpreambua"/>
        <w:rPr>
          <w:szCs w:val="24"/>
        </w:rPr>
      </w:pPr>
      <w:r w:rsidRPr="0024375B">
        <w:rPr>
          <w:szCs w:val="24"/>
        </w:rPr>
        <w:t>Jednocześnie projektowane z</w:t>
      </w:r>
      <w:r w:rsidR="00B101F3" w:rsidRPr="0024375B">
        <w:rPr>
          <w:szCs w:val="24"/>
        </w:rPr>
        <w:t>miany umożliwią podłączanie się przedsiębiorców komunikacji elektronicznej do systemu do zgłaszana</w:t>
      </w:r>
      <w:r w:rsidR="002161FE">
        <w:rPr>
          <w:szCs w:val="24"/>
        </w:rPr>
        <w:t xml:space="preserve"> i </w:t>
      </w:r>
      <w:r w:rsidR="00B101F3" w:rsidRPr="0024375B">
        <w:rPr>
          <w:szCs w:val="24"/>
        </w:rPr>
        <w:t xml:space="preserve">reagowania na incydenty, rozwijanego przez ministra właściwego ds. informatyzacji, czyli systemu S46. </w:t>
      </w:r>
    </w:p>
    <w:p w14:paraId="62D5C7C9" w14:textId="77777777" w:rsidR="00FF2FF6" w:rsidRPr="0024375B" w:rsidRDefault="00FF2FF6" w:rsidP="00FC6B8C">
      <w:pPr>
        <w:pStyle w:val="NIEARTTEKSTtekstnieartykuowanynppodstprawnarozplubpreambua"/>
        <w:rPr>
          <w:rFonts w:ascii="Times New Roman" w:hAnsi="Times New Roman" w:cs="Times New Roman"/>
          <w:szCs w:val="24"/>
          <w:u w:val="single"/>
        </w:rPr>
      </w:pPr>
      <w:r w:rsidRPr="0024375B">
        <w:rPr>
          <w:rFonts w:ascii="Times New Roman" w:hAnsi="Times New Roman" w:cs="Times New Roman"/>
          <w:szCs w:val="24"/>
          <w:u w:val="single"/>
        </w:rPr>
        <w:t>Krajowy system certyfikacji cyberbezpieczeństwa</w:t>
      </w:r>
    </w:p>
    <w:p w14:paraId="3E5E577D" w14:textId="77777777" w:rsidR="00A70377" w:rsidRPr="0024375B" w:rsidRDefault="00FF2FF6"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lastRenderedPageBreak/>
        <w:t>W związku</w:t>
      </w:r>
      <w:r w:rsidR="002161FE">
        <w:rPr>
          <w:rFonts w:ascii="Times New Roman" w:hAnsi="Times New Roman" w:cs="Times New Roman"/>
          <w:szCs w:val="24"/>
        </w:rPr>
        <w:t xml:space="preserve"> z </w:t>
      </w:r>
      <w:r w:rsidRPr="0024375B">
        <w:rPr>
          <w:rFonts w:ascii="Times New Roman" w:hAnsi="Times New Roman" w:cs="Times New Roman"/>
          <w:szCs w:val="24"/>
        </w:rPr>
        <w:t>rosnącą liczbą zagrożeń</w:t>
      </w:r>
      <w:r w:rsidR="00EA1900">
        <w:rPr>
          <w:rFonts w:ascii="Times New Roman" w:hAnsi="Times New Roman" w:cs="Times New Roman"/>
          <w:szCs w:val="24"/>
        </w:rPr>
        <w:t xml:space="preserve"> w </w:t>
      </w:r>
      <w:r w:rsidRPr="0024375B">
        <w:rPr>
          <w:rFonts w:ascii="Times New Roman" w:hAnsi="Times New Roman" w:cs="Times New Roman"/>
          <w:szCs w:val="24"/>
        </w:rPr>
        <w:t xml:space="preserve">cyberprzestrzeni </w:t>
      </w:r>
      <w:r w:rsidR="00167D0B" w:rsidRPr="0024375B">
        <w:rPr>
          <w:rFonts w:ascii="Times New Roman" w:hAnsi="Times New Roman" w:cs="Times New Roman"/>
          <w:szCs w:val="24"/>
        </w:rPr>
        <w:t>oraz</w:t>
      </w:r>
      <w:r w:rsidRPr="0024375B">
        <w:rPr>
          <w:rFonts w:ascii="Times New Roman" w:hAnsi="Times New Roman" w:cs="Times New Roman"/>
          <w:szCs w:val="24"/>
        </w:rPr>
        <w:t xml:space="preserve"> coraz istotniejszą rolą system</w:t>
      </w:r>
      <w:r w:rsidR="00167D0B" w:rsidRPr="0024375B">
        <w:rPr>
          <w:rFonts w:ascii="Times New Roman" w:hAnsi="Times New Roman" w:cs="Times New Roman"/>
          <w:szCs w:val="24"/>
        </w:rPr>
        <w:t xml:space="preserve">ów </w:t>
      </w:r>
      <w:r w:rsidRPr="0024375B">
        <w:rPr>
          <w:rFonts w:ascii="Times New Roman" w:hAnsi="Times New Roman" w:cs="Times New Roman"/>
          <w:szCs w:val="24"/>
        </w:rPr>
        <w:t>informacyjn</w:t>
      </w:r>
      <w:r w:rsidR="00167D0B" w:rsidRPr="0024375B">
        <w:rPr>
          <w:rFonts w:ascii="Times New Roman" w:hAnsi="Times New Roman" w:cs="Times New Roman"/>
          <w:szCs w:val="24"/>
        </w:rPr>
        <w:t>ych</w:t>
      </w:r>
      <w:r w:rsidR="00EA1900">
        <w:rPr>
          <w:rFonts w:ascii="Times New Roman" w:hAnsi="Times New Roman" w:cs="Times New Roman"/>
          <w:szCs w:val="24"/>
        </w:rPr>
        <w:t xml:space="preserve"> w </w:t>
      </w:r>
      <w:r w:rsidR="00167D0B" w:rsidRPr="0024375B">
        <w:rPr>
          <w:rFonts w:ascii="Times New Roman" w:hAnsi="Times New Roman" w:cs="Times New Roman"/>
          <w:szCs w:val="24"/>
        </w:rPr>
        <w:t>życiu społeczeństwa,</w:t>
      </w:r>
      <w:r w:rsidRPr="0024375B">
        <w:rPr>
          <w:rFonts w:ascii="Times New Roman" w:hAnsi="Times New Roman" w:cs="Times New Roman"/>
          <w:szCs w:val="24"/>
        </w:rPr>
        <w:t xml:space="preserve"> konieczne jest zapewnienie sprawdzonych</w:t>
      </w:r>
      <w:r w:rsidR="002161FE">
        <w:rPr>
          <w:rFonts w:ascii="Times New Roman" w:hAnsi="Times New Roman" w:cs="Times New Roman"/>
          <w:szCs w:val="24"/>
        </w:rPr>
        <w:t xml:space="preserve"> i </w:t>
      </w:r>
      <w:r w:rsidRPr="0024375B">
        <w:rPr>
          <w:rFonts w:ascii="Times New Roman" w:hAnsi="Times New Roman" w:cs="Times New Roman"/>
          <w:szCs w:val="24"/>
        </w:rPr>
        <w:t>bezpiecznych rozwiązań technologicznych zarówno dla sektora publicznego, jak</w:t>
      </w:r>
      <w:r w:rsidR="002161FE">
        <w:rPr>
          <w:rFonts w:ascii="Times New Roman" w:hAnsi="Times New Roman" w:cs="Times New Roman"/>
          <w:szCs w:val="24"/>
        </w:rPr>
        <w:t xml:space="preserve"> i </w:t>
      </w:r>
      <w:r w:rsidRPr="0024375B">
        <w:rPr>
          <w:rFonts w:ascii="Times New Roman" w:hAnsi="Times New Roman" w:cs="Times New Roman"/>
          <w:szCs w:val="24"/>
        </w:rPr>
        <w:t xml:space="preserve">prywatnego. </w:t>
      </w:r>
    </w:p>
    <w:p w14:paraId="444F3EB6" w14:textId="77777777" w:rsidR="00A70377" w:rsidRPr="0024375B" w:rsidRDefault="00A70377"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t xml:space="preserve">Należy także zwrócić uwagę na </w:t>
      </w:r>
      <w:r w:rsidR="00FF2FF6" w:rsidRPr="0024375B">
        <w:rPr>
          <w:rFonts w:ascii="Times New Roman" w:hAnsi="Times New Roman" w:cs="Times New Roman"/>
          <w:szCs w:val="24"/>
        </w:rPr>
        <w:t xml:space="preserve">wzrost liczby </w:t>
      </w:r>
      <w:r w:rsidR="00FA59D7" w:rsidRPr="0024375B">
        <w:rPr>
          <w:rFonts w:ascii="Times New Roman" w:hAnsi="Times New Roman" w:cs="Times New Roman"/>
          <w:szCs w:val="24"/>
        </w:rPr>
        <w:t>cyberprzestępstw</w:t>
      </w:r>
      <w:r w:rsidR="00167D0B" w:rsidRPr="0024375B">
        <w:rPr>
          <w:rFonts w:ascii="Times New Roman" w:hAnsi="Times New Roman" w:cs="Times New Roman"/>
          <w:szCs w:val="24"/>
        </w:rPr>
        <w:t>,</w:t>
      </w:r>
      <w:r w:rsidR="00FA59D7" w:rsidRPr="0024375B">
        <w:rPr>
          <w:rFonts w:ascii="Times New Roman" w:hAnsi="Times New Roman" w:cs="Times New Roman"/>
          <w:szCs w:val="24"/>
        </w:rPr>
        <w:t xml:space="preserve"> zwłaszcza</w:t>
      </w:r>
      <w:r w:rsidR="000F24AC" w:rsidRPr="0024375B">
        <w:rPr>
          <w:rFonts w:ascii="Times New Roman" w:hAnsi="Times New Roman" w:cs="Times New Roman"/>
          <w:szCs w:val="24"/>
        </w:rPr>
        <w:t xml:space="preserve"> związanych</w:t>
      </w:r>
      <w:r w:rsidR="002161FE">
        <w:rPr>
          <w:rFonts w:ascii="Times New Roman" w:hAnsi="Times New Roman" w:cs="Times New Roman"/>
          <w:szCs w:val="24"/>
        </w:rPr>
        <w:t xml:space="preserve"> z </w:t>
      </w:r>
      <w:r w:rsidR="00FF2FF6" w:rsidRPr="0024375B">
        <w:rPr>
          <w:rFonts w:ascii="Times New Roman" w:hAnsi="Times New Roman" w:cs="Times New Roman"/>
          <w:szCs w:val="24"/>
        </w:rPr>
        <w:t>wykorzystaniem złośliwego oprogramowania</w:t>
      </w:r>
      <w:r w:rsidR="00167D0B" w:rsidRPr="0024375B">
        <w:rPr>
          <w:rFonts w:ascii="Times New Roman" w:hAnsi="Times New Roman" w:cs="Times New Roman"/>
          <w:szCs w:val="24"/>
        </w:rPr>
        <w:t>,</w:t>
      </w:r>
      <w:r w:rsidR="00FF2FF6" w:rsidRPr="0024375B">
        <w:rPr>
          <w:rFonts w:ascii="Times New Roman" w:hAnsi="Times New Roman" w:cs="Times New Roman"/>
          <w:szCs w:val="24"/>
        </w:rPr>
        <w:t xml:space="preserve"> takiego jak ransomware. </w:t>
      </w:r>
      <w:r w:rsidRPr="0024375B">
        <w:rPr>
          <w:rFonts w:ascii="Times New Roman" w:hAnsi="Times New Roman" w:cs="Times New Roman"/>
          <w:szCs w:val="24"/>
        </w:rPr>
        <w:t>Jednym</w:t>
      </w:r>
      <w:r w:rsidR="002161FE">
        <w:rPr>
          <w:rFonts w:ascii="Times New Roman" w:hAnsi="Times New Roman" w:cs="Times New Roman"/>
          <w:szCs w:val="24"/>
        </w:rPr>
        <w:t xml:space="preserve"> z </w:t>
      </w:r>
      <w:r w:rsidRPr="0024375B">
        <w:rPr>
          <w:rFonts w:ascii="Times New Roman" w:hAnsi="Times New Roman" w:cs="Times New Roman"/>
          <w:szCs w:val="24"/>
        </w:rPr>
        <w:t xml:space="preserve">instrumentów sprzyjających ograniczaniu tego wzrostu jest </w:t>
      </w:r>
      <w:r w:rsidR="00FF2FF6" w:rsidRPr="0024375B">
        <w:rPr>
          <w:rFonts w:ascii="Times New Roman" w:hAnsi="Times New Roman" w:cs="Times New Roman"/>
          <w:szCs w:val="24"/>
        </w:rPr>
        <w:t xml:space="preserve">zapewnienie każdemu zainteresowanemu dostępu do technologii umożliwiających bezpieczne przetwarzanie danych. </w:t>
      </w:r>
    </w:p>
    <w:p w14:paraId="2F259FF7" w14:textId="77777777" w:rsidR="00FF2FF6" w:rsidRPr="0024375B" w:rsidRDefault="00FF2FF6"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t>Ze względu na wielką różnorodność wykorzystywanych technologii</w:t>
      </w:r>
      <w:r w:rsidR="00167D0B" w:rsidRPr="0024375B">
        <w:rPr>
          <w:rFonts w:ascii="Times New Roman" w:hAnsi="Times New Roman" w:cs="Times New Roman"/>
          <w:szCs w:val="24"/>
        </w:rPr>
        <w:t>,</w:t>
      </w:r>
      <w:r w:rsidRPr="0024375B">
        <w:rPr>
          <w:rFonts w:ascii="Times New Roman" w:hAnsi="Times New Roman" w:cs="Times New Roman"/>
          <w:szCs w:val="24"/>
        </w:rPr>
        <w:t xml:space="preserve"> istotne jest stosowanie jednolitych standardów</w:t>
      </w:r>
      <w:r w:rsidR="00EA1900">
        <w:rPr>
          <w:rFonts w:ascii="Times New Roman" w:hAnsi="Times New Roman" w:cs="Times New Roman"/>
          <w:szCs w:val="24"/>
        </w:rPr>
        <w:t xml:space="preserve"> w </w:t>
      </w:r>
      <w:r w:rsidRPr="0024375B">
        <w:rPr>
          <w:rFonts w:ascii="Times New Roman" w:hAnsi="Times New Roman" w:cs="Times New Roman"/>
          <w:szCs w:val="24"/>
        </w:rPr>
        <w:t>zakresie bezpieczeństwa na terenie całej Unii Europejskiej.</w:t>
      </w:r>
    </w:p>
    <w:p w14:paraId="51768405" w14:textId="77777777" w:rsidR="00FF2FF6" w:rsidRPr="0024375B" w:rsidRDefault="003B6EBF"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t>Proponowane</w:t>
      </w:r>
      <w:r w:rsidR="00EA1900">
        <w:rPr>
          <w:rFonts w:ascii="Times New Roman" w:hAnsi="Times New Roman" w:cs="Times New Roman"/>
          <w:szCs w:val="24"/>
        </w:rPr>
        <w:t xml:space="preserve"> w </w:t>
      </w:r>
      <w:r w:rsidRPr="0024375B">
        <w:rPr>
          <w:rFonts w:ascii="Times New Roman" w:hAnsi="Times New Roman" w:cs="Times New Roman"/>
          <w:szCs w:val="24"/>
        </w:rPr>
        <w:t>ust</w:t>
      </w:r>
      <w:r w:rsidR="00CC3037" w:rsidRPr="0024375B">
        <w:rPr>
          <w:rFonts w:ascii="Times New Roman" w:hAnsi="Times New Roman" w:cs="Times New Roman"/>
          <w:szCs w:val="24"/>
        </w:rPr>
        <w:t>a</w:t>
      </w:r>
      <w:r w:rsidRPr="0024375B">
        <w:rPr>
          <w:rFonts w:ascii="Times New Roman" w:hAnsi="Times New Roman" w:cs="Times New Roman"/>
          <w:szCs w:val="24"/>
        </w:rPr>
        <w:t xml:space="preserve">wie </w:t>
      </w:r>
      <w:r w:rsidR="00FF2FF6" w:rsidRPr="0024375B">
        <w:rPr>
          <w:rFonts w:ascii="Times New Roman" w:hAnsi="Times New Roman" w:cs="Times New Roman"/>
          <w:szCs w:val="24"/>
        </w:rPr>
        <w:t xml:space="preserve">rozwiązania </w:t>
      </w:r>
      <w:r w:rsidR="003D01C7" w:rsidRPr="0024375B">
        <w:rPr>
          <w:rFonts w:ascii="Times New Roman" w:hAnsi="Times New Roman" w:cs="Times New Roman"/>
          <w:szCs w:val="24"/>
        </w:rPr>
        <w:t>tworzą</w:t>
      </w:r>
      <w:r w:rsidR="00A70377" w:rsidRPr="0024375B">
        <w:rPr>
          <w:rFonts w:ascii="Times New Roman" w:hAnsi="Times New Roman" w:cs="Times New Roman"/>
          <w:szCs w:val="24"/>
        </w:rPr>
        <w:t xml:space="preserve"> </w:t>
      </w:r>
      <w:r w:rsidR="00FF2FF6" w:rsidRPr="0024375B">
        <w:rPr>
          <w:rFonts w:ascii="Times New Roman" w:hAnsi="Times New Roman" w:cs="Times New Roman"/>
          <w:szCs w:val="24"/>
        </w:rPr>
        <w:t xml:space="preserve">prawno-organizacyjne warunki </w:t>
      </w:r>
      <w:r w:rsidR="003D01C7" w:rsidRPr="0024375B">
        <w:rPr>
          <w:rFonts w:ascii="Times New Roman" w:hAnsi="Times New Roman" w:cs="Times New Roman"/>
          <w:szCs w:val="24"/>
        </w:rPr>
        <w:t xml:space="preserve">funkcjonowania </w:t>
      </w:r>
      <w:r w:rsidR="00FF2FF6" w:rsidRPr="0024375B">
        <w:rPr>
          <w:rFonts w:ascii="Times New Roman" w:hAnsi="Times New Roman" w:cs="Times New Roman"/>
          <w:szCs w:val="24"/>
        </w:rPr>
        <w:t>krajowego systemu certyfikacji cyberbezpieczeństwa, który zapewni wszystkim zainteresowanym podmiotom możliwoś</w:t>
      </w:r>
      <w:r w:rsidR="00AB62B9" w:rsidRPr="0024375B">
        <w:rPr>
          <w:rFonts w:ascii="Times New Roman" w:hAnsi="Times New Roman" w:cs="Times New Roman"/>
          <w:szCs w:val="24"/>
        </w:rPr>
        <w:t>ć</w:t>
      </w:r>
      <w:r w:rsidR="00FF2FF6" w:rsidRPr="0024375B">
        <w:rPr>
          <w:rFonts w:ascii="Times New Roman" w:hAnsi="Times New Roman" w:cs="Times New Roman"/>
          <w:szCs w:val="24"/>
        </w:rPr>
        <w:t xml:space="preserve"> testowania, badania produktów ICT, usług ICT</w:t>
      </w:r>
      <w:r w:rsidR="002161FE">
        <w:rPr>
          <w:rFonts w:ascii="Times New Roman" w:hAnsi="Times New Roman" w:cs="Times New Roman"/>
          <w:szCs w:val="24"/>
        </w:rPr>
        <w:t xml:space="preserve"> i </w:t>
      </w:r>
      <w:r w:rsidR="00FF2FF6" w:rsidRPr="0024375B">
        <w:rPr>
          <w:rFonts w:ascii="Times New Roman" w:hAnsi="Times New Roman" w:cs="Times New Roman"/>
          <w:szCs w:val="24"/>
        </w:rPr>
        <w:t>procesów ICT oraz otrzymywania certyfikatów cyberbezpieczeństwa opartych na europejskich programach,</w:t>
      </w:r>
      <w:r w:rsidR="002161FE">
        <w:rPr>
          <w:rFonts w:ascii="Times New Roman" w:hAnsi="Times New Roman" w:cs="Times New Roman"/>
          <w:szCs w:val="24"/>
        </w:rPr>
        <w:t xml:space="preserve"> a </w:t>
      </w:r>
      <w:r w:rsidR="00FF2FF6" w:rsidRPr="0024375B">
        <w:rPr>
          <w:rFonts w:ascii="Times New Roman" w:hAnsi="Times New Roman" w:cs="Times New Roman"/>
          <w:szCs w:val="24"/>
        </w:rPr>
        <w:t>także powszechnie uznawanych na obszarze Unii Europejskiej</w:t>
      </w:r>
      <w:r w:rsidR="00E96F6D" w:rsidRPr="0024375B">
        <w:rPr>
          <w:rFonts w:ascii="Times New Roman" w:hAnsi="Times New Roman" w:cs="Times New Roman"/>
          <w:szCs w:val="24"/>
        </w:rPr>
        <w:t>.</w:t>
      </w:r>
    </w:p>
    <w:p w14:paraId="4AB3A3FC" w14:textId="77777777" w:rsidR="00F6749E" w:rsidRPr="0024375B" w:rsidRDefault="003D01C7"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t>S</w:t>
      </w:r>
      <w:r w:rsidR="00FF2FF6" w:rsidRPr="0024375B">
        <w:rPr>
          <w:rFonts w:ascii="Times New Roman" w:hAnsi="Times New Roman" w:cs="Times New Roman"/>
          <w:szCs w:val="24"/>
        </w:rPr>
        <w:t>tworzeni</w:t>
      </w:r>
      <w:r w:rsidRPr="0024375B">
        <w:rPr>
          <w:rFonts w:ascii="Times New Roman" w:hAnsi="Times New Roman" w:cs="Times New Roman"/>
          <w:szCs w:val="24"/>
        </w:rPr>
        <w:t>e</w:t>
      </w:r>
      <w:r w:rsidR="00FF2FF6" w:rsidRPr="0024375B">
        <w:rPr>
          <w:rFonts w:ascii="Times New Roman" w:hAnsi="Times New Roman" w:cs="Times New Roman"/>
          <w:szCs w:val="24"/>
        </w:rPr>
        <w:t xml:space="preserve"> takiego systemu wynika również</w:t>
      </w:r>
      <w:r w:rsidR="002161FE">
        <w:rPr>
          <w:rFonts w:ascii="Times New Roman" w:hAnsi="Times New Roman" w:cs="Times New Roman"/>
          <w:szCs w:val="24"/>
        </w:rPr>
        <w:t xml:space="preserve"> z </w:t>
      </w:r>
      <w:r w:rsidR="00FF2FF6" w:rsidRPr="0024375B">
        <w:rPr>
          <w:rFonts w:ascii="Times New Roman" w:hAnsi="Times New Roman" w:cs="Times New Roman"/>
          <w:szCs w:val="24"/>
        </w:rPr>
        <w:t>bezwzględnie obowiązujących przepisów prawa europejskiego, zawartych</w:t>
      </w:r>
      <w:r w:rsidR="00EA1900">
        <w:rPr>
          <w:rFonts w:ascii="Times New Roman" w:hAnsi="Times New Roman" w:cs="Times New Roman"/>
          <w:szCs w:val="24"/>
        </w:rPr>
        <w:t xml:space="preserve"> w </w:t>
      </w:r>
      <w:r w:rsidR="5F654AC1" w:rsidRPr="0024375B">
        <w:rPr>
          <w:rFonts w:ascii="Times New Roman" w:hAnsi="Times New Roman" w:cs="Times New Roman"/>
          <w:szCs w:val="24"/>
        </w:rPr>
        <w:t>Akcie</w:t>
      </w:r>
      <w:r w:rsidR="0077165A">
        <w:rPr>
          <w:rFonts w:ascii="Times New Roman" w:hAnsi="Times New Roman" w:cs="Times New Roman"/>
          <w:szCs w:val="24"/>
        </w:rPr>
        <w:t xml:space="preserve"> o </w:t>
      </w:r>
      <w:r w:rsidR="004D118A">
        <w:rPr>
          <w:rFonts w:ascii="Times New Roman" w:hAnsi="Times New Roman" w:cs="Times New Roman"/>
          <w:szCs w:val="24"/>
        </w:rPr>
        <w:t>c</w:t>
      </w:r>
      <w:r w:rsidR="5F654AC1" w:rsidRPr="0024375B">
        <w:rPr>
          <w:rFonts w:ascii="Times New Roman" w:hAnsi="Times New Roman" w:cs="Times New Roman"/>
          <w:szCs w:val="24"/>
        </w:rPr>
        <w:t>yberbezpieczeństwie.</w:t>
      </w:r>
      <w:r w:rsidR="000F24AC" w:rsidRPr="0024375B">
        <w:rPr>
          <w:rFonts w:ascii="Times New Roman" w:hAnsi="Times New Roman" w:cs="Times New Roman"/>
          <w:szCs w:val="24"/>
        </w:rPr>
        <w:t xml:space="preserve"> </w:t>
      </w:r>
      <w:r w:rsidRPr="0024375B">
        <w:rPr>
          <w:rFonts w:ascii="Times New Roman" w:hAnsi="Times New Roman" w:cs="Times New Roman"/>
          <w:szCs w:val="24"/>
        </w:rPr>
        <w:t>Akt</w:t>
      </w:r>
      <w:r w:rsidR="0077165A">
        <w:rPr>
          <w:rFonts w:ascii="Times New Roman" w:hAnsi="Times New Roman" w:cs="Times New Roman"/>
          <w:szCs w:val="24"/>
        </w:rPr>
        <w:t xml:space="preserve"> o </w:t>
      </w:r>
      <w:r w:rsidRPr="0024375B">
        <w:rPr>
          <w:rFonts w:ascii="Times New Roman" w:hAnsi="Times New Roman" w:cs="Times New Roman"/>
          <w:szCs w:val="24"/>
        </w:rPr>
        <w:t>Cyberbezpieczeństwie</w:t>
      </w:r>
      <w:r w:rsidR="002161FE">
        <w:rPr>
          <w:rFonts w:ascii="Times New Roman" w:hAnsi="Times New Roman" w:cs="Times New Roman"/>
          <w:szCs w:val="24"/>
        </w:rPr>
        <w:t xml:space="preserve"> z </w:t>
      </w:r>
      <w:r w:rsidR="00CF23C4" w:rsidRPr="0024375B">
        <w:rPr>
          <w:rFonts w:ascii="Times New Roman" w:hAnsi="Times New Roman" w:cs="Times New Roman"/>
          <w:szCs w:val="24"/>
        </w:rPr>
        <w:t>2018 r.</w:t>
      </w:r>
      <w:r w:rsidR="00FF2FF6" w:rsidRPr="0024375B">
        <w:rPr>
          <w:rFonts w:ascii="Times New Roman" w:hAnsi="Times New Roman" w:cs="Times New Roman"/>
          <w:szCs w:val="24"/>
        </w:rPr>
        <w:t xml:space="preserve"> </w:t>
      </w:r>
      <w:r w:rsidR="00F6749E" w:rsidRPr="0024375B">
        <w:rPr>
          <w:rFonts w:ascii="Times New Roman" w:hAnsi="Times New Roman" w:cs="Times New Roman"/>
          <w:szCs w:val="24"/>
        </w:rPr>
        <w:t>ustanowił europejskie ramy certyfikacji cyberbezpieczeństwa, wprowadzając możliwość tworzenia europejskich programów certyfikacyjnych oraz wspólne zasady</w:t>
      </w:r>
      <w:r w:rsidR="00EA1900">
        <w:rPr>
          <w:rFonts w:ascii="Times New Roman" w:hAnsi="Times New Roman" w:cs="Times New Roman"/>
          <w:szCs w:val="24"/>
        </w:rPr>
        <w:t xml:space="preserve"> w </w:t>
      </w:r>
      <w:r w:rsidR="00F6749E" w:rsidRPr="0024375B">
        <w:rPr>
          <w:rFonts w:ascii="Times New Roman" w:hAnsi="Times New Roman" w:cs="Times New Roman"/>
          <w:szCs w:val="24"/>
        </w:rPr>
        <w:t>zakresie uzyskiwania certyfikatów. Dzięki temu certyfikaty</w:t>
      </w:r>
      <w:r w:rsidR="002161FE">
        <w:rPr>
          <w:rFonts w:ascii="Times New Roman" w:hAnsi="Times New Roman" w:cs="Times New Roman"/>
          <w:szCs w:val="24"/>
        </w:rPr>
        <w:t xml:space="preserve"> z </w:t>
      </w:r>
      <w:r w:rsidR="00F6749E" w:rsidRPr="0024375B">
        <w:rPr>
          <w:rFonts w:ascii="Times New Roman" w:hAnsi="Times New Roman" w:cs="Times New Roman"/>
          <w:szCs w:val="24"/>
        </w:rPr>
        <w:t>zakresu cyberbezpieczeństwa będą automatycznie honorowane na całym obszarze Unii Europejskiej</w:t>
      </w:r>
      <w:r w:rsidR="005F239F" w:rsidRPr="0024375B">
        <w:rPr>
          <w:rFonts w:ascii="Times New Roman" w:hAnsi="Times New Roman" w:cs="Times New Roman"/>
          <w:szCs w:val="24"/>
        </w:rPr>
        <w:t>, co zapobiegnie</w:t>
      </w:r>
      <w:r w:rsidR="00F6749E" w:rsidRPr="0024375B">
        <w:rPr>
          <w:rFonts w:ascii="Times New Roman" w:hAnsi="Times New Roman" w:cs="Times New Roman"/>
          <w:szCs w:val="24"/>
        </w:rPr>
        <w:t xml:space="preserve"> rozdrobnieniu rynku</w:t>
      </w:r>
      <w:r w:rsidR="00EA1900">
        <w:rPr>
          <w:rFonts w:ascii="Times New Roman" w:hAnsi="Times New Roman" w:cs="Times New Roman"/>
          <w:szCs w:val="24"/>
        </w:rPr>
        <w:t xml:space="preserve"> w </w:t>
      </w:r>
      <w:r w:rsidR="00F6749E" w:rsidRPr="0024375B">
        <w:rPr>
          <w:rFonts w:ascii="Times New Roman" w:hAnsi="Times New Roman" w:cs="Times New Roman"/>
          <w:szCs w:val="24"/>
        </w:rPr>
        <w:t>tej dziedzinie</w:t>
      </w:r>
      <w:r w:rsidR="002161FE">
        <w:rPr>
          <w:rFonts w:ascii="Times New Roman" w:hAnsi="Times New Roman" w:cs="Times New Roman"/>
          <w:szCs w:val="24"/>
        </w:rPr>
        <w:t xml:space="preserve"> i </w:t>
      </w:r>
      <w:r w:rsidR="00F6749E" w:rsidRPr="0024375B">
        <w:rPr>
          <w:rFonts w:ascii="Times New Roman" w:hAnsi="Times New Roman" w:cs="Times New Roman"/>
          <w:szCs w:val="24"/>
        </w:rPr>
        <w:t xml:space="preserve">ułatwi </w:t>
      </w:r>
      <w:r w:rsidR="000F24AC" w:rsidRPr="0024375B">
        <w:rPr>
          <w:rFonts w:ascii="Times New Roman" w:hAnsi="Times New Roman" w:cs="Times New Roman"/>
          <w:szCs w:val="24"/>
        </w:rPr>
        <w:t>działania przedsiębiorcom</w:t>
      </w:r>
      <w:r w:rsidR="002161FE">
        <w:rPr>
          <w:rFonts w:ascii="Times New Roman" w:hAnsi="Times New Roman" w:cs="Times New Roman"/>
          <w:szCs w:val="24"/>
        </w:rPr>
        <w:t xml:space="preserve"> z </w:t>
      </w:r>
      <w:r w:rsidR="00F6749E" w:rsidRPr="0024375B">
        <w:rPr>
          <w:rFonts w:ascii="Times New Roman" w:hAnsi="Times New Roman" w:cs="Times New Roman"/>
          <w:szCs w:val="24"/>
        </w:rPr>
        <w:t>poszczególnych krajów.</w:t>
      </w:r>
    </w:p>
    <w:p w14:paraId="68A6D129" w14:textId="77777777" w:rsidR="00F6749E" w:rsidRPr="0024375B" w:rsidRDefault="00F6749E"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t>Akt</w:t>
      </w:r>
      <w:r w:rsidR="0077165A">
        <w:rPr>
          <w:rFonts w:ascii="Times New Roman" w:hAnsi="Times New Roman" w:cs="Times New Roman"/>
          <w:szCs w:val="24"/>
        </w:rPr>
        <w:t xml:space="preserve"> o </w:t>
      </w:r>
      <w:r w:rsidR="00074E09">
        <w:rPr>
          <w:rFonts w:ascii="Times New Roman" w:hAnsi="Times New Roman" w:cs="Times New Roman"/>
          <w:szCs w:val="24"/>
        </w:rPr>
        <w:t>c</w:t>
      </w:r>
      <w:r w:rsidR="008F7ED7" w:rsidRPr="0024375B">
        <w:rPr>
          <w:rFonts w:ascii="Times New Roman" w:hAnsi="Times New Roman" w:cs="Times New Roman"/>
          <w:szCs w:val="24"/>
        </w:rPr>
        <w:t>yberbezpieczeństwie</w:t>
      </w:r>
      <w:r w:rsidRPr="0024375B">
        <w:rPr>
          <w:rFonts w:ascii="Times New Roman" w:hAnsi="Times New Roman" w:cs="Times New Roman"/>
          <w:szCs w:val="24"/>
        </w:rPr>
        <w:t xml:space="preserve"> nakłada na wszystkie państwa członkowskie obowiązek ustanowienia krajowego organu d</w:t>
      </w:r>
      <w:r w:rsidR="005F239F" w:rsidRPr="0024375B">
        <w:rPr>
          <w:rFonts w:ascii="Times New Roman" w:hAnsi="Times New Roman" w:cs="Times New Roman"/>
          <w:szCs w:val="24"/>
        </w:rPr>
        <w:t xml:space="preserve">o </w:t>
      </w:r>
      <w:r w:rsidRPr="0024375B">
        <w:rPr>
          <w:rFonts w:ascii="Times New Roman" w:hAnsi="Times New Roman" w:cs="Times New Roman"/>
          <w:szCs w:val="24"/>
        </w:rPr>
        <w:t>s</w:t>
      </w:r>
      <w:r w:rsidR="005F239F" w:rsidRPr="0024375B">
        <w:rPr>
          <w:rFonts w:ascii="Times New Roman" w:hAnsi="Times New Roman" w:cs="Times New Roman"/>
          <w:szCs w:val="24"/>
        </w:rPr>
        <w:t xml:space="preserve">praw </w:t>
      </w:r>
      <w:r w:rsidRPr="0024375B">
        <w:rPr>
          <w:rFonts w:ascii="Times New Roman" w:hAnsi="Times New Roman" w:cs="Times New Roman"/>
          <w:szCs w:val="24"/>
        </w:rPr>
        <w:t>certyfikacji cyberbezpieczeństwa, który będzie nadzorował rynek</w:t>
      </w:r>
      <w:r w:rsidR="002161FE">
        <w:rPr>
          <w:rFonts w:ascii="Times New Roman" w:hAnsi="Times New Roman" w:cs="Times New Roman"/>
          <w:szCs w:val="24"/>
        </w:rPr>
        <w:t xml:space="preserve"> i </w:t>
      </w:r>
      <w:r w:rsidRPr="0024375B">
        <w:rPr>
          <w:rFonts w:ascii="Times New Roman" w:hAnsi="Times New Roman" w:cs="Times New Roman"/>
          <w:szCs w:val="24"/>
        </w:rPr>
        <w:t>kontrolował prawidłowość działań</w:t>
      </w:r>
      <w:r w:rsidR="00EA1900">
        <w:rPr>
          <w:rFonts w:ascii="Times New Roman" w:hAnsi="Times New Roman" w:cs="Times New Roman"/>
          <w:szCs w:val="24"/>
        </w:rPr>
        <w:t xml:space="preserve"> w </w:t>
      </w:r>
      <w:r w:rsidRPr="0024375B">
        <w:rPr>
          <w:rFonts w:ascii="Times New Roman" w:hAnsi="Times New Roman" w:cs="Times New Roman"/>
          <w:szCs w:val="24"/>
        </w:rPr>
        <w:t>zakresie certyfikacji.</w:t>
      </w:r>
      <w:r w:rsidR="00116933">
        <w:rPr>
          <w:rFonts w:ascii="Times New Roman" w:hAnsi="Times New Roman" w:cs="Times New Roman"/>
          <w:szCs w:val="24"/>
        </w:rPr>
        <w:t xml:space="preserve"> W </w:t>
      </w:r>
      <w:r w:rsidR="00CC3037" w:rsidRPr="0024375B">
        <w:rPr>
          <w:rFonts w:ascii="Times New Roman" w:hAnsi="Times New Roman" w:cs="Times New Roman"/>
          <w:szCs w:val="24"/>
        </w:rPr>
        <w:t>celu wdrożenia rozwiązań przewidzianych</w:t>
      </w:r>
      <w:r w:rsidR="00EA1900">
        <w:rPr>
          <w:rFonts w:ascii="Times New Roman" w:hAnsi="Times New Roman" w:cs="Times New Roman"/>
          <w:szCs w:val="24"/>
        </w:rPr>
        <w:t xml:space="preserve"> w </w:t>
      </w:r>
      <w:r w:rsidR="00CC3037" w:rsidRPr="0024375B">
        <w:rPr>
          <w:rFonts w:ascii="Times New Roman" w:hAnsi="Times New Roman" w:cs="Times New Roman"/>
          <w:szCs w:val="24"/>
        </w:rPr>
        <w:t>tym akcie normatywnym</w:t>
      </w:r>
      <w:r w:rsidR="00EA1900">
        <w:rPr>
          <w:rFonts w:ascii="Times New Roman" w:hAnsi="Times New Roman" w:cs="Times New Roman"/>
          <w:szCs w:val="24"/>
        </w:rPr>
        <w:t xml:space="preserve"> w </w:t>
      </w:r>
      <w:r w:rsidR="00CC3037" w:rsidRPr="0024375B">
        <w:rPr>
          <w:rFonts w:ascii="Times New Roman" w:hAnsi="Times New Roman" w:cs="Times New Roman"/>
          <w:szCs w:val="24"/>
        </w:rPr>
        <w:t>Polsce</w:t>
      </w:r>
      <w:r w:rsidR="00CF23C4" w:rsidRPr="0024375B">
        <w:rPr>
          <w:rFonts w:ascii="Times New Roman" w:hAnsi="Times New Roman" w:cs="Times New Roman"/>
          <w:szCs w:val="24"/>
        </w:rPr>
        <w:t>,</w:t>
      </w:r>
      <w:r w:rsidR="00CC3037" w:rsidRPr="0024375B">
        <w:rPr>
          <w:rFonts w:ascii="Times New Roman" w:hAnsi="Times New Roman" w:cs="Times New Roman"/>
          <w:szCs w:val="24"/>
        </w:rPr>
        <w:t xml:space="preserve"> k</w:t>
      </w:r>
      <w:r w:rsidRPr="0024375B">
        <w:rPr>
          <w:rFonts w:ascii="Times New Roman" w:hAnsi="Times New Roman" w:cs="Times New Roman"/>
          <w:szCs w:val="24"/>
        </w:rPr>
        <w:t xml:space="preserve">onieczne jest również wprowadzenie </w:t>
      </w:r>
      <w:r w:rsidR="00CF23C4" w:rsidRPr="0024375B">
        <w:rPr>
          <w:rFonts w:ascii="Times New Roman" w:hAnsi="Times New Roman" w:cs="Times New Roman"/>
          <w:szCs w:val="24"/>
        </w:rPr>
        <w:t xml:space="preserve">do polskiego systemu prawa </w:t>
      </w:r>
      <w:r w:rsidRPr="0024375B">
        <w:rPr>
          <w:rFonts w:ascii="Times New Roman" w:hAnsi="Times New Roman" w:cs="Times New Roman"/>
          <w:szCs w:val="24"/>
        </w:rPr>
        <w:t>przepisów związanych</w:t>
      </w:r>
      <w:r w:rsidR="002161FE">
        <w:rPr>
          <w:rFonts w:ascii="Times New Roman" w:hAnsi="Times New Roman" w:cs="Times New Roman"/>
          <w:szCs w:val="24"/>
        </w:rPr>
        <w:t xml:space="preserve"> z </w:t>
      </w:r>
      <w:r w:rsidRPr="0024375B">
        <w:rPr>
          <w:rFonts w:ascii="Times New Roman" w:hAnsi="Times New Roman" w:cs="Times New Roman"/>
          <w:szCs w:val="24"/>
        </w:rPr>
        <w:t xml:space="preserve">akredytacją podmiotów uprawnionych do wydawania certyfikatów oraz procedur </w:t>
      </w:r>
      <w:r w:rsidR="00CC3037" w:rsidRPr="0024375B">
        <w:rPr>
          <w:rFonts w:ascii="Times New Roman" w:hAnsi="Times New Roman" w:cs="Times New Roman"/>
          <w:szCs w:val="24"/>
        </w:rPr>
        <w:t>związanych</w:t>
      </w:r>
      <w:r w:rsidR="002161FE">
        <w:rPr>
          <w:rFonts w:ascii="Times New Roman" w:hAnsi="Times New Roman" w:cs="Times New Roman"/>
          <w:szCs w:val="24"/>
        </w:rPr>
        <w:t xml:space="preserve"> z </w:t>
      </w:r>
      <w:r w:rsidRPr="0024375B">
        <w:rPr>
          <w:rFonts w:ascii="Times New Roman" w:hAnsi="Times New Roman" w:cs="Times New Roman"/>
          <w:szCs w:val="24"/>
        </w:rPr>
        <w:t>działaniem tego systemu</w:t>
      </w:r>
      <w:r w:rsidR="00CC3037" w:rsidRPr="0024375B">
        <w:rPr>
          <w:rFonts w:ascii="Times New Roman" w:hAnsi="Times New Roman" w:cs="Times New Roman"/>
          <w:szCs w:val="24"/>
        </w:rPr>
        <w:t>,</w:t>
      </w:r>
      <w:r w:rsidRPr="0024375B">
        <w:rPr>
          <w:rFonts w:ascii="Times New Roman" w:hAnsi="Times New Roman" w:cs="Times New Roman"/>
          <w:szCs w:val="24"/>
        </w:rPr>
        <w:t xml:space="preserve"> </w:t>
      </w:r>
      <w:r w:rsidR="00CC3037" w:rsidRPr="0024375B">
        <w:rPr>
          <w:rFonts w:ascii="Times New Roman" w:hAnsi="Times New Roman" w:cs="Times New Roman"/>
          <w:szCs w:val="24"/>
        </w:rPr>
        <w:t xml:space="preserve">regulujących </w:t>
      </w:r>
      <w:r w:rsidRPr="0024375B">
        <w:rPr>
          <w:rFonts w:ascii="Times New Roman" w:hAnsi="Times New Roman" w:cs="Times New Roman"/>
          <w:szCs w:val="24"/>
        </w:rPr>
        <w:t>np. kwestie zatwierdzania certyfikatów</w:t>
      </w:r>
      <w:r w:rsidR="0077165A">
        <w:rPr>
          <w:rFonts w:ascii="Times New Roman" w:hAnsi="Times New Roman" w:cs="Times New Roman"/>
          <w:szCs w:val="24"/>
        </w:rPr>
        <w:t xml:space="preserve"> o </w:t>
      </w:r>
      <w:r w:rsidRPr="0024375B">
        <w:rPr>
          <w:rFonts w:ascii="Times New Roman" w:hAnsi="Times New Roman" w:cs="Times New Roman"/>
          <w:szCs w:val="24"/>
        </w:rPr>
        <w:t>poziomie zaufania „wysoki”.</w:t>
      </w:r>
    </w:p>
    <w:p w14:paraId="62B31132" w14:textId="77777777" w:rsidR="00F6749E" w:rsidRPr="0024375B" w:rsidRDefault="00F6749E"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t>Przyjęte</w:t>
      </w:r>
      <w:r w:rsidR="00EA1900">
        <w:rPr>
          <w:rFonts w:ascii="Times New Roman" w:hAnsi="Times New Roman" w:cs="Times New Roman"/>
          <w:szCs w:val="24"/>
        </w:rPr>
        <w:t xml:space="preserve"> w </w:t>
      </w:r>
      <w:r w:rsidR="005F482D" w:rsidRPr="0024375B">
        <w:rPr>
          <w:rFonts w:ascii="Times New Roman" w:hAnsi="Times New Roman" w:cs="Times New Roman"/>
          <w:szCs w:val="24"/>
        </w:rPr>
        <w:t>ustawie</w:t>
      </w:r>
      <w:r w:rsidRPr="0024375B">
        <w:rPr>
          <w:rFonts w:ascii="Times New Roman" w:hAnsi="Times New Roman" w:cs="Times New Roman"/>
          <w:szCs w:val="24"/>
        </w:rPr>
        <w:t xml:space="preserve"> rozwiązania sprawią, że polskie firmy będą mogły swobodnie konkurować na rynku</w:t>
      </w:r>
      <w:r w:rsidR="00CF23C4" w:rsidRPr="0024375B">
        <w:rPr>
          <w:rFonts w:ascii="Times New Roman" w:hAnsi="Times New Roman" w:cs="Times New Roman"/>
          <w:szCs w:val="24"/>
        </w:rPr>
        <w:t xml:space="preserve"> europejskim</w:t>
      </w:r>
      <w:r w:rsidRPr="0024375B">
        <w:rPr>
          <w:rFonts w:ascii="Times New Roman" w:hAnsi="Times New Roman" w:cs="Times New Roman"/>
          <w:szCs w:val="24"/>
        </w:rPr>
        <w:t>. Trzeba tu wskazać, że</w:t>
      </w:r>
      <w:r w:rsidR="00EA1900">
        <w:rPr>
          <w:rFonts w:ascii="Times New Roman" w:hAnsi="Times New Roman" w:cs="Times New Roman"/>
          <w:szCs w:val="24"/>
        </w:rPr>
        <w:t xml:space="preserve"> w </w:t>
      </w:r>
      <w:r w:rsidRPr="0024375B">
        <w:rPr>
          <w:rFonts w:ascii="Times New Roman" w:hAnsi="Times New Roman" w:cs="Times New Roman"/>
          <w:szCs w:val="24"/>
        </w:rPr>
        <w:t xml:space="preserve">wielu państwach Europy Środkowej rynek </w:t>
      </w:r>
      <w:r w:rsidR="2E56C9A1" w:rsidRPr="0024375B">
        <w:rPr>
          <w:rFonts w:ascii="Times New Roman" w:hAnsi="Times New Roman" w:cs="Times New Roman"/>
          <w:szCs w:val="24"/>
        </w:rPr>
        <w:t>certyfikacji</w:t>
      </w:r>
      <w:r w:rsidR="00DB44AE" w:rsidRPr="0024375B">
        <w:rPr>
          <w:rFonts w:ascii="Times New Roman" w:hAnsi="Times New Roman" w:cs="Times New Roman"/>
          <w:szCs w:val="24"/>
        </w:rPr>
        <w:t xml:space="preserve"> </w:t>
      </w:r>
      <w:r w:rsidRPr="0024375B">
        <w:rPr>
          <w:rFonts w:ascii="Times New Roman" w:hAnsi="Times New Roman" w:cs="Times New Roman"/>
          <w:szCs w:val="24"/>
        </w:rPr>
        <w:t>jest mniej rozwinięty niż</w:t>
      </w:r>
      <w:r w:rsidR="00EA1900">
        <w:rPr>
          <w:rFonts w:ascii="Times New Roman" w:hAnsi="Times New Roman" w:cs="Times New Roman"/>
          <w:szCs w:val="24"/>
        </w:rPr>
        <w:t xml:space="preserve"> w </w:t>
      </w:r>
      <w:r w:rsidRPr="0024375B">
        <w:rPr>
          <w:rFonts w:ascii="Times New Roman" w:hAnsi="Times New Roman" w:cs="Times New Roman"/>
          <w:szCs w:val="24"/>
        </w:rPr>
        <w:t>Polsce.</w:t>
      </w:r>
      <w:r w:rsidR="00116933">
        <w:rPr>
          <w:rFonts w:ascii="Times New Roman" w:hAnsi="Times New Roman" w:cs="Times New Roman"/>
          <w:szCs w:val="24"/>
        </w:rPr>
        <w:t xml:space="preserve"> W </w:t>
      </w:r>
      <w:r w:rsidRPr="0024375B">
        <w:rPr>
          <w:rFonts w:ascii="Times New Roman" w:hAnsi="Times New Roman" w:cs="Times New Roman"/>
          <w:szCs w:val="24"/>
        </w:rPr>
        <w:t>związku</w:t>
      </w:r>
      <w:r w:rsidR="002161FE">
        <w:rPr>
          <w:rFonts w:ascii="Times New Roman" w:hAnsi="Times New Roman" w:cs="Times New Roman"/>
          <w:szCs w:val="24"/>
        </w:rPr>
        <w:t xml:space="preserve"> z </w:t>
      </w:r>
      <w:r w:rsidRPr="0024375B">
        <w:rPr>
          <w:rFonts w:ascii="Times New Roman" w:hAnsi="Times New Roman" w:cs="Times New Roman"/>
          <w:szCs w:val="24"/>
        </w:rPr>
        <w:t>tym, przyjęcie procedowanych przepisów może umożliwić polskim przedsiębiorcom przyciągnięcie klientów</w:t>
      </w:r>
      <w:r w:rsidR="002161FE">
        <w:rPr>
          <w:rFonts w:ascii="Times New Roman" w:hAnsi="Times New Roman" w:cs="Times New Roman"/>
          <w:szCs w:val="24"/>
        </w:rPr>
        <w:t xml:space="preserve"> z </w:t>
      </w:r>
      <w:r w:rsidRPr="0024375B">
        <w:rPr>
          <w:rFonts w:ascii="Times New Roman" w:hAnsi="Times New Roman" w:cs="Times New Roman"/>
          <w:szCs w:val="24"/>
        </w:rPr>
        <w:t>regionu.</w:t>
      </w:r>
    </w:p>
    <w:p w14:paraId="0AA79C4F" w14:textId="77777777" w:rsidR="00F6749E" w:rsidRPr="0024375B" w:rsidRDefault="00F6749E"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lastRenderedPageBreak/>
        <w:t xml:space="preserve">Przyjęte rozwiązania zakładają mieszany model certyfikacji </w:t>
      </w:r>
      <w:r w:rsidR="00FA59D7" w:rsidRPr="0024375B">
        <w:rPr>
          <w:rFonts w:ascii="Times New Roman" w:hAnsi="Times New Roman" w:cs="Times New Roman"/>
          <w:szCs w:val="24"/>
        </w:rPr>
        <w:t>cyberbezpieczeństwa,</w:t>
      </w:r>
      <w:r w:rsidR="00EA1900">
        <w:rPr>
          <w:rFonts w:ascii="Times New Roman" w:hAnsi="Times New Roman" w:cs="Times New Roman"/>
          <w:szCs w:val="24"/>
        </w:rPr>
        <w:t xml:space="preserve"> w </w:t>
      </w:r>
      <w:r w:rsidR="00FA59D7" w:rsidRPr="0024375B">
        <w:rPr>
          <w:rFonts w:ascii="Times New Roman" w:hAnsi="Times New Roman" w:cs="Times New Roman"/>
          <w:szCs w:val="24"/>
        </w:rPr>
        <w:t>którym</w:t>
      </w:r>
      <w:r w:rsidRPr="0024375B">
        <w:rPr>
          <w:rFonts w:ascii="Times New Roman" w:hAnsi="Times New Roman" w:cs="Times New Roman"/>
          <w:szCs w:val="24"/>
        </w:rPr>
        <w:t xml:space="preserve"> podstawową rolę odgrywają podmioty prywatne. Certyfikacja</w:t>
      </w:r>
      <w:r w:rsidR="00EA1900">
        <w:rPr>
          <w:rFonts w:ascii="Times New Roman" w:hAnsi="Times New Roman" w:cs="Times New Roman"/>
          <w:szCs w:val="24"/>
        </w:rPr>
        <w:t xml:space="preserve"> w </w:t>
      </w:r>
      <w:r w:rsidRPr="0024375B">
        <w:rPr>
          <w:rFonts w:ascii="Times New Roman" w:hAnsi="Times New Roman" w:cs="Times New Roman"/>
          <w:szCs w:val="24"/>
        </w:rPr>
        <w:t>dziedzinie cyberbezpieczeństwa będzie odbywała się na zasadach rynkowych,</w:t>
      </w:r>
      <w:r w:rsidR="002161FE">
        <w:rPr>
          <w:rFonts w:ascii="Times New Roman" w:hAnsi="Times New Roman" w:cs="Times New Roman"/>
          <w:szCs w:val="24"/>
        </w:rPr>
        <w:t xml:space="preserve"> a </w:t>
      </w:r>
      <w:r w:rsidRPr="0024375B">
        <w:rPr>
          <w:rFonts w:ascii="Times New Roman" w:hAnsi="Times New Roman" w:cs="Times New Roman"/>
          <w:szCs w:val="24"/>
        </w:rPr>
        <w:t xml:space="preserve">klienci będą mogli swobodnie wybierać spośród podmiotów działających na rynku. </w:t>
      </w:r>
    </w:p>
    <w:p w14:paraId="5B2440D0" w14:textId="77777777" w:rsidR="00F6749E" w:rsidRPr="0024375B" w:rsidRDefault="00F6749E" w:rsidP="00FC6B8C">
      <w:pPr>
        <w:pStyle w:val="NIEARTTEKSTtekstnieartykuowanynppodstprawnarozplubpreambua"/>
        <w:rPr>
          <w:rFonts w:ascii="Times New Roman" w:hAnsi="Times New Roman" w:cs="Times New Roman"/>
          <w:szCs w:val="24"/>
          <w:u w:val="single"/>
        </w:rPr>
      </w:pPr>
      <w:r w:rsidRPr="0024375B">
        <w:rPr>
          <w:rFonts w:ascii="Times New Roman" w:hAnsi="Times New Roman" w:cs="Times New Roman"/>
          <w:szCs w:val="24"/>
          <w:u w:val="single"/>
        </w:rPr>
        <w:t xml:space="preserve">Certyfikaty </w:t>
      </w:r>
    </w:p>
    <w:p w14:paraId="18D75BA8" w14:textId="77777777" w:rsidR="00F6749E" w:rsidRPr="0024375B" w:rsidRDefault="00FB457A"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t>Akt</w:t>
      </w:r>
      <w:r w:rsidR="0077165A">
        <w:rPr>
          <w:rFonts w:ascii="Times New Roman" w:hAnsi="Times New Roman" w:cs="Times New Roman"/>
          <w:szCs w:val="24"/>
        </w:rPr>
        <w:t xml:space="preserve"> o </w:t>
      </w:r>
      <w:r w:rsidR="00074E09">
        <w:rPr>
          <w:rFonts w:ascii="Times New Roman" w:hAnsi="Times New Roman" w:cs="Times New Roman"/>
          <w:szCs w:val="24"/>
        </w:rPr>
        <w:t>c</w:t>
      </w:r>
      <w:r w:rsidRPr="0024375B">
        <w:rPr>
          <w:rFonts w:ascii="Times New Roman" w:hAnsi="Times New Roman" w:cs="Times New Roman"/>
          <w:szCs w:val="24"/>
        </w:rPr>
        <w:t>yberbezpieczeństwie przewiduje trzy poziomy uzasadnienia z</w:t>
      </w:r>
      <w:r w:rsidR="000F24AC" w:rsidRPr="0024375B">
        <w:rPr>
          <w:rFonts w:ascii="Times New Roman" w:hAnsi="Times New Roman" w:cs="Times New Roman"/>
          <w:szCs w:val="24"/>
        </w:rPr>
        <w:t>aufania – podstawowy, istotny</w:t>
      </w:r>
      <w:r w:rsidR="002161FE">
        <w:rPr>
          <w:rFonts w:ascii="Times New Roman" w:hAnsi="Times New Roman" w:cs="Times New Roman"/>
          <w:szCs w:val="24"/>
        </w:rPr>
        <w:t xml:space="preserve"> i </w:t>
      </w:r>
      <w:r w:rsidRPr="0024375B">
        <w:rPr>
          <w:rFonts w:ascii="Times New Roman" w:hAnsi="Times New Roman" w:cs="Times New Roman"/>
          <w:szCs w:val="24"/>
        </w:rPr>
        <w:t>wysoki, określają</w:t>
      </w:r>
      <w:r w:rsidR="005F482D" w:rsidRPr="0024375B">
        <w:rPr>
          <w:rFonts w:ascii="Times New Roman" w:hAnsi="Times New Roman" w:cs="Times New Roman"/>
          <w:szCs w:val="24"/>
        </w:rPr>
        <w:t>ce</w:t>
      </w:r>
      <w:r w:rsidRPr="0024375B">
        <w:rPr>
          <w:rFonts w:ascii="Times New Roman" w:hAnsi="Times New Roman" w:cs="Times New Roman"/>
          <w:szCs w:val="24"/>
        </w:rPr>
        <w:t xml:space="preserve"> poziom </w:t>
      </w:r>
      <w:r w:rsidR="00FA59D7" w:rsidRPr="0024375B">
        <w:rPr>
          <w:rFonts w:ascii="Times New Roman" w:hAnsi="Times New Roman" w:cs="Times New Roman"/>
          <w:szCs w:val="24"/>
        </w:rPr>
        <w:t>cyberbezpieczeństwa, jaki</w:t>
      </w:r>
      <w:r w:rsidRPr="0024375B">
        <w:rPr>
          <w:rFonts w:ascii="Times New Roman" w:hAnsi="Times New Roman" w:cs="Times New Roman"/>
          <w:szCs w:val="24"/>
        </w:rPr>
        <w:t xml:space="preserve"> gwarantuje dany produkt.</w:t>
      </w:r>
      <w:r w:rsidR="00116933">
        <w:rPr>
          <w:rFonts w:ascii="Times New Roman" w:hAnsi="Times New Roman" w:cs="Times New Roman"/>
          <w:szCs w:val="24"/>
        </w:rPr>
        <w:t xml:space="preserve"> W </w:t>
      </w:r>
      <w:r w:rsidR="00CF23C4" w:rsidRPr="0024375B">
        <w:rPr>
          <w:rFonts w:ascii="Times New Roman" w:hAnsi="Times New Roman" w:cs="Times New Roman"/>
          <w:szCs w:val="24"/>
        </w:rPr>
        <w:t>odniesieniu</w:t>
      </w:r>
      <w:r w:rsidRPr="0024375B">
        <w:rPr>
          <w:rFonts w:ascii="Times New Roman" w:hAnsi="Times New Roman" w:cs="Times New Roman"/>
          <w:szCs w:val="24"/>
        </w:rPr>
        <w:t xml:space="preserve"> do każdego</w:t>
      </w:r>
      <w:r w:rsidR="002161FE">
        <w:rPr>
          <w:rFonts w:ascii="Times New Roman" w:hAnsi="Times New Roman" w:cs="Times New Roman"/>
          <w:szCs w:val="24"/>
        </w:rPr>
        <w:t xml:space="preserve"> z </w:t>
      </w:r>
      <w:r w:rsidRPr="0024375B">
        <w:rPr>
          <w:rFonts w:ascii="Times New Roman" w:hAnsi="Times New Roman" w:cs="Times New Roman"/>
          <w:szCs w:val="24"/>
        </w:rPr>
        <w:t>tych poziomów będą określane odrębne wymagania</w:t>
      </w:r>
      <w:r w:rsidR="005920E2" w:rsidRPr="0024375B">
        <w:rPr>
          <w:rFonts w:ascii="Times New Roman" w:hAnsi="Times New Roman" w:cs="Times New Roman"/>
          <w:szCs w:val="24"/>
        </w:rPr>
        <w:t>,</w:t>
      </w:r>
      <w:r w:rsidRPr="0024375B">
        <w:rPr>
          <w:rFonts w:ascii="Times New Roman" w:hAnsi="Times New Roman" w:cs="Times New Roman"/>
          <w:szCs w:val="24"/>
        </w:rPr>
        <w:t xml:space="preserve"> jakie musi spełniać produkt</w:t>
      </w:r>
      <w:r w:rsidR="00CF23C4" w:rsidRPr="0024375B">
        <w:rPr>
          <w:rFonts w:ascii="Times New Roman" w:hAnsi="Times New Roman" w:cs="Times New Roman"/>
          <w:szCs w:val="24"/>
        </w:rPr>
        <w:t>,</w:t>
      </w:r>
      <w:r w:rsidRPr="0024375B">
        <w:rPr>
          <w:rFonts w:ascii="Times New Roman" w:hAnsi="Times New Roman" w:cs="Times New Roman"/>
          <w:szCs w:val="24"/>
        </w:rPr>
        <w:t xml:space="preserve"> by uzyskać certyfikat </w:t>
      </w:r>
      <w:r w:rsidR="00CF23C4" w:rsidRPr="0024375B">
        <w:rPr>
          <w:rFonts w:ascii="Times New Roman" w:hAnsi="Times New Roman" w:cs="Times New Roman"/>
          <w:szCs w:val="24"/>
        </w:rPr>
        <w:t xml:space="preserve">danego </w:t>
      </w:r>
      <w:r w:rsidRPr="0024375B">
        <w:rPr>
          <w:rFonts w:ascii="Times New Roman" w:hAnsi="Times New Roman" w:cs="Times New Roman"/>
          <w:szCs w:val="24"/>
        </w:rPr>
        <w:t>poziomu.</w:t>
      </w:r>
      <w:r w:rsidR="0B700861" w:rsidRPr="0024375B">
        <w:rPr>
          <w:rFonts w:ascii="Times New Roman" w:hAnsi="Times New Roman" w:cs="Times New Roman"/>
          <w:szCs w:val="24"/>
        </w:rPr>
        <w:t xml:space="preserve"> Wymagania dla konkretnych produktów będą określane</w:t>
      </w:r>
      <w:r w:rsidR="00EA1900">
        <w:rPr>
          <w:rFonts w:ascii="Times New Roman" w:hAnsi="Times New Roman" w:cs="Times New Roman"/>
          <w:szCs w:val="24"/>
        </w:rPr>
        <w:t xml:space="preserve"> w </w:t>
      </w:r>
      <w:r w:rsidR="0B700861" w:rsidRPr="0024375B">
        <w:rPr>
          <w:rFonts w:ascii="Times New Roman" w:hAnsi="Times New Roman" w:cs="Times New Roman"/>
          <w:szCs w:val="24"/>
        </w:rPr>
        <w:t>europejskich lub krajowych programach certyfikacji cyberbezpieczeństwa.</w:t>
      </w:r>
      <w:r w:rsidRPr="0024375B">
        <w:rPr>
          <w:rFonts w:ascii="Times New Roman" w:hAnsi="Times New Roman" w:cs="Times New Roman"/>
          <w:szCs w:val="24"/>
        </w:rPr>
        <w:t xml:space="preserve"> Każdy</w:t>
      </w:r>
      <w:r w:rsidR="002161FE">
        <w:rPr>
          <w:rFonts w:ascii="Times New Roman" w:hAnsi="Times New Roman" w:cs="Times New Roman"/>
          <w:szCs w:val="24"/>
        </w:rPr>
        <w:t xml:space="preserve"> z </w:t>
      </w:r>
      <w:r w:rsidR="00CF23C4" w:rsidRPr="0024375B">
        <w:rPr>
          <w:rFonts w:ascii="Times New Roman" w:hAnsi="Times New Roman" w:cs="Times New Roman"/>
          <w:szCs w:val="24"/>
        </w:rPr>
        <w:t xml:space="preserve">wydawanych </w:t>
      </w:r>
      <w:r w:rsidRPr="0024375B">
        <w:rPr>
          <w:rFonts w:ascii="Times New Roman" w:hAnsi="Times New Roman" w:cs="Times New Roman"/>
          <w:szCs w:val="24"/>
        </w:rPr>
        <w:t xml:space="preserve">certyfikatów będzie musiał wskazywać jakiego poziomu dotyczy. </w:t>
      </w:r>
      <w:r w:rsidR="00CF23C4" w:rsidRPr="0024375B">
        <w:rPr>
          <w:rFonts w:ascii="Times New Roman" w:hAnsi="Times New Roman" w:cs="Times New Roman"/>
          <w:szCs w:val="24"/>
        </w:rPr>
        <w:t>Również s</w:t>
      </w:r>
      <w:r w:rsidRPr="0024375B">
        <w:rPr>
          <w:rFonts w:ascii="Times New Roman" w:hAnsi="Times New Roman" w:cs="Times New Roman"/>
          <w:szCs w:val="24"/>
        </w:rPr>
        <w:t>zczegóły związane</w:t>
      </w:r>
      <w:r w:rsidR="002161FE">
        <w:rPr>
          <w:rFonts w:ascii="Times New Roman" w:hAnsi="Times New Roman" w:cs="Times New Roman"/>
          <w:szCs w:val="24"/>
        </w:rPr>
        <w:t xml:space="preserve"> z </w:t>
      </w:r>
      <w:r w:rsidRPr="0024375B">
        <w:rPr>
          <w:rFonts w:ascii="Times New Roman" w:hAnsi="Times New Roman" w:cs="Times New Roman"/>
          <w:szCs w:val="24"/>
        </w:rPr>
        <w:t>opisem wymagań</w:t>
      </w:r>
      <w:r w:rsidR="004B1100" w:rsidRPr="0024375B">
        <w:rPr>
          <w:rFonts w:ascii="Times New Roman" w:hAnsi="Times New Roman" w:cs="Times New Roman"/>
          <w:szCs w:val="24"/>
        </w:rPr>
        <w:t xml:space="preserve"> bezpieczeństwa</w:t>
      </w:r>
      <w:r w:rsidR="002161FE">
        <w:rPr>
          <w:rFonts w:ascii="Times New Roman" w:hAnsi="Times New Roman" w:cs="Times New Roman"/>
          <w:szCs w:val="24"/>
        </w:rPr>
        <w:t xml:space="preserve"> i </w:t>
      </w:r>
      <w:r w:rsidR="004B1100" w:rsidRPr="0024375B">
        <w:rPr>
          <w:rFonts w:ascii="Times New Roman" w:hAnsi="Times New Roman" w:cs="Times New Roman"/>
          <w:szCs w:val="24"/>
        </w:rPr>
        <w:t>procesem</w:t>
      </w:r>
      <w:r w:rsidRPr="0024375B">
        <w:rPr>
          <w:rFonts w:ascii="Times New Roman" w:hAnsi="Times New Roman" w:cs="Times New Roman"/>
          <w:szCs w:val="24"/>
        </w:rPr>
        <w:t xml:space="preserve"> badania</w:t>
      </w:r>
      <w:r w:rsidR="004B1100" w:rsidRPr="0024375B">
        <w:rPr>
          <w:rFonts w:ascii="Times New Roman" w:hAnsi="Times New Roman" w:cs="Times New Roman"/>
          <w:szCs w:val="24"/>
        </w:rPr>
        <w:t xml:space="preserve"> produktów będą określane</w:t>
      </w:r>
      <w:r w:rsidR="00EA1900">
        <w:rPr>
          <w:rFonts w:ascii="Times New Roman" w:hAnsi="Times New Roman" w:cs="Times New Roman"/>
          <w:szCs w:val="24"/>
        </w:rPr>
        <w:t xml:space="preserve"> w </w:t>
      </w:r>
      <w:r w:rsidR="004B1100" w:rsidRPr="0024375B">
        <w:rPr>
          <w:rFonts w:ascii="Times New Roman" w:hAnsi="Times New Roman" w:cs="Times New Roman"/>
          <w:szCs w:val="24"/>
        </w:rPr>
        <w:t>europejskich</w:t>
      </w:r>
      <w:r w:rsidR="002161FE">
        <w:rPr>
          <w:rFonts w:ascii="Times New Roman" w:hAnsi="Times New Roman" w:cs="Times New Roman"/>
          <w:szCs w:val="24"/>
        </w:rPr>
        <w:t xml:space="preserve"> i </w:t>
      </w:r>
      <w:r w:rsidR="004B1100" w:rsidRPr="0024375B">
        <w:rPr>
          <w:rFonts w:ascii="Times New Roman" w:hAnsi="Times New Roman" w:cs="Times New Roman"/>
          <w:szCs w:val="24"/>
        </w:rPr>
        <w:t xml:space="preserve">krajowych programach certyfikacji. </w:t>
      </w:r>
    </w:p>
    <w:p w14:paraId="18E40BAF" w14:textId="77777777" w:rsidR="00F6749E" w:rsidRDefault="00F6749E"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t>Certyfikacja</w:t>
      </w:r>
      <w:r w:rsidR="00EA1900">
        <w:rPr>
          <w:rFonts w:ascii="Times New Roman" w:hAnsi="Times New Roman" w:cs="Times New Roman"/>
          <w:szCs w:val="24"/>
        </w:rPr>
        <w:t xml:space="preserve"> w </w:t>
      </w:r>
      <w:r w:rsidRPr="0024375B">
        <w:rPr>
          <w:rFonts w:ascii="Times New Roman" w:hAnsi="Times New Roman" w:cs="Times New Roman"/>
          <w:szCs w:val="24"/>
        </w:rPr>
        <w:t>zakresie cyberbezpieczeństwa będzie procesem całkowicie dobrowolnym. Ustawa tworzy ramy</w:t>
      </w:r>
      <w:r w:rsidR="00EA1900">
        <w:rPr>
          <w:rFonts w:ascii="Times New Roman" w:hAnsi="Times New Roman" w:cs="Times New Roman"/>
          <w:szCs w:val="24"/>
        </w:rPr>
        <w:t xml:space="preserve"> w </w:t>
      </w:r>
      <w:r w:rsidRPr="0024375B">
        <w:rPr>
          <w:rFonts w:ascii="Times New Roman" w:hAnsi="Times New Roman" w:cs="Times New Roman"/>
          <w:szCs w:val="24"/>
        </w:rPr>
        <w:t>jakich będzie wykonywana</w:t>
      </w:r>
      <w:r w:rsidR="00A502F5" w:rsidRPr="0024375B">
        <w:rPr>
          <w:rFonts w:ascii="Times New Roman" w:hAnsi="Times New Roman" w:cs="Times New Roman"/>
          <w:szCs w:val="24"/>
        </w:rPr>
        <w:t>,</w:t>
      </w:r>
      <w:r w:rsidRPr="0024375B">
        <w:rPr>
          <w:rFonts w:ascii="Times New Roman" w:hAnsi="Times New Roman" w:cs="Times New Roman"/>
          <w:szCs w:val="24"/>
        </w:rPr>
        <w:t xml:space="preserve"> równocześnie nie nakładając żadnych obowiązków na podmioty działające na rynku. Każdy chętny będzie więc mógł </w:t>
      </w:r>
      <w:r w:rsidR="00A502F5" w:rsidRPr="0024375B">
        <w:rPr>
          <w:rFonts w:ascii="Times New Roman" w:hAnsi="Times New Roman" w:cs="Times New Roman"/>
          <w:szCs w:val="24"/>
        </w:rPr>
        <w:t xml:space="preserve">zarówno </w:t>
      </w:r>
      <w:r w:rsidRPr="0024375B">
        <w:rPr>
          <w:rFonts w:ascii="Times New Roman" w:hAnsi="Times New Roman" w:cs="Times New Roman"/>
          <w:szCs w:val="24"/>
        </w:rPr>
        <w:t>rozpocząć działalność</w:t>
      </w:r>
      <w:r w:rsidR="00EA1900">
        <w:rPr>
          <w:rFonts w:ascii="Times New Roman" w:hAnsi="Times New Roman" w:cs="Times New Roman"/>
          <w:szCs w:val="24"/>
        </w:rPr>
        <w:t xml:space="preserve"> w </w:t>
      </w:r>
      <w:r w:rsidRPr="0024375B">
        <w:rPr>
          <w:rFonts w:ascii="Times New Roman" w:hAnsi="Times New Roman" w:cs="Times New Roman"/>
          <w:szCs w:val="24"/>
        </w:rPr>
        <w:t>tym zakresie</w:t>
      </w:r>
      <w:r w:rsidR="00A502F5" w:rsidRPr="0024375B">
        <w:rPr>
          <w:rFonts w:ascii="Times New Roman" w:hAnsi="Times New Roman" w:cs="Times New Roman"/>
          <w:szCs w:val="24"/>
        </w:rPr>
        <w:t>,</w:t>
      </w:r>
      <w:r w:rsidR="000F24AC" w:rsidRPr="0024375B">
        <w:rPr>
          <w:rFonts w:ascii="Times New Roman" w:hAnsi="Times New Roman" w:cs="Times New Roman"/>
          <w:szCs w:val="24"/>
        </w:rPr>
        <w:t xml:space="preserve"> jak</w:t>
      </w:r>
      <w:r w:rsidR="002161FE">
        <w:rPr>
          <w:rFonts w:ascii="Times New Roman" w:hAnsi="Times New Roman" w:cs="Times New Roman"/>
          <w:szCs w:val="24"/>
        </w:rPr>
        <w:t xml:space="preserve"> i </w:t>
      </w:r>
      <w:r w:rsidRPr="0024375B">
        <w:rPr>
          <w:rFonts w:ascii="Times New Roman" w:hAnsi="Times New Roman" w:cs="Times New Roman"/>
          <w:szCs w:val="24"/>
        </w:rPr>
        <w:t>uzyskać certyfikację swojego produktu, usługi czy procesu ICT, równocześnie nie będąc do tego zobowiązanym.</w:t>
      </w:r>
    </w:p>
    <w:p w14:paraId="7FA0EF45" w14:textId="77777777" w:rsidR="00F6749E" w:rsidRPr="0024375B" w:rsidRDefault="004B1100" w:rsidP="00FC6B8C">
      <w:pPr>
        <w:pStyle w:val="NIEARTTEKSTtekstnieartykuowanynppodstprawnarozplubpreambua"/>
        <w:rPr>
          <w:szCs w:val="24"/>
        </w:rPr>
      </w:pPr>
      <w:r w:rsidRPr="0024375B">
        <w:rPr>
          <w:rFonts w:ascii="Times New Roman" w:hAnsi="Times New Roman" w:cs="Times New Roman"/>
          <w:szCs w:val="24"/>
        </w:rPr>
        <w:t>Przyjęte rozwiązania służą również realizacji Strategii Cyberbezpieczeństwa Rzeczypospolitej Polskiej na lata 2019</w:t>
      </w:r>
      <w:r w:rsidR="00CE3276">
        <w:rPr>
          <w:rFonts w:ascii="Times New Roman" w:hAnsi="Times New Roman" w:cs="Times New Roman"/>
          <w:szCs w:val="24"/>
        </w:rPr>
        <w:t>–</w:t>
      </w:r>
      <w:r w:rsidRPr="0024375B">
        <w:rPr>
          <w:rFonts w:ascii="Times New Roman" w:hAnsi="Times New Roman" w:cs="Times New Roman"/>
          <w:szCs w:val="24"/>
        </w:rPr>
        <w:t xml:space="preserve">2024, zwanej dalej „Strategią”. Ustanowienie krajowego organu do spraw certyfikacji cyberbezpieczeństwa oraz utworzenie krajowego systemu certyfikacji cyberbezpieczeństwa stanowią działania służące realizacji drugiego celu szczegółowego </w:t>
      </w:r>
      <w:r w:rsidR="00A502F5" w:rsidRPr="0024375B">
        <w:rPr>
          <w:rFonts w:ascii="Times New Roman" w:hAnsi="Times New Roman" w:cs="Times New Roman"/>
          <w:szCs w:val="24"/>
        </w:rPr>
        <w:t xml:space="preserve">Strategii </w:t>
      </w:r>
      <w:r w:rsidR="00E96F6D" w:rsidRPr="0024375B">
        <w:rPr>
          <w:rFonts w:ascii="Times New Roman" w:hAnsi="Times New Roman" w:cs="Times New Roman"/>
          <w:szCs w:val="24"/>
        </w:rPr>
        <w:t xml:space="preserve">– </w:t>
      </w:r>
      <w:r w:rsidR="00410150" w:rsidRPr="0024375B">
        <w:rPr>
          <w:rFonts w:ascii="Times New Roman" w:hAnsi="Times New Roman" w:cs="Times New Roman"/>
          <w:szCs w:val="24"/>
        </w:rPr>
        <w:t xml:space="preserve">podniesienie </w:t>
      </w:r>
      <w:r w:rsidRPr="0024375B">
        <w:rPr>
          <w:rFonts w:ascii="Times New Roman" w:hAnsi="Times New Roman" w:cs="Times New Roman"/>
          <w:szCs w:val="24"/>
        </w:rPr>
        <w:t>poziomu odporności systemów informacyjnych administracji publicznej</w:t>
      </w:r>
      <w:r w:rsidR="002161FE">
        <w:rPr>
          <w:rFonts w:ascii="Times New Roman" w:hAnsi="Times New Roman" w:cs="Times New Roman"/>
          <w:szCs w:val="24"/>
        </w:rPr>
        <w:t xml:space="preserve"> i </w:t>
      </w:r>
      <w:r w:rsidRPr="0024375B">
        <w:rPr>
          <w:rFonts w:ascii="Times New Roman" w:hAnsi="Times New Roman" w:cs="Times New Roman"/>
          <w:szCs w:val="24"/>
        </w:rPr>
        <w:t>sektora prywatneg</w:t>
      </w:r>
      <w:r w:rsidR="008D77B9" w:rsidRPr="0024375B">
        <w:rPr>
          <w:rFonts w:ascii="Times New Roman" w:hAnsi="Times New Roman" w:cs="Times New Roman"/>
          <w:szCs w:val="24"/>
        </w:rPr>
        <w:t>o oraz osiągnięcie zdolności do </w:t>
      </w:r>
      <w:r w:rsidRPr="0024375B">
        <w:rPr>
          <w:rFonts w:ascii="Times New Roman" w:hAnsi="Times New Roman" w:cs="Times New Roman"/>
          <w:szCs w:val="24"/>
        </w:rPr>
        <w:t>skutecznego zapobiegania</w:t>
      </w:r>
      <w:r w:rsidR="002161FE">
        <w:rPr>
          <w:rFonts w:ascii="Times New Roman" w:hAnsi="Times New Roman" w:cs="Times New Roman"/>
          <w:szCs w:val="24"/>
        </w:rPr>
        <w:t xml:space="preserve"> i </w:t>
      </w:r>
      <w:r w:rsidRPr="0024375B">
        <w:rPr>
          <w:rFonts w:ascii="Times New Roman" w:hAnsi="Times New Roman" w:cs="Times New Roman"/>
          <w:szCs w:val="24"/>
        </w:rPr>
        <w:t>reagowania na incydenty.</w:t>
      </w:r>
      <w:r w:rsidR="00116933">
        <w:rPr>
          <w:rFonts w:ascii="Times New Roman" w:hAnsi="Times New Roman" w:cs="Times New Roman"/>
          <w:szCs w:val="24"/>
        </w:rPr>
        <w:t xml:space="preserve"> W </w:t>
      </w:r>
      <w:r w:rsidR="00F6749E" w:rsidRPr="0024375B">
        <w:rPr>
          <w:rFonts w:ascii="Times New Roman" w:hAnsi="Times New Roman" w:cs="Times New Roman"/>
          <w:szCs w:val="24"/>
        </w:rPr>
        <w:t>zakresie akredytacji oraz certyfikacji</w:t>
      </w:r>
      <w:r w:rsidR="00EA1900">
        <w:rPr>
          <w:rFonts w:ascii="Times New Roman" w:hAnsi="Times New Roman" w:cs="Times New Roman"/>
          <w:szCs w:val="24"/>
        </w:rPr>
        <w:t xml:space="preserve"> w </w:t>
      </w:r>
      <w:r w:rsidR="00F6749E" w:rsidRPr="0024375B">
        <w:rPr>
          <w:rFonts w:ascii="Times New Roman" w:hAnsi="Times New Roman" w:cs="Times New Roman"/>
          <w:szCs w:val="24"/>
        </w:rPr>
        <w:t>znacznej mierze stosowane będą przepisy ustawy</w:t>
      </w:r>
      <w:r w:rsidR="002161FE">
        <w:rPr>
          <w:rFonts w:ascii="Times New Roman" w:hAnsi="Times New Roman" w:cs="Times New Roman"/>
          <w:szCs w:val="24"/>
        </w:rPr>
        <w:t xml:space="preserve"> z </w:t>
      </w:r>
      <w:r w:rsidR="71AB10AA" w:rsidRPr="0024375B">
        <w:rPr>
          <w:rFonts w:ascii="Times New Roman" w:hAnsi="Times New Roman" w:cs="Times New Roman"/>
          <w:szCs w:val="24"/>
        </w:rPr>
        <w:t>dnia 13 kwietnia 2016 r</w:t>
      </w:r>
      <w:r w:rsidR="18ADAC51" w:rsidRPr="0024375B">
        <w:rPr>
          <w:rFonts w:ascii="Noto Sans" w:eastAsia="Noto Sans" w:hAnsi="Noto Sans" w:cs="Noto Sans"/>
          <w:b/>
          <w:color w:val="333333"/>
          <w:szCs w:val="24"/>
        </w:rPr>
        <w:t>.</w:t>
      </w:r>
      <w:r w:rsidR="0077165A">
        <w:rPr>
          <w:rFonts w:ascii="Times New Roman" w:hAnsi="Times New Roman" w:cs="Times New Roman"/>
          <w:szCs w:val="24"/>
        </w:rPr>
        <w:t xml:space="preserve"> o </w:t>
      </w:r>
      <w:r w:rsidR="00F6749E" w:rsidRPr="0024375B">
        <w:rPr>
          <w:rFonts w:ascii="Times New Roman" w:hAnsi="Times New Roman" w:cs="Times New Roman"/>
          <w:szCs w:val="24"/>
        </w:rPr>
        <w:t>systemie oceny zgodności</w:t>
      </w:r>
      <w:r w:rsidR="002161FE">
        <w:rPr>
          <w:rFonts w:ascii="Times New Roman" w:hAnsi="Times New Roman" w:cs="Times New Roman"/>
          <w:szCs w:val="24"/>
        </w:rPr>
        <w:t xml:space="preserve"> i </w:t>
      </w:r>
      <w:r w:rsidR="00F6749E" w:rsidRPr="0024375B">
        <w:rPr>
          <w:rFonts w:ascii="Times New Roman" w:hAnsi="Times New Roman" w:cs="Times New Roman"/>
          <w:szCs w:val="24"/>
        </w:rPr>
        <w:t>nadzoru rynku</w:t>
      </w:r>
      <w:r w:rsidR="57D1E6DF" w:rsidRPr="0024375B">
        <w:rPr>
          <w:rFonts w:ascii="Times New Roman" w:hAnsi="Times New Roman" w:cs="Times New Roman"/>
          <w:szCs w:val="24"/>
        </w:rPr>
        <w:t xml:space="preserve"> (</w:t>
      </w:r>
      <w:r w:rsidR="00FE53CE" w:rsidRPr="0024375B">
        <w:rPr>
          <w:rFonts w:ascii="Times New Roman" w:hAnsi="Times New Roman" w:cs="Times New Roman"/>
          <w:szCs w:val="24"/>
        </w:rPr>
        <w:t>Dz.</w:t>
      </w:r>
      <w:r w:rsidR="006A75AF" w:rsidRPr="0024375B">
        <w:rPr>
          <w:rFonts w:ascii="Times New Roman" w:hAnsi="Times New Roman" w:cs="Times New Roman"/>
          <w:szCs w:val="24"/>
        </w:rPr>
        <w:t xml:space="preserve"> </w:t>
      </w:r>
      <w:r w:rsidR="00FE53CE" w:rsidRPr="0024375B">
        <w:rPr>
          <w:rFonts w:ascii="Times New Roman" w:hAnsi="Times New Roman" w:cs="Times New Roman"/>
          <w:szCs w:val="24"/>
        </w:rPr>
        <w:t xml:space="preserve">U. 2022 r. poz. </w:t>
      </w:r>
      <w:r w:rsidR="00074E09">
        <w:rPr>
          <w:rFonts w:ascii="Times New Roman" w:hAnsi="Times New Roman" w:cs="Times New Roman"/>
          <w:szCs w:val="24"/>
        </w:rPr>
        <w:t>1854</w:t>
      </w:r>
      <w:r w:rsidR="57D1E6DF" w:rsidRPr="0024375B">
        <w:rPr>
          <w:rFonts w:ascii="Times New Roman" w:hAnsi="Times New Roman" w:cs="Times New Roman"/>
          <w:szCs w:val="24"/>
        </w:rPr>
        <w:t>)</w:t>
      </w:r>
      <w:r w:rsidR="00F6749E" w:rsidRPr="0024375B">
        <w:rPr>
          <w:rFonts w:ascii="Times New Roman" w:hAnsi="Times New Roman" w:cs="Times New Roman"/>
          <w:szCs w:val="24"/>
        </w:rPr>
        <w:t xml:space="preserve">. </w:t>
      </w:r>
      <w:r w:rsidR="63CBCFE7" w:rsidRPr="0024375B">
        <w:rPr>
          <w:szCs w:val="24"/>
        </w:rPr>
        <w:t>Stosowane przepisy proceduralne będą wi</w:t>
      </w:r>
      <w:r w:rsidR="008D77B9" w:rsidRPr="0024375B">
        <w:rPr>
          <w:szCs w:val="24"/>
        </w:rPr>
        <w:t>ęc dobrze znane</w:t>
      </w:r>
      <w:r w:rsidR="002161FE">
        <w:rPr>
          <w:szCs w:val="24"/>
        </w:rPr>
        <w:t xml:space="preserve"> i </w:t>
      </w:r>
      <w:r w:rsidR="008D77B9" w:rsidRPr="0024375B">
        <w:rPr>
          <w:szCs w:val="24"/>
        </w:rPr>
        <w:t>sprawdzone,</w:t>
      </w:r>
      <w:r w:rsidR="002161FE">
        <w:rPr>
          <w:szCs w:val="24"/>
        </w:rPr>
        <w:t xml:space="preserve"> a </w:t>
      </w:r>
      <w:r w:rsidR="63CBCFE7" w:rsidRPr="0024375B">
        <w:rPr>
          <w:szCs w:val="24"/>
        </w:rPr>
        <w:t>nowym elementem będą jedynie wymagania</w:t>
      </w:r>
      <w:r w:rsidR="00410150" w:rsidRPr="0024375B">
        <w:rPr>
          <w:szCs w:val="24"/>
        </w:rPr>
        <w:t xml:space="preserve"> określane dla każdego</w:t>
      </w:r>
      <w:r w:rsidR="002161FE">
        <w:rPr>
          <w:szCs w:val="24"/>
        </w:rPr>
        <w:t xml:space="preserve"> z </w:t>
      </w:r>
      <w:r w:rsidR="00410150" w:rsidRPr="0024375B">
        <w:rPr>
          <w:szCs w:val="24"/>
        </w:rPr>
        <w:t>poziomów zaufania.</w:t>
      </w:r>
    </w:p>
    <w:p w14:paraId="5C081AD5" w14:textId="77777777" w:rsidR="00F6749E" w:rsidRPr="0024375B" w:rsidRDefault="00F6749E" w:rsidP="00FC6B8C">
      <w:pPr>
        <w:pStyle w:val="NIEARTTEKSTtekstnieartykuowanynppodstprawnarozplubpreambua"/>
        <w:rPr>
          <w:rFonts w:ascii="Times New Roman" w:hAnsi="Times New Roman" w:cs="Times New Roman"/>
          <w:szCs w:val="24"/>
        </w:rPr>
      </w:pPr>
      <w:r w:rsidRPr="0024375B">
        <w:rPr>
          <w:rFonts w:ascii="Times New Roman" w:hAnsi="Times New Roman" w:cs="Times New Roman"/>
          <w:szCs w:val="24"/>
        </w:rPr>
        <w:t>Podjęcie prac związanych</w:t>
      </w:r>
      <w:r w:rsidR="002161FE">
        <w:rPr>
          <w:rFonts w:ascii="Times New Roman" w:hAnsi="Times New Roman" w:cs="Times New Roman"/>
          <w:szCs w:val="24"/>
        </w:rPr>
        <w:t xml:space="preserve"> z </w:t>
      </w:r>
      <w:r w:rsidRPr="0024375B">
        <w:rPr>
          <w:rFonts w:ascii="Times New Roman" w:hAnsi="Times New Roman" w:cs="Times New Roman"/>
          <w:szCs w:val="24"/>
        </w:rPr>
        <w:t>utworzeniem krajowego systemu certyfikacji cyberbezpieczeństwa wynika</w:t>
      </w:r>
      <w:r w:rsidR="002161FE">
        <w:rPr>
          <w:rFonts w:ascii="Times New Roman" w:hAnsi="Times New Roman" w:cs="Times New Roman"/>
          <w:szCs w:val="24"/>
        </w:rPr>
        <w:t xml:space="preserve"> z </w:t>
      </w:r>
      <w:r w:rsidR="004F454E" w:rsidRPr="0024375B">
        <w:rPr>
          <w:rFonts w:ascii="Times New Roman" w:hAnsi="Times New Roman" w:cs="Times New Roman"/>
          <w:szCs w:val="24"/>
        </w:rPr>
        <w:t xml:space="preserve">jednej strony </w:t>
      </w:r>
      <w:r w:rsidRPr="0024375B">
        <w:rPr>
          <w:rFonts w:ascii="Times New Roman" w:hAnsi="Times New Roman" w:cs="Times New Roman"/>
          <w:szCs w:val="24"/>
        </w:rPr>
        <w:t>zarówno</w:t>
      </w:r>
      <w:r w:rsidR="002161FE">
        <w:rPr>
          <w:rFonts w:ascii="Times New Roman" w:hAnsi="Times New Roman" w:cs="Times New Roman"/>
          <w:szCs w:val="24"/>
        </w:rPr>
        <w:t xml:space="preserve"> z </w:t>
      </w:r>
      <w:r w:rsidRPr="0024375B">
        <w:rPr>
          <w:rFonts w:ascii="Times New Roman" w:hAnsi="Times New Roman" w:cs="Times New Roman"/>
          <w:szCs w:val="24"/>
        </w:rPr>
        <w:t xml:space="preserve">potrzeby </w:t>
      </w:r>
      <w:r w:rsidR="004F454E" w:rsidRPr="0024375B">
        <w:rPr>
          <w:rFonts w:ascii="Times New Roman" w:hAnsi="Times New Roman" w:cs="Times New Roman"/>
          <w:szCs w:val="24"/>
        </w:rPr>
        <w:t xml:space="preserve">dania </w:t>
      </w:r>
      <w:r w:rsidRPr="0024375B">
        <w:rPr>
          <w:rFonts w:ascii="Times New Roman" w:hAnsi="Times New Roman" w:cs="Times New Roman"/>
          <w:szCs w:val="24"/>
        </w:rPr>
        <w:t>impulsu do rozwoju rynku</w:t>
      </w:r>
      <w:r w:rsidR="00EA1900">
        <w:rPr>
          <w:rFonts w:ascii="Times New Roman" w:hAnsi="Times New Roman" w:cs="Times New Roman"/>
          <w:szCs w:val="24"/>
        </w:rPr>
        <w:t xml:space="preserve"> w </w:t>
      </w:r>
      <w:r w:rsidR="002E1FA3" w:rsidRPr="0024375B">
        <w:rPr>
          <w:rFonts w:ascii="Times New Roman" w:hAnsi="Times New Roman" w:cs="Times New Roman"/>
          <w:szCs w:val="24"/>
        </w:rPr>
        <w:t xml:space="preserve">obszarze </w:t>
      </w:r>
      <w:r w:rsidRPr="0024375B">
        <w:rPr>
          <w:rFonts w:ascii="Times New Roman" w:hAnsi="Times New Roman" w:cs="Times New Roman"/>
          <w:szCs w:val="24"/>
        </w:rPr>
        <w:t>certyfikacji</w:t>
      </w:r>
      <w:r w:rsidR="004F454E" w:rsidRPr="0024375B">
        <w:rPr>
          <w:rFonts w:ascii="Times New Roman" w:hAnsi="Times New Roman" w:cs="Times New Roman"/>
          <w:szCs w:val="24"/>
        </w:rPr>
        <w:t>, jak</w:t>
      </w:r>
      <w:r w:rsidR="002161FE">
        <w:rPr>
          <w:rFonts w:ascii="Times New Roman" w:hAnsi="Times New Roman" w:cs="Times New Roman"/>
          <w:szCs w:val="24"/>
        </w:rPr>
        <w:t xml:space="preserve"> i </w:t>
      </w:r>
      <w:r w:rsidRPr="0024375B">
        <w:rPr>
          <w:rFonts w:ascii="Times New Roman" w:hAnsi="Times New Roman" w:cs="Times New Roman"/>
          <w:szCs w:val="24"/>
        </w:rPr>
        <w:t>zapewnienie bezpiecznych technologii dla zainteresowanych, a</w:t>
      </w:r>
      <w:r w:rsidR="002161FE">
        <w:rPr>
          <w:rFonts w:ascii="Times New Roman" w:hAnsi="Times New Roman" w:cs="Times New Roman"/>
          <w:szCs w:val="24"/>
        </w:rPr>
        <w:t xml:space="preserve"> z </w:t>
      </w:r>
      <w:r w:rsidRPr="0024375B">
        <w:rPr>
          <w:rFonts w:ascii="Times New Roman" w:hAnsi="Times New Roman" w:cs="Times New Roman"/>
          <w:szCs w:val="24"/>
        </w:rPr>
        <w:t>drugiej strony</w:t>
      </w:r>
      <w:r w:rsidR="008D77B9" w:rsidRPr="0024375B">
        <w:rPr>
          <w:rFonts w:ascii="Times New Roman" w:hAnsi="Times New Roman" w:cs="Times New Roman"/>
          <w:szCs w:val="24"/>
        </w:rPr>
        <w:t>,</w:t>
      </w:r>
      <w:r w:rsidR="002161FE">
        <w:rPr>
          <w:rFonts w:ascii="Times New Roman" w:hAnsi="Times New Roman" w:cs="Times New Roman"/>
          <w:szCs w:val="24"/>
        </w:rPr>
        <w:t xml:space="preserve"> z </w:t>
      </w:r>
      <w:r w:rsidRPr="0024375B">
        <w:rPr>
          <w:rFonts w:ascii="Times New Roman" w:hAnsi="Times New Roman" w:cs="Times New Roman"/>
          <w:szCs w:val="24"/>
        </w:rPr>
        <w:t xml:space="preserve">konieczności wdrożenia do polskiego porządku prawnego </w:t>
      </w:r>
      <w:r w:rsidR="003A6DBF" w:rsidRPr="0024375B">
        <w:rPr>
          <w:rFonts w:ascii="Times New Roman" w:hAnsi="Times New Roman" w:cs="Times New Roman"/>
          <w:szCs w:val="24"/>
        </w:rPr>
        <w:t>A</w:t>
      </w:r>
      <w:r w:rsidRPr="0024375B">
        <w:rPr>
          <w:rFonts w:ascii="Times New Roman" w:hAnsi="Times New Roman" w:cs="Times New Roman"/>
          <w:szCs w:val="24"/>
        </w:rPr>
        <w:t>ktu</w:t>
      </w:r>
      <w:r w:rsidR="0077165A">
        <w:rPr>
          <w:rFonts w:ascii="Times New Roman" w:hAnsi="Times New Roman" w:cs="Times New Roman"/>
          <w:szCs w:val="24"/>
        </w:rPr>
        <w:t xml:space="preserve"> o </w:t>
      </w:r>
      <w:r w:rsidR="00074E09">
        <w:rPr>
          <w:rFonts w:ascii="Times New Roman" w:hAnsi="Times New Roman" w:cs="Times New Roman"/>
          <w:szCs w:val="24"/>
        </w:rPr>
        <w:t>c</w:t>
      </w:r>
      <w:r w:rsidR="008F7ED7" w:rsidRPr="0024375B">
        <w:rPr>
          <w:rFonts w:ascii="Times New Roman" w:hAnsi="Times New Roman" w:cs="Times New Roman"/>
          <w:szCs w:val="24"/>
        </w:rPr>
        <w:t>yberbezpieczeństwie</w:t>
      </w:r>
      <w:r w:rsidR="003B0A7B" w:rsidRPr="0024375B">
        <w:rPr>
          <w:rFonts w:ascii="Times New Roman" w:hAnsi="Times New Roman" w:cs="Times New Roman"/>
          <w:szCs w:val="24"/>
        </w:rPr>
        <w:t>.</w:t>
      </w:r>
    </w:p>
    <w:p w14:paraId="3DFA4574" w14:textId="77777777" w:rsidR="00575590" w:rsidRPr="0024375B" w:rsidRDefault="00575590" w:rsidP="0024375B">
      <w:pPr>
        <w:pStyle w:val="NIEARTTEKSTtekstnieartykuowanynppodstprawnarozplubpreambua"/>
        <w:spacing w:before="0" w:after="240"/>
        <w:rPr>
          <w:bCs w:val="0"/>
          <w:szCs w:val="24"/>
          <w:u w:val="single"/>
        </w:rPr>
      </w:pPr>
      <w:r w:rsidRPr="0024375B">
        <w:rPr>
          <w:bCs w:val="0"/>
          <w:szCs w:val="24"/>
          <w:u w:val="single"/>
        </w:rPr>
        <w:t>Strategiczna sieć bezpieczeństwa</w:t>
      </w:r>
    </w:p>
    <w:p w14:paraId="45475872" w14:textId="77777777" w:rsidR="008D77B9" w:rsidRPr="00FC6B8C" w:rsidRDefault="00470A32" w:rsidP="00FC6B8C">
      <w:pPr>
        <w:pStyle w:val="NIEARTTEKSTtekstnieartykuowanynppodstprawnarozplubpreambua"/>
      </w:pPr>
      <w:r w:rsidRPr="00FC6B8C">
        <w:t>Dotychczasowe doświadczenia, jak również różnorodność stosowanych rozwiązań,</w:t>
      </w:r>
      <w:r w:rsidR="002161FE" w:rsidRPr="00FC6B8C">
        <w:t xml:space="preserve"> a </w:t>
      </w:r>
      <w:r w:rsidRPr="00FC6B8C">
        <w:t xml:space="preserve">co za tym idzie rozproszenie środków, które są wykorzystywane do modernizacji istniejących sieci telekomunikacyjnych, </w:t>
      </w:r>
      <w:r w:rsidRPr="00FC6B8C">
        <w:lastRenderedPageBreak/>
        <w:t xml:space="preserve">wykorzystywanych na </w:t>
      </w:r>
      <w:r w:rsidR="00691D64" w:rsidRPr="00FC6B8C">
        <w:t>potrzeby realizacji zadań na rzecz obronności, bezpieczeństwa państwa oraz bezpieczeństwa</w:t>
      </w:r>
      <w:r w:rsidR="002161FE" w:rsidRPr="00FC6B8C">
        <w:t xml:space="preserve"> i </w:t>
      </w:r>
      <w:r w:rsidR="00691D64" w:rsidRPr="00FC6B8C">
        <w:t>porządku publicznego przez kluczowe urzędy</w:t>
      </w:r>
      <w:r w:rsidR="002161FE" w:rsidRPr="00FC6B8C">
        <w:t xml:space="preserve"> i </w:t>
      </w:r>
      <w:r w:rsidR="00691D64" w:rsidRPr="00FC6B8C">
        <w:t>podmioty działające</w:t>
      </w:r>
      <w:r w:rsidR="00EA1900" w:rsidRPr="00FC6B8C">
        <w:t xml:space="preserve"> w </w:t>
      </w:r>
      <w:r w:rsidR="00691D64" w:rsidRPr="00FC6B8C">
        <w:t>Rzeczypospolitej Polskiej</w:t>
      </w:r>
      <w:r w:rsidR="008D77B9" w:rsidRPr="00FC6B8C">
        <w:t xml:space="preserve"> wskazują na konieczność </w:t>
      </w:r>
      <w:r w:rsidRPr="00FC6B8C">
        <w:t>uruchomieni</w:t>
      </w:r>
      <w:r w:rsidR="008D77B9" w:rsidRPr="00FC6B8C">
        <w:t>a</w:t>
      </w:r>
      <w:r w:rsidR="00DB44AE" w:rsidRPr="00FC6B8C">
        <w:t xml:space="preserve"> </w:t>
      </w:r>
      <w:r w:rsidRPr="00FC6B8C">
        <w:t>bezpie</w:t>
      </w:r>
      <w:r w:rsidR="00691D64" w:rsidRPr="00FC6B8C">
        <w:t>cznej sieci telekomunikacyjnej</w:t>
      </w:r>
      <w:r w:rsidR="008D77B9" w:rsidRPr="00FC6B8C">
        <w:t>.</w:t>
      </w:r>
    </w:p>
    <w:p w14:paraId="5D18D711" w14:textId="77777777" w:rsidR="008D77B9" w:rsidRPr="0024375B" w:rsidRDefault="008D77B9" w:rsidP="0024375B">
      <w:pPr>
        <w:pStyle w:val="NIEARTTEKSTtekstnieartykuowanynppodstprawnarozplubpreambua"/>
        <w:spacing w:before="0"/>
        <w:ind w:firstLine="567"/>
        <w:rPr>
          <w:bCs w:val="0"/>
          <w:szCs w:val="24"/>
        </w:rPr>
      </w:pPr>
      <w:r w:rsidRPr="0024375B">
        <w:rPr>
          <w:bCs w:val="0"/>
          <w:szCs w:val="24"/>
          <w:u w:val="single"/>
        </w:rPr>
        <w:t>Szczególne zasady przeznaczania określonego zasobu</w:t>
      </w:r>
      <w:r w:rsidR="002161FE">
        <w:rPr>
          <w:bCs w:val="0"/>
          <w:szCs w:val="24"/>
          <w:u w:val="single"/>
        </w:rPr>
        <w:t xml:space="preserve"> z </w:t>
      </w:r>
      <w:r w:rsidRPr="0024375B">
        <w:rPr>
          <w:bCs w:val="0"/>
          <w:szCs w:val="24"/>
          <w:u w:val="single"/>
        </w:rPr>
        <w:t>pasma 700 MHz</w:t>
      </w:r>
    </w:p>
    <w:p w14:paraId="1CFF9639" w14:textId="77777777" w:rsidR="00ED7724" w:rsidRPr="00FC6B8C" w:rsidRDefault="00591A2C" w:rsidP="00FC6B8C">
      <w:pPr>
        <w:pStyle w:val="NIEARTTEKSTtekstnieartykuowanynppodstprawnarozplubpreambua"/>
      </w:pPr>
      <w:r w:rsidRPr="00FC6B8C">
        <w:t>D</w:t>
      </w:r>
      <w:r w:rsidR="00ED7724" w:rsidRPr="00FC6B8C">
        <w:t>ecyzja harmonizacyjna (Decyzja Parlamentu Europejskiego</w:t>
      </w:r>
      <w:r w:rsidR="002161FE" w:rsidRPr="00FC6B8C">
        <w:t xml:space="preserve"> i </w:t>
      </w:r>
      <w:r w:rsidR="00ED7724" w:rsidRPr="00FC6B8C">
        <w:t>Rady (UE) 2017/899</w:t>
      </w:r>
      <w:r w:rsidR="002161FE" w:rsidRPr="00FC6B8C">
        <w:t xml:space="preserve"> z </w:t>
      </w:r>
      <w:r w:rsidR="00ED7724" w:rsidRPr="00FC6B8C">
        <w:t>dnia 17 maja 2017 r.</w:t>
      </w:r>
      <w:r w:rsidR="00EA1900" w:rsidRPr="00FC6B8C">
        <w:t xml:space="preserve"> w </w:t>
      </w:r>
      <w:r w:rsidR="00ED7724" w:rsidRPr="00FC6B8C">
        <w:t>sprawie wykorzystywania zakre</w:t>
      </w:r>
      <w:r w:rsidRPr="00FC6B8C">
        <w:t>su częstotliwości 470–790 MHz</w:t>
      </w:r>
      <w:r w:rsidR="00EA1900" w:rsidRPr="00FC6B8C">
        <w:t xml:space="preserve"> w </w:t>
      </w:r>
      <w:r w:rsidR="00ED7724" w:rsidRPr="00FC6B8C">
        <w:t>Unii) wskazuje</w:t>
      </w:r>
      <w:r w:rsidRPr="00FC6B8C">
        <w:t xml:space="preserve"> wyraźnie</w:t>
      </w:r>
      <w:r w:rsidR="00ED7724" w:rsidRPr="00FC6B8C">
        <w:t>, że nie naruszając prawa państw członkowskich do organizowania</w:t>
      </w:r>
      <w:r w:rsidR="002161FE" w:rsidRPr="00FC6B8C">
        <w:t xml:space="preserve"> i </w:t>
      </w:r>
      <w:r w:rsidR="00ED7724" w:rsidRPr="00FC6B8C">
        <w:t xml:space="preserve">użytkowania swojego widma radiowego do celów bezpieczeństwa publicznego oraz obronności, jeżeli została wdrożona łączność radiowa </w:t>
      </w:r>
      <w:r w:rsidRPr="00FC6B8C">
        <w:t>Public Protection &amp; Disaster Relief (</w:t>
      </w:r>
      <w:r w:rsidR="00ED7724" w:rsidRPr="00FC6B8C">
        <w:t>PPDR</w:t>
      </w:r>
      <w:r w:rsidRPr="00FC6B8C">
        <w:t>)</w:t>
      </w:r>
      <w:r w:rsidR="00ED7724" w:rsidRPr="00FC6B8C">
        <w:t>, należy stosować warunki techniczne dla bezprzewodowych usług szerokopasmowej łączności elektronicznej określonych dla aranżacji podstawowej. Państwa członkowskie mogą więc dokonać przeznaczenia określonego zasobu</w:t>
      </w:r>
      <w:r w:rsidR="002161FE" w:rsidRPr="00FC6B8C">
        <w:t xml:space="preserve"> z </w:t>
      </w:r>
      <w:r w:rsidR="00ED7724" w:rsidRPr="00FC6B8C">
        <w:t>pasma 700 MHz zgodnie</w:t>
      </w:r>
      <w:r w:rsidR="002161FE" w:rsidRPr="00FC6B8C">
        <w:t xml:space="preserve"> z </w:t>
      </w:r>
      <w:r w:rsidR="00ED7724" w:rsidRPr="00FC6B8C">
        <w:t>wytycznymi wskazanymi</w:t>
      </w:r>
      <w:r w:rsidR="00EA1900" w:rsidRPr="00FC6B8C">
        <w:t xml:space="preserve"> w </w:t>
      </w:r>
      <w:r w:rsidR="00ED7724" w:rsidRPr="00FC6B8C">
        <w:t>Decyzji harmonizacyjnej.</w:t>
      </w:r>
    </w:p>
    <w:p w14:paraId="1432C387" w14:textId="77777777" w:rsidR="00F6749E" w:rsidRPr="0024375B" w:rsidRDefault="00F6749E" w:rsidP="0024375B">
      <w:pPr>
        <w:pStyle w:val="NIEARTTEKSTtekstnieartykuowanynppodstprawnarozplubpreambua"/>
        <w:spacing w:after="240"/>
        <w:rPr>
          <w:rFonts w:ascii="Times New Roman" w:hAnsi="Times New Roman" w:cs="Times New Roman"/>
          <w:szCs w:val="24"/>
          <w:u w:val="single"/>
        </w:rPr>
      </w:pPr>
      <w:r w:rsidRPr="0024375B">
        <w:rPr>
          <w:rFonts w:ascii="Times New Roman" w:hAnsi="Times New Roman" w:cs="Times New Roman"/>
          <w:b/>
          <w:szCs w:val="24"/>
          <w:u w:val="single"/>
        </w:rPr>
        <w:t>Zgodność projektu ustawy</w:t>
      </w:r>
      <w:r w:rsidR="002161FE">
        <w:rPr>
          <w:rFonts w:ascii="Times New Roman" w:hAnsi="Times New Roman" w:cs="Times New Roman"/>
          <w:b/>
          <w:szCs w:val="24"/>
          <w:u w:val="single"/>
        </w:rPr>
        <w:t xml:space="preserve"> z </w:t>
      </w:r>
      <w:r w:rsidRPr="0024375B">
        <w:rPr>
          <w:rFonts w:ascii="Times New Roman" w:hAnsi="Times New Roman" w:cs="Times New Roman"/>
          <w:b/>
          <w:szCs w:val="24"/>
          <w:u w:val="single"/>
        </w:rPr>
        <w:t>celami strategicznymi Rady Ministrów</w:t>
      </w:r>
    </w:p>
    <w:p w14:paraId="7A83DC12" w14:textId="07D4090D" w:rsidR="00F6749E" w:rsidRPr="0024375B" w:rsidRDefault="00F6749E" w:rsidP="00FC6B8C">
      <w:pPr>
        <w:pStyle w:val="NIEARTTEKSTtekstnieartykuowanynppodstprawnarozplubpreambua"/>
      </w:pPr>
      <w:r w:rsidRPr="0024375B">
        <w:t>Projekt ustawy służy realizacji celów Strategii Cyberbezpieczeństwa Rzeczypospolitej Polskiej na lata 2019</w:t>
      </w:r>
      <w:r w:rsidR="00074E09">
        <w:t>–</w:t>
      </w:r>
      <w:r w:rsidRPr="0024375B">
        <w:t>2024</w:t>
      </w:r>
      <w:r w:rsidR="004D5B52">
        <w:t>, zwanej dalej „Strategią”</w:t>
      </w:r>
      <w:r w:rsidR="00B15FF4" w:rsidRPr="0024375B">
        <w:t>,</w:t>
      </w:r>
      <w:r w:rsidRPr="0024375B">
        <w:t xml:space="preserve"> jakim</w:t>
      </w:r>
      <w:r w:rsidR="00696AC0" w:rsidRPr="0024375B">
        <w:t>i</w:t>
      </w:r>
      <w:r w:rsidRPr="0024375B">
        <w:t xml:space="preserve"> </w:t>
      </w:r>
      <w:r w:rsidR="00696AC0" w:rsidRPr="0024375B">
        <w:t xml:space="preserve">są </w:t>
      </w:r>
      <w:r w:rsidRPr="0024375B">
        <w:t>podniesienie poziomu odporności na cyberzagrożenia oraz poziomu ochrony informacji</w:t>
      </w:r>
      <w:r w:rsidR="00EA1900">
        <w:t xml:space="preserve"> w </w:t>
      </w:r>
      <w:r w:rsidRPr="0024375B">
        <w:t>sektorach: publicznym, militarnym</w:t>
      </w:r>
      <w:r w:rsidR="002161FE">
        <w:t xml:space="preserve"> i </w:t>
      </w:r>
      <w:r w:rsidRPr="0024375B">
        <w:t xml:space="preserve">prywatnym. </w:t>
      </w:r>
      <w:r w:rsidR="00696AC0" w:rsidRPr="0024375B">
        <w:t>Projekt r</w:t>
      </w:r>
      <w:r w:rsidRPr="0024375B">
        <w:t xml:space="preserve">ealizuje także cel szczegółowy </w:t>
      </w:r>
      <w:r w:rsidR="00B15FF4" w:rsidRPr="0024375B">
        <w:t>Strategii,</w:t>
      </w:r>
      <w:r w:rsidRPr="0024375B">
        <w:t xml:space="preserve"> </w:t>
      </w:r>
      <w:r w:rsidR="00696AC0" w:rsidRPr="0024375B">
        <w:t>odnoszący się do</w:t>
      </w:r>
      <w:r w:rsidRPr="0024375B">
        <w:t xml:space="preserve"> rozwoju krajowego systemu cyberbezpieczeństwa poprzez ewaluację przepisów </w:t>
      </w:r>
      <w:r w:rsidR="00B15FF4" w:rsidRPr="0024375B">
        <w:t xml:space="preserve">prawa </w:t>
      </w:r>
      <w:r w:rsidRPr="0024375B">
        <w:t>dotyczących cyberbezpieczeństwa. Ponadto</w:t>
      </w:r>
      <w:r w:rsidR="00696AC0" w:rsidRPr="0024375B">
        <w:t>,</w:t>
      </w:r>
      <w:r w:rsidRPr="0024375B">
        <w:t xml:space="preserve"> projekt realizuje cele Strategii</w:t>
      </w:r>
      <w:r w:rsidR="00EA1900">
        <w:t xml:space="preserve"> w </w:t>
      </w:r>
      <w:r w:rsidRPr="0024375B">
        <w:t>odniesieniu do zapewnieni</w:t>
      </w:r>
      <w:r w:rsidR="00696AC0" w:rsidRPr="0024375B">
        <w:t>a</w:t>
      </w:r>
      <w:r w:rsidRPr="0024375B">
        <w:t xml:space="preserve"> bezpieczeństwa łańcucha dostaw</w:t>
      </w:r>
      <w:r w:rsidR="002161FE">
        <w:t xml:space="preserve"> i </w:t>
      </w:r>
      <w:r w:rsidRPr="0024375B">
        <w:t xml:space="preserve">utworzenia krajowego systemu certyfikacji cyberbezpieczeństwa. </w:t>
      </w:r>
    </w:p>
    <w:p w14:paraId="2F9E8A10" w14:textId="77777777" w:rsidR="00744E25" w:rsidRPr="0024375B" w:rsidRDefault="00744E25" w:rsidP="00FC6B8C">
      <w:pPr>
        <w:pStyle w:val="NIEARTTEKSTtekstnieartykuowanynppodstprawnarozplubpreambua"/>
      </w:pPr>
      <w:r w:rsidRPr="0024375B">
        <w:t>Jednocześnie wprowadzenie</w:t>
      </w:r>
      <w:r w:rsidR="00EA1900">
        <w:t xml:space="preserve"> w </w:t>
      </w:r>
      <w:r w:rsidRPr="0024375B">
        <w:t>życie projektowanych zmian</w:t>
      </w:r>
      <w:r w:rsidR="00EA1900">
        <w:t xml:space="preserve"> w </w:t>
      </w:r>
      <w:r w:rsidRPr="0024375B">
        <w:t>ustawie</w:t>
      </w:r>
      <w:r w:rsidR="0077165A">
        <w:t xml:space="preserve"> o </w:t>
      </w:r>
      <w:r w:rsidRPr="0024375B">
        <w:t xml:space="preserve">krajowym systemie cyberbezpieczeństwa </w:t>
      </w:r>
      <w:r w:rsidR="00B36FD6">
        <w:t>zrealizuje</w:t>
      </w:r>
      <w:r w:rsidRPr="0024375B">
        <w:t xml:space="preserve"> kamień milowy reformy C3.1. Krajowego Planu Odbudowy</w:t>
      </w:r>
      <w:r w:rsidR="00B36FD6">
        <w:t>. Zgodnie</w:t>
      </w:r>
      <w:r w:rsidR="002161FE">
        <w:t xml:space="preserve"> z </w:t>
      </w:r>
      <w:r w:rsidR="00B36FD6">
        <w:t>tym wymogiem</w:t>
      </w:r>
      <w:r w:rsidR="00B36FD6" w:rsidRPr="0024375B">
        <w:t xml:space="preserve"> </w:t>
      </w:r>
      <w:r w:rsidR="00217546">
        <w:t>wprowadzone zostaną ramy prawne umożliwiające</w:t>
      </w:r>
      <w:r w:rsidRPr="0024375B">
        <w:t xml:space="preserve"> tworzenie sektorowych sieci zespołów reagowania na incydenty bezpieczeństwa komputerowego (CSIRT), tworzenie Centrów Wymiany</w:t>
      </w:r>
      <w:r w:rsidR="002161FE">
        <w:t xml:space="preserve"> i </w:t>
      </w:r>
      <w:r w:rsidRPr="0024375B">
        <w:t>Analizy Informacji (ISAC) oraz wzmocni mechanizmy współpracy administracji rządowej</w:t>
      </w:r>
      <w:r w:rsidR="002161FE">
        <w:t xml:space="preserve"> z </w:t>
      </w:r>
      <w:r w:rsidRPr="0024375B">
        <w:t>jednostkami samorządu terytorialnego</w:t>
      </w:r>
      <w:r w:rsidR="00EA1900">
        <w:t xml:space="preserve"> w </w:t>
      </w:r>
      <w:r w:rsidRPr="0024375B">
        <w:t xml:space="preserve">zakresie reagowania na incydenty bezpieczeństwa. </w:t>
      </w:r>
    </w:p>
    <w:p w14:paraId="70235476" w14:textId="77777777" w:rsidR="00667273" w:rsidRPr="0024375B" w:rsidRDefault="00F6749E" w:rsidP="0024375B">
      <w:pPr>
        <w:pStyle w:val="ARTartustawynprozporzdzenia"/>
        <w:spacing w:after="240"/>
        <w:ind w:left="567" w:firstLine="0"/>
        <w:rPr>
          <w:rFonts w:ascii="Times New Roman" w:hAnsi="Times New Roman" w:cs="Times New Roman"/>
          <w:color w:val="000000"/>
          <w:szCs w:val="24"/>
          <w:u w:val="single"/>
          <w:shd w:val="clear" w:color="auto" w:fill="FFFFFF"/>
        </w:rPr>
      </w:pPr>
      <w:r w:rsidRPr="0024375B">
        <w:rPr>
          <w:rFonts w:ascii="Times New Roman" w:hAnsi="Times New Roman" w:cs="Times New Roman"/>
          <w:b/>
          <w:szCs w:val="24"/>
          <w:u w:val="single"/>
        </w:rPr>
        <w:t>Zmiany wprowadzane do krajowego systemu cyberbezpieczeństwa</w:t>
      </w:r>
    </w:p>
    <w:p w14:paraId="166C2C1B" w14:textId="77777777" w:rsidR="00F6749E" w:rsidRPr="0024375B" w:rsidRDefault="00F6749E" w:rsidP="0024375B">
      <w:pPr>
        <w:pStyle w:val="NIEARTTEKSTtekstnieartykuowanynppodstprawnarozplubpreambua"/>
        <w:spacing w:before="0" w:after="240"/>
        <w:rPr>
          <w:rFonts w:ascii="Times New Roman" w:hAnsi="Times New Roman" w:cs="Times New Roman"/>
          <w:szCs w:val="24"/>
          <w:u w:val="single"/>
        </w:rPr>
      </w:pPr>
      <w:r w:rsidRPr="0024375B">
        <w:rPr>
          <w:rFonts w:ascii="Times New Roman" w:hAnsi="Times New Roman" w:cs="Times New Roman"/>
          <w:szCs w:val="24"/>
          <w:u w:val="single"/>
        </w:rPr>
        <w:t>CSIRT sektorowy</w:t>
      </w:r>
    </w:p>
    <w:p w14:paraId="4EE4B763" w14:textId="77777777" w:rsidR="00F6749E" w:rsidRPr="0024375B" w:rsidRDefault="003B40D1"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S</w:t>
      </w:r>
      <w:r w:rsidR="00F6749E" w:rsidRPr="0024375B">
        <w:rPr>
          <w:rFonts w:ascii="Times New Roman" w:hAnsi="Times New Roman" w:cs="Times New Roman"/>
          <w:szCs w:val="24"/>
        </w:rPr>
        <w:t>ektorow</w:t>
      </w:r>
      <w:r w:rsidRPr="0024375B">
        <w:rPr>
          <w:rFonts w:ascii="Times New Roman" w:hAnsi="Times New Roman" w:cs="Times New Roman"/>
          <w:szCs w:val="24"/>
        </w:rPr>
        <w:t>y</w:t>
      </w:r>
      <w:r w:rsidR="00F6749E" w:rsidRPr="0024375B">
        <w:rPr>
          <w:rFonts w:ascii="Times New Roman" w:hAnsi="Times New Roman" w:cs="Times New Roman"/>
          <w:szCs w:val="24"/>
        </w:rPr>
        <w:t xml:space="preserve"> </w:t>
      </w:r>
      <w:r w:rsidRPr="0024375B">
        <w:rPr>
          <w:rFonts w:ascii="Times New Roman" w:hAnsi="Times New Roman" w:cs="Times New Roman"/>
          <w:szCs w:val="24"/>
        </w:rPr>
        <w:t xml:space="preserve">zespół </w:t>
      </w:r>
      <w:r w:rsidR="00F6749E" w:rsidRPr="0024375B">
        <w:rPr>
          <w:rFonts w:ascii="Times New Roman" w:hAnsi="Times New Roman" w:cs="Times New Roman"/>
          <w:szCs w:val="24"/>
        </w:rPr>
        <w:t xml:space="preserve">cyberbezpieczeństwa </w:t>
      </w:r>
      <w:r w:rsidRPr="0024375B">
        <w:rPr>
          <w:rFonts w:ascii="Times New Roman" w:hAnsi="Times New Roman" w:cs="Times New Roman"/>
          <w:szCs w:val="24"/>
        </w:rPr>
        <w:t>zastąpiono</w:t>
      </w:r>
      <w:r w:rsidR="00F6749E" w:rsidRPr="0024375B">
        <w:rPr>
          <w:rFonts w:ascii="Times New Roman" w:hAnsi="Times New Roman" w:cs="Times New Roman"/>
          <w:szCs w:val="24"/>
        </w:rPr>
        <w:t xml:space="preserve"> CSIRT sektorowy</w:t>
      </w:r>
      <w:r w:rsidRPr="0024375B">
        <w:rPr>
          <w:rFonts w:ascii="Times New Roman" w:hAnsi="Times New Roman" w:cs="Times New Roman"/>
          <w:szCs w:val="24"/>
        </w:rPr>
        <w:t>m</w:t>
      </w:r>
      <w:r w:rsidR="00CF27DD" w:rsidRPr="0024375B">
        <w:rPr>
          <w:rFonts w:ascii="Times New Roman" w:hAnsi="Times New Roman" w:cs="Times New Roman"/>
          <w:szCs w:val="24"/>
        </w:rPr>
        <w:t>i.</w:t>
      </w:r>
      <w:r w:rsidR="00116933">
        <w:rPr>
          <w:rFonts w:ascii="Times New Roman" w:hAnsi="Times New Roman" w:cs="Times New Roman"/>
          <w:szCs w:val="24"/>
        </w:rPr>
        <w:t xml:space="preserve"> W </w:t>
      </w:r>
      <w:r w:rsidR="00CF27DD" w:rsidRPr="0024375B">
        <w:rPr>
          <w:rFonts w:ascii="Times New Roman" w:hAnsi="Times New Roman" w:cs="Times New Roman"/>
          <w:szCs w:val="24"/>
        </w:rPr>
        <w:t>przeciwieństwie do </w:t>
      </w:r>
      <w:r w:rsidR="00F6749E" w:rsidRPr="0024375B">
        <w:rPr>
          <w:rFonts w:ascii="Times New Roman" w:hAnsi="Times New Roman" w:cs="Times New Roman"/>
          <w:szCs w:val="24"/>
        </w:rPr>
        <w:t>dotychczasowego, fakultatywnego trybu ustanawiania zespołu,</w:t>
      </w:r>
      <w:r w:rsidR="00EA1900">
        <w:rPr>
          <w:rFonts w:ascii="Times New Roman" w:hAnsi="Times New Roman" w:cs="Times New Roman"/>
          <w:szCs w:val="24"/>
        </w:rPr>
        <w:t xml:space="preserve"> w </w:t>
      </w:r>
      <w:r w:rsidR="00F6749E" w:rsidRPr="0024375B">
        <w:rPr>
          <w:rFonts w:ascii="Times New Roman" w:hAnsi="Times New Roman" w:cs="Times New Roman"/>
          <w:szCs w:val="24"/>
        </w:rPr>
        <w:t xml:space="preserve">projekcie przewidziano obowiązek ustanowienia </w:t>
      </w:r>
      <w:r w:rsidR="009373E3" w:rsidRPr="0024375B">
        <w:rPr>
          <w:rFonts w:ascii="Times New Roman" w:hAnsi="Times New Roman" w:cs="Times New Roman"/>
          <w:szCs w:val="24"/>
        </w:rPr>
        <w:t xml:space="preserve">przez organ właściwy </w:t>
      </w:r>
      <w:r w:rsidR="00F6749E" w:rsidRPr="0024375B">
        <w:rPr>
          <w:rFonts w:ascii="Times New Roman" w:hAnsi="Times New Roman" w:cs="Times New Roman"/>
          <w:szCs w:val="24"/>
        </w:rPr>
        <w:t>CSIRT sektorowego dla danego sektora lub podsektora.</w:t>
      </w:r>
    </w:p>
    <w:p w14:paraId="375C37EB" w14:textId="77777777" w:rsidR="003B0A7B"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lastRenderedPageBreak/>
        <w:t>CSIRT sektorowy będzie odpowiadał za przyjmowanie zgłoszeń</w:t>
      </w:r>
      <w:r w:rsidR="0077165A">
        <w:rPr>
          <w:rFonts w:ascii="Times New Roman" w:hAnsi="Times New Roman" w:cs="Times New Roman"/>
          <w:szCs w:val="24"/>
        </w:rPr>
        <w:t xml:space="preserve"> o </w:t>
      </w:r>
      <w:r w:rsidRPr="0024375B">
        <w:rPr>
          <w:rFonts w:ascii="Times New Roman" w:hAnsi="Times New Roman" w:cs="Times New Roman"/>
          <w:szCs w:val="24"/>
        </w:rPr>
        <w:t xml:space="preserve">incydentach </w:t>
      </w:r>
      <w:r w:rsidR="001F4179" w:rsidRPr="0024375B">
        <w:rPr>
          <w:rFonts w:ascii="Times New Roman" w:hAnsi="Times New Roman" w:cs="Times New Roman"/>
          <w:szCs w:val="24"/>
        </w:rPr>
        <w:t>pochodzących od</w:t>
      </w:r>
      <w:r w:rsidR="00CF27DD" w:rsidRPr="0024375B">
        <w:rPr>
          <w:rFonts w:ascii="Times New Roman" w:hAnsi="Times New Roman" w:cs="Times New Roman"/>
          <w:szCs w:val="24"/>
        </w:rPr>
        <w:t> </w:t>
      </w:r>
      <w:r w:rsidR="001F4179" w:rsidRPr="0024375B">
        <w:rPr>
          <w:rFonts w:ascii="Times New Roman" w:hAnsi="Times New Roman" w:cs="Times New Roman"/>
          <w:szCs w:val="24"/>
        </w:rPr>
        <w:t>operatorów usług kluczowych</w:t>
      </w:r>
      <w:r w:rsidR="00EA1900">
        <w:rPr>
          <w:rFonts w:ascii="Times New Roman" w:hAnsi="Times New Roman" w:cs="Times New Roman"/>
          <w:szCs w:val="24"/>
        </w:rPr>
        <w:t xml:space="preserve"> w </w:t>
      </w:r>
      <w:r w:rsidR="001F4179" w:rsidRPr="0024375B">
        <w:rPr>
          <w:rFonts w:ascii="Times New Roman" w:hAnsi="Times New Roman" w:cs="Times New Roman"/>
          <w:szCs w:val="24"/>
        </w:rPr>
        <w:t>danym</w:t>
      </w:r>
      <w:r w:rsidR="00FA59D7" w:rsidRPr="0024375B">
        <w:rPr>
          <w:rFonts w:ascii="Times New Roman" w:hAnsi="Times New Roman" w:cs="Times New Roman"/>
          <w:szCs w:val="24"/>
        </w:rPr>
        <w:t> </w:t>
      </w:r>
      <w:r w:rsidRPr="0024375B">
        <w:rPr>
          <w:rFonts w:ascii="Times New Roman" w:hAnsi="Times New Roman" w:cs="Times New Roman"/>
          <w:szCs w:val="24"/>
        </w:rPr>
        <w:t>sektorze lub podsektorze, dla którego został ustanowiony,</w:t>
      </w:r>
      <w:r w:rsidR="002161FE">
        <w:rPr>
          <w:rFonts w:ascii="Times New Roman" w:hAnsi="Times New Roman" w:cs="Times New Roman"/>
          <w:szCs w:val="24"/>
        </w:rPr>
        <w:t xml:space="preserve"> a </w:t>
      </w:r>
      <w:r w:rsidRPr="0024375B">
        <w:rPr>
          <w:rFonts w:ascii="Times New Roman" w:hAnsi="Times New Roman" w:cs="Times New Roman"/>
          <w:szCs w:val="24"/>
        </w:rPr>
        <w:t xml:space="preserve">także za reagowanie na zgłoszone incydenty. Zakres obowiązków </w:t>
      </w:r>
      <w:r w:rsidR="00317EA2" w:rsidRPr="0024375B">
        <w:rPr>
          <w:rFonts w:ascii="Times New Roman" w:hAnsi="Times New Roman" w:cs="Times New Roman"/>
          <w:szCs w:val="24"/>
        </w:rPr>
        <w:t>zostanie</w:t>
      </w:r>
      <w:r w:rsidR="009373E3" w:rsidRPr="0024375B">
        <w:rPr>
          <w:rFonts w:ascii="Times New Roman" w:hAnsi="Times New Roman" w:cs="Times New Roman"/>
          <w:szCs w:val="24"/>
        </w:rPr>
        <w:t xml:space="preserve"> zatem</w:t>
      </w:r>
      <w:r w:rsidRPr="0024375B">
        <w:rPr>
          <w:rFonts w:ascii="Times New Roman" w:hAnsi="Times New Roman" w:cs="Times New Roman"/>
          <w:szCs w:val="24"/>
        </w:rPr>
        <w:t xml:space="preserve"> poszerzony</w:t>
      </w:r>
      <w:r w:rsidR="00EA1900">
        <w:rPr>
          <w:rFonts w:ascii="Times New Roman" w:hAnsi="Times New Roman" w:cs="Times New Roman"/>
          <w:szCs w:val="24"/>
        </w:rPr>
        <w:t xml:space="preserve"> w </w:t>
      </w:r>
      <w:r w:rsidR="00CF27DD" w:rsidRPr="0024375B">
        <w:rPr>
          <w:rFonts w:ascii="Times New Roman" w:hAnsi="Times New Roman" w:cs="Times New Roman"/>
          <w:szCs w:val="24"/>
        </w:rPr>
        <w:t>stosunku do </w:t>
      </w:r>
      <w:r w:rsidR="009373E3" w:rsidRPr="0024375B">
        <w:rPr>
          <w:rFonts w:ascii="Times New Roman" w:hAnsi="Times New Roman" w:cs="Times New Roman"/>
          <w:szCs w:val="24"/>
        </w:rPr>
        <w:t xml:space="preserve">dotychczasowych rozwiązań </w:t>
      </w:r>
      <w:r w:rsidR="00E96F6D" w:rsidRPr="0024375B">
        <w:rPr>
          <w:rFonts w:ascii="Times New Roman" w:hAnsi="Times New Roman" w:cs="Times New Roman"/>
          <w:szCs w:val="24"/>
        </w:rPr>
        <w:t xml:space="preserve">– </w:t>
      </w:r>
      <w:r w:rsidRPr="0024375B">
        <w:rPr>
          <w:rFonts w:ascii="Times New Roman" w:hAnsi="Times New Roman" w:cs="Times New Roman"/>
          <w:szCs w:val="24"/>
        </w:rPr>
        <w:t>obecnie sektorowy zespół cyberbezpieczeństwa wspiera jedynie operatorów usługi kluczowej</w:t>
      </w:r>
      <w:r w:rsidR="00EA1900">
        <w:rPr>
          <w:rFonts w:ascii="Times New Roman" w:hAnsi="Times New Roman" w:cs="Times New Roman"/>
          <w:szCs w:val="24"/>
        </w:rPr>
        <w:t xml:space="preserve"> w </w:t>
      </w:r>
      <w:r w:rsidRPr="0024375B">
        <w:rPr>
          <w:rFonts w:ascii="Times New Roman" w:hAnsi="Times New Roman" w:cs="Times New Roman"/>
          <w:szCs w:val="24"/>
        </w:rPr>
        <w:t xml:space="preserve">reagowaniu na incydenty. CSIRT sektorowy będzie dokonywał </w:t>
      </w:r>
      <w:r w:rsidR="009373E3" w:rsidRPr="0024375B">
        <w:rPr>
          <w:rFonts w:ascii="Times New Roman" w:hAnsi="Times New Roman" w:cs="Times New Roman"/>
          <w:szCs w:val="24"/>
        </w:rPr>
        <w:t xml:space="preserve">również </w:t>
      </w:r>
      <w:r w:rsidRPr="0024375B">
        <w:rPr>
          <w:rFonts w:ascii="Times New Roman" w:hAnsi="Times New Roman" w:cs="Times New Roman"/>
          <w:szCs w:val="24"/>
        </w:rPr>
        <w:t>dynamicznej analizy ryzyka</w:t>
      </w:r>
      <w:r w:rsidR="002161FE">
        <w:rPr>
          <w:rFonts w:ascii="Times New Roman" w:hAnsi="Times New Roman" w:cs="Times New Roman"/>
          <w:szCs w:val="24"/>
        </w:rPr>
        <w:t xml:space="preserve"> i </w:t>
      </w:r>
      <w:r w:rsidRPr="0024375B">
        <w:rPr>
          <w:rFonts w:ascii="Times New Roman" w:hAnsi="Times New Roman" w:cs="Times New Roman"/>
          <w:szCs w:val="24"/>
        </w:rPr>
        <w:t>incydentów</w:t>
      </w:r>
      <w:r w:rsidR="005920E2" w:rsidRPr="0024375B">
        <w:rPr>
          <w:rFonts w:ascii="Times New Roman" w:hAnsi="Times New Roman" w:cs="Times New Roman"/>
          <w:szCs w:val="24"/>
        </w:rPr>
        <w:t>,</w:t>
      </w:r>
      <w:r w:rsidR="002161FE">
        <w:rPr>
          <w:rFonts w:ascii="Times New Roman" w:hAnsi="Times New Roman" w:cs="Times New Roman"/>
          <w:szCs w:val="24"/>
        </w:rPr>
        <w:t xml:space="preserve"> a </w:t>
      </w:r>
      <w:r w:rsidR="009373E3" w:rsidRPr="0024375B">
        <w:rPr>
          <w:rFonts w:ascii="Times New Roman" w:hAnsi="Times New Roman" w:cs="Times New Roman"/>
          <w:szCs w:val="24"/>
        </w:rPr>
        <w:t>także będzie</w:t>
      </w:r>
      <w:r w:rsidRPr="0024375B">
        <w:rPr>
          <w:rFonts w:ascii="Times New Roman" w:hAnsi="Times New Roman" w:cs="Times New Roman"/>
          <w:szCs w:val="24"/>
        </w:rPr>
        <w:t xml:space="preserve"> gromadził informacje</w:t>
      </w:r>
      <w:r w:rsidR="0077165A">
        <w:rPr>
          <w:rFonts w:ascii="Times New Roman" w:hAnsi="Times New Roman" w:cs="Times New Roman"/>
          <w:szCs w:val="24"/>
        </w:rPr>
        <w:t xml:space="preserve"> o </w:t>
      </w:r>
      <w:r w:rsidRPr="0024375B">
        <w:rPr>
          <w:rFonts w:ascii="Times New Roman" w:hAnsi="Times New Roman" w:cs="Times New Roman"/>
          <w:szCs w:val="24"/>
        </w:rPr>
        <w:t>cyberzagrożeniach.</w:t>
      </w:r>
    </w:p>
    <w:p w14:paraId="67D9FBE0" w14:textId="77777777" w:rsidR="003B0A7B" w:rsidRPr="0024375B" w:rsidRDefault="003B0A7B" w:rsidP="0024375B">
      <w:pPr>
        <w:pStyle w:val="NIEARTTEKSTtekstnieartykuowanynppodstprawnarozplubpreambua"/>
        <w:spacing w:after="240"/>
        <w:rPr>
          <w:rFonts w:ascii="Times New Roman" w:hAnsi="Times New Roman" w:cs="Times New Roman"/>
          <w:szCs w:val="24"/>
          <w:u w:val="single"/>
        </w:rPr>
      </w:pPr>
      <w:r w:rsidRPr="0024375B">
        <w:rPr>
          <w:rFonts w:ascii="Times New Roman" w:hAnsi="Times New Roman" w:cs="Times New Roman"/>
          <w:szCs w:val="24"/>
          <w:u w:val="single"/>
        </w:rPr>
        <w:t>CSIRT INT </w:t>
      </w:r>
    </w:p>
    <w:p w14:paraId="30A0A17C" w14:textId="77777777" w:rsidR="003B0A7B" w:rsidRPr="0024375B" w:rsidRDefault="003B0A7B" w:rsidP="00FC6B8C">
      <w:pPr>
        <w:pStyle w:val="NIEARTTEKSTtekstnieartykuowanynppodstprawnarozplubpreambua"/>
      </w:pPr>
      <w:r w:rsidRPr="0024375B">
        <w:t>W związku</w:t>
      </w:r>
      <w:r w:rsidR="002161FE">
        <w:t xml:space="preserve"> z </w:t>
      </w:r>
      <w:r w:rsidRPr="0024375B">
        <w:t>rosnącą liczbą cyberataków na jednostki sektora publicznego konieczne jest dodatkowe wzmocnienie podmiotów</w:t>
      </w:r>
      <w:r w:rsidR="002161FE">
        <w:t xml:space="preserve"> z </w:t>
      </w:r>
      <w:r w:rsidR="006E6DEF" w:rsidRPr="0024375B">
        <w:t>tego sektora</w:t>
      </w:r>
      <w:r w:rsidRPr="0024375B">
        <w:t xml:space="preserve">. Szczególnie </w:t>
      </w:r>
      <w:r w:rsidR="00FF4D9B" w:rsidRPr="0024375B">
        <w:t xml:space="preserve">narażone </w:t>
      </w:r>
      <w:r w:rsidRPr="0024375B">
        <w:t>na at</w:t>
      </w:r>
      <w:r w:rsidR="00CF27DD" w:rsidRPr="0024375B">
        <w:t>aki są placówki dyplomatyczne</w:t>
      </w:r>
      <w:r w:rsidR="002161FE">
        <w:t xml:space="preserve"> i </w:t>
      </w:r>
      <w:r w:rsidRPr="0024375B">
        <w:t>konsularne, których położenie</w:t>
      </w:r>
      <w:r w:rsidR="002161FE">
        <w:t xml:space="preserve"> i </w:t>
      </w:r>
      <w:r w:rsidRPr="0024375B">
        <w:t>wrażliwy charakter przetwarzanych p</w:t>
      </w:r>
      <w:r w:rsidR="00CF27DD" w:rsidRPr="0024375B">
        <w:t>rzez nie informacji sprawia, że </w:t>
      </w:r>
      <w:r w:rsidRPr="0024375B">
        <w:t>udzielenie im wsparcia jest szczególnie utrudnione. Wychodząc naprzeciw tym problemom, powołuje</w:t>
      </w:r>
      <w:r w:rsidR="006E6DEF" w:rsidRPr="0024375B">
        <w:t xml:space="preserve"> się</w:t>
      </w:r>
      <w:r w:rsidRPr="0024375B">
        <w:t xml:space="preserve"> CSIRT INT, który będzie prowadzony przez szefa Agencji Wywiadu. Jego zadaniem będzie zapewnienie wsparcia placówkom dyplomatycznym</w:t>
      </w:r>
      <w:r w:rsidR="002161FE">
        <w:t xml:space="preserve"> i </w:t>
      </w:r>
      <w:r w:rsidRPr="0024375B">
        <w:t>konsularnym</w:t>
      </w:r>
      <w:r w:rsidR="00EA1900">
        <w:t xml:space="preserve"> w </w:t>
      </w:r>
      <w:r w:rsidRPr="0024375B">
        <w:t xml:space="preserve">zakresie cyberbezpieczeństwa. </w:t>
      </w:r>
    </w:p>
    <w:p w14:paraId="1D5FD51C" w14:textId="77777777" w:rsidR="00F6749E" w:rsidRPr="0024375B" w:rsidRDefault="00F6749E" w:rsidP="0024375B">
      <w:pPr>
        <w:pStyle w:val="NIEARTTEKSTtekstnieartykuowanynppodstprawnarozplubpreambua"/>
        <w:spacing w:after="240"/>
        <w:rPr>
          <w:rFonts w:ascii="Times New Roman" w:hAnsi="Times New Roman" w:cs="Times New Roman"/>
          <w:szCs w:val="24"/>
          <w:u w:val="single"/>
        </w:rPr>
      </w:pPr>
      <w:r w:rsidRPr="0024375B">
        <w:rPr>
          <w:rFonts w:ascii="Times New Roman" w:hAnsi="Times New Roman" w:cs="Times New Roman"/>
          <w:szCs w:val="24"/>
          <w:u w:val="single"/>
        </w:rPr>
        <w:t>ISAC</w:t>
      </w:r>
    </w:p>
    <w:p w14:paraId="007F5C75" w14:textId="77777777" w:rsidR="00F6749E" w:rsidRPr="00FC6B8C" w:rsidRDefault="00CF27DD" w:rsidP="00FC6B8C">
      <w:pPr>
        <w:pStyle w:val="NIEARTTEKSTtekstnieartykuowanynppodstprawnarozplubpreambua"/>
      </w:pPr>
      <w:r w:rsidRPr="00FC6B8C">
        <w:t>Centra</w:t>
      </w:r>
      <w:r w:rsidR="00F6749E" w:rsidRPr="00FC6B8C">
        <w:t xml:space="preserve"> </w:t>
      </w:r>
      <w:r w:rsidRPr="00FC6B8C">
        <w:t>Wymiany</w:t>
      </w:r>
      <w:r w:rsidR="002161FE" w:rsidRPr="00FC6B8C">
        <w:t xml:space="preserve"> i </w:t>
      </w:r>
      <w:r w:rsidRPr="00FC6B8C">
        <w:t>Analiz Informacji</w:t>
      </w:r>
      <w:r w:rsidR="00F6749E" w:rsidRPr="00FC6B8C">
        <w:t xml:space="preserve"> tworzone jako oddolne</w:t>
      </w:r>
      <w:r w:rsidR="002161FE" w:rsidRPr="00FC6B8C">
        <w:t xml:space="preserve"> i </w:t>
      </w:r>
      <w:r w:rsidR="00F6749E" w:rsidRPr="00FC6B8C">
        <w:t>dobrowolne inicjatywy sektorowe lub dziedzinowe, mają być jednostkami wspierającymi podmioty krajowego systemu cyberbezpieczeństwa. Ich zadaniem będzie analiza informacji</w:t>
      </w:r>
      <w:r w:rsidR="0077165A" w:rsidRPr="00FC6B8C">
        <w:t xml:space="preserve"> o </w:t>
      </w:r>
      <w:r w:rsidR="00057FC4" w:rsidRPr="00FC6B8C">
        <w:t>cyberzagrożeniach</w:t>
      </w:r>
      <w:r w:rsidR="002161FE" w:rsidRPr="00FC6B8C">
        <w:t xml:space="preserve"> i </w:t>
      </w:r>
      <w:r w:rsidR="00F6749E" w:rsidRPr="00FC6B8C">
        <w:t>podatności</w:t>
      </w:r>
      <w:r w:rsidRPr="00FC6B8C">
        <w:t>ach oraz wymiana informacji</w:t>
      </w:r>
      <w:r w:rsidR="0077165A" w:rsidRPr="00FC6B8C">
        <w:t xml:space="preserve"> o </w:t>
      </w:r>
      <w:r w:rsidR="00F6749E" w:rsidRPr="00FC6B8C">
        <w:t>najlepszych praktykach.</w:t>
      </w:r>
    </w:p>
    <w:p w14:paraId="310A9A58" w14:textId="77777777" w:rsidR="00F6749E" w:rsidRPr="0024375B" w:rsidRDefault="00F6749E" w:rsidP="0024375B">
      <w:pPr>
        <w:pStyle w:val="NIEARTTEKSTtekstnieartykuowanynppodstprawnarozplubpreambua"/>
        <w:spacing w:after="240"/>
        <w:rPr>
          <w:rFonts w:ascii="Times New Roman" w:hAnsi="Times New Roman" w:cs="Times New Roman"/>
          <w:szCs w:val="24"/>
          <w:u w:val="single"/>
        </w:rPr>
      </w:pPr>
      <w:r w:rsidRPr="0024375B">
        <w:rPr>
          <w:rFonts w:ascii="Times New Roman" w:hAnsi="Times New Roman" w:cs="Times New Roman"/>
          <w:szCs w:val="24"/>
          <w:u w:val="single"/>
        </w:rPr>
        <w:t>SOC</w:t>
      </w:r>
    </w:p>
    <w:p w14:paraId="7ECFF164" w14:textId="77777777" w:rsidR="00F6749E" w:rsidRPr="00FC6B8C" w:rsidRDefault="00F6749E" w:rsidP="00FC6B8C">
      <w:pPr>
        <w:pStyle w:val="NIEARTTEKSTtekstnieartykuowanynppodstprawnarozplubpreambua"/>
      </w:pPr>
      <w:r w:rsidRPr="00FC6B8C">
        <w:t>Do krajowego systemu cyberbezp</w:t>
      </w:r>
      <w:r w:rsidR="00CF27DD" w:rsidRPr="00FC6B8C">
        <w:t>ieczeństwa wprowadzono pojęcie Operacyjnych Centrów Bezpieczeństwa (</w:t>
      </w:r>
      <w:r w:rsidR="001869AE" w:rsidRPr="00FC6B8C">
        <w:t xml:space="preserve">zwanych </w:t>
      </w:r>
      <w:r w:rsidR="00CF27DD" w:rsidRPr="00FC6B8C">
        <w:t>dalej</w:t>
      </w:r>
      <w:r w:rsidRPr="00FC6B8C">
        <w:t xml:space="preserve"> ,,SOC”</w:t>
      </w:r>
      <w:r w:rsidR="00CF27DD" w:rsidRPr="00FC6B8C">
        <w:t>)</w:t>
      </w:r>
      <w:r w:rsidRPr="00FC6B8C">
        <w:t xml:space="preserve">. </w:t>
      </w:r>
      <w:r w:rsidR="001869AE" w:rsidRPr="00FC6B8C">
        <w:t xml:space="preserve">Te nowe podmioty </w:t>
      </w:r>
      <w:r w:rsidRPr="00FC6B8C">
        <w:t>zastąpi</w:t>
      </w:r>
      <w:r w:rsidR="001869AE" w:rsidRPr="00FC6B8C">
        <w:t>ą</w:t>
      </w:r>
      <w:r w:rsidRPr="00FC6B8C">
        <w:t xml:space="preserve"> </w:t>
      </w:r>
      <w:r w:rsidR="001869AE" w:rsidRPr="00FC6B8C">
        <w:t xml:space="preserve">dotychczasowe </w:t>
      </w:r>
      <w:r w:rsidRPr="00FC6B8C">
        <w:t>struktury odpowiedzialne za cyberbezpieczeństwo u operatorów usług kluczowyc</w:t>
      </w:r>
      <w:r w:rsidR="005D22F8" w:rsidRPr="00FC6B8C">
        <w:t>h. SOC posiadają ugruntowaną na </w:t>
      </w:r>
      <w:r w:rsidRPr="00FC6B8C">
        <w:t xml:space="preserve">rynku pozycję </w:t>
      </w:r>
      <w:r w:rsidR="001869AE" w:rsidRPr="00FC6B8C">
        <w:t xml:space="preserve">zespołów </w:t>
      </w:r>
      <w:r w:rsidRPr="00FC6B8C">
        <w:t>realizujących wszystkie funkcje związane</w:t>
      </w:r>
      <w:r w:rsidR="002161FE" w:rsidRPr="00FC6B8C">
        <w:t xml:space="preserve"> z </w:t>
      </w:r>
      <w:r w:rsidRPr="00FC6B8C">
        <w:t>monitorowaniem</w:t>
      </w:r>
      <w:r w:rsidR="002161FE" w:rsidRPr="00FC6B8C">
        <w:t xml:space="preserve"> i </w:t>
      </w:r>
      <w:r w:rsidRPr="00FC6B8C">
        <w:t>zarządzaniem cyberbezpieczeństwem, zarówno</w:t>
      </w:r>
      <w:r w:rsidR="00EA1900" w:rsidRPr="00FC6B8C">
        <w:t xml:space="preserve"> w </w:t>
      </w:r>
      <w:r w:rsidRPr="00FC6B8C">
        <w:t>strukturze wewnętrznej, jak</w:t>
      </w:r>
      <w:r w:rsidR="002161FE" w:rsidRPr="00FC6B8C">
        <w:t xml:space="preserve"> i </w:t>
      </w:r>
      <w:r w:rsidRPr="00FC6B8C">
        <w:t xml:space="preserve">usług świadczonych na rzecz innych jednostek. </w:t>
      </w:r>
    </w:p>
    <w:p w14:paraId="0A6C835A" w14:textId="77777777" w:rsidR="00375939" w:rsidRPr="0024375B" w:rsidRDefault="00375939" w:rsidP="0024375B">
      <w:pPr>
        <w:pStyle w:val="ARTartustawynprozporzdzenia"/>
        <w:spacing w:before="0"/>
        <w:rPr>
          <w:szCs w:val="24"/>
          <w:u w:val="single"/>
        </w:rPr>
      </w:pPr>
      <w:r w:rsidRPr="0024375B">
        <w:rPr>
          <w:szCs w:val="24"/>
          <w:u w:val="single"/>
        </w:rPr>
        <w:t>Włączenie przedsiębiorców komunikacji elektronicznej do krajowego systemu cyberbezpieczeństwa</w:t>
      </w:r>
    </w:p>
    <w:p w14:paraId="7FF7D2DB" w14:textId="77777777" w:rsidR="00375939" w:rsidRPr="0024375B" w:rsidRDefault="00375939" w:rsidP="00FC6B8C">
      <w:pPr>
        <w:pStyle w:val="NIEARTTEKSTtekstnieartykuowanynppodstprawnarozplubpreambua"/>
      </w:pPr>
      <w:r w:rsidRPr="0024375B">
        <w:t>Wymaganiami</w:t>
      </w:r>
      <w:r w:rsidR="00EA1900">
        <w:t xml:space="preserve"> w </w:t>
      </w:r>
      <w:r w:rsidRPr="0024375B">
        <w:t>zakresie cyberbezpieczeństwa zostaną objęci przedsiębiorcy komunikacji elektronicznej</w:t>
      </w:r>
      <w:r w:rsidR="166D5032" w:rsidRPr="0024375B">
        <w:t xml:space="preserve"> </w:t>
      </w:r>
      <w:r w:rsidR="73DE5357" w:rsidRPr="0024375B">
        <w:t>przez których rozumie się</w:t>
      </w:r>
      <w:r w:rsidR="166D5032" w:rsidRPr="0024375B">
        <w:t xml:space="preserve"> przedsiębiorców telekomunikacyjnych lub podmiot</w:t>
      </w:r>
      <w:r w:rsidR="5714052A" w:rsidRPr="0024375B">
        <w:t>y</w:t>
      </w:r>
      <w:r w:rsidR="166D5032" w:rsidRPr="0024375B">
        <w:t xml:space="preserve"> świadczą</w:t>
      </w:r>
      <w:r w:rsidR="22DC6888" w:rsidRPr="0024375B">
        <w:t>ce</w:t>
      </w:r>
      <w:r w:rsidR="166D5032" w:rsidRPr="0024375B">
        <w:t xml:space="preserve"> publicznie dostępną usługę komunikacji interpersonalnej niewykorzystującą numerów.</w:t>
      </w:r>
    </w:p>
    <w:p w14:paraId="6161207B" w14:textId="77777777" w:rsidR="00F6749E" w:rsidRPr="0024375B" w:rsidRDefault="00F6749E" w:rsidP="0024375B">
      <w:pPr>
        <w:pStyle w:val="NIEARTTEKSTtekstnieartykuowanynppodstprawnarozplubpreambua"/>
        <w:spacing w:after="240"/>
        <w:rPr>
          <w:rFonts w:ascii="Times New Roman" w:hAnsi="Times New Roman" w:cs="Times New Roman"/>
          <w:szCs w:val="24"/>
          <w:u w:val="single"/>
        </w:rPr>
      </w:pPr>
      <w:r w:rsidRPr="0024375B">
        <w:rPr>
          <w:rFonts w:ascii="Times New Roman" w:hAnsi="Times New Roman" w:cs="Times New Roman"/>
          <w:szCs w:val="24"/>
          <w:u w:val="single"/>
        </w:rPr>
        <w:t>Procedura uznania dostawcy za dostawcę wysokiego ryzyka</w:t>
      </w:r>
    </w:p>
    <w:p w14:paraId="6627F183" w14:textId="77777777" w:rsidR="00F6749E" w:rsidRPr="00FC6B8C" w:rsidRDefault="7FCABC7B" w:rsidP="00FC6B8C">
      <w:pPr>
        <w:pStyle w:val="NIEARTTEKSTtekstnieartykuowanynppodstprawnarozplubpreambua"/>
      </w:pPr>
      <w:r w:rsidRPr="00FC6B8C">
        <w:lastRenderedPageBreak/>
        <w:t>Odporność na cyberzagrożenia zależy</w:t>
      </w:r>
      <w:r w:rsidR="00EA1900" w:rsidRPr="00FC6B8C">
        <w:t xml:space="preserve"> w </w:t>
      </w:r>
      <w:r w:rsidRPr="00FC6B8C">
        <w:t>dużym stopniu od bezpieczeństwa sprzętu</w:t>
      </w:r>
      <w:r w:rsidR="073FC7B8" w:rsidRPr="00FC6B8C">
        <w:t xml:space="preserve"> ICT</w:t>
      </w:r>
      <w:r w:rsidRPr="00FC6B8C">
        <w:t xml:space="preserve">, </w:t>
      </w:r>
      <w:r w:rsidR="67B898D2" w:rsidRPr="00FC6B8C">
        <w:t xml:space="preserve">procesów </w:t>
      </w:r>
      <w:r w:rsidR="073FC7B8" w:rsidRPr="00FC6B8C">
        <w:t>ICT</w:t>
      </w:r>
      <w:r w:rsidR="002161FE" w:rsidRPr="00FC6B8C">
        <w:t xml:space="preserve"> i </w:t>
      </w:r>
      <w:r w:rsidRPr="00FC6B8C">
        <w:t>usług</w:t>
      </w:r>
      <w:r w:rsidR="073FC7B8" w:rsidRPr="00FC6B8C">
        <w:t xml:space="preserve"> ICT</w:t>
      </w:r>
      <w:r w:rsidRPr="00FC6B8C">
        <w:t>. Dotyczy to zarówno systemów teleinformatycznych, sieci telekomunikacyjnych</w:t>
      </w:r>
      <w:r w:rsidR="3EDECBCB" w:rsidRPr="00FC6B8C">
        <w:t>, jak</w:t>
      </w:r>
      <w:r w:rsidR="002161FE" w:rsidRPr="00FC6B8C">
        <w:t xml:space="preserve"> i </w:t>
      </w:r>
      <w:r w:rsidRPr="00FC6B8C">
        <w:t xml:space="preserve">przemysłowych systemów sterowania. </w:t>
      </w:r>
      <w:r w:rsidR="3EDECBCB" w:rsidRPr="00FC6B8C">
        <w:t>Z tego względu</w:t>
      </w:r>
      <w:r w:rsidR="00EA1900" w:rsidRPr="00FC6B8C">
        <w:t xml:space="preserve"> w </w:t>
      </w:r>
      <w:r w:rsidR="3EDECBCB" w:rsidRPr="00FC6B8C">
        <w:t>projekcie ustawy uwzględniono</w:t>
      </w:r>
      <w:r w:rsidRPr="00FC6B8C">
        <w:t xml:space="preserve"> </w:t>
      </w:r>
      <w:r w:rsidR="3EDECBCB" w:rsidRPr="00FC6B8C">
        <w:t>postępowanie</w:t>
      </w:r>
      <w:r w:rsidR="00EA1900" w:rsidRPr="00FC6B8C">
        <w:t xml:space="preserve"> w </w:t>
      </w:r>
      <w:r w:rsidRPr="00FC6B8C">
        <w:t>sprawie uznania dostawc</w:t>
      </w:r>
      <w:r w:rsidR="0CD110A6" w:rsidRPr="00FC6B8C">
        <w:t>y</w:t>
      </w:r>
      <w:r w:rsidRPr="00FC6B8C">
        <w:t xml:space="preserve"> sprzętu lub oprogramowania </w:t>
      </w:r>
      <w:r w:rsidR="00422757" w:rsidRPr="00FC6B8C">
        <w:t>wykorzystywanego przez</w:t>
      </w:r>
      <w:r w:rsidRPr="00FC6B8C">
        <w:t xml:space="preserve"> </w:t>
      </w:r>
      <w:r w:rsidR="00422757" w:rsidRPr="00FC6B8C">
        <w:t xml:space="preserve">kluczowe podmioty </w:t>
      </w:r>
      <w:r w:rsidRPr="00FC6B8C">
        <w:t>gospodarki za dostawcę wysokiego ryzyka. Postępowanie</w:t>
      </w:r>
      <w:r w:rsidR="00EA1900" w:rsidRPr="00FC6B8C">
        <w:t xml:space="preserve"> w </w:t>
      </w:r>
      <w:r w:rsidRPr="00FC6B8C">
        <w:t xml:space="preserve">tej kwestii będzie prowadził minister właściwy do spraw informatyzacji. Postępowanie będzie </w:t>
      </w:r>
      <w:r w:rsidR="005D22F8" w:rsidRPr="00FC6B8C">
        <w:t>oparte</w:t>
      </w:r>
      <w:r w:rsidR="0077165A" w:rsidRPr="00FC6B8C">
        <w:t xml:space="preserve"> o </w:t>
      </w:r>
      <w:r w:rsidR="005D22F8" w:rsidRPr="00FC6B8C">
        <w:t>transparentną procedurę określoną</w:t>
      </w:r>
      <w:r w:rsidR="00EA1900" w:rsidRPr="00FC6B8C">
        <w:t xml:space="preserve"> w </w:t>
      </w:r>
      <w:r w:rsidRPr="00FC6B8C">
        <w:t>Kodeksie postępowania administracyjnego</w:t>
      </w:r>
      <w:r w:rsidR="002161FE" w:rsidRPr="00FC6B8C">
        <w:t xml:space="preserve"> z </w:t>
      </w:r>
      <w:r w:rsidR="005D22F8" w:rsidRPr="00FC6B8C">
        <w:t>pewnymi odmiennościami</w:t>
      </w:r>
      <w:r w:rsidRPr="00FC6B8C">
        <w:t xml:space="preserve">. </w:t>
      </w:r>
      <w:r w:rsidR="3EDECBCB" w:rsidRPr="00FC6B8C">
        <w:t>Każdorazowo, prowadząc postępowanie, m</w:t>
      </w:r>
      <w:r w:rsidRPr="00FC6B8C">
        <w:t xml:space="preserve">inister właściwy </w:t>
      </w:r>
      <w:r w:rsidR="3EDECBCB" w:rsidRPr="00FC6B8C">
        <w:t>do spraw</w:t>
      </w:r>
      <w:r w:rsidRPr="00FC6B8C">
        <w:t xml:space="preserve"> informatyzacji będzie zasięgał opinii Kolegium na temat dostaw</w:t>
      </w:r>
      <w:r w:rsidR="005D22F8" w:rsidRPr="00FC6B8C">
        <w:t>cy sprzętu lub oprogramowania</w:t>
      </w:r>
      <w:r w:rsidR="002161FE" w:rsidRPr="00FC6B8C">
        <w:t xml:space="preserve"> i </w:t>
      </w:r>
      <w:r w:rsidRPr="00FC6B8C">
        <w:t>dostarczanych przez niego produktów ICT, usług ICT, procesów ICT.</w:t>
      </w:r>
      <w:r w:rsidR="00116933" w:rsidRPr="00FC6B8C">
        <w:t xml:space="preserve"> W </w:t>
      </w:r>
      <w:r w:rsidRPr="00FC6B8C">
        <w:t xml:space="preserve">opinii </w:t>
      </w:r>
      <w:r w:rsidR="3EDECBCB" w:rsidRPr="00FC6B8C">
        <w:t xml:space="preserve">będą uwzględniane </w:t>
      </w:r>
      <w:r w:rsidRPr="00FC6B8C">
        <w:t>zarówno aspekty techniczne, jak</w:t>
      </w:r>
      <w:r w:rsidR="002161FE" w:rsidRPr="00FC6B8C">
        <w:t xml:space="preserve"> i </w:t>
      </w:r>
      <w:r w:rsidRPr="00FC6B8C">
        <w:t>pozatechniczne, mające wpływ na bezpieczeństwo narodowe. Postępowanie będzie kończyło się decyzją administracyjną</w:t>
      </w:r>
      <w:r w:rsidR="00EA1900" w:rsidRPr="00FC6B8C">
        <w:t xml:space="preserve"> w </w:t>
      </w:r>
      <w:r w:rsidRPr="00FC6B8C">
        <w:t>sprawie uznania dostawcy za dostawcę wysokiego ryzyka</w:t>
      </w:r>
      <w:r w:rsidR="00422757" w:rsidRPr="00FC6B8C">
        <w:t>, która</w:t>
      </w:r>
      <w:r w:rsidRPr="00FC6B8C">
        <w:t xml:space="preserve"> </w:t>
      </w:r>
      <w:r w:rsidR="00422757" w:rsidRPr="00FC6B8C">
        <w:t xml:space="preserve">będzie </w:t>
      </w:r>
      <w:r w:rsidR="1C51B596" w:rsidRPr="00FC6B8C">
        <w:t>podlegać</w:t>
      </w:r>
      <w:r w:rsidRPr="00FC6B8C">
        <w:t xml:space="preserve"> </w:t>
      </w:r>
      <w:r w:rsidR="1C51B596" w:rsidRPr="00FC6B8C">
        <w:t xml:space="preserve">zaskarżeniu </w:t>
      </w:r>
      <w:r w:rsidRPr="00FC6B8C">
        <w:t>do sądu administracyjnego.</w:t>
      </w:r>
    </w:p>
    <w:p w14:paraId="25691ED6" w14:textId="77777777" w:rsidR="00F6749E" w:rsidRPr="00FC6B8C" w:rsidRDefault="00422757" w:rsidP="00FC6B8C">
      <w:pPr>
        <w:pStyle w:val="NIEARTTEKSTtekstnieartykuowanynppodstprawnarozplubpreambua"/>
      </w:pPr>
      <w:r w:rsidRPr="00FC6B8C">
        <w:t>Projektowane rozwiązanie nawiązuje do o</w:t>
      </w:r>
      <w:r w:rsidR="00F6749E" w:rsidRPr="00FC6B8C">
        <w:t>cen</w:t>
      </w:r>
      <w:r w:rsidRPr="00FC6B8C">
        <w:t>y</w:t>
      </w:r>
      <w:r w:rsidR="00F6749E" w:rsidRPr="00FC6B8C">
        <w:t xml:space="preserve"> profili ryzyka dostawców</w:t>
      </w:r>
      <w:r w:rsidRPr="00FC6B8C">
        <w:t>, będącej</w:t>
      </w:r>
      <w:r w:rsidR="00F6749E" w:rsidRPr="00FC6B8C">
        <w:t xml:space="preserve"> jednym</w:t>
      </w:r>
      <w:r w:rsidR="002161FE" w:rsidRPr="00FC6B8C">
        <w:t xml:space="preserve"> z </w:t>
      </w:r>
      <w:r w:rsidR="00F6749E" w:rsidRPr="00FC6B8C">
        <w:t>narzędzi strategicznych (Strategic Measure</w:t>
      </w:r>
      <w:r w:rsidR="00E96F6D" w:rsidRPr="00FC6B8C">
        <w:t xml:space="preserve"> – </w:t>
      </w:r>
      <w:r w:rsidR="00F6749E" w:rsidRPr="00FC6B8C">
        <w:t>SM0</w:t>
      </w:r>
      <w:r w:rsidR="005920E2" w:rsidRPr="00FC6B8C">
        <w:t>3</w:t>
      </w:r>
      <w:r w:rsidR="00F6749E" w:rsidRPr="00FC6B8C">
        <w:t>)</w:t>
      </w:r>
      <w:r w:rsidRPr="00FC6B8C">
        <w:t>,</w:t>
      </w:r>
      <w:r w:rsidR="00F6749E" w:rsidRPr="00FC6B8C">
        <w:t xml:space="preserve"> uzgodnionych przez państwa członkowskie Unii Europejskiej, Komisję Europejską</w:t>
      </w:r>
      <w:r w:rsidR="002161FE" w:rsidRPr="00FC6B8C">
        <w:t xml:space="preserve"> i </w:t>
      </w:r>
      <w:r w:rsidR="00F6749E" w:rsidRPr="00FC6B8C">
        <w:t>ENISA</w:t>
      </w:r>
      <w:r w:rsidR="00EA1900" w:rsidRPr="00FC6B8C">
        <w:t xml:space="preserve"> w </w:t>
      </w:r>
      <w:r w:rsidR="00F6749E" w:rsidRPr="00FC6B8C">
        <w:t>5G Toolbox</w:t>
      </w:r>
      <w:r w:rsidR="0096410E" w:rsidRPr="00FC6B8C">
        <w:t>.</w:t>
      </w:r>
    </w:p>
    <w:p w14:paraId="4CD0AEF7" w14:textId="77777777" w:rsidR="00F6749E" w:rsidRPr="00FC6B8C" w:rsidRDefault="00F6749E" w:rsidP="00FC6B8C">
      <w:pPr>
        <w:pStyle w:val="NIEARTTEKSTtekstnieartykuowanynppodstprawnarozplubpreambua"/>
      </w:pPr>
      <w:r w:rsidRPr="00FC6B8C">
        <w:t xml:space="preserve">Podmioty krajowego systemu cyberbezpieczeństwa </w:t>
      </w:r>
      <w:r w:rsidR="00750519" w:rsidRPr="00FC6B8C">
        <w:t>(</w:t>
      </w:r>
      <w:r w:rsidRPr="00FC6B8C">
        <w:t>przede wszystkim operatorzy usług kluczowych, dostawcy usług cyfrowych</w:t>
      </w:r>
      <w:r w:rsidR="00750519" w:rsidRPr="00FC6B8C">
        <w:t>) oraz</w:t>
      </w:r>
      <w:r w:rsidRPr="00FC6B8C">
        <w:t xml:space="preserve"> pr</w:t>
      </w:r>
      <w:r w:rsidR="005D22F8" w:rsidRPr="00FC6B8C">
        <w:t xml:space="preserve">zedsiębiorcy telekomunikacyjni </w:t>
      </w:r>
      <w:r w:rsidRPr="00FC6B8C">
        <w:t xml:space="preserve">będący dużymi </w:t>
      </w:r>
      <w:r w:rsidR="00DD0A08" w:rsidRPr="00FC6B8C">
        <w:t>przedsiębiorcami</w:t>
      </w:r>
      <w:r w:rsidR="001F37AF" w:rsidRPr="00FC6B8C">
        <w:t>,</w:t>
      </w:r>
      <w:r w:rsidR="00EA1900" w:rsidRPr="00FC6B8C">
        <w:t xml:space="preserve"> w </w:t>
      </w:r>
      <w:r w:rsidR="005D22F8" w:rsidRPr="00FC6B8C">
        <w:t>przypadku wydania decyzji zostaną zobowiązani do wycofania</w:t>
      </w:r>
      <w:r w:rsidR="002161FE" w:rsidRPr="00FC6B8C">
        <w:t xml:space="preserve"> z </w:t>
      </w:r>
      <w:r w:rsidR="005920E2" w:rsidRPr="00FC6B8C">
        <w:t>użycia</w:t>
      </w:r>
      <w:r w:rsidR="005D22F8" w:rsidRPr="00FC6B8C">
        <w:t>, określonego</w:t>
      </w:r>
      <w:r w:rsidR="00EA1900" w:rsidRPr="00FC6B8C">
        <w:t xml:space="preserve"> w </w:t>
      </w:r>
      <w:r w:rsidR="00323FEE" w:rsidRPr="00FC6B8C">
        <w:t>decyzji</w:t>
      </w:r>
      <w:r w:rsidR="005D22F8" w:rsidRPr="00FC6B8C">
        <w:t>,</w:t>
      </w:r>
      <w:r w:rsidR="00EA1900" w:rsidRPr="00FC6B8C">
        <w:t xml:space="preserve"> w </w:t>
      </w:r>
      <w:r w:rsidRPr="00FC6B8C">
        <w:t>sprzęt</w:t>
      </w:r>
      <w:r w:rsidR="005D22F8" w:rsidRPr="00FC6B8C">
        <w:t>u lub oprogramowania</w:t>
      </w:r>
      <w:r w:rsidRPr="00FC6B8C">
        <w:t xml:space="preserve"> </w:t>
      </w:r>
      <w:r w:rsidR="001F37AF" w:rsidRPr="00FC6B8C">
        <w:t xml:space="preserve">pochodzące </w:t>
      </w:r>
      <w:r w:rsidRPr="00FC6B8C">
        <w:t xml:space="preserve">od </w:t>
      </w:r>
      <w:r w:rsidR="00843F4F" w:rsidRPr="00FC6B8C">
        <w:t xml:space="preserve">takiego </w:t>
      </w:r>
      <w:r w:rsidRPr="00FC6B8C">
        <w:t>dostawcy</w:t>
      </w:r>
      <w:r w:rsidR="001F37AF" w:rsidRPr="00FC6B8C">
        <w:t>,</w:t>
      </w:r>
      <w:r w:rsidR="00EA1900" w:rsidRPr="00FC6B8C">
        <w:t xml:space="preserve"> w </w:t>
      </w:r>
      <w:r w:rsidRPr="00FC6B8C">
        <w:t>terminie 7 lat od wydania decyzji administracyjnej. Natomiast</w:t>
      </w:r>
      <w:r w:rsidR="00EA1900" w:rsidRPr="00FC6B8C">
        <w:t xml:space="preserve"> w </w:t>
      </w:r>
      <w:r w:rsidR="00323FEE" w:rsidRPr="00FC6B8C">
        <w:t>przypadku</w:t>
      </w:r>
      <w:r w:rsidR="00843F4F" w:rsidRPr="00FC6B8C">
        <w:t xml:space="preserve"> gdy produkty, usługi</w:t>
      </w:r>
      <w:r w:rsidR="002161FE" w:rsidRPr="00FC6B8C">
        <w:t xml:space="preserve"> i </w:t>
      </w:r>
      <w:r w:rsidR="00843F4F" w:rsidRPr="00FC6B8C">
        <w:t>procesy ICT, objęte decyzją, znajdują się</w:t>
      </w:r>
      <w:r w:rsidR="00EA1900" w:rsidRPr="00FC6B8C">
        <w:t xml:space="preserve"> w </w:t>
      </w:r>
      <w:r w:rsidR="00843F4F" w:rsidRPr="00FC6B8C">
        <w:t>zakresie objętym wykazem kategorii funkcji krytycznych dla bezpieczeństwa sieci</w:t>
      </w:r>
      <w:r w:rsidR="002161FE" w:rsidRPr="00FC6B8C">
        <w:t xml:space="preserve"> i </w:t>
      </w:r>
      <w:r w:rsidR="00843F4F" w:rsidRPr="00FC6B8C">
        <w:t>usług, stanowiącym załącznik nr 3 do</w:t>
      </w:r>
      <w:r w:rsidR="009564A9" w:rsidRPr="00FC6B8C">
        <w:t> </w:t>
      </w:r>
      <w:r w:rsidR="00843F4F" w:rsidRPr="00FC6B8C">
        <w:t>ustawy, przedsiębiorcy</w:t>
      </w:r>
      <w:r w:rsidRPr="00FC6B8C">
        <w:t xml:space="preserve"> będą musieli wycofać </w:t>
      </w:r>
      <w:r w:rsidR="00843F4F" w:rsidRPr="00FC6B8C">
        <w:t>je</w:t>
      </w:r>
      <w:r w:rsidR="00EA1900" w:rsidRPr="00FC6B8C">
        <w:t xml:space="preserve"> w </w:t>
      </w:r>
      <w:r w:rsidRPr="00FC6B8C">
        <w:t>ciągu 5 lat. Podkreślenia wymaga fakt, że obowiązkowi wycofania będą podlegały produkty, usługi</w:t>
      </w:r>
      <w:r w:rsidR="002161FE" w:rsidRPr="00FC6B8C">
        <w:t xml:space="preserve"> i </w:t>
      </w:r>
      <w:r w:rsidRPr="00FC6B8C">
        <w:t>procesy ICT wskazane</w:t>
      </w:r>
      <w:r w:rsidR="00EA1900" w:rsidRPr="00FC6B8C">
        <w:t xml:space="preserve"> w </w:t>
      </w:r>
      <w:r w:rsidRPr="00FC6B8C">
        <w:t>decyzji ministra właściwego do spraw informatyzacji –</w:t>
      </w:r>
      <w:r w:rsidR="002161FE" w:rsidRPr="00FC6B8C">
        <w:t xml:space="preserve"> a </w:t>
      </w:r>
      <w:r w:rsidRPr="00FC6B8C">
        <w:t>więc nie wszystkie produkty, usługi</w:t>
      </w:r>
      <w:r w:rsidR="002161FE" w:rsidRPr="00FC6B8C">
        <w:t xml:space="preserve"> i </w:t>
      </w:r>
      <w:r w:rsidRPr="00FC6B8C">
        <w:t>procesy ICT oferowane przez dostawcę wysokiego ryzyka.</w:t>
      </w:r>
    </w:p>
    <w:p w14:paraId="7CD50E8C" w14:textId="77777777" w:rsidR="00F6749E" w:rsidRPr="0024375B" w:rsidRDefault="00F6749E" w:rsidP="0024375B">
      <w:pPr>
        <w:pStyle w:val="NIEARTTEKSTtekstnieartykuowanynppodstprawnarozplubpreambua"/>
        <w:spacing w:after="240"/>
        <w:rPr>
          <w:rFonts w:ascii="Times New Roman" w:hAnsi="Times New Roman" w:cs="Times New Roman"/>
          <w:szCs w:val="24"/>
          <w:u w:val="single"/>
        </w:rPr>
      </w:pPr>
      <w:r w:rsidRPr="0024375B">
        <w:rPr>
          <w:rFonts w:ascii="Times New Roman" w:hAnsi="Times New Roman" w:cs="Times New Roman"/>
          <w:szCs w:val="24"/>
          <w:u w:val="single"/>
        </w:rPr>
        <w:t>Zapobieganie</w:t>
      </w:r>
      <w:r w:rsidR="00F138D6" w:rsidRPr="0024375B">
        <w:rPr>
          <w:rFonts w:ascii="Times New Roman" w:hAnsi="Times New Roman" w:cs="Times New Roman"/>
          <w:szCs w:val="24"/>
          <w:u w:val="single"/>
        </w:rPr>
        <w:t xml:space="preserve"> incydentom krytycznym</w:t>
      </w:r>
      <w:r w:rsidR="002161FE">
        <w:rPr>
          <w:rFonts w:ascii="Times New Roman" w:hAnsi="Times New Roman" w:cs="Times New Roman"/>
          <w:szCs w:val="24"/>
          <w:u w:val="single"/>
        </w:rPr>
        <w:t xml:space="preserve"> i </w:t>
      </w:r>
      <w:r w:rsidRPr="0024375B">
        <w:rPr>
          <w:rFonts w:ascii="Times New Roman" w:hAnsi="Times New Roman" w:cs="Times New Roman"/>
          <w:szCs w:val="24"/>
          <w:u w:val="single"/>
        </w:rPr>
        <w:t xml:space="preserve">zwiększenie skuteczności reagowania na incydenty krytyczne </w:t>
      </w:r>
    </w:p>
    <w:p w14:paraId="149C0261" w14:textId="77777777" w:rsidR="00F6749E" w:rsidRPr="00FC6B8C" w:rsidRDefault="00F6749E" w:rsidP="00C405E1">
      <w:pPr>
        <w:pStyle w:val="NIEARTTEKSTtekstnieartykuowanynppodstprawnarozplubpreambua"/>
        <w:spacing w:before="0"/>
      </w:pPr>
      <w:r w:rsidRPr="0024375B">
        <w:rPr>
          <w:rFonts w:ascii="Times New Roman" w:hAnsi="Times New Roman" w:cs="Times New Roman"/>
          <w:szCs w:val="24"/>
        </w:rPr>
        <w:t xml:space="preserve">W celu zapobiegania </w:t>
      </w:r>
      <w:r w:rsidR="00FC171C" w:rsidRPr="0024375B">
        <w:rPr>
          <w:rFonts w:ascii="Times New Roman" w:hAnsi="Times New Roman" w:cs="Times New Roman"/>
          <w:szCs w:val="24"/>
        </w:rPr>
        <w:t>incydentom krytycznym</w:t>
      </w:r>
      <w:r w:rsidR="002161FE">
        <w:rPr>
          <w:rFonts w:ascii="Times New Roman" w:hAnsi="Times New Roman" w:cs="Times New Roman"/>
          <w:szCs w:val="24"/>
        </w:rPr>
        <w:t xml:space="preserve"> i </w:t>
      </w:r>
      <w:r w:rsidRPr="0024375B">
        <w:rPr>
          <w:rFonts w:ascii="Times New Roman" w:hAnsi="Times New Roman" w:cs="Times New Roman"/>
          <w:szCs w:val="24"/>
        </w:rPr>
        <w:t xml:space="preserve">zwiększenia skuteczności reagowania </w:t>
      </w:r>
      <w:r w:rsidR="00FC171C" w:rsidRPr="0024375B">
        <w:rPr>
          <w:rFonts w:ascii="Times New Roman" w:hAnsi="Times New Roman" w:cs="Times New Roman"/>
          <w:szCs w:val="24"/>
        </w:rPr>
        <w:t xml:space="preserve">na nie </w:t>
      </w:r>
      <w:r w:rsidRPr="0024375B">
        <w:rPr>
          <w:rFonts w:ascii="Times New Roman" w:hAnsi="Times New Roman" w:cs="Times New Roman"/>
          <w:szCs w:val="24"/>
        </w:rPr>
        <w:t>będą mogły być wydawane</w:t>
      </w:r>
      <w:r w:rsidR="00862E68">
        <w:rPr>
          <w:rFonts w:ascii="Times New Roman" w:hAnsi="Times New Roman" w:cs="Times New Roman"/>
          <w:szCs w:val="24"/>
        </w:rPr>
        <w:t xml:space="preserve"> </w:t>
      </w:r>
      <w:r w:rsidRPr="00FC6B8C">
        <w:t xml:space="preserve">ostrzeżenia </w:t>
      </w:r>
      <w:r w:rsidR="005D22F8" w:rsidRPr="00FC6B8C">
        <w:t>Pełnomocnika</w:t>
      </w:r>
      <w:r w:rsidR="00E96F6D" w:rsidRPr="00FC6B8C">
        <w:t xml:space="preserve"> –</w:t>
      </w:r>
      <w:r w:rsidR="00EA1900" w:rsidRPr="00FC6B8C">
        <w:t xml:space="preserve"> w </w:t>
      </w:r>
      <w:r w:rsidRPr="00FC6B8C">
        <w:t>przypadku uzyskania informacji</w:t>
      </w:r>
      <w:r w:rsidR="0077165A" w:rsidRPr="00FC6B8C">
        <w:t xml:space="preserve"> o </w:t>
      </w:r>
      <w:r w:rsidRPr="00FC6B8C">
        <w:t>cyberzagrożeniu, która uprawdopodobni możliwość wystąpienia incydentu krytycznego</w:t>
      </w:r>
      <w:r w:rsidR="000423AA">
        <w:t>.</w:t>
      </w:r>
    </w:p>
    <w:p w14:paraId="4013FDE8" w14:textId="77777777" w:rsidR="00F6749E" w:rsidRPr="0024375B" w:rsidRDefault="00F6749E" w:rsidP="0024375B">
      <w:pPr>
        <w:pStyle w:val="NIEARTTEKSTtekstnieartykuowanynppodstprawnarozplubpreambua"/>
        <w:spacing w:after="240"/>
        <w:rPr>
          <w:rFonts w:ascii="Times New Roman" w:hAnsi="Times New Roman" w:cs="Times New Roman"/>
          <w:szCs w:val="24"/>
          <w:u w:val="single"/>
        </w:rPr>
      </w:pPr>
      <w:r w:rsidRPr="0024375B">
        <w:rPr>
          <w:rFonts w:ascii="Times New Roman" w:hAnsi="Times New Roman" w:cs="Times New Roman"/>
          <w:szCs w:val="24"/>
          <w:u w:val="single"/>
        </w:rPr>
        <w:t xml:space="preserve">Krajowe programy certyfikacji cyberbezpieczeństwa </w:t>
      </w:r>
    </w:p>
    <w:p w14:paraId="5A008FBC" w14:textId="77777777" w:rsidR="00F6749E" w:rsidRPr="00FC6B8C" w:rsidRDefault="00F6749E" w:rsidP="00FC6B8C">
      <w:pPr>
        <w:pStyle w:val="NIEARTTEKSTtekstnieartykuowanynppodstprawnarozplubpreambua"/>
      </w:pPr>
      <w:r w:rsidRPr="00FC6B8C">
        <w:t>Projekt ustawy przewiduje tworzenie krajowych programów certyfikacji cyberbezpieczeństwa</w:t>
      </w:r>
      <w:r w:rsidR="005D22F8" w:rsidRPr="00FC6B8C">
        <w:t>, na </w:t>
      </w:r>
      <w:r w:rsidR="00304BE4" w:rsidRPr="00FC6B8C">
        <w:t>podstawie których</w:t>
      </w:r>
      <w:r w:rsidRPr="00FC6B8C">
        <w:t xml:space="preserve"> przeprowadzana </w:t>
      </w:r>
      <w:r w:rsidR="00304BE4" w:rsidRPr="00FC6B8C">
        <w:t xml:space="preserve">będzie </w:t>
      </w:r>
      <w:r w:rsidRPr="00FC6B8C">
        <w:t>certyfikacja.</w:t>
      </w:r>
      <w:r w:rsidR="00116933" w:rsidRPr="00FC6B8C">
        <w:t xml:space="preserve"> W </w:t>
      </w:r>
      <w:r w:rsidR="00EB5CC7" w:rsidRPr="00FC6B8C">
        <w:t>programach</w:t>
      </w:r>
      <w:r w:rsidR="00304BE4" w:rsidRPr="00FC6B8C">
        <w:t xml:space="preserve"> zawarte zostaną </w:t>
      </w:r>
      <w:r w:rsidRPr="00FC6B8C">
        <w:t>techniczne standardy</w:t>
      </w:r>
      <w:r w:rsidR="00304BE4" w:rsidRPr="00FC6B8C">
        <w:t>,</w:t>
      </w:r>
      <w:r w:rsidRPr="00FC6B8C">
        <w:t xml:space="preserve"> </w:t>
      </w:r>
      <w:r w:rsidR="00304BE4" w:rsidRPr="00FC6B8C">
        <w:t xml:space="preserve">które </w:t>
      </w:r>
      <w:r w:rsidR="00EB5CC7" w:rsidRPr="00FC6B8C">
        <w:t xml:space="preserve">będą musiały spełniać </w:t>
      </w:r>
      <w:r w:rsidRPr="00FC6B8C">
        <w:t>produkty, usługi</w:t>
      </w:r>
      <w:r w:rsidR="002161FE" w:rsidRPr="00FC6B8C">
        <w:t xml:space="preserve"> i </w:t>
      </w:r>
      <w:r w:rsidRPr="00FC6B8C">
        <w:t>procesy ICT.</w:t>
      </w:r>
      <w:r w:rsidR="00FD08CC" w:rsidRPr="00FC6B8C">
        <w:t xml:space="preserve"> </w:t>
      </w:r>
      <w:r w:rsidRPr="00FC6B8C">
        <w:t xml:space="preserve">Ponadto, </w:t>
      </w:r>
      <w:r w:rsidR="00EB5CC7" w:rsidRPr="00FC6B8C">
        <w:t xml:space="preserve">programy </w:t>
      </w:r>
      <w:r w:rsidRPr="00FC6B8C">
        <w:t xml:space="preserve">będą określały </w:t>
      </w:r>
      <w:r w:rsidRPr="00FC6B8C">
        <w:lastRenderedPageBreak/>
        <w:t>szczegóły związane</w:t>
      </w:r>
      <w:r w:rsidR="002161FE" w:rsidRPr="00FC6B8C">
        <w:t xml:space="preserve"> z </w:t>
      </w:r>
      <w:r w:rsidRPr="00FC6B8C">
        <w:t>procesem certyfikacji</w:t>
      </w:r>
      <w:r w:rsidR="00EB5CC7" w:rsidRPr="00FC6B8C">
        <w:t>, jak również</w:t>
      </w:r>
      <w:r w:rsidRPr="00FC6B8C">
        <w:t xml:space="preserve"> procedury sanacyjne</w:t>
      </w:r>
      <w:r w:rsidR="00EA1900" w:rsidRPr="00FC6B8C">
        <w:t xml:space="preserve"> w </w:t>
      </w:r>
      <w:r w:rsidRPr="00FC6B8C">
        <w:t xml:space="preserve">przypadku, gdy po certyfikacji ujawnią się wady produktów. Wszystkie te elementy muszą być bardzo ściśle dostosowane do konkretnego produktu, usługi czy procesu ICT. </w:t>
      </w:r>
      <w:r w:rsidR="00D3076D" w:rsidRPr="00FC6B8C">
        <w:t xml:space="preserve">Na etapie planowania prac minister właściwy do spraw informatyzacji będzie mógł zlecić przygotowanie ekspertyz, opinii czy projektów dokumentacji podmiotom prywatnym. Pozwoli to wykorzystać wiedzę i doświadczenie podmiotów prywatnych przy przygotowywaniu projektu krajowego programu certyfikacji cyberbezpieczeństwa. Ponadto, narzędzia te będę również służyły zbadaniu czy w danym obszarze przygotowanie takiego programu byłoby w zasadne. </w:t>
      </w:r>
      <w:r w:rsidR="00116933" w:rsidRPr="00FC6B8C">
        <w:t>W </w:t>
      </w:r>
      <w:r w:rsidR="003B0A7B" w:rsidRPr="00FC6B8C">
        <w:t>szczególności może on powierzyć przygotowanie takiego projektu jednostkom przez siebie nadzorowanym np. Naukowej</w:t>
      </w:r>
      <w:r w:rsidR="002161FE" w:rsidRPr="00FC6B8C">
        <w:t xml:space="preserve"> i </w:t>
      </w:r>
      <w:r w:rsidR="003B0A7B" w:rsidRPr="00FC6B8C">
        <w:t>Akademickiej Sieci Komputerowej czy Instytutowi Łączności. Następnie</w:t>
      </w:r>
      <w:r w:rsidR="00D3076D" w:rsidRPr="00FC6B8C">
        <w:t xml:space="preserve">, w ramach zwykłej procedury legislacyjnej, będzie przygotowywane </w:t>
      </w:r>
      <w:r w:rsidR="003B0A7B" w:rsidRPr="00FC6B8C">
        <w:t>rozporządzeni</w:t>
      </w:r>
      <w:r w:rsidR="00D3076D" w:rsidRPr="00FC6B8C">
        <w:t>e Rady Ministrów</w:t>
      </w:r>
      <w:r w:rsidR="003B0A7B" w:rsidRPr="00FC6B8C">
        <w:t>, ustanawiającego dany program. Na tym etapie możliwość wypowiedzenia się</w:t>
      </w:r>
      <w:r w:rsidR="0077165A" w:rsidRPr="00FC6B8C">
        <w:t xml:space="preserve"> o </w:t>
      </w:r>
      <w:r w:rsidR="003B0A7B" w:rsidRPr="00FC6B8C">
        <w:t>kształcie danego programu będzie miał każdy zainteresowany organ administracji publicznej (art. 59d).</w:t>
      </w:r>
      <w:r w:rsidR="003B0A7B" w:rsidRPr="00FC6B8C" w:rsidDel="003B0A7B">
        <w:t xml:space="preserve"> </w:t>
      </w:r>
    </w:p>
    <w:p w14:paraId="6297130F" w14:textId="77777777" w:rsidR="00176953" w:rsidRPr="00FC6B8C" w:rsidRDefault="00F6749E" w:rsidP="00FC6B8C">
      <w:pPr>
        <w:pStyle w:val="NIEARTTEKSTtekstnieartykuowanynppodstprawnarozplubpreambua"/>
      </w:pPr>
      <w:r w:rsidRPr="00FC6B8C">
        <w:t xml:space="preserve">Elementy programu zostały sformułowane na wzór przepisów </w:t>
      </w:r>
      <w:r w:rsidR="003A6DBF" w:rsidRPr="00FC6B8C">
        <w:t>A</w:t>
      </w:r>
      <w:r w:rsidRPr="00FC6B8C">
        <w:t>ktu</w:t>
      </w:r>
      <w:r w:rsidR="0077165A" w:rsidRPr="00FC6B8C">
        <w:t xml:space="preserve"> o </w:t>
      </w:r>
      <w:r w:rsidRPr="00FC6B8C">
        <w:t>cyberbezpieczeństwie</w:t>
      </w:r>
      <w:r w:rsidR="005920E2" w:rsidRPr="00FC6B8C">
        <w:t>,</w:t>
      </w:r>
      <w:r w:rsidRPr="00FC6B8C">
        <w:t xml:space="preserve"> dotyczących europejskich programów certyfikacji cyberbezpieczeństwa. Dzięki temu wymagania</w:t>
      </w:r>
      <w:r w:rsidR="002161FE" w:rsidRPr="00FC6B8C">
        <w:t xml:space="preserve"> i </w:t>
      </w:r>
      <w:r w:rsidRPr="00FC6B8C">
        <w:t>standardy wobec krajowych</w:t>
      </w:r>
      <w:r w:rsidR="002161FE" w:rsidRPr="00FC6B8C">
        <w:t xml:space="preserve"> i </w:t>
      </w:r>
      <w:r w:rsidRPr="00FC6B8C">
        <w:t>europejskich programów certyfikacji będą bardzo do siebie zbliżone</w:t>
      </w:r>
      <w:r w:rsidR="00AC1750" w:rsidRPr="00FC6B8C">
        <w:t>,</w:t>
      </w:r>
      <w:r w:rsidRPr="00FC6B8C">
        <w:t xml:space="preserve"> co sprawi, że nie będzie konieczne tworzenie osobnej terminologii dla krajowych programów certyfikacji. Umożliwi to więc wykorzystanie</w:t>
      </w:r>
      <w:r w:rsidR="00EA1900" w:rsidRPr="00FC6B8C">
        <w:t xml:space="preserve"> w </w:t>
      </w:r>
      <w:r w:rsidRPr="00FC6B8C">
        <w:t>jak największym stopniu praktyk wypracowanych</w:t>
      </w:r>
      <w:r w:rsidR="00EA1900" w:rsidRPr="00FC6B8C">
        <w:t xml:space="preserve"> w </w:t>
      </w:r>
      <w:r w:rsidRPr="00FC6B8C">
        <w:t>ramach europejskich programów certyfikacji. Ponadto</w:t>
      </w:r>
      <w:r w:rsidR="00AC1750" w:rsidRPr="00FC6B8C">
        <w:t>,</w:t>
      </w:r>
      <w:r w:rsidRPr="00FC6B8C">
        <w:t xml:space="preserve"> certyfikaty cyberbezpieczeństwa wydane na podstawie krajowych programów certyfikacyjnych </w:t>
      </w:r>
      <w:r w:rsidR="00AC1750" w:rsidRPr="00FC6B8C">
        <w:t>będą mogły</w:t>
      </w:r>
      <w:r w:rsidRPr="00FC6B8C">
        <w:t xml:space="preserve">, </w:t>
      </w:r>
      <w:r w:rsidR="00AC1750" w:rsidRPr="00FC6B8C">
        <w:t>dzięki</w:t>
      </w:r>
      <w:r w:rsidRPr="00FC6B8C">
        <w:t xml:space="preserve"> </w:t>
      </w:r>
      <w:r w:rsidR="00AC1750" w:rsidRPr="00FC6B8C">
        <w:t xml:space="preserve">przyjętym </w:t>
      </w:r>
      <w:r w:rsidR="008F2B57" w:rsidRPr="00FC6B8C">
        <w:t>rozwiązaniom</w:t>
      </w:r>
      <w:r w:rsidRPr="00FC6B8C">
        <w:t>, łatwo zostać uznane</w:t>
      </w:r>
      <w:r w:rsidR="00EA1900" w:rsidRPr="00FC6B8C">
        <w:t xml:space="preserve"> w </w:t>
      </w:r>
      <w:r w:rsidRPr="00FC6B8C">
        <w:t xml:space="preserve">innych krajach UE. </w:t>
      </w:r>
      <w:r w:rsidR="008F2B57" w:rsidRPr="00FC6B8C">
        <w:t>M</w:t>
      </w:r>
      <w:r w:rsidRPr="00FC6B8C">
        <w:t xml:space="preserve">ożliwe </w:t>
      </w:r>
      <w:r w:rsidR="008F2B57" w:rsidRPr="00FC6B8C">
        <w:t>także</w:t>
      </w:r>
      <w:r w:rsidRPr="00FC6B8C">
        <w:t xml:space="preserve"> będzie rozszerzenie rynku certyfikacji przez obj</w:t>
      </w:r>
      <w:r w:rsidR="00176953" w:rsidRPr="00FC6B8C">
        <w:t>ę</w:t>
      </w:r>
      <w:r w:rsidRPr="00FC6B8C">
        <w:t>cie programami produktów, usług</w:t>
      </w:r>
      <w:r w:rsidR="002161FE" w:rsidRPr="00FC6B8C">
        <w:t xml:space="preserve"> i </w:t>
      </w:r>
      <w:r w:rsidRPr="00FC6B8C">
        <w:t>procesów ICT nieujętych</w:t>
      </w:r>
      <w:r w:rsidR="00EA1900" w:rsidRPr="00FC6B8C">
        <w:t xml:space="preserve"> w </w:t>
      </w:r>
      <w:r w:rsidRPr="00FC6B8C">
        <w:t>europejskich programach certyfikacyjnych. Bliskość</w:t>
      </w:r>
      <w:r w:rsidR="002161FE" w:rsidRPr="00FC6B8C">
        <w:t xml:space="preserve"> z </w:t>
      </w:r>
      <w:r w:rsidRPr="00FC6B8C">
        <w:t>programami europejskimi umożliwi też stosunkowo łatwe przenoszenie programów krajowych na poziom europejski. Będzie to bardzo ważnym narzędziem do kreowania polskiej polityki</w:t>
      </w:r>
      <w:r w:rsidR="00EA1900" w:rsidRPr="00FC6B8C">
        <w:t xml:space="preserve"> w </w:t>
      </w:r>
      <w:r w:rsidRPr="00FC6B8C">
        <w:t xml:space="preserve">zakresie certyfikacji cyberbezpieczeństwa na poziomie europejskim (art. 59 </w:t>
      </w:r>
      <w:r w:rsidR="00D3076D" w:rsidRPr="00FC6B8C">
        <w:t>d</w:t>
      </w:r>
      <w:r w:rsidR="00A5367C" w:rsidRPr="00FC6B8C">
        <w:t>–</w:t>
      </w:r>
      <w:r w:rsidR="008D57A6" w:rsidRPr="00FC6B8C">
        <w:t>g</w:t>
      </w:r>
      <w:r w:rsidRPr="00FC6B8C">
        <w:t xml:space="preserve">). </w:t>
      </w:r>
    </w:p>
    <w:p w14:paraId="58C318A4" w14:textId="77777777" w:rsidR="00F6749E" w:rsidRPr="00FC6B8C" w:rsidRDefault="00F6749E" w:rsidP="00FC6B8C">
      <w:pPr>
        <w:pStyle w:val="NIEARTTEKSTtekstnieartykuowanynppodstprawnarozplubpreambua"/>
      </w:pPr>
      <w:r w:rsidRPr="00FC6B8C">
        <w:t>Proces certyfikacji będzie prowadzony przez jednostki oceniające zgodność akredytowane przez Polskie Centrum Akredytacji na podstawie przepisów ustawy</w:t>
      </w:r>
      <w:r w:rsidR="002161FE" w:rsidRPr="00FC6B8C">
        <w:t xml:space="preserve"> z </w:t>
      </w:r>
      <w:r w:rsidR="00C22A87" w:rsidRPr="00FC6B8C">
        <w:t>dnia 13 kwietnia 2016 r.</w:t>
      </w:r>
      <w:r w:rsidR="0077165A" w:rsidRPr="00FC6B8C">
        <w:t xml:space="preserve"> o </w:t>
      </w:r>
      <w:r w:rsidRPr="00FC6B8C">
        <w:t>systemach oceny zgodności</w:t>
      </w:r>
      <w:r w:rsidR="002161FE" w:rsidRPr="00FC6B8C">
        <w:t xml:space="preserve"> i </w:t>
      </w:r>
      <w:r w:rsidRPr="00FC6B8C">
        <w:t>systemach nadzoru rynku. Wykorzystanie już obowiązujących przepisów zapewni możliwie najsprawniejsze wprowadzenie</w:t>
      </w:r>
      <w:r w:rsidR="00EA1900" w:rsidRPr="00FC6B8C">
        <w:t xml:space="preserve"> w </w:t>
      </w:r>
      <w:r w:rsidRPr="00FC6B8C">
        <w:t>życie systemu certyfikacji cyberbezpieczeństwa. Polskie Centrum Akredytacji będzie sprawowało nadzór nad akredytacją jednostek oceniających zgodność. Będzie też na bieżąco wymieniać się informacjami z ministrem właściwym do spraw informatyzacji</w:t>
      </w:r>
      <w:r w:rsidR="005920E2" w:rsidRPr="00FC6B8C">
        <w:t>,</w:t>
      </w:r>
      <w:r w:rsidRPr="00FC6B8C">
        <w:t xml:space="preserve"> co zapewni skuteczną kontrolę nad całym systemem (art. 59</w:t>
      </w:r>
      <w:r w:rsidR="003B0A7B" w:rsidRPr="00FC6B8C">
        <w:t>h</w:t>
      </w:r>
      <w:r w:rsidRPr="00FC6B8C">
        <w:t>)</w:t>
      </w:r>
      <w:r w:rsidR="00A5367C" w:rsidRPr="00FC6B8C">
        <w:t>.</w:t>
      </w:r>
      <w:r w:rsidRPr="00FC6B8C">
        <w:t> </w:t>
      </w:r>
    </w:p>
    <w:p w14:paraId="4F951E86" w14:textId="77777777" w:rsidR="00375939" w:rsidRPr="00FC6B8C" w:rsidRDefault="00F6749E" w:rsidP="00FC6B8C">
      <w:pPr>
        <w:pStyle w:val="NIEARTTEKSTtekstnieartykuowanynppodstprawnarozplubpreambua"/>
      </w:pPr>
      <w:r w:rsidRPr="00FC6B8C">
        <w:t>W przypadku certyfikatów odwołujących się do najniższego</w:t>
      </w:r>
      <w:r w:rsidR="002161FE" w:rsidRPr="00FC6B8C">
        <w:t xml:space="preserve"> z </w:t>
      </w:r>
      <w:r w:rsidRPr="00FC6B8C">
        <w:t>poziomów uzasadnienia zaufania</w:t>
      </w:r>
      <w:r w:rsidR="005920E2" w:rsidRPr="00FC6B8C">
        <w:t>,</w:t>
      </w:r>
      <w:r w:rsidRPr="00FC6B8C">
        <w:t xml:space="preserve"> sami dostawcy sprzętu lub oprogramowania będą mogli wy</w:t>
      </w:r>
      <w:r w:rsidR="687E3741" w:rsidRPr="00FC6B8C">
        <w:t>dawać</w:t>
      </w:r>
      <w:r w:rsidRPr="00FC6B8C">
        <w:t xml:space="preserve"> deklaracje zgodności</w:t>
      </w:r>
      <w:r w:rsidR="0084038D" w:rsidRPr="00FC6B8C">
        <w:t>,</w:t>
      </w:r>
      <w:r w:rsidRPr="00FC6B8C">
        <w:t xml:space="preserve"> by wskazać, że ich produkt spełnia dane wymagania (art. 59</w:t>
      </w:r>
      <w:r w:rsidR="003B0A7B" w:rsidRPr="00FC6B8C">
        <w:t>p</w:t>
      </w:r>
      <w:r w:rsidR="00A5367C" w:rsidRPr="00FC6B8C">
        <w:t>–</w:t>
      </w:r>
      <w:r w:rsidR="003B0A7B" w:rsidRPr="00FC6B8C">
        <w:t>r</w:t>
      </w:r>
      <w:r w:rsidRPr="00FC6B8C">
        <w:t xml:space="preserve">). </w:t>
      </w:r>
      <w:r w:rsidR="0084038D" w:rsidRPr="00FC6B8C">
        <w:t>Dostawcy sprzętu lub oprogramowania uzyskają zatem</w:t>
      </w:r>
      <w:r w:rsidRPr="00FC6B8C">
        <w:t xml:space="preserve"> możliwość </w:t>
      </w:r>
      <w:r w:rsidRPr="00FC6B8C">
        <w:lastRenderedPageBreak/>
        <w:t>skorzystania</w:t>
      </w:r>
      <w:r w:rsidR="002161FE" w:rsidRPr="00FC6B8C">
        <w:t xml:space="preserve"> z </w:t>
      </w:r>
      <w:r w:rsidRPr="00FC6B8C">
        <w:t xml:space="preserve">programów certyfikacyjnych </w:t>
      </w:r>
      <w:r w:rsidR="0084038D" w:rsidRPr="00FC6B8C">
        <w:t xml:space="preserve">przy jednoczesnym ograniczeniu </w:t>
      </w:r>
      <w:r w:rsidR="00F31C42" w:rsidRPr="00FC6B8C">
        <w:t>koszt</w:t>
      </w:r>
      <w:r w:rsidR="0084038D" w:rsidRPr="00FC6B8C">
        <w:t>ów</w:t>
      </w:r>
      <w:r w:rsidR="00F31C42" w:rsidRPr="00FC6B8C">
        <w:t xml:space="preserve"> uczestnictwa</w:t>
      </w:r>
      <w:r w:rsidR="00EA1900" w:rsidRPr="00FC6B8C">
        <w:t xml:space="preserve"> w </w:t>
      </w:r>
      <w:r w:rsidR="0084038D" w:rsidRPr="00FC6B8C">
        <w:t>tych programach</w:t>
      </w:r>
      <w:r w:rsidR="00F31C42" w:rsidRPr="00FC6B8C">
        <w:t>.</w:t>
      </w:r>
    </w:p>
    <w:p w14:paraId="26C0D771" w14:textId="77777777" w:rsidR="00375939" w:rsidRPr="0024375B" w:rsidRDefault="00375939" w:rsidP="0024375B">
      <w:pPr>
        <w:pStyle w:val="ARTartustawynprozporzdzenia"/>
        <w:spacing w:after="240"/>
        <w:rPr>
          <w:szCs w:val="24"/>
          <w:u w:val="single"/>
        </w:rPr>
      </w:pPr>
      <w:r w:rsidRPr="0024375B">
        <w:rPr>
          <w:szCs w:val="24"/>
          <w:u w:val="single"/>
        </w:rPr>
        <w:t>Strategiczna sieć bezpieczeństwa</w:t>
      </w:r>
    </w:p>
    <w:p w14:paraId="4F15DEF2" w14:textId="77777777" w:rsidR="00B52A8F" w:rsidRPr="0024375B" w:rsidRDefault="00B52A8F" w:rsidP="0024375B">
      <w:pPr>
        <w:pStyle w:val="NIEARTTEKSTtekstnieartykuowanynppodstprawnarozplubpreambua"/>
        <w:spacing w:before="0"/>
        <w:rPr>
          <w:szCs w:val="24"/>
        </w:rPr>
      </w:pPr>
      <w:r w:rsidRPr="0024375B">
        <w:rPr>
          <w:szCs w:val="24"/>
        </w:rPr>
        <w:t>W projekcie ustawy przewidziano utworzenie bezpiecznej sieci telekomunikacyjnej na potrzeby realizacji przez kluczowe organy</w:t>
      </w:r>
      <w:r w:rsidR="002161FE">
        <w:rPr>
          <w:szCs w:val="24"/>
        </w:rPr>
        <w:t xml:space="preserve"> i </w:t>
      </w:r>
      <w:r w:rsidRPr="0024375B">
        <w:rPr>
          <w:szCs w:val="24"/>
        </w:rPr>
        <w:t>podmioty działające</w:t>
      </w:r>
      <w:r w:rsidR="00EA1900">
        <w:rPr>
          <w:szCs w:val="24"/>
        </w:rPr>
        <w:t xml:space="preserve"> w </w:t>
      </w:r>
      <w:r w:rsidRPr="0024375B">
        <w:rPr>
          <w:szCs w:val="24"/>
        </w:rPr>
        <w:t>Rzeczypospolitej Polskiej zadań na rzecz obronności, bezpieczeństwa państwa oraz bezpieczeństwa</w:t>
      </w:r>
      <w:r w:rsidR="002161FE">
        <w:rPr>
          <w:szCs w:val="24"/>
        </w:rPr>
        <w:t xml:space="preserve"> i </w:t>
      </w:r>
      <w:r w:rsidRPr="0024375B">
        <w:rPr>
          <w:szCs w:val="24"/>
        </w:rPr>
        <w:t>porządku publicznego,</w:t>
      </w:r>
      <w:r w:rsidR="002161FE">
        <w:rPr>
          <w:szCs w:val="24"/>
        </w:rPr>
        <w:t xml:space="preserve"> a </w:t>
      </w:r>
      <w:r w:rsidRPr="0024375B">
        <w:rPr>
          <w:szCs w:val="24"/>
        </w:rPr>
        <w:t>także określono sposób powołania operatora tej sieci</w:t>
      </w:r>
      <w:r w:rsidR="00794812" w:rsidRPr="0024375B">
        <w:rPr>
          <w:szCs w:val="24"/>
        </w:rPr>
        <w:t xml:space="preserve"> oraz warunki, które musi spełniać ten podmiot.</w:t>
      </w:r>
    </w:p>
    <w:p w14:paraId="1516BC0A" w14:textId="37EDC7F0" w:rsidR="00375939" w:rsidRPr="0024375B" w:rsidRDefault="00375939" w:rsidP="0024375B">
      <w:pPr>
        <w:pStyle w:val="NIEARTTEKSTtekstnieartykuowanynppodstprawnarozplubpreambua"/>
        <w:spacing w:before="0"/>
        <w:rPr>
          <w:szCs w:val="24"/>
        </w:rPr>
      </w:pPr>
      <w:r w:rsidRPr="0024375B">
        <w:rPr>
          <w:szCs w:val="24"/>
        </w:rPr>
        <w:t xml:space="preserve">W tym celu zostanie powołany </w:t>
      </w:r>
      <w:r w:rsidR="009054DB">
        <w:rPr>
          <w:szCs w:val="24"/>
        </w:rPr>
        <w:t>o</w:t>
      </w:r>
      <w:r w:rsidRPr="0024375B">
        <w:rPr>
          <w:szCs w:val="24"/>
        </w:rPr>
        <w:t>perator strategicznej sieci bezpieczeństwa, który będzie wyznaczany, przez Prezesa Rady Ministrów spośród podmiotów spełniających łącznie następujące warunki:</w:t>
      </w:r>
    </w:p>
    <w:p w14:paraId="2438821C" w14:textId="77777777" w:rsidR="00375939" w:rsidRPr="0024375B" w:rsidRDefault="00375939" w:rsidP="0024375B">
      <w:pPr>
        <w:pStyle w:val="NIEARTTEKSTtekstnieartykuowanynppodstprawnarozplubpreambua"/>
        <w:numPr>
          <w:ilvl w:val="0"/>
          <w:numId w:val="74"/>
        </w:numPr>
        <w:spacing w:before="0"/>
        <w:rPr>
          <w:szCs w:val="24"/>
        </w:rPr>
      </w:pPr>
      <w:r w:rsidRPr="0024375B">
        <w:rPr>
          <w:szCs w:val="24"/>
        </w:rPr>
        <w:t xml:space="preserve">będących jednoosobową spółką Skarbu Państwa, </w:t>
      </w:r>
    </w:p>
    <w:p w14:paraId="26E421AC" w14:textId="77777777" w:rsidR="00375939" w:rsidRPr="0024375B" w:rsidRDefault="00375939" w:rsidP="0024375B">
      <w:pPr>
        <w:pStyle w:val="NIEARTTEKSTtekstnieartykuowanynppodstprawnarozplubpreambua"/>
        <w:numPr>
          <w:ilvl w:val="0"/>
          <w:numId w:val="74"/>
        </w:numPr>
        <w:spacing w:before="0"/>
        <w:rPr>
          <w:szCs w:val="24"/>
        </w:rPr>
      </w:pPr>
      <w:r w:rsidRPr="0024375B">
        <w:rPr>
          <w:szCs w:val="24"/>
        </w:rPr>
        <w:t>będących przedsiębiorcą telekomunikacyjnym,</w:t>
      </w:r>
    </w:p>
    <w:p w14:paraId="18EC917D" w14:textId="77777777" w:rsidR="00375939" w:rsidRPr="0024375B" w:rsidRDefault="00375939" w:rsidP="0024375B">
      <w:pPr>
        <w:pStyle w:val="NIEARTTEKSTtekstnieartykuowanynppodstprawnarozplubpreambua"/>
        <w:numPr>
          <w:ilvl w:val="0"/>
          <w:numId w:val="74"/>
        </w:numPr>
        <w:spacing w:before="0"/>
      </w:pPr>
      <w:r w:rsidRPr="0024375B">
        <w:t>posiadających infrastrukturę telekomunikacyjną niezbędną do realizacji zadań,</w:t>
      </w:r>
      <w:r w:rsidR="0077165A">
        <w:t xml:space="preserve"> o </w:t>
      </w:r>
      <w:r w:rsidRPr="0024375B">
        <w:t>których mowa</w:t>
      </w:r>
      <w:r w:rsidR="00EA1900">
        <w:t xml:space="preserve"> w </w:t>
      </w:r>
      <w:r w:rsidR="127EDF05" w:rsidRPr="0024375B">
        <w:t>art. 76d</w:t>
      </w:r>
      <w:r w:rsidRPr="0024375B">
        <w:t xml:space="preserve"> </w:t>
      </w:r>
      <w:r w:rsidR="00D00CB4">
        <w:t>ust. </w:t>
      </w:r>
      <w:r w:rsidRPr="0024375B">
        <w:t>1</w:t>
      </w:r>
      <w:r w:rsidR="487AD7B3" w:rsidRPr="0024375B">
        <w:t xml:space="preserve"> lub które zobowiązały się do jej pozyskania</w:t>
      </w:r>
      <w:r w:rsidRPr="0024375B">
        <w:t>,</w:t>
      </w:r>
    </w:p>
    <w:p w14:paraId="46961F42" w14:textId="77777777" w:rsidR="00375939" w:rsidRPr="0024375B" w:rsidRDefault="00375939" w:rsidP="0024375B">
      <w:pPr>
        <w:pStyle w:val="NIEARTTEKSTtekstnieartykuowanynppodstprawnarozplubpreambua"/>
        <w:numPr>
          <w:ilvl w:val="0"/>
          <w:numId w:val="74"/>
        </w:numPr>
        <w:spacing w:before="0"/>
        <w:rPr>
          <w:szCs w:val="24"/>
        </w:rPr>
      </w:pPr>
      <w:r w:rsidRPr="0024375B">
        <w:rPr>
          <w:szCs w:val="24"/>
        </w:rPr>
        <w:t>posiadających środki techniczne</w:t>
      </w:r>
      <w:r w:rsidR="002161FE">
        <w:rPr>
          <w:szCs w:val="24"/>
        </w:rPr>
        <w:t xml:space="preserve"> i </w:t>
      </w:r>
      <w:r w:rsidRPr="0024375B">
        <w:rPr>
          <w:szCs w:val="24"/>
        </w:rPr>
        <w:t>organizacyjne zapewniające bezpieczne przetwarzanie danych</w:t>
      </w:r>
      <w:r w:rsidR="00EA1900">
        <w:rPr>
          <w:szCs w:val="24"/>
        </w:rPr>
        <w:t xml:space="preserve"> w </w:t>
      </w:r>
      <w:r w:rsidRPr="0024375B">
        <w:rPr>
          <w:szCs w:val="24"/>
        </w:rPr>
        <w:t>sieci telekomunikacyjnej,</w:t>
      </w:r>
    </w:p>
    <w:p w14:paraId="0839FF52" w14:textId="77777777" w:rsidR="00375939" w:rsidRPr="0024375B" w:rsidRDefault="00375939" w:rsidP="0024375B">
      <w:pPr>
        <w:pStyle w:val="NIEARTTEKSTtekstnieartykuowanynppodstprawnarozplubpreambua"/>
        <w:numPr>
          <w:ilvl w:val="0"/>
          <w:numId w:val="74"/>
        </w:numPr>
        <w:spacing w:before="0"/>
      </w:pPr>
      <w:r w:rsidRPr="0024375B">
        <w:t>posiadających świadectwo bezpieczeństwa przemysłowego</w:t>
      </w:r>
    </w:p>
    <w:p w14:paraId="3404A62F" w14:textId="381C0D91" w:rsidR="00375939" w:rsidRPr="0024375B" w:rsidRDefault="00EB141C" w:rsidP="0024375B">
      <w:pPr>
        <w:pStyle w:val="NIEARTTEKSTtekstnieartykuowanynppodstprawnarozplubpreambua"/>
        <w:numPr>
          <w:ilvl w:val="0"/>
          <w:numId w:val="74"/>
        </w:numPr>
        <w:spacing w:before="0"/>
      </w:pPr>
      <w:r>
        <w:t>d</w:t>
      </w:r>
      <w:r w:rsidR="57062878" w:rsidRPr="0024375B">
        <w:t xml:space="preserve">ających rękojmię należytego wykonywania zadań </w:t>
      </w:r>
      <w:r w:rsidR="004D5B52">
        <w:t>o</w:t>
      </w:r>
      <w:r w:rsidR="57062878" w:rsidRPr="0024375B">
        <w:t>peratora strategicznej sieci bezpieczeństwa</w:t>
      </w:r>
      <w:r w:rsidR="00375939" w:rsidRPr="0024375B">
        <w:t>.</w:t>
      </w:r>
    </w:p>
    <w:p w14:paraId="31683829" w14:textId="77777777" w:rsidR="00375939" w:rsidRPr="0024375B" w:rsidRDefault="00375939" w:rsidP="0024375B">
      <w:pPr>
        <w:pStyle w:val="NIEARTTEKSTtekstnieartykuowanynppodstprawnarozplubpreambua"/>
        <w:rPr>
          <w:szCs w:val="24"/>
          <w:u w:val="single"/>
        </w:rPr>
      </w:pPr>
      <w:r w:rsidRPr="0024375B">
        <w:rPr>
          <w:szCs w:val="24"/>
        </w:rPr>
        <w:t>Operator ten będzie świadczył usługi telekomunikacyjne, jak również inne usługi dla wskazanych</w:t>
      </w:r>
      <w:r w:rsidR="00EA1900">
        <w:rPr>
          <w:szCs w:val="24"/>
        </w:rPr>
        <w:t xml:space="preserve"> w </w:t>
      </w:r>
      <w:r w:rsidRPr="0024375B">
        <w:rPr>
          <w:szCs w:val="24"/>
        </w:rPr>
        <w:t>ustawie podmiotów.</w:t>
      </w:r>
      <w:r w:rsidR="009564A9" w:rsidRPr="0024375B">
        <w:rPr>
          <w:bCs w:val="0"/>
          <w:szCs w:val="24"/>
        </w:rPr>
        <w:t xml:space="preserve"> </w:t>
      </w:r>
      <w:r w:rsidRPr="0024375B">
        <w:rPr>
          <w:bCs w:val="0"/>
          <w:szCs w:val="24"/>
        </w:rPr>
        <w:t>Do ustawy wprowadzono możliwość pierwokupu przez OSSB sieci telekomunikacyjnych pozostających we własności Skarbu Państwa lub samorządu terytorialnego.</w:t>
      </w:r>
      <w:r w:rsidR="009564A9" w:rsidRPr="0024375B">
        <w:rPr>
          <w:szCs w:val="24"/>
        </w:rPr>
        <w:t xml:space="preserve"> Przyjęcie takiego rozwiązania zapewni sprawną</w:t>
      </w:r>
      <w:r w:rsidR="002161FE">
        <w:rPr>
          <w:szCs w:val="24"/>
        </w:rPr>
        <w:t xml:space="preserve"> i </w:t>
      </w:r>
      <w:r w:rsidR="009564A9" w:rsidRPr="0024375B">
        <w:rPr>
          <w:szCs w:val="24"/>
        </w:rPr>
        <w:t>zoptymalizowaną kosztowo budowę infrastruktury telekomunikacyjnej, wykorzystywanej na potrzeby realizacji zadań,</w:t>
      </w:r>
      <w:r w:rsidR="0077165A">
        <w:rPr>
          <w:szCs w:val="24"/>
        </w:rPr>
        <w:t xml:space="preserve"> o </w:t>
      </w:r>
      <w:r w:rsidR="009564A9" w:rsidRPr="0024375B">
        <w:rPr>
          <w:szCs w:val="24"/>
        </w:rPr>
        <w:t>których mowa powyżej.</w:t>
      </w:r>
    </w:p>
    <w:p w14:paraId="063F43A1" w14:textId="77777777" w:rsidR="00134999" w:rsidRPr="0024375B" w:rsidRDefault="00134999" w:rsidP="0024375B">
      <w:pPr>
        <w:pStyle w:val="ARTartustawynprozporzdzenia"/>
        <w:spacing w:after="240"/>
        <w:rPr>
          <w:szCs w:val="24"/>
          <w:u w:val="single"/>
        </w:rPr>
      </w:pPr>
      <w:r w:rsidRPr="0024375B">
        <w:rPr>
          <w:szCs w:val="24"/>
          <w:u w:val="single"/>
        </w:rPr>
        <w:t>Zmiana podziału ustawy</w:t>
      </w:r>
      <w:r w:rsidR="00EA1900">
        <w:rPr>
          <w:szCs w:val="24"/>
          <w:u w:val="single"/>
        </w:rPr>
        <w:t xml:space="preserve"> w </w:t>
      </w:r>
      <w:r w:rsidRPr="0024375B">
        <w:rPr>
          <w:szCs w:val="24"/>
          <w:u w:val="single"/>
        </w:rPr>
        <w:t>związku</w:t>
      </w:r>
      <w:r w:rsidR="002161FE">
        <w:rPr>
          <w:szCs w:val="24"/>
          <w:u w:val="single"/>
        </w:rPr>
        <w:t xml:space="preserve"> z </w:t>
      </w:r>
      <w:r w:rsidRPr="0024375B">
        <w:rPr>
          <w:szCs w:val="24"/>
          <w:u w:val="single"/>
        </w:rPr>
        <w:t>rozbudową aktu normatywnego</w:t>
      </w:r>
    </w:p>
    <w:p w14:paraId="44123CF2" w14:textId="77777777" w:rsidR="00F31C42" w:rsidRPr="0024375B" w:rsidRDefault="00B2638E" w:rsidP="0024375B">
      <w:pPr>
        <w:pStyle w:val="ARTartustawynprozporzdzenia"/>
        <w:spacing w:before="0"/>
        <w:rPr>
          <w:szCs w:val="24"/>
        </w:rPr>
      </w:pPr>
      <w:r w:rsidRPr="0024375B">
        <w:rPr>
          <w:szCs w:val="24"/>
        </w:rPr>
        <w:t>Znacznemu poszerzeniu,</w:t>
      </w:r>
      <w:r w:rsidR="00EA1900">
        <w:rPr>
          <w:szCs w:val="24"/>
        </w:rPr>
        <w:t xml:space="preserve"> w </w:t>
      </w:r>
      <w:r w:rsidRPr="0024375B">
        <w:rPr>
          <w:szCs w:val="24"/>
        </w:rPr>
        <w:t>stosunku do obowiązującej ustawy, ulega jej zakres przedmiotowy. Wprowadzenie</w:t>
      </w:r>
      <w:r w:rsidR="00F6204C" w:rsidRPr="0024375B">
        <w:rPr>
          <w:szCs w:val="24"/>
        </w:rPr>
        <w:t xml:space="preserve"> do ustawy</w:t>
      </w:r>
      <w:r w:rsidR="0077165A">
        <w:rPr>
          <w:szCs w:val="24"/>
        </w:rPr>
        <w:t xml:space="preserve"> o </w:t>
      </w:r>
      <w:r w:rsidR="00F6204C" w:rsidRPr="0024375B">
        <w:rPr>
          <w:szCs w:val="24"/>
        </w:rPr>
        <w:t>krajowym systemie cyberbezpieczeństwa</w:t>
      </w:r>
      <w:r w:rsidRPr="0024375B">
        <w:rPr>
          <w:szCs w:val="24"/>
        </w:rPr>
        <w:t xml:space="preserve"> przepisów </w:t>
      </w:r>
      <w:r w:rsidR="00F6204C" w:rsidRPr="0024375B">
        <w:rPr>
          <w:szCs w:val="24"/>
        </w:rPr>
        <w:t>kształtujących krajowy system certyfikacji cyberbezpieczeństwa oraz rozwiązań związanych</w:t>
      </w:r>
      <w:r w:rsidR="002161FE">
        <w:rPr>
          <w:szCs w:val="24"/>
        </w:rPr>
        <w:t xml:space="preserve"> z </w:t>
      </w:r>
      <w:r w:rsidR="00F6204C" w:rsidRPr="0024375B">
        <w:rPr>
          <w:szCs w:val="24"/>
        </w:rPr>
        <w:t>utworzeniem</w:t>
      </w:r>
      <w:r w:rsidR="002161FE">
        <w:rPr>
          <w:szCs w:val="24"/>
        </w:rPr>
        <w:t xml:space="preserve"> i </w:t>
      </w:r>
      <w:r w:rsidR="00F6204C" w:rsidRPr="0024375B">
        <w:rPr>
          <w:szCs w:val="24"/>
        </w:rPr>
        <w:t>funkcjonowaniem strategicznej sieci bezpieczeństwa, jak również obszerność wprowadzanych zmian, powodują, że niezbędne jest dokonanie podziału ustawy na działy, co służy zachowaniu przejrzystości ustawy.</w:t>
      </w:r>
      <w:r w:rsidR="00116933">
        <w:rPr>
          <w:szCs w:val="24"/>
        </w:rPr>
        <w:t xml:space="preserve"> W </w:t>
      </w:r>
      <w:r w:rsidR="00DA2F0D" w:rsidRPr="0024375B">
        <w:rPr>
          <w:szCs w:val="24"/>
        </w:rPr>
        <w:t xml:space="preserve">konsekwencji ustawa została podzielona na cztery działy. </w:t>
      </w:r>
      <w:r w:rsidR="00E96F6D" w:rsidRPr="0024375B">
        <w:rPr>
          <w:szCs w:val="24"/>
        </w:rPr>
        <w:t xml:space="preserve">Pierwszy dział zawiera ogólne postanowienia, </w:t>
      </w:r>
      <w:r w:rsidR="00F31C42" w:rsidRPr="0024375B">
        <w:rPr>
          <w:szCs w:val="24"/>
        </w:rPr>
        <w:t xml:space="preserve">drugi – przepisy dotyczące krajowego systemu cyberbezpieczeństwa, które stanowią niezmiennie podstawową regulację ustawy, </w:t>
      </w:r>
      <w:r w:rsidR="00680722" w:rsidRPr="0024375B">
        <w:rPr>
          <w:szCs w:val="24"/>
        </w:rPr>
        <w:t>wraz</w:t>
      </w:r>
      <w:r w:rsidR="002161FE">
        <w:rPr>
          <w:szCs w:val="24"/>
        </w:rPr>
        <w:t xml:space="preserve"> z </w:t>
      </w:r>
      <w:r w:rsidR="00F31C42" w:rsidRPr="0024375B">
        <w:rPr>
          <w:szCs w:val="24"/>
        </w:rPr>
        <w:t>postanowienia</w:t>
      </w:r>
      <w:r w:rsidR="00680722" w:rsidRPr="0024375B">
        <w:rPr>
          <w:szCs w:val="24"/>
        </w:rPr>
        <w:t>mi</w:t>
      </w:r>
      <w:r w:rsidR="00F31C42" w:rsidRPr="0024375B">
        <w:rPr>
          <w:szCs w:val="24"/>
        </w:rPr>
        <w:t xml:space="preserve"> </w:t>
      </w:r>
      <w:r w:rsidR="00680722" w:rsidRPr="0024375B">
        <w:rPr>
          <w:szCs w:val="24"/>
        </w:rPr>
        <w:t xml:space="preserve">odnoszącymi </w:t>
      </w:r>
      <w:r w:rsidR="00F31C42" w:rsidRPr="0024375B">
        <w:rPr>
          <w:szCs w:val="24"/>
        </w:rPr>
        <w:t>się do nowego zespołu norm prawnych określ</w:t>
      </w:r>
      <w:r w:rsidR="00680722" w:rsidRPr="0024375B">
        <w:rPr>
          <w:szCs w:val="24"/>
        </w:rPr>
        <w:t xml:space="preserve">ających </w:t>
      </w:r>
      <w:r w:rsidR="00F31C42" w:rsidRPr="0024375B">
        <w:rPr>
          <w:szCs w:val="24"/>
        </w:rPr>
        <w:t>„krajowy system certyfikacji cyberbezpieczeństwa”. Trzeci dział składa się</w:t>
      </w:r>
      <w:r w:rsidR="002161FE">
        <w:rPr>
          <w:szCs w:val="24"/>
        </w:rPr>
        <w:t xml:space="preserve"> z </w:t>
      </w:r>
      <w:r w:rsidR="00F31C42" w:rsidRPr="0024375B">
        <w:rPr>
          <w:szCs w:val="24"/>
        </w:rPr>
        <w:t>przepisów dotyczących funkcjonowania strategicznej sieci bezpieczeństwa</w:t>
      </w:r>
      <w:r w:rsidR="00DA2F0D" w:rsidRPr="0024375B">
        <w:rPr>
          <w:szCs w:val="24"/>
        </w:rPr>
        <w:t>, zaś czwarty to przepisy końcowe</w:t>
      </w:r>
      <w:r w:rsidR="00F31C42" w:rsidRPr="0024375B">
        <w:rPr>
          <w:szCs w:val="24"/>
        </w:rPr>
        <w:t>.</w:t>
      </w:r>
    </w:p>
    <w:p w14:paraId="0AB8F85E" w14:textId="77777777" w:rsidR="00F6749E" w:rsidRPr="0024375B" w:rsidRDefault="00F6749E" w:rsidP="0024375B">
      <w:pPr>
        <w:pStyle w:val="NIEARTTEKSTtekstnieartykuowanynppodstprawnarozplubpreambua"/>
        <w:spacing w:after="240"/>
        <w:rPr>
          <w:rFonts w:ascii="Times New Roman" w:hAnsi="Times New Roman" w:cs="Times New Roman"/>
          <w:szCs w:val="24"/>
          <w:u w:val="single"/>
        </w:rPr>
      </w:pPr>
      <w:r w:rsidRPr="0024375B">
        <w:rPr>
          <w:rFonts w:ascii="Times New Roman" w:hAnsi="Times New Roman" w:cs="Times New Roman"/>
          <w:szCs w:val="24"/>
          <w:u w:val="single"/>
        </w:rPr>
        <w:lastRenderedPageBreak/>
        <w:t>Przewidywane skutki społeczne, gospodarcze, prawne</w:t>
      </w:r>
      <w:r w:rsidR="002161FE">
        <w:rPr>
          <w:rFonts w:ascii="Times New Roman" w:hAnsi="Times New Roman" w:cs="Times New Roman"/>
          <w:szCs w:val="24"/>
          <w:u w:val="single"/>
        </w:rPr>
        <w:t xml:space="preserve"> i </w:t>
      </w:r>
      <w:r w:rsidRPr="0024375B">
        <w:rPr>
          <w:rFonts w:ascii="Times New Roman" w:hAnsi="Times New Roman" w:cs="Times New Roman"/>
          <w:szCs w:val="24"/>
          <w:u w:val="single"/>
        </w:rPr>
        <w:t>finansowe wprowadzanych zmian</w:t>
      </w:r>
    </w:p>
    <w:p w14:paraId="751CE990"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Skutki społeczne</w:t>
      </w:r>
    </w:p>
    <w:p w14:paraId="71393B16" w14:textId="77777777" w:rsidR="00F6749E" w:rsidRPr="0024375B" w:rsidRDefault="00DA2F0D"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 xml:space="preserve">Dzięki wprowadzanym rozwiązaniom, obejmującym utworzenie </w:t>
      </w:r>
      <w:r w:rsidR="00F6749E" w:rsidRPr="0024375B">
        <w:rPr>
          <w:rFonts w:ascii="Times New Roman" w:hAnsi="Times New Roman" w:cs="Times New Roman"/>
          <w:szCs w:val="24"/>
        </w:rPr>
        <w:t>CSIRT sektorowych, SOC</w:t>
      </w:r>
      <w:r w:rsidR="00F45BFD" w:rsidRPr="0024375B">
        <w:rPr>
          <w:rFonts w:ascii="Times New Roman" w:hAnsi="Times New Roman" w:cs="Times New Roman"/>
          <w:szCs w:val="24"/>
        </w:rPr>
        <w:t xml:space="preserve"> zewnętrznych, SOC wewnętrznych</w:t>
      </w:r>
      <w:r w:rsidR="002161FE">
        <w:rPr>
          <w:rFonts w:ascii="Times New Roman" w:hAnsi="Times New Roman" w:cs="Times New Roman"/>
          <w:szCs w:val="24"/>
        </w:rPr>
        <w:t xml:space="preserve"> i </w:t>
      </w:r>
      <w:r w:rsidR="00F6749E" w:rsidRPr="0024375B">
        <w:rPr>
          <w:rFonts w:ascii="Times New Roman" w:hAnsi="Times New Roman" w:cs="Times New Roman"/>
          <w:szCs w:val="24"/>
        </w:rPr>
        <w:t>ISAC</w:t>
      </w:r>
      <w:r w:rsidRPr="0024375B">
        <w:rPr>
          <w:rFonts w:ascii="Times New Roman" w:hAnsi="Times New Roman" w:cs="Times New Roman"/>
          <w:szCs w:val="24"/>
        </w:rPr>
        <w:t>, zostanie zwiększona skuteczność</w:t>
      </w:r>
      <w:r w:rsidR="00F6749E" w:rsidRPr="0024375B">
        <w:rPr>
          <w:rFonts w:ascii="Times New Roman" w:hAnsi="Times New Roman" w:cs="Times New Roman"/>
          <w:szCs w:val="24"/>
        </w:rPr>
        <w:t xml:space="preserve"> funkcjonowania krajowego systemu cyberbezpieczeństwa. </w:t>
      </w:r>
    </w:p>
    <w:p w14:paraId="3B9CABE9"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Powołanie CSIRT sektorowych pozwoli na utworzenie jednostek,</w:t>
      </w:r>
      <w:r w:rsidR="004B2B49" w:rsidRPr="0024375B">
        <w:rPr>
          <w:rFonts w:ascii="Times New Roman" w:hAnsi="Times New Roman" w:cs="Times New Roman"/>
          <w:szCs w:val="24"/>
        </w:rPr>
        <w:t xml:space="preserve"> dzięki którym usprawnione zostanie funkcjonowanie</w:t>
      </w:r>
      <w:r w:rsidR="002161FE">
        <w:rPr>
          <w:rFonts w:ascii="Times New Roman" w:hAnsi="Times New Roman" w:cs="Times New Roman"/>
          <w:szCs w:val="24"/>
        </w:rPr>
        <w:t xml:space="preserve"> i </w:t>
      </w:r>
      <w:r w:rsidR="004B2B49" w:rsidRPr="0024375B">
        <w:rPr>
          <w:rFonts w:ascii="Times New Roman" w:hAnsi="Times New Roman" w:cs="Times New Roman"/>
          <w:szCs w:val="24"/>
        </w:rPr>
        <w:t>zwiększona skuteczność systemu</w:t>
      </w:r>
      <w:r w:rsidRPr="0024375B">
        <w:rPr>
          <w:rFonts w:ascii="Times New Roman" w:hAnsi="Times New Roman" w:cs="Times New Roman"/>
          <w:szCs w:val="24"/>
        </w:rPr>
        <w:t xml:space="preserve"> reagowania na incydenty</w:t>
      </w:r>
      <w:r w:rsidR="004B2B49" w:rsidRPr="0024375B">
        <w:rPr>
          <w:rFonts w:ascii="Times New Roman" w:hAnsi="Times New Roman" w:cs="Times New Roman"/>
          <w:szCs w:val="24"/>
        </w:rPr>
        <w:t>. Ponadto, dzięki powołaniu CSIRT sektorowego</w:t>
      </w:r>
      <w:r w:rsidR="00EA1900">
        <w:rPr>
          <w:rFonts w:ascii="Times New Roman" w:hAnsi="Times New Roman" w:cs="Times New Roman"/>
          <w:szCs w:val="24"/>
        </w:rPr>
        <w:t xml:space="preserve"> w </w:t>
      </w:r>
      <w:r w:rsidR="004B2B49" w:rsidRPr="0024375B">
        <w:rPr>
          <w:rFonts w:ascii="Times New Roman" w:hAnsi="Times New Roman" w:cs="Times New Roman"/>
          <w:szCs w:val="24"/>
        </w:rPr>
        <w:t xml:space="preserve">każdym sektorze powstanie baza </w:t>
      </w:r>
      <w:r w:rsidRPr="0024375B">
        <w:rPr>
          <w:rFonts w:ascii="Times New Roman" w:hAnsi="Times New Roman" w:cs="Times New Roman"/>
          <w:szCs w:val="24"/>
        </w:rPr>
        <w:t>wiedzy</w:t>
      </w:r>
      <w:r w:rsidR="0077165A">
        <w:rPr>
          <w:rFonts w:ascii="Times New Roman" w:hAnsi="Times New Roman" w:cs="Times New Roman"/>
          <w:szCs w:val="24"/>
        </w:rPr>
        <w:t xml:space="preserve"> o </w:t>
      </w:r>
      <w:r w:rsidRPr="0024375B">
        <w:rPr>
          <w:rFonts w:ascii="Times New Roman" w:hAnsi="Times New Roman" w:cs="Times New Roman"/>
          <w:szCs w:val="24"/>
        </w:rPr>
        <w:t>cyberzagrożeniach</w:t>
      </w:r>
      <w:r w:rsidR="002161FE">
        <w:rPr>
          <w:rFonts w:ascii="Times New Roman" w:hAnsi="Times New Roman" w:cs="Times New Roman"/>
          <w:szCs w:val="24"/>
        </w:rPr>
        <w:t xml:space="preserve"> i </w:t>
      </w:r>
      <w:r w:rsidRPr="0024375B">
        <w:rPr>
          <w:rFonts w:ascii="Times New Roman" w:hAnsi="Times New Roman" w:cs="Times New Roman"/>
          <w:szCs w:val="24"/>
        </w:rPr>
        <w:t xml:space="preserve">podatnościach danego sektora. </w:t>
      </w:r>
      <w:r w:rsidR="004B2B49" w:rsidRPr="0024375B">
        <w:rPr>
          <w:rFonts w:ascii="Times New Roman" w:hAnsi="Times New Roman" w:cs="Times New Roman"/>
          <w:szCs w:val="24"/>
        </w:rPr>
        <w:t xml:space="preserve">Funkcjonowanie CSIRT sektorowych wpłynie na skrócenie czasu obsługi </w:t>
      </w:r>
      <w:r w:rsidRPr="0024375B">
        <w:rPr>
          <w:rFonts w:ascii="Times New Roman" w:hAnsi="Times New Roman" w:cs="Times New Roman"/>
          <w:szCs w:val="24"/>
        </w:rPr>
        <w:t>incydent</w:t>
      </w:r>
      <w:r w:rsidR="004B2B49" w:rsidRPr="0024375B">
        <w:rPr>
          <w:rFonts w:ascii="Times New Roman" w:hAnsi="Times New Roman" w:cs="Times New Roman"/>
          <w:szCs w:val="24"/>
        </w:rPr>
        <w:t>ów</w:t>
      </w:r>
      <w:r w:rsidR="00EA1900">
        <w:rPr>
          <w:rFonts w:ascii="Times New Roman" w:hAnsi="Times New Roman" w:cs="Times New Roman"/>
          <w:szCs w:val="24"/>
        </w:rPr>
        <w:t xml:space="preserve"> w </w:t>
      </w:r>
      <w:r w:rsidRPr="0024375B">
        <w:rPr>
          <w:rFonts w:ascii="Times New Roman" w:hAnsi="Times New Roman" w:cs="Times New Roman"/>
          <w:szCs w:val="24"/>
        </w:rPr>
        <w:t xml:space="preserve">sektorze, </w:t>
      </w:r>
      <w:r w:rsidR="004B2B49" w:rsidRPr="0024375B">
        <w:rPr>
          <w:rFonts w:ascii="Times New Roman" w:hAnsi="Times New Roman" w:cs="Times New Roman"/>
          <w:szCs w:val="24"/>
        </w:rPr>
        <w:t>które będą obsługiwane</w:t>
      </w:r>
      <w:r w:rsidR="002161FE">
        <w:rPr>
          <w:rFonts w:ascii="Times New Roman" w:hAnsi="Times New Roman" w:cs="Times New Roman"/>
          <w:szCs w:val="24"/>
        </w:rPr>
        <w:t xml:space="preserve"> z </w:t>
      </w:r>
      <w:r w:rsidRPr="0024375B">
        <w:rPr>
          <w:rFonts w:ascii="Times New Roman" w:hAnsi="Times New Roman" w:cs="Times New Roman"/>
          <w:szCs w:val="24"/>
        </w:rPr>
        <w:t>uwzględnieniem szczególnych uwarunkowań danego sektora. Natomiast centra ISAC pozwolą na wsparcie merytoryczne personelu podmiotów krajowego systemu cyberbezpieczeństwa.</w:t>
      </w:r>
    </w:p>
    <w:p w14:paraId="047BD94C"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Przyjęcie przepisów</w:t>
      </w:r>
      <w:r w:rsidR="00EA1900">
        <w:rPr>
          <w:rFonts w:ascii="Times New Roman" w:hAnsi="Times New Roman" w:cs="Times New Roman"/>
          <w:szCs w:val="24"/>
        </w:rPr>
        <w:t xml:space="preserve"> w </w:t>
      </w:r>
      <w:r w:rsidRPr="0024375B">
        <w:rPr>
          <w:rFonts w:ascii="Times New Roman" w:hAnsi="Times New Roman" w:cs="Times New Roman"/>
          <w:szCs w:val="24"/>
        </w:rPr>
        <w:t>zakresie certyfikacji cyberbezpieczeństwa przyczyni się do zwiększenia świadomości znaczenia cyberbezpieczeństwa</w:t>
      </w:r>
      <w:r w:rsidR="00EA1900">
        <w:rPr>
          <w:rFonts w:ascii="Times New Roman" w:hAnsi="Times New Roman" w:cs="Times New Roman"/>
          <w:szCs w:val="24"/>
        </w:rPr>
        <w:t xml:space="preserve"> w </w:t>
      </w:r>
      <w:r w:rsidRPr="0024375B">
        <w:rPr>
          <w:rFonts w:ascii="Times New Roman" w:hAnsi="Times New Roman" w:cs="Times New Roman"/>
          <w:szCs w:val="24"/>
        </w:rPr>
        <w:t>sektorze przedsiębiorstw</w:t>
      </w:r>
      <w:r w:rsidR="002161FE">
        <w:rPr>
          <w:rFonts w:ascii="Times New Roman" w:hAnsi="Times New Roman" w:cs="Times New Roman"/>
          <w:szCs w:val="24"/>
        </w:rPr>
        <w:t xml:space="preserve"> i </w:t>
      </w:r>
      <w:r w:rsidR="00CC5E16" w:rsidRPr="0024375B">
        <w:rPr>
          <w:rFonts w:ascii="Times New Roman" w:hAnsi="Times New Roman" w:cs="Times New Roman"/>
          <w:szCs w:val="24"/>
        </w:rPr>
        <w:t>skłoni przedsiębiorców do stosowania bezpieczniejszych, sprawdzonych rozwiązań. To</w:t>
      </w:r>
      <w:r w:rsidR="002161FE">
        <w:rPr>
          <w:rFonts w:ascii="Times New Roman" w:hAnsi="Times New Roman" w:cs="Times New Roman"/>
          <w:szCs w:val="24"/>
        </w:rPr>
        <w:t xml:space="preserve"> z </w:t>
      </w:r>
      <w:r w:rsidR="00CC5E16" w:rsidRPr="0024375B">
        <w:rPr>
          <w:rFonts w:ascii="Times New Roman" w:hAnsi="Times New Roman" w:cs="Times New Roman"/>
          <w:szCs w:val="24"/>
        </w:rPr>
        <w:t>kolei, dzięki zwiększeniu zakresu wykorzystania rozwiązań odpornych na cyberataki, będzie służyło podniesieniu poziomu bezpieczeństwa</w:t>
      </w:r>
      <w:r w:rsidRPr="0024375B">
        <w:rPr>
          <w:rFonts w:ascii="Times New Roman" w:hAnsi="Times New Roman" w:cs="Times New Roman"/>
          <w:szCs w:val="24"/>
        </w:rPr>
        <w:t xml:space="preserve"> obywateli. </w:t>
      </w:r>
    </w:p>
    <w:p w14:paraId="1E4BEF4F"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Skutki gospodarcze</w:t>
      </w:r>
    </w:p>
    <w:p w14:paraId="6228741A"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 xml:space="preserve">Celem </w:t>
      </w:r>
      <w:r w:rsidR="00856383" w:rsidRPr="0024375B">
        <w:rPr>
          <w:rFonts w:ascii="Times New Roman" w:hAnsi="Times New Roman" w:cs="Times New Roman"/>
          <w:szCs w:val="24"/>
        </w:rPr>
        <w:t>projektowanych zmian</w:t>
      </w:r>
      <w:r w:rsidRPr="0024375B">
        <w:rPr>
          <w:rFonts w:ascii="Times New Roman" w:hAnsi="Times New Roman" w:cs="Times New Roman"/>
          <w:szCs w:val="24"/>
        </w:rPr>
        <w:t xml:space="preserve"> jest wzmocnienie krajowego systemu cyberbezpieczeństwa. </w:t>
      </w:r>
      <w:r w:rsidR="00CC5E16" w:rsidRPr="0024375B">
        <w:rPr>
          <w:rFonts w:ascii="Times New Roman" w:hAnsi="Times New Roman" w:cs="Times New Roman"/>
          <w:szCs w:val="24"/>
        </w:rPr>
        <w:t>Wprowadzane projektem ustawy rozwiązania z</w:t>
      </w:r>
      <w:r w:rsidRPr="0024375B">
        <w:rPr>
          <w:rFonts w:ascii="Times New Roman" w:hAnsi="Times New Roman" w:cs="Times New Roman"/>
          <w:szCs w:val="24"/>
        </w:rPr>
        <w:t>obowiązuj</w:t>
      </w:r>
      <w:r w:rsidR="00CC5E16" w:rsidRPr="0024375B">
        <w:rPr>
          <w:rFonts w:ascii="Times New Roman" w:hAnsi="Times New Roman" w:cs="Times New Roman"/>
          <w:szCs w:val="24"/>
        </w:rPr>
        <w:t>ą</w:t>
      </w:r>
      <w:r w:rsidRPr="0024375B">
        <w:rPr>
          <w:rFonts w:ascii="Times New Roman" w:hAnsi="Times New Roman" w:cs="Times New Roman"/>
          <w:szCs w:val="24"/>
        </w:rPr>
        <w:t xml:space="preserve"> bowiem</w:t>
      </w:r>
      <w:r w:rsidR="00F45BFD" w:rsidRPr="0024375B">
        <w:rPr>
          <w:rFonts w:ascii="Times New Roman" w:hAnsi="Times New Roman" w:cs="Times New Roman"/>
          <w:szCs w:val="24"/>
        </w:rPr>
        <w:t xml:space="preserve"> </w:t>
      </w:r>
      <w:r w:rsidR="00CC5E16" w:rsidRPr="0024375B">
        <w:rPr>
          <w:rFonts w:ascii="Times New Roman" w:hAnsi="Times New Roman" w:cs="Times New Roman"/>
          <w:szCs w:val="24"/>
        </w:rPr>
        <w:t xml:space="preserve">m.in. </w:t>
      </w:r>
      <w:r w:rsidRPr="0024375B">
        <w:rPr>
          <w:rFonts w:ascii="Times New Roman" w:hAnsi="Times New Roman" w:cs="Times New Roman"/>
          <w:szCs w:val="24"/>
        </w:rPr>
        <w:t>przedsiębiorców</w:t>
      </w:r>
      <w:r w:rsidR="00CC5E16" w:rsidRPr="0024375B">
        <w:rPr>
          <w:rFonts w:ascii="Times New Roman" w:hAnsi="Times New Roman" w:cs="Times New Roman"/>
          <w:szCs w:val="24"/>
        </w:rPr>
        <w:t xml:space="preserve"> świadczących usługi kluczowe </w:t>
      </w:r>
      <w:r w:rsidRPr="0024375B">
        <w:rPr>
          <w:rFonts w:ascii="Times New Roman" w:hAnsi="Times New Roman" w:cs="Times New Roman"/>
          <w:szCs w:val="24"/>
        </w:rPr>
        <w:t>do dbania</w:t>
      </w:r>
      <w:r w:rsidR="0077165A">
        <w:rPr>
          <w:rFonts w:ascii="Times New Roman" w:hAnsi="Times New Roman" w:cs="Times New Roman"/>
          <w:szCs w:val="24"/>
        </w:rPr>
        <w:t xml:space="preserve"> o </w:t>
      </w:r>
      <w:r w:rsidRPr="0024375B">
        <w:rPr>
          <w:rFonts w:ascii="Times New Roman" w:hAnsi="Times New Roman" w:cs="Times New Roman"/>
          <w:szCs w:val="24"/>
        </w:rPr>
        <w:t xml:space="preserve">cyberbezpieczeństwo. </w:t>
      </w:r>
      <w:r w:rsidR="00CC5E16" w:rsidRPr="0024375B">
        <w:rPr>
          <w:rFonts w:ascii="Times New Roman" w:hAnsi="Times New Roman" w:cs="Times New Roman"/>
          <w:szCs w:val="24"/>
        </w:rPr>
        <w:t>S</w:t>
      </w:r>
      <w:r w:rsidR="00BD4BF7" w:rsidRPr="0024375B">
        <w:rPr>
          <w:rFonts w:ascii="Times New Roman" w:hAnsi="Times New Roman" w:cs="Times New Roman"/>
          <w:szCs w:val="24"/>
        </w:rPr>
        <w:t xml:space="preserve">kutkiem </w:t>
      </w:r>
      <w:r w:rsidR="00CC5E16" w:rsidRPr="0024375B">
        <w:rPr>
          <w:rFonts w:ascii="Times New Roman" w:hAnsi="Times New Roman" w:cs="Times New Roman"/>
          <w:szCs w:val="24"/>
        </w:rPr>
        <w:t xml:space="preserve">projektowanych przepisów </w:t>
      </w:r>
      <w:r w:rsidR="00BD4BF7" w:rsidRPr="0024375B">
        <w:rPr>
          <w:rFonts w:ascii="Times New Roman" w:hAnsi="Times New Roman" w:cs="Times New Roman"/>
          <w:szCs w:val="24"/>
        </w:rPr>
        <w:t>może być</w:t>
      </w:r>
      <w:r w:rsidRPr="0024375B">
        <w:rPr>
          <w:rFonts w:ascii="Times New Roman" w:hAnsi="Times New Roman" w:cs="Times New Roman"/>
          <w:szCs w:val="24"/>
        </w:rPr>
        <w:t xml:space="preserve"> </w:t>
      </w:r>
      <w:r w:rsidR="00856383" w:rsidRPr="0024375B">
        <w:rPr>
          <w:rFonts w:ascii="Times New Roman" w:hAnsi="Times New Roman" w:cs="Times New Roman"/>
          <w:szCs w:val="24"/>
        </w:rPr>
        <w:t>konieczność poniesienia dodatkowych kosztów związanych</w:t>
      </w:r>
      <w:r w:rsidR="002161FE">
        <w:rPr>
          <w:rFonts w:ascii="Times New Roman" w:hAnsi="Times New Roman" w:cs="Times New Roman"/>
          <w:szCs w:val="24"/>
        </w:rPr>
        <w:t xml:space="preserve"> z </w:t>
      </w:r>
      <w:r w:rsidRPr="0024375B">
        <w:rPr>
          <w:rFonts w:ascii="Times New Roman" w:hAnsi="Times New Roman" w:cs="Times New Roman"/>
          <w:szCs w:val="24"/>
        </w:rPr>
        <w:t>dostosowani</w:t>
      </w:r>
      <w:r w:rsidR="00856383" w:rsidRPr="0024375B">
        <w:rPr>
          <w:rFonts w:ascii="Times New Roman" w:hAnsi="Times New Roman" w:cs="Times New Roman"/>
          <w:szCs w:val="24"/>
        </w:rPr>
        <w:t>em</w:t>
      </w:r>
      <w:r w:rsidRPr="0024375B">
        <w:rPr>
          <w:rFonts w:ascii="Times New Roman" w:hAnsi="Times New Roman" w:cs="Times New Roman"/>
          <w:szCs w:val="24"/>
        </w:rPr>
        <w:t xml:space="preserve"> się</w:t>
      </w:r>
      <w:r w:rsidR="00CC5E16" w:rsidRPr="0024375B">
        <w:rPr>
          <w:rFonts w:ascii="Times New Roman" w:hAnsi="Times New Roman" w:cs="Times New Roman"/>
          <w:szCs w:val="24"/>
        </w:rPr>
        <w:t xml:space="preserve"> poszczególnych podmiotów </w:t>
      </w:r>
      <w:r w:rsidR="00F02E30" w:rsidRPr="0024375B">
        <w:rPr>
          <w:rFonts w:ascii="Times New Roman" w:hAnsi="Times New Roman" w:cs="Times New Roman"/>
          <w:szCs w:val="24"/>
        </w:rPr>
        <w:t>k</w:t>
      </w:r>
      <w:r w:rsidR="00F02E30">
        <w:rPr>
          <w:rFonts w:ascii="Times New Roman" w:hAnsi="Times New Roman" w:cs="Times New Roman"/>
          <w:szCs w:val="24"/>
        </w:rPr>
        <w:t>rajowego systemu cyberbezpieczeństwa</w:t>
      </w:r>
      <w:r w:rsidR="00F02E30" w:rsidRPr="0024375B">
        <w:rPr>
          <w:rFonts w:ascii="Times New Roman" w:hAnsi="Times New Roman" w:cs="Times New Roman"/>
          <w:szCs w:val="24"/>
        </w:rPr>
        <w:t xml:space="preserve"> </w:t>
      </w:r>
      <w:r w:rsidRPr="0024375B">
        <w:rPr>
          <w:rFonts w:ascii="Times New Roman" w:hAnsi="Times New Roman" w:cs="Times New Roman"/>
          <w:szCs w:val="24"/>
        </w:rPr>
        <w:t>do wymogów</w:t>
      </w:r>
      <w:r w:rsidR="00CC5E16" w:rsidRPr="0024375B">
        <w:rPr>
          <w:rFonts w:ascii="Times New Roman" w:hAnsi="Times New Roman" w:cs="Times New Roman"/>
          <w:szCs w:val="24"/>
        </w:rPr>
        <w:t xml:space="preserve"> wynikających</w:t>
      </w:r>
      <w:r w:rsidR="002161FE">
        <w:rPr>
          <w:rFonts w:ascii="Times New Roman" w:hAnsi="Times New Roman" w:cs="Times New Roman"/>
          <w:szCs w:val="24"/>
        </w:rPr>
        <w:t xml:space="preserve"> z </w:t>
      </w:r>
      <w:r w:rsidRPr="0024375B">
        <w:rPr>
          <w:rFonts w:ascii="Times New Roman" w:hAnsi="Times New Roman" w:cs="Times New Roman"/>
          <w:szCs w:val="24"/>
        </w:rPr>
        <w:t xml:space="preserve">ustawy. </w:t>
      </w:r>
      <w:r w:rsidR="00BD4BF7" w:rsidRPr="0024375B">
        <w:rPr>
          <w:rFonts w:ascii="Times New Roman" w:hAnsi="Times New Roman" w:cs="Times New Roman"/>
          <w:szCs w:val="24"/>
        </w:rPr>
        <w:t>Na marginesie należy zauważyć, że w</w:t>
      </w:r>
      <w:r w:rsidRPr="0024375B">
        <w:rPr>
          <w:rFonts w:ascii="Times New Roman" w:hAnsi="Times New Roman" w:cs="Times New Roman"/>
          <w:szCs w:val="24"/>
        </w:rPr>
        <w:t xml:space="preserve">ielu </w:t>
      </w:r>
      <w:r w:rsidR="00856383" w:rsidRPr="0024375B">
        <w:rPr>
          <w:rFonts w:ascii="Times New Roman" w:hAnsi="Times New Roman" w:cs="Times New Roman"/>
          <w:szCs w:val="24"/>
        </w:rPr>
        <w:t xml:space="preserve">przedsiębiorców </w:t>
      </w:r>
      <w:r w:rsidRPr="0024375B">
        <w:rPr>
          <w:rFonts w:ascii="Times New Roman" w:hAnsi="Times New Roman" w:cs="Times New Roman"/>
          <w:szCs w:val="24"/>
        </w:rPr>
        <w:t>już obecnie posiada operacyjne centra bezpieczeństwa</w:t>
      </w:r>
      <w:r w:rsidR="00C858B7" w:rsidRPr="0024375B">
        <w:rPr>
          <w:rFonts w:ascii="Times New Roman" w:hAnsi="Times New Roman" w:cs="Times New Roman"/>
          <w:szCs w:val="24"/>
        </w:rPr>
        <w:t xml:space="preserve">, bowiem </w:t>
      </w:r>
      <w:r w:rsidRPr="0024375B">
        <w:rPr>
          <w:rFonts w:ascii="Times New Roman" w:hAnsi="Times New Roman" w:cs="Times New Roman"/>
          <w:szCs w:val="24"/>
        </w:rPr>
        <w:t xml:space="preserve">podobny </w:t>
      </w:r>
      <w:r w:rsidR="00C858B7" w:rsidRPr="0024375B">
        <w:rPr>
          <w:rFonts w:ascii="Times New Roman" w:hAnsi="Times New Roman" w:cs="Times New Roman"/>
          <w:szCs w:val="24"/>
        </w:rPr>
        <w:t xml:space="preserve">do projektowanego </w:t>
      </w:r>
      <w:r w:rsidRPr="0024375B">
        <w:rPr>
          <w:rFonts w:ascii="Times New Roman" w:hAnsi="Times New Roman" w:cs="Times New Roman"/>
          <w:szCs w:val="24"/>
        </w:rPr>
        <w:t>wymóg istnieje</w:t>
      </w:r>
      <w:r w:rsidR="00EA1900">
        <w:rPr>
          <w:rFonts w:ascii="Times New Roman" w:hAnsi="Times New Roman" w:cs="Times New Roman"/>
          <w:szCs w:val="24"/>
        </w:rPr>
        <w:t xml:space="preserve"> w </w:t>
      </w:r>
      <w:r w:rsidRPr="0024375B">
        <w:rPr>
          <w:rFonts w:ascii="Times New Roman" w:hAnsi="Times New Roman" w:cs="Times New Roman"/>
          <w:szCs w:val="24"/>
        </w:rPr>
        <w:t>obowiązującej ustaw</w:t>
      </w:r>
      <w:r w:rsidR="00C858B7" w:rsidRPr="0024375B">
        <w:rPr>
          <w:rFonts w:ascii="Times New Roman" w:hAnsi="Times New Roman" w:cs="Times New Roman"/>
          <w:szCs w:val="24"/>
        </w:rPr>
        <w:t>ie</w:t>
      </w:r>
      <w:r w:rsidRPr="0024375B">
        <w:rPr>
          <w:rFonts w:ascii="Times New Roman" w:hAnsi="Times New Roman" w:cs="Times New Roman"/>
          <w:szCs w:val="24"/>
        </w:rPr>
        <w:t xml:space="preserve">. </w:t>
      </w:r>
      <w:r w:rsidR="00BD4BF7" w:rsidRPr="0024375B">
        <w:rPr>
          <w:rFonts w:ascii="Times New Roman" w:hAnsi="Times New Roman" w:cs="Times New Roman"/>
          <w:szCs w:val="24"/>
        </w:rPr>
        <w:t>Dzięki</w:t>
      </w:r>
      <w:r w:rsidR="0019516C" w:rsidRPr="0024375B">
        <w:rPr>
          <w:rFonts w:ascii="Times New Roman" w:hAnsi="Times New Roman" w:cs="Times New Roman"/>
          <w:szCs w:val="24"/>
        </w:rPr>
        <w:t xml:space="preserve"> dalszemu</w:t>
      </w:r>
      <w:r w:rsidR="00BD4BF7" w:rsidRPr="0024375B">
        <w:rPr>
          <w:rFonts w:ascii="Times New Roman" w:hAnsi="Times New Roman" w:cs="Times New Roman"/>
          <w:szCs w:val="24"/>
        </w:rPr>
        <w:t xml:space="preserve"> inwestowaniu przez</w:t>
      </w:r>
      <w:r w:rsidRPr="0024375B">
        <w:rPr>
          <w:rFonts w:ascii="Times New Roman" w:hAnsi="Times New Roman" w:cs="Times New Roman"/>
          <w:szCs w:val="24"/>
        </w:rPr>
        <w:t xml:space="preserve"> podmiot we własne cyberbezpieczeństwo zyskuje</w:t>
      </w:r>
      <w:r w:rsidR="00BD4BF7" w:rsidRPr="0024375B">
        <w:rPr>
          <w:rFonts w:ascii="Times New Roman" w:hAnsi="Times New Roman" w:cs="Times New Roman"/>
          <w:szCs w:val="24"/>
        </w:rPr>
        <w:t xml:space="preserve"> on</w:t>
      </w:r>
      <w:r w:rsidRPr="0024375B">
        <w:rPr>
          <w:rFonts w:ascii="Times New Roman" w:hAnsi="Times New Roman" w:cs="Times New Roman"/>
          <w:szCs w:val="24"/>
        </w:rPr>
        <w:t xml:space="preserve"> zaufanie podmiotów, którym świadczy usługi</w:t>
      </w:r>
      <w:r w:rsidR="002161FE">
        <w:rPr>
          <w:rFonts w:ascii="Times New Roman" w:hAnsi="Times New Roman" w:cs="Times New Roman"/>
          <w:szCs w:val="24"/>
        </w:rPr>
        <w:t xml:space="preserve"> i </w:t>
      </w:r>
      <w:r w:rsidRPr="0024375B">
        <w:rPr>
          <w:rFonts w:ascii="Times New Roman" w:hAnsi="Times New Roman" w:cs="Times New Roman"/>
          <w:szCs w:val="24"/>
        </w:rPr>
        <w:t xml:space="preserve">potencjalnych kontrahentów. </w:t>
      </w:r>
    </w:p>
    <w:p w14:paraId="44FAF172" w14:textId="65D9B6D9"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 xml:space="preserve">Dostosowanie się do nowych wymogów pozwoli przedsiębiorcom </w:t>
      </w:r>
      <w:r w:rsidR="00C858B7" w:rsidRPr="0024375B">
        <w:rPr>
          <w:rFonts w:ascii="Times New Roman" w:hAnsi="Times New Roman" w:cs="Times New Roman"/>
          <w:szCs w:val="24"/>
        </w:rPr>
        <w:t>zwiększy</w:t>
      </w:r>
      <w:r w:rsidR="00C16A93">
        <w:rPr>
          <w:rFonts w:ascii="Times New Roman" w:hAnsi="Times New Roman" w:cs="Times New Roman"/>
          <w:szCs w:val="24"/>
        </w:rPr>
        <w:t>ć</w:t>
      </w:r>
      <w:r w:rsidR="00C858B7" w:rsidRPr="0024375B">
        <w:rPr>
          <w:rFonts w:ascii="Times New Roman" w:hAnsi="Times New Roman" w:cs="Times New Roman"/>
          <w:szCs w:val="24"/>
        </w:rPr>
        <w:t xml:space="preserve"> skuteczność działań podejmowanych przez przedsiębiorców</w:t>
      </w:r>
      <w:r w:rsidR="00EA1900">
        <w:rPr>
          <w:rFonts w:ascii="Times New Roman" w:hAnsi="Times New Roman" w:cs="Times New Roman"/>
          <w:szCs w:val="24"/>
        </w:rPr>
        <w:t xml:space="preserve"> w </w:t>
      </w:r>
      <w:r w:rsidR="00C858B7" w:rsidRPr="0024375B">
        <w:rPr>
          <w:rFonts w:ascii="Times New Roman" w:hAnsi="Times New Roman" w:cs="Times New Roman"/>
          <w:szCs w:val="24"/>
        </w:rPr>
        <w:t>zakresie</w:t>
      </w:r>
      <w:r w:rsidRPr="0024375B">
        <w:rPr>
          <w:rFonts w:ascii="Times New Roman" w:hAnsi="Times New Roman" w:cs="Times New Roman"/>
          <w:szCs w:val="24"/>
        </w:rPr>
        <w:t xml:space="preserve"> </w:t>
      </w:r>
      <w:r w:rsidR="00C858B7" w:rsidRPr="0024375B">
        <w:rPr>
          <w:rFonts w:ascii="Times New Roman" w:hAnsi="Times New Roman" w:cs="Times New Roman"/>
          <w:szCs w:val="24"/>
        </w:rPr>
        <w:t>cyberbezpieczeństwa</w:t>
      </w:r>
      <w:r w:rsidR="00EA1900">
        <w:rPr>
          <w:rFonts w:ascii="Times New Roman" w:hAnsi="Times New Roman" w:cs="Times New Roman"/>
          <w:szCs w:val="24"/>
        </w:rPr>
        <w:t xml:space="preserve"> w </w:t>
      </w:r>
      <w:r w:rsidR="00C858B7" w:rsidRPr="0024375B">
        <w:rPr>
          <w:rFonts w:ascii="Times New Roman" w:hAnsi="Times New Roman" w:cs="Times New Roman"/>
          <w:szCs w:val="24"/>
        </w:rPr>
        <w:t xml:space="preserve">ich </w:t>
      </w:r>
      <w:r w:rsidRPr="0024375B">
        <w:rPr>
          <w:rFonts w:ascii="Times New Roman" w:hAnsi="Times New Roman" w:cs="Times New Roman"/>
          <w:szCs w:val="24"/>
        </w:rPr>
        <w:t>działalności, co przełoży się na bezpieczne prowadzenie biznesu</w:t>
      </w:r>
      <w:r w:rsidR="002161FE">
        <w:rPr>
          <w:rFonts w:ascii="Times New Roman" w:hAnsi="Times New Roman" w:cs="Times New Roman"/>
          <w:szCs w:val="24"/>
        </w:rPr>
        <w:t xml:space="preserve"> i </w:t>
      </w:r>
      <w:r w:rsidRPr="0024375B">
        <w:rPr>
          <w:rFonts w:ascii="Times New Roman" w:hAnsi="Times New Roman" w:cs="Times New Roman"/>
          <w:szCs w:val="24"/>
        </w:rPr>
        <w:t>minimalizację ryzyka strat.</w:t>
      </w:r>
    </w:p>
    <w:p w14:paraId="6A0D80BF" w14:textId="77777777" w:rsidR="00F6749E" w:rsidRPr="0024375B" w:rsidRDefault="00C858B7"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 xml:space="preserve">Dzięki </w:t>
      </w:r>
      <w:r w:rsidR="004B404D" w:rsidRPr="0024375B">
        <w:rPr>
          <w:rFonts w:ascii="Times New Roman" w:hAnsi="Times New Roman" w:cs="Times New Roman"/>
          <w:szCs w:val="24"/>
        </w:rPr>
        <w:t>zawartym</w:t>
      </w:r>
      <w:r w:rsidR="00EA1900">
        <w:rPr>
          <w:rFonts w:ascii="Times New Roman" w:hAnsi="Times New Roman" w:cs="Times New Roman"/>
          <w:szCs w:val="24"/>
        </w:rPr>
        <w:t xml:space="preserve"> w </w:t>
      </w:r>
      <w:r w:rsidR="004B404D" w:rsidRPr="0024375B">
        <w:rPr>
          <w:rFonts w:ascii="Times New Roman" w:hAnsi="Times New Roman" w:cs="Times New Roman"/>
          <w:szCs w:val="24"/>
        </w:rPr>
        <w:t>ustawie</w:t>
      </w:r>
      <w:r w:rsidRPr="0024375B">
        <w:rPr>
          <w:rFonts w:ascii="Times New Roman" w:hAnsi="Times New Roman" w:cs="Times New Roman"/>
          <w:szCs w:val="24"/>
        </w:rPr>
        <w:t xml:space="preserve"> rozwiązaniom podniesione zostaną standardy</w:t>
      </w:r>
      <w:r w:rsidR="00EA1900">
        <w:rPr>
          <w:rFonts w:ascii="Times New Roman" w:hAnsi="Times New Roman" w:cs="Times New Roman"/>
          <w:szCs w:val="24"/>
        </w:rPr>
        <w:t xml:space="preserve"> w </w:t>
      </w:r>
      <w:r w:rsidRPr="0024375B">
        <w:rPr>
          <w:rFonts w:ascii="Times New Roman" w:hAnsi="Times New Roman" w:cs="Times New Roman"/>
          <w:szCs w:val="24"/>
        </w:rPr>
        <w:t>zakresie cyberbezpieczeństwa</w:t>
      </w:r>
      <w:r w:rsidR="00F6749E" w:rsidRPr="0024375B">
        <w:rPr>
          <w:rFonts w:ascii="Times New Roman" w:hAnsi="Times New Roman" w:cs="Times New Roman"/>
          <w:szCs w:val="24"/>
        </w:rPr>
        <w:t>. Prywatni przedsiębiorcy będą mieli ułatwiony wybór bezpiecznych rozwiązań technologicznych. Ponadto</w:t>
      </w:r>
      <w:r w:rsidRPr="0024375B">
        <w:rPr>
          <w:rFonts w:ascii="Times New Roman" w:hAnsi="Times New Roman" w:cs="Times New Roman"/>
          <w:szCs w:val="24"/>
        </w:rPr>
        <w:t>,</w:t>
      </w:r>
      <w:r w:rsidR="00F6749E" w:rsidRPr="0024375B">
        <w:rPr>
          <w:rFonts w:ascii="Times New Roman" w:hAnsi="Times New Roman" w:cs="Times New Roman"/>
          <w:szCs w:val="24"/>
        </w:rPr>
        <w:t xml:space="preserve"> nowe regulacje </w:t>
      </w:r>
      <w:r w:rsidRPr="0024375B">
        <w:rPr>
          <w:rFonts w:ascii="Times New Roman" w:hAnsi="Times New Roman" w:cs="Times New Roman"/>
          <w:szCs w:val="24"/>
        </w:rPr>
        <w:t>gwarantują</w:t>
      </w:r>
      <w:r w:rsidR="00F6749E" w:rsidRPr="0024375B">
        <w:rPr>
          <w:rFonts w:ascii="Times New Roman" w:hAnsi="Times New Roman" w:cs="Times New Roman"/>
          <w:szCs w:val="24"/>
        </w:rPr>
        <w:t xml:space="preserve">, że </w:t>
      </w:r>
      <w:r w:rsidRPr="0024375B">
        <w:rPr>
          <w:rFonts w:ascii="Times New Roman" w:hAnsi="Times New Roman" w:cs="Times New Roman"/>
          <w:szCs w:val="24"/>
        </w:rPr>
        <w:t>certyfikaty uzyskane</w:t>
      </w:r>
      <w:r w:rsidR="00EA1900">
        <w:rPr>
          <w:rFonts w:ascii="Times New Roman" w:hAnsi="Times New Roman" w:cs="Times New Roman"/>
          <w:szCs w:val="24"/>
        </w:rPr>
        <w:t xml:space="preserve"> w </w:t>
      </w:r>
      <w:r w:rsidRPr="0024375B">
        <w:rPr>
          <w:rFonts w:ascii="Times New Roman" w:hAnsi="Times New Roman" w:cs="Times New Roman"/>
          <w:szCs w:val="24"/>
        </w:rPr>
        <w:t>ramach systemu certyfikacji dla</w:t>
      </w:r>
      <w:r w:rsidR="00F6749E" w:rsidRPr="0024375B">
        <w:rPr>
          <w:rFonts w:ascii="Times New Roman" w:hAnsi="Times New Roman" w:cs="Times New Roman"/>
          <w:szCs w:val="24"/>
        </w:rPr>
        <w:t xml:space="preserve"> </w:t>
      </w:r>
      <w:r w:rsidRPr="0024375B">
        <w:rPr>
          <w:rFonts w:ascii="Times New Roman" w:hAnsi="Times New Roman" w:cs="Times New Roman"/>
          <w:szCs w:val="24"/>
        </w:rPr>
        <w:t>produktów</w:t>
      </w:r>
      <w:r w:rsidR="00F6749E" w:rsidRPr="0024375B">
        <w:rPr>
          <w:rFonts w:ascii="Times New Roman" w:hAnsi="Times New Roman" w:cs="Times New Roman"/>
          <w:szCs w:val="24"/>
        </w:rPr>
        <w:t xml:space="preserve">, usług czy </w:t>
      </w:r>
      <w:r w:rsidRPr="0024375B">
        <w:rPr>
          <w:rFonts w:ascii="Times New Roman" w:hAnsi="Times New Roman" w:cs="Times New Roman"/>
          <w:szCs w:val="24"/>
        </w:rPr>
        <w:t xml:space="preserve">procesów </w:t>
      </w:r>
      <w:r w:rsidR="00F6749E" w:rsidRPr="0024375B">
        <w:rPr>
          <w:rFonts w:ascii="Times New Roman" w:hAnsi="Times New Roman" w:cs="Times New Roman"/>
          <w:szCs w:val="24"/>
        </w:rPr>
        <w:t xml:space="preserve">ICT będą honorowane na terenie całej Unii Europejskiej. </w:t>
      </w:r>
      <w:r w:rsidR="00EF5B97" w:rsidRPr="0024375B">
        <w:rPr>
          <w:rFonts w:ascii="Times New Roman" w:hAnsi="Times New Roman" w:cs="Times New Roman"/>
          <w:szCs w:val="24"/>
        </w:rPr>
        <w:lastRenderedPageBreak/>
        <w:t>Projektowana u</w:t>
      </w:r>
      <w:r w:rsidR="00F6749E" w:rsidRPr="0024375B">
        <w:rPr>
          <w:rFonts w:ascii="Times New Roman" w:hAnsi="Times New Roman" w:cs="Times New Roman"/>
          <w:szCs w:val="24"/>
        </w:rPr>
        <w:t>stawa zawiera szereg rozwiązań zapewniających właściwe standardy postępowania przy ocenie zgodności</w:t>
      </w:r>
      <w:r w:rsidRPr="0024375B">
        <w:rPr>
          <w:rFonts w:ascii="Times New Roman" w:hAnsi="Times New Roman" w:cs="Times New Roman"/>
          <w:szCs w:val="24"/>
        </w:rPr>
        <w:t>,</w:t>
      </w:r>
      <w:r w:rsidR="00F6749E" w:rsidRPr="0024375B">
        <w:rPr>
          <w:rFonts w:ascii="Times New Roman" w:hAnsi="Times New Roman" w:cs="Times New Roman"/>
          <w:szCs w:val="24"/>
        </w:rPr>
        <w:t xml:space="preserve"> co daje dodatkowe gwarancje jakości.</w:t>
      </w:r>
    </w:p>
    <w:p w14:paraId="23111387" w14:textId="2741432D"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cs="Times New Roman"/>
          <w:bCs w:val="0"/>
          <w:szCs w:val="24"/>
        </w:rPr>
        <w:t xml:space="preserve">Krajowy system certyfikacji cyberbezpieczeństwa będzie też stanowił cenne uzupełnienie krajowego systemu cyberbezpieczeństwa. Stworzy </w:t>
      </w:r>
      <w:r w:rsidR="001F4205" w:rsidRPr="0024375B">
        <w:rPr>
          <w:rFonts w:cs="Times New Roman"/>
          <w:bCs w:val="0"/>
          <w:szCs w:val="24"/>
        </w:rPr>
        <w:t xml:space="preserve">bowiem precyzyjny </w:t>
      </w:r>
      <w:r w:rsidRPr="0024375B">
        <w:rPr>
          <w:rFonts w:cs="Times New Roman"/>
          <w:bCs w:val="0"/>
          <w:szCs w:val="24"/>
        </w:rPr>
        <w:t>system oceny produktów ICT</w:t>
      </w:r>
      <w:r w:rsidR="001F4205" w:rsidRPr="0024375B">
        <w:rPr>
          <w:rFonts w:cs="Times New Roman"/>
          <w:bCs w:val="0"/>
          <w:szCs w:val="24"/>
        </w:rPr>
        <w:t>,</w:t>
      </w:r>
      <w:r w:rsidRPr="0024375B">
        <w:rPr>
          <w:rFonts w:cs="Times New Roman"/>
          <w:bCs w:val="0"/>
          <w:szCs w:val="24"/>
        </w:rPr>
        <w:t xml:space="preserve"> dzięki czemu </w:t>
      </w:r>
      <w:r w:rsidR="001F4205" w:rsidRPr="0024375B">
        <w:rPr>
          <w:rFonts w:cs="Times New Roman"/>
          <w:bCs w:val="0"/>
          <w:szCs w:val="24"/>
        </w:rPr>
        <w:t xml:space="preserve">identyfikowane </w:t>
      </w:r>
      <w:r w:rsidRPr="0024375B">
        <w:rPr>
          <w:rFonts w:cs="Times New Roman"/>
          <w:bCs w:val="0"/>
          <w:szCs w:val="24"/>
        </w:rPr>
        <w:t>będą produkty spełniające najlepsze standardy</w:t>
      </w:r>
      <w:r w:rsidR="00EA1900">
        <w:rPr>
          <w:rFonts w:cs="Times New Roman"/>
          <w:bCs w:val="0"/>
          <w:szCs w:val="24"/>
        </w:rPr>
        <w:t xml:space="preserve"> w </w:t>
      </w:r>
      <w:r w:rsidRPr="0024375B">
        <w:rPr>
          <w:rFonts w:cs="Times New Roman"/>
          <w:bCs w:val="0"/>
          <w:szCs w:val="24"/>
        </w:rPr>
        <w:t>dziedzinie bezpieczeństw</w:t>
      </w:r>
      <w:r w:rsidR="00C16A93">
        <w:rPr>
          <w:rFonts w:cs="Times New Roman"/>
          <w:bCs w:val="0"/>
          <w:szCs w:val="24"/>
        </w:rPr>
        <w:t>a</w:t>
      </w:r>
      <w:r w:rsidRPr="0024375B">
        <w:rPr>
          <w:rFonts w:cs="Times New Roman"/>
          <w:bCs w:val="0"/>
          <w:szCs w:val="24"/>
        </w:rPr>
        <w:t xml:space="preserve">. </w:t>
      </w:r>
      <w:r w:rsidR="001F4205" w:rsidRPr="0024375B">
        <w:rPr>
          <w:rFonts w:ascii="Times New Roman" w:hAnsi="Times New Roman" w:cs="Times New Roman"/>
          <w:szCs w:val="24"/>
        </w:rPr>
        <w:t xml:space="preserve">Projektowane </w:t>
      </w:r>
      <w:r w:rsidRPr="0024375B">
        <w:rPr>
          <w:rFonts w:ascii="Times New Roman" w:hAnsi="Times New Roman" w:cs="Times New Roman"/>
          <w:szCs w:val="24"/>
        </w:rPr>
        <w:t xml:space="preserve">przepisy nie </w:t>
      </w:r>
      <w:r w:rsidR="001F4205" w:rsidRPr="0024375B">
        <w:rPr>
          <w:rFonts w:ascii="Times New Roman" w:hAnsi="Times New Roman" w:cs="Times New Roman"/>
          <w:szCs w:val="24"/>
        </w:rPr>
        <w:t xml:space="preserve">nakładają </w:t>
      </w:r>
      <w:r w:rsidRPr="0024375B">
        <w:rPr>
          <w:rFonts w:ascii="Times New Roman" w:hAnsi="Times New Roman" w:cs="Times New Roman"/>
          <w:szCs w:val="24"/>
        </w:rPr>
        <w:t>żadnych dodatkowych obowiązków na podmioty niezainteresowane uczestnictwem</w:t>
      </w:r>
      <w:r w:rsidR="00EA1900">
        <w:rPr>
          <w:rFonts w:ascii="Times New Roman" w:hAnsi="Times New Roman" w:cs="Times New Roman"/>
          <w:szCs w:val="24"/>
        </w:rPr>
        <w:t xml:space="preserve"> w </w:t>
      </w:r>
      <w:r w:rsidRPr="0024375B">
        <w:rPr>
          <w:rFonts w:ascii="Times New Roman" w:hAnsi="Times New Roman" w:cs="Times New Roman"/>
          <w:szCs w:val="24"/>
        </w:rPr>
        <w:t xml:space="preserve">tym systemie. Przyjęty model nie tworzy też barier dostępu do rynku. </w:t>
      </w:r>
    </w:p>
    <w:p w14:paraId="6126EA59"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Skutki finansowe</w:t>
      </w:r>
    </w:p>
    <w:p w14:paraId="2CF93D0A" w14:textId="77777777" w:rsidR="008F7ED7"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Tworzenie nowych struktur</w:t>
      </w:r>
      <w:r w:rsidR="00EA1900">
        <w:rPr>
          <w:rFonts w:ascii="Times New Roman" w:hAnsi="Times New Roman" w:cs="Times New Roman"/>
          <w:szCs w:val="24"/>
        </w:rPr>
        <w:t xml:space="preserve"> w </w:t>
      </w:r>
      <w:r w:rsidRPr="0024375B">
        <w:rPr>
          <w:rFonts w:ascii="Times New Roman" w:hAnsi="Times New Roman" w:cs="Times New Roman"/>
          <w:szCs w:val="24"/>
        </w:rPr>
        <w:t>ramach krajowego systemu cyberbezpieczeństwa będzie wymagało dodatkowych nakładów finansowych. Należy jednak podkreślić, że jest to inwestycja</w:t>
      </w:r>
      <w:r w:rsidR="00EA1900">
        <w:rPr>
          <w:rFonts w:ascii="Times New Roman" w:hAnsi="Times New Roman" w:cs="Times New Roman"/>
          <w:szCs w:val="24"/>
        </w:rPr>
        <w:t xml:space="preserve"> w </w:t>
      </w:r>
      <w:r w:rsidRPr="0024375B">
        <w:rPr>
          <w:rFonts w:ascii="Times New Roman" w:hAnsi="Times New Roman" w:cs="Times New Roman"/>
          <w:szCs w:val="24"/>
        </w:rPr>
        <w:t>bezpieczeństwo państwa. Incydenty bezpieczeństwa komputerowego są coraz częst</w:t>
      </w:r>
      <w:r w:rsidR="005920E2" w:rsidRPr="0024375B">
        <w:rPr>
          <w:rFonts w:ascii="Times New Roman" w:hAnsi="Times New Roman" w:cs="Times New Roman"/>
          <w:szCs w:val="24"/>
        </w:rPr>
        <w:t>sz</w:t>
      </w:r>
      <w:r w:rsidRPr="0024375B">
        <w:rPr>
          <w:rFonts w:ascii="Times New Roman" w:hAnsi="Times New Roman" w:cs="Times New Roman"/>
          <w:szCs w:val="24"/>
        </w:rPr>
        <w:t>e</w:t>
      </w:r>
      <w:r w:rsidR="002161FE">
        <w:rPr>
          <w:rFonts w:ascii="Times New Roman" w:hAnsi="Times New Roman" w:cs="Times New Roman"/>
          <w:szCs w:val="24"/>
        </w:rPr>
        <w:t xml:space="preserve"> i </w:t>
      </w:r>
      <w:r w:rsidRPr="0024375B">
        <w:rPr>
          <w:rFonts w:ascii="Times New Roman" w:hAnsi="Times New Roman" w:cs="Times New Roman"/>
          <w:szCs w:val="24"/>
        </w:rPr>
        <w:t>bardziej zaawansowane. Drastycznie wzrosła liczba incydentów cyberbezpieczeństwa oraz samych cyberataków, których ofiarami padają urzędy, szpitale</w:t>
      </w:r>
      <w:r w:rsidR="005920E2" w:rsidRPr="0024375B">
        <w:rPr>
          <w:rFonts w:ascii="Times New Roman" w:hAnsi="Times New Roman" w:cs="Times New Roman"/>
          <w:szCs w:val="24"/>
        </w:rPr>
        <w:t>,</w:t>
      </w:r>
      <w:r w:rsidRPr="0024375B">
        <w:rPr>
          <w:rFonts w:ascii="Times New Roman" w:hAnsi="Times New Roman" w:cs="Times New Roman"/>
          <w:szCs w:val="24"/>
        </w:rPr>
        <w:t xml:space="preserve"> ale także coraz więcej ataków obserwujemy</w:t>
      </w:r>
      <w:r w:rsidR="00EA1900">
        <w:rPr>
          <w:rFonts w:ascii="Times New Roman" w:hAnsi="Times New Roman" w:cs="Times New Roman"/>
          <w:szCs w:val="24"/>
        </w:rPr>
        <w:t xml:space="preserve"> w </w:t>
      </w:r>
      <w:r w:rsidRPr="0024375B">
        <w:rPr>
          <w:rFonts w:ascii="Times New Roman" w:hAnsi="Times New Roman" w:cs="Times New Roman"/>
          <w:szCs w:val="24"/>
        </w:rPr>
        <w:t>sektorze prywatnym oraz</w:t>
      </w:r>
      <w:r w:rsidR="00EA1900">
        <w:rPr>
          <w:rFonts w:ascii="Times New Roman" w:hAnsi="Times New Roman" w:cs="Times New Roman"/>
          <w:szCs w:val="24"/>
        </w:rPr>
        <w:t xml:space="preserve"> w </w:t>
      </w:r>
      <w:r w:rsidRPr="0024375B">
        <w:rPr>
          <w:rFonts w:ascii="Times New Roman" w:hAnsi="Times New Roman" w:cs="Times New Roman"/>
          <w:szCs w:val="24"/>
        </w:rPr>
        <w:t>stosunku do obywateli.</w:t>
      </w:r>
      <w:r w:rsidR="00116933">
        <w:rPr>
          <w:rFonts w:ascii="Times New Roman" w:hAnsi="Times New Roman" w:cs="Times New Roman"/>
          <w:szCs w:val="24"/>
        </w:rPr>
        <w:t xml:space="preserve"> W </w:t>
      </w:r>
      <w:r w:rsidR="008C5815" w:rsidRPr="0024375B">
        <w:rPr>
          <w:rFonts w:ascii="Times New Roman" w:hAnsi="Times New Roman" w:cs="Times New Roman"/>
          <w:szCs w:val="24"/>
        </w:rPr>
        <w:t>2021 r. zespół CSIRT NASK obsłużył 29 483 unikalnych incydentów.</w:t>
      </w:r>
      <w:r w:rsidRPr="0024375B">
        <w:rPr>
          <w:rFonts w:ascii="Times New Roman" w:hAnsi="Times New Roman" w:cs="Times New Roman"/>
          <w:szCs w:val="24"/>
        </w:rPr>
        <w:t xml:space="preserve"> Jest to znaczący wzrost</w:t>
      </w:r>
      <w:r w:rsidR="00EA1900">
        <w:rPr>
          <w:rFonts w:ascii="Times New Roman" w:hAnsi="Times New Roman" w:cs="Times New Roman"/>
          <w:szCs w:val="24"/>
        </w:rPr>
        <w:t xml:space="preserve"> w </w:t>
      </w:r>
      <w:r w:rsidRPr="0024375B">
        <w:rPr>
          <w:rFonts w:ascii="Times New Roman" w:hAnsi="Times New Roman" w:cs="Times New Roman"/>
          <w:szCs w:val="24"/>
        </w:rPr>
        <w:t>stosunku do 2019 r.,</w:t>
      </w:r>
      <w:r w:rsidR="00EA1900">
        <w:rPr>
          <w:rFonts w:ascii="Times New Roman" w:hAnsi="Times New Roman" w:cs="Times New Roman"/>
          <w:szCs w:val="24"/>
        </w:rPr>
        <w:t xml:space="preserve"> w </w:t>
      </w:r>
      <w:r w:rsidRPr="0024375B">
        <w:rPr>
          <w:rFonts w:ascii="Times New Roman" w:hAnsi="Times New Roman" w:cs="Times New Roman"/>
          <w:szCs w:val="24"/>
        </w:rPr>
        <w:t xml:space="preserve">którym CSIRT NASK odnotował </w:t>
      </w:r>
      <w:r w:rsidR="008C5815" w:rsidRPr="0024375B">
        <w:rPr>
          <w:rFonts w:ascii="Times New Roman" w:hAnsi="Times New Roman" w:cs="Times New Roman"/>
          <w:szCs w:val="24"/>
        </w:rPr>
        <w:t xml:space="preserve">10 420 </w:t>
      </w:r>
      <w:r w:rsidRPr="0024375B">
        <w:rPr>
          <w:rFonts w:ascii="Times New Roman" w:hAnsi="Times New Roman" w:cs="Times New Roman"/>
          <w:szCs w:val="24"/>
        </w:rPr>
        <w:t>incydenty.</w:t>
      </w:r>
      <w:r w:rsidR="00140B83" w:rsidRPr="0024375B">
        <w:rPr>
          <w:rFonts w:ascii="Times New Roman" w:hAnsi="Times New Roman" w:cs="Times New Roman"/>
          <w:szCs w:val="24"/>
        </w:rPr>
        <w:t xml:space="preserve"> </w:t>
      </w:r>
      <w:r w:rsidRPr="0024375B">
        <w:rPr>
          <w:rFonts w:ascii="Times New Roman" w:hAnsi="Times New Roman" w:cs="Times New Roman"/>
          <w:szCs w:val="24"/>
        </w:rPr>
        <w:t>Istnieje także stałe zagrożenie działaniami wywiadowczymi</w:t>
      </w:r>
      <w:r w:rsidR="00EA1900">
        <w:rPr>
          <w:rFonts w:ascii="Times New Roman" w:hAnsi="Times New Roman" w:cs="Times New Roman"/>
          <w:szCs w:val="24"/>
        </w:rPr>
        <w:t xml:space="preserve"> w </w:t>
      </w:r>
      <w:r w:rsidRPr="0024375B">
        <w:rPr>
          <w:rFonts w:ascii="Times New Roman" w:hAnsi="Times New Roman" w:cs="Times New Roman"/>
          <w:szCs w:val="24"/>
        </w:rPr>
        <w:t xml:space="preserve">cyberprzestrzeni. </w:t>
      </w:r>
    </w:p>
    <w:p w14:paraId="70A760E7"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Szkody powstałe wskutek tych działań (np. zaszyfrowanie danych, wykradzenie danych, uniemożliwienie lub utrudnienie świadczenia usług publicznych) są bardzo poważne</w:t>
      </w:r>
      <w:r w:rsidR="002161FE">
        <w:rPr>
          <w:rFonts w:ascii="Times New Roman" w:hAnsi="Times New Roman" w:cs="Times New Roman"/>
          <w:szCs w:val="24"/>
        </w:rPr>
        <w:t xml:space="preserve"> i </w:t>
      </w:r>
      <w:r w:rsidR="008F7ED7" w:rsidRPr="0024375B">
        <w:rPr>
          <w:rFonts w:ascii="Times New Roman" w:hAnsi="Times New Roman" w:cs="Times New Roman"/>
          <w:szCs w:val="24"/>
        </w:rPr>
        <w:t>bardzo często mają</w:t>
      </w:r>
      <w:r w:rsidRPr="0024375B">
        <w:rPr>
          <w:rFonts w:ascii="Times New Roman" w:hAnsi="Times New Roman" w:cs="Times New Roman"/>
          <w:szCs w:val="24"/>
        </w:rPr>
        <w:t xml:space="preserve"> również </w:t>
      </w:r>
      <w:r w:rsidR="00140B83" w:rsidRPr="0024375B">
        <w:rPr>
          <w:rFonts w:ascii="Times New Roman" w:hAnsi="Times New Roman" w:cs="Times New Roman"/>
          <w:szCs w:val="24"/>
        </w:rPr>
        <w:t xml:space="preserve">istotny </w:t>
      </w:r>
      <w:r w:rsidRPr="0024375B">
        <w:rPr>
          <w:rFonts w:ascii="Times New Roman" w:hAnsi="Times New Roman" w:cs="Times New Roman"/>
          <w:szCs w:val="24"/>
        </w:rPr>
        <w:t>wymiar finansowy. Inwestycja</w:t>
      </w:r>
      <w:r w:rsidR="00EA1900">
        <w:rPr>
          <w:rFonts w:ascii="Times New Roman" w:hAnsi="Times New Roman" w:cs="Times New Roman"/>
          <w:szCs w:val="24"/>
        </w:rPr>
        <w:t xml:space="preserve"> w </w:t>
      </w:r>
      <w:r w:rsidR="008F7ED7" w:rsidRPr="0024375B">
        <w:rPr>
          <w:rFonts w:ascii="Times New Roman" w:hAnsi="Times New Roman" w:cs="Times New Roman"/>
          <w:szCs w:val="24"/>
        </w:rPr>
        <w:t xml:space="preserve">dostosowanie </w:t>
      </w:r>
      <w:r w:rsidRPr="0024375B">
        <w:rPr>
          <w:rFonts w:ascii="Times New Roman" w:hAnsi="Times New Roman" w:cs="Times New Roman"/>
          <w:szCs w:val="24"/>
        </w:rPr>
        <w:t xml:space="preserve">krajowego systemu </w:t>
      </w:r>
      <w:r w:rsidR="008F7ED7" w:rsidRPr="0024375B">
        <w:rPr>
          <w:rFonts w:ascii="Times New Roman" w:hAnsi="Times New Roman" w:cs="Times New Roman"/>
          <w:szCs w:val="24"/>
        </w:rPr>
        <w:t xml:space="preserve">cyberbezpieczeństwa do wyzwań </w:t>
      </w:r>
      <w:r w:rsidR="00434006" w:rsidRPr="0024375B">
        <w:rPr>
          <w:rFonts w:ascii="Times New Roman" w:hAnsi="Times New Roman" w:cs="Times New Roman"/>
          <w:szCs w:val="24"/>
        </w:rPr>
        <w:t>wynikających</w:t>
      </w:r>
      <w:r w:rsidR="002161FE">
        <w:rPr>
          <w:rFonts w:ascii="Times New Roman" w:hAnsi="Times New Roman" w:cs="Times New Roman"/>
          <w:szCs w:val="24"/>
        </w:rPr>
        <w:t xml:space="preserve"> z </w:t>
      </w:r>
      <w:r w:rsidR="00434006" w:rsidRPr="0024375B">
        <w:rPr>
          <w:rFonts w:ascii="Times New Roman" w:hAnsi="Times New Roman" w:cs="Times New Roman"/>
          <w:szCs w:val="24"/>
        </w:rPr>
        <w:t>postępującej gwałtownie cyfryzacji</w:t>
      </w:r>
      <w:r w:rsidR="008F7ED7" w:rsidRPr="0024375B">
        <w:rPr>
          <w:rFonts w:ascii="Times New Roman" w:hAnsi="Times New Roman" w:cs="Times New Roman"/>
          <w:szCs w:val="24"/>
        </w:rPr>
        <w:t xml:space="preserve"> </w:t>
      </w:r>
      <w:r w:rsidRPr="0024375B">
        <w:rPr>
          <w:rFonts w:ascii="Times New Roman" w:hAnsi="Times New Roman" w:cs="Times New Roman"/>
          <w:szCs w:val="24"/>
        </w:rPr>
        <w:t>pozwoli ograniczyć prawdopodobieństwo powstania tych szkód, a</w:t>
      </w:r>
      <w:r w:rsidR="00EA1900">
        <w:rPr>
          <w:rFonts w:ascii="Times New Roman" w:hAnsi="Times New Roman" w:cs="Times New Roman"/>
          <w:szCs w:val="24"/>
        </w:rPr>
        <w:t xml:space="preserve"> w </w:t>
      </w:r>
      <w:r w:rsidRPr="0024375B">
        <w:rPr>
          <w:rFonts w:ascii="Times New Roman" w:hAnsi="Times New Roman" w:cs="Times New Roman"/>
          <w:szCs w:val="24"/>
        </w:rPr>
        <w:t xml:space="preserve">przypadku ataków – znacząco zmniejszyć ich negatywne </w:t>
      </w:r>
      <w:r w:rsidR="00CE638E" w:rsidRPr="0024375B">
        <w:rPr>
          <w:rFonts w:ascii="Times New Roman" w:hAnsi="Times New Roman" w:cs="Times New Roman"/>
          <w:szCs w:val="24"/>
        </w:rPr>
        <w:t>skutki</w:t>
      </w:r>
      <w:r w:rsidRPr="0024375B">
        <w:rPr>
          <w:rFonts w:ascii="Times New Roman" w:hAnsi="Times New Roman" w:cs="Times New Roman"/>
          <w:szCs w:val="24"/>
        </w:rPr>
        <w:t>. Wobec powyższego poniesienie dodatkowych nakładów finansowych jest jak najbardziej zasadne.</w:t>
      </w:r>
    </w:p>
    <w:p w14:paraId="603D6791" w14:textId="77777777" w:rsidR="00DC1C14"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Przyjęcie przepisów</w:t>
      </w:r>
      <w:r w:rsidR="0077165A">
        <w:rPr>
          <w:rFonts w:ascii="Times New Roman" w:hAnsi="Times New Roman" w:cs="Times New Roman"/>
          <w:szCs w:val="24"/>
        </w:rPr>
        <w:t xml:space="preserve"> o </w:t>
      </w:r>
      <w:r w:rsidRPr="0024375B">
        <w:rPr>
          <w:rFonts w:ascii="Times New Roman" w:hAnsi="Times New Roman" w:cs="Times New Roman"/>
          <w:szCs w:val="24"/>
        </w:rPr>
        <w:t>krajowym systemie certyfikacji cyberbezpieczeństwa będzie miało korzystne skutki dla całego sektora przedsiębiorstw. Obecnie firmy ponoszą coraz większe straty</w:t>
      </w:r>
      <w:r w:rsidR="00EA1900">
        <w:rPr>
          <w:rFonts w:ascii="Times New Roman" w:hAnsi="Times New Roman" w:cs="Times New Roman"/>
          <w:szCs w:val="24"/>
        </w:rPr>
        <w:t xml:space="preserve"> w </w:t>
      </w:r>
      <w:r w:rsidRPr="0024375B">
        <w:rPr>
          <w:rFonts w:ascii="Times New Roman" w:hAnsi="Times New Roman" w:cs="Times New Roman"/>
          <w:szCs w:val="24"/>
        </w:rPr>
        <w:t>wyniku działalności cyberprzestępców. Wprowadzenie certyfikacji</w:t>
      </w:r>
      <w:r w:rsidR="00EA1900">
        <w:rPr>
          <w:rFonts w:ascii="Times New Roman" w:hAnsi="Times New Roman" w:cs="Times New Roman"/>
          <w:szCs w:val="24"/>
        </w:rPr>
        <w:t xml:space="preserve"> w </w:t>
      </w:r>
      <w:r w:rsidRPr="0024375B">
        <w:rPr>
          <w:rFonts w:ascii="Times New Roman" w:hAnsi="Times New Roman" w:cs="Times New Roman"/>
          <w:szCs w:val="24"/>
        </w:rPr>
        <w:t>dziedzinie</w:t>
      </w:r>
      <w:r w:rsidR="00434006" w:rsidRPr="0024375B">
        <w:rPr>
          <w:rFonts w:ascii="Times New Roman" w:hAnsi="Times New Roman" w:cs="Times New Roman"/>
          <w:szCs w:val="24"/>
        </w:rPr>
        <w:t xml:space="preserve"> cyberbezpieczeństwa</w:t>
      </w:r>
      <w:r w:rsidRPr="0024375B">
        <w:rPr>
          <w:rFonts w:ascii="Times New Roman" w:hAnsi="Times New Roman" w:cs="Times New Roman"/>
          <w:szCs w:val="24"/>
        </w:rPr>
        <w:t xml:space="preserve"> sprawi, że </w:t>
      </w:r>
      <w:r w:rsidR="00434006" w:rsidRPr="0024375B">
        <w:rPr>
          <w:rFonts w:ascii="Times New Roman" w:hAnsi="Times New Roman" w:cs="Times New Roman"/>
          <w:szCs w:val="24"/>
        </w:rPr>
        <w:t xml:space="preserve">firmy uzyskają lepszy dostęp do </w:t>
      </w:r>
      <w:r w:rsidRPr="0024375B">
        <w:rPr>
          <w:rFonts w:ascii="Times New Roman" w:hAnsi="Times New Roman" w:cs="Times New Roman"/>
          <w:szCs w:val="24"/>
        </w:rPr>
        <w:t>rozwiąza</w:t>
      </w:r>
      <w:r w:rsidR="00434006" w:rsidRPr="0024375B">
        <w:rPr>
          <w:rFonts w:ascii="Times New Roman" w:hAnsi="Times New Roman" w:cs="Times New Roman"/>
          <w:szCs w:val="24"/>
        </w:rPr>
        <w:t>ń</w:t>
      </w:r>
      <w:r w:rsidRPr="0024375B">
        <w:rPr>
          <w:rFonts w:ascii="Times New Roman" w:hAnsi="Times New Roman" w:cs="Times New Roman"/>
          <w:szCs w:val="24"/>
        </w:rPr>
        <w:t xml:space="preserve"> </w:t>
      </w:r>
      <w:r w:rsidR="00434006" w:rsidRPr="0024375B">
        <w:rPr>
          <w:rFonts w:ascii="Times New Roman" w:hAnsi="Times New Roman" w:cs="Times New Roman"/>
          <w:szCs w:val="24"/>
        </w:rPr>
        <w:t xml:space="preserve">gwarantujących </w:t>
      </w:r>
      <w:r w:rsidRPr="0024375B">
        <w:rPr>
          <w:rFonts w:ascii="Times New Roman" w:hAnsi="Times New Roman" w:cs="Times New Roman"/>
          <w:szCs w:val="24"/>
        </w:rPr>
        <w:t>najwyższy poziom bezpieczeństwa. Ponadto</w:t>
      </w:r>
      <w:r w:rsidR="00434006" w:rsidRPr="0024375B">
        <w:rPr>
          <w:rFonts w:ascii="Times New Roman" w:hAnsi="Times New Roman" w:cs="Times New Roman"/>
          <w:szCs w:val="24"/>
        </w:rPr>
        <w:t>,</w:t>
      </w:r>
      <w:r w:rsidRPr="0024375B">
        <w:rPr>
          <w:rFonts w:ascii="Times New Roman" w:hAnsi="Times New Roman" w:cs="Times New Roman"/>
          <w:szCs w:val="24"/>
        </w:rPr>
        <w:t xml:space="preserve"> samo </w:t>
      </w:r>
      <w:r w:rsidR="00434006" w:rsidRPr="0024375B">
        <w:rPr>
          <w:rFonts w:ascii="Times New Roman" w:hAnsi="Times New Roman" w:cs="Times New Roman"/>
          <w:szCs w:val="24"/>
        </w:rPr>
        <w:t xml:space="preserve">zbudowanie </w:t>
      </w:r>
      <w:r w:rsidRPr="0024375B">
        <w:rPr>
          <w:rFonts w:ascii="Times New Roman" w:hAnsi="Times New Roman" w:cs="Times New Roman"/>
          <w:szCs w:val="24"/>
        </w:rPr>
        <w:t>systemu</w:t>
      </w:r>
      <w:r w:rsidR="00434006" w:rsidRPr="0024375B">
        <w:rPr>
          <w:rFonts w:ascii="Times New Roman" w:hAnsi="Times New Roman" w:cs="Times New Roman"/>
          <w:szCs w:val="24"/>
        </w:rPr>
        <w:t xml:space="preserve"> certyfikacji cyberbezpieczeństwa</w:t>
      </w:r>
      <w:r w:rsidRPr="0024375B">
        <w:rPr>
          <w:rFonts w:ascii="Times New Roman" w:hAnsi="Times New Roman" w:cs="Times New Roman"/>
          <w:szCs w:val="24"/>
        </w:rPr>
        <w:t xml:space="preserve"> przyczyni się do wzrostu świadomości</w:t>
      </w:r>
      <w:r w:rsidR="00EA1900">
        <w:rPr>
          <w:rFonts w:ascii="Times New Roman" w:hAnsi="Times New Roman" w:cs="Times New Roman"/>
          <w:szCs w:val="24"/>
        </w:rPr>
        <w:t xml:space="preserve"> w </w:t>
      </w:r>
      <w:r w:rsidR="00434006" w:rsidRPr="0024375B">
        <w:rPr>
          <w:rFonts w:ascii="Times New Roman" w:hAnsi="Times New Roman" w:cs="Times New Roman"/>
          <w:szCs w:val="24"/>
        </w:rPr>
        <w:t>omawianym obszarze</w:t>
      </w:r>
      <w:r w:rsidRPr="0024375B">
        <w:rPr>
          <w:rFonts w:ascii="Times New Roman" w:hAnsi="Times New Roman" w:cs="Times New Roman"/>
          <w:szCs w:val="24"/>
        </w:rPr>
        <w:t>.</w:t>
      </w:r>
      <w:r w:rsidR="00116933">
        <w:rPr>
          <w:rFonts w:ascii="Times New Roman" w:hAnsi="Times New Roman" w:cs="Times New Roman"/>
          <w:szCs w:val="24"/>
        </w:rPr>
        <w:t xml:space="preserve"> W </w:t>
      </w:r>
      <w:r w:rsidRPr="0024375B">
        <w:rPr>
          <w:rFonts w:ascii="Times New Roman" w:hAnsi="Times New Roman" w:cs="Times New Roman"/>
          <w:szCs w:val="24"/>
        </w:rPr>
        <w:t xml:space="preserve">efekcie straty ponoszone przez sektor przedsiębiorstw powinny </w:t>
      </w:r>
      <w:r w:rsidR="00434006" w:rsidRPr="0024375B">
        <w:rPr>
          <w:rFonts w:ascii="Times New Roman" w:hAnsi="Times New Roman" w:cs="Times New Roman"/>
          <w:szCs w:val="24"/>
        </w:rPr>
        <w:t>ulec zmniejszeniu</w:t>
      </w:r>
      <w:r w:rsidRPr="0024375B">
        <w:rPr>
          <w:rFonts w:ascii="Times New Roman" w:hAnsi="Times New Roman" w:cs="Times New Roman"/>
          <w:szCs w:val="24"/>
        </w:rPr>
        <w:t xml:space="preserve">. </w:t>
      </w:r>
    </w:p>
    <w:p w14:paraId="2EBB0403"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Skutki prawne</w:t>
      </w:r>
    </w:p>
    <w:p w14:paraId="5795B4DD"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 xml:space="preserve">Powstaną nowe rejestry pomagające właściwym instytucjom wykonywać </w:t>
      </w:r>
      <w:r w:rsidR="000D5FC6" w:rsidRPr="0024375B">
        <w:rPr>
          <w:rFonts w:ascii="Times New Roman" w:hAnsi="Times New Roman" w:cs="Times New Roman"/>
          <w:szCs w:val="24"/>
        </w:rPr>
        <w:t xml:space="preserve">ich zadania </w:t>
      </w:r>
      <w:r w:rsidRPr="0024375B">
        <w:rPr>
          <w:rFonts w:ascii="Times New Roman" w:hAnsi="Times New Roman" w:cs="Times New Roman"/>
          <w:szCs w:val="24"/>
        </w:rPr>
        <w:t>ustawowe – wykaz SOC oraz wykaz ISAC.</w:t>
      </w:r>
    </w:p>
    <w:p w14:paraId="254870F5"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Minister właściwy do spraw informatyzacji będzie mógł przeprowadzić postępowanie</w:t>
      </w:r>
      <w:r w:rsidR="00EA1900">
        <w:rPr>
          <w:rFonts w:ascii="Times New Roman" w:hAnsi="Times New Roman" w:cs="Times New Roman"/>
          <w:szCs w:val="24"/>
        </w:rPr>
        <w:t xml:space="preserve"> w </w:t>
      </w:r>
      <w:r w:rsidRPr="0024375B">
        <w:rPr>
          <w:rFonts w:ascii="Times New Roman" w:hAnsi="Times New Roman" w:cs="Times New Roman"/>
          <w:szCs w:val="24"/>
        </w:rPr>
        <w:t>sprawie uznania dostawcy sprzętu lub oprogramowania za dostawcę wysokiego ryzyka.</w:t>
      </w:r>
    </w:p>
    <w:p w14:paraId="67222558" w14:textId="77777777" w:rsidR="00F6749E" w:rsidRPr="0024375B" w:rsidRDefault="00F6749E" w:rsidP="0024375B">
      <w:pPr>
        <w:pStyle w:val="ARTartustawynprozporzdzenia"/>
        <w:spacing w:before="0"/>
        <w:ind w:firstLine="567"/>
        <w:rPr>
          <w:szCs w:val="24"/>
        </w:rPr>
      </w:pPr>
      <w:r w:rsidRPr="0024375B">
        <w:rPr>
          <w:rFonts w:ascii="Times New Roman" w:hAnsi="Times New Roman" w:cs="Times New Roman"/>
          <w:szCs w:val="24"/>
        </w:rPr>
        <w:t>Pełnomocnik</w:t>
      </w:r>
      <w:r w:rsidR="000D5FC6" w:rsidRPr="0024375B">
        <w:rPr>
          <w:rFonts w:ascii="Times New Roman" w:hAnsi="Times New Roman" w:cs="Times New Roman"/>
          <w:szCs w:val="24"/>
        </w:rPr>
        <w:t xml:space="preserve"> Rządu do spraw Cyberbezpieczeństwa</w:t>
      </w:r>
      <w:r w:rsidRPr="0024375B">
        <w:rPr>
          <w:rFonts w:ascii="Times New Roman" w:hAnsi="Times New Roman" w:cs="Times New Roman"/>
          <w:szCs w:val="24"/>
        </w:rPr>
        <w:t xml:space="preserve"> </w:t>
      </w:r>
      <w:r w:rsidR="000D5FC6" w:rsidRPr="0024375B">
        <w:rPr>
          <w:rFonts w:ascii="Times New Roman" w:hAnsi="Times New Roman" w:cs="Times New Roman"/>
          <w:szCs w:val="24"/>
        </w:rPr>
        <w:t xml:space="preserve">oraz </w:t>
      </w:r>
      <w:r w:rsidRPr="0024375B">
        <w:rPr>
          <w:rFonts w:ascii="Times New Roman" w:hAnsi="Times New Roman" w:cs="Times New Roman"/>
          <w:szCs w:val="24"/>
        </w:rPr>
        <w:t>minister</w:t>
      </w:r>
      <w:r w:rsidR="00DC1C14" w:rsidRPr="0024375B">
        <w:rPr>
          <w:rFonts w:ascii="Times New Roman" w:hAnsi="Times New Roman" w:cs="Times New Roman"/>
          <w:szCs w:val="24"/>
        </w:rPr>
        <w:t xml:space="preserve"> właściwy</w:t>
      </w:r>
      <w:r w:rsidRPr="0024375B">
        <w:rPr>
          <w:rFonts w:ascii="Times New Roman" w:hAnsi="Times New Roman" w:cs="Times New Roman"/>
          <w:szCs w:val="24"/>
        </w:rPr>
        <w:t xml:space="preserve"> do spraw informatyzacji uzyskają nowe narzędzia</w:t>
      </w:r>
      <w:r w:rsidR="00EA1900">
        <w:rPr>
          <w:rFonts w:ascii="Times New Roman" w:hAnsi="Times New Roman" w:cs="Times New Roman"/>
          <w:szCs w:val="24"/>
        </w:rPr>
        <w:t xml:space="preserve"> w </w:t>
      </w:r>
      <w:r w:rsidR="000D5FC6" w:rsidRPr="0024375B">
        <w:rPr>
          <w:rFonts w:ascii="Times New Roman" w:hAnsi="Times New Roman" w:cs="Times New Roman"/>
          <w:szCs w:val="24"/>
        </w:rPr>
        <w:t>zakresie</w:t>
      </w:r>
      <w:r w:rsidRPr="0024375B">
        <w:rPr>
          <w:rFonts w:ascii="Times New Roman" w:hAnsi="Times New Roman" w:cs="Times New Roman"/>
          <w:szCs w:val="24"/>
        </w:rPr>
        <w:t xml:space="preserve"> zapobiegania</w:t>
      </w:r>
      <w:r w:rsidR="000D5FC6" w:rsidRPr="0024375B">
        <w:rPr>
          <w:rFonts w:ascii="Times New Roman" w:hAnsi="Times New Roman" w:cs="Times New Roman"/>
          <w:szCs w:val="24"/>
        </w:rPr>
        <w:t xml:space="preserve"> cyberzagrożeniom</w:t>
      </w:r>
      <w:r w:rsidR="002161FE">
        <w:rPr>
          <w:rFonts w:ascii="Times New Roman" w:hAnsi="Times New Roman" w:cs="Times New Roman"/>
          <w:szCs w:val="24"/>
        </w:rPr>
        <w:t xml:space="preserve"> i </w:t>
      </w:r>
      <w:r w:rsidRPr="0024375B">
        <w:rPr>
          <w:rFonts w:ascii="Times New Roman" w:hAnsi="Times New Roman" w:cs="Times New Roman"/>
          <w:szCs w:val="24"/>
        </w:rPr>
        <w:t xml:space="preserve">zwiększenia skuteczności reagowania </w:t>
      </w:r>
      <w:r w:rsidRPr="0024375B">
        <w:rPr>
          <w:rFonts w:ascii="Times New Roman" w:hAnsi="Times New Roman" w:cs="Times New Roman"/>
          <w:szCs w:val="24"/>
        </w:rPr>
        <w:lastRenderedPageBreak/>
        <w:t>na incydenty krytyczne</w:t>
      </w:r>
      <w:r w:rsidR="005920E2" w:rsidRPr="0024375B">
        <w:rPr>
          <w:rFonts w:ascii="Times New Roman" w:hAnsi="Times New Roman" w:cs="Times New Roman"/>
          <w:szCs w:val="24"/>
        </w:rPr>
        <w:t>.</w:t>
      </w:r>
      <w:r w:rsidR="00E06B26" w:rsidRPr="0024375B">
        <w:rPr>
          <w:rFonts w:ascii="Times New Roman" w:hAnsi="Times New Roman" w:cs="Times New Roman"/>
          <w:szCs w:val="24"/>
        </w:rPr>
        <w:t xml:space="preserve"> </w:t>
      </w:r>
      <w:r w:rsidR="000D5FC6" w:rsidRPr="0024375B">
        <w:rPr>
          <w:rFonts w:ascii="Times New Roman" w:hAnsi="Times New Roman" w:cs="Times New Roman"/>
          <w:szCs w:val="24"/>
        </w:rPr>
        <w:t xml:space="preserve">Również </w:t>
      </w:r>
      <w:r w:rsidR="000D5FC6" w:rsidRPr="0024375B">
        <w:rPr>
          <w:szCs w:val="24"/>
        </w:rPr>
        <w:t>p</w:t>
      </w:r>
      <w:r w:rsidR="00E06B26" w:rsidRPr="0024375B">
        <w:rPr>
          <w:szCs w:val="24"/>
        </w:rPr>
        <w:t>rzewodniczący Kolegium</w:t>
      </w:r>
      <w:r w:rsidR="000D5FC6" w:rsidRPr="0024375B">
        <w:rPr>
          <w:szCs w:val="24"/>
        </w:rPr>
        <w:t xml:space="preserve"> do spraw Cyberbezpieczeństwa zostanie wyposażony</w:t>
      </w:r>
      <w:r w:rsidR="00EA1900">
        <w:rPr>
          <w:szCs w:val="24"/>
        </w:rPr>
        <w:t xml:space="preserve"> w </w:t>
      </w:r>
      <w:r w:rsidR="00E06B26" w:rsidRPr="0024375B">
        <w:rPr>
          <w:szCs w:val="24"/>
        </w:rPr>
        <w:t>szereg nowych kompetencji (</w:t>
      </w:r>
      <w:r w:rsidR="000D5FC6" w:rsidRPr="0024375B">
        <w:rPr>
          <w:szCs w:val="24"/>
        </w:rPr>
        <w:t>m.in.</w:t>
      </w:r>
      <w:r w:rsidR="000860E6" w:rsidRPr="0024375B">
        <w:rPr>
          <w:szCs w:val="24"/>
        </w:rPr>
        <w:t xml:space="preserve"> </w:t>
      </w:r>
      <w:r w:rsidR="00562886" w:rsidRPr="0024375B">
        <w:rPr>
          <w:szCs w:val="24"/>
        </w:rPr>
        <w:t xml:space="preserve">będzie mógł </w:t>
      </w:r>
      <w:r w:rsidR="00E06B26" w:rsidRPr="0024375B">
        <w:rPr>
          <w:szCs w:val="24"/>
        </w:rPr>
        <w:t>wnioskować</w:t>
      </w:r>
      <w:r w:rsidR="0077165A">
        <w:rPr>
          <w:szCs w:val="24"/>
        </w:rPr>
        <w:t xml:space="preserve"> o </w:t>
      </w:r>
      <w:r w:rsidR="00E06B26" w:rsidRPr="0024375B">
        <w:rPr>
          <w:szCs w:val="24"/>
        </w:rPr>
        <w:t>przeprowadzenie badania,</w:t>
      </w:r>
      <w:r w:rsidR="0077165A">
        <w:rPr>
          <w:szCs w:val="24"/>
        </w:rPr>
        <w:t xml:space="preserve"> o </w:t>
      </w:r>
      <w:r w:rsidR="00E06B26" w:rsidRPr="0024375B">
        <w:rPr>
          <w:szCs w:val="24"/>
        </w:rPr>
        <w:t>którym mowa</w:t>
      </w:r>
      <w:r w:rsidR="002161FE">
        <w:rPr>
          <w:szCs w:val="24"/>
        </w:rPr>
        <w:t xml:space="preserve"> w</w:t>
      </w:r>
      <w:r w:rsidR="00EA1900">
        <w:rPr>
          <w:szCs w:val="24"/>
        </w:rPr>
        <w:t xml:space="preserve"> art. </w:t>
      </w:r>
      <w:r w:rsidR="00E06B26" w:rsidRPr="0024375B">
        <w:rPr>
          <w:szCs w:val="24"/>
        </w:rPr>
        <w:t xml:space="preserve">33 </w:t>
      </w:r>
      <w:r w:rsidR="00D00CB4">
        <w:rPr>
          <w:szCs w:val="24"/>
        </w:rPr>
        <w:t>ust. </w:t>
      </w:r>
      <w:r w:rsidR="00E06B26" w:rsidRPr="0024375B">
        <w:rPr>
          <w:szCs w:val="24"/>
        </w:rPr>
        <w:t>1 ustawy; zlecić CSIRT GOV CSIRT MON lub CSIRT NASK przeprowadzenie analizy dotyczącej wpływu konkretnych produktów ICT, usług ICT lub procesów ICT na bezpieczeństwo usług albo analizy dotyczącej trybu</w:t>
      </w:r>
      <w:r w:rsidR="002161FE">
        <w:rPr>
          <w:szCs w:val="24"/>
        </w:rPr>
        <w:t xml:space="preserve"> i </w:t>
      </w:r>
      <w:r w:rsidR="00E06B26" w:rsidRPr="0024375B">
        <w:rPr>
          <w:szCs w:val="24"/>
        </w:rPr>
        <w:t>zakresu,</w:t>
      </w:r>
      <w:r w:rsidR="00EA1900">
        <w:rPr>
          <w:szCs w:val="24"/>
        </w:rPr>
        <w:t xml:space="preserve"> w </w:t>
      </w:r>
      <w:r w:rsidR="00E06B26" w:rsidRPr="0024375B">
        <w:rPr>
          <w:szCs w:val="24"/>
        </w:rPr>
        <w:t>jakim dostawca sprawuje nadzór nad procesem wytwarzania</w:t>
      </w:r>
      <w:r w:rsidR="002161FE">
        <w:rPr>
          <w:szCs w:val="24"/>
        </w:rPr>
        <w:t xml:space="preserve"> i </w:t>
      </w:r>
      <w:r w:rsidR="00E06B26" w:rsidRPr="0024375B">
        <w:rPr>
          <w:szCs w:val="24"/>
        </w:rPr>
        <w:t>dostarczania produktów ICT, usług ICT lub procesów ICT</w:t>
      </w:r>
      <w:r w:rsidR="000860E6" w:rsidRPr="0024375B">
        <w:rPr>
          <w:szCs w:val="24"/>
        </w:rPr>
        <w:t xml:space="preserve">; będzie również mógł </w:t>
      </w:r>
      <w:r w:rsidR="00E06B26" w:rsidRPr="0024375B">
        <w:rPr>
          <w:szCs w:val="24"/>
        </w:rPr>
        <w:t>wnioskować</w:t>
      </w:r>
      <w:r w:rsidR="0077165A">
        <w:rPr>
          <w:szCs w:val="24"/>
        </w:rPr>
        <w:t xml:space="preserve"> o </w:t>
      </w:r>
      <w:r w:rsidR="00E06B26" w:rsidRPr="0024375B">
        <w:rPr>
          <w:szCs w:val="24"/>
        </w:rPr>
        <w:t>wszczęcie postępowania</w:t>
      </w:r>
      <w:r w:rsidR="00EA1900">
        <w:rPr>
          <w:szCs w:val="24"/>
        </w:rPr>
        <w:t xml:space="preserve"> w </w:t>
      </w:r>
      <w:r w:rsidR="00E06B26" w:rsidRPr="0024375B">
        <w:rPr>
          <w:szCs w:val="24"/>
        </w:rPr>
        <w:t>sprawie uznania dostawcy sprzętu</w:t>
      </w:r>
      <w:r w:rsidR="002161FE">
        <w:rPr>
          <w:szCs w:val="24"/>
        </w:rPr>
        <w:t xml:space="preserve"> i </w:t>
      </w:r>
      <w:r w:rsidR="00E06B26" w:rsidRPr="0024375B">
        <w:rPr>
          <w:szCs w:val="24"/>
        </w:rPr>
        <w:t>oprogramowania za dostawcę wysokiego ryzyka</w:t>
      </w:r>
      <w:r w:rsidR="000860E6" w:rsidRPr="0024375B">
        <w:rPr>
          <w:szCs w:val="24"/>
        </w:rPr>
        <w:t>).</w:t>
      </w:r>
      <w:r w:rsidR="00562886" w:rsidRPr="0024375B">
        <w:rPr>
          <w:szCs w:val="24"/>
        </w:rPr>
        <w:t xml:space="preserve"> </w:t>
      </w:r>
    </w:p>
    <w:p w14:paraId="23FF7F9B" w14:textId="77777777" w:rsidR="00562886" w:rsidRPr="0024375B" w:rsidRDefault="000860E6"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K</w:t>
      </w:r>
      <w:r w:rsidR="00F6749E" w:rsidRPr="0024375B">
        <w:rPr>
          <w:rFonts w:ascii="Times New Roman" w:hAnsi="Times New Roman" w:cs="Times New Roman"/>
          <w:szCs w:val="24"/>
        </w:rPr>
        <w:t>rajowy organ do spraw certyfikacji cyberbezpieczeństwa będzie dysponował</w:t>
      </w:r>
      <w:r w:rsidR="00562886" w:rsidRPr="0024375B">
        <w:rPr>
          <w:rFonts w:ascii="Times New Roman" w:hAnsi="Times New Roman" w:cs="Times New Roman"/>
          <w:szCs w:val="24"/>
        </w:rPr>
        <w:t>:</w:t>
      </w:r>
      <w:r w:rsidR="00F6749E" w:rsidRPr="0024375B">
        <w:rPr>
          <w:rFonts w:ascii="Times New Roman" w:hAnsi="Times New Roman" w:cs="Times New Roman"/>
          <w:szCs w:val="24"/>
        </w:rPr>
        <w:t xml:space="preserve"> </w:t>
      </w:r>
    </w:p>
    <w:p w14:paraId="1BCF2099" w14:textId="77777777" w:rsidR="00562886" w:rsidRPr="0024375B" w:rsidRDefault="00F6749E" w:rsidP="0024375B">
      <w:pPr>
        <w:pStyle w:val="NIEARTTEKSTtekstnieartykuowanynppodstprawnarozplubpreambua"/>
        <w:numPr>
          <w:ilvl w:val="0"/>
          <w:numId w:val="64"/>
        </w:numPr>
        <w:spacing w:before="0"/>
        <w:ind w:left="709"/>
        <w:rPr>
          <w:rFonts w:ascii="Times New Roman" w:hAnsi="Times New Roman" w:cs="Times New Roman"/>
          <w:szCs w:val="24"/>
        </w:rPr>
      </w:pPr>
      <w:r w:rsidRPr="0024375B">
        <w:rPr>
          <w:rFonts w:ascii="Times New Roman" w:hAnsi="Times New Roman" w:cs="Times New Roman"/>
          <w:szCs w:val="24"/>
        </w:rPr>
        <w:t xml:space="preserve">uprawnieniami do nadzoru nad systemem certyfikacji cyberbezpieczeństwa oraz </w:t>
      </w:r>
    </w:p>
    <w:p w14:paraId="74224567" w14:textId="77777777" w:rsidR="00F6749E" w:rsidRPr="0024375B" w:rsidRDefault="00F6749E" w:rsidP="0024375B">
      <w:pPr>
        <w:pStyle w:val="NIEARTTEKSTtekstnieartykuowanynppodstprawnarozplubpreambua"/>
        <w:numPr>
          <w:ilvl w:val="0"/>
          <w:numId w:val="64"/>
        </w:numPr>
        <w:spacing w:before="0"/>
        <w:ind w:left="709"/>
        <w:rPr>
          <w:rFonts w:ascii="Times New Roman" w:hAnsi="Times New Roman" w:cs="Times New Roman"/>
          <w:szCs w:val="24"/>
        </w:rPr>
      </w:pPr>
      <w:r w:rsidRPr="0024375B">
        <w:rPr>
          <w:rFonts w:ascii="Times New Roman" w:hAnsi="Times New Roman" w:cs="Times New Roman"/>
          <w:szCs w:val="24"/>
        </w:rPr>
        <w:t>narzędziami do usuwania</w:t>
      </w:r>
      <w:r w:rsidR="002161FE">
        <w:rPr>
          <w:rFonts w:ascii="Times New Roman" w:hAnsi="Times New Roman" w:cs="Times New Roman"/>
          <w:szCs w:val="24"/>
        </w:rPr>
        <w:t xml:space="preserve"> z </w:t>
      </w:r>
      <w:r w:rsidRPr="0024375B">
        <w:rPr>
          <w:rFonts w:ascii="Times New Roman" w:hAnsi="Times New Roman" w:cs="Times New Roman"/>
          <w:szCs w:val="24"/>
        </w:rPr>
        <w:t>obiegu prawnego certyfikat</w:t>
      </w:r>
      <w:r w:rsidR="00176953" w:rsidRPr="0024375B">
        <w:rPr>
          <w:rFonts w:ascii="Times New Roman" w:hAnsi="Times New Roman" w:cs="Times New Roman"/>
          <w:szCs w:val="24"/>
        </w:rPr>
        <w:t>ów</w:t>
      </w:r>
      <w:r w:rsidRPr="0024375B">
        <w:rPr>
          <w:rFonts w:ascii="Times New Roman" w:hAnsi="Times New Roman" w:cs="Times New Roman"/>
          <w:szCs w:val="24"/>
        </w:rPr>
        <w:t xml:space="preserve"> wydanych wbrew przepisom ustawy oraz do kontrolowania podmiotów krajowego systemu certyfikacji cyberbezpieczeństwa.</w:t>
      </w:r>
    </w:p>
    <w:p w14:paraId="61CD669E"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Ponadto</w:t>
      </w:r>
      <w:r w:rsidR="000860E6" w:rsidRPr="0024375B">
        <w:rPr>
          <w:rFonts w:ascii="Times New Roman" w:hAnsi="Times New Roman" w:cs="Times New Roman"/>
          <w:szCs w:val="24"/>
        </w:rPr>
        <w:t>,</w:t>
      </w:r>
      <w:r w:rsidRPr="0024375B">
        <w:rPr>
          <w:rFonts w:ascii="Times New Roman" w:hAnsi="Times New Roman" w:cs="Times New Roman"/>
          <w:szCs w:val="24"/>
        </w:rPr>
        <w:t xml:space="preserve"> przepisy ustanawiają podstawę prawną</w:t>
      </w:r>
      <w:r w:rsidR="002161FE">
        <w:rPr>
          <w:rFonts w:ascii="Times New Roman" w:hAnsi="Times New Roman" w:cs="Times New Roman"/>
          <w:szCs w:val="24"/>
        </w:rPr>
        <w:t xml:space="preserve"> i </w:t>
      </w:r>
      <w:r w:rsidRPr="0024375B">
        <w:rPr>
          <w:rFonts w:ascii="Times New Roman" w:hAnsi="Times New Roman" w:cs="Times New Roman"/>
          <w:szCs w:val="24"/>
        </w:rPr>
        <w:t>procedury przyjmowania krajowych programów certyfikacji cyberbezpieczeństwa.</w:t>
      </w:r>
    </w:p>
    <w:p w14:paraId="1FE6B250" w14:textId="77777777" w:rsidR="00562886" w:rsidRPr="0024375B" w:rsidRDefault="00562886" w:rsidP="0024375B">
      <w:pPr>
        <w:pStyle w:val="ARTartustawynprozporzdzenia"/>
        <w:spacing w:before="0"/>
        <w:rPr>
          <w:szCs w:val="24"/>
        </w:rPr>
      </w:pPr>
      <w:r w:rsidRPr="0024375B">
        <w:rPr>
          <w:szCs w:val="24"/>
        </w:rPr>
        <w:t>Niniejszą ustawą zostaną zmienione następujące ustawy:</w:t>
      </w:r>
    </w:p>
    <w:p w14:paraId="705364A7" w14:textId="55DBC89A" w:rsidR="00562886" w:rsidRPr="0024375B" w:rsidRDefault="006B041E" w:rsidP="0024375B">
      <w:pPr>
        <w:pStyle w:val="Akapitzlist"/>
        <w:numPr>
          <w:ilvl w:val="0"/>
          <w:numId w:val="76"/>
        </w:numPr>
        <w:spacing w:line="360" w:lineRule="auto"/>
      </w:pPr>
      <w:r w:rsidRPr="0024375B">
        <w:t>u</w:t>
      </w:r>
      <w:r w:rsidR="009134C0" w:rsidRPr="0024375B">
        <w:t>stawa</w:t>
      </w:r>
      <w:r w:rsidR="002161FE">
        <w:t xml:space="preserve"> z </w:t>
      </w:r>
      <w:r w:rsidR="009134C0" w:rsidRPr="0024375B">
        <w:t>dnia 16 grudnia 2016 r.</w:t>
      </w:r>
      <w:r w:rsidR="0077165A">
        <w:t xml:space="preserve"> o </w:t>
      </w:r>
      <w:r w:rsidR="009134C0" w:rsidRPr="0024375B">
        <w:t>zasadach zarządzania mieniem państwowym</w:t>
      </w:r>
      <w:r w:rsidR="009134C0" w:rsidRPr="0024375B">
        <w:rPr>
          <w:rStyle w:val="Odwoanieprzypisudolnego"/>
        </w:rPr>
        <w:footnoteReference w:id="13"/>
      </w:r>
      <w:r w:rsidR="0087130F">
        <w:rPr>
          <w:vertAlign w:val="superscript"/>
        </w:rPr>
        <w:t>)</w:t>
      </w:r>
      <w:r w:rsidR="009134C0" w:rsidRPr="0024375B">
        <w:rPr>
          <w:szCs w:val="24"/>
        </w:rPr>
        <w:t xml:space="preserve"> </w:t>
      </w:r>
      <w:r w:rsidR="00140B83" w:rsidRPr="0024375B">
        <w:rPr>
          <w:szCs w:val="24"/>
        </w:rPr>
        <w:t>–</w:t>
      </w:r>
      <w:r w:rsidR="009134C0" w:rsidRPr="0024375B">
        <w:t xml:space="preserve"> do katalogu spółek</w:t>
      </w:r>
      <w:r w:rsidR="00EA1900">
        <w:t xml:space="preserve"> w </w:t>
      </w:r>
      <w:r w:rsidR="009134C0" w:rsidRPr="0024375B">
        <w:t>których nie mogą być zbyte akcje lub prawa</w:t>
      </w:r>
      <w:r w:rsidR="002161FE">
        <w:t xml:space="preserve"> z </w:t>
      </w:r>
      <w:r w:rsidR="009134C0" w:rsidRPr="0024375B">
        <w:t xml:space="preserve">akcji należące do Skarbu Państwa </w:t>
      </w:r>
      <w:r w:rsidR="0028385B" w:rsidRPr="0024375B">
        <w:t xml:space="preserve">zostanie dodana spółka wyznaczona na </w:t>
      </w:r>
      <w:r w:rsidR="00C16A93">
        <w:t>o</w:t>
      </w:r>
      <w:r w:rsidR="0028385B" w:rsidRPr="0024375B">
        <w:t>peratora strategicznej sieci bezpieczeństwa.</w:t>
      </w:r>
    </w:p>
    <w:p w14:paraId="4A494058" w14:textId="77777777" w:rsidR="00F6749E" w:rsidRPr="0024375B" w:rsidRDefault="00F6749E" w:rsidP="0024375B">
      <w:pPr>
        <w:pStyle w:val="NIEARTTEKSTtekstnieartykuowanynppodstprawnarozplubpreambua"/>
        <w:spacing w:after="240"/>
        <w:rPr>
          <w:rFonts w:ascii="Times New Roman" w:eastAsia="Times" w:hAnsi="Times New Roman" w:cs="Times New Roman"/>
          <w:szCs w:val="24"/>
          <w:u w:val="single"/>
        </w:rPr>
      </w:pPr>
      <w:r w:rsidRPr="0024375B">
        <w:rPr>
          <w:rFonts w:ascii="Times New Roman" w:eastAsia="Times" w:hAnsi="Times New Roman" w:cs="Times New Roman"/>
          <w:szCs w:val="24"/>
          <w:u w:val="single"/>
        </w:rPr>
        <w:t>Źródła finansowania projektowanych zmian</w:t>
      </w:r>
    </w:p>
    <w:p w14:paraId="77365C89" w14:textId="77777777" w:rsidR="00F6749E" w:rsidRPr="0024375B" w:rsidRDefault="00F6749E"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Wejście</w:t>
      </w:r>
      <w:r w:rsidR="00EA1900">
        <w:rPr>
          <w:rFonts w:ascii="Times New Roman" w:hAnsi="Times New Roman" w:cs="Times New Roman"/>
          <w:szCs w:val="24"/>
        </w:rPr>
        <w:t xml:space="preserve"> w </w:t>
      </w:r>
      <w:r w:rsidRPr="0024375B">
        <w:rPr>
          <w:rFonts w:ascii="Times New Roman" w:hAnsi="Times New Roman" w:cs="Times New Roman"/>
          <w:szCs w:val="24"/>
        </w:rPr>
        <w:t>życie projektowanej regulacji będzie stanowić podstawę do ubiegania się</w:t>
      </w:r>
      <w:r w:rsidR="0077165A">
        <w:rPr>
          <w:rFonts w:ascii="Times New Roman" w:hAnsi="Times New Roman" w:cs="Times New Roman"/>
          <w:szCs w:val="24"/>
        </w:rPr>
        <w:t xml:space="preserve"> o </w:t>
      </w:r>
      <w:r w:rsidRPr="0024375B">
        <w:rPr>
          <w:rFonts w:ascii="Times New Roman" w:hAnsi="Times New Roman" w:cs="Times New Roman"/>
          <w:szCs w:val="24"/>
        </w:rPr>
        <w:t>dodatkowe środki</w:t>
      </w:r>
      <w:r w:rsidR="002161FE">
        <w:rPr>
          <w:rFonts w:ascii="Times New Roman" w:hAnsi="Times New Roman" w:cs="Times New Roman"/>
          <w:szCs w:val="24"/>
        </w:rPr>
        <w:t xml:space="preserve"> z </w:t>
      </w:r>
      <w:r w:rsidRPr="0024375B">
        <w:rPr>
          <w:rFonts w:ascii="Times New Roman" w:hAnsi="Times New Roman" w:cs="Times New Roman"/>
          <w:szCs w:val="24"/>
        </w:rPr>
        <w:t xml:space="preserve">budżetu państwa. </w:t>
      </w:r>
      <w:r w:rsidR="00DC1C14" w:rsidRPr="0024375B">
        <w:rPr>
          <w:rFonts w:ascii="Times New Roman" w:hAnsi="Times New Roman" w:cs="Times New Roman"/>
          <w:szCs w:val="24"/>
        </w:rPr>
        <w:t>Szczegółowy opis źródeł finansowania zawarty jest</w:t>
      </w:r>
      <w:r w:rsidR="00EA1900">
        <w:rPr>
          <w:rFonts w:ascii="Times New Roman" w:hAnsi="Times New Roman" w:cs="Times New Roman"/>
          <w:szCs w:val="24"/>
        </w:rPr>
        <w:t xml:space="preserve"> w </w:t>
      </w:r>
      <w:r w:rsidR="00DC1C14" w:rsidRPr="0024375B">
        <w:rPr>
          <w:rFonts w:ascii="Times New Roman" w:hAnsi="Times New Roman" w:cs="Times New Roman"/>
          <w:szCs w:val="24"/>
        </w:rPr>
        <w:t>ocenie skutków regulacji.</w:t>
      </w:r>
    </w:p>
    <w:p w14:paraId="7B88FB89" w14:textId="77777777" w:rsidR="00F6749E" w:rsidRPr="0024375B" w:rsidRDefault="00F6749E" w:rsidP="0024375B">
      <w:pPr>
        <w:pStyle w:val="NIEARTTEKSTtekstnieartykuowanynppodstprawnarozplubpreambua"/>
        <w:spacing w:after="240"/>
        <w:rPr>
          <w:rFonts w:ascii="Times New Roman" w:hAnsi="Times New Roman" w:cs="Times New Roman"/>
          <w:szCs w:val="24"/>
          <w:u w:val="single"/>
        </w:rPr>
      </w:pPr>
      <w:r w:rsidRPr="0024375B">
        <w:rPr>
          <w:rFonts w:ascii="Times New Roman" w:hAnsi="Times New Roman" w:cs="Times New Roman"/>
          <w:szCs w:val="24"/>
          <w:u w:val="single"/>
        </w:rPr>
        <w:t>Wyniki przeprowadzonych konsultacji</w:t>
      </w:r>
    </w:p>
    <w:p w14:paraId="5126BC11" w14:textId="77777777" w:rsidR="00B73CA2" w:rsidRPr="0024375B" w:rsidRDefault="00B73CA2"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W dniach 30.06</w:t>
      </w:r>
      <w:r w:rsidR="002A386E">
        <w:rPr>
          <w:rFonts w:ascii="Times New Roman" w:hAnsi="Times New Roman" w:cs="Times New Roman"/>
          <w:szCs w:val="24"/>
        </w:rPr>
        <w:t>–</w:t>
      </w:r>
      <w:r w:rsidRPr="0024375B">
        <w:rPr>
          <w:rFonts w:ascii="Times New Roman" w:hAnsi="Times New Roman" w:cs="Times New Roman"/>
          <w:szCs w:val="24"/>
        </w:rPr>
        <w:t>8.07</w:t>
      </w:r>
      <w:r w:rsidR="00E96F6D" w:rsidRPr="0024375B">
        <w:rPr>
          <w:rFonts w:ascii="Times New Roman" w:hAnsi="Times New Roman" w:cs="Times New Roman"/>
          <w:szCs w:val="24"/>
        </w:rPr>
        <w:t>.</w:t>
      </w:r>
      <w:r w:rsidRPr="0024375B">
        <w:rPr>
          <w:rFonts w:ascii="Times New Roman" w:hAnsi="Times New Roman" w:cs="Times New Roman"/>
          <w:szCs w:val="24"/>
        </w:rPr>
        <w:t>2020 r. przeprowadzone zostały prekonsultacje robocze</w:t>
      </w:r>
      <w:r w:rsidR="00EA1900">
        <w:rPr>
          <w:rFonts w:ascii="Times New Roman" w:hAnsi="Times New Roman" w:cs="Times New Roman"/>
          <w:szCs w:val="24"/>
        </w:rPr>
        <w:t xml:space="preserve"> w </w:t>
      </w:r>
      <w:r w:rsidRPr="0024375B">
        <w:rPr>
          <w:rFonts w:ascii="Times New Roman" w:hAnsi="Times New Roman" w:cs="Times New Roman"/>
          <w:szCs w:val="24"/>
        </w:rPr>
        <w:t>ramach zespołu doraźnego Kolegium ds. Cyberbezpieczeństwa. Swoje uwagi zgłosiło Ministerstwo Obrony Narodowej, Naukowa</w:t>
      </w:r>
      <w:r w:rsidR="002161FE">
        <w:rPr>
          <w:rFonts w:ascii="Times New Roman" w:hAnsi="Times New Roman" w:cs="Times New Roman"/>
          <w:szCs w:val="24"/>
        </w:rPr>
        <w:t xml:space="preserve"> i </w:t>
      </w:r>
      <w:r w:rsidRPr="0024375B">
        <w:rPr>
          <w:rFonts w:ascii="Times New Roman" w:hAnsi="Times New Roman" w:cs="Times New Roman"/>
          <w:szCs w:val="24"/>
        </w:rPr>
        <w:t>Akademicka Sieć Komputerowa</w:t>
      </w:r>
      <w:r w:rsidR="00E96F6D" w:rsidRPr="0024375B">
        <w:rPr>
          <w:rFonts w:ascii="Times New Roman" w:hAnsi="Times New Roman" w:cs="Times New Roman"/>
          <w:szCs w:val="24"/>
        </w:rPr>
        <w:t xml:space="preserve"> – </w:t>
      </w:r>
      <w:r w:rsidRPr="0024375B">
        <w:rPr>
          <w:rFonts w:ascii="Times New Roman" w:hAnsi="Times New Roman" w:cs="Times New Roman"/>
          <w:szCs w:val="24"/>
        </w:rPr>
        <w:t>Państwowy Instytut Badawczy</w:t>
      </w:r>
      <w:r w:rsidR="002161FE">
        <w:rPr>
          <w:rFonts w:ascii="Times New Roman" w:hAnsi="Times New Roman" w:cs="Times New Roman"/>
          <w:szCs w:val="24"/>
        </w:rPr>
        <w:t xml:space="preserve"> i </w:t>
      </w:r>
      <w:r w:rsidRPr="0024375B">
        <w:rPr>
          <w:rFonts w:ascii="Times New Roman" w:hAnsi="Times New Roman" w:cs="Times New Roman"/>
          <w:szCs w:val="24"/>
        </w:rPr>
        <w:t xml:space="preserve">Prezes Urzędu Komunikacji Elektronicznej. </w:t>
      </w:r>
    </w:p>
    <w:p w14:paraId="5609B769" w14:textId="77777777" w:rsidR="00B73CA2" w:rsidRPr="0024375B" w:rsidRDefault="00B73CA2"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W wyniku zgłoszonych uwag projekt został przeredagowany</w:t>
      </w:r>
      <w:r w:rsidR="002161FE">
        <w:rPr>
          <w:rFonts w:ascii="Times New Roman" w:hAnsi="Times New Roman" w:cs="Times New Roman"/>
          <w:szCs w:val="24"/>
        </w:rPr>
        <w:t xml:space="preserve"> i </w:t>
      </w:r>
      <w:r w:rsidRPr="0024375B">
        <w:rPr>
          <w:rFonts w:ascii="Times New Roman" w:hAnsi="Times New Roman" w:cs="Times New Roman"/>
          <w:szCs w:val="24"/>
        </w:rPr>
        <w:t>przeprowadzono drugą turę prekonsultacji</w:t>
      </w:r>
      <w:r w:rsidR="00EA1900">
        <w:rPr>
          <w:rFonts w:ascii="Times New Roman" w:hAnsi="Times New Roman" w:cs="Times New Roman"/>
          <w:szCs w:val="24"/>
        </w:rPr>
        <w:t xml:space="preserve"> w </w:t>
      </w:r>
      <w:r w:rsidRPr="0024375B">
        <w:rPr>
          <w:rFonts w:ascii="Times New Roman" w:hAnsi="Times New Roman" w:cs="Times New Roman"/>
          <w:szCs w:val="24"/>
        </w:rPr>
        <w:t xml:space="preserve">ramach zespołu doraźnego Kolegium. </w:t>
      </w:r>
    </w:p>
    <w:p w14:paraId="4DCE0BD0" w14:textId="6BABA332" w:rsidR="00B73CA2" w:rsidRPr="0024375B" w:rsidRDefault="00B73CA2" w:rsidP="0024375B">
      <w:pPr>
        <w:pStyle w:val="NIEARTTEKSTtekstnieartykuowanynppodstprawnarozplubpreambua"/>
        <w:spacing w:before="0"/>
        <w:rPr>
          <w:rFonts w:ascii="Times New Roman" w:hAnsi="Times New Roman" w:cs="Times New Roman"/>
          <w:szCs w:val="24"/>
        </w:rPr>
      </w:pPr>
      <w:r w:rsidRPr="0024375B">
        <w:rPr>
          <w:rFonts w:ascii="Times New Roman" w:hAnsi="Times New Roman" w:cs="Times New Roman"/>
          <w:szCs w:val="24"/>
        </w:rPr>
        <w:t>W ramach konsultacji publicznych skierowano zaproszenie do przedstawienia stanowisk do 51 podmiotów</w:t>
      </w:r>
      <w:r w:rsidR="00E3519E" w:rsidRPr="0024375B">
        <w:rPr>
          <w:rFonts w:ascii="Times New Roman" w:hAnsi="Times New Roman" w:cs="Times New Roman"/>
          <w:szCs w:val="24"/>
        </w:rPr>
        <w:t>, wyznaczając termin</w:t>
      </w:r>
      <w:r w:rsidRPr="0024375B">
        <w:rPr>
          <w:rFonts w:ascii="Times New Roman" w:hAnsi="Times New Roman" w:cs="Times New Roman"/>
          <w:szCs w:val="24"/>
        </w:rPr>
        <w:t xml:space="preserve"> 14 dni. Jednakże,</w:t>
      </w:r>
      <w:r w:rsidR="00EA1900">
        <w:rPr>
          <w:rFonts w:ascii="Times New Roman" w:hAnsi="Times New Roman" w:cs="Times New Roman"/>
          <w:szCs w:val="24"/>
        </w:rPr>
        <w:t xml:space="preserve">  </w:t>
      </w:r>
      <w:r w:rsidR="002161FE">
        <w:rPr>
          <w:rFonts w:ascii="Times New Roman" w:hAnsi="Times New Roman" w:cs="Times New Roman"/>
          <w:szCs w:val="24"/>
        </w:rPr>
        <w:t xml:space="preserve"> z </w:t>
      </w:r>
      <w:r w:rsidRPr="0024375B">
        <w:rPr>
          <w:rFonts w:ascii="Times New Roman" w:hAnsi="Times New Roman" w:cs="Times New Roman"/>
          <w:szCs w:val="24"/>
        </w:rPr>
        <w:t>uwagi na prośby ze strony partnerów społecznych, Minister Cyfryzacji (pismem</w:t>
      </w:r>
      <w:r w:rsidR="002161FE">
        <w:rPr>
          <w:rFonts w:ascii="Times New Roman" w:hAnsi="Times New Roman" w:cs="Times New Roman"/>
          <w:szCs w:val="24"/>
        </w:rPr>
        <w:t xml:space="preserve"> z </w:t>
      </w:r>
      <w:r w:rsidRPr="0024375B">
        <w:rPr>
          <w:rFonts w:ascii="Times New Roman" w:hAnsi="Times New Roman" w:cs="Times New Roman"/>
          <w:szCs w:val="24"/>
        </w:rPr>
        <w:t>17 września 2020 r.) przedłużył czas na zgłaszanie uwag</w:t>
      </w:r>
      <w:r w:rsidR="0077165A">
        <w:rPr>
          <w:rFonts w:ascii="Times New Roman" w:hAnsi="Times New Roman" w:cs="Times New Roman"/>
          <w:szCs w:val="24"/>
        </w:rPr>
        <w:t xml:space="preserve"> o </w:t>
      </w:r>
      <w:r w:rsidRPr="0024375B">
        <w:rPr>
          <w:rFonts w:ascii="Times New Roman" w:hAnsi="Times New Roman" w:cs="Times New Roman"/>
          <w:szCs w:val="24"/>
        </w:rPr>
        <w:t xml:space="preserve">kolejne 14 dni </w:t>
      </w:r>
      <w:r w:rsidR="006E6DEF" w:rsidRPr="0024375B">
        <w:rPr>
          <w:rFonts w:ascii="Times New Roman" w:hAnsi="Times New Roman" w:cs="Times New Roman"/>
          <w:szCs w:val="24"/>
        </w:rPr>
        <w:t>– łącznie na uwagi było 28 dni.</w:t>
      </w:r>
    </w:p>
    <w:p w14:paraId="74A80E24" w14:textId="77777777" w:rsidR="008F5933" w:rsidRPr="0024375B" w:rsidRDefault="00B73CA2" w:rsidP="0024375B">
      <w:pPr>
        <w:pStyle w:val="NIEARTTEKSTtekstnieartykuowanynppodstprawnarozplubpreambua"/>
        <w:spacing w:before="0"/>
        <w:rPr>
          <w:rFonts w:ascii="Times New Roman" w:hAnsi="Times New Roman" w:cs="Times New Roman"/>
        </w:rPr>
      </w:pPr>
      <w:r w:rsidRPr="0024375B">
        <w:rPr>
          <w:rFonts w:ascii="Times New Roman" w:hAnsi="Times New Roman" w:cs="Times New Roman"/>
          <w:szCs w:val="24"/>
        </w:rPr>
        <w:lastRenderedPageBreak/>
        <w:t>Konsultacje publiczne oraz opiniowanie odbyły się</w:t>
      </w:r>
      <w:r w:rsidR="00EA1900">
        <w:rPr>
          <w:rFonts w:ascii="Times New Roman" w:hAnsi="Times New Roman" w:cs="Times New Roman"/>
          <w:szCs w:val="24"/>
        </w:rPr>
        <w:t xml:space="preserve"> w </w:t>
      </w:r>
      <w:r w:rsidRPr="0024375B">
        <w:rPr>
          <w:rFonts w:ascii="Times New Roman" w:hAnsi="Times New Roman" w:cs="Times New Roman"/>
          <w:szCs w:val="24"/>
        </w:rPr>
        <w:t>terminie od 8 września do 6 października 2020 r., przy czym przyjmowano także uwagi przesłane</w:t>
      </w:r>
      <w:r w:rsidR="00EA1900">
        <w:rPr>
          <w:rFonts w:ascii="Times New Roman" w:hAnsi="Times New Roman" w:cs="Times New Roman"/>
          <w:szCs w:val="24"/>
        </w:rPr>
        <w:t xml:space="preserve"> w </w:t>
      </w:r>
      <w:r w:rsidRPr="0024375B">
        <w:rPr>
          <w:rFonts w:ascii="Times New Roman" w:hAnsi="Times New Roman" w:cs="Times New Roman"/>
          <w:szCs w:val="24"/>
        </w:rPr>
        <w:t>późniejszym terminie,</w:t>
      </w:r>
      <w:r w:rsidR="0077165A">
        <w:rPr>
          <w:rFonts w:ascii="Times New Roman" w:hAnsi="Times New Roman" w:cs="Times New Roman"/>
          <w:szCs w:val="24"/>
        </w:rPr>
        <w:t xml:space="preserve"> o </w:t>
      </w:r>
      <w:r w:rsidR="00A75F23" w:rsidRPr="0024375B">
        <w:rPr>
          <w:rFonts w:ascii="Times New Roman" w:hAnsi="Times New Roman" w:cs="Times New Roman"/>
          <w:szCs w:val="24"/>
        </w:rPr>
        <w:t>ile zgłaszający uwagi przekazał informację</w:t>
      </w:r>
      <w:r w:rsidR="0077165A">
        <w:rPr>
          <w:rFonts w:ascii="Times New Roman" w:hAnsi="Times New Roman" w:cs="Times New Roman"/>
          <w:szCs w:val="24"/>
        </w:rPr>
        <w:t xml:space="preserve"> o </w:t>
      </w:r>
      <w:r w:rsidR="00A75F23" w:rsidRPr="0024375B">
        <w:rPr>
          <w:rFonts w:ascii="Times New Roman" w:hAnsi="Times New Roman" w:cs="Times New Roman"/>
          <w:szCs w:val="24"/>
        </w:rPr>
        <w:t>zamiarze ich zgłoszenia przed upływem terminu wyznaczonego na przeprowadzenie konsultacji publicznych.</w:t>
      </w:r>
    </w:p>
    <w:p w14:paraId="6E336446" w14:textId="77777777" w:rsidR="00E524A5" w:rsidRPr="0024375B" w:rsidRDefault="00F6749E" w:rsidP="0024375B">
      <w:pPr>
        <w:pStyle w:val="Nagwek1"/>
      </w:pPr>
      <w:bookmarkStart w:id="7" w:name="_Toc100751023"/>
      <w:bookmarkStart w:id="8" w:name="_Toc136511039"/>
      <w:r w:rsidRPr="0024375B">
        <w:t>Uzasadnienie poszczególnych przepisów</w:t>
      </w:r>
      <w:bookmarkEnd w:id="7"/>
      <w:bookmarkEnd w:id="8"/>
    </w:p>
    <w:p w14:paraId="449AD288" w14:textId="77777777" w:rsidR="00123DD4" w:rsidRPr="0024375B" w:rsidRDefault="00E16372" w:rsidP="0024375B">
      <w:pPr>
        <w:pStyle w:val="Nagwek2"/>
        <w:spacing w:before="240" w:after="240"/>
      </w:pPr>
      <w:bookmarkStart w:id="9" w:name="_Toc100751024"/>
      <w:bookmarkStart w:id="10" w:name="_Toc136511040"/>
      <w:r w:rsidRPr="0024375B">
        <w:t>Zmiany</w:t>
      </w:r>
      <w:r w:rsidR="00EA1900">
        <w:t xml:space="preserve"> w </w:t>
      </w:r>
      <w:r w:rsidRPr="0024375B">
        <w:t>ustawie</w:t>
      </w:r>
      <w:bookmarkEnd w:id="9"/>
      <w:r w:rsidR="0077165A">
        <w:t xml:space="preserve"> o </w:t>
      </w:r>
      <w:r w:rsidR="00EF0AFA" w:rsidRPr="0024375B">
        <w:t>KSC</w:t>
      </w:r>
      <w:bookmarkEnd w:id="10"/>
    </w:p>
    <w:p w14:paraId="028B840D" w14:textId="3C449444" w:rsidR="00124DF9" w:rsidRPr="0024375B" w:rsidRDefault="00124DF9" w:rsidP="00862E68">
      <w:pPr>
        <w:pStyle w:val="Nagwek3"/>
      </w:pPr>
      <w:bookmarkStart w:id="11" w:name="_Toc136511041"/>
      <w:r w:rsidRPr="0024375B">
        <w:t>Zmiany</w:t>
      </w:r>
      <w:r w:rsidR="00EA1900">
        <w:t xml:space="preserve"> w </w:t>
      </w:r>
      <w:r w:rsidRPr="0024375B">
        <w:t>definicjach, katalogu podmiotów krajowego systemu cyberbezpieczeństwa</w:t>
      </w:r>
      <w:r w:rsidR="00DB0482">
        <w:t>,</w:t>
      </w:r>
      <w:r w:rsidRPr="0024375B">
        <w:t xml:space="preserve"> zakresu przedmiotoweg</w:t>
      </w:r>
      <w:r w:rsidR="00C2576D" w:rsidRPr="0024375B">
        <w:t>o</w:t>
      </w:r>
      <w:bookmarkEnd w:id="11"/>
    </w:p>
    <w:p w14:paraId="3D5595A1" w14:textId="77777777" w:rsidR="00F31C42" w:rsidRDefault="00713BC3" w:rsidP="0024375B">
      <w:pPr>
        <w:pStyle w:val="ARTartustawynprozporzdzenia"/>
      </w:pPr>
      <w:r w:rsidRPr="0024375B">
        <w:t>P</w:t>
      </w:r>
      <w:r w:rsidR="00F31C42" w:rsidRPr="0024375B">
        <w:t>ostanowienia ogólne</w:t>
      </w:r>
      <w:r w:rsidRPr="0024375B">
        <w:t xml:space="preserve"> zostają objęte zakresem działu pierwszego </w:t>
      </w:r>
      <w:r w:rsidR="00F31C42" w:rsidRPr="0024375B">
        <w:t>(przed</w:t>
      </w:r>
      <w:r w:rsidR="00EA1900">
        <w:t xml:space="preserve"> art. </w:t>
      </w:r>
      <w:r w:rsidR="00F31C42" w:rsidRPr="0024375B">
        <w:t>1 zostało dodane oznaczenie działu – Postanowienia ogólne</w:t>
      </w:r>
      <w:r w:rsidRPr="0024375B">
        <w:t>). Nowelizacją są również wprowadzane zmiany</w:t>
      </w:r>
      <w:r w:rsidR="00EA1900">
        <w:t xml:space="preserve"> w </w:t>
      </w:r>
      <w:r w:rsidRPr="0024375B">
        <w:t>poszczególnych przepisach wchodzących</w:t>
      </w:r>
      <w:r w:rsidR="00EA1900">
        <w:t xml:space="preserve"> w </w:t>
      </w:r>
      <w:r w:rsidRPr="0024375B">
        <w:t>zakres tego działu.</w:t>
      </w:r>
    </w:p>
    <w:p w14:paraId="175A1018" w14:textId="77777777" w:rsidR="003642DF" w:rsidRPr="0024375B" w:rsidRDefault="003642DF" w:rsidP="00DC1575">
      <w:pPr>
        <w:pStyle w:val="Nagwek4"/>
      </w:pPr>
      <w:r>
        <w:t>Zmiany</w:t>
      </w:r>
      <w:r w:rsidR="002161FE">
        <w:t xml:space="preserve"> w</w:t>
      </w:r>
      <w:r w:rsidR="00EA1900">
        <w:t xml:space="preserve"> art. </w:t>
      </w:r>
      <w:r>
        <w:t>1</w:t>
      </w:r>
    </w:p>
    <w:p w14:paraId="75282196" w14:textId="77777777" w:rsidR="00D764B4" w:rsidRPr="0024375B" w:rsidRDefault="00713BC3" w:rsidP="0024375B">
      <w:pPr>
        <w:pStyle w:val="NIEARTTEKSTtekstnieartykuowanynppodstprawnarozplubpreambua"/>
        <w:spacing w:before="0"/>
        <w:rPr>
          <w:rFonts w:ascii="Times New Roman" w:hAnsi="Times New Roman" w:cs="Times New Roman"/>
        </w:rPr>
      </w:pPr>
      <w:r w:rsidRPr="0024375B">
        <w:rPr>
          <w:rFonts w:ascii="Times New Roman" w:hAnsi="Times New Roman" w:cs="Times New Roman"/>
        </w:rPr>
        <w:t xml:space="preserve">Wobec poszerzenia projektowaną ustawą zakresu </w:t>
      </w:r>
      <w:r w:rsidR="00CB46EC" w:rsidRPr="0024375B">
        <w:rPr>
          <w:rFonts w:ascii="Times New Roman" w:hAnsi="Times New Roman" w:cs="Times New Roman"/>
        </w:rPr>
        <w:t xml:space="preserve">przedmiotowego </w:t>
      </w:r>
      <w:r w:rsidRPr="0024375B">
        <w:rPr>
          <w:rFonts w:ascii="Times New Roman" w:hAnsi="Times New Roman" w:cs="Times New Roman"/>
        </w:rPr>
        <w:t>ustawy</w:t>
      </w:r>
      <w:r w:rsidR="0077165A">
        <w:rPr>
          <w:rFonts w:ascii="Times New Roman" w:hAnsi="Times New Roman" w:cs="Times New Roman"/>
        </w:rPr>
        <w:t xml:space="preserve"> o </w:t>
      </w:r>
      <w:r w:rsidRPr="0024375B">
        <w:rPr>
          <w:rFonts w:ascii="Times New Roman" w:hAnsi="Times New Roman" w:cs="Times New Roman"/>
        </w:rPr>
        <w:t>krajowym systemie cyberbezpieczeństwa</w:t>
      </w:r>
      <w:r w:rsidR="002161FE">
        <w:rPr>
          <w:rFonts w:ascii="Times New Roman" w:hAnsi="Times New Roman" w:cs="Times New Roman"/>
        </w:rPr>
        <w:t xml:space="preserve"> w</w:t>
      </w:r>
      <w:r w:rsidR="00EA1900">
        <w:rPr>
          <w:rFonts w:ascii="Times New Roman" w:hAnsi="Times New Roman" w:cs="Times New Roman"/>
        </w:rPr>
        <w:t xml:space="preserve"> art. </w:t>
      </w:r>
      <w:r w:rsidR="00F6749E" w:rsidRPr="0024375B">
        <w:rPr>
          <w:rFonts w:ascii="Times New Roman" w:hAnsi="Times New Roman" w:cs="Times New Roman"/>
        </w:rPr>
        <w:t xml:space="preserve">1 </w:t>
      </w:r>
      <w:r w:rsidRPr="0024375B">
        <w:rPr>
          <w:rFonts w:ascii="Times New Roman" w:hAnsi="Times New Roman" w:cs="Times New Roman"/>
        </w:rPr>
        <w:t>wprowadzono odpowiednie zmiany –</w:t>
      </w:r>
      <w:r w:rsidR="00EA1900">
        <w:rPr>
          <w:rFonts w:ascii="Times New Roman" w:hAnsi="Times New Roman" w:cs="Times New Roman"/>
        </w:rPr>
        <w:t xml:space="preserve"> w </w:t>
      </w:r>
      <w:r w:rsidR="00D00CB4">
        <w:rPr>
          <w:rFonts w:ascii="Times New Roman" w:hAnsi="Times New Roman" w:cs="Times New Roman"/>
        </w:rPr>
        <w:t>ust. </w:t>
      </w:r>
      <w:r w:rsidRPr="0024375B">
        <w:rPr>
          <w:rFonts w:ascii="Times New Roman" w:hAnsi="Times New Roman" w:cs="Times New Roman"/>
        </w:rPr>
        <w:t xml:space="preserve">1 tego artykułu </w:t>
      </w:r>
      <w:r w:rsidR="00F6749E" w:rsidRPr="0024375B">
        <w:rPr>
          <w:rFonts w:ascii="Times New Roman" w:hAnsi="Times New Roman" w:cs="Times New Roman"/>
        </w:rPr>
        <w:t>został</w:t>
      </w:r>
      <w:r w:rsidRPr="0024375B">
        <w:rPr>
          <w:rFonts w:ascii="Times New Roman" w:hAnsi="Times New Roman" w:cs="Times New Roman"/>
        </w:rPr>
        <w:t>y</w:t>
      </w:r>
      <w:r w:rsidR="00F6749E" w:rsidRPr="0024375B">
        <w:rPr>
          <w:rFonts w:ascii="Times New Roman" w:hAnsi="Times New Roman" w:cs="Times New Roman"/>
        </w:rPr>
        <w:t xml:space="preserve"> </w:t>
      </w:r>
      <w:r w:rsidRPr="0024375B">
        <w:rPr>
          <w:rFonts w:ascii="Times New Roman" w:hAnsi="Times New Roman" w:cs="Times New Roman"/>
        </w:rPr>
        <w:t xml:space="preserve">dodane </w:t>
      </w:r>
      <w:r w:rsidR="00F6749E" w:rsidRPr="0024375B">
        <w:rPr>
          <w:rFonts w:ascii="Times New Roman" w:hAnsi="Times New Roman" w:cs="Times New Roman"/>
        </w:rPr>
        <w:t>pkt 1a</w:t>
      </w:r>
      <w:r w:rsidR="00D764B4" w:rsidRPr="0024375B">
        <w:rPr>
          <w:rFonts w:ascii="Times New Roman" w:hAnsi="Times New Roman" w:cs="Times New Roman"/>
        </w:rPr>
        <w:t xml:space="preserve"> oraz </w:t>
      </w:r>
      <w:r w:rsidR="006E79C7" w:rsidRPr="0024375B">
        <w:rPr>
          <w:rFonts w:ascii="Times New Roman" w:hAnsi="Times New Roman" w:cs="Times New Roman"/>
        </w:rPr>
        <w:t>4</w:t>
      </w:r>
      <w:r w:rsidR="0087130F">
        <w:rPr>
          <w:rFonts w:ascii="Times New Roman" w:hAnsi="Times New Roman" w:cs="Times New Roman"/>
        </w:rPr>
        <w:t>–</w:t>
      </w:r>
      <w:r w:rsidR="0077165A">
        <w:rPr>
          <w:rFonts w:ascii="Times New Roman" w:hAnsi="Times New Roman" w:cs="Times New Roman"/>
        </w:rPr>
        <w:t>6</w:t>
      </w:r>
      <w:r w:rsidRPr="0024375B">
        <w:rPr>
          <w:rFonts w:ascii="Times New Roman" w:hAnsi="Times New Roman" w:cs="Times New Roman"/>
        </w:rPr>
        <w:t>, zgodnie</w:t>
      </w:r>
      <w:r w:rsidR="002161FE">
        <w:rPr>
          <w:rFonts w:ascii="Times New Roman" w:hAnsi="Times New Roman" w:cs="Times New Roman"/>
        </w:rPr>
        <w:t xml:space="preserve"> z </w:t>
      </w:r>
      <w:r w:rsidRPr="0024375B">
        <w:rPr>
          <w:rFonts w:ascii="Times New Roman" w:hAnsi="Times New Roman" w:cs="Times New Roman"/>
        </w:rPr>
        <w:t>którymi zakres przedmiotowy ustawy obejmuje także</w:t>
      </w:r>
      <w:r w:rsidR="00D764B4" w:rsidRPr="0024375B">
        <w:rPr>
          <w:rFonts w:ascii="Times New Roman" w:hAnsi="Times New Roman" w:cs="Times New Roman"/>
        </w:rPr>
        <w:t>:</w:t>
      </w:r>
    </w:p>
    <w:p w14:paraId="1F9D7287" w14:textId="77777777" w:rsidR="00911CAE" w:rsidRDefault="00911CAE" w:rsidP="0024375B">
      <w:pPr>
        <w:pStyle w:val="NIEARTTEKSTtekstnieartykuowanynppodstprawnarozplubpreambua"/>
        <w:numPr>
          <w:ilvl w:val="0"/>
          <w:numId w:val="46"/>
        </w:numPr>
        <w:spacing w:before="0"/>
        <w:rPr>
          <w:rFonts w:ascii="Times New Roman" w:hAnsi="Times New Roman" w:cs="Times New Roman"/>
        </w:rPr>
      </w:pPr>
      <w:r w:rsidRPr="00911CAE">
        <w:rPr>
          <w:rFonts w:ascii="Times New Roman" w:hAnsi="Times New Roman" w:cs="Times New Roman"/>
        </w:rPr>
        <w:t>zadania i obowiązki przedsiębiorców komunikacji elektronicznej w zakresie wymogów dotyczących bezpieczeństwa sieci lub usług komunikacji elektronicznej i zgłaszania incydentów telekomunikacyjnych</w:t>
      </w:r>
      <w:r>
        <w:rPr>
          <w:rFonts w:ascii="Times New Roman" w:hAnsi="Times New Roman" w:cs="Times New Roman"/>
        </w:rPr>
        <w:t>,</w:t>
      </w:r>
    </w:p>
    <w:p w14:paraId="763F6268" w14:textId="77777777" w:rsidR="00D764B4" w:rsidRPr="0024375B" w:rsidRDefault="00F6749E" w:rsidP="0024375B">
      <w:pPr>
        <w:pStyle w:val="NIEARTTEKSTtekstnieartykuowanynppodstprawnarozplubpreambua"/>
        <w:numPr>
          <w:ilvl w:val="0"/>
          <w:numId w:val="46"/>
        </w:numPr>
        <w:spacing w:before="0"/>
        <w:rPr>
          <w:rFonts w:ascii="Times New Roman" w:hAnsi="Times New Roman" w:cs="Times New Roman"/>
        </w:rPr>
      </w:pPr>
      <w:r w:rsidRPr="0024375B">
        <w:rPr>
          <w:rFonts w:ascii="Times New Roman" w:hAnsi="Times New Roman" w:cs="Times New Roman"/>
        </w:rPr>
        <w:t>krajowy system certyfikacji cyberbezpieczeństwa</w:t>
      </w:r>
      <w:r w:rsidR="0087130F">
        <w:rPr>
          <w:rFonts w:ascii="Times New Roman" w:hAnsi="Times New Roman" w:cs="Times New Roman"/>
        </w:rPr>
        <w:t>,</w:t>
      </w:r>
    </w:p>
    <w:p w14:paraId="78AF26EA" w14:textId="77777777" w:rsidR="00650EDF" w:rsidRPr="0024375B" w:rsidRDefault="00D764B4" w:rsidP="0024375B">
      <w:pPr>
        <w:pStyle w:val="NIEARTTEKSTtekstnieartykuowanynppodstprawnarozplubpreambua"/>
        <w:numPr>
          <w:ilvl w:val="0"/>
          <w:numId w:val="46"/>
        </w:numPr>
        <w:spacing w:before="0"/>
        <w:rPr>
          <w:rFonts w:ascii="Times New Roman" w:hAnsi="Times New Roman" w:cs="Times New Roman"/>
        </w:rPr>
      </w:pPr>
      <w:r w:rsidRPr="0024375B">
        <w:rPr>
          <w:rFonts w:ascii="Times New Roman" w:hAnsi="Times New Roman" w:cs="Times New Roman"/>
        </w:rPr>
        <w:t>zasady</w:t>
      </w:r>
      <w:r w:rsidR="00911CAE">
        <w:rPr>
          <w:rFonts w:ascii="Times New Roman" w:hAnsi="Times New Roman" w:cs="Times New Roman"/>
        </w:rPr>
        <w:t xml:space="preserve"> i tryb</w:t>
      </w:r>
      <w:r w:rsidRPr="0024375B">
        <w:rPr>
          <w:rFonts w:ascii="Times New Roman" w:hAnsi="Times New Roman" w:cs="Times New Roman"/>
        </w:rPr>
        <w:t xml:space="preserve"> wyznaczania </w:t>
      </w:r>
      <w:r w:rsidR="00911CAE">
        <w:rPr>
          <w:rFonts w:ascii="Times New Roman" w:hAnsi="Times New Roman" w:cs="Times New Roman"/>
        </w:rPr>
        <w:t>o</w:t>
      </w:r>
      <w:r w:rsidR="00911CAE" w:rsidRPr="0024375B">
        <w:rPr>
          <w:rFonts w:ascii="Times New Roman" w:hAnsi="Times New Roman" w:cs="Times New Roman"/>
        </w:rPr>
        <w:t xml:space="preserve">peratora </w:t>
      </w:r>
      <w:r w:rsidRPr="0024375B">
        <w:rPr>
          <w:rFonts w:ascii="Times New Roman" w:hAnsi="Times New Roman" w:cs="Times New Roman"/>
        </w:rPr>
        <w:t>strategicznej sieci bezpieczeństwa</w:t>
      </w:r>
      <w:r w:rsidR="00425C60" w:rsidRPr="0024375B">
        <w:rPr>
          <w:rFonts w:ascii="Times New Roman" w:hAnsi="Times New Roman" w:cs="Times New Roman"/>
        </w:rPr>
        <w:t xml:space="preserve"> oraz jego zadania</w:t>
      </w:r>
      <w:r w:rsidRPr="0024375B">
        <w:rPr>
          <w:rFonts w:ascii="Times New Roman" w:hAnsi="Times New Roman" w:cs="Times New Roman"/>
        </w:rPr>
        <w:t xml:space="preserve">, </w:t>
      </w:r>
    </w:p>
    <w:p w14:paraId="7274D804" w14:textId="77777777" w:rsidR="00650EDF" w:rsidRPr="0024375B" w:rsidRDefault="00D764B4" w:rsidP="0024375B">
      <w:pPr>
        <w:pStyle w:val="NIEARTTEKSTtekstnieartykuowanynppodstprawnarozplubpreambua"/>
        <w:numPr>
          <w:ilvl w:val="0"/>
          <w:numId w:val="46"/>
        </w:numPr>
        <w:spacing w:before="0"/>
        <w:rPr>
          <w:rFonts w:ascii="Times New Roman" w:hAnsi="Times New Roman" w:cs="Times New Roman"/>
        </w:rPr>
      </w:pPr>
      <w:r w:rsidRPr="0024375B">
        <w:rPr>
          <w:rFonts w:ascii="Times New Roman" w:hAnsi="Times New Roman" w:cs="Times New Roman"/>
        </w:rPr>
        <w:t>zasady przyznania zasobów częstotliwości</w:t>
      </w:r>
      <w:r w:rsidR="002161FE">
        <w:rPr>
          <w:rFonts w:ascii="Times New Roman" w:hAnsi="Times New Roman" w:cs="Times New Roman"/>
        </w:rPr>
        <w:t xml:space="preserve"> z </w:t>
      </w:r>
      <w:r w:rsidRPr="0024375B">
        <w:rPr>
          <w:rFonts w:ascii="Times New Roman" w:hAnsi="Times New Roman" w:cs="Times New Roman"/>
        </w:rPr>
        <w:t>zakresu 703–733 MHz oraz 758–788 MHz</w:t>
      </w:r>
      <w:r w:rsidR="00157A10" w:rsidRPr="0024375B">
        <w:rPr>
          <w:rFonts w:ascii="Times New Roman" w:hAnsi="Times New Roman" w:cs="Times New Roman"/>
        </w:rPr>
        <w:t>.</w:t>
      </w:r>
      <w:r w:rsidRPr="0024375B">
        <w:rPr>
          <w:rFonts w:ascii="Times New Roman" w:hAnsi="Times New Roman" w:cs="Times New Roman"/>
        </w:rPr>
        <w:t xml:space="preserve"> </w:t>
      </w:r>
      <w:r w:rsidR="00D462F2" w:rsidRPr="0024375B">
        <w:rPr>
          <w:rFonts w:ascii="Times New Roman" w:hAnsi="Times New Roman" w:cs="Times New Roman"/>
        </w:rPr>
        <w:t xml:space="preserve"> </w:t>
      </w:r>
    </w:p>
    <w:p w14:paraId="078FF8C8" w14:textId="77777777" w:rsidR="00E85582" w:rsidRPr="0024375B" w:rsidRDefault="00DD607E" w:rsidP="0024375B">
      <w:pPr>
        <w:pStyle w:val="NIEARTTEKSTtekstnieartykuowanynppodstprawnarozplubpreambua"/>
        <w:spacing w:before="0"/>
        <w:ind w:firstLine="0"/>
        <w:rPr>
          <w:rFonts w:cs="Times New Roman"/>
          <w:bCs w:val="0"/>
        </w:rPr>
      </w:pPr>
      <w:r w:rsidRPr="0024375B">
        <w:rPr>
          <w:rFonts w:cs="Times New Roman"/>
          <w:bCs w:val="0"/>
        </w:rPr>
        <w:t>Dostosowaniu do projektowanych zmian</w:t>
      </w:r>
      <w:r w:rsidR="0077165A">
        <w:rPr>
          <w:rFonts w:cs="Times New Roman"/>
          <w:bCs w:val="0"/>
        </w:rPr>
        <w:t xml:space="preserve"> o </w:t>
      </w:r>
      <w:r w:rsidRPr="0024375B">
        <w:rPr>
          <w:rFonts w:cs="Times New Roman"/>
          <w:bCs w:val="0"/>
        </w:rPr>
        <w:t>charakterze systemowym uległ</w:t>
      </w:r>
      <w:r w:rsidR="00EA1900">
        <w:rPr>
          <w:rFonts w:cs="Times New Roman"/>
          <w:bCs w:val="0"/>
        </w:rPr>
        <w:t xml:space="preserve"> art. </w:t>
      </w:r>
      <w:r w:rsidRPr="0024375B">
        <w:rPr>
          <w:rFonts w:cs="Times New Roman"/>
          <w:bCs w:val="0"/>
        </w:rPr>
        <w:t xml:space="preserve">1 </w:t>
      </w:r>
      <w:r w:rsidR="00D00CB4">
        <w:rPr>
          <w:rFonts w:cs="Times New Roman"/>
          <w:bCs w:val="0"/>
        </w:rPr>
        <w:t>ust. </w:t>
      </w:r>
      <w:r w:rsidRPr="0024375B">
        <w:rPr>
          <w:rFonts w:cs="Times New Roman"/>
          <w:bCs w:val="0"/>
        </w:rPr>
        <w:t>2.</w:t>
      </w:r>
      <w:r w:rsidR="00116933">
        <w:rPr>
          <w:rFonts w:cs="Times New Roman"/>
          <w:bCs w:val="0"/>
        </w:rPr>
        <w:t xml:space="preserve"> W </w:t>
      </w:r>
      <w:r w:rsidRPr="0024375B">
        <w:rPr>
          <w:rFonts w:cs="Times New Roman"/>
          <w:bCs w:val="0"/>
        </w:rPr>
        <w:t>związku</w:t>
      </w:r>
      <w:r w:rsidR="002161FE">
        <w:rPr>
          <w:rFonts w:cs="Times New Roman"/>
          <w:bCs w:val="0"/>
        </w:rPr>
        <w:t xml:space="preserve"> z </w:t>
      </w:r>
      <w:r w:rsidR="00CB46EC" w:rsidRPr="0024375B">
        <w:rPr>
          <w:rFonts w:cs="Times New Roman"/>
          <w:bCs w:val="0"/>
        </w:rPr>
        <w:t>wynikającym</w:t>
      </w:r>
      <w:r w:rsidR="002161FE">
        <w:rPr>
          <w:rFonts w:cs="Times New Roman"/>
          <w:bCs w:val="0"/>
        </w:rPr>
        <w:t xml:space="preserve"> z </w:t>
      </w:r>
      <w:r w:rsidR="00CB46EC" w:rsidRPr="0024375B">
        <w:rPr>
          <w:rFonts w:cs="Times New Roman"/>
          <w:bCs w:val="0"/>
        </w:rPr>
        <w:t>implementacji</w:t>
      </w:r>
      <w:r w:rsidR="00EA1900">
        <w:rPr>
          <w:rFonts w:cs="Times New Roman"/>
          <w:bCs w:val="0"/>
        </w:rPr>
        <w:t xml:space="preserve"> art. </w:t>
      </w:r>
      <w:r w:rsidR="00CB46EC" w:rsidRPr="0024375B">
        <w:rPr>
          <w:rFonts w:cs="Times New Roman"/>
          <w:bCs w:val="0"/>
        </w:rPr>
        <w:t>40</w:t>
      </w:r>
      <w:r w:rsidR="002161FE">
        <w:rPr>
          <w:rFonts w:cs="Times New Roman"/>
          <w:bCs w:val="0"/>
        </w:rPr>
        <w:t xml:space="preserve"> i </w:t>
      </w:r>
      <w:r w:rsidR="00CB46EC" w:rsidRPr="0024375B">
        <w:rPr>
          <w:rFonts w:cs="Times New Roman"/>
          <w:bCs w:val="0"/>
        </w:rPr>
        <w:t xml:space="preserve">41 EKŁE </w:t>
      </w:r>
      <w:r w:rsidRPr="0024375B">
        <w:rPr>
          <w:rFonts w:cs="Times New Roman"/>
          <w:bCs w:val="0"/>
        </w:rPr>
        <w:t>włączeniem do krajowego systemu cyberbezpieczeństwa przedsiębiorców komunikacji elektronicznej, konieczne jest uchylenie pkt 1</w:t>
      </w:r>
      <w:r w:rsidR="002161FE">
        <w:rPr>
          <w:rFonts w:cs="Times New Roman"/>
          <w:bCs w:val="0"/>
        </w:rPr>
        <w:t xml:space="preserve"> w</w:t>
      </w:r>
      <w:r w:rsidR="00EA1900">
        <w:rPr>
          <w:rFonts w:cs="Times New Roman"/>
          <w:bCs w:val="0"/>
        </w:rPr>
        <w:t xml:space="preserve"> art. </w:t>
      </w:r>
      <w:r w:rsidR="00CB46EC" w:rsidRPr="0024375B">
        <w:rPr>
          <w:rFonts w:cs="Times New Roman"/>
          <w:bCs w:val="0"/>
        </w:rPr>
        <w:t xml:space="preserve">1 </w:t>
      </w:r>
      <w:r w:rsidR="00D00CB4">
        <w:rPr>
          <w:rFonts w:cs="Times New Roman"/>
          <w:bCs w:val="0"/>
        </w:rPr>
        <w:t>ust. </w:t>
      </w:r>
      <w:r w:rsidR="00CB46EC" w:rsidRPr="0024375B">
        <w:rPr>
          <w:rFonts w:cs="Times New Roman"/>
          <w:bCs w:val="0"/>
        </w:rPr>
        <w:t>2</w:t>
      </w:r>
      <w:r w:rsidRPr="0024375B">
        <w:rPr>
          <w:rFonts w:cs="Times New Roman"/>
          <w:bCs w:val="0"/>
        </w:rPr>
        <w:t>, zgodnie</w:t>
      </w:r>
      <w:r w:rsidR="002161FE">
        <w:rPr>
          <w:rFonts w:cs="Times New Roman"/>
          <w:bCs w:val="0"/>
        </w:rPr>
        <w:t xml:space="preserve"> z </w:t>
      </w:r>
      <w:r w:rsidRPr="0024375B">
        <w:rPr>
          <w:rFonts w:cs="Times New Roman"/>
          <w:bCs w:val="0"/>
        </w:rPr>
        <w:t xml:space="preserve">którym przepisów obowiązującej ustawy nie stosuje się do tych przedsiębiorców. </w:t>
      </w:r>
    </w:p>
    <w:p w14:paraId="3947D6B7" w14:textId="77777777" w:rsidR="00F6749E" w:rsidRDefault="00E85582" w:rsidP="00C405E1">
      <w:pPr>
        <w:pStyle w:val="NIEARTTEKSTtekstnieartykuowanynppodstprawnarozplubpreambua"/>
        <w:spacing w:before="0"/>
        <w:ind w:firstLine="567"/>
        <w:rPr>
          <w:rFonts w:ascii="Times New Roman" w:hAnsi="Times New Roman" w:cs="Times New Roman"/>
        </w:rPr>
      </w:pPr>
      <w:r w:rsidRPr="0024375B">
        <w:rPr>
          <w:rFonts w:ascii="Times New Roman" w:hAnsi="Times New Roman" w:cs="Times New Roman"/>
        </w:rPr>
        <w:t xml:space="preserve">Jednocześnie projekt ustawy przewiduje, że </w:t>
      </w:r>
      <w:r w:rsidR="00F6749E" w:rsidRPr="0024375B">
        <w:rPr>
          <w:rFonts w:ascii="Times New Roman" w:hAnsi="Times New Roman" w:cs="Times New Roman"/>
        </w:rPr>
        <w:t>do dostawców usług zaufania będą stosować się</w:t>
      </w:r>
      <w:r w:rsidR="00930C66">
        <w:rPr>
          <w:rFonts w:ascii="Times New Roman" w:hAnsi="Times New Roman" w:cs="Times New Roman"/>
        </w:rPr>
        <w:t xml:space="preserve"> </w:t>
      </w:r>
      <w:r w:rsidR="00F6749E" w:rsidRPr="0024375B">
        <w:rPr>
          <w:rFonts w:ascii="Times New Roman" w:hAnsi="Times New Roman" w:cs="Times New Roman"/>
        </w:rPr>
        <w:t>przepisy</w:t>
      </w:r>
      <w:r w:rsidR="0077165A">
        <w:rPr>
          <w:rFonts w:ascii="Times New Roman" w:hAnsi="Times New Roman" w:cs="Times New Roman"/>
        </w:rPr>
        <w:t xml:space="preserve"> o </w:t>
      </w:r>
      <w:r w:rsidR="00F6749E" w:rsidRPr="0024375B">
        <w:rPr>
          <w:rFonts w:ascii="Times New Roman" w:hAnsi="Times New Roman" w:cs="Times New Roman"/>
        </w:rPr>
        <w:t>ostrzeżeniu</w:t>
      </w:r>
      <w:r w:rsidR="007A229D" w:rsidRPr="0024375B">
        <w:rPr>
          <w:rFonts w:ascii="Times New Roman" w:hAnsi="Times New Roman" w:cs="Times New Roman"/>
        </w:rPr>
        <w:t>.</w:t>
      </w:r>
    </w:p>
    <w:p w14:paraId="1404FDF4" w14:textId="77777777" w:rsidR="0077165A" w:rsidRPr="001C5AF2" w:rsidRDefault="0077165A" w:rsidP="00DC1575">
      <w:pPr>
        <w:pStyle w:val="Nagwek4"/>
        <w:rPr>
          <w:rFonts w:ascii="Times" w:hAnsi="Times" w:cs="Arial"/>
        </w:rPr>
      </w:pPr>
      <w:r w:rsidRPr="00B60F95">
        <w:t>Nowe brzmienie</w:t>
      </w:r>
      <w:r w:rsidR="00EA1900">
        <w:t xml:space="preserve"> art. </w:t>
      </w:r>
      <w:r w:rsidRPr="00B60F95">
        <w:t>2</w:t>
      </w:r>
    </w:p>
    <w:p w14:paraId="1E8F3A75" w14:textId="2DF8C600" w:rsidR="007A229D" w:rsidRPr="0024375B" w:rsidRDefault="007A229D"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Uporządkowany</w:t>
      </w:r>
      <w:r w:rsidR="002161FE">
        <w:rPr>
          <w:rFonts w:ascii="Times New Roman" w:hAnsi="Times New Roman" w:cs="Times New Roman"/>
        </w:rPr>
        <w:t xml:space="preserve"> i </w:t>
      </w:r>
      <w:r w:rsidRPr="0024375B">
        <w:rPr>
          <w:rFonts w:ascii="Times New Roman" w:hAnsi="Times New Roman" w:cs="Times New Roman"/>
        </w:rPr>
        <w:t>uzupełniony został słowniczek pojęć używanych</w:t>
      </w:r>
      <w:r w:rsidR="00EA1900">
        <w:rPr>
          <w:rFonts w:ascii="Times New Roman" w:hAnsi="Times New Roman" w:cs="Times New Roman"/>
        </w:rPr>
        <w:t xml:space="preserve"> w </w:t>
      </w:r>
      <w:r w:rsidRPr="0024375B">
        <w:rPr>
          <w:rFonts w:ascii="Times New Roman" w:hAnsi="Times New Roman" w:cs="Times New Roman"/>
        </w:rPr>
        <w:t>ustawie</w:t>
      </w:r>
      <w:r w:rsidR="0077165A">
        <w:rPr>
          <w:rFonts w:ascii="Times New Roman" w:hAnsi="Times New Roman" w:cs="Times New Roman"/>
        </w:rPr>
        <w:t xml:space="preserve"> o </w:t>
      </w:r>
      <w:r w:rsidR="00CE018D" w:rsidRPr="0024375B">
        <w:rPr>
          <w:rFonts w:ascii="Times New Roman" w:hAnsi="Times New Roman" w:cs="Times New Roman"/>
        </w:rPr>
        <w:t xml:space="preserve">krajowym systemie cyberbezpieczeństwa </w:t>
      </w:r>
      <w:r w:rsidR="004402F3" w:rsidRPr="0024375B">
        <w:rPr>
          <w:rFonts w:ascii="Times New Roman" w:hAnsi="Times New Roman" w:cs="Times New Roman"/>
        </w:rPr>
        <w:t>(</w:t>
      </w:r>
      <w:r w:rsidR="00CE018D" w:rsidRPr="0024375B">
        <w:rPr>
          <w:rFonts w:ascii="Times New Roman" w:hAnsi="Times New Roman" w:cs="Times New Roman"/>
        </w:rPr>
        <w:t>art. 1 pkt 3 dotyczący</w:t>
      </w:r>
      <w:r w:rsidR="00EA1900">
        <w:rPr>
          <w:rFonts w:ascii="Times New Roman" w:hAnsi="Times New Roman" w:cs="Times New Roman"/>
        </w:rPr>
        <w:t xml:space="preserve"> art. </w:t>
      </w:r>
      <w:r w:rsidR="004402F3" w:rsidRPr="0024375B">
        <w:rPr>
          <w:rFonts w:ascii="Times New Roman" w:hAnsi="Times New Roman" w:cs="Times New Roman"/>
        </w:rPr>
        <w:t>2</w:t>
      </w:r>
      <w:r w:rsidR="00CE018D" w:rsidRPr="0024375B">
        <w:rPr>
          <w:rFonts w:ascii="Times New Roman" w:hAnsi="Times New Roman" w:cs="Times New Roman"/>
        </w:rPr>
        <w:t xml:space="preserve"> ustawy</w:t>
      </w:r>
      <w:r w:rsidR="0077165A">
        <w:rPr>
          <w:rFonts w:ascii="Times New Roman" w:hAnsi="Times New Roman" w:cs="Times New Roman"/>
        </w:rPr>
        <w:t xml:space="preserve"> o </w:t>
      </w:r>
      <w:r w:rsidR="00CE018D" w:rsidRPr="0024375B">
        <w:rPr>
          <w:rFonts w:ascii="Times New Roman" w:hAnsi="Times New Roman" w:cs="Times New Roman"/>
        </w:rPr>
        <w:t>krajowym systemie cyberbezpieczeństwa</w:t>
      </w:r>
      <w:r w:rsidR="004402F3" w:rsidRPr="0024375B">
        <w:rPr>
          <w:rFonts w:ascii="Times New Roman" w:hAnsi="Times New Roman" w:cs="Times New Roman"/>
        </w:rPr>
        <w:t>)</w:t>
      </w:r>
      <w:r w:rsidRPr="0024375B">
        <w:rPr>
          <w:rFonts w:ascii="Times New Roman" w:hAnsi="Times New Roman" w:cs="Times New Roman"/>
        </w:rPr>
        <w:t>. Wprowadzone zostały do niego definicje takich pojęć, jak</w:t>
      </w:r>
      <w:r w:rsidR="004402F3" w:rsidRPr="0024375B">
        <w:rPr>
          <w:rFonts w:ascii="Times New Roman" w:hAnsi="Times New Roman" w:cs="Times New Roman"/>
        </w:rPr>
        <w:t>:</w:t>
      </w:r>
      <w:r w:rsidRPr="0024375B">
        <w:rPr>
          <w:rFonts w:ascii="Times New Roman" w:hAnsi="Times New Roman" w:cs="Times New Roman"/>
        </w:rPr>
        <w:t xml:space="preserve"> akredytacja, certyfikat, cyberzagrożenie, deklaracja zgodności, dostawca, incydent telekomunikacyjny, ISAC, jednostka oceniająca zgodność, krajowy </w:t>
      </w:r>
      <w:r w:rsidRPr="0024375B">
        <w:rPr>
          <w:rFonts w:ascii="Times New Roman" w:hAnsi="Times New Roman" w:cs="Times New Roman"/>
        </w:rPr>
        <w:lastRenderedPageBreak/>
        <w:t>certyfikat cyberbezpieczeństwa, krajowa deklaracja zgodności, krajowy program certyfikacji cyberbezpieczeństwa, krajowy poziom uzasadnienia zaufania, obsługa incydentu, ocena zgodności, proces ICT, produkt ICT, przedsiębiorca komunikacji elektronicznej</w:t>
      </w:r>
      <w:r w:rsidR="00DB0482">
        <w:rPr>
          <w:rFonts w:ascii="Times New Roman" w:hAnsi="Times New Roman" w:cs="Times New Roman"/>
        </w:rPr>
        <w:t>,</w:t>
      </w:r>
      <w:r w:rsidRPr="0024375B">
        <w:rPr>
          <w:rFonts w:ascii="Times New Roman" w:hAnsi="Times New Roman" w:cs="Times New Roman"/>
        </w:rPr>
        <w:t xml:space="preserve"> SOC wewnętrzny, SOC zewnętrzny, usługa I</w:t>
      </w:r>
      <w:r w:rsidR="00B516A6" w:rsidRPr="0024375B">
        <w:rPr>
          <w:rFonts w:ascii="Times New Roman" w:hAnsi="Times New Roman" w:cs="Times New Roman"/>
        </w:rPr>
        <w:t>CT, usługi komunikacji elektronicznej.</w:t>
      </w:r>
    </w:p>
    <w:p w14:paraId="77C2528C" w14:textId="11E9200C" w:rsidR="008E0E77" w:rsidRPr="0024375B" w:rsidRDefault="008E0E77"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Definicja akredytacji</w:t>
      </w:r>
      <w:r w:rsidR="0077165A">
        <w:rPr>
          <w:rFonts w:ascii="Times New Roman" w:hAnsi="Times New Roman" w:cs="Times New Roman"/>
        </w:rPr>
        <w:t xml:space="preserve"> (pkt 1)</w:t>
      </w:r>
      <w:r w:rsidRPr="0024375B">
        <w:rPr>
          <w:rFonts w:ascii="Times New Roman" w:hAnsi="Times New Roman" w:cs="Times New Roman"/>
        </w:rPr>
        <w:t xml:space="preserve"> odwołuje się do akredytacji</w:t>
      </w:r>
      <w:r w:rsidR="00EA1900">
        <w:rPr>
          <w:rFonts w:ascii="Times New Roman" w:hAnsi="Times New Roman" w:cs="Times New Roman"/>
        </w:rPr>
        <w:t xml:space="preserve"> w </w:t>
      </w:r>
      <w:r w:rsidRPr="0024375B">
        <w:rPr>
          <w:rFonts w:ascii="Times New Roman" w:hAnsi="Times New Roman" w:cs="Times New Roman"/>
        </w:rPr>
        <w:t>rozumieniu</w:t>
      </w:r>
      <w:r w:rsidR="00EA1900">
        <w:rPr>
          <w:rFonts w:ascii="Times New Roman" w:hAnsi="Times New Roman" w:cs="Times New Roman"/>
        </w:rPr>
        <w:t xml:space="preserve"> art. </w:t>
      </w:r>
      <w:r w:rsidRPr="0024375B">
        <w:t>2 pkt 10 rozporządzenia Parlamentu Europejskiego</w:t>
      </w:r>
      <w:r w:rsidR="002161FE">
        <w:t xml:space="preserve"> i </w:t>
      </w:r>
      <w:r w:rsidRPr="0024375B">
        <w:t>Rady (WE) nr 765/2008</w:t>
      </w:r>
      <w:r w:rsidR="002161FE">
        <w:t xml:space="preserve"> z </w:t>
      </w:r>
      <w:r w:rsidRPr="0024375B">
        <w:t xml:space="preserve">dnia 9 lipca 2008 r. </w:t>
      </w:r>
      <w:r w:rsidR="00CB46EC" w:rsidRPr="0024375B">
        <w:t xml:space="preserve">ustanawiającego </w:t>
      </w:r>
      <w:r w:rsidRPr="0024375B">
        <w:t>wymagania</w:t>
      </w:r>
      <w:r w:rsidR="00EA1900">
        <w:t xml:space="preserve"> w </w:t>
      </w:r>
      <w:r w:rsidRPr="0024375B">
        <w:t>zakresie akredytacji</w:t>
      </w:r>
      <w:r w:rsidR="002161FE">
        <w:t xml:space="preserve"> i </w:t>
      </w:r>
      <w:r w:rsidRPr="0024375B">
        <w:t>nadzoru rynku odnoszące się do warunków wprowadzania produktów do obrotu</w:t>
      </w:r>
      <w:r w:rsidR="002161FE">
        <w:t xml:space="preserve"> i </w:t>
      </w:r>
      <w:r w:rsidRPr="0024375B">
        <w:t>uchylającym rozporządzenie (EWG) nr 339/93</w:t>
      </w:r>
      <w:r w:rsidR="004A3A0C" w:rsidRPr="0024375B">
        <w:rPr>
          <w:rStyle w:val="Odwoanieprzypisudolnego"/>
        </w:rPr>
        <w:footnoteReference w:id="14"/>
      </w:r>
      <w:r w:rsidR="0087130F">
        <w:rPr>
          <w:vertAlign w:val="superscript"/>
        </w:rPr>
        <w:t>)</w:t>
      </w:r>
      <w:r w:rsidR="00FA6ECE">
        <w:rPr>
          <w:vertAlign w:val="superscript"/>
        </w:rPr>
        <w:t xml:space="preserve">, </w:t>
      </w:r>
      <w:r w:rsidR="00FA6ECE" w:rsidRPr="00BD1A3C">
        <w:rPr>
          <w:rFonts w:ascii="Times New Roman" w:hAnsi="Times New Roman"/>
          <w:sz w:val="22"/>
          <w:szCs w:val="22"/>
        </w:rPr>
        <w:t xml:space="preserve">zwane </w:t>
      </w:r>
      <w:r w:rsidR="00FA6ECE">
        <w:rPr>
          <w:rFonts w:ascii="Times New Roman" w:hAnsi="Times New Roman"/>
          <w:sz w:val="22"/>
          <w:szCs w:val="22"/>
        </w:rPr>
        <w:t>d</w:t>
      </w:r>
      <w:r w:rsidR="00FA6ECE" w:rsidRPr="00BD1A3C">
        <w:rPr>
          <w:rFonts w:ascii="Times New Roman" w:hAnsi="Times New Roman"/>
          <w:sz w:val="22"/>
          <w:szCs w:val="22"/>
        </w:rPr>
        <w:t>alej „rozporządzenie</w:t>
      </w:r>
      <w:r w:rsidR="00FA6ECE">
        <w:rPr>
          <w:rFonts w:ascii="Times New Roman" w:hAnsi="Times New Roman"/>
          <w:sz w:val="22"/>
          <w:szCs w:val="22"/>
        </w:rPr>
        <w:t>m</w:t>
      </w:r>
      <w:r w:rsidR="00FA6ECE" w:rsidRPr="00BD1A3C">
        <w:rPr>
          <w:rFonts w:ascii="Times New Roman" w:hAnsi="Times New Roman"/>
          <w:sz w:val="22"/>
          <w:szCs w:val="22"/>
        </w:rPr>
        <w:t xml:space="preserve"> 765/2008”</w:t>
      </w:r>
      <w:r w:rsidR="004A3A0C" w:rsidRPr="0024375B">
        <w:t>.</w:t>
      </w:r>
      <w:r w:rsidRPr="0024375B">
        <w:t xml:space="preserve"> </w:t>
      </w:r>
      <w:r w:rsidRPr="0024375B">
        <w:rPr>
          <w:rFonts w:ascii="Times New Roman" w:hAnsi="Times New Roman" w:cs="Times New Roman"/>
        </w:rPr>
        <w:t>Zgodnie</w:t>
      </w:r>
      <w:r w:rsidR="002161FE">
        <w:rPr>
          <w:rFonts w:ascii="Times New Roman" w:hAnsi="Times New Roman" w:cs="Times New Roman"/>
        </w:rPr>
        <w:t xml:space="preserve"> z </w:t>
      </w:r>
      <w:r w:rsidRPr="0024375B">
        <w:rPr>
          <w:rFonts w:ascii="Times New Roman" w:hAnsi="Times New Roman" w:cs="Times New Roman"/>
        </w:rPr>
        <w:t>tym rozporządzeniem akredytacja oznacza poświadczenie przez krajową jednostkę akredytującą, że jednostka oceniająca zgodność spełnia wymagania</w:t>
      </w:r>
      <w:r w:rsidR="003E004C" w:rsidRPr="0024375B">
        <w:rPr>
          <w:rFonts w:ascii="Times New Roman" w:hAnsi="Times New Roman" w:cs="Times New Roman"/>
        </w:rPr>
        <w:t xml:space="preserve"> </w:t>
      </w:r>
      <w:r w:rsidR="003E004C" w:rsidRPr="0024375B">
        <w:t>określone</w:t>
      </w:r>
      <w:r w:rsidR="00EA1900">
        <w:t xml:space="preserve"> w </w:t>
      </w:r>
      <w:r w:rsidR="003E004C" w:rsidRPr="0024375B">
        <w:t>normach zharmonizowanych oraz –</w:t>
      </w:r>
      <w:r w:rsidR="00EA1900">
        <w:t xml:space="preserve"> w </w:t>
      </w:r>
      <w:r w:rsidR="003E004C" w:rsidRPr="0024375B">
        <w:t>stosownych przypadkach – wszelkie dodatkowe wymagania,</w:t>
      </w:r>
      <w:r w:rsidR="00EA1900">
        <w:t xml:space="preserve"> w </w:t>
      </w:r>
      <w:r w:rsidR="003E004C" w:rsidRPr="0024375B">
        <w:t>tym wymagania określone</w:t>
      </w:r>
      <w:r w:rsidR="00EA1900">
        <w:t xml:space="preserve"> w </w:t>
      </w:r>
      <w:r w:rsidR="003E004C" w:rsidRPr="0024375B">
        <w:t>odpowiednich systemach sektorowych konieczne do realizacji określonych czynności związanych</w:t>
      </w:r>
      <w:r w:rsidR="002161FE">
        <w:t xml:space="preserve"> z </w:t>
      </w:r>
      <w:r w:rsidR="003E004C" w:rsidRPr="0024375B">
        <w:t>oceną zgodności</w:t>
      </w:r>
      <w:r w:rsidRPr="0024375B">
        <w:rPr>
          <w:rFonts w:ascii="Times New Roman" w:hAnsi="Times New Roman" w:cs="Times New Roman"/>
        </w:rPr>
        <w:t>.</w:t>
      </w:r>
    </w:p>
    <w:p w14:paraId="74E5BFF7" w14:textId="22262FBA" w:rsidR="00425C60" w:rsidRPr="0024375B" w:rsidRDefault="00425C60" w:rsidP="0024375B">
      <w:pPr>
        <w:pStyle w:val="ARTartustawynprozporzdzenia"/>
      </w:pPr>
      <w:r w:rsidRPr="0024375B">
        <w:t xml:space="preserve">Wprowadza się nową definicję bezpieczeństwa sieci </w:t>
      </w:r>
      <w:r w:rsidR="003E004C" w:rsidRPr="0024375B">
        <w:t>lub</w:t>
      </w:r>
      <w:r w:rsidRPr="0024375B">
        <w:t xml:space="preserve"> usług komunikacji elektronicznej</w:t>
      </w:r>
      <w:r w:rsidR="0077165A">
        <w:t xml:space="preserve"> </w:t>
      </w:r>
      <w:r w:rsidR="0077165A">
        <w:rPr>
          <w:rFonts w:ascii="Times New Roman" w:hAnsi="Times New Roman" w:cs="Times New Roman"/>
        </w:rPr>
        <w:t>(pkt 2)</w:t>
      </w:r>
      <w:r w:rsidRPr="0024375B">
        <w:t xml:space="preserve">. </w:t>
      </w:r>
      <w:r w:rsidR="001F7154" w:rsidRPr="0024375B">
        <w:t>Pod tym pojęciem r</w:t>
      </w:r>
      <w:r w:rsidRPr="0024375B">
        <w:t xml:space="preserve">ozumie się zdolność sieci telekomunikacyjnych lub usług komunikacji elektronicznej do odpierania, przy zakładanym poziomie ryzyka, </w:t>
      </w:r>
      <w:r w:rsidR="003E004C" w:rsidRPr="0024375B">
        <w:t xml:space="preserve">wszelkich </w:t>
      </w:r>
      <w:r w:rsidRPr="0024375B">
        <w:t>działań naruszających dostępność, autentyczność integralność lub poufność tych sieci</w:t>
      </w:r>
      <w:r w:rsidR="003E004C" w:rsidRPr="0024375B">
        <w:t xml:space="preserve"> lub </w:t>
      </w:r>
      <w:r w:rsidRPr="0024375B">
        <w:t>usług</w:t>
      </w:r>
      <w:r w:rsidR="00CB46EC" w:rsidRPr="0024375B">
        <w:t>,</w:t>
      </w:r>
      <w:r w:rsidRPr="0024375B">
        <w:t xml:space="preserve"> jak</w:t>
      </w:r>
      <w:r w:rsidR="003E004C" w:rsidRPr="0024375B">
        <w:t xml:space="preserve"> </w:t>
      </w:r>
      <w:r w:rsidR="00FA6ECE">
        <w:t xml:space="preserve">i </w:t>
      </w:r>
      <w:r w:rsidR="003E004C" w:rsidRPr="0024375B">
        <w:t xml:space="preserve">przetwarzanych </w:t>
      </w:r>
      <w:r w:rsidR="00911CAE">
        <w:t>informacji</w:t>
      </w:r>
      <w:r w:rsidR="003E004C" w:rsidRPr="0024375B">
        <w:t xml:space="preserve"> objętych tajemnicą komunikacji elektronicznej,</w:t>
      </w:r>
      <w:r w:rsidR="002161FE">
        <w:t xml:space="preserve"> a </w:t>
      </w:r>
      <w:r w:rsidR="003E004C" w:rsidRPr="0024375B">
        <w:t>także innych świadczonych przez przedsiębiorcę komunikacji elektronicznej usług związanych</w:t>
      </w:r>
      <w:r w:rsidR="002161FE">
        <w:t xml:space="preserve"> z </w:t>
      </w:r>
      <w:r w:rsidR="003E004C" w:rsidRPr="0024375B">
        <w:t>usługami komunikacji elektronicznej lub sieciami telekomunikacyjnymi tego przedsiębiorcy</w:t>
      </w:r>
      <w:r w:rsidRPr="0024375B">
        <w:t>.</w:t>
      </w:r>
      <w:r w:rsidR="00FA55AF" w:rsidRPr="0024375B">
        <w:t xml:space="preserve"> Przepis stanowi wdrożenie</w:t>
      </w:r>
      <w:r w:rsidR="00EA1900">
        <w:t xml:space="preserve"> art. </w:t>
      </w:r>
      <w:r w:rsidR="00FA55AF" w:rsidRPr="0024375B">
        <w:t>2 pkt 21 EKŁE.</w:t>
      </w:r>
    </w:p>
    <w:p w14:paraId="2D02515B" w14:textId="77777777" w:rsidR="000C2F09" w:rsidRPr="0024375B" w:rsidRDefault="00CF612E" w:rsidP="0024375B">
      <w:pPr>
        <w:pStyle w:val="ARTartustawynprozporzdzenia"/>
        <w:rPr>
          <w:rFonts w:ascii="Times New Roman" w:hAnsi="Times New Roman" w:cs="Times New Roman"/>
        </w:rPr>
      </w:pPr>
      <w:r w:rsidRPr="0024375B">
        <w:t>Akt</w:t>
      </w:r>
      <w:r w:rsidR="0077165A">
        <w:t xml:space="preserve"> o </w:t>
      </w:r>
      <w:r w:rsidR="0087130F">
        <w:t>c</w:t>
      </w:r>
      <w:r w:rsidR="00C851C0" w:rsidRPr="0024375B">
        <w:t xml:space="preserve">yberbezpieczeństwie </w:t>
      </w:r>
      <w:r w:rsidRPr="0024375B">
        <w:t xml:space="preserve">wprowadził definicję cyberbezpieczeństwa, która różni się od </w:t>
      </w:r>
      <w:r w:rsidR="6BCE22F9" w:rsidRPr="0024375B">
        <w:t>tej</w:t>
      </w:r>
      <w:r w:rsidR="001F7154" w:rsidRPr="0024375B">
        <w:t xml:space="preserve"> stosowanej na gruncie o</w:t>
      </w:r>
      <w:r w:rsidRPr="0024375B">
        <w:t xml:space="preserve">bowiązującej </w:t>
      </w:r>
      <w:r w:rsidR="001F7154" w:rsidRPr="0024375B">
        <w:t>ustawy</w:t>
      </w:r>
      <w:r w:rsidRPr="0024375B">
        <w:t xml:space="preserve">. </w:t>
      </w:r>
      <w:r w:rsidR="000C2F09" w:rsidRPr="0024375B">
        <w:t xml:space="preserve">Z tego względu </w:t>
      </w:r>
      <w:r w:rsidR="00CB46EC" w:rsidRPr="0024375B">
        <w:t>wprowadzono nową definicję cyberbezpieczeństwa, zgodną</w:t>
      </w:r>
      <w:r w:rsidR="002161FE">
        <w:t xml:space="preserve"> z </w:t>
      </w:r>
      <w:r w:rsidR="00CB46EC" w:rsidRPr="0024375B">
        <w:t>Aktem</w:t>
      </w:r>
      <w:r w:rsidR="0077165A">
        <w:t xml:space="preserve"> o </w:t>
      </w:r>
      <w:r w:rsidR="0087130F">
        <w:t>c</w:t>
      </w:r>
      <w:r w:rsidR="00CB46EC" w:rsidRPr="0024375B">
        <w:t>yberbezpieczeństwie – są to działania niezbędne do ochrony systemów informacyjnych, użytkowników takich systemów oraz innych podmiotów przed cyberzagrożeniami</w:t>
      </w:r>
      <w:r w:rsidR="0077165A">
        <w:t xml:space="preserve"> </w:t>
      </w:r>
      <w:r w:rsidR="0077165A">
        <w:rPr>
          <w:rFonts w:ascii="Times New Roman" w:hAnsi="Times New Roman" w:cs="Times New Roman"/>
        </w:rPr>
        <w:t>(pkt 11)</w:t>
      </w:r>
      <w:r w:rsidR="00CB46EC" w:rsidRPr="0024375B">
        <w:t xml:space="preserve">. Natomiast </w:t>
      </w:r>
      <w:r w:rsidR="00D60E3B" w:rsidRPr="0024375B">
        <w:t>dotychczasow</w:t>
      </w:r>
      <w:r w:rsidR="003D0677" w:rsidRPr="0024375B">
        <w:t>emu brzmieniu</w:t>
      </w:r>
      <w:r w:rsidR="00D60E3B" w:rsidRPr="0024375B">
        <w:t xml:space="preserve"> definicj</w:t>
      </w:r>
      <w:r w:rsidR="003D0677" w:rsidRPr="0024375B">
        <w:t>i</w:t>
      </w:r>
      <w:r w:rsidR="00D60E3B" w:rsidRPr="0024375B">
        <w:t xml:space="preserve"> </w:t>
      </w:r>
      <w:r w:rsidR="000C2F09" w:rsidRPr="0024375B">
        <w:t xml:space="preserve">cyberbezpieczeństwa </w:t>
      </w:r>
      <w:r w:rsidR="003D0677" w:rsidRPr="0024375B">
        <w:t>odpowiada</w:t>
      </w:r>
      <w:r w:rsidR="000C2F09" w:rsidRPr="0024375B">
        <w:t xml:space="preserve"> </w:t>
      </w:r>
      <w:r w:rsidR="00CB46EC" w:rsidRPr="0024375B">
        <w:t>definicj</w:t>
      </w:r>
      <w:r w:rsidR="003D0677" w:rsidRPr="0024375B">
        <w:t>a</w:t>
      </w:r>
      <w:r w:rsidR="00CB46EC" w:rsidRPr="0024375B">
        <w:t xml:space="preserve"> </w:t>
      </w:r>
      <w:r w:rsidR="000C2F09" w:rsidRPr="0024375B">
        <w:t>bezpieczeństw</w:t>
      </w:r>
      <w:r w:rsidR="00CB46EC" w:rsidRPr="0024375B">
        <w:t>a</w:t>
      </w:r>
      <w:r w:rsidR="000C2F09" w:rsidRPr="0024375B">
        <w:t xml:space="preserve"> systemów informacyjnych</w:t>
      </w:r>
      <w:r w:rsidR="001A4011" w:rsidRPr="0024375B">
        <w:t xml:space="preserve"> (art. 2 pkt 3)</w:t>
      </w:r>
      <w:r w:rsidR="000C2F09" w:rsidRPr="0024375B">
        <w:t xml:space="preserve">. </w:t>
      </w:r>
      <w:r w:rsidR="001A4011" w:rsidRPr="0024375B">
        <w:t>Zmiany te n</w:t>
      </w:r>
      <w:r w:rsidR="000C2F09" w:rsidRPr="0024375B">
        <w:rPr>
          <w:rFonts w:ascii="Times New Roman" w:hAnsi="Times New Roman" w:cs="Times New Roman"/>
        </w:rPr>
        <w:t>ie powoduj</w:t>
      </w:r>
      <w:r w:rsidR="001A4011" w:rsidRPr="0024375B">
        <w:rPr>
          <w:rFonts w:ascii="Times New Roman" w:hAnsi="Times New Roman" w:cs="Times New Roman"/>
        </w:rPr>
        <w:t>ą</w:t>
      </w:r>
      <w:r w:rsidR="000C2F09" w:rsidRPr="0024375B">
        <w:rPr>
          <w:rFonts w:ascii="Times New Roman" w:hAnsi="Times New Roman" w:cs="Times New Roman"/>
        </w:rPr>
        <w:t xml:space="preserve"> zmian</w:t>
      </w:r>
      <w:r w:rsidR="00EA1900">
        <w:rPr>
          <w:rFonts w:ascii="Times New Roman" w:hAnsi="Times New Roman" w:cs="Times New Roman"/>
        </w:rPr>
        <w:t xml:space="preserve"> w </w:t>
      </w:r>
      <w:r w:rsidR="000C2F09" w:rsidRPr="0024375B">
        <w:rPr>
          <w:rFonts w:ascii="Times New Roman" w:hAnsi="Times New Roman" w:cs="Times New Roman"/>
        </w:rPr>
        <w:t>zakresie konkretnych obowiązków</w:t>
      </w:r>
      <w:r w:rsidR="001A4011" w:rsidRPr="0024375B">
        <w:rPr>
          <w:rFonts w:ascii="Times New Roman" w:hAnsi="Times New Roman" w:cs="Times New Roman"/>
        </w:rPr>
        <w:t xml:space="preserve"> nałożonych obowiązującą</w:t>
      </w:r>
      <w:r w:rsidR="000C2F09" w:rsidRPr="0024375B">
        <w:rPr>
          <w:rFonts w:ascii="Times New Roman" w:hAnsi="Times New Roman" w:cs="Times New Roman"/>
        </w:rPr>
        <w:t xml:space="preserve"> ustaw</w:t>
      </w:r>
      <w:r w:rsidR="001A4011" w:rsidRPr="0024375B">
        <w:rPr>
          <w:rFonts w:ascii="Times New Roman" w:hAnsi="Times New Roman" w:cs="Times New Roman"/>
        </w:rPr>
        <w:t>ą</w:t>
      </w:r>
      <w:r w:rsidR="000C2F09" w:rsidRPr="0024375B">
        <w:rPr>
          <w:rFonts w:ascii="Times New Roman" w:hAnsi="Times New Roman" w:cs="Times New Roman"/>
        </w:rPr>
        <w:t xml:space="preserve"> na podmioty krajowego systemu cyberbezpieczeństwa. Nowe definicje są zgodne</w:t>
      </w:r>
      <w:r w:rsidR="002161FE">
        <w:rPr>
          <w:rFonts w:ascii="Times New Roman" w:hAnsi="Times New Roman" w:cs="Times New Roman"/>
        </w:rPr>
        <w:t xml:space="preserve"> z </w:t>
      </w:r>
      <w:r w:rsidR="000C2F09" w:rsidRPr="0024375B">
        <w:rPr>
          <w:rFonts w:ascii="Times New Roman" w:hAnsi="Times New Roman" w:cs="Times New Roman"/>
        </w:rPr>
        <w:t>przepisami zawartymi</w:t>
      </w:r>
      <w:r w:rsidR="00EA1900">
        <w:rPr>
          <w:rFonts w:ascii="Times New Roman" w:hAnsi="Times New Roman" w:cs="Times New Roman"/>
        </w:rPr>
        <w:t xml:space="preserve"> w </w:t>
      </w:r>
      <w:r w:rsidR="001A4011" w:rsidRPr="0024375B">
        <w:rPr>
          <w:rFonts w:ascii="Times New Roman" w:hAnsi="Times New Roman" w:cs="Times New Roman"/>
        </w:rPr>
        <w:t>Akcie</w:t>
      </w:r>
      <w:r w:rsidR="0077165A">
        <w:rPr>
          <w:rFonts w:ascii="Times New Roman" w:hAnsi="Times New Roman" w:cs="Times New Roman"/>
        </w:rPr>
        <w:t xml:space="preserve"> o </w:t>
      </w:r>
      <w:r w:rsidR="004D118A">
        <w:rPr>
          <w:rFonts w:ascii="Times New Roman" w:hAnsi="Times New Roman" w:cs="Times New Roman"/>
        </w:rPr>
        <w:t>c</w:t>
      </w:r>
      <w:r w:rsidR="001A4011" w:rsidRPr="0024375B">
        <w:rPr>
          <w:rFonts w:ascii="Times New Roman" w:hAnsi="Times New Roman" w:cs="Times New Roman"/>
        </w:rPr>
        <w:t>yberbezpieczeństwie</w:t>
      </w:r>
      <w:r w:rsidR="000C2F09" w:rsidRPr="0024375B">
        <w:rPr>
          <w:rFonts w:ascii="Times New Roman" w:hAnsi="Times New Roman" w:cs="Times New Roman"/>
        </w:rPr>
        <w:t xml:space="preserve">. </w:t>
      </w:r>
      <w:r w:rsidR="003D0677" w:rsidRPr="0024375B">
        <w:rPr>
          <w:rFonts w:ascii="Times New Roman" w:hAnsi="Times New Roman" w:cs="Times New Roman"/>
        </w:rPr>
        <w:t>Wprowadzane zmiany definicyjne nie tylko</w:t>
      </w:r>
      <w:r w:rsidR="000C2F09" w:rsidRPr="0024375B">
        <w:rPr>
          <w:rFonts w:ascii="Times New Roman" w:hAnsi="Times New Roman" w:cs="Times New Roman"/>
        </w:rPr>
        <w:t xml:space="preserve"> zapewnia</w:t>
      </w:r>
      <w:r w:rsidR="003D0677" w:rsidRPr="0024375B">
        <w:rPr>
          <w:rFonts w:ascii="Times New Roman" w:hAnsi="Times New Roman" w:cs="Times New Roman"/>
        </w:rPr>
        <w:t>ją</w:t>
      </w:r>
      <w:r w:rsidR="000C2F09" w:rsidRPr="0024375B">
        <w:rPr>
          <w:rFonts w:ascii="Times New Roman" w:hAnsi="Times New Roman" w:cs="Times New Roman"/>
        </w:rPr>
        <w:t xml:space="preserve"> </w:t>
      </w:r>
      <w:r w:rsidR="000C2F09" w:rsidRPr="0024375B">
        <w:rPr>
          <w:rFonts w:ascii="Times New Roman" w:hAnsi="Times New Roman"/>
        </w:rPr>
        <w:t>zgodność</w:t>
      </w:r>
      <w:r w:rsidR="002161FE">
        <w:rPr>
          <w:rFonts w:ascii="Times New Roman" w:hAnsi="Times New Roman"/>
        </w:rPr>
        <w:t xml:space="preserve"> z </w:t>
      </w:r>
      <w:r w:rsidR="000C2F09" w:rsidRPr="0024375B">
        <w:rPr>
          <w:rFonts w:ascii="Times New Roman" w:hAnsi="Times New Roman" w:cs="Times New Roman"/>
        </w:rPr>
        <w:t>polskim porządkiem prawnym</w:t>
      </w:r>
      <w:r w:rsidR="000C2F09" w:rsidRPr="0024375B">
        <w:rPr>
          <w:rFonts w:ascii="Times New Roman" w:hAnsi="Times New Roman"/>
        </w:rPr>
        <w:t>, ale</w:t>
      </w:r>
      <w:r w:rsidR="000C2F09" w:rsidRPr="0024375B">
        <w:rPr>
          <w:rFonts w:ascii="Times New Roman" w:hAnsi="Times New Roman" w:cs="Times New Roman"/>
        </w:rPr>
        <w:t xml:space="preserve"> również odpowiednią przejrzystość przepisów.</w:t>
      </w:r>
    </w:p>
    <w:p w14:paraId="4CF7D5D1" w14:textId="5EE1B7B9" w:rsidR="003E004C" w:rsidRDefault="003E004C" w:rsidP="0024375B">
      <w:pPr>
        <w:pStyle w:val="ARTartustawynprozporzdzenia"/>
        <w:ind w:firstLine="567"/>
        <w:rPr>
          <w:rFonts w:ascii="Times New Roman" w:hAnsi="Times New Roman" w:cs="Times New Roman"/>
        </w:rPr>
      </w:pPr>
      <w:r w:rsidRPr="0024375B">
        <w:rPr>
          <w:rFonts w:ascii="Times New Roman" w:hAnsi="Times New Roman" w:cs="Times New Roman"/>
          <w:color w:val="000000"/>
          <w:shd w:val="clear" w:color="auto" w:fill="FFFFFF"/>
        </w:rPr>
        <w:t>Ponadto, projektowana ustawa posługuje się pojęciami certyfikat</w:t>
      </w:r>
      <w:r w:rsidR="0077165A">
        <w:rPr>
          <w:rFonts w:ascii="Times New Roman" w:hAnsi="Times New Roman" w:cs="Times New Roman"/>
          <w:color w:val="000000"/>
          <w:shd w:val="clear" w:color="auto" w:fill="FFFFFF"/>
        </w:rPr>
        <w:t xml:space="preserve"> (pkt 4)</w:t>
      </w:r>
      <w:r w:rsidRPr="0024375B">
        <w:rPr>
          <w:rFonts w:ascii="Times New Roman" w:hAnsi="Times New Roman" w:cs="Times New Roman"/>
          <w:color w:val="000000"/>
          <w:shd w:val="clear" w:color="auto" w:fill="FFFFFF"/>
        </w:rPr>
        <w:t xml:space="preserve"> oraz krajowy certyfikat cyberbezpieczeństwa</w:t>
      </w:r>
      <w:r w:rsidR="0077165A">
        <w:rPr>
          <w:rFonts w:ascii="Times New Roman" w:hAnsi="Times New Roman" w:cs="Times New Roman"/>
          <w:color w:val="000000"/>
          <w:shd w:val="clear" w:color="auto" w:fill="FFFFFF"/>
        </w:rPr>
        <w:t xml:space="preserve"> (pkt 25)</w:t>
      </w:r>
      <w:r w:rsidRPr="0024375B">
        <w:rPr>
          <w:rFonts w:ascii="Times New Roman" w:hAnsi="Times New Roman" w:cs="Times New Roman"/>
          <w:color w:val="000000"/>
          <w:shd w:val="clear" w:color="auto" w:fill="FFFFFF"/>
        </w:rPr>
        <w:t>. Certyfikat odnosi się do wszystkich certyfikatów</w:t>
      </w:r>
      <w:r w:rsidR="00EA1900">
        <w:rPr>
          <w:rFonts w:ascii="Times New Roman" w:hAnsi="Times New Roman" w:cs="Times New Roman"/>
          <w:color w:val="000000"/>
          <w:shd w:val="clear" w:color="auto" w:fill="FFFFFF"/>
        </w:rPr>
        <w:t xml:space="preserve"> w </w:t>
      </w:r>
      <w:r w:rsidRPr="0024375B">
        <w:rPr>
          <w:rFonts w:ascii="Times New Roman" w:hAnsi="Times New Roman" w:cs="Times New Roman"/>
          <w:color w:val="000000"/>
          <w:shd w:val="clear" w:color="auto" w:fill="FFFFFF"/>
        </w:rPr>
        <w:t>dziedzinie cyberbezpieczeństwa, tj. zarówno tych wydanych</w:t>
      </w:r>
      <w:r w:rsidR="00EA1900">
        <w:rPr>
          <w:rFonts w:ascii="Times New Roman" w:hAnsi="Times New Roman" w:cs="Times New Roman"/>
          <w:color w:val="000000"/>
          <w:shd w:val="clear" w:color="auto" w:fill="FFFFFF"/>
        </w:rPr>
        <w:t xml:space="preserve"> w </w:t>
      </w:r>
      <w:r w:rsidRPr="0024375B">
        <w:rPr>
          <w:rFonts w:ascii="Times New Roman" w:hAnsi="Times New Roman" w:cs="Times New Roman"/>
          <w:color w:val="000000"/>
          <w:shd w:val="clear" w:color="auto" w:fill="FFFFFF"/>
        </w:rPr>
        <w:t>ramach krajowych, jak</w:t>
      </w:r>
      <w:r w:rsidR="002161FE">
        <w:rPr>
          <w:rFonts w:ascii="Times New Roman" w:hAnsi="Times New Roman" w:cs="Times New Roman"/>
          <w:color w:val="000000"/>
          <w:shd w:val="clear" w:color="auto" w:fill="FFFFFF"/>
        </w:rPr>
        <w:t xml:space="preserve"> i </w:t>
      </w:r>
      <w:r w:rsidRPr="0024375B">
        <w:rPr>
          <w:rFonts w:ascii="Times New Roman" w:hAnsi="Times New Roman" w:cs="Times New Roman"/>
          <w:color w:val="000000"/>
          <w:shd w:val="clear" w:color="auto" w:fill="FFFFFF"/>
        </w:rPr>
        <w:t xml:space="preserve">europejskich programów </w:t>
      </w:r>
      <w:r w:rsidRPr="0024375B">
        <w:rPr>
          <w:rFonts w:ascii="Times New Roman" w:hAnsi="Times New Roman" w:cs="Times New Roman"/>
          <w:color w:val="000000"/>
          <w:shd w:val="clear" w:color="auto" w:fill="FFFFFF"/>
        </w:rPr>
        <w:lastRenderedPageBreak/>
        <w:t xml:space="preserve">certyfikacji. Z kolei krajowy certyfikat cyberbezpieczeństwa dotyczy tylko dokumentów wydanych na podstawie krajowych programów </w:t>
      </w:r>
      <w:r w:rsidR="008755A3" w:rsidRPr="0024375B">
        <w:rPr>
          <w:rFonts w:ascii="Times New Roman" w:hAnsi="Times New Roman" w:cs="Times New Roman"/>
          <w:color w:val="000000"/>
          <w:shd w:val="clear" w:color="auto" w:fill="FFFFFF"/>
        </w:rPr>
        <w:t>certyfikacji</w:t>
      </w:r>
      <w:r w:rsidR="008755A3">
        <w:rPr>
          <w:rFonts w:ascii="Times New Roman" w:hAnsi="Times New Roman" w:cs="Times New Roman"/>
          <w:color w:val="000000"/>
          <w:shd w:val="clear" w:color="auto" w:fill="FFFFFF"/>
        </w:rPr>
        <w:t xml:space="preserve"> </w:t>
      </w:r>
      <w:r w:rsidRPr="0024375B">
        <w:rPr>
          <w:rFonts w:ascii="Times New Roman" w:hAnsi="Times New Roman" w:cs="Times New Roman"/>
          <w:color w:val="000000"/>
          <w:shd w:val="clear" w:color="auto" w:fill="FFFFFF"/>
        </w:rPr>
        <w:t>. Certyfikaty te będą traktowane jednakowo. Wiele kwestii związanych</w:t>
      </w:r>
      <w:r w:rsidR="002161FE">
        <w:rPr>
          <w:rFonts w:ascii="Times New Roman" w:hAnsi="Times New Roman" w:cs="Times New Roman"/>
          <w:color w:val="000000"/>
          <w:shd w:val="clear" w:color="auto" w:fill="FFFFFF"/>
        </w:rPr>
        <w:t xml:space="preserve"> z </w:t>
      </w:r>
      <w:r w:rsidRPr="0024375B">
        <w:rPr>
          <w:rFonts w:ascii="Times New Roman" w:hAnsi="Times New Roman" w:cs="Times New Roman"/>
          <w:color w:val="000000"/>
          <w:shd w:val="clear" w:color="auto" w:fill="FFFFFF"/>
        </w:rPr>
        <w:t>europejskimi certyfikatami zostało określonych</w:t>
      </w:r>
      <w:r w:rsidR="00EA1900">
        <w:rPr>
          <w:rFonts w:ascii="Times New Roman" w:hAnsi="Times New Roman" w:cs="Times New Roman"/>
          <w:color w:val="000000"/>
          <w:shd w:val="clear" w:color="auto" w:fill="FFFFFF"/>
        </w:rPr>
        <w:t xml:space="preserve"> w </w:t>
      </w:r>
      <w:r w:rsidRPr="0024375B">
        <w:rPr>
          <w:rFonts w:ascii="Times New Roman" w:hAnsi="Times New Roman" w:cs="Times New Roman"/>
          <w:color w:val="000000"/>
          <w:shd w:val="clear" w:color="auto" w:fill="FFFFFF"/>
        </w:rPr>
        <w:t>Akcie</w:t>
      </w:r>
      <w:r w:rsidR="0077165A">
        <w:rPr>
          <w:rFonts w:ascii="Times New Roman" w:hAnsi="Times New Roman" w:cs="Times New Roman"/>
          <w:color w:val="000000"/>
          <w:shd w:val="clear" w:color="auto" w:fill="FFFFFF"/>
        </w:rPr>
        <w:t xml:space="preserve"> o </w:t>
      </w:r>
      <w:r w:rsidR="004D118A">
        <w:rPr>
          <w:rFonts w:ascii="Times New Roman" w:hAnsi="Times New Roman" w:cs="Times New Roman"/>
          <w:color w:val="000000"/>
          <w:shd w:val="clear" w:color="auto" w:fill="FFFFFF"/>
        </w:rPr>
        <w:t>c</w:t>
      </w:r>
      <w:r w:rsidRPr="0024375B">
        <w:rPr>
          <w:rFonts w:ascii="Times New Roman" w:hAnsi="Times New Roman" w:cs="Times New Roman"/>
          <w:color w:val="000000"/>
          <w:shd w:val="clear" w:color="auto" w:fill="FFFFFF"/>
        </w:rPr>
        <w:t>yberbezpieczeństwie. Przepisy te nie odnoszą się jednak do certyfikatów krajowych. Z tego też względu</w:t>
      </w:r>
      <w:r w:rsidR="00EA1900">
        <w:rPr>
          <w:rFonts w:ascii="Times New Roman" w:hAnsi="Times New Roman" w:cs="Times New Roman"/>
          <w:color w:val="000000"/>
          <w:shd w:val="clear" w:color="auto" w:fill="FFFFFF"/>
        </w:rPr>
        <w:t xml:space="preserve"> w </w:t>
      </w:r>
      <w:r w:rsidRPr="0024375B">
        <w:rPr>
          <w:rFonts w:ascii="Times New Roman" w:hAnsi="Times New Roman" w:cs="Times New Roman"/>
          <w:color w:val="000000"/>
          <w:shd w:val="clear" w:color="auto" w:fill="FFFFFF"/>
        </w:rPr>
        <w:t>projekcie ustawy znalazły się przepisy regulujące kwestie związane</w:t>
      </w:r>
      <w:r w:rsidR="002161FE">
        <w:rPr>
          <w:rFonts w:ascii="Times New Roman" w:hAnsi="Times New Roman" w:cs="Times New Roman"/>
          <w:color w:val="000000"/>
          <w:shd w:val="clear" w:color="auto" w:fill="FFFFFF"/>
        </w:rPr>
        <w:t xml:space="preserve"> z </w:t>
      </w:r>
      <w:r w:rsidRPr="0024375B">
        <w:rPr>
          <w:rFonts w:ascii="Times New Roman" w:hAnsi="Times New Roman" w:cs="Times New Roman"/>
          <w:color w:val="000000"/>
          <w:shd w:val="clear" w:color="auto" w:fill="FFFFFF"/>
        </w:rPr>
        <w:t>wydawaniem certyfikatów krajowych. Analogiczna sytuacja występuje</w:t>
      </w:r>
      <w:r w:rsidR="00EA1900">
        <w:rPr>
          <w:rFonts w:ascii="Times New Roman" w:hAnsi="Times New Roman" w:cs="Times New Roman"/>
          <w:color w:val="000000"/>
          <w:shd w:val="clear" w:color="auto" w:fill="FFFFFF"/>
        </w:rPr>
        <w:t xml:space="preserve"> w </w:t>
      </w:r>
      <w:r w:rsidRPr="0024375B">
        <w:rPr>
          <w:rFonts w:ascii="Times New Roman" w:hAnsi="Times New Roman" w:cs="Times New Roman"/>
          <w:color w:val="000000"/>
          <w:shd w:val="clear" w:color="auto" w:fill="FFFFFF"/>
        </w:rPr>
        <w:t>przypadku deklaracji zgodności</w:t>
      </w:r>
      <w:r w:rsidR="002161FE">
        <w:rPr>
          <w:rFonts w:ascii="Times New Roman" w:hAnsi="Times New Roman" w:cs="Times New Roman"/>
          <w:color w:val="000000"/>
          <w:shd w:val="clear" w:color="auto" w:fill="FFFFFF"/>
        </w:rPr>
        <w:t xml:space="preserve"> i </w:t>
      </w:r>
      <w:r w:rsidRPr="0024375B">
        <w:rPr>
          <w:rFonts w:ascii="Times New Roman" w:hAnsi="Times New Roman" w:cs="Times New Roman"/>
          <w:color w:val="000000"/>
          <w:shd w:val="clear" w:color="auto" w:fill="FFFFFF"/>
        </w:rPr>
        <w:t>krajowych deklaracji zgodności</w:t>
      </w:r>
      <w:r w:rsidR="00E421B5">
        <w:rPr>
          <w:rFonts w:ascii="Times New Roman" w:hAnsi="Times New Roman" w:cs="Times New Roman"/>
          <w:color w:val="000000"/>
          <w:shd w:val="clear" w:color="auto" w:fill="FFFFFF"/>
        </w:rPr>
        <w:t xml:space="preserve"> (pkt 26)</w:t>
      </w:r>
      <w:r w:rsidRPr="0024375B">
        <w:rPr>
          <w:rFonts w:ascii="Times New Roman" w:hAnsi="Times New Roman" w:cs="Times New Roman"/>
          <w:color w:val="000000"/>
          <w:shd w:val="clear" w:color="auto" w:fill="FFFFFF"/>
        </w:rPr>
        <w:t>. Te ostatnie zostały wprowadzone aby zagwarantować,</w:t>
      </w:r>
      <w:r w:rsidR="00DB44AE" w:rsidRPr="0024375B">
        <w:rPr>
          <w:rFonts w:ascii="Times New Roman" w:hAnsi="Times New Roman" w:cs="Times New Roman"/>
          <w:color w:val="000000"/>
          <w:shd w:val="clear" w:color="auto" w:fill="FFFFFF"/>
        </w:rPr>
        <w:t xml:space="preserve"> </w:t>
      </w:r>
      <w:r w:rsidRPr="0024375B">
        <w:rPr>
          <w:rFonts w:ascii="Times New Roman" w:hAnsi="Times New Roman" w:cs="Times New Roman"/>
          <w:color w:val="000000"/>
          <w:shd w:val="clear" w:color="auto" w:fill="FFFFFF"/>
        </w:rPr>
        <w:t>że również</w:t>
      </w:r>
      <w:r w:rsidR="00EA1900">
        <w:rPr>
          <w:rFonts w:ascii="Times New Roman" w:hAnsi="Times New Roman" w:cs="Times New Roman"/>
          <w:color w:val="000000"/>
          <w:shd w:val="clear" w:color="auto" w:fill="FFFFFF"/>
        </w:rPr>
        <w:t xml:space="preserve"> w </w:t>
      </w:r>
      <w:r w:rsidRPr="0024375B">
        <w:rPr>
          <w:rFonts w:ascii="Times New Roman" w:hAnsi="Times New Roman" w:cs="Times New Roman"/>
          <w:color w:val="000000"/>
          <w:shd w:val="clear" w:color="auto" w:fill="FFFFFF"/>
        </w:rPr>
        <w:t>wypadku certyfikatów krajowych możliwe będzie potwierdzenie zgodności przez samego przedsiębiorcę</w:t>
      </w:r>
      <w:r w:rsidR="00EA1900">
        <w:rPr>
          <w:rFonts w:ascii="Times New Roman" w:hAnsi="Times New Roman" w:cs="Times New Roman"/>
          <w:color w:val="000000"/>
          <w:shd w:val="clear" w:color="auto" w:fill="FFFFFF"/>
        </w:rPr>
        <w:t xml:space="preserve"> w </w:t>
      </w:r>
      <w:r w:rsidRPr="0024375B">
        <w:rPr>
          <w:rFonts w:ascii="Times New Roman" w:hAnsi="Times New Roman" w:cs="Times New Roman"/>
          <w:color w:val="000000"/>
          <w:shd w:val="clear" w:color="auto" w:fill="FFFFFF"/>
        </w:rPr>
        <w:t>określony</w:t>
      </w:r>
      <w:r w:rsidR="008755A3">
        <w:rPr>
          <w:rFonts w:ascii="Times New Roman" w:hAnsi="Times New Roman" w:cs="Times New Roman"/>
          <w:color w:val="000000"/>
          <w:shd w:val="clear" w:color="auto" w:fill="FFFFFF"/>
        </w:rPr>
        <w:t>ch</w:t>
      </w:r>
      <w:r w:rsidRPr="0024375B">
        <w:rPr>
          <w:rFonts w:ascii="Times New Roman" w:hAnsi="Times New Roman" w:cs="Times New Roman"/>
          <w:color w:val="000000"/>
          <w:shd w:val="clear" w:color="auto" w:fill="FFFFFF"/>
        </w:rPr>
        <w:t xml:space="preserve"> przypadkach.</w:t>
      </w:r>
      <w:r w:rsidR="00DB44AE" w:rsidRPr="0024375B">
        <w:rPr>
          <w:rFonts w:ascii="Times New Roman" w:hAnsi="Times New Roman" w:cs="Times New Roman"/>
          <w:color w:val="000000"/>
          <w:shd w:val="clear" w:color="auto" w:fill="FFFFFF"/>
        </w:rPr>
        <w:t xml:space="preserve"> </w:t>
      </w:r>
      <w:r w:rsidRPr="0024375B">
        <w:rPr>
          <w:rFonts w:ascii="Times New Roman" w:hAnsi="Times New Roman" w:cs="Times New Roman"/>
        </w:rPr>
        <w:t>Konsekwencją tych zmian była konieczność dostosowania pozostałych przepisów ustawy.</w:t>
      </w:r>
    </w:p>
    <w:p w14:paraId="5AD290E2" w14:textId="77777777" w:rsidR="0077165A" w:rsidRPr="0024375B" w:rsidRDefault="0077165A" w:rsidP="0024375B">
      <w:pPr>
        <w:pStyle w:val="ARTartustawynprozporzdzenia"/>
        <w:ind w:firstLine="567"/>
        <w:rPr>
          <w:rFonts w:ascii="Times New Roman" w:hAnsi="Times New Roman" w:cs="Times New Roman"/>
        </w:rPr>
      </w:pPr>
      <w:r>
        <w:rPr>
          <w:rFonts w:ascii="Times New Roman" w:hAnsi="Times New Roman" w:cs="Times New Roman"/>
        </w:rPr>
        <w:t>W niezmienionej formie pozostawiono dotychczasowe definicje zespołów CSIRT GOV, CSIRT MON oraz CSIRT NASK (pkt. 5</w:t>
      </w:r>
      <w:r w:rsidR="0087130F">
        <w:rPr>
          <w:rFonts w:ascii="Times New Roman" w:hAnsi="Times New Roman" w:cs="Times New Roman"/>
        </w:rPr>
        <w:t>–</w:t>
      </w:r>
      <w:r>
        <w:rPr>
          <w:rFonts w:ascii="Times New Roman" w:hAnsi="Times New Roman" w:cs="Times New Roman"/>
        </w:rPr>
        <w:t>7).</w:t>
      </w:r>
    </w:p>
    <w:p w14:paraId="5B0D25C3" w14:textId="77777777" w:rsidR="000C2F09" w:rsidRPr="0024375B" w:rsidRDefault="000C2F09" w:rsidP="0024375B">
      <w:pPr>
        <w:pStyle w:val="ARTartustawynprozporzdzenia"/>
      </w:pPr>
      <w:r w:rsidRPr="0024375B">
        <w:t>Wprowadzono definicję CSIRT sektorowego</w:t>
      </w:r>
      <w:r w:rsidR="0077165A">
        <w:t xml:space="preserve"> (pkt 9)</w:t>
      </w:r>
      <w:r w:rsidRPr="0024375B">
        <w:t xml:space="preserve"> – </w:t>
      </w:r>
      <w:r w:rsidR="003D0677" w:rsidRPr="0024375B">
        <w:t>przez który należy rozumieć</w:t>
      </w:r>
      <w:r w:rsidRPr="0024375B">
        <w:t xml:space="preserve"> Zespół Reagowania na Incydenty Bezpieczeństwa Komputerowego działający na poziomie sektora lub podsektora, ustanowiony przez organ właściwy do spraw cyberbezpieczeństwa dla danego sektora lub podsektora. Definicja ta jest utrzymana</w:t>
      </w:r>
      <w:r w:rsidR="00EA1900">
        <w:t xml:space="preserve"> w </w:t>
      </w:r>
      <w:r w:rsidRPr="0024375B">
        <w:t xml:space="preserve">podobnej konwencji jak definicje poszczególnych zespołów CSIRT poziomu krajowego. </w:t>
      </w:r>
    </w:p>
    <w:p w14:paraId="226E86C1" w14:textId="77777777" w:rsidR="000C2F09" w:rsidRDefault="000C2F09" w:rsidP="0024375B">
      <w:pPr>
        <w:pStyle w:val="ARTartustawynprozporzdzenia"/>
      </w:pPr>
      <w:r w:rsidRPr="0024375B">
        <w:t>Zaproponowano także definicję CSIRT INT</w:t>
      </w:r>
      <w:r w:rsidR="0077165A">
        <w:t xml:space="preserve"> (pkt 8)</w:t>
      </w:r>
      <w:r w:rsidRPr="0024375B">
        <w:t xml:space="preserve"> – </w:t>
      </w:r>
      <w:r w:rsidR="00911CAE">
        <w:t xml:space="preserve">jest to </w:t>
      </w:r>
      <w:r w:rsidR="00911CAE" w:rsidRPr="00911CAE">
        <w:t>Zespół Reagowania na Incydenty Bezpieczeństwa Komputerowego, prowadzony przez Szefa Agencji Wywiadu na rzecz Agencji Wywiadu oraz jednostek organizacyjnych podległych ministrowi właściwemu do spraw zagranicznych lub przez niego nadzorowanych</w:t>
      </w:r>
      <w:r w:rsidRPr="0024375B">
        <w:t>.</w:t>
      </w:r>
    </w:p>
    <w:p w14:paraId="05345696" w14:textId="14521997" w:rsidR="0077165A" w:rsidRPr="0024375B" w:rsidRDefault="0077165A" w:rsidP="0024375B">
      <w:pPr>
        <w:pStyle w:val="ARTartustawynprozporzdzenia"/>
      </w:pPr>
      <w:r>
        <w:t>Wprowadzono również</w:t>
      </w:r>
      <w:r w:rsidRPr="0077165A">
        <w:t xml:space="preserve"> definicję CSIRT </w:t>
      </w:r>
      <w:r>
        <w:t>Telco (pkt 10</w:t>
      </w:r>
      <w:r w:rsidRPr="0077165A">
        <w:t xml:space="preserve">) – </w:t>
      </w:r>
      <w:r w:rsidR="00F85F5D">
        <w:t xml:space="preserve">jako </w:t>
      </w:r>
      <w:r w:rsidRPr="0077165A">
        <w:t>Zespołu Reagowania na Incydenty Bezpieczeństwa Komputerowego działając</w:t>
      </w:r>
      <w:r w:rsidR="00F85F5D">
        <w:t>ego</w:t>
      </w:r>
      <w:r w:rsidRPr="0077165A">
        <w:t xml:space="preserve"> na rzecz przedsiębiorców komunikacji elektronicznej.</w:t>
      </w:r>
    </w:p>
    <w:p w14:paraId="43EA5C02" w14:textId="77777777" w:rsidR="00356F6A" w:rsidRDefault="00EE659B" w:rsidP="0024375B">
      <w:pPr>
        <w:pStyle w:val="ARTartustawynprozporzdzenia"/>
        <w:rPr>
          <w:rFonts w:ascii="Times New Roman" w:hAnsi="Times New Roman" w:cs="Times New Roman"/>
        </w:rPr>
      </w:pPr>
      <w:r w:rsidRPr="0024375B">
        <w:rPr>
          <w:rFonts w:ascii="Times New Roman" w:hAnsi="Times New Roman" w:cs="Times New Roman"/>
        </w:rPr>
        <w:t xml:space="preserve">Pojęcie „zagrożenie cyberbezpieczeństwa” zostało zastąpione pojęciem </w:t>
      </w:r>
      <w:r w:rsidR="003D0677" w:rsidRPr="0024375B">
        <w:rPr>
          <w:rFonts w:ascii="Times New Roman" w:hAnsi="Times New Roman" w:cs="Times New Roman"/>
        </w:rPr>
        <w:t>„</w:t>
      </w:r>
      <w:r w:rsidRPr="0024375B">
        <w:rPr>
          <w:rFonts w:ascii="Times New Roman" w:hAnsi="Times New Roman" w:cs="Times New Roman"/>
        </w:rPr>
        <w:t>cyberzagrożenia</w:t>
      </w:r>
      <w:r w:rsidR="003D0677" w:rsidRPr="0024375B">
        <w:rPr>
          <w:rFonts w:ascii="Times New Roman" w:hAnsi="Times New Roman" w:cs="Times New Roman"/>
        </w:rPr>
        <w:t>”</w:t>
      </w:r>
      <w:r w:rsidRPr="0024375B">
        <w:rPr>
          <w:rFonts w:ascii="Times New Roman" w:hAnsi="Times New Roman" w:cs="Times New Roman"/>
        </w:rPr>
        <w:t xml:space="preserve"> (art. 2 pkt 1</w:t>
      </w:r>
      <w:r w:rsidR="2C3377F4" w:rsidRPr="0024375B">
        <w:rPr>
          <w:rFonts w:ascii="Times New Roman" w:hAnsi="Times New Roman" w:cs="Times New Roman"/>
        </w:rPr>
        <w:t>2</w:t>
      </w:r>
      <w:r w:rsidRPr="0024375B">
        <w:rPr>
          <w:rFonts w:ascii="Times New Roman" w:hAnsi="Times New Roman" w:cs="Times New Roman"/>
        </w:rPr>
        <w:t>)</w:t>
      </w:r>
      <w:r w:rsidR="003D0677" w:rsidRPr="0024375B">
        <w:rPr>
          <w:rFonts w:ascii="Times New Roman" w:hAnsi="Times New Roman" w:cs="Times New Roman"/>
        </w:rPr>
        <w:t xml:space="preserve">, które </w:t>
      </w:r>
      <w:r w:rsidRPr="0024375B">
        <w:rPr>
          <w:rFonts w:ascii="Times New Roman" w:hAnsi="Times New Roman" w:cs="Times New Roman"/>
        </w:rPr>
        <w:t>został</w:t>
      </w:r>
      <w:r w:rsidR="003D0677" w:rsidRPr="0024375B">
        <w:rPr>
          <w:rFonts w:ascii="Times New Roman" w:hAnsi="Times New Roman" w:cs="Times New Roman"/>
        </w:rPr>
        <w:t>o</w:t>
      </w:r>
      <w:r w:rsidRPr="0024375B">
        <w:rPr>
          <w:rFonts w:ascii="Times New Roman" w:hAnsi="Times New Roman" w:cs="Times New Roman"/>
        </w:rPr>
        <w:t xml:space="preserve"> </w:t>
      </w:r>
      <w:r w:rsidR="003D0677" w:rsidRPr="0024375B">
        <w:rPr>
          <w:rFonts w:ascii="Times New Roman" w:hAnsi="Times New Roman" w:cs="Times New Roman"/>
        </w:rPr>
        <w:t>wprowadzone</w:t>
      </w:r>
      <w:r w:rsidR="00EA1900">
        <w:rPr>
          <w:rFonts w:ascii="Times New Roman" w:hAnsi="Times New Roman" w:cs="Times New Roman"/>
        </w:rPr>
        <w:t xml:space="preserve"> w </w:t>
      </w:r>
      <w:r w:rsidRPr="0024375B">
        <w:rPr>
          <w:rFonts w:ascii="Times New Roman" w:hAnsi="Times New Roman" w:cs="Times New Roman"/>
        </w:rPr>
        <w:t>Akcie</w:t>
      </w:r>
      <w:r w:rsidR="0077165A">
        <w:rPr>
          <w:rFonts w:ascii="Times New Roman" w:hAnsi="Times New Roman" w:cs="Times New Roman"/>
        </w:rPr>
        <w:t xml:space="preserve"> o </w:t>
      </w:r>
      <w:r w:rsidR="0087130F">
        <w:rPr>
          <w:rFonts w:ascii="Times New Roman" w:hAnsi="Times New Roman" w:cs="Times New Roman"/>
        </w:rPr>
        <w:t>c</w:t>
      </w:r>
      <w:r w:rsidR="000A01B8" w:rsidRPr="0024375B">
        <w:rPr>
          <w:rFonts w:ascii="Times New Roman" w:hAnsi="Times New Roman" w:cs="Times New Roman"/>
        </w:rPr>
        <w:t>yberbezpieczeństwie,</w:t>
      </w:r>
      <w:r w:rsidR="002161FE">
        <w:rPr>
          <w:rFonts w:ascii="Times New Roman" w:hAnsi="Times New Roman" w:cs="Times New Roman"/>
        </w:rPr>
        <w:t xml:space="preserve"> a </w:t>
      </w:r>
      <w:r w:rsidR="000A01B8" w:rsidRPr="0024375B">
        <w:rPr>
          <w:rFonts w:ascii="Times New Roman" w:hAnsi="Times New Roman" w:cs="Times New Roman"/>
        </w:rPr>
        <w:t xml:space="preserve">jego definicja </w:t>
      </w:r>
      <w:r w:rsidRPr="0024375B">
        <w:rPr>
          <w:rFonts w:ascii="Times New Roman" w:hAnsi="Times New Roman" w:cs="Times New Roman"/>
        </w:rPr>
        <w:t>jest bardzo zbliżona do funkcjonującej</w:t>
      </w:r>
      <w:r w:rsidR="00EA1900">
        <w:rPr>
          <w:rFonts w:ascii="Times New Roman" w:hAnsi="Times New Roman" w:cs="Times New Roman"/>
        </w:rPr>
        <w:t xml:space="preserve"> w </w:t>
      </w:r>
      <w:r w:rsidRPr="0024375B">
        <w:rPr>
          <w:rFonts w:ascii="Times New Roman" w:hAnsi="Times New Roman" w:cs="Times New Roman"/>
        </w:rPr>
        <w:t>naszym systemie prawnym definicji „zagrożenia cyberbezpieczeństwa”. Nie jest zasadne utrzymywanie</w:t>
      </w:r>
      <w:r w:rsidR="00EA1900">
        <w:rPr>
          <w:rFonts w:ascii="Times New Roman" w:hAnsi="Times New Roman" w:cs="Times New Roman"/>
        </w:rPr>
        <w:t xml:space="preserve"> w </w:t>
      </w:r>
      <w:r w:rsidRPr="0024375B">
        <w:rPr>
          <w:rFonts w:ascii="Times New Roman" w:hAnsi="Times New Roman" w:cs="Times New Roman"/>
        </w:rPr>
        <w:t>systemie prawnym obu tych pojęć</w:t>
      </w:r>
      <w:r w:rsidR="002161FE">
        <w:rPr>
          <w:rFonts w:ascii="Times New Roman" w:hAnsi="Times New Roman" w:cs="Times New Roman"/>
        </w:rPr>
        <w:t xml:space="preserve"> i </w:t>
      </w:r>
      <w:r w:rsidRPr="0024375B">
        <w:rPr>
          <w:rFonts w:ascii="Times New Roman" w:hAnsi="Times New Roman" w:cs="Times New Roman"/>
        </w:rPr>
        <w:t xml:space="preserve">dlatego pozostawiono jedynie sformułowanie „cyberzagrożenie”. </w:t>
      </w:r>
      <w:r w:rsidR="000A01B8" w:rsidRPr="0024375B">
        <w:rPr>
          <w:rFonts w:ascii="Times New Roman" w:hAnsi="Times New Roman" w:cs="Times New Roman"/>
        </w:rPr>
        <w:t>P</w:t>
      </w:r>
      <w:r w:rsidRPr="0024375B">
        <w:rPr>
          <w:rFonts w:ascii="Times New Roman" w:hAnsi="Times New Roman" w:cs="Times New Roman"/>
        </w:rPr>
        <w:t xml:space="preserve">ojęcie </w:t>
      </w:r>
      <w:r w:rsidR="000A01B8" w:rsidRPr="0024375B">
        <w:rPr>
          <w:rFonts w:ascii="Times New Roman" w:hAnsi="Times New Roman" w:cs="Times New Roman"/>
        </w:rPr>
        <w:t xml:space="preserve">„cyberzagrożenie” jest </w:t>
      </w:r>
      <w:r w:rsidRPr="0024375B">
        <w:rPr>
          <w:rFonts w:ascii="Times New Roman" w:hAnsi="Times New Roman" w:cs="Times New Roman"/>
        </w:rPr>
        <w:t>zgodne</w:t>
      </w:r>
      <w:r w:rsidR="002161FE">
        <w:rPr>
          <w:rFonts w:ascii="Times New Roman" w:hAnsi="Times New Roman" w:cs="Times New Roman"/>
        </w:rPr>
        <w:t xml:space="preserve"> z </w:t>
      </w:r>
      <w:r w:rsidRPr="0024375B">
        <w:rPr>
          <w:rFonts w:ascii="Times New Roman" w:hAnsi="Times New Roman" w:cs="Times New Roman"/>
        </w:rPr>
        <w:t>najnowszą terminologią</w:t>
      </w:r>
      <w:r w:rsidR="00EA1900">
        <w:rPr>
          <w:rFonts w:ascii="Times New Roman" w:hAnsi="Times New Roman" w:cs="Times New Roman"/>
        </w:rPr>
        <w:t xml:space="preserve"> w </w:t>
      </w:r>
      <w:r w:rsidRPr="0024375B">
        <w:rPr>
          <w:rFonts w:ascii="Times New Roman" w:hAnsi="Times New Roman" w:cs="Times New Roman"/>
        </w:rPr>
        <w:t>dziedzinie cyberbezpieczeństwa stosowaną</w:t>
      </w:r>
      <w:r w:rsidR="00EA1900">
        <w:rPr>
          <w:rFonts w:ascii="Times New Roman" w:hAnsi="Times New Roman" w:cs="Times New Roman"/>
        </w:rPr>
        <w:t xml:space="preserve"> w </w:t>
      </w:r>
      <w:r w:rsidRPr="0024375B">
        <w:rPr>
          <w:rFonts w:ascii="Times New Roman" w:hAnsi="Times New Roman" w:cs="Times New Roman"/>
        </w:rPr>
        <w:t>państwach członkowskich Unii Europejskiej.</w:t>
      </w:r>
      <w:r w:rsidR="00116933">
        <w:rPr>
          <w:rFonts w:ascii="Times New Roman" w:hAnsi="Times New Roman" w:cs="Times New Roman"/>
        </w:rPr>
        <w:t xml:space="preserve"> W </w:t>
      </w:r>
      <w:r w:rsidRPr="0024375B">
        <w:rPr>
          <w:rFonts w:ascii="Times New Roman" w:hAnsi="Times New Roman" w:cs="Times New Roman"/>
        </w:rPr>
        <w:t>związku</w:t>
      </w:r>
      <w:r w:rsidR="002161FE">
        <w:rPr>
          <w:rFonts w:ascii="Times New Roman" w:hAnsi="Times New Roman" w:cs="Times New Roman"/>
        </w:rPr>
        <w:t xml:space="preserve"> z </w:t>
      </w:r>
      <w:r w:rsidRPr="0024375B">
        <w:rPr>
          <w:rFonts w:ascii="Times New Roman" w:hAnsi="Times New Roman" w:cs="Times New Roman"/>
        </w:rPr>
        <w:t>tą zmianą dostosowano definicję podatności (art. 2 pkt 3</w:t>
      </w:r>
      <w:r w:rsidR="2ABA6E59" w:rsidRPr="0024375B">
        <w:rPr>
          <w:rFonts w:ascii="Times New Roman" w:hAnsi="Times New Roman" w:cs="Times New Roman"/>
        </w:rPr>
        <w:t>1</w:t>
      </w:r>
      <w:r w:rsidRPr="0024375B">
        <w:rPr>
          <w:rFonts w:ascii="Times New Roman" w:hAnsi="Times New Roman" w:cs="Times New Roman"/>
        </w:rPr>
        <w:t>) zastępując wyraz</w:t>
      </w:r>
      <w:r w:rsidR="000A01B8" w:rsidRPr="0024375B">
        <w:rPr>
          <w:rFonts w:ascii="Times New Roman" w:hAnsi="Times New Roman" w:cs="Times New Roman"/>
        </w:rPr>
        <w:t>y</w:t>
      </w:r>
      <w:r w:rsidRPr="0024375B">
        <w:rPr>
          <w:rFonts w:ascii="Times New Roman" w:hAnsi="Times New Roman" w:cs="Times New Roman"/>
        </w:rPr>
        <w:t xml:space="preserve"> „zagrożenie cyberbezpieczeństwa” </w:t>
      </w:r>
      <w:r w:rsidR="000A01B8" w:rsidRPr="0024375B">
        <w:rPr>
          <w:rFonts w:ascii="Times New Roman" w:hAnsi="Times New Roman" w:cs="Times New Roman"/>
        </w:rPr>
        <w:t xml:space="preserve">wyrazem </w:t>
      </w:r>
      <w:r w:rsidRPr="0024375B">
        <w:rPr>
          <w:rFonts w:ascii="Times New Roman" w:hAnsi="Times New Roman" w:cs="Times New Roman"/>
        </w:rPr>
        <w:t>„cyberzagrożenie”.</w:t>
      </w:r>
    </w:p>
    <w:p w14:paraId="10D89651" w14:textId="6BF02375" w:rsidR="0077165A" w:rsidRPr="0024375B" w:rsidRDefault="0077165A" w:rsidP="0024375B">
      <w:pPr>
        <w:pStyle w:val="ARTartustawynprozporzdzenia"/>
        <w:rPr>
          <w:rFonts w:ascii="Times New Roman" w:hAnsi="Times New Roman" w:cs="Times New Roman"/>
        </w:rPr>
      </w:pPr>
      <w:r>
        <w:rPr>
          <w:rFonts w:ascii="Times New Roman" w:hAnsi="Times New Roman" w:cs="Times New Roman"/>
        </w:rPr>
        <w:t xml:space="preserve">Definicja dostarczania sieci telekomunikacyjnej (pkt 14) </w:t>
      </w:r>
      <w:r w:rsidR="00F85F5D">
        <w:rPr>
          <w:rFonts w:ascii="Times New Roman" w:hAnsi="Times New Roman" w:cs="Times New Roman"/>
        </w:rPr>
        <w:t xml:space="preserve">odwołuje się </w:t>
      </w:r>
      <w:r>
        <w:rPr>
          <w:rFonts w:ascii="Times New Roman" w:hAnsi="Times New Roman" w:cs="Times New Roman"/>
        </w:rPr>
        <w:t>do definicji</w:t>
      </w:r>
      <w:r w:rsidR="002161FE">
        <w:rPr>
          <w:rFonts w:ascii="Times New Roman" w:hAnsi="Times New Roman" w:cs="Times New Roman"/>
        </w:rPr>
        <w:t xml:space="preserve"> z</w:t>
      </w:r>
      <w:r w:rsidR="00EA1900">
        <w:rPr>
          <w:rFonts w:ascii="Times New Roman" w:hAnsi="Times New Roman" w:cs="Times New Roman"/>
        </w:rPr>
        <w:t xml:space="preserve"> art. </w:t>
      </w:r>
      <w:r>
        <w:rPr>
          <w:rFonts w:ascii="Times New Roman" w:hAnsi="Times New Roman" w:cs="Times New Roman"/>
        </w:rPr>
        <w:t xml:space="preserve">2 pkt </w:t>
      </w:r>
      <w:r w:rsidR="0071358B">
        <w:rPr>
          <w:rFonts w:ascii="Times New Roman" w:hAnsi="Times New Roman" w:cs="Times New Roman"/>
        </w:rPr>
        <w:t>5</w:t>
      </w:r>
      <w:r>
        <w:rPr>
          <w:rFonts w:ascii="Times New Roman" w:hAnsi="Times New Roman" w:cs="Times New Roman"/>
        </w:rPr>
        <w:t xml:space="preserve"> </w:t>
      </w:r>
      <w:r w:rsidR="00D03885">
        <w:rPr>
          <w:rFonts w:ascii="Times New Roman" w:hAnsi="Times New Roman" w:cs="Times New Roman"/>
        </w:rPr>
        <w:t>ustawy –</w:t>
      </w:r>
      <w:r>
        <w:rPr>
          <w:rFonts w:ascii="Times New Roman" w:hAnsi="Times New Roman" w:cs="Times New Roman"/>
        </w:rPr>
        <w:t>Praw</w:t>
      </w:r>
      <w:r w:rsidR="00F85F5D">
        <w:rPr>
          <w:rFonts w:ascii="Times New Roman" w:hAnsi="Times New Roman" w:cs="Times New Roman"/>
        </w:rPr>
        <w:t>o</w:t>
      </w:r>
      <w:r>
        <w:rPr>
          <w:rFonts w:ascii="Times New Roman" w:hAnsi="Times New Roman" w:cs="Times New Roman"/>
        </w:rPr>
        <w:t xml:space="preserve"> </w:t>
      </w:r>
      <w:r w:rsidR="0071358B">
        <w:rPr>
          <w:rFonts w:ascii="Times New Roman" w:hAnsi="Times New Roman" w:cs="Times New Roman"/>
        </w:rPr>
        <w:t>komunikacji elektronicznej</w:t>
      </w:r>
      <w:r>
        <w:rPr>
          <w:rFonts w:ascii="Times New Roman" w:hAnsi="Times New Roman" w:cs="Times New Roman"/>
        </w:rPr>
        <w:t>. Jest ona potrzeb</w:t>
      </w:r>
      <w:r w:rsidR="00D03885">
        <w:rPr>
          <w:rFonts w:ascii="Times New Roman" w:hAnsi="Times New Roman" w:cs="Times New Roman"/>
        </w:rPr>
        <w:t>n</w:t>
      </w:r>
      <w:r>
        <w:rPr>
          <w:rFonts w:ascii="Times New Roman" w:hAnsi="Times New Roman" w:cs="Times New Roman"/>
        </w:rPr>
        <w:t>a</w:t>
      </w:r>
      <w:r w:rsidR="002161FE">
        <w:rPr>
          <w:rFonts w:ascii="Times New Roman" w:hAnsi="Times New Roman" w:cs="Times New Roman"/>
        </w:rPr>
        <w:t xml:space="preserve"> z </w:t>
      </w:r>
      <w:r>
        <w:rPr>
          <w:rFonts w:ascii="Times New Roman" w:hAnsi="Times New Roman" w:cs="Times New Roman"/>
        </w:rPr>
        <w:t>uwagi na dodawany nowy rozdział 4a.</w:t>
      </w:r>
    </w:p>
    <w:p w14:paraId="600B4FE1" w14:textId="77777777" w:rsidR="00EE659B" w:rsidRPr="0024375B" w:rsidRDefault="00356F6A" w:rsidP="0024375B">
      <w:pPr>
        <w:pStyle w:val="ARTartustawynprozporzdzenia"/>
        <w:rPr>
          <w:rFonts w:ascii="Times New Roman" w:hAnsi="Times New Roman" w:cs="Times New Roman"/>
        </w:rPr>
      </w:pPr>
      <w:r w:rsidRPr="0024375B">
        <w:rPr>
          <w:rFonts w:ascii="Times New Roman" w:hAnsi="Times New Roman" w:cs="Times New Roman"/>
        </w:rPr>
        <w:t>Definicja deklaracji zgodności została sformułowana analogicznie do definicji deklaracji</w:t>
      </w:r>
      <w:r w:rsidR="002161FE">
        <w:rPr>
          <w:rFonts w:ascii="Times New Roman" w:hAnsi="Times New Roman" w:cs="Times New Roman"/>
        </w:rPr>
        <w:t xml:space="preserve"> z </w:t>
      </w:r>
      <w:r w:rsidRPr="0024375B">
        <w:rPr>
          <w:rFonts w:ascii="Times New Roman" w:hAnsi="Times New Roman" w:cs="Times New Roman"/>
        </w:rPr>
        <w:t>ustawy</w:t>
      </w:r>
      <w:r w:rsidR="0077165A">
        <w:rPr>
          <w:rFonts w:ascii="Times New Roman" w:hAnsi="Times New Roman" w:cs="Times New Roman"/>
        </w:rPr>
        <w:t xml:space="preserve"> o </w:t>
      </w:r>
      <w:r w:rsidRPr="0024375B">
        <w:rPr>
          <w:rFonts w:ascii="Times New Roman" w:hAnsi="Times New Roman" w:cs="Times New Roman"/>
        </w:rPr>
        <w:t>systemach oceny zgodności</w:t>
      </w:r>
      <w:r w:rsidR="002161FE">
        <w:rPr>
          <w:rFonts w:ascii="Times New Roman" w:hAnsi="Times New Roman" w:cs="Times New Roman"/>
        </w:rPr>
        <w:t xml:space="preserve"> i </w:t>
      </w:r>
      <w:r w:rsidRPr="0024375B">
        <w:rPr>
          <w:rFonts w:ascii="Times New Roman" w:hAnsi="Times New Roman" w:cs="Times New Roman"/>
        </w:rPr>
        <w:t>nadzoru rynku</w:t>
      </w:r>
      <w:r w:rsidRPr="0024375B">
        <w:t>.</w:t>
      </w:r>
    </w:p>
    <w:p w14:paraId="2D045C42" w14:textId="77777777" w:rsidR="00A850FF" w:rsidRPr="0024375B" w:rsidRDefault="00A850FF" w:rsidP="0024375B">
      <w:pPr>
        <w:pStyle w:val="ARTartustawynprozporzdzenia"/>
      </w:pPr>
      <w:r w:rsidRPr="0024375B">
        <w:lastRenderedPageBreak/>
        <w:t>Nowością jest definicja dostawcy – tutaj projekt odwołuje się do</w:t>
      </w:r>
      <w:r w:rsidR="00EA1900">
        <w:t xml:space="preserve"> art. </w:t>
      </w:r>
      <w:r w:rsidRPr="0024375B">
        <w:t>2 pkt 3</w:t>
      </w:r>
      <w:r w:rsidR="00D03885">
        <w:t>–</w:t>
      </w:r>
      <w:r w:rsidRPr="0024375B">
        <w:t xml:space="preserve">6 rozporządzenia 765/2008. </w:t>
      </w:r>
      <w:r w:rsidR="000A01B8" w:rsidRPr="0024375B">
        <w:t>Dostawcą jest</w:t>
      </w:r>
      <w:r w:rsidR="001B110A" w:rsidRPr="0024375B">
        <w:t>:</w:t>
      </w:r>
    </w:p>
    <w:p w14:paraId="1B540A93" w14:textId="77777777" w:rsidR="00A850FF" w:rsidRPr="0024375B" w:rsidRDefault="00A850FF" w:rsidP="0024375B">
      <w:pPr>
        <w:pStyle w:val="ARTartustawynprozporzdzenia"/>
        <w:numPr>
          <w:ilvl w:val="0"/>
          <w:numId w:val="61"/>
        </w:numPr>
      </w:pPr>
      <w:r w:rsidRPr="0024375B">
        <w:t>producent - każda osoba fizyczna lub prawna, która wytwarza produkt lub która zleca zaprojektowanie lub wytworzenie produktu</w:t>
      </w:r>
      <w:r w:rsidR="002161FE">
        <w:t xml:space="preserve"> i </w:t>
      </w:r>
      <w:r w:rsidRPr="0024375B">
        <w:t>oferuje ten produkt pod własną nazwą lub znakiem towarowym;</w:t>
      </w:r>
    </w:p>
    <w:p w14:paraId="02265E88" w14:textId="77777777" w:rsidR="00A850FF" w:rsidRPr="0024375B" w:rsidRDefault="00A850FF" w:rsidP="0024375B">
      <w:pPr>
        <w:pStyle w:val="ARTartustawynprozporzdzenia"/>
        <w:numPr>
          <w:ilvl w:val="0"/>
          <w:numId w:val="61"/>
        </w:numPr>
      </w:pPr>
      <w:r w:rsidRPr="0024375B">
        <w:t>upoważniony przedstawiciel - osoba fizyczna lub prawna mająca siedzibę</w:t>
      </w:r>
      <w:r w:rsidR="00EA1900">
        <w:t xml:space="preserve"> w </w:t>
      </w:r>
      <w:r w:rsidRPr="0024375B">
        <w:t>Unii Europejskiej, posiadająca pisemne pełnomocnictwo od producenta do występowania</w:t>
      </w:r>
      <w:r w:rsidR="00EA1900">
        <w:t xml:space="preserve"> w </w:t>
      </w:r>
      <w:r w:rsidRPr="0024375B">
        <w:t>jego imieniu</w:t>
      </w:r>
      <w:r w:rsidR="00EA1900">
        <w:t xml:space="preserve"> w </w:t>
      </w:r>
      <w:r w:rsidRPr="0024375B">
        <w:t>zakresie określonych zadań</w:t>
      </w:r>
      <w:r w:rsidR="00EA1900">
        <w:t xml:space="preserve"> w </w:t>
      </w:r>
      <w:r w:rsidRPr="0024375B">
        <w:t>odniesieniu do obowiązków producentów wynikających</w:t>
      </w:r>
      <w:r w:rsidR="002161FE">
        <w:t xml:space="preserve"> z </w:t>
      </w:r>
      <w:r w:rsidRPr="0024375B">
        <w:t>odpowiedniego prawodawstwa wspólnotowego;</w:t>
      </w:r>
    </w:p>
    <w:p w14:paraId="15053291" w14:textId="77777777" w:rsidR="00A850FF" w:rsidRPr="0024375B" w:rsidRDefault="00A850FF" w:rsidP="0024375B">
      <w:pPr>
        <w:pStyle w:val="ARTartustawynprozporzdzenia"/>
        <w:numPr>
          <w:ilvl w:val="0"/>
          <w:numId w:val="61"/>
        </w:numPr>
      </w:pPr>
      <w:r w:rsidRPr="0024375B">
        <w:t>importer - każda osoba fizyczna lub prawna, mająca siedzibę</w:t>
      </w:r>
      <w:r w:rsidR="00EA1900">
        <w:t xml:space="preserve"> w </w:t>
      </w:r>
      <w:r w:rsidRPr="0024375B">
        <w:t>Unii Europejskiej, wprowadzająca na rynek wspólnotowy produkt</w:t>
      </w:r>
      <w:r w:rsidR="002161FE">
        <w:t xml:space="preserve"> z </w:t>
      </w:r>
      <w:r w:rsidRPr="0024375B">
        <w:t>kraju trzeciego</w:t>
      </w:r>
      <w:r w:rsidR="004A3A0C" w:rsidRPr="0024375B">
        <w:t>;</w:t>
      </w:r>
    </w:p>
    <w:p w14:paraId="0371B023" w14:textId="77777777" w:rsidR="00A850FF" w:rsidRPr="0024375B" w:rsidRDefault="00A850FF" w:rsidP="0024375B">
      <w:pPr>
        <w:pStyle w:val="ARTartustawynprozporzdzenia"/>
        <w:ind w:left="1230" w:firstLine="0"/>
      </w:pPr>
      <w:r w:rsidRPr="0024375B">
        <w:t>lub</w:t>
      </w:r>
    </w:p>
    <w:p w14:paraId="3B7ECF76" w14:textId="77777777" w:rsidR="000C2F09" w:rsidRPr="0024375B" w:rsidRDefault="00A850FF" w:rsidP="0024375B">
      <w:pPr>
        <w:pStyle w:val="ARTartustawynprozporzdzenia"/>
        <w:numPr>
          <w:ilvl w:val="0"/>
          <w:numId w:val="61"/>
        </w:numPr>
      </w:pPr>
      <w:r w:rsidRPr="0024375B">
        <w:t>dystrybutor - każda osoba fizyczna lub prawna</w:t>
      </w:r>
      <w:r w:rsidR="00EA1900">
        <w:t xml:space="preserve"> w </w:t>
      </w:r>
      <w:r w:rsidRPr="0024375B">
        <w:t>łańcuchu dostaw, inna niż producent lub importer, która udostępnia produkt na rynku</w:t>
      </w:r>
      <w:r w:rsidR="0087130F">
        <w:t>.</w:t>
      </w:r>
      <w:r w:rsidRPr="0024375B">
        <w:t xml:space="preserve"> </w:t>
      </w:r>
    </w:p>
    <w:p w14:paraId="0AE9A3CF" w14:textId="77777777" w:rsidR="004A3A0C" w:rsidRPr="0024375B" w:rsidRDefault="2A9106DF" w:rsidP="0024375B">
      <w:pPr>
        <w:pStyle w:val="NIEARTTEKSTtekstnieartykuowanynppodstprawnarozplubpreambua"/>
        <w:ind w:firstLine="0"/>
        <w:rPr>
          <w:rFonts w:ascii="Times New Roman" w:hAnsi="Times New Roman" w:cs="Times New Roman"/>
        </w:rPr>
      </w:pPr>
      <w:r w:rsidRPr="0024375B">
        <w:rPr>
          <w:rFonts w:ascii="Times New Roman" w:hAnsi="Times New Roman" w:cs="Times New Roman"/>
        </w:rPr>
        <w:t xml:space="preserve">Definicja </w:t>
      </w:r>
      <w:r w:rsidR="00481DA6" w:rsidRPr="0024375B">
        <w:rPr>
          <w:rFonts w:ascii="Times New Roman" w:hAnsi="Times New Roman" w:cs="Times New Roman"/>
        </w:rPr>
        <w:t>jest wprowadzana</w:t>
      </w:r>
      <w:r w:rsidR="00EA1900">
        <w:rPr>
          <w:rFonts w:ascii="Times New Roman" w:hAnsi="Times New Roman" w:cs="Times New Roman"/>
        </w:rPr>
        <w:t xml:space="preserve"> w </w:t>
      </w:r>
      <w:r w:rsidR="00481DA6" w:rsidRPr="0024375B">
        <w:rPr>
          <w:rFonts w:ascii="Times New Roman" w:hAnsi="Times New Roman" w:cs="Times New Roman"/>
        </w:rPr>
        <w:t>związku</w:t>
      </w:r>
      <w:r w:rsidR="002161FE">
        <w:rPr>
          <w:rFonts w:ascii="Times New Roman" w:hAnsi="Times New Roman" w:cs="Times New Roman"/>
        </w:rPr>
        <w:t xml:space="preserve"> z </w:t>
      </w:r>
      <w:r w:rsidR="00481DA6" w:rsidRPr="0024375B">
        <w:rPr>
          <w:rFonts w:ascii="Times New Roman" w:hAnsi="Times New Roman" w:cs="Times New Roman"/>
        </w:rPr>
        <w:t>przepisami dotyczącymi</w:t>
      </w:r>
      <w:r w:rsidRPr="0024375B">
        <w:rPr>
          <w:rFonts w:ascii="Times New Roman" w:hAnsi="Times New Roman" w:cs="Times New Roman"/>
        </w:rPr>
        <w:t xml:space="preserve"> krajowego systemu certyfikacji cyberbezpieczeństwa</w:t>
      </w:r>
      <w:r w:rsidR="00481DA6" w:rsidRPr="0024375B">
        <w:rPr>
          <w:rFonts w:ascii="Times New Roman" w:hAnsi="Times New Roman" w:cs="Times New Roman"/>
        </w:rPr>
        <w:t>,</w:t>
      </w:r>
      <w:r w:rsidR="002161FE">
        <w:rPr>
          <w:rFonts w:ascii="Times New Roman" w:hAnsi="Times New Roman" w:cs="Times New Roman"/>
        </w:rPr>
        <w:t xml:space="preserve"> a </w:t>
      </w:r>
      <w:r w:rsidR="00481DA6" w:rsidRPr="0024375B">
        <w:rPr>
          <w:rFonts w:ascii="Times New Roman" w:hAnsi="Times New Roman" w:cs="Times New Roman"/>
        </w:rPr>
        <w:t>także przepisami odnoszącymi się do</w:t>
      </w:r>
      <w:r w:rsidRPr="0024375B">
        <w:rPr>
          <w:rFonts w:ascii="Times New Roman" w:hAnsi="Times New Roman" w:cs="Times New Roman"/>
        </w:rPr>
        <w:t xml:space="preserve"> postępowania</w:t>
      </w:r>
      <w:r w:rsidR="00EA1900">
        <w:rPr>
          <w:rFonts w:ascii="Times New Roman" w:hAnsi="Times New Roman" w:cs="Times New Roman"/>
        </w:rPr>
        <w:t xml:space="preserve"> w </w:t>
      </w:r>
      <w:r w:rsidRPr="0024375B">
        <w:rPr>
          <w:rFonts w:ascii="Times New Roman" w:hAnsi="Times New Roman" w:cs="Times New Roman"/>
        </w:rPr>
        <w:t>sprawie uznania za dostawcę wysokiego ryzyka.</w:t>
      </w:r>
    </w:p>
    <w:p w14:paraId="403DE9AE" w14:textId="77777777" w:rsidR="00EE659B" w:rsidRPr="0024375B" w:rsidRDefault="00481DA6" w:rsidP="0024375B">
      <w:pPr>
        <w:pStyle w:val="ARTartustawynprozporzdzenia"/>
      </w:pPr>
      <w:r w:rsidRPr="0024375B">
        <w:t xml:space="preserve">Dostosowaniu do zmiany wynikającej ze zmiany brzmienia definicji cyberbezpieczeństwa ulega definicja </w:t>
      </w:r>
      <w:r w:rsidR="004A3A0C" w:rsidRPr="0024375B">
        <w:t>incydentu</w:t>
      </w:r>
      <w:r w:rsidR="00E421B5">
        <w:t xml:space="preserve"> (pkt 16)</w:t>
      </w:r>
      <w:r w:rsidRPr="0024375B">
        <w:t xml:space="preserve"> </w:t>
      </w:r>
      <w:r w:rsidR="004A3A0C" w:rsidRPr="0024375B">
        <w:t>–</w:t>
      </w:r>
      <w:r w:rsidR="00EA1900">
        <w:t xml:space="preserve"> w </w:t>
      </w:r>
      <w:r w:rsidRPr="0024375B">
        <w:t>miejsce</w:t>
      </w:r>
      <w:r w:rsidR="004A3A0C" w:rsidRPr="0024375B">
        <w:t xml:space="preserve"> </w:t>
      </w:r>
      <w:r w:rsidR="009B4BF7" w:rsidRPr="0024375B">
        <w:t>wyraz</w:t>
      </w:r>
      <w:r w:rsidRPr="0024375B">
        <w:t>u</w:t>
      </w:r>
      <w:r w:rsidR="009B4BF7" w:rsidRPr="0024375B">
        <w:t xml:space="preserve"> </w:t>
      </w:r>
      <w:r w:rsidR="004A3A0C" w:rsidRPr="0024375B">
        <w:t xml:space="preserve">„cyberbezpieczeństwo” </w:t>
      </w:r>
      <w:r w:rsidRPr="0024375B">
        <w:t>wprowadzane są</w:t>
      </w:r>
      <w:r w:rsidR="004A3A0C" w:rsidRPr="0024375B">
        <w:t xml:space="preserve"> </w:t>
      </w:r>
      <w:r w:rsidR="009B4BF7" w:rsidRPr="0024375B">
        <w:t xml:space="preserve">wyrazy </w:t>
      </w:r>
      <w:r w:rsidR="004A3A0C" w:rsidRPr="0024375B">
        <w:t>„bezpieczeństwo systemów informacyjnych”.</w:t>
      </w:r>
    </w:p>
    <w:p w14:paraId="223A9BDE" w14:textId="77777777" w:rsidR="001B110A" w:rsidRDefault="00F70734" w:rsidP="0024375B">
      <w:pPr>
        <w:pStyle w:val="ARTartustawynprozporzdzenia"/>
        <w:rPr>
          <w:rFonts w:eastAsia="Times New Roman" w:cs="Times New Roman"/>
          <w:color w:val="000000" w:themeColor="text1"/>
          <w:szCs w:val="24"/>
        </w:rPr>
      </w:pPr>
      <w:r w:rsidRPr="0024375B">
        <w:rPr>
          <w:rFonts w:eastAsia="Times New Roman" w:cs="Times New Roman"/>
          <w:color w:val="000000" w:themeColor="text1"/>
          <w:szCs w:val="24"/>
        </w:rPr>
        <w:t>Wobec zmiany zakresu przedmiotowego ustawy, konieczne stało się z</w:t>
      </w:r>
      <w:r w:rsidR="00EE659B" w:rsidRPr="0024375B">
        <w:rPr>
          <w:rFonts w:eastAsia="Times New Roman" w:cs="Times New Roman"/>
          <w:color w:val="000000" w:themeColor="text1"/>
          <w:szCs w:val="24"/>
        </w:rPr>
        <w:t>definiowan</w:t>
      </w:r>
      <w:r w:rsidRPr="0024375B">
        <w:rPr>
          <w:rFonts w:eastAsia="Times New Roman" w:cs="Times New Roman"/>
          <w:color w:val="000000" w:themeColor="text1"/>
          <w:szCs w:val="24"/>
        </w:rPr>
        <w:t>ie</w:t>
      </w:r>
      <w:r w:rsidR="00EE659B" w:rsidRPr="0024375B">
        <w:rPr>
          <w:rFonts w:eastAsia="Times New Roman" w:cs="Times New Roman"/>
          <w:color w:val="000000" w:themeColor="text1"/>
          <w:szCs w:val="24"/>
        </w:rPr>
        <w:t xml:space="preserve"> </w:t>
      </w:r>
      <w:r w:rsidRPr="0024375B">
        <w:rPr>
          <w:rFonts w:eastAsia="Times New Roman" w:cs="Times New Roman"/>
          <w:color w:val="000000" w:themeColor="text1"/>
          <w:szCs w:val="24"/>
        </w:rPr>
        <w:t xml:space="preserve">nowego </w:t>
      </w:r>
      <w:r w:rsidR="00EE659B" w:rsidRPr="0024375B">
        <w:rPr>
          <w:rFonts w:eastAsia="Times New Roman" w:cs="Times New Roman"/>
          <w:color w:val="000000" w:themeColor="text1"/>
          <w:szCs w:val="24"/>
        </w:rPr>
        <w:t>rodzaj</w:t>
      </w:r>
      <w:r w:rsidRPr="0024375B">
        <w:rPr>
          <w:rFonts w:eastAsia="Times New Roman" w:cs="Times New Roman"/>
          <w:color w:val="000000" w:themeColor="text1"/>
          <w:szCs w:val="24"/>
        </w:rPr>
        <w:t>u</w:t>
      </w:r>
      <w:r w:rsidR="00EE659B" w:rsidRPr="0024375B">
        <w:rPr>
          <w:rFonts w:eastAsia="Times New Roman" w:cs="Times New Roman"/>
          <w:color w:val="000000" w:themeColor="text1"/>
          <w:szCs w:val="24"/>
        </w:rPr>
        <w:t xml:space="preserve"> incydentu, czyli incydentu telekomunikacyjnego</w:t>
      </w:r>
      <w:r w:rsidR="00E421B5">
        <w:rPr>
          <w:rFonts w:eastAsia="Times New Roman" w:cs="Times New Roman"/>
          <w:color w:val="000000" w:themeColor="text1"/>
          <w:szCs w:val="24"/>
        </w:rPr>
        <w:t xml:space="preserve"> (pkt 20)</w:t>
      </w:r>
      <w:r w:rsidR="00EE659B" w:rsidRPr="0024375B">
        <w:rPr>
          <w:rFonts w:eastAsia="Times New Roman" w:cs="Times New Roman"/>
          <w:color w:val="000000" w:themeColor="text1"/>
          <w:szCs w:val="24"/>
        </w:rPr>
        <w:t>. Jest to każde zdarzenie, które ma rzeczywisty</w:t>
      </w:r>
      <w:r w:rsidRPr="0024375B">
        <w:rPr>
          <w:rFonts w:eastAsia="Times New Roman" w:cs="Times New Roman"/>
          <w:color w:val="000000" w:themeColor="text1"/>
          <w:szCs w:val="24"/>
        </w:rPr>
        <w:t>,</w:t>
      </w:r>
      <w:r w:rsidR="00EE659B" w:rsidRPr="0024375B">
        <w:rPr>
          <w:rFonts w:eastAsia="Times New Roman" w:cs="Times New Roman"/>
          <w:color w:val="000000" w:themeColor="text1"/>
          <w:szCs w:val="24"/>
        </w:rPr>
        <w:t xml:space="preserve"> niekorzystny skutek dla bezpieczeństwa sieci </w:t>
      </w:r>
      <w:r w:rsidR="008C5815" w:rsidRPr="0024375B">
        <w:rPr>
          <w:rFonts w:eastAsia="Times New Roman" w:cs="Times New Roman"/>
          <w:color w:val="000000" w:themeColor="text1"/>
          <w:szCs w:val="24"/>
        </w:rPr>
        <w:t xml:space="preserve">lub usług </w:t>
      </w:r>
      <w:r w:rsidR="00EE659B" w:rsidRPr="0024375B">
        <w:rPr>
          <w:rFonts w:eastAsia="Times New Roman" w:cs="Times New Roman"/>
          <w:color w:val="000000" w:themeColor="text1"/>
          <w:szCs w:val="24"/>
        </w:rPr>
        <w:t>komunikacji elektronicznej. Definicja ta nawiązuje do</w:t>
      </w:r>
      <w:r w:rsidR="00EA1900">
        <w:rPr>
          <w:rFonts w:eastAsia="Times New Roman" w:cs="Times New Roman"/>
          <w:color w:val="000000" w:themeColor="text1"/>
          <w:szCs w:val="24"/>
        </w:rPr>
        <w:t xml:space="preserve"> art. </w:t>
      </w:r>
      <w:r w:rsidR="00EE659B" w:rsidRPr="0024375B">
        <w:rPr>
          <w:rFonts w:eastAsia="Times New Roman" w:cs="Times New Roman"/>
          <w:color w:val="000000" w:themeColor="text1"/>
          <w:szCs w:val="24"/>
        </w:rPr>
        <w:t xml:space="preserve">2 pkt 42 EKŁE. </w:t>
      </w:r>
      <w:r w:rsidR="007D2825" w:rsidRPr="0024375B">
        <w:rPr>
          <w:rFonts w:eastAsia="Times New Roman" w:cs="Times New Roman"/>
          <w:color w:val="000000" w:themeColor="text1"/>
          <w:szCs w:val="24"/>
        </w:rPr>
        <w:t>Jednocześnie</w:t>
      </w:r>
      <w:r w:rsidR="00EA1900">
        <w:rPr>
          <w:rFonts w:eastAsia="Times New Roman" w:cs="Times New Roman"/>
          <w:color w:val="000000" w:themeColor="text1"/>
          <w:szCs w:val="24"/>
        </w:rPr>
        <w:t xml:space="preserve"> w </w:t>
      </w:r>
      <w:r w:rsidR="00EE659B" w:rsidRPr="0024375B">
        <w:rPr>
          <w:rFonts w:eastAsia="Times New Roman" w:cs="Times New Roman"/>
          <w:color w:val="000000" w:themeColor="text1"/>
          <w:szCs w:val="24"/>
        </w:rPr>
        <w:t>definicji incydentu krytycznego</w:t>
      </w:r>
      <w:r w:rsidR="00E421B5">
        <w:rPr>
          <w:rFonts w:eastAsia="Times New Roman" w:cs="Times New Roman"/>
          <w:color w:val="000000" w:themeColor="text1"/>
          <w:szCs w:val="24"/>
        </w:rPr>
        <w:t xml:space="preserve"> (pkt 17)</w:t>
      </w:r>
      <w:r w:rsidR="00EE659B" w:rsidRPr="0024375B">
        <w:rPr>
          <w:rFonts w:eastAsia="Times New Roman" w:cs="Times New Roman"/>
          <w:color w:val="000000" w:themeColor="text1"/>
          <w:szCs w:val="24"/>
        </w:rPr>
        <w:t xml:space="preserve"> uwzględniono, że </w:t>
      </w:r>
      <w:r w:rsidR="007D2825" w:rsidRPr="0024375B">
        <w:rPr>
          <w:rFonts w:eastAsia="Times New Roman" w:cs="Times New Roman"/>
          <w:color w:val="000000" w:themeColor="text1"/>
          <w:szCs w:val="24"/>
        </w:rPr>
        <w:t xml:space="preserve">incydentem krytycznym </w:t>
      </w:r>
      <w:r w:rsidR="00EE659B" w:rsidRPr="0024375B">
        <w:rPr>
          <w:rFonts w:eastAsia="Times New Roman" w:cs="Times New Roman"/>
          <w:color w:val="000000" w:themeColor="text1"/>
          <w:szCs w:val="24"/>
        </w:rPr>
        <w:t>może być również incydent telekomunikacyjny.</w:t>
      </w:r>
    </w:p>
    <w:p w14:paraId="3D7A5D74" w14:textId="56888F84" w:rsidR="002D67A6" w:rsidRDefault="002D67A6" w:rsidP="0024375B">
      <w:pPr>
        <w:pStyle w:val="ARTartustawynprozporzdzenia"/>
        <w:rPr>
          <w:rFonts w:eastAsia="Times New Roman" w:cs="Times New Roman"/>
          <w:color w:val="000000" w:themeColor="text1"/>
          <w:szCs w:val="24"/>
        </w:rPr>
      </w:pPr>
      <w:r>
        <w:rPr>
          <w:rFonts w:eastAsia="Times New Roman" w:cs="Times New Roman"/>
          <w:color w:val="000000" w:themeColor="text1"/>
          <w:szCs w:val="24"/>
        </w:rPr>
        <w:t>Incydent telekomunikacyjny jest zdarzeniem ściśle związanym</w:t>
      </w:r>
      <w:r w:rsidR="002161FE">
        <w:rPr>
          <w:rFonts w:eastAsia="Times New Roman" w:cs="Times New Roman"/>
          <w:color w:val="000000" w:themeColor="text1"/>
          <w:szCs w:val="24"/>
        </w:rPr>
        <w:t xml:space="preserve"> z </w:t>
      </w:r>
      <w:r>
        <w:rPr>
          <w:rFonts w:eastAsia="Times New Roman" w:cs="Times New Roman"/>
          <w:color w:val="000000" w:themeColor="text1"/>
          <w:szCs w:val="24"/>
        </w:rPr>
        <w:t>przedsiębiorcami komunikacji elektronicznej. Jego wyodrębnienie obok „incydentu” wynika</w:t>
      </w:r>
      <w:r w:rsidR="002161FE">
        <w:rPr>
          <w:rFonts w:eastAsia="Times New Roman" w:cs="Times New Roman"/>
          <w:color w:val="000000" w:themeColor="text1"/>
          <w:szCs w:val="24"/>
        </w:rPr>
        <w:t xml:space="preserve"> z </w:t>
      </w:r>
      <w:r>
        <w:rPr>
          <w:rFonts w:eastAsia="Times New Roman" w:cs="Times New Roman"/>
          <w:color w:val="000000" w:themeColor="text1"/>
          <w:szCs w:val="24"/>
        </w:rPr>
        <w:t>konieczności implementacji EKŁE. Akt ten inaczej definiuje incydent telekomunikacyjny niż dyrektywa NIS. Odnosi się bowiem do pojęcia bezpieczeństwa sieci lub usług komunikacji elektronicznej, tymczasem</w:t>
      </w:r>
      <w:r w:rsidR="00EA1900">
        <w:rPr>
          <w:rFonts w:eastAsia="Times New Roman" w:cs="Times New Roman"/>
          <w:color w:val="000000" w:themeColor="text1"/>
          <w:szCs w:val="24"/>
        </w:rPr>
        <w:t xml:space="preserve"> w </w:t>
      </w:r>
      <w:r>
        <w:rPr>
          <w:rFonts w:eastAsia="Times New Roman" w:cs="Times New Roman"/>
          <w:color w:val="000000" w:themeColor="text1"/>
          <w:szCs w:val="24"/>
        </w:rPr>
        <w:t>dyrektywie NIS incydent odnosi się do pojęcia bezpieczeństwa systemów informacyjnych. Incydent telekomunikacyjny wprost, pod kątem językowym, odnosi się do usług komunikacji elektronicznej. Stąd też, aby zapewnić pełne wdrożenie EKŁE</w:t>
      </w:r>
      <w:r w:rsidR="00EA1900">
        <w:rPr>
          <w:rFonts w:eastAsia="Times New Roman" w:cs="Times New Roman"/>
          <w:color w:val="000000" w:themeColor="text1"/>
          <w:szCs w:val="24"/>
        </w:rPr>
        <w:t xml:space="preserve"> w </w:t>
      </w:r>
      <w:r>
        <w:rPr>
          <w:rFonts w:eastAsia="Times New Roman" w:cs="Times New Roman"/>
          <w:color w:val="000000" w:themeColor="text1"/>
          <w:szCs w:val="24"/>
        </w:rPr>
        <w:t xml:space="preserve">tym zakresie, wprowadzono definicję incydentu telekomunikacyjnego. Wszędzie tam, gdzie przepisy </w:t>
      </w:r>
      <w:r>
        <w:rPr>
          <w:rFonts w:eastAsia="Times New Roman" w:cs="Times New Roman"/>
          <w:color w:val="000000" w:themeColor="text1"/>
          <w:szCs w:val="24"/>
        </w:rPr>
        <w:lastRenderedPageBreak/>
        <w:t xml:space="preserve">odnoszą się </w:t>
      </w:r>
      <w:r w:rsidR="00F82D6F">
        <w:rPr>
          <w:rFonts w:eastAsia="Times New Roman" w:cs="Times New Roman"/>
          <w:color w:val="000000" w:themeColor="text1"/>
          <w:szCs w:val="24"/>
        </w:rPr>
        <w:t xml:space="preserve">do </w:t>
      </w:r>
      <w:r>
        <w:rPr>
          <w:rFonts w:eastAsia="Times New Roman" w:cs="Times New Roman"/>
          <w:color w:val="000000" w:themeColor="text1"/>
          <w:szCs w:val="24"/>
        </w:rPr>
        <w:t>przedsiębiorców komunikacji elektronicznej, projekt odnosi się do pojęcia incydentu telekomunikacyjnego. Dzieje się tak nie tylko przy rozdziale 4a, ale np. przy</w:t>
      </w:r>
      <w:r w:rsidR="00EA1900">
        <w:rPr>
          <w:rFonts w:eastAsia="Times New Roman" w:cs="Times New Roman"/>
          <w:color w:val="000000" w:themeColor="text1"/>
          <w:szCs w:val="24"/>
        </w:rPr>
        <w:t xml:space="preserve"> art. </w:t>
      </w:r>
      <w:r>
        <w:rPr>
          <w:rFonts w:eastAsia="Times New Roman" w:cs="Times New Roman"/>
          <w:color w:val="000000" w:themeColor="text1"/>
          <w:szCs w:val="24"/>
        </w:rPr>
        <w:t>26 dot. właściwości</w:t>
      </w:r>
      <w:r w:rsidR="002161FE">
        <w:rPr>
          <w:rFonts w:eastAsia="Times New Roman" w:cs="Times New Roman"/>
          <w:color w:val="000000" w:themeColor="text1"/>
          <w:szCs w:val="24"/>
        </w:rPr>
        <w:t xml:space="preserve"> i </w:t>
      </w:r>
      <w:r>
        <w:rPr>
          <w:rFonts w:eastAsia="Times New Roman" w:cs="Times New Roman"/>
          <w:color w:val="000000" w:themeColor="text1"/>
          <w:szCs w:val="24"/>
        </w:rPr>
        <w:t>kompetencji zespołów CSIRT poziomu krajowego</w:t>
      </w:r>
      <w:r w:rsidR="001E300D">
        <w:rPr>
          <w:rFonts w:eastAsia="Times New Roman" w:cs="Times New Roman"/>
          <w:color w:val="000000" w:themeColor="text1"/>
          <w:szCs w:val="24"/>
        </w:rPr>
        <w:t>, które będą reagować na incydenty telekomunikacyjne zgłaszane przez przedsiębiorców komunikacji elektronicznej</w:t>
      </w:r>
      <w:r>
        <w:rPr>
          <w:rFonts w:eastAsia="Times New Roman" w:cs="Times New Roman"/>
          <w:color w:val="000000" w:themeColor="text1"/>
          <w:szCs w:val="24"/>
        </w:rPr>
        <w:t xml:space="preserve">. </w:t>
      </w:r>
    </w:p>
    <w:p w14:paraId="1A6001C3" w14:textId="77777777" w:rsidR="00E421B5" w:rsidRPr="0024375B" w:rsidRDefault="00E421B5" w:rsidP="0024375B">
      <w:pPr>
        <w:pStyle w:val="ARTartustawynprozporzdzenia"/>
      </w:pPr>
      <w:r>
        <w:rPr>
          <w:rFonts w:eastAsia="Times New Roman" w:cs="Times New Roman"/>
          <w:color w:val="000000" w:themeColor="text1"/>
          <w:szCs w:val="24"/>
        </w:rPr>
        <w:t>Pozostawiono dotychczasowe definicje incydentu poważnego (pkt 18) oraz istotnego (pkt 19), oraz incydentu</w:t>
      </w:r>
      <w:r w:rsidR="00EA1900">
        <w:rPr>
          <w:rFonts w:eastAsia="Times New Roman" w:cs="Times New Roman"/>
          <w:color w:val="000000" w:themeColor="text1"/>
          <w:szCs w:val="24"/>
        </w:rPr>
        <w:t xml:space="preserve"> w </w:t>
      </w:r>
      <w:r>
        <w:rPr>
          <w:rFonts w:eastAsia="Times New Roman" w:cs="Times New Roman"/>
          <w:color w:val="000000" w:themeColor="text1"/>
          <w:szCs w:val="24"/>
        </w:rPr>
        <w:t>podmiocie publicznym (pkt 21).</w:t>
      </w:r>
    </w:p>
    <w:p w14:paraId="7030486A" w14:textId="77777777" w:rsidR="004A3A0C" w:rsidRPr="0024375B" w:rsidRDefault="004A3A0C" w:rsidP="0024375B">
      <w:pPr>
        <w:pStyle w:val="ARTartustawynprozporzdzenia"/>
        <w:ind w:firstLine="567"/>
      </w:pPr>
      <w:r w:rsidRPr="0024375B">
        <w:t xml:space="preserve">Definicja ISAC (art. 2 pkt </w:t>
      </w:r>
      <w:r w:rsidR="0057624C" w:rsidRPr="0024375B">
        <w:t>2</w:t>
      </w:r>
      <w:r w:rsidR="5828CC1B" w:rsidRPr="0024375B">
        <w:t>2</w:t>
      </w:r>
      <w:r w:rsidRPr="0024375B">
        <w:t>)</w:t>
      </w:r>
      <w:r w:rsidR="00D30D50" w:rsidRPr="0024375B">
        <w:t>,</w:t>
      </w:r>
      <w:r w:rsidRPr="0024375B">
        <w:t xml:space="preserve"> czyli centrum wymiany</w:t>
      </w:r>
      <w:r w:rsidR="002161FE">
        <w:t xml:space="preserve"> i </w:t>
      </w:r>
      <w:r w:rsidRPr="0024375B">
        <w:t>analizy informacji na temat podatności</w:t>
      </w:r>
      <w:r w:rsidR="004167DA" w:rsidRPr="0024375B">
        <w:t xml:space="preserve"> </w:t>
      </w:r>
      <w:r w:rsidRPr="0024375B">
        <w:t>cyberzagrożeń</w:t>
      </w:r>
      <w:r w:rsidR="002161FE">
        <w:t xml:space="preserve"> i </w:t>
      </w:r>
      <w:r w:rsidRPr="0024375B">
        <w:t>incydentów funkcjonujące</w:t>
      </w:r>
      <w:r w:rsidR="00EA1900">
        <w:t xml:space="preserve"> w </w:t>
      </w:r>
      <w:r w:rsidRPr="0024375B">
        <w:t>celu wspierania podmiotów krajowego systemu cyberbezpieczeństwa wprost nawiązuje do angielskiego rozwinięcia tego skrótu – Information Sharing and Analysis Center.</w:t>
      </w:r>
    </w:p>
    <w:p w14:paraId="0756FBA7" w14:textId="77777777" w:rsidR="004A3A0C" w:rsidRDefault="007B7D27" w:rsidP="0024375B">
      <w:pPr>
        <w:pStyle w:val="ARTartustawynprozporzdzenia"/>
        <w:rPr>
          <w:color w:val="000000"/>
          <w:shd w:val="clear" w:color="auto" w:fill="FFFFFF"/>
        </w:rPr>
      </w:pPr>
      <w:r w:rsidRPr="0024375B">
        <w:rPr>
          <w:color w:val="000000"/>
          <w:shd w:val="clear" w:color="auto" w:fill="FFFFFF"/>
        </w:rPr>
        <w:t xml:space="preserve">Przy definicji jednostki oceniającej zgodność </w:t>
      </w:r>
      <w:r w:rsidRPr="0024375B">
        <w:t>– projekt odwołuje się do</w:t>
      </w:r>
      <w:r w:rsidR="00EA1900">
        <w:t xml:space="preserve"> art. </w:t>
      </w:r>
      <w:r w:rsidRPr="0024375B">
        <w:t xml:space="preserve">2 pkt 13 rozporządzenia 765/2008. </w:t>
      </w:r>
      <w:r w:rsidR="00043AF7" w:rsidRPr="0024375B">
        <w:t xml:space="preserve">Jednostka oceniająca zgodność </w:t>
      </w:r>
      <w:r w:rsidR="004A3A0C" w:rsidRPr="0024375B">
        <w:rPr>
          <w:color w:val="000000"/>
          <w:shd w:val="clear" w:color="auto" w:fill="FFFFFF"/>
        </w:rPr>
        <w:t>to jednostka, która wykonuje czynności</w:t>
      </w:r>
      <w:r w:rsidR="002161FE">
        <w:rPr>
          <w:color w:val="000000"/>
          <w:shd w:val="clear" w:color="auto" w:fill="FFFFFF"/>
        </w:rPr>
        <w:t xml:space="preserve"> z </w:t>
      </w:r>
      <w:r w:rsidR="004A3A0C" w:rsidRPr="0024375B">
        <w:rPr>
          <w:color w:val="000000"/>
          <w:shd w:val="clear" w:color="auto" w:fill="FFFFFF"/>
        </w:rPr>
        <w:t>zakresu oceny zgodności,</w:t>
      </w:r>
      <w:r w:rsidR="00EA1900">
        <w:rPr>
          <w:color w:val="000000"/>
          <w:shd w:val="clear" w:color="auto" w:fill="FFFFFF"/>
        </w:rPr>
        <w:t xml:space="preserve"> w </w:t>
      </w:r>
      <w:r w:rsidR="004A3A0C" w:rsidRPr="0024375B">
        <w:rPr>
          <w:color w:val="000000"/>
          <w:shd w:val="clear" w:color="auto" w:fill="FFFFFF"/>
        </w:rPr>
        <w:t>tym wzorcowanie, badanie, certyfikację</w:t>
      </w:r>
      <w:r w:rsidR="002161FE">
        <w:rPr>
          <w:color w:val="000000"/>
          <w:shd w:val="clear" w:color="auto" w:fill="FFFFFF"/>
        </w:rPr>
        <w:t xml:space="preserve"> i </w:t>
      </w:r>
      <w:r w:rsidR="004A3A0C" w:rsidRPr="0024375B">
        <w:rPr>
          <w:color w:val="000000"/>
          <w:shd w:val="clear" w:color="auto" w:fill="FFFFFF"/>
        </w:rPr>
        <w:t>inspekcję</w:t>
      </w:r>
      <w:r w:rsidR="00E421B5">
        <w:rPr>
          <w:color w:val="000000"/>
          <w:shd w:val="clear" w:color="auto" w:fill="FFFFFF"/>
        </w:rPr>
        <w:t>.</w:t>
      </w:r>
    </w:p>
    <w:p w14:paraId="2F00F3EF" w14:textId="768D210F" w:rsidR="00E421B5" w:rsidRPr="0024375B" w:rsidRDefault="00E421B5" w:rsidP="0024375B">
      <w:pPr>
        <w:pStyle w:val="ARTartustawynprozporzdzenia"/>
      </w:pPr>
      <w:r>
        <w:rPr>
          <w:color w:val="000000"/>
          <w:shd w:val="clear" w:color="auto" w:fill="FFFFFF"/>
        </w:rPr>
        <w:t>Wprowadza się definicję komunikatu elektronicznego (pkt 24) –</w:t>
      </w:r>
      <w:r w:rsidR="00F82D6F">
        <w:rPr>
          <w:rFonts w:ascii="Times New Roman" w:hAnsi="Times New Roman" w:cs="Times New Roman"/>
        </w:rPr>
        <w:t xml:space="preserve"> </w:t>
      </w:r>
      <w:r w:rsidR="00A2500A">
        <w:rPr>
          <w:rFonts w:ascii="Times New Roman" w:hAnsi="Times New Roman" w:cs="Times New Roman"/>
        </w:rPr>
        <w:t xml:space="preserve">która </w:t>
      </w:r>
      <w:r w:rsidR="00F82D6F">
        <w:rPr>
          <w:rFonts w:ascii="Times New Roman" w:hAnsi="Times New Roman" w:cs="Times New Roman"/>
        </w:rPr>
        <w:t>odsyła</w:t>
      </w:r>
      <w:r w:rsidR="00A2500A">
        <w:rPr>
          <w:rFonts w:ascii="Times New Roman" w:hAnsi="Times New Roman" w:cs="Times New Roman"/>
        </w:rPr>
        <w:t xml:space="preserve"> </w:t>
      </w:r>
      <w:r w:rsidR="00871EBF">
        <w:rPr>
          <w:rFonts w:ascii="Times New Roman" w:hAnsi="Times New Roman" w:cs="Times New Roman"/>
        </w:rPr>
        <w:t>do definicji z art. 2 pkt 19 Prawa komunikacji elektronicznej</w:t>
      </w:r>
      <w:r>
        <w:rPr>
          <w:color w:val="000000"/>
          <w:shd w:val="clear" w:color="auto" w:fill="FFFFFF"/>
        </w:rPr>
        <w:t xml:space="preserve"> jest to </w:t>
      </w:r>
      <w:r w:rsidRPr="00E421B5">
        <w:rPr>
          <w:color w:val="000000"/>
          <w:shd w:val="clear" w:color="auto" w:fill="FFFFFF"/>
        </w:rPr>
        <w:t>każd</w:t>
      </w:r>
      <w:r>
        <w:rPr>
          <w:color w:val="000000"/>
          <w:shd w:val="clear" w:color="auto" w:fill="FFFFFF"/>
        </w:rPr>
        <w:t>a informacja wymieniana lub przekazywana</w:t>
      </w:r>
      <w:r w:rsidRPr="00E421B5">
        <w:rPr>
          <w:color w:val="000000"/>
          <w:shd w:val="clear" w:color="auto" w:fill="FFFFFF"/>
        </w:rPr>
        <w:t xml:space="preserve"> między określonymi użytkownikami za pośrednictwem publicznie dostępnych u</w:t>
      </w:r>
      <w:r>
        <w:rPr>
          <w:color w:val="000000"/>
          <w:shd w:val="clear" w:color="auto" w:fill="FFFFFF"/>
        </w:rPr>
        <w:t>sług komunikacji elektronicznej. Definicja ta nie obejmuje i</w:t>
      </w:r>
      <w:r w:rsidRPr="00E421B5">
        <w:rPr>
          <w:color w:val="000000"/>
          <w:shd w:val="clear" w:color="auto" w:fill="FFFFFF"/>
        </w:rPr>
        <w:t>nformacji przekazanej jako część transmisji radiofonicznych lub telewizyjnych transmitowanych poprzez sieć telekomunikacyjną,</w:t>
      </w:r>
      <w:r w:rsidR="002161FE">
        <w:rPr>
          <w:color w:val="000000"/>
          <w:shd w:val="clear" w:color="auto" w:fill="FFFFFF"/>
        </w:rPr>
        <w:t xml:space="preserve"> z </w:t>
      </w:r>
      <w:r w:rsidRPr="00E421B5">
        <w:rPr>
          <w:color w:val="000000"/>
          <w:shd w:val="clear" w:color="auto" w:fill="FFFFFF"/>
        </w:rPr>
        <w:t>wyjątkiem informacji odnoszącej się do możliwego do zidentyfikowania użytkownika otrzymującego informację</w:t>
      </w:r>
      <w:r>
        <w:rPr>
          <w:color w:val="000000"/>
          <w:shd w:val="clear" w:color="auto" w:fill="FFFFFF"/>
        </w:rPr>
        <w:t>. Definicja ta jest potrzebna</w:t>
      </w:r>
      <w:r w:rsidR="002161FE">
        <w:rPr>
          <w:color w:val="000000"/>
          <w:shd w:val="clear" w:color="auto" w:fill="FFFFFF"/>
        </w:rPr>
        <w:t xml:space="preserve"> z </w:t>
      </w:r>
      <w:r>
        <w:rPr>
          <w:color w:val="000000"/>
          <w:shd w:val="clear" w:color="auto" w:fill="FFFFFF"/>
        </w:rPr>
        <w:t>uwagi na uprawnienie przedsiębiorców telekomunikacyjnych do blokowania komunikatów elektronicznych stwarzających zagrożenie dla bezpieczeństwa sieci</w:t>
      </w:r>
      <w:r w:rsidR="002161FE">
        <w:rPr>
          <w:color w:val="000000"/>
          <w:shd w:val="clear" w:color="auto" w:fill="FFFFFF"/>
        </w:rPr>
        <w:t xml:space="preserve"> i </w:t>
      </w:r>
      <w:r>
        <w:rPr>
          <w:color w:val="000000"/>
          <w:shd w:val="clear" w:color="auto" w:fill="FFFFFF"/>
        </w:rPr>
        <w:t>usług komunikacji elektronicznej.</w:t>
      </w:r>
    </w:p>
    <w:p w14:paraId="529AEF7D" w14:textId="083C4DF5" w:rsidR="007B7D27" w:rsidRPr="0024375B" w:rsidRDefault="007B7D27" w:rsidP="0024375B">
      <w:pPr>
        <w:pStyle w:val="ARTartustawynprozporzdzenia"/>
        <w:spacing w:before="240"/>
        <w:ind w:firstLine="567"/>
        <w:rPr>
          <w:rFonts w:ascii="Times New Roman" w:hAnsi="Times New Roman" w:cs="Times New Roman"/>
          <w:color w:val="000000"/>
          <w:shd w:val="clear" w:color="auto" w:fill="FFFFFF"/>
        </w:rPr>
      </w:pPr>
      <w:r w:rsidRPr="0024375B">
        <w:rPr>
          <w:rFonts w:ascii="Times New Roman" w:hAnsi="Times New Roman" w:cs="Times New Roman"/>
        </w:rPr>
        <w:t xml:space="preserve">Wprowadzone zostały pojęcia produktu ICT (art. 2 pkt </w:t>
      </w:r>
      <w:r w:rsidR="006B51E4" w:rsidRPr="0024375B">
        <w:rPr>
          <w:rFonts w:ascii="Times New Roman" w:hAnsi="Times New Roman" w:cs="Times New Roman"/>
        </w:rPr>
        <w:t>3</w:t>
      </w:r>
      <w:r w:rsidR="00C9309C" w:rsidRPr="0024375B">
        <w:rPr>
          <w:rFonts w:ascii="Times New Roman" w:hAnsi="Times New Roman" w:cs="Times New Roman"/>
        </w:rPr>
        <w:t>4</w:t>
      </w:r>
      <w:r w:rsidR="00642371">
        <w:rPr>
          <w:rFonts w:ascii="Times New Roman" w:hAnsi="Times New Roman" w:cs="Times New Roman"/>
        </w:rPr>
        <w:t>)</w:t>
      </w:r>
      <w:r w:rsidRPr="0024375B">
        <w:rPr>
          <w:rFonts w:ascii="Times New Roman" w:hAnsi="Times New Roman" w:cs="Times New Roman"/>
        </w:rPr>
        <w:t xml:space="preserve">, usługi ICT (art. 2 pkt </w:t>
      </w:r>
      <w:r w:rsidR="006B51E4" w:rsidRPr="0024375B">
        <w:rPr>
          <w:rFonts w:ascii="Times New Roman" w:hAnsi="Times New Roman" w:cs="Times New Roman"/>
        </w:rPr>
        <w:t>4</w:t>
      </w:r>
      <w:r w:rsidR="64E08F6B" w:rsidRPr="0024375B">
        <w:rPr>
          <w:rFonts w:ascii="Times New Roman" w:hAnsi="Times New Roman" w:cs="Times New Roman"/>
        </w:rPr>
        <w:t>5</w:t>
      </w:r>
      <w:r w:rsidRPr="0024375B">
        <w:rPr>
          <w:rFonts w:ascii="Times New Roman" w:hAnsi="Times New Roman" w:cs="Times New Roman"/>
        </w:rPr>
        <w:t xml:space="preserve">) oraz procesu ICT (art. 2 pkt </w:t>
      </w:r>
      <w:r w:rsidR="006B51E4" w:rsidRPr="0024375B">
        <w:rPr>
          <w:rFonts w:ascii="Times New Roman" w:hAnsi="Times New Roman" w:cs="Times New Roman"/>
        </w:rPr>
        <w:t>3</w:t>
      </w:r>
      <w:r w:rsidR="00C9309C" w:rsidRPr="0024375B">
        <w:rPr>
          <w:rFonts w:ascii="Times New Roman" w:hAnsi="Times New Roman" w:cs="Times New Roman"/>
        </w:rPr>
        <w:t>3</w:t>
      </w:r>
      <w:r w:rsidRPr="0024375B">
        <w:rPr>
          <w:rFonts w:ascii="Times New Roman" w:hAnsi="Times New Roman" w:cs="Times New Roman"/>
        </w:rPr>
        <w:t>). Te trzy pojęcia służą objęciu systemem certyfikacji jak największego zakresu dostępnych na rynku świadczeń. Produkt oznacza „</w:t>
      </w:r>
      <w:r w:rsidRPr="0024375B">
        <w:rPr>
          <w:rStyle w:val="normaltextrun"/>
          <w:rFonts w:ascii="Times New Roman" w:hAnsi="Times New Roman" w:cs="Times New Roman"/>
          <w:color w:val="000000"/>
          <w:shd w:val="clear" w:color="auto" w:fill="FFFFFF"/>
        </w:rPr>
        <w:t xml:space="preserve">element lub grupę elementów systemów informacyjnych”. Będzie więc obejmował praktycznie wszystkie przypadki oprogramowania oraz urządzeń podlegających certyfikacji. Usługi </w:t>
      </w:r>
      <w:r w:rsidR="00043AF7" w:rsidRPr="0024375B">
        <w:rPr>
          <w:rStyle w:val="normaltextrun"/>
          <w:rFonts w:ascii="Times New Roman" w:hAnsi="Times New Roman" w:cs="Times New Roman"/>
          <w:color w:val="000000" w:themeColor="text1"/>
        </w:rPr>
        <w:t>ICT to</w:t>
      </w:r>
      <w:r w:rsidRPr="0024375B">
        <w:rPr>
          <w:rStyle w:val="normaltextrun"/>
          <w:rFonts w:ascii="Times New Roman" w:hAnsi="Times New Roman" w:cs="Times New Roman"/>
          <w:color w:val="000000"/>
          <w:shd w:val="clear" w:color="auto" w:fill="FFFFFF"/>
        </w:rPr>
        <w:t xml:space="preserve"> </w:t>
      </w:r>
      <w:r w:rsidR="00043AF7" w:rsidRPr="0024375B">
        <w:rPr>
          <w:rStyle w:val="normaltextrun"/>
          <w:rFonts w:ascii="Times New Roman" w:hAnsi="Times New Roman" w:cs="Times New Roman"/>
          <w:color w:val="000000" w:themeColor="text1"/>
        </w:rPr>
        <w:t>wszelkie działania związane</w:t>
      </w:r>
      <w:r w:rsidR="002161FE">
        <w:rPr>
          <w:rStyle w:val="normaltextrun"/>
          <w:rFonts w:ascii="Times New Roman" w:hAnsi="Times New Roman" w:cs="Times New Roman"/>
          <w:color w:val="000000" w:themeColor="text1"/>
        </w:rPr>
        <w:t xml:space="preserve"> z </w:t>
      </w:r>
      <w:r w:rsidRPr="0024375B">
        <w:rPr>
          <w:rStyle w:val="normaltextrun"/>
          <w:rFonts w:ascii="Times New Roman" w:hAnsi="Times New Roman" w:cs="Times New Roman"/>
          <w:color w:val="000000"/>
          <w:shd w:val="clear" w:color="auto" w:fill="FFFFFF"/>
        </w:rPr>
        <w:t xml:space="preserve">przetwarzaniem informacji </w:t>
      </w:r>
      <w:r w:rsidR="00043AF7" w:rsidRPr="0024375B">
        <w:rPr>
          <w:rStyle w:val="normaltextrun"/>
          <w:rFonts w:ascii="Times New Roman" w:hAnsi="Times New Roman" w:cs="Times New Roman"/>
          <w:color w:val="000000" w:themeColor="text1"/>
        </w:rPr>
        <w:t xml:space="preserve">za pośrednictwem systemów </w:t>
      </w:r>
      <w:r w:rsidRPr="0024375B">
        <w:rPr>
          <w:rStyle w:val="normaltextrun"/>
          <w:rFonts w:ascii="Times New Roman" w:hAnsi="Times New Roman" w:cs="Times New Roman"/>
          <w:color w:val="000000"/>
          <w:shd w:val="clear" w:color="auto" w:fill="FFFFFF"/>
        </w:rPr>
        <w:t xml:space="preserve">informacyjnych. Proces ICT oznacza </w:t>
      </w:r>
      <w:r w:rsidRPr="0024375B">
        <w:rPr>
          <w:rFonts w:ascii="Times New Roman" w:hAnsi="Times New Roman" w:cs="Times New Roman"/>
        </w:rPr>
        <w:t>„</w:t>
      </w:r>
      <w:r w:rsidRPr="0024375B">
        <w:rPr>
          <w:rFonts w:ascii="Times New Roman" w:hAnsi="Times New Roman" w:cs="Times New Roman"/>
          <w:color w:val="000000"/>
          <w:shd w:val="clear" w:color="auto" w:fill="FFFFFF"/>
        </w:rPr>
        <w:t>zestaw czynności wykonywanych</w:t>
      </w:r>
      <w:r w:rsidR="00EA1900">
        <w:rPr>
          <w:rFonts w:ascii="Times New Roman" w:hAnsi="Times New Roman" w:cs="Times New Roman"/>
          <w:color w:val="000000"/>
          <w:shd w:val="clear" w:color="auto" w:fill="FFFFFF"/>
        </w:rPr>
        <w:t xml:space="preserve"> w </w:t>
      </w:r>
      <w:r w:rsidRPr="0024375B">
        <w:rPr>
          <w:rFonts w:ascii="Times New Roman" w:hAnsi="Times New Roman" w:cs="Times New Roman"/>
          <w:color w:val="000000"/>
          <w:shd w:val="clear" w:color="auto" w:fill="FFFFFF"/>
        </w:rPr>
        <w:t>celu projektowania, budowy, rozwijania, dostarczania lub utrzymywania produktów ICT lub usług ICT”. Są to więc wszelkiego rodzaju działania związane</w:t>
      </w:r>
      <w:r w:rsidR="002161FE">
        <w:rPr>
          <w:rFonts w:ascii="Times New Roman" w:hAnsi="Times New Roman" w:cs="Times New Roman"/>
          <w:color w:val="000000"/>
          <w:shd w:val="clear" w:color="auto" w:fill="FFFFFF"/>
        </w:rPr>
        <w:t xml:space="preserve"> z </w:t>
      </w:r>
      <w:r w:rsidRPr="0024375B">
        <w:rPr>
          <w:rFonts w:ascii="Times New Roman" w:hAnsi="Times New Roman" w:cs="Times New Roman"/>
          <w:color w:val="000000"/>
          <w:shd w:val="clear" w:color="auto" w:fill="FFFFFF"/>
        </w:rPr>
        <w:t>tworzeniem systemów informacyjnych</w:t>
      </w:r>
      <w:r w:rsidR="002161FE">
        <w:rPr>
          <w:rFonts w:ascii="Times New Roman" w:hAnsi="Times New Roman" w:cs="Times New Roman"/>
          <w:color w:val="000000"/>
          <w:shd w:val="clear" w:color="auto" w:fill="FFFFFF"/>
        </w:rPr>
        <w:t xml:space="preserve"> i </w:t>
      </w:r>
      <w:r w:rsidRPr="0024375B">
        <w:rPr>
          <w:rFonts w:ascii="Times New Roman" w:hAnsi="Times New Roman" w:cs="Times New Roman"/>
          <w:color w:val="000000"/>
          <w:shd w:val="clear" w:color="auto" w:fill="FFFFFF"/>
        </w:rPr>
        <w:t>ich bieżącym utrzymaniem.</w:t>
      </w:r>
    </w:p>
    <w:p w14:paraId="1CE27C2F" w14:textId="77777777" w:rsidR="007B7D27" w:rsidRPr="0024375B" w:rsidRDefault="007B7D27" w:rsidP="0024375B">
      <w:pPr>
        <w:pStyle w:val="ARTartustawynprozporzdzenia"/>
        <w:spacing w:before="240"/>
        <w:ind w:firstLine="567"/>
        <w:rPr>
          <w:rFonts w:ascii="Times New Roman" w:hAnsi="Times New Roman" w:cs="Times New Roman"/>
          <w:color w:val="000000"/>
          <w:shd w:val="clear" w:color="auto" w:fill="FFFFFF"/>
        </w:rPr>
      </w:pPr>
      <w:r w:rsidRPr="0024375B">
        <w:rPr>
          <w:rFonts w:ascii="Times New Roman" w:hAnsi="Times New Roman" w:cs="Times New Roman"/>
          <w:color w:val="000000"/>
          <w:shd w:val="clear" w:color="auto" w:fill="FFFFFF"/>
        </w:rPr>
        <w:t>W</w:t>
      </w:r>
      <w:r w:rsidR="00EA1900">
        <w:rPr>
          <w:rFonts w:ascii="Times New Roman" w:hAnsi="Times New Roman" w:cs="Times New Roman"/>
          <w:color w:val="000000"/>
          <w:shd w:val="clear" w:color="auto" w:fill="FFFFFF"/>
        </w:rPr>
        <w:t xml:space="preserve"> art. </w:t>
      </w:r>
      <w:r w:rsidRPr="0024375B">
        <w:rPr>
          <w:rFonts w:ascii="Times New Roman" w:hAnsi="Times New Roman" w:cs="Times New Roman"/>
          <w:color w:val="000000"/>
          <w:shd w:val="clear" w:color="auto" w:fill="FFFFFF"/>
        </w:rPr>
        <w:t xml:space="preserve">2 pkt </w:t>
      </w:r>
      <w:r w:rsidR="006B51E4" w:rsidRPr="0024375B">
        <w:rPr>
          <w:rFonts w:ascii="Times New Roman" w:hAnsi="Times New Roman" w:cs="Times New Roman"/>
          <w:color w:val="000000"/>
          <w:shd w:val="clear" w:color="auto" w:fill="FFFFFF"/>
        </w:rPr>
        <w:t>3</w:t>
      </w:r>
      <w:r w:rsidR="514F3AC1" w:rsidRPr="0024375B">
        <w:rPr>
          <w:rFonts w:ascii="Times New Roman" w:hAnsi="Times New Roman" w:cs="Times New Roman"/>
          <w:color w:val="000000"/>
          <w:shd w:val="clear" w:color="auto" w:fill="FFFFFF"/>
        </w:rPr>
        <w:t>8</w:t>
      </w:r>
      <w:r w:rsidR="002161FE">
        <w:rPr>
          <w:rFonts w:ascii="Times New Roman" w:hAnsi="Times New Roman" w:cs="Times New Roman"/>
          <w:color w:val="000000"/>
          <w:shd w:val="clear" w:color="auto" w:fill="FFFFFF"/>
        </w:rPr>
        <w:t xml:space="preserve"> i </w:t>
      </w:r>
      <w:r w:rsidR="514F3AC1" w:rsidRPr="0024375B">
        <w:rPr>
          <w:rFonts w:ascii="Times New Roman" w:hAnsi="Times New Roman" w:cs="Times New Roman"/>
          <w:color w:val="000000"/>
          <w:shd w:val="clear" w:color="auto" w:fill="FFFFFF"/>
        </w:rPr>
        <w:t>39</w:t>
      </w:r>
      <w:r w:rsidRPr="0024375B">
        <w:rPr>
          <w:rFonts w:ascii="Times New Roman" w:hAnsi="Times New Roman" w:cs="Times New Roman"/>
          <w:color w:val="000000"/>
          <w:shd w:val="clear" w:color="auto" w:fill="FFFFFF"/>
        </w:rPr>
        <w:t xml:space="preserve"> wprowadza się definicję SOC</w:t>
      </w:r>
      <w:r w:rsidR="00F262A6" w:rsidRPr="0024375B">
        <w:rPr>
          <w:rFonts w:ascii="Times New Roman" w:hAnsi="Times New Roman" w:cs="Times New Roman"/>
          <w:color w:val="000000"/>
          <w:shd w:val="clear" w:color="auto" w:fill="FFFFFF"/>
        </w:rPr>
        <w:t xml:space="preserve"> wewnętrznych</w:t>
      </w:r>
      <w:r w:rsidR="002161FE">
        <w:rPr>
          <w:rFonts w:ascii="Times New Roman" w:hAnsi="Times New Roman" w:cs="Times New Roman"/>
          <w:color w:val="000000"/>
          <w:shd w:val="clear" w:color="auto" w:fill="FFFFFF"/>
        </w:rPr>
        <w:t xml:space="preserve"> i </w:t>
      </w:r>
      <w:r w:rsidR="00F262A6" w:rsidRPr="0024375B">
        <w:rPr>
          <w:rFonts w:ascii="Times New Roman" w:hAnsi="Times New Roman" w:cs="Times New Roman"/>
          <w:color w:val="000000"/>
          <w:shd w:val="clear" w:color="auto" w:fill="FFFFFF"/>
        </w:rPr>
        <w:t>SOC zewnętrznych</w:t>
      </w:r>
      <w:r w:rsidRPr="0024375B">
        <w:rPr>
          <w:rFonts w:ascii="Times New Roman" w:hAnsi="Times New Roman" w:cs="Times New Roman"/>
          <w:color w:val="000000"/>
          <w:shd w:val="clear" w:color="auto" w:fill="FFFFFF"/>
        </w:rPr>
        <w:t xml:space="preserve">. </w:t>
      </w:r>
      <w:r w:rsidR="00F262A6" w:rsidRPr="0024375B">
        <w:rPr>
          <w:rFonts w:ascii="Times New Roman" w:hAnsi="Times New Roman" w:cs="Times New Roman"/>
          <w:color w:val="000000"/>
          <w:shd w:val="clear" w:color="auto" w:fill="FFFFFF"/>
        </w:rPr>
        <w:t>Są</w:t>
      </w:r>
      <w:r w:rsidRPr="0024375B">
        <w:rPr>
          <w:rFonts w:ascii="Times New Roman" w:hAnsi="Times New Roman" w:cs="Times New Roman"/>
          <w:color w:val="000000"/>
          <w:shd w:val="clear" w:color="auto" w:fill="FFFFFF"/>
        </w:rPr>
        <w:t xml:space="preserve"> to zesp</w:t>
      </w:r>
      <w:r w:rsidR="00F262A6" w:rsidRPr="0024375B">
        <w:rPr>
          <w:rFonts w:ascii="Times New Roman" w:hAnsi="Times New Roman" w:cs="Times New Roman"/>
          <w:color w:val="000000"/>
          <w:shd w:val="clear" w:color="auto" w:fill="FFFFFF"/>
        </w:rPr>
        <w:t>o</w:t>
      </w:r>
      <w:r w:rsidRPr="0024375B">
        <w:rPr>
          <w:rFonts w:ascii="Times New Roman" w:hAnsi="Times New Roman" w:cs="Times New Roman"/>
          <w:color w:val="000000"/>
          <w:shd w:val="clear" w:color="auto" w:fill="FFFFFF"/>
        </w:rPr>
        <w:t>ł</w:t>
      </w:r>
      <w:r w:rsidR="00F262A6" w:rsidRPr="0024375B">
        <w:rPr>
          <w:rFonts w:ascii="Times New Roman" w:hAnsi="Times New Roman" w:cs="Times New Roman"/>
          <w:color w:val="000000"/>
          <w:shd w:val="clear" w:color="auto" w:fill="FFFFFF"/>
        </w:rPr>
        <w:t>y</w:t>
      </w:r>
      <w:r w:rsidRPr="0024375B">
        <w:rPr>
          <w:rFonts w:ascii="Times New Roman" w:hAnsi="Times New Roman" w:cs="Times New Roman"/>
          <w:color w:val="000000"/>
          <w:shd w:val="clear" w:color="auto" w:fill="FFFFFF"/>
        </w:rPr>
        <w:t xml:space="preserve"> pełniąc</w:t>
      </w:r>
      <w:r w:rsidR="00F262A6" w:rsidRPr="0024375B">
        <w:rPr>
          <w:rFonts w:ascii="Times New Roman" w:hAnsi="Times New Roman" w:cs="Times New Roman"/>
          <w:color w:val="000000"/>
          <w:shd w:val="clear" w:color="auto" w:fill="FFFFFF"/>
        </w:rPr>
        <w:t>e</w:t>
      </w:r>
      <w:r w:rsidRPr="0024375B">
        <w:rPr>
          <w:rFonts w:ascii="Times New Roman" w:hAnsi="Times New Roman" w:cs="Times New Roman"/>
          <w:color w:val="000000"/>
          <w:shd w:val="clear" w:color="auto" w:fill="FFFFFF"/>
        </w:rPr>
        <w:t xml:space="preserve"> funkcję operacyjnego centrum bezpieczeństwa</w:t>
      </w:r>
      <w:r w:rsidR="00F262A6" w:rsidRPr="0024375B">
        <w:rPr>
          <w:rFonts w:ascii="Times New Roman" w:hAnsi="Times New Roman" w:cs="Times New Roman"/>
          <w:color w:val="000000"/>
          <w:shd w:val="clear" w:color="auto" w:fill="FFFFFF"/>
        </w:rPr>
        <w:t xml:space="preserve"> </w:t>
      </w:r>
      <w:r w:rsidR="006D599B" w:rsidRPr="0024375B">
        <w:rPr>
          <w:rFonts w:ascii="Times New Roman" w:hAnsi="Times New Roman" w:cs="Times New Roman"/>
          <w:color w:val="000000" w:themeColor="text1"/>
        </w:rPr>
        <w:t xml:space="preserve">odpowiednio </w:t>
      </w:r>
      <w:r w:rsidR="00F262A6" w:rsidRPr="0024375B">
        <w:rPr>
          <w:rFonts w:ascii="Times New Roman" w:hAnsi="Times New Roman" w:cs="Times New Roman"/>
          <w:color w:val="000000"/>
          <w:shd w:val="clear" w:color="auto" w:fill="FFFFFF"/>
        </w:rPr>
        <w:t xml:space="preserve">wewnątrz struktury operatora usługi kluczowej </w:t>
      </w:r>
      <w:r w:rsidR="006D599B" w:rsidRPr="0024375B">
        <w:rPr>
          <w:rFonts w:ascii="Times New Roman" w:hAnsi="Times New Roman" w:cs="Times New Roman"/>
          <w:color w:val="000000" w:themeColor="text1"/>
        </w:rPr>
        <w:t>(SOC wewnętrzny) oraz</w:t>
      </w:r>
      <w:r w:rsidR="00F262A6" w:rsidRPr="0024375B">
        <w:rPr>
          <w:rFonts w:ascii="Times New Roman" w:hAnsi="Times New Roman" w:cs="Times New Roman"/>
          <w:color w:val="000000"/>
          <w:shd w:val="clear" w:color="auto" w:fill="FFFFFF"/>
        </w:rPr>
        <w:t xml:space="preserve"> zewnętrzne, działające na jego rzecz</w:t>
      </w:r>
      <w:r w:rsidR="006D599B" w:rsidRPr="0024375B">
        <w:rPr>
          <w:rFonts w:ascii="Times New Roman" w:hAnsi="Times New Roman" w:cs="Times New Roman"/>
          <w:color w:val="000000" w:themeColor="text1"/>
        </w:rPr>
        <w:t xml:space="preserve"> (SOC zewnętrzny)</w:t>
      </w:r>
      <w:r w:rsidRPr="0024375B">
        <w:rPr>
          <w:rFonts w:ascii="Times New Roman" w:hAnsi="Times New Roman" w:cs="Times New Roman"/>
          <w:color w:val="000000"/>
          <w:shd w:val="clear" w:color="auto" w:fill="FFFFFF"/>
        </w:rPr>
        <w:t>. Definicja wprost nawiązuje do terminu przyjętego powszechnie</w:t>
      </w:r>
      <w:r w:rsidR="00EA1900">
        <w:rPr>
          <w:rFonts w:ascii="Times New Roman" w:hAnsi="Times New Roman" w:cs="Times New Roman"/>
          <w:color w:val="000000"/>
          <w:shd w:val="clear" w:color="auto" w:fill="FFFFFF"/>
        </w:rPr>
        <w:t xml:space="preserve"> w </w:t>
      </w:r>
      <w:r w:rsidRPr="0024375B">
        <w:rPr>
          <w:rFonts w:ascii="Times New Roman" w:hAnsi="Times New Roman" w:cs="Times New Roman"/>
          <w:color w:val="000000"/>
          <w:shd w:val="clear" w:color="auto" w:fill="FFFFFF"/>
        </w:rPr>
        <w:t>praktyce (Security Operation</w:t>
      </w:r>
      <w:r w:rsidR="00F262A6" w:rsidRPr="0024375B">
        <w:rPr>
          <w:rFonts w:ascii="Times New Roman" w:hAnsi="Times New Roman" w:cs="Times New Roman"/>
          <w:color w:val="000000"/>
          <w:shd w:val="clear" w:color="auto" w:fill="FFFFFF"/>
        </w:rPr>
        <w:t>s</w:t>
      </w:r>
      <w:r w:rsidRPr="0024375B">
        <w:rPr>
          <w:rFonts w:ascii="Times New Roman" w:hAnsi="Times New Roman" w:cs="Times New Roman"/>
          <w:color w:val="000000"/>
          <w:shd w:val="clear" w:color="auto" w:fill="FFFFFF"/>
        </w:rPr>
        <w:t xml:space="preserve"> Center)</w:t>
      </w:r>
      <w:r w:rsidR="006D599B" w:rsidRPr="0024375B">
        <w:rPr>
          <w:rFonts w:ascii="Times New Roman" w:hAnsi="Times New Roman" w:cs="Times New Roman"/>
          <w:color w:val="000000" w:themeColor="text1"/>
        </w:rPr>
        <w:t xml:space="preserve"> różnicując jedynie </w:t>
      </w:r>
      <w:r w:rsidR="006D599B" w:rsidRPr="0024375B">
        <w:rPr>
          <w:rFonts w:ascii="Times New Roman" w:hAnsi="Times New Roman" w:cs="Times New Roman"/>
          <w:color w:val="000000" w:themeColor="text1"/>
        </w:rPr>
        <w:lastRenderedPageBreak/>
        <w:t>formę świadczenia usług SOC</w:t>
      </w:r>
      <w:r w:rsidR="00EA1900">
        <w:rPr>
          <w:rFonts w:ascii="Times New Roman" w:hAnsi="Times New Roman" w:cs="Times New Roman"/>
          <w:color w:val="000000" w:themeColor="text1"/>
        </w:rPr>
        <w:t xml:space="preserve"> w </w:t>
      </w:r>
      <w:r w:rsidR="006D599B" w:rsidRPr="0024375B">
        <w:rPr>
          <w:rFonts w:ascii="Times New Roman" w:hAnsi="Times New Roman" w:cs="Times New Roman"/>
          <w:color w:val="000000" w:themeColor="text1"/>
        </w:rPr>
        <w:t>zależności od tego, czy operator usługi kluczowej realizuje zadania przy pomocy własnych zasobów, czy też zleca, na podstawie umowy, realizację tych zadań wyspecjalizowanemu podmiotowi zewnętrznemu.</w:t>
      </w:r>
    </w:p>
    <w:p w14:paraId="37C2CE86" w14:textId="168772DC" w:rsidR="00EE659B" w:rsidRDefault="00EE659B" w:rsidP="0024375B">
      <w:pPr>
        <w:pStyle w:val="ARTartustawynprozporzdzenia"/>
      </w:pPr>
      <w:r w:rsidRPr="0024375B">
        <w:t>Dodano definicję przedsiębiorcy komunikacji elektronicznej</w:t>
      </w:r>
      <w:r w:rsidR="006D599B" w:rsidRPr="0024375B">
        <w:t xml:space="preserve"> (art. 2 pkt 3</w:t>
      </w:r>
      <w:r w:rsidR="125B499B" w:rsidRPr="0024375B">
        <w:t>5</w:t>
      </w:r>
      <w:r w:rsidR="006D599B" w:rsidRPr="0024375B">
        <w:t>)</w:t>
      </w:r>
      <w:r w:rsidR="00871EBF">
        <w:t xml:space="preserve"> odnosi się do definicji zawartej w art. 2 pkt 39 </w:t>
      </w:r>
      <w:r w:rsidR="00D03885">
        <w:t xml:space="preserve">ustawy – </w:t>
      </w:r>
      <w:r w:rsidR="00871EBF">
        <w:t>Praw</w:t>
      </w:r>
      <w:r w:rsidR="000D08F6">
        <w:t>o</w:t>
      </w:r>
      <w:r w:rsidR="00871EBF">
        <w:t xml:space="preserve"> komunikacji elektronicznej.</w:t>
      </w:r>
      <w:r w:rsidR="00D03885">
        <w:t xml:space="preserve"> </w:t>
      </w:r>
      <w:r w:rsidRPr="0024375B">
        <w:t>Jest to przedsiębiorca telekomunikacyjny lub podmiot świadczący publicznie dostępną usługę komunikacji interpersonalnej niewykorzystującą numerów</w:t>
      </w:r>
      <w:r w:rsidR="009F1CE8" w:rsidRPr="0024375B">
        <w:t>.</w:t>
      </w:r>
      <w:r w:rsidR="00E421B5">
        <w:t xml:space="preserve"> Z kolei definicja przedsiębiorcy telekomunikacyjnego (pkt 36) odnosi się do</w:t>
      </w:r>
      <w:r w:rsidR="00EA1900">
        <w:t xml:space="preserve"> art. </w:t>
      </w:r>
      <w:r w:rsidR="00E421B5">
        <w:t xml:space="preserve">2 pkt </w:t>
      </w:r>
      <w:r w:rsidR="00871EBF">
        <w:t>40</w:t>
      </w:r>
      <w:r w:rsidR="00E421B5">
        <w:t xml:space="preserve"> </w:t>
      </w:r>
      <w:r w:rsidR="00D03885">
        <w:t xml:space="preserve">ustawy – </w:t>
      </w:r>
      <w:r w:rsidR="00E421B5">
        <w:t>Praw</w:t>
      </w:r>
      <w:r w:rsidR="000D08F6">
        <w:t>o</w:t>
      </w:r>
      <w:r w:rsidR="00E421B5">
        <w:t xml:space="preserve"> </w:t>
      </w:r>
      <w:r w:rsidR="00871EBF">
        <w:t>komunikacji elektronicznej</w:t>
      </w:r>
      <w:r w:rsidR="00E421B5">
        <w:t>.</w:t>
      </w:r>
    </w:p>
    <w:p w14:paraId="4779AE0A" w14:textId="77777777" w:rsidR="00E421B5" w:rsidRPr="0024375B" w:rsidRDefault="00E421B5" w:rsidP="0024375B">
      <w:pPr>
        <w:pStyle w:val="ARTartustawynprozporzdzenia"/>
      </w:pPr>
      <w:r>
        <w:t>Pozostawiono dotychczasową definicję ryzyka (pkt 37),</w:t>
      </w:r>
      <w:r w:rsidR="002161FE">
        <w:t xml:space="preserve"> a </w:t>
      </w:r>
      <w:r>
        <w:t>także szacowania ryzyka (pkt 40). Zachowano również dotychczasową definicję systemu informacyjnego (pkt 41).</w:t>
      </w:r>
    </w:p>
    <w:p w14:paraId="22169ACA" w14:textId="654E18D8" w:rsidR="00AD7AA3" w:rsidRPr="0024375B" w:rsidRDefault="00AD7AA3" w:rsidP="0024375B">
      <w:pPr>
        <w:pStyle w:val="ARTartustawynprozporzdzenia"/>
      </w:pPr>
      <w:r w:rsidRPr="0024375B">
        <w:t>Definicja sytuacji szczególnego zagrożenia</w:t>
      </w:r>
      <w:r w:rsidR="006D599B" w:rsidRPr="0024375B">
        <w:t xml:space="preserve"> (art. 2 pkt 4</w:t>
      </w:r>
      <w:r w:rsidR="64C413C2" w:rsidRPr="0024375B">
        <w:t>2</w:t>
      </w:r>
      <w:r w:rsidR="006D599B" w:rsidRPr="0024375B">
        <w:t>)</w:t>
      </w:r>
      <w:r w:rsidRPr="0024375B">
        <w:t xml:space="preserve"> </w:t>
      </w:r>
      <w:r w:rsidR="004315CE" w:rsidRPr="004315CE">
        <w:t xml:space="preserve">odwołuje się do definicji z art. 2 pkt </w:t>
      </w:r>
      <w:r w:rsidR="004315CE">
        <w:t>65</w:t>
      </w:r>
      <w:r w:rsidR="004315CE" w:rsidRPr="004315CE">
        <w:t xml:space="preserve"> </w:t>
      </w:r>
      <w:r w:rsidR="000D08F6">
        <w:t>ustawy -</w:t>
      </w:r>
      <w:r w:rsidR="004315CE" w:rsidRPr="004315CE">
        <w:t>Praw</w:t>
      </w:r>
      <w:r w:rsidR="000D08F6">
        <w:t>o</w:t>
      </w:r>
      <w:r w:rsidR="004315CE" w:rsidRPr="004315CE">
        <w:t xml:space="preserve"> komunikacji elektronicznej. </w:t>
      </w:r>
      <w:r w:rsidR="004315CE">
        <w:t xml:space="preserve">Obejmuje ona </w:t>
      </w:r>
      <w:r w:rsidRPr="0024375B">
        <w:t>sytuacje</w:t>
      </w:r>
      <w:r w:rsidR="001B110A" w:rsidRPr="0024375B">
        <w:t xml:space="preserve">, </w:t>
      </w:r>
      <w:r w:rsidRPr="0024375B">
        <w:t>które wymagają współpracy przedsiębiorców komunikacji elektronicznej</w:t>
      </w:r>
      <w:r w:rsidR="002161FE">
        <w:t xml:space="preserve"> z </w:t>
      </w:r>
      <w:r w:rsidRPr="0024375B">
        <w:t>organami administracji publicznej</w:t>
      </w:r>
      <w:r w:rsidR="002161FE">
        <w:t xml:space="preserve"> i </w:t>
      </w:r>
      <w:r w:rsidRPr="0024375B">
        <w:t>innymi podmiotami wykonującymi zadania</w:t>
      </w:r>
      <w:r w:rsidR="00EA1900">
        <w:t xml:space="preserve"> w </w:t>
      </w:r>
      <w:r w:rsidRPr="0024375B">
        <w:t>zakresie ratownictwa, niesienia pomocy, zarządzania kryzysowego, utrzymania porządku publicznego oraz obronności</w:t>
      </w:r>
      <w:r w:rsidR="002161FE">
        <w:t xml:space="preserve"> i </w:t>
      </w:r>
      <w:r w:rsidRPr="0024375B">
        <w:t>bezpieczeństwa państwa:</w:t>
      </w:r>
    </w:p>
    <w:p w14:paraId="583CF319" w14:textId="77777777" w:rsidR="00AD7AA3" w:rsidRPr="0024375B" w:rsidRDefault="00AD7AA3" w:rsidP="0024375B">
      <w:pPr>
        <w:pStyle w:val="ARTartustawynprozporzdzenia"/>
      </w:pPr>
      <w:r w:rsidRPr="0024375B">
        <w:t>-</w:t>
      </w:r>
      <w:r w:rsidRPr="0024375B">
        <w:tab/>
        <w:t>w przypadku wystąpienia sytuacji kryzysowej,</w:t>
      </w:r>
      <w:r w:rsidR="00EA1900">
        <w:t xml:space="preserve"> w </w:t>
      </w:r>
      <w:r w:rsidRPr="0024375B">
        <w:t>rozumieniu ustawy</w:t>
      </w:r>
      <w:r w:rsidR="002161FE">
        <w:t xml:space="preserve"> z </w:t>
      </w:r>
      <w:r w:rsidRPr="0024375B">
        <w:t>dnia 26 kwietnia 2007 r.</w:t>
      </w:r>
      <w:r w:rsidR="0077165A">
        <w:t xml:space="preserve"> o </w:t>
      </w:r>
      <w:r w:rsidRPr="0024375B">
        <w:t>zarządzaniu kryzysowym (Dz. U. 202</w:t>
      </w:r>
      <w:r w:rsidR="00D03885">
        <w:t>3</w:t>
      </w:r>
      <w:r w:rsidRPr="0024375B">
        <w:t xml:space="preserve"> r. poz. </w:t>
      </w:r>
      <w:r w:rsidR="00D03885">
        <w:t>12</w:t>
      </w:r>
      <w:r w:rsidRPr="0024375B">
        <w:t>2),</w:t>
      </w:r>
    </w:p>
    <w:p w14:paraId="3546FD5E" w14:textId="77777777" w:rsidR="00AD7AA3" w:rsidRPr="0024375B" w:rsidRDefault="00AD7AA3" w:rsidP="0024375B">
      <w:pPr>
        <w:pStyle w:val="ARTartustawynprozporzdzenia"/>
      </w:pPr>
      <w:r w:rsidRPr="0024375B">
        <w:t>-</w:t>
      </w:r>
      <w:r w:rsidRPr="0024375B">
        <w:tab/>
        <w:t>w czasie obowiązywania stanów nadzwyczajnych,</w:t>
      </w:r>
    </w:p>
    <w:p w14:paraId="7F72DF94" w14:textId="001BF5C8" w:rsidR="00AD7AA3" w:rsidRPr="0024375B" w:rsidRDefault="00AD7AA3" w:rsidP="0024375B">
      <w:pPr>
        <w:pStyle w:val="ARTartustawynprozporzdzenia"/>
      </w:pPr>
      <w:r w:rsidRPr="0024375B">
        <w:t>-</w:t>
      </w:r>
      <w:r w:rsidRPr="0024375B">
        <w:tab/>
        <w:t>w warunkach zewnętrznego zagrożenia bezpieczeństwa państwa</w:t>
      </w:r>
      <w:r w:rsidR="002161FE">
        <w:t xml:space="preserve"> i </w:t>
      </w:r>
      <w:r w:rsidR="00EA1900">
        <w:t>w </w:t>
      </w:r>
      <w:r w:rsidRPr="0024375B">
        <w:t>czasie wojny,</w:t>
      </w:r>
    </w:p>
    <w:p w14:paraId="74F82833" w14:textId="77777777" w:rsidR="00AD7AA3" w:rsidRDefault="00AD7AA3" w:rsidP="0024375B">
      <w:pPr>
        <w:pStyle w:val="ARTartustawynprozporzdzenia"/>
      </w:pPr>
      <w:r w:rsidRPr="0024375B">
        <w:t>Ponadto</w:t>
      </w:r>
      <w:r w:rsidR="00CE018D" w:rsidRPr="0024375B">
        <w:t>,</w:t>
      </w:r>
      <w:r w:rsidRPr="0024375B">
        <w:t xml:space="preserve"> definicja ta obejmuje sytuację </w:t>
      </w:r>
      <w:r w:rsidR="00CE018D" w:rsidRPr="0024375B">
        <w:t xml:space="preserve">stanowiącą </w:t>
      </w:r>
      <w:r w:rsidRPr="0024375B">
        <w:t>bezpośrednie zagrożenie dla bezpieczeństwa sieci</w:t>
      </w:r>
      <w:r w:rsidR="002161FE">
        <w:t xml:space="preserve"> i </w:t>
      </w:r>
      <w:r w:rsidRPr="0024375B">
        <w:t>usług komunikacji elektronicznej.</w:t>
      </w:r>
    </w:p>
    <w:p w14:paraId="6F2B1B0B" w14:textId="4BB0AEEE" w:rsidR="00871EBF" w:rsidRPr="0024375B" w:rsidRDefault="00871EBF" w:rsidP="0024375B">
      <w:pPr>
        <w:pStyle w:val="ARTartustawynprozporzdzenia"/>
      </w:pPr>
      <w:r>
        <w:t>Definicja telekomunikacyjnego urządzenia końcowego odwołuje się do definicji z art. 2 pkt 71</w:t>
      </w:r>
      <w:r w:rsidR="00C807E7">
        <w:t xml:space="preserve"> ustawy</w:t>
      </w:r>
      <w:r>
        <w:t xml:space="preserve"> </w:t>
      </w:r>
      <w:r w:rsidR="007C2CE2">
        <w:t xml:space="preserve">- </w:t>
      </w:r>
      <w:r>
        <w:t>Praw</w:t>
      </w:r>
      <w:r w:rsidR="00C807E7">
        <w:t>o</w:t>
      </w:r>
      <w:r>
        <w:t xml:space="preserve"> komunikacji elektronicznej.</w:t>
      </w:r>
    </w:p>
    <w:p w14:paraId="63B97233" w14:textId="60569254" w:rsidR="00AD7AA3" w:rsidRPr="0024375B" w:rsidRDefault="00AD7AA3" w:rsidP="00871EBF">
      <w:pPr>
        <w:pStyle w:val="ARTartustawynprozporzdzenia"/>
      </w:pPr>
      <w:r w:rsidRPr="0024375B">
        <w:t>Definicja usługi komunikacji elektronicznej</w:t>
      </w:r>
      <w:r w:rsidR="00CE018D" w:rsidRPr="0024375B">
        <w:t xml:space="preserve"> (art. 2 pkt 4</w:t>
      </w:r>
      <w:r w:rsidR="65A4DB19" w:rsidRPr="0024375B">
        <w:t>7</w:t>
      </w:r>
      <w:r w:rsidR="00CE018D" w:rsidRPr="0024375B">
        <w:t>)</w:t>
      </w:r>
      <w:r w:rsidRPr="0024375B">
        <w:t xml:space="preserve"> </w:t>
      </w:r>
      <w:r w:rsidR="00871EBF">
        <w:t>odwołuje się do definicji z art. 2 pkt 76</w:t>
      </w:r>
      <w:r w:rsidR="00C807E7">
        <w:t xml:space="preserve"> ustawy </w:t>
      </w:r>
      <w:r w:rsidR="007C2CE2">
        <w:t xml:space="preserve">- </w:t>
      </w:r>
      <w:r w:rsidR="00871EBF">
        <w:t>Praw</w:t>
      </w:r>
      <w:r w:rsidR="00C807E7">
        <w:t>o</w:t>
      </w:r>
      <w:r w:rsidR="00871EBF">
        <w:t xml:space="preserve"> komunikacji elektronicznej. O</w:t>
      </w:r>
      <w:r w:rsidR="00CE018D" w:rsidRPr="0024375B">
        <w:t xml:space="preserve">kreśla te usługi jako </w:t>
      </w:r>
      <w:r w:rsidRPr="0024375B">
        <w:t>usług</w:t>
      </w:r>
      <w:r w:rsidR="00CE018D" w:rsidRPr="0024375B">
        <w:t>i</w:t>
      </w:r>
      <w:r w:rsidRPr="0024375B">
        <w:t xml:space="preserve"> </w:t>
      </w:r>
      <w:r w:rsidR="00CE018D" w:rsidRPr="0024375B">
        <w:t xml:space="preserve">świadczone </w:t>
      </w:r>
      <w:r w:rsidRPr="0024375B">
        <w:t>za pośrednictwem sieci telekomunikacyjnej, zwykle za wynagrodzeniem,</w:t>
      </w:r>
      <w:r w:rsidR="002161FE">
        <w:t xml:space="preserve"> z </w:t>
      </w:r>
      <w:r w:rsidRPr="0024375B">
        <w:t>wyłączeniem usług związanych</w:t>
      </w:r>
      <w:r w:rsidR="002161FE">
        <w:t xml:space="preserve"> z </w:t>
      </w:r>
      <w:r w:rsidRPr="0024375B">
        <w:t xml:space="preserve">zapewnianiem albo wykonywaniem kontroli treści przekazywanych przy wykorzystaniu sieci telekomunikacyjnych lub usług komunikacji elektronicznej. Usługi </w:t>
      </w:r>
      <w:r w:rsidR="00CE018D" w:rsidRPr="0024375B">
        <w:t xml:space="preserve">komunikacji elektronicznej </w:t>
      </w:r>
      <w:r w:rsidRPr="0024375B">
        <w:t>obejmują:</w:t>
      </w:r>
    </w:p>
    <w:p w14:paraId="5C5EFC72" w14:textId="77777777" w:rsidR="00AD7AA3" w:rsidRPr="0024375B" w:rsidRDefault="002466B6" w:rsidP="0024375B">
      <w:pPr>
        <w:pStyle w:val="ARTartustawynprozporzdzenia"/>
      </w:pPr>
      <w:r w:rsidRPr="0024375B">
        <w:t>a)</w:t>
      </w:r>
      <w:r w:rsidRPr="0024375B">
        <w:tab/>
        <w:t>usługi dostępu do I</w:t>
      </w:r>
      <w:r w:rsidR="00AD7AA3" w:rsidRPr="0024375B">
        <w:t>nternetu</w:t>
      </w:r>
      <w:r w:rsidR="00EA1900">
        <w:t xml:space="preserve"> w </w:t>
      </w:r>
      <w:r w:rsidR="00AD7AA3" w:rsidRPr="0024375B">
        <w:t>rozumieniu</w:t>
      </w:r>
      <w:r w:rsidR="00EA1900">
        <w:t xml:space="preserve"> art. </w:t>
      </w:r>
      <w:r w:rsidR="00AD7AA3" w:rsidRPr="0024375B">
        <w:t>2 akapit drugi pkt 2 rozporządzenia Parlamentu Europejskiego</w:t>
      </w:r>
      <w:r w:rsidR="002161FE">
        <w:t xml:space="preserve"> i </w:t>
      </w:r>
      <w:r w:rsidR="00AD7AA3" w:rsidRPr="0024375B">
        <w:t>Rady (UE) 2015/2120</w:t>
      </w:r>
      <w:r w:rsidR="002161FE">
        <w:t xml:space="preserve"> z </w:t>
      </w:r>
      <w:r w:rsidR="00AD7AA3" w:rsidRPr="0024375B">
        <w:t xml:space="preserve">dnia 25 listopada 2015 r. ustanawiającego środki </w:t>
      </w:r>
      <w:r w:rsidRPr="0024375B">
        <w:t>dotyczące dostępu do otwartego I</w:t>
      </w:r>
      <w:r w:rsidR="00AD7AA3" w:rsidRPr="0024375B">
        <w:t>nternetu</w:t>
      </w:r>
      <w:r w:rsidR="002161FE">
        <w:t xml:space="preserve"> i </w:t>
      </w:r>
      <w:r w:rsidR="00AD7AA3" w:rsidRPr="0024375B">
        <w:t xml:space="preserve">dotyczące opłat detalicznych za uregulowane usługi łączności wewnątrzunijnej oraz </w:t>
      </w:r>
      <w:r w:rsidR="00AD7AA3" w:rsidRPr="0024375B">
        <w:lastRenderedPageBreak/>
        <w:t>zmieniającego dyrektywę 2002/22/WE,</w:t>
      </w:r>
      <w:r w:rsidR="002161FE">
        <w:t xml:space="preserve"> a </w:t>
      </w:r>
      <w:r w:rsidR="00AD7AA3" w:rsidRPr="0024375B">
        <w:t>także rozporządzenie (UE) nr 531/2012 (Dz. Urz. UE L 310</w:t>
      </w:r>
      <w:r w:rsidR="002161FE">
        <w:t xml:space="preserve"> z </w:t>
      </w:r>
      <w:r w:rsidR="00AD7AA3" w:rsidRPr="0024375B">
        <w:t>26.11.2015, str. 1</w:t>
      </w:r>
      <w:r w:rsidR="0087130F">
        <w:t>–</w:t>
      </w:r>
      <w:r w:rsidR="00AD7AA3" w:rsidRPr="0024375B">
        <w:t>18,</w:t>
      </w:r>
      <w:r w:rsidR="002161FE">
        <w:t xml:space="preserve"> z </w:t>
      </w:r>
      <w:r w:rsidR="00AD7AA3" w:rsidRPr="0024375B">
        <w:t>późn. zm.),</w:t>
      </w:r>
    </w:p>
    <w:p w14:paraId="43078D29" w14:textId="77777777" w:rsidR="00AD7AA3" w:rsidRPr="0024375B" w:rsidRDefault="00AD7AA3" w:rsidP="0024375B">
      <w:pPr>
        <w:pStyle w:val="ARTartustawynprozporzdzenia"/>
      </w:pPr>
      <w:r w:rsidRPr="0024375B">
        <w:t>b)</w:t>
      </w:r>
      <w:r w:rsidRPr="0024375B">
        <w:tab/>
        <w:t>usługi komunikacji interpersonalnej,</w:t>
      </w:r>
    </w:p>
    <w:p w14:paraId="13BF3F61" w14:textId="77777777" w:rsidR="00AD7AA3" w:rsidRDefault="00AD7AA3" w:rsidP="0024375B">
      <w:pPr>
        <w:pStyle w:val="ARTartustawynprozporzdzenia"/>
      </w:pPr>
      <w:r w:rsidRPr="0024375B">
        <w:t>c)</w:t>
      </w:r>
      <w:r w:rsidRPr="0024375B">
        <w:tab/>
        <w:t>usługi polegające całkowicie lub głównie na przekazywaniu sygnałów,</w:t>
      </w:r>
      <w:r w:rsidR="00EA1900">
        <w:t xml:space="preserve"> w </w:t>
      </w:r>
      <w:r w:rsidRPr="0024375B">
        <w:t>tym usługi transmisyjne stosowane na potrzeby świadczenia usług komunikacji maszyna - maszyna oraz na potrzeby nadawania.</w:t>
      </w:r>
    </w:p>
    <w:p w14:paraId="2AEF2BC7" w14:textId="77777777" w:rsidR="00C35A3C" w:rsidRPr="0024375B" w:rsidRDefault="00C35A3C" w:rsidP="0024375B">
      <w:pPr>
        <w:pStyle w:val="ARTartustawynprozporzdzenia"/>
      </w:pPr>
      <w:r>
        <w:t>Pozostawiono dotychczasowe brzmienie definicji zarządzania incydentem (pkt 48) oraz zarządzania ryzykiem (pkt 49).</w:t>
      </w:r>
    </w:p>
    <w:p w14:paraId="346F4C55" w14:textId="77777777" w:rsidR="00D764B4" w:rsidRDefault="00D764B4" w:rsidP="0024375B">
      <w:pPr>
        <w:pStyle w:val="ARTartustawynprozporzdzenia"/>
      </w:pPr>
      <w:r w:rsidRPr="0024375B">
        <w:t>Po</w:t>
      </w:r>
      <w:r w:rsidR="00EA1900">
        <w:t xml:space="preserve"> art. </w:t>
      </w:r>
      <w:r w:rsidRPr="0024375B">
        <w:t xml:space="preserve">2 </w:t>
      </w:r>
      <w:r w:rsidR="00627F4A" w:rsidRPr="0024375B">
        <w:t xml:space="preserve">zostanie </w:t>
      </w:r>
      <w:r w:rsidRPr="0024375B">
        <w:t>dodane oznaczenie działu II – Krajowy system cyberbezpieczeństwa</w:t>
      </w:r>
      <w:r w:rsidR="002161FE">
        <w:t xml:space="preserve"> i </w:t>
      </w:r>
      <w:r w:rsidRPr="0024375B">
        <w:t>krajowy system certyfikacji cyberbezpieczeństwa</w:t>
      </w:r>
      <w:r w:rsidR="00CE018D" w:rsidRPr="0024375B">
        <w:t xml:space="preserve"> (art. 1 pkt 4 projektu ustawy)</w:t>
      </w:r>
      <w:r w:rsidRPr="0024375B">
        <w:t>.</w:t>
      </w:r>
    </w:p>
    <w:p w14:paraId="2CD026F5" w14:textId="77777777" w:rsidR="005818E3" w:rsidRPr="00713E1C" w:rsidRDefault="005818E3" w:rsidP="00DC1575">
      <w:pPr>
        <w:pStyle w:val="Nagwek4"/>
      </w:pPr>
      <w:r w:rsidRPr="001C5AF2">
        <w:t>Zmiany</w:t>
      </w:r>
      <w:r w:rsidR="002161FE">
        <w:t xml:space="preserve"> w</w:t>
      </w:r>
      <w:r w:rsidR="00EA1900">
        <w:t xml:space="preserve"> art. </w:t>
      </w:r>
      <w:r w:rsidRPr="001C5AF2">
        <w:t>3</w:t>
      </w:r>
    </w:p>
    <w:p w14:paraId="487342D2" w14:textId="77777777" w:rsidR="005818E3" w:rsidRDefault="005818E3" w:rsidP="0024375B">
      <w:pPr>
        <w:pStyle w:val="ARTartustawynprozporzdzenia"/>
      </w:pPr>
      <w:r>
        <w:t>Dotychczasową treść</w:t>
      </w:r>
      <w:r w:rsidR="00EA1900">
        <w:t xml:space="preserve"> art. </w:t>
      </w:r>
      <w:r>
        <w:t>3 oznaczono jako ustęp pierwszy. Dodano ustęp drugi zgodnie</w:t>
      </w:r>
      <w:r w:rsidR="002161FE">
        <w:t xml:space="preserve"> z </w:t>
      </w:r>
      <w:r>
        <w:t>którym u</w:t>
      </w:r>
      <w:r w:rsidRPr="005818E3">
        <w:t>stawa ma zastosowanie we wszystkich stanach gotowości obronnej państwa</w:t>
      </w:r>
      <w:r>
        <w:t xml:space="preserve">. </w:t>
      </w:r>
      <w:r w:rsidRPr="005818E3">
        <w:t>Uzupełnienie ustawy o powyższe sformułowanie pozwoli uniknąć wątpliwości co do ograniczeń</w:t>
      </w:r>
      <w:r w:rsidR="00EA1900">
        <w:t xml:space="preserve"> w </w:t>
      </w:r>
      <w:r w:rsidRPr="005818E3">
        <w:t xml:space="preserve">funkcjonowaniu </w:t>
      </w:r>
      <w:r>
        <w:t>krajowego systemu cyberbezpieczeństwa</w:t>
      </w:r>
      <w:r w:rsidRPr="005818E3">
        <w:t xml:space="preserve">. Tym samym wzmocniony zostanie defensywy potencjał państwa poprzez zapewnienie ciągłego rozwoju krajowego systemu cyberbezpieczeństwa. Zapis ten zapewni ciągłość realizacji kompetencji przez </w:t>
      </w:r>
      <w:r>
        <w:t>krajowy system cyberbezpieczeństwa</w:t>
      </w:r>
      <w:r w:rsidR="00EA1900">
        <w:t xml:space="preserve"> w </w:t>
      </w:r>
      <w:r w:rsidRPr="005818E3">
        <w:t>stanach pokoju, kryzysu</w:t>
      </w:r>
      <w:r w:rsidR="002161FE">
        <w:t xml:space="preserve"> i </w:t>
      </w:r>
      <w:r w:rsidRPr="005818E3">
        <w:t xml:space="preserve">wojny. Umożliwi współdziałanie lub współpracę podmiotów </w:t>
      </w:r>
      <w:r>
        <w:t>krajowego systemu cyberbezpieczeństwa</w:t>
      </w:r>
      <w:r w:rsidR="00EA1900">
        <w:t xml:space="preserve"> w </w:t>
      </w:r>
      <w:r w:rsidRPr="005818E3">
        <w:t>realizacji zadań operacyjnych związanych</w:t>
      </w:r>
      <w:r w:rsidR="002161FE">
        <w:t xml:space="preserve"> z </w:t>
      </w:r>
      <w:r w:rsidRPr="005818E3">
        <w:t>zabezpieczeniem potrzeb obronnych</w:t>
      </w:r>
      <w:r w:rsidR="00EA1900">
        <w:t xml:space="preserve"> w </w:t>
      </w:r>
      <w:r w:rsidRPr="005818E3">
        <w:t>stanie pokoju jak</w:t>
      </w:r>
      <w:r w:rsidR="002161FE">
        <w:t xml:space="preserve"> i </w:t>
      </w:r>
      <w:r w:rsidRPr="005818E3">
        <w:t>ich realizacji</w:t>
      </w:r>
      <w:r w:rsidR="00EA1900">
        <w:t xml:space="preserve"> w </w:t>
      </w:r>
      <w:r w:rsidRPr="005818E3">
        <w:t>wyższych stanach gotowości obronnej państwa.</w:t>
      </w:r>
    </w:p>
    <w:p w14:paraId="08D74683" w14:textId="77777777" w:rsidR="00C35A3C" w:rsidRPr="00DD10ED" w:rsidRDefault="00C35A3C" w:rsidP="00DC1575">
      <w:pPr>
        <w:pStyle w:val="Nagwek4"/>
      </w:pPr>
      <w:r w:rsidRPr="00B60F95">
        <w:t>Nowy</w:t>
      </w:r>
      <w:r w:rsidR="00EA1900">
        <w:t xml:space="preserve"> art. </w:t>
      </w:r>
      <w:r w:rsidRPr="00B60F95">
        <w:t>3a</w:t>
      </w:r>
    </w:p>
    <w:p w14:paraId="45B8C95C" w14:textId="4541296B" w:rsidR="003B0A7B" w:rsidRPr="0024375B" w:rsidRDefault="003B0A7B" w:rsidP="0024375B">
      <w:pPr>
        <w:pStyle w:val="ARTartustawynprozporzdzenia"/>
        <w:rPr>
          <w:rFonts w:ascii="Times New Roman" w:hAnsi="Times New Roman" w:cs="Times New Roman"/>
        </w:rPr>
      </w:pPr>
      <w:r w:rsidRPr="0024375B">
        <w:rPr>
          <w:rFonts w:ascii="Times New Roman" w:hAnsi="Times New Roman" w:cs="Times New Roman"/>
        </w:rPr>
        <w:t>W związku</w:t>
      </w:r>
      <w:r w:rsidR="002161FE">
        <w:rPr>
          <w:rFonts w:ascii="Times New Roman" w:hAnsi="Times New Roman" w:cs="Times New Roman"/>
        </w:rPr>
        <w:t xml:space="preserve"> z </w:t>
      </w:r>
      <w:r w:rsidRPr="0024375B">
        <w:rPr>
          <w:rFonts w:ascii="Times New Roman" w:hAnsi="Times New Roman" w:cs="Times New Roman"/>
        </w:rPr>
        <w:t>pojawiającymi się wątpliwościami dotyczącymi uprawnień podmiotów </w:t>
      </w:r>
      <w:r w:rsidR="00D764B4" w:rsidRPr="0024375B">
        <w:rPr>
          <w:rFonts w:ascii="Times New Roman" w:hAnsi="Times New Roman" w:cs="Times New Roman"/>
          <w:bCs/>
        </w:rPr>
        <w:t>krajowego systemu cyberbezpieczeństwa</w:t>
      </w:r>
      <w:r w:rsidRPr="0024375B">
        <w:rPr>
          <w:rFonts w:ascii="Times New Roman" w:hAnsi="Times New Roman" w:cs="Times New Roman"/>
        </w:rPr>
        <w:t> przy obsłudze incydentu został dodany</w:t>
      </w:r>
      <w:r w:rsidR="00EA1900">
        <w:rPr>
          <w:rFonts w:ascii="Times New Roman" w:hAnsi="Times New Roman" w:cs="Times New Roman"/>
        </w:rPr>
        <w:t xml:space="preserve"> art. </w:t>
      </w:r>
      <w:r w:rsidRPr="0024375B">
        <w:rPr>
          <w:rFonts w:ascii="Times New Roman" w:hAnsi="Times New Roman" w:cs="Times New Roman"/>
        </w:rPr>
        <w:t>3a</w:t>
      </w:r>
      <w:r w:rsidR="002C74C7" w:rsidRPr="0024375B">
        <w:rPr>
          <w:rFonts w:ascii="Times New Roman" w:hAnsi="Times New Roman" w:cs="Times New Roman"/>
        </w:rPr>
        <w:t xml:space="preserve">, </w:t>
      </w:r>
      <w:r w:rsidR="006F5BD4">
        <w:rPr>
          <w:rFonts w:ascii="Times New Roman" w:hAnsi="Times New Roman" w:cs="Times New Roman"/>
        </w:rPr>
        <w:t xml:space="preserve">w </w:t>
      </w:r>
      <w:r w:rsidR="002C74C7" w:rsidRPr="0024375B">
        <w:rPr>
          <w:rFonts w:ascii="Times New Roman" w:hAnsi="Times New Roman" w:cs="Times New Roman"/>
        </w:rPr>
        <w:t>którym</w:t>
      </w:r>
      <w:r w:rsidRPr="0024375B">
        <w:rPr>
          <w:rFonts w:ascii="Times New Roman" w:hAnsi="Times New Roman" w:cs="Times New Roman"/>
        </w:rPr>
        <w:t xml:space="preserve"> doprecyzowano, że</w:t>
      </w:r>
      <w:r w:rsidR="00EA1900">
        <w:rPr>
          <w:rFonts w:ascii="Times New Roman" w:hAnsi="Times New Roman" w:cs="Times New Roman"/>
        </w:rPr>
        <w:t xml:space="preserve"> w </w:t>
      </w:r>
      <w:r w:rsidRPr="0024375B">
        <w:rPr>
          <w:rFonts w:ascii="Times New Roman" w:hAnsi="Times New Roman" w:cs="Times New Roman"/>
        </w:rPr>
        <w:t>przypadku </w:t>
      </w:r>
      <w:r w:rsidR="00D764B4" w:rsidRPr="0024375B">
        <w:rPr>
          <w:rFonts w:ascii="Times New Roman" w:hAnsi="Times New Roman" w:cs="Times New Roman"/>
        </w:rPr>
        <w:t>wystąpienia</w:t>
      </w:r>
      <w:r w:rsidRPr="0024375B">
        <w:rPr>
          <w:rFonts w:ascii="Times New Roman" w:hAnsi="Times New Roman" w:cs="Times New Roman"/>
        </w:rPr>
        <w:t> incydentu</w:t>
      </w:r>
      <w:r w:rsidR="002C74C7" w:rsidRPr="0024375B">
        <w:rPr>
          <w:rFonts w:ascii="Times New Roman" w:hAnsi="Times New Roman" w:cs="Times New Roman"/>
        </w:rPr>
        <w:t xml:space="preserve"> podmioty te</w:t>
      </w:r>
      <w:r w:rsidRPr="0024375B">
        <w:rPr>
          <w:rFonts w:ascii="Times New Roman" w:hAnsi="Times New Roman" w:cs="Times New Roman"/>
        </w:rPr>
        <w:t xml:space="preserve"> mogą</w:t>
      </w:r>
      <w:r w:rsidR="007F2C6D" w:rsidRPr="0024375B">
        <w:rPr>
          <w:rFonts w:ascii="Times New Roman" w:hAnsi="Times New Roman" w:cs="Times New Roman"/>
        </w:rPr>
        <w:t>,</w:t>
      </w:r>
      <w:r w:rsidR="00EA1900">
        <w:rPr>
          <w:rFonts w:ascii="Times New Roman" w:hAnsi="Times New Roman" w:cs="Times New Roman"/>
        </w:rPr>
        <w:t xml:space="preserve"> w </w:t>
      </w:r>
      <w:r w:rsidR="007F2C6D" w:rsidRPr="0024375B">
        <w:rPr>
          <w:rFonts w:ascii="Times New Roman" w:hAnsi="Times New Roman" w:cs="Times New Roman"/>
        </w:rPr>
        <w:t>ramach obsługi incydentów</w:t>
      </w:r>
      <w:r w:rsidR="002C74C7" w:rsidRPr="0024375B">
        <w:rPr>
          <w:rFonts w:ascii="Times New Roman" w:hAnsi="Times New Roman" w:cs="Times New Roman"/>
        </w:rPr>
        <w:t>,</w:t>
      </w:r>
      <w:r w:rsidR="00EA1900">
        <w:rPr>
          <w:rFonts w:ascii="Times New Roman" w:hAnsi="Times New Roman" w:cs="Times New Roman"/>
        </w:rPr>
        <w:t xml:space="preserve"> w </w:t>
      </w:r>
      <w:r w:rsidR="002C74C7" w:rsidRPr="0024375B">
        <w:rPr>
          <w:rFonts w:ascii="Times New Roman" w:hAnsi="Times New Roman" w:cs="Times New Roman"/>
        </w:rPr>
        <w:t>szczególności podejmować działania</w:t>
      </w:r>
      <w:r w:rsidR="00EA1900">
        <w:rPr>
          <w:rFonts w:ascii="Times New Roman" w:hAnsi="Times New Roman" w:cs="Times New Roman"/>
        </w:rPr>
        <w:t xml:space="preserve"> w </w:t>
      </w:r>
      <w:r w:rsidR="002C74C7" w:rsidRPr="0024375B">
        <w:rPr>
          <w:rFonts w:ascii="Times New Roman" w:hAnsi="Times New Roman" w:cs="Times New Roman"/>
        </w:rPr>
        <w:t xml:space="preserve">celu: </w:t>
      </w:r>
      <w:r w:rsidR="000C6A42">
        <w:rPr>
          <w:rFonts w:ascii="Times New Roman" w:hAnsi="Times New Roman" w:cs="Times New Roman"/>
        </w:rPr>
        <w:t>wykrywania źródła lub dokonywania analizy</w:t>
      </w:r>
      <w:r w:rsidR="002C74C7" w:rsidRPr="0024375B">
        <w:rPr>
          <w:rFonts w:ascii="Times New Roman" w:hAnsi="Times New Roman" w:cs="Times New Roman"/>
        </w:rPr>
        <w:t xml:space="preserve"> </w:t>
      </w:r>
      <w:r w:rsidRPr="0024375B">
        <w:rPr>
          <w:rFonts w:ascii="Times New Roman" w:hAnsi="Times New Roman" w:cs="Times New Roman"/>
        </w:rPr>
        <w:t>ruch</w:t>
      </w:r>
      <w:r w:rsidR="002C74C7" w:rsidRPr="0024375B">
        <w:rPr>
          <w:rFonts w:ascii="Times New Roman" w:hAnsi="Times New Roman" w:cs="Times New Roman"/>
        </w:rPr>
        <w:t>u</w:t>
      </w:r>
      <w:r w:rsidRPr="0024375B">
        <w:rPr>
          <w:rFonts w:ascii="Times New Roman" w:hAnsi="Times New Roman" w:cs="Times New Roman"/>
        </w:rPr>
        <w:t xml:space="preserve"> </w:t>
      </w:r>
      <w:r w:rsidR="002C74C7" w:rsidRPr="0024375B">
        <w:rPr>
          <w:rFonts w:ascii="Times New Roman" w:hAnsi="Times New Roman" w:cs="Times New Roman"/>
        </w:rPr>
        <w:t xml:space="preserve">sieciowego </w:t>
      </w:r>
      <w:r w:rsidR="000C6A42" w:rsidRPr="0024375B">
        <w:rPr>
          <w:rFonts w:ascii="Times New Roman" w:hAnsi="Times New Roman" w:cs="Times New Roman"/>
        </w:rPr>
        <w:t>powodując</w:t>
      </w:r>
      <w:r w:rsidR="000C6A42">
        <w:rPr>
          <w:rFonts w:ascii="Times New Roman" w:hAnsi="Times New Roman" w:cs="Times New Roman"/>
        </w:rPr>
        <w:t>ych</w:t>
      </w:r>
      <w:r w:rsidR="000C6A42" w:rsidRPr="0024375B">
        <w:rPr>
          <w:rFonts w:ascii="Times New Roman" w:hAnsi="Times New Roman" w:cs="Times New Roman"/>
        </w:rPr>
        <w:t xml:space="preserve"> </w:t>
      </w:r>
      <w:r w:rsidR="002C74C7" w:rsidRPr="0024375B">
        <w:rPr>
          <w:rFonts w:ascii="Times New Roman" w:hAnsi="Times New Roman" w:cs="Times New Roman"/>
        </w:rPr>
        <w:t xml:space="preserve">wystąpienie incydentu </w:t>
      </w:r>
      <w:r w:rsidRPr="0024375B">
        <w:rPr>
          <w:rFonts w:ascii="Times New Roman" w:hAnsi="Times New Roman" w:cs="Times New Roman"/>
        </w:rPr>
        <w:t>oraz </w:t>
      </w:r>
      <w:r w:rsidR="002C74C7" w:rsidRPr="0024375B">
        <w:rPr>
          <w:rFonts w:ascii="Times New Roman" w:hAnsi="Times New Roman" w:cs="Times New Roman"/>
        </w:rPr>
        <w:t>czasowego ograniczenia </w:t>
      </w:r>
      <w:r w:rsidRPr="0024375B">
        <w:rPr>
          <w:rFonts w:ascii="Times New Roman" w:hAnsi="Times New Roman" w:cs="Times New Roman"/>
        </w:rPr>
        <w:t>ruch</w:t>
      </w:r>
      <w:r w:rsidR="00C44FF5">
        <w:rPr>
          <w:rFonts w:ascii="Times New Roman" w:hAnsi="Times New Roman" w:cs="Times New Roman"/>
        </w:rPr>
        <w:t>u</w:t>
      </w:r>
      <w:r w:rsidRPr="0024375B">
        <w:rPr>
          <w:rFonts w:ascii="Times New Roman" w:hAnsi="Times New Roman" w:cs="Times New Roman"/>
        </w:rPr>
        <w:t> sieciowy</w:t>
      </w:r>
      <w:r w:rsidR="002161FE">
        <w:rPr>
          <w:rFonts w:ascii="Times New Roman" w:hAnsi="Times New Roman" w:cs="Times New Roman"/>
        </w:rPr>
        <w:t xml:space="preserve"> z </w:t>
      </w:r>
      <w:r w:rsidRPr="0024375B">
        <w:rPr>
          <w:rFonts w:ascii="Times New Roman" w:hAnsi="Times New Roman" w:cs="Times New Roman"/>
        </w:rPr>
        <w:t>adresów IP lub adresów URL, zidentyfikowanego jako przyczyna incydentu</w:t>
      </w:r>
      <w:r w:rsidR="002C74C7" w:rsidRPr="0024375B">
        <w:rPr>
          <w:rFonts w:ascii="Times New Roman" w:hAnsi="Times New Roman" w:cs="Times New Roman"/>
        </w:rPr>
        <w:t>,</w:t>
      </w:r>
      <w:r w:rsidR="00D561E9" w:rsidRPr="0024375B">
        <w:rPr>
          <w:rFonts w:ascii="Times New Roman" w:hAnsi="Times New Roman" w:cs="Times New Roman"/>
        </w:rPr>
        <w:t xml:space="preserve"> wchodzącego do infrastruktury tego podmiotu</w:t>
      </w:r>
      <w:r w:rsidRPr="0024375B">
        <w:rPr>
          <w:rFonts w:ascii="Times New Roman" w:hAnsi="Times New Roman" w:cs="Times New Roman"/>
        </w:rPr>
        <w:t>.</w:t>
      </w:r>
      <w:r w:rsidR="00116933">
        <w:rPr>
          <w:rFonts w:ascii="Times New Roman" w:hAnsi="Times New Roman" w:cs="Times New Roman"/>
        </w:rPr>
        <w:t xml:space="preserve"> W </w:t>
      </w:r>
      <w:r w:rsidRPr="0024375B">
        <w:rPr>
          <w:rFonts w:ascii="Times New Roman" w:hAnsi="Times New Roman" w:cs="Times New Roman"/>
        </w:rPr>
        <w:t>przypadku wielu cyberataków takie działania są niezbędne</w:t>
      </w:r>
      <w:r w:rsidR="00EA1900">
        <w:rPr>
          <w:rFonts w:ascii="Times New Roman" w:hAnsi="Times New Roman" w:cs="Times New Roman"/>
        </w:rPr>
        <w:t xml:space="preserve"> w </w:t>
      </w:r>
      <w:r w:rsidRPr="0024375B">
        <w:rPr>
          <w:rFonts w:ascii="Times New Roman" w:hAnsi="Times New Roman" w:cs="Times New Roman"/>
        </w:rPr>
        <w:t xml:space="preserve">celu ochrony systemu, </w:t>
      </w:r>
      <w:r w:rsidR="002C74C7" w:rsidRPr="0024375B">
        <w:rPr>
          <w:rFonts w:ascii="Times New Roman" w:hAnsi="Times New Roman" w:cs="Times New Roman"/>
        </w:rPr>
        <w:t>przy czym</w:t>
      </w:r>
      <w:r w:rsidR="00EA1900">
        <w:rPr>
          <w:rFonts w:ascii="Times New Roman" w:hAnsi="Times New Roman" w:cs="Times New Roman"/>
        </w:rPr>
        <w:t xml:space="preserve"> w </w:t>
      </w:r>
      <w:r w:rsidR="002C74C7" w:rsidRPr="0024375B">
        <w:rPr>
          <w:rFonts w:ascii="Times New Roman" w:hAnsi="Times New Roman" w:cs="Times New Roman"/>
        </w:rPr>
        <w:t xml:space="preserve">praktyce działania te </w:t>
      </w:r>
      <w:r w:rsidRPr="0024375B">
        <w:rPr>
          <w:rFonts w:ascii="Times New Roman" w:hAnsi="Times New Roman" w:cs="Times New Roman"/>
        </w:rPr>
        <w:t>mogą naruszyć </w:t>
      </w:r>
      <w:r w:rsidR="004749B7" w:rsidRPr="0024375B">
        <w:rPr>
          <w:rFonts w:ascii="Times New Roman" w:hAnsi="Times New Roman" w:cs="Times New Roman"/>
        </w:rPr>
        <w:t xml:space="preserve">okresowo </w:t>
      </w:r>
      <w:r w:rsidRPr="0024375B">
        <w:rPr>
          <w:rFonts w:ascii="Times New Roman" w:hAnsi="Times New Roman" w:cs="Times New Roman"/>
        </w:rPr>
        <w:t>prawa określonych użytkowników. Z powyższych względów konieczne jest wskazanie wprost, że takie działania</w:t>
      </w:r>
      <w:r w:rsidR="004749B7" w:rsidRPr="0024375B">
        <w:rPr>
          <w:rFonts w:ascii="Times New Roman" w:hAnsi="Times New Roman" w:cs="Times New Roman"/>
        </w:rPr>
        <w:t xml:space="preserve"> są dopuszczalne</w:t>
      </w:r>
      <w:r w:rsidR="002C74C7" w:rsidRPr="0024375B">
        <w:rPr>
          <w:rFonts w:ascii="Times New Roman" w:hAnsi="Times New Roman" w:cs="Times New Roman"/>
        </w:rPr>
        <w:t xml:space="preserve"> prawnie, jednakże wyłącznie</w:t>
      </w:r>
      <w:r w:rsidR="00EA1900">
        <w:rPr>
          <w:rFonts w:ascii="Times New Roman" w:hAnsi="Times New Roman" w:cs="Times New Roman"/>
        </w:rPr>
        <w:t xml:space="preserve"> w </w:t>
      </w:r>
      <w:r w:rsidR="002C74C7" w:rsidRPr="0024375B">
        <w:rPr>
          <w:rFonts w:ascii="Times New Roman" w:hAnsi="Times New Roman" w:cs="Times New Roman"/>
        </w:rPr>
        <w:t>określonej sytuacji</w:t>
      </w:r>
      <w:r w:rsidRPr="0024375B">
        <w:rPr>
          <w:rFonts w:ascii="Times New Roman" w:hAnsi="Times New Roman" w:cs="Times New Roman"/>
        </w:rPr>
        <w:t>. </w:t>
      </w:r>
    </w:p>
    <w:p w14:paraId="5D11A9FC" w14:textId="77777777" w:rsidR="00C35A3C" w:rsidRPr="00DD10ED" w:rsidRDefault="00C35A3C" w:rsidP="00DC1575">
      <w:pPr>
        <w:pStyle w:val="Nagwek4"/>
      </w:pPr>
      <w:r w:rsidRPr="00B60F95">
        <w:t>Zmiana</w:t>
      </w:r>
      <w:r w:rsidR="00EA1900">
        <w:t xml:space="preserve"> art. </w:t>
      </w:r>
      <w:r w:rsidRPr="00B60F95">
        <w:t>4</w:t>
      </w:r>
    </w:p>
    <w:p w14:paraId="09B3010A" w14:textId="77777777" w:rsidR="001B110A"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 nowelizacji</w:t>
      </w:r>
      <w:r w:rsidR="00EA1900">
        <w:rPr>
          <w:rFonts w:ascii="Times New Roman" w:hAnsi="Times New Roman" w:cs="Times New Roman"/>
        </w:rPr>
        <w:t xml:space="preserve"> art. </w:t>
      </w:r>
      <w:r w:rsidRPr="0024375B">
        <w:rPr>
          <w:rFonts w:ascii="Times New Roman" w:hAnsi="Times New Roman" w:cs="Times New Roman"/>
        </w:rPr>
        <w:t xml:space="preserve">4, który </w:t>
      </w:r>
      <w:r w:rsidR="00627F4A" w:rsidRPr="0024375B">
        <w:rPr>
          <w:rFonts w:ascii="Times New Roman" w:hAnsi="Times New Roman" w:cs="Times New Roman"/>
        </w:rPr>
        <w:t xml:space="preserve">zawiera katalog </w:t>
      </w:r>
      <w:r w:rsidRPr="0024375B">
        <w:rPr>
          <w:rFonts w:ascii="Times New Roman" w:hAnsi="Times New Roman" w:cs="Times New Roman"/>
        </w:rPr>
        <w:t>podmiot</w:t>
      </w:r>
      <w:r w:rsidR="00627F4A" w:rsidRPr="0024375B">
        <w:rPr>
          <w:rFonts w:ascii="Times New Roman" w:hAnsi="Times New Roman" w:cs="Times New Roman"/>
        </w:rPr>
        <w:t>ów</w:t>
      </w:r>
      <w:r w:rsidRPr="0024375B">
        <w:rPr>
          <w:rFonts w:ascii="Times New Roman" w:hAnsi="Times New Roman" w:cs="Times New Roman"/>
        </w:rPr>
        <w:t xml:space="preserve"> </w:t>
      </w:r>
      <w:r w:rsidR="00904309" w:rsidRPr="0024375B">
        <w:rPr>
          <w:rFonts w:ascii="Times New Roman" w:hAnsi="Times New Roman" w:cs="Times New Roman"/>
        </w:rPr>
        <w:t>krajowego systemu cyberbezpieczeństwa</w:t>
      </w:r>
      <w:r w:rsidR="00C35A3C">
        <w:rPr>
          <w:rFonts w:ascii="Times New Roman" w:hAnsi="Times New Roman" w:cs="Times New Roman"/>
        </w:rPr>
        <w:t xml:space="preserve"> wprowadza się szereg zmian.</w:t>
      </w:r>
      <w:r w:rsidR="00FD08CC" w:rsidRPr="0024375B">
        <w:rPr>
          <w:rFonts w:ascii="Times New Roman" w:hAnsi="Times New Roman" w:cs="Times New Roman"/>
        </w:rPr>
        <w:t xml:space="preserve"> </w:t>
      </w:r>
      <w:r w:rsidR="00E4067E" w:rsidRPr="0024375B">
        <w:rPr>
          <w:rFonts w:ascii="Times New Roman" w:hAnsi="Times New Roman" w:cs="Times New Roman"/>
        </w:rPr>
        <w:t>P</w:t>
      </w:r>
      <w:r w:rsidRPr="0024375B">
        <w:rPr>
          <w:rFonts w:ascii="Times New Roman" w:hAnsi="Times New Roman" w:cs="Times New Roman"/>
        </w:rPr>
        <w:t xml:space="preserve">roponuje się </w:t>
      </w:r>
      <w:r w:rsidR="00E4067E" w:rsidRPr="0024375B">
        <w:rPr>
          <w:rFonts w:ascii="Times New Roman" w:hAnsi="Times New Roman" w:cs="Times New Roman"/>
        </w:rPr>
        <w:t>także dodanie nowych podmiotów</w:t>
      </w:r>
      <w:r w:rsidRPr="0024375B">
        <w:rPr>
          <w:rFonts w:ascii="Times New Roman" w:hAnsi="Times New Roman" w:cs="Times New Roman"/>
        </w:rPr>
        <w:t>:</w:t>
      </w:r>
      <w:r w:rsidR="00E4067E" w:rsidRPr="0024375B">
        <w:rPr>
          <w:rFonts w:ascii="Times New Roman" w:hAnsi="Times New Roman" w:cs="Times New Roman"/>
        </w:rPr>
        <w:t xml:space="preserve"> przedsiębiorców komunikacji </w:t>
      </w:r>
      <w:r w:rsidR="00E4067E" w:rsidRPr="0024375B">
        <w:rPr>
          <w:rFonts w:ascii="Times New Roman" w:hAnsi="Times New Roman" w:cs="Times New Roman"/>
        </w:rPr>
        <w:lastRenderedPageBreak/>
        <w:t xml:space="preserve">elektronicznej, CSIRT Telco, </w:t>
      </w:r>
      <w:r w:rsidR="00D91927" w:rsidRPr="0024375B">
        <w:rPr>
          <w:rFonts w:ascii="Times New Roman" w:hAnsi="Times New Roman" w:cs="Times New Roman"/>
        </w:rPr>
        <w:t>CSIRT INT</w:t>
      </w:r>
      <w:r w:rsidR="00627F4A" w:rsidRPr="0024375B">
        <w:rPr>
          <w:rFonts w:ascii="Times New Roman" w:hAnsi="Times New Roman" w:cs="Times New Roman"/>
        </w:rPr>
        <w:t xml:space="preserve"> oraz</w:t>
      </w:r>
      <w:r w:rsidR="00D91927" w:rsidRPr="0024375B">
        <w:rPr>
          <w:rFonts w:ascii="Times New Roman" w:hAnsi="Times New Roman" w:cs="Times New Roman"/>
        </w:rPr>
        <w:t xml:space="preserve"> ISAC znajdujące się</w:t>
      </w:r>
      <w:r w:rsidR="00EA1900">
        <w:rPr>
          <w:rFonts w:ascii="Times New Roman" w:hAnsi="Times New Roman" w:cs="Times New Roman"/>
        </w:rPr>
        <w:t xml:space="preserve"> w </w:t>
      </w:r>
      <w:r w:rsidR="00D91927" w:rsidRPr="0024375B">
        <w:rPr>
          <w:rFonts w:ascii="Times New Roman" w:hAnsi="Times New Roman" w:cs="Times New Roman"/>
        </w:rPr>
        <w:t>wykazie ISAC</w:t>
      </w:r>
      <w:r w:rsidR="001B110A" w:rsidRPr="0024375B">
        <w:rPr>
          <w:rFonts w:ascii="Times New Roman" w:hAnsi="Times New Roman" w:cs="Times New Roman"/>
        </w:rPr>
        <w:t xml:space="preserve">. </w:t>
      </w:r>
      <w:r w:rsidR="00E4067E" w:rsidRPr="0024375B">
        <w:rPr>
          <w:rFonts w:ascii="Times New Roman" w:hAnsi="Times New Roman" w:cs="Times New Roman"/>
        </w:rPr>
        <w:t>Ponadto</w:t>
      </w:r>
      <w:r w:rsidR="00EA1900">
        <w:rPr>
          <w:rFonts w:ascii="Times New Roman" w:hAnsi="Times New Roman" w:cs="Times New Roman"/>
        </w:rPr>
        <w:t xml:space="preserve"> w </w:t>
      </w:r>
      <w:r w:rsidR="00E4067E" w:rsidRPr="0024375B">
        <w:rPr>
          <w:rFonts w:ascii="Times New Roman" w:hAnsi="Times New Roman" w:cs="Times New Roman"/>
        </w:rPr>
        <w:t>katalogu uwzględniono</w:t>
      </w:r>
      <w:r w:rsidR="001B110A" w:rsidRPr="0024375B">
        <w:rPr>
          <w:rFonts w:ascii="Times New Roman" w:hAnsi="Times New Roman" w:cs="Times New Roman"/>
        </w:rPr>
        <w:t>:</w:t>
      </w:r>
    </w:p>
    <w:p w14:paraId="333BA3F7" w14:textId="77777777" w:rsidR="001B110A" w:rsidRPr="0024375B" w:rsidRDefault="00F6749E" w:rsidP="0024375B">
      <w:pPr>
        <w:pStyle w:val="NIEARTTEKSTtekstnieartykuowanynppodstprawnarozplubpreambua"/>
        <w:numPr>
          <w:ilvl w:val="0"/>
          <w:numId w:val="61"/>
        </w:numPr>
        <w:rPr>
          <w:rFonts w:ascii="Times New Roman" w:hAnsi="Times New Roman" w:cs="Times New Roman"/>
        </w:rPr>
      </w:pPr>
      <w:r w:rsidRPr="0024375B">
        <w:rPr>
          <w:rFonts w:ascii="Times New Roman" w:hAnsi="Times New Roman" w:cs="Times New Roman"/>
        </w:rPr>
        <w:t>Urząd Komisji Nadzoru Finansowego (</w:t>
      </w:r>
      <w:r w:rsidR="001B110A" w:rsidRPr="0024375B">
        <w:rPr>
          <w:rFonts w:ascii="Times New Roman" w:hAnsi="Times New Roman" w:cs="Times New Roman"/>
        </w:rPr>
        <w:t>UKNF pierwotnie znajdował się</w:t>
      </w:r>
      <w:r w:rsidR="00EA1900">
        <w:rPr>
          <w:rFonts w:ascii="Times New Roman" w:hAnsi="Times New Roman" w:cs="Times New Roman"/>
        </w:rPr>
        <w:t xml:space="preserve"> w </w:t>
      </w:r>
      <w:r w:rsidR="001B110A" w:rsidRPr="0024375B">
        <w:rPr>
          <w:rFonts w:ascii="Times New Roman" w:hAnsi="Times New Roman" w:cs="Times New Roman"/>
        </w:rPr>
        <w:t>krajowym systemie cyberbezpieczeństwa jako jednostka budżetowa; jednakże</w:t>
      </w:r>
      <w:r w:rsidR="00EA1900">
        <w:rPr>
          <w:rFonts w:ascii="Times New Roman" w:hAnsi="Times New Roman" w:cs="Times New Roman"/>
        </w:rPr>
        <w:t xml:space="preserve"> w </w:t>
      </w:r>
      <w:r w:rsidRPr="0024375B">
        <w:rPr>
          <w:rFonts w:ascii="Times New Roman" w:hAnsi="Times New Roman" w:cs="Times New Roman"/>
        </w:rPr>
        <w:t>związku ze zmianą ustawy</w:t>
      </w:r>
      <w:r w:rsidR="0077165A">
        <w:rPr>
          <w:rFonts w:ascii="Times New Roman" w:hAnsi="Times New Roman" w:cs="Times New Roman"/>
        </w:rPr>
        <w:t xml:space="preserve"> o </w:t>
      </w:r>
      <w:r w:rsidRPr="0024375B">
        <w:rPr>
          <w:rFonts w:ascii="Times New Roman" w:hAnsi="Times New Roman" w:cs="Times New Roman"/>
        </w:rPr>
        <w:t>nadzorze nad rynkiem finansowym zmienił formę prawną działania</w:t>
      </w:r>
      <w:r w:rsidR="001B110A" w:rsidRPr="0024375B">
        <w:rPr>
          <w:rFonts w:ascii="Times New Roman" w:hAnsi="Times New Roman" w:cs="Times New Roman"/>
        </w:rPr>
        <w:t xml:space="preserve"> – stał się państwową osobą prawną, wobec czego już nie był</w:t>
      </w:r>
      <w:r w:rsidR="00EA1900">
        <w:rPr>
          <w:rFonts w:ascii="Times New Roman" w:hAnsi="Times New Roman" w:cs="Times New Roman"/>
        </w:rPr>
        <w:t xml:space="preserve"> w </w:t>
      </w:r>
      <w:r w:rsidR="001B110A" w:rsidRPr="0024375B">
        <w:rPr>
          <w:rFonts w:ascii="Times New Roman" w:hAnsi="Times New Roman" w:cs="Times New Roman"/>
        </w:rPr>
        <w:t xml:space="preserve">systemie </w:t>
      </w:r>
      <w:r w:rsidRPr="0024375B">
        <w:rPr>
          <w:rStyle w:val="Odwoanieprzypisudolnego"/>
          <w:rFonts w:ascii="Times New Roman" w:hAnsi="Times New Roman"/>
        </w:rPr>
        <w:footnoteReference w:id="15"/>
      </w:r>
      <w:r w:rsidR="0087130F">
        <w:rPr>
          <w:rFonts w:ascii="Times New Roman" w:hAnsi="Times New Roman" w:cs="Times New Roman"/>
          <w:vertAlign w:val="superscript"/>
        </w:rPr>
        <w:t>)</w:t>
      </w:r>
      <w:r w:rsidRPr="0024375B">
        <w:rPr>
          <w:rFonts w:ascii="Times New Roman" w:hAnsi="Times New Roman" w:cs="Times New Roman"/>
        </w:rPr>
        <w:t xml:space="preserve">), </w:t>
      </w:r>
    </w:p>
    <w:p w14:paraId="120E1193" w14:textId="45D36BFD" w:rsidR="001B110A" w:rsidRPr="0024375B" w:rsidRDefault="00F6749E" w:rsidP="0024375B">
      <w:pPr>
        <w:pStyle w:val="NIEARTTEKSTtekstnieartykuowanynppodstprawnarozplubpreambua"/>
        <w:numPr>
          <w:ilvl w:val="0"/>
          <w:numId w:val="61"/>
        </w:numPr>
        <w:rPr>
          <w:rFonts w:ascii="Times New Roman" w:hAnsi="Times New Roman" w:cs="Times New Roman"/>
        </w:rPr>
      </w:pPr>
      <w:r w:rsidRPr="0024375B">
        <w:rPr>
          <w:rFonts w:ascii="Times New Roman" w:hAnsi="Times New Roman" w:cs="Times New Roman"/>
        </w:rPr>
        <w:t>uczelnie</w:t>
      </w:r>
      <w:r w:rsidR="004167DA" w:rsidRPr="0024375B">
        <w:rPr>
          <w:rFonts w:ascii="Times New Roman" w:hAnsi="Times New Roman" w:cs="Times New Roman"/>
        </w:rPr>
        <w:t>, Polską Akademię Nauk</w:t>
      </w:r>
      <w:r w:rsidR="002161FE">
        <w:rPr>
          <w:rFonts w:ascii="Times New Roman" w:hAnsi="Times New Roman" w:cs="Times New Roman"/>
        </w:rPr>
        <w:t xml:space="preserve"> i </w:t>
      </w:r>
      <w:r w:rsidR="004167DA" w:rsidRPr="0024375B">
        <w:rPr>
          <w:rFonts w:ascii="Times New Roman" w:hAnsi="Times New Roman" w:cs="Times New Roman"/>
        </w:rPr>
        <w:t>jej instytuty, międzynarodowe instytuty naukowe, Centrum Łukasiewicz wraz</w:t>
      </w:r>
      <w:r w:rsidR="002161FE">
        <w:rPr>
          <w:rFonts w:ascii="Times New Roman" w:hAnsi="Times New Roman" w:cs="Times New Roman"/>
        </w:rPr>
        <w:t xml:space="preserve"> z </w:t>
      </w:r>
      <w:r w:rsidR="004167DA" w:rsidRPr="0024375B">
        <w:rPr>
          <w:rFonts w:ascii="Times New Roman" w:hAnsi="Times New Roman" w:cs="Times New Roman"/>
        </w:rPr>
        <w:t>instytutami oraz Polską Akademię Umiejętności</w:t>
      </w:r>
      <w:r w:rsidR="00E4067E" w:rsidRPr="0024375B">
        <w:rPr>
          <w:rFonts w:ascii="Times New Roman" w:hAnsi="Times New Roman" w:cs="Times New Roman"/>
        </w:rPr>
        <w:t>,</w:t>
      </w:r>
      <w:r w:rsidRPr="0024375B">
        <w:rPr>
          <w:rFonts w:ascii="Times New Roman" w:hAnsi="Times New Roman" w:cs="Times New Roman"/>
        </w:rPr>
        <w:t xml:space="preserve"> odwołując się do </w:t>
      </w:r>
      <w:r w:rsidR="008D2233" w:rsidRPr="0024375B">
        <w:rPr>
          <w:rFonts w:ascii="Times New Roman" w:hAnsi="Times New Roman" w:cs="Times New Roman"/>
        </w:rPr>
        <w:t>ustawy</w:t>
      </w:r>
      <w:r w:rsidR="002161FE">
        <w:rPr>
          <w:rFonts w:ascii="Times New Roman" w:hAnsi="Times New Roman" w:cs="Times New Roman"/>
        </w:rPr>
        <w:t xml:space="preserve"> z </w:t>
      </w:r>
      <w:r w:rsidR="008D2233" w:rsidRPr="0024375B">
        <w:rPr>
          <w:rFonts w:ascii="Times New Roman" w:hAnsi="Times New Roman" w:cs="Times New Roman"/>
        </w:rPr>
        <w:t>20 lipca 2018 r.</w:t>
      </w:r>
      <w:r w:rsidR="00C44FF5">
        <w:rPr>
          <w:rFonts w:ascii="Times New Roman" w:hAnsi="Times New Roman" w:cs="Times New Roman"/>
        </w:rPr>
        <w:t xml:space="preserve"> - </w:t>
      </w:r>
      <w:r w:rsidR="008D2233" w:rsidRPr="0024375B">
        <w:rPr>
          <w:rFonts w:ascii="Times New Roman" w:hAnsi="Times New Roman" w:cs="Times New Roman"/>
        </w:rPr>
        <w:t xml:space="preserve"> Prawo</w:t>
      </w:r>
      <w:r w:rsidR="0077165A">
        <w:rPr>
          <w:rFonts w:ascii="Times New Roman" w:hAnsi="Times New Roman" w:cs="Times New Roman"/>
        </w:rPr>
        <w:t xml:space="preserve"> o </w:t>
      </w:r>
      <w:r w:rsidRPr="0024375B">
        <w:rPr>
          <w:rFonts w:ascii="Times New Roman" w:hAnsi="Times New Roman" w:cs="Times New Roman"/>
        </w:rPr>
        <w:t>szkolnictwie wyższym</w:t>
      </w:r>
      <w:r w:rsidR="002161FE">
        <w:rPr>
          <w:rFonts w:ascii="Times New Roman" w:hAnsi="Times New Roman" w:cs="Times New Roman"/>
        </w:rPr>
        <w:t xml:space="preserve"> i </w:t>
      </w:r>
      <w:r w:rsidRPr="0024375B">
        <w:rPr>
          <w:rFonts w:ascii="Times New Roman" w:hAnsi="Times New Roman" w:cs="Times New Roman"/>
        </w:rPr>
        <w:t xml:space="preserve">nauce. </w:t>
      </w:r>
    </w:p>
    <w:p w14:paraId="40C4FBE2" w14:textId="77777777" w:rsidR="001B110A" w:rsidRPr="0024375B" w:rsidRDefault="003360D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 konsekwencji wprowadzonych</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2 zmian,</w:t>
      </w:r>
      <w:r w:rsidR="002161FE">
        <w:rPr>
          <w:rFonts w:ascii="Times New Roman" w:hAnsi="Times New Roman" w:cs="Times New Roman"/>
        </w:rPr>
        <w:t xml:space="preserve"> w</w:t>
      </w:r>
      <w:r w:rsidR="00EA1900">
        <w:rPr>
          <w:rFonts w:ascii="Times New Roman" w:hAnsi="Times New Roman" w:cs="Times New Roman"/>
        </w:rPr>
        <w:t xml:space="preserve"> art. </w:t>
      </w:r>
      <w:r w:rsidR="00627F4A" w:rsidRPr="0024375B">
        <w:rPr>
          <w:rFonts w:ascii="Times New Roman" w:hAnsi="Times New Roman" w:cs="Times New Roman"/>
        </w:rPr>
        <w:t xml:space="preserve">4 pkt 16 zamieniono </w:t>
      </w:r>
      <w:r w:rsidRPr="0024375B">
        <w:rPr>
          <w:rFonts w:ascii="Times New Roman" w:hAnsi="Times New Roman" w:cs="Times New Roman"/>
        </w:rPr>
        <w:t>wyrazy</w:t>
      </w:r>
      <w:r w:rsidR="00627F4A" w:rsidRPr="0024375B">
        <w:rPr>
          <w:rFonts w:ascii="Times New Roman" w:hAnsi="Times New Roman" w:cs="Times New Roman"/>
        </w:rPr>
        <w:t xml:space="preserve"> </w:t>
      </w:r>
      <w:r w:rsidR="009F1CE8" w:rsidRPr="0024375B">
        <w:rPr>
          <w:rFonts w:ascii="Times New Roman" w:hAnsi="Times New Roman" w:cs="Times New Roman"/>
        </w:rPr>
        <w:t>„</w:t>
      </w:r>
      <w:r w:rsidR="00F6749E" w:rsidRPr="0024375B">
        <w:rPr>
          <w:rFonts w:ascii="Times New Roman" w:hAnsi="Times New Roman" w:cs="Times New Roman"/>
        </w:rPr>
        <w:t>podmiot</w:t>
      </w:r>
      <w:r w:rsidR="001B110A" w:rsidRPr="0024375B">
        <w:rPr>
          <w:rFonts w:ascii="Times New Roman" w:hAnsi="Times New Roman" w:cs="Times New Roman"/>
        </w:rPr>
        <w:t>ów</w:t>
      </w:r>
      <w:r w:rsidR="00F6749E" w:rsidRPr="0024375B">
        <w:rPr>
          <w:rFonts w:ascii="Times New Roman" w:hAnsi="Times New Roman" w:cs="Times New Roman"/>
        </w:rPr>
        <w:t xml:space="preserve"> świadcząc</w:t>
      </w:r>
      <w:r w:rsidR="001B110A" w:rsidRPr="0024375B">
        <w:rPr>
          <w:rFonts w:ascii="Times New Roman" w:hAnsi="Times New Roman" w:cs="Times New Roman"/>
        </w:rPr>
        <w:t>ych</w:t>
      </w:r>
      <w:r w:rsidR="00F6749E" w:rsidRPr="0024375B">
        <w:rPr>
          <w:rFonts w:ascii="Times New Roman" w:hAnsi="Times New Roman" w:cs="Times New Roman"/>
        </w:rPr>
        <w:t xml:space="preserve"> usługi cyberbezpieczeństwa</w:t>
      </w:r>
      <w:r w:rsidR="009F1CE8" w:rsidRPr="0024375B">
        <w:rPr>
          <w:rFonts w:ascii="Times New Roman" w:hAnsi="Times New Roman" w:cs="Times New Roman"/>
        </w:rPr>
        <w:t>”</w:t>
      </w:r>
      <w:r w:rsidR="00F6749E" w:rsidRPr="0024375B">
        <w:rPr>
          <w:rFonts w:ascii="Times New Roman" w:hAnsi="Times New Roman" w:cs="Times New Roman"/>
        </w:rPr>
        <w:t xml:space="preserve"> </w:t>
      </w:r>
      <w:r w:rsidR="001B110A" w:rsidRPr="0024375B">
        <w:rPr>
          <w:rFonts w:ascii="Times New Roman" w:hAnsi="Times New Roman" w:cs="Times New Roman"/>
        </w:rPr>
        <w:t>na</w:t>
      </w:r>
      <w:r w:rsidR="00F6749E" w:rsidRPr="0024375B">
        <w:rPr>
          <w:rFonts w:ascii="Times New Roman" w:hAnsi="Times New Roman" w:cs="Times New Roman"/>
        </w:rPr>
        <w:t xml:space="preserve"> </w:t>
      </w:r>
      <w:r w:rsidRPr="0024375B">
        <w:rPr>
          <w:rFonts w:ascii="Times New Roman" w:hAnsi="Times New Roman" w:cs="Times New Roman"/>
        </w:rPr>
        <w:t>wyrazy „</w:t>
      </w:r>
      <w:r w:rsidR="00F262A6" w:rsidRPr="0024375B">
        <w:rPr>
          <w:rFonts w:ascii="Times New Roman" w:hAnsi="Times New Roman" w:cs="Times New Roman"/>
        </w:rPr>
        <w:t>SOC zewnętrzne</w:t>
      </w:r>
      <w:r w:rsidR="009F1CE8" w:rsidRPr="0024375B">
        <w:rPr>
          <w:rFonts w:ascii="Times New Roman" w:hAnsi="Times New Roman" w:cs="Times New Roman"/>
        </w:rPr>
        <w:t>”</w:t>
      </w:r>
      <w:r w:rsidR="00F6749E" w:rsidRPr="0024375B">
        <w:rPr>
          <w:rFonts w:ascii="Times New Roman" w:hAnsi="Times New Roman" w:cs="Times New Roman"/>
        </w:rPr>
        <w:t xml:space="preserve">. </w:t>
      </w:r>
      <w:r w:rsidR="00C35A3C">
        <w:rPr>
          <w:rFonts w:ascii="Times New Roman" w:hAnsi="Times New Roman" w:cs="Times New Roman"/>
        </w:rPr>
        <w:t>Z kolei s</w:t>
      </w:r>
      <w:r w:rsidR="00C35A3C" w:rsidRPr="0024375B">
        <w:rPr>
          <w:rFonts w:ascii="Times New Roman" w:hAnsi="Times New Roman" w:cs="Times New Roman"/>
        </w:rPr>
        <w:t>ektorowe zespoły cyberbezpieczeństwa zastąpiono CSIRT sektorowymi.</w:t>
      </w:r>
    </w:p>
    <w:p w14:paraId="5FFFF1E1" w14:textId="77777777" w:rsidR="00873305" w:rsidRPr="0024375B" w:rsidRDefault="00212264"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Funkcjonujący obecnie </w:t>
      </w:r>
      <w:r w:rsidR="00536D7B" w:rsidRPr="0024375B">
        <w:rPr>
          <w:rFonts w:ascii="Times New Roman" w:hAnsi="Times New Roman" w:cs="Times New Roman"/>
        </w:rPr>
        <w:t xml:space="preserve">krajowy system cyberbezpieczeństwa nie </w:t>
      </w:r>
      <w:r w:rsidRPr="0024375B">
        <w:rPr>
          <w:rFonts w:ascii="Times New Roman" w:hAnsi="Times New Roman" w:cs="Times New Roman"/>
        </w:rPr>
        <w:t>obejmuje</w:t>
      </w:r>
      <w:r w:rsidR="00536D7B" w:rsidRPr="0024375B">
        <w:rPr>
          <w:rFonts w:ascii="Times New Roman" w:hAnsi="Times New Roman" w:cs="Times New Roman"/>
        </w:rPr>
        <w:t xml:space="preserve"> </w:t>
      </w:r>
      <w:r w:rsidRPr="0024375B">
        <w:rPr>
          <w:rFonts w:ascii="Times New Roman" w:hAnsi="Times New Roman" w:cs="Times New Roman"/>
        </w:rPr>
        <w:t xml:space="preserve">innych istotnych </w:t>
      </w:r>
      <w:r w:rsidR="00F6749E" w:rsidRPr="0024375B">
        <w:rPr>
          <w:rFonts w:ascii="Times New Roman" w:hAnsi="Times New Roman" w:cs="Times New Roman"/>
        </w:rPr>
        <w:t xml:space="preserve">dla funkcjonowania państwa </w:t>
      </w:r>
      <w:r w:rsidRPr="0024375B">
        <w:rPr>
          <w:rFonts w:ascii="Times New Roman" w:hAnsi="Times New Roman" w:cs="Times New Roman"/>
        </w:rPr>
        <w:t>podmiotów, takich jak</w:t>
      </w:r>
      <w:r w:rsidR="00873305" w:rsidRPr="0024375B">
        <w:rPr>
          <w:rFonts w:ascii="Times New Roman" w:hAnsi="Times New Roman" w:cs="Times New Roman"/>
        </w:rPr>
        <w:t>:</w:t>
      </w:r>
    </w:p>
    <w:p w14:paraId="78EF2A57" w14:textId="77777777" w:rsidR="00873305" w:rsidRPr="0024375B" w:rsidRDefault="00873305" w:rsidP="0024375B">
      <w:pPr>
        <w:pStyle w:val="NIEARTTEKSTtekstnieartykuowanynppodstprawnarozplubpreambua"/>
        <w:numPr>
          <w:ilvl w:val="0"/>
          <w:numId w:val="83"/>
        </w:numPr>
        <w:rPr>
          <w:rFonts w:ascii="Times New Roman" w:hAnsi="Times New Roman" w:cs="Times New Roman"/>
        </w:rPr>
      </w:pPr>
      <w:r w:rsidRPr="0024375B">
        <w:rPr>
          <w:rFonts w:ascii="Times New Roman" w:hAnsi="Times New Roman" w:cs="Times New Roman"/>
        </w:rPr>
        <w:t xml:space="preserve">Państwowe Gospodarstwo Wodne </w:t>
      </w:r>
      <w:r w:rsidR="00F6749E" w:rsidRPr="0024375B">
        <w:rPr>
          <w:rFonts w:ascii="Times New Roman" w:hAnsi="Times New Roman" w:cs="Times New Roman"/>
        </w:rPr>
        <w:t>Wody Polskie</w:t>
      </w:r>
      <w:r w:rsidRPr="0024375B">
        <w:rPr>
          <w:rFonts w:ascii="Times New Roman" w:hAnsi="Times New Roman" w:cs="Times New Roman"/>
        </w:rPr>
        <w:t>,</w:t>
      </w:r>
    </w:p>
    <w:p w14:paraId="0A383123" w14:textId="77777777" w:rsidR="00873305" w:rsidRPr="0024375B" w:rsidRDefault="00D764B4" w:rsidP="0024375B">
      <w:pPr>
        <w:pStyle w:val="NIEARTTEKSTtekstnieartykuowanynppodstprawnarozplubpreambua"/>
        <w:numPr>
          <w:ilvl w:val="0"/>
          <w:numId w:val="83"/>
        </w:numPr>
      </w:pPr>
      <w:r w:rsidRPr="0024375B">
        <w:rPr>
          <w:rFonts w:ascii="Times New Roman" w:hAnsi="Times New Roman" w:cs="Times New Roman"/>
        </w:rPr>
        <w:t>instytucje rozwoju</w:t>
      </w:r>
      <w:r w:rsidR="00211A47" w:rsidRPr="0024375B">
        <w:rPr>
          <w:rFonts w:ascii="Times New Roman" w:hAnsi="Times New Roman" w:cs="Times New Roman"/>
        </w:rPr>
        <w:t>:</w:t>
      </w:r>
      <w:r w:rsidR="00211A47" w:rsidRPr="0024375B">
        <w:t xml:space="preserve"> </w:t>
      </w:r>
    </w:p>
    <w:p w14:paraId="28C1C3FD" w14:textId="77777777" w:rsidR="00873305" w:rsidRPr="0024375B" w:rsidRDefault="00211A47" w:rsidP="0024375B">
      <w:pPr>
        <w:pStyle w:val="NIEARTTEKSTtekstnieartykuowanynppodstprawnarozplubpreambua"/>
        <w:numPr>
          <w:ilvl w:val="1"/>
          <w:numId w:val="83"/>
        </w:numPr>
        <w:rPr>
          <w:rFonts w:ascii="Times New Roman" w:hAnsi="Times New Roman" w:cs="Times New Roman"/>
        </w:rPr>
      </w:pPr>
      <w:r w:rsidRPr="0024375B">
        <w:rPr>
          <w:rFonts w:ascii="Times New Roman" w:hAnsi="Times New Roman" w:cs="Times New Roman"/>
        </w:rPr>
        <w:t xml:space="preserve">Polski Fundusz Rozwoju, </w:t>
      </w:r>
    </w:p>
    <w:p w14:paraId="2C888433" w14:textId="77777777" w:rsidR="00873305" w:rsidRPr="0024375B" w:rsidRDefault="00211A47" w:rsidP="0024375B">
      <w:pPr>
        <w:pStyle w:val="NIEARTTEKSTtekstnieartykuowanynppodstprawnarozplubpreambua"/>
        <w:numPr>
          <w:ilvl w:val="1"/>
          <w:numId w:val="83"/>
        </w:numPr>
        <w:rPr>
          <w:rFonts w:ascii="Times New Roman" w:hAnsi="Times New Roman" w:cs="Times New Roman"/>
        </w:rPr>
      </w:pPr>
      <w:r w:rsidRPr="0024375B">
        <w:rPr>
          <w:rFonts w:ascii="Times New Roman" w:hAnsi="Times New Roman" w:cs="Times New Roman"/>
        </w:rPr>
        <w:t xml:space="preserve">Polska Agencja Rozwoju Przedsiębiorczości, </w:t>
      </w:r>
    </w:p>
    <w:p w14:paraId="0C44505A" w14:textId="77777777" w:rsidR="00873305" w:rsidRPr="0024375B" w:rsidRDefault="00211A47" w:rsidP="0024375B">
      <w:pPr>
        <w:pStyle w:val="NIEARTTEKSTtekstnieartykuowanynppodstprawnarozplubpreambua"/>
        <w:numPr>
          <w:ilvl w:val="1"/>
          <w:numId w:val="83"/>
        </w:numPr>
        <w:rPr>
          <w:rFonts w:ascii="Times New Roman" w:hAnsi="Times New Roman" w:cs="Times New Roman"/>
        </w:rPr>
      </w:pPr>
      <w:r w:rsidRPr="0024375B">
        <w:rPr>
          <w:rFonts w:ascii="Times New Roman" w:hAnsi="Times New Roman" w:cs="Times New Roman"/>
        </w:rPr>
        <w:t xml:space="preserve">Korporacja Ubezpieczeń Kredytów Eksportowych Spółka Akcyjna, </w:t>
      </w:r>
    </w:p>
    <w:p w14:paraId="33CB4C89" w14:textId="77777777" w:rsidR="00873305" w:rsidRPr="0024375B" w:rsidRDefault="00211A47" w:rsidP="0024375B">
      <w:pPr>
        <w:pStyle w:val="NIEARTTEKSTtekstnieartykuowanynppodstprawnarozplubpreambua"/>
        <w:numPr>
          <w:ilvl w:val="1"/>
          <w:numId w:val="83"/>
        </w:numPr>
        <w:rPr>
          <w:rFonts w:ascii="Times New Roman" w:hAnsi="Times New Roman" w:cs="Times New Roman"/>
        </w:rPr>
      </w:pPr>
      <w:r w:rsidRPr="0024375B">
        <w:rPr>
          <w:rFonts w:ascii="Times New Roman" w:hAnsi="Times New Roman" w:cs="Times New Roman"/>
        </w:rPr>
        <w:t>Polska Agencja Inwestycji</w:t>
      </w:r>
      <w:r w:rsidR="002161FE">
        <w:rPr>
          <w:rFonts w:ascii="Times New Roman" w:hAnsi="Times New Roman" w:cs="Times New Roman"/>
        </w:rPr>
        <w:t xml:space="preserve"> i </w:t>
      </w:r>
      <w:r w:rsidRPr="0024375B">
        <w:rPr>
          <w:rFonts w:ascii="Times New Roman" w:hAnsi="Times New Roman" w:cs="Times New Roman"/>
        </w:rPr>
        <w:t xml:space="preserve">Handlu Spółka Akcyjna, </w:t>
      </w:r>
    </w:p>
    <w:p w14:paraId="1943F452" w14:textId="77777777" w:rsidR="00873305" w:rsidRPr="0024375B" w:rsidRDefault="00211A47" w:rsidP="0024375B">
      <w:pPr>
        <w:pStyle w:val="NIEARTTEKSTtekstnieartykuowanynppodstprawnarozplubpreambua"/>
        <w:numPr>
          <w:ilvl w:val="1"/>
          <w:numId w:val="83"/>
        </w:numPr>
        <w:rPr>
          <w:rFonts w:ascii="Times New Roman" w:hAnsi="Times New Roman" w:cs="Times New Roman"/>
        </w:rPr>
      </w:pPr>
      <w:r w:rsidRPr="0024375B">
        <w:rPr>
          <w:rFonts w:ascii="Times New Roman" w:hAnsi="Times New Roman" w:cs="Times New Roman"/>
        </w:rPr>
        <w:t xml:space="preserve">Agencja Rozwoju Przemysłu Spółka Akcyjna. </w:t>
      </w:r>
    </w:p>
    <w:p w14:paraId="5F00AB61" w14:textId="77777777" w:rsidR="00D91927" w:rsidRPr="0024375B" w:rsidRDefault="004372BA" w:rsidP="0024375B">
      <w:pPr>
        <w:pStyle w:val="NIEARTTEKSTtekstnieartykuowanynppodstprawnarozplubpreambua"/>
        <w:rPr>
          <w:rFonts w:ascii="Times New Roman" w:hAnsi="Times New Roman" w:cs="Times New Roman"/>
        </w:rPr>
      </w:pPr>
      <w:r>
        <w:rPr>
          <w:rFonts w:ascii="Times New Roman" w:hAnsi="Times New Roman" w:cs="Times New Roman"/>
        </w:rPr>
        <w:t xml:space="preserve">Państwowe Gospodarstwo Wodne </w:t>
      </w:r>
      <w:r w:rsidR="00F6749E" w:rsidRPr="0024375B">
        <w:rPr>
          <w:rFonts w:ascii="Times New Roman" w:hAnsi="Times New Roman" w:cs="Times New Roman"/>
        </w:rPr>
        <w:t>Wody Polskie jako podmiot zajmujący się gospodarką wodną realizuje ważne zadania publiczne – zapobieganie suszom</w:t>
      </w:r>
      <w:r w:rsidR="002161FE">
        <w:rPr>
          <w:rFonts w:ascii="Times New Roman" w:hAnsi="Times New Roman" w:cs="Times New Roman"/>
        </w:rPr>
        <w:t xml:space="preserve"> i </w:t>
      </w:r>
      <w:r w:rsidR="00F6749E" w:rsidRPr="0024375B">
        <w:rPr>
          <w:rFonts w:ascii="Times New Roman" w:hAnsi="Times New Roman" w:cs="Times New Roman"/>
        </w:rPr>
        <w:t>powodziom</w:t>
      </w:r>
      <w:r w:rsidR="00DC1C14" w:rsidRPr="0024375B">
        <w:rPr>
          <w:rFonts w:ascii="Times New Roman" w:hAnsi="Times New Roman" w:cs="Times New Roman"/>
        </w:rPr>
        <w:t xml:space="preserve"> oraz</w:t>
      </w:r>
      <w:r w:rsidR="00F6749E" w:rsidRPr="0024375B">
        <w:rPr>
          <w:rFonts w:ascii="Times New Roman" w:hAnsi="Times New Roman" w:cs="Times New Roman"/>
        </w:rPr>
        <w:t xml:space="preserve"> zapewnianie dobrej jakości wody dla mieszkańców Polski</w:t>
      </w:r>
      <w:r w:rsidR="00FD296E" w:rsidRPr="0024375B">
        <w:rPr>
          <w:rFonts w:ascii="Times New Roman" w:hAnsi="Times New Roman" w:cs="Times New Roman"/>
        </w:rPr>
        <w:t>, zapewniając również Informatyczny System Osłony Kraju (ISOK)</w:t>
      </w:r>
      <w:r w:rsidR="00F6749E" w:rsidRPr="0024375B">
        <w:rPr>
          <w:rFonts w:ascii="Times New Roman" w:hAnsi="Times New Roman" w:cs="Times New Roman"/>
        </w:rPr>
        <w:t>. Z kolei</w:t>
      </w:r>
      <w:r w:rsidR="00627F4A" w:rsidRPr="0024375B">
        <w:rPr>
          <w:rFonts w:ascii="Times New Roman" w:hAnsi="Times New Roman" w:cs="Times New Roman"/>
        </w:rPr>
        <w:t xml:space="preserve"> instytucje rozwoju realizują zadania</w:t>
      </w:r>
      <w:r w:rsidR="00EA1900">
        <w:rPr>
          <w:rFonts w:ascii="Times New Roman" w:hAnsi="Times New Roman" w:cs="Times New Roman"/>
        </w:rPr>
        <w:t xml:space="preserve"> w </w:t>
      </w:r>
      <w:r w:rsidR="00627F4A" w:rsidRPr="0024375B">
        <w:rPr>
          <w:rFonts w:ascii="Times New Roman" w:hAnsi="Times New Roman" w:cs="Times New Roman"/>
        </w:rPr>
        <w:t>obszarze wsparcia lub usług świadczonych przedsiębiorcom.</w:t>
      </w:r>
      <w:r w:rsidR="00116933">
        <w:rPr>
          <w:rFonts w:ascii="Times New Roman" w:hAnsi="Times New Roman" w:cs="Times New Roman"/>
        </w:rPr>
        <w:t xml:space="preserve"> W </w:t>
      </w:r>
      <w:r w:rsidR="00627F4A" w:rsidRPr="0024375B">
        <w:rPr>
          <w:rFonts w:ascii="Times New Roman" w:hAnsi="Times New Roman" w:cs="Times New Roman"/>
        </w:rPr>
        <w:t>szczególności</w:t>
      </w:r>
      <w:r w:rsidR="00F6749E" w:rsidRPr="0024375B">
        <w:rPr>
          <w:rFonts w:ascii="Times New Roman" w:hAnsi="Times New Roman" w:cs="Times New Roman"/>
        </w:rPr>
        <w:t xml:space="preserve"> Polski Fundusz Rozwoju S.A. realizuje program Tarczy Antykryzysowej.</w:t>
      </w:r>
      <w:r w:rsidR="00C35A3C">
        <w:rPr>
          <w:rFonts w:ascii="Times New Roman" w:hAnsi="Times New Roman" w:cs="Times New Roman"/>
        </w:rPr>
        <w:t xml:space="preserve"> Z tych powodów zasadne jest ich dodanie do katalogu podmiotów krajowego systemu cyberbezpieczeństwa.</w:t>
      </w:r>
    </w:p>
    <w:p w14:paraId="37BB8DEB" w14:textId="77777777" w:rsidR="00F6749E" w:rsidRPr="0024375B" w:rsidRDefault="0003374A"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lastRenderedPageBreak/>
        <w:t xml:space="preserve">Do krajowego systemu cyberbezpieczeństwa zostaną dodane także samodzielne publiczne zakłady opieki zdrowotnej, które podczas pandemii COVID-19 pełnią szczególną rolę. </w:t>
      </w:r>
      <w:r w:rsidR="00F6749E" w:rsidRPr="0024375B">
        <w:rPr>
          <w:rFonts w:ascii="Times New Roman" w:hAnsi="Times New Roman" w:cs="Times New Roman"/>
        </w:rPr>
        <w:t>Dlatego konieczne jest objęcie tych podmiotów obowiązkami</w:t>
      </w:r>
      <w:r w:rsidR="002161FE">
        <w:rPr>
          <w:rFonts w:ascii="Times New Roman" w:hAnsi="Times New Roman" w:cs="Times New Roman"/>
        </w:rPr>
        <w:t xml:space="preserve"> z</w:t>
      </w:r>
      <w:r w:rsidR="00EA1900">
        <w:rPr>
          <w:rFonts w:ascii="Times New Roman" w:hAnsi="Times New Roman" w:cs="Times New Roman"/>
        </w:rPr>
        <w:t xml:space="preserve"> art. </w:t>
      </w:r>
      <w:r w:rsidR="00F6749E" w:rsidRPr="0024375B">
        <w:rPr>
          <w:rFonts w:ascii="Times New Roman" w:hAnsi="Times New Roman" w:cs="Times New Roman"/>
        </w:rPr>
        <w:t>21</w:t>
      </w:r>
      <w:r w:rsidR="00FE42B8">
        <w:rPr>
          <w:rFonts w:ascii="Times New Roman" w:hAnsi="Times New Roman" w:cs="Times New Roman"/>
        </w:rPr>
        <w:t>–</w:t>
      </w:r>
      <w:r w:rsidR="00F6749E" w:rsidRPr="0024375B">
        <w:rPr>
          <w:rFonts w:ascii="Times New Roman" w:hAnsi="Times New Roman" w:cs="Times New Roman"/>
        </w:rPr>
        <w:t>23 ustawy</w:t>
      </w:r>
      <w:r w:rsidR="0077165A">
        <w:rPr>
          <w:rFonts w:ascii="Times New Roman" w:hAnsi="Times New Roman" w:cs="Times New Roman"/>
        </w:rPr>
        <w:t xml:space="preserve"> o </w:t>
      </w:r>
      <w:r w:rsidR="00F6749E" w:rsidRPr="0024375B">
        <w:rPr>
          <w:rFonts w:ascii="Times New Roman" w:hAnsi="Times New Roman" w:cs="Times New Roman"/>
        </w:rPr>
        <w:t>krajowym systemie cyberbezpieczeństwa</w:t>
      </w:r>
      <w:r w:rsidR="00180CC6" w:rsidRPr="0024375B">
        <w:rPr>
          <w:rFonts w:ascii="Times New Roman" w:hAnsi="Times New Roman" w:cs="Times New Roman"/>
        </w:rPr>
        <w:t>,</w:t>
      </w:r>
      <w:r w:rsidR="002161FE">
        <w:rPr>
          <w:rFonts w:ascii="Times New Roman" w:hAnsi="Times New Roman" w:cs="Times New Roman"/>
        </w:rPr>
        <w:t xml:space="preserve"> a </w:t>
      </w:r>
      <w:r w:rsidR="00F6749E" w:rsidRPr="0024375B">
        <w:rPr>
          <w:rFonts w:ascii="Times New Roman" w:hAnsi="Times New Roman" w:cs="Times New Roman"/>
        </w:rPr>
        <w:t>także zapewnienie im wsparcia właściwego zespołu CSIRT poziomu krajowego</w:t>
      </w:r>
      <w:r w:rsidR="00EA1900">
        <w:rPr>
          <w:rFonts w:ascii="Times New Roman" w:hAnsi="Times New Roman" w:cs="Times New Roman"/>
        </w:rPr>
        <w:t xml:space="preserve"> w </w:t>
      </w:r>
      <w:r w:rsidR="00F6749E" w:rsidRPr="0024375B">
        <w:rPr>
          <w:rFonts w:ascii="Times New Roman" w:hAnsi="Times New Roman" w:cs="Times New Roman"/>
        </w:rPr>
        <w:t>przypadku</w:t>
      </w:r>
      <w:r w:rsidR="008D2233" w:rsidRPr="0024375B">
        <w:rPr>
          <w:rFonts w:ascii="Times New Roman" w:hAnsi="Times New Roman" w:cs="Times New Roman"/>
        </w:rPr>
        <w:t xml:space="preserve"> wystąpienia</w:t>
      </w:r>
      <w:r w:rsidR="00F6749E" w:rsidRPr="0024375B">
        <w:rPr>
          <w:rFonts w:ascii="Times New Roman" w:hAnsi="Times New Roman" w:cs="Times New Roman"/>
        </w:rPr>
        <w:t xml:space="preserve"> incydentu</w:t>
      </w:r>
      <w:r w:rsidR="00EA1900">
        <w:rPr>
          <w:rFonts w:ascii="Times New Roman" w:hAnsi="Times New Roman" w:cs="Times New Roman"/>
        </w:rPr>
        <w:t xml:space="preserve"> w </w:t>
      </w:r>
      <w:r w:rsidR="001B110A" w:rsidRPr="0024375B">
        <w:rPr>
          <w:rFonts w:ascii="Times New Roman" w:hAnsi="Times New Roman" w:cs="Times New Roman"/>
        </w:rPr>
        <w:t>podmiocie publicznym</w:t>
      </w:r>
      <w:r w:rsidR="00F6749E" w:rsidRPr="0024375B">
        <w:rPr>
          <w:rFonts w:ascii="Times New Roman" w:hAnsi="Times New Roman" w:cs="Times New Roman"/>
        </w:rPr>
        <w:t>.</w:t>
      </w:r>
    </w:p>
    <w:p w14:paraId="31403681" w14:textId="77777777" w:rsidR="00124DF9" w:rsidRPr="0024375B" w:rsidRDefault="6C897C90" w:rsidP="00862E68">
      <w:pPr>
        <w:pStyle w:val="Nagwek3"/>
      </w:pPr>
      <w:bookmarkStart w:id="12" w:name="_Toc136511042"/>
      <w:r w:rsidRPr="0024375B">
        <w:t>Przepisy</w:t>
      </w:r>
      <w:r w:rsidR="0077165A">
        <w:t xml:space="preserve"> o </w:t>
      </w:r>
      <w:r w:rsidRPr="0024375B">
        <w:t>operatorach usług kluczowych oraz SOC</w:t>
      </w:r>
      <w:bookmarkEnd w:id="12"/>
    </w:p>
    <w:p w14:paraId="0777CD4E" w14:textId="77777777" w:rsidR="00F82A63" w:rsidRPr="0024375B" w:rsidRDefault="00F82A63" w:rsidP="00DC1575">
      <w:pPr>
        <w:pStyle w:val="Nagwek4"/>
      </w:pPr>
      <w:r w:rsidRPr="0024375B">
        <w:t>Zmiany</w:t>
      </w:r>
      <w:r w:rsidR="002161FE">
        <w:t xml:space="preserve"> w</w:t>
      </w:r>
      <w:r w:rsidR="00EA1900">
        <w:t xml:space="preserve"> art. </w:t>
      </w:r>
      <w:r w:rsidRPr="0024375B">
        <w:t>7</w:t>
      </w:r>
    </w:p>
    <w:p w14:paraId="1A0BE608" w14:textId="77777777" w:rsidR="00473604" w:rsidRPr="0024375B" w:rsidRDefault="00473604" w:rsidP="0024375B">
      <w:pPr>
        <w:pStyle w:val="ARTartustawynprozporzdzenia"/>
      </w:pPr>
      <w:r w:rsidRPr="0024375B">
        <w:t>W</w:t>
      </w:r>
      <w:r w:rsidR="00EA1900">
        <w:t xml:space="preserve"> art. </w:t>
      </w:r>
      <w:r w:rsidRPr="0024375B">
        <w:t xml:space="preserve">7 dodano przepis </w:t>
      </w:r>
      <w:r w:rsidR="001B110A" w:rsidRPr="0024375B">
        <w:t>umożliwiający</w:t>
      </w:r>
      <w:r w:rsidRPr="0024375B">
        <w:t xml:space="preserve"> ministrowi właściwemu do spraw informatyzacji wpisanie</w:t>
      </w:r>
      <w:r w:rsidR="002161FE">
        <w:t xml:space="preserve"> z </w:t>
      </w:r>
      <w:r w:rsidRPr="0024375B">
        <w:t>urzędu operatora usługi kluczowej</w:t>
      </w:r>
      <w:r w:rsidR="002161FE">
        <w:t xml:space="preserve"> z </w:t>
      </w:r>
      <w:r w:rsidRPr="0024375B">
        <w:t>sektora infrastruktury cyfrowej do wykazu operatorów usług kluczowych. Jest to spowodowane tym, że minister właściwy do spraw informatyzacji jest organem właściwym do spraw cyberbezpieczeństwa dla operatorów usług kluczowych</w:t>
      </w:r>
      <w:r w:rsidR="002161FE">
        <w:t xml:space="preserve"> z </w:t>
      </w:r>
      <w:r w:rsidRPr="0024375B">
        <w:t>tego sektora. Jednocześ</w:t>
      </w:r>
      <w:r w:rsidR="001B110A" w:rsidRPr="0024375B">
        <w:t>n</w:t>
      </w:r>
      <w:r w:rsidRPr="0024375B">
        <w:t>ie minister prowadzi wykaz operatorów usług kluczowych. Na podstawie dotychczasowych przepisów minister musiał składać sam do siebie wnioski</w:t>
      </w:r>
      <w:r w:rsidR="0077165A">
        <w:t xml:space="preserve"> o </w:t>
      </w:r>
      <w:r w:rsidRPr="0024375B">
        <w:t>wpisanie do tego wykazu, co nie ma racjonalnego uzasadnienia.</w:t>
      </w:r>
    </w:p>
    <w:p w14:paraId="55847954" w14:textId="77777777" w:rsidR="00F6749E" w:rsidRPr="0024375B" w:rsidRDefault="007F2C6D" w:rsidP="0024375B">
      <w:pPr>
        <w:pStyle w:val="ARTartustawynprozporzdzenia"/>
        <w:rPr>
          <w:rFonts w:ascii="Times New Roman" w:hAnsi="Times New Roman" w:cs="Times New Roman"/>
        </w:rPr>
      </w:pPr>
      <w:r w:rsidRPr="0024375B">
        <w:t>Jak wskazuje doktryna termin sześciu miesięcy na wystąpienie organu właściwego ds. cyberbezpieczeństwa</w:t>
      </w:r>
      <w:r w:rsidR="0077165A">
        <w:t xml:space="preserve"> o </w:t>
      </w:r>
      <w:r w:rsidRPr="0024375B">
        <w:t>zmianę danych</w:t>
      </w:r>
      <w:r w:rsidR="00EA1900">
        <w:t xml:space="preserve"> w </w:t>
      </w:r>
      <w:r w:rsidRPr="0024375B">
        <w:t>wykazie operatorów usług kluczowych nie gwarantuje aktualności wykazu</w:t>
      </w:r>
      <w:r w:rsidRPr="0024375B">
        <w:rPr>
          <w:rStyle w:val="Odwoanieprzypisudolnego"/>
        </w:rPr>
        <w:footnoteReference w:id="16"/>
      </w:r>
      <w:r w:rsidR="00FE42B8">
        <w:rPr>
          <w:vertAlign w:val="superscript"/>
        </w:rPr>
        <w:t>)</w:t>
      </w:r>
      <w:r w:rsidRPr="0024375B">
        <w:t xml:space="preserve">. Projektodawca proponuje </w:t>
      </w:r>
      <w:r w:rsidR="001B110A" w:rsidRPr="0024375B">
        <w:t xml:space="preserve">więc, </w:t>
      </w:r>
      <w:r w:rsidRPr="0024375B">
        <w:t xml:space="preserve">aby organ właściwy do spraw cyberbezpieczeństwa dokonał tej czynności </w:t>
      </w:r>
      <w:r w:rsidRPr="0024375B">
        <w:rPr>
          <w:rFonts w:cs="Times New Roman"/>
        </w:rPr>
        <w:t>niezwłocznie, nie później niż</w:t>
      </w:r>
      <w:r w:rsidR="00EA1900">
        <w:rPr>
          <w:rFonts w:cs="Times New Roman"/>
        </w:rPr>
        <w:t xml:space="preserve"> w </w:t>
      </w:r>
      <w:r w:rsidRPr="0024375B">
        <w:rPr>
          <w:rFonts w:cs="Times New Roman"/>
        </w:rPr>
        <w:t>terminie 1 miesiąca od zmiany tych danych (zmiana</w:t>
      </w:r>
      <w:r w:rsidR="002161FE">
        <w:rPr>
          <w:rFonts w:cs="Times New Roman"/>
        </w:rPr>
        <w:t xml:space="preserve"> w</w:t>
      </w:r>
      <w:r w:rsidR="00EA1900">
        <w:rPr>
          <w:rFonts w:cs="Times New Roman"/>
        </w:rPr>
        <w:t xml:space="preserve"> art. </w:t>
      </w:r>
      <w:r w:rsidRPr="0024375B">
        <w:rPr>
          <w:rFonts w:cs="Times New Roman"/>
        </w:rPr>
        <w:t xml:space="preserve">7 </w:t>
      </w:r>
      <w:r w:rsidR="00D00CB4">
        <w:rPr>
          <w:rFonts w:cs="Times New Roman"/>
        </w:rPr>
        <w:t>ust. </w:t>
      </w:r>
      <w:r w:rsidRPr="0024375B">
        <w:rPr>
          <w:rFonts w:cs="Times New Roman"/>
        </w:rPr>
        <w:t>4)</w:t>
      </w:r>
      <w:r w:rsidRPr="0024375B">
        <w:t>.</w:t>
      </w:r>
      <w:r w:rsidR="00D300F8" w:rsidRPr="0024375B">
        <w:t xml:space="preserve"> Ponadto</w:t>
      </w:r>
      <w:r w:rsidR="00EA1900">
        <w:t xml:space="preserve"> w </w:t>
      </w:r>
      <w:r w:rsidR="00F6749E" w:rsidRPr="0024375B">
        <w:rPr>
          <w:rFonts w:ascii="Times New Roman" w:hAnsi="Times New Roman" w:cs="Times New Roman"/>
        </w:rPr>
        <w:t>propozycji nowelizacji</w:t>
      </w:r>
      <w:r w:rsidR="00EA1900">
        <w:rPr>
          <w:rFonts w:ascii="Times New Roman" w:hAnsi="Times New Roman" w:cs="Times New Roman"/>
        </w:rPr>
        <w:t xml:space="preserve"> art. </w:t>
      </w:r>
      <w:r w:rsidR="00F6749E" w:rsidRPr="0024375B">
        <w:rPr>
          <w:rFonts w:ascii="Times New Roman" w:hAnsi="Times New Roman" w:cs="Times New Roman"/>
        </w:rPr>
        <w:t xml:space="preserve">7 </w:t>
      </w:r>
      <w:r w:rsidR="00D00CB4">
        <w:rPr>
          <w:rFonts w:ascii="Times New Roman" w:hAnsi="Times New Roman" w:cs="Times New Roman"/>
        </w:rPr>
        <w:t>ust. </w:t>
      </w:r>
      <w:r w:rsidR="00F6749E" w:rsidRPr="0024375B">
        <w:rPr>
          <w:rFonts w:ascii="Times New Roman" w:hAnsi="Times New Roman" w:cs="Times New Roman"/>
        </w:rPr>
        <w:t>5 dodaje się możliwość podpisania wniosku</w:t>
      </w:r>
      <w:r w:rsidR="0077165A">
        <w:rPr>
          <w:rFonts w:ascii="Times New Roman" w:hAnsi="Times New Roman" w:cs="Times New Roman"/>
        </w:rPr>
        <w:t xml:space="preserve"> o </w:t>
      </w:r>
      <w:r w:rsidR="00F6749E" w:rsidRPr="0024375B">
        <w:rPr>
          <w:rFonts w:ascii="Times New Roman" w:hAnsi="Times New Roman" w:cs="Times New Roman"/>
        </w:rPr>
        <w:t>wpisanie operatora usługi kluczowej do wykazu operatorów także podpisem osobistym. Podpis osobisty został uregulowany</w:t>
      </w:r>
      <w:r w:rsidR="00EA1900">
        <w:rPr>
          <w:rFonts w:ascii="Times New Roman" w:hAnsi="Times New Roman" w:cs="Times New Roman"/>
        </w:rPr>
        <w:t xml:space="preserve"> w </w:t>
      </w:r>
      <w:r w:rsidR="00F6749E" w:rsidRPr="0024375B">
        <w:rPr>
          <w:rFonts w:ascii="Times New Roman" w:hAnsi="Times New Roman" w:cs="Times New Roman"/>
        </w:rPr>
        <w:t>ustawie</w:t>
      </w:r>
      <w:r w:rsidR="002161FE">
        <w:rPr>
          <w:rFonts w:ascii="Times New Roman" w:hAnsi="Times New Roman" w:cs="Times New Roman"/>
        </w:rPr>
        <w:t xml:space="preserve"> z </w:t>
      </w:r>
      <w:r w:rsidR="00F6749E" w:rsidRPr="0024375B">
        <w:rPr>
          <w:rFonts w:ascii="Times New Roman" w:hAnsi="Times New Roman" w:cs="Times New Roman"/>
        </w:rPr>
        <w:t>dnia 6 sierpnia 2010 r.</w:t>
      </w:r>
      <w:r w:rsidR="0077165A">
        <w:rPr>
          <w:rFonts w:ascii="Times New Roman" w:hAnsi="Times New Roman" w:cs="Times New Roman"/>
        </w:rPr>
        <w:t xml:space="preserve"> o </w:t>
      </w:r>
      <w:r w:rsidR="00F6749E" w:rsidRPr="0024375B">
        <w:rPr>
          <w:rFonts w:ascii="Times New Roman" w:hAnsi="Times New Roman" w:cs="Times New Roman"/>
        </w:rPr>
        <w:t>dowodach osobistych</w:t>
      </w:r>
      <w:r w:rsidR="00676488" w:rsidRPr="0024375B">
        <w:rPr>
          <w:rStyle w:val="Odwoanieprzypisudolnego"/>
          <w:rFonts w:ascii="Times New Roman" w:hAnsi="Times New Roman"/>
        </w:rPr>
        <w:footnoteReference w:id="17"/>
      </w:r>
      <w:r w:rsidR="00FE42B8">
        <w:rPr>
          <w:rFonts w:ascii="Times New Roman" w:hAnsi="Times New Roman" w:cs="Times New Roman"/>
          <w:vertAlign w:val="superscript"/>
        </w:rPr>
        <w:t>)</w:t>
      </w:r>
      <w:r w:rsidR="00F6749E" w:rsidRPr="0024375B">
        <w:rPr>
          <w:rFonts w:ascii="Times New Roman" w:hAnsi="Times New Roman" w:cs="Times New Roman"/>
        </w:rPr>
        <w:t>. Jest to zaawansowany podpis elektroniczny umieszczony</w:t>
      </w:r>
      <w:r w:rsidR="00EA1900">
        <w:rPr>
          <w:rFonts w:ascii="Times New Roman" w:hAnsi="Times New Roman" w:cs="Times New Roman"/>
        </w:rPr>
        <w:t xml:space="preserve"> w </w:t>
      </w:r>
      <w:r w:rsidR="00F6749E" w:rsidRPr="0024375B">
        <w:rPr>
          <w:rFonts w:ascii="Times New Roman" w:hAnsi="Times New Roman" w:cs="Times New Roman"/>
        </w:rPr>
        <w:t>warstwie elektronicznej dowodu osobistego. Podpisanie danych podpisem osobistym ma taki sam skutek wobec podmiotu publicznego</w:t>
      </w:r>
      <w:r w:rsidR="008D2233" w:rsidRPr="0024375B">
        <w:rPr>
          <w:rFonts w:ascii="Times New Roman" w:hAnsi="Times New Roman" w:cs="Times New Roman"/>
        </w:rPr>
        <w:t xml:space="preserve"> co podpis własnoręczny</w:t>
      </w:r>
      <w:r w:rsidR="001B110A" w:rsidRPr="0024375B">
        <w:rPr>
          <w:rStyle w:val="Odwoanieprzypisudolnego"/>
          <w:rFonts w:ascii="Times New Roman" w:hAnsi="Times New Roman"/>
        </w:rPr>
        <w:footnoteReference w:id="18"/>
      </w:r>
      <w:r w:rsidR="002466B6" w:rsidRPr="0024375B">
        <w:rPr>
          <w:rFonts w:ascii="Times New Roman" w:hAnsi="Times New Roman" w:cs="Times New Roman"/>
          <w:vertAlign w:val="superscript"/>
        </w:rPr>
        <w:t>)</w:t>
      </w:r>
      <w:r w:rsidR="00F6749E" w:rsidRPr="0024375B">
        <w:rPr>
          <w:rFonts w:ascii="Times New Roman" w:hAnsi="Times New Roman" w:cs="Times New Roman"/>
        </w:rPr>
        <w:t>.</w:t>
      </w:r>
    </w:p>
    <w:p w14:paraId="562F5CBD" w14:textId="77777777" w:rsidR="00F82A63" w:rsidRPr="0024375B" w:rsidRDefault="00F82A63" w:rsidP="00DC1575">
      <w:pPr>
        <w:pStyle w:val="Nagwek4"/>
      </w:pPr>
      <w:r w:rsidRPr="0024375B">
        <w:t>Zmiany</w:t>
      </w:r>
      <w:r w:rsidR="002161FE">
        <w:t xml:space="preserve"> w</w:t>
      </w:r>
      <w:r w:rsidR="00EA1900">
        <w:t xml:space="preserve"> art. </w:t>
      </w:r>
      <w:r w:rsidRPr="0024375B">
        <w:t>8</w:t>
      </w:r>
    </w:p>
    <w:p w14:paraId="7205949A" w14:textId="77777777" w:rsidR="00814CE2" w:rsidRPr="0024375B" w:rsidRDefault="00814CE2" w:rsidP="0024375B">
      <w:pPr>
        <w:pStyle w:val="NIEARTTEKSTtekstnieartykuowanynppodstprawnarozplubpreambua"/>
      </w:pPr>
      <w:r w:rsidRPr="0024375B">
        <w:rPr>
          <w:rFonts w:ascii="Times New Roman" w:hAnsi="Times New Roman" w:cs="Times New Roman"/>
        </w:rPr>
        <w:t xml:space="preserve">Art. 8 obecnie obowiązującej ustawy </w:t>
      </w:r>
      <w:r w:rsidR="004141DC" w:rsidRPr="0024375B">
        <w:rPr>
          <w:rFonts w:ascii="Times New Roman" w:hAnsi="Times New Roman" w:cs="Times New Roman"/>
        </w:rPr>
        <w:t>określa</w:t>
      </w:r>
      <w:r w:rsidRPr="0024375B">
        <w:rPr>
          <w:rFonts w:ascii="Times New Roman" w:hAnsi="Times New Roman" w:cs="Times New Roman"/>
        </w:rPr>
        <w:t xml:space="preserve"> wymagania</w:t>
      </w:r>
      <w:r w:rsidR="004141DC" w:rsidRPr="0024375B">
        <w:rPr>
          <w:rFonts w:ascii="Times New Roman" w:hAnsi="Times New Roman" w:cs="Times New Roman"/>
        </w:rPr>
        <w:t>,</w:t>
      </w:r>
      <w:r w:rsidRPr="0024375B">
        <w:rPr>
          <w:rFonts w:ascii="Times New Roman" w:hAnsi="Times New Roman" w:cs="Times New Roman"/>
        </w:rPr>
        <w:t xml:space="preserve"> co do systemu zarządzania bezpieczeństwem informacji</w:t>
      </w:r>
      <w:r w:rsidR="00EC5E59" w:rsidRPr="0024375B">
        <w:rPr>
          <w:rFonts w:ascii="Times New Roman" w:hAnsi="Times New Roman" w:cs="Times New Roman"/>
        </w:rPr>
        <w:t xml:space="preserve"> (SZBI)</w:t>
      </w:r>
      <w:r w:rsidRPr="0024375B">
        <w:rPr>
          <w:rFonts w:ascii="Times New Roman" w:hAnsi="Times New Roman" w:cs="Times New Roman"/>
        </w:rPr>
        <w:t>, który operator usługi kluczowej ma obowiązek wdrożyć</w:t>
      </w:r>
      <w:r w:rsidR="00EA1900">
        <w:rPr>
          <w:rFonts w:ascii="Times New Roman" w:hAnsi="Times New Roman" w:cs="Times New Roman"/>
        </w:rPr>
        <w:t xml:space="preserve"> w </w:t>
      </w:r>
      <w:r w:rsidRPr="0024375B">
        <w:rPr>
          <w:rFonts w:ascii="Times New Roman" w:hAnsi="Times New Roman" w:cs="Times New Roman"/>
        </w:rPr>
        <w:t xml:space="preserve">systemie informacyjnym wykorzystywanym do świadczenia usługi kluczowej. </w:t>
      </w:r>
      <w:r w:rsidR="00EC5E59" w:rsidRPr="0024375B">
        <w:rPr>
          <w:rFonts w:ascii="Times New Roman" w:hAnsi="Times New Roman" w:cs="Times New Roman"/>
        </w:rPr>
        <w:t>SZBI powinn</w:t>
      </w:r>
      <w:r w:rsidR="004E5838" w:rsidRPr="0024375B">
        <w:rPr>
          <w:rFonts w:ascii="Times New Roman" w:hAnsi="Times New Roman" w:cs="Times New Roman"/>
        </w:rPr>
        <w:t>o</w:t>
      </w:r>
      <w:r w:rsidR="00EC5E59" w:rsidRPr="0024375B">
        <w:rPr>
          <w:rFonts w:ascii="Times New Roman" w:hAnsi="Times New Roman" w:cs="Times New Roman"/>
        </w:rPr>
        <w:t xml:space="preserve"> </w:t>
      </w:r>
      <w:r w:rsidR="004E5838" w:rsidRPr="0024375B">
        <w:rPr>
          <w:rFonts w:ascii="Times New Roman" w:hAnsi="Times New Roman" w:cs="Times New Roman"/>
        </w:rPr>
        <w:t>zapewniać</w:t>
      </w:r>
      <w:r w:rsidR="00EC5E59" w:rsidRPr="0024375B">
        <w:rPr>
          <w:rFonts w:ascii="Times New Roman" w:hAnsi="Times New Roman" w:cs="Times New Roman"/>
        </w:rPr>
        <w:t xml:space="preserve"> stosowan</w:t>
      </w:r>
      <w:r w:rsidR="004E5838" w:rsidRPr="0024375B">
        <w:rPr>
          <w:rFonts w:ascii="Times New Roman" w:hAnsi="Times New Roman" w:cs="Times New Roman"/>
        </w:rPr>
        <w:t>ie</w:t>
      </w:r>
      <w:r w:rsidR="00EC5E59" w:rsidRPr="0024375B">
        <w:rPr>
          <w:rFonts w:ascii="Times New Roman" w:hAnsi="Times New Roman" w:cs="Times New Roman"/>
        </w:rPr>
        <w:t xml:space="preserve"> środk</w:t>
      </w:r>
      <w:r w:rsidR="004E5838" w:rsidRPr="0024375B">
        <w:rPr>
          <w:rFonts w:ascii="Times New Roman" w:hAnsi="Times New Roman" w:cs="Times New Roman"/>
        </w:rPr>
        <w:t>ów</w:t>
      </w:r>
      <w:r w:rsidR="00EC5E59" w:rsidRPr="0024375B">
        <w:rPr>
          <w:rFonts w:ascii="Times New Roman" w:hAnsi="Times New Roman" w:cs="Times New Roman"/>
        </w:rPr>
        <w:t xml:space="preserve"> zapobiegając</w:t>
      </w:r>
      <w:r w:rsidR="004E5838" w:rsidRPr="0024375B">
        <w:rPr>
          <w:rFonts w:ascii="Times New Roman" w:hAnsi="Times New Roman" w:cs="Times New Roman"/>
        </w:rPr>
        <w:t>ych</w:t>
      </w:r>
      <w:r w:rsidR="002161FE">
        <w:rPr>
          <w:rFonts w:ascii="Times New Roman" w:hAnsi="Times New Roman" w:cs="Times New Roman"/>
        </w:rPr>
        <w:t xml:space="preserve"> i </w:t>
      </w:r>
      <w:r w:rsidR="00EC5E59" w:rsidRPr="0024375B">
        <w:rPr>
          <w:rFonts w:ascii="Times New Roman" w:hAnsi="Times New Roman" w:cs="Times New Roman"/>
        </w:rPr>
        <w:t>ograniczając</w:t>
      </w:r>
      <w:r w:rsidR="004E5838" w:rsidRPr="0024375B">
        <w:rPr>
          <w:rFonts w:ascii="Times New Roman" w:hAnsi="Times New Roman" w:cs="Times New Roman"/>
        </w:rPr>
        <w:t>ych</w:t>
      </w:r>
      <w:r w:rsidR="00EC5E59" w:rsidRPr="0024375B">
        <w:rPr>
          <w:rFonts w:ascii="Times New Roman" w:hAnsi="Times New Roman" w:cs="Times New Roman"/>
        </w:rPr>
        <w:t xml:space="preserve"> wpływ incydentów na system informacyjny wykorzystywany do świadczenia usługi kluczowej. Jednym</w:t>
      </w:r>
      <w:r w:rsidR="002161FE">
        <w:rPr>
          <w:rFonts w:ascii="Times New Roman" w:hAnsi="Times New Roman" w:cs="Times New Roman"/>
        </w:rPr>
        <w:t xml:space="preserve"> z </w:t>
      </w:r>
      <w:r w:rsidR="00EC5E59" w:rsidRPr="0024375B">
        <w:rPr>
          <w:rFonts w:ascii="Times New Roman" w:hAnsi="Times New Roman" w:cs="Times New Roman"/>
        </w:rPr>
        <w:t>tych środków jest dbałość</w:t>
      </w:r>
      <w:r w:rsidR="0077165A">
        <w:rPr>
          <w:rFonts w:ascii="Times New Roman" w:hAnsi="Times New Roman" w:cs="Times New Roman"/>
        </w:rPr>
        <w:t xml:space="preserve"> o </w:t>
      </w:r>
      <w:r w:rsidR="00EC5E59" w:rsidRPr="0024375B">
        <w:rPr>
          <w:rFonts w:ascii="Times New Roman" w:hAnsi="Times New Roman" w:cs="Times New Roman"/>
        </w:rPr>
        <w:t>aktualizacj</w:t>
      </w:r>
      <w:r w:rsidR="004141DC" w:rsidRPr="0024375B">
        <w:rPr>
          <w:rFonts w:ascii="Times New Roman" w:hAnsi="Times New Roman" w:cs="Times New Roman"/>
        </w:rPr>
        <w:t>ę</w:t>
      </w:r>
      <w:r w:rsidR="00EC5E59" w:rsidRPr="0024375B">
        <w:rPr>
          <w:rFonts w:ascii="Times New Roman" w:hAnsi="Times New Roman" w:cs="Times New Roman"/>
        </w:rPr>
        <w:t xml:space="preserve"> oprogramowania (art. 8 pkt 5 lit. b). Projektodawca proponuje doprecyzować </w:t>
      </w:r>
      <w:r w:rsidR="004141DC" w:rsidRPr="0024375B">
        <w:rPr>
          <w:rFonts w:ascii="Times New Roman" w:hAnsi="Times New Roman" w:cs="Times New Roman"/>
        </w:rPr>
        <w:t>ten przepis poprzez zastąpienie nieostrego sformułowania</w:t>
      </w:r>
      <w:r w:rsidR="00EC5E59" w:rsidRPr="0024375B">
        <w:rPr>
          <w:rFonts w:ascii="Times New Roman" w:hAnsi="Times New Roman" w:cs="Times New Roman"/>
        </w:rPr>
        <w:t xml:space="preserve"> „dbałość</w:t>
      </w:r>
      <w:r w:rsidR="0077165A">
        <w:rPr>
          <w:rFonts w:ascii="Times New Roman" w:hAnsi="Times New Roman" w:cs="Times New Roman"/>
        </w:rPr>
        <w:t xml:space="preserve"> o </w:t>
      </w:r>
      <w:r w:rsidR="00EC5E59" w:rsidRPr="0024375B">
        <w:rPr>
          <w:rFonts w:ascii="Times New Roman" w:hAnsi="Times New Roman" w:cs="Times New Roman"/>
        </w:rPr>
        <w:t xml:space="preserve">aktualizację oprogramowania” </w:t>
      </w:r>
      <w:r w:rsidR="004141DC" w:rsidRPr="0024375B">
        <w:rPr>
          <w:rFonts w:ascii="Times New Roman" w:hAnsi="Times New Roman" w:cs="Times New Roman"/>
        </w:rPr>
        <w:t>sformułowanie</w:t>
      </w:r>
      <w:r w:rsidR="00F262A6" w:rsidRPr="0024375B">
        <w:rPr>
          <w:rFonts w:ascii="Times New Roman" w:hAnsi="Times New Roman" w:cs="Times New Roman"/>
        </w:rPr>
        <w:t>m</w:t>
      </w:r>
      <w:r w:rsidR="004141DC" w:rsidRPr="0024375B">
        <w:rPr>
          <w:rFonts w:ascii="Times New Roman" w:hAnsi="Times New Roman" w:cs="Times New Roman"/>
        </w:rPr>
        <w:t xml:space="preserve"> „</w:t>
      </w:r>
      <w:r w:rsidR="00EC5E59" w:rsidRPr="0024375B">
        <w:rPr>
          <w:rFonts w:ascii="Times New Roman" w:hAnsi="Times New Roman" w:cs="Times New Roman"/>
        </w:rPr>
        <w:t xml:space="preserve">regularne przeprowadzanie aktualizacji </w:t>
      </w:r>
      <w:r w:rsidR="00EC5E59" w:rsidRPr="0024375B">
        <w:rPr>
          <w:rFonts w:ascii="Times New Roman" w:hAnsi="Times New Roman" w:cs="Times New Roman"/>
        </w:rPr>
        <w:lastRenderedPageBreak/>
        <w:t>oprogramowania, stosownie do zaleceń producenta</w:t>
      </w:r>
      <w:r w:rsidR="00296163" w:rsidRPr="0024375B">
        <w:rPr>
          <w:rFonts w:ascii="Times New Roman" w:hAnsi="Times New Roman" w:cs="Times New Roman"/>
        </w:rPr>
        <w:t>,</w:t>
      </w:r>
      <w:r w:rsidR="002161FE">
        <w:rPr>
          <w:rFonts w:ascii="Times New Roman" w:hAnsi="Times New Roman" w:cs="Times New Roman"/>
        </w:rPr>
        <w:t xml:space="preserve"> z </w:t>
      </w:r>
      <w:r w:rsidR="00296163" w:rsidRPr="0024375B">
        <w:rPr>
          <w:rFonts w:ascii="Times New Roman" w:hAnsi="Times New Roman" w:cs="Times New Roman"/>
        </w:rPr>
        <w:t>uwzględnieniem analizy wpływu aktualizacji na bezpieczeństwo świadczonej usługi kluczowej oraz poziomu krytyczności poszczególnych aktualizacji</w:t>
      </w:r>
      <w:r w:rsidR="004141DC" w:rsidRPr="0024375B">
        <w:rPr>
          <w:rFonts w:ascii="Times New Roman" w:hAnsi="Times New Roman" w:cs="Times New Roman"/>
        </w:rPr>
        <w:t>”</w:t>
      </w:r>
      <w:r w:rsidR="00EC5E59" w:rsidRPr="0024375B">
        <w:rPr>
          <w:rFonts w:ascii="Times New Roman" w:hAnsi="Times New Roman" w:cs="Times New Roman"/>
        </w:rPr>
        <w:t xml:space="preserve">. </w:t>
      </w:r>
      <w:r w:rsidR="007E612C" w:rsidRPr="0024375B">
        <w:rPr>
          <w:rFonts w:ascii="Times New Roman" w:hAnsi="Times New Roman" w:cs="Times New Roman"/>
        </w:rPr>
        <w:t>Operator usługi kluczowej będzie odtąd obowiązany systematycznie przeprowadzać aktualizacje oprogramowania. Przepis ma zapobiegać sytuacji,</w:t>
      </w:r>
      <w:r w:rsidR="00EA1900">
        <w:rPr>
          <w:rFonts w:ascii="Times New Roman" w:hAnsi="Times New Roman" w:cs="Times New Roman"/>
        </w:rPr>
        <w:t xml:space="preserve"> w </w:t>
      </w:r>
      <w:r w:rsidR="007E612C" w:rsidRPr="0024375B">
        <w:rPr>
          <w:rFonts w:ascii="Times New Roman" w:hAnsi="Times New Roman" w:cs="Times New Roman"/>
        </w:rPr>
        <w:t xml:space="preserve">której aktualizacje były dokonywane zbyt rzadko. Jednocześnie </w:t>
      </w:r>
      <w:r w:rsidR="004141DC" w:rsidRPr="0024375B">
        <w:rPr>
          <w:rFonts w:ascii="Times New Roman" w:hAnsi="Times New Roman" w:cs="Times New Roman"/>
        </w:rPr>
        <w:t>podejmując decyzję</w:t>
      </w:r>
      <w:r w:rsidR="0077165A">
        <w:rPr>
          <w:rFonts w:ascii="Times New Roman" w:hAnsi="Times New Roman" w:cs="Times New Roman"/>
        </w:rPr>
        <w:t xml:space="preserve"> o </w:t>
      </w:r>
      <w:r w:rsidR="00EC5E59" w:rsidRPr="0024375B">
        <w:rPr>
          <w:rFonts w:ascii="Times New Roman" w:hAnsi="Times New Roman" w:cs="Times New Roman"/>
        </w:rPr>
        <w:t>aktualizacji</w:t>
      </w:r>
      <w:r w:rsidR="004141DC" w:rsidRPr="0024375B">
        <w:rPr>
          <w:rFonts w:ascii="Times New Roman" w:hAnsi="Times New Roman" w:cs="Times New Roman"/>
        </w:rPr>
        <w:t>,</w:t>
      </w:r>
      <w:r w:rsidR="00EC5E59" w:rsidRPr="0024375B">
        <w:rPr>
          <w:rFonts w:ascii="Times New Roman" w:hAnsi="Times New Roman" w:cs="Times New Roman"/>
        </w:rPr>
        <w:t xml:space="preserve"> operator usługi kluczowej powinien dokonać </w:t>
      </w:r>
      <w:r w:rsidR="00EC5E59" w:rsidRPr="0024375B">
        <w:t xml:space="preserve">analizy wpływu aktualizacji na bezpieczeństwo świadczonej usługi kluczowej oraz </w:t>
      </w:r>
      <w:r w:rsidR="004141DC" w:rsidRPr="0024375B">
        <w:t xml:space="preserve">ocenić </w:t>
      </w:r>
      <w:r w:rsidR="00EC5E59" w:rsidRPr="0024375B">
        <w:t>poziom krytyczności poszczególnych aktualizacji. Celem tej analizy jest zabezpieczenie przed sytuacją,</w:t>
      </w:r>
      <w:r w:rsidR="00EA1900">
        <w:t xml:space="preserve"> w </w:t>
      </w:r>
      <w:r w:rsidR="00EC5E59" w:rsidRPr="0024375B">
        <w:t>której konkretna aktualizacja oprogramowania</w:t>
      </w:r>
      <w:r w:rsidR="00EA1900">
        <w:t xml:space="preserve"> w </w:t>
      </w:r>
      <w:r w:rsidR="00EC5E59" w:rsidRPr="0024375B">
        <w:t>istocie zagraża bezpieczeństwu świadczonej usługi kluczowej.</w:t>
      </w:r>
      <w:r w:rsidR="00296163" w:rsidRPr="0024375B">
        <w:t xml:space="preserve"> Należy podkreślić, że to operator usługi kluczowej jest odpowiedzialny za bezpieczeństwo swoich systemów informacyjnych. Dlatego nie powinien bezrefleksyjnie kierować się zaleceniami producenta sprzętu, ale </w:t>
      </w:r>
      <w:r w:rsidR="004141DC" w:rsidRPr="0024375B">
        <w:t xml:space="preserve">powinien </w:t>
      </w:r>
      <w:r w:rsidR="00296163" w:rsidRPr="0024375B">
        <w:t>samodzielnie oceniać wpływ aktualizacji na jego systemy.</w:t>
      </w:r>
    </w:p>
    <w:p w14:paraId="5B22BEE5" w14:textId="77777777" w:rsidR="00F82A63" w:rsidRPr="0024375B" w:rsidRDefault="00F82A63" w:rsidP="00DC1575">
      <w:pPr>
        <w:pStyle w:val="Nagwek4"/>
      </w:pPr>
      <w:r w:rsidRPr="0024375B">
        <w:t>Zmiany</w:t>
      </w:r>
      <w:r w:rsidR="002161FE">
        <w:t xml:space="preserve"> w</w:t>
      </w:r>
      <w:r w:rsidR="00EA1900">
        <w:t xml:space="preserve"> art. </w:t>
      </w:r>
      <w:r w:rsidRPr="0024375B">
        <w:t>9</w:t>
      </w:r>
    </w:p>
    <w:p w14:paraId="5F024735" w14:textId="6DCD2469" w:rsidR="00FD3B22" w:rsidRPr="0024375B" w:rsidRDefault="00FD3B22" w:rsidP="0024375B">
      <w:pPr>
        <w:pStyle w:val="ARTartustawynprozporzdzenia"/>
        <w:rPr>
          <w:rFonts w:ascii="Times New Roman" w:hAnsi="Times New Roman" w:cs="Times New Roman"/>
        </w:rPr>
      </w:pPr>
      <w:r w:rsidRPr="0024375B">
        <w:t>Do tej pory operatorzy usług</w:t>
      </w:r>
      <w:r w:rsidR="009A290C">
        <w:t>i</w:t>
      </w:r>
      <w:r w:rsidRPr="0024375B">
        <w:t xml:space="preserve"> kluczowej mieli obowiązek wyznaczyć jedną osobę do kontaktu</w:t>
      </w:r>
      <w:r w:rsidR="002161FE">
        <w:t xml:space="preserve"> z </w:t>
      </w:r>
      <w:r w:rsidRPr="0024375B">
        <w:t xml:space="preserve">podmiotami krajowego systemu cyberbezpieczeństwa oraz przekazać jej dane do organu właściwego do spraw cyberbezpieczeństwa oraz do </w:t>
      </w:r>
      <w:r w:rsidRPr="0024375B">
        <w:rPr>
          <w:rFonts w:ascii="Times New Roman" w:hAnsi="Times New Roman" w:cs="Times New Roman"/>
        </w:rPr>
        <w:t>właściwego CSIRT MON, CSIRT NASK, CSIRT GOV</w:t>
      </w:r>
      <w:r w:rsidR="002161FE">
        <w:rPr>
          <w:rFonts w:ascii="Times New Roman" w:hAnsi="Times New Roman" w:cs="Times New Roman"/>
        </w:rPr>
        <w:t xml:space="preserve"> i </w:t>
      </w:r>
      <w:r w:rsidRPr="0024375B">
        <w:rPr>
          <w:rFonts w:ascii="Times New Roman" w:hAnsi="Times New Roman" w:cs="Times New Roman"/>
        </w:rPr>
        <w:t>sektorowego zespołu cyberbezpieczeństwa. Proponuje się zmianę polegającą na tym, że operatorzy będą obowiązani wyznaczyć nie jedną</w:t>
      </w:r>
      <w:r w:rsidR="00CB6C9C">
        <w:rPr>
          <w:rFonts w:ascii="Times New Roman" w:hAnsi="Times New Roman" w:cs="Times New Roman"/>
        </w:rPr>
        <w:t>,</w:t>
      </w:r>
      <w:r w:rsidR="002161FE">
        <w:rPr>
          <w:rFonts w:ascii="Times New Roman" w:hAnsi="Times New Roman" w:cs="Times New Roman"/>
        </w:rPr>
        <w:t xml:space="preserve"> a </w:t>
      </w:r>
      <w:r w:rsidRPr="0024375B">
        <w:rPr>
          <w:rFonts w:ascii="Times New Roman" w:hAnsi="Times New Roman" w:cs="Times New Roman"/>
        </w:rPr>
        <w:t>dwie takie osoby. Dzięki temu zawsze będzie dostępna osoba,</w:t>
      </w:r>
      <w:r w:rsidR="002161FE">
        <w:rPr>
          <w:rFonts w:ascii="Times New Roman" w:hAnsi="Times New Roman" w:cs="Times New Roman"/>
        </w:rPr>
        <w:t xml:space="preserve"> z </w:t>
      </w:r>
      <w:r w:rsidRPr="0024375B">
        <w:rPr>
          <w:rFonts w:ascii="Times New Roman" w:hAnsi="Times New Roman" w:cs="Times New Roman"/>
        </w:rPr>
        <w:t>którą zespoły CSIRT będą mogły skontaktować się</w:t>
      </w:r>
      <w:r w:rsidR="00EA1900">
        <w:rPr>
          <w:rFonts w:ascii="Times New Roman" w:hAnsi="Times New Roman" w:cs="Times New Roman"/>
        </w:rPr>
        <w:t xml:space="preserve"> w </w:t>
      </w:r>
      <w:r w:rsidRPr="0024375B">
        <w:rPr>
          <w:rFonts w:ascii="Times New Roman" w:hAnsi="Times New Roman" w:cs="Times New Roman"/>
        </w:rPr>
        <w:t>razie potrzeby, np.</w:t>
      </w:r>
      <w:r w:rsidR="00EA1900">
        <w:rPr>
          <w:rFonts w:ascii="Times New Roman" w:hAnsi="Times New Roman" w:cs="Times New Roman"/>
        </w:rPr>
        <w:t xml:space="preserve"> w </w:t>
      </w:r>
      <w:r w:rsidRPr="0024375B">
        <w:rPr>
          <w:rFonts w:ascii="Times New Roman" w:hAnsi="Times New Roman" w:cs="Times New Roman"/>
        </w:rPr>
        <w:t>celu przekazania informacji</w:t>
      </w:r>
      <w:r w:rsidR="0077165A">
        <w:rPr>
          <w:rFonts w:ascii="Times New Roman" w:hAnsi="Times New Roman" w:cs="Times New Roman"/>
        </w:rPr>
        <w:t xml:space="preserve"> o </w:t>
      </w:r>
      <w:r w:rsidRPr="0024375B">
        <w:rPr>
          <w:rFonts w:ascii="Times New Roman" w:hAnsi="Times New Roman" w:cs="Times New Roman"/>
        </w:rPr>
        <w:t>zidentyfikowanym cyberzagrożeniu. Proponuje się także uproszczenie sposobu przekazywania danych tych osób. Operator usługi kluczowej przekaże je wyłącznie organowi właściwemu do spraw cyberbezpieczeństwa, który</w:t>
      </w:r>
      <w:r w:rsidR="002161FE">
        <w:rPr>
          <w:rFonts w:ascii="Times New Roman" w:hAnsi="Times New Roman" w:cs="Times New Roman"/>
        </w:rPr>
        <w:t xml:space="preserve"> z </w:t>
      </w:r>
      <w:r w:rsidRPr="0024375B">
        <w:rPr>
          <w:rFonts w:ascii="Times New Roman" w:hAnsi="Times New Roman" w:cs="Times New Roman"/>
        </w:rPr>
        <w:t>kolei niezwłocznie przekaże je do właściwego CSIRT MON, CSIRT NASK, CSIRT GOV</w:t>
      </w:r>
      <w:r w:rsidR="002161FE">
        <w:rPr>
          <w:rFonts w:ascii="Times New Roman" w:hAnsi="Times New Roman" w:cs="Times New Roman"/>
        </w:rPr>
        <w:t xml:space="preserve"> i </w:t>
      </w:r>
      <w:r w:rsidRPr="0024375B">
        <w:rPr>
          <w:rFonts w:ascii="Times New Roman" w:hAnsi="Times New Roman" w:cs="Times New Roman"/>
        </w:rPr>
        <w:t>CSIRT sektorowego.</w:t>
      </w:r>
      <w:r w:rsidR="00CE0F5D" w:rsidRPr="0024375B">
        <w:rPr>
          <w:rFonts w:ascii="Times New Roman" w:hAnsi="Times New Roman" w:cs="Times New Roman"/>
        </w:rPr>
        <w:t xml:space="preserve"> Tak więc zamiast wysyłać informacje do 3 instytucji (organ właściwy, CSIRT poziomu krajowego</w:t>
      </w:r>
      <w:r w:rsidR="002161FE">
        <w:rPr>
          <w:rFonts w:ascii="Times New Roman" w:hAnsi="Times New Roman" w:cs="Times New Roman"/>
        </w:rPr>
        <w:t xml:space="preserve"> i </w:t>
      </w:r>
      <w:r w:rsidR="00CE0F5D" w:rsidRPr="0024375B">
        <w:rPr>
          <w:rFonts w:ascii="Times New Roman" w:hAnsi="Times New Roman" w:cs="Times New Roman"/>
        </w:rPr>
        <w:t>sektorowy zespół cyberbezpieczeństwa) zgłoszenie zostanie przekazane tylko do jednej – organu właściwego do spraw cyberbezpieczeństwa.</w:t>
      </w:r>
    </w:p>
    <w:p w14:paraId="7572AB4B" w14:textId="77777777" w:rsidR="00F82A63" w:rsidRPr="0024375B" w:rsidRDefault="00F82A63" w:rsidP="00DC1575">
      <w:pPr>
        <w:pStyle w:val="Nagwek4"/>
      </w:pPr>
      <w:r w:rsidRPr="0024375B">
        <w:t>Zmiany</w:t>
      </w:r>
      <w:r w:rsidR="002161FE">
        <w:t xml:space="preserve"> w</w:t>
      </w:r>
      <w:r w:rsidR="00EA1900">
        <w:t xml:space="preserve"> art. </w:t>
      </w:r>
      <w:r w:rsidRPr="0024375B">
        <w:t>10</w:t>
      </w:r>
    </w:p>
    <w:p w14:paraId="4B2263CB"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 nowelizowanym</w:t>
      </w:r>
      <w:r w:rsidR="00EA1900">
        <w:rPr>
          <w:rFonts w:ascii="Times New Roman" w:hAnsi="Times New Roman" w:cs="Times New Roman"/>
        </w:rPr>
        <w:t xml:space="preserve"> art. </w:t>
      </w:r>
      <w:r w:rsidRPr="0024375B">
        <w:rPr>
          <w:rFonts w:ascii="Times New Roman" w:hAnsi="Times New Roman" w:cs="Times New Roman"/>
        </w:rPr>
        <w:t xml:space="preserve">10 </w:t>
      </w:r>
      <w:r w:rsidR="00D00CB4">
        <w:rPr>
          <w:rFonts w:ascii="Times New Roman" w:hAnsi="Times New Roman" w:cs="Times New Roman"/>
        </w:rPr>
        <w:t>ust. </w:t>
      </w:r>
      <w:r w:rsidRPr="0024375B">
        <w:rPr>
          <w:rFonts w:ascii="Times New Roman" w:hAnsi="Times New Roman" w:cs="Times New Roman"/>
        </w:rPr>
        <w:t xml:space="preserve">2 pkt 2 rozszerzono obowiązki nadzoru </w:t>
      </w:r>
      <w:r w:rsidR="00D300F8" w:rsidRPr="0024375B">
        <w:rPr>
          <w:rFonts w:ascii="Times New Roman" w:hAnsi="Times New Roman" w:cs="Times New Roman"/>
        </w:rPr>
        <w:t xml:space="preserve">operatora usługi kluczowej </w:t>
      </w:r>
      <w:r w:rsidRPr="0024375B">
        <w:rPr>
          <w:rFonts w:ascii="Times New Roman" w:hAnsi="Times New Roman" w:cs="Times New Roman"/>
        </w:rPr>
        <w:t xml:space="preserve">nad dokumentacją </w:t>
      </w:r>
      <w:r w:rsidR="009055DD" w:rsidRPr="0024375B">
        <w:rPr>
          <w:rFonts w:ascii="Times New Roman" w:hAnsi="Times New Roman" w:cs="Times New Roman"/>
        </w:rPr>
        <w:t>dotyczącą bezpieczeństwa systemu informacyjnego</w:t>
      </w:r>
      <w:r w:rsidR="0041156C" w:rsidRPr="0024375B">
        <w:rPr>
          <w:rFonts w:ascii="Times New Roman" w:hAnsi="Times New Roman" w:cs="Times New Roman"/>
        </w:rPr>
        <w:t>. Do tej pory operator miał chronić dokumenty przed niewłaściwym użyciem lub utratą integralności. Rozszerzono to</w:t>
      </w:r>
      <w:r w:rsidR="0077165A">
        <w:rPr>
          <w:rFonts w:ascii="Times New Roman" w:hAnsi="Times New Roman" w:cs="Times New Roman"/>
        </w:rPr>
        <w:t xml:space="preserve"> o </w:t>
      </w:r>
      <w:r w:rsidRPr="0024375B">
        <w:rPr>
          <w:rFonts w:ascii="Times New Roman" w:hAnsi="Times New Roman" w:cs="Times New Roman"/>
        </w:rPr>
        <w:t xml:space="preserve">ochronę dokumentów przed </w:t>
      </w:r>
      <w:r w:rsidR="0041156C" w:rsidRPr="0024375B">
        <w:rPr>
          <w:rFonts w:ascii="Times New Roman" w:hAnsi="Times New Roman" w:cs="Times New Roman"/>
        </w:rPr>
        <w:t>uszkodzeniem,</w:t>
      </w:r>
      <w:r w:rsidR="00DC7576" w:rsidRPr="0024375B">
        <w:rPr>
          <w:rFonts w:ascii="Times New Roman" w:hAnsi="Times New Roman" w:cs="Times New Roman"/>
        </w:rPr>
        <w:t xml:space="preserve"> zniszczeniem, utratą oraz</w:t>
      </w:r>
      <w:r w:rsidRPr="0024375B">
        <w:rPr>
          <w:rFonts w:ascii="Times New Roman" w:hAnsi="Times New Roman" w:cs="Times New Roman"/>
        </w:rPr>
        <w:t xml:space="preserve"> nieuprawnionym dostępem.</w:t>
      </w:r>
      <w:r w:rsidR="004D754D" w:rsidRPr="0024375B">
        <w:rPr>
          <w:rFonts w:ascii="Times New Roman" w:hAnsi="Times New Roman" w:cs="Times New Roman"/>
        </w:rPr>
        <w:t xml:space="preserve"> </w:t>
      </w:r>
      <w:r w:rsidR="00F50FFF" w:rsidRPr="0024375B">
        <w:rPr>
          <w:rFonts w:ascii="Times New Roman" w:hAnsi="Times New Roman" w:cs="Times New Roman"/>
        </w:rPr>
        <w:t>Operator usługi kluczowej zostanie przez to obowiązany zapewnienia pełnej ochrony dokumentacji.</w:t>
      </w:r>
    </w:p>
    <w:p w14:paraId="015B2CDB" w14:textId="77777777" w:rsidR="00F82A63" w:rsidRPr="0024375B" w:rsidRDefault="00F82A63" w:rsidP="00DC1575">
      <w:pPr>
        <w:pStyle w:val="Nagwek4"/>
      </w:pPr>
      <w:r w:rsidRPr="0024375B">
        <w:t>Zmiany</w:t>
      </w:r>
      <w:r w:rsidR="002161FE">
        <w:t xml:space="preserve"> w</w:t>
      </w:r>
      <w:r w:rsidR="00EA1900">
        <w:t xml:space="preserve"> art. </w:t>
      </w:r>
      <w:r w:rsidRPr="0024375B">
        <w:t>11</w:t>
      </w:r>
    </w:p>
    <w:p w14:paraId="21D47353" w14:textId="77777777" w:rsidR="00F6749E" w:rsidRPr="0024375B" w:rsidRDefault="00211A47"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Zgodnie</w:t>
      </w:r>
      <w:r w:rsidR="002161FE">
        <w:rPr>
          <w:rFonts w:ascii="Times New Roman" w:hAnsi="Times New Roman" w:cs="Times New Roman"/>
        </w:rPr>
        <w:t xml:space="preserve"> z </w:t>
      </w:r>
      <w:r w:rsidRPr="0024375B">
        <w:rPr>
          <w:rFonts w:ascii="Times New Roman" w:hAnsi="Times New Roman" w:cs="Times New Roman"/>
        </w:rPr>
        <w:t>nowymi zmianami</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11 operator usługi kluczowej będzie zgłaszał, za pomocą systemu teleinformatycznego,</w:t>
      </w:r>
      <w:r w:rsidR="0077165A">
        <w:rPr>
          <w:rFonts w:ascii="Times New Roman" w:hAnsi="Times New Roman" w:cs="Times New Roman"/>
        </w:rPr>
        <w:t xml:space="preserve"> o </w:t>
      </w:r>
      <w:r w:rsidRPr="0024375B">
        <w:rPr>
          <w:rFonts w:ascii="Times New Roman" w:hAnsi="Times New Roman" w:cs="Times New Roman"/>
        </w:rPr>
        <w:t>którym mowa</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46, incydenty poważne do CSIRT sektorowego, który następnie niezwłocznie przekaże je do właściwego CSIRT MON, CSIRT NASK lub CSIRT GOV</w:t>
      </w:r>
      <w:r w:rsidR="00F6749E" w:rsidRPr="0024375B">
        <w:rPr>
          <w:rFonts w:ascii="Times New Roman" w:hAnsi="Times New Roman" w:cs="Times New Roman"/>
        </w:rPr>
        <w:t>.</w:t>
      </w:r>
      <w:r w:rsidR="00116933">
        <w:rPr>
          <w:rFonts w:ascii="Times New Roman" w:hAnsi="Times New Roman" w:cs="Times New Roman"/>
        </w:rPr>
        <w:t xml:space="preserve"> W </w:t>
      </w:r>
      <w:r w:rsidR="00DC7576" w:rsidRPr="0024375B">
        <w:rPr>
          <w:rFonts w:ascii="Times New Roman" w:hAnsi="Times New Roman" w:cs="Times New Roman"/>
        </w:rPr>
        <w:t xml:space="preserve">ten sposób </w:t>
      </w:r>
      <w:r w:rsidR="00DC7576" w:rsidRPr="0024375B">
        <w:rPr>
          <w:rFonts w:ascii="Times New Roman" w:hAnsi="Times New Roman" w:cs="Times New Roman"/>
        </w:rPr>
        <w:lastRenderedPageBreak/>
        <w:t>zostanie ograniczony ustawowy obowiązek zgłaszania incydentów poważnych do jednego podmiotu, jednocześnie wzmacniając rolę CSIRT sektorowych.</w:t>
      </w:r>
      <w:r w:rsidR="001B110A" w:rsidRPr="0024375B">
        <w:rPr>
          <w:rFonts w:ascii="Times New Roman" w:hAnsi="Times New Roman" w:cs="Times New Roman"/>
        </w:rPr>
        <w:t xml:space="preserve"> Uprości to procedurę zgłaszania incydentów przez operatorów usług kluczowych.</w:t>
      </w:r>
    </w:p>
    <w:p w14:paraId="6E58FF9B" w14:textId="7438994C" w:rsidR="00CE33FF" w:rsidRPr="0024375B" w:rsidRDefault="00CE33FF" w:rsidP="0024375B">
      <w:pPr>
        <w:pStyle w:val="ARTartustawynprozporzdzenia"/>
      </w:pPr>
      <w:r w:rsidRPr="0024375B">
        <w:t>Operator usługi kluczowej może być także przedsiębiorcą telekomunikacyjnym. Potencjalnie jest możliwa sytuacj</w:t>
      </w:r>
      <w:r w:rsidR="009A290C">
        <w:t>a</w:t>
      </w:r>
      <w:r w:rsidRPr="0024375B">
        <w:t>, gdy to samo zdarzenie będzie zarówno incydentem poważnym jak</w:t>
      </w:r>
      <w:r w:rsidR="002161FE">
        <w:t xml:space="preserve"> i </w:t>
      </w:r>
      <w:r w:rsidRPr="0024375B">
        <w:t xml:space="preserve">poważnym incydentem telekomunikacyjnym. Dla uproszczenia obowiązków proponuje się (nowe </w:t>
      </w:r>
      <w:r w:rsidR="00D00CB4">
        <w:t>ust. </w:t>
      </w:r>
      <w:r w:rsidRPr="0024375B">
        <w:t>3a</w:t>
      </w:r>
      <w:r w:rsidR="00FE42B8">
        <w:t>–</w:t>
      </w:r>
      <w:r w:rsidRPr="0024375B">
        <w:t>3b</w:t>
      </w:r>
      <w:r w:rsidR="002161FE">
        <w:t xml:space="preserve"> w</w:t>
      </w:r>
      <w:r w:rsidR="00EA1900">
        <w:t xml:space="preserve"> art. </w:t>
      </w:r>
      <w:r w:rsidRPr="0024375B">
        <w:t>11), żeby zgłoszenie takiego incydentu było przekazywane do właściwego CSIRT sektorowego. Zespół ten niezwłocznie przekaże zgłoszenie także do CSIRT Telco. Operator usługi kluczowej będzie obowiązany</w:t>
      </w:r>
      <w:r w:rsidR="00EA1900">
        <w:t xml:space="preserve"> w </w:t>
      </w:r>
      <w:r w:rsidRPr="0024375B">
        <w:t>tej sytuacji współpracować również</w:t>
      </w:r>
      <w:r w:rsidR="002161FE">
        <w:t xml:space="preserve"> z </w:t>
      </w:r>
      <w:r w:rsidRPr="0024375B">
        <w:t>CSIRT Telco.</w:t>
      </w:r>
    </w:p>
    <w:p w14:paraId="6752DB73" w14:textId="77777777" w:rsidR="00DD5110" w:rsidRPr="0024375B" w:rsidRDefault="00F82A63" w:rsidP="00DC1575">
      <w:pPr>
        <w:pStyle w:val="Nagwek4"/>
      </w:pPr>
      <w:r w:rsidRPr="0024375B">
        <w:t>Zmiany</w:t>
      </w:r>
      <w:r w:rsidR="002161FE">
        <w:t xml:space="preserve"> w</w:t>
      </w:r>
      <w:r w:rsidR="00EA1900">
        <w:t xml:space="preserve"> art. </w:t>
      </w:r>
      <w:r w:rsidR="00DD5110" w:rsidRPr="0024375B">
        <w:t>13</w:t>
      </w:r>
    </w:p>
    <w:p w14:paraId="70B9AFDA" w14:textId="77777777" w:rsidR="00DD5110" w:rsidRPr="0024375B" w:rsidRDefault="00DD5110" w:rsidP="0024375B">
      <w:pPr>
        <w:pStyle w:val="ARTartustawynprozporzdzenia"/>
      </w:pPr>
      <w:r w:rsidRPr="0024375B">
        <w:t>Zmiany</w:t>
      </w:r>
      <w:r w:rsidR="00EA1900">
        <w:t xml:space="preserve"> w </w:t>
      </w:r>
      <w:r w:rsidRPr="0024375B">
        <w:t>artykule 13 wskazują, że co do zasady operator usługi kluczowej będzie przekazywał inne fakultatywne informacje</w:t>
      </w:r>
      <w:r w:rsidR="0077165A">
        <w:t xml:space="preserve"> o </w:t>
      </w:r>
      <w:r w:rsidRPr="0024375B">
        <w:t>incydentach, cyberzagrożeniach, podatnościach itd.</w:t>
      </w:r>
      <w:r w:rsidR="00F50FFF" w:rsidRPr="0024375B">
        <w:t xml:space="preserve"> </w:t>
      </w:r>
      <w:r w:rsidRPr="0024375B">
        <w:t>do właściwego dla niego CSIRT sektorowego. Zespół ten przekaże te informacje dalej do CSIRT poziomu krajowego, jeżeli jest to zasadne. Zmiana wzmacnia pozycję CSIRT sektorowego stawiając go bliżej operatora usługi kluczowej</w:t>
      </w:r>
      <w:r w:rsidR="002161FE">
        <w:t xml:space="preserve"> z </w:t>
      </w:r>
      <w:r w:rsidRPr="0024375B">
        <w:t>danego sektora.</w:t>
      </w:r>
    </w:p>
    <w:p w14:paraId="1E9C3FAC" w14:textId="77777777" w:rsidR="00F50FFF" w:rsidRPr="0024375B" w:rsidRDefault="00F82A63" w:rsidP="00DC1575">
      <w:pPr>
        <w:pStyle w:val="Nagwek4"/>
      </w:pPr>
      <w:r w:rsidRPr="0024375B">
        <w:t>Zmiany</w:t>
      </w:r>
      <w:r w:rsidR="002161FE">
        <w:t xml:space="preserve"> w</w:t>
      </w:r>
      <w:r w:rsidR="00EA1900">
        <w:t xml:space="preserve"> art. </w:t>
      </w:r>
      <w:r w:rsidR="00F50FFF" w:rsidRPr="0024375B">
        <w:t>14</w:t>
      </w:r>
    </w:p>
    <w:p w14:paraId="6B437E87" w14:textId="77777777" w:rsidR="00C75BEA" w:rsidRDefault="00173C42"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 nowelizacji zostało zaproponowane zupełnie nowe brzmienie</w:t>
      </w:r>
      <w:r w:rsidR="00EA1900">
        <w:rPr>
          <w:rFonts w:ascii="Times New Roman" w:hAnsi="Times New Roman" w:cs="Times New Roman"/>
        </w:rPr>
        <w:t xml:space="preserve"> art. </w:t>
      </w:r>
      <w:r w:rsidRPr="0024375B">
        <w:rPr>
          <w:rFonts w:ascii="Times New Roman" w:hAnsi="Times New Roman" w:cs="Times New Roman"/>
        </w:rPr>
        <w:t>14</w:t>
      </w:r>
      <w:r w:rsidR="00F6749E" w:rsidRPr="0024375B">
        <w:rPr>
          <w:rFonts w:ascii="Times New Roman" w:hAnsi="Times New Roman" w:cs="Times New Roman"/>
        </w:rPr>
        <w:t>. Wskazano</w:t>
      </w:r>
      <w:r w:rsidR="00EA1900">
        <w:rPr>
          <w:rFonts w:ascii="Times New Roman" w:hAnsi="Times New Roman" w:cs="Times New Roman"/>
        </w:rPr>
        <w:t xml:space="preserve"> w </w:t>
      </w:r>
      <w:r w:rsidRPr="0024375B">
        <w:rPr>
          <w:rFonts w:ascii="Times New Roman" w:hAnsi="Times New Roman" w:cs="Times New Roman"/>
        </w:rPr>
        <w:t>nim</w:t>
      </w:r>
      <w:r w:rsidR="00F6749E" w:rsidRPr="0024375B">
        <w:rPr>
          <w:rFonts w:ascii="Times New Roman" w:hAnsi="Times New Roman" w:cs="Times New Roman"/>
        </w:rPr>
        <w:t>, że zadania operatorów usług kluczowych</w:t>
      </w:r>
      <w:r w:rsidR="00EA1900">
        <w:rPr>
          <w:rFonts w:ascii="Times New Roman" w:hAnsi="Times New Roman" w:cs="Times New Roman"/>
        </w:rPr>
        <w:t xml:space="preserve"> w </w:t>
      </w:r>
      <w:r w:rsidR="00F6749E" w:rsidRPr="0024375B">
        <w:rPr>
          <w:rFonts w:ascii="Times New Roman" w:hAnsi="Times New Roman" w:cs="Times New Roman"/>
        </w:rPr>
        <w:t xml:space="preserve">zakresie </w:t>
      </w:r>
      <w:r w:rsidR="007832A5" w:rsidRPr="0024375B">
        <w:rPr>
          <w:rFonts w:ascii="Times New Roman" w:hAnsi="Times New Roman" w:cs="Times New Roman"/>
        </w:rPr>
        <w:t xml:space="preserve">bezpieczeństwa systemów informacyjnych </w:t>
      </w:r>
      <w:r w:rsidR="00F6749E" w:rsidRPr="0024375B">
        <w:rPr>
          <w:rFonts w:ascii="Times New Roman" w:hAnsi="Times New Roman" w:cs="Times New Roman"/>
        </w:rPr>
        <w:t>realizowane są</w:t>
      </w:r>
      <w:r w:rsidR="00EA1900">
        <w:rPr>
          <w:rFonts w:ascii="Times New Roman" w:hAnsi="Times New Roman" w:cs="Times New Roman"/>
        </w:rPr>
        <w:t xml:space="preserve"> w </w:t>
      </w:r>
      <w:r w:rsidR="007832A5" w:rsidRPr="0024375B">
        <w:rPr>
          <w:rFonts w:ascii="Times New Roman" w:hAnsi="Times New Roman" w:cs="Times New Roman"/>
        </w:rPr>
        <w:t>ramach</w:t>
      </w:r>
      <w:r w:rsidR="00F6749E" w:rsidRPr="0024375B">
        <w:rPr>
          <w:rFonts w:ascii="Times New Roman" w:hAnsi="Times New Roman" w:cs="Times New Roman"/>
        </w:rPr>
        <w:t xml:space="preserve"> SOC</w:t>
      </w:r>
      <w:r w:rsidR="00F262A6" w:rsidRPr="0024375B">
        <w:rPr>
          <w:rFonts w:ascii="Times New Roman" w:hAnsi="Times New Roman" w:cs="Times New Roman"/>
        </w:rPr>
        <w:t xml:space="preserve"> wewnętrznych</w:t>
      </w:r>
      <w:r w:rsidR="002161FE">
        <w:rPr>
          <w:rFonts w:ascii="Times New Roman" w:hAnsi="Times New Roman" w:cs="Times New Roman"/>
        </w:rPr>
        <w:t xml:space="preserve"> i </w:t>
      </w:r>
      <w:r w:rsidR="00F262A6" w:rsidRPr="0024375B">
        <w:rPr>
          <w:rFonts w:ascii="Times New Roman" w:hAnsi="Times New Roman" w:cs="Times New Roman"/>
        </w:rPr>
        <w:t>SOC zewnętrznych</w:t>
      </w:r>
      <w:r w:rsidR="00F6749E" w:rsidRPr="0024375B">
        <w:rPr>
          <w:rFonts w:ascii="Times New Roman" w:hAnsi="Times New Roman" w:cs="Times New Roman"/>
        </w:rPr>
        <w:t xml:space="preserve">. </w:t>
      </w:r>
      <w:r w:rsidR="003B0BB3">
        <w:rPr>
          <w:rFonts w:ascii="Times New Roman" w:hAnsi="Times New Roman" w:cs="Times New Roman"/>
        </w:rPr>
        <w:t>SOC będzie więc</w:t>
      </w:r>
      <w:r w:rsidR="00C75BEA">
        <w:rPr>
          <w:rFonts w:ascii="Times New Roman" w:hAnsi="Times New Roman" w:cs="Times New Roman"/>
        </w:rPr>
        <w:t>:</w:t>
      </w:r>
      <w:r w:rsidR="003B0BB3">
        <w:rPr>
          <w:rFonts w:ascii="Times New Roman" w:hAnsi="Times New Roman" w:cs="Times New Roman"/>
        </w:rPr>
        <w:t xml:space="preserve"> </w:t>
      </w:r>
    </w:p>
    <w:p w14:paraId="1759E11B" w14:textId="77777777" w:rsidR="00C75BEA" w:rsidRDefault="003B0BB3" w:rsidP="001C5AF2">
      <w:pPr>
        <w:pStyle w:val="NIEARTTEKSTtekstnieartykuowanynppodstprawnarozplubpreambua"/>
        <w:numPr>
          <w:ilvl w:val="0"/>
          <w:numId w:val="100"/>
        </w:numPr>
        <w:rPr>
          <w:rFonts w:ascii="Times New Roman" w:hAnsi="Times New Roman" w:cs="Times New Roman"/>
        </w:rPr>
      </w:pPr>
      <w:r>
        <w:rPr>
          <w:rFonts w:ascii="Times New Roman" w:hAnsi="Times New Roman" w:cs="Times New Roman"/>
        </w:rPr>
        <w:t xml:space="preserve">wdrażał </w:t>
      </w:r>
      <w:r w:rsidRPr="003B0BB3">
        <w:rPr>
          <w:rFonts w:ascii="Times New Roman" w:hAnsi="Times New Roman" w:cs="Times New Roman"/>
        </w:rPr>
        <w:t>system zarządzania bezpieczeństwem</w:t>
      </w:r>
      <w:r w:rsidR="00EA1900">
        <w:rPr>
          <w:rFonts w:ascii="Times New Roman" w:hAnsi="Times New Roman" w:cs="Times New Roman"/>
        </w:rPr>
        <w:t xml:space="preserve"> w </w:t>
      </w:r>
      <w:r w:rsidRPr="003B0BB3">
        <w:rPr>
          <w:rFonts w:ascii="Times New Roman" w:hAnsi="Times New Roman" w:cs="Times New Roman"/>
        </w:rPr>
        <w:t>systemie informacyjnym wykorzystywanym do świadczenia usługi kluczowej</w:t>
      </w:r>
      <w:r>
        <w:rPr>
          <w:rFonts w:ascii="Times New Roman" w:hAnsi="Times New Roman" w:cs="Times New Roman"/>
        </w:rPr>
        <w:t xml:space="preserve"> (art. 8), </w:t>
      </w:r>
    </w:p>
    <w:p w14:paraId="6E1D7730" w14:textId="77777777" w:rsidR="00C75BEA" w:rsidRDefault="003B0BB3" w:rsidP="001C5AF2">
      <w:pPr>
        <w:pStyle w:val="NIEARTTEKSTtekstnieartykuowanynppodstprawnarozplubpreambua"/>
        <w:numPr>
          <w:ilvl w:val="0"/>
          <w:numId w:val="100"/>
        </w:numPr>
        <w:rPr>
          <w:rFonts w:ascii="Times New Roman" w:hAnsi="Times New Roman" w:cs="Times New Roman"/>
        </w:rPr>
      </w:pPr>
      <w:r>
        <w:rPr>
          <w:rFonts w:ascii="Times New Roman" w:hAnsi="Times New Roman" w:cs="Times New Roman"/>
        </w:rPr>
        <w:t xml:space="preserve">wyznaczał osoby </w:t>
      </w:r>
      <w:r w:rsidR="00C75BEA">
        <w:rPr>
          <w:rFonts w:ascii="Times New Roman" w:hAnsi="Times New Roman" w:cs="Times New Roman"/>
        </w:rPr>
        <w:t>do kontaktu</w:t>
      </w:r>
      <w:r w:rsidR="002161FE">
        <w:rPr>
          <w:rFonts w:ascii="Times New Roman" w:hAnsi="Times New Roman" w:cs="Times New Roman"/>
        </w:rPr>
        <w:t xml:space="preserve"> z </w:t>
      </w:r>
      <w:r w:rsidR="00C75BEA">
        <w:rPr>
          <w:rFonts w:ascii="Times New Roman" w:hAnsi="Times New Roman" w:cs="Times New Roman"/>
        </w:rPr>
        <w:t xml:space="preserve">podmiotami krajowego systemu cyberbezpieczeństwa (art. 9), </w:t>
      </w:r>
    </w:p>
    <w:p w14:paraId="7B7256FB" w14:textId="77777777" w:rsidR="00C75BEA" w:rsidRDefault="00C75BEA" w:rsidP="001C5AF2">
      <w:pPr>
        <w:pStyle w:val="NIEARTTEKSTtekstnieartykuowanynppodstprawnarozplubpreambua"/>
        <w:numPr>
          <w:ilvl w:val="0"/>
          <w:numId w:val="100"/>
        </w:numPr>
        <w:rPr>
          <w:rFonts w:ascii="Times New Roman" w:hAnsi="Times New Roman" w:cs="Times New Roman"/>
        </w:rPr>
      </w:pPr>
      <w:r>
        <w:rPr>
          <w:rFonts w:ascii="Times New Roman" w:hAnsi="Times New Roman" w:cs="Times New Roman"/>
        </w:rPr>
        <w:t>prowadził</w:t>
      </w:r>
      <w:r w:rsidR="002161FE">
        <w:rPr>
          <w:rFonts w:ascii="Times New Roman" w:hAnsi="Times New Roman" w:cs="Times New Roman"/>
        </w:rPr>
        <w:t xml:space="preserve"> i </w:t>
      </w:r>
      <w:r>
        <w:rPr>
          <w:rFonts w:ascii="Times New Roman" w:hAnsi="Times New Roman" w:cs="Times New Roman"/>
        </w:rPr>
        <w:t xml:space="preserve">nadzorował dokumentację dotyczącą bezpieczeństwa </w:t>
      </w:r>
      <w:r w:rsidRPr="00C75BEA">
        <w:rPr>
          <w:rFonts w:ascii="Times New Roman" w:hAnsi="Times New Roman" w:cs="Times New Roman"/>
        </w:rPr>
        <w:t>systemu informacyjnego wykorzystywanego do świadczenia usługi kluczowej</w:t>
      </w:r>
      <w:r>
        <w:rPr>
          <w:rFonts w:ascii="Times New Roman" w:hAnsi="Times New Roman" w:cs="Times New Roman"/>
        </w:rPr>
        <w:t xml:space="preserve"> (art. 10 </w:t>
      </w:r>
      <w:r w:rsidR="00D00CB4">
        <w:rPr>
          <w:rFonts w:ascii="Times New Roman" w:hAnsi="Times New Roman" w:cs="Times New Roman"/>
        </w:rPr>
        <w:t>ust. </w:t>
      </w:r>
      <w:r>
        <w:rPr>
          <w:rFonts w:ascii="Times New Roman" w:hAnsi="Times New Roman" w:cs="Times New Roman"/>
        </w:rPr>
        <w:t>1</w:t>
      </w:r>
      <w:r w:rsidR="00FE42B8">
        <w:rPr>
          <w:rFonts w:ascii="Times New Roman" w:hAnsi="Times New Roman" w:cs="Times New Roman"/>
        </w:rPr>
        <w:t>–</w:t>
      </w:r>
      <w:r>
        <w:rPr>
          <w:rFonts w:ascii="Times New Roman" w:hAnsi="Times New Roman" w:cs="Times New Roman"/>
        </w:rPr>
        <w:t xml:space="preserve">3), </w:t>
      </w:r>
    </w:p>
    <w:p w14:paraId="6C7FE6C6" w14:textId="77777777" w:rsidR="00C75BEA" w:rsidRDefault="00C75BEA" w:rsidP="001C5AF2">
      <w:pPr>
        <w:pStyle w:val="NIEARTTEKSTtekstnieartykuowanynppodstprawnarozplubpreambua"/>
        <w:numPr>
          <w:ilvl w:val="0"/>
          <w:numId w:val="100"/>
        </w:numPr>
        <w:rPr>
          <w:rFonts w:ascii="Times New Roman" w:hAnsi="Times New Roman" w:cs="Times New Roman"/>
        </w:rPr>
      </w:pPr>
      <w:r>
        <w:rPr>
          <w:rFonts w:ascii="Times New Roman" w:hAnsi="Times New Roman" w:cs="Times New Roman"/>
        </w:rPr>
        <w:t xml:space="preserve">obsługiwał incydenty, zgłaszał incydenty poważne do właściwego CSIRT sektorowego (art. 11 </w:t>
      </w:r>
      <w:r w:rsidR="00D00CB4">
        <w:rPr>
          <w:rFonts w:ascii="Times New Roman" w:hAnsi="Times New Roman" w:cs="Times New Roman"/>
        </w:rPr>
        <w:t>ust. </w:t>
      </w:r>
      <w:r>
        <w:rPr>
          <w:rFonts w:ascii="Times New Roman" w:hAnsi="Times New Roman" w:cs="Times New Roman"/>
        </w:rPr>
        <w:t>1</w:t>
      </w:r>
      <w:r w:rsidR="00FE42B8">
        <w:rPr>
          <w:rFonts w:ascii="Times New Roman" w:hAnsi="Times New Roman" w:cs="Times New Roman"/>
        </w:rPr>
        <w:t>–</w:t>
      </w:r>
      <w:r>
        <w:rPr>
          <w:rFonts w:ascii="Times New Roman" w:hAnsi="Times New Roman" w:cs="Times New Roman"/>
        </w:rPr>
        <w:t>3 oraz</w:t>
      </w:r>
      <w:r w:rsidR="00EA1900">
        <w:rPr>
          <w:rFonts w:ascii="Times New Roman" w:hAnsi="Times New Roman" w:cs="Times New Roman"/>
        </w:rPr>
        <w:t xml:space="preserve"> art. </w:t>
      </w:r>
      <w:r>
        <w:rPr>
          <w:rFonts w:ascii="Times New Roman" w:hAnsi="Times New Roman" w:cs="Times New Roman"/>
        </w:rPr>
        <w:t xml:space="preserve">12), </w:t>
      </w:r>
    </w:p>
    <w:p w14:paraId="01C5230F" w14:textId="77777777" w:rsidR="003B0BB3" w:rsidRDefault="00C75BEA" w:rsidP="001C5AF2">
      <w:pPr>
        <w:pStyle w:val="NIEARTTEKSTtekstnieartykuowanynppodstprawnarozplubpreambua"/>
        <w:numPr>
          <w:ilvl w:val="0"/>
          <w:numId w:val="100"/>
        </w:numPr>
        <w:rPr>
          <w:rFonts w:ascii="Times New Roman" w:hAnsi="Times New Roman" w:cs="Times New Roman"/>
        </w:rPr>
      </w:pPr>
      <w:r>
        <w:rPr>
          <w:rFonts w:ascii="Times New Roman" w:hAnsi="Times New Roman" w:cs="Times New Roman"/>
        </w:rPr>
        <w:t>przekazywał inne informacje o incydentach, cyberzagrożeniach (art. 13).</w:t>
      </w:r>
    </w:p>
    <w:p w14:paraId="02DEA3EF" w14:textId="77777777" w:rsidR="003B0BB3" w:rsidRDefault="00C75BEA" w:rsidP="0024375B">
      <w:pPr>
        <w:pStyle w:val="NIEARTTEKSTtekstnieartykuowanynppodstprawnarozplubpreambua"/>
        <w:rPr>
          <w:rFonts w:ascii="Times New Roman" w:hAnsi="Times New Roman" w:cs="Times New Roman"/>
        </w:rPr>
      </w:pPr>
      <w:r>
        <w:rPr>
          <w:rFonts w:ascii="Times New Roman" w:hAnsi="Times New Roman" w:cs="Times New Roman"/>
        </w:rPr>
        <w:t>Obecnie zadania te wykonują w</w:t>
      </w:r>
      <w:r w:rsidRPr="00C75BEA">
        <w:rPr>
          <w:rFonts w:ascii="Times New Roman" w:hAnsi="Times New Roman" w:cs="Times New Roman"/>
        </w:rPr>
        <w:t>ewnętrzne struktury powołane przez operatora usługi kluczowej odpowiedzialne za cyberbezpieczeństwo oraz podmioty świadczące usługi</w:t>
      </w:r>
      <w:r w:rsidR="002161FE">
        <w:rPr>
          <w:rFonts w:ascii="Times New Roman" w:hAnsi="Times New Roman" w:cs="Times New Roman"/>
        </w:rPr>
        <w:t xml:space="preserve"> z </w:t>
      </w:r>
      <w:r w:rsidRPr="00C75BEA">
        <w:rPr>
          <w:rFonts w:ascii="Times New Roman" w:hAnsi="Times New Roman" w:cs="Times New Roman"/>
        </w:rPr>
        <w:t>zakresu cyberbezpieczeństwa</w:t>
      </w:r>
      <w:r>
        <w:rPr>
          <w:rFonts w:ascii="Times New Roman" w:hAnsi="Times New Roman" w:cs="Times New Roman"/>
        </w:rPr>
        <w:t>. Sam zakres zadań nie zmieni się.</w:t>
      </w:r>
    </w:p>
    <w:p w14:paraId="3243C51E" w14:textId="3A5DF152" w:rsidR="00F6749E" w:rsidRPr="0024375B" w:rsidRDefault="00C75BEA" w:rsidP="0024375B">
      <w:pPr>
        <w:pStyle w:val="NIEARTTEKSTtekstnieartykuowanynppodstprawnarozplubpreambua"/>
        <w:rPr>
          <w:rFonts w:ascii="Times New Roman" w:hAnsi="Times New Roman" w:cs="Times New Roman"/>
        </w:rPr>
      </w:pPr>
      <w:r>
        <w:rPr>
          <w:rFonts w:ascii="Times New Roman" w:hAnsi="Times New Roman" w:cs="Times New Roman"/>
        </w:rPr>
        <w:t>Zgodnie</w:t>
      </w:r>
      <w:r w:rsidR="002161FE">
        <w:rPr>
          <w:rFonts w:ascii="Times New Roman" w:hAnsi="Times New Roman" w:cs="Times New Roman"/>
        </w:rPr>
        <w:t xml:space="preserve"> z </w:t>
      </w:r>
      <w:r>
        <w:rPr>
          <w:rFonts w:ascii="Times New Roman" w:hAnsi="Times New Roman" w:cs="Times New Roman"/>
        </w:rPr>
        <w:t>projektowanym ust</w:t>
      </w:r>
      <w:r w:rsidR="001F6F87">
        <w:rPr>
          <w:rFonts w:ascii="Times New Roman" w:hAnsi="Times New Roman" w:cs="Times New Roman"/>
        </w:rPr>
        <w:t>.</w:t>
      </w:r>
      <w:r w:rsidR="0037639F">
        <w:rPr>
          <w:rFonts w:ascii="Times New Roman" w:hAnsi="Times New Roman" w:cs="Times New Roman"/>
        </w:rPr>
        <w:t xml:space="preserve"> </w:t>
      </w:r>
      <w:r>
        <w:rPr>
          <w:rFonts w:ascii="Times New Roman" w:hAnsi="Times New Roman" w:cs="Times New Roman"/>
        </w:rPr>
        <w:t xml:space="preserve">2 </w:t>
      </w:r>
      <w:r w:rsidR="00F6749E" w:rsidRPr="0024375B">
        <w:rPr>
          <w:rFonts w:ascii="Times New Roman" w:hAnsi="Times New Roman" w:cs="Times New Roman"/>
        </w:rPr>
        <w:t>SOC może być powołany wewnątrz organizacji danego operatora usługi kluczowej</w:t>
      </w:r>
      <w:r>
        <w:rPr>
          <w:rFonts w:ascii="Times New Roman" w:hAnsi="Times New Roman" w:cs="Times New Roman"/>
        </w:rPr>
        <w:t xml:space="preserve"> (SOC wewnętrzny)</w:t>
      </w:r>
      <w:r w:rsidR="00F6749E" w:rsidRPr="0024375B">
        <w:rPr>
          <w:rFonts w:ascii="Times New Roman" w:hAnsi="Times New Roman" w:cs="Times New Roman"/>
        </w:rPr>
        <w:t xml:space="preserve"> lub stanowić odrębny podmiot</w:t>
      </w:r>
      <w:r>
        <w:rPr>
          <w:rFonts w:ascii="Times New Roman" w:hAnsi="Times New Roman" w:cs="Times New Roman"/>
        </w:rPr>
        <w:t xml:space="preserve"> (SOC zewnętrzny)</w:t>
      </w:r>
      <w:r w:rsidR="00F6749E" w:rsidRPr="0024375B">
        <w:rPr>
          <w:rFonts w:ascii="Times New Roman" w:hAnsi="Times New Roman" w:cs="Times New Roman"/>
        </w:rPr>
        <w:t>.</w:t>
      </w:r>
      <w:r w:rsidR="00116933">
        <w:rPr>
          <w:rFonts w:ascii="Times New Roman" w:hAnsi="Times New Roman" w:cs="Times New Roman"/>
        </w:rPr>
        <w:t xml:space="preserve"> W </w:t>
      </w:r>
      <w:r w:rsidR="00F6749E" w:rsidRPr="0024375B">
        <w:rPr>
          <w:rFonts w:ascii="Times New Roman" w:hAnsi="Times New Roman" w:cs="Times New Roman"/>
        </w:rPr>
        <w:t xml:space="preserve">tym drugim przypadku </w:t>
      </w:r>
      <w:r w:rsidR="00F6749E" w:rsidRPr="0024375B">
        <w:rPr>
          <w:rFonts w:ascii="Times New Roman" w:hAnsi="Times New Roman" w:cs="Times New Roman"/>
        </w:rPr>
        <w:lastRenderedPageBreak/>
        <w:t xml:space="preserve">operator usługi kluczowej </w:t>
      </w:r>
      <w:r w:rsidR="00A57B15" w:rsidRPr="0024375B">
        <w:rPr>
          <w:rFonts w:ascii="Times New Roman" w:hAnsi="Times New Roman" w:cs="Times New Roman"/>
        </w:rPr>
        <w:t xml:space="preserve">jest obowiązany poinformować </w:t>
      </w:r>
      <w:r w:rsidR="00F6749E" w:rsidRPr="0024375B">
        <w:rPr>
          <w:rFonts w:ascii="Times New Roman" w:hAnsi="Times New Roman" w:cs="Times New Roman"/>
        </w:rPr>
        <w:t>organ właściwy do spraw cyberbezpieczeństwa</w:t>
      </w:r>
      <w:r w:rsidR="0077165A">
        <w:rPr>
          <w:rFonts w:ascii="Times New Roman" w:hAnsi="Times New Roman" w:cs="Times New Roman"/>
        </w:rPr>
        <w:t xml:space="preserve"> o </w:t>
      </w:r>
      <w:r w:rsidR="00F6749E" w:rsidRPr="0024375B">
        <w:rPr>
          <w:rFonts w:ascii="Times New Roman" w:hAnsi="Times New Roman" w:cs="Times New Roman"/>
        </w:rPr>
        <w:t>zawarciu umowy</w:t>
      </w:r>
      <w:r w:rsidR="002161FE">
        <w:rPr>
          <w:rFonts w:ascii="Times New Roman" w:hAnsi="Times New Roman" w:cs="Times New Roman"/>
        </w:rPr>
        <w:t xml:space="preserve"> z </w:t>
      </w:r>
      <w:r w:rsidR="00F6749E" w:rsidRPr="0024375B">
        <w:rPr>
          <w:rFonts w:ascii="Times New Roman" w:hAnsi="Times New Roman" w:cs="Times New Roman"/>
        </w:rPr>
        <w:t>zewnętrznym podmiotem realizującym zadania SOC, jego danych kontaktowych</w:t>
      </w:r>
      <w:r w:rsidR="002161FE">
        <w:rPr>
          <w:rFonts w:ascii="Times New Roman" w:hAnsi="Times New Roman" w:cs="Times New Roman"/>
        </w:rPr>
        <w:t xml:space="preserve"> i </w:t>
      </w:r>
      <w:r w:rsidR="00F6749E" w:rsidRPr="0024375B">
        <w:rPr>
          <w:rFonts w:ascii="Times New Roman" w:hAnsi="Times New Roman" w:cs="Times New Roman"/>
        </w:rPr>
        <w:t>zakresie świadczonej usługi na rzecz tego operatora.</w:t>
      </w:r>
      <w:r w:rsidR="00716C06" w:rsidRPr="0024375B">
        <w:rPr>
          <w:rFonts w:ascii="Times New Roman" w:hAnsi="Times New Roman" w:cs="Times New Roman"/>
        </w:rPr>
        <w:t xml:space="preserve"> </w:t>
      </w:r>
    </w:p>
    <w:p w14:paraId="6CEDF0B3" w14:textId="42CB70B9" w:rsidR="00F262A6" w:rsidRPr="0024375B" w:rsidRDefault="00906A47"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Należy podkreślić, że każdy</w:t>
      </w:r>
      <w:r w:rsidR="002161FE">
        <w:rPr>
          <w:rFonts w:ascii="Times New Roman" w:hAnsi="Times New Roman" w:cs="Times New Roman"/>
        </w:rPr>
        <w:t xml:space="preserve"> z </w:t>
      </w:r>
      <w:r w:rsidRPr="0024375B">
        <w:rPr>
          <w:rFonts w:ascii="Times New Roman" w:hAnsi="Times New Roman" w:cs="Times New Roman"/>
        </w:rPr>
        <w:t>operatorów usług kluczowych może swobodnie wybrać</w:t>
      </w:r>
      <w:r w:rsidR="00EA1900">
        <w:rPr>
          <w:rFonts w:ascii="Times New Roman" w:hAnsi="Times New Roman" w:cs="Times New Roman"/>
        </w:rPr>
        <w:t xml:space="preserve"> w </w:t>
      </w:r>
      <w:r w:rsidRPr="0024375B">
        <w:rPr>
          <w:rFonts w:ascii="Times New Roman" w:hAnsi="Times New Roman" w:cs="Times New Roman"/>
        </w:rPr>
        <w:t>jakim modelu prowadzony jest SOC</w:t>
      </w:r>
      <w:r w:rsidR="00F262A6" w:rsidRPr="0024375B">
        <w:rPr>
          <w:rFonts w:ascii="Times New Roman" w:hAnsi="Times New Roman" w:cs="Times New Roman"/>
        </w:rPr>
        <w:t xml:space="preserve"> zewnętrzny lub SOC wewnętrzny</w:t>
      </w:r>
      <w:r w:rsidRPr="0024375B">
        <w:rPr>
          <w:rFonts w:ascii="Times New Roman" w:hAnsi="Times New Roman" w:cs="Times New Roman"/>
        </w:rPr>
        <w:t>. Nie musi on być jedną konkretną jednostką</w:t>
      </w:r>
      <w:r w:rsidR="00EA1900">
        <w:rPr>
          <w:rFonts w:ascii="Times New Roman" w:hAnsi="Times New Roman" w:cs="Times New Roman"/>
        </w:rPr>
        <w:t xml:space="preserve"> w </w:t>
      </w:r>
      <w:r w:rsidRPr="0024375B">
        <w:rPr>
          <w:rFonts w:ascii="Times New Roman" w:hAnsi="Times New Roman" w:cs="Times New Roman"/>
        </w:rPr>
        <w:t xml:space="preserve">jego strukturze, jego zadania mogą być realizowane przez pracowników różnych komórek wewnętrznych </w:t>
      </w:r>
      <w:r w:rsidR="003B0BB3">
        <w:rPr>
          <w:rFonts w:ascii="Times New Roman" w:hAnsi="Times New Roman" w:cs="Times New Roman"/>
        </w:rPr>
        <w:t xml:space="preserve">danej </w:t>
      </w:r>
      <w:r w:rsidRPr="0024375B">
        <w:rPr>
          <w:rFonts w:ascii="Times New Roman" w:hAnsi="Times New Roman" w:cs="Times New Roman"/>
        </w:rPr>
        <w:t>organizacji. Możliwe jest również zawarcie umowy</w:t>
      </w:r>
      <w:r w:rsidR="002161FE">
        <w:rPr>
          <w:rFonts w:ascii="Times New Roman" w:hAnsi="Times New Roman" w:cs="Times New Roman"/>
        </w:rPr>
        <w:t xml:space="preserve"> z </w:t>
      </w:r>
      <w:r w:rsidRPr="0024375B">
        <w:rPr>
          <w:rFonts w:ascii="Times New Roman" w:hAnsi="Times New Roman" w:cs="Times New Roman"/>
        </w:rPr>
        <w:t>kilkoma podmiotami zewnętrznymi</w:t>
      </w:r>
      <w:r w:rsidR="00EA1900">
        <w:rPr>
          <w:rFonts w:ascii="Times New Roman" w:hAnsi="Times New Roman" w:cs="Times New Roman"/>
        </w:rPr>
        <w:t xml:space="preserve"> w </w:t>
      </w:r>
      <w:r w:rsidRPr="0024375B">
        <w:rPr>
          <w:rFonts w:ascii="Times New Roman" w:hAnsi="Times New Roman" w:cs="Times New Roman"/>
        </w:rPr>
        <w:t>kwestii usług SOC</w:t>
      </w:r>
      <w:r w:rsidR="002161FE">
        <w:rPr>
          <w:rFonts w:ascii="Times New Roman" w:hAnsi="Times New Roman" w:cs="Times New Roman"/>
        </w:rPr>
        <w:t xml:space="preserve"> i </w:t>
      </w:r>
      <w:r w:rsidRPr="0024375B">
        <w:rPr>
          <w:rFonts w:ascii="Times New Roman" w:hAnsi="Times New Roman" w:cs="Times New Roman"/>
        </w:rPr>
        <w:t>dowolnie rozdzielić pomiędzy nimi zadania.</w:t>
      </w:r>
      <w:r w:rsidR="00AD59BB" w:rsidRPr="0024375B">
        <w:rPr>
          <w:rFonts w:ascii="Times New Roman" w:hAnsi="Times New Roman" w:cs="Times New Roman"/>
        </w:rPr>
        <w:t xml:space="preserve"> Możliwy jest także częściowy outsourcing tzn.</w:t>
      </w:r>
      <w:r w:rsidR="009A290C">
        <w:rPr>
          <w:rFonts w:ascii="Times New Roman" w:hAnsi="Times New Roman" w:cs="Times New Roman"/>
        </w:rPr>
        <w:t>,</w:t>
      </w:r>
      <w:r w:rsidR="00AD59BB" w:rsidRPr="0024375B">
        <w:rPr>
          <w:rFonts w:ascii="Times New Roman" w:hAnsi="Times New Roman" w:cs="Times New Roman"/>
        </w:rPr>
        <w:t xml:space="preserve"> że część zadań będzie wykonywana</w:t>
      </w:r>
      <w:r w:rsidR="00EA1900">
        <w:rPr>
          <w:rFonts w:ascii="Times New Roman" w:hAnsi="Times New Roman" w:cs="Times New Roman"/>
        </w:rPr>
        <w:t xml:space="preserve"> w </w:t>
      </w:r>
      <w:r w:rsidR="00AD59BB" w:rsidRPr="0024375B">
        <w:rPr>
          <w:rFonts w:ascii="Times New Roman" w:hAnsi="Times New Roman" w:cs="Times New Roman"/>
        </w:rPr>
        <w:t>SOC wewnętrznym</w:t>
      </w:r>
      <w:r w:rsidR="004E182D" w:rsidRPr="0024375B">
        <w:rPr>
          <w:rFonts w:ascii="Times New Roman" w:hAnsi="Times New Roman" w:cs="Times New Roman"/>
        </w:rPr>
        <w:t>,</w:t>
      </w:r>
      <w:r w:rsidR="002161FE">
        <w:rPr>
          <w:rFonts w:ascii="Times New Roman" w:hAnsi="Times New Roman" w:cs="Times New Roman"/>
        </w:rPr>
        <w:t xml:space="preserve"> a </w:t>
      </w:r>
      <w:r w:rsidR="00AD59BB" w:rsidRPr="0024375B">
        <w:rPr>
          <w:rFonts w:ascii="Times New Roman" w:hAnsi="Times New Roman" w:cs="Times New Roman"/>
        </w:rPr>
        <w:t>część</w:t>
      </w:r>
      <w:r w:rsidR="00EA1900">
        <w:rPr>
          <w:rFonts w:ascii="Times New Roman" w:hAnsi="Times New Roman" w:cs="Times New Roman"/>
        </w:rPr>
        <w:t xml:space="preserve"> w </w:t>
      </w:r>
      <w:r w:rsidR="00AD59BB" w:rsidRPr="0024375B">
        <w:rPr>
          <w:rFonts w:ascii="Times New Roman" w:hAnsi="Times New Roman" w:cs="Times New Roman"/>
        </w:rPr>
        <w:t>SOC zewnętrznym.</w:t>
      </w:r>
      <w:r w:rsidRPr="0024375B">
        <w:rPr>
          <w:rFonts w:ascii="Times New Roman" w:hAnsi="Times New Roman" w:cs="Times New Roman"/>
        </w:rPr>
        <w:t xml:space="preserve"> Niezależnie od wybranego modelu operator usługi kluczowej ponosi odpowiedzialność za zapewnienie ciągłości usługi kluczowej.</w:t>
      </w:r>
      <w:r w:rsidR="00F262A6" w:rsidRPr="0024375B">
        <w:rPr>
          <w:rFonts w:ascii="Times New Roman" w:hAnsi="Times New Roman" w:cs="Times New Roman"/>
        </w:rPr>
        <w:t xml:space="preserve"> </w:t>
      </w:r>
    </w:p>
    <w:p w14:paraId="7F37EF4C" w14:textId="77777777" w:rsidR="00C75BEA" w:rsidRDefault="00C75BEA" w:rsidP="0024375B">
      <w:pPr>
        <w:pStyle w:val="ARTartustawynprozporzdzenia"/>
        <w:rPr>
          <w:rFonts w:ascii="Times New Roman" w:hAnsi="Times New Roman" w:cs="Times New Roman"/>
        </w:rPr>
      </w:pPr>
      <w:r w:rsidRPr="0024375B">
        <w:rPr>
          <w:rFonts w:ascii="Times New Roman" w:hAnsi="Times New Roman" w:cs="Times New Roman"/>
        </w:rPr>
        <w:t>Wprowadza się także możliwość, aby SOC zewnętrzny mógł być utworzony na rzecz operatora usługi kluczowej przez organ tworzący lub nadzorujący operatora</w:t>
      </w:r>
      <w:r w:rsidR="008F71AE">
        <w:rPr>
          <w:rFonts w:ascii="Times New Roman" w:hAnsi="Times New Roman" w:cs="Times New Roman"/>
        </w:rPr>
        <w:t xml:space="preserve"> usługi kluczowej</w:t>
      </w:r>
      <w:r>
        <w:rPr>
          <w:rFonts w:ascii="Times New Roman" w:hAnsi="Times New Roman" w:cs="Times New Roman"/>
        </w:rPr>
        <w:t xml:space="preserve"> (</w:t>
      </w:r>
      <w:r w:rsidR="00D00CB4">
        <w:rPr>
          <w:rFonts w:ascii="Times New Roman" w:hAnsi="Times New Roman" w:cs="Times New Roman"/>
        </w:rPr>
        <w:t>ust. </w:t>
      </w:r>
      <w:r>
        <w:rPr>
          <w:rFonts w:ascii="Times New Roman" w:hAnsi="Times New Roman" w:cs="Times New Roman"/>
        </w:rPr>
        <w:t>3)</w:t>
      </w:r>
      <w:r w:rsidRPr="0024375B">
        <w:rPr>
          <w:rFonts w:ascii="Times New Roman" w:hAnsi="Times New Roman" w:cs="Times New Roman"/>
        </w:rPr>
        <w:t>.</w:t>
      </w:r>
    </w:p>
    <w:p w14:paraId="1FE42295" w14:textId="77777777" w:rsidR="00C17B44" w:rsidRPr="0024375B" w:rsidRDefault="00C17B44" w:rsidP="0024375B">
      <w:pPr>
        <w:pStyle w:val="ARTartustawynprozporzdzenia"/>
      </w:pPr>
      <w:r w:rsidRPr="0024375B">
        <w:t xml:space="preserve">Wyraźnie wskazano, że SOC </w:t>
      </w:r>
      <w:r w:rsidR="00F262A6" w:rsidRPr="0024375B">
        <w:t>wewnętrzny</w:t>
      </w:r>
      <w:r w:rsidRPr="0024375B">
        <w:t xml:space="preserve"> może świadczyć swoje usługi na rzecz innych podmiotów</w:t>
      </w:r>
      <w:r w:rsidR="002E0ED6">
        <w:t xml:space="preserve"> (</w:t>
      </w:r>
      <w:r w:rsidR="00D00CB4">
        <w:t>ust. </w:t>
      </w:r>
      <w:r w:rsidR="002E0ED6">
        <w:t>4)</w:t>
      </w:r>
      <w:r w:rsidRPr="0024375B">
        <w:t>.</w:t>
      </w:r>
      <w:r w:rsidR="003B0BB3">
        <w:t xml:space="preserve"> Jest to przydatne</w:t>
      </w:r>
      <w:r w:rsidR="00EA1900">
        <w:t xml:space="preserve"> w </w:t>
      </w:r>
      <w:r w:rsidR="003B0BB3">
        <w:t>sytuacji np. grupy kapitałowej,</w:t>
      </w:r>
      <w:r w:rsidR="00EA1900">
        <w:t xml:space="preserve"> w </w:t>
      </w:r>
      <w:r w:rsidR="003B0BB3">
        <w:t>której może się znajdować kilku operatorów usług kluczowych. Takie rozwiązanie pomoże zoptymalizować koszty ponoszone przez operatorów usług kluczowych. Należy przy tym zauważyć, że SOC wewnętrzny świadczący usługi również dla innego operatora usługi kluczowej będzie dla niego SOC zewnętrznym i</w:t>
      </w:r>
      <w:r w:rsidR="00EA1900">
        <w:t xml:space="preserve"> w </w:t>
      </w:r>
      <w:r w:rsidR="003B0BB3">
        <w:t>zakresie tej działalności będzie podlegał nadzorowi ministra właściwego do spraw informatyzacji.</w:t>
      </w:r>
    </w:p>
    <w:p w14:paraId="0E0F7E3B" w14:textId="77777777" w:rsidR="004E182D" w:rsidRPr="0024375B" w:rsidRDefault="00C17B44"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Nowe brzmienie</w:t>
      </w:r>
      <w:r w:rsidR="00EA1900">
        <w:rPr>
          <w:rFonts w:ascii="Times New Roman" w:hAnsi="Times New Roman" w:cs="Times New Roman"/>
        </w:rPr>
        <w:t xml:space="preserve"> art. </w:t>
      </w:r>
      <w:r w:rsidR="00F6749E" w:rsidRPr="0024375B">
        <w:rPr>
          <w:rFonts w:ascii="Times New Roman" w:hAnsi="Times New Roman" w:cs="Times New Roman"/>
        </w:rPr>
        <w:t xml:space="preserve">14 </w:t>
      </w:r>
      <w:r w:rsidR="00D00CB4">
        <w:rPr>
          <w:rFonts w:ascii="Times New Roman" w:hAnsi="Times New Roman" w:cs="Times New Roman"/>
        </w:rPr>
        <w:t>ust. </w:t>
      </w:r>
      <w:r w:rsidR="00AD59BB" w:rsidRPr="0024375B">
        <w:rPr>
          <w:rFonts w:ascii="Times New Roman" w:hAnsi="Times New Roman" w:cs="Times New Roman"/>
        </w:rPr>
        <w:t>5</w:t>
      </w:r>
      <w:r w:rsidR="00F6749E" w:rsidRPr="0024375B">
        <w:rPr>
          <w:rFonts w:ascii="Times New Roman" w:hAnsi="Times New Roman" w:cs="Times New Roman"/>
        </w:rPr>
        <w:t xml:space="preserve"> nakazuje SOC </w:t>
      </w:r>
      <w:r w:rsidR="00F262A6" w:rsidRPr="0024375B">
        <w:rPr>
          <w:rFonts w:ascii="Times New Roman" w:hAnsi="Times New Roman" w:cs="Times New Roman"/>
        </w:rPr>
        <w:t>wewnętrznym</w:t>
      </w:r>
      <w:r w:rsidR="002161FE">
        <w:rPr>
          <w:rFonts w:ascii="Times New Roman" w:hAnsi="Times New Roman" w:cs="Times New Roman"/>
        </w:rPr>
        <w:t xml:space="preserve"> i </w:t>
      </w:r>
      <w:r w:rsidR="00F262A6" w:rsidRPr="0024375B">
        <w:rPr>
          <w:rFonts w:ascii="Times New Roman" w:hAnsi="Times New Roman" w:cs="Times New Roman"/>
        </w:rPr>
        <w:t xml:space="preserve">SOC zewnętrznym </w:t>
      </w:r>
      <w:r w:rsidR="00F6749E" w:rsidRPr="0024375B">
        <w:rPr>
          <w:rFonts w:ascii="Times New Roman" w:hAnsi="Times New Roman" w:cs="Times New Roman"/>
        </w:rPr>
        <w:t>wprowadzić</w:t>
      </w:r>
      <w:r w:rsidR="007832A5" w:rsidRPr="0024375B">
        <w:rPr>
          <w:rFonts w:ascii="Times New Roman" w:hAnsi="Times New Roman" w:cs="Times New Roman"/>
        </w:rPr>
        <w:t>, na podstawie przeprowadzonego szacowania ryzyka,</w:t>
      </w:r>
      <w:r w:rsidR="00F6749E" w:rsidRPr="0024375B">
        <w:rPr>
          <w:rFonts w:ascii="Times New Roman" w:hAnsi="Times New Roman" w:cs="Times New Roman"/>
        </w:rPr>
        <w:t xml:space="preserve"> zabezpieczenia zapewniające poufność, integralność, dostępność</w:t>
      </w:r>
      <w:r w:rsidR="002161FE">
        <w:rPr>
          <w:rFonts w:ascii="Times New Roman" w:hAnsi="Times New Roman" w:cs="Times New Roman"/>
        </w:rPr>
        <w:t xml:space="preserve"> i </w:t>
      </w:r>
      <w:r w:rsidR="00F6749E" w:rsidRPr="0024375B">
        <w:rPr>
          <w:rFonts w:ascii="Times New Roman" w:hAnsi="Times New Roman" w:cs="Times New Roman"/>
        </w:rPr>
        <w:t>autentyczność przetwarzanych informacji,</w:t>
      </w:r>
      <w:r w:rsidR="002161FE">
        <w:rPr>
          <w:rFonts w:ascii="Times New Roman" w:hAnsi="Times New Roman" w:cs="Times New Roman"/>
        </w:rPr>
        <w:t xml:space="preserve"> z </w:t>
      </w:r>
      <w:r w:rsidR="00F6749E" w:rsidRPr="0024375B">
        <w:rPr>
          <w:rFonts w:ascii="Times New Roman" w:hAnsi="Times New Roman" w:cs="Times New Roman"/>
        </w:rPr>
        <w:t xml:space="preserve">uwzględnieniem </w:t>
      </w:r>
      <w:r w:rsidR="007832A5" w:rsidRPr="0024375B">
        <w:t>określenia zasad dostępu do pomieszczeń oraz systemów</w:t>
      </w:r>
      <w:r w:rsidR="00DB7568">
        <w:t xml:space="preserve"> informacyjnych</w:t>
      </w:r>
      <w:r w:rsidR="007832A5" w:rsidRPr="0024375B">
        <w:t>,</w:t>
      </w:r>
      <w:r w:rsidR="002161FE">
        <w:t xml:space="preserve"> a </w:t>
      </w:r>
      <w:r w:rsidR="007832A5" w:rsidRPr="0024375B">
        <w:t>także eksploatacji</w:t>
      </w:r>
      <w:r w:rsidR="002161FE">
        <w:t xml:space="preserve"> i </w:t>
      </w:r>
      <w:r w:rsidR="007832A5" w:rsidRPr="0024375B">
        <w:t xml:space="preserve">architektury </w:t>
      </w:r>
      <w:r w:rsidR="00D216DE" w:rsidRPr="0024375B">
        <w:t>systemów</w:t>
      </w:r>
      <w:r w:rsidR="00DB7568">
        <w:t xml:space="preserve"> informacyjnych</w:t>
      </w:r>
      <w:r w:rsidR="004E182D" w:rsidRPr="0024375B">
        <w:rPr>
          <w:rFonts w:ascii="Times New Roman" w:hAnsi="Times New Roman" w:cs="Times New Roman"/>
        </w:rPr>
        <w:t>. Przepis ten upraszcza obowiązki operatorów usług kluczowych.</w:t>
      </w:r>
      <w:r w:rsidR="00116933">
        <w:rPr>
          <w:rFonts w:ascii="Times New Roman" w:hAnsi="Times New Roman" w:cs="Times New Roman"/>
        </w:rPr>
        <w:t xml:space="preserve"> W </w:t>
      </w:r>
      <w:r w:rsidR="004E182D" w:rsidRPr="0024375B">
        <w:rPr>
          <w:rFonts w:ascii="Times New Roman" w:hAnsi="Times New Roman" w:cs="Times New Roman"/>
        </w:rPr>
        <w:t>obecnym brzmieniu ustawy wewnętrzne struktury powołane przez operatora usługi kluczowej odpowiedzialne za cyberbezpieczeństwo oraz podmioty świadczące usługi</w:t>
      </w:r>
      <w:r w:rsidR="002161FE">
        <w:rPr>
          <w:rFonts w:ascii="Times New Roman" w:hAnsi="Times New Roman" w:cs="Times New Roman"/>
        </w:rPr>
        <w:t xml:space="preserve"> z </w:t>
      </w:r>
      <w:r w:rsidR="004E182D" w:rsidRPr="0024375B">
        <w:rPr>
          <w:rFonts w:ascii="Times New Roman" w:hAnsi="Times New Roman" w:cs="Times New Roman"/>
        </w:rPr>
        <w:t>zakresu cyberbezpieczeństwa są obowiązane:</w:t>
      </w:r>
    </w:p>
    <w:p w14:paraId="036A5795" w14:textId="77777777" w:rsidR="004E182D" w:rsidRPr="0024375B" w:rsidRDefault="004E182D"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1) spełniać warunki organizacyjne</w:t>
      </w:r>
      <w:r w:rsidR="002161FE">
        <w:rPr>
          <w:rFonts w:ascii="Times New Roman" w:hAnsi="Times New Roman" w:cs="Times New Roman"/>
        </w:rPr>
        <w:t xml:space="preserve"> i </w:t>
      </w:r>
      <w:r w:rsidRPr="0024375B">
        <w:rPr>
          <w:rFonts w:ascii="Times New Roman" w:hAnsi="Times New Roman" w:cs="Times New Roman"/>
        </w:rPr>
        <w:t>techniczne pozwalające na zapewnienie cyberbezpieczeństwa obsługiwanemu operatorowi usługi kluczowej;</w:t>
      </w:r>
    </w:p>
    <w:p w14:paraId="21AEA0CF" w14:textId="77777777" w:rsidR="004E182D" w:rsidRPr="0024375B" w:rsidRDefault="004E182D"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2) dysponować pomieszczeniami służącymi do świadczenia usług</w:t>
      </w:r>
      <w:r w:rsidR="002161FE">
        <w:rPr>
          <w:rFonts w:ascii="Times New Roman" w:hAnsi="Times New Roman" w:cs="Times New Roman"/>
        </w:rPr>
        <w:t xml:space="preserve"> z </w:t>
      </w:r>
      <w:r w:rsidRPr="0024375B">
        <w:rPr>
          <w:rFonts w:ascii="Times New Roman" w:hAnsi="Times New Roman" w:cs="Times New Roman"/>
        </w:rPr>
        <w:t>zakresu reagowania na incydenty, zabezpieczonymi przed zagrożeniami fizycznymi</w:t>
      </w:r>
      <w:r w:rsidR="002161FE">
        <w:rPr>
          <w:rFonts w:ascii="Times New Roman" w:hAnsi="Times New Roman" w:cs="Times New Roman"/>
        </w:rPr>
        <w:t xml:space="preserve"> i </w:t>
      </w:r>
      <w:r w:rsidRPr="0024375B">
        <w:rPr>
          <w:rFonts w:ascii="Times New Roman" w:hAnsi="Times New Roman" w:cs="Times New Roman"/>
        </w:rPr>
        <w:t>środowiskowymi;</w:t>
      </w:r>
    </w:p>
    <w:p w14:paraId="435BE916" w14:textId="77777777" w:rsidR="004E182D" w:rsidRPr="0024375B" w:rsidRDefault="004E182D"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3) stosować zabezpieczenia</w:t>
      </w:r>
      <w:r w:rsidR="00EA1900">
        <w:rPr>
          <w:rFonts w:ascii="Times New Roman" w:hAnsi="Times New Roman" w:cs="Times New Roman"/>
        </w:rPr>
        <w:t xml:space="preserve"> w </w:t>
      </w:r>
      <w:r w:rsidRPr="0024375B">
        <w:rPr>
          <w:rFonts w:ascii="Times New Roman" w:hAnsi="Times New Roman" w:cs="Times New Roman"/>
        </w:rPr>
        <w:t>celu zapewnienia poufności, integralności, dostępności</w:t>
      </w:r>
      <w:r w:rsidR="002161FE">
        <w:rPr>
          <w:rFonts w:ascii="Times New Roman" w:hAnsi="Times New Roman" w:cs="Times New Roman"/>
        </w:rPr>
        <w:t xml:space="preserve"> i </w:t>
      </w:r>
      <w:r w:rsidRPr="0024375B">
        <w:rPr>
          <w:rFonts w:ascii="Times New Roman" w:hAnsi="Times New Roman" w:cs="Times New Roman"/>
        </w:rPr>
        <w:t>autentyczności przetwarzanych informacji,</w:t>
      </w:r>
      <w:r w:rsidR="002161FE">
        <w:rPr>
          <w:rFonts w:ascii="Times New Roman" w:hAnsi="Times New Roman" w:cs="Times New Roman"/>
        </w:rPr>
        <w:t xml:space="preserve"> z </w:t>
      </w:r>
      <w:r w:rsidRPr="0024375B">
        <w:rPr>
          <w:rFonts w:ascii="Times New Roman" w:hAnsi="Times New Roman" w:cs="Times New Roman"/>
        </w:rPr>
        <w:t>uwzględnieniem bezpieczeństwa osobowego, eksploatacji</w:t>
      </w:r>
      <w:r w:rsidR="002161FE">
        <w:rPr>
          <w:rFonts w:ascii="Times New Roman" w:hAnsi="Times New Roman" w:cs="Times New Roman"/>
        </w:rPr>
        <w:t xml:space="preserve"> i </w:t>
      </w:r>
      <w:r w:rsidRPr="0024375B">
        <w:rPr>
          <w:rFonts w:ascii="Times New Roman" w:hAnsi="Times New Roman" w:cs="Times New Roman"/>
        </w:rPr>
        <w:t>architektury systemów.</w:t>
      </w:r>
    </w:p>
    <w:p w14:paraId="3809BA33" w14:textId="77777777" w:rsidR="00F6749E" w:rsidRPr="0024375B" w:rsidRDefault="004E182D"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lastRenderedPageBreak/>
        <w:t>Warunki organizacyjne</w:t>
      </w:r>
      <w:r w:rsidR="002161FE">
        <w:rPr>
          <w:rFonts w:ascii="Times New Roman" w:hAnsi="Times New Roman" w:cs="Times New Roman"/>
        </w:rPr>
        <w:t xml:space="preserve"> i </w:t>
      </w:r>
      <w:r w:rsidRPr="0024375B">
        <w:rPr>
          <w:rFonts w:ascii="Times New Roman" w:hAnsi="Times New Roman" w:cs="Times New Roman"/>
        </w:rPr>
        <w:t>techniczne dla podmiotów świadczących usługi</w:t>
      </w:r>
      <w:r w:rsidR="002161FE">
        <w:rPr>
          <w:rFonts w:ascii="Times New Roman" w:hAnsi="Times New Roman" w:cs="Times New Roman"/>
        </w:rPr>
        <w:t xml:space="preserve"> z </w:t>
      </w:r>
      <w:r w:rsidRPr="0024375B">
        <w:rPr>
          <w:rFonts w:ascii="Times New Roman" w:hAnsi="Times New Roman" w:cs="Times New Roman"/>
        </w:rPr>
        <w:t>zakresu cyberbezpieczeństwa oraz wewnętrznych struktur odpowiedzialnych za cyberbezpieczeństwo zostały określone</w:t>
      </w:r>
      <w:r w:rsidR="00EA1900">
        <w:rPr>
          <w:rFonts w:ascii="Times New Roman" w:hAnsi="Times New Roman" w:cs="Times New Roman"/>
        </w:rPr>
        <w:t xml:space="preserve"> w </w:t>
      </w:r>
      <w:r w:rsidRPr="0024375B">
        <w:t>rozporządzeniu Ministra Cyfryzacji</w:t>
      </w:r>
      <w:r w:rsidR="002161FE">
        <w:t xml:space="preserve"> z </w:t>
      </w:r>
      <w:r w:rsidRPr="0024375B">
        <w:t>dnia 4 grudnia 2019 r.</w:t>
      </w:r>
      <w:r w:rsidR="00EA1900">
        <w:t xml:space="preserve"> w </w:t>
      </w:r>
      <w:r w:rsidRPr="0024375B">
        <w:rPr>
          <w:i/>
          <w:iCs/>
        </w:rPr>
        <w:t>sprawie warunków organizacyjnych</w:t>
      </w:r>
      <w:r w:rsidR="002161FE">
        <w:rPr>
          <w:i/>
          <w:iCs/>
        </w:rPr>
        <w:t xml:space="preserve"> i </w:t>
      </w:r>
      <w:r w:rsidRPr="0024375B">
        <w:rPr>
          <w:i/>
          <w:iCs/>
        </w:rPr>
        <w:t>technicznych dla podmiotów świadczących usługi</w:t>
      </w:r>
      <w:r w:rsidR="002161FE">
        <w:rPr>
          <w:i/>
          <w:iCs/>
        </w:rPr>
        <w:t xml:space="preserve"> z </w:t>
      </w:r>
      <w:r w:rsidRPr="0024375B">
        <w:rPr>
          <w:i/>
          <w:iCs/>
        </w:rPr>
        <w:t>zakresu cyberbezpieczeństwa oraz wewnętrznych struktur organizacyjnych operatorów usług kluczowych odpowiedzialnych za cyberbezpieczeństwo</w:t>
      </w:r>
      <w:r w:rsidRPr="0024375B">
        <w:rPr>
          <w:rStyle w:val="Odwoanieprzypisudolnego"/>
          <w:i/>
        </w:rPr>
        <w:footnoteReference w:id="19"/>
      </w:r>
      <w:r w:rsidR="00FE42B8">
        <w:rPr>
          <w:i/>
          <w:iCs/>
          <w:vertAlign w:val="superscript"/>
        </w:rPr>
        <w:t>)</w:t>
      </w:r>
      <w:r w:rsidRPr="0024375B">
        <w:rPr>
          <w:i/>
          <w:iCs/>
        </w:rPr>
        <w:t xml:space="preserve">. </w:t>
      </w:r>
      <w:r w:rsidR="00634506" w:rsidRPr="0024375B">
        <w:t>Proponuje się rezygnację</w:t>
      </w:r>
      <w:r w:rsidR="002161FE">
        <w:t xml:space="preserve"> z </w:t>
      </w:r>
      <w:r w:rsidR="00634506" w:rsidRPr="0024375B">
        <w:t>precyzowania tych warunków</w:t>
      </w:r>
      <w:r w:rsidR="00EA1900">
        <w:t xml:space="preserve"> w </w:t>
      </w:r>
      <w:r w:rsidR="00634506" w:rsidRPr="0024375B">
        <w:t>rozporządzeniu –</w:t>
      </w:r>
      <w:r w:rsidR="00EA1900">
        <w:t xml:space="preserve"> w </w:t>
      </w:r>
      <w:r w:rsidR="00634506" w:rsidRPr="0024375B">
        <w:t>zamian SOC wewnętrzny czy SOC zewnętrzny będą obowiązane przeprowadzić szacowanie ryzyka</w:t>
      </w:r>
      <w:r w:rsidR="002161FE">
        <w:t xml:space="preserve"> i </w:t>
      </w:r>
      <w:r w:rsidR="00634506" w:rsidRPr="0024375B">
        <w:t>wprowadzić odpowiednie zabezpieczenia</w:t>
      </w:r>
      <w:r w:rsidR="00090395">
        <w:t>, proporcjonalne do oszacowanego ryzyka</w:t>
      </w:r>
      <w:r w:rsidR="00634506" w:rsidRPr="0024375B">
        <w:t xml:space="preserve">. </w:t>
      </w:r>
    </w:p>
    <w:p w14:paraId="6838FBC2"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Jeżeli operator usługi kluczowej zawiera</w:t>
      </w:r>
      <w:r w:rsidR="002161FE">
        <w:rPr>
          <w:rFonts w:ascii="Times New Roman" w:hAnsi="Times New Roman" w:cs="Times New Roman"/>
        </w:rPr>
        <w:t xml:space="preserve"> z </w:t>
      </w:r>
      <w:r w:rsidRPr="0024375B">
        <w:rPr>
          <w:rFonts w:ascii="Times New Roman" w:hAnsi="Times New Roman" w:cs="Times New Roman"/>
        </w:rPr>
        <w:t>podmiotem trzecim umowę</w:t>
      </w:r>
      <w:r w:rsidR="0077165A">
        <w:rPr>
          <w:rFonts w:ascii="Times New Roman" w:hAnsi="Times New Roman" w:cs="Times New Roman"/>
        </w:rPr>
        <w:t xml:space="preserve"> o </w:t>
      </w:r>
      <w:r w:rsidR="00AD59BB" w:rsidRPr="0024375B">
        <w:rPr>
          <w:rFonts w:ascii="Times New Roman" w:hAnsi="Times New Roman" w:cs="Times New Roman"/>
        </w:rPr>
        <w:t>świadczenie usług</w:t>
      </w:r>
      <w:r w:rsidRPr="0024375B">
        <w:rPr>
          <w:rFonts w:ascii="Times New Roman" w:hAnsi="Times New Roman" w:cs="Times New Roman"/>
        </w:rPr>
        <w:t xml:space="preserve"> SOC to</w:t>
      </w:r>
      <w:r w:rsidR="0077165A">
        <w:rPr>
          <w:rFonts w:ascii="Times New Roman" w:hAnsi="Times New Roman" w:cs="Times New Roman"/>
        </w:rPr>
        <w:t xml:space="preserve"> o </w:t>
      </w:r>
      <w:r w:rsidRPr="0024375B">
        <w:rPr>
          <w:rFonts w:ascii="Times New Roman" w:hAnsi="Times New Roman" w:cs="Times New Roman"/>
        </w:rPr>
        <w:t>umowie</w:t>
      </w:r>
      <w:r w:rsidR="002161FE">
        <w:rPr>
          <w:rFonts w:ascii="Times New Roman" w:hAnsi="Times New Roman" w:cs="Times New Roman"/>
        </w:rPr>
        <w:t xml:space="preserve"> i </w:t>
      </w:r>
      <w:r w:rsidRPr="0024375B">
        <w:rPr>
          <w:rFonts w:ascii="Times New Roman" w:hAnsi="Times New Roman" w:cs="Times New Roman"/>
        </w:rPr>
        <w:t xml:space="preserve">jej szczegółach </w:t>
      </w:r>
      <w:r w:rsidR="00634506" w:rsidRPr="0024375B">
        <w:rPr>
          <w:rFonts w:ascii="Times New Roman" w:hAnsi="Times New Roman" w:cs="Times New Roman"/>
        </w:rPr>
        <w:t xml:space="preserve">będzie </w:t>
      </w:r>
      <w:r w:rsidR="000D2FBD" w:rsidRPr="0024375B">
        <w:rPr>
          <w:rFonts w:ascii="Times New Roman" w:hAnsi="Times New Roman" w:cs="Times New Roman"/>
        </w:rPr>
        <w:t>obowiązany</w:t>
      </w:r>
      <w:r w:rsidRPr="0024375B">
        <w:rPr>
          <w:rFonts w:ascii="Times New Roman" w:hAnsi="Times New Roman" w:cs="Times New Roman"/>
        </w:rPr>
        <w:t xml:space="preserve"> niezwłocznie </w:t>
      </w:r>
      <w:r w:rsidR="000D2FBD" w:rsidRPr="0024375B">
        <w:rPr>
          <w:rFonts w:ascii="Times New Roman" w:hAnsi="Times New Roman" w:cs="Times New Roman"/>
        </w:rPr>
        <w:t xml:space="preserve">poinformować </w:t>
      </w:r>
      <w:r w:rsidRPr="0024375B">
        <w:rPr>
          <w:rFonts w:ascii="Times New Roman" w:hAnsi="Times New Roman" w:cs="Times New Roman"/>
        </w:rPr>
        <w:t>organ właściwy ds. cyberbezpieczeństwa.</w:t>
      </w:r>
    </w:p>
    <w:p w14:paraId="6D1F3B62"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W niezbędnych sytuacjach SOC </w:t>
      </w:r>
      <w:r w:rsidR="00F262A6" w:rsidRPr="0024375B">
        <w:rPr>
          <w:rFonts w:ascii="Times New Roman" w:hAnsi="Times New Roman" w:cs="Times New Roman"/>
        </w:rPr>
        <w:t>wewnętrzne</w:t>
      </w:r>
      <w:r w:rsidR="002161FE">
        <w:rPr>
          <w:rFonts w:ascii="Times New Roman" w:hAnsi="Times New Roman" w:cs="Times New Roman"/>
        </w:rPr>
        <w:t xml:space="preserve"> i </w:t>
      </w:r>
      <w:r w:rsidR="00F262A6" w:rsidRPr="0024375B">
        <w:rPr>
          <w:rFonts w:ascii="Times New Roman" w:hAnsi="Times New Roman" w:cs="Times New Roman"/>
        </w:rPr>
        <w:t xml:space="preserve">SOC zewnętrzne </w:t>
      </w:r>
      <w:r w:rsidRPr="0024375B">
        <w:rPr>
          <w:rFonts w:ascii="Times New Roman" w:hAnsi="Times New Roman" w:cs="Times New Roman"/>
        </w:rPr>
        <w:t>ma</w:t>
      </w:r>
      <w:r w:rsidR="00F262A6" w:rsidRPr="0024375B">
        <w:rPr>
          <w:rFonts w:ascii="Times New Roman" w:hAnsi="Times New Roman" w:cs="Times New Roman"/>
        </w:rPr>
        <w:t>ją</w:t>
      </w:r>
      <w:r w:rsidRPr="0024375B">
        <w:rPr>
          <w:rFonts w:ascii="Times New Roman" w:hAnsi="Times New Roman" w:cs="Times New Roman"/>
        </w:rPr>
        <w:t xml:space="preserve"> zapewnić bezpieczny zdalny dostęp do swoich systemów </w:t>
      </w:r>
      <w:r w:rsidR="00DB7568">
        <w:rPr>
          <w:rFonts w:ascii="Times New Roman" w:hAnsi="Times New Roman" w:cs="Times New Roman"/>
        </w:rPr>
        <w:t xml:space="preserve">informacyjnych </w:t>
      </w:r>
      <w:r w:rsidRPr="0024375B">
        <w:rPr>
          <w:rFonts w:ascii="Times New Roman" w:hAnsi="Times New Roman" w:cs="Times New Roman"/>
        </w:rPr>
        <w:t>dla obsługiwanego operatora usługi kluczowej. Istotne jest, aby opracować procedury</w:t>
      </w:r>
      <w:r w:rsidR="002161FE">
        <w:rPr>
          <w:rFonts w:ascii="Times New Roman" w:hAnsi="Times New Roman" w:cs="Times New Roman"/>
        </w:rPr>
        <w:t xml:space="preserve"> i </w:t>
      </w:r>
      <w:r w:rsidRPr="0024375B">
        <w:rPr>
          <w:rFonts w:ascii="Times New Roman" w:hAnsi="Times New Roman" w:cs="Times New Roman"/>
        </w:rPr>
        <w:t>stosować środki, które zminimalizują zagrożenie wycieku danych</w:t>
      </w:r>
      <w:r w:rsidR="002161FE">
        <w:rPr>
          <w:rFonts w:ascii="Times New Roman" w:hAnsi="Times New Roman" w:cs="Times New Roman"/>
        </w:rPr>
        <w:t xml:space="preserve"> z </w:t>
      </w:r>
      <w:r w:rsidRPr="0024375B">
        <w:rPr>
          <w:rFonts w:ascii="Times New Roman" w:hAnsi="Times New Roman" w:cs="Times New Roman"/>
        </w:rPr>
        <w:t>SOC.</w:t>
      </w:r>
      <w:r w:rsidR="00634506" w:rsidRPr="0024375B">
        <w:rPr>
          <w:rFonts w:ascii="Times New Roman" w:hAnsi="Times New Roman" w:cs="Times New Roman"/>
        </w:rPr>
        <w:t xml:space="preserve"> Podobny przepis znajduje się</w:t>
      </w:r>
      <w:r w:rsidR="00EA1900">
        <w:rPr>
          <w:rFonts w:ascii="Times New Roman" w:hAnsi="Times New Roman" w:cs="Times New Roman"/>
        </w:rPr>
        <w:t xml:space="preserve"> w </w:t>
      </w:r>
      <w:r w:rsidR="00634506" w:rsidRPr="0024375B">
        <w:rPr>
          <w:rFonts w:ascii="Times New Roman" w:hAnsi="Times New Roman" w:cs="Times New Roman"/>
        </w:rPr>
        <w:t>ww. rozporządzeniu</w:t>
      </w:r>
      <w:r w:rsidR="002161FE">
        <w:rPr>
          <w:rFonts w:ascii="Times New Roman" w:hAnsi="Times New Roman" w:cs="Times New Roman"/>
        </w:rPr>
        <w:t xml:space="preserve"> i </w:t>
      </w:r>
      <w:r w:rsidR="00634506" w:rsidRPr="0024375B">
        <w:rPr>
          <w:rFonts w:ascii="Times New Roman" w:hAnsi="Times New Roman" w:cs="Times New Roman"/>
        </w:rPr>
        <w:t>jego celem jest umożliwienie realizacji zadań zdalnie.</w:t>
      </w:r>
    </w:p>
    <w:p w14:paraId="62360CBF" w14:textId="40FFA23E" w:rsidR="00D216DE" w:rsidRPr="0024375B" w:rsidRDefault="00D216DE" w:rsidP="0024375B">
      <w:pPr>
        <w:pStyle w:val="NIEARTTEKSTtekstnieartykuowanynppodstprawnarozplubpreambua"/>
      </w:pPr>
      <w:r w:rsidRPr="0024375B">
        <w:rPr>
          <w:rFonts w:ascii="Times New Roman" w:hAnsi="Times New Roman" w:cs="Times New Roman"/>
        </w:rPr>
        <w:t>Zgodnie</w:t>
      </w:r>
      <w:r w:rsidR="002161FE">
        <w:rPr>
          <w:rFonts w:ascii="Times New Roman" w:hAnsi="Times New Roman" w:cs="Times New Roman"/>
        </w:rPr>
        <w:t xml:space="preserve"> z</w:t>
      </w:r>
      <w:r w:rsidR="00EA1900">
        <w:rPr>
          <w:rFonts w:ascii="Times New Roman" w:hAnsi="Times New Roman" w:cs="Times New Roman"/>
        </w:rPr>
        <w:t xml:space="preserve"> art. </w:t>
      </w:r>
      <w:r w:rsidRPr="0024375B">
        <w:rPr>
          <w:rFonts w:ascii="Times New Roman" w:hAnsi="Times New Roman" w:cs="Times New Roman"/>
        </w:rPr>
        <w:t xml:space="preserve">14 </w:t>
      </w:r>
      <w:r w:rsidR="00D00CB4">
        <w:rPr>
          <w:rFonts w:ascii="Times New Roman" w:hAnsi="Times New Roman" w:cs="Times New Roman"/>
        </w:rPr>
        <w:t>ust. </w:t>
      </w:r>
      <w:r w:rsidRPr="0024375B">
        <w:rPr>
          <w:rFonts w:ascii="Times New Roman" w:hAnsi="Times New Roman" w:cs="Times New Roman"/>
        </w:rPr>
        <w:t>8 do umów</w:t>
      </w:r>
      <w:r w:rsidR="0077165A">
        <w:rPr>
          <w:rFonts w:ascii="Times New Roman" w:hAnsi="Times New Roman" w:cs="Times New Roman"/>
        </w:rPr>
        <w:t xml:space="preserve"> o </w:t>
      </w:r>
      <w:r w:rsidRPr="0024375B">
        <w:rPr>
          <w:rFonts w:ascii="Times New Roman" w:hAnsi="Times New Roman" w:cs="Times New Roman"/>
        </w:rPr>
        <w:t>świadczenie usług SOC stosuje się przepisy prawa polskiego. Przepis ten stanowi gwarancję, że zagraniczne podmioty świadczące usługi</w:t>
      </w:r>
      <w:r w:rsidR="002161FE">
        <w:rPr>
          <w:rFonts w:ascii="Times New Roman" w:hAnsi="Times New Roman" w:cs="Times New Roman"/>
        </w:rPr>
        <w:t xml:space="preserve"> z </w:t>
      </w:r>
      <w:r w:rsidRPr="0024375B">
        <w:rPr>
          <w:rFonts w:ascii="Times New Roman" w:hAnsi="Times New Roman" w:cs="Times New Roman"/>
        </w:rPr>
        <w:t xml:space="preserve">zakresu cyberbezpieczeństwa będą musiały stosować polskie przepisy. </w:t>
      </w:r>
      <w:r w:rsidR="008C47EF" w:rsidRPr="0024375B">
        <w:rPr>
          <w:rFonts w:ascii="Times New Roman" w:hAnsi="Times New Roman" w:cs="Times New Roman"/>
        </w:rPr>
        <w:t>Ponadto, infrastruktura SOC powinna znajdować się na terytorium Rzeczypospolitej Polskiej,</w:t>
      </w:r>
      <w:r w:rsidR="002161FE">
        <w:rPr>
          <w:rFonts w:ascii="Times New Roman" w:hAnsi="Times New Roman" w:cs="Times New Roman"/>
        </w:rPr>
        <w:t xml:space="preserve"> a </w:t>
      </w:r>
      <w:r w:rsidR="008C47EF" w:rsidRPr="0024375B">
        <w:rPr>
          <w:rFonts w:ascii="Times New Roman" w:hAnsi="Times New Roman" w:cs="Times New Roman"/>
        </w:rPr>
        <w:t>personel posiadać odpowiednie poświadczenia bezpieczeństwa osobowego</w:t>
      </w:r>
      <w:r w:rsidR="00542A20">
        <w:rPr>
          <w:rFonts w:ascii="Times New Roman" w:hAnsi="Times New Roman" w:cs="Times New Roman"/>
        </w:rPr>
        <w:t xml:space="preserve"> – do poziomu </w:t>
      </w:r>
      <w:r w:rsidR="00542A20">
        <w:rPr>
          <w:rFonts w:ascii="Times New Roman" w:hAnsi="Times New Roman" w:cs="Times New Roman"/>
          <w:i/>
        </w:rPr>
        <w:t>poufne</w:t>
      </w:r>
      <w:r w:rsidR="008C47EF" w:rsidRPr="0024375B">
        <w:rPr>
          <w:rFonts w:ascii="Times New Roman" w:hAnsi="Times New Roman" w:cs="Times New Roman"/>
        </w:rPr>
        <w:t xml:space="preserve">. </w:t>
      </w:r>
      <w:r w:rsidR="00542A20">
        <w:rPr>
          <w:rFonts w:ascii="Times New Roman" w:hAnsi="Times New Roman" w:cs="Times New Roman"/>
        </w:rPr>
        <w:t>Nakaz posiadania infrastruktury SOC na terytorium RP zapewni możliwość skutecznej kontroli wykonywania obowiązków SOC, a także ograniczy wpływ podmiotów zagranicznych na funkcjonowanie SOC. Z kolei wymóg posiadania przez personel (tj. pracowników i os</w:t>
      </w:r>
      <w:r w:rsidR="001F2B5E">
        <w:rPr>
          <w:rFonts w:ascii="Times New Roman" w:hAnsi="Times New Roman" w:cs="Times New Roman"/>
        </w:rPr>
        <w:t>o</w:t>
      </w:r>
      <w:r w:rsidR="00542A20">
        <w:rPr>
          <w:rFonts w:ascii="Times New Roman" w:hAnsi="Times New Roman" w:cs="Times New Roman"/>
        </w:rPr>
        <w:t>b</w:t>
      </w:r>
      <w:r w:rsidR="001F2B5E">
        <w:rPr>
          <w:rFonts w:ascii="Times New Roman" w:hAnsi="Times New Roman" w:cs="Times New Roman"/>
        </w:rPr>
        <w:t>y</w:t>
      </w:r>
      <w:r w:rsidR="00542A20">
        <w:rPr>
          <w:rFonts w:ascii="Times New Roman" w:hAnsi="Times New Roman" w:cs="Times New Roman"/>
        </w:rPr>
        <w:t xml:space="preserve"> realizujących zadania w SOC na podstawie stosunków cywilnoprawnych) poświadczenia bezpieczeństwa do poziomu poufne umożliwi bezpieczne przekazywanie informacji niejawnych dot. podatności i cyberzagrożeń do SOC.</w:t>
      </w:r>
    </w:p>
    <w:p w14:paraId="4E93D5D3" w14:textId="63988A7B" w:rsidR="00906A47"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Nawiązując do </w:t>
      </w:r>
      <w:r w:rsidR="00F948AA" w:rsidRPr="0024375B">
        <w:rPr>
          <w:rFonts w:ascii="Times New Roman" w:hAnsi="Times New Roman" w:cs="Times New Roman"/>
        </w:rPr>
        <w:t xml:space="preserve">powszechnej międzynarodowej </w:t>
      </w:r>
      <w:r w:rsidRPr="0024375B">
        <w:rPr>
          <w:rFonts w:ascii="Times New Roman" w:hAnsi="Times New Roman" w:cs="Times New Roman"/>
        </w:rPr>
        <w:t xml:space="preserve">praktyki (publikowanie informacji na podstawie wzoru </w:t>
      </w:r>
      <w:r w:rsidR="00F948AA" w:rsidRPr="0024375B">
        <w:rPr>
          <w:rFonts w:ascii="Times New Roman" w:hAnsi="Times New Roman" w:cs="Times New Roman"/>
        </w:rPr>
        <w:t>zawartego</w:t>
      </w:r>
      <w:r w:rsidR="00EA1900">
        <w:rPr>
          <w:rFonts w:ascii="Times New Roman" w:hAnsi="Times New Roman" w:cs="Times New Roman"/>
        </w:rPr>
        <w:t xml:space="preserve"> w </w:t>
      </w:r>
      <w:r w:rsidR="00F948AA" w:rsidRPr="0024375B">
        <w:rPr>
          <w:rFonts w:ascii="Times New Roman" w:hAnsi="Times New Roman" w:cs="Times New Roman"/>
        </w:rPr>
        <w:t xml:space="preserve">pkt. 3.3 dokumentu </w:t>
      </w:r>
      <w:r w:rsidRPr="0024375B">
        <w:rPr>
          <w:rFonts w:ascii="Times New Roman" w:hAnsi="Times New Roman" w:cs="Times New Roman"/>
        </w:rPr>
        <w:t>RFC 2350</w:t>
      </w:r>
      <w:r w:rsidR="00F948AA" w:rsidRPr="0024375B">
        <w:rPr>
          <w:rStyle w:val="Odwoanieprzypisudolnego"/>
          <w:rFonts w:ascii="Times New Roman" w:hAnsi="Times New Roman"/>
        </w:rPr>
        <w:footnoteReference w:id="20"/>
      </w:r>
      <w:r w:rsidR="00FE42B8">
        <w:rPr>
          <w:rFonts w:ascii="Times New Roman" w:hAnsi="Times New Roman" w:cs="Times New Roman"/>
          <w:vertAlign w:val="superscript"/>
        </w:rPr>
        <w:t>)</w:t>
      </w:r>
      <w:r w:rsidRPr="0024375B">
        <w:rPr>
          <w:rFonts w:ascii="Times New Roman" w:hAnsi="Times New Roman" w:cs="Times New Roman"/>
        </w:rPr>
        <w:t>)</w:t>
      </w:r>
      <w:r w:rsidR="00F948AA" w:rsidRPr="0024375B">
        <w:rPr>
          <w:rFonts w:ascii="Times New Roman" w:hAnsi="Times New Roman" w:cs="Times New Roman"/>
        </w:rPr>
        <w:t xml:space="preserve"> wprowadza się obowiązek</w:t>
      </w:r>
      <w:r w:rsidR="001C08D1">
        <w:rPr>
          <w:rFonts w:ascii="Times New Roman" w:hAnsi="Times New Roman" w:cs="Times New Roman"/>
        </w:rPr>
        <w:t>,</w:t>
      </w:r>
      <w:r w:rsidR="00F948AA" w:rsidRPr="0024375B">
        <w:rPr>
          <w:rFonts w:ascii="Times New Roman" w:hAnsi="Times New Roman" w:cs="Times New Roman"/>
        </w:rPr>
        <w:t xml:space="preserve"> aby</w:t>
      </w:r>
      <w:r w:rsidRPr="0024375B">
        <w:rPr>
          <w:rFonts w:ascii="Times New Roman" w:hAnsi="Times New Roman" w:cs="Times New Roman"/>
        </w:rPr>
        <w:t xml:space="preserve"> </w:t>
      </w:r>
      <w:r w:rsidR="00F262A6" w:rsidRPr="0024375B">
        <w:rPr>
          <w:rFonts w:ascii="Times New Roman" w:hAnsi="Times New Roman" w:cs="Times New Roman"/>
        </w:rPr>
        <w:t>SOC zewnętrzne</w:t>
      </w:r>
      <w:r w:rsidR="00906A47" w:rsidRPr="0024375B">
        <w:rPr>
          <w:rFonts w:ascii="Times New Roman" w:hAnsi="Times New Roman" w:cs="Times New Roman"/>
        </w:rPr>
        <w:t xml:space="preserve"> </w:t>
      </w:r>
      <w:r w:rsidR="00F948AA" w:rsidRPr="0024375B">
        <w:rPr>
          <w:rFonts w:ascii="Times New Roman" w:hAnsi="Times New Roman" w:cs="Times New Roman"/>
        </w:rPr>
        <w:t>były obowiązane</w:t>
      </w:r>
      <w:r w:rsidRPr="0024375B">
        <w:rPr>
          <w:rFonts w:ascii="Times New Roman" w:hAnsi="Times New Roman" w:cs="Times New Roman"/>
        </w:rPr>
        <w:t xml:space="preserve"> udostępnia</w:t>
      </w:r>
      <w:r w:rsidR="00F948AA" w:rsidRPr="0024375B">
        <w:rPr>
          <w:rFonts w:ascii="Times New Roman" w:hAnsi="Times New Roman" w:cs="Times New Roman"/>
        </w:rPr>
        <w:t>ć</w:t>
      </w:r>
      <w:r w:rsidRPr="0024375B">
        <w:rPr>
          <w:rFonts w:ascii="Times New Roman" w:hAnsi="Times New Roman" w:cs="Times New Roman"/>
        </w:rPr>
        <w:t xml:space="preserve"> na stronie internetowej podstawowe informacje</w:t>
      </w:r>
      <w:r w:rsidR="0077165A">
        <w:rPr>
          <w:rFonts w:ascii="Times New Roman" w:hAnsi="Times New Roman" w:cs="Times New Roman"/>
        </w:rPr>
        <w:t xml:space="preserve"> o </w:t>
      </w:r>
      <w:r w:rsidRPr="0024375B">
        <w:rPr>
          <w:rFonts w:ascii="Times New Roman" w:hAnsi="Times New Roman" w:cs="Times New Roman"/>
        </w:rPr>
        <w:t>swojej działalności.</w:t>
      </w:r>
      <w:r w:rsidR="00116933">
        <w:rPr>
          <w:rFonts w:ascii="Times New Roman" w:hAnsi="Times New Roman" w:cs="Times New Roman"/>
        </w:rPr>
        <w:t xml:space="preserve"> W </w:t>
      </w:r>
      <w:r w:rsidR="00F948AA" w:rsidRPr="0024375B">
        <w:rPr>
          <w:rFonts w:ascii="Times New Roman" w:hAnsi="Times New Roman" w:cs="Times New Roman"/>
        </w:rPr>
        <w:t xml:space="preserve">celu </w:t>
      </w:r>
      <w:r w:rsidR="00F948AA" w:rsidRPr="0024375B">
        <w:rPr>
          <w:rFonts w:ascii="Times New Roman" w:hAnsi="Times New Roman" w:cs="Times New Roman"/>
        </w:rPr>
        <w:lastRenderedPageBreak/>
        <w:t>zrealizowania tego obowiązku wystarczy</w:t>
      </w:r>
      <w:r w:rsidR="286F4923" w:rsidRPr="0024375B">
        <w:rPr>
          <w:rFonts w:ascii="Times New Roman" w:hAnsi="Times New Roman" w:cs="Times New Roman"/>
        </w:rPr>
        <w:t xml:space="preserve"> zamieścić</w:t>
      </w:r>
      <w:r w:rsidR="00F948AA" w:rsidRPr="0024375B">
        <w:rPr>
          <w:rFonts w:ascii="Times New Roman" w:hAnsi="Times New Roman" w:cs="Times New Roman"/>
        </w:rPr>
        <w:t xml:space="preserve"> krótki plik tekstowy na stronie internetowej SOC</w:t>
      </w:r>
      <w:r w:rsidR="00244E0A" w:rsidRPr="0024375B">
        <w:rPr>
          <w:rFonts w:ascii="Times New Roman" w:hAnsi="Times New Roman" w:cs="Times New Roman"/>
        </w:rPr>
        <w:t xml:space="preserve"> zewnętrznego</w:t>
      </w:r>
      <w:r w:rsidR="00F948AA" w:rsidRPr="0024375B">
        <w:rPr>
          <w:rFonts w:ascii="Times New Roman" w:hAnsi="Times New Roman" w:cs="Times New Roman"/>
        </w:rPr>
        <w:t>.</w:t>
      </w:r>
    </w:p>
    <w:p w14:paraId="187EE2B6" w14:textId="29FFFAFE" w:rsidR="00AD59BB" w:rsidRPr="0024375B" w:rsidRDefault="00AD59BB" w:rsidP="0024375B">
      <w:pPr>
        <w:pStyle w:val="ARTartustawynprozporzdzenia"/>
        <w:rPr>
          <w:i/>
          <w:iCs/>
        </w:rPr>
      </w:pPr>
      <w:r w:rsidRPr="0024375B">
        <w:t>Podsumowując</w:t>
      </w:r>
      <w:r w:rsidR="39B52BE3" w:rsidRPr="0024375B">
        <w:t>,</w:t>
      </w:r>
      <w:r w:rsidRPr="0024375B">
        <w:t xml:space="preserve"> zmiany</w:t>
      </w:r>
      <w:r w:rsidR="002161FE">
        <w:t xml:space="preserve"> w</w:t>
      </w:r>
      <w:r w:rsidR="00EA1900">
        <w:t xml:space="preserve"> art. </w:t>
      </w:r>
      <w:r w:rsidRPr="0024375B">
        <w:t xml:space="preserve">14 mają ułatwić wykonywanie zadań przez operatorów usług kluczowych. Podkreślić </w:t>
      </w:r>
      <w:r w:rsidR="00D02D1D" w:rsidRPr="0024375B">
        <w:t xml:space="preserve">przy tym </w:t>
      </w:r>
      <w:r w:rsidRPr="0024375B">
        <w:t>należy, że</w:t>
      </w:r>
      <w:r w:rsidR="00EA1900">
        <w:t xml:space="preserve"> w </w:t>
      </w:r>
      <w:r w:rsidRPr="0024375B">
        <w:t>związku ze zmianami</w:t>
      </w:r>
      <w:r w:rsidR="002161FE">
        <w:t xml:space="preserve"> w</w:t>
      </w:r>
      <w:r w:rsidR="00EA1900">
        <w:t xml:space="preserve"> art. </w:t>
      </w:r>
      <w:r w:rsidR="00D02D1D" w:rsidRPr="0024375B">
        <w:t>14</w:t>
      </w:r>
      <w:r w:rsidRPr="0024375B">
        <w:t xml:space="preserve"> straci moc </w:t>
      </w:r>
      <w:r w:rsidR="001C08D1">
        <w:t>r</w:t>
      </w:r>
      <w:r w:rsidRPr="0024375B">
        <w:t>ozporządzenie Ministra Cyfryzacji</w:t>
      </w:r>
      <w:r w:rsidR="002161FE">
        <w:t xml:space="preserve"> z </w:t>
      </w:r>
      <w:r w:rsidRPr="0024375B">
        <w:t>dnia 4 grudnia 2019 r.</w:t>
      </w:r>
      <w:r w:rsidR="00EA1900">
        <w:t xml:space="preserve"> w </w:t>
      </w:r>
      <w:r w:rsidRPr="0024375B">
        <w:rPr>
          <w:i/>
          <w:iCs/>
        </w:rPr>
        <w:t>sprawie warunków organizacyjnych</w:t>
      </w:r>
      <w:r w:rsidR="002161FE">
        <w:rPr>
          <w:i/>
          <w:iCs/>
        </w:rPr>
        <w:t xml:space="preserve"> i </w:t>
      </w:r>
      <w:r w:rsidRPr="0024375B">
        <w:rPr>
          <w:i/>
          <w:iCs/>
        </w:rPr>
        <w:t>technicznych dla podmiotów świadczących usługi</w:t>
      </w:r>
      <w:r w:rsidR="002161FE">
        <w:rPr>
          <w:i/>
          <w:iCs/>
        </w:rPr>
        <w:t xml:space="preserve"> z </w:t>
      </w:r>
      <w:r w:rsidRPr="0024375B">
        <w:rPr>
          <w:i/>
          <w:iCs/>
        </w:rPr>
        <w:t>zakresu cyberbezpieczeństwa oraz wewnętrznych struktur organizacyjnych operatorów usług kluczowych odpowiedzialnych za cyberbezpieczeństwo</w:t>
      </w:r>
      <w:r w:rsidRPr="0024375B">
        <w:rPr>
          <w:rStyle w:val="Odwoanieprzypisudolnego"/>
          <w:i/>
          <w:iCs/>
        </w:rPr>
        <w:footnoteReference w:id="21"/>
      </w:r>
      <w:r w:rsidR="00FE42B8">
        <w:rPr>
          <w:i/>
          <w:iCs/>
          <w:vertAlign w:val="superscript"/>
        </w:rPr>
        <w:t>)</w:t>
      </w:r>
      <w:r w:rsidRPr="0024375B">
        <w:rPr>
          <w:i/>
          <w:iCs/>
        </w:rPr>
        <w:t>.</w:t>
      </w:r>
    </w:p>
    <w:p w14:paraId="56CC188A" w14:textId="77777777" w:rsidR="00DD5110" w:rsidRPr="0024375B" w:rsidRDefault="00F82A63" w:rsidP="00DC1575">
      <w:pPr>
        <w:pStyle w:val="Nagwek4"/>
      </w:pPr>
      <w:r w:rsidRPr="0024375B">
        <w:t>Nowy</w:t>
      </w:r>
      <w:r w:rsidR="00EA1900">
        <w:t xml:space="preserve"> art. </w:t>
      </w:r>
      <w:r w:rsidR="00DD5110" w:rsidRPr="0024375B">
        <w:t>14a</w:t>
      </w:r>
    </w:p>
    <w:p w14:paraId="6ED6375A" w14:textId="77777777" w:rsidR="008F71AE"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Aby odpowiednie urzędy</w:t>
      </w:r>
      <w:r w:rsidR="002161FE">
        <w:rPr>
          <w:rFonts w:ascii="Times New Roman" w:hAnsi="Times New Roman" w:cs="Times New Roman"/>
        </w:rPr>
        <w:t xml:space="preserve"> i </w:t>
      </w:r>
      <w:r w:rsidRPr="0024375B">
        <w:rPr>
          <w:rFonts w:ascii="Times New Roman" w:hAnsi="Times New Roman" w:cs="Times New Roman"/>
        </w:rPr>
        <w:t>służby miały dostęp do danych SOC</w:t>
      </w:r>
      <w:r w:rsidR="00EA1900">
        <w:rPr>
          <w:rFonts w:ascii="Times New Roman" w:hAnsi="Times New Roman" w:cs="Times New Roman"/>
        </w:rPr>
        <w:t xml:space="preserve"> w </w:t>
      </w:r>
      <w:r w:rsidRPr="0024375B">
        <w:rPr>
          <w:rFonts w:ascii="Times New Roman" w:hAnsi="Times New Roman" w:cs="Times New Roman"/>
        </w:rPr>
        <w:t>zakresie swoich ustawowych kompetencji, minister właściwy do spraw informatyzacji będzie prowadził wykaz SOC.</w:t>
      </w:r>
      <w:r w:rsidR="00D216DE" w:rsidRPr="0024375B">
        <w:rPr>
          <w:rFonts w:ascii="Times New Roman" w:hAnsi="Times New Roman" w:cs="Times New Roman"/>
        </w:rPr>
        <w:t xml:space="preserve"> Zostanie on uregulowany</w:t>
      </w:r>
      <w:r w:rsidR="00EA1900">
        <w:rPr>
          <w:rFonts w:ascii="Times New Roman" w:hAnsi="Times New Roman" w:cs="Times New Roman"/>
        </w:rPr>
        <w:t xml:space="preserve"> w </w:t>
      </w:r>
      <w:r w:rsidR="00D216DE" w:rsidRPr="0024375B">
        <w:rPr>
          <w:rFonts w:ascii="Times New Roman" w:hAnsi="Times New Roman" w:cs="Times New Roman"/>
        </w:rPr>
        <w:t>nowym</w:t>
      </w:r>
      <w:r w:rsidR="00EA1900">
        <w:rPr>
          <w:rFonts w:ascii="Times New Roman" w:hAnsi="Times New Roman" w:cs="Times New Roman"/>
        </w:rPr>
        <w:t xml:space="preserve"> art. </w:t>
      </w:r>
      <w:r w:rsidR="00D216DE" w:rsidRPr="0024375B">
        <w:rPr>
          <w:rFonts w:ascii="Times New Roman" w:hAnsi="Times New Roman" w:cs="Times New Roman"/>
        </w:rPr>
        <w:t>14a.</w:t>
      </w:r>
      <w:r w:rsidR="00116933">
        <w:rPr>
          <w:rFonts w:ascii="Times New Roman" w:hAnsi="Times New Roman" w:cs="Times New Roman"/>
        </w:rPr>
        <w:t xml:space="preserve"> W </w:t>
      </w:r>
      <w:r w:rsidRPr="0024375B">
        <w:rPr>
          <w:rFonts w:ascii="Times New Roman" w:hAnsi="Times New Roman" w:cs="Times New Roman"/>
        </w:rPr>
        <w:t xml:space="preserve">wykazie znajdą się zarówno </w:t>
      </w:r>
      <w:r w:rsidR="00F262A6" w:rsidRPr="0024375B">
        <w:rPr>
          <w:rFonts w:ascii="Times New Roman" w:hAnsi="Times New Roman" w:cs="Times New Roman"/>
        </w:rPr>
        <w:t>SOC wewnętrzne jak</w:t>
      </w:r>
      <w:r w:rsidR="002161FE">
        <w:rPr>
          <w:rFonts w:ascii="Times New Roman" w:hAnsi="Times New Roman" w:cs="Times New Roman"/>
        </w:rPr>
        <w:t xml:space="preserve"> i </w:t>
      </w:r>
      <w:r w:rsidR="00F262A6" w:rsidRPr="0024375B">
        <w:rPr>
          <w:rFonts w:ascii="Times New Roman" w:hAnsi="Times New Roman" w:cs="Times New Roman"/>
        </w:rPr>
        <w:t xml:space="preserve">SOC </w:t>
      </w:r>
      <w:r w:rsidR="00DA5F23" w:rsidRPr="0024375B">
        <w:rPr>
          <w:rFonts w:ascii="Times New Roman" w:hAnsi="Times New Roman" w:cs="Times New Roman"/>
        </w:rPr>
        <w:t>zewnętrzne</w:t>
      </w:r>
      <w:r w:rsidRPr="0024375B">
        <w:rPr>
          <w:rFonts w:ascii="Times New Roman" w:hAnsi="Times New Roman" w:cs="Times New Roman"/>
        </w:rPr>
        <w:t xml:space="preserve">. </w:t>
      </w:r>
    </w:p>
    <w:p w14:paraId="2B167401" w14:textId="77777777" w:rsidR="00A74B71" w:rsidRPr="00FC6B8C" w:rsidRDefault="00A74B71" w:rsidP="00FC6B8C">
      <w:pPr>
        <w:pStyle w:val="ARTartustawynprozporzdzenia"/>
      </w:pPr>
      <w:r>
        <w:t>Głównym celem funkcjonowania wykazu SOC jest ułatwienie ministrowi właściwemu do spraw informatyzacji realizacji funkcji nadzoru na SOC. Obecnie istniejące rejestry czy ewidencje nie pozwalają na dokładne ustalenie podmiotów</w:t>
      </w:r>
      <w:r w:rsidR="00E16EED">
        <w:t>, które świadczą usługi SOC na rzecz operatorów usług kluczowych. Ponadto obecny art. 14 ust. 3 nie uprawnia do przekazywania informacji o podmiotach świadczących</w:t>
      </w:r>
      <w:r w:rsidR="00E16EED" w:rsidRPr="00E16EED">
        <w:t xml:space="preserve"> usługi z zakresu cyberbezpieczeństwa</w:t>
      </w:r>
      <w:r w:rsidR="00E16EED">
        <w:t xml:space="preserve"> do ministra właściwego do spraw informatyzacji od </w:t>
      </w:r>
      <w:r w:rsidR="00E16EED" w:rsidRPr="00E16EED">
        <w:t>organ</w:t>
      </w:r>
      <w:r w:rsidR="00E16EED">
        <w:t>ów</w:t>
      </w:r>
      <w:r w:rsidR="00E16EED" w:rsidRPr="00E16EED">
        <w:t xml:space="preserve"> właściwy</w:t>
      </w:r>
      <w:r w:rsidR="00E16EED">
        <w:t>ch</w:t>
      </w:r>
      <w:r w:rsidR="00E16EED" w:rsidRPr="00E16EED">
        <w:t xml:space="preserve"> do spraw cyberbezpieczeństwa</w:t>
      </w:r>
      <w:r w:rsidR="00331519">
        <w:t>, CSIRT poziomu krajowego i</w:t>
      </w:r>
      <w:r w:rsidR="00E16EED" w:rsidRPr="00E16EED">
        <w:t xml:space="preserve"> sektorowy</w:t>
      </w:r>
      <w:r w:rsidR="00331519">
        <w:t>ch zespo</w:t>
      </w:r>
      <w:r w:rsidR="00E16EED" w:rsidRPr="00E16EED">
        <w:t>ł</w:t>
      </w:r>
      <w:r w:rsidR="00331519">
        <w:t>ów</w:t>
      </w:r>
      <w:r w:rsidR="00E16EED" w:rsidRPr="00E16EED">
        <w:t xml:space="preserve"> cyberbezpieczeństwa</w:t>
      </w:r>
      <w:r w:rsidR="00331519">
        <w:t>.</w:t>
      </w:r>
    </w:p>
    <w:p w14:paraId="176D0B07" w14:textId="5C4CAD46" w:rsidR="00A74B71" w:rsidRDefault="00A74B71" w:rsidP="00FC6B8C">
      <w:pPr>
        <w:pStyle w:val="ARTartustawynprozporzdzenia"/>
      </w:pPr>
      <w:r>
        <w:t xml:space="preserve">Wykaz będzie zawierał podstawowe dane o podmiocie prowadzącym SOC, na rzecz jakich podmiotów jest prowadzony, siedzibę i adres SOC wewnętrznego lub SOC zewnętrznego, numer NIP, numer we właściwym rejestrze oraz datę wpisania i wykreślenia z wykazu SOC. Wpis do wykazu będzie następował na wniosek organu właściwego do spraw cyberbezpieczeństwa. Organ będzie posiadał o tym informacje, ponieważ operator usługi kluczowej będzie miał obowiązek przekazywać informacje o powołaniu SOC wewnętrznego lub zawarcia umowy z SOC zewnętrznym. W przypadku gdy dla operatora usług kluczowych organem właściwym do spraw cyberbezpieczeństwa jest minister właściwy do spraw informatyzacji (który jednocześnie prowadzi wykaz SOC), to ten minister nie będzie składał sam do siebie wniosków tylko wpisze informacje o SOC z urzędu. Oczywiście będzie możliwa zmiana danych w wykazie SOC, jeśli zostanie zmieniona firma podmiotu prowadzącego SOC. Wnioski o wpis, zmianę danych czy wykreślenie danych będą sporządzane w postaci elektronicznej i opatrywane </w:t>
      </w:r>
      <w:r w:rsidRPr="00A74B71">
        <w:t>kwalifikowanym podpisem elektronicznym, podpisem zaufanym albo podpisem osobistym</w:t>
      </w:r>
      <w:r>
        <w:t>. Ułatwi to przekazywanie danych do wykazu SOC i usprawni pracę pracowników obsługujących ministra właściwego do spraw informatyzacji.</w:t>
      </w:r>
    </w:p>
    <w:p w14:paraId="4D4CDC04" w14:textId="77777777" w:rsidR="00A74B71" w:rsidRPr="00FC6B8C" w:rsidRDefault="00A74B71" w:rsidP="00FC6B8C">
      <w:pPr>
        <w:pStyle w:val="ARTartustawynprozporzdzenia"/>
      </w:pPr>
      <w:r>
        <w:t xml:space="preserve">Wprowadza się regułę zgodnie z którą wpis, wykreślenie oraz zmiana danych w wykazie SOC będą czynnościami materialno-technicznymi, w związku z czym nie będą podlegały zaskarżeniu. Jest to związane </w:t>
      </w:r>
      <w:r>
        <w:lastRenderedPageBreak/>
        <w:t>z tym, że czynności te nie kreują żadnych uprawnień i nie nakładają żadnych obowiązków na podmioty wpisane do wykazu. Są one jedynie pochodną zadań ustawowych SOC.</w:t>
      </w:r>
      <w:r w:rsidR="00331519">
        <w:t xml:space="preserve"> </w:t>
      </w:r>
    </w:p>
    <w:p w14:paraId="18A16271" w14:textId="77777777" w:rsidR="009D3B91"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Do wykazu mogą być wpisane </w:t>
      </w:r>
      <w:r w:rsidR="00F262A6" w:rsidRPr="0024375B">
        <w:rPr>
          <w:rFonts w:ascii="Times New Roman" w:hAnsi="Times New Roman" w:cs="Times New Roman"/>
        </w:rPr>
        <w:t>podmioty</w:t>
      </w:r>
      <w:r w:rsidRPr="0024375B">
        <w:rPr>
          <w:rFonts w:ascii="Times New Roman" w:hAnsi="Times New Roman" w:cs="Times New Roman"/>
        </w:rPr>
        <w:t>, które nie są częścią krajowego systemu cyberbezpieczeństwa,</w:t>
      </w:r>
      <w:r w:rsidR="002161FE">
        <w:rPr>
          <w:rFonts w:ascii="Times New Roman" w:hAnsi="Times New Roman" w:cs="Times New Roman"/>
        </w:rPr>
        <w:t xml:space="preserve"> a </w:t>
      </w:r>
      <w:r w:rsidRPr="0024375B">
        <w:rPr>
          <w:rFonts w:ascii="Times New Roman" w:hAnsi="Times New Roman" w:cs="Times New Roman"/>
        </w:rPr>
        <w:t>zajmują się reagowaniem na incydenty, ich zapobieganiem, zarządzaniem jakością zabezpieczeń jak również aktualizowaniem ryzyk. Muszą one posiadać zdolność do ochrony informacji niejawnych. Dodatkowym wymogiem jest również podpisanie porozumienia</w:t>
      </w:r>
      <w:r w:rsidR="002161FE">
        <w:rPr>
          <w:rFonts w:ascii="Times New Roman" w:hAnsi="Times New Roman" w:cs="Times New Roman"/>
        </w:rPr>
        <w:t xml:space="preserve"> z </w:t>
      </w:r>
      <w:r w:rsidRPr="0024375B">
        <w:rPr>
          <w:rFonts w:ascii="Times New Roman" w:hAnsi="Times New Roman" w:cs="Times New Roman"/>
        </w:rPr>
        <w:t>ministrem właściwym do spraw informatyzacji</w:t>
      </w:r>
      <w:r w:rsidR="00EA1900">
        <w:rPr>
          <w:rFonts w:ascii="Times New Roman" w:hAnsi="Times New Roman" w:cs="Times New Roman"/>
        </w:rPr>
        <w:t xml:space="preserve"> w </w:t>
      </w:r>
      <w:r w:rsidRPr="0024375B">
        <w:rPr>
          <w:rFonts w:ascii="Times New Roman" w:hAnsi="Times New Roman" w:cs="Times New Roman"/>
        </w:rPr>
        <w:t>sprawie korzystania</w:t>
      </w:r>
      <w:r w:rsidR="002161FE">
        <w:rPr>
          <w:rFonts w:ascii="Times New Roman" w:hAnsi="Times New Roman" w:cs="Times New Roman"/>
        </w:rPr>
        <w:t xml:space="preserve"> z </w:t>
      </w:r>
      <w:r w:rsidRPr="0024375B">
        <w:rPr>
          <w:rFonts w:ascii="Times New Roman" w:hAnsi="Times New Roman" w:cs="Times New Roman"/>
        </w:rPr>
        <w:t>systemu teleinformatycznego opisanego</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46 ustawy</w:t>
      </w:r>
      <w:r w:rsidR="0077165A">
        <w:rPr>
          <w:rFonts w:ascii="Times New Roman" w:hAnsi="Times New Roman" w:cs="Times New Roman"/>
        </w:rPr>
        <w:t xml:space="preserve"> o </w:t>
      </w:r>
      <w:r w:rsidRPr="0024375B">
        <w:rPr>
          <w:rFonts w:ascii="Times New Roman" w:hAnsi="Times New Roman" w:cs="Times New Roman"/>
        </w:rPr>
        <w:t xml:space="preserve">krajowym systemie cyberbezpieczeństwa. </w:t>
      </w:r>
      <w:r w:rsidR="00331519">
        <w:rPr>
          <w:rFonts w:ascii="Times New Roman" w:hAnsi="Times New Roman" w:cs="Times New Roman"/>
        </w:rPr>
        <w:t>Celem tego przepisu jest możliwość nawiązania współpracy z innym podmiotem świadczącym usługi z zakresu cyberbezpieczeństwa, który mógłby przekazywać informacje o cyberzagrożeniach</w:t>
      </w:r>
      <w:r w:rsidR="006277B3">
        <w:rPr>
          <w:rFonts w:ascii="Times New Roman" w:hAnsi="Times New Roman" w:cs="Times New Roman"/>
        </w:rPr>
        <w:t xml:space="preserve"> i dzięki temu wspierać rozwój krajowego systemu cyberbezpieczeństwa.</w:t>
      </w:r>
    </w:p>
    <w:p w14:paraId="024A4C7E" w14:textId="77777777" w:rsidR="00DA5F23" w:rsidRPr="0024375B" w:rsidRDefault="7FCABC7B" w:rsidP="0024375B">
      <w:pPr>
        <w:pStyle w:val="NIEARTTEKSTtekstnieartykuowanynppodstprawnarozplubpreambua"/>
        <w:rPr>
          <w:rFonts w:cs="Times New Roman"/>
        </w:rPr>
      </w:pPr>
      <w:r w:rsidRPr="0024375B">
        <w:rPr>
          <w:rFonts w:cs="Times New Roman"/>
        </w:rPr>
        <w:t>W celu umożliwienia wykonywania swoich zadań dane</w:t>
      </w:r>
      <w:r w:rsidR="002161FE">
        <w:rPr>
          <w:rFonts w:cs="Times New Roman"/>
        </w:rPr>
        <w:t xml:space="preserve"> z </w:t>
      </w:r>
      <w:r w:rsidRPr="0024375B">
        <w:rPr>
          <w:rFonts w:cs="Times New Roman"/>
        </w:rPr>
        <w:t xml:space="preserve">wykazu SOC </w:t>
      </w:r>
      <w:r w:rsidR="67EF3447" w:rsidRPr="0024375B">
        <w:rPr>
          <w:rFonts w:cs="Times New Roman"/>
        </w:rPr>
        <w:t xml:space="preserve">będą </w:t>
      </w:r>
      <w:r w:rsidRPr="0024375B">
        <w:rPr>
          <w:rFonts w:cs="Times New Roman"/>
        </w:rPr>
        <w:t>udostępniane CSIRT MON, CSIRT NASK, CSIRT GOV</w:t>
      </w:r>
      <w:r w:rsidR="002161FE">
        <w:rPr>
          <w:rFonts w:cs="Times New Roman"/>
        </w:rPr>
        <w:t xml:space="preserve"> i </w:t>
      </w:r>
      <w:r w:rsidRPr="0024375B">
        <w:rPr>
          <w:rFonts w:cs="Times New Roman"/>
        </w:rPr>
        <w:t>właściwemu ze względu na sektor CSIRT sektorowemu, jak również operatorowi usługi kluczowej</w:t>
      </w:r>
      <w:r w:rsidR="00EA1900">
        <w:rPr>
          <w:rFonts w:cs="Times New Roman"/>
        </w:rPr>
        <w:t xml:space="preserve"> w </w:t>
      </w:r>
      <w:r w:rsidRPr="0024375B">
        <w:rPr>
          <w:rFonts w:cs="Times New Roman"/>
        </w:rPr>
        <w:t xml:space="preserve">dotyczącym go zakresie. </w:t>
      </w:r>
      <w:r w:rsidR="00DD5110" w:rsidRPr="0024375B">
        <w:rPr>
          <w:rFonts w:cs="Times New Roman"/>
        </w:rPr>
        <w:t>Zakłada się, że będzie to stały dostęp</w:t>
      </w:r>
      <w:r w:rsidR="002161FE">
        <w:rPr>
          <w:rFonts w:cs="Times New Roman"/>
        </w:rPr>
        <w:t xml:space="preserve"> i </w:t>
      </w:r>
      <w:r w:rsidR="00DD5110" w:rsidRPr="0024375B">
        <w:rPr>
          <w:rFonts w:cs="Times New Roman"/>
        </w:rPr>
        <w:t>nie będzie konieczności składania wniosku</w:t>
      </w:r>
      <w:r w:rsidR="0077165A">
        <w:rPr>
          <w:rFonts w:cs="Times New Roman"/>
        </w:rPr>
        <w:t xml:space="preserve"> o </w:t>
      </w:r>
      <w:r w:rsidR="00DD5110" w:rsidRPr="0024375B">
        <w:rPr>
          <w:rFonts w:cs="Times New Roman"/>
        </w:rPr>
        <w:t xml:space="preserve">dostęp do danych wykazie SOC. </w:t>
      </w:r>
    </w:p>
    <w:p w14:paraId="77651D2A" w14:textId="77777777" w:rsidR="00AD59BB" w:rsidRDefault="7FCABC7B" w:rsidP="0024375B">
      <w:pPr>
        <w:pStyle w:val="NIEARTTEKSTtekstnieartykuowanynppodstprawnarozplubpreambua"/>
        <w:rPr>
          <w:rFonts w:cs="Times New Roman"/>
        </w:rPr>
      </w:pPr>
      <w:r w:rsidRPr="0024375B">
        <w:rPr>
          <w:rFonts w:cs="Times New Roman"/>
        </w:rPr>
        <w:t>Dane</w:t>
      </w:r>
      <w:r w:rsidR="002161FE">
        <w:rPr>
          <w:rFonts w:cs="Times New Roman"/>
        </w:rPr>
        <w:t xml:space="preserve"> z </w:t>
      </w:r>
      <w:r w:rsidRPr="0024375B">
        <w:rPr>
          <w:rFonts w:cs="Times New Roman"/>
        </w:rPr>
        <w:t xml:space="preserve">wykazu SOC mogą </w:t>
      </w:r>
      <w:r w:rsidR="0133741E" w:rsidRPr="0024375B">
        <w:rPr>
          <w:rFonts w:cs="Times New Roman"/>
        </w:rPr>
        <w:t>być udzielane</w:t>
      </w:r>
      <w:r w:rsidR="00EA1900">
        <w:rPr>
          <w:rFonts w:cs="Times New Roman"/>
        </w:rPr>
        <w:t xml:space="preserve"> w </w:t>
      </w:r>
      <w:r w:rsidR="34B57EAB" w:rsidRPr="0024375B">
        <w:t>zakresie niezbędnym do realizacji ich ustawowych zadań:</w:t>
      </w:r>
      <w:r w:rsidR="0133741E" w:rsidRPr="0024375B">
        <w:rPr>
          <w:rFonts w:cs="Times New Roman"/>
        </w:rPr>
        <w:t xml:space="preserve"> </w:t>
      </w:r>
      <w:r w:rsidR="15F1A7B7" w:rsidRPr="0024375B">
        <w:rPr>
          <w:rFonts w:cs="Times New Roman"/>
        </w:rPr>
        <w:t xml:space="preserve">organowi właściwemu do spraw cyberbezpieczeństwa, Policji, Żandarmerii Wojskowej, Straży Granicznej, Centralnemu Biuru Antykorupcyjnemu, Agencji Bezpieczeństwa Wewnętrznego, Agencji Wywiadu, Służbie Kontrwywiadu Wojskowego, Służbie Wywiadu Wojskowego, sądom, prokuraturze, organom Krajowej Administracji Skarbowej, Służbie Ochrony Państwa. Udzielenie informacji </w:t>
      </w:r>
      <w:r w:rsidR="009D3B91" w:rsidRPr="0024375B">
        <w:rPr>
          <w:rFonts w:cs="Times New Roman"/>
        </w:rPr>
        <w:t>będzie</w:t>
      </w:r>
      <w:r w:rsidR="15F1A7B7" w:rsidRPr="0024375B">
        <w:rPr>
          <w:rFonts w:cs="Times New Roman"/>
        </w:rPr>
        <w:t xml:space="preserve"> możliwe po złożeniu stosownego wniosku przez ww. </w:t>
      </w:r>
      <w:r w:rsidR="00F206A4" w:rsidRPr="0024375B">
        <w:rPr>
          <w:rFonts w:cs="Times New Roman"/>
        </w:rPr>
        <w:t>podmioty</w:t>
      </w:r>
      <w:r w:rsidR="15F1A7B7" w:rsidRPr="0024375B">
        <w:rPr>
          <w:rFonts w:cs="Times New Roman"/>
        </w:rPr>
        <w:t>.</w:t>
      </w:r>
      <w:r w:rsidR="005818E3">
        <w:rPr>
          <w:rFonts w:cs="Times New Roman"/>
        </w:rPr>
        <w:t xml:space="preserve"> Umożliwia się udostępnianie </w:t>
      </w:r>
      <w:r w:rsidR="006277B3">
        <w:rPr>
          <w:rFonts w:cs="Times New Roman"/>
        </w:rPr>
        <w:t xml:space="preserve">danych </w:t>
      </w:r>
      <w:r w:rsidR="002161FE">
        <w:rPr>
          <w:rFonts w:cs="Times New Roman"/>
        </w:rPr>
        <w:t>z </w:t>
      </w:r>
      <w:r w:rsidR="00812DC5">
        <w:rPr>
          <w:rFonts w:cs="Times New Roman"/>
        </w:rPr>
        <w:t>wykazu SOC poprzez system S46, o którym mowa</w:t>
      </w:r>
      <w:r w:rsidR="002161FE">
        <w:rPr>
          <w:rFonts w:cs="Times New Roman"/>
        </w:rPr>
        <w:t xml:space="preserve"> w</w:t>
      </w:r>
      <w:r w:rsidR="00EA1900">
        <w:rPr>
          <w:rFonts w:cs="Times New Roman"/>
        </w:rPr>
        <w:t xml:space="preserve"> art. </w:t>
      </w:r>
      <w:r w:rsidR="00812DC5">
        <w:rPr>
          <w:rFonts w:cs="Times New Roman"/>
        </w:rPr>
        <w:t>46 ustawy o KSC.</w:t>
      </w:r>
    </w:p>
    <w:p w14:paraId="7D1CD895" w14:textId="77777777" w:rsidR="00862E68" w:rsidRPr="00862E68" w:rsidRDefault="00C12F8A" w:rsidP="00862E68">
      <w:pPr>
        <w:pStyle w:val="Nagwek3"/>
      </w:pPr>
      <w:bookmarkStart w:id="13" w:name="_Toc136511043"/>
      <w:r>
        <w:t>Zmiany</w:t>
      </w:r>
      <w:r w:rsidR="00EA1900">
        <w:t xml:space="preserve"> w </w:t>
      </w:r>
      <w:r>
        <w:t>przepisach dotyczących dostawców usług cyfrowych</w:t>
      </w:r>
      <w:bookmarkEnd w:id="13"/>
    </w:p>
    <w:p w14:paraId="56ADB481" w14:textId="04A04FD1" w:rsidR="00C12F8A" w:rsidRDefault="00C12F8A" w:rsidP="00C12F8A">
      <w:pPr>
        <w:ind w:firstLine="510"/>
        <w:jc w:val="both"/>
      </w:pPr>
      <w:r>
        <w:t>Nie wprowadza się szczególnych zmian</w:t>
      </w:r>
      <w:r w:rsidR="00EA1900">
        <w:t xml:space="preserve"> w </w:t>
      </w:r>
      <w:r>
        <w:t>rozdziale 4 dotyczącym obowiązków dostawców usług cyfrowych. Jedyne zmiany dotyczą</w:t>
      </w:r>
      <w:r w:rsidR="00EA1900">
        <w:t xml:space="preserve"> art. </w:t>
      </w:r>
      <w:r>
        <w:t xml:space="preserve">17 </w:t>
      </w:r>
      <w:r w:rsidR="00D00CB4">
        <w:t>ust. </w:t>
      </w:r>
      <w:r>
        <w:t>2 - we wprowadzeniu do wyliczenia</w:t>
      </w:r>
      <w:r w:rsidR="00EA1900">
        <w:t xml:space="preserve"> w </w:t>
      </w:r>
      <w:r>
        <w:t xml:space="preserve">zdaniu drugim wyraz </w:t>
      </w:r>
      <w:r w:rsidR="001F6F87">
        <w:t>„</w:t>
      </w:r>
      <w:r>
        <w:rPr>
          <w:i/>
        </w:rPr>
        <w:t>cyberbezpieczeństwo</w:t>
      </w:r>
      <w:r w:rsidR="001F6F87">
        <w:rPr>
          <w:i/>
        </w:rPr>
        <w:t>”</w:t>
      </w:r>
      <w:r>
        <w:t xml:space="preserve"> zamienia się na </w:t>
      </w:r>
      <w:r w:rsidR="001F6F87">
        <w:t>„</w:t>
      </w:r>
      <w:r>
        <w:rPr>
          <w:i/>
        </w:rPr>
        <w:t>bezpieczeństwo systemów informacyjnych</w:t>
      </w:r>
      <w:r w:rsidR="001F6F87">
        <w:rPr>
          <w:i/>
        </w:rPr>
        <w:t>”</w:t>
      </w:r>
      <w:r>
        <w:t>. Jest to związane ze zmianami definicyjnymi. Z kolei</w:t>
      </w:r>
      <w:r w:rsidR="00EA1900">
        <w:t xml:space="preserve"> w </w:t>
      </w:r>
      <w:r>
        <w:t>punkcie 1</w:t>
      </w:r>
      <w:r w:rsidR="00480B01">
        <w:t>,</w:t>
      </w:r>
      <w:r>
        <w:t xml:space="preserve"> który obecnie brzmi: </w:t>
      </w:r>
      <w:r w:rsidR="001F6F87">
        <w:t>„</w:t>
      </w:r>
      <w:r w:rsidRPr="00E85DA6">
        <w:rPr>
          <w:i/>
        </w:rPr>
        <w:t>bezpieczeństwo systemów informacyjnych</w:t>
      </w:r>
      <w:r w:rsidR="002161FE">
        <w:rPr>
          <w:i/>
        </w:rPr>
        <w:t xml:space="preserve"> i </w:t>
      </w:r>
      <w:r w:rsidRPr="00E85DA6">
        <w:rPr>
          <w:i/>
        </w:rPr>
        <w:t>obiektów</w:t>
      </w:r>
      <w:r w:rsidR="001F6F87">
        <w:rPr>
          <w:i/>
        </w:rPr>
        <w:t>”</w:t>
      </w:r>
      <w:r>
        <w:t xml:space="preserve">, usuwa się wyrazy </w:t>
      </w:r>
      <w:r w:rsidR="001F6F87">
        <w:t>„</w:t>
      </w:r>
      <w:r w:rsidRPr="00E85DA6">
        <w:rPr>
          <w:i/>
        </w:rPr>
        <w:t>systemów informacyjnych i</w:t>
      </w:r>
      <w:r w:rsidR="001F6F87">
        <w:rPr>
          <w:i/>
        </w:rPr>
        <w:t>”</w:t>
      </w:r>
      <w:r>
        <w:t xml:space="preserve">, ponieważ stanowiłoby </w:t>
      </w:r>
      <w:r w:rsidR="00480B01">
        <w:t xml:space="preserve">to </w:t>
      </w:r>
      <w:r>
        <w:t>niepotrzebne powtórzenie. Przepis finalnie otrzyma brzmienie:</w:t>
      </w:r>
    </w:p>
    <w:p w14:paraId="60F293C0" w14:textId="77777777" w:rsidR="00C12F8A" w:rsidRPr="006F3443" w:rsidRDefault="00C12F8A" w:rsidP="00C12F8A">
      <w:pPr>
        <w:ind w:firstLine="510"/>
        <w:jc w:val="both"/>
        <w:rPr>
          <w:i/>
        </w:rPr>
      </w:pPr>
      <w:r w:rsidRPr="006F3443">
        <w:rPr>
          <w:i/>
        </w:rPr>
        <w:t>2. Dostawca usługi cyfrowej podejmuje właściwe</w:t>
      </w:r>
      <w:r w:rsidR="002161FE">
        <w:rPr>
          <w:i/>
        </w:rPr>
        <w:t xml:space="preserve"> i </w:t>
      </w:r>
      <w:r w:rsidRPr="006F3443">
        <w:rPr>
          <w:i/>
        </w:rPr>
        <w:t>proporcjonalne środki techniczne</w:t>
      </w:r>
      <w:r w:rsidR="002161FE">
        <w:rPr>
          <w:i/>
        </w:rPr>
        <w:t xml:space="preserve"> i </w:t>
      </w:r>
      <w:r w:rsidRPr="006F3443">
        <w:rPr>
          <w:i/>
        </w:rPr>
        <w:t>organizacyjne określone</w:t>
      </w:r>
      <w:r w:rsidR="00EA1900">
        <w:rPr>
          <w:i/>
        </w:rPr>
        <w:t xml:space="preserve"> w </w:t>
      </w:r>
      <w:r w:rsidRPr="006F3443">
        <w:rPr>
          <w:i/>
        </w:rPr>
        <w:t>rozporządzeniu wykonawczym 2018/151</w:t>
      </w:r>
      <w:r w:rsidR="00EA1900">
        <w:rPr>
          <w:i/>
        </w:rPr>
        <w:t xml:space="preserve"> w </w:t>
      </w:r>
      <w:r w:rsidRPr="006F3443">
        <w:rPr>
          <w:i/>
        </w:rPr>
        <w:t xml:space="preserve">celu zarządzania ryzykiem, na jakie narażone są systemy informacyjne wykorzystywane do świadczenia usługi cyfrowej. Środki te zapewniają bezpieczeństwo </w:t>
      </w:r>
      <w:r>
        <w:rPr>
          <w:i/>
        </w:rPr>
        <w:t xml:space="preserve">systemów informacyjnych </w:t>
      </w:r>
      <w:r w:rsidRPr="006F3443">
        <w:rPr>
          <w:i/>
        </w:rPr>
        <w:t>odpowiednie do istniejącego ryzyka oraz uwzględniają:</w:t>
      </w:r>
    </w:p>
    <w:p w14:paraId="551B1340" w14:textId="77777777" w:rsidR="00C12F8A" w:rsidRPr="00862E68" w:rsidRDefault="00C12F8A" w:rsidP="00862E68">
      <w:pPr>
        <w:ind w:firstLine="510"/>
        <w:jc w:val="both"/>
        <w:rPr>
          <w:i/>
        </w:rPr>
      </w:pPr>
      <w:r w:rsidRPr="006F3443">
        <w:rPr>
          <w:i/>
        </w:rPr>
        <w:t>1) bezpieczeństwo obiektów</w:t>
      </w:r>
      <w:r w:rsidR="006F5BD4">
        <w:rPr>
          <w:i/>
        </w:rPr>
        <w:t>.</w:t>
      </w:r>
    </w:p>
    <w:p w14:paraId="0ABE6AAD" w14:textId="77777777" w:rsidR="00124DF9" w:rsidRPr="0024375B" w:rsidRDefault="6C897C90" w:rsidP="00862E68">
      <w:pPr>
        <w:pStyle w:val="Nagwek3"/>
      </w:pPr>
      <w:bookmarkStart w:id="14" w:name="_Toc136511044"/>
      <w:r w:rsidRPr="0024375B">
        <w:lastRenderedPageBreak/>
        <w:t>Przepisy</w:t>
      </w:r>
      <w:r w:rsidR="0077165A">
        <w:t xml:space="preserve"> o </w:t>
      </w:r>
      <w:r w:rsidRPr="0024375B">
        <w:t>obowiązkach przedsiębiorców komunikacji elektronicznej</w:t>
      </w:r>
      <w:r w:rsidR="00EA1900">
        <w:t xml:space="preserve"> w </w:t>
      </w:r>
      <w:r w:rsidRPr="0024375B">
        <w:t>krajowym systemie cyberbezpieczeństwa</w:t>
      </w:r>
      <w:bookmarkEnd w:id="14"/>
    </w:p>
    <w:p w14:paraId="460F1BF4" w14:textId="77777777" w:rsidR="00CE63C0" w:rsidRPr="0024375B" w:rsidRDefault="00CE63C0" w:rsidP="0024375B">
      <w:pPr>
        <w:ind w:firstLine="510"/>
        <w:jc w:val="both"/>
        <w:rPr>
          <w:rFonts w:cs="Times New Roman"/>
          <w:bCs/>
        </w:rPr>
      </w:pPr>
      <w:r w:rsidRPr="0024375B">
        <w:rPr>
          <w:rFonts w:cs="Times New Roman"/>
          <w:bCs/>
        </w:rPr>
        <w:t>Proponuje się dodanie rozdziału 4a „Obowiązki przedsiębiorców komunikacji elektronicznej”,</w:t>
      </w:r>
      <w:r w:rsidR="00EA1900">
        <w:rPr>
          <w:rFonts w:cs="Times New Roman"/>
          <w:bCs/>
        </w:rPr>
        <w:t xml:space="preserve"> w </w:t>
      </w:r>
      <w:r w:rsidRPr="0024375B">
        <w:rPr>
          <w:rFonts w:cs="Times New Roman"/>
          <w:bCs/>
        </w:rPr>
        <w:t>którym będą uregulowane kwestie dotyczące obowiązku stosowania przez przedsiębiorców komunikacji elektronicznej środków zapewniających bezpieczeństwo sieci</w:t>
      </w:r>
      <w:r w:rsidR="002161FE">
        <w:rPr>
          <w:rFonts w:cs="Times New Roman"/>
          <w:bCs/>
        </w:rPr>
        <w:t xml:space="preserve"> i </w:t>
      </w:r>
      <w:r w:rsidRPr="0024375B">
        <w:rPr>
          <w:rFonts w:cs="Times New Roman"/>
          <w:bCs/>
        </w:rPr>
        <w:t>usług</w:t>
      </w:r>
      <w:r w:rsidR="001A00AB" w:rsidRPr="0024375B">
        <w:rPr>
          <w:rFonts w:cs="Times New Roman"/>
          <w:bCs/>
        </w:rPr>
        <w:t xml:space="preserve"> komunikacji elektronicznej</w:t>
      </w:r>
      <w:r w:rsidRPr="0024375B">
        <w:rPr>
          <w:rFonts w:cs="Times New Roman"/>
          <w:bCs/>
        </w:rPr>
        <w:t>.</w:t>
      </w:r>
    </w:p>
    <w:p w14:paraId="4CB046D1" w14:textId="77777777" w:rsidR="007D1F6C" w:rsidRPr="0024375B" w:rsidRDefault="007D1F6C" w:rsidP="00DC1575">
      <w:pPr>
        <w:pStyle w:val="Nagwek4"/>
      </w:pPr>
      <w:r w:rsidRPr="0024375B">
        <w:t>Nowy</w:t>
      </w:r>
      <w:r w:rsidR="00EA1900">
        <w:t xml:space="preserve"> art. </w:t>
      </w:r>
      <w:r w:rsidRPr="0024375B">
        <w:t>20a</w:t>
      </w:r>
    </w:p>
    <w:p w14:paraId="21999E56" w14:textId="77777777" w:rsidR="00762C28" w:rsidRDefault="00F55C37" w:rsidP="0024375B">
      <w:pPr>
        <w:ind w:firstLine="510"/>
        <w:jc w:val="both"/>
        <w:rPr>
          <w:rFonts w:cs="Times New Roman"/>
          <w:bCs/>
        </w:rPr>
      </w:pPr>
      <w:r w:rsidRPr="0024375B">
        <w:rPr>
          <w:rFonts w:cs="Times New Roman"/>
          <w:bCs/>
        </w:rPr>
        <w:t>Współczesne społeczeństwo informacyjne jest zależne od usług dostarczanych przez przedsiębiorców komunikacji elektronicznej, bez których nie jest możliwy przepływ informacji. Z tego powodu, zarówno na poziomie europejskim jak</w:t>
      </w:r>
      <w:r w:rsidR="002161FE">
        <w:rPr>
          <w:rFonts w:cs="Times New Roman"/>
          <w:bCs/>
        </w:rPr>
        <w:t xml:space="preserve"> i </w:t>
      </w:r>
      <w:r w:rsidRPr="0024375B">
        <w:rPr>
          <w:rFonts w:cs="Times New Roman"/>
          <w:bCs/>
        </w:rPr>
        <w:t>krajowym istotne jest, aby</w:t>
      </w:r>
      <w:r w:rsidR="00246B45" w:rsidRPr="0024375B">
        <w:rPr>
          <w:rFonts w:cs="Times New Roman"/>
          <w:bCs/>
        </w:rPr>
        <w:t xml:space="preserve"> sieci telekomunikacyjne</w:t>
      </w:r>
      <w:r w:rsidR="002161FE">
        <w:rPr>
          <w:rFonts w:cs="Times New Roman"/>
          <w:bCs/>
        </w:rPr>
        <w:t xml:space="preserve"> i </w:t>
      </w:r>
      <w:r w:rsidR="00246B45" w:rsidRPr="0024375B">
        <w:rPr>
          <w:rFonts w:cs="Times New Roman"/>
          <w:bCs/>
        </w:rPr>
        <w:t>usługi komunikacji elektronicznej zapewniały odpowiednio wysoki poziom bezpieczeństwa.</w:t>
      </w:r>
      <w:r w:rsidR="00116933">
        <w:rPr>
          <w:rFonts w:cs="Times New Roman"/>
          <w:bCs/>
        </w:rPr>
        <w:t xml:space="preserve"> </w:t>
      </w:r>
    </w:p>
    <w:p w14:paraId="1D5C1DFD" w14:textId="77777777" w:rsidR="002256AA" w:rsidRDefault="002256AA" w:rsidP="0024375B">
      <w:pPr>
        <w:ind w:firstLine="510"/>
        <w:jc w:val="both"/>
        <w:rPr>
          <w:rFonts w:cs="Times New Roman"/>
          <w:bCs/>
        </w:rPr>
      </w:pPr>
      <w:r>
        <w:rPr>
          <w:rFonts w:cs="Times New Roman"/>
          <w:bCs/>
        </w:rPr>
        <w:t>Obecnie p</w:t>
      </w:r>
      <w:r w:rsidRPr="002256AA">
        <w:rPr>
          <w:rFonts w:cs="Times New Roman"/>
          <w:bCs/>
        </w:rPr>
        <w:t xml:space="preserve">rzedsiębiorcy telekomunikacyjni już na podstawie dotychczas obowiązujących przepisów Działu VIIA Prawa telekomunikacyjnego </w:t>
      </w:r>
      <w:r>
        <w:rPr>
          <w:rFonts w:cs="Times New Roman"/>
          <w:bCs/>
        </w:rPr>
        <w:t>są</w:t>
      </w:r>
      <w:r w:rsidRPr="002256AA">
        <w:rPr>
          <w:rFonts w:cs="Times New Roman"/>
          <w:bCs/>
        </w:rPr>
        <w:t xml:space="preserve"> obowiązani stosować środki techniczne i organizacyjne celu zapewnienia bezpieczeństwa lub integralności sieci lub usług. Ponadto byli obowiązani poinformować Prezesa Urzędu Komunikacji Elektronicznej o naruszeniu bezpieczeństwa lub integralności sieci lub usług, które miało istotny wpływ na funkcjonowanie sieci lub usług, o podjętych działaniach zapobiegawczych i środkach naprawczych oraz podjętych przez przedsiębiorcę działaniach. Prezes UKE jednak nie posiadał kompetencji reagowania na te naruszenia.</w:t>
      </w:r>
      <w:r w:rsidR="00FB05CA">
        <w:rPr>
          <w:rFonts w:cs="Times New Roman"/>
          <w:bCs/>
        </w:rPr>
        <w:t xml:space="preserve"> Zauważyć należy, że p</w:t>
      </w:r>
      <w:r w:rsidR="00FB05CA" w:rsidRPr="00FB05CA">
        <w:rPr>
          <w:rFonts w:cs="Times New Roman"/>
          <w:bCs/>
        </w:rPr>
        <w:t>odmioty świadczące publicznie dostępną usługę komunikacji interpersonalnej niewykorzystującą numerów do tej pory w ogóle nie były prawnie obowiązane stosować środki bezpieczeństwa związane z usługami komunikacji interpersonalnej</w:t>
      </w:r>
      <w:r w:rsidR="008F71AE">
        <w:rPr>
          <w:rFonts w:cs="Times New Roman"/>
          <w:bCs/>
        </w:rPr>
        <w:t>. Wyjątkiem w tym zakresie były wymogi narzucone unijnymi przepisami o ochronie danych osobowych.</w:t>
      </w:r>
    </w:p>
    <w:p w14:paraId="71F73718" w14:textId="1522C24C" w:rsidR="002256AA" w:rsidRDefault="002256AA" w:rsidP="00FB05CA">
      <w:pPr>
        <w:ind w:firstLine="510"/>
        <w:jc w:val="both"/>
        <w:rPr>
          <w:rFonts w:cs="Times New Roman"/>
          <w:bCs/>
        </w:rPr>
      </w:pPr>
      <w:r>
        <w:rPr>
          <w:rFonts w:cs="Times New Roman"/>
          <w:bCs/>
        </w:rPr>
        <w:t>Proponowane przepisy z jednej strony stanowią ewolucję przepisów działu VIIA Prawa telekomunikacyjnego</w:t>
      </w:r>
      <w:r w:rsidR="002442A7">
        <w:rPr>
          <w:rFonts w:cs="Times New Roman"/>
          <w:bCs/>
        </w:rPr>
        <w:t>,</w:t>
      </w:r>
      <w:r>
        <w:rPr>
          <w:rFonts w:cs="Times New Roman"/>
          <w:bCs/>
        </w:rPr>
        <w:t xml:space="preserve"> a z drugiej</w:t>
      </w:r>
      <w:r w:rsidR="00FB05CA">
        <w:rPr>
          <w:rFonts w:cs="Times New Roman"/>
          <w:bCs/>
        </w:rPr>
        <w:t xml:space="preserve"> stanowią wdrożenie EKŁE. Przedsiębiorcy telekomunikacyjni od lat są obowiązani do zapewnienia środków bezpieczeństwa świadczonych usług – więc nowe przepisy nie nakładają zupełnie nowych obowiązków. </w:t>
      </w:r>
      <w:r w:rsidR="00FB05CA" w:rsidRPr="00FB05CA">
        <w:rPr>
          <w:rFonts w:cs="Times New Roman"/>
          <w:bCs/>
        </w:rPr>
        <w:t>Główną zmianą w tym</w:t>
      </w:r>
      <w:r w:rsidR="00FB05CA">
        <w:rPr>
          <w:rFonts w:cs="Times New Roman"/>
          <w:bCs/>
        </w:rPr>
        <w:t xml:space="preserve"> </w:t>
      </w:r>
      <w:r w:rsidR="00FB05CA" w:rsidRPr="00FB05CA">
        <w:rPr>
          <w:rFonts w:cs="Times New Roman"/>
          <w:bCs/>
        </w:rPr>
        <w:t>zakresie będzie obowiązek obsługi incydentów telekomunikacyjnych oraz obowiązek zgłaszania</w:t>
      </w:r>
      <w:r w:rsidR="00FB05CA">
        <w:rPr>
          <w:rFonts w:cs="Times New Roman"/>
          <w:bCs/>
        </w:rPr>
        <w:t xml:space="preserve"> </w:t>
      </w:r>
      <w:r w:rsidR="00FB05CA" w:rsidRPr="00FB05CA">
        <w:rPr>
          <w:rFonts w:cs="Times New Roman"/>
          <w:bCs/>
        </w:rPr>
        <w:t>poważnych incydentów telekomunikacyjnych do CSIRT Telco – co jest zgodne z EKŁE.</w:t>
      </w:r>
      <w:r w:rsidR="00FB05CA">
        <w:rPr>
          <w:rFonts w:cs="Times New Roman"/>
          <w:bCs/>
        </w:rPr>
        <w:t xml:space="preserve"> Wzmocniona  zostanie rola Prezesa UKE w zakre</w:t>
      </w:r>
      <w:r w:rsidR="00FE0D2B">
        <w:rPr>
          <w:rFonts w:cs="Times New Roman"/>
          <w:bCs/>
        </w:rPr>
        <w:t>sie badania środków technicznych i organizacyjnych stosowanych przez przedsiębiorców komunikacji elektronicznej.</w:t>
      </w:r>
    </w:p>
    <w:p w14:paraId="340978CC" w14:textId="6429A873" w:rsidR="00E936DC" w:rsidRPr="0024375B" w:rsidRDefault="00116933" w:rsidP="0024375B">
      <w:pPr>
        <w:ind w:firstLine="510"/>
        <w:jc w:val="both"/>
        <w:rPr>
          <w:rFonts w:cs="Times New Roman"/>
          <w:bCs/>
        </w:rPr>
      </w:pPr>
      <w:r>
        <w:rPr>
          <w:rFonts w:cs="Times New Roman"/>
          <w:bCs/>
        </w:rPr>
        <w:t>W </w:t>
      </w:r>
      <w:r w:rsidR="003F0692" w:rsidRPr="0024375B">
        <w:rPr>
          <w:rFonts w:cs="Times New Roman"/>
          <w:bCs/>
        </w:rPr>
        <w:t>tym celu</w:t>
      </w:r>
      <w:r w:rsidR="002161FE">
        <w:rPr>
          <w:rFonts w:cs="Times New Roman"/>
          <w:bCs/>
        </w:rPr>
        <w:t xml:space="preserve"> w</w:t>
      </w:r>
      <w:r w:rsidR="00EA1900">
        <w:rPr>
          <w:rFonts w:cs="Times New Roman"/>
          <w:bCs/>
        </w:rPr>
        <w:t xml:space="preserve"> art. </w:t>
      </w:r>
      <w:r w:rsidR="00CE63C0" w:rsidRPr="0024375B">
        <w:rPr>
          <w:rFonts w:cs="Times New Roman"/>
          <w:bCs/>
        </w:rPr>
        <w:t xml:space="preserve">20a </w:t>
      </w:r>
      <w:r w:rsidR="00D00CB4">
        <w:rPr>
          <w:rFonts w:cs="Times New Roman"/>
          <w:bCs/>
        </w:rPr>
        <w:t>ust. </w:t>
      </w:r>
      <w:r w:rsidR="007703AA" w:rsidRPr="0024375B">
        <w:rPr>
          <w:rFonts w:cs="Times New Roman"/>
          <w:bCs/>
        </w:rPr>
        <w:t xml:space="preserve">1 </w:t>
      </w:r>
      <w:r w:rsidR="00CE63C0" w:rsidRPr="0024375B">
        <w:rPr>
          <w:rFonts w:cs="Times New Roman"/>
          <w:bCs/>
        </w:rPr>
        <w:t>nakładany jest na przedsiębiorcę komunikacji elektronicznej ogólny obowiązek brania pod uwagę</w:t>
      </w:r>
      <w:r w:rsidR="00EA1900">
        <w:rPr>
          <w:rFonts w:cs="Times New Roman"/>
          <w:bCs/>
        </w:rPr>
        <w:t xml:space="preserve"> w </w:t>
      </w:r>
      <w:r w:rsidR="00CE63C0" w:rsidRPr="0024375B">
        <w:rPr>
          <w:rFonts w:cs="Times New Roman"/>
          <w:bCs/>
        </w:rPr>
        <w:t>swojej działalności możliwości wystąpienia sytuacji szczególnego zagrożenia.</w:t>
      </w:r>
      <w:r w:rsidR="00F55C37" w:rsidRPr="0024375B">
        <w:rPr>
          <w:rFonts w:cs="Times New Roman"/>
          <w:bCs/>
        </w:rPr>
        <w:t xml:space="preserve"> </w:t>
      </w:r>
      <w:r w:rsidR="00CE63C0" w:rsidRPr="0024375B">
        <w:rPr>
          <w:rFonts w:cs="Times New Roman"/>
          <w:bCs/>
        </w:rPr>
        <w:t xml:space="preserve">Katalog tych </w:t>
      </w:r>
      <w:r w:rsidR="007703AA" w:rsidRPr="0024375B">
        <w:rPr>
          <w:rFonts w:cs="Times New Roman"/>
          <w:bCs/>
        </w:rPr>
        <w:t>sytuacji obejmuje</w:t>
      </w:r>
      <w:r w:rsidR="00CE63C0" w:rsidRPr="0024375B">
        <w:rPr>
          <w:rFonts w:cs="Times New Roman"/>
          <w:bCs/>
        </w:rPr>
        <w:t xml:space="preserve"> stan nadzwyczajny, sytuację kryzysową oraz bezpośrednie zagrożenie dla bezpieczeństwa sieci</w:t>
      </w:r>
      <w:r w:rsidR="002161FE">
        <w:rPr>
          <w:rFonts w:cs="Times New Roman"/>
          <w:bCs/>
        </w:rPr>
        <w:t xml:space="preserve"> i </w:t>
      </w:r>
      <w:r w:rsidR="00CE63C0" w:rsidRPr="0024375B">
        <w:rPr>
          <w:rFonts w:cs="Times New Roman"/>
          <w:bCs/>
        </w:rPr>
        <w:t>usług</w:t>
      </w:r>
      <w:r w:rsidR="00F55C37" w:rsidRPr="0024375B">
        <w:rPr>
          <w:rFonts w:cs="Times New Roman"/>
          <w:bCs/>
        </w:rPr>
        <w:t xml:space="preserve"> komunikacji elektronicznej</w:t>
      </w:r>
      <w:r w:rsidR="00CE63C0" w:rsidRPr="0024375B">
        <w:rPr>
          <w:rFonts w:cs="Times New Roman"/>
          <w:bCs/>
        </w:rPr>
        <w:t xml:space="preserve">. </w:t>
      </w:r>
      <w:r w:rsidR="008F71AE">
        <w:rPr>
          <w:rFonts w:cs="Times New Roman"/>
          <w:bCs/>
        </w:rPr>
        <w:t>Przepis ten odzwierciedla obecny art. 176a ust. 1</w:t>
      </w:r>
      <w:r w:rsidR="00480B01">
        <w:rPr>
          <w:rFonts w:cs="Times New Roman"/>
          <w:bCs/>
        </w:rPr>
        <w:t xml:space="preserve"> – ustawy z dnia </w:t>
      </w:r>
      <w:r w:rsidR="00E70ABB">
        <w:rPr>
          <w:rFonts w:cs="Times New Roman"/>
          <w:bCs/>
        </w:rPr>
        <w:t>16 lipca 2004 r.-</w:t>
      </w:r>
      <w:r w:rsidR="008F71AE">
        <w:rPr>
          <w:rFonts w:cs="Times New Roman"/>
          <w:bCs/>
        </w:rPr>
        <w:t xml:space="preserve"> </w:t>
      </w:r>
      <w:r w:rsidR="00480B01">
        <w:rPr>
          <w:rFonts w:cs="Times New Roman"/>
          <w:bCs/>
        </w:rPr>
        <w:t>P</w:t>
      </w:r>
      <w:r w:rsidR="008F71AE">
        <w:rPr>
          <w:rFonts w:cs="Times New Roman"/>
          <w:bCs/>
        </w:rPr>
        <w:t>raw</w:t>
      </w:r>
      <w:r w:rsidR="00480B01">
        <w:rPr>
          <w:rFonts w:cs="Times New Roman"/>
          <w:bCs/>
        </w:rPr>
        <w:t>o</w:t>
      </w:r>
      <w:r w:rsidR="008F71AE">
        <w:rPr>
          <w:rFonts w:cs="Times New Roman"/>
          <w:bCs/>
        </w:rPr>
        <w:t xml:space="preserve"> telekomunikacyjne. </w:t>
      </w:r>
      <w:r w:rsidR="007703AA" w:rsidRPr="0024375B">
        <w:rPr>
          <w:rFonts w:cs="Times New Roman"/>
          <w:bCs/>
        </w:rPr>
        <w:t xml:space="preserve">Przedsiębiorcy komunikacji elektronicznej będą obowiązani do prowadzenia systematycznego szacowania ryzyka wystąpienia sytuacji szczególnego zagrożenia (art. 20 </w:t>
      </w:r>
      <w:r w:rsidR="00D00CB4">
        <w:rPr>
          <w:rFonts w:cs="Times New Roman"/>
          <w:bCs/>
        </w:rPr>
        <w:t>ust. </w:t>
      </w:r>
      <w:r w:rsidR="007703AA" w:rsidRPr="0024375B">
        <w:rPr>
          <w:rFonts w:cs="Times New Roman"/>
          <w:bCs/>
        </w:rPr>
        <w:t>2 pkt 1). Po zidentyfikowaniu ryzyk będą obowiązani wdrożyć środki</w:t>
      </w:r>
      <w:r w:rsidR="00CE63C0" w:rsidRPr="0024375B">
        <w:rPr>
          <w:rFonts w:cs="Times New Roman"/>
          <w:bCs/>
        </w:rPr>
        <w:t xml:space="preserve"> techniczn</w:t>
      </w:r>
      <w:r w:rsidR="007703AA" w:rsidRPr="0024375B">
        <w:rPr>
          <w:rFonts w:cs="Times New Roman"/>
          <w:bCs/>
        </w:rPr>
        <w:t>e</w:t>
      </w:r>
      <w:r w:rsidR="002161FE">
        <w:rPr>
          <w:rFonts w:cs="Times New Roman"/>
          <w:bCs/>
        </w:rPr>
        <w:t xml:space="preserve"> i </w:t>
      </w:r>
      <w:r w:rsidR="00CE63C0" w:rsidRPr="0024375B">
        <w:rPr>
          <w:rFonts w:cs="Times New Roman"/>
          <w:bCs/>
        </w:rPr>
        <w:t>organizacyjn</w:t>
      </w:r>
      <w:r w:rsidR="007703AA" w:rsidRPr="0024375B">
        <w:rPr>
          <w:rFonts w:cs="Times New Roman"/>
          <w:bCs/>
        </w:rPr>
        <w:t>e</w:t>
      </w:r>
      <w:r w:rsidR="00CE63C0" w:rsidRPr="0024375B">
        <w:rPr>
          <w:rFonts w:cs="Times New Roman"/>
          <w:bCs/>
        </w:rPr>
        <w:t xml:space="preserve"> zapewniając</w:t>
      </w:r>
      <w:r w:rsidR="007703AA" w:rsidRPr="0024375B">
        <w:rPr>
          <w:rFonts w:cs="Times New Roman"/>
          <w:bCs/>
        </w:rPr>
        <w:t>e</w:t>
      </w:r>
      <w:r w:rsidR="00CE63C0" w:rsidRPr="0024375B">
        <w:rPr>
          <w:rFonts w:cs="Times New Roman"/>
          <w:bCs/>
        </w:rPr>
        <w:t xml:space="preserve"> poufność, integralność, dostępność</w:t>
      </w:r>
      <w:r w:rsidR="002161FE">
        <w:rPr>
          <w:rFonts w:cs="Times New Roman"/>
          <w:bCs/>
        </w:rPr>
        <w:t xml:space="preserve"> i </w:t>
      </w:r>
      <w:r w:rsidR="00CE63C0" w:rsidRPr="0024375B">
        <w:rPr>
          <w:rFonts w:cs="Times New Roman"/>
          <w:bCs/>
        </w:rPr>
        <w:t xml:space="preserve">autentyczność przetwarzanych </w:t>
      </w:r>
      <w:r w:rsidR="00CE63C0" w:rsidRPr="0024375B">
        <w:rPr>
          <w:rFonts w:cs="Times New Roman"/>
          <w:bCs/>
        </w:rPr>
        <w:lastRenderedPageBreak/>
        <w:t>danych,</w:t>
      </w:r>
      <w:r w:rsidR="002161FE">
        <w:rPr>
          <w:rFonts w:cs="Times New Roman"/>
          <w:bCs/>
        </w:rPr>
        <w:t xml:space="preserve"> a </w:t>
      </w:r>
      <w:r w:rsidR="00CE63C0" w:rsidRPr="0024375B">
        <w:rPr>
          <w:rFonts w:cs="Times New Roman"/>
          <w:bCs/>
        </w:rPr>
        <w:t>także poziom bezpieczeństwa adekwatny do poziomu zidentyfikowanego ryzyka</w:t>
      </w:r>
      <w:r w:rsidR="007703AA" w:rsidRPr="0024375B">
        <w:rPr>
          <w:rFonts w:cs="Times New Roman"/>
          <w:bCs/>
        </w:rPr>
        <w:t xml:space="preserve"> (art. 20 </w:t>
      </w:r>
      <w:r w:rsidR="00D00CB4">
        <w:rPr>
          <w:rFonts w:cs="Times New Roman"/>
          <w:bCs/>
        </w:rPr>
        <w:t>ust. </w:t>
      </w:r>
      <w:r w:rsidR="007703AA" w:rsidRPr="0024375B">
        <w:rPr>
          <w:rFonts w:cs="Times New Roman"/>
          <w:bCs/>
        </w:rPr>
        <w:t xml:space="preserve">2 pkt 2). Przepisy te są </w:t>
      </w:r>
      <w:r w:rsidR="00CE63C0" w:rsidRPr="0024375B">
        <w:rPr>
          <w:rFonts w:cs="Times New Roman"/>
          <w:bCs/>
        </w:rPr>
        <w:t>implementacj</w:t>
      </w:r>
      <w:r w:rsidR="007703AA" w:rsidRPr="0024375B">
        <w:rPr>
          <w:rFonts w:cs="Times New Roman"/>
          <w:bCs/>
        </w:rPr>
        <w:t>ą</w:t>
      </w:r>
      <w:r w:rsidR="00EA1900">
        <w:rPr>
          <w:rFonts w:cs="Times New Roman"/>
          <w:bCs/>
        </w:rPr>
        <w:t xml:space="preserve"> art. </w:t>
      </w:r>
      <w:r w:rsidR="00CE63C0" w:rsidRPr="0024375B">
        <w:rPr>
          <w:rFonts w:cs="Times New Roman"/>
          <w:bCs/>
        </w:rPr>
        <w:t xml:space="preserve">40 </w:t>
      </w:r>
      <w:r w:rsidR="00D00CB4">
        <w:rPr>
          <w:rFonts w:cs="Times New Roman"/>
          <w:bCs/>
        </w:rPr>
        <w:t>ust. </w:t>
      </w:r>
      <w:r w:rsidR="00CE63C0" w:rsidRPr="0024375B">
        <w:rPr>
          <w:rFonts w:cs="Times New Roman"/>
          <w:bCs/>
        </w:rPr>
        <w:t xml:space="preserve">1 EKŁE. </w:t>
      </w:r>
    </w:p>
    <w:p w14:paraId="6A6C054B" w14:textId="2D30385E" w:rsidR="00A3695B" w:rsidRPr="0024375B" w:rsidRDefault="00E936DC" w:rsidP="0024375B">
      <w:pPr>
        <w:ind w:firstLine="510"/>
        <w:jc w:val="both"/>
        <w:rPr>
          <w:rFonts w:cs="Times New Roman"/>
          <w:bCs/>
        </w:rPr>
      </w:pPr>
      <w:r w:rsidRPr="0024375B">
        <w:rPr>
          <w:rFonts w:cs="Times New Roman"/>
          <w:bCs/>
        </w:rPr>
        <w:t>W motywie 95 EKŁE prawodawca unijny zwrócił uwagę, że podmioty świadczące usługi komunikacji interpersonalnej niewykorzystujące numerów zazwyczaj nie sprawują rzeczywistej kontroli nad transmisją sygnałów</w:t>
      </w:r>
      <w:r w:rsidR="00EA1900">
        <w:rPr>
          <w:rFonts w:cs="Times New Roman"/>
          <w:bCs/>
        </w:rPr>
        <w:t xml:space="preserve"> w </w:t>
      </w:r>
      <w:r w:rsidRPr="0024375B">
        <w:rPr>
          <w:rFonts w:cs="Times New Roman"/>
          <w:bCs/>
        </w:rPr>
        <w:t>sieciach. Sytuacja taka może również</w:t>
      </w:r>
      <w:r w:rsidR="00EA1900">
        <w:rPr>
          <w:rFonts w:cs="Times New Roman"/>
          <w:bCs/>
        </w:rPr>
        <w:t xml:space="preserve"> w </w:t>
      </w:r>
      <w:r w:rsidRPr="0024375B">
        <w:rPr>
          <w:rFonts w:cs="Times New Roman"/>
          <w:bCs/>
        </w:rPr>
        <w:t>niektórych sytuacjach dotyczyć dostawcy usług łączności interpersonalnej wykorzystującej numery.</w:t>
      </w:r>
      <w:r w:rsidR="00116933">
        <w:rPr>
          <w:rFonts w:cs="Times New Roman"/>
          <w:bCs/>
        </w:rPr>
        <w:t xml:space="preserve"> W </w:t>
      </w:r>
      <w:r w:rsidRPr="0024375B">
        <w:rPr>
          <w:rFonts w:cs="Times New Roman"/>
          <w:bCs/>
        </w:rPr>
        <w:t>takich sytuacjach środki techniczne</w:t>
      </w:r>
      <w:r w:rsidR="002161FE">
        <w:rPr>
          <w:rFonts w:cs="Times New Roman"/>
          <w:bCs/>
        </w:rPr>
        <w:t xml:space="preserve"> i </w:t>
      </w:r>
      <w:r w:rsidRPr="0024375B">
        <w:rPr>
          <w:rFonts w:cs="Times New Roman"/>
          <w:bCs/>
        </w:rPr>
        <w:t>organizacyjne</w:t>
      </w:r>
      <w:r w:rsidR="00D64F53" w:rsidRPr="0024375B">
        <w:rPr>
          <w:rFonts w:cs="Times New Roman"/>
          <w:bCs/>
        </w:rPr>
        <w:t xml:space="preserve"> mające zapewnić bezpieczeństwo sieci</w:t>
      </w:r>
      <w:r w:rsidR="002161FE">
        <w:rPr>
          <w:rFonts w:cs="Times New Roman"/>
          <w:bCs/>
        </w:rPr>
        <w:t xml:space="preserve"> i </w:t>
      </w:r>
      <w:r w:rsidR="00D64F53" w:rsidRPr="0024375B">
        <w:rPr>
          <w:rFonts w:cs="Times New Roman"/>
          <w:bCs/>
        </w:rPr>
        <w:t>usług komunikacji elektronicznej powinny być łagodniejsze. Uwzględniono to</w:t>
      </w:r>
      <w:r w:rsidR="00EA1900">
        <w:rPr>
          <w:rFonts w:cs="Times New Roman"/>
          <w:bCs/>
        </w:rPr>
        <w:t xml:space="preserve"> w </w:t>
      </w:r>
      <w:r w:rsidR="00D64F53" w:rsidRPr="0024375B">
        <w:rPr>
          <w:rFonts w:cs="Times New Roman"/>
          <w:bCs/>
        </w:rPr>
        <w:t>projektowanych przepisach wskazując, że środki techniczne</w:t>
      </w:r>
      <w:r w:rsidR="002161FE">
        <w:rPr>
          <w:rFonts w:cs="Times New Roman"/>
          <w:bCs/>
        </w:rPr>
        <w:t xml:space="preserve"> i </w:t>
      </w:r>
      <w:r w:rsidR="00D64F53" w:rsidRPr="0024375B">
        <w:rPr>
          <w:rFonts w:cs="Times New Roman"/>
          <w:bCs/>
        </w:rPr>
        <w:t>organizacyjne podejmowane przez przedsiębiorców komunikacji elektronicznej powinny zapewniać poziom bezpieczeństwa adekwatny do poziomu zidentyfikowanego ryzyka</w:t>
      </w:r>
      <w:r w:rsidR="00246B45" w:rsidRPr="0024375B">
        <w:rPr>
          <w:rFonts w:cs="Times New Roman"/>
          <w:bCs/>
        </w:rPr>
        <w:t>, co również uwzględnia sytuację dostawcy usług łączności interpersonalnej wykorzystującej numery.</w:t>
      </w:r>
      <w:r w:rsidR="00090395">
        <w:rPr>
          <w:rFonts w:cs="Times New Roman"/>
          <w:bCs/>
        </w:rPr>
        <w:t xml:space="preserve"> Inne środki będą stosować duzi operatorzy sieci mobilnych, dysponujący infrastrukturą telekomunikacyjną, a inne mali przedsiębiorcy jak np. osiedlow</w:t>
      </w:r>
      <w:r w:rsidR="00E70ABB">
        <w:rPr>
          <w:rFonts w:cs="Times New Roman"/>
          <w:bCs/>
        </w:rPr>
        <w:t>i</w:t>
      </w:r>
      <w:r w:rsidR="00090395">
        <w:rPr>
          <w:rFonts w:cs="Times New Roman"/>
          <w:bCs/>
        </w:rPr>
        <w:t xml:space="preserve"> dostawcy usługi dostępu do </w:t>
      </w:r>
      <w:r w:rsidR="00C51BDA">
        <w:rPr>
          <w:rFonts w:cs="Times New Roman"/>
          <w:bCs/>
        </w:rPr>
        <w:t>I</w:t>
      </w:r>
      <w:r w:rsidR="00090395">
        <w:rPr>
          <w:rFonts w:cs="Times New Roman"/>
          <w:bCs/>
        </w:rPr>
        <w:t>nternetu.</w:t>
      </w:r>
    </w:p>
    <w:p w14:paraId="4D14109F" w14:textId="77777777" w:rsidR="00A3695B" w:rsidRPr="0024375B" w:rsidRDefault="007703AA" w:rsidP="0024375B">
      <w:pPr>
        <w:ind w:firstLine="510"/>
        <w:jc w:val="both"/>
        <w:rPr>
          <w:rFonts w:cs="Times New Roman"/>
          <w:bCs/>
        </w:rPr>
      </w:pPr>
      <w:r w:rsidRPr="0024375B">
        <w:rPr>
          <w:rFonts w:cs="Times New Roman"/>
        </w:rPr>
        <w:t>W</w:t>
      </w:r>
      <w:r w:rsidR="00EA1900">
        <w:rPr>
          <w:rFonts w:cs="Times New Roman"/>
        </w:rPr>
        <w:t xml:space="preserve"> art. </w:t>
      </w:r>
      <w:r w:rsidRPr="0024375B">
        <w:rPr>
          <w:rFonts w:cs="Times New Roman"/>
        </w:rPr>
        <w:t>20</w:t>
      </w:r>
      <w:r w:rsidR="007D1F6C" w:rsidRPr="0024375B">
        <w:rPr>
          <w:rFonts w:cs="Times New Roman"/>
        </w:rPr>
        <w:t>a</w:t>
      </w:r>
      <w:r w:rsidRPr="0024375B">
        <w:rPr>
          <w:rFonts w:cs="Times New Roman"/>
        </w:rPr>
        <w:t xml:space="preserve"> </w:t>
      </w:r>
      <w:r w:rsidR="00D00CB4">
        <w:rPr>
          <w:rFonts w:cs="Times New Roman"/>
        </w:rPr>
        <w:t>ust. </w:t>
      </w:r>
      <w:r w:rsidRPr="0024375B">
        <w:rPr>
          <w:rFonts w:cs="Times New Roman"/>
        </w:rPr>
        <w:t xml:space="preserve">2 pkt 2 </w:t>
      </w:r>
      <w:r w:rsidR="00CE63C0" w:rsidRPr="0024375B">
        <w:rPr>
          <w:rFonts w:cs="Times New Roman"/>
        </w:rPr>
        <w:t>wskazane zostały obligatoryjne obszary środków technicznych</w:t>
      </w:r>
      <w:r w:rsidR="002161FE">
        <w:rPr>
          <w:rFonts w:cs="Times New Roman"/>
        </w:rPr>
        <w:t xml:space="preserve"> i </w:t>
      </w:r>
      <w:r w:rsidR="00CE63C0" w:rsidRPr="0024375B">
        <w:rPr>
          <w:rFonts w:cs="Times New Roman"/>
        </w:rPr>
        <w:t>organizacyjnych, które wynikają</w:t>
      </w:r>
      <w:r w:rsidR="002161FE">
        <w:rPr>
          <w:rFonts w:cs="Times New Roman"/>
        </w:rPr>
        <w:t xml:space="preserve"> z </w:t>
      </w:r>
      <w:r w:rsidR="00CE63C0" w:rsidRPr="0024375B">
        <w:rPr>
          <w:rFonts w:cs="Times New Roman"/>
        </w:rPr>
        <w:t xml:space="preserve">motywu 94 EKŁE. </w:t>
      </w:r>
      <w:r w:rsidR="00AA5D17" w:rsidRPr="0024375B">
        <w:rPr>
          <w:rFonts w:cs="Times New Roman"/>
        </w:rPr>
        <w:t>Przykładowo ś</w:t>
      </w:r>
      <w:r w:rsidR="008360AD" w:rsidRPr="0024375B">
        <w:rPr>
          <w:rFonts w:cs="Times New Roman"/>
        </w:rPr>
        <w:t>rodki te można podzielić na</w:t>
      </w:r>
      <w:r w:rsidR="008360AD" w:rsidRPr="0024375B">
        <w:rPr>
          <w:rStyle w:val="Odwoanieprzypisudolnego"/>
        </w:rPr>
        <w:footnoteReference w:id="22"/>
      </w:r>
      <w:r w:rsidR="002466B6" w:rsidRPr="0024375B">
        <w:rPr>
          <w:rFonts w:cs="Times New Roman"/>
          <w:vertAlign w:val="superscript"/>
        </w:rPr>
        <w:t>)</w:t>
      </w:r>
      <w:r w:rsidR="008360AD" w:rsidRPr="0024375B">
        <w:rPr>
          <w:rFonts w:cs="Times New Roman"/>
        </w:rPr>
        <w:t>:</w:t>
      </w:r>
    </w:p>
    <w:p w14:paraId="15CE7FB4" w14:textId="77777777" w:rsidR="00A3695B" w:rsidRPr="0024375B" w:rsidRDefault="008360AD" w:rsidP="0024375B">
      <w:pPr>
        <w:pStyle w:val="NormalnyWeb"/>
        <w:numPr>
          <w:ilvl w:val="0"/>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środki dot. zapewnienia</w:t>
      </w:r>
      <w:r w:rsidR="00A3695B" w:rsidRPr="0024375B">
        <w:rPr>
          <w:rFonts w:eastAsiaTheme="minorEastAsia"/>
          <w:bCs/>
          <w:szCs w:val="20"/>
        </w:rPr>
        <w:t xml:space="preserve"> bezpieczeństwa infrastruktury telekomunikacyjnej</w:t>
      </w:r>
      <w:r w:rsidRPr="0024375B">
        <w:rPr>
          <w:rFonts w:eastAsiaTheme="minorEastAsia"/>
          <w:bCs/>
          <w:szCs w:val="20"/>
        </w:rPr>
        <w:t>, np.</w:t>
      </w:r>
      <w:r w:rsidR="00A3695B" w:rsidRPr="0024375B">
        <w:rPr>
          <w:rFonts w:eastAsiaTheme="minorEastAsia"/>
          <w:bCs/>
          <w:szCs w:val="20"/>
        </w:rPr>
        <w:t>:</w:t>
      </w:r>
    </w:p>
    <w:p w14:paraId="2E05CAFF"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bezpieczeństwo fizyczne</w:t>
      </w:r>
      <w:r w:rsidR="002161FE">
        <w:rPr>
          <w:rFonts w:eastAsiaTheme="minorEastAsia"/>
          <w:bCs/>
          <w:szCs w:val="20"/>
        </w:rPr>
        <w:t xml:space="preserve"> i </w:t>
      </w:r>
      <w:r w:rsidRPr="0024375B">
        <w:rPr>
          <w:rFonts w:eastAsiaTheme="minorEastAsia"/>
          <w:bCs/>
          <w:szCs w:val="20"/>
        </w:rPr>
        <w:t>środowiskowe</w:t>
      </w:r>
      <w:r w:rsidR="00AA5D17" w:rsidRPr="0024375B">
        <w:rPr>
          <w:rFonts w:eastAsiaTheme="minorEastAsia"/>
          <w:bCs/>
          <w:szCs w:val="20"/>
        </w:rPr>
        <w:t>,</w:t>
      </w:r>
    </w:p>
    <w:p w14:paraId="2F4971BA"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bezpieczeństwo łańcuchów dostaw</w:t>
      </w:r>
      <w:r w:rsidR="00AA5D17" w:rsidRPr="0024375B">
        <w:rPr>
          <w:rFonts w:eastAsiaTheme="minorEastAsia"/>
          <w:bCs/>
          <w:szCs w:val="20"/>
        </w:rPr>
        <w:t>,</w:t>
      </w:r>
    </w:p>
    <w:p w14:paraId="2F9CC549"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kontrola dostępu do sieci</w:t>
      </w:r>
      <w:r w:rsidR="00AA5D17" w:rsidRPr="0024375B">
        <w:rPr>
          <w:rFonts w:eastAsiaTheme="minorEastAsia"/>
          <w:bCs/>
          <w:szCs w:val="20"/>
        </w:rPr>
        <w:t>,</w:t>
      </w:r>
    </w:p>
    <w:p w14:paraId="2C495DC2"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zapewnienie integralności sieci</w:t>
      </w:r>
      <w:r w:rsidR="00AA5D17" w:rsidRPr="0024375B">
        <w:rPr>
          <w:rFonts w:eastAsiaTheme="minorEastAsia"/>
          <w:bCs/>
          <w:szCs w:val="20"/>
        </w:rPr>
        <w:t>;</w:t>
      </w:r>
    </w:p>
    <w:p w14:paraId="159EA5F5" w14:textId="77777777" w:rsidR="00A3695B" w:rsidRPr="0024375B" w:rsidRDefault="008360AD" w:rsidP="0024375B">
      <w:pPr>
        <w:pStyle w:val="NormalnyWeb"/>
        <w:numPr>
          <w:ilvl w:val="0"/>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środki</w:t>
      </w:r>
      <w:r w:rsidR="00A3695B" w:rsidRPr="0024375B">
        <w:rPr>
          <w:rFonts w:eastAsiaTheme="minorEastAsia"/>
          <w:bCs/>
          <w:szCs w:val="20"/>
        </w:rPr>
        <w:t xml:space="preserve"> dotyczące postępowania</w:t>
      </w:r>
      <w:r w:rsidR="00EA1900">
        <w:rPr>
          <w:rFonts w:eastAsiaTheme="minorEastAsia"/>
          <w:bCs/>
          <w:szCs w:val="20"/>
        </w:rPr>
        <w:t xml:space="preserve"> w </w:t>
      </w:r>
      <w:r w:rsidR="00A3695B" w:rsidRPr="0024375B">
        <w:rPr>
          <w:rFonts w:eastAsiaTheme="minorEastAsia"/>
          <w:bCs/>
          <w:szCs w:val="20"/>
        </w:rPr>
        <w:t>sytuacji szczególnego zagrożenia:</w:t>
      </w:r>
    </w:p>
    <w:p w14:paraId="0251709D"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procedury obsługi incydentu telekomunikacyjnego</w:t>
      </w:r>
      <w:r w:rsidR="007B323F" w:rsidRPr="0024375B">
        <w:rPr>
          <w:rFonts w:eastAsiaTheme="minorEastAsia"/>
          <w:bCs/>
          <w:szCs w:val="20"/>
        </w:rPr>
        <w:t>,</w:t>
      </w:r>
    </w:p>
    <w:p w14:paraId="0959EAE4"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zdolności</w:t>
      </w:r>
      <w:r w:rsidR="00EA1900">
        <w:rPr>
          <w:rFonts w:eastAsiaTheme="minorEastAsia"/>
          <w:bCs/>
          <w:szCs w:val="20"/>
        </w:rPr>
        <w:t xml:space="preserve"> w </w:t>
      </w:r>
      <w:r w:rsidRPr="0024375B">
        <w:rPr>
          <w:rFonts w:eastAsiaTheme="minorEastAsia"/>
          <w:bCs/>
          <w:szCs w:val="20"/>
        </w:rPr>
        <w:t>zakresie wykrywania incydentów</w:t>
      </w:r>
      <w:r w:rsidR="007B323F" w:rsidRPr="0024375B">
        <w:rPr>
          <w:rFonts w:eastAsiaTheme="minorEastAsia"/>
          <w:bCs/>
          <w:szCs w:val="20"/>
        </w:rPr>
        <w:t xml:space="preserve"> telekomunikacyjnych,</w:t>
      </w:r>
    </w:p>
    <w:p w14:paraId="5994D49E"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procedury raportowania incydentów</w:t>
      </w:r>
      <w:r w:rsidR="007B323F" w:rsidRPr="0024375B">
        <w:rPr>
          <w:rFonts w:eastAsiaTheme="minorEastAsia"/>
          <w:bCs/>
          <w:szCs w:val="20"/>
        </w:rPr>
        <w:t xml:space="preserve"> telekomunikacyjnych</w:t>
      </w:r>
      <w:r w:rsidRPr="0024375B">
        <w:rPr>
          <w:rFonts w:eastAsiaTheme="minorEastAsia"/>
          <w:bCs/>
          <w:szCs w:val="20"/>
        </w:rPr>
        <w:t xml:space="preserve"> oraz komunikacji</w:t>
      </w:r>
      <w:r w:rsidR="007B323F" w:rsidRPr="0024375B">
        <w:rPr>
          <w:rFonts w:eastAsiaTheme="minorEastAsia"/>
          <w:bCs/>
          <w:szCs w:val="20"/>
        </w:rPr>
        <w:t>;</w:t>
      </w:r>
    </w:p>
    <w:p w14:paraId="3DAD8D2D" w14:textId="77777777" w:rsidR="00A3695B" w:rsidRPr="0024375B" w:rsidRDefault="008360AD" w:rsidP="0024375B">
      <w:pPr>
        <w:pStyle w:val="NormalnyWeb"/>
        <w:numPr>
          <w:ilvl w:val="0"/>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ś</w:t>
      </w:r>
      <w:r w:rsidR="00A3695B" w:rsidRPr="0024375B">
        <w:rPr>
          <w:rFonts w:eastAsiaTheme="minorEastAsia"/>
          <w:bCs/>
          <w:szCs w:val="20"/>
        </w:rPr>
        <w:t>rodki dotyczące</w:t>
      </w:r>
      <w:r w:rsidR="002442A7">
        <w:rPr>
          <w:rFonts w:eastAsiaTheme="minorEastAsia"/>
          <w:bCs/>
          <w:szCs w:val="20"/>
        </w:rPr>
        <w:t xml:space="preserve"> odtwarzania</w:t>
      </w:r>
      <w:r w:rsidR="00A3695B" w:rsidRPr="0024375B">
        <w:rPr>
          <w:rFonts w:eastAsiaTheme="minorEastAsia"/>
          <w:bCs/>
          <w:szCs w:val="20"/>
        </w:rPr>
        <w:t xml:space="preserve"> dostarczania sieci telekomunikacyjnych lub przywracania świadczenia usług komunikacji elektronicznej </w:t>
      </w:r>
      <w:r w:rsidRPr="0024375B">
        <w:rPr>
          <w:rFonts w:eastAsiaTheme="minorEastAsia"/>
          <w:bCs/>
          <w:szCs w:val="20"/>
        </w:rPr>
        <w:t>np.:</w:t>
      </w:r>
      <w:r w:rsidR="00A3695B" w:rsidRPr="0024375B">
        <w:rPr>
          <w:rFonts w:eastAsiaTheme="minorEastAsia"/>
          <w:bCs/>
          <w:szCs w:val="20"/>
        </w:rPr>
        <w:t xml:space="preserve"> </w:t>
      </w:r>
    </w:p>
    <w:p w14:paraId="460DD575"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zapewnienie planów ciągłości działania usług</w:t>
      </w:r>
      <w:r w:rsidR="007B323F" w:rsidRPr="0024375B">
        <w:rPr>
          <w:rFonts w:eastAsiaTheme="minorEastAsia"/>
          <w:bCs/>
          <w:szCs w:val="20"/>
        </w:rPr>
        <w:t>,</w:t>
      </w:r>
    </w:p>
    <w:p w14:paraId="1BC2C8BE"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zapewnienie zdolności do odtwarzania awaryjnego usług</w:t>
      </w:r>
      <w:r w:rsidR="002161FE">
        <w:rPr>
          <w:rFonts w:eastAsiaTheme="minorEastAsia"/>
          <w:bCs/>
          <w:szCs w:val="20"/>
        </w:rPr>
        <w:t xml:space="preserve"> i </w:t>
      </w:r>
      <w:r w:rsidRPr="0024375B">
        <w:rPr>
          <w:rFonts w:eastAsiaTheme="minorEastAsia"/>
          <w:bCs/>
          <w:szCs w:val="20"/>
        </w:rPr>
        <w:t>sieci</w:t>
      </w:r>
      <w:r w:rsidR="007B323F" w:rsidRPr="0024375B">
        <w:rPr>
          <w:rFonts w:eastAsiaTheme="minorEastAsia"/>
          <w:bCs/>
          <w:szCs w:val="20"/>
        </w:rPr>
        <w:t>;</w:t>
      </w:r>
    </w:p>
    <w:p w14:paraId="1A9BCF55" w14:textId="77777777" w:rsidR="00A3695B" w:rsidRPr="0024375B" w:rsidRDefault="00A3695B" w:rsidP="0024375B">
      <w:pPr>
        <w:pStyle w:val="NormalnyWeb"/>
        <w:numPr>
          <w:ilvl w:val="0"/>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środki</w:t>
      </w:r>
      <w:r w:rsidR="00EA1900">
        <w:rPr>
          <w:rFonts w:eastAsiaTheme="minorEastAsia"/>
          <w:bCs/>
          <w:szCs w:val="20"/>
        </w:rPr>
        <w:t xml:space="preserve"> w </w:t>
      </w:r>
      <w:r w:rsidRPr="0024375B">
        <w:rPr>
          <w:rFonts w:eastAsiaTheme="minorEastAsia"/>
          <w:bCs/>
          <w:szCs w:val="20"/>
        </w:rPr>
        <w:t>zakresie monitorowania, audytowania</w:t>
      </w:r>
      <w:r w:rsidR="002161FE">
        <w:rPr>
          <w:rFonts w:eastAsiaTheme="minorEastAsia"/>
          <w:bCs/>
          <w:szCs w:val="20"/>
        </w:rPr>
        <w:t xml:space="preserve"> i </w:t>
      </w:r>
      <w:r w:rsidRPr="0024375B">
        <w:rPr>
          <w:rFonts w:eastAsiaTheme="minorEastAsia"/>
          <w:bCs/>
          <w:szCs w:val="20"/>
        </w:rPr>
        <w:t xml:space="preserve">testowania </w:t>
      </w:r>
      <w:r w:rsidR="007B323F" w:rsidRPr="0024375B">
        <w:rPr>
          <w:rFonts w:eastAsiaTheme="minorEastAsia"/>
          <w:bCs/>
          <w:szCs w:val="20"/>
        </w:rPr>
        <w:t>np.:</w:t>
      </w:r>
      <w:r w:rsidRPr="0024375B">
        <w:rPr>
          <w:rFonts w:eastAsiaTheme="minorEastAsia"/>
          <w:bCs/>
          <w:szCs w:val="20"/>
        </w:rPr>
        <w:t xml:space="preserve"> </w:t>
      </w:r>
    </w:p>
    <w:p w14:paraId="666DAD18" w14:textId="77777777" w:rsidR="00A3695B" w:rsidRPr="0024375B" w:rsidRDefault="00A3695B"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przygotowanie polityk monitorowania</w:t>
      </w:r>
      <w:r w:rsidR="002161FE">
        <w:rPr>
          <w:rFonts w:eastAsiaTheme="minorEastAsia"/>
          <w:bCs/>
          <w:szCs w:val="20"/>
        </w:rPr>
        <w:t xml:space="preserve"> i </w:t>
      </w:r>
      <w:r w:rsidRPr="0024375B">
        <w:rPr>
          <w:rFonts w:eastAsiaTheme="minorEastAsia"/>
          <w:bCs/>
          <w:szCs w:val="20"/>
        </w:rPr>
        <w:t>logowania</w:t>
      </w:r>
      <w:r w:rsidR="007B323F" w:rsidRPr="0024375B">
        <w:rPr>
          <w:rFonts w:eastAsiaTheme="minorEastAsia"/>
          <w:bCs/>
          <w:szCs w:val="20"/>
        </w:rPr>
        <w:t>,</w:t>
      </w:r>
    </w:p>
    <w:p w14:paraId="18965AEC" w14:textId="77777777" w:rsidR="00A3695B" w:rsidRPr="0024375B" w:rsidRDefault="008360AD"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p</w:t>
      </w:r>
      <w:r w:rsidR="00A3695B" w:rsidRPr="0024375B">
        <w:rPr>
          <w:rFonts w:eastAsiaTheme="minorEastAsia"/>
          <w:bCs/>
          <w:szCs w:val="20"/>
        </w:rPr>
        <w:t>rzeprowadzanie ćwiczeń</w:t>
      </w:r>
      <w:r w:rsidR="00EA1900">
        <w:rPr>
          <w:rFonts w:eastAsiaTheme="minorEastAsia"/>
          <w:bCs/>
          <w:szCs w:val="20"/>
        </w:rPr>
        <w:t xml:space="preserve"> w </w:t>
      </w:r>
      <w:r w:rsidR="00A3695B" w:rsidRPr="0024375B">
        <w:rPr>
          <w:rFonts w:eastAsiaTheme="minorEastAsia"/>
          <w:bCs/>
          <w:szCs w:val="20"/>
        </w:rPr>
        <w:t>zakresie planów ciągłości działania</w:t>
      </w:r>
      <w:r w:rsidR="007B323F" w:rsidRPr="0024375B">
        <w:rPr>
          <w:rFonts w:eastAsiaTheme="minorEastAsia"/>
          <w:bCs/>
          <w:szCs w:val="20"/>
        </w:rPr>
        <w:t>,</w:t>
      </w:r>
    </w:p>
    <w:p w14:paraId="5B2AC41C" w14:textId="77777777" w:rsidR="00A3695B" w:rsidRPr="0024375B" w:rsidRDefault="008360AD"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lastRenderedPageBreak/>
        <w:t>t</w:t>
      </w:r>
      <w:r w:rsidR="00A3695B" w:rsidRPr="0024375B">
        <w:rPr>
          <w:rFonts w:eastAsiaTheme="minorEastAsia"/>
          <w:bCs/>
          <w:szCs w:val="20"/>
        </w:rPr>
        <w:t>estowanie sieci</w:t>
      </w:r>
      <w:r w:rsidR="002161FE">
        <w:rPr>
          <w:rFonts w:eastAsiaTheme="minorEastAsia"/>
          <w:bCs/>
          <w:szCs w:val="20"/>
        </w:rPr>
        <w:t xml:space="preserve"> i </w:t>
      </w:r>
      <w:r w:rsidR="00A3695B" w:rsidRPr="0024375B">
        <w:rPr>
          <w:rFonts w:eastAsiaTheme="minorEastAsia"/>
          <w:bCs/>
          <w:szCs w:val="20"/>
        </w:rPr>
        <w:t>usług</w:t>
      </w:r>
      <w:r w:rsidR="007B323F" w:rsidRPr="0024375B">
        <w:rPr>
          <w:rFonts w:eastAsiaTheme="minorEastAsia"/>
          <w:bCs/>
          <w:szCs w:val="20"/>
        </w:rPr>
        <w:t>,</w:t>
      </w:r>
    </w:p>
    <w:p w14:paraId="12B23EBD" w14:textId="77777777" w:rsidR="00A3695B" w:rsidRPr="0024375B" w:rsidRDefault="008360AD" w:rsidP="0024375B">
      <w:pPr>
        <w:pStyle w:val="NormalnyWeb"/>
        <w:numPr>
          <w:ilvl w:val="1"/>
          <w:numId w:val="65"/>
        </w:numPr>
        <w:spacing w:before="0" w:beforeAutospacing="0" w:after="0" w:afterAutospacing="0" w:line="360" w:lineRule="auto"/>
        <w:ind w:firstLine="510"/>
        <w:rPr>
          <w:rFonts w:eastAsiaTheme="minorEastAsia"/>
          <w:bCs/>
          <w:szCs w:val="20"/>
        </w:rPr>
      </w:pPr>
      <w:r w:rsidRPr="0024375B">
        <w:rPr>
          <w:rFonts w:eastAsiaTheme="minorEastAsia"/>
          <w:bCs/>
          <w:szCs w:val="20"/>
        </w:rPr>
        <w:t>p</w:t>
      </w:r>
      <w:r w:rsidR="00A3695B" w:rsidRPr="0024375B">
        <w:rPr>
          <w:rFonts w:eastAsiaTheme="minorEastAsia"/>
          <w:bCs/>
          <w:szCs w:val="20"/>
        </w:rPr>
        <w:t>rzeprowadzania oceny bezpieczeństwa sieci</w:t>
      </w:r>
      <w:r w:rsidR="002161FE">
        <w:rPr>
          <w:rFonts w:eastAsiaTheme="minorEastAsia"/>
          <w:bCs/>
          <w:szCs w:val="20"/>
        </w:rPr>
        <w:t xml:space="preserve"> i </w:t>
      </w:r>
      <w:r w:rsidR="00A3695B" w:rsidRPr="0024375B">
        <w:rPr>
          <w:rFonts w:eastAsiaTheme="minorEastAsia"/>
          <w:bCs/>
          <w:szCs w:val="20"/>
        </w:rPr>
        <w:t>usług komunikacji elektronicznej</w:t>
      </w:r>
      <w:r w:rsidR="007B323F" w:rsidRPr="0024375B">
        <w:rPr>
          <w:rFonts w:eastAsiaTheme="minorEastAsia"/>
          <w:bCs/>
          <w:szCs w:val="20"/>
        </w:rPr>
        <w:t>.</w:t>
      </w:r>
    </w:p>
    <w:p w14:paraId="5B1DA6F5" w14:textId="77777777" w:rsidR="00A3695B" w:rsidRPr="0024375B" w:rsidRDefault="00A3695B" w:rsidP="0024375B">
      <w:pPr>
        <w:jc w:val="both"/>
        <w:rPr>
          <w:rFonts w:cs="Times New Roman"/>
          <w:bCs/>
        </w:rPr>
      </w:pPr>
    </w:p>
    <w:p w14:paraId="1B9AFE17" w14:textId="28923CBB" w:rsidR="00802F75" w:rsidRPr="0024375B" w:rsidRDefault="00CE63C0" w:rsidP="0024375B">
      <w:pPr>
        <w:ind w:firstLine="510"/>
        <w:jc w:val="both"/>
        <w:rPr>
          <w:rFonts w:eastAsia="Times New Roman" w:cs="Times New Roman"/>
          <w:szCs w:val="24"/>
        </w:rPr>
      </w:pPr>
      <w:r w:rsidRPr="0024375B">
        <w:rPr>
          <w:rFonts w:eastAsia="Times New Roman" w:cs="Times New Roman"/>
          <w:szCs w:val="24"/>
        </w:rPr>
        <w:t>Każdy przedsiębiorca</w:t>
      </w:r>
      <w:r w:rsidR="00B764F3">
        <w:rPr>
          <w:rFonts w:eastAsia="Times New Roman" w:cs="Times New Roman"/>
          <w:szCs w:val="24"/>
        </w:rPr>
        <w:t xml:space="preserve"> komunikacji elektronicznej</w:t>
      </w:r>
      <w:r w:rsidRPr="0024375B">
        <w:rPr>
          <w:rFonts w:eastAsia="Times New Roman" w:cs="Times New Roman"/>
          <w:szCs w:val="24"/>
        </w:rPr>
        <w:t xml:space="preserve"> będzie dokumentował prowadzenie analizy ryzyka oraz wdrożenie środków bezpieczeństwa</w:t>
      </w:r>
      <w:r w:rsidR="00802F75" w:rsidRPr="0024375B">
        <w:rPr>
          <w:rFonts w:eastAsia="Times New Roman" w:cs="Times New Roman"/>
          <w:szCs w:val="24"/>
        </w:rPr>
        <w:t xml:space="preserve"> (art. 20</w:t>
      </w:r>
      <w:r w:rsidR="007D1F6C" w:rsidRPr="0024375B">
        <w:rPr>
          <w:rFonts w:eastAsia="Times New Roman" w:cs="Times New Roman"/>
          <w:szCs w:val="24"/>
        </w:rPr>
        <w:t>a</w:t>
      </w:r>
      <w:r w:rsidR="00802F75" w:rsidRPr="0024375B">
        <w:rPr>
          <w:rFonts w:eastAsia="Times New Roman" w:cs="Times New Roman"/>
          <w:szCs w:val="24"/>
        </w:rPr>
        <w:t xml:space="preserve"> ust.</w:t>
      </w:r>
      <w:r w:rsidR="00BD5888">
        <w:rPr>
          <w:rFonts w:eastAsia="Times New Roman" w:cs="Times New Roman"/>
          <w:szCs w:val="24"/>
        </w:rPr>
        <w:t xml:space="preserve"> </w:t>
      </w:r>
      <w:r w:rsidR="00802F75" w:rsidRPr="0024375B">
        <w:rPr>
          <w:rFonts w:eastAsia="Times New Roman" w:cs="Times New Roman"/>
          <w:szCs w:val="24"/>
        </w:rPr>
        <w:t>2 pkt 3)</w:t>
      </w:r>
      <w:r w:rsidRPr="0024375B">
        <w:rPr>
          <w:rFonts w:eastAsia="Times New Roman" w:cs="Times New Roman"/>
          <w:szCs w:val="24"/>
        </w:rPr>
        <w:t xml:space="preserve">. </w:t>
      </w:r>
      <w:r w:rsidR="00802F75" w:rsidRPr="0024375B">
        <w:rPr>
          <w:rFonts w:eastAsia="Times New Roman" w:cs="Times New Roman"/>
          <w:szCs w:val="24"/>
        </w:rPr>
        <w:t>Dokumentowanie tych środków jest zgodne</w:t>
      </w:r>
      <w:r w:rsidR="002161FE">
        <w:rPr>
          <w:rFonts w:eastAsia="Times New Roman" w:cs="Times New Roman"/>
          <w:szCs w:val="24"/>
        </w:rPr>
        <w:t xml:space="preserve"> z </w:t>
      </w:r>
      <w:r w:rsidR="00802F75" w:rsidRPr="0024375B">
        <w:rPr>
          <w:rFonts w:eastAsia="Times New Roman" w:cs="Times New Roman"/>
          <w:szCs w:val="24"/>
        </w:rPr>
        <w:t>powszechnie uznanymi normami technicznymi (ISO 27001), jak również pozwala na rozliczalność tych działań oraz skuteczne przeprowadzenie audytu</w:t>
      </w:r>
      <w:r w:rsidR="002161FE">
        <w:rPr>
          <w:rFonts w:eastAsia="Times New Roman" w:cs="Times New Roman"/>
          <w:szCs w:val="24"/>
        </w:rPr>
        <w:t xml:space="preserve"> i </w:t>
      </w:r>
      <w:r w:rsidR="00802F75" w:rsidRPr="0024375B">
        <w:rPr>
          <w:rFonts w:eastAsia="Times New Roman" w:cs="Times New Roman"/>
          <w:szCs w:val="24"/>
        </w:rPr>
        <w:t>kontroli.</w:t>
      </w:r>
    </w:p>
    <w:p w14:paraId="24128037" w14:textId="2DEF39E7" w:rsidR="00CE63C0" w:rsidRPr="0024375B" w:rsidRDefault="00802F75" w:rsidP="0024375B">
      <w:pPr>
        <w:ind w:firstLine="510"/>
        <w:jc w:val="both"/>
        <w:rPr>
          <w:rFonts w:eastAsia="Times New Roman" w:cs="Times New Roman"/>
          <w:szCs w:val="24"/>
        </w:rPr>
      </w:pPr>
      <w:r w:rsidRPr="0024375B">
        <w:rPr>
          <w:rFonts w:eastAsia="Times New Roman" w:cs="Times New Roman"/>
          <w:szCs w:val="24"/>
        </w:rPr>
        <w:t>Aby uprościć prowadzenie dokumentacji,</w:t>
      </w:r>
      <w:r w:rsidR="002161FE">
        <w:rPr>
          <w:rFonts w:eastAsia="Times New Roman" w:cs="Times New Roman"/>
          <w:szCs w:val="24"/>
        </w:rPr>
        <w:t xml:space="preserve"> w</w:t>
      </w:r>
      <w:r w:rsidR="00EA1900">
        <w:rPr>
          <w:rFonts w:eastAsia="Times New Roman" w:cs="Times New Roman"/>
          <w:szCs w:val="24"/>
        </w:rPr>
        <w:t xml:space="preserve"> art. </w:t>
      </w:r>
      <w:r w:rsidRPr="0024375B">
        <w:rPr>
          <w:rFonts w:eastAsia="Times New Roman" w:cs="Times New Roman"/>
          <w:szCs w:val="24"/>
        </w:rPr>
        <w:t>20</w:t>
      </w:r>
      <w:r w:rsidR="007D1F6C" w:rsidRPr="0024375B">
        <w:rPr>
          <w:rFonts w:eastAsia="Times New Roman" w:cs="Times New Roman"/>
          <w:szCs w:val="24"/>
        </w:rPr>
        <w:t>a</w:t>
      </w:r>
      <w:r w:rsidRPr="0024375B">
        <w:rPr>
          <w:rFonts w:eastAsia="Times New Roman" w:cs="Times New Roman"/>
          <w:szCs w:val="24"/>
        </w:rPr>
        <w:t xml:space="preserve"> </w:t>
      </w:r>
      <w:r w:rsidR="00D00CB4">
        <w:rPr>
          <w:rFonts w:eastAsia="Times New Roman" w:cs="Times New Roman"/>
          <w:szCs w:val="24"/>
        </w:rPr>
        <w:t>ust. </w:t>
      </w:r>
      <w:r w:rsidRPr="0024375B">
        <w:rPr>
          <w:rFonts w:eastAsia="Times New Roman" w:cs="Times New Roman"/>
          <w:szCs w:val="24"/>
        </w:rPr>
        <w:t xml:space="preserve">3 wskazano, że </w:t>
      </w:r>
      <w:r w:rsidR="00CE63C0" w:rsidRPr="0024375B">
        <w:rPr>
          <w:rFonts w:eastAsia="Times New Roman" w:cs="Times New Roman"/>
          <w:szCs w:val="24"/>
        </w:rPr>
        <w:t xml:space="preserve">przedsiębiorcy </w:t>
      </w:r>
      <w:r w:rsidR="00090395">
        <w:rPr>
          <w:rFonts w:eastAsia="Times New Roman" w:cs="Times New Roman"/>
          <w:szCs w:val="24"/>
        </w:rPr>
        <w:t>komunikacji elektronicznej</w:t>
      </w:r>
      <w:r w:rsidR="00090395" w:rsidRPr="0024375B">
        <w:rPr>
          <w:rFonts w:eastAsia="Times New Roman" w:cs="Times New Roman"/>
          <w:szCs w:val="24"/>
        </w:rPr>
        <w:t xml:space="preserve"> </w:t>
      </w:r>
      <w:r w:rsidR="00CE63C0" w:rsidRPr="0024375B">
        <w:rPr>
          <w:rFonts w:eastAsia="Times New Roman" w:cs="Times New Roman"/>
          <w:szCs w:val="24"/>
        </w:rPr>
        <w:t>sporządzający plan działania</w:t>
      </w:r>
      <w:r w:rsidR="00EA1900">
        <w:rPr>
          <w:rFonts w:eastAsia="Times New Roman" w:cs="Times New Roman"/>
          <w:szCs w:val="24"/>
        </w:rPr>
        <w:t xml:space="preserve"> w </w:t>
      </w:r>
      <w:r w:rsidR="00CE63C0" w:rsidRPr="0024375B">
        <w:rPr>
          <w:rFonts w:eastAsia="Times New Roman" w:cs="Times New Roman"/>
          <w:szCs w:val="24"/>
        </w:rPr>
        <w:t>sytuacji szczególnego zagrożenia, będą dokumentować</w:t>
      </w:r>
      <w:r w:rsidR="00EA1900">
        <w:rPr>
          <w:rFonts w:eastAsia="Times New Roman" w:cs="Times New Roman"/>
          <w:szCs w:val="24"/>
        </w:rPr>
        <w:t xml:space="preserve"> w </w:t>
      </w:r>
      <w:r w:rsidRPr="0024375B">
        <w:rPr>
          <w:rFonts w:eastAsia="Times New Roman" w:cs="Times New Roman"/>
          <w:szCs w:val="24"/>
        </w:rPr>
        <w:t xml:space="preserve">tym planie </w:t>
      </w:r>
      <w:r w:rsidR="00CE63C0" w:rsidRPr="0024375B">
        <w:rPr>
          <w:rFonts w:eastAsia="Times New Roman" w:cs="Times New Roman"/>
          <w:szCs w:val="24"/>
        </w:rPr>
        <w:t>wdrożenie środków technicznych</w:t>
      </w:r>
      <w:r w:rsidR="002161FE">
        <w:rPr>
          <w:rFonts w:eastAsia="Times New Roman" w:cs="Times New Roman"/>
          <w:szCs w:val="24"/>
        </w:rPr>
        <w:t xml:space="preserve"> i </w:t>
      </w:r>
      <w:r w:rsidR="0077165A">
        <w:rPr>
          <w:rFonts w:eastAsia="Times New Roman" w:cs="Times New Roman"/>
          <w:szCs w:val="24"/>
        </w:rPr>
        <w:t xml:space="preserve">  </w:t>
      </w:r>
      <w:r w:rsidR="004C1F86" w:rsidRPr="0024375B">
        <w:rPr>
          <w:rFonts w:eastAsia="Times New Roman" w:cs="Times New Roman"/>
          <w:szCs w:val="24"/>
        </w:rPr>
        <w:t>organizacyjnych,</w:t>
      </w:r>
      <w:r w:rsidR="0077165A">
        <w:rPr>
          <w:rFonts w:eastAsia="Times New Roman" w:cs="Times New Roman"/>
          <w:szCs w:val="24"/>
        </w:rPr>
        <w:t xml:space="preserve"> o </w:t>
      </w:r>
      <w:r w:rsidR="004C1F86" w:rsidRPr="0024375B">
        <w:rPr>
          <w:rFonts w:eastAsia="Times New Roman" w:cs="Times New Roman"/>
          <w:szCs w:val="24"/>
        </w:rPr>
        <w:t>których</w:t>
      </w:r>
      <w:r w:rsidRPr="0024375B">
        <w:rPr>
          <w:rFonts w:eastAsia="Times New Roman" w:cs="Times New Roman"/>
          <w:szCs w:val="24"/>
        </w:rPr>
        <w:t xml:space="preserve"> mowa</w:t>
      </w:r>
      <w:r w:rsidR="002161FE">
        <w:rPr>
          <w:rFonts w:eastAsia="Times New Roman" w:cs="Times New Roman"/>
          <w:szCs w:val="24"/>
        </w:rPr>
        <w:t xml:space="preserve"> w</w:t>
      </w:r>
      <w:r w:rsidR="00EA1900">
        <w:rPr>
          <w:rFonts w:eastAsia="Times New Roman" w:cs="Times New Roman"/>
          <w:szCs w:val="24"/>
        </w:rPr>
        <w:t xml:space="preserve"> art. </w:t>
      </w:r>
      <w:r w:rsidRPr="0024375B">
        <w:rPr>
          <w:rFonts w:eastAsia="Times New Roman" w:cs="Times New Roman"/>
          <w:szCs w:val="24"/>
        </w:rPr>
        <w:t>20</w:t>
      </w:r>
      <w:r w:rsidR="007D1F6C" w:rsidRPr="0024375B">
        <w:rPr>
          <w:rFonts w:eastAsia="Times New Roman" w:cs="Times New Roman"/>
          <w:szCs w:val="24"/>
        </w:rPr>
        <w:t>a</w:t>
      </w:r>
      <w:r w:rsidRPr="0024375B">
        <w:rPr>
          <w:rFonts w:eastAsia="Times New Roman" w:cs="Times New Roman"/>
          <w:szCs w:val="24"/>
        </w:rPr>
        <w:t xml:space="preserve"> </w:t>
      </w:r>
      <w:r w:rsidR="00D00CB4">
        <w:rPr>
          <w:rFonts w:eastAsia="Times New Roman" w:cs="Times New Roman"/>
          <w:szCs w:val="24"/>
        </w:rPr>
        <w:t>ust. </w:t>
      </w:r>
      <w:r w:rsidRPr="0024375B">
        <w:rPr>
          <w:rFonts w:eastAsia="Times New Roman" w:cs="Times New Roman"/>
          <w:szCs w:val="24"/>
        </w:rPr>
        <w:t>2 pkt 2</w:t>
      </w:r>
      <w:r w:rsidR="00CE63C0" w:rsidRPr="0024375B">
        <w:rPr>
          <w:rFonts w:eastAsia="Times New Roman" w:cs="Times New Roman"/>
          <w:szCs w:val="24"/>
        </w:rPr>
        <w:t>.</w:t>
      </w:r>
      <w:r w:rsidR="000A42D3" w:rsidRPr="0024375B">
        <w:rPr>
          <w:rFonts w:eastAsia="Times New Roman" w:cs="Times New Roman"/>
          <w:szCs w:val="24"/>
        </w:rPr>
        <w:t xml:space="preserve"> </w:t>
      </w:r>
    </w:p>
    <w:p w14:paraId="74CD78DF" w14:textId="77777777" w:rsidR="0099178B" w:rsidRPr="0024375B" w:rsidRDefault="0099178B" w:rsidP="0024375B">
      <w:pPr>
        <w:ind w:firstLine="510"/>
        <w:jc w:val="both"/>
        <w:rPr>
          <w:rFonts w:eastAsia="Times New Roman" w:cs="Times New Roman"/>
          <w:szCs w:val="24"/>
        </w:rPr>
      </w:pPr>
      <w:r w:rsidRPr="0024375B">
        <w:rPr>
          <w:rFonts w:eastAsia="Times New Roman" w:cs="Times New Roman"/>
          <w:szCs w:val="24"/>
        </w:rPr>
        <w:t>Bardzo ważne jest zapewnienie przepływu informacji między zespołami CSIRT, Prezesem UKE oraz przedsiębiorcami komunikacji elektronicznej. Dlatego proponuje się, aby co do zasady przedsiębiorcy komunikacji elektronicznej byli obowiązani wyznaczyć dwie osoby odpowiedzialne za utrzymywanie kontaktów</w:t>
      </w:r>
      <w:r w:rsidR="002161FE">
        <w:rPr>
          <w:rFonts w:eastAsia="Times New Roman" w:cs="Times New Roman"/>
          <w:szCs w:val="24"/>
        </w:rPr>
        <w:t xml:space="preserve"> z </w:t>
      </w:r>
      <w:r w:rsidRPr="0024375B">
        <w:rPr>
          <w:rFonts w:eastAsia="Times New Roman" w:cs="Times New Roman"/>
          <w:szCs w:val="24"/>
        </w:rPr>
        <w:t>podmiotami krajowego systemu cyberbezpieczeństwa. Dane tych osób będą przekazywane do Prezesa UKE. Z obowiązku wyznaczenia</w:t>
      </w:r>
      <w:r w:rsidR="00AD4000" w:rsidRPr="0024375B">
        <w:rPr>
          <w:rFonts w:eastAsia="Times New Roman" w:cs="Times New Roman"/>
          <w:szCs w:val="24"/>
        </w:rPr>
        <w:t xml:space="preserve"> ww.</w:t>
      </w:r>
      <w:r w:rsidRPr="0024375B">
        <w:rPr>
          <w:rFonts w:eastAsia="Times New Roman" w:cs="Times New Roman"/>
          <w:szCs w:val="24"/>
        </w:rPr>
        <w:t xml:space="preserve"> osób wyłącza się mikroprzedsiębiorców, małych przedsiębiorców oraz średnich przedsiębiorców – mogłoby to być zbyt duże obciążenie dla tej grupy podmiotów.</w:t>
      </w:r>
    </w:p>
    <w:p w14:paraId="09A2FA60" w14:textId="39E71813" w:rsidR="00802F75" w:rsidRPr="0024375B" w:rsidRDefault="00802F75" w:rsidP="0024375B">
      <w:pPr>
        <w:ind w:firstLine="510"/>
        <w:jc w:val="both"/>
        <w:rPr>
          <w:rFonts w:cs="Times New Roman"/>
          <w:bCs/>
        </w:rPr>
      </w:pPr>
      <w:r w:rsidRPr="0024375B">
        <w:rPr>
          <w:rFonts w:cs="Times New Roman"/>
          <w:bCs/>
        </w:rPr>
        <w:t>Podobnie jak</w:t>
      </w:r>
      <w:r w:rsidR="00EA1900">
        <w:rPr>
          <w:rFonts w:cs="Times New Roman"/>
          <w:bCs/>
        </w:rPr>
        <w:t xml:space="preserve"> w </w:t>
      </w:r>
      <w:r w:rsidRPr="0024375B">
        <w:rPr>
          <w:rFonts w:cs="Times New Roman"/>
          <w:bCs/>
        </w:rPr>
        <w:t>obecnie obowiązujących przepisach (art. 175d</w:t>
      </w:r>
      <w:r w:rsidR="00BD5888">
        <w:rPr>
          <w:rFonts w:cs="Times New Roman"/>
          <w:bCs/>
        </w:rPr>
        <w:t xml:space="preserve"> ustawy z dnia 16 lipca 2004 r. -</w:t>
      </w:r>
      <w:r w:rsidRPr="0024375B">
        <w:rPr>
          <w:rFonts w:cs="Times New Roman"/>
          <w:bCs/>
        </w:rPr>
        <w:t xml:space="preserve"> Praw</w:t>
      </w:r>
      <w:r w:rsidR="00BD5888">
        <w:rPr>
          <w:rFonts w:cs="Times New Roman"/>
          <w:bCs/>
        </w:rPr>
        <w:t>o</w:t>
      </w:r>
      <w:r w:rsidRPr="0024375B">
        <w:rPr>
          <w:rFonts w:cs="Times New Roman"/>
          <w:bCs/>
        </w:rPr>
        <w:t xml:space="preserve"> telekomunikacyjn</w:t>
      </w:r>
      <w:r w:rsidR="00BD5888">
        <w:rPr>
          <w:rFonts w:cs="Times New Roman"/>
          <w:bCs/>
        </w:rPr>
        <w:t>e</w:t>
      </w:r>
      <w:r w:rsidRPr="0024375B">
        <w:rPr>
          <w:rFonts w:cs="Times New Roman"/>
          <w:bCs/>
        </w:rPr>
        <w:t>), proponuje się, aby minister właściwy do spraw informatyzacji mógł określić,</w:t>
      </w:r>
      <w:r w:rsidRPr="0024375B">
        <w:t xml:space="preserve"> </w:t>
      </w:r>
      <w:r w:rsidRPr="0024375B">
        <w:rPr>
          <w:rFonts w:cs="Times New Roman"/>
          <w:bCs/>
        </w:rPr>
        <w:t>dla danego rodzaju działalności wykonywanej przez przedsiębiorcę komunikacji elektronicznej, minimalny zakres środków technicznych</w:t>
      </w:r>
      <w:r w:rsidR="002161FE">
        <w:rPr>
          <w:rFonts w:cs="Times New Roman"/>
          <w:bCs/>
        </w:rPr>
        <w:t xml:space="preserve"> i </w:t>
      </w:r>
      <w:r w:rsidRPr="0024375B">
        <w:rPr>
          <w:rFonts w:cs="Times New Roman"/>
          <w:bCs/>
        </w:rPr>
        <w:t>organizacyjnych</w:t>
      </w:r>
      <w:r w:rsidR="00EA1900">
        <w:rPr>
          <w:rFonts w:cs="Times New Roman"/>
          <w:bCs/>
        </w:rPr>
        <w:t xml:space="preserve"> w </w:t>
      </w:r>
      <w:r w:rsidRPr="0024375B">
        <w:rPr>
          <w:rFonts w:cs="Times New Roman"/>
          <w:bCs/>
        </w:rPr>
        <w:t>stosowanych celu zapewnienia bezpieczeństwa sieci</w:t>
      </w:r>
      <w:r w:rsidR="002161FE">
        <w:rPr>
          <w:rFonts w:cs="Times New Roman"/>
          <w:bCs/>
        </w:rPr>
        <w:t xml:space="preserve"> i </w:t>
      </w:r>
      <w:r w:rsidRPr="0024375B">
        <w:rPr>
          <w:rFonts w:cs="Times New Roman"/>
          <w:bCs/>
        </w:rPr>
        <w:t xml:space="preserve">usług komunikacji elektronicznej. Przy wydawaniu rozporządzenia minister weźmie pod uwagę </w:t>
      </w:r>
    </w:p>
    <w:p w14:paraId="4C6BF5FD" w14:textId="77777777" w:rsidR="00802F75" w:rsidRPr="0024375B" w:rsidRDefault="00802F75" w:rsidP="0024375B">
      <w:pPr>
        <w:pStyle w:val="Akapitzlist"/>
        <w:numPr>
          <w:ilvl w:val="0"/>
          <w:numId w:val="66"/>
        </w:numPr>
        <w:spacing w:line="360" w:lineRule="auto"/>
        <w:ind w:firstLine="510"/>
        <w:rPr>
          <w:rFonts w:cs="Times New Roman"/>
          <w:bCs/>
        </w:rPr>
      </w:pPr>
      <w:r w:rsidRPr="0024375B">
        <w:rPr>
          <w:rFonts w:cs="Times New Roman"/>
          <w:bCs/>
        </w:rPr>
        <w:t>rekomendacje międzynarodowe</w:t>
      </w:r>
      <w:r w:rsidR="0077165A">
        <w:rPr>
          <w:rFonts w:cs="Times New Roman"/>
          <w:bCs/>
        </w:rPr>
        <w:t xml:space="preserve"> o </w:t>
      </w:r>
      <w:r w:rsidRPr="0024375B">
        <w:rPr>
          <w:rFonts w:cs="Times New Roman"/>
          <w:bCs/>
        </w:rPr>
        <w:t>charakterze specjalistycznym (będą to mogły być</w:t>
      </w:r>
      <w:r w:rsidR="00EA1900">
        <w:rPr>
          <w:rFonts w:cs="Times New Roman"/>
          <w:bCs/>
        </w:rPr>
        <w:t xml:space="preserve"> w </w:t>
      </w:r>
      <w:r w:rsidRPr="0024375B">
        <w:rPr>
          <w:rFonts w:cs="Times New Roman"/>
          <w:bCs/>
        </w:rPr>
        <w:t>szczególności normy techniczne, dokumenty ENISA, akty wykonawcze Komisji Europejskiej wydane na podstawie</w:t>
      </w:r>
      <w:r w:rsidR="00EA1900">
        <w:rPr>
          <w:rFonts w:cs="Times New Roman"/>
          <w:bCs/>
        </w:rPr>
        <w:t xml:space="preserve"> art. </w:t>
      </w:r>
      <w:r w:rsidRPr="0024375B">
        <w:rPr>
          <w:rFonts w:cs="Times New Roman"/>
          <w:bCs/>
        </w:rPr>
        <w:t xml:space="preserve">40 </w:t>
      </w:r>
      <w:r w:rsidR="00D00CB4">
        <w:rPr>
          <w:rFonts w:cs="Times New Roman"/>
          <w:bCs/>
        </w:rPr>
        <w:t>ust. </w:t>
      </w:r>
      <w:r w:rsidRPr="0024375B">
        <w:rPr>
          <w:rFonts w:cs="Times New Roman"/>
          <w:bCs/>
        </w:rPr>
        <w:t>5 EKŁE, czy też inne dokumenty specjalistyczne organizacji międzynarodowych);</w:t>
      </w:r>
    </w:p>
    <w:p w14:paraId="64C8BED4" w14:textId="77777777" w:rsidR="00802F75" w:rsidRPr="0024375B" w:rsidRDefault="00802F75" w:rsidP="0024375B">
      <w:pPr>
        <w:pStyle w:val="Akapitzlist"/>
        <w:numPr>
          <w:ilvl w:val="0"/>
          <w:numId w:val="66"/>
        </w:numPr>
        <w:spacing w:line="360" w:lineRule="auto"/>
        <w:ind w:firstLine="510"/>
        <w:rPr>
          <w:rFonts w:cs="Times New Roman"/>
          <w:bCs/>
        </w:rPr>
      </w:pPr>
      <w:r w:rsidRPr="0024375B">
        <w:rPr>
          <w:rFonts w:cs="Times New Roman"/>
          <w:bCs/>
        </w:rPr>
        <w:t>skalę działalności wykonywanej przez przedsiębiorcę komunikacji elektronicznej;</w:t>
      </w:r>
    </w:p>
    <w:p w14:paraId="044DB5A4" w14:textId="77777777" w:rsidR="00802F75" w:rsidRDefault="00802F75" w:rsidP="0024375B">
      <w:pPr>
        <w:pStyle w:val="Akapitzlist"/>
        <w:numPr>
          <w:ilvl w:val="0"/>
          <w:numId w:val="66"/>
        </w:numPr>
        <w:spacing w:line="360" w:lineRule="auto"/>
        <w:ind w:firstLine="510"/>
        <w:rPr>
          <w:rFonts w:eastAsiaTheme="minorEastAsia" w:cs="Times New Roman"/>
          <w:bCs/>
          <w:szCs w:val="20"/>
        </w:rPr>
      </w:pPr>
      <w:r w:rsidRPr="0024375B">
        <w:rPr>
          <w:rFonts w:eastAsiaTheme="minorEastAsia" w:cs="Times New Roman"/>
          <w:bCs/>
          <w:szCs w:val="20"/>
        </w:rPr>
        <w:t>potrzebę podejmowania przez tego przedsiębiorcę działań zapewniających bezpieczeństwo sieci</w:t>
      </w:r>
      <w:r w:rsidR="002161FE">
        <w:rPr>
          <w:rFonts w:eastAsiaTheme="minorEastAsia" w:cs="Times New Roman"/>
          <w:bCs/>
          <w:szCs w:val="20"/>
        </w:rPr>
        <w:t xml:space="preserve"> </w:t>
      </w:r>
      <w:r w:rsidR="006277B3">
        <w:rPr>
          <w:rFonts w:eastAsiaTheme="minorEastAsia" w:cs="Times New Roman"/>
          <w:bCs/>
          <w:szCs w:val="20"/>
        </w:rPr>
        <w:t>lub </w:t>
      </w:r>
      <w:r w:rsidRPr="0024375B">
        <w:rPr>
          <w:rFonts w:eastAsiaTheme="minorEastAsia" w:cs="Times New Roman"/>
          <w:bCs/>
          <w:szCs w:val="20"/>
        </w:rPr>
        <w:t>usług komunikacji elektronicznej.</w:t>
      </w:r>
    </w:p>
    <w:p w14:paraId="343E1A43" w14:textId="77777777" w:rsidR="00812DC5" w:rsidRDefault="00812DC5" w:rsidP="00FC6B8C">
      <w:pPr>
        <w:pStyle w:val="NIEARTTEKSTtekstnieartykuowanynppodstprawnarozplubpreambua"/>
      </w:pPr>
      <w:r>
        <w:t>Podkreślić należy, że przewiduje się możliwość wydawania kilku rozporządzeń</w:t>
      </w:r>
      <w:r w:rsidR="00E142C2">
        <w:t xml:space="preserve"> na podstawie art. 20a ust. 6</w:t>
      </w:r>
      <w:r>
        <w:t xml:space="preserve"> – odrębnie dla każdego rodzaju działalności.</w:t>
      </w:r>
    </w:p>
    <w:p w14:paraId="4D825355" w14:textId="77777777" w:rsidR="00090395" w:rsidRPr="00713E1C" w:rsidRDefault="00090395" w:rsidP="00FC6B8C">
      <w:pPr>
        <w:pStyle w:val="NIEARTTEKSTtekstnieartykuowanynppodstprawnarozplubpreambua"/>
        <w:rPr>
          <w:rFonts w:cs="Times New Roman"/>
        </w:rPr>
      </w:pPr>
      <w:r>
        <w:rPr>
          <w:rFonts w:cs="Times New Roman"/>
        </w:rPr>
        <w:t xml:space="preserve">Konieczność zapewnienia ministrowi właściwemu do spraw informatyzacji takiej kompetencji wynika z faktu krytycznego znaczenia usług telekomunikacyjnych dla społeczeństwa informacyjnego. Jak wyżej wspomniano wiele usług jest zależnych od usług telekomunikacyjnych, przykładowo centra przetwarzania </w:t>
      </w:r>
      <w:r>
        <w:rPr>
          <w:rFonts w:cs="Times New Roman"/>
        </w:rPr>
        <w:lastRenderedPageBreak/>
        <w:t xml:space="preserve">danych potrzebują redundantnych łączy telekomunikacyjnych, aby mogły świadczyć swoje usługi. Dlatego konieczne jest, aby dla tego sektora minister </w:t>
      </w:r>
      <w:r w:rsidR="00992C27">
        <w:rPr>
          <w:rFonts w:cs="Times New Roman"/>
        </w:rPr>
        <w:t>mógł wydać minimalne wymagania co do środków bezpieczeństwa, aby zapewnić jednolity poziom bezpieczeństwa danego rodzaju usług komunikacji elektronicznej.</w:t>
      </w:r>
      <w:r w:rsidR="0046038B">
        <w:rPr>
          <w:rFonts w:cs="Times New Roman"/>
        </w:rPr>
        <w:t xml:space="preserve"> </w:t>
      </w:r>
    </w:p>
    <w:p w14:paraId="1BC3B94D" w14:textId="77777777" w:rsidR="007D1F6C" w:rsidRPr="0024375B" w:rsidRDefault="007D1F6C" w:rsidP="00DC1575">
      <w:pPr>
        <w:pStyle w:val="Nagwek4"/>
        <w:rPr>
          <w:rFonts w:cs="Times New Roman"/>
        </w:rPr>
      </w:pPr>
      <w:r w:rsidRPr="0024375B">
        <w:t>Nowy</w:t>
      </w:r>
      <w:r w:rsidR="00EA1900">
        <w:t xml:space="preserve"> art. </w:t>
      </w:r>
      <w:r w:rsidRPr="0024375B">
        <w:t>20b</w:t>
      </w:r>
    </w:p>
    <w:p w14:paraId="3EA87525" w14:textId="77777777" w:rsidR="00CE63C0" w:rsidRPr="0024375B" w:rsidRDefault="00CE63C0" w:rsidP="0024375B">
      <w:pPr>
        <w:ind w:firstLine="510"/>
        <w:jc w:val="both"/>
        <w:rPr>
          <w:rFonts w:eastAsia="Times New Roman" w:cs="Times New Roman"/>
          <w:szCs w:val="24"/>
        </w:rPr>
      </w:pPr>
      <w:r w:rsidRPr="0024375B">
        <w:rPr>
          <w:rFonts w:eastAsia="Times New Roman" w:cs="Times New Roman"/>
          <w:szCs w:val="24"/>
        </w:rPr>
        <w:t>W</w:t>
      </w:r>
      <w:r w:rsidR="00EA1900">
        <w:rPr>
          <w:rFonts w:eastAsia="Times New Roman" w:cs="Times New Roman"/>
          <w:szCs w:val="24"/>
        </w:rPr>
        <w:t xml:space="preserve"> art. </w:t>
      </w:r>
      <w:r w:rsidRPr="0024375B">
        <w:rPr>
          <w:rFonts w:eastAsia="Times New Roman" w:cs="Times New Roman"/>
          <w:szCs w:val="24"/>
        </w:rPr>
        <w:t xml:space="preserve">20b </w:t>
      </w:r>
      <w:r w:rsidR="00D00CB4">
        <w:rPr>
          <w:rFonts w:eastAsia="Times New Roman" w:cs="Times New Roman"/>
          <w:szCs w:val="24"/>
        </w:rPr>
        <w:t>ust. </w:t>
      </w:r>
      <w:r w:rsidR="00A14431" w:rsidRPr="0024375B">
        <w:rPr>
          <w:rFonts w:eastAsia="Times New Roman" w:cs="Times New Roman"/>
          <w:szCs w:val="24"/>
        </w:rPr>
        <w:t xml:space="preserve">1 </w:t>
      </w:r>
      <w:r w:rsidRPr="0024375B">
        <w:rPr>
          <w:rFonts w:eastAsia="Times New Roman" w:cs="Times New Roman"/>
          <w:szCs w:val="24"/>
        </w:rPr>
        <w:t>uregulowano uprawnieni</w:t>
      </w:r>
      <w:r w:rsidR="003F0692" w:rsidRPr="0024375B">
        <w:rPr>
          <w:rFonts w:eastAsia="Times New Roman" w:cs="Times New Roman"/>
          <w:szCs w:val="24"/>
        </w:rPr>
        <w:t>e</w:t>
      </w:r>
      <w:r w:rsidRPr="0024375B">
        <w:rPr>
          <w:rFonts w:eastAsia="Times New Roman" w:cs="Times New Roman"/>
          <w:szCs w:val="24"/>
        </w:rPr>
        <w:t xml:space="preserve"> Prezesa UKE do dokonywania oceny podjętych przez przedsiębiorcę komunikacji elektronicznej środków zapewniający bezpieczeństwo sieci</w:t>
      </w:r>
      <w:r w:rsidR="002161FE">
        <w:rPr>
          <w:rFonts w:eastAsia="Times New Roman" w:cs="Times New Roman"/>
          <w:szCs w:val="24"/>
        </w:rPr>
        <w:t xml:space="preserve"> i </w:t>
      </w:r>
      <w:r w:rsidRPr="0024375B">
        <w:rPr>
          <w:rFonts w:eastAsia="Times New Roman" w:cs="Times New Roman"/>
          <w:szCs w:val="24"/>
        </w:rPr>
        <w:t xml:space="preserve">usług. Na jego żądanie przedsiębiorca </w:t>
      </w:r>
      <w:r w:rsidR="00CC717B" w:rsidRPr="0024375B">
        <w:rPr>
          <w:rFonts w:eastAsia="Times New Roman" w:cs="Times New Roman"/>
          <w:szCs w:val="24"/>
        </w:rPr>
        <w:t>po</w:t>
      </w:r>
      <w:r w:rsidRPr="0024375B">
        <w:rPr>
          <w:rFonts w:eastAsia="Times New Roman" w:cs="Times New Roman"/>
          <w:szCs w:val="24"/>
        </w:rPr>
        <w:t>informuje go</w:t>
      </w:r>
      <w:r w:rsidR="0077165A">
        <w:rPr>
          <w:rFonts w:eastAsia="Times New Roman" w:cs="Times New Roman"/>
          <w:szCs w:val="24"/>
        </w:rPr>
        <w:t xml:space="preserve"> o </w:t>
      </w:r>
      <w:r w:rsidRPr="0024375B">
        <w:rPr>
          <w:rFonts w:eastAsia="Times New Roman" w:cs="Times New Roman"/>
          <w:szCs w:val="24"/>
        </w:rPr>
        <w:t>podjętych środkach</w:t>
      </w:r>
      <w:r w:rsidR="00980919" w:rsidRPr="0024375B">
        <w:rPr>
          <w:rFonts w:eastAsia="Times New Roman" w:cs="Times New Roman"/>
          <w:szCs w:val="24"/>
        </w:rPr>
        <w:t xml:space="preserve">. </w:t>
      </w:r>
      <w:r w:rsidR="003F0692" w:rsidRPr="0024375B">
        <w:rPr>
          <w:rFonts w:eastAsia="Times New Roman" w:cs="Times New Roman"/>
          <w:szCs w:val="24"/>
        </w:rPr>
        <w:t>Obowiązek ten jest zgodny</w:t>
      </w:r>
      <w:r w:rsidR="002161FE">
        <w:rPr>
          <w:rFonts w:eastAsia="Times New Roman" w:cs="Times New Roman"/>
          <w:szCs w:val="24"/>
        </w:rPr>
        <w:t xml:space="preserve"> z</w:t>
      </w:r>
      <w:r w:rsidR="00EA1900">
        <w:rPr>
          <w:rFonts w:eastAsia="Times New Roman" w:cs="Times New Roman"/>
          <w:szCs w:val="24"/>
        </w:rPr>
        <w:t xml:space="preserve"> art. </w:t>
      </w:r>
      <w:r w:rsidR="003F0692" w:rsidRPr="0024375B">
        <w:rPr>
          <w:rFonts w:eastAsia="Times New Roman" w:cs="Times New Roman"/>
          <w:szCs w:val="24"/>
        </w:rPr>
        <w:t xml:space="preserve">41 </w:t>
      </w:r>
      <w:r w:rsidR="00D00CB4">
        <w:rPr>
          <w:rFonts w:eastAsia="Times New Roman" w:cs="Times New Roman"/>
          <w:szCs w:val="24"/>
        </w:rPr>
        <w:t>ust. </w:t>
      </w:r>
      <w:r w:rsidR="003F0692" w:rsidRPr="0024375B">
        <w:rPr>
          <w:rFonts w:eastAsia="Times New Roman" w:cs="Times New Roman"/>
          <w:szCs w:val="24"/>
        </w:rPr>
        <w:t>2 lit.</w:t>
      </w:r>
      <w:r w:rsidR="002161FE">
        <w:rPr>
          <w:rFonts w:eastAsia="Times New Roman" w:cs="Times New Roman"/>
          <w:szCs w:val="24"/>
        </w:rPr>
        <w:t xml:space="preserve"> a </w:t>
      </w:r>
      <w:r w:rsidR="003F0692" w:rsidRPr="0024375B">
        <w:rPr>
          <w:rFonts w:eastAsia="Times New Roman" w:cs="Times New Roman"/>
          <w:szCs w:val="24"/>
        </w:rPr>
        <w:t>EKŁE.</w:t>
      </w:r>
    </w:p>
    <w:p w14:paraId="5FA2F2CB" w14:textId="77777777" w:rsidR="00980919" w:rsidRPr="0024375B" w:rsidRDefault="006C5869" w:rsidP="0024375B">
      <w:pPr>
        <w:ind w:firstLine="510"/>
        <w:jc w:val="both"/>
        <w:rPr>
          <w:rFonts w:eastAsia="Times New Roman" w:cs="Times New Roman"/>
          <w:szCs w:val="24"/>
        </w:rPr>
      </w:pPr>
      <w:r w:rsidRPr="0024375B">
        <w:rPr>
          <w:rFonts w:eastAsia="Times New Roman" w:cs="Times New Roman"/>
          <w:szCs w:val="24"/>
        </w:rPr>
        <w:t>W</w:t>
      </w:r>
      <w:r w:rsidR="00A14431" w:rsidRPr="0024375B">
        <w:rPr>
          <w:rFonts w:eastAsia="Times New Roman" w:cs="Times New Roman"/>
          <w:szCs w:val="24"/>
        </w:rPr>
        <w:t xml:space="preserve"> wyniku przeprowadzonej przez </w:t>
      </w:r>
      <w:r w:rsidR="00CE63C0" w:rsidRPr="0024375B">
        <w:rPr>
          <w:rFonts w:eastAsia="Times New Roman" w:cs="Times New Roman"/>
          <w:szCs w:val="24"/>
        </w:rPr>
        <w:t>Prezes</w:t>
      </w:r>
      <w:r w:rsidR="00A14431" w:rsidRPr="0024375B">
        <w:rPr>
          <w:rFonts w:eastAsia="Times New Roman" w:cs="Times New Roman"/>
          <w:szCs w:val="24"/>
        </w:rPr>
        <w:t>a</w:t>
      </w:r>
      <w:r w:rsidR="00CE63C0" w:rsidRPr="0024375B">
        <w:rPr>
          <w:rFonts w:eastAsia="Times New Roman" w:cs="Times New Roman"/>
          <w:szCs w:val="24"/>
        </w:rPr>
        <w:t xml:space="preserve"> UKE </w:t>
      </w:r>
      <w:r w:rsidRPr="0024375B">
        <w:rPr>
          <w:rFonts w:eastAsia="Times New Roman" w:cs="Times New Roman"/>
          <w:szCs w:val="24"/>
        </w:rPr>
        <w:t>oceny mogą powstać</w:t>
      </w:r>
      <w:r w:rsidR="00A14431" w:rsidRPr="0024375B">
        <w:rPr>
          <w:rFonts w:eastAsia="Times New Roman" w:cs="Times New Roman"/>
          <w:szCs w:val="24"/>
        </w:rPr>
        <w:t xml:space="preserve"> uzasadnione wątpliwości co do stosowania przez przedsiębiorcę komunikacji elektronicznej właściwych środków</w:t>
      </w:r>
      <w:r w:rsidRPr="0024375B">
        <w:rPr>
          <w:rFonts w:eastAsia="Times New Roman" w:cs="Times New Roman"/>
          <w:szCs w:val="24"/>
        </w:rPr>
        <w:t xml:space="preserve"> technicznych</w:t>
      </w:r>
      <w:r w:rsidR="002161FE">
        <w:rPr>
          <w:rFonts w:eastAsia="Times New Roman" w:cs="Times New Roman"/>
          <w:szCs w:val="24"/>
        </w:rPr>
        <w:t xml:space="preserve"> i </w:t>
      </w:r>
      <w:r w:rsidRPr="0024375B">
        <w:rPr>
          <w:rFonts w:eastAsia="Times New Roman" w:cs="Times New Roman"/>
          <w:szCs w:val="24"/>
        </w:rPr>
        <w:t>organizacyjnych. Proponuje się, żeby</w:t>
      </w:r>
      <w:r w:rsidR="00EA1900">
        <w:rPr>
          <w:rFonts w:eastAsia="Times New Roman" w:cs="Times New Roman"/>
          <w:szCs w:val="24"/>
        </w:rPr>
        <w:t xml:space="preserve"> w </w:t>
      </w:r>
      <w:r w:rsidRPr="0024375B">
        <w:rPr>
          <w:rFonts w:eastAsia="Times New Roman" w:cs="Times New Roman"/>
          <w:szCs w:val="24"/>
        </w:rPr>
        <w:t>takiej sytuacji Prezes UKE mógł nałożyć,</w:t>
      </w:r>
      <w:r w:rsidR="00EA1900">
        <w:rPr>
          <w:rFonts w:eastAsia="Times New Roman" w:cs="Times New Roman"/>
          <w:szCs w:val="24"/>
        </w:rPr>
        <w:t xml:space="preserve"> w </w:t>
      </w:r>
      <w:r w:rsidRPr="0024375B">
        <w:rPr>
          <w:rFonts w:eastAsia="Times New Roman" w:cs="Times New Roman"/>
          <w:szCs w:val="24"/>
        </w:rPr>
        <w:t>drodze decyzji</w:t>
      </w:r>
      <w:r w:rsidR="000A26CD" w:rsidRPr="0024375B">
        <w:rPr>
          <w:rFonts w:eastAsia="Times New Roman" w:cs="Times New Roman"/>
          <w:szCs w:val="24"/>
        </w:rPr>
        <w:t>,</w:t>
      </w:r>
      <w:r w:rsidR="00CE63C0" w:rsidRPr="0024375B">
        <w:rPr>
          <w:rFonts w:eastAsia="Times New Roman" w:cs="Times New Roman"/>
          <w:szCs w:val="24"/>
        </w:rPr>
        <w:t xml:space="preserve"> na przedsiębiorcę komunikacji elektronicznej </w:t>
      </w:r>
      <w:r w:rsidR="00980919" w:rsidRPr="0024375B">
        <w:rPr>
          <w:rFonts w:eastAsia="Times New Roman" w:cs="Times New Roman"/>
          <w:szCs w:val="24"/>
        </w:rPr>
        <w:t>obowiązek:</w:t>
      </w:r>
    </w:p>
    <w:p w14:paraId="0949343C" w14:textId="77777777" w:rsidR="00980919" w:rsidRPr="0024375B" w:rsidRDefault="006C5869" w:rsidP="0024375B">
      <w:pPr>
        <w:pStyle w:val="Akapitzlist"/>
        <w:numPr>
          <w:ilvl w:val="0"/>
          <w:numId w:val="80"/>
        </w:numPr>
        <w:spacing w:line="360" w:lineRule="auto"/>
        <w:rPr>
          <w:rFonts w:eastAsia="Times New Roman" w:cs="Times New Roman"/>
        </w:rPr>
      </w:pPr>
      <w:r w:rsidRPr="0024375B">
        <w:rPr>
          <w:rFonts w:eastAsia="Times New Roman" w:cs="Times New Roman"/>
        </w:rPr>
        <w:t xml:space="preserve"> właściwego zastosowania </w:t>
      </w:r>
      <w:r w:rsidR="006277B3" w:rsidRPr="0024375B">
        <w:rPr>
          <w:rFonts w:eastAsia="Times New Roman" w:cs="Times New Roman"/>
        </w:rPr>
        <w:t>lub</w:t>
      </w:r>
      <w:r w:rsidR="006277B3" w:rsidRPr="006277B3">
        <w:rPr>
          <w:rFonts w:eastAsia="Times New Roman" w:cs="Times New Roman"/>
        </w:rPr>
        <w:t xml:space="preserve"> </w:t>
      </w:r>
      <w:r w:rsidR="006277B3" w:rsidRPr="0024375B">
        <w:rPr>
          <w:rFonts w:eastAsia="Times New Roman" w:cs="Times New Roman"/>
        </w:rPr>
        <w:t xml:space="preserve">uzupełnienia </w:t>
      </w:r>
      <w:r w:rsidRPr="0024375B">
        <w:rPr>
          <w:rFonts w:eastAsia="Times New Roman" w:cs="Times New Roman"/>
        </w:rPr>
        <w:t xml:space="preserve">środków technicznych </w:t>
      </w:r>
      <w:r w:rsidR="008A4570" w:rsidRPr="0024375B">
        <w:rPr>
          <w:rFonts w:eastAsia="Times New Roman" w:cs="Times New Roman"/>
        </w:rPr>
        <w:t>lub</w:t>
      </w:r>
      <w:r w:rsidRPr="0024375B">
        <w:rPr>
          <w:rFonts w:eastAsia="Times New Roman" w:cs="Times New Roman"/>
        </w:rPr>
        <w:t xml:space="preserve"> organizacyjnych</w:t>
      </w:r>
      <w:r w:rsidR="008A4570" w:rsidRPr="0024375B">
        <w:rPr>
          <w:rStyle w:val="Odwoanieprzypisudolnego"/>
          <w:rFonts w:eastAsia="Times New Roman"/>
          <w:szCs w:val="24"/>
        </w:rPr>
        <w:footnoteReference w:id="23"/>
      </w:r>
      <w:r w:rsidR="002466B6" w:rsidRPr="0024375B">
        <w:rPr>
          <w:rFonts w:eastAsia="Times New Roman" w:cs="Times New Roman"/>
          <w:vertAlign w:val="superscript"/>
        </w:rPr>
        <w:t>)</w:t>
      </w:r>
      <w:r w:rsidR="00980919" w:rsidRPr="0024375B">
        <w:rPr>
          <w:rFonts w:eastAsia="Times New Roman" w:cs="Times New Roman"/>
        </w:rPr>
        <w:t>,</w:t>
      </w:r>
      <w:r w:rsidR="00EA1900">
        <w:rPr>
          <w:rFonts w:eastAsia="Times New Roman" w:cs="Times New Roman"/>
        </w:rPr>
        <w:t xml:space="preserve"> w </w:t>
      </w:r>
      <w:r w:rsidR="00980919" w:rsidRPr="0024375B">
        <w:rPr>
          <w:rFonts w:eastAsia="Times New Roman" w:cs="Times New Roman"/>
        </w:rPr>
        <w:t>określonym</w:t>
      </w:r>
      <w:r w:rsidR="008C714C" w:rsidRPr="0024375B">
        <w:rPr>
          <w:rFonts w:eastAsia="Times New Roman" w:cs="Times New Roman"/>
        </w:rPr>
        <w:t xml:space="preserve"> przez Prezesa UKE</w:t>
      </w:r>
      <w:r w:rsidR="00980919" w:rsidRPr="0024375B">
        <w:rPr>
          <w:rFonts w:eastAsia="Times New Roman" w:cs="Times New Roman"/>
        </w:rPr>
        <w:t xml:space="preserve"> terminie</w:t>
      </w:r>
      <w:r w:rsidR="008C714C" w:rsidRPr="0024375B">
        <w:rPr>
          <w:rFonts w:eastAsia="Times New Roman" w:cs="Times New Roman"/>
        </w:rPr>
        <w:t xml:space="preserve"> </w:t>
      </w:r>
      <w:r w:rsidRPr="0024375B">
        <w:rPr>
          <w:rFonts w:eastAsia="Times New Roman" w:cs="Times New Roman"/>
        </w:rPr>
        <w:t xml:space="preserve">(art. 20b </w:t>
      </w:r>
      <w:r w:rsidR="00D00CB4">
        <w:rPr>
          <w:rFonts w:eastAsia="Times New Roman" w:cs="Times New Roman"/>
        </w:rPr>
        <w:t>ust. </w:t>
      </w:r>
      <w:r w:rsidRPr="0024375B">
        <w:rPr>
          <w:rFonts w:eastAsia="Times New Roman" w:cs="Times New Roman"/>
        </w:rPr>
        <w:t>4 pkt 1)</w:t>
      </w:r>
      <w:r w:rsidR="00CE63C0" w:rsidRPr="0024375B">
        <w:rPr>
          <w:rFonts w:eastAsia="Times New Roman" w:cs="Times New Roman"/>
        </w:rPr>
        <w:t xml:space="preserve"> co stanowi implementację</w:t>
      </w:r>
      <w:r w:rsidR="00EA1900">
        <w:rPr>
          <w:rFonts w:eastAsia="Times New Roman" w:cs="Times New Roman"/>
        </w:rPr>
        <w:t xml:space="preserve"> art. </w:t>
      </w:r>
      <w:r w:rsidR="00CE63C0" w:rsidRPr="0024375B">
        <w:rPr>
          <w:rFonts w:eastAsia="Times New Roman" w:cs="Times New Roman"/>
        </w:rPr>
        <w:t xml:space="preserve">41 </w:t>
      </w:r>
      <w:r w:rsidR="00D00CB4">
        <w:rPr>
          <w:rFonts w:eastAsia="Times New Roman" w:cs="Times New Roman"/>
        </w:rPr>
        <w:t>ust. </w:t>
      </w:r>
      <w:r w:rsidR="00CE63C0" w:rsidRPr="0024375B">
        <w:rPr>
          <w:rFonts w:eastAsia="Times New Roman" w:cs="Times New Roman"/>
        </w:rPr>
        <w:t>1 EKŁE</w:t>
      </w:r>
      <w:r w:rsidR="00980919" w:rsidRPr="0024375B">
        <w:rPr>
          <w:rFonts w:eastAsia="Times New Roman" w:cs="Times New Roman"/>
        </w:rPr>
        <w:t xml:space="preserve"> lub</w:t>
      </w:r>
      <w:r w:rsidR="00CE63C0" w:rsidRPr="0024375B">
        <w:rPr>
          <w:rFonts w:eastAsia="Times New Roman" w:cs="Times New Roman"/>
        </w:rPr>
        <w:t xml:space="preserve">, </w:t>
      </w:r>
    </w:p>
    <w:p w14:paraId="58659725" w14:textId="77777777" w:rsidR="00980919" w:rsidRPr="0024375B" w:rsidRDefault="00CE63C0" w:rsidP="0024375B">
      <w:pPr>
        <w:pStyle w:val="Akapitzlist"/>
        <w:numPr>
          <w:ilvl w:val="0"/>
          <w:numId w:val="80"/>
        </w:numPr>
        <w:spacing w:line="360" w:lineRule="auto"/>
        <w:rPr>
          <w:rFonts w:eastAsia="Times New Roman" w:cs="Times New Roman"/>
          <w:szCs w:val="24"/>
        </w:rPr>
      </w:pPr>
      <w:r w:rsidRPr="0024375B">
        <w:rPr>
          <w:rFonts w:eastAsia="Times New Roman" w:cs="Times New Roman"/>
          <w:szCs w:val="24"/>
        </w:rPr>
        <w:t>poddania się audytowi</w:t>
      </w:r>
      <w:r w:rsidR="006C5869" w:rsidRPr="0024375B">
        <w:rPr>
          <w:rFonts w:eastAsia="Times New Roman" w:cs="Times New Roman"/>
          <w:szCs w:val="24"/>
        </w:rPr>
        <w:t xml:space="preserve"> bezpieczeństwa</w:t>
      </w:r>
      <w:r w:rsidRPr="0024375B">
        <w:rPr>
          <w:rFonts w:eastAsia="Times New Roman" w:cs="Times New Roman"/>
          <w:szCs w:val="24"/>
        </w:rPr>
        <w:t>,</w:t>
      </w:r>
      <w:r w:rsidR="00980919" w:rsidRPr="0024375B">
        <w:rPr>
          <w:rFonts w:eastAsia="Times New Roman" w:cs="Times New Roman"/>
          <w:szCs w:val="24"/>
        </w:rPr>
        <w:t xml:space="preserve"> którego wyniki przedsiębiorca udostępnia Prezesowi UKE</w:t>
      </w:r>
      <w:r w:rsidR="006C5869" w:rsidRPr="0024375B">
        <w:rPr>
          <w:rFonts w:eastAsia="Times New Roman" w:cs="Times New Roman"/>
          <w:szCs w:val="24"/>
        </w:rPr>
        <w:t xml:space="preserve"> (art. 20b </w:t>
      </w:r>
      <w:r w:rsidR="00D00CB4">
        <w:rPr>
          <w:rFonts w:eastAsia="Times New Roman" w:cs="Times New Roman"/>
          <w:szCs w:val="24"/>
        </w:rPr>
        <w:t>ust. </w:t>
      </w:r>
      <w:r w:rsidR="006C5869" w:rsidRPr="0024375B">
        <w:rPr>
          <w:rFonts w:eastAsia="Times New Roman" w:cs="Times New Roman"/>
          <w:szCs w:val="24"/>
        </w:rPr>
        <w:t>4 pkt 2)</w:t>
      </w:r>
      <w:r w:rsidR="008C714C" w:rsidRPr="0024375B">
        <w:rPr>
          <w:rFonts w:eastAsia="Times New Roman" w:cs="Times New Roman"/>
          <w:szCs w:val="24"/>
        </w:rPr>
        <w:t xml:space="preserve">, co </w:t>
      </w:r>
      <w:r w:rsidRPr="0024375B">
        <w:rPr>
          <w:rFonts w:eastAsia="Times New Roman" w:cs="Times New Roman"/>
          <w:szCs w:val="24"/>
        </w:rPr>
        <w:t>stanowi</w:t>
      </w:r>
      <w:r w:rsidR="00980919" w:rsidRPr="0024375B">
        <w:rPr>
          <w:rFonts w:eastAsia="Times New Roman" w:cs="Times New Roman"/>
          <w:szCs w:val="24"/>
        </w:rPr>
        <w:t xml:space="preserve"> </w:t>
      </w:r>
      <w:r w:rsidRPr="0024375B">
        <w:rPr>
          <w:rFonts w:eastAsia="Times New Roman" w:cs="Times New Roman"/>
          <w:szCs w:val="24"/>
        </w:rPr>
        <w:t>implementację</w:t>
      </w:r>
      <w:r w:rsidR="00EA1900">
        <w:rPr>
          <w:rFonts w:eastAsia="Times New Roman" w:cs="Times New Roman"/>
          <w:szCs w:val="24"/>
        </w:rPr>
        <w:t xml:space="preserve"> art. </w:t>
      </w:r>
      <w:r w:rsidRPr="0024375B">
        <w:rPr>
          <w:rFonts w:eastAsia="Times New Roman" w:cs="Times New Roman"/>
          <w:szCs w:val="24"/>
        </w:rPr>
        <w:t xml:space="preserve">41 </w:t>
      </w:r>
      <w:r w:rsidR="00D00CB4">
        <w:rPr>
          <w:rFonts w:eastAsia="Times New Roman" w:cs="Times New Roman"/>
          <w:szCs w:val="24"/>
        </w:rPr>
        <w:t>ust. </w:t>
      </w:r>
      <w:r w:rsidRPr="0024375B">
        <w:rPr>
          <w:rFonts w:eastAsia="Times New Roman" w:cs="Times New Roman"/>
          <w:szCs w:val="24"/>
        </w:rPr>
        <w:t>2 lit. b EKŁE</w:t>
      </w:r>
      <w:r w:rsidR="00980919" w:rsidRPr="0024375B">
        <w:rPr>
          <w:rFonts w:eastAsia="Times New Roman" w:cs="Times New Roman"/>
          <w:szCs w:val="24"/>
        </w:rPr>
        <w:t>.</w:t>
      </w:r>
      <w:r w:rsidRPr="0024375B">
        <w:rPr>
          <w:rFonts w:eastAsia="Times New Roman" w:cs="Times New Roman"/>
          <w:szCs w:val="24"/>
        </w:rPr>
        <w:t xml:space="preserve"> </w:t>
      </w:r>
    </w:p>
    <w:p w14:paraId="4C644CDE" w14:textId="7193656B" w:rsidR="00E826FD" w:rsidRPr="00527D7F" w:rsidRDefault="00E826FD">
      <w:pPr>
        <w:pStyle w:val="Akapitzlist"/>
        <w:spacing w:line="360" w:lineRule="auto"/>
        <w:ind w:left="170" w:firstLine="510"/>
      </w:pPr>
      <w:r>
        <w:rPr>
          <w:rFonts w:eastAsia="Times New Roman" w:cs="Times New Roman"/>
          <w:szCs w:val="24"/>
        </w:rPr>
        <w:t>Uprawnienie Prezesa UKE do nałożenia, w drodze decyzji administracyjnej, obowiązku</w:t>
      </w:r>
      <w:r w:rsidRPr="0024375B">
        <w:rPr>
          <w:rFonts w:eastAsia="Times New Roman" w:cs="Times New Roman"/>
        </w:rPr>
        <w:t xml:space="preserve"> właściwego zastosowania </w:t>
      </w:r>
      <w:r w:rsidR="006277B3" w:rsidRPr="0024375B">
        <w:rPr>
          <w:rFonts w:eastAsia="Times New Roman" w:cs="Times New Roman"/>
        </w:rPr>
        <w:t>lub</w:t>
      </w:r>
      <w:r w:rsidR="006277B3">
        <w:rPr>
          <w:rFonts w:eastAsia="Times New Roman" w:cs="Times New Roman"/>
          <w:szCs w:val="24"/>
        </w:rPr>
        <w:t xml:space="preserve"> </w:t>
      </w:r>
      <w:r w:rsidR="006277B3" w:rsidRPr="0024375B">
        <w:rPr>
          <w:rFonts w:eastAsia="Times New Roman" w:cs="Times New Roman"/>
        </w:rPr>
        <w:t xml:space="preserve">uzupełnienia </w:t>
      </w:r>
      <w:r w:rsidRPr="0024375B">
        <w:rPr>
          <w:rFonts w:eastAsia="Times New Roman" w:cs="Times New Roman"/>
        </w:rPr>
        <w:t>środków technicznych lub organizacyjnych</w:t>
      </w:r>
      <w:r>
        <w:rPr>
          <w:rFonts w:eastAsia="Times New Roman" w:cs="Times New Roman"/>
        </w:rPr>
        <w:t xml:space="preserve"> służy </w:t>
      </w:r>
      <w:r w:rsidR="006C7BCD">
        <w:rPr>
          <w:rFonts w:eastAsia="Times New Roman" w:cs="Times New Roman"/>
        </w:rPr>
        <w:t xml:space="preserve">m. in. </w:t>
      </w:r>
      <w:r>
        <w:rPr>
          <w:rFonts w:eastAsia="Times New Roman" w:cs="Times New Roman"/>
        </w:rPr>
        <w:t xml:space="preserve">przeciwdziałaniu ryzykom związanych z błędną </w:t>
      </w:r>
      <w:r w:rsidR="006C7BCD">
        <w:rPr>
          <w:rFonts w:eastAsia="Times New Roman" w:cs="Times New Roman"/>
        </w:rPr>
        <w:t>konfiguracją sieci, które może prowadzić do poważnych incydentów telekomunikacyjnych</w:t>
      </w:r>
      <w:r w:rsidR="00F91376">
        <w:rPr>
          <w:rFonts w:eastAsia="Times New Roman" w:cs="Times New Roman"/>
        </w:rPr>
        <w:t>, lub ryzykom związanym z niewystarczającą kontrolą dostępu</w:t>
      </w:r>
      <w:r w:rsidR="006C7BCD">
        <w:rPr>
          <w:rFonts w:eastAsia="Times New Roman" w:cs="Times New Roman"/>
        </w:rPr>
        <w:t>. O takich ryzykach wspomina Toolbox 5G</w:t>
      </w:r>
      <w:r w:rsidR="00F91376">
        <w:rPr>
          <w:rStyle w:val="Odwoanieprzypisudolnego"/>
          <w:rFonts w:eastAsia="Times New Roman"/>
        </w:rPr>
        <w:footnoteReference w:id="24"/>
      </w:r>
      <w:r w:rsidR="00C51BDA">
        <w:rPr>
          <w:rFonts w:eastAsia="Times New Roman" w:cs="Times New Roman"/>
          <w:vertAlign w:val="superscript"/>
        </w:rPr>
        <w:t>)</w:t>
      </w:r>
      <w:r w:rsidR="006C7BCD">
        <w:rPr>
          <w:rFonts w:eastAsia="Times New Roman" w:cs="Times New Roman"/>
        </w:rPr>
        <w:t>. Prezes UKE będzie mógł także, na podstawie tego artykułu nakazać uzupełnić środki organizacyjne, np. związane z bezpieczeństwem fizycznym obiektów infrastruktury telekomunikacyjnej lub dostępem osób</w:t>
      </w:r>
      <w:r w:rsidR="00AD5EEF">
        <w:rPr>
          <w:rFonts w:eastAsia="Times New Roman" w:cs="Times New Roman"/>
        </w:rPr>
        <w:t xml:space="preserve"> z zewnątrz, np. serwisantów dostawcy, do kluczowej infrastruktury.</w:t>
      </w:r>
      <w:r w:rsidR="00370B3E">
        <w:rPr>
          <w:rFonts w:eastAsia="Times New Roman" w:cs="Times New Roman"/>
        </w:rPr>
        <w:t xml:space="preserve"> Określając termin na wdrożenie dodatkowych środków Prezes UKE powinien kierować się z jednej strony koniecznoś</w:t>
      </w:r>
      <w:r w:rsidR="00F50FF2">
        <w:rPr>
          <w:rFonts w:eastAsia="Times New Roman" w:cs="Times New Roman"/>
        </w:rPr>
        <w:t>cią</w:t>
      </w:r>
      <w:r w:rsidR="00370B3E">
        <w:rPr>
          <w:rFonts w:eastAsia="Times New Roman" w:cs="Times New Roman"/>
        </w:rPr>
        <w:t xml:space="preserve"> jak najszybszego ich wdrożenia, a z drugiej powinien być to obiektywnie</w:t>
      </w:r>
      <w:r w:rsidR="00A4787E">
        <w:rPr>
          <w:rFonts w:eastAsia="Times New Roman" w:cs="Times New Roman"/>
        </w:rPr>
        <w:t xml:space="preserve"> termin</w:t>
      </w:r>
      <w:r w:rsidR="00370B3E">
        <w:rPr>
          <w:rFonts w:eastAsia="Times New Roman" w:cs="Times New Roman"/>
        </w:rPr>
        <w:t xml:space="preserve"> realny do wykonania </w:t>
      </w:r>
      <w:r w:rsidR="00A4787E">
        <w:rPr>
          <w:rFonts w:eastAsia="Times New Roman" w:cs="Times New Roman"/>
        </w:rPr>
        <w:t>przez</w:t>
      </w:r>
      <w:r w:rsidR="00370B3E">
        <w:rPr>
          <w:rFonts w:eastAsia="Times New Roman" w:cs="Times New Roman"/>
        </w:rPr>
        <w:t xml:space="preserve"> przedsiębiorc</w:t>
      </w:r>
      <w:r w:rsidR="00A4787E">
        <w:rPr>
          <w:rFonts w:eastAsia="Times New Roman" w:cs="Times New Roman"/>
        </w:rPr>
        <w:t>ę</w:t>
      </w:r>
      <w:r w:rsidR="00370B3E">
        <w:rPr>
          <w:rFonts w:eastAsia="Times New Roman" w:cs="Times New Roman"/>
        </w:rPr>
        <w:t>.</w:t>
      </w:r>
    </w:p>
    <w:p w14:paraId="3EE5C61A" w14:textId="77777777" w:rsidR="00980919" w:rsidRPr="0024375B" w:rsidRDefault="00980919" w:rsidP="0024375B">
      <w:pPr>
        <w:pStyle w:val="Akapitzlist"/>
        <w:spacing w:line="360" w:lineRule="auto"/>
        <w:ind w:left="170" w:firstLine="510"/>
        <w:rPr>
          <w:rFonts w:eastAsia="Times New Roman" w:cs="Times New Roman"/>
          <w:szCs w:val="24"/>
        </w:rPr>
      </w:pPr>
      <w:r w:rsidRPr="0024375B">
        <w:rPr>
          <w:rFonts w:eastAsia="Times New Roman" w:cs="Times New Roman"/>
          <w:szCs w:val="24"/>
        </w:rPr>
        <w:t xml:space="preserve">Celem audytu </w:t>
      </w:r>
      <w:r w:rsidR="006C5869" w:rsidRPr="0024375B">
        <w:rPr>
          <w:rFonts w:eastAsia="Times New Roman" w:cs="Times New Roman"/>
          <w:szCs w:val="24"/>
        </w:rPr>
        <w:t xml:space="preserve">bezpieczeństwa </w:t>
      </w:r>
      <w:r w:rsidRPr="0024375B">
        <w:rPr>
          <w:rFonts w:eastAsia="Times New Roman" w:cs="Times New Roman"/>
          <w:szCs w:val="24"/>
        </w:rPr>
        <w:t>byłaby ocena zastosowanych przez przedsiębiorcę środków zapewniających bezpieczeństwo sieci lub usług</w:t>
      </w:r>
      <w:r w:rsidR="006277B3">
        <w:rPr>
          <w:rFonts w:eastAsia="Times New Roman" w:cs="Times New Roman"/>
          <w:szCs w:val="24"/>
        </w:rPr>
        <w:t xml:space="preserve"> komunikacji elektronicznej</w:t>
      </w:r>
      <w:r w:rsidRPr="0024375B">
        <w:rPr>
          <w:rFonts w:eastAsia="Times New Roman" w:cs="Times New Roman"/>
          <w:szCs w:val="24"/>
        </w:rPr>
        <w:t xml:space="preserve">. Audyt będzie musiał być </w:t>
      </w:r>
      <w:r w:rsidRPr="0024375B">
        <w:rPr>
          <w:rFonts w:eastAsia="Times New Roman" w:cs="Times New Roman"/>
          <w:szCs w:val="24"/>
        </w:rPr>
        <w:lastRenderedPageBreak/>
        <w:t>przeprowadzony przez podmiot niezależny od przedsiębiorcy komunikacji elektronicznej, który został zobligowany do przeprowadzenia audytu. Do tego audytu będą stosowane odpowiednio</w:t>
      </w:r>
      <w:r w:rsidR="00EA1900">
        <w:rPr>
          <w:rFonts w:eastAsia="Times New Roman" w:cs="Times New Roman"/>
          <w:szCs w:val="24"/>
        </w:rPr>
        <w:t xml:space="preserve"> art. </w:t>
      </w:r>
      <w:r w:rsidRPr="0024375B">
        <w:rPr>
          <w:rFonts w:eastAsia="Times New Roman" w:cs="Times New Roman"/>
          <w:szCs w:val="24"/>
        </w:rPr>
        <w:t xml:space="preserve">15 </w:t>
      </w:r>
      <w:r w:rsidR="00D00CB4">
        <w:rPr>
          <w:rFonts w:eastAsia="Times New Roman" w:cs="Times New Roman"/>
          <w:szCs w:val="24"/>
        </w:rPr>
        <w:t>ust. </w:t>
      </w:r>
      <w:r w:rsidRPr="0024375B">
        <w:rPr>
          <w:rFonts w:eastAsia="Times New Roman" w:cs="Times New Roman"/>
          <w:szCs w:val="24"/>
        </w:rPr>
        <w:t>2 pkt 1</w:t>
      </w:r>
      <w:r w:rsidR="002161FE">
        <w:rPr>
          <w:rFonts w:eastAsia="Times New Roman" w:cs="Times New Roman"/>
          <w:szCs w:val="24"/>
        </w:rPr>
        <w:t xml:space="preserve"> i </w:t>
      </w:r>
      <w:r w:rsidRPr="0024375B">
        <w:rPr>
          <w:rFonts w:eastAsia="Times New Roman" w:cs="Times New Roman"/>
          <w:szCs w:val="24"/>
        </w:rPr>
        <w:t xml:space="preserve">2 oraz </w:t>
      </w:r>
      <w:r w:rsidR="00D00CB4">
        <w:rPr>
          <w:rFonts w:eastAsia="Times New Roman" w:cs="Times New Roman"/>
          <w:szCs w:val="24"/>
        </w:rPr>
        <w:t>ust. </w:t>
      </w:r>
      <w:r w:rsidRPr="0024375B">
        <w:rPr>
          <w:rFonts w:eastAsia="Times New Roman" w:cs="Times New Roman"/>
          <w:szCs w:val="24"/>
        </w:rPr>
        <w:t>3</w:t>
      </w:r>
      <w:r w:rsidR="0037639F">
        <w:rPr>
          <w:rFonts w:eastAsia="Times New Roman" w:cs="Times New Roman"/>
          <w:szCs w:val="24"/>
        </w:rPr>
        <w:t>–</w:t>
      </w:r>
      <w:r w:rsidRPr="0024375B">
        <w:rPr>
          <w:rFonts w:eastAsia="Times New Roman" w:cs="Times New Roman"/>
          <w:szCs w:val="24"/>
        </w:rPr>
        <w:t>5 ustawy</w:t>
      </w:r>
      <w:r w:rsidR="0077165A">
        <w:rPr>
          <w:rFonts w:eastAsia="Times New Roman" w:cs="Times New Roman"/>
          <w:szCs w:val="24"/>
        </w:rPr>
        <w:t xml:space="preserve"> o </w:t>
      </w:r>
      <w:r w:rsidRPr="0024375B">
        <w:rPr>
          <w:rFonts w:eastAsia="Times New Roman" w:cs="Times New Roman"/>
          <w:szCs w:val="24"/>
        </w:rPr>
        <w:t>KSC. Odpowiednie stosowanie przepisów</w:t>
      </w:r>
      <w:r w:rsidR="00EA1900">
        <w:rPr>
          <w:rFonts w:eastAsia="Times New Roman" w:cs="Times New Roman"/>
          <w:szCs w:val="24"/>
        </w:rPr>
        <w:t xml:space="preserve"> art. </w:t>
      </w:r>
      <w:r w:rsidRPr="0024375B">
        <w:rPr>
          <w:rFonts w:eastAsia="Times New Roman" w:cs="Times New Roman"/>
          <w:szCs w:val="24"/>
        </w:rPr>
        <w:t xml:space="preserve">15 </w:t>
      </w:r>
      <w:r w:rsidR="00D00CB4">
        <w:rPr>
          <w:rFonts w:eastAsia="Times New Roman" w:cs="Times New Roman"/>
          <w:szCs w:val="24"/>
        </w:rPr>
        <w:t>ust. </w:t>
      </w:r>
      <w:r w:rsidRPr="0024375B">
        <w:rPr>
          <w:rFonts w:eastAsia="Times New Roman" w:cs="Times New Roman"/>
          <w:szCs w:val="24"/>
        </w:rPr>
        <w:t>2 ustawy</w:t>
      </w:r>
      <w:r w:rsidR="0077165A">
        <w:rPr>
          <w:rFonts w:eastAsia="Times New Roman" w:cs="Times New Roman"/>
          <w:szCs w:val="24"/>
        </w:rPr>
        <w:t xml:space="preserve"> o </w:t>
      </w:r>
      <w:r w:rsidRPr="0024375B">
        <w:rPr>
          <w:rFonts w:eastAsia="Times New Roman" w:cs="Times New Roman"/>
          <w:szCs w:val="24"/>
        </w:rPr>
        <w:t>krajowym systemie cyberbezpieczeństwa (w zakresie spełniania wymogów formalnych przez podmioty przeprowadzające audyt) wynika</w:t>
      </w:r>
      <w:r w:rsidR="002161FE">
        <w:rPr>
          <w:rFonts w:eastAsia="Times New Roman" w:cs="Times New Roman"/>
          <w:szCs w:val="24"/>
        </w:rPr>
        <w:t xml:space="preserve"> z </w:t>
      </w:r>
      <w:r w:rsidRPr="0024375B">
        <w:rPr>
          <w:rFonts w:eastAsia="Times New Roman" w:cs="Times New Roman"/>
          <w:szCs w:val="24"/>
        </w:rPr>
        <w:t>różnic</w:t>
      </w:r>
      <w:r w:rsidR="00EA1900">
        <w:rPr>
          <w:rFonts w:eastAsia="Times New Roman" w:cs="Times New Roman"/>
          <w:szCs w:val="24"/>
        </w:rPr>
        <w:t xml:space="preserve"> w </w:t>
      </w:r>
      <w:r w:rsidRPr="0024375B">
        <w:rPr>
          <w:rFonts w:eastAsia="Times New Roman" w:cs="Times New Roman"/>
          <w:szCs w:val="24"/>
        </w:rPr>
        <w:t>wymaganych wiedzy</w:t>
      </w:r>
      <w:r w:rsidR="002161FE">
        <w:rPr>
          <w:rFonts w:eastAsia="Times New Roman" w:cs="Times New Roman"/>
          <w:szCs w:val="24"/>
        </w:rPr>
        <w:t xml:space="preserve"> i </w:t>
      </w:r>
      <w:r w:rsidRPr="0024375B">
        <w:rPr>
          <w:rFonts w:eastAsia="Times New Roman" w:cs="Times New Roman"/>
          <w:szCs w:val="24"/>
        </w:rPr>
        <w:t>doświadczeniu,</w:t>
      </w:r>
      <w:r w:rsidR="00EA1900">
        <w:rPr>
          <w:rFonts w:eastAsia="Times New Roman" w:cs="Times New Roman"/>
          <w:szCs w:val="24"/>
        </w:rPr>
        <w:t xml:space="preserve"> w </w:t>
      </w:r>
      <w:r w:rsidRPr="0024375B">
        <w:rPr>
          <w:rFonts w:eastAsia="Times New Roman" w:cs="Times New Roman"/>
          <w:szCs w:val="24"/>
        </w:rPr>
        <w:t>zależności od zakresu przedmiotowego audytu, który ma być przeprowadzony. Przy przeprowadzaniu audytów,</w:t>
      </w:r>
      <w:r w:rsidR="0077165A">
        <w:rPr>
          <w:rFonts w:eastAsia="Times New Roman" w:cs="Times New Roman"/>
          <w:szCs w:val="24"/>
        </w:rPr>
        <w:t xml:space="preserve"> o </w:t>
      </w:r>
      <w:r w:rsidRPr="0024375B">
        <w:rPr>
          <w:rFonts w:eastAsia="Times New Roman" w:cs="Times New Roman"/>
          <w:szCs w:val="24"/>
        </w:rPr>
        <w:t>których mowa</w:t>
      </w:r>
      <w:r w:rsidR="002161FE">
        <w:rPr>
          <w:rFonts w:eastAsia="Times New Roman" w:cs="Times New Roman"/>
          <w:szCs w:val="24"/>
        </w:rPr>
        <w:t xml:space="preserve"> w</w:t>
      </w:r>
      <w:r w:rsidR="00EA1900">
        <w:rPr>
          <w:rFonts w:eastAsia="Times New Roman" w:cs="Times New Roman"/>
          <w:szCs w:val="24"/>
        </w:rPr>
        <w:t xml:space="preserve"> art. </w:t>
      </w:r>
      <w:r w:rsidRPr="0024375B">
        <w:rPr>
          <w:rFonts w:eastAsia="Times New Roman" w:cs="Times New Roman"/>
          <w:szCs w:val="24"/>
        </w:rPr>
        <w:t>20b, nie zawsze wystarczające będzie spełnienie przesłanki „praktyki</w:t>
      </w:r>
      <w:r w:rsidR="00EA1900">
        <w:rPr>
          <w:rFonts w:eastAsia="Times New Roman" w:cs="Times New Roman"/>
          <w:szCs w:val="24"/>
        </w:rPr>
        <w:t xml:space="preserve"> w </w:t>
      </w:r>
      <w:r w:rsidRPr="0024375B">
        <w:rPr>
          <w:rFonts w:eastAsia="Times New Roman" w:cs="Times New Roman"/>
          <w:szCs w:val="24"/>
        </w:rPr>
        <w:t>zakresie audytu bezpieczeństwa systemów informacyjnych”, gdyż niezbędne mogą być wiedza</w:t>
      </w:r>
      <w:r w:rsidR="002161FE">
        <w:rPr>
          <w:rFonts w:eastAsia="Times New Roman" w:cs="Times New Roman"/>
          <w:szCs w:val="24"/>
        </w:rPr>
        <w:t xml:space="preserve"> i </w:t>
      </w:r>
      <w:r w:rsidRPr="0024375B">
        <w:rPr>
          <w:rFonts w:eastAsia="Times New Roman" w:cs="Times New Roman"/>
          <w:szCs w:val="24"/>
        </w:rPr>
        <w:t>doświadczenie</w:t>
      </w:r>
      <w:r w:rsidR="00EA1900">
        <w:rPr>
          <w:rFonts w:eastAsia="Times New Roman" w:cs="Times New Roman"/>
          <w:szCs w:val="24"/>
        </w:rPr>
        <w:t xml:space="preserve"> w </w:t>
      </w:r>
      <w:r w:rsidRPr="0024375B">
        <w:rPr>
          <w:rFonts w:eastAsia="Times New Roman" w:cs="Times New Roman"/>
          <w:szCs w:val="24"/>
        </w:rPr>
        <w:t>zakresie funkcjonowania specyficznych rozwiązań telekomunikacyjnych.</w:t>
      </w:r>
    </w:p>
    <w:p w14:paraId="0FEDAB0A" w14:textId="77777777" w:rsidR="007D1F6C" w:rsidRPr="0024375B" w:rsidRDefault="002B6955" w:rsidP="00DC1575">
      <w:pPr>
        <w:pStyle w:val="Nagwek4"/>
        <w:rPr>
          <w:rFonts w:eastAsia="Times New Roman"/>
        </w:rPr>
      </w:pPr>
      <w:r w:rsidRPr="0024375B">
        <w:rPr>
          <w:rFonts w:eastAsia="Times New Roman"/>
        </w:rPr>
        <w:t>Nowy</w:t>
      </w:r>
      <w:r w:rsidR="00EA1900">
        <w:rPr>
          <w:rFonts w:eastAsia="Times New Roman"/>
        </w:rPr>
        <w:t xml:space="preserve"> art. </w:t>
      </w:r>
      <w:r w:rsidRPr="0024375B">
        <w:rPr>
          <w:rFonts w:eastAsia="Times New Roman"/>
        </w:rPr>
        <w:t>20c</w:t>
      </w:r>
    </w:p>
    <w:p w14:paraId="2BC75F13" w14:textId="77777777" w:rsidR="003E6D52" w:rsidRPr="0024375B" w:rsidRDefault="00CE63C0" w:rsidP="0024375B">
      <w:pPr>
        <w:ind w:firstLine="510"/>
        <w:jc w:val="both"/>
        <w:rPr>
          <w:rFonts w:eastAsia="Times New Roman" w:cs="Times New Roman"/>
          <w:szCs w:val="24"/>
        </w:rPr>
      </w:pPr>
      <w:r w:rsidRPr="0024375B">
        <w:rPr>
          <w:rFonts w:eastAsia="Times New Roman" w:cs="Times New Roman"/>
          <w:szCs w:val="24"/>
        </w:rPr>
        <w:t>W</w:t>
      </w:r>
      <w:r w:rsidR="00EA1900">
        <w:rPr>
          <w:rFonts w:eastAsia="Times New Roman" w:cs="Times New Roman"/>
          <w:szCs w:val="24"/>
        </w:rPr>
        <w:t xml:space="preserve"> art. </w:t>
      </w:r>
      <w:r w:rsidRPr="0024375B">
        <w:rPr>
          <w:rFonts w:eastAsia="Times New Roman" w:cs="Times New Roman"/>
          <w:szCs w:val="24"/>
        </w:rPr>
        <w:t xml:space="preserve">20c uregulowano obowiązki przedsiębiorcy komunikacji elektronicznej po wykryciu incydentu telekomunikacyjnego. </w:t>
      </w:r>
      <w:r w:rsidR="00D408BE" w:rsidRPr="0024375B">
        <w:rPr>
          <w:rFonts w:eastAsia="Times New Roman" w:cs="Times New Roman"/>
          <w:szCs w:val="24"/>
        </w:rPr>
        <w:t>Będzie obsługiwał</w:t>
      </w:r>
      <w:r w:rsidR="003E6D52" w:rsidRPr="0024375B">
        <w:rPr>
          <w:rFonts w:eastAsia="Times New Roman" w:cs="Times New Roman"/>
          <w:szCs w:val="24"/>
        </w:rPr>
        <w:t xml:space="preserve"> każdy</w:t>
      </w:r>
      <w:r w:rsidRPr="0024375B">
        <w:rPr>
          <w:rFonts w:eastAsia="Times New Roman" w:cs="Times New Roman"/>
          <w:szCs w:val="24"/>
        </w:rPr>
        <w:t xml:space="preserve"> incydent telekomunikacyjny</w:t>
      </w:r>
      <w:r w:rsidR="00D408BE" w:rsidRPr="0024375B">
        <w:rPr>
          <w:rFonts w:eastAsia="Times New Roman" w:cs="Times New Roman"/>
          <w:szCs w:val="24"/>
        </w:rPr>
        <w:t>, który u niego wystąpi.</w:t>
      </w:r>
      <w:r w:rsidR="00992C27">
        <w:rPr>
          <w:rFonts w:eastAsia="Times New Roman" w:cs="Times New Roman"/>
          <w:szCs w:val="24"/>
        </w:rPr>
        <w:t xml:space="preserve"> Dla przykładu oznacza to, że dostawca usługi dostępu do </w:t>
      </w:r>
      <w:r w:rsidR="00C51BDA">
        <w:rPr>
          <w:rFonts w:eastAsia="Times New Roman" w:cs="Times New Roman"/>
          <w:szCs w:val="24"/>
        </w:rPr>
        <w:t>I</w:t>
      </w:r>
      <w:r w:rsidR="00992C27">
        <w:rPr>
          <w:rFonts w:eastAsia="Times New Roman" w:cs="Times New Roman"/>
          <w:szCs w:val="24"/>
        </w:rPr>
        <w:t>nternetu będzie obowiązany zainterweniować, jeżeli np. z powodów technicznych nastąpi przerwa lub pogorszenie jakości świadczenia tej usługi. Oczywiście rodzaje podejmowanych działań w ramach obsługi incydentu telekomunikacyjnego będą się różniły w zależności od przyczyny incydentu telekomunikacyjnego czy sieci lub usług dotkniętych tym incydentem.</w:t>
      </w:r>
      <w:r w:rsidR="00D408BE" w:rsidRPr="0024375B">
        <w:rPr>
          <w:rFonts w:eastAsia="Times New Roman" w:cs="Times New Roman"/>
          <w:szCs w:val="24"/>
        </w:rPr>
        <w:t xml:space="preserve"> </w:t>
      </w:r>
      <w:r w:rsidR="009B312B">
        <w:rPr>
          <w:rFonts w:eastAsia="Times New Roman" w:cs="Times New Roman"/>
          <w:szCs w:val="24"/>
        </w:rPr>
        <w:t xml:space="preserve">Obowiązek ten zwiększy bezpieczeństwo świadczonych usług komunikacji elektronicznej. </w:t>
      </w:r>
    </w:p>
    <w:p w14:paraId="1A971779" w14:textId="77777777" w:rsidR="003E6D52" w:rsidRPr="0024375B" w:rsidRDefault="00443C0E" w:rsidP="0024375B">
      <w:pPr>
        <w:ind w:firstLine="510"/>
        <w:jc w:val="both"/>
        <w:rPr>
          <w:rFonts w:eastAsia="Times New Roman" w:cs="Times New Roman"/>
          <w:szCs w:val="24"/>
        </w:rPr>
      </w:pPr>
      <w:r>
        <w:rPr>
          <w:rFonts w:eastAsia="Times New Roman" w:cs="Times New Roman"/>
          <w:szCs w:val="24"/>
        </w:rPr>
        <w:t>P</w:t>
      </w:r>
      <w:r w:rsidR="003E6D52" w:rsidRPr="0024375B">
        <w:rPr>
          <w:rFonts w:eastAsia="Times New Roman" w:cs="Times New Roman"/>
          <w:szCs w:val="24"/>
        </w:rPr>
        <w:t>rzedsiębiorca komunikacji elektronicznej</w:t>
      </w:r>
      <w:r w:rsidR="00CE63C0" w:rsidRPr="0024375B">
        <w:rPr>
          <w:rFonts w:eastAsia="Times New Roman" w:cs="Times New Roman"/>
          <w:szCs w:val="24"/>
        </w:rPr>
        <w:t xml:space="preserve"> zapewni dostęp do rejestrowanych incydentów zespołom CSIRT poziomu krajowego</w:t>
      </w:r>
      <w:r w:rsidR="002161FE">
        <w:rPr>
          <w:rFonts w:eastAsia="Times New Roman" w:cs="Times New Roman"/>
          <w:szCs w:val="24"/>
        </w:rPr>
        <w:t xml:space="preserve"> i </w:t>
      </w:r>
      <w:r w:rsidR="00CE63C0" w:rsidRPr="0024375B">
        <w:rPr>
          <w:rFonts w:eastAsia="Times New Roman" w:cs="Times New Roman"/>
          <w:szCs w:val="24"/>
        </w:rPr>
        <w:t xml:space="preserve">CSIRT Telco. </w:t>
      </w:r>
      <w:r w:rsidR="003E6D52" w:rsidRPr="0024375B">
        <w:rPr>
          <w:rFonts w:eastAsia="Times New Roman" w:cs="Times New Roman"/>
          <w:szCs w:val="24"/>
        </w:rPr>
        <w:t>Jest to związane</w:t>
      </w:r>
      <w:r w:rsidR="002161FE">
        <w:rPr>
          <w:rFonts w:eastAsia="Times New Roman" w:cs="Times New Roman"/>
          <w:szCs w:val="24"/>
        </w:rPr>
        <w:t xml:space="preserve"> z </w:t>
      </w:r>
      <w:r w:rsidR="003E6D52" w:rsidRPr="0024375B">
        <w:rPr>
          <w:rFonts w:eastAsia="Times New Roman" w:cs="Times New Roman"/>
          <w:szCs w:val="24"/>
        </w:rPr>
        <w:t>tym, że CSIRT poziomu krajowego może zmienić klasyfikację</w:t>
      </w:r>
      <w:r w:rsidR="00D408BE" w:rsidRPr="0024375B">
        <w:rPr>
          <w:rFonts w:eastAsia="Times New Roman" w:cs="Times New Roman"/>
          <w:szCs w:val="24"/>
        </w:rPr>
        <w:t xml:space="preserve"> konkretnego</w:t>
      </w:r>
      <w:r w:rsidR="003E6D52" w:rsidRPr="0024375B">
        <w:rPr>
          <w:rFonts w:eastAsia="Times New Roman" w:cs="Times New Roman"/>
          <w:szCs w:val="24"/>
        </w:rPr>
        <w:t xml:space="preserve"> </w:t>
      </w:r>
      <w:r w:rsidR="00D408BE" w:rsidRPr="0024375B">
        <w:rPr>
          <w:rFonts w:eastAsia="Times New Roman" w:cs="Times New Roman"/>
          <w:szCs w:val="24"/>
        </w:rPr>
        <w:t>incydentu</w:t>
      </w:r>
      <w:r w:rsidR="003E6D52" w:rsidRPr="0024375B">
        <w:rPr>
          <w:rFonts w:eastAsia="Times New Roman" w:cs="Times New Roman"/>
          <w:szCs w:val="24"/>
        </w:rPr>
        <w:t xml:space="preserve"> </w:t>
      </w:r>
      <w:r w:rsidR="00D408BE" w:rsidRPr="0024375B">
        <w:rPr>
          <w:rFonts w:eastAsia="Times New Roman" w:cs="Times New Roman"/>
          <w:szCs w:val="24"/>
        </w:rPr>
        <w:t>telekomunikacyjnego</w:t>
      </w:r>
      <w:r w:rsidR="006A7EC8">
        <w:rPr>
          <w:rFonts w:eastAsia="Times New Roman" w:cs="Times New Roman"/>
          <w:szCs w:val="24"/>
        </w:rPr>
        <w:t>, a także z uprawnieniami zespołów CSIRT w związku z reagowaniem na incydenty telekomunikacyjne.</w:t>
      </w:r>
    </w:p>
    <w:p w14:paraId="316C3FF2" w14:textId="3EA6B5E1" w:rsidR="00CE63C0" w:rsidRPr="0024375B" w:rsidRDefault="00CE63C0" w:rsidP="0024375B">
      <w:pPr>
        <w:ind w:firstLine="510"/>
        <w:jc w:val="both"/>
        <w:rPr>
          <w:rFonts w:eastAsia="Times New Roman" w:cs="Times New Roman"/>
          <w:szCs w:val="24"/>
        </w:rPr>
      </w:pPr>
      <w:r w:rsidRPr="0024375B">
        <w:rPr>
          <w:rFonts w:eastAsia="Times New Roman" w:cs="Times New Roman"/>
          <w:szCs w:val="24"/>
        </w:rPr>
        <w:t>Równocześnie będzie mógł przekazywać do zespołów CSIRT</w:t>
      </w:r>
      <w:r w:rsidR="0077165A">
        <w:rPr>
          <w:rFonts w:eastAsia="Times New Roman" w:cs="Times New Roman"/>
          <w:szCs w:val="24"/>
        </w:rPr>
        <w:t xml:space="preserve"> </w:t>
      </w:r>
      <w:r w:rsidR="00443C0E" w:rsidRPr="0024375B">
        <w:rPr>
          <w:rFonts w:eastAsia="Times New Roman" w:cs="Times New Roman"/>
          <w:szCs w:val="24"/>
        </w:rPr>
        <w:t>informacje</w:t>
      </w:r>
      <w:r w:rsidR="00443C0E">
        <w:rPr>
          <w:rFonts w:eastAsia="Times New Roman" w:cs="Times New Roman"/>
          <w:szCs w:val="24"/>
        </w:rPr>
        <w:t xml:space="preserve"> </w:t>
      </w:r>
      <w:r w:rsidR="0077165A">
        <w:rPr>
          <w:rFonts w:eastAsia="Times New Roman" w:cs="Times New Roman"/>
          <w:szCs w:val="24"/>
        </w:rPr>
        <w:t>o </w:t>
      </w:r>
      <w:r w:rsidRPr="0024375B">
        <w:rPr>
          <w:rFonts w:eastAsia="Times New Roman" w:cs="Times New Roman"/>
          <w:szCs w:val="24"/>
        </w:rPr>
        <w:t>cyberzagrożeniach, podatnościach</w:t>
      </w:r>
      <w:r w:rsidR="002161FE">
        <w:rPr>
          <w:rFonts w:eastAsia="Times New Roman" w:cs="Times New Roman"/>
          <w:szCs w:val="24"/>
        </w:rPr>
        <w:t xml:space="preserve"> i </w:t>
      </w:r>
      <w:r w:rsidR="000E5965" w:rsidRPr="0024375B">
        <w:rPr>
          <w:rFonts w:eastAsia="Times New Roman" w:cs="Times New Roman"/>
          <w:szCs w:val="24"/>
        </w:rPr>
        <w:t>incydentach,</w:t>
      </w:r>
      <w:r w:rsidRPr="0024375B">
        <w:rPr>
          <w:rFonts w:eastAsia="Times New Roman" w:cs="Times New Roman"/>
          <w:szCs w:val="24"/>
        </w:rPr>
        <w:t xml:space="preserve"> które mogą mieć negatywny wpływ na bezpieczeństwo sieci </w:t>
      </w:r>
      <w:r w:rsidR="00D408BE" w:rsidRPr="0024375B">
        <w:rPr>
          <w:rFonts w:eastAsia="Times New Roman" w:cs="Times New Roman"/>
          <w:szCs w:val="24"/>
        </w:rPr>
        <w:t xml:space="preserve">lub </w:t>
      </w:r>
      <w:r w:rsidRPr="0024375B">
        <w:rPr>
          <w:rFonts w:eastAsia="Times New Roman" w:cs="Times New Roman"/>
          <w:szCs w:val="24"/>
        </w:rPr>
        <w:t>usług komunikacji elektronicznej</w:t>
      </w:r>
      <w:r w:rsidR="00467786">
        <w:rPr>
          <w:rFonts w:eastAsia="Times New Roman" w:cs="Times New Roman"/>
          <w:szCs w:val="24"/>
        </w:rPr>
        <w:t xml:space="preserve"> także o wykorzystywanych technologiach</w:t>
      </w:r>
      <w:r w:rsidRPr="0024375B">
        <w:rPr>
          <w:rFonts w:eastAsia="Times New Roman" w:cs="Times New Roman"/>
          <w:szCs w:val="24"/>
        </w:rPr>
        <w:t>.</w:t>
      </w:r>
      <w:r w:rsidR="00443C0E">
        <w:rPr>
          <w:rFonts w:eastAsia="Times New Roman" w:cs="Times New Roman"/>
          <w:szCs w:val="24"/>
        </w:rPr>
        <w:t xml:space="preserve"> Uprawnienie to wzmacnia przepływ informacji między przedsiębiorcami komunikacji elektronicznej a zespołami CSIRT.</w:t>
      </w:r>
      <w:r w:rsidR="006A7EC8">
        <w:rPr>
          <w:rFonts w:eastAsia="Times New Roman" w:cs="Times New Roman"/>
          <w:szCs w:val="24"/>
        </w:rPr>
        <w:t xml:space="preserve"> W oparciu o tą wiedzę zespoły CSIRT będą mogły dokonać analizę podatnoś</w:t>
      </w:r>
      <w:r w:rsidR="00467786">
        <w:rPr>
          <w:rFonts w:eastAsia="Times New Roman" w:cs="Times New Roman"/>
          <w:szCs w:val="24"/>
        </w:rPr>
        <w:t>ci czy</w:t>
      </w:r>
      <w:r w:rsidR="006A7EC8">
        <w:rPr>
          <w:rFonts w:eastAsia="Times New Roman" w:cs="Times New Roman"/>
          <w:szCs w:val="24"/>
        </w:rPr>
        <w:t xml:space="preserve"> analizę zagrożeń co zwiększy ich możliwości reagowania na incydenty telekomunikacyjne. Wiąże się to także z zadaniem zespołów CSIRT wskazanym w art. 32 ust. 4. </w:t>
      </w:r>
    </w:p>
    <w:p w14:paraId="20DDE93A" w14:textId="77777777" w:rsidR="002B6955" w:rsidRPr="0024375B" w:rsidRDefault="002B6955" w:rsidP="00DC1575">
      <w:pPr>
        <w:pStyle w:val="Nagwek4"/>
        <w:rPr>
          <w:rFonts w:eastAsia="Times New Roman"/>
        </w:rPr>
      </w:pPr>
      <w:r w:rsidRPr="0024375B">
        <w:rPr>
          <w:rFonts w:eastAsia="Times New Roman"/>
        </w:rPr>
        <w:t>Nowy</w:t>
      </w:r>
      <w:r w:rsidR="00EA1900">
        <w:rPr>
          <w:rFonts w:eastAsia="Times New Roman"/>
        </w:rPr>
        <w:t xml:space="preserve"> art. </w:t>
      </w:r>
      <w:r w:rsidRPr="0024375B">
        <w:rPr>
          <w:rFonts w:eastAsia="Times New Roman"/>
        </w:rPr>
        <w:t>20d</w:t>
      </w:r>
    </w:p>
    <w:p w14:paraId="7C492664" w14:textId="1C9C43E5" w:rsidR="00CE63C0" w:rsidRPr="0024375B" w:rsidRDefault="5D386A76" w:rsidP="0024375B">
      <w:pPr>
        <w:ind w:firstLine="510"/>
        <w:jc w:val="both"/>
        <w:rPr>
          <w:rFonts w:eastAsia="Times New Roman" w:cs="Times New Roman"/>
        </w:rPr>
      </w:pPr>
      <w:r w:rsidRPr="0024375B">
        <w:rPr>
          <w:rFonts w:eastAsia="Times New Roman" w:cs="Times New Roman"/>
        </w:rPr>
        <w:t>Przepis</w:t>
      </w:r>
      <w:r w:rsidR="00EA1900">
        <w:rPr>
          <w:rFonts w:eastAsia="Times New Roman" w:cs="Times New Roman"/>
        </w:rPr>
        <w:t xml:space="preserve"> art. </w:t>
      </w:r>
      <w:r w:rsidRPr="0024375B">
        <w:rPr>
          <w:rFonts w:eastAsia="Times New Roman" w:cs="Times New Roman"/>
        </w:rPr>
        <w:t xml:space="preserve">20d reguluje zasady zgłaszania incydentów telekomunikacyjnych przez przedsiębiorców komunikacji elektronicznej. </w:t>
      </w:r>
      <w:r w:rsidR="00223E48" w:rsidRPr="0024375B">
        <w:rPr>
          <w:rFonts w:eastAsia="Times New Roman" w:cs="Times New Roman"/>
        </w:rPr>
        <w:t>Obowiązkowemu zgłoszeniu będzie podlegał poważny incydent telekomunikacyjny. Przedsiębiorca komunikacji elektronicznej będzie obowiązany uznać incydent telekomunikacyjny za poważny incydent telekomunikacyjny, jeżeli spełni on progi określone</w:t>
      </w:r>
      <w:r w:rsidR="00EA1900">
        <w:rPr>
          <w:rFonts w:eastAsia="Times New Roman" w:cs="Times New Roman"/>
        </w:rPr>
        <w:t xml:space="preserve"> w </w:t>
      </w:r>
      <w:r w:rsidRPr="0024375B">
        <w:rPr>
          <w:rFonts w:eastAsia="Times New Roman" w:cs="Times New Roman"/>
        </w:rPr>
        <w:t>rozporządzeniu ministra właściwego do spraw informatyzacji</w:t>
      </w:r>
      <w:r w:rsidR="00223E48" w:rsidRPr="0024375B">
        <w:rPr>
          <w:rFonts w:eastAsia="Times New Roman" w:cs="Times New Roman"/>
        </w:rPr>
        <w:t xml:space="preserve"> (art. 20d </w:t>
      </w:r>
      <w:r w:rsidR="00D00CB4">
        <w:rPr>
          <w:rFonts w:eastAsia="Times New Roman" w:cs="Times New Roman"/>
        </w:rPr>
        <w:t>ust. </w:t>
      </w:r>
      <w:r w:rsidR="00223E48" w:rsidRPr="0024375B">
        <w:rPr>
          <w:rFonts w:eastAsia="Times New Roman" w:cs="Times New Roman"/>
        </w:rPr>
        <w:t>1 pkt 1)</w:t>
      </w:r>
      <w:r w:rsidRPr="0024375B">
        <w:rPr>
          <w:rFonts w:eastAsia="Times New Roman" w:cs="Times New Roman"/>
        </w:rPr>
        <w:t xml:space="preserve">. </w:t>
      </w:r>
      <w:r w:rsidR="00443C0E">
        <w:rPr>
          <w:rFonts w:eastAsia="Times New Roman" w:cs="Times New Roman"/>
        </w:rPr>
        <w:t xml:space="preserve">Innymi słowy obowiązek informacyjny będzie dotyczył szczególnego rodzaju incydentów telekomunikacyjnych, które w </w:t>
      </w:r>
      <w:r w:rsidR="00443C0E">
        <w:rPr>
          <w:rFonts w:eastAsia="Times New Roman" w:cs="Times New Roman"/>
        </w:rPr>
        <w:lastRenderedPageBreak/>
        <w:t>znaczny i istotny sposób oddziałują na funkcjonowania społeczeństwa – z tego powodu państwo powinno być poinformowane</w:t>
      </w:r>
      <w:r w:rsidR="00B764F3">
        <w:rPr>
          <w:rFonts w:eastAsia="Times New Roman" w:cs="Times New Roman"/>
        </w:rPr>
        <w:t xml:space="preserve"> o tym fakcie</w:t>
      </w:r>
      <w:r w:rsidR="00443C0E">
        <w:rPr>
          <w:rFonts w:eastAsia="Times New Roman" w:cs="Times New Roman"/>
        </w:rPr>
        <w:t xml:space="preserve"> oraz </w:t>
      </w:r>
      <w:r w:rsidR="00B764F3">
        <w:rPr>
          <w:rFonts w:eastAsia="Times New Roman" w:cs="Times New Roman"/>
        </w:rPr>
        <w:t xml:space="preserve">powinno mieć </w:t>
      </w:r>
      <w:r w:rsidR="00A4787E">
        <w:rPr>
          <w:rFonts w:eastAsia="Times New Roman" w:cs="Times New Roman"/>
        </w:rPr>
        <w:t>odpowiedni</w:t>
      </w:r>
      <w:r w:rsidR="00B764F3">
        <w:rPr>
          <w:rFonts w:eastAsia="Times New Roman" w:cs="Times New Roman"/>
        </w:rPr>
        <w:t>e możliwości</w:t>
      </w:r>
      <w:r w:rsidR="00A4787E">
        <w:rPr>
          <w:rFonts w:eastAsia="Times New Roman" w:cs="Times New Roman"/>
        </w:rPr>
        <w:t xml:space="preserve"> </w:t>
      </w:r>
      <w:r w:rsidR="00B764F3">
        <w:rPr>
          <w:rFonts w:eastAsia="Times New Roman" w:cs="Times New Roman"/>
        </w:rPr>
        <w:t>reakcji na tego rodzaju zdarzenie</w:t>
      </w:r>
      <w:r w:rsidR="00443C0E">
        <w:rPr>
          <w:rFonts w:eastAsia="Times New Roman" w:cs="Times New Roman"/>
        </w:rPr>
        <w:t>.</w:t>
      </w:r>
    </w:p>
    <w:p w14:paraId="1D52BFBE" w14:textId="77777777" w:rsidR="003B078E" w:rsidRPr="0024375B" w:rsidRDefault="00223E48" w:rsidP="0024375B">
      <w:pPr>
        <w:ind w:firstLine="510"/>
        <w:jc w:val="both"/>
        <w:rPr>
          <w:rFonts w:eastAsia="Times New Roman" w:cs="Times New Roman"/>
        </w:rPr>
      </w:pPr>
      <w:r w:rsidRPr="0024375B">
        <w:rPr>
          <w:rFonts w:eastAsia="Times New Roman" w:cs="Times New Roman"/>
          <w:szCs w:val="24"/>
        </w:rPr>
        <w:t>Przedsiębiorcy telekomunikacyjni będą przekazywać</w:t>
      </w:r>
      <w:r w:rsidR="000D25D8" w:rsidRPr="0024375B">
        <w:rPr>
          <w:rFonts w:eastAsia="Times New Roman" w:cs="Times New Roman"/>
          <w:szCs w:val="24"/>
        </w:rPr>
        <w:t xml:space="preserve"> do zespołu CSIRT Telco</w:t>
      </w:r>
      <w:r w:rsidRPr="0024375B">
        <w:rPr>
          <w:rFonts w:eastAsia="Times New Roman" w:cs="Times New Roman"/>
          <w:szCs w:val="24"/>
        </w:rPr>
        <w:t xml:space="preserve"> informację</w:t>
      </w:r>
      <w:r w:rsidR="0077165A">
        <w:rPr>
          <w:rFonts w:eastAsia="Times New Roman" w:cs="Times New Roman"/>
          <w:szCs w:val="24"/>
        </w:rPr>
        <w:t xml:space="preserve"> o </w:t>
      </w:r>
      <w:r w:rsidRPr="0024375B">
        <w:rPr>
          <w:rFonts w:eastAsia="Times New Roman" w:cs="Times New Roman"/>
          <w:szCs w:val="24"/>
        </w:rPr>
        <w:t>wystąpieniu poważnego incydentu telekomunikacyjnego nie później niż</w:t>
      </w:r>
      <w:r w:rsidR="00EA1900">
        <w:rPr>
          <w:rFonts w:eastAsia="Times New Roman" w:cs="Times New Roman"/>
          <w:szCs w:val="24"/>
        </w:rPr>
        <w:t xml:space="preserve"> w </w:t>
      </w:r>
      <w:r w:rsidRPr="0024375B">
        <w:rPr>
          <w:rFonts w:eastAsia="Times New Roman" w:cs="Times New Roman"/>
          <w:szCs w:val="24"/>
        </w:rPr>
        <w:t xml:space="preserve">ciągu </w:t>
      </w:r>
      <w:r w:rsidR="00812DC5">
        <w:rPr>
          <w:rFonts w:eastAsia="Times New Roman" w:cs="Times New Roman"/>
          <w:szCs w:val="24"/>
        </w:rPr>
        <w:t>8</w:t>
      </w:r>
      <w:r w:rsidR="00812DC5" w:rsidRPr="0024375B">
        <w:rPr>
          <w:rFonts w:eastAsia="Times New Roman" w:cs="Times New Roman"/>
          <w:szCs w:val="24"/>
        </w:rPr>
        <w:t xml:space="preserve"> </w:t>
      </w:r>
      <w:r w:rsidRPr="0024375B">
        <w:rPr>
          <w:rFonts w:eastAsia="Times New Roman" w:cs="Times New Roman"/>
          <w:szCs w:val="24"/>
        </w:rPr>
        <w:t>godzin od chwili jego wystąpienia, według aktualnej wiedzy, jaką dysponuj</w:t>
      </w:r>
      <w:r w:rsidR="003B078E" w:rsidRPr="0024375B">
        <w:rPr>
          <w:rFonts w:eastAsia="Times New Roman" w:cs="Times New Roman"/>
          <w:szCs w:val="24"/>
        </w:rPr>
        <w:t>ą</w:t>
      </w:r>
      <w:r w:rsidR="00EA1900">
        <w:rPr>
          <w:rFonts w:eastAsia="Times New Roman" w:cs="Times New Roman"/>
          <w:szCs w:val="24"/>
        </w:rPr>
        <w:t xml:space="preserve"> w </w:t>
      </w:r>
      <w:r w:rsidRPr="0024375B">
        <w:rPr>
          <w:rFonts w:eastAsia="Times New Roman" w:cs="Times New Roman"/>
          <w:szCs w:val="24"/>
        </w:rPr>
        <w:t xml:space="preserve">tym czasie (art. 20d </w:t>
      </w:r>
      <w:r w:rsidR="00D00CB4">
        <w:rPr>
          <w:rFonts w:eastAsia="Times New Roman" w:cs="Times New Roman"/>
          <w:szCs w:val="24"/>
        </w:rPr>
        <w:t>ust. </w:t>
      </w:r>
      <w:r w:rsidRPr="0024375B">
        <w:rPr>
          <w:rFonts w:eastAsia="Times New Roman" w:cs="Times New Roman"/>
          <w:szCs w:val="24"/>
        </w:rPr>
        <w:t>1 pkt 2</w:t>
      </w:r>
      <w:r w:rsidR="000D25D8" w:rsidRPr="0024375B">
        <w:rPr>
          <w:rFonts w:eastAsia="Times New Roman" w:cs="Times New Roman"/>
          <w:szCs w:val="24"/>
        </w:rPr>
        <w:t xml:space="preserve"> oraz 20e </w:t>
      </w:r>
      <w:r w:rsidR="00D00CB4">
        <w:rPr>
          <w:rFonts w:eastAsia="Times New Roman" w:cs="Times New Roman"/>
          <w:szCs w:val="24"/>
        </w:rPr>
        <w:t>ust. </w:t>
      </w:r>
      <w:r w:rsidR="000D25D8" w:rsidRPr="0024375B">
        <w:rPr>
          <w:rFonts w:eastAsia="Times New Roman" w:cs="Times New Roman"/>
          <w:szCs w:val="24"/>
        </w:rPr>
        <w:t>3</w:t>
      </w:r>
      <w:r w:rsidRPr="0024375B">
        <w:rPr>
          <w:rFonts w:eastAsia="Times New Roman" w:cs="Times New Roman"/>
          <w:szCs w:val="24"/>
        </w:rPr>
        <w:t>). Informację tę uzupełni</w:t>
      </w:r>
      <w:r w:rsidR="00812DC5">
        <w:rPr>
          <w:rFonts w:eastAsia="Times New Roman" w:cs="Times New Roman"/>
          <w:szCs w:val="24"/>
        </w:rPr>
        <w:t>ą</w:t>
      </w:r>
      <w:r w:rsidR="00EA1900">
        <w:rPr>
          <w:rFonts w:eastAsia="Times New Roman" w:cs="Times New Roman"/>
          <w:szCs w:val="24"/>
        </w:rPr>
        <w:t xml:space="preserve"> w </w:t>
      </w:r>
      <w:r w:rsidRPr="0024375B">
        <w:rPr>
          <w:rFonts w:eastAsia="Times New Roman" w:cs="Times New Roman"/>
          <w:szCs w:val="24"/>
        </w:rPr>
        <w:t xml:space="preserve">trakcie obsługi incydentu telekomunikacyjnego. </w:t>
      </w:r>
      <w:r w:rsidR="000D25D8" w:rsidRPr="0024375B">
        <w:rPr>
          <w:rFonts w:eastAsia="Times New Roman" w:cs="Times New Roman"/>
          <w:szCs w:val="24"/>
        </w:rPr>
        <w:t>Co do zasady zgłoszenie będzie przekazywane</w:t>
      </w:r>
      <w:r w:rsidR="00EA1900">
        <w:rPr>
          <w:rFonts w:eastAsia="Times New Roman" w:cs="Times New Roman"/>
          <w:szCs w:val="24"/>
        </w:rPr>
        <w:t xml:space="preserve"> w </w:t>
      </w:r>
      <w:r w:rsidR="000D25D8" w:rsidRPr="0024375B">
        <w:rPr>
          <w:rFonts w:eastAsia="Times New Roman" w:cs="Times New Roman"/>
          <w:szCs w:val="24"/>
        </w:rPr>
        <w:t>postaci elektronicznej,</w:t>
      </w:r>
      <w:r w:rsidR="002161FE">
        <w:rPr>
          <w:rFonts w:eastAsia="Times New Roman" w:cs="Times New Roman"/>
          <w:szCs w:val="24"/>
        </w:rPr>
        <w:t xml:space="preserve"> a </w:t>
      </w:r>
      <w:r w:rsidR="000D25D8" w:rsidRPr="0024375B">
        <w:rPr>
          <w:rFonts w:eastAsia="Times New Roman" w:cs="Times New Roman"/>
          <w:szCs w:val="24"/>
        </w:rPr>
        <w:t>jeżeli nie będzie to możliwe – przy użyciu innych dostępnych środków komunikacji</w:t>
      </w:r>
      <w:r w:rsidR="003B078E" w:rsidRPr="0024375B">
        <w:rPr>
          <w:rFonts w:eastAsia="Times New Roman" w:cs="Times New Roman"/>
        </w:rPr>
        <w:t>.</w:t>
      </w:r>
    </w:p>
    <w:p w14:paraId="0A92A7C8" w14:textId="77777777" w:rsidR="003B078E" w:rsidRPr="0024375B" w:rsidRDefault="003B078E" w:rsidP="0024375B">
      <w:pPr>
        <w:ind w:firstLine="510"/>
        <w:jc w:val="both"/>
        <w:rPr>
          <w:rFonts w:eastAsia="Times New Roman" w:cs="Times New Roman"/>
        </w:rPr>
      </w:pPr>
      <w:r w:rsidRPr="0024375B">
        <w:rPr>
          <w:rFonts w:eastAsia="Times New Roman" w:cs="Times New Roman"/>
        </w:rPr>
        <w:t>Podczas obsługi poważnego incydentu telekomunikacyjnego przedsiębiorcy komunikacji elektronicznej będą obowiązani współpracować</w:t>
      </w:r>
      <w:r w:rsidR="002161FE">
        <w:rPr>
          <w:rFonts w:eastAsia="Times New Roman" w:cs="Times New Roman"/>
        </w:rPr>
        <w:t xml:space="preserve"> z </w:t>
      </w:r>
      <w:r w:rsidRPr="0024375B">
        <w:rPr>
          <w:rFonts w:eastAsia="Times New Roman" w:cs="Times New Roman"/>
        </w:rPr>
        <w:t>zespołami CSIRT Telco</w:t>
      </w:r>
      <w:r w:rsidR="002161FE">
        <w:rPr>
          <w:rFonts w:eastAsia="Times New Roman" w:cs="Times New Roman"/>
        </w:rPr>
        <w:t xml:space="preserve"> i </w:t>
      </w:r>
      <w:r w:rsidRPr="0024375B">
        <w:rPr>
          <w:rFonts w:eastAsia="Times New Roman" w:cs="Times New Roman"/>
        </w:rPr>
        <w:t>właściwym zespołem CSIRT GOV, CSIRT MON lub CSIRT NASK.</w:t>
      </w:r>
      <w:r w:rsidR="00116933">
        <w:rPr>
          <w:rFonts w:eastAsia="Times New Roman" w:cs="Times New Roman"/>
        </w:rPr>
        <w:t xml:space="preserve"> W </w:t>
      </w:r>
      <w:r w:rsidRPr="0024375B">
        <w:rPr>
          <w:rFonts w:eastAsia="Times New Roman" w:cs="Times New Roman"/>
        </w:rPr>
        <w:t>ramach tej współpracy będą przekazywać niezbędne dane do tych zespołów, aby ułatwić reagowanie na incydent telekomunikacyjny.</w:t>
      </w:r>
      <w:r w:rsidR="00746999" w:rsidRPr="0024375B">
        <w:rPr>
          <w:rFonts w:eastAsia="Times New Roman" w:cs="Times New Roman"/>
        </w:rPr>
        <w:t xml:space="preserve"> </w:t>
      </w:r>
    </w:p>
    <w:p w14:paraId="373B4945" w14:textId="77777777" w:rsidR="00D20771" w:rsidRPr="0024375B" w:rsidRDefault="00D20771" w:rsidP="0024375B">
      <w:pPr>
        <w:ind w:firstLine="510"/>
        <w:jc w:val="both"/>
        <w:rPr>
          <w:rFonts w:eastAsia="Times New Roman" w:cs="Times New Roman"/>
        </w:rPr>
      </w:pPr>
      <w:r w:rsidRPr="0024375B">
        <w:rPr>
          <w:rFonts w:eastAsia="Times New Roman" w:cs="Times New Roman"/>
        </w:rPr>
        <w:t xml:space="preserve">Zespół </w:t>
      </w:r>
      <w:r w:rsidR="00746999" w:rsidRPr="0024375B">
        <w:rPr>
          <w:rFonts w:eastAsia="Times New Roman" w:cs="Times New Roman"/>
        </w:rPr>
        <w:t xml:space="preserve">CSIRT Telco </w:t>
      </w:r>
      <w:r w:rsidRPr="0024375B">
        <w:rPr>
          <w:rFonts w:eastAsia="Times New Roman" w:cs="Times New Roman"/>
        </w:rPr>
        <w:t>przekaże niezwłocznie</w:t>
      </w:r>
      <w:r w:rsidR="0097055B" w:rsidRPr="0024375B">
        <w:rPr>
          <w:rFonts w:eastAsia="Times New Roman" w:cs="Times New Roman"/>
        </w:rPr>
        <w:t>,</w:t>
      </w:r>
      <w:r w:rsidR="00EA1900">
        <w:rPr>
          <w:rFonts w:eastAsia="Times New Roman" w:cs="Times New Roman"/>
        </w:rPr>
        <w:t xml:space="preserve"> w </w:t>
      </w:r>
      <w:r w:rsidRPr="0024375B">
        <w:rPr>
          <w:rFonts w:eastAsia="Times New Roman" w:cs="Times New Roman"/>
        </w:rPr>
        <w:t xml:space="preserve">ciągu </w:t>
      </w:r>
      <w:r w:rsidR="0097055B" w:rsidRPr="0024375B">
        <w:rPr>
          <w:rFonts w:eastAsia="Times New Roman" w:cs="Times New Roman"/>
        </w:rPr>
        <w:t>ośmiu</w:t>
      </w:r>
      <w:r w:rsidRPr="0024375B">
        <w:rPr>
          <w:rFonts w:eastAsia="Times New Roman" w:cs="Times New Roman"/>
        </w:rPr>
        <w:t xml:space="preserve"> godzin</w:t>
      </w:r>
      <w:r w:rsidR="0097055B" w:rsidRPr="0024375B">
        <w:rPr>
          <w:rFonts w:eastAsia="Times New Roman" w:cs="Times New Roman"/>
        </w:rPr>
        <w:t>,</w:t>
      </w:r>
      <w:r w:rsidRPr="0024375B">
        <w:rPr>
          <w:rFonts w:eastAsia="Times New Roman" w:cs="Times New Roman"/>
        </w:rPr>
        <w:t xml:space="preserve"> informację</w:t>
      </w:r>
      <w:r w:rsidR="0077165A">
        <w:rPr>
          <w:rFonts w:eastAsia="Times New Roman" w:cs="Times New Roman"/>
        </w:rPr>
        <w:t xml:space="preserve"> o </w:t>
      </w:r>
      <w:r w:rsidRPr="0024375B">
        <w:rPr>
          <w:rFonts w:eastAsia="Times New Roman" w:cs="Times New Roman"/>
        </w:rPr>
        <w:t xml:space="preserve">tym zgłoszeniu do właściwego dla danego </w:t>
      </w:r>
      <w:r w:rsidR="0097055B" w:rsidRPr="0024375B">
        <w:rPr>
          <w:rFonts w:eastAsia="Times New Roman" w:cs="Times New Roman"/>
        </w:rPr>
        <w:t>przedsiębiorcy</w:t>
      </w:r>
      <w:r w:rsidRPr="0024375B">
        <w:rPr>
          <w:rFonts w:eastAsia="Times New Roman" w:cs="Times New Roman"/>
        </w:rPr>
        <w:t xml:space="preserve"> komunikacji elektronicznej zespołu CSIRT GOV, CSIRT MON lub CSIRT NASK. Rozwiązanie to zapewni jeden punkt kontaktowy dla zgłoszeń incydentów telekomunikacyjnych,</w:t>
      </w:r>
      <w:r w:rsidR="002161FE">
        <w:rPr>
          <w:rFonts w:eastAsia="Times New Roman" w:cs="Times New Roman"/>
        </w:rPr>
        <w:t xml:space="preserve"> z </w:t>
      </w:r>
      <w:r w:rsidRPr="0024375B">
        <w:rPr>
          <w:rFonts w:eastAsia="Times New Roman" w:cs="Times New Roman"/>
        </w:rPr>
        <w:t>drugiej strony zapewni obieg informacji między zespołami CSIRT. Przewiduje się, że przekazywanie informacji między CSIRT będzie odbywało się poprzez system teleinformatyczny,</w:t>
      </w:r>
      <w:r w:rsidR="0077165A">
        <w:rPr>
          <w:rFonts w:eastAsia="Times New Roman" w:cs="Times New Roman"/>
        </w:rPr>
        <w:t xml:space="preserve"> o </w:t>
      </w:r>
      <w:r w:rsidRPr="0024375B">
        <w:rPr>
          <w:rFonts w:eastAsia="Times New Roman" w:cs="Times New Roman"/>
        </w:rPr>
        <w:t>którym mowa</w:t>
      </w:r>
      <w:r w:rsidR="002161FE">
        <w:rPr>
          <w:rFonts w:eastAsia="Times New Roman" w:cs="Times New Roman"/>
        </w:rPr>
        <w:t xml:space="preserve"> w</w:t>
      </w:r>
      <w:r w:rsidR="00EA1900">
        <w:rPr>
          <w:rFonts w:eastAsia="Times New Roman" w:cs="Times New Roman"/>
        </w:rPr>
        <w:t xml:space="preserve"> art. </w:t>
      </w:r>
      <w:r w:rsidRPr="0024375B">
        <w:rPr>
          <w:rFonts w:eastAsia="Times New Roman" w:cs="Times New Roman"/>
        </w:rPr>
        <w:t>46 ustawy</w:t>
      </w:r>
      <w:r w:rsidR="0077165A">
        <w:rPr>
          <w:rFonts w:eastAsia="Times New Roman" w:cs="Times New Roman"/>
        </w:rPr>
        <w:t xml:space="preserve"> o </w:t>
      </w:r>
      <w:r w:rsidRPr="0024375B">
        <w:rPr>
          <w:rFonts w:eastAsia="Times New Roman" w:cs="Times New Roman"/>
        </w:rPr>
        <w:t xml:space="preserve">KSC. </w:t>
      </w:r>
    </w:p>
    <w:p w14:paraId="7876BCF2" w14:textId="77777777" w:rsidR="002A752F" w:rsidRPr="0024375B" w:rsidRDefault="00223E48" w:rsidP="0024375B">
      <w:pPr>
        <w:ind w:firstLine="510"/>
        <w:jc w:val="both"/>
        <w:rPr>
          <w:rFonts w:eastAsia="Times New Roman" w:cs="Times New Roman"/>
          <w:szCs w:val="24"/>
        </w:rPr>
      </w:pPr>
      <w:r w:rsidRPr="0024375B">
        <w:rPr>
          <w:rFonts w:eastAsia="Times New Roman" w:cs="Times New Roman"/>
          <w:szCs w:val="24"/>
        </w:rPr>
        <w:t>Art. 20d</w:t>
      </w:r>
      <w:r w:rsidR="00EA1900">
        <w:rPr>
          <w:rFonts w:eastAsia="Times New Roman" w:cs="Times New Roman"/>
          <w:szCs w:val="24"/>
        </w:rPr>
        <w:t xml:space="preserve"> ust. </w:t>
      </w:r>
      <w:r w:rsidRPr="0024375B">
        <w:rPr>
          <w:rFonts w:eastAsia="Times New Roman" w:cs="Times New Roman"/>
          <w:szCs w:val="24"/>
        </w:rPr>
        <w:t>3 przewiduje, że m</w:t>
      </w:r>
      <w:r w:rsidR="00CE63C0" w:rsidRPr="0024375B">
        <w:rPr>
          <w:rFonts w:eastAsia="Times New Roman" w:cs="Times New Roman"/>
          <w:szCs w:val="24"/>
        </w:rPr>
        <w:t>inister właściwy do spraw informatyzacji określi</w:t>
      </w:r>
      <w:r w:rsidR="00EA1900">
        <w:rPr>
          <w:rFonts w:eastAsia="Times New Roman" w:cs="Times New Roman"/>
          <w:szCs w:val="24"/>
        </w:rPr>
        <w:t xml:space="preserve"> w </w:t>
      </w:r>
      <w:r w:rsidR="00CE63C0" w:rsidRPr="0024375B">
        <w:rPr>
          <w:rFonts w:eastAsia="Times New Roman" w:cs="Times New Roman"/>
          <w:szCs w:val="24"/>
        </w:rPr>
        <w:t>rozporządzeniu progi uznania incydentu telekomunikacyjnego za poważ</w:t>
      </w:r>
      <w:r w:rsidR="00F1127A" w:rsidRPr="0024375B">
        <w:rPr>
          <w:rFonts w:eastAsia="Times New Roman" w:cs="Times New Roman"/>
          <w:szCs w:val="24"/>
        </w:rPr>
        <w:t>ny incydent telekomunikacyjny. Tworząc upoważnienie ustawowe wzięto pod uwagę parametry istotności wpływu incydentu telekomunikacyjnego wskazane</w:t>
      </w:r>
      <w:r w:rsidR="002161FE">
        <w:rPr>
          <w:rFonts w:eastAsia="Times New Roman" w:cs="Times New Roman"/>
          <w:szCs w:val="24"/>
        </w:rPr>
        <w:t xml:space="preserve"> w</w:t>
      </w:r>
      <w:r w:rsidR="00B726BA">
        <w:rPr>
          <w:rFonts w:eastAsia="Times New Roman" w:cs="Times New Roman"/>
          <w:szCs w:val="24"/>
        </w:rPr>
        <w:t> </w:t>
      </w:r>
      <w:r w:rsidR="00EA1900">
        <w:rPr>
          <w:rFonts w:eastAsia="Times New Roman" w:cs="Times New Roman"/>
          <w:szCs w:val="24"/>
        </w:rPr>
        <w:t>art. </w:t>
      </w:r>
      <w:r w:rsidR="00F1127A" w:rsidRPr="0024375B">
        <w:rPr>
          <w:rFonts w:eastAsia="Times New Roman" w:cs="Times New Roman"/>
          <w:szCs w:val="24"/>
        </w:rPr>
        <w:t xml:space="preserve">40 </w:t>
      </w:r>
      <w:r w:rsidR="00D00CB4">
        <w:rPr>
          <w:rFonts w:eastAsia="Times New Roman" w:cs="Times New Roman"/>
          <w:szCs w:val="24"/>
        </w:rPr>
        <w:t>ust. </w:t>
      </w:r>
      <w:r w:rsidR="00F1127A" w:rsidRPr="0024375B">
        <w:rPr>
          <w:rFonts w:eastAsia="Times New Roman" w:cs="Times New Roman"/>
          <w:szCs w:val="24"/>
        </w:rPr>
        <w:t xml:space="preserve">2 EKŁE. </w:t>
      </w:r>
      <w:r w:rsidR="002A752F" w:rsidRPr="0024375B">
        <w:rPr>
          <w:rFonts w:eastAsia="Times New Roman" w:cs="Times New Roman"/>
          <w:szCs w:val="24"/>
        </w:rPr>
        <w:t>Progi te można podzielić na</w:t>
      </w:r>
      <w:r w:rsidR="0037639F">
        <w:rPr>
          <w:rFonts w:eastAsia="Times New Roman" w:cs="Times New Roman"/>
          <w:szCs w:val="24"/>
        </w:rPr>
        <w:t>:</w:t>
      </w:r>
    </w:p>
    <w:p w14:paraId="7E3B8ACB" w14:textId="77777777" w:rsidR="002A752F" w:rsidRPr="0024375B" w:rsidRDefault="002A752F" w:rsidP="0024375B">
      <w:pPr>
        <w:pStyle w:val="Akapitzlist"/>
        <w:numPr>
          <w:ilvl w:val="0"/>
          <w:numId w:val="92"/>
        </w:numPr>
        <w:spacing w:line="240" w:lineRule="auto"/>
        <w:ind w:hanging="357"/>
        <w:contextualSpacing w:val="0"/>
        <w:rPr>
          <w:rFonts w:eastAsia="Times New Roman" w:cs="Times New Roman"/>
          <w:szCs w:val="24"/>
        </w:rPr>
      </w:pPr>
      <w:r w:rsidRPr="0024375B">
        <w:rPr>
          <w:rFonts w:eastAsia="Times New Roman" w:cs="Times New Roman"/>
          <w:szCs w:val="24"/>
        </w:rPr>
        <w:t>ilościowe:</w:t>
      </w:r>
    </w:p>
    <w:p w14:paraId="4D4889C0" w14:textId="77777777" w:rsidR="002A752F" w:rsidRPr="0024375B" w:rsidRDefault="002A752F" w:rsidP="0024375B">
      <w:pPr>
        <w:pStyle w:val="Akapitzlist"/>
        <w:numPr>
          <w:ilvl w:val="1"/>
          <w:numId w:val="92"/>
        </w:numPr>
        <w:spacing w:line="240" w:lineRule="auto"/>
        <w:ind w:hanging="357"/>
        <w:contextualSpacing w:val="0"/>
        <w:rPr>
          <w:rFonts w:eastAsia="Times New Roman" w:cs="Times New Roman"/>
          <w:szCs w:val="24"/>
        </w:rPr>
      </w:pPr>
      <w:r w:rsidRPr="0024375B">
        <w:rPr>
          <w:rFonts w:eastAsia="Times New Roman" w:cs="Times New Roman"/>
          <w:szCs w:val="24"/>
        </w:rPr>
        <w:t>liczbę użytkowników, na których incydent telekomunikacyjny miał wpływ</w:t>
      </w:r>
      <w:r w:rsidR="00C51BDA">
        <w:rPr>
          <w:rFonts w:eastAsia="Times New Roman" w:cs="Times New Roman"/>
          <w:szCs w:val="24"/>
        </w:rPr>
        <w:t>,</w:t>
      </w:r>
    </w:p>
    <w:p w14:paraId="72D97C43" w14:textId="77777777" w:rsidR="002A752F" w:rsidRPr="0024375B" w:rsidRDefault="002A752F" w:rsidP="0024375B">
      <w:pPr>
        <w:pStyle w:val="Akapitzlist"/>
        <w:numPr>
          <w:ilvl w:val="1"/>
          <w:numId w:val="92"/>
        </w:numPr>
        <w:spacing w:line="240" w:lineRule="auto"/>
        <w:ind w:hanging="357"/>
        <w:contextualSpacing w:val="0"/>
        <w:rPr>
          <w:rFonts w:eastAsia="Times New Roman" w:cs="Times New Roman"/>
          <w:szCs w:val="24"/>
        </w:rPr>
      </w:pPr>
      <w:r w:rsidRPr="0024375B">
        <w:rPr>
          <w:rFonts w:eastAsia="Times New Roman" w:cs="Times New Roman"/>
          <w:szCs w:val="24"/>
        </w:rPr>
        <w:t>czas trwania skutków incydentu telekomunikacyjnego</w:t>
      </w:r>
      <w:r w:rsidR="00C51BDA">
        <w:rPr>
          <w:rFonts w:eastAsia="Times New Roman" w:cs="Times New Roman"/>
          <w:szCs w:val="24"/>
        </w:rPr>
        <w:t>,</w:t>
      </w:r>
    </w:p>
    <w:p w14:paraId="1C811DAA" w14:textId="77777777" w:rsidR="002A752F" w:rsidRPr="0024375B" w:rsidRDefault="002A752F" w:rsidP="0024375B">
      <w:pPr>
        <w:pStyle w:val="Akapitzlist"/>
        <w:numPr>
          <w:ilvl w:val="1"/>
          <w:numId w:val="92"/>
        </w:numPr>
        <w:spacing w:line="240" w:lineRule="auto"/>
        <w:ind w:hanging="357"/>
        <w:contextualSpacing w:val="0"/>
        <w:rPr>
          <w:rFonts w:eastAsia="Times New Roman" w:cs="Times New Roman"/>
          <w:szCs w:val="24"/>
        </w:rPr>
      </w:pPr>
      <w:r w:rsidRPr="0024375B">
        <w:rPr>
          <w:rFonts w:eastAsia="Times New Roman" w:cs="Times New Roman"/>
          <w:szCs w:val="24"/>
        </w:rPr>
        <w:t>obszar, na którym wystąpiły skutki incydentu telekomunikacyjnego;</w:t>
      </w:r>
    </w:p>
    <w:p w14:paraId="205BB809" w14:textId="77777777" w:rsidR="002A752F" w:rsidRPr="0024375B" w:rsidRDefault="002A752F" w:rsidP="0024375B">
      <w:pPr>
        <w:pStyle w:val="Akapitzlist"/>
        <w:numPr>
          <w:ilvl w:val="0"/>
          <w:numId w:val="92"/>
        </w:numPr>
        <w:spacing w:line="240" w:lineRule="auto"/>
        <w:ind w:hanging="357"/>
        <w:contextualSpacing w:val="0"/>
        <w:rPr>
          <w:rFonts w:eastAsia="Times New Roman" w:cs="Times New Roman"/>
          <w:szCs w:val="24"/>
        </w:rPr>
      </w:pPr>
      <w:r w:rsidRPr="0024375B">
        <w:rPr>
          <w:rFonts w:eastAsia="Times New Roman" w:cs="Times New Roman"/>
          <w:szCs w:val="24"/>
        </w:rPr>
        <w:t>jakościowe:</w:t>
      </w:r>
    </w:p>
    <w:p w14:paraId="79AFEA5D" w14:textId="77777777" w:rsidR="002A752F" w:rsidRPr="0024375B" w:rsidRDefault="002A752F" w:rsidP="0024375B">
      <w:pPr>
        <w:pStyle w:val="Akapitzlist"/>
        <w:numPr>
          <w:ilvl w:val="1"/>
          <w:numId w:val="92"/>
        </w:numPr>
        <w:spacing w:line="240" w:lineRule="auto"/>
        <w:ind w:hanging="357"/>
        <w:contextualSpacing w:val="0"/>
        <w:rPr>
          <w:rFonts w:eastAsia="Times New Roman" w:cs="Times New Roman"/>
          <w:bCs/>
          <w:szCs w:val="24"/>
        </w:rPr>
      </w:pPr>
      <w:r w:rsidRPr="0024375B">
        <w:rPr>
          <w:rFonts w:eastAsia="Times New Roman" w:cs="Times New Roman"/>
          <w:bCs/>
          <w:szCs w:val="24"/>
        </w:rPr>
        <w:t>zakres wpływu incydentu telekomunikacyjnego na funkcjonowanie sieci</w:t>
      </w:r>
      <w:r w:rsidR="002161FE">
        <w:rPr>
          <w:rFonts w:eastAsia="Times New Roman" w:cs="Times New Roman"/>
          <w:bCs/>
          <w:szCs w:val="24"/>
        </w:rPr>
        <w:t xml:space="preserve"> i </w:t>
      </w:r>
      <w:r w:rsidRPr="0024375B">
        <w:rPr>
          <w:rFonts w:eastAsia="Times New Roman" w:cs="Times New Roman"/>
          <w:bCs/>
          <w:szCs w:val="24"/>
        </w:rPr>
        <w:t>usług</w:t>
      </w:r>
      <w:r w:rsidR="00C51BDA">
        <w:rPr>
          <w:rFonts w:eastAsia="Times New Roman" w:cs="Times New Roman"/>
          <w:bCs/>
          <w:szCs w:val="24"/>
        </w:rPr>
        <w:t>,</w:t>
      </w:r>
    </w:p>
    <w:p w14:paraId="6CBEDB5B" w14:textId="77777777" w:rsidR="002A752F" w:rsidRPr="0024375B" w:rsidRDefault="002A752F" w:rsidP="0024375B">
      <w:pPr>
        <w:pStyle w:val="Akapitzlist"/>
        <w:numPr>
          <w:ilvl w:val="1"/>
          <w:numId w:val="92"/>
        </w:numPr>
        <w:spacing w:line="240" w:lineRule="auto"/>
        <w:ind w:hanging="357"/>
        <w:contextualSpacing w:val="0"/>
        <w:rPr>
          <w:rFonts w:eastAsia="Times New Roman" w:cs="Times New Roman"/>
          <w:bCs/>
          <w:szCs w:val="24"/>
        </w:rPr>
      </w:pPr>
      <w:r w:rsidRPr="0024375B">
        <w:rPr>
          <w:rFonts w:eastAsia="Times New Roman" w:cs="Times New Roman"/>
          <w:bCs/>
          <w:szCs w:val="24"/>
        </w:rPr>
        <w:t>wpływ incydentu telekomunikacyjnego na zachowanie tajemnicy komunikacji elektronicznej</w:t>
      </w:r>
      <w:r w:rsidR="00C51BDA">
        <w:rPr>
          <w:rFonts w:eastAsia="Times New Roman" w:cs="Times New Roman"/>
          <w:bCs/>
          <w:szCs w:val="24"/>
        </w:rPr>
        <w:t>,</w:t>
      </w:r>
    </w:p>
    <w:p w14:paraId="70F22FB6" w14:textId="77777777" w:rsidR="002A752F" w:rsidRPr="0024375B" w:rsidRDefault="002A752F" w:rsidP="0024375B">
      <w:pPr>
        <w:pStyle w:val="Akapitzlist"/>
        <w:numPr>
          <w:ilvl w:val="1"/>
          <w:numId w:val="92"/>
        </w:numPr>
        <w:spacing w:line="240" w:lineRule="auto"/>
        <w:ind w:hanging="357"/>
        <w:contextualSpacing w:val="0"/>
        <w:rPr>
          <w:rFonts w:eastAsia="Times New Roman" w:cs="Times New Roman"/>
          <w:bCs/>
          <w:szCs w:val="24"/>
        </w:rPr>
      </w:pPr>
      <w:r w:rsidRPr="0024375B">
        <w:rPr>
          <w:rFonts w:eastAsia="Times New Roman" w:cs="Times New Roman"/>
          <w:bCs/>
          <w:szCs w:val="24"/>
        </w:rPr>
        <w:t>wpływ incydentu telekomunikacyjnego na świadczenie usług kluczowych oraz funkcjonowanie infrastruktury krytycznej</w:t>
      </w:r>
      <w:r w:rsidR="00EA1900">
        <w:rPr>
          <w:rFonts w:eastAsia="Times New Roman" w:cs="Times New Roman"/>
          <w:bCs/>
          <w:szCs w:val="24"/>
        </w:rPr>
        <w:t xml:space="preserve"> w </w:t>
      </w:r>
      <w:r w:rsidRPr="0024375B">
        <w:rPr>
          <w:rFonts w:eastAsia="Times New Roman" w:cs="Times New Roman"/>
          <w:bCs/>
          <w:szCs w:val="24"/>
        </w:rPr>
        <w:t>rozumieniu ustawy</w:t>
      </w:r>
      <w:r w:rsidR="002161FE">
        <w:rPr>
          <w:rFonts w:eastAsia="Times New Roman" w:cs="Times New Roman"/>
          <w:bCs/>
          <w:szCs w:val="24"/>
        </w:rPr>
        <w:t xml:space="preserve"> z </w:t>
      </w:r>
      <w:r w:rsidRPr="0024375B">
        <w:rPr>
          <w:rFonts w:eastAsia="Times New Roman" w:cs="Times New Roman"/>
          <w:bCs/>
          <w:szCs w:val="24"/>
        </w:rPr>
        <w:t>dnia 26 kwietnia 2007</w:t>
      </w:r>
      <w:r w:rsidR="00B726BA">
        <w:rPr>
          <w:rFonts w:eastAsia="Times New Roman" w:cs="Times New Roman"/>
          <w:bCs/>
          <w:szCs w:val="24"/>
        </w:rPr>
        <w:t> </w:t>
      </w:r>
      <w:r w:rsidRPr="0024375B">
        <w:rPr>
          <w:rFonts w:eastAsia="Times New Roman" w:cs="Times New Roman"/>
          <w:bCs/>
          <w:szCs w:val="24"/>
        </w:rPr>
        <w:t>r.</w:t>
      </w:r>
      <w:r w:rsidR="0077165A">
        <w:rPr>
          <w:rFonts w:eastAsia="Times New Roman" w:cs="Times New Roman"/>
          <w:bCs/>
          <w:szCs w:val="24"/>
        </w:rPr>
        <w:t xml:space="preserve"> o </w:t>
      </w:r>
      <w:r w:rsidRPr="0024375B">
        <w:rPr>
          <w:rFonts w:eastAsia="Times New Roman" w:cs="Times New Roman"/>
          <w:bCs/>
          <w:szCs w:val="24"/>
        </w:rPr>
        <w:t>zarządzaniu kryzysowym</w:t>
      </w:r>
      <w:r w:rsidR="00C51BDA">
        <w:rPr>
          <w:rFonts w:eastAsia="Times New Roman" w:cs="Times New Roman"/>
          <w:bCs/>
          <w:szCs w:val="24"/>
        </w:rPr>
        <w:t>,</w:t>
      </w:r>
    </w:p>
    <w:p w14:paraId="161D4A7D" w14:textId="77777777" w:rsidR="002A752F" w:rsidRPr="0024375B" w:rsidRDefault="002A752F" w:rsidP="0024375B">
      <w:pPr>
        <w:pStyle w:val="Akapitzlist"/>
        <w:numPr>
          <w:ilvl w:val="1"/>
          <w:numId w:val="92"/>
        </w:numPr>
        <w:spacing w:line="240" w:lineRule="auto"/>
        <w:ind w:hanging="357"/>
        <w:contextualSpacing w:val="0"/>
        <w:rPr>
          <w:rFonts w:eastAsia="Times New Roman" w:cs="Times New Roman"/>
          <w:bCs/>
          <w:szCs w:val="24"/>
        </w:rPr>
      </w:pPr>
      <w:r w:rsidRPr="0024375B">
        <w:rPr>
          <w:rFonts w:eastAsia="Times New Roman" w:cs="Times New Roman"/>
          <w:bCs/>
          <w:szCs w:val="24"/>
        </w:rPr>
        <w:t>wpływ incydentu telekomunikacyjnego na połączenia do numerów alarmowych</w:t>
      </w:r>
      <w:r w:rsidR="00C51BDA">
        <w:rPr>
          <w:rFonts w:eastAsia="Times New Roman" w:cs="Times New Roman"/>
          <w:bCs/>
          <w:szCs w:val="24"/>
        </w:rPr>
        <w:t>,</w:t>
      </w:r>
    </w:p>
    <w:p w14:paraId="7CBF4A24" w14:textId="77777777" w:rsidR="002A752F" w:rsidRPr="0024375B" w:rsidRDefault="002A752F" w:rsidP="0024375B">
      <w:pPr>
        <w:pStyle w:val="Akapitzlist"/>
        <w:numPr>
          <w:ilvl w:val="1"/>
          <w:numId w:val="92"/>
        </w:numPr>
        <w:spacing w:line="240" w:lineRule="auto"/>
        <w:ind w:hanging="357"/>
        <w:contextualSpacing w:val="0"/>
        <w:rPr>
          <w:rFonts w:eastAsia="Times New Roman" w:cs="Times New Roman"/>
          <w:szCs w:val="24"/>
        </w:rPr>
      </w:pPr>
      <w:r w:rsidRPr="0024375B">
        <w:rPr>
          <w:rFonts w:eastAsia="Times New Roman" w:cs="Times New Roman"/>
          <w:szCs w:val="24"/>
        </w:rPr>
        <w:t>wpływ incydentu telekomunikacyjnego na wykonywanie obowiązków na rzecz obronności, bezpieczeństwa państwa oraz bezpieczeństwa</w:t>
      </w:r>
      <w:r w:rsidR="002161FE">
        <w:rPr>
          <w:rFonts w:eastAsia="Times New Roman" w:cs="Times New Roman"/>
          <w:szCs w:val="24"/>
        </w:rPr>
        <w:t xml:space="preserve"> i </w:t>
      </w:r>
      <w:r w:rsidRPr="0024375B">
        <w:rPr>
          <w:rFonts w:eastAsia="Times New Roman" w:cs="Times New Roman"/>
          <w:szCs w:val="24"/>
        </w:rPr>
        <w:t>porządku publicznego</w:t>
      </w:r>
      <w:r w:rsidR="005E700B" w:rsidRPr="0024375B">
        <w:rPr>
          <w:rFonts w:eastAsia="Times New Roman" w:cs="Times New Roman"/>
          <w:szCs w:val="24"/>
        </w:rPr>
        <w:t>.</w:t>
      </w:r>
    </w:p>
    <w:p w14:paraId="518C31C6" w14:textId="77777777" w:rsidR="00CE63C0" w:rsidRPr="0024375B" w:rsidRDefault="00F1127A" w:rsidP="0024375B">
      <w:pPr>
        <w:ind w:firstLine="510"/>
        <w:jc w:val="both"/>
        <w:rPr>
          <w:rFonts w:eastAsia="Times New Roman" w:cs="Times New Roman"/>
          <w:szCs w:val="24"/>
        </w:rPr>
      </w:pPr>
      <w:r w:rsidRPr="0024375B">
        <w:rPr>
          <w:rFonts w:eastAsia="Times New Roman" w:cs="Times New Roman"/>
          <w:szCs w:val="24"/>
        </w:rPr>
        <w:lastRenderedPageBreak/>
        <w:t>Wydając rozporządzenie minister weźmie pod uwagę rekomendacje ENISA</w:t>
      </w:r>
      <w:r w:rsidR="00443C0E">
        <w:rPr>
          <w:rFonts w:eastAsia="Times New Roman" w:cs="Times New Roman"/>
          <w:szCs w:val="24"/>
        </w:rPr>
        <w:t xml:space="preserve"> – agencja ta wydaje rekomendacje celem wsparcia organów regulacyjnych państw UE.</w:t>
      </w:r>
    </w:p>
    <w:p w14:paraId="0A5E6BF3" w14:textId="77777777" w:rsidR="002B6955" w:rsidRPr="0024375B" w:rsidRDefault="002B6955" w:rsidP="00DC1575">
      <w:pPr>
        <w:pStyle w:val="Nagwek4"/>
        <w:rPr>
          <w:rFonts w:eastAsia="Times New Roman"/>
        </w:rPr>
      </w:pPr>
      <w:r w:rsidRPr="0024375B">
        <w:rPr>
          <w:rFonts w:eastAsia="Times New Roman"/>
        </w:rPr>
        <w:t>Nowy</w:t>
      </w:r>
      <w:r w:rsidR="00EA1900">
        <w:rPr>
          <w:rFonts w:eastAsia="Times New Roman"/>
        </w:rPr>
        <w:t xml:space="preserve"> art. </w:t>
      </w:r>
      <w:r w:rsidRPr="0024375B">
        <w:rPr>
          <w:rFonts w:eastAsia="Times New Roman"/>
        </w:rPr>
        <w:t>20e</w:t>
      </w:r>
    </w:p>
    <w:p w14:paraId="635FF5C8" w14:textId="77777777" w:rsidR="00CE63C0" w:rsidRDefault="00CE63C0" w:rsidP="00FC6B8C">
      <w:pPr>
        <w:pStyle w:val="NIEARTTEKSTtekstnieartykuowanynppodstprawnarozplubpreambua"/>
        <w:rPr>
          <w:rFonts w:eastAsia="Times New Roman"/>
        </w:rPr>
      </w:pPr>
      <w:r w:rsidRPr="0024375B">
        <w:rPr>
          <w:rFonts w:eastAsia="Times New Roman"/>
        </w:rPr>
        <w:t>Przepis</w:t>
      </w:r>
      <w:r w:rsidR="00EA1900">
        <w:rPr>
          <w:rFonts w:eastAsia="Times New Roman"/>
        </w:rPr>
        <w:t xml:space="preserve"> art. </w:t>
      </w:r>
      <w:r w:rsidRPr="0024375B">
        <w:rPr>
          <w:rFonts w:eastAsia="Times New Roman"/>
        </w:rPr>
        <w:t xml:space="preserve">20e zawiera szczegóły dotyczące zawartości zgłoszenia </w:t>
      </w:r>
      <w:r w:rsidR="00F1127A" w:rsidRPr="0024375B">
        <w:rPr>
          <w:rFonts w:eastAsia="Times New Roman"/>
        </w:rPr>
        <w:t xml:space="preserve">poważnego </w:t>
      </w:r>
      <w:r w:rsidRPr="0024375B">
        <w:rPr>
          <w:rFonts w:eastAsia="Times New Roman"/>
        </w:rPr>
        <w:t>incydentu telekomunikacyjnego.</w:t>
      </w:r>
      <w:r w:rsidR="00F1127A" w:rsidRPr="0024375B">
        <w:rPr>
          <w:rFonts w:eastAsia="Times New Roman"/>
        </w:rPr>
        <w:t xml:space="preserve"> Pozwolą one zebrać podstawowe dane</w:t>
      </w:r>
      <w:r w:rsidR="0077165A">
        <w:rPr>
          <w:rFonts w:eastAsia="Times New Roman"/>
        </w:rPr>
        <w:t xml:space="preserve"> o </w:t>
      </w:r>
      <w:r w:rsidR="00F1127A" w:rsidRPr="0024375B">
        <w:rPr>
          <w:rFonts w:eastAsia="Times New Roman"/>
        </w:rPr>
        <w:t>tym incydencie takie jak dane</w:t>
      </w:r>
      <w:r w:rsidR="0077165A">
        <w:rPr>
          <w:rFonts w:eastAsia="Times New Roman"/>
        </w:rPr>
        <w:t xml:space="preserve"> o </w:t>
      </w:r>
      <w:r w:rsidR="00F1127A" w:rsidRPr="0024375B">
        <w:rPr>
          <w:rFonts w:eastAsia="Times New Roman"/>
        </w:rPr>
        <w:t xml:space="preserve">podmiocie dotkniętym incydentem, liczbę </w:t>
      </w:r>
      <w:r w:rsidR="00C01E70" w:rsidRPr="0024375B">
        <w:rPr>
          <w:rFonts w:eastAsia="Times New Roman"/>
        </w:rPr>
        <w:t>użytkowników, na których</w:t>
      </w:r>
      <w:r w:rsidR="00F1127A" w:rsidRPr="0024375B">
        <w:rPr>
          <w:rFonts w:eastAsia="Times New Roman"/>
        </w:rPr>
        <w:t xml:space="preserve"> poważny incydent telekomunikacyjny miał wpływ oraz wpływ na usługi kluczowe, usługi cyfrowe czy obowiązki na rzecz obronności, bezpieczeństwa państwa oraz bezpieczeństwa</w:t>
      </w:r>
      <w:r w:rsidR="002161FE">
        <w:rPr>
          <w:rFonts w:eastAsia="Times New Roman"/>
        </w:rPr>
        <w:t xml:space="preserve"> i </w:t>
      </w:r>
      <w:r w:rsidR="00F1127A" w:rsidRPr="0024375B">
        <w:rPr>
          <w:rFonts w:eastAsia="Times New Roman"/>
        </w:rPr>
        <w:t>porządku publicznego.</w:t>
      </w:r>
      <w:r w:rsidR="00A8760B" w:rsidRPr="0024375B">
        <w:rPr>
          <w:rFonts w:eastAsia="Times New Roman"/>
        </w:rPr>
        <w:t xml:space="preserve"> Dane te są niezbędne, aby CSIRT Telco mógł skutecznie reagować na poważne incydenty telekomunikacyjne. </w:t>
      </w:r>
      <w:r w:rsidR="00443C0E">
        <w:rPr>
          <w:rFonts w:eastAsia="Times New Roman"/>
        </w:rPr>
        <w:t>Ponadto dzięki tym informacjom CSIRT poziomu krajowego zyskają informacje niezbędne do bieżącego szacowania ryzyka na poziomie krajowym.</w:t>
      </w:r>
    </w:p>
    <w:p w14:paraId="7364F5CF" w14:textId="77777777" w:rsidR="0027478C" w:rsidRDefault="0027478C" w:rsidP="00FC6B8C">
      <w:pPr>
        <w:pStyle w:val="NIEARTTEKSTtekstnieartykuowanynppodstprawnarozplubpreambua"/>
        <w:rPr>
          <w:rFonts w:eastAsia="Times New Roman"/>
        </w:rPr>
      </w:pPr>
      <w:r>
        <w:rPr>
          <w:rFonts w:eastAsia="Times New Roman"/>
        </w:rPr>
        <w:t xml:space="preserve">Przede wszystkim </w:t>
      </w:r>
      <w:r w:rsidR="00D57B01">
        <w:rPr>
          <w:rFonts w:eastAsia="Times New Roman"/>
        </w:rPr>
        <w:t>zgłoszenie</w:t>
      </w:r>
      <w:r>
        <w:rPr>
          <w:rFonts w:eastAsia="Times New Roman"/>
        </w:rPr>
        <w:t xml:space="preserve"> musi zawierać informacje od kogo pochodzi – od jakiego podmiotu. Potem muszą być wskazane dane osoby (imię, nazwisko, numer telefonu, adres poczty elektronicznej) zgłaszającej incydent oraz dane osoby uprawnionej do zgłaszania wyjaśnień – to mogą być dwie różne osoby albo jedna, która wypełnia dwie funkcje. Istotne jest, aby CSIRT Telco wiedział kto zgłasza</w:t>
      </w:r>
      <w:r w:rsidR="00D57B01">
        <w:rPr>
          <w:rFonts w:eastAsia="Times New Roman"/>
        </w:rPr>
        <w:t xml:space="preserve"> incydent telekomunikacyjny</w:t>
      </w:r>
      <w:r>
        <w:rPr>
          <w:rFonts w:eastAsia="Times New Roman"/>
        </w:rPr>
        <w:t xml:space="preserve"> i kto może udzielić wyjaśnień.</w:t>
      </w:r>
    </w:p>
    <w:p w14:paraId="03370595" w14:textId="31E562C9" w:rsidR="00D57B01" w:rsidRDefault="00D57B01" w:rsidP="00FC6B8C">
      <w:pPr>
        <w:pStyle w:val="NIEARTTEKSTtekstnieartykuowanynppodstprawnarozplubpreambua"/>
        <w:rPr>
          <w:rFonts w:eastAsia="Times New Roman"/>
        </w:rPr>
      </w:pPr>
      <w:r>
        <w:rPr>
          <w:rFonts w:eastAsia="Times New Roman"/>
        </w:rPr>
        <w:t xml:space="preserve">Następnie muszą być wskazane sieci i usługi komunikacji elektronicznej </w:t>
      </w:r>
      <w:r w:rsidR="00197EBD">
        <w:rPr>
          <w:rFonts w:eastAsia="Times New Roman"/>
        </w:rPr>
        <w:t>oraz liczb</w:t>
      </w:r>
      <w:r w:rsidR="008841B3">
        <w:rPr>
          <w:rFonts w:eastAsia="Times New Roman"/>
        </w:rPr>
        <w:t>a</w:t>
      </w:r>
      <w:r w:rsidR="00197EBD">
        <w:rPr>
          <w:rFonts w:eastAsia="Times New Roman"/>
        </w:rPr>
        <w:t xml:space="preserve"> użytkowników </w:t>
      </w:r>
      <w:r>
        <w:rPr>
          <w:rFonts w:eastAsia="Times New Roman"/>
        </w:rPr>
        <w:t>na które poważny incydent telekomunikacyjny miał wpływ</w:t>
      </w:r>
      <w:r w:rsidR="0046038B">
        <w:rPr>
          <w:rFonts w:eastAsia="Times New Roman"/>
        </w:rPr>
        <w:t xml:space="preserve"> a także zasięg geograficzny obszaru, na który incydent telekomunikacyjny miał wpływ.</w:t>
      </w:r>
    </w:p>
    <w:p w14:paraId="70DDD082" w14:textId="77777777" w:rsidR="00197EBD" w:rsidRDefault="00197EBD" w:rsidP="00FC6B8C">
      <w:pPr>
        <w:pStyle w:val="NIEARTTEKSTtekstnieartykuowanynppodstprawnarozplubpreambua"/>
        <w:rPr>
          <w:rFonts w:eastAsia="Times New Roman"/>
        </w:rPr>
      </w:pPr>
      <w:r>
        <w:rPr>
          <w:rFonts w:eastAsia="Times New Roman"/>
        </w:rPr>
        <w:t>Projekt zakłada, że zgłoszenie poważnego incydentu telekomunikacyjnego będzie zawierało opis wpływu tego zdarzenia na świadczenie usługi kluczowej przez operatorów usług kluczowych oraz usług cyfrowych przez dostawców usług cyfrowych, jeżeli ten wpływ jest znany. Interpretować to należy w ten sposób – jeżeli przedsiębiorca komunikacji elektronicznej uzyskał informację (np. w drodze negocjacji biznesowych) od swojego usługobiorcy, że jest operatorem usługi kluczowej – to powinien wskazać w zgłoszeniu czy poważny incydent telekomunikacyjny miał wpływ na świadczenie usługi kluczowej. To samo w przypadku dostawców usług cyfrowych – szczególnie tych dostawców świadczących usługi przetwarzania w chmurze – centra przetwarzania danych wymagają, do swojego codziennego funkcjonowania, niezawodnych, redundantnych łączy telekomunikacyjnych.</w:t>
      </w:r>
      <w:r w:rsidR="00720C37">
        <w:rPr>
          <w:rFonts w:eastAsia="Times New Roman"/>
        </w:rPr>
        <w:t xml:space="preserve"> Natomiast jeśli przedsiębiorca komunikacji elektronicznej obiektywnie nie jest w stanie wskazać, czy poważny incydent telekomunikacyjny wpłynął na operatorów usług kluczowych czy dostawców usług cyfrowych to wtedy nie musi wypełniać tej części zgłoszenia.</w:t>
      </w:r>
      <w:r>
        <w:rPr>
          <w:rFonts w:eastAsia="Times New Roman"/>
        </w:rPr>
        <w:t xml:space="preserve"> </w:t>
      </w:r>
      <w:r w:rsidR="0024070B" w:rsidRPr="0024070B">
        <w:rPr>
          <w:rFonts w:eastAsia="Times New Roman"/>
        </w:rPr>
        <w:t>Podobny przepis znajduje się w art. 12 ust. 1 pkt 4 lit. e</w:t>
      </w:r>
      <w:r w:rsidR="0024070B">
        <w:rPr>
          <w:rFonts w:eastAsia="Times New Roman"/>
        </w:rPr>
        <w:t xml:space="preserve"> ustawy o KSC.</w:t>
      </w:r>
    </w:p>
    <w:p w14:paraId="089511F4" w14:textId="77777777" w:rsidR="0024070B" w:rsidRDefault="00197EBD" w:rsidP="00FC6B8C">
      <w:pPr>
        <w:pStyle w:val="NIEARTTEKSTtekstnieartykuowanynppodstprawnarozplubpreambua"/>
        <w:rPr>
          <w:rFonts w:eastAsia="Times New Roman"/>
        </w:rPr>
      </w:pPr>
      <w:r>
        <w:rPr>
          <w:rFonts w:eastAsia="Times New Roman"/>
        </w:rPr>
        <w:t xml:space="preserve">W zgłoszeniu powinien być także opisany wpływ </w:t>
      </w:r>
      <w:r w:rsidRPr="00197EBD">
        <w:rPr>
          <w:rFonts w:eastAsia="Times New Roman"/>
        </w:rPr>
        <w:t>poważnego incydentu telekomunikacyjnego na</w:t>
      </w:r>
      <w:r w:rsidR="006940CE">
        <w:rPr>
          <w:rFonts w:eastAsia="Times New Roman"/>
        </w:rPr>
        <w:t>:</w:t>
      </w:r>
      <w:r w:rsidRPr="00197EBD">
        <w:rPr>
          <w:rFonts w:eastAsia="Times New Roman"/>
        </w:rPr>
        <w:t xml:space="preserve"> </w:t>
      </w:r>
    </w:p>
    <w:p w14:paraId="59DE7875" w14:textId="77777777" w:rsidR="00197EBD" w:rsidRPr="00FC6B8C" w:rsidRDefault="00197EBD" w:rsidP="00FC6B8C">
      <w:pPr>
        <w:pStyle w:val="NIEARTTEKSTtekstnieartykuowanynppodstprawnarozplubpreambua"/>
        <w:numPr>
          <w:ilvl w:val="0"/>
          <w:numId w:val="117"/>
        </w:numPr>
        <w:rPr>
          <w:rFonts w:eastAsia="Times New Roman"/>
        </w:rPr>
      </w:pPr>
      <w:r w:rsidRPr="00FC6B8C">
        <w:rPr>
          <w:rFonts w:eastAsia="Times New Roman"/>
        </w:rPr>
        <w:t>połączenia z numerami alarmowymi</w:t>
      </w:r>
      <w:r w:rsidR="0024070B">
        <w:rPr>
          <w:rFonts w:eastAsia="Times New Roman"/>
        </w:rPr>
        <w:t xml:space="preserve"> – o każdym przypadku niedostępności </w:t>
      </w:r>
      <w:r w:rsidR="0024070B" w:rsidRPr="0024070B">
        <w:rPr>
          <w:rFonts w:eastAsia="Times New Roman"/>
        </w:rPr>
        <w:t>numer</w:t>
      </w:r>
      <w:r w:rsidR="0024070B">
        <w:rPr>
          <w:rFonts w:eastAsia="Times New Roman"/>
        </w:rPr>
        <w:t>ów</w:t>
      </w:r>
      <w:r w:rsidR="0024070B" w:rsidRPr="0024070B">
        <w:rPr>
          <w:rFonts w:eastAsia="Times New Roman"/>
        </w:rPr>
        <w:t xml:space="preserve"> ustalony</w:t>
      </w:r>
      <w:r w:rsidR="0024070B">
        <w:rPr>
          <w:rFonts w:eastAsia="Times New Roman"/>
        </w:rPr>
        <w:t>ch</w:t>
      </w:r>
      <w:r w:rsidR="0024070B" w:rsidRPr="0024070B">
        <w:rPr>
          <w:rFonts w:eastAsia="Times New Roman"/>
        </w:rPr>
        <w:t xml:space="preserve"> w ustawie lub w planie numeracji krajowej dla publicznych sieci telekomunikacyjnych </w:t>
      </w:r>
      <w:r w:rsidR="0024070B" w:rsidRPr="0024070B">
        <w:rPr>
          <w:rFonts w:eastAsia="Times New Roman"/>
        </w:rPr>
        <w:lastRenderedPageBreak/>
        <w:t>udostępniany</w:t>
      </w:r>
      <w:r w:rsidR="0024070B">
        <w:rPr>
          <w:rFonts w:eastAsia="Times New Roman"/>
        </w:rPr>
        <w:t>ch</w:t>
      </w:r>
      <w:r w:rsidR="0024070B" w:rsidRPr="0024070B">
        <w:rPr>
          <w:rFonts w:eastAsia="Times New Roman"/>
        </w:rPr>
        <w:t xml:space="preserve"> służbom ustawowo powołanym do niesienia pomocy</w:t>
      </w:r>
      <w:r w:rsidR="0024070B">
        <w:rPr>
          <w:rFonts w:eastAsia="Times New Roman"/>
        </w:rPr>
        <w:t xml:space="preserve"> państwo powinno wiedzieć, ponieważ numery te służą pomocy obywatelom;</w:t>
      </w:r>
    </w:p>
    <w:p w14:paraId="46C010E5" w14:textId="4A886134" w:rsidR="0024070B" w:rsidRDefault="0024070B" w:rsidP="00FC6B8C">
      <w:pPr>
        <w:pStyle w:val="NIEARTTEKSTtekstnieartykuowanynppodstprawnarozplubpreambua"/>
        <w:numPr>
          <w:ilvl w:val="0"/>
          <w:numId w:val="117"/>
        </w:numPr>
        <w:rPr>
          <w:rFonts w:eastAsia="Times New Roman"/>
        </w:rPr>
      </w:pPr>
      <w:r w:rsidRPr="00FC6B8C">
        <w:rPr>
          <w:rFonts w:eastAsia="Times New Roman"/>
        </w:rPr>
        <w:t xml:space="preserve">możliwość realizacji zadań lub obowiązków na rzecz obronności, bezpieczeństwa państwa oraz bezpieczeństwa i porządku publicznego – chodzi o obowiązki określone obecnie w </w:t>
      </w:r>
      <w:r>
        <w:rPr>
          <w:rFonts w:eastAsia="Times New Roman"/>
        </w:rPr>
        <w:t>dziale</w:t>
      </w:r>
      <w:r w:rsidRPr="0024070B">
        <w:rPr>
          <w:rFonts w:eastAsia="Times New Roman"/>
        </w:rPr>
        <w:t xml:space="preserve"> VIII. </w:t>
      </w:r>
      <w:r w:rsidRPr="00FC6B8C">
        <w:rPr>
          <w:rFonts w:eastAsia="Times New Roman"/>
          <w:i/>
        </w:rPr>
        <w:t>Obowiązki na rzecz obronności, bezpieczeństwa państwa oraz bezpieczeństwa i porządku publicznego</w:t>
      </w:r>
      <w:r w:rsidRPr="00FC6B8C">
        <w:rPr>
          <w:rFonts w:eastAsia="Times New Roman"/>
        </w:rPr>
        <w:t xml:space="preserve"> </w:t>
      </w:r>
      <w:r w:rsidR="006940CE">
        <w:rPr>
          <w:rFonts w:eastAsia="Times New Roman"/>
        </w:rPr>
        <w:t>ustawy</w:t>
      </w:r>
      <w:r w:rsidR="0044309E">
        <w:rPr>
          <w:rFonts w:eastAsia="Times New Roman"/>
        </w:rPr>
        <w:t xml:space="preserve"> z dnia 16 lipca 2004 r.</w:t>
      </w:r>
      <w:r w:rsidR="006940CE">
        <w:rPr>
          <w:rFonts w:eastAsia="Times New Roman"/>
        </w:rPr>
        <w:t xml:space="preserve"> – </w:t>
      </w:r>
      <w:r w:rsidRPr="00FC6B8C">
        <w:rPr>
          <w:rFonts w:eastAsia="Times New Roman"/>
        </w:rPr>
        <w:t>Praw</w:t>
      </w:r>
      <w:r w:rsidR="0044309E">
        <w:rPr>
          <w:rFonts w:eastAsia="Times New Roman"/>
        </w:rPr>
        <w:t>o</w:t>
      </w:r>
      <w:r w:rsidRPr="00FC6B8C">
        <w:rPr>
          <w:rFonts w:eastAsia="Times New Roman"/>
        </w:rPr>
        <w:t xml:space="preserve"> telekomunikacyjne a później w art. 39 i następnych </w:t>
      </w:r>
      <w:r w:rsidR="006940CE">
        <w:rPr>
          <w:rFonts w:eastAsia="Times New Roman"/>
        </w:rPr>
        <w:t>ustawy –</w:t>
      </w:r>
      <w:r w:rsidRPr="00FC6B8C">
        <w:rPr>
          <w:rFonts w:eastAsia="Times New Roman"/>
        </w:rPr>
        <w:t>Praw</w:t>
      </w:r>
      <w:r w:rsidR="0044309E">
        <w:rPr>
          <w:rFonts w:eastAsia="Times New Roman"/>
        </w:rPr>
        <w:t>o</w:t>
      </w:r>
      <w:r w:rsidRPr="00FC6B8C">
        <w:rPr>
          <w:rFonts w:eastAsia="Times New Roman"/>
        </w:rPr>
        <w:t xml:space="preserve"> komunikacji elektronicznej; są to m. in. zadania i obowiązki w zakresie przygotowania i utrzymywania wskazanych elementów sieci telekomunikacyjnych dla zapewnienia telekomunikacji na potrzeby systemu kierowania bezpieczeństwem narodowym</w:t>
      </w:r>
      <w:r>
        <w:rPr>
          <w:rFonts w:eastAsia="Times New Roman"/>
        </w:rPr>
        <w:t>. Są to kluczowe obowiązki z punktu widzenia obronności państwa, dlatego jeżeli wydarzył się poważny incydent telekomunikacyjny to państwo powinno wiedzieć w jaki sposób wpływa to na realizację tych obowiązków.</w:t>
      </w:r>
    </w:p>
    <w:p w14:paraId="51550CB6" w14:textId="6484A4A8" w:rsidR="00464E0B" w:rsidRDefault="00464E0B" w:rsidP="00FC6B8C">
      <w:pPr>
        <w:pStyle w:val="NIEARTTEKSTtekstnieartykuowanynppodstprawnarozplubpreambua"/>
        <w:rPr>
          <w:rFonts w:eastAsia="Times New Roman"/>
        </w:rPr>
      </w:pPr>
      <w:r>
        <w:rPr>
          <w:rFonts w:eastAsia="Times New Roman"/>
        </w:rPr>
        <w:t>Ze względu na współzależnoś</w:t>
      </w:r>
      <w:r w:rsidR="0044309E">
        <w:rPr>
          <w:rFonts w:eastAsia="Times New Roman"/>
        </w:rPr>
        <w:t>ć</w:t>
      </w:r>
      <w:r>
        <w:rPr>
          <w:rFonts w:eastAsia="Times New Roman"/>
        </w:rPr>
        <w:t xml:space="preserve"> sieci telekomunikacyjnych incydenty telekomunikacyjne w jednym państwie mo</w:t>
      </w:r>
      <w:r w:rsidR="009A3BBF">
        <w:rPr>
          <w:rFonts w:eastAsia="Times New Roman"/>
        </w:rPr>
        <w:t>gą</w:t>
      </w:r>
      <w:r>
        <w:rPr>
          <w:rFonts w:eastAsia="Times New Roman"/>
        </w:rPr>
        <w:t xml:space="preserve"> mieć wpływ na usługi w drugim państwie Unii Europejskiej – np. w przypadku tranzytu połączeń. Dlatego zgłoszenie poważnego incydentu telekomunikacyjnego powinno zawierać informację o transgranicznych skutkach tego zdarzenia – dzięki temu </w:t>
      </w:r>
      <w:r w:rsidRPr="00464E0B">
        <w:rPr>
          <w:rFonts w:eastAsia="Times New Roman"/>
        </w:rPr>
        <w:t>CSIRT MON, CSIRT NASK lub CSIRT GOV</w:t>
      </w:r>
      <w:r>
        <w:rPr>
          <w:rFonts w:eastAsia="Times New Roman"/>
        </w:rPr>
        <w:t xml:space="preserve"> będą w stanie ocenić </w:t>
      </w:r>
      <w:r w:rsidRPr="00464E0B">
        <w:rPr>
          <w:rFonts w:eastAsia="Times New Roman"/>
        </w:rPr>
        <w:t>czy poważny incydent telekomunikacyjny dotyczy dwóch lub większej liczby państw członkowskich Unii Europejskiej</w:t>
      </w:r>
      <w:r>
        <w:rPr>
          <w:rFonts w:eastAsia="Times New Roman"/>
        </w:rPr>
        <w:t>.</w:t>
      </w:r>
    </w:p>
    <w:p w14:paraId="46D5950F" w14:textId="4FADB312" w:rsidR="00464E0B" w:rsidRDefault="00464E0B" w:rsidP="00FC6B8C">
      <w:pPr>
        <w:pStyle w:val="NIEARTTEKSTtekstnieartykuowanynppodstprawnarozplubpreambua"/>
        <w:rPr>
          <w:rFonts w:eastAsia="Times New Roman"/>
        </w:rPr>
      </w:pPr>
      <w:r>
        <w:rPr>
          <w:rFonts w:eastAsia="Times New Roman"/>
        </w:rPr>
        <w:t>W zgłoszeniu powinno być także wskazane jakie działania zapobiegawcze i naprawcze podjął przedsiębiorca komunikacji elektronicznej w związku z poważnym incydentem telekomunikacyjnym. Przykładowo – czy np. dokonano zabezpieczenia logów. Jest to istotne, ponieważ dzięki temu CSIRT Telco czy CSIRT poziomu krajowego będą wiedziały co zostało zrobione, a w czym należy pomóc zgłaszającemu podczas reagowania na to zdarzenie.</w:t>
      </w:r>
    </w:p>
    <w:p w14:paraId="0AC42C5B" w14:textId="77777777" w:rsidR="00464E0B" w:rsidRDefault="00464E0B" w:rsidP="00FC6B8C">
      <w:pPr>
        <w:pStyle w:val="NIEARTTEKSTtekstnieartykuowanynppodstprawnarozplubpreambua"/>
        <w:rPr>
          <w:rFonts w:eastAsia="Times New Roman"/>
        </w:rPr>
      </w:pPr>
      <w:r>
        <w:rPr>
          <w:rFonts w:eastAsia="Times New Roman"/>
        </w:rPr>
        <w:t xml:space="preserve">Oczywiście przewiduje się, że zgłoszenie może zawierać inne istotne informacje – pozostawia się to do decyzji zgłaszającego. </w:t>
      </w:r>
    </w:p>
    <w:p w14:paraId="22E6529D" w14:textId="55BBA4E9" w:rsidR="00464E0B" w:rsidRDefault="00464E0B" w:rsidP="00FC6B8C">
      <w:pPr>
        <w:pStyle w:val="NIEARTTEKSTtekstnieartykuowanynppodstprawnarozplubpreambua"/>
        <w:rPr>
          <w:rFonts w:eastAsia="Times New Roman"/>
        </w:rPr>
      </w:pPr>
      <w:r>
        <w:rPr>
          <w:rFonts w:eastAsia="Times New Roman"/>
        </w:rPr>
        <w:t xml:space="preserve">Ważne jest samo zgłoszenie poważnego incydentu telekomunikacyjnego, nawet jeżeli </w:t>
      </w:r>
      <w:r w:rsidR="0037137B">
        <w:rPr>
          <w:rFonts w:eastAsia="Times New Roman"/>
        </w:rPr>
        <w:t xml:space="preserve">przedsiębiorca </w:t>
      </w:r>
      <w:r>
        <w:rPr>
          <w:rFonts w:eastAsia="Times New Roman"/>
        </w:rPr>
        <w:t>nie ma  pełnej informacji o tym zdarzeniu. Jest to naturalne, dopiero po dłuższej analizie można uzyskać informacje o np. przyczynie tego zdarzenia. Dlatego wprowadza się regułę, że zgłaszający ma przekazać informacje znane mu w chwili dokonywania zgłoszenia</w:t>
      </w:r>
      <w:r w:rsidR="00D64F64">
        <w:rPr>
          <w:rFonts w:eastAsia="Times New Roman"/>
        </w:rPr>
        <w:t>, ale w trakcie obsługi incydentu telekomunikacyjnego musi uzupełnić te zgłoszenie.</w:t>
      </w:r>
    </w:p>
    <w:p w14:paraId="78FC034F" w14:textId="77777777" w:rsidR="00D64F64" w:rsidRDefault="00D64F64" w:rsidP="00FC6B8C">
      <w:pPr>
        <w:pStyle w:val="NIEARTTEKSTtekstnieartykuowanynppodstprawnarozplubpreambua"/>
        <w:rPr>
          <w:rFonts w:eastAsia="Times New Roman"/>
        </w:rPr>
      </w:pPr>
      <w:r>
        <w:rPr>
          <w:rFonts w:eastAsia="Times New Roman"/>
        </w:rPr>
        <w:t xml:space="preserve">Uprawnia się przedsiębiorcę komunikacji elektronicznej do przekazywania w niezbędnym zakresie w zgłoszeniu poważnego incydentu telekomunikacyjnego informacji mających charakter tajemnic prawnie chronionych, w tym tajemnicy przedsiębiorstwa, jeżeli są one konieczne do obsługi incydentu </w:t>
      </w:r>
      <w:r>
        <w:rPr>
          <w:rFonts w:eastAsia="Times New Roman"/>
        </w:rPr>
        <w:lastRenderedPageBreak/>
        <w:t xml:space="preserve">telekomunikacyjnego. Informacje te powinny być wyraźnie oznaczone w zgłoszeniu, aby zespół CSIRT miał świadomość, że informacja ta podlega szczególnej ochronie. </w:t>
      </w:r>
    </w:p>
    <w:p w14:paraId="7717E954" w14:textId="77777777" w:rsidR="00D64F64" w:rsidRPr="00FC6B8C" w:rsidRDefault="00D64F64" w:rsidP="00FC6B8C">
      <w:pPr>
        <w:pStyle w:val="NIEARTTEKSTtekstnieartykuowanynppodstprawnarozplubpreambua"/>
        <w:rPr>
          <w:rFonts w:eastAsia="Times New Roman"/>
        </w:rPr>
      </w:pPr>
      <w:r>
        <w:rPr>
          <w:rFonts w:eastAsia="Times New Roman"/>
        </w:rPr>
        <w:t xml:space="preserve">Nadaje się uprawnienie dla </w:t>
      </w:r>
      <w:r w:rsidRPr="00D64F64">
        <w:rPr>
          <w:rFonts w:eastAsia="Times New Roman"/>
        </w:rPr>
        <w:t>CSIRT MON, CSIRT NASK lub CSIRT GOV oraz CSIRT Telco</w:t>
      </w:r>
      <w:r>
        <w:rPr>
          <w:rFonts w:eastAsia="Times New Roman"/>
        </w:rPr>
        <w:t xml:space="preserve"> do zwrócenia się do </w:t>
      </w:r>
      <w:r w:rsidRPr="00D64F64">
        <w:rPr>
          <w:rFonts w:eastAsia="Times New Roman"/>
        </w:rPr>
        <w:t>przedsiębiorcy komunikacji elektronicznej o uzupełnienie zgłoszenia o informacje, w tym informacje stanowiące tajemnice prawnie chronione, w zakresie niezbędnym do obsługi incydentu telekomunikacyjnego</w:t>
      </w:r>
      <w:r>
        <w:rPr>
          <w:rFonts w:eastAsia="Times New Roman"/>
        </w:rPr>
        <w:t>.</w:t>
      </w:r>
    </w:p>
    <w:p w14:paraId="6B5F30A0" w14:textId="77777777" w:rsidR="0024070B" w:rsidRPr="0024375B" w:rsidRDefault="0024070B" w:rsidP="0024375B">
      <w:pPr>
        <w:ind w:firstLine="510"/>
        <w:jc w:val="both"/>
        <w:rPr>
          <w:rFonts w:eastAsia="Times New Roman" w:cs="Times New Roman"/>
          <w:szCs w:val="24"/>
        </w:rPr>
      </w:pPr>
    </w:p>
    <w:p w14:paraId="3DD966BB" w14:textId="77777777" w:rsidR="002B6955" w:rsidRPr="0024375B" w:rsidRDefault="002B6955" w:rsidP="00DC1575">
      <w:pPr>
        <w:pStyle w:val="Nagwek4"/>
        <w:rPr>
          <w:rFonts w:eastAsia="Times New Roman"/>
        </w:rPr>
      </w:pPr>
      <w:r w:rsidRPr="0024375B">
        <w:rPr>
          <w:rFonts w:eastAsia="Times New Roman"/>
        </w:rPr>
        <w:t>Nowy</w:t>
      </w:r>
      <w:r w:rsidR="00EA1900">
        <w:rPr>
          <w:rFonts w:eastAsia="Times New Roman"/>
        </w:rPr>
        <w:t xml:space="preserve"> art. </w:t>
      </w:r>
      <w:r w:rsidRPr="0024375B">
        <w:rPr>
          <w:rFonts w:eastAsia="Times New Roman"/>
        </w:rPr>
        <w:t>20f</w:t>
      </w:r>
    </w:p>
    <w:p w14:paraId="5846F078" w14:textId="77777777" w:rsidR="004A0B6C" w:rsidRPr="0024375B" w:rsidRDefault="00CE63C0" w:rsidP="0024375B">
      <w:pPr>
        <w:ind w:firstLine="510"/>
        <w:jc w:val="both"/>
        <w:rPr>
          <w:rFonts w:eastAsia="Times New Roman" w:cs="Times New Roman"/>
          <w:szCs w:val="24"/>
        </w:rPr>
      </w:pPr>
      <w:r w:rsidRPr="0024375B">
        <w:rPr>
          <w:rFonts w:eastAsia="Times New Roman" w:cs="Times New Roman"/>
          <w:szCs w:val="24"/>
        </w:rPr>
        <w:t>Art. 20f reguluje obowiązki informacyjne przedsiębiorcy komunikacji elektronicznej</w:t>
      </w:r>
      <w:r w:rsidR="0097055B" w:rsidRPr="0024375B">
        <w:rPr>
          <w:rFonts w:eastAsia="Times New Roman" w:cs="Times New Roman"/>
          <w:szCs w:val="24"/>
        </w:rPr>
        <w:t xml:space="preserve"> wobec użytkowników końcowych</w:t>
      </w:r>
      <w:r w:rsidRPr="0024375B">
        <w:rPr>
          <w:rFonts w:eastAsia="Times New Roman" w:cs="Times New Roman"/>
          <w:szCs w:val="24"/>
        </w:rPr>
        <w:t>.</w:t>
      </w:r>
      <w:r w:rsidR="004A0B6C" w:rsidRPr="0024375B">
        <w:rPr>
          <w:rFonts w:eastAsia="Times New Roman" w:cs="Times New Roman"/>
          <w:szCs w:val="24"/>
        </w:rPr>
        <w:t xml:space="preserve"> </w:t>
      </w:r>
      <w:r w:rsidR="00FC61AD">
        <w:rPr>
          <w:rFonts w:eastAsia="Times New Roman" w:cs="Times New Roman"/>
          <w:szCs w:val="24"/>
        </w:rPr>
        <w:t>Przepis u</w:t>
      </w:r>
      <w:r w:rsidR="004A0B6C" w:rsidRPr="0024375B">
        <w:rPr>
          <w:rFonts w:eastAsia="Times New Roman" w:cs="Times New Roman"/>
          <w:szCs w:val="24"/>
        </w:rPr>
        <w:t>st</w:t>
      </w:r>
      <w:r w:rsidR="00952F53">
        <w:rPr>
          <w:rFonts w:eastAsia="Times New Roman" w:cs="Times New Roman"/>
          <w:szCs w:val="24"/>
        </w:rPr>
        <w:t>.</w:t>
      </w:r>
      <w:r w:rsidR="004A0B6C" w:rsidRPr="0024375B">
        <w:rPr>
          <w:rFonts w:eastAsia="Times New Roman" w:cs="Times New Roman"/>
          <w:szCs w:val="24"/>
        </w:rPr>
        <w:t xml:space="preserve"> </w:t>
      </w:r>
      <w:r w:rsidR="00952F53">
        <w:rPr>
          <w:rFonts w:eastAsia="Times New Roman" w:cs="Times New Roman"/>
          <w:szCs w:val="24"/>
        </w:rPr>
        <w:t>1</w:t>
      </w:r>
      <w:r w:rsidR="004A0B6C" w:rsidRPr="0024375B">
        <w:rPr>
          <w:rFonts w:eastAsia="Times New Roman" w:cs="Times New Roman"/>
          <w:szCs w:val="24"/>
        </w:rPr>
        <w:t xml:space="preserve"> nakłada obowiązki dotyczące wzmacniania świadomości użytkowników</w:t>
      </w:r>
      <w:r w:rsidR="002161FE">
        <w:rPr>
          <w:rFonts w:eastAsia="Times New Roman" w:cs="Times New Roman"/>
          <w:szCs w:val="24"/>
        </w:rPr>
        <w:t xml:space="preserve"> z </w:t>
      </w:r>
      <w:r w:rsidR="004A0B6C" w:rsidRPr="0024375B">
        <w:rPr>
          <w:rFonts w:eastAsia="Times New Roman" w:cs="Times New Roman"/>
          <w:szCs w:val="24"/>
        </w:rPr>
        <w:t>zakresu bezpieczeństwa. Na stronie internetowej przedsiębiorcy komunikacji elektronicznej będą więc publikowane podstawowe informacje o:</w:t>
      </w:r>
    </w:p>
    <w:p w14:paraId="348411F2" w14:textId="77777777" w:rsidR="004A0B6C" w:rsidRPr="0024375B" w:rsidRDefault="004A0B6C" w:rsidP="0024375B">
      <w:pPr>
        <w:pStyle w:val="ZPKTzmpktartykuempunktem"/>
        <w:numPr>
          <w:ilvl w:val="0"/>
          <w:numId w:val="95"/>
        </w:numPr>
      </w:pPr>
      <w:r w:rsidRPr="0024375B">
        <w:t>potencjalnych zagrożeniach związanych</w:t>
      </w:r>
      <w:r w:rsidR="002161FE">
        <w:t xml:space="preserve"> z </w:t>
      </w:r>
      <w:r w:rsidRPr="0024375B">
        <w:t>korzystaniem przez użytkowników</w:t>
      </w:r>
      <w:r w:rsidR="002161FE">
        <w:t xml:space="preserve"> z </w:t>
      </w:r>
      <w:r w:rsidRPr="0024375B">
        <w:t>usług komunikacji elektronicznej;</w:t>
      </w:r>
    </w:p>
    <w:p w14:paraId="49B14F66" w14:textId="77777777" w:rsidR="004A0B6C" w:rsidRPr="0024375B" w:rsidRDefault="004A0B6C" w:rsidP="0024375B">
      <w:pPr>
        <w:pStyle w:val="ZPKTzmpktartykuempunktem"/>
        <w:numPr>
          <w:ilvl w:val="0"/>
          <w:numId w:val="95"/>
        </w:numPr>
      </w:pPr>
      <w:r w:rsidRPr="0024375B">
        <w:t>rekomendowanych środkach ostrożności</w:t>
      </w:r>
      <w:r w:rsidR="002161FE">
        <w:t xml:space="preserve"> i </w:t>
      </w:r>
      <w:r w:rsidRPr="0024375B">
        <w:t>najbardziej popularnych sposobach zabezpieczania telekomunikacyjnych urządzeń końcowych przed oprogramowaniem złośliwym lub szpiegującym;</w:t>
      </w:r>
    </w:p>
    <w:p w14:paraId="323FD7C5" w14:textId="77777777" w:rsidR="004A0B6C" w:rsidRPr="0024375B" w:rsidRDefault="004A0B6C" w:rsidP="0024375B">
      <w:pPr>
        <w:pStyle w:val="Akapitzlist"/>
        <w:numPr>
          <w:ilvl w:val="0"/>
          <w:numId w:val="95"/>
        </w:numPr>
      </w:pPr>
      <w:r w:rsidRPr="0024375B">
        <w:t>przykładowych konsekwencjach braku lub nieodpowiedniego zabezpieczenia telekomunikacyjnych urządzeń końcowych</w:t>
      </w:r>
      <w:r w:rsidR="00246B45" w:rsidRPr="0024375B">
        <w:t>.</w:t>
      </w:r>
    </w:p>
    <w:p w14:paraId="564560A1" w14:textId="77777777" w:rsidR="004A0B6C" w:rsidRPr="0024375B" w:rsidRDefault="004A0B6C" w:rsidP="0024375B">
      <w:pPr>
        <w:ind w:firstLine="510"/>
        <w:jc w:val="both"/>
      </w:pPr>
      <w:r w:rsidRPr="0024375B">
        <w:t>Dzięki temu użytkownicy będą mieli dostęp do wiedzy, która umożliwi im bezpieczne korzystanie</w:t>
      </w:r>
      <w:r w:rsidR="002161FE">
        <w:t xml:space="preserve"> z </w:t>
      </w:r>
      <w:r w:rsidRPr="0024375B">
        <w:t xml:space="preserve">usług </w:t>
      </w:r>
      <w:r w:rsidR="0051382A" w:rsidRPr="0024375B">
        <w:t>komunikacji</w:t>
      </w:r>
      <w:r w:rsidRPr="0024375B">
        <w:t xml:space="preserve"> elektronicznej. </w:t>
      </w:r>
    </w:p>
    <w:p w14:paraId="3E98E5F1" w14:textId="1AB263A7" w:rsidR="00880FEA" w:rsidRPr="0024375B" w:rsidRDefault="004A0B6C" w:rsidP="001C5AF2">
      <w:pPr>
        <w:keepNext/>
        <w:keepLines/>
        <w:ind w:firstLine="510"/>
        <w:jc w:val="both"/>
        <w:rPr>
          <w:rFonts w:eastAsia="Times New Roman" w:cs="Times New Roman"/>
          <w:szCs w:val="24"/>
        </w:rPr>
      </w:pPr>
      <w:r w:rsidRPr="0024375B">
        <w:rPr>
          <w:rFonts w:eastAsia="Times New Roman" w:cs="Times New Roman"/>
        </w:rPr>
        <w:t>Kolejne ustępy dotyczą już sytuacji,</w:t>
      </w:r>
      <w:r w:rsidR="00EA1900">
        <w:rPr>
          <w:rFonts w:eastAsia="Times New Roman" w:cs="Times New Roman"/>
        </w:rPr>
        <w:t xml:space="preserve"> w </w:t>
      </w:r>
      <w:r w:rsidRPr="0024375B">
        <w:rPr>
          <w:rFonts w:eastAsia="Times New Roman" w:cs="Times New Roman"/>
        </w:rPr>
        <w:t>której doszło do</w:t>
      </w:r>
      <w:r w:rsidR="00CE63C0" w:rsidRPr="0024375B">
        <w:rPr>
          <w:rFonts w:eastAsia="Times New Roman" w:cs="Times New Roman"/>
        </w:rPr>
        <w:t xml:space="preserve"> </w:t>
      </w:r>
      <w:r w:rsidR="00880FEA" w:rsidRPr="0024375B">
        <w:rPr>
          <w:rFonts w:eastAsia="Times New Roman" w:cs="Times New Roman"/>
        </w:rPr>
        <w:t xml:space="preserve">wystąpienia </w:t>
      </w:r>
      <w:r w:rsidR="00CE63C0" w:rsidRPr="0024375B">
        <w:rPr>
          <w:rFonts w:eastAsia="Times New Roman" w:cs="Times New Roman"/>
        </w:rPr>
        <w:t>szczególnego</w:t>
      </w:r>
      <w:r w:rsidR="002161FE">
        <w:rPr>
          <w:rFonts w:eastAsia="Times New Roman" w:cs="Times New Roman"/>
        </w:rPr>
        <w:t xml:space="preserve"> i </w:t>
      </w:r>
      <w:r w:rsidR="00CE63C0" w:rsidRPr="0024375B">
        <w:rPr>
          <w:rFonts w:eastAsia="Times New Roman" w:cs="Times New Roman"/>
        </w:rPr>
        <w:t>znacznego</w:t>
      </w:r>
      <w:r w:rsidR="00443C0E" w:rsidRPr="0024375B">
        <w:rPr>
          <w:rStyle w:val="Odwoanieprzypisudolnego"/>
          <w:rFonts w:eastAsia="Times New Roman"/>
          <w:szCs w:val="24"/>
        </w:rPr>
        <w:footnoteReference w:id="25"/>
      </w:r>
      <w:r w:rsidR="00CE63C0" w:rsidRPr="0024375B">
        <w:rPr>
          <w:rFonts w:eastAsia="Times New Roman" w:cs="Times New Roman"/>
        </w:rPr>
        <w:t xml:space="preserve"> zagrożenia wystąpienia incydentu </w:t>
      </w:r>
      <w:r w:rsidRPr="0024375B">
        <w:rPr>
          <w:rFonts w:eastAsia="Times New Roman" w:cs="Times New Roman"/>
        </w:rPr>
        <w:t>telekomunikacyjnego.</w:t>
      </w:r>
      <w:r w:rsidR="00116933">
        <w:rPr>
          <w:rFonts w:eastAsia="Times New Roman" w:cs="Times New Roman"/>
        </w:rPr>
        <w:t xml:space="preserve"> W </w:t>
      </w:r>
      <w:r w:rsidRPr="0024375B">
        <w:rPr>
          <w:rFonts w:eastAsia="Times New Roman" w:cs="Times New Roman"/>
        </w:rPr>
        <w:t xml:space="preserve">takiej sytuacji </w:t>
      </w:r>
      <w:r w:rsidR="00CE63C0" w:rsidRPr="0024375B">
        <w:rPr>
          <w:rFonts w:eastAsia="Times New Roman" w:cs="Times New Roman"/>
        </w:rPr>
        <w:t xml:space="preserve">przedsiębiorca </w:t>
      </w:r>
      <w:r w:rsidR="0051382A" w:rsidRPr="0024375B">
        <w:rPr>
          <w:rFonts w:eastAsia="Times New Roman" w:cs="Times New Roman"/>
        </w:rPr>
        <w:t>komunikacji</w:t>
      </w:r>
      <w:r w:rsidRPr="0024375B">
        <w:rPr>
          <w:rFonts w:eastAsia="Times New Roman" w:cs="Times New Roman"/>
        </w:rPr>
        <w:t xml:space="preserve"> elektronicznej</w:t>
      </w:r>
      <w:r w:rsidR="00CE63C0" w:rsidRPr="0024375B">
        <w:rPr>
          <w:rFonts w:eastAsia="Times New Roman" w:cs="Times New Roman"/>
        </w:rPr>
        <w:t xml:space="preserve"> będzie miał obowiązek informować</w:t>
      </w:r>
      <w:r w:rsidR="0077165A">
        <w:rPr>
          <w:rFonts w:eastAsia="Times New Roman" w:cs="Times New Roman"/>
        </w:rPr>
        <w:t xml:space="preserve">  </w:t>
      </w:r>
      <w:r w:rsidR="00CE63C0" w:rsidRPr="0024375B">
        <w:rPr>
          <w:rFonts w:eastAsia="Times New Roman" w:cs="Times New Roman"/>
        </w:rPr>
        <w:t>użytkowników, na których takie zagrożenie może mieć wpływ,</w:t>
      </w:r>
      <w:r w:rsidR="0077165A">
        <w:rPr>
          <w:rFonts w:eastAsia="Times New Roman" w:cs="Times New Roman"/>
        </w:rPr>
        <w:t xml:space="preserve"> o </w:t>
      </w:r>
      <w:r w:rsidR="00CE63C0" w:rsidRPr="0024375B">
        <w:rPr>
          <w:rFonts w:eastAsia="Times New Roman" w:cs="Times New Roman"/>
        </w:rPr>
        <w:t>możliwych środkach, które użytkownicy ci mogą podjąć oraz związanych</w:t>
      </w:r>
      <w:r w:rsidR="002161FE">
        <w:rPr>
          <w:rFonts w:eastAsia="Times New Roman" w:cs="Times New Roman"/>
        </w:rPr>
        <w:t xml:space="preserve"> z </w:t>
      </w:r>
      <w:r w:rsidR="00CE63C0" w:rsidRPr="0024375B">
        <w:rPr>
          <w:rFonts w:eastAsia="Times New Roman" w:cs="Times New Roman"/>
        </w:rPr>
        <w:t>tym kosztach</w:t>
      </w:r>
      <w:r w:rsidR="0051382A" w:rsidRPr="0024375B">
        <w:rPr>
          <w:rFonts w:eastAsia="Times New Roman" w:cs="Times New Roman"/>
        </w:rPr>
        <w:t>.</w:t>
      </w:r>
      <w:r w:rsidR="00DA02D7" w:rsidRPr="0024375B">
        <w:rPr>
          <w:rFonts w:eastAsia="Times New Roman" w:cs="Times New Roman"/>
        </w:rPr>
        <w:t xml:space="preserve"> </w:t>
      </w:r>
      <w:r w:rsidR="00F05876" w:rsidRPr="0024375B">
        <w:rPr>
          <w:rFonts w:eastAsia="Times New Roman" w:cs="Times New Roman"/>
        </w:rPr>
        <w:t>Przedsiębiorca poinformuje tych użytkowników</w:t>
      </w:r>
      <w:r w:rsidR="0077165A">
        <w:rPr>
          <w:rFonts w:eastAsia="Times New Roman" w:cs="Times New Roman"/>
        </w:rPr>
        <w:t xml:space="preserve"> o </w:t>
      </w:r>
      <w:r w:rsidR="00F05876" w:rsidRPr="0024375B">
        <w:rPr>
          <w:rFonts w:eastAsia="Times New Roman" w:cs="Times New Roman"/>
        </w:rPr>
        <w:t>samym zagrożeniu, jeżeli nie spowoduje to zwiększenia poziomu ryzyka dla bezpieczeństwa sieci lub usług komunikacji elektronicznej.</w:t>
      </w:r>
      <w:r w:rsidR="00762C28">
        <w:rPr>
          <w:rFonts w:eastAsia="Times New Roman" w:cs="Times New Roman"/>
        </w:rPr>
        <w:t xml:space="preserve"> Obowiązek ten spowoduje, że uprzedzeni wcześniej użytkownicy będą w stanie zabezpieczyć się przed zagrożeniem.</w:t>
      </w:r>
    </w:p>
    <w:p w14:paraId="0ABA2625" w14:textId="77777777" w:rsidR="00290E8F" w:rsidRPr="0024375B" w:rsidRDefault="004A0B6C" w:rsidP="0024375B">
      <w:pPr>
        <w:ind w:firstLine="510"/>
        <w:jc w:val="both"/>
        <w:rPr>
          <w:rFonts w:eastAsia="Times New Roman" w:cs="Times New Roman"/>
          <w:szCs w:val="24"/>
        </w:rPr>
      </w:pPr>
      <w:r w:rsidRPr="0024375B">
        <w:rPr>
          <w:rFonts w:eastAsia="Times New Roman" w:cs="Times New Roman"/>
          <w:szCs w:val="24"/>
        </w:rPr>
        <w:t>Podkreślić przy tym należy, że nie jest intencją projektodawcy nakładanie obowiązku informowania</w:t>
      </w:r>
      <w:r w:rsidR="00880FEA" w:rsidRPr="0024375B">
        <w:rPr>
          <w:rFonts w:eastAsia="Times New Roman" w:cs="Times New Roman"/>
          <w:szCs w:val="24"/>
        </w:rPr>
        <w:t xml:space="preserve"> użytkowników</w:t>
      </w:r>
      <w:r w:rsidR="0077165A">
        <w:rPr>
          <w:rFonts w:eastAsia="Times New Roman" w:cs="Times New Roman"/>
          <w:szCs w:val="24"/>
        </w:rPr>
        <w:t xml:space="preserve"> o </w:t>
      </w:r>
      <w:r w:rsidRPr="0024375B">
        <w:rPr>
          <w:rFonts w:eastAsia="Times New Roman" w:cs="Times New Roman"/>
          <w:szCs w:val="24"/>
        </w:rPr>
        <w:t xml:space="preserve">każdym </w:t>
      </w:r>
      <w:r w:rsidR="00880FEA" w:rsidRPr="0024375B">
        <w:rPr>
          <w:rFonts w:eastAsia="Times New Roman" w:cs="Times New Roman"/>
          <w:szCs w:val="24"/>
        </w:rPr>
        <w:t xml:space="preserve">zagrożeniu wystąpienia </w:t>
      </w:r>
      <w:r w:rsidRPr="0024375B">
        <w:rPr>
          <w:rFonts w:eastAsia="Times New Roman" w:cs="Times New Roman"/>
          <w:szCs w:val="24"/>
        </w:rPr>
        <w:t>incyden</w:t>
      </w:r>
      <w:r w:rsidR="00880FEA" w:rsidRPr="0024375B">
        <w:rPr>
          <w:rFonts w:eastAsia="Times New Roman" w:cs="Times New Roman"/>
          <w:szCs w:val="24"/>
        </w:rPr>
        <w:t>tu</w:t>
      </w:r>
      <w:r w:rsidRPr="0024375B">
        <w:rPr>
          <w:rFonts w:eastAsia="Times New Roman" w:cs="Times New Roman"/>
          <w:szCs w:val="24"/>
        </w:rPr>
        <w:t xml:space="preserve"> telekomunikacyjn</w:t>
      </w:r>
      <w:r w:rsidR="00880FEA" w:rsidRPr="0024375B">
        <w:rPr>
          <w:rFonts w:eastAsia="Times New Roman" w:cs="Times New Roman"/>
          <w:szCs w:val="24"/>
        </w:rPr>
        <w:t>ego</w:t>
      </w:r>
      <w:r w:rsidRPr="0024375B">
        <w:rPr>
          <w:rFonts w:eastAsia="Times New Roman" w:cs="Times New Roman"/>
          <w:szCs w:val="24"/>
        </w:rPr>
        <w:t xml:space="preserve">. Takie podejście spowodowałoby znaczne obciążenie działów bezpieczeństwa przedsiębiorców. </w:t>
      </w:r>
      <w:r w:rsidR="00290E8F" w:rsidRPr="0024375B">
        <w:rPr>
          <w:rFonts w:eastAsia="Times New Roman" w:cs="Times New Roman"/>
          <w:szCs w:val="24"/>
        </w:rPr>
        <w:t xml:space="preserve">Ponadto, po pewnym czasie </w:t>
      </w:r>
      <w:r w:rsidR="00290E8F" w:rsidRPr="0024375B">
        <w:rPr>
          <w:rFonts w:eastAsia="Times New Roman" w:cs="Times New Roman"/>
          <w:szCs w:val="24"/>
        </w:rPr>
        <w:lastRenderedPageBreak/>
        <w:t>wysyłania częstych wiadomości</w:t>
      </w:r>
      <w:r w:rsidR="0077165A">
        <w:rPr>
          <w:rFonts w:eastAsia="Times New Roman" w:cs="Times New Roman"/>
          <w:szCs w:val="24"/>
        </w:rPr>
        <w:t xml:space="preserve"> o </w:t>
      </w:r>
      <w:r w:rsidR="00290E8F" w:rsidRPr="0024375B">
        <w:rPr>
          <w:rFonts w:eastAsia="Times New Roman" w:cs="Times New Roman"/>
          <w:szCs w:val="24"/>
        </w:rPr>
        <w:t xml:space="preserve">drobnych zagrożeniach użytkownicy mogliby zacząć je ignorować, co byłoby niepożądane. </w:t>
      </w:r>
      <w:r w:rsidR="00F05876" w:rsidRPr="0024375B">
        <w:rPr>
          <w:rFonts w:eastAsia="Times New Roman" w:cs="Times New Roman"/>
          <w:szCs w:val="24"/>
        </w:rPr>
        <w:t>Tak jak wyżej wspomniano – obowiązki te będą się pojawiały</w:t>
      </w:r>
      <w:r w:rsidR="00EA1900">
        <w:rPr>
          <w:rFonts w:eastAsia="Times New Roman" w:cs="Times New Roman"/>
          <w:szCs w:val="24"/>
        </w:rPr>
        <w:t xml:space="preserve"> w </w:t>
      </w:r>
      <w:r w:rsidR="00F05876" w:rsidRPr="0024375B">
        <w:rPr>
          <w:rFonts w:eastAsia="Times New Roman" w:cs="Times New Roman"/>
          <w:szCs w:val="24"/>
        </w:rPr>
        <w:t>sytuacji szczególnego</w:t>
      </w:r>
      <w:r w:rsidR="002161FE">
        <w:rPr>
          <w:rFonts w:eastAsia="Times New Roman" w:cs="Times New Roman"/>
          <w:szCs w:val="24"/>
        </w:rPr>
        <w:t xml:space="preserve"> i </w:t>
      </w:r>
      <w:r w:rsidR="00F05876" w:rsidRPr="0024375B">
        <w:rPr>
          <w:rFonts w:eastAsia="Times New Roman" w:cs="Times New Roman"/>
          <w:szCs w:val="24"/>
        </w:rPr>
        <w:t xml:space="preserve">znacznego zagrożenia wystąpienia incydentu telekomunikacyjnego. </w:t>
      </w:r>
      <w:r w:rsidR="00290E8F" w:rsidRPr="0024375B">
        <w:rPr>
          <w:rFonts w:eastAsia="Times New Roman" w:cs="Times New Roman"/>
        </w:rPr>
        <w:t xml:space="preserve">Pomocą dla </w:t>
      </w:r>
      <w:r w:rsidR="00DA02D7" w:rsidRPr="0024375B">
        <w:rPr>
          <w:rFonts w:eastAsia="Times New Roman" w:cs="Times New Roman"/>
        </w:rPr>
        <w:t>przedsiębiorcy komunikacji elektronicznej przy dostosowaniu się do tych wymogów będą publikacje ENISA</w:t>
      </w:r>
      <w:r w:rsidR="00DA02D7" w:rsidRPr="0024375B">
        <w:rPr>
          <w:rStyle w:val="Odwoanieprzypisudolnego"/>
          <w:rFonts w:eastAsia="Times New Roman"/>
          <w:szCs w:val="24"/>
        </w:rPr>
        <w:footnoteReference w:id="26"/>
      </w:r>
      <w:r w:rsidR="00C51BDA">
        <w:rPr>
          <w:rFonts w:eastAsia="Times New Roman" w:cs="Times New Roman"/>
          <w:vertAlign w:val="superscript"/>
        </w:rPr>
        <w:t>)</w:t>
      </w:r>
      <w:r w:rsidR="00DA02D7" w:rsidRPr="0024375B">
        <w:rPr>
          <w:rFonts w:eastAsia="Times New Roman" w:cs="Times New Roman"/>
        </w:rPr>
        <w:t>.</w:t>
      </w:r>
    </w:p>
    <w:p w14:paraId="225619E2" w14:textId="77777777" w:rsidR="00CE63C0" w:rsidRPr="0024375B" w:rsidRDefault="00CE63C0" w:rsidP="0024375B">
      <w:pPr>
        <w:ind w:firstLine="510"/>
        <w:jc w:val="both"/>
        <w:rPr>
          <w:rFonts w:eastAsia="Times New Roman" w:cs="Times New Roman"/>
          <w:szCs w:val="24"/>
        </w:rPr>
      </w:pPr>
      <w:r w:rsidRPr="0024375B">
        <w:rPr>
          <w:rFonts w:eastAsia="Times New Roman" w:cs="Times New Roman"/>
          <w:szCs w:val="24"/>
        </w:rPr>
        <w:t xml:space="preserve">Ponadto, przedsiębiorca komunikacji elektronicznej będzie zobowiązany </w:t>
      </w:r>
      <w:r w:rsidR="009D6D1B" w:rsidRPr="0024375B">
        <w:rPr>
          <w:rFonts w:eastAsia="Times New Roman" w:cs="Times New Roman"/>
          <w:szCs w:val="24"/>
        </w:rPr>
        <w:t>po</w:t>
      </w:r>
      <w:r w:rsidRPr="0024375B">
        <w:rPr>
          <w:rFonts w:eastAsia="Times New Roman" w:cs="Times New Roman"/>
          <w:szCs w:val="24"/>
        </w:rPr>
        <w:t>informować</w:t>
      </w:r>
      <w:r w:rsidR="0077165A">
        <w:rPr>
          <w:rFonts w:eastAsia="Times New Roman" w:cs="Times New Roman"/>
          <w:szCs w:val="24"/>
        </w:rPr>
        <w:t xml:space="preserve"> o </w:t>
      </w:r>
      <w:r w:rsidRPr="0024375B">
        <w:rPr>
          <w:rFonts w:eastAsia="Times New Roman" w:cs="Times New Roman"/>
          <w:szCs w:val="24"/>
        </w:rPr>
        <w:t>incydencie telekomunikacyjnym</w:t>
      </w:r>
      <w:r w:rsidR="002161FE">
        <w:rPr>
          <w:rFonts w:eastAsia="Times New Roman" w:cs="Times New Roman"/>
          <w:szCs w:val="24"/>
        </w:rPr>
        <w:t xml:space="preserve"> i </w:t>
      </w:r>
      <w:r w:rsidRPr="0024375B">
        <w:rPr>
          <w:rFonts w:eastAsia="Times New Roman" w:cs="Times New Roman"/>
          <w:szCs w:val="24"/>
        </w:rPr>
        <w:t>jego wpływie na dostępność świadczonych usług, jeżeli</w:t>
      </w:r>
      <w:r w:rsidR="00EA1900">
        <w:rPr>
          <w:rFonts w:eastAsia="Times New Roman" w:cs="Times New Roman"/>
          <w:szCs w:val="24"/>
        </w:rPr>
        <w:t xml:space="preserve"> w </w:t>
      </w:r>
      <w:r w:rsidRPr="0024375B">
        <w:rPr>
          <w:rFonts w:eastAsia="Times New Roman" w:cs="Times New Roman"/>
          <w:szCs w:val="24"/>
        </w:rPr>
        <w:t>jego ocenie ten wpływ jest istotny, co stanowi implementację</w:t>
      </w:r>
      <w:r w:rsidR="00EA1900">
        <w:rPr>
          <w:rFonts w:eastAsia="Times New Roman" w:cs="Times New Roman"/>
          <w:szCs w:val="24"/>
        </w:rPr>
        <w:t xml:space="preserve"> art. </w:t>
      </w:r>
      <w:r w:rsidRPr="0024375B">
        <w:rPr>
          <w:rFonts w:eastAsia="Times New Roman" w:cs="Times New Roman"/>
          <w:szCs w:val="24"/>
        </w:rPr>
        <w:t xml:space="preserve">40 </w:t>
      </w:r>
      <w:r w:rsidR="00D00CB4">
        <w:rPr>
          <w:rFonts w:eastAsia="Times New Roman" w:cs="Times New Roman"/>
          <w:szCs w:val="24"/>
        </w:rPr>
        <w:t>ust. </w:t>
      </w:r>
      <w:r w:rsidRPr="0024375B">
        <w:rPr>
          <w:rFonts w:eastAsia="Times New Roman" w:cs="Times New Roman"/>
          <w:szCs w:val="24"/>
        </w:rPr>
        <w:t>3 zdanie drugie EKŁE.</w:t>
      </w:r>
    </w:p>
    <w:p w14:paraId="5C2BAEAB" w14:textId="77777777" w:rsidR="002B6955" w:rsidRPr="0024375B" w:rsidRDefault="002B6955" w:rsidP="00DC1575">
      <w:pPr>
        <w:pStyle w:val="Nagwek4"/>
        <w:rPr>
          <w:rFonts w:eastAsia="Times New Roman"/>
        </w:rPr>
      </w:pPr>
      <w:r w:rsidRPr="0024375B">
        <w:rPr>
          <w:rFonts w:eastAsia="Times New Roman"/>
        </w:rPr>
        <w:t>Nowy</w:t>
      </w:r>
      <w:r w:rsidR="00EA1900">
        <w:rPr>
          <w:rFonts w:eastAsia="Times New Roman"/>
        </w:rPr>
        <w:t xml:space="preserve"> art. </w:t>
      </w:r>
      <w:r w:rsidRPr="0024375B">
        <w:rPr>
          <w:rFonts w:eastAsia="Times New Roman"/>
        </w:rPr>
        <w:t>20g</w:t>
      </w:r>
    </w:p>
    <w:p w14:paraId="12D8BF79" w14:textId="16AF33F2" w:rsidR="002D6284" w:rsidRDefault="00CE63C0" w:rsidP="00FC6B8C">
      <w:pPr>
        <w:pStyle w:val="NIEARTTEKSTtekstnieartykuowanynppodstprawnarozplubpreambua"/>
        <w:rPr>
          <w:rFonts w:eastAsia="Times New Roman"/>
        </w:rPr>
      </w:pPr>
      <w:r w:rsidRPr="0024375B">
        <w:rPr>
          <w:rFonts w:eastAsia="Times New Roman"/>
        </w:rPr>
        <w:t>W</w:t>
      </w:r>
      <w:r w:rsidR="00EA1900">
        <w:rPr>
          <w:rFonts w:eastAsia="Times New Roman"/>
        </w:rPr>
        <w:t xml:space="preserve"> art. </w:t>
      </w:r>
      <w:r w:rsidRPr="0024375B">
        <w:rPr>
          <w:rFonts w:eastAsia="Times New Roman"/>
        </w:rPr>
        <w:t>20g uregulowano obowiązki przedsiębiorcy komunikacji elektronicznej do blokowania komunikatu oraz ograniczeniu albo przerwaniu świadczenia usługi komunikacji elektronicznej. Takie działanie możliwe jest</w:t>
      </w:r>
      <w:r w:rsidR="00EA1900">
        <w:rPr>
          <w:rFonts w:eastAsia="Times New Roman"/>
        </w:rPr>
        <w:t xml:space="preserve"> w </w:t>
      </w:r>
      <w:r w:rsidRPr="0024375B">
        <w:rPr>
          <w:rFonts w:eastAsia="Times New Roman"/>
        </w:rPr>
        <w:t>przypadku stwierdzenia zagrożenia dla bezpieczeństwa sieci</w:t>
      </w:r>
      <w:r w:rsidR="002161FE">
        <w:rPr>
          <w:rFonts w:eastAsia="Times New Roman"/>
        </w:rPr>
        <w:t xml:space="preserve"> i </w:t>
      </w:r>
      <w:r w:rsidRPr="0024375B">
        <w:rPr>
          <w:rFonts w:eastAsia="Times New Roman"/>
        </w:rPr>
        <w:t>usług oraz tylko</w:t>
      </w:r>
      <w:r w:rsidR="00EA1900">
        <w:rPr>
          <w:rFonts w:eastAsia="Times New Roman"/>
        </w:rPr>
        <w:t xml:space="preserve"> w </w:t>
      </w:r>
      <w:r w:rsidRPr="0024375B">
        <w:rPr>
          <w:rFonts w:eastAsia="Times New Roman"/>
        </w:rPr>
        <w:t>zakresie niezbędnym dla zapobiegnięcia zagrożeniu</w:t>
      </w:r>
      <w:r w:rsidR="002161FE">
        <w:rPr>
          <w:rFonts w:eastAsia="Times New Roman"/>
        </w:rPr>
        <w:t xml:space="preserve"> i </w:t>
      </w:r>
      <w:r w:rsidRPr="0024375B">
        <w:rPr>
          <w:rFonts w:eastAsia="Times New Roman"/>
        </w:rPr>
        <w:t>nie dłużej niż do czasu ustania przyczyny zagrożenia.</w:t>
      </w:r>
      <w:r w:rsidR="00B02E91">
        <w:rPr>
          <w:rFonts w:eastAsia="Times New Roman"/>
        </w:rPr>
        <w:t xml:space="preserve"> W ten sposób utrzymuje się dotychczasowe obowiązki z art. 175c </w:t>
      </w:r>
      <w:r w:rsidR="006940CE">
        <w:rPr>
          <w:rFonts w:eastAsia="Times New Roman"/>
        </w:rPr>
        <w:t>ustaw</w:t>
      </w:r>
      <w:r w:rsidR="00A1618C">
        <w:rPr>
          <w:rFonts w:eastAsia="Times New Roman"/>
        </w:rPr>
        <w:t xml:space="preserve">y z dnia 16 lipca 2004 r. </w:t>
      </w:r>
      <w:r w:rsidR="006940CE">
        <w:rPr>
          <w:rFonts w:eastAsia="Times New Roman"/>
        </w:rPr>
        <w:t xml:space="preserve"> – </w:t>
      </w:r>
      <w:r w:rsidR="00B02E91">
        <w:rPr>
          <w:rFonts w:eastAsia="Times New Roman"/>
        </w:rPr>
        <w:t>Praw</w:t>
      </w:r>
      <w:r w:rsidR="00A1618C">
        <w:rPr>
          <w:rFonts w:eastAsia="Times New Roman"/>
        </w:rPr>
        <w:t>o</w:t>
      </w:r>
      <w:r w:rsidR="00B02E91">
        <w:rPr>
          <w:rFonts w:eastAsia="Times New Roman"/>
        </w:rPr>
        <w:t xml:space="preserve"> telekomunikacyjne.</w:t>
      </w:r>
      <w:r w:rsidR="002214B1">
        <w:rPr>
          <w:rFonts w:eastAsia="Times New Roman"/>
        </w:rPr>
        <w:t xml:space="preserve"> </w:t>
      </w:r>
    </w:p>
    <w:p w14:paraId="20364745" w14:textId="1AA24372" w:rsidR="002B6955" w:rsidRPr="0024375B" w:rsidRDefault="002214B1" w:rsidP="00FC6B8C">
      <w:pPr>
        <w:pStyle w:val="NIEARTTEKSTtekstnieartykuowanynppodstprawnarozplubpreambua"/>
        <w:rPr>
          <w:rFonts w:eastAsia="Times New Roman"/>
        </w:rPr>
      </w:pPr>
      <w:r>
        <w:rPr>
          <w:rFonts w:eastAsia="Times New Roman"/>
        </w:rPr>
        <w:t xml:space="preserve">Dotychczasowy art. 175c ust. 4 stanowił, że </w:t>
      </w:r>
      <w:r w:rsidRPr="002214B1">
        <w:rPr>
          <w:rFonts w:eastAsia="Times New Roman"/>
        </w:rPr>
        <w:t xml:space="preserve">przedsiębiorca telekomunikacyjny nie odpowiada za niewykonanie lub nienależyte wykonanie usług telekomunikacyjnych w zakresie wynikającym z </w:t>
      </w:r>
      <w:r>
        <w:rPr>
          <w:rFonts w:eastAsia="Times New Roman"/>
        </w:rPr>
        <w:t xml:space="preserve">art. 175c ust. 1. Zdecydowano się zrezygnować z tego rodzaju wyłączenia odpowiedzialności z mocy ustawy. Blokowanie komunikatu elektronicznego tudzież przerwanie świadczenia usługi komunikacji elektronicznej powinno być środkiem ostatecznym mającym zapewnić bezpieczeństwo sieci lub usług komunikacji elektronicznej. Przedsiębiorca komunikacji </w:t>
      </w:r>
      <w:r w:rsidR="00531621">
        <w:rPr>
          <w:rFonts w:eastAsia="Times New Roman"/>
        </w:rPr>
        <w:t>elektronicznej,</w:t>
      </w:r>
      <w:r>
        <w:rPr>
          <w:rFonts w:eastAsia="Times New Roman"/>
        </w:rPr>
        <w:t xml:space="preserve"> aby zwolnić się z odpowiedzialności za niewykonanie lub nienależyte wykonanie usługi powinien móc wykazać, że zastosowanie środków z art. 20g było niezbędne, konieczne oraz nie było innych środków umożliwiających w danej sytuacji zareagowa</w:t>
      </w:r>
      <w:r w:rsidR="00531621">
        <w:rPr>
          <w:rFonts w:eastAsia="Times New Roman"/>
        </w:rPr>
        <w:t>nie</w:t>
      </w:r>
      <w:r>
        <w:rPr>
          <w:rFonts w:eastAsia="Times New Roman"/>
        </w:rPr>
        <w:t xml:space="preserve"> na zagrożenie.</w:t>
      </w:r>
    </w:p>
    <w:p w14:paraId="5D58F263" w14:textId="77777777" w:rsidR="00CE63C0" w:rsidRPr="0024375B" w:rsidRDefault="002B6955" w:rsidP="00DC1575">
      <w:pPr>
        <w:pStyle w:val="Nagwek4"/>
        <w:rPr>
          <w:rFonts w:eastAsia="Times New Roman"/>
        </w:rPr>
      </w:pPr>
      <w:r w:rsidRPr="0024375B">
        <w:rPr>
          <w:rFonts w:eastAsia="Times New Roman"/>
        </w:rPr>
        <w:t>Nowy</w:t>
      </w:r>
      <w:r w:rsidR="00EA1900">
        <w:rPr>
          <w:rFonts w:eastAsia="Times New Roman"/>
        </w:rPr>
        <w:t xml:space="preserve"> art. </w:t>
      </w:r>
      <w:r w:rsidRPr="0024375B">
        <w:rPr>
          <w:rFonts w:eastAsia="Times New Roman"/>
        </w:rPr>
        <w:t>20h</w:t>
      </w:r>
      <w:r w:rsidR="00CE63C0" w:rsidRPr="0024375B">
        <w:rPr>
          <w:rFonts w:eastAsia="Times New Roman"/>
        </w:rPr>
        <w:t xml:space="preserve"> </w:t>
      </w:r>
    </w:p>
    <w:p w14:paraId="3857B561" w14:textId="77777777" w:rsidR="00762C28" w:rsidRDefault="00CE63C0" w:rsidP="0024375B">
      <w:pPr>
        <w:ind w:firstLine="510"/>
        <w:jc w:val="both"/>
        <w:rPr>
          <w:rFonts w:eastAsia="Times New Roman" w:cs="Times New Roman"/>
          <w:szCs w:val="24"/>
        </w:rPr>
      </w:pPr>
      <w:r w:rsidRPr="0024375B">
        <w:rPr>
          <w:rFonts w:eastAsia="Times New Roman" w:cs="Times New Roman"/>
          <w:szCs w:val="24"/>
        </w:rPr>
        <w:t>W</w:t>
      </w:r>
      <w:r w:rsidR="00EA1900">
        <w:rPr>
          <w:rFonts w:eastAsia="Times New Roman" w:cs="Times New Roman"/>
          <w:szCs w:val="24"/>
        </w:rPr>
        <w:t xml:space="preserve"> art. </w:t>
      </w:r>
      <w:r w:rsidRPr="0024375B">
        <w:rPr>
          <w:rFonts w:eastAsia="Times New Roman" w:cs="Times New Roman"/>
          <w:szCs w:val="24"/>
        </w:rPr>
        <w:t>20h uregulowano obowiązki informacyjne Prezesa UKE. Prezes UKE m. in. przekazuje informację</w:t>
      </w:r>
      <w:r w:rsidR="0077165A">
        <w:rPr>
          <w:rFonts w:eastAsia="Times New Roman" w:cs="Times New Roman"/>
          <w:szCs w:val="24"/>
        </w:rPr>
        <w:t xml:space="preserve"> o </w:t>
      </w:r>
      <w:r w:rsidRPr="0024375B">
        <w:rPr>
          <w:rFonts w:eastAsia="Times New Roman" w:cs="Times New Roman"/>
          <w:szCs w:val="24"/>
        </w:rPr>
        <w:t>wystąpieniu incydentu telekomunikacyjnego do organów regulacyjnych innych państw członkowskich oraz sprawozdania roczne, zawierające informacje</w:t>
      </w:r>
      <w:r w:rsidR="0077165A">
        <w:rPr>
          <w:rFonts w:eastAsia="Times New Roman" w:cs="Times New Roman"/>
          <w:szCs w:val="24"/>
        </w:rPr>
        <w:t xml:space="preserve"> o </w:t>
      </w:r>
      <w:r w:rsidRPr="0024375B">
        <w:rPr>
          <w:rFonts w:eastAsia="Times New Roman" w:cs="Times New Roman"/>
          <w:szCs w:val="24"/>
        </w:rPr>
        <w:t>incydentach telekomunikacyjnych, zgodnie</w:t>
      </w:r>
      <w:r w:rsidR="002161FE">
        <w:rPr>
          <w:rFonts w:eastAsia="Times New Roman" w:cs="Times New Roman"/>
          <w:szCs w:val="24"/>
        </w:rPr>
        <w:t xml:space="preserve"> z</w:t>
      </w:r>
      <w:r w:rsidR="00EA1900">
        <w:rPr>
          <w:rFonts w:eastAsia="Times New Roman" w:cs="Times New Roman"/>
          <w:szCs w:val="24"/>
        </w:rPr>
        <w:t xml:space="preserve"> art. </w:t>
      </w:r>
      <w:r w:rsidRPr="0024375B">
        <w:rPr>
          <w:rFonts w:eastAsia="Times New Roman" w:cs="Times New Roman"/>
          <w:szCs w:val="24"/>
        </w:rPr>
        <w:t xml:space="preserve">40 </w:t>
      </w:r>
      <w:r w:rsidR="00D00CB4">
        <w:rPr>
          <w:rFonts w:eastAsia="Times New Roman" w:cs="Times New Roman"/>
          <w:szCs w:val="24"/>
        </w:rPr>
        <w:t>ust. </w:t>
      </w:r>
      <w:r w:rsidRPr="0024375B">
        <w:rPr>
          <w:rFonts w:eastAsia="Times New Roman" w:cs="Times New Roman"/>
          <w:szCs w:val="24"/>
        </w:rPr>
        <w:t>2 ostatnie zdanie EKŁE.</w:t>
      </w:r>
      <w:r w:rsidR="00B9673E" w:rsidRPr="0024375B">
        <w:rPr>
          <w:rFonts w:eastAsia="Times New Roman" w:cs="Times New Roman"/>
          <w:szCs w:val="24"/>
        </w:rPr>
        <w:t xml:space="preserve"> </w:t>
      </w:r>
      <w:r w:rsidR="005F373C">
        <w:rPr>
          <w:rFonts w:eastAsia="Times New Roman" w:cs="Times New Roman"/>
          <w:szCs w:val="24"/>
        </w:rPr>
        <w:t>Przepis ten wypełnia więc obowiązki informacyjne Polski wobec Unii Europejskiej, której jednym z celów jest zapewnienie wysokiego poziomu odporności sieci i usług komunikacji elektronicznej na swoim terytorium. Bez tych danych nie jest możliwe prowadzenie ewaluacji dotychczasowej polityki w tym obszarze.</w:t>
      </w:r>
    </w:p>
    <w:p w14:paraId="17D615EB" w14:textId="77777777" w:rsidR="00CE63C0" w:rsidRPr="0024375B" w:rsidRDefault="00B9673E" w:rsidP="0024375B">
      <w:pPr>
        <w:ind w:firstLine="510"/>
        <w:jc w:val="both"/>
        <w:rPr>
          <w:rFonts w:eastAsia="Times New Roman" w:cs="Times New Roman"/>
          <w:szCs w:val="24"/>
        </w:rPr>
      </w:pPr>
      <w:r w:rsidRPr="0024375B">
        <w:rPr>
          <w:rFonts w:eastAsia="Times New Roman" w:cs="Times New Roman"/>
          <w:szCs w:val="24"/>
        </w:rPr>
        <w:t>Ponadto, zgodnie</w:t>
      </w:r>
      <w:r w:rsidR="002161FE">
        <w:rPr>
          <w:rFonts w:eastAsia="Times New Roman" w:cs="Times New Roman"/>
          <w:szCs w:val="24"/>
        </w:rPr>
        <w:t xml:space="preserve"> z</w:t>
      </w:r>
      <w:r w:rsidR="00EA1900">
        <w:rPr>
          <w:rFonts w:eastAsia="Times New Roman" w:cs="Times New Roman"/>
          <w:szCs w:val="24"/>
        </w:rPr>
        <w:t xml:space="preserve"> art. </w:t>
      </w:r>
      <w:r w:rsidRPr="0024375B">
        <w:rPr>
          <w:rFonts w:eastAsia="Times New Roman" w:cs="Times New Roman"/>
          <w:szCs w:val="24"/>
        </w:rPr>
        <w:t xml:space="preserve">40 </w:t>
      </w:r>
      <w:r w:rsidR="00D00CB4">
        <w:rPr>
          <w:rFonts w:eastAsia="Times New Roman" w:cs="Times New Roman"/>
          <w:szCs w:val="24"/>
        </w:rPr>
        <w:t>ust. </w:t>
      </w:r>
      <w:r w:rsidRPr="0024375B">
        <w:rPr>
          <w:rFonts w:eastAsia="Times New Roman" w:cs="Times New Roman"/>
          <w:szCs w:val="24"/>
        </w:rPr>
        <w:t>2 zdanie trzecie EKŁE umożliwiono Prezesowi UKE publikowanie informacji</w:t>
      </w:r>
      <w:r w:rsidR="00EA1900">
        <w:rPr>
          <w:rFonts w:eastAsia="Times New Roman" w:cs="Times New Roman"/>
          <w:szCs w:val="24"/>
        </w:rPr>
        <w:t xml:space="preserve"> w </w:t>
      </w:r>
      <w:r w:rsidRPr="0024375B">
        <w:rPr>
          <w:rFonts w:eastAsia="Times New Roman" w:cs="Times New Roman"/>
          <w:szCs w:val="24"/>
        </w:rPr>
        <w:t>Biuletynie Informacji Publicznej</w:t>
      </w:r>
      <w:r w:rsidR="0077165A">
        <w:rPr>
          <w:rFonts w:eastAsia="Times New Roman" w:cs="Times New Roman"/>
          <w:szCs w:val="24"/>
        </w:rPr>
        <w:t xml:space="preserve"> o </w:t>
      </w:r>
      <w:r w:rsidRPr="0024375B">
        <w:rPr>
          <w:rFonts w:eastAsia="Times New Roman" w:cs="Times New Roman"/>
          <w:szCs w:val="24"/>
        </w:rPr>
        <w:t xml:space="preserve">wystąpieniu poważnego incydentu telekomunikacyjnego, </w:t>
      </w:r>
      <w:r w:rsidRPr="0024375B">
        <w:rPr>
          <w:rFonts w:eastAsia="Times New Roman" w:cs="Times New Roman"/>
          <w:szCs w:val="24"/>
        </w:rPr>
        <w:lastRenderedPageBreak/>
        <w:t>jeżeli jest to uzasadnione interesem publicznym. Przedsiębiorca komunikacji elektronicznej będzie musiał opublikować tą informację na swojej stronie internetowej po poinformowaniu przez Prezesa UKE.</w:t>
      </w:r>
    </w:p>
    <w:p w14:paraId="0B139D62" w14:textId="77777777" w:rsidR="00B9673E" w:rsidRDefault="00B9673E" w:rsidP="0024375B">
      <w:pPr>
        <w:ind w:firstLine="510"/>
        <w:jc w:val="both"/>
      </w:pPr>
      <w:r w:rsidRPr="0024375B">
        <w:rPr>
          <w:rFonts w:eastAsia="Times New Roman" w:cs="Times New Roman"/>
          <w:szCs w:val="24"/>
        </w:rPr>
        <w:t>Prezes UKE będzie mógł nałożyć,</w:t>
      </w:r>
      <w:r w:rsidR="00EA1900">
        <w:rPr>
          <w:rFonts w:eastAsia="Times New Roman" w:cs="Times New Roman"/>
          <w:szCs w:val="24"/>
        </w:rPr>
        <w:t xml:space="preserve"> w </w:t>
      </w:r>
      <w:r w:rsidRPr="0024375B">
        <w:rPr>
          <w:rFonts w:eastAsia="Times New Roman" w:cs="Times New Roman"/>
          <w:szCs w:val="24"/>
        </w:rPr>
        <w:t>drodze decyzji, na przedsiębiorcę komunikacji elektronicznej obowiązek podania do publicznej wiadomości informacji</w:t>
      </w:r>
      <w:r w:rsidR="0077165A">
        <w:rPr>
          <w:rFonts w:eastAsia="Times New Roman" w:cs="Times New Roman"/>
          <w:szCs w:val="24"/>
        </w:rPr>
        <w:t xml:space="preserve"> o </w:t>
      </w:r>
      <w:r w:rsidRPr="0024375B">
        <w:rPr>
          <w:rFonts w:eastAsia="Times New Roman" w:cs="Times New Roman"/>
          <w:szCs w:val="24"/>
        </w:rPr>
        <w:t xml:space="preserve">wystąpieniu poważnego incydentu telekomunikacyjnego, wskazując sposób jej publikacji, jeżeli sposoby opublikowania informacji na </w:t>
      </w:r>
      <w:r w:rsidR="00E34156" w:rsidRPr="0024375B">
        <w:rPr>
          <w:rFonts w:eastAsia="Times New Roman" w:cs="Times New Roman"/>
          <w:szCs w:val="24"/>
        </w:rPr>
        <w:t>Biuletynie Informacji Publicznej</w:t>
      </w:r>
      <w:r w:rsidRPr="0024375B">
        <w:rPr>
          <w:rFonts w:eastAsia="Times New Roman" w:cs="Times New Roman"/>
          <w:szCs w:val="24"/>
        </w:rPr>
        <w:t xml:space="preserve"> UKE czy na stronie przedsiębiorcy komunikacji elektronicznej</w:t>
      </w:r>
      <w:r w:rsidR="00EA1900">
        <w:rPr>
          <w:rFonts w:eastAsia="Times New Roman" w:cs="Times New Roman"/>
          <w:szCs w:val="24"/>
        </w:rPr>
        <w:t xml:space="preserve"> w </w:t>
      </w:r>
      <w:r w:rsidRPr="0024375B">
        <w:t>niewystarczającym stopniu służą ochronie interesu publicznego.</w:t>
      </w:r>
      <w:r w:rsidR="00731BC4" w:rsidRPr="0024375B">
        <w:t xml:space="preserve"> </w:t>
      </w:r>
    </w:p>
    <w:p w14:paraId="0A89773F" w14:textId="77777777" w:rsidR="00762C28" w:rsidRDefault="00762C28" w:rsidP="0024375B">
      <w:pPr>
        <w:ind w:firstLine="510"/>
        <w:jc w:val="both"/>
      </w:pPr>
      <w:r>
        <w:t xml:space="preserve">Celem tych przepisów jest </w:t>
      </w:r>
      <w:r w:rsidR="00B02E91">
        <w:t xml:space="preserve">zapewnienie </w:t>
      </w:r>
      <w:r>
        <w:t>możliwoś</w:t>
      </w:r>
      <w:r w:rsidR="00B02E91">
        <w:t>ci</w:t>
      </w:r>
      <w:r>
        <w:t xml:space="preserve"> poinformowania społeczeństwa np. o przyczynach nagłej niedostępności usług komunikacji elektronicznej, która dotknęłaby duże miasto czy nawet większy obszar.</w:t>
      </w:r>
      <w:r w:rsidR="00B02E91">
        <w:t xml:space="preserve"> Brak informacji o przyczynach takich zdarzeń mógłby doprowadzić do paniki czy do niezadowolenia społecznego, co byłoby niepożądane.</w:t>
      </w:r>
    </w:p>
    <w:p w14:paraId="56B059AB" w14:textId="77777777" w:rsidR="00124DF9" w:rsidRPr="0024375B" w:rsidRDefault="6C897C90" w:rsidP="00862E68">
      <w:pPr>
        <w:pStyle w:val="Nagwek3"/>
        <w:rPr>
          <w:rFonts w:eastAsia="Times New Roman"/>
        </w:rPr>
      </w:pPr>
      <w:bookmarkStart w:id="15" w:name="_Toc120008255"/>
      <w:bookmarkStart w:id="16" w:name="_Toc120564199"/>
      <w:bookmarkStart w:id="17" w:name="_Toc120564355"/>
      <w:bookmarkStart w:id="18" w:name="_Toc120613917"/>
      <w:bookmarkStart w:id="19" w:name="_Toc136511045"/>
      <w:bookmarkEnd w:id="15"/>
      <w:bookmarkEnd w:id="16"/>
      <w:bookmarkEnd w:id="17"/>
      <w:bookmarkEnd w:id="18"/>
      <w:r w:rsidRPr="0024375B">
        <w:rPr>
          <w:rFonts w:eastAsia="Times New Roman"/>
        </w:rPr>
        <w:t>Zmiany</w:t>
      </w:r>
      <w:r w:rsidR="00EA1900">
        <w:rPr>
          <w:rFonts w:eastAsia="Times New Roman"/>
        </w:rPr>
        <w:t xml:space="preserve"> w </w:t>
      </w:r>
      <w:r w:rsidRPr="0024375B">
        <w:rPr>
          <w:rFonts w:eastAsia="Times New Roman"/>
        </w:rPr>
        <w:t>przepisach dotyczących podmiotów publicznych</w:t>
      </w:r>
      <w:bookmarkEnd w:id="19"/>
    </w:p>
    <w:p w14:paraId="466CCE49" w14:textId="77777777" w:rsidR="002B6955" w:rsidRPr="0024375B" w:rsidRDefault="002B6955" w:rsidP="00DC1575">
      <w:pPr>
        <w:pStyle w:val="Nagwek4"/>
      </w:pPr>
      <w:r w:rsidRPr="0024375B">
        <w:t>Zmiany</w:t>
      </w:r>
      <w:r w:rsidR="002161FE">
        <w:t xml:space="preserve"> w</w:t>
      </w:r>
      <w:r w:rsidR="00EA1900">
        <w:t xml:space="preserve"> art. </w:t>
      </w:r>
      <w:r w:rsidRPr="0024375B">
        <w:t>21</w:t>
      </w:r>
    </w:p>
    <w:p w14:paraId="5732A634" w14:textId="6E604F43"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Zmiana</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21 polega na wprowadzeniu obowiązku wyznaczenia przez podmioty publiczne nie jednej</w:t>
      </w:r>
      <w:r w:rsidR="00DC1C14" w:rsidRPr="0024375B">
        <w:rPr>
          <w:rFonts w:ascii="Times New Roman" w:hAnsi="Times New Roman" w:cs="Times New Roman"/>
        </w:rPr>
        <w:t>,</w:t>
      </w:r>
      <w:r w:rsidR="002161FE">
        <w:rPr>
          <w:rFonts w:ascii="Times New Roman" w:hAnsi="Times New Roman" w:cs="Times New Roman"/>
        </w:rPr>
        <w:t xml:space="preserve"> a </w:t>
      </w:r>
      <w:r w:rsidRPr="0024375B">
        <w:rPr>
          <w:rFonts w:ascii="Times New Roman" w:hAnsi="Times New Roman" w:cs="Times New Roman"/>
        </w:rPr>
        <w:t>dwóch osób odpowiedzialnych za utrzymywanie kontaktów</w:t>
      </w:r>
      <w:r w:rsidR="002161FE">
        <w:rPr>
          <w:rFonts w:ascii="Times New Roman" w:hAnsi="Times New Roman" w:cs="Times New Roman"/>
        </w:rPr>
        <w:t xml:space="preserve"> z </w:t>
      </w:r>
      <w:r w:rsidRPr="0024375B">
        <w:rPr>
          <w:rFonts w:ascii="Times New Roman" w:hAnsi="Times New Roman" w:cs="Times New Roman"/>
        </w:rPr>
        <w:t xml:space="preserve">podmiotami krajowego systemu cyberbezpieczeństwa. </w:t>
      </w:r>
      <w:r w:rsidR="00906A47" w:rsidRPr="0024375B">
        <w:rPr>
          <w:rFonts w:ascii="Times New Roman" w:hAnsi="Times New Roman" w:cs="Times New Roman"/>
        </w:rPr>
        <w:t>Pozwoli to na zapewnienie sprawnej komunikacji między zespołami CSIRT poziomu krajowego</w:t>
      </w:r>
      <w:r w:rsidR="002161FE">
        <w:rPr>
          <w:rFonts w:ascii="Times New Roman" w:hAnsi="Times New Roman" w:cs="Times New Roman"/>
        </w:rPr>
        <w:t xml:space="preserve"> a </w:t>
      </w:r>
      <w:r w:rsidRPr="0024375B">
        <w:rPr>
          <w:rFonts w:ascii="Times New Roman" w:hAnsi="Times New Roman" w:cs="Times New Roman"/>
        </w:rPr>
        <w:t>podmiot</w:t>
      </w:r>
      <w:r w:rsidR="00906A47" w:rsidRPr="0024375B">
        <w:rPr>
          <w:rFonts w:ascii="Times New Roman" w:hAnsi="Times New Roman" w:cs="Times New Roman"/>
        </w:rPr>
        <w:t>a</w:t>
      </w:r>
      <w:r w:rsidRPr="0024375B">
        <w:rPr>
          <w:rFonts w:ascii="Times New Roman" w:hAnsi="Times New Roman" w:cs="Times New Roman"/>
        </w:rPr>
        <w:t>m</w:t>
      </w:r>
      <w:r w:rsidR="00906A47" w:rsidRPr="0024375B">
        <w:rPr>
          <w:rFonts w:ascii="Times New Roman" w:hAnsi="Times New Roman" w:cs="Times New Roman"/>
        </w:rPr>
        <w:t>i</w:t>
      </w:r>
      <w:r w:rsidRPr="0024375B">
        <w:rPr>
          <w:rFonts w:ascii="Times New Roman" w:hAnsi="Times New Roman" w:cs="Times New Roman"/>
        </w:rPr>
        <w:t xml:space="preserve"> publicznym</w:t>
      </w:r>
      <w:r w:rsidR="00906A47" w:rsidRPr="0024375B">
        <w:rPr>
          <w:rFonts w:ascii="Times New Roman" w:hAnsi="Times New Roman" w:cs="Times New Roman"/>
        </w:rPr>
        <w:t>i</w:t>
      </w:r>
      <w:r w:rsidRPr="0024375B">
        <w:rPr>
          <w:rFonts w:ascii="Times New Roman" w:hAnsi="Times New Roman" w:cs="Times New Roman"/>
        </w:rPr>
        <w:t xml:space="preserve"> podczas trwania incydentu</w:t>
      </w:r>
      <w:r w:rsidR="00EA1900">
        <w:rPr>
          <w:rFonts w:ascii="Times New Roman" w:hAnsi="Times New Roman" w:cs="Times New Roman"/>
        </w:rPr>
        <w:t xml:space="preserve"> w </w:t>
      </w:r>
      <w:r w:rsidRPr="0024375B">
        <w:rPr>
          <w:rFonts w:ascii="Times New Roman" w:hAnsi="Times New Roman" w:cs="Times New Roman"/>
        </w:rPr>
        <w:t>podmiocie publicznym</w:t>
      </w:r>
      <w:r w:rsidR="00B920A3">
        <w:rPr>
          <w:rFonts w:ascii="Times New Roman" w:hAnsi="Times New Roman" w:cs="Times New Roman"/>
        </w:rPr>
        <w:t>, a także na co dzień</w:t>
      </w:r>
      <w:r w:rsidR="00407E74">
        <w:rPr>
          <w:rFonts w:ascii="Times New Roman" w:hAnsi="Times New Roman" w:cs="Times New Roman"/>
        </w:rPr>
        <w:t>,</w:t>
      </w:r>
      <w:r w:rsidR="00B920A3">
        <w:rPr>
          <w:rFonts w:ascii="Times New Roman" w:hAnsi="Times New Roman" w:cs="Times New Roman"/>
        </w:rPr>
        <w:t xml:space="preserve"> </w:t>
      </w:r>
      <w:r w:rsidR="00A4787E">
        <w:rPr>
          <w:rFonts w:ascii="Times New Roman" w:hAnsi="Times New Roman" w:cs="Times New Roman"/>
        </w:rPr>
        <w:t>bowiem</w:t>
      </w:r>
      <w:r w:rsidR="00B920A3">
        <w:rPr>
          <w:rFonts w:ascii="Times New Roman" w:hAnsi="Times New Roman" w:cs="Times New Roman"/>
        </w:rPr>
        <w:t xml:space="preserve"> zespoły CSIRT przesyłają często ostrzeżenia o cyberzagrożeniach.</w:t>
      </w:r>
    </w:p>
    <w:p w14:paraId="4D1EF101" w14:textId="77777777" w:rsidR="002B6955" w:rsidRPr="0024375B" w:rsidRDefault="002B6955" w:rsidP="00DC1575">
      <w:pPr>
        <w:pStyle w:val="Nagwek4"/>
      </w:pPr>
      <w:r w:rsidRPr="0024375B">
        <w:t>Zmiany</w:t>
      </w:r>
      <w:r w:rsidR="002161FE">
        <w:t xml:space="preserve"> w</w:t>
      </w:r>
      <w:r w:rsidR="00EA1900">
        <w:t xml:space="preserve"> art. </w:t>
      </w:r>
      <w:r w:rsidRPr="0024375B">
        <w:t>22</w:t>
      </w:r>
    </w:p>
    <w:p w14:paraId="3710A495" w14:textId="14ABD478" w:rsidR="003B0A7B" w:rsidRPr="0024375B" w:rsidRDefault="003B0A7B"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w:t>
      </w:r>
      <w:r w:rsidR="00EA1900">
        <w:rPr>
          <w:rFonts w:ascii="Times New Roman" w:hAnsi="Times New Roman" w:cs="Times New Roman"/>
        </w:rPr>
        <w:t xml:space="preserve"> art. </w:t>
      </w:r>
      <w:r w:rsidRPr="0024375B">
        <w:rPr>
          <w:rFonts w:ascii="Times New Roman" w:hAnsi="Times New Roman" w:cs="Times New Roman"/>
        </w:rPr>
        <w:t xml:space="preserve">22 dodane zostały </w:t>
      </w:r>
      <w:r w:rsidR="00D00CB4">
        <w:rPr>
          <w:rFonts w:ascii="Times New Roman" w:hAnsi="Times New Roman" w:cs="Times New Roman"/>
        </w:rPr>
        <w:t>ust. </w:t>
      </w:r>
      <w:r w:rsidRPr="0024375B">
        <w:rPr>
          <w:rFonts w:ascii="Times New Roman" w:hAnsi="Times New Roman" w:cs="Times New Roman"/>
        </w:rPr>
        <w:t>1a oraz 3–7, które regulują zgłaszanie incydentów</w:t>
      </w:r>
      <w:r w:rsidR="00EA1900">
        <w:rPr>
          <w:rFonts w:ascii="Times New Roman" w:hAnsi="Times New Roman" w:cs="Times New Roman"/>
        </w:rPr>
        <w:t xml:space="preserve"> w </w:t>
      </w:r>
      <w:r w:rsidRPr="0024375B">
        <w:rPr>
          <w:rFonts w:ascii="Times New Roman" w:hAnsi="Times New Roman" w:cs="Times New Roman"/>
        </w:rPr>
        <w:t>podmiocie publicznym przez Agencję Wywiadu oraz jednostki organizacyjne podległe Ministrowi Spraw Zagranicznych lub przez niego nadzorowane,</w:t>
      </w:r>
      <w:r w:rsidR="00EA1900">
        <w:rPr>
          <w:rFonts w:ascii="Times New Roman" w:hAnsi="Times New Roman" w:cs="Times New Roman"/>
        </w:rPr>
        <w:t xml:space="preserve"> w </w:t>
      </w:r>
      <w:r w:rsidRPr="0024375B">
        <w:rPr>
          <w:rFonts w:ascii="Times New Roman" w:hAnsi="Times New Roman" w:cs="Times New Roman"/>
        </w:rPr>
        <w:t>tym jednostki, których systemy teleinformatyczne lub sieci teleinformatyczne objęte są jednolitym wykazem obiektów, instalacji, urządzeń</w:t>
      </w:r>
      <w:r w:rsidR="002161FE">
        <w:rPr>
          <w:rFonts w:ascii="Times New Roman" w:hAnsi="Times New Roman" w:cs="Times New Roman"/>
        </w:rPr>
        <w:t xml:space="preserve"> i </w:t>
      </w:r>
      <w:r w:rsidRPr="0024375B">
        <w:rPr>
          <w:rFonts w:ascii="Times New Roman" w:hAnsi="Times New Roman" w:cs="Times New Roman"/>
        </w:rPr>
        <w:t>usług wchodzących</w:t>
      </w:r>
      <w:r w:rsidR="00EA1900">
        <w:rPr>
          <w:rFonts w:ascii="Times New Roman" w:hAnsi="Times New Roman" w:cs="Times New Roman"/>
        </w:rPr>
        <w:t xml:space="preserve"> w </w:t>
      </w:r>
      <w:r w:rsidRPr="0024375B">
        <w:rPr>
          <w:rFonts w:ascii="Times New Roman" w:hAnsi="Times New Roman" w:cs="Times New Roman"/>
        </w:rPr>
        <w:t>skład infrastruktury krytycznej,</w:t>
      </w:r>
      <w:r w:rsidR="0077165A">
        <w:rPr>
          <w:rFonts w:ascii="Times New Roman" w:hAnsi="Times New Roman" w:cs="Times New Roman"/>
        </w:rPr>
        <w:t xml:space="preserve"> o </w:t>
      </w:r>
      <w:r w:rsidRPr="0024375B">
        <w:rPr>
          <w:rFonts w:ascii="Times New Roman" w:hAnsi="Times New Roman" w:cs="Times New Roman"/>
        </w:rPr>
        <w:t>którym mowa</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 xml:space="preserve">5b </w:t>
      </w:r>
      <w:r w:rsidR="00D00CB4">
        <w:rPr>
          <w:rFonts w:ascii="Times New Roman" w:hAnsi="Times New Roman" w:cs="Times New Roman"/>
        </w:rPr>
        <w:t>ust. </w:t>
      </w:r>
      <w:r w:rsidRPr="0024375B">
        <w:rPr>
          <w:rFonts w:ascii="Times New Roman" w:hAnsi="Times New Roman" w:cs="Times New Roman"/>
        </w:rPr>
        <w:t>7 pkt 1 ustawy</w:t>
      </w:r>
      <w:r w:rsidR="002161FE">
        <w:rPr>
          <w:rFonts w:ascii="Times New Roman" w:hAnsi="Times New Roman" w:cs="Times New Roman"/>
        </w:rPr>
        <w:t xml:space="preserve"> z </w:t>
      </w:r>
      <w:r w:rsidRPr="0024375B">
        <w:rPr>
          <w:rFonts w:ascii="Times New Roman" w:hAnsi="Times New Roman" w:cs="Times New Roman"/>
        </w:rPr>
        <w:t>dnia 26 kwietnia 2007 r.</w:t>
      </w:r>
      <w:r w:rsidR="0077165A">
        <w:rPr>
          <w:rFonts w:ascii="Times New Roman" w:hAnsi="Times New Roman" w:cs="Times New Roman"/>
        </w:rPr>
        <w:t xml:space="preserve"> o </w:t>
      </w:r>
      <w:r w:rsidRPr="0024375B">
        <w:rPr>
          <w:rFonts w:ascii="Times New Roman" w:hAnsi="Times New Roman" w:cs="Times New Roman"/>
        </w:rPr>
        <w:t>zarządzaniu kryzysowym</w:t>
      </w:r>
      <w:r w:rsidR="00407E74">
        <w:rPr>
          <w:rFonts w:ascii="Times New Roman" w:hAnsi="Times New Roman" w:cs="Times New Roman"/>
        </w:rPr>
        <w:t xml:space="preserve"> </w:t>
      </w:r>
      <w:r w:rsidRPr="0024375B">
        <w:rPr>
          <w:rFonts w:ascii="Times New Roman" w:hAnsi="Times New Roman" w:cs="Times New Roman"/>
        </w:rPr>
        <w:t xml:space="preserve">. Wskazane podmioty będą zgłaszały incydenty oraz </w:t>
      </w:r>
      <w:r w:rsidR="00211A47" w:rsidRPr="0024375B">
        <w:rPr>
          <w:rFonts w:ascii="Times New Roman" w:hAnsi="Times New Roman" w:cs="Times New Roman"/>
        </w:rPr>
        <w:t>przekazywały</w:t>
      </w:r>
      <w:r w:rsidRPr="0024375B">
        <w:rPr>
          <w:rFonts w:ascii="Times New Roman" w:hAnsi="Times New Roman" w:cs="Times New Roman"/>
        </w:rPr>
        <w:t xml:space="preserve"> dane osób do kontaktu do nowo</w:t>
      </w:r>
      <w:r w:rsidR="00315DFF" w:rsidRPr="0024375B">
        <w:rPr>
          <w:rFonts w:ascii="Times New Roman" w:hAnsi="Times New Roman" w:cs="Times New Roman"/>
        </w:rPr>
        <w:t xml:space="preserve"> </w:t>
      </w:r>
      <w:r w:rsidRPr="0024375B">
        <w:rPr>
          <w:rFonts w:ascii="Times New Roman" w:hAnsi="Times New Roman" w:cs="Times New Roman"/>
        </w:rPr>
        <w:t>utworzonego CSIRT INT. Specyfika tych jednostek, zwłaszcza ich działanie poza granicami RP, sprawia, że konieczne jest zapewnienie im dodatkowego wsparcia. To wsparcie zostanie zapewnion</w:t>
      </w:r>
      <w:r w:rsidR="08120633" w:rsidRPr="0024375B">
        <w:rPr>
          <w:rFonts w:ascii="Times New Roman" w:hAnsi="Times New Roman" w:cs="Times New Roman"/>
        </w:rPr>
        <w:t>e</w:t>
      </w:r>
      <w:r w:rsidRPr="0024375B">
        <w:rPr>
          <w:rFonts w:ascii="Times New Roman" w:hAnsi="Times New Roman" w:cs="Times New Roman"/>
        </w:rPr>
        <w:t xml:space="preserve"> przez CSIRT INT prowadzony przez Agencję Wywiadu. Będzie on wspierał te jednostki</w:t>
      </w:r>
      <w:r w:rsidR="00EA1900">
        <w:rPr>
          <w:rFonts w:ascii="Times New Roman" w:hAnsi="Times New Roman" w:cs="Times New Roman"/>
        </w:rPr>
        <w:t xml:space="preserve"> w </w:t>
      </w:r>
      <w:r w:rsidRPr="0024375B">
        <w:rPr>
          <w:rFonts w:ascii="Times New Roman" w:hAnsi="Times New Roman" w:cs="Times New Roman"/>
        </w:rPr>
        <w:t>obsłudze incydentów oraz przekazywał informacje</w:t>
      </w:r>
      <w:r w:rsidR="0077165A">
        <w:rPr>
          <w:rFonts w:ascii="Times New Roman" w:hAnsi="Times New Roman" w:cs="Times New Roman"/>
        </w:rPr>
        <w:t xml:space="preserve"> o </w:t>
      </w:r>
      <w:r w:rsidRPr="0024375B">
        <w:rPr>
          <w:rFonts w:ascii="Times New Roman" w:hAnsi="Times New Roman" w:cs="Times New Roman"/>
        </w:rPr>
        <w:t>ich sytuacji do CSIRT GOV.</w:t>
      </w:r>
      <w:r w:rsidR="00116933">
        <w:rPr>
          <w:rFonts w:ascii="Times New Roman" w:hAnsi="Times New Roman" w:cs="Times New Roman"/>
        </w:rPr>
        <w:t xml:space="preserve"> W </w:t>
      </w:r>
      <w:r w:rsidRPr="0024375B">
        <w:rPr>
          <w:rFonts w:ascii="Times New Roman" w:hAnsi="Times New Roman" w:cs="Times New Roman"/>
        </w:rPr>
        <w:t>związku</w:t>
      </w:r>
      <w:r w:rsidR="002161FE">
        <w:rPr>
          <w:rFonts w:ascii="Times New Roman" w:hAnsi="Times New Roman" w:cs="Times New Roman"/>
        </w:rPr>
        <w:t xml:space="preserve"> z </w:t>
      </w:r>
      <w:r w:rsidRPr="0024375B">
        <w:rPr>
          <w:rFonts w:ascii="Times New Roman" w:hAnsi="Times New Roman" w:cs="Times New Roman"/>
        </w:rPr>
        <w:t>tym został on również wyposażony</w:t>
      </w:r>
      <w:r w:rsidR="00EA1900">
        <w:rPr>
          <w:rFonts w:ascii="Times New Roman" w:hAnsi="Times New Roman" w:cs="Times New Roman"/>
        </w:rPr>
        <w:t xml:space="preserve"> w </w:t>
      </w:r>
      <w:r w:rsidRPr="0024375B">
        <w:rPr>
          <w:rFonts w:ascii="Times New Roman" w:hAnsi="Times New Roman" w:cs="Times New Roman"/>
        </w:rPr>
        <w:t>uprawnienia do przetwarzania odpowiednich danych. Tak ukształtowan</w:t>
      </w:r>
      <w:r w:rsidR="00245599" w:rsidRPr="0024375B">
        <w:rPr>
          <w:rFonts w:ascii="Times New Roman" w:hAnsi="Times New Roman" w:cs="Times New Roman"/>
        </w:rPr>
        <w:t xml:space="preserve">e rozwiązanie </w:t>
      </w:r>
      <w:r w:rsidRPr="0024375B">
        <w:rPr>
          <w:rFonts w:ascii="Times New Roman" w:hAnsi="Times New Roman" w:cs="Times New Roman"/>
        </w:rPr>
        <w:t>zwiększy cyberbezpieczeństwo szczególnie wrażliwych podmiotów publicznych.</w:t>
      </w:r>
    </w:p>
    <w:p w14:paraId="1486AD37" w14:textId="77777777" w:rsidR="00124DF9" w:rsidRPr="0024375B" w:rsidRDefault="6C897C90" w:rsidP="00862E68">
      <w:pPr>
        <w:pStyle w:val="Nagwek3"/>
      </w:pPr>
      <w:bookmarkStart w:id="20" w:name="_Toc136511046"/>
      <w:r w:rsidRPr="0024375B">
        <w:t>ISAC</w:t>
      </w:r>
      <w:r w:rsidR="002161FE">
        <w:t xml:space="preserve"> i </w:t>
      </w:r>
      <w:r w:rsidRPr="0024375B">
        <w:t>wykaz ISAC</w:t>
      </w:r>
      <w:bookmarkEnd w:id="20"/>
    </w:p>
    <w:p w14:paraId="0DAFDC98"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Po rozdziale 5 zostanie dodany rozdział 5a dotyczący ISAC funkcjonujących</w:t>
      </w:r>
      <w:r w:rsidR="00EA1900">
        <w:rPr>
          <w:rFonts w:ascii="Times New Roman" w:hAnsi="Times New Roman" w:cs="Times New Roman"/>
        </w:rPr>
        <w:t xml:space="preserve"> w </w:t>
      </w:r>
      <w:r w:rsidRPr="0024375B">
        <w:rPr>
          <w:rFonts w:ascii="Times New Roman" w:hAnsi="Times New Roman" w:cs="Times New Roman"/>
        </w:rPr>
        <w:t xml:space="preserve">ramach krajowego systemu cyberbezpieczeństwa. </w:t>
      </w:r>
      <w:r w:rsidR="00AD4000" w:rsidRPr="0024375B">
        <w:rPr>
          <w:rFonts w:ascii="Times New Roman" w:hAnsi="Times New Roman" w:cs="Times New Roman"/>
        </w:rPr>
        <w:t>D</w:t>
      </w:r>
      <w:r w:rsidRPr="0024375B">
        <w:rPr>
          <w:rFonts w:ascii="Times New Roman" w:hAnsi="Times New Roman" w:cs="Times New Roman"/>
        </w:rPr>
        <w:t xml:space="preserve">o tej pory </w:t>
      </w:r>
      <w:r w:rsidR="009D6D1B" w:rsidRPr="0024375B">
        <w:rPr>
          <w:rFonts w:ascii="Times New Roman" w:hAnsi="Times New Roman" w:cs="Times New Roman"/>
        </w:rPr>
        <w:t>n</w:t>
      </w:r>
      <w:r w:rsidR="00AD4000" w:rsidRPr="0024375B">
        <w:rPr>
          <w:rFonts w:ascii="Times New Roman" w:hAnsi="Times New Roman" w:cs="Times New Roman"/>
        </w:rPr>
        <w:t xml:space="preserve">ic nie stało </w:t>
      </w:r>
      <w:r w:rsidRPr="0024375B">
        <w:rPr>
          <w:rFonts w:ascii="Times New Roman" w:hAnsi="Times New Roman" w:cs="Times New Roman"/>
        </w:rPr>
        <w:t xml:space="preserve">na przeszkodzie, aby były tworzone podmioty na wzór </w:t>
      </w:r>
      <w:r w:rsidRPr="0024375B">
        <w:rPr>
          <w:rFonts w:ascii="Times New Roman" w:hAnsi="Times New Roman" w:cs="Times New Roman"/>
        </w:rPr>
        <w:lastRenderedPageBreak/>
        <w:t>ISAC, na zasadach ogólnych – na przykład</w:t>
      </w:r>
      <w:r w:rsidR="00EA1900">
        <w:rPr>
          <w:rFonts w:ascii="Times New Roman" w:hAnsi="Times New Roman" w:cs="Times New Roman"/>
        </w:rPr>
        <w:t xml:space="preserve"> w </w:t>
      </w:r>
      <w:r w:rsidRPr="0024375B">
        <w:rPr>
          <w:rFonts w:ascii="Times New Roman" w:hAnsi="Times New Roman" w:cs="Times New Roman"/>
        </w:rPr>
        <w:t>formie stowarzyszeń</w:t>
      </w:r>
      <w:r w:rsidR="7EED1AF1" w:rsidRPr="0024375B">
        <w:rPr>
          <w:rFonts w:ascii="Times New Roman" w:hAnsi="Times New Roman" w:cs="Times New Roman"/>
        </w:rPr>
        <w:t>,</w:t>
      </w:r>
      <w:r w:rsidR="00593AB8" w:rsidRPr="0024375B">
        <w:rPr>
          <w:rFonts w:ascii="Times New Roman" w:hAnsi="Times New Roman" w:cs="Times New Roman"/>
        </w:rPr>
        <w:t xml:space="preserve"> </w:t>
      </w:r>
      <w:r w:rsidRPr="0024375B">
        <w:rPr>
          <w:rFonts w:ascii="Times New Roman" w:hAnsi="Times New Roman" w:cs="Times New Roman"/>
        </w:rPr>
        <w:t>fundacji</w:t>
      </w:r>
      <w:r w:rsidR="005B4C26" w:rsidRPr="0024375B">
        <w:rPr>
          <w:rFonts w:ascii="Times New Roman" w:hAnsi="Times New Roman" w:cs="Times New Roman"/>
        </w:rPr>
        <w:t>,</w:t>
      </w:r>
      <w:r w:rsidR="2AA1953E" w:rsidRPr="0024375B">
        <w:rPr>
          <w:rFonts w:ascii="Times New Roman" w:hAnsi="Times New Roman" w:cs="Times New Roman"/>
        </w:rPr>
        <w:t xml:space="preserve"> partnerstw publiczno-prywatnych</w:t>
      </w:r>
      <w:r w:rsidR="00DA0551" w:rsidRPr="0024375B">
        <w:rPr>
          <w:rFonts w:ascii="Times New Roman" w:hAnsi="Times New Roman" w:cs="Times New Roman"/>
        </w:rPr>
        <w:t xml:space="preserve"> lub luźnych jednostek organizacyjnych</w:t>
      </w:r>
      <w:r w:rsidRPr="0024375B">
        <w:rPr>
          <w:rFonts w:ascii="Times New Roman" w:hAnsi="Times New Roman" w:cs="Times New Roman"/>
        </w:rPr>
        <w:t>. Nowelizacja tego nie zmienia, daje jedynie możliwość funkcjonowania ISAC</w:t>
      </w:r>
      <w:r w:rsidR="00EA1900">
        <w:rPr>
          <w:rFonts w:ascii="Times New Roman" w:hAnsi="Times New Roman" w:cs="Times New Roman"/>
        </w:rPr>
        <w:t xml:space="preserve"> w </w:t>
      </w:r>
      <w:r w:rsidRPr="0024375B">
        <w:rPr>
          <w:rFonts w:ascii="Times New Roman" w:hAnsi="Times New Roman" w:cs="Times New Roman"/>
        </w:rPr>
        <w:t>ramach krajowego systemu cyberbezpieczeństwa.</w:t>
      </w:r>
    </w:p>
    <w:p w14:paraId="2EAE5CE1" w14:textId="77777777" w:rsidR="00DA0551" w:rsidRDefault="00246B45" w:rsidP="0024375B">
      <w:pPr>
        <w:pStyle w:val="ARTartustawynprozporzdzenia"/>
      </w:pPr>
      <w:r w:rsidRPr="0024375B">
        <w:t>Przepis umożliwia zawarcie porozumienia między ISAC</w:t>
      </w:r>
      <w:r w:rsidR="002161FE">
        <w:t xml:space="preserve"> a </w:t>
      </w:r>
      <w:r w:rsidRPr="0024375B">
        <w:t>ministrem właściwym do spraw informatyzacji</w:t>
      </w:r>
      <w:r w:rsidR="0077165A">
        <w:t xml:space="preserve"> o </w:t>
      </w:r>
      <w:r w:rsidRPr="0024375B">
        <w:t>korzystanie</w:t>
      </w:r>
      <w:r w:rsidR="002161FE">
        <w:t xml:space="preserve"> z </w:t>
      </w:r>
      <w:r w:rsidRPr="0024375B">
        <w:t>systemu teleinformatycznego,</w:t>
      </w:r>
      <w:r w:rsidR="0077165A">
        <w:t xml:space="preserve"> o </w:t>
      </w:r>
      <w:r w:rsidRPr="0024375B">
        <w:t>którym mowa</w:t>
      </w:r>
      <w:r w:rsidR="002161FE">
        <w:t xml:space="preserve"> w</w:t>
      </w:r>
      <w:r w:rsidR="00EA1900">
        <w:t xml:space="preserve"> art. </w:t>
      </w:r>
      <w:r w:rsidRPr="0024375B">
        <w:t>46 uKSC. System ten pozwala na wymianę informację</w:t>
      </w:r>
      <w:r w:rsidR="0077165A">
        <w:t xml:space="preserve"> o </w:t>
      </w:r>
      <w:r w:rsidRPr="0024375B">
        <w:t>podatnościach, incydentach</w:t>
      </w:r>
      <w:r w:rsidR="002161FE">
        <w:t xml:space="preserve"> i </w:t>
      </w:r>
      <w:r w:rsidRPr="0024375B">
        <w:t>cyberzagrożeniach między podmiotami krajowego systemu cyberbezpieczeństwa. Korzyścią dla ISAC</w:t>
      </w:r>
      <w:r w:rsidR="002161FE">
        <w:t xml:space="preserve"> z </w:t>
      </w:r>
      <w:r w:rsidRPr="0024375B">
        <w:t>podpisania porozumienia byłoby uzyskanie informacji</w:t>
      </w:r>
      <w:r w:rsidR="002161FE">
        <w:t xml:space="preserve"> z </w:t>
      </w:r>
      <w:r w:rsidRPr="0024375B">
        <w:t>systemu S46, które będzie mógł wy</w:t>
      </w:r>
      <w:r w:rsidR="00DA0551" w:rsidRPr="0024375B">
        <w:t>korzystać</w:t>
      </w:r>
      <w:r w:rsidR="00EA1900">
        <w:t xml:space="preserve"> w </w:t>
      </w:r>
      <w:r w:rsidR="00DA0551" w:rsidRPr="0024375B">
        <w:t>swojej działalności</w:t>
      </w:r>
      <w:r w:rsidRPr="0024375B">
        <w:t>. Z drugiej strony będzie obowiązany również do współpracy</w:t>
      </w:r>
      <w:r w:rsidR="002161FE">
        <w:t xml:space="preserve"> z </w:t>
      </w:r>
      <w:r w:rsidRPr="0024375B">
        <w:t xml:space="preserve">zespołami CSIRT poziomu </w:t>
      </w:r>
      <w:r w:rsidR="00DA0551" w:rsidRPr="0024375B">
        <w:t>krajowego</w:t>
      </w:r>
      <w:r w:rsidR="002161FE">
        <w:t xml:space="preserve"> i </w:t>
      </w:r>
      <w:r w:rsidR="00DA0551" w:rsidRPr="0024375B">
        <w:t>wymiany informacji.</w:t>
      </w:r>
    </w:p>
    <w:p w14:paraId="722DFD46" w14:textId="77777777" w:rsidR="00C12F8A" w:rsidRPr="0024375B" w:rsidRDefault="00C12F8A" w:rsidP="0024375B">
      <w:pPr>
        <w:pStyle w:val="ARTartustawynprozporzdzenia"/>
      </w:pPr>
      <w:r>
        <w:t>Podpisanie porozumienia</w:t>
      </w:r>
      <w:r w:rsidR="002161FE">
        <w:t xml:space="preserve"> z </w:t>
      </w:r>
      <w:r>
        <w:t xml:space="preserve">ministrem należy traktować jako akt wpisania się ISAC do krajowego systemu cyberbezpieczeństwa. </w:t>
      </w:r>
      <w:r w:rsidR="008F5A5E">
        <w:t>Uprawnienie do jego podpisania ma charakter całkowicie fakultatywny – zarówno po stronie ISAC jak</w:t>
      </w:r>
      <w:r w:rsidR="002161FE">
        <w:t xml:space="preserve"> i </w:t>
      </w:r>
      <w:r w:rsidR="008F5A5E">
        <w:t>ministra. Należy tutaj zauważyć, że minister właściwy do spraw informatyzacji jest odpowiedzialny za utrzymanie systemu S46 –</w:t>
      </w:r>
      <w:r w:rsidR="00EA1900">
        <w:t xml:space="preserve"> w </w:t>
      </w:r>
      <w:r w:rsidR="008F5A5E">
        <w:t>tym również za jego bezpieczeństwo</w:t>
      </w:r>
      <w:r w:rsidR="00A4787E">
        <w:t xml:space="preserve"> i ten fakt powinien minister wziąć pod uwagę decydując się na podpisanie porozumienia z ISAC.</w:t>
      </w:r>
    </w:p>
    <w:p w14:paraId="695A68F4" w14:textId="77777777" w:rsidR="00246B45" w:rsidRPr="0024375B" w:rsidRDefault="00DA0551" w:rsidP="0024375B">
      <w:pPr>
        <w:pStyle w:val="ARTartustawynprozporzdzenia"/>
      </w:pPr>
      <w:r w:rsidRPr="0024375B">
        <w:t>ISAC często nie mają osobowości prawnej</w:t>
      </w:r>
      <w:r w:rsidR="00F05876" w:rsidRPr="0024375B">
        <w:t>. Zazwyczaj</w:t>
      </w:r>
      <w:r w:rsidRPr="0024375B">
        <w:t xml:space="preserve"> ma</w:t>
      </w:r>
      <w:r w:rsidR="00F05876" w:rsidRPr="0024375B">
        <w:t>ją</w:t>
      </w:r>
      <w:r w:rsidRPr="0024375B">
        <w:t xml:space="preserve"> charakter porozumienia</w:t>
      </w:r>
      <w:r w:rsidR="00F05876" w:rsidRPr="0024375B">
        <w:t>.</w:t>
      </w:r>
      <w:r w:rsidRPr="0024375B">
        <w:t xml:space="preserve"> </w:t>
      </w:r>
      <w:r w:rsidR="00F05876" w:rsidRPr="0024375B">
        <w:t>D</w:t>
      </w:r>
      <w:r w:rsidRPr="0024375B">
        <w:t>latego wprowadzono obowiązek</w:t>
      </w:r>
      <w:r w:rsidR="00953C75">
        <w:t>, aby</w:t>
      </w:r>
      <w:r w:rsidRPr="0024375B">
        <w:t xml:space="preserve"> </w:t>
      </w:r>
      <w:r w:rsidR="00953C75">
        <w:t>podmioty tworzące ISAC wyznaczyły</w:t>
      </w:r>
      <w:r w:rsidR="00953C75" w:rsidRPr="00953C75">
        <w:t xml:space="preserve"> przedstawiciela w celu zawarcia porozumienia</w:t>
      </w:r>
      <w:r w:rsidR="00953C75">
        <w:t xml:space="preserve"> z ministrem, oraz do informowania ministra o zmianach dot. ISAC czy też jego rozwiązania</w:t>
      </w:r>
      <w:r w:rsidR="003F44CB">
        <w:t xml:space="preserve"> (</w:t>
      </w:r>
      <w:r w:rsidR="00D00CB4">
        <w:t>ust. </w:t>
      </w:r>
      <w:r w:rsidR="00467786">
        <w:t>3</w:t>
      </w:r>
      <w:r w:rsidR="003F44CB">
        <w:t>)</w:t>
      </w:r>
      <w:r w:rsidR="00F05876" w:rsidRPr="0024375B">
        <w:t xml:space="preserve">. </w:t>
      </w:r>
    </w:p>
    <w:p w14:paraId="4C7942AA" w14:textId="77777777" w:rsidR="003F44CB" w:rsidRDefault="00DA0551" w:rsidP="0024375B">
      <w:pPr>
        <w:pStyle w:val="ARTartustawynprozporzdzenia"/>
      </w:pPr>
      <w:r w:rsidRPr="0024375B">
        <w:t>W celu promocji formuły ISAC prowadzony będzie wykaz ISAC</w:t>
      </w:r>
      <w:r w:rsidR="003F44CB">
        <w:t xml:space="preserve"> przez ministra właściwego do spraw informatyzacji</w:t>
      </w:r>
      <w:r w:rsidRPr="0024375B">
        <w:t>.</w:t>
      </w:r>
      <w:r w:rsidR="00116933">
        <w:t xml:space="preserve"> W </w:t>
      </w:r>
      <w:r w:rsidRPr="0024375B">
        <w:t>wykazie będą publikowane dane</w:t>
      </w:r>
      <w:r w:rsidR="0077165A">
        <w:t xml:space="preserve"> o </w:t>
      </w:r>
      <w:r w:rsidRPr="0024375B">
        <w:t>ISAC, które podpisały porozumienie</w:t>
      </w:r>
      <w:r w:rsidR="002161FE">
        <w:t xml:space="preserve"> z </w:t>
      </w:r>
      <w:r w:rsidRPr="0024375B">
        <w:t>ministrem</w:t>
      </w:r>
      <w:r w:rsidR="00467786">
        <w:t xml:space="preserve"> </w:t>
      </w:r>
      <w:r w:rsidR="003F44CB">
        <w:t>(</w:t>
      </w:r>
      <w:r w:rsidR="00D00CB4">
        <w:t>ust. </w:t>
      </w:r>
      <w:r w:rsidR="00467786">
        <w:t>4</w:t>
      </w:r>
      <w:r w:rsidR="003F44CB">
        <w:t>)</w:t>
      </w:r>
      <w:r w:rsidRPr="0024375B">
        <w:t>. Wykaz będzie zawierał podstawowe informacje</w:t>
      </w:r>
      <w:r w:rsidR="0077165A">
        <w:t xml:space="preserve"> o </w:t>
      </w:r>
      <w:r w:rsidRPr="0024375B">
        <w:t>ISAC, nazwę, siedzibę, numer</w:t>
      </w:r>
      <w:r w:rsidR="00EA1900">
        <w:t xml:space="preserve"> w </w:t>
      </w:r>
      <w:r w:rsidRPr="0024375B">
        <w:t>rejestrze, dane</w:t>
      </w:r>
      <w:r w:rsidR="0077165A">
        <w:t xml:space="preserve"> o </w:t>
      </w:r>
      <w:r w:rsidRPr="0024375B">
        <w:t>osobie reprezentującej</w:t>
      </w:r>
      <w:r w:rsidR="005B4C26" w:rsidRPr="0024375B">
        <w:t xml:space="preserve"> ISAC</w:t>
      </w:r>
      <w:r w:rsidR="005B4C26" w:rsidRPr="0024375B">
        <w:rPr>
          <w:rStyle w:val="Odwoanieprzypisudolnego"/>
        </w:rPr>
        <w:footnoteReference w:id="27"/>
      </w:r>
      <w:r w:rsidRPr="0024375B">
        <w:t>, dane kontaktowe</w:t>
      </w:r>
      <w:r w:rsidR="003F44CB">
        <w:t xml:space="preserve"> (</w:t>
      </w:r>
      <w:r w:rsidR="00D00CB4">
        <w:t>ust. </w:t>
      </w:r>
      <w:r w:rsidR="00467786">
        <w:t>5</w:t>
      </w:r>
      <w:r w:rsidR="003F44CB">
        <w:t>)</w:t>
      </w:r>
      <w:r w:rsidRPr="0024375B">
        <w:t>.</w:t>
      </w:r>
      <w:r w:rsidR="003F44CB">
        <w:t xml:space="preserve"> </w:t>
      </w:r>
    </w:p>
    <w:p w14:paraId="62FF4E6B" w14:textId="77777777" w:rsidR="003F44CB" w:rsidRDefault="003F44CB" w:rsidP="0024375B">
      <w:pPr>
        <w:pStyle w:val="ARTartustawynprozporzdzenia"/>
      </w:pPr>
      <w:r>
        <w:t xml:space="preserve">Wprowadza się rozwiązania mające na celu zapewnienie aktualności wykazu: </w:t>
      </w:r>
    </w:p>
    <w:p w14:paraId="777056D4" w14:textId="77777777" w:rsidR="003F44CB" w:rsidRDefault="003F44CB" w:rsidP="001C5AF2">
      <w:pPr>
        <w:pStyle w:val="ARTartustawynprozporzdzenia"/>
        <w:numPr>
          <w:ilvl w:val="0"/>
          <w:numId w:val="101"/>
        </w:numPr>
      </w:pPr>
      <w:r>
        <w:t>wpis do wykazu nastąpi niezwłocznie, najpóźniej</w:t>
      </w:r>
      <w:r w:rsidR="00EA1900">
        <w:t xml:space="preserve"> w </w:t>
      </w:r>
      <w:r>
        <w:t>ciągu 7 dni od zawarcia porozumienia (</w:t>
      </w:r>
      <w:r w:rsidR="00D00CB4">
        <w:t>ust. </w:t>
      </w:r>
      <w:r w:rsidR="00467786">
        <w:t>6</w:t>
      </w:r>
      <w:r>
        <w:t>),</w:t>
      </w:r>
    </w:p>
    <w:p w14:paraId="2BBFFBCD" w14:textId="77777777" w:rsidR="003F44CB" w:rsidRDefault="003F44CB" w:rsidP="001C5AF2">
      <w:pPr>
        <w:pStyle w:val="ARTartustawynprozporzdzenia"/>
        <w:numPr>
          <w:ilvl w:val="0"/>
          <w:numId w:val="101"/>
        </w:numPr>
      </w:pPr>
      <w:r>
        <w:t>ISAC będzie wykreślany</w:t>
      </w:r>
      <w:r w:rsidR="002161FE">
        <w:t xml:space="preserve"> z </w:t>
      </w:r>
      <w:r>
        <w:t>wykazu ISAC</w:t>
      </w:r>
      <w:r w:rsidR="00EA1900">
        <w:t xml:space="preserve"> w </w:t>
      </w:r>
      <w:r>
        <w:t>przypadku rozwiązania porozumienia albo rozwiązania ISAC (</w:t>
      </w:r>
      <w:r w:rsidR="00D00CB4">
        <w:t>ust. </w:t>
      </w:r>
      <w:r w:rsidR="00467786">
        <w:t>7</w:t>
      </w:r>
      <w:r>
        <w:t>),</w:t>
      </w:r>
    </w:p>
    <w:p w14:paraId="7F2BB9D1" w14:textId="77777777" w:rsidR="003F44CB" w:rsidRDefault="003F44CB" w:rsidP="00953C75">
      <w:pPr>
        <w:pStyle w:val="ARTartustawynprozporzdzenia"/>
        <w:numPr>
          <w:ilvl w:val="0"/>
          <w:numId w:val="101"/>
        </w:numPr>
      </w:pPr>
      <w:r>
        <w:lastRenderedPageBreak/>
        <w:t>zmiana danych</w:t>
      </w:r>
      <w:r w:rsidR="00EA1900">
        <w:t xml:space="preserve"> w </w:t>
      </w:r>
      <w:r>
        <w:t>wykazie ISAC</w:t>
      </w:r>
      <w:r w:rsidR="005B4C26" w:rsidRPr="0024375B">
        <w:t xml:space="preserve"> </w:t>
      </w:r>
      <w:r>
        <w:t>będzie następowała na wniosek</w:t>
      </w:r>
      <w:r w:rsidR="00953984">
        <w:rPr>
          <w:rStyle w:val="Odwoanieprzypisudolnego"/>
        </w:rPr>
        <w:footnoteReference w:id="28"/>
      </w:r>
      <w:r w:rsidR="00BC5576">
        <w:rPr>
          <w:vertAlign w:val="superscript"/>
        </w:rPr>
        <w:t>)</w:t>
      </w:r>
      <w:r>
        <w:t xml:space="preserve"> </w:t>
      </w:r>
      <w:r w:rsidR="00953C75" w:rsidRPr="00953C75">
        <w:t xml:space="preserve">jednego z podmiotów tworzących </w:t>
      </w:r>
      <w:r>
        <w:t>ISAC</w:t>
      </w:r>
      <w:r w:rsidR="00953984">
        <w:t>, złożony niezwłocznie, nie później niż</w:t>
      </w:r>
      <w:r w:rsidR="00EA1900">
        <w:t xml:space="preserve"> w </w:t>
      </w:r>
      <w:r w:rsidR="00953984">
        <w:t>terminie 1 miesiąca od zmiany tych danych, lub</w:t>
      </w:r>
      <w:r w:rsidR="002161FE">
        <w:t xml:space="preserve"> z </w:t>
      </w:r>
      <w:r w:rsidR="00953984">
        <w:t>urzędu (</w:t>
      </w:r>
      <w:r w:rsidR="00D00CB4">
        <w:t>ust. </w:t>
      </w:r>
      <w:r w:rsidR="00467786">
        <w:t>8</w:t>
      </w:r>
      <w:r w:rsidR="00953984">
        <w:t>)</w:t>
      </w:r>
      <w:r w:rsidR="00DA1ADF">
        <w:t>.</w:t>
      </w:r>
    </w:p>
    <w:p w14:paraId="4B8478AB" w14:textId="77777777" w:rsidR="00953984" w:rsidRDefault="00953984">
      <w:pPr>
        <w:pStyle w:val="ARTartustawynprozporzdzenia"/>
      </w:pPr>
      <w:r>
        <w:t>Czynnością konstytutywną jest podpisanie porozumienia między ISAC</w:t>
      </w:r>
      <w:r w:rsidR="002161FE">
        <w:t xml:space="preserve"> a </w:t>
      </w:r>
      <w:r>
        <w:t>ministrem. Rozwiązanie porozumienia oraz rozwiązanie ISAC będzie powodowało zaprzestanie korzystania</w:t>
      </w:r>
      <w:r w:rsidR="002161FE">
        <w:t xml:space="preserve"> z </w:t>
      </w:r>
      <w:r>
        <w:t>systemu S46 przez ISAC. Stąd też wykaz ISAC odzwierciedla tylko stan faktyczny, wpis oraz wykreślenie</w:t>
      </w:r>
      <w:r w:rsidR="002161FE">
        <w:t xml:space="preserve"> z </w:t>
      </w:r>
      <w:r>
        <w:t>wykazu nie kreuje praw</w:t>
      </w:r>
      <w:r w:rsidR="002161FE">
        <w:t xml:space="preserve"> i </w:t>
      </w:r>
      <w:r>
        <w:t>obowiązków. Dlatego wprowadzono przepis zgodnie</w:t>
      </w:r>
      <w:r w:rsidR="002161FE">
        <w:t xml:space="preserve"> z </w:t>
      </w:r>
      <w:r>
        <w:t>którym w</w:t>
      </w:r>
      <w:r w:rsidRPr="00953984">
        <w:t>pisanie do wykazu ISAC</w:t>
      </w:r>
      <w:r w:rsidR="002161FE">
        <w:t xml:space="preserve"> i </w:t>
      </w:r>
      <w:r w:rsidRPr="00953984">
        <w:t>wykreślenie</w:t>
      </w:r>
      <w:r w:rsidR="002161FE">
        <w:t xml:space="preserve"> z </w:t>
      </w:r>
      <w:r w:rsidRPr="00953984">
        <w:t>tego wykazu oraz zmiana danych</w:t>
      </w:r>
      <w:r w:rsidR="00EA1900">
        <w:t xml:space="preserve"> w </w:t>
      </w:r>
      <w:r w:rsidRPr="00953984">
        <w:t>wykazie ISAC są czynnościami materialno–technicznymi</w:t>
      </w:r>
      <w:r>
        <w:t xml:space="preserve"> (</w:t>
      </w:r>
      <w:r w:rsidR="00D00CB4">
        <w:t>ust. </w:t>
      </w:r>
      <w:r w:rsidR="00953C75">
        <w:t>10</w:t>
      </w:r>
      <w:r>
        <w:t>)</w:t>
      </w:r>
      <w:r w:rsidRPr="00953984">
        <w:t>.</w:t>
      </w:r>
    </w:p>
    <w:p w14:paraId="341607C5" w14:textId="5E0238FD" w:rsidR="00DA0551" w:rsidRDefault="00DA0551">
      <w:pPr>
        <w:pStyle w:val="ARTartustawynprozporzdzenia"/>
      </w:pPr>
      <w:r w:rsidRPr="0024375B">
        <w:t>Wykaz będzie publikowany</w:t>
      </w:r>
      <w:r w:rsidR="00EA1900">
        <w:t xml:space="preserve"> w </w:t>
      </w:r>
      <w:r w:rsidRPr="0024375B">
        <w:t>B</w:t>
      </w:r>
      <w:r w:rsidR="00953984">
        <w:t xml:space="preserve">iuletynie </w:t>
      </w:r>
      <w:r w:rsidRPr="0024375B">
        <w:t>I</w:t>
      </w:r>
      <w:r w:rsidR="00953984">
        <w:t xml:space="preserve">nformacji </w:t>
      </w:r>
      <w:r w:rsidRPr="0024375B">
        <w:t>P</w:t>
      </w:r>
      <w:r w:rsidR="00953984">
        <w:t>ublicznej na stronie podmiotowej</w:t>
      </w:r>
      <w:r w:rsidRPr="0024375B">
        <w:t xml:space="preserve"> ministra właściwego do spraw informatyzacji,</w:t>
      </w:r>
      <w:r w:rsidR="002161FE">
        <w:t xml:space="preserve"> z </w:t>
      </w:r>
      <w:r w:rsidRPr="0024375B">
        <w:t>wyjątkiem danych osobowych osoby reprezentującej ISAC.</w:t>
      </w:r>
      <w:r w:rsidR="00953984">
        <w:t xml:space="preserve"> Takie rozwiązanie zapewni dostęp do wykazu d</w:t>
      </w:r>
      <w:r w:rsidR="00407E74">
        <w:t>la</w:t>
      </w:r>
      <w:r w:rsidR="00953984">
        <w:t xml:space="preserve"> obywateli (</w:t>
      </w:r>
      <w:r w:rsidR="00D00CB4">
        <w:t>ust. </w:t>
      </w:r>
      <w:r w:rsidR="00953C75">
        <w:t>11</w:t>
      </w:r>
      <w:r w:rsidR="00953984">
        <w:t>).</w:t>
      </w:r>
    </w:p>
    <w:p w14:paraId="4C34EDA0" w14:textId="77777777" w:rsidR="00953984" w:rsidRPr="0024375B" w:rsidRDefault="00F342AF">
      <w:pPr>
        <w:pStyle w:val="ARTartustawynprozporzdzenia"/>
      </w:pPr>
      <w:r>
        <w:t>W przepisie ust</w:t>
      </w:r>
      <w:r w:rsidR="00952F53">
        <w:t>.</w:t>
      </w:r>
      <w:r>
        <w:t xml:space="preserve"> </w:t>
      </w:r>
      <w:r w:rsidR="00953C75">
        <w:t xml:space="preserve">12 </w:t>
      </w:r>
      <w:r>
        <w:t>wprowadza się obowiązek współpracy ISAC wpisanego do wykazu ISAC</w:t>
      </w:r>
      <w:r w:rsidR="002161FE">
        <w:t xml:space="preserve"> z </w:t>
      </w:r>
      <w:r w:rsidRPr="00F342AF">
        <w:t>CSIRT MON, CSIRT NASK lub CSIRT GOV, CSIRT sektorowymi</w:t>
      </w:r>
      <w:r w:rsidR="002161FE">
        <w:t xml:space="preserve"> i </w:t>
      </w:r>
      <w:r w:rsidRPr="00F342AF">
        <w:t>organami właściwymi do spraw cyberbezpieczeństwa,</w:t>
      </w:r>
      <w:r w:rsidR="00EA1900">
        <w:t xml:space="preserve"> w </w:t>
      </w:r>
      <w:r w:rsidRPr="00F342AF">
        <w:t>szczególności</w:t>
      </w:r>
      <w:r w:rsidR="00EA1900">
        <w:t xml:space="preserve"> w </w:t>
      </w:r>
      <w:r w:rsidRPr="00F342AF">
        <w:t>zakresie wymiany informacji, dobrych praktyk</w:t>
      </w:r>
      <w:r w:rsidR="002161FE">
        <w:t xml:space="preserve"> i </w:t>
      </w:r>
      <w:r w:rsidRPr="00F342AF">
        <w:t>doświadczeń dotyczących cyberzagrożeń, podatności oraz incydentów.</w:t>
      </w:r>
      <w:r>
        <w:t xml:space="preserve"> Istotą tego obowiązku jest to, aby nastąpiła swego rodzaju ekwiwalentność –</w:t>
      </w:r>
      <w:r w:rsidR="00EA1900">
        <w:t xml:space="preserve"> w </w:t>
      </w:r>
      <w:r>
        <w:t>zamian za dostęp do systemu S46</w:t>
      </w:r>
      <w:r w:rsidR="002161FE">
        <w:t xml:space="preserve"> i </w:t>
      </w:r>
      <w:r>
        <w:t>informacji</w:t>
      </w:r>
      <w:r w:rsidR="00EA1900">
        <w:t xml:space="preserve"> w </w:t>
      </w:r>
      <w:r>
        <w:t>nim zgromadzonych ISAC będzie dzielił się wynikami swojej działalności i</w:t>
      </w:r>
      <w:r w:rsidR="00EA1900">
        <w:t xml:space="preserve"> w </w:t>
      </w:r>
      <w:r>
        <w:t>ten sposób wspierał zespoły CSIRT.</w:t>
      </w:r>
    </w:p>
    <w:p w14:paraId="258D03E5" w14:textId="77777777" w:rsidR="002B2904" w:rsidRDefault="00D5476B" w:rsidP="0024375B">
      <w:pPr>
        <w:pStyle w:val="ARTartustawynprozporzdzenia"/>
        <w:rPr>
          <w:rFonts w:ascii="Times New Roman" w:hAnsi="Times New Roman" w:cs="Times New Roman"/>
        </w:rPr>
      </w:pPr>
      <w:r w:rsidRPr="0024375B">
        <w:rPr>
          <w:rFonts w:ascii="Times New Roman" w:hAnsi="Times New Roman" w:cs="Times New Roman"/>
        </w:rPr>
        <w:t>Minister będzie mógł przeprowadzić kontrolę działalności ISAC</w:t>
      </w:r>
      <w:r w:rsidR="002B2904">
        <w:rPr>
          <w:rFonts w:ascii="Times New Roman" w:hAnsi="Times New Roman" w:cs="Times New Roman"/>
        </w:rPr>
        <w:t xml:space="preserve"> (ust. </w:t>
      </w:r>
      <w:r w:rsidR="00953C75">
        <w:rPr>
          <w:rFonts w:ascii="Times New Roman" w:hAnsi="Times New Roman" w:cs="Times New Roman"/>
        </w:rPr>
        <w:t>13</w:t>
      </w:r>
      <w:r w:rsidR="002B2904">
        <w:rPr>
          <w:rFonts w:ascii="Times New Roman" w:hAnsi="Times New Roman" w:cs="Times New Roman"/>
        </w:rPr>
        <w:t>)</w:t>
      </w:r>
      <w:r w:rsidRPr="0024375B">
        <w:rPr>
          <w:rFonts w:ascii="Times New Roman" w:hAnsi="Times New Roman" w:cs="Times New Roman"/>
        </w:rPr>
        <w:t>.</w:t>
      </w:r>
      <w:r w:rsidR="002B2904">
        <w:rPr>
          <w:rFonts w:ascii="Times New Roman" w:hAnsi="Times New Roman" w:cs="Times New Roman"/>
        </w:rPr>
        <w:t xml:space="preserve"> Wzorcem kontroli będą:</w:t>
      </w:r>
    </w:p>
    <w:p w14:paraId="2DDB29D4" w14:textId="77777777" w:rsidR="002B2904" w:rsidRDefault="002B2904" w:rsidP="001C5AF2">
      <w:pPr>
        <w:pStyle w:val="ARTartustawynprozporzdzenia"/>
        <w:numPr>
          <w:ilvl w:val="0"/>
          <w:numId w:val="102"/>
        </w:numPr>
        <w:rPr>
          <w:rFonts w:ascii="Times New Roman" w:hAnsi="Times New Roman" w:cs="Times New Roman"/>
        </w:rPr>
      </w:pPr>
      <w:r>
        <w:rPr>
          <w:rFonts w:ascii="Times New Roman" w:hAnsi="Times New Roman" w:cs="Times New Roman"/>
        </w:rPr>
        <w:t>przepisy prawa – przepisy ustawy o krajowym systemie cyberbezpieczeństwa oraz inne przepisy dotyczące funkcjonowania ISAC czy też dotyczące bezpieczeństwa informacji,</w:t>
      </w:r>
    </w:p>
    <w:p w14:paraId="4BE0885A" w14:textId="77777777" w:rsidR="002B2904" w:rsidRDefault="002B2904" w:rsidP="00953C75">
      <w:pPr>
        <w:pStyle w:val="ARTartustawynprozporzdzenia"/>
        <w:numPr>
          <w:ilvl w:val="0"/>
          <w:numId w:val="102"/>
        </w:numPr>
        <w:rPr>
          <w:rFonts w:ascii="Times New Roman" w:hAnsi="Times New Roman" w:cs="Times New Roman"/>
        </w:rPr>
      </w:pPr>
      <w:r>
        <w:rPr>
          <w:rFonts w:ascii="Times New Roman" w:hAnsi="Times New Roman" w:cs="Times New Roman"/>
        </w:rPr>
        <w:t>zasady współpracy</w:t>
      </w:r>
      <w:r w:rsidR="00EA1900">
        <w:rPr>
          <w:rFonts w:ascii="Times New Roman" w:hAnsi="Times New Roman" w:cs="Times New Roman"/>
        </w:rPr>
        <w:t xml:space="preserve"> w </w:t>
      </w:r>
      <w:r>
        <w:rPr>
          <w:rFonts w:ascii="Times New Roman" w:hAnsi="Times New Roman" w:cs="Times New Roman"/>
        </w:rPr>
        <w:t xml:space="preserve">ramach krajowego systemu cyberbezpieczeństwa </w:t>
      </w:r>
      <w:r w:rsidR="00953C75" w:rsidRPr="00953C75">
        <w:rPr>
          <w:rFonts w:ascii="Times New Roman" w:hAnsi="Times New Roman" w:cs="Times New Roman"/>
        </w:rPr>
        <w:t>określon</w:t>
      </w:r>
      <w:r w:rsidR="00953C75">
        <w:rPr>
          <w:rFonts w:ascii="Times New Roman" w:hAnsi="Times New Roman" w:cs="Times New Roman"/>
        </w:rPr>
        <w:t>e</w:t>
      </w:r>
      <w:r w:rsidR="00953C75" w:rsidRPr="00953C75">
        <w:rPr>
          <w:rFonts w:ascii="Times New Roman" w:hAnsi="Times New Roman" w:cs="Times New Roman"/>
        </w:rPr>
        <w:t xml:space="preserve"> w porozumieniu </w:t>
      </w:r>
      <w:r w:rsidR="00953C75">
        <w:rPr>
          <w:rFonts w:ascii="Times New Roman" w:hAnsi="Times New Roman" w:cs="Times New Roman"/>
        </w:rPr>
        <w:t>z ministrem</w:t>
      </w:r>
      <w:r w:rsidR="004C194B">
        <w:rPr>
          <w:rFonts w:ascii="Times New Roman" w:hAnsi="Times New Roman" w:cs="Times New Roman"/>
        </w:rPr>
        <w:t>.</w:t>
      </w:r>
    </w:p>
    <w:p w14:paraId="7FDBB278" w14:textId="1EEAEEFB" w:rsidR="00F6749E" w:rsidRPr="0024375B" w:rsidRDefault="00F6749E" w:rsidP="0024375B">
      <w:pPr>
        <w:pStyle w:val="ARTartustawynprozporzdzenia"/>
        <w:rPr>
          <w:rFonts w:ascii="Times New Roman" w:hAnsi="Times New Roman" w:cs="Times New Roman"/>
        </w:rPr>
      </w:pPr>
      <w:r w:rsidRPr="0024375B">
        <w:rPr>
          <w:rFonts w:ascii="Times New Roman" w:hAnsi="Times New Roman" w:cs="Times New Roman"/>
        </w:rPr>
        <w:t xml:space="preserve">Jeżeli ISAC </w:t>
      </w:r>
      <w:r w:rsidR="00953C75">
        <w:rPr>
          <w:rFonts w:ascii="Times New Roman" w:hAnsi="Times New Roman" w:cs="Times New Roman"/>
        </w:rPr>
        <w:t>nie będzie realizował swoich obowiązków</w:t>
      </w:r>
      <w:r w:rsidRPr="0024375B">
        <w:rPr>
          <w:rFonts w:ascii="Times New Roman" w:hAnsi="Times New Roman" w:cs="Times New Roman"/>
        </w:rPr>
        <w:t xml:space="preserve"> lub narusza</w:t>
      </w:r>
      <w:r w:rsidR="007703AA" w:rsidRPr="0024375B">
        <w:rPr>
          <w:rFonts w:ascii="Times New Roman" w:hAnsi="Times New Roman" w:cs="Times New Roman"/>
        </w:rPr>
        <w:t>ł</w:t>
      </w:r>
      <w:r w:rsidRPr="0024375B">
        <w:rPr>
          <w:rFonts w:ascii="Times New Roman" w:hAnsi="Times New Roman" w:cs="Times New Roman"/>
        </w:rPr>
        <w:t xml:space="preserve"> zasady współpracy</w:t>
      </w:r>
      <w:r w:rsidR="00EA1900">
        <w:rPr>
          <w:rFonts w:ascii="Times New Roman" w:hAnsi="Times New Roman" w:cs="Times New Roman"/>
        </w:rPr>
        <w:t xml:space="preserve"> w </w:t>
      </w:r>
      <w:r w:rsidRPr="0024375B">
        <w:rPr>
          <w:rFonts w:ascii="Times New Roman" w:hAnsi="Times New Roman" w:cs="Times New Roman"/>
        </w:rPr>
        <w:t xml:space="preserve">ramach krajowego systemu cyberbezpieczeństwa to minister właściwy ds. informatyzacji </w:t>
      </w:r>
      <w:r w:rsidR="007703AA" w:rsidRPr="0024375B">
        <w:rPr>
          <w:rFonts w:ascii="Times New Roman" w:hAnsi="Times New Roman" w:cs="Times New Roman"/>
        </w:rPr>
        <w:t>będzie mógł</w:t>
      </w:r>
      <w:r w:rsidRPr="0024375B">
        <w:rPr>
          <w:rFonts w:ascii="Times New Roman" w:hAnsi="Times New Roman" w:cs="Times New Roman"/>
        </w:rPr>
        <w:t xml:space="preserve"> zwrócić się do ISAC</w:t>
      </w:r>
      <w:r w:rsidR="0077165A">
        <w:rPr>
          <w:rFonts w:ascii="Times New Roman" w:hAnsi="Times New Roman" w:cs="Times New Roman"/>
        </w:rPr>
        <w:t xml:space="preserve"> o </w:t>
      </w:r>
      <w:r w:rsidRPr="0024375B">
        <w:rPr>
          <w:rFonts w:ascii="Times New Roman" w:hAnsi="Times New Roman" w:cs="Times New Roman"/>
        </w:rPr>
        <w:t>usunięcie nieprawidłowości</w:t>
      </w:r>
      <w:r w:rsidR="00EA1900">
        <w:rPr>
          <w:rFonts w:ascii="Times New Roman" w:hAnsi="Times New Roman" w:cs="Times New Roman"/>
        </w:rPr>
        <w:t xml:space="preserve"> w </w:t>
      </w:r>
      <w:r w:rsidRPr="0024375B">
        <w:rPr>
          <w:rFonts w:ascii="Times New Roman" w:hAnsi="Times New Roman" w:cs="Times New Roman"/>
        </w:rPr>
        <w:t xml:space="preserve">określonym terminie </w:t>
      </w:r>
      <w:r w:rsidR="003C19A8">
        <w:rPr>
          <w:rFonts w:ascii="Times New Roman" w:hAnsi="Times New Roman" w:cs="Times New Roman"/>
        </w:rPr>
        <w:t>lub</w:t>
      </w:r>
      <w:r w:rsidR="003C19A8" w:rsidRPr="0024375B">
        <w:rPr>
          <w:rFonts w:ascii="Times New Roman" w:hAnsi="Times New Roman" w:cs="Times New Roman"/>
        </w:rPr>
        <w:t xml:space="preserve"> </w:t>
      </w:r>
      <w:r w:rsidRPr="0024375B">
        <w:rPr>
          <w:rFonts w:ascii="Times New Roman" w:hAnsi="Times New Roman" w:cs="Times New Roman"/>
        </w:rPr>
        <w:t xml:space="preserve">wykreślić </w:t>
      </w:r>
      <w:r w:rsidR="002E3B51" w:rsidRPr="0024375B">
        <w:rPr>
          <w:rFonts w:ascii="Times New Roman" w:hAnsi="Times New Roman" w:cs="Times New Roman"/>
        </w:rPr>
        <w:t xml:space="preserve">taki </w:t>
      </w:r>
      <w:r w:rsidRPr="0024375B">
        <w:rPr>
          <w:rFonts w:ascii="Times New Roman" w:hAnsi="Times New Roman" w:cs="Times New Roman"/>
        </w:rPr>
        <w:t>podmiot</w:t>
      </w:r>
      <w:r w:rsidR="002161FE">
        <w:rPr>
          <w:rFonts w:ascii="Times New Roman" w:hAnsi="Times New Roman" w:cs="Times New Roman"/>
        </w:rPr>
        <w:t xml:space="preserve"> z </w:t>
      </w:r>
      <w:r w:rsidRPr="0024375B">
        <w:rPr>
          <w:rFonts w:ascii="Times New Roman" w:hAnsi="Times New Roman" w:cs="Times New Roman"/>
        </w:rPr>
        <w:t>wykazu</w:t>
      </w:r>
      <w:r w:rsidR="007703AA" w:rsidRPr="0024375B">
        <w:rPr>
          <w:rFonts w:ascii="Times New Roman" w:hAnsi="Times New Roman" w:cs="Times New Roman"/>
        </w:rPr>
        <w:t xml:space="preserve"> ISAC</w:t>
      </w:r>
      <w:r w:rsidR="004C194B">
        <w:rPr>
          <w:rFonts w:ascii="Times New Roman" w:hAnsi="Times New Roman" w:cs="Times New Roman"/>
        </w:rPr>
        <w:t xml:space="preserve"> (ust. </w:t>
      </w:r>
      <w:r w:rsidR="00953C75">
        <w:rPr>
          <w:rFonts w:ascii="Times New Roman" w:hAnsi="Times New Roman" w:cs="Times New Roman"/>
        </w:rPr>
        <w:t>15</w:t>
      </w:r>
      <w:r w:rsidR="004C194B">
        <w:rPr>
          <w:rFonts w:ascii="Times New Roman" w:hAnsi="Times New Roman" w:cs="Times New Roman"/>
        </w:rPr>
        <w:t>)</w:t>
      </w:r>
      <w:r w:rsidRPr="0024375B">
        <w:rPr>
          <w:rFonts w:ascii="Times New Roman" w:hAnsi="Times New Roman" w:cs="Times New Roman"/>
        </w:rPr>
        <w:t>.</w:t>
      </w:r>
      <w:r w:rsidR="003C19A8">
        <w:rPr>
          <w:rFonts w:ascii="Times New Roman" w:hAnsi="Times New Roman" w:cs="Times New Roman"/>
        </w:rPr>
        <w:t xml:space="preserve"> Celowo tutaj użyto funktora „lub” – celem jest umożliwienie ministrowi</w:t>
      </w:r>
      <w:r w:rsidR="004C194B">
        <w:rPr>
          <w:rFonts w:ascii="Times New Roman" w:hAnsi="Times New Roman" w:cs="Times New Roman"/>
        </w:rPr>
        <w:t xml:space="preserve"> dokonanie samego wystąpienia czy też od razu </w:t>
      </w:r>
      <w:r w:rsidR="00275E46">
        <w:rPr>
          <w:rFonts w:ascii="Times New Roman" w:hAnsi="Times New Roman" w:cs="Times New Roman"/>
        </w:rPr>
        <w:t>wypowiedzenia</w:t>
      </w:r>
      <w:r w:rsidR="004C194B">
        <w:rPr>
          <w:rFonts w:ascii="Times New Roman" w:hAnsi="Times New Roman" w:cs="Times New Roman"/>
        </w:rPr>
        <w:t xml:space="preserve"> porozumieni</w:t>
      </w:r>
      <w:r w:rsidR="00275E46">
        <w:rPr>
          <w:rFonts w:ascii="Times New Roman" w:hAnsi="Times New Roman" w:cs="Times New Roman"/>
        </w:rPr>
        <w:t>a</w:t>
      </w:r>
      <w:r w:rsidR="004C194B">
        <w:rPr>
          <w:rFonts w:ascii="Times New Roman" w:hAnsi="Times New Roman" w:cs="Times New Roman"/>
        </w:rPr>
        <w:t>. Możliwa jest również sytuacja,</w:t>
      </w:r>
      <w:r w:rsidR="00EA1900">
        <w:rPr>
          <w:rFonts w:ascii="Times New Roman" w:hAnsi="Times New Roman" w:cs="Times New Roman"/>
        </w:rPr>
        <w:t xml:space="preserve"> w </w:t>
      </w:r>
      <w:r w:rsidR="004C194B">
        <w:rPr>
          <w:rFonts w:ascii="Times New Roman" w:hAnsi="Times New Roman" w:cs="Times New Roman"/>
        </w:rPr>
        <w:t>której minister najpierw występuje o usunięcie nieprawidłowości,</w:t>
      </w:r>
      <w:r w:rsidR="002161FE">
        <w:rPr>
          <w:rFonts w:ascii="Times New Roman" w:hAnsi="Times New Roman" w:cs="Times New Roman"/>
        </w:rPr>
        <w:t xml:space="preserve"> a </w:t>
      </w:r>
      <w:r w:rsidR="004C194B">
        <w:rPr>
          <w:rFonts w:ascii="Times New Roman" w:hAnsi="Times New Roman" w:cs="Times New Roman"/>
        </w:rPr>
        <w:t>następnie widząc, że ISAC ich nie usunął – wypowiedzieć porozumienie.</w:t>
      </w:r>
    </w:p>
    <w:p w14:paraId="2A5A9444" w14:textId="77777777" w:rsidR="00124DF9" w:rsidRPr="0024375B" w:rsidRDefault="6C897C90" w:rsidP="00862E68">
      <w:pPr>
        <w:pStyle w:val="Nagwek3"/>
      </w:pPr>
      <w:bookmarkStart w:id="21" w:name="_Toc136511047"/>
      <w:r w:rsidRPr="0024375B">
        <w:lastRenderedPageBreak/>
        <w:t>Nowe obowiązki zespołów CSIRT GOV, CSIRT MON</w:t>
      </w:r>
      <w:r w:rsidR="002161FE">
        <w:t xml:space="preserve"> i </w:t>
      </w:r>
      <w:r w:rsidRPr="0024375B">
        <w:t>CSIRT NASK</w:t>
      </w:r>
      <w:bookmarkEnd w:id="21"/>
    </w:p>
    <w:p w14:paraId="6FF6B31E" w14:textId="77777777" w:rsidR="002B6955" w:rsidRPr="0024375B" w:rsidRDefault="002B6955" w:rsidP="00DC1575">
      <w:pPr>
        <w:pStyle w:val="Nagwek4"/>
      </w:pPr>
      <w:r w:rsidRPr="0024375B">
        <w:t>Zmiany</w:t>
      </w:r>
      <w:r w:rsidR="002161FE">
        <w:t xml:space="preserve"> w</w:t>
      </w:r>
      <w:r w:rsidR="00EA1900">
        <w:t xml:space="preserve"> art. </w:t>
      </w:r>
      <w:r w:rsidRPr="0024375B">
        <w:t>26</w:t>
      </w:r>
    </w:p>
    <w:p w14:paraId="66426B80" w14:textId="77777777" w:rsidR="002D6284" w:rsidRDefault="005F373C" w:rsidP="0024375B">
      <w:pPr>
        <w:pStyle w:val="NIEARTTEKSTtekstnieartykuowanynppodstprawnarozplubpreambua"/>
        <w:rPr>
          <w:rFonts w:ascii="Times New Roman" w:hAnsi="Times New Roman" w:cs="Times New Roman"/>
        </w:rPr>
      </w:pPr>
      <w:r>
        <w:rPr>
          <w:rFonts w:ascii="Times New Roman" w:hAnsi="Times New Roman" w:cs="Times New Roman"/>
        </w:rPr>
        <w:t>Zgodnie z nową treścią</w:t>
      </w:r>
      <w:r w:rsidR="00EA1900">
        <w:rPr>
          <w:rFonts w:ascii="Times New Roman" w:hAnsi="Times New Roman" w:cs="Times New Roman"/>
        </w:rPr>
        <w:t xml:space="preserve"> art. </w:t>
      </w:r>
      <w:r w:rsidR="00F6749E" w:rsidRPr="0024375B">
        <w:rPr>
          <w:rFonts w:ascii="Times New Roman" w:hAnsi="Times New Roman" w:cs="Times New Roman"/>
        </w:rPr>
        <w:t xml:space="preserve">26 </w:t>
      </w:r>
      <w:r w:rsidR="00D00CB4">
        <w:rPr>
          <w:rFonts w:ascii="Times New Roman" w:hAnsi="Times New Roman" w:cs="Times New Roman"/>
        </w:rPr>
        <w:t>ust. </w:t>
      </w:r>
      <w:r w:rsidR="005F5BB4" w:rsidRPr="0024375B">
        <w:rPr>
          <w:rFonts w:ascii="Times New Roman" w:hAnsi="Times New Roman" w:cs="Times New Roman"/>
        </w:rPr>
        <w:t>2</w:t>
      </w:r>
      <w:r w:rsidR="00C61C93" w:rsidRPr="0024375B">
        <w:rPr>
          <w:rFonts w:ascii="Times New Roman" w:hAnsi="Times New Roman" w:cs="Times New Roman"/>
        </w:rPr>
        <w:t xml:space="preserve"> </w:t>
      </w:r>
      <w:r>
        <w:rPr>
          <w:rFonts w:ascii="Times New Roman" w:hAnsi="Times New Roman" w:cs="Times New Roman"/>
        </w:rPr>
        <w:t xml:space="preserve">zespoły </w:t>
      </w:r>
      <w:r w:rsidR="005F5BB4" w:rsidRPr="0024375B">
        <w:rPr>
          <w:rFonts w:ascii="Times New Roman" w:hAnsi="Times New Roman" w:cs="Times New Roman"/>
        </w:rPr>
        <w:t>CSIRT GOV, CSIRT MON</w:t>
      </w:r>
      <w:r w:rsidR="002161FE">
        <w:rPr>
          <w:rFonts w:ascii="Times New Roman" w:hAnsi="Times New Roman" w:cs="Times New Roman"/>
        </w:rPr>
        <w:t xml:space="preserve"> i </w:t>
      </w:r>
      <w:r w:rsidR="005F5BB4" w:rsidRPr="0024375B">
        <w:rPr>
          <w:rFonts w:ascii="Times New Roman" w:hAnsi="Times New Roman" w:cs="Times New Roman"/>
        </w:rPr>
        <w:t>CSIRT NASK będą mogły udzielić wsparcia</w:t>
      </w:r>
      <w:r w:rsidR="00EA1900">
        <w:rPr>
          <w:rFonts w:ascii="Times New Roman" w:hAnsi="Times New Roman" w:cs="Times New Roman"/>
        </w:rPr>
        <w:t xml:space="preserve"> w </w:t>
      </w:r>
      <w:r w:rsidR="005F5BB4" w:rsidRPr="0024375B">
        <w:rPr>
          <w:rFonts w:ascii="Times New Roman" w:hAnsi="Times New Roman" w:cs="Times New Roman"/>
        </w:rPr>
        <w:t>obsłudze incydentów</w:t>
      </w:r>
      <w:r w:rsidR="002161FE">
        <w:rPr>
          <w:rFonts w:ascii="Times New Roman" w:hAnsi="Times New Roman" w:cs="Times New Roman"/>
        </w:rPr>
        <w:t xml:space="preserve"> i </w:t>
      </w:r>
      <w:r w:rsidR="00112AB8" w:rsidRPr="0024375B">
        <w:rPr>
          <w:rFonts w:ascii="Times New Roman" w:hAnsi="Times New Roman" w:cs="Times New Roman"/>
        </w:rPr>
        <w:t>incydentów telekomunikacyjnych</w:t>
      </w:r>
      <w:r w:rsidR="005F5BB4" w:rsidRPr="0024375B">
        <w:rPr>
          <w:rFonts w:ascii="Times New Roman" w:hAnsi="Times New Roman" w:cs="Times New Roman"/>
        </w:rPr>
        <w:t xml:space="preserve"> wszystkim podmiotom krajowego systemu </w:t>
      </w:r>
      <w:r w:rsidR="007F2C6D" w:rsidRPr="0024375B">
        <w:rPr>
          <w:rFonts w:ascii="Times New Roman" w:hAnsi="Times New Roman" w:cs="Times New Roman"/>
        </w:rPr>
        <w:t>cyberbezpieczeństwa</w:t>
      </w:r>
      <w:r w:rsidR="005F5BB4" w:rsidRPr="0024375B">
        <w:rPr>
          <w:rFonts w:ascii="Times New Roman" w:hAnsi="Times New Roman" w:cs="Times New Roman"/>
        </w:rPr>
        <w:t xml:space="preserve"> oraz operatorom infrastruktury krytycznej. </w:t>
      </w:r>
    </w:p>
    <w:p w14:paraId="1D22F308" w14:textId="77777777" w:rsidR="005F5BB4" w:rsidRPr="0024375B" w:rsidRDefault="005F373C" w:rsidP="0024375B">
      <w:pPr>
        <w:pStyle w:val="NIEARTTEKSTtekstnieartykuowanynppodstprawnarozplubpreambua"/>
        <w:rPr>
          <w:rFonts w:ascii="Times New Roman" w:hAnsi="Times New Roman" w:cs="Times New Roman"/>
        </w:rPr>
      </w:pPr>
      <w:r>
        <w:rPr>
          <w:rFonts w:ascii="Times New Roman" w:hAnsi="Times New Roman" w:cs="Times New Roman"/>
        </w:rPr>
        <w:t>Ponadto w</w:t>
      </w:r>
      <w:r w:rsidR="002F77A0" w:rsidRPr="0024375B">
        <w:rPr>
          <w:rFonts w:ascii="Times New Roman" w:hAnsi="Times New Roman" w:cs="Times New Roman"/>
        </w:rPr>
        <w:t xml:space="preserve"> nowym </w:t>
      </w:r>
      <w:r w:rsidR="00D00CB4">
        <w:rPr>
          <w:rFonts w:ascii="Times New Roman" w:hAnsi="Times New Roman" w:cs="Times New Roman"/>
        </w:rPr>
        <w:t>ust. </w:t>
      </w:r>
      <w:r w:rsidR="002F77A0" w:rsidRPr="0024375B">
        <w:rPr>
          <w:rFonts w:ascii="Times New Roman" w:hAnsi="Times New Roman" w:cs="Times New Roman"/>
        </w:rPr>
        <w:t>2a w</w:t>
      </w:r>
      <w:r w:rsidR="00C61C93" w:rsidRPr="0024375B">
        <w:rPr>
          <w:rFonts w:ascii="Times New Roman" w:hAnsi="Times New Roman" w:cs="Times New Roman"/>
        </w:rPr>
        <w:t>prowadza się również nowe uprawnienie Pełnomocnika. B</w:t>
      </w:r>
      <w:r w:rsidR="005F5BB4" w:rsidRPr="0024375B">
        <w:rPr>
          <w:rFonts w:ascii="Times New Roman" w:hAnsi="Times New Roman" w:cs="Times New Roman"/>
        </w:rPr>
        <w:t xml:space="preserve">ędzie mógł zlecić zapewnienie </w:t>
      </w:r>
      <w:r>
        <w:rPr>
          <w:rFonts w:ascii="Times New Roman" w:hAnsi="Times New Roman" w:cs="Times New Roman"/>
        </w:rPr>
        <w:t>ww.</w:t>
      </w:r>
      <w:r w:rsidRPr="0024375B">
        <w:rPr>
          <w:rFonts w:ascii="Times New Roman" w:hAnsi="Times New Roman" w:cs="Times New Roman"/>
        </w:rPr>
        <w:t xml:space="preserve"> </w:t>
      </w:r>
      <w:r w:rsidR="005F5BB4" w:rsidRPr="0024375B">
        <w:rPr>
          <w:rFonts w:ascii="Times New Roman" w:hAnsi="Times New Roman" w:cs="Times New Roman"/>
        </w:rPr>
        <w:t>wsparcia:</w:t>
      </w:r>
    </w:p>
    <w:p w14:paraId="60D2321A" w14:textId="77777777" w:rsidR="005F5BB4" w:rsidRPr="0024375B" w:rsidRDefault="005F5BB4" w:rsidP="0024375B">
      <w:pPr>
        <w:pStyle w:val="ARTartustawynprozporzdzenia"/>
        <w:numPr>
          <w:ilvl w:val="0"/>
          <w:numId w:val="47"/>
        </w:numPr>
        <w:spacing w:line="240" w:lineRule="auto"/>
      </w:pPr>
      <w:r w:rsidRPr="0024375B">
        <w:t>CSIRT NASK</w:t>
      </w:r>
      <w:r w:rsidR="00E975CD" w:rsidRPr="0024375B">
        <w:t xml:space="preserve"> – za zgodą ministra właściwego do spraw informatyzacji;</w:t>
      </w:r>
    </w:p>
    <w:p w14:paraId="7AD8F21F" w14:textId="77777777" w:rsidR="005F5BB4" w:rsidRPr="0024375B" w:rsidRDefault="005F5BB4" w:rsidP="0024375B">
      <w:pPr>
        <w:pStyle w:val="ARTartustawynprozporzdzenia"/>
        <w:numPr>
          <w:ilvl w:val="0"/>
          <w:numId w:val="47"/>
        </w:numPr>
        <w:spacing w:line="240" w:lineRule="auto"/>
      </w:pPr>
      <w:r w:rsidRPr="0024375B">
        <w:t>CSIRT GOV – za zgodą Szefa Agencji Bezpieczeństwa Wewnętrznego;</w:t>
      </w:r>
    </w:p>
    <w:p w14:paraId="6FCD97EE" w14:textId="77777777" w:rsidR="005F5BB4" w:rsidRPr="0024375B" w:rsidRDefault="005F5BB4" w:rsidP="0024375B">
      <w:pPr>
        <w:pStyle w:val="ARTartustawynprozporzdzenia"/>
        <w:numPr>
          <w:ilvl w:val="0"/>
          <w:numId w:val="47"/>
        </w:numPr>
        <w:spacing w:line="240" w:lineRule="auto"/>
      </w:pPr>
      <w:r w:rsidRPr="0024375B">
        <w:t>CSIRT MON – za zgodą Ministra Obrony Narodowej.</w:t>
      </w:r>
    </w:p>
    <w:p w14:paraId="3D4A6B4A" w14:textId="77777777" w:rsidR="005F5BB4" w:rsidRPr="0024375B" w:rsidRDefault="005F5BB4" w:rsidP="0024375B">
      <w:pPr>
        <w:pStyle w:val="ARTartustawynprozporzdzenia"/>
        <w:ind w:firstLine="0"/>
        <w:rPr>
          <w:rFonts w:ascii="Times New Roman" w:hAnsi="Times New Roman" w:cs="Times New Roman"/>
        </w:rPr>
      </w:pPr>
      <w:r w:rsidRPr="0024375B">
        <w:t>Obydwie zgody będą mogły być wyrażone</w:t>
      </w:r>
      <w:r w:rsidR="002161FE">
        <w:t xml:space="preserve"> z </w:t>
      </w:r>
      <w:r w:rsidRPr="0024375B">
        <w:rPr>
          <w:rFonts w:ascii="Times New Roman" w:hAnsi="Times New Roman" w:cs="Times New Roman"/>
        </w:rPr>
        <w:t>wykorzystaniem środków porozumiewania się na odległość.</w:t>
      </w:r>
      <w:r w:rsidR="500C8E41" w:rsidRPr="0024375B">
        <w:rPr>
          <w:rFonts w:ascii="Times New Roman" w:hAnsi="Times New Roman" w:cs="Times New Roman"/>
        </w:rPr>
        <w:t xml:space="preserve"> </w:t>
      </w:r>
      <w:r w:rsidR="327B8A69" w:rsidRPr="0024375B">
        <w:rPr>
          <w:rFonts w:ascii="Times New Roman" w:hAnsi="Times New Roman" w:cs="Times New Roman"/>
        </w:rPr>
        <w:t>Powyższe rozwiązanie umożliwi udzielenie najlepszego możliwego wsparcia określonemu podmiotowi</w:t>
      </w:r>
      <w:r w:rsidR="00EA1900">
        <w:rPr>
          <w:rFonts w:ascii="Times New Roman" w:hAnsi="Times New Roman" w:cs="Times New Roman"/>
        </w:rPr>
        <w:t xml:space="preserve"> w </w:t>
      </w:r>
      <w:r w:rsidR="327B8A69" w:rsidRPr="0024375B">
        <w:rPr>
          <w:rFonts w:ascii="Times New Roman" w:hAnsi="Times New Roman" w:cs="Times New Roman"/>
        </w:rPr>
        <w:t>przypadku wystąpienia incydentu, który będzie wymagał szczególnych k</w:t>
      </w:r>
      <w:r w:rsidR="122BF846" w:rsidRPr="0024375B">
        <w:rPr>
          <w:rFonts w:ascii="Times New Roman" w:hAnsi="Times New Roman" w:cs="Times New Roman"/>
        </w:rPr>
        <w:t>ompetencji do</w:t>
      </w:r>
      <w:r w:rsidR="03222759" w:rsidRPr="0024375B">
        <w:rPr>
          <w:rFonts w:ascii="Times New Roman" w:hAnsi="Times New Roman" w:cs="Times New Roman"/>
        </w:rPr>
        <w:t xml:space="preserve"> jego</w:t>
      </w:r>
      <w:r w:rsidR="122BF846" w:rsidRPr="0024375B">
        <w:rPr>
          <w:rFonts w:ascii="Times New Roman" w:hAnsi="Times New Roman" w:cs="Times New Roman"/>
        </w:rPr>
        <w:t xml:space="preserve"> obsługi.</w:t>
      </w:r>
      <w:r w:rsidR="5720E375" w:rsidRPr="0024375B">
        <w:rPr>
          <w:rFonts w:ascii="Times New Roman" w:hAnsi="Times New Roman" w:cs="Times New Roman"/>
        </w:rPr>
        <w:t xml:space="preserve"> Dzięki temu </w:t>
      </w:r>
      <w:r w:rsidR="002A2BF6" w:rsidRPr="0024375B">
        <w:rPr>
          <w:rFonts w:ascii="Times New Roman" w:hAnsi="Times New Roman" w:cs="Times New Roman"/>
        </w:rPr>
        <w:t>P</w:t>
      </w:r>
      <w:r w:rsidR="5720E375" w:rsidRPr="0024375B">
        <w:rPr>
          <w:rFonts w:ascii="Times New Roman" w:hAnsi="Times New Roman" w:cs="Times New Roman"/>
        </w:rPr>
        <w:t>ełnomocnik będzie dysponował skutecznym narzędziem do reagowania na incyd</w:t>
      </w:r>
      <w:r w:rsidR="3ADB9F24" w:rsidRPr="0024375B">
        <w:rPr>
          <w:rFonts w:ascii="Times New Roman" w:hAnsi="Times New Roman" w:cs="Times New Roman"/>
        </w:rPr>
        <w:t xml:space="preserve">enty. </w:t>
      </w:r>
    </w:p>
    <w:p w14:paraId="6B02CA06" w14:textId="77777777" w:rsidR="001351CB" w:rsidRPr="0024375B" w:rsidRDefault="00F6749E" w:rsidP="0024375B">
      <w:pPr>
        <w:pStyle w:val="NIEARTTEKSTtekstnieartykuowanynppodstprawnarozplubpreambua"/>
      </w:pPr>
      <w:r w:rsidRPr="0024375B">
        <w:rPr>
          <w:rFonts w:ascii="Times New Roman" w:hAnsi="Times New Roman" w:cs="Times New Roman"/>
        </w:rPr>
        <w:t>W</w:t>
      </w:r>
      <w:r w:rsidR="00EA1900">
        <w:rPr>
          <w:rFonts w:ascii="Times New Roman" w:hAnsi="Times New Roman" w:cs="Times New Roman"/>
        </w:rPr>
        <w:t xml:space="preserve"> art. </w:t>
      </w:r>
      <w:r w:rsidR="006A3D3C" w:rsidRPr="0024375B">
        <w:rPr>
          <w:rFonts w:ascii="Times New Roman" w:hAnsi="Times New Roman" w:cs="Times New Roman"/>
        </w:rPr>
        <w:t>26</w:t>
      </w:r>
      <w:r w:rsidRPr="0024375B">
        <w:rPr>
          <w:rFonts w:ascii="Times New Roman" w:hAnsi="Times New Roman" w:cs="Times New Roman"/>
        </w:rPr>
        <w:t xml:space="preserve"> </w:t>
      </w:r>
      <w:r w:rsidR="00D00CB4">
        <w:rPr>
          <w:rFonts w:ascii="Times New Roman" w:hAnsi="Times New Roman" w:cs="Times New Roman"/>
        </w:rPr>
        <w:t>ust. </w:t>
      </w:r>
      <w:r w:rsidRPr="0024375B">
        <w:rPr>
          <w:rFonts w:ascii="Times New Roman" w:hAnsi="Times New Roman" w:cs="Times New Roman"/>
        </w:rPr>
        <w:t>3 dodane zostały nowe zadania zespołów CSIRT poziomu krajowego</w:t>
      </w:r>
      <w:r w:rsidR="003B585E" w:rsidRPr="0024375B">
        <w:rPr>
          <w:rFonts w:ascii="Times New Roman" w:hAnsi="Times New Roman" w:cs="Times New Roman"/>
        </w:rPr>
        <w:t>.</w:t>
      </w:r>
    </w:p>
    <w:p w14:paraId="650D47B5" w14:textId="77777777" w:rsidR="001351CB" w:rsidRPr="0024375B" w:rsidRDefault="001351CB" w:rsidP="0024375B">
      <w:pPr>
        <w:jc w:val="both"/>
      </w:pPr>
      <w:r w:rsidRPr="0024375B">
        <w:t>Będą to:</w:t>
      </w:r>
    </w:p>
    <w:p w14:paraId="4984CA96" w14:textId="77777777" w:rsidR="001351CB" w:rsidRPr="0024375B" w:rsidRDefault="001351CB" w:rsidP="001C5AF2">
      <w:pPr>
        <w:pStyle w:val="Akapitzlist"/>
        <w:numPr>
          <w:ilvl w:val="0"/>
          <w:numId w:val="86"/>
        </w:numPr>
        <w:ind w:hanging="357"/>
        <w:contextualSpacing w:val="0"/>
      </w:pPr>
      <w:r w:rsidRPr="0024375B">
        <w:t>gromadzenie oraz przetwarzanie informacji dotyczących cyberzagrożeń, podatności, incydentów</w:t>
      </w:r>
      <w:r w:rsidR="002161FE">
        <w:t xml:space="preserve"> i </w:t>
      </w:r>
      <w:r w:rsidRPr="0024375B">
        <w:t>incydentów telekomunikacyjnych</w:t>
      </w:r>
    </w:p>
    <w:p w14:paraId="065CC28C" w14:textId="77777777" w:rsidR="001351CB" w:rsidRPr="0024375B" w:rsidRDefault="001351CB" w:rsidP="00FC6B8C">
      <w:pPr>
        <w:pStyle w:val="Akapitzlist"/>
        <w:keepNext/>
        <w:keepLines/>
        <w:numPr>
          <w:ilvl w:val="0"/>
          <w:numId w:val="86"/>
        </w:numPr>
        <w:ind w:hanging="357"/>
        <w:contextualSpacing w:val="0"/>
      </w:pPr>
      <w:r w:rsidRPr="0024375B">
        <w:t xml:space="preserve">przygotowywanie </w:t>
      </w:r>
    </w:p>
    <w:p w14:paraId="2FA03779" w14:textId="77777777" w:rsidR="001351CB" w:rsidRPr="0024375B" w:rsidRDefault="001351CB" w:rsidP="00FC6B8C">
      <w:pPr>
        <w:pStyle w:val="Akapitzlist"/>
        <w:keepNext/>
        <w:keepLines/>
        <w:numPr>
          <w:ilvl w:val="1"/>
          <w:numId w:val="86"/>
        </w:numPr>
        <w:ind w:hanging="357"/>
        <w:contextualSpacing w:val="0"/>
      </w:pPr>
      <w:r w:rsidRPr="0024375B">
        <w:t>na zlecenie Pełnomocnika lub przewodniczącego Kolegium analiz</w:t>
      </w:r>
      <w:r w:rsidR="00EA1900">
        <w:t xml:space="preserve"> w </w:t>
      </w:r>
      <w:r w:rsidRPr="0024375B">
        <w:t>zakresie cyberzagrożeń, podatności, incydentów</w:t>
      </w:r>
      <w:r w:rsidR="002161FE">
        <w:t xml:space="preserve"> i </w:t>
      </w:r>
      <w:r w:rsidRPr="0024375B">
        <w:t>incydentów telekomunikacyjnych</w:t>
      </w:r>
      <w:r w:rsidR="00DA1ADF">
        <w:t>,</w:t>
      </w:r>
    </w:p>
    <w:p w14:paraId="307CE2CB" w14:textId="77777777" w:rsidR="001351CB" w:rsidRPr="0024375B" w:rsidRDefault="001351CB" w:rsidP="00FC6B8C">
      <w:pPr>
        <w:pStyle w:val="Akapitzlist"/>
        <w:keepNext/>
        <w:keepLines/>
        <w:numPr>
          <w:ilvl w:val="1"/>
          <w:numId w:val="86"/>
        </w:numPr>
        <w:ind w:hanging="357"/>
        <w:contextualSpacing w:val="0"/>
      </w:pPr>
      <w:r w:rsidRPr="0024375B">
        <w:t>na zlecenie Pełnomocnika analiz skutków incydentów</w:t>
      </w:r>
      <w:r w:rsidR="002161FE">
        <w:t xml:space="preserve"> i </w:t>
      </w:r>
      <w:r w:rsidRPr="0024375B">
        <w:t>incydentów telekomunikacyjnych oraz przebiegu obsługi incydentów</w:t>
      </w:r>
      <w:r w:rsidR="002161FE">
        <w:t xml:space="preserve"> i </w:t>
      </w:r>
      <w:r w:rsidRPr="0024375B">
        <w:t>incydentów telekomunikacyjnych</w:t>
      </w:r>
      <w:r w:rsidR="00DA1ADF">
        <w:t>,</w:t>
      </w:r>
    </w:p>
    <w:p w14:paraId="42154450" w14:textId="77777777" w:rsidR="001351CB" w:rsidRPr="0024375B" w:rsidRDefault="001351CB" w:rsidP="00FC6B8C">
      <w:pPr>
        <w:pStyle w:val="Akapitzlist"/>
        <w:keepNext/>
        <w:keepLines/>
        <w:numPr>
          <w:ilvl w:val="1"/>
          <w:numId w:val="86"/>
        </w:numPr>
        <w:ind w:hanging="357"/>
        <w:contextualSpacing w:val="0"/>
      </w:pPr>
      <w:r w:rsidRPr="0024375B">
        <w:t>rekomendacji</w:t>
      </w:r>
      <w:r w:rsidR="00EA1900">
        <w:t xml:space="preserve"> w </w:t>
      </w:r>
      <w:r w:rsidRPr="0024375B">
        <w:t>zakresie usprawniania krajowego systemu cyberbezpieczeństwa</w:t>
      </w:r>
      <w:r w:rsidR="00DA1ADF">
        <w:t>.</w:t>
      </w:r>
    </w:p>
    <w:p w14:paraId="44EA7E3D" w14:textId="77777777" w:rsidR="001351CB" w:rsidRPr="0024375B" w:rsidRDefault="001351CB" w:rsidP="0024375B">
      <w:pPr>
        <w:jc w:val="both"/>
      </w:pPr>
      <w:r w:rsidRPr="0024375B">
        <w:t>Zadania te pozwolą zespołom CSIRT na gromadzenie informacji niezbędnych dla ich codziennego funkcjonowania. Zespoły CSIRT staną się również zapleczem analitycznym dla Pełnomocnika oraz przewodniczącego Kolegium, dzięki czemu uzyskają oni pełny obraz cyberbezpieczeństwa na poziomie krajowym. Zespoły CSIRT posiadają unikalną wiedzę na temat tego jak faktycznie funkcjonuje krajowy system cyberbezpieczeństwa – dlatego też powinny otrzymać kompetencję do przygotowywania rekomendacji</w:t>
      </w:r>
      <w:r w:rsidR="00EA1900">
        <w:t xml:space="preserve"> w </w:t>
      </w:r>
      <w:r w:rsidRPr="0024375B">
        <w:t>zakresie usprawniania tego systemu.</w:t>
      </w:r>
    </w:p>
    <w:p w14:paraId="72F9C771" w14:textId="77777777" w:rsidR="00546BBB" w:rsidRPr="0024375B" w:rsidRDefault="00B728A9"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 związku</w:t>
      </w:r>
      <w:r w:rsidR="002161FE">
        <w:rPr>
          <w:rFonts w:ascii="Times New Roman" w:hAnsi="Times New Roman" w:cs="Times New Roman"/>
        </w:rPr>
        <w:t xml:space="preserve"> z </w:t>
      </w:r>
      <w:r w:rsidRPr="0024375B">
        <w:rPr>
          <w:rFonts w:ascii="Times New Roman" w:hAnsi="Times New Roman" w:cs="Times New Roman"/>
        </w:rPr>
        <w:t xml:space="preserve">dodaniem przedsiębiorców komunikacji elektronicznej do krajowego systemu </w:t>
      </w:r>
      <w:r w:rsidR="00CE69D5" w:rsidRPr="0024375B">
        <w:rPr>
          <w:rFonts w:ascii="Times New Roman" w:hAnsi="Times New Roman" w:cs="Times New Roman"/>
        </w:rPr>
        <w:t>cyberbezpieczeństwa</w:t>
      </w:r>
      <w:r w:rsidRPr="0024375B">
        <w:rPr>
          <w:rFonts w:ascii="Times New Roman" w:hAnsi="Times New Roman" w:cs="Times New Roman"/>
        </w:rPr>
        <w:t xml:space="preserve"> zachodzi konieczność uzupełnienia zadań CSIRT poziomu krajowego</w:t>
      </w:r>
      <w:r w:rsidR="00EA1900">
        <w:rPr>
          <w:rFonts w:ascii="Times New Roman" w:hAnsi="Times New Roman" w:cs="Times New Roman"/>
        </w:rPr>
        <w:t xml:space="preserve"> w </w:t>
      </w:r>
      <w:r w:rsidRPr="0024375B">
        <w:rPr>
          <w:rFonts w:ascii="Times New Roman" w:hAnsi="Times New Roman" w:cs="Times New Roman"/>
        </w:rPr>
        <w:t xml:space="preserve">tym zakresie. Dlatego zespoły te </w:t>
      </w:r>
      <w:r w:rsidR="00546BBB" w:rsidRPr="0024375B">
        <w:rPr>
          <w:rFonts w:ascii="Times New Roman" w:hAnsi="Times New Roman" w:cs="Times New Roman"/>
        </w:rPr>
        <w:t>będą zajmować się monitorowaniem incydentów telekomunikacyjnych na poziomie krajowym, szacowaniem ryzyka związanego</w:t>
      </w:r>
      <w:r w:rsidR="002161FE">
        <w:rPr>
          <w:rFonts w:ascii="Times New Roman" w:hAnsi="Times New Roman" w:cs="Times New Roman"/>
        </w:rPr>
        <w:t xml:space="preserve"> z </w:t>
      </w:r>
      <w:r w:rsidR="00546BBB" w:rsidRPr="0024375B">
        <w:rPr>
          <w:rFonts w:ascii="Times New Roman" w:hAnsi="Times New Roman" w:cs="Times New Roman"/>
        </w:rPr>
        <w:t xml:space="preserve">zaistniałymi incydentami telekomunikacyjnymi, </w:t>
      </w:r>
      <w:r w:rsidR="00546BBB" w:rsidRPr="0024375B">
        <w:rPr>
          <w:rFonts w:ascii="Times New Roman" w:hAnsi="Times New Roman" w:cs="Times New Roman"/>
        </w:rPr>
        <w:lastRenderedPageBreak/>
        <w:t>przekazywaniem informacji dotyczących incydentów telekomunikacyjnym podmiotom krajowego systemu cyberbezpieczeństwa, reagowaniem na incydenty telekomunikacyjne, klasyfikowaniem incydentów telekomunikacyjnych jako incydenty krytyczne.</w:t>
      </w:r>
    </w:p>
    <w:p w14:paraId="73653FB8" w14:textId="77777777" w:rsidR="00B728A9" w:rsidRPr="0024375B" w:rsidRDefault="00B728A9" w:rsidP="0024375B">
      <w:pPr>
        <w:pStyle w:val="ARTartustawynprozporzdzenia"/>
      </w:pPr>
      <w:r w:rsidRPr="0024375B">
        <w:t xml:space="preserve">Zespoły CSIRT poziomu krajowego będą również uprawnione do prowadzenia działań na rzecz podnoszenia poziomu bezpieczeństwa systemów informacyjnych podmiotów krajowego systemu cyberbezpieczeństwa poprzez </w:t>
      </w:r>
    </w:p>
    <w:p w14:paraId="0E4A77D9" w14:textId="77777777" w:rsidR="00B728A9" w:rsidRPr="0024375B" w:rsidRDefault="00F50FFF" w:rsidP="0024375B">
      <w:pPr>
        <w:pStyle w:val="ARTartustawynprozporzdzenia"/>
        <w:numPr>
          <w:ilvl w:val="0"/>
          <w:numId w:val="87"/>
        </w:numPr>
      </w:pPr>
      <w:r w:rsidRPr="0024375B">
        <w:t>w</w:t>
      </w:r>
      <w:r w:rsidR="00B728A9" w:rsidRPr="0024375B">
        <w:t xml:space="preserve">ykonywanie </w:t>
      </w:r>
      <w:r w:rsidR="00157A10" w:rsidRPr="0024375B">
        <w:t>oceny</w:t>
      </w:r>
      <w:r w:rsidR="00B728A9" w:rsidRPr="0024375B">
        <w:t xml:space="preserve"> bezpieczeństwa – szczegółowe</w:t>
      </w:r>
      <w:r w:rsidR="007D1F6C" w:rsidRPr="0024375B">
        <w:t xml:space="preserve"> przepisy dot.</w:t>
      </w:r>
      <w:r w:rsidR="00B728A9" w:rsidRPr="0024375B">
        <w:t xml:space="preserve"> tej kompetencji zawiera nowy rozdział 6b Ocena bezpieczeństwa</w:t>
      </w:r>
      <w:r w:rsidRPr="0024375B">
        <w:t>,</w:t>
      </w:r>
    </w:p>
    <w:p w14:paraId="59E47900" w14:textId="77777777" w:rsidR="00B728A9" w:rsidRPr="0024375B" w:rsidRDefault="00F50FFF" w:rsidP="0024375B">
      <w:pPr>
        <w:pStyle w:val="ARTartustawynprozporzdzenia"/>
        <w:numPr>
          <w:ilvl w:val="0"/>
          <w:numId w:val="87"/>
        </w:numPr>
      </w:pPr>
      <w:r w:rsidRPr="0024375B">
        <w:t>i</w:t>
      </w:r>
      <w:r w:rsidR="00B728A9" w:rsidRPr="0024375B">
        <w:t>dentyfikowanie podatności systemów dostępnych</w:t>
      </w:r>
      <w:r w:rsidR="00EA1900">
        <w:t xml:space="preserve"> w </w:t>
      </w:r>
      <w:r w:rsidR="00B728A9" w:rsidRPr="0024375B">
        <w:t>otwartych sieciach teleinformatycznych</w:t>
      </w:r>
      <w:r w:rsidR="00245D9A">
        <w:rPr>
          <w:rStyle w:val="Odwoanieprzypisudolnego"/>
        </w:rPr>
        <w:footnoteReference w:id="29"/>
      </w:r>
      <w:r w:rsidRPr="0024375B">
        <w:t>.</w:t>
      </w:r>
    </w:p>
    <w:p w14:paraId="2D02E58B" w14:textId="77777777" w:rsidR="00B728A9" w:rsidRPr="0024375B" w:rsidRDefault="00B728A9" w:rsidP="0024375B">
      <w:pPr>
        <w:pStyle w:val="ARTartustawynprozporzdzenia"/>
      </w:pPr>
      <w:r w:rsidRPr="0024375B">
        <w:t>W cyberbezpieczeństwie bardzo istotny jest ciągły rozwój kadry</w:t>
      </w:r>
      <w:r w:rsidR="002161FE">
        <w:t xml:space="preserve"> z </w:t>
      </w:r>
      <w:r w:rsidRPr="0024375B">
        <w:t>uwagi na zmieniające się zagrożenia. Dlatego do zadań CSIRT poziomu krajowego dodaje się również udział</w:t>
      </w:r>
      <w:r w:rsidR="00EA1900">
        <w:t xml:space="preserve"> w </w:t>
      </w:r>
      <w:r w:rsidRPr="0024375B">
        <w:t>przedsięwzięciach mających na celu rozwój kompetencji CSIRT GOV, CSIRT MON lub CSIRT NASK,</w:t>
      </w:r>
      <w:r w:rsidR="00EA1900">
        <w:t xml:space="preserve"> w </w:t>
      </w:r>
      <w:r w:rsidRPr="0024375B">
        <w:t>szczególności</w:t>
      </w:r>
      <w:r w:rsidR="00EA1900">
        <w:t xml:space="preserve"> w </w:t>
      </w:r>
      <w:r w:rsidRPr="0024375B">
        <w:t xml:space="preserve">ćwiczeniach oraz szkoleniach </w:t>
      </w:r>
      <w:r w:rsidR="007D1F6C" w:rsidRPr="0024375B">
        <w:t>specjalistycznych.</w:t>
      </w:r>
    </w:p>
    <w:p w14:paraId="632CD897" w14:textId="77777777" w:rsidR="00112AB8" w:rsidRPr="0024375B" w:rsidRDefault="00112AB8" w:rsidP="0024375B">
      <w:pPr>
        <w:pStyle w:val="ARTartustawynprozporzdzenia"/>
      </w:pPr>
      <w:r w:rsidRPr="0024375B">
        <w:t>Wprowadzono nowe brzmienie</w:t>
      </w:r>
      <w:r w:rsidR="00EA1900">
        <w:t xml:space="preserve"> art. </w:t>
      </w:r>
      <w:r w:rsidRPr="0024375B">
        <w:t xml:space="preserve">26 </w:t>
      </w:r>
      <w:r w:rsidR="00D00CB4">
        <w:t>ust. </w:t>
      </w:r>
      <w:r w:rsidRPr="0024375B">
        <w:t>4. Celem tych zmian jest, aby CSIRT GOV, CSIRT MON oraz CSIRT NASK wspólnie</w:t>
      </w:r>
      <w:r w:rsidR="002161FE">
        <w:t xml:space="preserve"> z </w:t>
      </w:r>
      <w:r w:rsidRPr="0024375B">
        <w:t>CSIRT sektorowymi, CSIRT INT czy CSIRT Telco porozumiały się</w:t>
      </w:r>
      <w:r w:rsidR="002161FE">
        <w:t xml:space="preserve"> i </w:t>
      </w:r>
      <w:r w:rsidRPr="0024375B">
        <w:t>opracowały procedury koordynacji obsługi incydentów</w:t>
      </w:r>
      <w:r w:rsidR="002161FE">
        <w:t xml:space="preserve"> i </w:t>
      </w:r>
      <w:r w:rsidRPr="0024375B">
        <w:t>incydentów telekomunikacyjnych, przy których potrzebne są działania wielu zespołów CSIRT. Przykładowo może się zdarzyć sytuacja, że incydent poważny jest także incydentem istotnym jak również poważnym incydentem telekomunikacyjnym – sytuacja ta będzie angażowała właściwy CSIRT sektorowy, CSIRT Telco oraz jeden</w:t>
      </w:r>
      <w:r w:rsidR="002161FE">
        <w:t xml:space="preserve"> z </w:t>
      </w:r>
      <w:r w:rsidRPr="0024375B">
        <w:t>CSIRT poziomu krajowego. Dlatego CSIRT powinny mieć opracowaną wspólną procedurę obsługi takich przypadków.</w:t>
      </w:r>
    </w:p>
    <w:p w14:paraId="4A7E038E" w14:textId="77777777" w:rsidR="00AE2103" w:rsidRPr="0024375B" w:rsidRDefault="005E2E38"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 związku</w:t>
      </w:r>
      <w:r w:rsidR="002161FE">
        <w:rPr>
          <w:rFonts w:ascii="Times New Roman" w:hAnsi="Times New Roman" w:cs="Times New Roman"/>
        </w:rPr>
        <w:t xml:space="preserve"> z </w:t>
      </w:r>
      <w:r w:rsidRPr="0024375B">
        <w:rPr>
          <w:rFonts w:ascii="Times New Roman" w:hAnsi="Times New Roman" w:cs="Times New Roman"/>
        </w:rPr>
        <w:t>dodaniem nowych podmiotów</w:t>
      </w:r>
      <w:r w:rsidR="00EA1900">
        <w:rPr>
          <w:rFonts w:ascii="Times New Roman" w:hAnsi="Times New Roman" w:cs="Times New Roman"/>
        </w:rPr>
        <w:t xml:space="preserve"> w </w:t>
      </w:r>
      <w:r w:rsidRPr="0024375B">
        <w:rPr>
          <w:rFonts w:ascii="Times New Roman" w:hAnsi="Times New Roman" w:cs="Times New Roman"/>
        </w:rPr>
        <w:t>skład krajowego systemu cyberbezpieczeństwa należało ustalić, który</w:t>
      </w:r>
      <w:r w:rsidR="002161FE">
        <w:rPr>
          <w:rFonts w:ascii="Times New Roman" w:hAnsi="Times New Roman" w:cs="Times New Roman"/>
        </w:rPr>
        <w:t xml:space="preserve"> z </w:t>
      </w:r>
      <w:r w:rsidRPr="0024375B">
        <w:rPr>
          <w:rFonts w:ascii="Times New Roman" w:hAnsi="Times New Roman" w:cs="Times New Roman"/>
        </w:rPr>
        <w:t xml:space="preserve">zespołów CSIRT poziomu krajowego będzie przyjmował od nich zgłoszenia incydentów. </w:t>
      </w:r>
      <w:r w:rsidR="00964C54" w:rsidRPr="0024375B">
        <w:rPr>
          <w:rFonts w:ascii="Times New Roman" w:hAnsi="Times New Roman" w:cs="Times New Roman"/>
        </w:rPr>
        <w:t xml:space="preserve">Proponuje się, że </w:t>
      </w:r>
      <w:r w:rsidRPr="0024375B">
        <w:rPr>
          <w:rFonts w:ascii="Times New Roman" w:hAnsi="Times New Roman" w:cs="Times New Roman"/>
        </w:rPr>
        <w:t xml:space="preserve">CSIRT GOV będzie właściwy dla przyjmowania incydentów </w:t>
      </w:r>
      <w:r w:rsidR="00AE2103" w:rsidRPr="0024375B">
        <w:rPr>
          <w:rFonts w:ascii="Times New Roman" w:hAnsi="Times New Roman" w:cs="Times New Roman"/>
        </w:rPr>
        <w:t>zgłaszanych przez:</w:t>
      </w:r>
    </w:p>
    <w:p w14:paraId="5F5B2B3C" w14:textId="77777777" w:rsidR="00AE2103" w:rsidRPr="0024375B" w:rsidRDefault="005E2E38"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Państwow</w:t>
      </w:r>
      <w:r w:rsidR="00AE2103" w:rsidRPr="0024375B">
        <w:rPr>
          <w:rFonts w:ascii="Times New Roman" w:hAnsi="Times New Roman" w:cs="Times New Roman"/>
        </w:rPr>
        <w:t>e</w:t>
      </w:r>
      <w:r w:rsidRPr="0024375B">
        <w:rPr>
          <w:rFonts w:ascii="Times New Roman" w:hAnsi="Times New Roman" w:cs="Times New Roman"/>
        </w:rPr>
        <w:t xml:space="preserve"> Gospodarstw</w:t>
      </w:r>
      <w:r w:rsidR="00AE2103" w:rsidRPr="0024375B">
        <w:rPr>
          <w:rFonts w:ascii="Times New Roman" w:hAnsi="Times New Roman" w:cs="Times New Roman"/>
        </w:rPr>
        <w:t>o</w:t>
      </w:r>
      <w:r w:rsidRPr="0024375B">
        <w:rPr>
          <w:rFonts w:ascii="Times New Roman" w:hAnsi="Times New Roman" w:cs="Times New Roman"/>
        </w:rPr>
        <w:t xml:space="preserve"> Wodne Wody Polskie</w:t>
      </w:r>
      <w:r w:rsidR="00DC1C14" w:rsidRPr="0024375B">
        <w:rPr>
          <w:rFonts w:ascii="Times New Roman" w:hAnsi="Times New Roman" w:cs="Times New Roman"/>
        </w:rPr>
        <w:t>,</w:t>
      </w:r>
      <w:r w:rsidRPr="0024375B">
        <w:rPr>
          <w:rFonts w:ascii="Times New Roman" w:hAnsi="Times New Roman" w:cs="Times New Roman"/>
        </w:rPr>
        <w:t xml:space="preserve"> </w:t>
      </w:r>
    </w:p>
    <w:p w14:paraId="47969608" w14:textId="77777777" w:rsidR="00AE2103" w:rsidRPr="0024375B" w:rsidRDefault="00F00CC2"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instytucj</w:t>
      </w:r>
      <w:r w:rsidR="00AE2103" w:rsidRPr="0024375B">
        <w:rPr>
          <w:rFonts w:ascii="Times New Roman" w:hAnsi="Times New Roman" w:cs="Times New Roman"/>
        </w:rPr>
        <w:t>e</w:t>
      </w:r>
      <w:r w:rsidRPr="0024375B">
        <w:rPr>
          <w:rFonts w:ascii="Times New Roman" w:hAnsi="Times New Roman" w:cs="Times New Roman"/>
        </w:rPr>
        <w:t xml:space="preserve"> rozwoju</w:t>
      </w:r>
      <w:r w:rsidR="00AE2103" w:rsidRPr="0024375B">
        <w:rPr>
          <w:rFonts w:ascii="Times New Roman" w:hAnsi="Times New Roman" w:cs="Times New Roman"/>
        </w:rPr>
        <w:t>,</w:t>
      </w:r>
    </w:p>
    <w:p w14:paraId="770686B2" w14:textId="77777777" w:rsidR="00AE2103" w:rsidRPr="0024375B" w:rsidRDefault="006A3D3C"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Urzędu Komisji Nadzoru Finansowego</w:t>
      </w:r>
      <w:r w:rsidR="00AE2103" w:rsidRPr="0024375B">
        <w:rPr>
          <w:rFonts w:ascii="Times New Roman" w:hAnsi="Times New Roman" w:cs="Times New Roman"/>
        </w:rPr>
        <w:t>.</w:t>
      </w:r>
    </w:p>
    <w:p w14:paraId="506A5A0B" w14:textId="77777777" w:rsidR="00AE2103" w:rsidRPr="0024375B" w:rsidRDefault="005E2E38" w:rsidP="0024375B">
      <w:pPr>
        <w:pStyle w:val="NIEARTTEKSTtekstnieartykuowanynppodstprawnarozplubpreambua"/>
        <w:ind w:firstLine="0"/>
        <w:rPr>
          <w:rFonts w:ascii="Times New Roman" w:hAnsi="Times New Roman" w:cs="Times New Roman"/>
        </w:rPr>
      </w:pPr>
      <w:r w:rsidRPr="0024375B">
        <w:rPr>
          <w:rFonts w:ascii="Times New Roman" w:hAnsi="Times New Roman" w:cs="Times New Roman"/>
        </w:rPr>
        <w:t>Natomiast CSIRT NASK będzie przyjmował zgłoszenia incydentów z</w:t>
      </w:r>
      <w:r w:rsidR="00AE2103" w:rsidRPr="0024375B">
        <w:rPr>
          <w:rFonts w:ascii="Times New Roman" w:hAnsi="Times New Roman" w:cs="Times New Roman"/>
        </w:rPr>
        <w:t>głaszanych przez</w:t>
      </w:r>
    </w:p>
    <w:p w14:paraId="1B0D29BF" w14:textId="77777777" w:rsidR="00AE2103" w:rsidRPr="0024375B" w:rsidRDefault="006A3D3C"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lastRenderedPageBreak/>
        <w:t xml:space="preserve">Centrum Łukasiewicz, </w:t>
      </w:r>
    </w:p>
    <w:p w14:paraId="63073E61" w14:textId="77777777" w:rsidR="00AE2103" w:rsidRPr="0024375B" w:rsidRDefault="006A3D3C"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instytutów działających</w:t>
      </w:r>
      <w:r w:rsidR="00EA1900">
        <w:rPr>
          <w:rFonts w:ascii="Times New Roman" w:hAnsi="Times New Roman" w:cs="Times New Roman"/>
        </w:rPr>
        <w:t xml:space="preserve"> w </w:t>
      </w:r>
      <w:r w:rsidRPr="0024375B">
        <w:rPr>
          <w:rFonts w:ascii="Times New Roman" w:hAnsi="Times New Roman" w:cs="Times New Roman"/>
        </w:rPr>
        <w:t xml:space="preserve">ramach Centrum Łukasiewicz, </w:t>
      </w:r>
    </w:p>
    <w:p w14:paraId="27F0FFB5" w14:textId="77777777" w:rsidR="00AE2103" w:rsidRPr="0024375B" w:rsidRDefault="006A3D3C"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 xml:space="preserve">instytutów badawczych, </w:t>
      </w:r>
    </w:p>
    <w:p w14:paraId="638E8EE1" w14:textId="77777777" w:rsidR="00AE2103" w:rsidRPr="0024375B" w:rsidRDefault="006A3D3C"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 xml:space="preserve">międzynarodowych instytutów badawczych, </w:t>
      </w:r>
    </w:p>
    <w:p w14:paraId="6F0C3C8E" w14:textId="77777777" w:rsidR="00AE2103" w:rsidRPr="0024375B" w:rsidRDefault="005E2E38"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 xml:space="preserve">Polskiej Akademii Nauk, </w:t>
      </w:r>
    </w:p>
    <w:p w14:paraId="437C063A" w14:textId="77777777" w:rsidR="00AE2103" w:rsidRPr="0024375B" w:rsidRDefault="00493AC7"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Polskiej Akademii Umiejętności</w:t>
      </w:r>
      <w:r w:rsidR="006A3D3C" w:rsidRPr="0024375B">
        <w:rPr>
          <w:rFonts w:ascii="Times New Roman" w:hAnsi="Times New Roman" w:cs="Times New Roman"/>
        </w:rPr>
        <w:t xml:space="preserve">, </w:t>
      </w:r>
    </w:p>
    <w:p w14:paraId="0807B59E" w14:textId="77777777" w:rsidR="00AE2103" w:rsidRPr="0024375B" w:rsidRDefault="006A3D3C"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samodzielnych publicznych zakładów opieki zdrowotnej</w:t>
      </w:r>
      <w:r w:rsidR="00D66505" w:rsidRPr="0024375B">
        <w:rPr>
          <w:rFonts w:ascii="Times New Roman" w:hAnsi="Times New Roman" w:cs="Times New Roman"/>
        </w:rPr>
        <w:t>,</w:t>
      </w:r>
      <w:r w:rsidRPr="0024375B">
        <w:rPr>
          <w:rFonts w:ascii="Times New Roman" w:hAnsi="Times New Roman" w:cs="Times New Roman"/>
        </w:rPr>
        <w:t xml:space="preserve"> </w:t>
      </w:r>
    </w:p>
    <w:p w14:paraId="2ACF1A02" w14:textId="77777777" w:rsidR="00546BBB" w:rsidRPr="0024375B" w:rsidRDefault="2F211E4E" w:rsidP="0024375B">
      <w:pPr>
        <w:pStyle w:val="NIEARTTEKSTtekstnieartykuowanynppodstprawnarozplubpreambua"/>
        <w:numPr>
          <w:ilvl w:val="0"/>
          <w:numId w:val="82"/>
        </w:numPr>
        <w:rPr>
          <w:rFonts w:ascii="Times New Roman" w:hAnsi="Times New Roman" w:cs="Times New Roman"/>
        </w:rPr>
      </w:pPr>
      <w:r w:rsidRPr="0024375B">
        <w:rPr>
          <w:rFonts w:ascii="Times New Roman" w:hAnsi="Times New Roman" w:cs="Times New Roman"/>
        </w:rPr>
        <w:t>uczelni.</w:t>
      </w:r>
    </w:p>
    <w:p w14:paraId="66258DA0" w14:textId="77777777" w:rsidR="003D79EB" w:rsidRPr="0024375B" w:rsidRDefault="003D79EB" w:rsidP="0024375B">
      <w:pPr>
        <w:pStyle w:val="ARTartustawynprozporzdzenia"/>
      </w:pPr>
      <w:r w:rsidRPr="0024375B">
        <w:t xml:space="preserve">Do CSIRT MON będą zgłaszali incydenty telekomunikacyjne </w:t>
      </w:r>
      <w:r w:rsidR="00F369D8" w:rsidRPr="0024375B">
        <w:t xml:space="preserve">ci </w:t>
      </w:r>
      <w:r w:rsidRPr="0024375B">
        <w:t>przedsiębiorcy komunikacji elektronicznej, którzy są:</w:t>
      </w:r>
    </w:p>
    <w:p w14:paraId="49B7173B" w14:textId="77777777" w:rsidR="003D79EB" w:rsidRPr="0024375B" w:rsidRDefault="003D79EB" w:rsidP="0024375B">
      <w:pPr>
        <w:pStyle w:val="ARTartustawynprozporzdzenia"/>
        <w:numPr>
          <w:ilvl w:val="0"/>
          <w:numId w:val="62"/>
        </w:numPr>
      </w:pPr>
      <w:r w:rsidRPr="0024375B">
        <w:t>podmiotami podległymi Ministrowi Obrony Narodowej lub przez niego nadzorowanymi</w:t>
      </w:r>
      <w:r w:rsidR="00157A10" w:rsidRPr="0024375B">
        <w:t>,</w:t>
      </w:r>
    </w:p>
    <w:p w14:paraId="1002FFB0" w14:textId="35DEE874" w:rsidR="003D79EB" w:rsidRPr="0024375B" w:rsidRDefault="007E1ADA" w:rsidP="007E1ADA">
      <w:pPr>
        <w:pStyle w:val="ARTartustawynprozporzdzenia"/>
        <w:numPr>
          <w:ilvl w:val="0"/>
          <w:numId w:val="62"/>
        </w:numPr>
      </w:pPr>
      <w:r w:rsidRPr="007E1ADA">
        <w:t>przedsiębiorc</w:t>
      </w:r>
      <w:r>
        <w:t>ami</w:t>
      </w:r>
      <w:r w:rsidRPr="007E1ADA">
        <w:t xml:space="preserve"> realizujący</w:t>
      </w:r>
      <w:r>
        <w:t>mi</w:t>
      </w:r>
      <w:r w:rsidRPr="007E1ADA">
        <w:t xml:space="preserve"> zadania na rzecz Sił Zbrojnych, o których mowa</w:t>
      </w:r>
      <w:r w:rsidR="002161FE">
        <w:t xml:space="preserve"> w</w:t>
      </w:r>
      <w:r w:rsidR="00EA1900">
        <w:t xml:space="preserve"> art. </w:t>
      </w:r>
      <w:r w:rsidRPr="007E1ADA">
        <w:t>648 ustawy</w:t>
      </w:r>
      <w:r w:rsidR="002161FE">
        <w:t xml:space="preserve"> z </w:t>
      </w:r>
      <w:r w:rsidRPr="007E1ADA">
        <w:t>dnia 11 marca 2022 r. o obronie Ojczyzny</w:t>
      </w:r>
      <w:r w:rsidR="00F369D8" w:rsidRPr="0024375B">
        <w:t>.</w:t>
      </w:r>
    </w:p>
    <w:p w14:paraId="5E17C0D4" w14:textId="77777777" w:rsidR="003D79EB" w:rsidRPr="0024375B" w:rsidRDefault="003D79EB" w:rsidP="0024375B">
      <w:pPr>
        <w:pStyle w:val="ARTartustawynprozporzdzenia"/>
      </w:pPr>
      <w:r w:rsidRPr="0024375B">
        <w:t xml:space="preserve">Natomiast do CSIRT GOV będą zgłaszali incydenty telekomunikacyjne przedsiębiorcy komunikacji elektronicznej, którzy </w:t>
      </w:r>
      <w:r w:rsidR="00F369D8" w:rsidRPr="0024375B">
        <w:t>są wymienieni</w:t>
      </w:r>
      <w:r w:rsidR="002161FE">
        <w:t xml:space="preserve"> w</w:t>
      </w:r>
      <w:r w:rsidR="00EA1900">
        <w:t xml:space="preserve"> art. </w:t>
      </w:r>
      <w:r w:rsidRPr="0024375B">
        <w:t xml:space="preserve">26 </w:t>
      </w:r>
      <w:r w:rsidR="00D00CB4">
        <w:t>ust. </w:t>
      </w:r>
      <w:r w:rsidRPr="0024375B">
        <w:t>7.</w:t>
      </w:r>
    </w:p>
    <w:p w14:paraId="504D6034" w14:textId="77777777" w:rsidR="003D79EB" w:rsidRPr="0024375B" w:rsidRDefault="003D79EB" w:rsidP="0024375B">
      <w:pPr>
        <w:pStyle w:val="ARTartustawynprozporzdzenia"/>
        <w:ind w:left="340" w:firstLine="170"/>
      </w:pPr>
      <w:r w:rsidRPr="0024375B">
        <w:t>Dla pozostałych przedsiębiorców komunikacji elektronicznej właściwym CSIRT będzie CSIRT NASK.</w:t>
      </w:r>
    </w:p>
    <w:p w14:paraId="437086E7" w14:textId="77777777" w:rsidR="00F6749E" w:rsidRPr="0024375B" w:rsidRDefault="009A4142"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 związku</w:t>
      </w:r>
      <w:r w:rsidR="002161FE">
        <w:rPr>
          <w:rFonts w:ascii="Times New Roman" w:hAnsi="Times New Roman" w:cs="Times New Roman"/>
        </w:rPr>
        <w:t xml:space="preserve"> z </w:t>
      </w:r>
      <w:r w:rsidRPr="0024375B">
        <w:rPr>
          <w:rFonts w:ascii="Times New Roman" w:hAnsi="Times New Roman" w:cs="Times New Roman"/>
        </w:rPr>
        <w:t>pismem Komisji Europejskiej Ref. Ares(2019)2130481</w:t>
      </w:r>
      <w:r w:rsidR="002161FE">
        <w:rPr>
          <w:rFonts w:ascii="Times New Roman" w:hAnsi="Times New Roman" w:cs="Times New Roman"/>
        </w:rPr>
        <w:t xml:space="preserve"> z </w:t>
      </w:r>
      <w:r w:rsidRPr="0024375B">
        <w:rPr>
          <w:rFonts w:ascii="Times New Roman" w:hAnsi="Times New Roman" w:cs="Times New Roman"/>
        </w:rPr>
        <w:t>dnia 26 marca 2019 r.</w:t>
      </w:r>
      <w:r w:rsidR="00EA1900">
        <w:rPr>
          <w:rFonts w:ascii="Times New Roman" w:hAnsi="Times New Roman" w:cs="Times New Roman"/>
        </w:rPr>
        <w:t xml:space="preserve"> w </w:t>
      </w:r>
      <w:r w:rsidRPr="0024375B">
        <w:rPr>
          <w:rFonts w:ascii="Times New Roman" w:hAnsi="Times New Roman" w:cs="Times New Roman"/>
        </w:rPr>
        <w:t>zakresie zmiany terminu przekazania przez państwa członkowskie sprawozdania rocznego dotyczącego informacji</w:t>
      </w:r>
      <w:r w:rsidR="0077165A">
        <w:rPr>
          <w:rFonts w:ascii="Times New Roman" w:hAnsi="Times New Roman" w:cs="Times New Roman"/>
        </w:rPr>
        <w:t xml:space="preserve"> o </w:t>
      </w:r>
      <w:r w:rsidRPr="0024375B">
        <w:rPr>
          <w:rFonts w:ascii="Times New Roman" w:hAnsi="Times New Roman" w:cs="Times New Roman"/>
        </w:rPr>
        <w:t>zgłoszonych przez operatorów usług kluczowych incydentach poważnych</w:t>
      </w:r>
      <w:r w:rsidR="002161FE">
        <w:rPr>
          <w:rFonts w:ascii="Times New Roman" w:hAnsi="Times New Roman" w:cs="Times New Roman"/>
        </w:rPr>
        <w:t xml:space="preserve"> i </w:t>
      </w:r>
      <w:r w:rsidRPr="0024375B">
        <w:rPr>
          <w:rFonts w:ascii="Times New Roman" w:hAnsi="Times New Roman" w:cs="Times New Roman"/>
        </w:rPr>
        <w:t>zgłoszonych przez dostawców usług cyfrowych incydentach istotnych, informacje</w:t>
      </w:r>
      <w:r w:rsidR="0077165A">
        <w:rPr>
          <w:rFonts w:ascii="Times New Roman" w:hAnsi="Times New Roman" w:cs="Times New Roman"/>
        </w:rPr>
        <w:t xml:space="preserve"> o </w:t>
      </w:r>
      <w:r w:rsidRPr="0024375B">
        <w:rPr>
          <w:rFonts w:ascii="Times New Roman" w:hAnsi="Times New Roman" w:cs="Times New Roman"/>
        </w:rPr>
        <w:t>zgłoszonych incydentach od roku 2020</w:t>
      </w:r>
      <w:r w:rsidR="00180CC6" w:rsidRPr="0024375B">
        <w:rPr>
          <w:rFonts w:ascii="Times New Roman" w:hAnsi="Times New Roman" w:cs="Times New Roman"/>
        </w:rPr>
        <w:t>,</w:t>
      </w:r>
      <w:r w:rsidRPr="0024375B">
        <w:rPr>
          <w:rFonts w:ascii="Times New Roman" w:hAnsi="Times New Roman" w:cs="Times New Roman"/>
        </w:rPr>
        <w:t xml:space="preserve"> dane za rok poprzedni muszą być przekazywane do dnia 15 lutego</w:t>
      </w:r>
      <w:r w:rsidR="00CA6AEA" w:rsidRPr="0024375B">
        <w:rPr>
          <w:rFonts w:ascii="Times New Roman" w:hAnsi="Times New Roman" w:cs="Times New Roman"/>
        </w:rPr>
        <w:t xml:space="preserve"> każdego roku</w:t>
      </w:r>
      <w:r w:rsidRPr="0024375B">
        <w:rPr>
          <w:rFonts w:ascii="Times New Roman" w:hAnsi="Times New Roman" w:cs="Times New Roman"/>
        </w:rPr>
        <w:t>. Dlatego też zmieniono termin przekazania tych danych przez zespoły CSIRT poziomu krajowego do Pojedynczego Punktu Kontaktowego</w:t>
      </w:r>
      <w:r w:rsidR="002161FE">
        <w:rPr>
          <w:rFonts w:ascii="Times New Roman" w:hAnsi="Times New Roman" w:cs="Times New Roman"/>
        </w:rPr>
        <w:t xml:space="preserve"> z </w:t>
      </w:r>
      <w:r w:rsidRPr="0024375B">
        <w:rPr>
          <w:rFonts w:ascii="Times New Roman" w:hAnsi="Times New Roman" w:cs="Times New Roman"/>
        </w:rPr>
        <w:t>30 maja na 31 stycznia</w:t>
      </w:r>
      <w:r w:rsidR="003B585E" w:rsidRPr="0024375B">
        <w:rPr>
          <w:rFonts w:ascii="Times New Roman" w:hAnsi="Times New Roman" w:cs="Times New Roman"/>
        </w:rPr>
        <w:t xml:space="preserve"> (zmiana</w:t>
      </w:r>
      <w:r w:rsidR="002161FE">
        <w:rPr>
          <w:rFonts w:ascii="Times New Roman" w:hAnsi="Times New Roman" w:cs="Times New Roman"/>
        </w:rPr>
        <w:t xml:space="preserve"> w</w:t>
      </w:r>
      <w:r w:rsidR="00EA1900">
        <w:rPr>
          <w:rFonts w:ascii="Times New Roman" w:hAnsi="Times New Roman" w:cs="Times New Roman"/>
        </w:rPr>
        <w:t xml:space="preserve"> art. </w:t>
      </w:r>
      <w:r w:rsidR="003B585E" w:rsidRPr="0024375B">
        <w:rPr>
          <w:rFonts w:ascii="Times New Roman" w:hAnsi="Times New Roman" w:cs="Times New Roman"/>
        </w:rPr>
        <w:t xml:space="preserve">26 </w:t>
      </w:r>
      <w:r w:rsidR="00D00CB4">
        <w:rPr>
          <w:rFonts w:ascii="Times New Roman" w:hAnsi="Times New Roman" w:cs="Times New Roman"/>
        </w:rPr>
        <w:t>ust. </w:t>
      </w:r>
      <w:r w:rsidR="003B585E" w:rsidRPr="0024375B">
        <w:rPr>
          <w:rFonts w:ascii="Times New Roman" w:hAnsi="Times New Roman" w:cs="Times New Roman"/>
        </w:rPr>
        <w:t>3 pkt 12)</w:t>
      </w:r>
      <w:r w:rsidRPr="0024375B">
        <w:rPr>
          <w:rFonts w:ascii="Times New Roman" w:hAnsi="Times New Roman" w:cs="Times New Roman"/>
        </w:rPr>
        <w:t>.</w:t>
      </w:r>
    </w:p>
    <w:p w14:paraId="4EF427DB" w14:textId="77777777" w:rsidR="00A11E84" w:rsidRPr="0024375B" w:rsidRDefault="00E975CD" w:rsidP="0024375B">
      <w:pPr>
        <w:pStyle w:val="NIEARTTEKSTtekstnieartykuowanynppodstprawnarozplubpreambua"/>
      </w:pPr>
      <w:r w:rsidRPr="0024375B">
        <w:t>W</w:t>
      </w:r>
      <w:r w:rsidR="00EA1900">
        <w:t xml:space="preserve"> art. </w:t>
      </w:r>
      <w:r w:rsidRPr="0024375B">
        <w:t xml:space="preserve">26 dodano </w:t>
      </w:r>
      <w:r w:rsidR="00D00CB4">
        <w:t>ust. </w:t>
      </w:r>
      <w:r w:rsidRPr="0024375B">
        <w:t>9</w:t>
      </w:r>
      <w:r w:rsidR="00DA0551" w:rsidRPr="0024375B">
        <w:t>a</w:t>
      </w:r>
      <w:r w:rsidRPr="0024375B">
        <w:t>, wedle którego rozbudowa</w:t>
      </w:r>
      <w:r w:rsidR="002161FE">
        <w:t xml:space="preserve"> i </w:t>
      </w:r>
      <w:r w:rsidRPr="0024375B">
        <w:t>modernizacja infrastruktury teleinformatycznej CSIRT NASK służącej realizacji jego zadań może być dofinansowana</w:t>
      </w:r>
      <w:r w:rsidR="00EA1900">
        <w:t xml:space="preserve"> w </w:t>
      </w:r>
      <w:r w:rsidRPr="0024375B">
        <w:t>formie dotacji celowej ze środków budżetu państwa,</w:t>
      </w:r>
      <w:r w:rsidR="002161FE">
        <w:t xml:space="preserve"> z </w:t>
      </w:r>
      <w:r w:rsidRPr="0024375B">
        <w:t>części której dysponentem jest minister właściwy do spraw informatyzacji.</w:t>
      </w:r>
    </w:p>
    <w:p w14:paraId="07A9D188" w14:textId="77777777" w:rsidR="00F54AB2" w:rsidRPr="0024375B" w:rsidRDefault="00F54AB2" w:rsidP="0024375B">
      <w:pPr>
        <w:pStyle w:val="ARTartustawynprozporzdzenia"/>
      </w:pPr>
      <w:r w:rsidRPr="0024375B">
        <w:lastRenderedPageBreak/>
        <w:t xml:space="preserve">W </w:t>
      </w:r>
      <w:r w:rsidR="00D00CB4">
        <w:t>ust. </w:t>
      </w:r>
      <w:r w:rsidRPr="0024375B">
        <w:t>11 poprawia się błąd zawarty</w:t>
      </w:r>
      <w:r w:rsidR="00EA1900">
        <w:t xml:space="preserve"> w </w:t>
      </w:r>
      <w:r w:rsidRPr="0024375B">
        <w:t>ustawie – zamienia się</w:t>
      </w:r>
      <w:r w:rsidR="005F373C">
        <w:t xml:space="preserve"> wyrazy</w:t>
      </w:r>
      <w:r w:rsidRPr="0024375B">
        <w:t xml:space="preserve"> „Ministra Cyfryzacji” na</w:t>
      </w:r>
      <w:r w:rsidR="005F373C">
        <w:t xml:space="preserve"> wyrazy</w:t>
      </w:r>
      <w:r w:rsidRPr="0024375B">
        <w:t xml:space="preserve"> „ministra właściwego do spraw informatyzacji” co zapewni zgodność</w:t>
      </w:r>
      <w:r w:rsidR="002161FE">
        <w:t xml:space="preserve"> z </w:t>
      </w:r>
      <w:r w:rsidRPr="0024375B">
        <w:t>ustawą</w:t>
      </w:r>
      <w:r w:rsidR="002161FE">
        <w:t xml:space="preserve"> z </w:t>
      </w:r>
      <w:r w:rsidRPr="0024375B">
        <w:t>dnia 4 września 1997 r.</w:t>
      </w:r>
      <w:r w:rsidR="0077165A">
        <w:t xml:space="preserve"> o </w:t>
      </w:r>
      <w:r w:rsidRPr="0024375B">
        <w:t>działach administracji rządowej</w:t>
      </w:r>
      <w:r w:rsidRPr="0024375B">
        <w:rPr>
          <w:rStyle w:val="Odwoanieprzypisudolnego"/>
        </w:rPr>
        <w:footnoteReference w:id="30"/>
      </w:r>
      <w:r w:rsidR="00DA1ADF">
        <w:rPr>
          <w:vertAlign w:val="superscript"/>
        </w:rPr>
        <w:t>)</w:t>
      </w:r>
      <w:r w:rsidRPr="0024375B">
        <w:t>.</w:t>
      </w:r>
    </w:p>
    <w:p w14:paraId="18D80123" w14:textId="77777777" w:rsidR="00A11E84" w:rsidRPr="0024375B" w:rsidRDefault="00A11E84" w:rsidP="0024375B">
      <w:pPr>
        <w:pStyle w:val="ARTartustawynprozporzdzenia"/>
      </w:pPr>
      <w:r w:rsidRPr="0024375B">
        <w:t>W</w:t>
      </w:r>
      <w:r w:rsidR="00EA1900">
        <w:t xml:space="preserve"> art. </w:t>
      </w:r>
      <w:r w:rsidRPr="0024375B">
        <w:t xml:space="preserve">26 dodaje się </w:t>
      </w:r>
      <w:r w:rsidR="00D00CB4">
        <w:t>ust. </w:t>
      </w:r>
      <w:r w:rsidRPr="0024375B">
        <w:t>12</w:t>
      </w:r>
      <w:r w:rsidR="00CC244C" w:rsidRPr="0024375B">
        <w:t xml:space="preserve">, </w:t>
      </w:r>
      <w:r w:rsidR="000F27D7" w:rsidRPr="0024375B">
        <w:t>zgodnie</w:t>
      </w:r>
      <w:r w:rsidR="002161FE">
        <w:t xml:space="preserve"> z </w:t>
      </w:r>
      <w:r w:rsidR="00CC244C" w:rsidRPr="0024375B">
        <w:t>któr</w:t>
      </w:r>
      <w:r w:rsidR="000F27D7" w:rsidRPr="0024375B">
        <w:t>ym</w:t>
      </w:r>
      <w:r w:rsidRPr="0024375B">
        <w:t xml:space="preserve"> Minister Obrony Narodowej, Szef Agencji Bezpieczeństwa Wewnętrznego lub </w:t>
      </w:r>
      <w:r w:rsidR="000F27D7" w:rsidRPr="0024375B">
        <w:t>minister właściwy ds. informatyzacji</w:t>
      </w:r>
      <w:r w:rsidRPr="0024375B">
        <w:t xml:space="preserve"> </w:t>
      </w:r>
      <w:r w:rsidR="006A3D3C" w:rsidRPr="0024375B">
        <w:t>po</w:t>
      </w:r>
      <w:r w:rsidRPr="0024375B">
        <w:t>informują Pełnomocnika</w:t>
      </w:r>
      <w:r w:rsidR="0077165A">
        <w:t xml:space="preserve"> o </w:t>
      </w:r>
      <w:r w:rsidRPr="0024375B">
        <w:t>zawarciu przez CSIRT poziomu krajowego porozumienia</w:t>
      </w:r>
      <w:r w:rsidR="00EA1900">
        <w:t xml:space="preserve"> w </w:t>
      </w:r>
      <w:r w:rsidRPr="0024375B">
        <w:t>sprawie powierzenia sobie wzajemnie wykonywania zadań</w:t>
      </w:r>
      <w:r w:rsidR="00EA1900">
        <w:t xml:space="preserve"> w </w:t>
      </w:r>
      <w:r w:rsidRPr="0024375B">
        <w:t xml:space="preserve">stosunku do niektórych rodzajów podmiotów krajowego systemu cyberbezpieczeństwa. Pełnomocnik </w:t>
      </w:r>
      <w:r w:rsidR="006A3D3C" w:rsidRPr="0024375B">
        <w:t>o</w:t>
      </w:r>
      <w:r w:rsidRPr="0024375B">
        <w:t>publikuje komunikat</w:t>
      </w:r>
      <w:r w:rsidR="0077165A">
        <w:t xml:space="preserve"> o </w:t>
      </w:r>
      <w:r w:rsidRPr="0024375B">
        <w:t>zawarciu porozumienia na stronie podmiotowej</w:t>
      </w:r>
      <w:r w:rsidR="00EA1900">
        <w:t xml:space="preserve"> w </w:t>
      </w:r>
      <w:r w:rsidRPr="0024375B">
        <w:t>Biuletynie Informacji Publicznej.</w:t>
      </w:r>
    </w:p>
    <w:p w14:paraId="31B04E11" w14:textId="77777777" w:rsidR="002002E5" w:rsidRPr="0024375B" w:rsidRDefault="002B6955" w:rsidP="00DC1575">
      <w:pPr>
        <w:pStyle w:val="Nagwek4"/>
      </w:pPr>
      <w:r w:rsidRPr="0024375B">
        <w:t>Zmiany</w:t>
      </w:r>
      <w:r w:rsidR="002161FE">
        <w:t xml:space="preserve"> w</w:t>
      </w:r>
      <w:r w:rsidR="00EA1900">
        <w:t xml:space="preserve"> art. </w:t>
      </w:r>
      <w:r w:rsidR="00A11E84" w:rsidRPr="0024375B">
        <w:t xml:space="preserve">31 </w:t>
      </w:r>
    </w:p>
    <w:p w14:paraId="53AFBE69" w14:textId="77777777" w:rsidR="003B585E" w:rsidRPr="0024375B" w:rsidRDefault="00157A10" w:rsidP="0024375B">
      <w:pPr>
        <w:pStyle w:val="ARTartustawynprozporzdzenia"/>
      </w:pPr>
      <w:r w:rsidRPr="0024375B">
        <w:t>Z</w:t>
      </w:r>
      <w:r w:rsidR="003B585E" w:rsidRPr="0024375B">
        <w:t>godnie</w:t>
      </w:r>
      <w:r w:rsidR="002161FE">
        <w:t xml:space="preserve"> z </w:t>
      </w:r>
      <w:r w:rsidR="003B585E" w:rsidRPr="0024375B">
        <w:t xml:space="preserve">nowym </w:t>
      </w:r>
      <w:r w:rsidR="00D00CB4">
        <w:t>ust. </w:t>
      </w:r>
      <w:r w:rsidR="003B585E" w:rsidRPr="0024375B">
        <w:t xml:space="preserve">1a </w:t>
      </w:r>
      <w:r w:rsidR="003D79EB" w:rsidRPr="0024375B">
        <w:t>CSIRT MON, CSIRT NASK, CSIRT GOV</w:t>
      </w:r>
      <w:r w:rsidR="002161FE">
        <w:t xml:space="preserve"> i </w:t>
      </w:r>
      <w:r w:rsidR="003D79EB" w:rsidRPr="0024375B">
        <w:t xml:space="preserve">CSIRT Telco </w:t>
      </w:r>
      <w:r w:rsidR="00A8760B" w:rsidRPr="0024375B">
        <w:t>uzgodnią</w:t>
      </w:r>
      <w:r w:rsidR="003D79EB" w:rsidRPr="0024375B">
        <w:t xml:space="preserve"> sposób dokonywania zgłoszeń</w:t>
      </w:r>
      <w:r w:rsidR="002161FE">
        <w:t xml:space="preserve"> i </w:t>
      </w:r>
      <w:r w:rsidR="003D79EB" w:rsidRPr="0024375B">
        <w:t>przekazywania informacji</w:t>
      </w:r>
      <w:r w:rsidR="00EA1900">
        <w:t xml:space="preserve"> w </w:t>
      </w:r>
      <w:r w:rsidR="003D79EB" w:rsidRPr="0024375B">
        <w:t>postaci elektronicznej przez przedsiębiorców komunikacji elektronicznej.</w:t>
      </w:r>
      <w:r w:rsidR="003B585E" w:rsidRPr="0024375B">
        <w:t xml:space="preserve"> Ponadto dodaje się obowiązek publikacji przez Pełnomocnika komunikatu</w:t>
      </w:r>
      <w:r w:rsidR="0077165A">
        <w:t xml:space="preserve"> o </w:t>
      </w:r>
      <w:r w:rsidR="003B585E" w:rsidRPr="0024375B">
        <w:t xml:space="preserve">sposobie dokonywania zgłoszeń incydentów do CSIRT poziomu krajowego. </w:t>
      </w:r>
    </w:p>
    <w:p w14:paraId="1828B2FD" w14:textId="77777777" w:rsidR="00A11E84" w:rsidRPr="0024375B" w:rsidRDefault="002B6955" w:rsidP="00DC1575">
      <w:pPr>
        <w:pStyle w:val="Nagwek4"/>
      </w:pPr>
      <w:r w:rsidRPr="0024375B">
        <w:t>Zmiany</w:t>
      </w:r>
      <w:r w:rsidR="002161FE">
        <w:t xml:space="preserve"> w</w:t>
      </w:r>
      <w:r w:rsidR="00EA1900">
        <w:t xml:space="preserve"> art. </w:t>
      </w:r>
      <w:r w:rsidRPr="0024375B">
        <w:t>32</w:t>
      </w:r>
    </w:p>
    <w:p w14:paraId="6C675C83" w14:textId="77777777" w:rsidR="002D4698" w:rsidRPr="0024375B" w:rsidRDefault="002D4698" w:rsidP="0024375B">
      <w:pPr>
        <w:pStyle w:val="ARTartustawynprozporzdzenia"/>
        <w:keepNext/>
      </w:pPr>
      <w:r w:rsidRPr="0024375B">
        <w:t>Zmiana</w:t>
      </w:r>
      <w:r w:rsidR="002161FE">
        <w:t xml:space="preserve"> w</w:t>
      </w:r>
      <w:r w:rsidR="00EA1900">
        <w:t xml:space="preserve"> art. </w:t>
      </w:r>
      <w:r w:rsidRPr="0024375B">
        <w:t xml:space="preserve">32 </w:t>
      </w:r>
      <w:r w:rsidR="00D00CB4">
        <w:t>ust. </w:t>
      </w:r>
      <w:r w:rsidRPr="0024375B">
        <w:t>4 ma charakter redakcyjny. Dodaje się CSIRT sektorowy oraz CSIRT Telco</w:t>
      </w:r>
      <w:r w:rsidR="002161FE">
        <w:t xml:space="preserve"> a </w:t>
      </w:r>
      <w:r w:rsidRPr="0024375B">
        <w:t>także zastępuje się wyrazy „operatora usługi kluczowej, dostawcy usługi cyfrowej lub podmiotu publicznego,</w:t>
      </w:r>
      <w:r w:rsidR="0077165A">
        <w:t xml:space="preserve"> o </w:t>
      </w:r>
      <w:r w:rsidRPr="0024375B">
        <w:t>którym mowa</w:t>
      </w:r>
      <w:r w:rsidR="002161FE">
        <w:t xml:space="preserve"> w</w:t>
      </w:r>
      <w:r w:rsidR="00EA1900">
        <w:t xml:space="preserve"> art. </w:t>
      </w:r>
      <w:r w:rsidRPr="0024375B">
        <w:t>4 pkt 7</w:t>
      </w:r>
      <w:r w:rsidR="00DA1ADF">
        <w:t>–</w:t>
      </w:r>
      <w:r w:rsidRPr="0024375B">
        <w:t>15” pojęciem podmiotów krajowego systemu cyberbezpieczeństwa.</w:t>
      </w:r>
    </w:p>
    <w:p w14:paraId="54550E2A" w14:textId="77777777" w:rsidR="002B6955" w:rsidRPr="0024375B" w:rsidRDefault="002B6955" w:rsidP="00DC1575">
      <w:pPr>
        <w:pStyle w:val="Nagwek4"/>
      </w:pPr>
      <w:r w:rsidRPr="0024375B">
        <w:t>Zmiany</w:t>
      </w:r>
      <w:r w:rsidR="002161FE">
        <w:t xml:space="preserve"> w</w:t>
      </w:r>
      <w:r w:rsidR="00EA1900">
        <w:t xml:space="preserve"> art. </w:t>
      </w:r>
      <w:r w:rsidRPr="0024375B">
        <w:t>33</w:t>
      </w:r>
    </w:p>
    <w:p w14:paraId="5E0D55C5" w14:textId="77777777" w:rsidR="00516189" w:rsidRPr="0024375B" w:rsidRDefault="00CD02FF" w:rsidP="0024375B">
      <w:pPr>
        <w:pStyle w:val="ARTartustawynprozporzdzenia"/>
      </w:pPr>
      <w:r w:rsidRPr="0024375B">
        <w:t>W</w:t>
      </w:r>
      <w:r w:rsidR="00EA1900">
        <w:t xml:space="preserve"> art. </w:t>
      </w:r>
      <w:r w:rsidRPr="0024375B">
        <w:t>33 dodaje się</w:t>
      </w:r>
      <w:r w:rsidR="00EA1900">
        <w:t xml:space="preserve"> w </w:t>
      </w:r>
      <w:r w:rsidR="00D00CB4">
        <w:t>ust. </w:t>
      </w:r>
      <w:r w:rsidR="002D4698" w:rsidRPr="0024375B">
        <w:t xml:space="preserve">1a </w:t>
      </w:r>
      <w:r w:rsidRPr="0024375B">
        <w:t xml:space="preserve">obowiązek przeprowadzenia </w:t>
      </w:r>
      <w:r w:rsidR="009D07A1" w:rsidRPr="0024375B">
        <w:t xml:space="preserve">przez CSIRT poziomu krajowego </w:t>
      </w:r>
      <w:r w:rsidRPr="0024375B">
        <w:t>badania urządzenia informatycznego lub oprogramowania</w:t>
      </w:r>
      <w:r w:rsidR="00EA1900">
        <w:t xml:space="preserve"> w </w:t>
      </w:r>
      <w:r w:rsidRPr="0024375B">
        <w:t>celu identyfikacji podatności, które może mieć wpływ na bezpieczeństwo publiczne lub istotny interes bezpieczeństwa państwa</w:t>
      </w:r>
      <w:r w:rsidR="003D79EB" w:rsidRPr="0024375B">
        <w:t>,</w:t>
      </w:r>
      <w:r w:rsidRPr="0024375B">
        <w:t xml:space="preserve"> na pisemny wniosek Pełnomocnika lub przewodniczącego Kolegium skierowany do organu prowadzącego lub nadzorującego właściwy zespół CSIRT</w:t>
      </w:r>
      <w:r w:rsidR="00516189" w:rsidRPr="0024375B">
        <w:t>.</w:t>
      </w:r>
      <w:r w:rsidRPr="0024375B">
        <w:t xml:space="preserve"> </w:t>
      </w:r>
      <w:r w:rsidR="003B585E" w:rsidRPr="0024375B">
        <w:t xml:space="preserve">Podkreślić należy, że </w:t>
      </w:r>
      <w:r w:rsidR="002D4698" w:rsidRPr="0024375B">
        <w:t>zespoły CSIRT miały uprawnienie do przeprowadzenia takiego badania</w:t>
      </w:r>
      <w:r w:rsidR="003B585E" w:rsidRPr="0024375B">
        <w:t xml:space="preserve"> od początku obowiązywania ustawy</w:t>
      </w:r>
      <w:r w:rsidR="0077165A">
        <w:t xml:space="preserve"> o </w:t>
      </w:r>
      <w:r w:rsidR="003B585E" w:rsidRPr="0024375B">
        <w:t>KSC.</w:t>
      </w:r>
    </w:p>
    <w:p w14:paraId="40A051B7" w14:textId="77777777" w:rsidR="005B4C26" w:rsidRPr="0024375B" w:rsidRDefault="00516189" w:rsidP="0024375B">
      <w:pPr>
        <w:pStyle w:val="ARTartustawynprozporzdzenia"/>
      </w:pPr>
      <w:r w:rsidRPr="0024375B">
        <w:t>W</w:t>
      </w:r>
      <w:r w:rsidR="00EA1900">
        <w:t xml:space="preserve"> art. </w:t>
      </w:r>
      <w:r w:rsidRPr="0024375B">
        <w:t>33</w:t>
      </w:r>
      <w:r w:rsidR="00EA1900">
        <w:t xml:space="preserve"> w </w:t>
      </w:r>
      <w:r w:rsidR="00D00CB4">
        <w:t>ust. </w:t>
      </w:r>
      <w:r w:rsidR="002D4698" w:rsidRPr="0024375B">
        <w:t>1b–1e</w:t>
      </w:r>
      <w:r w:rsidRPr="0024375B">
        <w:t xml:space="preserve"> dodaje się również przepisy precyzujące uprawnienia CSIRT poziomu krajowego przy przeprowadzaniu </w:t>
      </w:r>
      <w:r w:rsidR="00957F99" w:rsidRPr="0024375B">
        <w:t>badania urządzenia informatycznego lub oprogramowania</w:t>
      </w:r>
      <w:r w:rsidR="00EA1900">
        <w:t xml:space="preserve"> w </w:t>
      </w:r>
      <w:r w:rsidR="00957F99" w:rsidRPr="0024375B">
        <w:t>celu identyfikacji podatności, któr</w:t>
      </w:r>
      <w:r w:rsidR="0061054B" w:rsidRPr="0024375B">
        <w:t>ych</w:t>
      </w:r>
      <w:r w:rsidR="00957F99" w:rsidRPr="0024375B">
        <w:t xml:space="preserve"> wykorzystanie może mieć wpływ na bezpieczeństwo publiczne lub istotny interes bezpieczeństwa państwa.</w:t>
      </w:r>
      <w:r w:rsidR="005C7589" w:rsidRPr="0024375B">
        <w:t xml:space="preserve"> </w:t>
      </w:r>
    </w:p>
    <w:p w14:paraId="616BA994" w14:textId="77777777" w:rsidR="005B4C26" w:rsidRPr="0024375B" w:rsidRDefault="00957F99" w:rsidP="0024375B">
      <w:pPr>
        <w:pStyle w:val="ARTartustawynprozporzdzenia"/>
      </w:pPr>
      <w:r w:rsidRPr="0024375B">
        <w:t>Zmiany te uprawniają zespół CSIRT poziomu krajowego</w:t>
      </w:r>
      <w:r w:rsidR="00BA0589" w:rsidRPr="0024375B">
        <w:t xml:space="preserve">, </w:t>
      </w:r>
      <w:r w:rsidRPr="0024375B">
        <w:t>prowadzący badanie</w:t>
      </w:r>
      <w:r w:rsidR="00BA0589" w:rsidRPr="0024375B">
        <w:t>,</w:t>
      </w:r>
      <w:r w:rsidRPr="0024375B">
        <w:t xml:space="preserve"> do podejmowania technik mających na celu: obserwację</w:t>
      </w:r>
      <w:r w:rsidR="002161FE">
        <w:t xml:space="preserve"> i </w:t>
      </w:r>
      <w:r w:rsidRPr="0024375B">
        <w:t xml:space="preserve">analizę pracy, uzyskanie dostępu do przetwarzanych danych, </w:t>
      </w:r>
      <w:r w:rsidRPr="0024375B">
        <w:lastRenderedPageBreak/>
        <w:t xml:space="preserve">odtworzenie postaci źródłowej oprogramowania, zwielokrotnienie (powielenie) kodu programowego oraz tłumaczenie (translacja) jego formy, odtworzenie algorytmu przetwarzania danych, identyfikację realizowanych funkcji, usunięcie lub przełamanie zabezpieczeń przed badaniem, identyfikację podatności lub identyfikację nieudokumentowanych funkcji realizowanych przez urządzenie informatyczne lub oprogramowanie. </w:t>
      </w:r>
    </w:p>
    <w:p w14:paraId="7A557345" w14:textId="77777777" w:rsidR="005B4C26" w:rsidRPr="0024375B" w:rsidRDefault="00957F99" w:rsidP="0024375B">
      <w:pPr>
        <w:pStyle w:val="ARTartustawynprozporzdzenia"/>
      </w:pPr>
      <w:r w:rsidRPr="0024375B">
        <w:t>Takie szczególne uprawnienia są konieczne, aby zespoły CSIRT poziomu krajowego mogły skutecznie przebadać urządzenia</w:t>
      </w:r>
      <w:r w:rsidR="002161FE">
        <w:t xml:space="preserve"> i </w:t>
      </w:r>
      <w:r w:rsidRPr="0024375B">
        <w:t xml:space="preserve">oprogramowanie pod kątem zagrożeń bezpieczeństwa narodowego. </w:t>
      </w:r>
    </w:p>
    <w:p w14:paraId="3B341C79" w14:textId="77777777" w:rsidR="005B4C26" w:rsidRPr="0024375B" w:rsidRDefault="00957F99" w:rsidP="0024375B">
      <w:pPr>
        <w:pStyle w:val="ARTartustawynprozporzdzenia"/>
      </w:pPr>
      <w:r w:rsidRPr="0024375B">
        <w:t>Ponadto CSIRT MON, CSIRT NASK</w:t>
      </w:r>
      <w:r w:rsidR="002161FE">
        <w:t xml:space="preserve"> i </w:t>
      </w:r>
      <w:r w:rsidRPr="0024375B">
        <w:t>CSIRT GOV</w:t>
      </w:r>
      <w:r w:rsidR="00EA1900">
        <w:t xml:space="preserve"> w </w:t>
      </w:r>
      <w:r w:rsidRPr="0024375B">
        <w:t>czasie prowadzenia badania, nie będą związane postanowieniami umów licencyjnych badanych urządzeń</w:t>
      </w:r>
      <w:r w:rsidR="002161FE">
        <w:t xml:space="preserve"> i </w:t>
      </w:r>
      <w:r w:rsidRPr="0024375B">
        <w:t>oprogramowania, które ograniczają możliwość przeprowadzenia badania</w:t>
      </w:r>
      <w:r w:rsidR="00E21379" w:rsidRPr="0024375B">
        <w:t>.</w:t>
      </w:r>
      <w:r w:rsidR="008D32CB" w:rsidRPr="0024375B">
        <w:t xml:space="preserve"> </w:t>
      </w:r>
    </w:p>
    <w:p w14:paraId="593511EA" w14:textId="7712786F" w:rsidR="00957F99" w:rsidRPr="0024375B" w:rsidRDefault="008D32CB" w:rsidP="0024375B">
      <w:pPr>
        <w:pStyle w:val="ARTartustawynprozporzdzenia"/>
      </w:pPr>
      <w:r w:rsidRPr="0024375B">
        <w:t>Wskazane wyżej uprawnienia zespołu prowadzącego badanie są konieczne d</w:t>
      </w:r>
      <w:r w:rsidR="0046036F" w:rsidRPr="0024375B">
        <w:t>o</w:t>
      </w:r>
      <w:r w:rsidRPr="0024375B">
        <w:t xml:space="preserve"> zapewnienia ochrony bezpieczeństwa państwa.</w:t>
      </w:r>
      <w:r w:rsidR="0046036F" w:rsidRPr="0024375B">
        <w:t xml:space="preserve"> Niektóre postanowienia umów licencyjnych mogłyby uniemożliwić realizację tego zadania.</w:t>
      </w:r>
      <w:r w:rsidRPr="0024375B">
        <w:t xml:space="preserve"> Zespół CSIRT prowadzący badanie nie powinien być ograniczony licencją twórcy złośliwego oprogramowania, którego wykorzystanie zagraża bezpieczeństwu państwa</w:t>
      </w:r>
      <w:r w:rsidR="00EA1900">
        <w:t xml:space="preserve"> w </w:t>
      </w:r>
      <w:r w:rsidR="0061054B" w:rsidRPr="0024375B">
        <w:t>tym np.</w:t>
      </w:r>
      <w:r w:rsidRPr="0024375B">
        <w:t xml:space="preserve"> bezpieczeństwu infrastruktury krytycznej.</w:t>
      </w:r>
      <w:r w:rsidR="00116933">
        <w:t xml:space="preserve"> W </w:t>
      </w:r>
      <w:r w:rsidR="003B585E" w:rsidRPr="0024375B">
        <w:rPr>
          <w:bCs/>
        </w:rPr>
        <w:t>zakresie badania sprzętu lub oprogramowania należy zwrócić uwagę, że standardowe umowy licencyjne nie przewidują możliwości dokonywania badania sprzętu pod kątem jego bezpieczeństwa ani też testowania konkretnych rozwiązań zastosowanych</w:t>
      </w:r>
      <w:r w:rsidR="00EA1900">
        <w:rPr>
          <w:bCs/>
        </w:rPr>
        <w:t xml:space="preserve"> w </w:t>
      </w:r>
      <w:r w:rsidR="003B585E" w:rsidRPr="0024375B">
        <w:rPr>
          <w:bCs/>
        </w:rPr>
        <w:t>danym produkcie. Konieczność uzyskania zgody właściciela licencji na takie działania często jest niemożliwa do uzyskania</w:t>
      </w:r>
      <w:r w:rsidR="00EA1900">
        <w:rPr>
          <w:bCs/>
        </w:rPr>
        <w:t xml:space="preserve"> w </w:t>
      </w:r>
      <w:r w:rsidR="003B585E" w:rsidRPr="0024375B">
        <w:rPr>
          <w:bCs/>
        </w:rPr>
        <w:t>drodze umowy zawieranej na ogólnych zasadach. Producenci nie mają bowiem interesu</w:t>
      </w:r>
      <w:r w:rsidR="00EA1900">
        <w:rPr>
          <w:bCs/>
        </w:rPr>
        <w:t xml:space="preserve"> w </w:t>
      </w:r>
      <w:r w:rsidR="003B585E" w:rsidRPr="0024375B">
        <w:rPr>
          <w:bCs/>
        </w:rPr>
        <w:t>umożliwianiu podmiotom zewnętrznym takich działań. Równocześnie rosnąca liczba cyberzagrożeń oraz zależność kluczowych usług od systemów teleinformatycznych sprawia, że konieczne jest by administracja publiczna dysponowała narzędziem, które pozwoli jej przeprowadzić takie badanie. Brak tych przepisów mógłby prowadzić do powstania sytuacji</w:t>
      </w:r>
      <w:r w:rsidR="001B1AC4">
        <w:rPr>
          <w:bCs/>
        </w:rPr>
        <w:t>,</w:t>
      </w:r>
      <w:r w:rsidR="00EA1900">
        <w:rPr>
          <w:bCs/>
        </w:rPr>
        <w:t xml:space="preserve"> w </w:t>
      </w:r>
      <w:r w:rsidR="003B585E" w:rsidRPr="0024375B">
        <w:rPr>
          <w:bCs/>
        </w:rPr>
        <w:t>której CSIRT poziomu krajowego musiałby uzyskać zgodę dostawcy potencjalnie niebezpiecznego sprzętu na przeprowadzenie jego badania, nawet</w:t>
      </w:r>
      <w:r w:rsidR="00EA1900">
        <w:rPr>
          <w:bCs/>
        </w:rPr>
        <w:t xml:space="preserve"> w </w:t>
      </w:r>
      <w:r w:rsidR="003B585E" w:rsidRPr="0024375B">
        <w:rPr>
          <w:bCs/>
        </w:rPr>
        <w:t>wypadku gdyby powstało uzasadnione podejrzenie, że dany produkt może być wykorzystany do wywołania incydentu.</w:t>
      </w:r>
      <w:r w:rsidR="00116933">
        <w:rPr>
          <w:bCs/>
        </w:rPr>
        <w:t xml:space="preserve"> W </w:t>
      </w:r>
      <w:r w:rsidR="003B585E" w:rsidRPr="0024375B">
        <w:rPr>
          <w:bCs/>
        </w:rPr>
        <w:t>związku</w:t>
      </w:r>
      <w:r w:rsidR="002161FE">
        <w:rPr>
          <w:bCs/>
        </w:rPr>
        <w:t xml:space="preserve"> z </w:t>
      </w:r>
      <w:r w:rsidR="003B585E" w:rsidRPr="0024375B">
        <w:rPr>
          <w:bCs/>
        </w:rPr>
        <w:t>powyższym przepis ten jest niezbędny dla zapewnienia bezpieczeństwa podmiotom krajowego systemu cyberbezpieczeństwa.</w:t>
      </w:r>
    </w:p>
    <w:p w14:paraId="63FD348B" w14:textId="77777777" w:rsidR="000F2FF3" w:rsidRPr="0024375B" w:rsidRDefault="000F2FF3" w:rsidP="0024375B">
      <w:pPr>
        <w:pStyle w:val="ARTartustawynprozporzdzenia"/>
        <w:rPr>
          <w:rFonts w:cs="Times New Roman"/>
          <w:szCs w:val="24"/>
        </w:rPr>
      </w:pPr>
      <w:r w:rsidRPr="0024375B">
        <w:rPr>
          <w:rFonts w:ascii="Times New Roman" w:hAnsi="Times New Roman" w:cs="Times New Roman"/>
          <w:szCs w:val="24"/>
        </w:rPr>
        <w:t>W obecnym</w:t>
      </w:r>
      <w:r w:rsidR="00EA1900">
        <w:rPr>
          <w:rFonts w:ascii="Times New Roman" w:hAnsi="Times New Roman" w:cs="Times New Roman"/>
          <w:szCs w:val="24"/>
        </w:rPr>
        <w:t xml:space="preserve"> art. </w:t>
      </w:r>
      <w:r w:rsidRPr="0024375B">
        <w:rPr>
          <w:rFonts w:ascii="Times New Roman" w:hAnsi="Times New Roman" w:cs="Times New Roman"/>
          <w:szCs w:val="24"/>
        </w:rPr>
        <w:t xml:space="preserve">33 </w:t>
      </w:r>
      <w:r w:rsidR="00FC66F9">
        <w:rPr>
          <w:rFonts w:ascii="Times New Roman" w:hAnsi="Times New Roman" w:cs="Times New Roman"/>
          <w:szCs w:val="24"/>
        </w:rPr>
        <w:t xml:space="preserve">uKSC </w:t>
      </w:r>
      <w:r w:rsidRPr="0024375B">
        <w:rPr>
          <w:rFonts w:ascii="Times New Roman" w:hAnsi="Times New Roman" w:cs="Times New Roman"/>
          <w:szCs w:val="24"/>
        </w:rPr>
        <w:t>nie zostało wskazane</w:t>
      </w:r>
      <w:r w:rsidR="00EA1900">
        <w:rPr>
          <w:rFonts w:ascii="Times New Roman" w:hAnsi="Times New Roman" w:cs="Times New Roman"/>
          <w:szCs w:val="24"/>
        </w:rPr>
        <w:t xml:space="preserve"> w </w:t>
      </w:r>
      <w:r w:rsidRPr="0024375B">
        <w:rPr>
          <w:rFonts w:ascii="Times New Roman" w:hAnsi="Times New Roman" w:cs="Times New Roman"/>
          <w:szCs w:val="24"/>
        </w:rPr>
        <w:t>jaki sposób powinny być publikowane rekomendacje Pełnomocnika dotyczące stosowania urządzeń informatycznych lub oprogramowania. Dlatego proponuje się, aby były one publikowane</w:t>
      </w:r>
      <w:r w:rsidR="00EA1900">
        <w:rPr>
          <w:rFonts w:ascii="Times New Roman" w:hAnsi="Times New Roman" w:cs="Times New Roman"/>
          <w:szCs w:val="24"/>
        </w:rPr>
        <w:t xml:space="preserve"> w </w:t>
      </w:r>
      <w:r w:rsidRPr="0024375B">
        <w:rPr>
          <w:rFonts w:ascii="Times New Roman" w:hAnsi="Times New Roman" w:cs="Times New Roman"/>
          <w:szCs w:val="24"/>
        </w:rPr>
        <w:t xml:space="preserve">Biuletynie Informacji Publicznej (BIP) na stronie podmiotowej Pełnomocnika (nowy </w:t>
      </w:r>
      <w:r w:rsidR="00D00CB4">
        <w:rPr>
          <w:rFonts w:ascii="Times New Roman" w:hAnsi="Times New Roman" w:cs="Times New Roman"/>
          <w:szCs w:val="24"/>
        </w:rPr>
        <w:t>ust. </w:t>
      </w:r>
      <w:r w:rsidRPr="0024375B">
        <w:rPr>
          <w:rFonts w:ascii="Times New Roman" w:hAnsi="Times New Roman" w:cs="Times New Roman"/>
          <w:szCs w:val="24"/>
        </w:rPr>
        <w:t>4c).</w:t>
      </w:r>
      <w:r w:rsidR="00116933">
        <w:rPr>
          <w:rFonts w:ascii="Times New Roman" w:hAnsi="Times New Roman" w:cs="Times New Roman"/>
          <w:szCs w:val="24"/>
        </w:rPr>
        <w:t xml:space="preserve"> W </w:t>
      </w:r>
      <w:r w:rsidR="005B4C26" w:rsidRPr="0024375B">
        <w:rPr>
          <w:rFonts w:ascii="Times New Roman" w:hAnsi="Times New Roman" w:cs="Times New Roman"/>
          <w:szCs w:val="24"/>
        </w:rPr>
        <w:t>ślad za tą zmianą proponuje się zmianę</w:t>
      </w:r>
      <w:r w:rsidR="00EA1900">
        <w:rPr>
          <w:rFonts w:ascii="Times New Roman" w:hAnsi="Times New Roman" w:cs="Times New Roman"/>
          <w:szCs w:val="24"/>
        </w:rPr>
        <w:t xml:space="preserve"> w </w:t>
      </w:r>
      <w:r w:rsidR="00D00CB4">
        <w:rPr>
          <w:rFonts w:ascii="Times New Roman" w:hAnsi="Times New Roman" w:cs="Times New Roman"/>
          <w:szCs w:val="24"/>
        </w:rPr>
        <w:t>ust. </w:t>
      </w:r>
      <w:r w:rsidR="005B4C26" w:rsidRPr="0024375B">
        <w:rPr>
          <w:rFonts w:ascii="Times New Roman" w:hAnsi="Times New Roman" w:cs="Times New Roman"/>
          <w:szCs w:val="24"/>
        </w:rPr>
        <w:t>5 – termin 7 dni na złożenie przez podmiot krajowego systemu cyberbezpieczeństwa zastrzeżenia do rekomendacji będzie liczony od momentu opublikowania rekomendacji</w:t>
      </w:r>
      <w:r w:rsidR="00EA1900">
        <w:rPr>
          <w:rFonts w:ascii="Times New Roman" w:hAnsi="Times New Roman" w:cs="Times New Roman"/>
          <w:szCs w:val="24"/>
        </w:rPr>
        <w:t xml:space="preserve"> w </w:t>
      </w:r>
      <w:r w:rsidR="005B4C26" w:rsidRPr="0024375B">
        <w:rPr>
          <w:rFonts w:ascii="Times New Roman" w:hAnsi="Times New Roman" w:cs="Times New Roman"/>
          <w:szCs w:val="24"/>
        </w:rPr>
        <w:t>BIP,</w:t>
      </w:r>
      <w:r w:rsidR="002161FE">
        <w:rPr>
          <w:rFonts w:ascii="Times New Roman" w:hAnsi="Times New Roman" w:cs="Times New Roman"/>
          <w:szCs w:val="24"/>
        </w:rPr>
        <w:t xml:space="preserve"> a </w:t>
      </w:r>
      <w:r w:rsidR="005B4C26" w:rsidRPr="0024375B">
        <w:rPr>
          <w:rFonts w:ascii="Times New Roman" w:hAnsi="Times New Roman" w:cs="Times New Roman"/>
          <w:szCs w:val="24"/>
        </w:rPr>
        <w:t>nie od momentu otrzymania przez podmiot tych rekomendacji.</w:t>
      </w:r>
    </w:p>
    <w:p w14:paraId="03D59FFA" w14:textId="77777777" w:rsidR="002B6955" w:rsidRPr="0024375B" w:rsidRDefault="002B6955" w:rsidP="00DC1575">
      <w:pPr>
        <w:pStyle w:val="Nagwek4"/>
      </w:pPr>
      <w:r w:rsidRPr="0024375B">
        <w:lastRenderedPageBreak/>
        <w:t>Zmiany</w:t>
      </w:r>
      <w:r w:rsidR="002161FE">
        <w:t xml:space="preserve"> w</w:t>
      </w:r>
      <w:r w:rsidR="00EA1900">
        <w:t xml:space="preserve"> art. </w:t>
      </w:r>
      <w:r w:rsidRPr="0024375B">
        <w:t>34</w:t>
      </w:r>
    </w:p>
    <w:p w14:paraId="3566E761" w14:textId="77777777" w:rsidR="002843FB" w:rsidRPr="0024375B" w:rsidRDefault="003B585E" w:rsidP="0024375B">
      <w:pPr>
        <w:pStyle w:val="ARTartustawynprozporzdzenia"/>
      </w:pPr>
      <w:r w:rsidRPr="0024375B">
        <w:t xml:space="preserve">Art. 34 </w:t>
      </w:r>
      <w:r w:rsidR="00D00CB4">
        <w:t>ust. </w:t>
      </w:r>
      <w:r w:rsidRPr="0024375B">
        <w:t>1 dostosowano do zmian instytucjonalnych – dodano</w:t>
      </w:r>
      <w:r w:rsidR="00EA1900">
        <w:t xml:space="preserve"> w </w:t>
      </w:r>
      <w:r w:rsidRPr="0024375B">
        <w:t>nim obowiązek współpracy CSIRT INT, CSIRT sektorowego, CSIRT Telco oraz SOC zewnętrznych</w:t>
      </w:r>
      <w:r w:rsidR="002161FE">
        <w:t xml:space="preserve"> z </w:t>
      </w:r>
      <w:r w:rsidRPr="0024375B">
        <w:t>organami ścigania</w:t>
      </w:r>
      <w:r w:rsidR="002161FE">
        <w:t xml:space="preserve"> i </w:t>
      </w:r>
      <w:r w:rsidRPr="0024375B">
        <w:t>wymiaru sprawiedliwości oraz służbami specjalnymi przy realizacji ich ustawowych zadań</w:t>
      </w:r>
    </w:p>
    <w:p w14:paraId="47C7387F" w14:textId="77777777" w:rsidR="002B6955" w:rsidRPr="0024375B" w:rsidRDefault="003D79EB" w:rsidP="00DC1575">
      <w:pPr>
        <w:pStyle w:val="Nagwek4"/>
      </w:pPr>
      <w:r w:rsidRPr="0024375B">
        <w:t>Nowy</w:t>
      </w:r>
      <w:r w:rsidR="00EA1900">
        <w:t xml:space="preserve"> art. </w:t>
      </w:r>
      <w:r w:rsidRPr="0024375B">
        <w:t xml:space="preserve">34a </w:t>
      </w:r>
    </w:p>
    <w:p w14:paraId="40CF4C2F" w14:textId="77777777" w:rsidR="003D79EB" w:rsidRDefault="002B6955" w:rsidP="0024375B">
      <w:pPr>
        <w:pStyle w:val="ARTartustawynprozporzdzenia"/>
      </w:pPr>
      <w:r w:rsidRPr="0024375B">
        <w:t xml:space="preserve">Art. 34a </w:t>
      </w:r>
      <w:r w:rsidR="003D79EB" w:rsidRPr="0024375B">
        <w:t>zapewnia wymianę informacji</w:t>
      </w:r>
      <w:r w:rsidR="0077165A">
        <w:t xml:space="preserve"> o </w:t>
      </w:r>
      <w:r w:rsidR="003D79EB" w:rsidRPr="0024375B">
        <w:t>incydentach telekomunikacyjnych pomiędzy zespołami CSIRT poziomu krajowego, CSIRT Telco</w:t>
      </w:r>
      <w:r w:rsidR="002161FE">
        <w:t xml:space="preserve"> z </w:t>
      </w:r>
      <w:r w:rsidR="003D79EB" w:rsidRPr="0024375B">
        <w:t>Prezesem UKE. Przepis ten umożliwia realizację obowiązku informowania organów regulacyjnych</w:t>
      </w:r>
      <w:r w:rsidR="00EA1900">
        <w:t xml:space="preserve"> w </w:t>
      </w:r>
      <w:r w:rsidR="003D79EB" w:rsidRPr="0024375B">
        <w:t>innych państwach członkowskich UE</w:t>
      </w:r>
      <w:r w:rsidR="00EA1900">
        <w:t xml:space="preserve"> w </w:t>
      </w:r>
      <w:r w:rsidR="003D79EB" w:rsidRPr="0024375B">
        <w:t>związku</w:t>
      </w:r>
      <w:r w:rsidR="002161FE">
        <w:t xml:space="preserve"> z </w:t>
      </w:r>
      <w:r w:rsidR="003D79EB" w:rsidRPr="0024375B">
        <w:t>wystąpieniem incydentu telekomunikacyjnego, jeśli Prezes UKE uzna charakter tego incydentu za istotny. Ponadto Prezes UKE otrzyma informacje umożliwiające przygotowanie sprawozdań</w:t>
      </w:r>
      <w:r w:rsidR="00515E32" w:rsidRPr="0024375B">
        <w:t xml:space="preserve"> do Komisji Europejskiej</w:t>
      </w:r>
      <w:r w:rsidR="002161FE">
        <w:t xml:space="preserve"> i </w:t>
      </w:r>
      <w:r w:rsidR="00515E32" w:rsidRPr="0024375B">
        <w:t>ENISA</w:t>
      </w:r>
      <w:r w:rsidR="0077165A">
        <w:t xml:space="preserve"> o </w:t>
      </w:r>
      <w:r w:rsidR="00515E32" w:rsidRPr="0024375B">
        <w:t>poważnych incydentach telekomunikacyjnych.</w:t>
      </w:r>
      <w:r w:rsidR="003D79EB" w:rsidRPr="0024375B">
        <w:t xml:space="preserve"> Z kolei zespoły CSIRT poziomu krajowego muszą uzgodnić</w:t>
      </w:r>
      <w:r w:rsidR="002161FE">
        <w:t xml:space="preserve"> z </w:t>
      </w:r>
      <w:r w:rsidR="003D79EB" w:rsidRPr="0024375B">
        <w:t>Prezesem UKE sposób</w:t>
      </w:r>
      <w:r w:rsidR="002161FE">
        <w:t xml:space="preserve"> i </w:t>
      </w:r>
      <w:r w:rsidR="003D79EB" w:rsidRPr="0024375B">
        <w:t>tryb przekazywania informacji</w:t>
      </w:r>
      <w:r w:rsidR="0077165A">
        <w:t xml:space="preserve"> o </w:t>
      </w:r>
      <w:r w:rsidR="003D79EB" w:rsidRPr="0024375B">
        <w:t>incydentach telekomunikacyjnych. Przepis ten jest implementacją</w:t>
      </w:r>
      <w:r w:rsidR="00EA1900">
        <w:t xml:space="preserve"> art. </w:t>
      </w:r>
      <w:r w:rsidR="003D79EB" w:rsidRPr="0024375B">
        <w:t xml:space="preserve">40 </w:t>
      </w:r>
      <w:r w:rsidR="00D00CB4">
        <w:t>ust. </w:t>
      </w:r>
      <w:r w:rsidR="003D79EB" w:rsidRPr="0024375B">
        <w:t>2 EKŁE.</w:t>
      </w:r>
    </w:p>
    <w:p w14:paraId="6BAA7E10" w14:textId="77777777" w:rsidR="009C696D" w:rsidRPr="00DD10ED" w:rsidRDefault="009C696D" w:rsidP="00DC1575">
      <w:pPr>
        <w:pStyle w:val="Nagwek4"/>
      </w:pPr>
      <w:r w:rsidRPr="00B60F95">
        <w:t>Nowy</w:t>
      </w:r>
      <w:r w:rsidR="00EA1900">
        <w:t xml:space="preserve"> art. </w:t>
      </w:r>
      <w:r w:rsidRPr="00B60F95">
        <w:t>34b</w:t>
      </w:r>
    </w:p>
    <w:p w14:paraId="06B32799" w14:textId="77777777" w:rsidR="009C696D" w:rsidRPr="0024375B" w:rsidRDefault="009C696D" w:rsidP="0024375B">
      <w:pPr>
        <w:pStyle w:val="ARTartustawynprozporzdzenia"/>
      </w:pPr>
      <w:r>
        <w:t>Zgodnie</w:t>
      </w:r>
      <w:r w:rsidR="002161FE">
        <w:t xml:space="preserve"> z </w:t>
      </w:r>
      <w:r>
        <w:t>nowym</w:t>
      </w:r>
      <w:r w:rsidR="00EA1900">
        <w:t xml:space="preserve"> art. </w:t>
      </w:r>
      <w:r>
        <w:t>34b na CSIRT MON, CSIRT NASK</w:t>
      </w:r>
      <w:r w:rsidR="002161FE">
        <w:t xml:space="preserve"> i </w:t>
      </w:r>
      <w:r>
        <w:t>CSIRT GOV zostanie nałożony obowiązek współpracy</w:t>
      </w:r>
      <w:r w:rsidR="002161FE">
        <w:t xml:space="preserve"> z </w:t>
      </w:r>
      <w:r>
        <w:t>Prezesem UKE oraz</w:t>
      </w:r>
      <w:r w:rsidR="002161FE">
        <w:t xml:space="preserve"> z </w:t>
      </w:r>
      <w:r>
        <w:t>CSIRT Telco przy wykonywaniu ustawowych zadań.</w:t>
      </w:r>
    </w:p>
    <w:p w14:paraId="2202CEC2" w14:textId="77777777" w:rsidR="002B6955" w:rsidRPr="0024375B" w:rsidRDefault="002B6955" w:rsidP="00DC1575">
      <w:pPr>
        <w:pStyle w:val="Nagwek4"/>
      </w:pPr>
      <w:r w:rsidRPr="0024375B">
        <w:t>Zmiany</w:t>
      </w:r>
      <w:r w:rsidR="002161FE">
        <w:t xml:space="preserve"> w</w:t>
      </w:r>
      <w:r w:rsidR="00EA1900">
        <w:t xml:space="preserve"> art. </w:t>
      </w:r>
      <w:r w:rsidRPr="0024375B">
        <w:t>35</w:t>
      </w:r>
    </w:p>
    <w:p w14:paraId="60C2A877" w14:textId="77777777" w:rsidR="00CC244C" w:rsidRPr="0024375B" w:rsidRDefault="00CC244C" w:rsidP="0024375B">
      <w:pPr>
        <w:pStyle w:val="ARTartustawynprozporzdzenia"/>
      </w:pPr>
      <w:r w:rsidRPr="0024375B">
        <w:t>Zmiana</w:t>
      </w:r>
      <w:r w:rsidR="002161FE">
        <w:t xml:space="preserve"> w</w:t>
      </w:r>
      <w:r w:rsidR="00EA1900">
        <w:t xml:space="preserve"> art. </w:t>
      </w:r>
      <w:r w:rsidRPr="0024375B">
        <w:t xml:space="preserve">35 </w:t>
      </w:r>
      <w:r w:rsidR="00D00CB4">
        <w:t>ust. </w:t>
      </w:r>
      <w:r w:rsidRPr="0024375B">
        <w:t xml:space="preserve">5 polega na tym, że </w:t>
      </w:r>
      <w:r w:rsidR="00D1690D" w:rsidRPr="0024375B">
        <w:t>CSIRT GOV, CSIRT MON</w:t>
      </w:r>
      <w:r w:rsidR="002161FE">
        <w:t xml:space="preserve"> i </w:t>
      </w:r>
      <w:r w:rsidR="00D1690D" w:rsidRPr="0024375B">
        <w:t xml:space="preserve">CSIRT </w:t>
      </w:r>
      <w:r w:rsidR="002843FB" w:rsidRPr="0024375B">
        <w:t>NASK</w:t>
      </w:r>
      <w:r w:rsidR="00D1690D" w:rsidRPr="0024375B">
        <w:t xml:space="preserve"> będą mogły przekazywać </w:t>
      </w:r>
      <w:r w:rsidRPr="0024375B">
        <w:t>informacje</w:t>
      </w:r>
      <w:r w:rsidR="0077165A">
        <w:t xml:space="preserve"> o </w:t>
      </w:r>
      <w:r w:rsidRPr="0024375B">
        <w:t>podatnościach, incydentach krytycznych</w:t>
      </w:r>
      <w:r w:rsidR="002161FE">
        <w:t xml:space="preserve"> i </w:t>
      </w:r>
      <w:r w:rsidRPr="0024375B">
        <w:t xml:space="preserve">cyberzagrożeniach </w:t>
      </w:r>
      <w:r w:rsidR="00D1690D" w:rsidRPr="0024375B">
        <w:t>do publikacji</w:t>
      </w:r>
      <w:r w:rsidR="00EA1900">
        <w:t xml:space="preserve"> w </w:t>
      </w:r>
      <w:r w:rsidRPr="0024375B">
        <w:t>Biuletynie Informacji Publicznej Pełnomocnika.</w:t>
      </w:r>
      <w:r w:rsidR="00D1690D" w:rsidRPr="0024375B">
        <w:t xml:space="preserve"> Do tej pory informacje takie mogły być publikowane</w:t>
      </w:r>
      <w:r w:rsidR="00EA1900">
        <w:t xml:space="preserve"> w </w:t>
      </w:r>
      <w:r w:rsidR="00D1690D" w:rsidRPr="0024375B">
        <w:t>Biuletynie Informacji Publicznej na stronie podmiotowej odpowiednio Ministra Obrony Narodowej, Naukowej</w:t>
      </w:r>
      <w:r w:rsidR="002161FE">
        <w:t xml:space="preserve"> i </w:t>
      </w:r>
      <w:r w:rsidR="00D1690D" w:rsidRPr="0024375B">
        <w:t>Akademickiej Sieci Komputerowej - Państwowego Instytutu Badawczego lub Agencji Bezpieczeństwa Wewnętrznego. Nie zmieniają się za to przesłanki</w:t>
      </w:r>
      <w:r w:rsidR="00EA1900">
        <w:t xml:space="preserve"> w </w:t>
      </w:r>
      <w:r w:rsidR="00D1690D" w:rsidRPr="0024375B">
        <w:t xml:space="preserve">których taka publikacja jest możliwa. </w:t>
      </w:r>
      <w:r w:rsidR="00F62292" w:rsidRPr="0024375B">
        <w:t>Publikacja takich informacji powinna przyczynić się do zwiększenia bezpieczeństwa systemów informacyjnych użytkowanych przez obywateli</w:t>
      </w:r>
      <w:r w:rsidR="002161FE">
        <w:t xml:space="preserve"> i </w:t>
      </w:r>
      <w:r w:rsidR="00F62292" w:rsidRPr="0024375B">
        <w:t>przedsiębiorców lub zapewnienia bezpiecznego korzystania</w:t>
      </w:r>
      <w:r w:rsidR="002161FE">
        <w:t xml:space="preserve"> z </w:t>
      </w:r>
      <w:r w:rsidR="00F62292" w:rsidRPr="0024375B">
        <w:t>tych systemów</w:t>
      </w:r>
      <w:r w:rsidRPr="0024375B">
        <w:t xml:space="preserve"> </w:t>
      </w:r>
      <w:r w:rsidR="00F62292" w:rsidRPr="0024375B">
        <w:t>oraz nie może naruszać przepisów</w:t>
      </w:r>
      <w:r w:rsidR="0077165A">
        <w:t xml:space="preserve"> o </w:t>
      </w:r>
      <w:r w:rsidR="00F62292" w:rsidRPr="0024375B">
        <w:t>ochronie informacji niejawnych oraz innych tajemnic prawnie chronionych ani przepisów</w:t>
      </w:r>
      <w:r w:rsidR="0077165A">
        <w:t xml:space="preserve"> o </w:t>
      </w:r>
      <w:r w:rsidR="00F62292" w:rsidRPr="0024375B">
        <w:t xml:space="preserve">ochronie danych osobowych. </w:t>
      </w:r>
      <w:r w:rsidRPr="0024375B">
        <w:t>Podobny charakter (dot. incydentów poważnych</w:t>
      </w:r>
      <w:r w:rsidR="002161FE">
        <w:t xml:space="preserve"> i </w:t>
      </w:r>
      <w:r w:rsidRPr="0024375B">
        <w:t>istotnych) mają zmiany</w:t>
      </w:r>
      <w:r w:rsidR="002161FE">
        <w:t xml:space="preserve"> w</w:t>
      </w:r>
      <w:r w:rsidR="00EA1900">
        <w:t xml:space="preserve"> art. </w:t>
      </w:r>
      <w:r w:rsidRPr="0024375B">
        <w:t>37</w:t>
      </w:r>
      <w:r w:rsidR="000F27D7" w:rsidRPr="0024375B">
        <w:t xml:space="preserve"> ustawy</w:t>
      </w:r>
      <w:r w:rsidR="0077165A">
        <w:t xml:space="preserve"> o </w:t>
      </w:r>
      <w:r w:rsidR="006C7FD0" w:rsidRPr="0024375B">
        <w:t>KSC</w:t>
      </w:r>
      <w:r w:rsidRPr="0024375B">
        <w:t>.</w:t>
      </w:r>
    </w:p>
    <w:p w14:paraId="26C5BBB8" w14:textId="77777777" w:rsidR="002B6955" w:rsidRPr="0024375B" w:rsidRDefault="002B6955" w:rsidP="00DC1575">
      <w:pPr>
        <w:pStyle w:val="Nagwek4"/>
      </w:pPr>
      <w:r w:rsidRPr="0024375B">
        <w:t>Zmiany</w:t>
      </w:r>
      <w:r w:rsidR="002161FE">
        <w:t xml:space="preserve"> w</w:t>
      </w:r>
      <w:r w:rsidR="00EA1900">
        <w:t xml:space="preserve"> art. </w:t>
      </w:r>
      <w:r w:rsidRPr="0024375B">
        <w:t>36</w:t>
      </w:r>
    </w:p>
    <w:p w14:paraId="0ABF3732"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w:t>
      </w:r>
      <w:r w:rsidR="00EA1900">
        <w:rPr>
          <w:rFonts w:ascii="Times New Roman" w:hAnsi="Times New Roman" w:cs="Times New Roman"/>
        </w:rPr>
        <w:t xml:space="preserve"> art. </w:t>
      </w:r>
      <w:r w:rsidRPr="0024375B">
        <w:rPr>
          <w:rFonts w:ascii="Times New Roman" w:hAnsi="Times New Roman" w:cs="Times New Roman"/>
        </w:rPr>
        <w:t xml:space="preserve">36 </w:t>
      </w:r>
      <w:r w:rsidR="00D00CB4">
        <w:rPr>
          <w:rFonts w:ascii="Times New Roman" w:hAnsi="Times New Roman" w:cs="Times New Roman"/>
        </w:rPr>
        <w:t>ust. </w:t>
      </w:r>
      <w:r w:rsidRPr="0024375B">
        <w:rPr>
          <w:rFonts w:ascii="Times New Roman" w:hAnsi="Times New Roman" w:cs="Times New Roman"/>
        </w:rPr>
        <w:t xml:space="preserve">2 rozszerza się </w:t>
      </w:r>
      <w:r w:rsidR="00A8760B" w:rsidRPr="0024375B">
        <w:rPr>
          <w:rFonts w:ascii="Times New Roman" w:hAnsi="Times New Roman" w:cs="Times New Roman"/>
        </w:rPr>
        <w:t>skład</w:t>
      </w:r>
      <w:r w:rsidRPr="0024375B">
        <w:rPr>
          <w:rFonts w:ascii="Times New Roman" w:hAnsi="Times New Roman" w:cs="Times New Roman"/>
        </w:rPr>
        <w:t xml:space="preserve"> Zespołu d</w:t>
      </w:r>
      <w:r w:rsidR="00A928C7" w:rsidRPr="0024375B">
        <w:rPr>
          <w:rFonts w:ascii="Times New Roman" w:hAnsi="Times New Roman" w:cs="Times New Roman"/>
        </w:rPr>
        <w:t>o spraw</w:t>
      </w:r>
      <w:r w:rsidRPr="0024375B">
        <w:rPr>
          <w:rFonts w:ascii="Times New Roman" w:hAnsi="Times New Roman" w:cs="Times New Roman"/>
        </w:rPr>
        <w:t xml:space="preserve"> Incydentów Krytycznych </w:t>
      </w:r>
      <w:r w:rsidR="00DC1C14" w:rsidRPr="0024375B">
        <w:rPr>
          <w:rFonts w:ascii="Times New Roman" w:hAnsi="Times New Roman" w:cs="Times New Roman"/>
        </w:rPr>
        <w:t>(</w:t>
      </w:r>
      <w:r w:rsidRPr="0024375B">
        <w:rPr>
          <w:rFonts w:ascii="Times New Roman" w:hAnsi="Times New Roman" w:cs="Times New Roman"/>
        </w:rPr>
        <w:t>dalej</w:t>
      </w:r>
      <w:r w:rsidR="00DC1C14" w:rsidRPr="0024375B">
        <w:rPr>
          <w:rFonts w:ascii="Times New Roman" w:hAnsi="Times New Roman" w:cs="Times New Roman"/>
        </w:rPr>
        <w:t xml:space="preserve">: </w:t>
      </w:r>
      <w:r w:rsidRPr="0024375B">
        <w:rPr>
          <w:rFonts w:ascii="Times New Roman" w:hAnsi="Times New Roman" w:cs="Times New Roman"/>
        </w:rPr>
        <w:t>„Zespół”</w:t>
      </w:r>
      <w:r w:rsidR="00DC1C14" w:rsidRPr="0024375B">
        <w:rPr>
          <w:rFonts w:ascii="Times New Roman" w:hAnsi="Times New Roman" w:cs="Times New Roman"/>
        </w:rPr>
        <w:t>)</w:t>
      </w:r>
      <w:r w:rsidRPr="0024375B">
        <w:rPr>
          <w:rFonts w:ascii="Times New Roman" w:hAnsi="Times New Roman" w:cs="Times New Roman"/>
        </w:rPr>
        <w:t>.</w:t>
      </w:r>
      <w:r w:rsidR="00116933">
        <w:rPr>
          <w:rFonts w:ascii="Times New Roman" w:hAnsi="Times New Roman" w:cs="Times New Roman"/>
        </w:rPr>
        <w:t xml:space="preserve"> W </w:t>
      </w:r>
      <w:r w:rsidRPr="0024375B">
        <w:rPr>
          <w:rFonts w:ascii="Times New Roman" w:hAnsi="Times New Roman" w:cs="Times New Roman"/>
        </w:rPr>
        <w:t>skład Zespołu wejdą także przedstawiciele Pełnomocnika oraz ministra właściwego d</w:t>
      </w:r>
      <w:r w:rsidR="00A928C7" w:rsidRPr="0024375B">
        <w:rPr>
          <w:rFonts w:ascii="Times New Roman" w:hAnsi="Times New Roman" w:cs="Times New Roman"/>
        </w:rPr>
        <w:t>o spraw</w:t>
      </w:r>
      <w:r w:rsidRPr="0024375B">
        <w:rPr>
          <w:rFonts w:ascii="Times New Roman" w:hAnsi="Times New Roman" w:cs="Times New Roman"/>
        </w:rPr>
        <w:t xml:space="preserve"> informatyzacji. Związane jest to</w:t>
      </w:r>
      <w:r w:rsidR="002161FE">
        <w:rPr>
          <w:rFonts w:ascii="Times New Roman" w:hAnsi="Times New Roman" w:cs="Times New Roman"/>
        </w:rPr>
        <w:t xml:space="preserve"> z </w:t>
      </w:r>
      <w:r w:rsidRPr="0024375B">
        <w:rPr>
          <w:rFonts w:ascii="Times New Roman" w:hAnsi="Times New Roman" w:cs="Times New Roman"/>
        </w:rPr>
        <w:t>nowymi zadaniami</w:t>
      </w:r>
      <w:r w:rsidR="000F27D7" w:rsidRPr="0024375B">
        <w:rPr>
          <w:rFonts w:ascii="Times New Roman" w:hAnsi="Times New Roman" w:cs="Times New Roman"/>
        </w:rPr>
        <w:t xml:space="preserve">: </w:t>
      </w:r>
      <w:r w:rsidRPr="0024375B">
        <w:rPr>
          <w:rFonts w:ascii="Times New Roman" w:hAnsi="Times New Roman" w:cs="Times New Roman"/>
        </w:rPr>
        <w:t>Pełnomocnika – wydawanie ostrze</w:t>
      </w:r>
      <w:r w:rsidR="00AD6BD4" w:rsidRPr="0024375B">
        <w:rPr>
          <w:rFonts w:ascii="Times New Roman" w:hAnsi="Times New Roman" w:cs="Times New Roman"/>
        </w:rPr>
        <w:t>żeń</w:t>
      </w:r>
      <w:r w:rsidR="000F27D7" w:rsidRPr="0024375B">
        <w:rPr>
          <w:rFonts w:ascii="Times New Roman" w:hAnsi="Times New Roman" w:cs="Times New Roman"/>
        </w:rPr>
        <w:t xml:space="preserve">, </w:t>
      </w:r>
      <w:r w:rsidR="00AD6BD4" w:rsidRPr="0024375B">
        <w:rPr>
          <w:rFonts w:ascii="Times New Roman" w:hAnsi="Times New Roman" w:cs="Times New Roman"/>
        </w:rPr>
        <w:t>oraz ministra właściwego do spraw</w:t>
      </w:r>
      <w:r w:rsidRPr="0024375B">
        <w:rPr>
          <w:rFonts w:ascii="Times New Roman" w:hAnsi="Times New Roman" w:cs="Times New Roman"/>
        </w:rPr>
        <w:t xml:space="preserve"> informatyzacji. </w:t>
      </w:r>
      <w:r w:rsidR="00CC7950" w:rsidRPr="0024375B">
        <w:rPr>
          <w:rFonts w:ascii="Times New Roman" w:hAnsi="Times New Roman" w:cs="Times New Roman"/>
        </w:rPr>
        <w:t>Ponadto umożliwia się Pełnomocnikowi uczestnictwo</w:t>
      </w:r>
      <w:r w:rsidR="00EA1900">
        <w:rPr>
          <w:rFonts w:ascii="Times New Roman" w:hAnsi="Times New Roman" w:cs="Times New Roman"/>
        </w:rPr>
        <w:t xml:space="preserve"> w </w:t>
      </w:r>
      <w:r w:rsidR="00CC7950" w:rsidRPr="0024375B">
        <w:rPr>
          <w:rFonts w:ascii="Times New Roman" w:hAnsi="Times New Roman" w:cs="Times New Roman"/>
        </w:rPr>
        <w:t>posiedzeniach Zespołu.</w:t>
      </w:r>
    </w:p>
    <w:p w14:paraId="64B5393A" w14:textId="77777777" w:rsidR="002B6955" w:rsidRPr="0024375B" w:rsidRDefault="002B6955" w:rsidP="00DC1575">
      <w:pPr>
        <w:pStyle w:val="Nagwek4"/>
      </w:pPr>
      <w:r w:rsidRPr="0024375B">
        <w:lastRenderedPageBreak/>
        <w:t>Nowy</w:t>
      </w:r>
      <w:r w:rsidR="00EA1900">
        <w:t xml:space="preserve"> art. </w:t>
      </w:r>
      <w:r w:rsidRPr="0024375B">
        <w:t>36a</w:t>
      </w:r>
    </w:p>
    <w:p w14:paraId="17614B87" w14:textId="77777777" w:rsidR="4149E5F1" w:rsidRPr="0024375B" w:rsidRDefault="4B9F7929" w:rsidP="0024375B">
      <w:pPr>
        <w:pStyle w:val="ARTartustawynprozporzdzenia"/>
        <w:ind w:firstLine="540"/>
        <w:rPr>
          <w:rFonts w:cs="Times New Roman"/>
        </w:rPr>
      </w:pPr>
      <w:r w:rsidRPr="0024375B">
        <w:rPr>
          <w:rFonts w:cs="Times New Roman"/>
        </w:rPr>
        <w:t>Zmiana</w:t>
      </w:r>
      <w:r w:rsidR="002161FE">
        <w:rPr>
          <w:rFonts w:cs="Times New Roman"/>
        </w:rPr>
        <w:t xml:space="preserve"> w</w:t>
      </w:r>
      <w:r w:rsidR="00EA1900">
        <w:rPr>
          <w:rFonts w:cs="Times New Roman"/>
        </w:rPr>
        <w:t xml:space="preserve"> art. </w:t>
      </w:r>
      <w:r w:rsidRPr="0024375B">
        <w:rPr>
          <w:rFonts w:cs="Times New Roman"/>
        </w:rPr>
        <w:t>36a umożliwia Prezesowi Rady Ministrów zobowiązanie, na podstawie opinii Rządowego Zespołu Zarządzania Kryzysowego</w:t>
      </w:r>
      <w:r w:rsidR="00AD6A8B" w:rsidRPr="0024375B">
        <w:rPr>
          <w:rFonts w:cs="Times New Roman"/>
        </w:rPr>
        <w:t xml:space="preserve"> (RZZK)</w:t>
      </w:r>
      <w:r w:rsidRPr="0024375B">
        <w:rPr>
          <w:rFonts w:cs="Times New Roman"/>
        </w:rPr>
        <w:t>, Ministra Obrony Narodowej do udzielenia wsparcia zespołowi CSIRT poziomu krajowego koordynującemu obsługę incydentu krytycznego, przez jednostki podległe lub nadzorowane przez Ministra</w:t>
      </w:r>
      <w:r w:rsidR="00677F50" w:rsidRPr="0024375B">
        <w:rPr>
          <w:rFonts w:cs="Times New Roman"/>
        </w:rPr>
        <w:t xml:space="preserve"> Obrony Narodowej</w:t>
      </w:r>
      <w:r w:rsidRPr="0024375B">
        <w:rPr>
          <w:rFonts w:cs="Times New Roman"/>
        </w:rPr>
        <w:t>.</w:t>
      </w:r>
      <w:r w:rsidR="00404191" w:rsidRPr="0024375B">
        <w:rPr>
          <w:rFonts w:cs="Times New Roman"/>
        </w:rPr>
        <w:t xml:space="preserve"> Obecne przepisy przewidują, że Dyrektor Rządowego Centrum Bezpieczeństwa, działając na podstawie decyzji Zespołu, może zwrócić się do Prezesa Rady Ministrów</w:t>
      </w:r>
      <w:r w:rsidR="0077165A">
        <w:rPr>
          <w:rFonts w:cs="Times New Roman"/>
        </w:rPr>
        <w:t xml:space="preserve"> o </w:t>
      </w:r>
      <w:r w:rsidR="00404191" w:rsidRPr="0024375B">
        <w:rPr>
          <w:rFonts w:cs="Times New Roman"/>
        </w:rPr>
        <w:t xml:space="preserve">zwołanie </w:t>
      </w:r>
      <w:r w:rsidR="00AD6A8B" w:rsidRPr="0024375B">
        <w:rPr>
          <w:rFonts w:cs="Times New Roman"/>
        </w:rPr>
        <w:t>RZZK</w:t>
      </w:r>
      <w:r w:rsidR="00404191" w:rsidRPr="0024375B">
        <w:rPr>
          <w:rFonts w:cs="Times New Roman"/>
        </w:rPr>
        <w:t>. Może się tak wydarzyć, jeżeli incydent krytyczny jest sytuacją kryzysową, wymagającą działania na poziomie rządowym. Proponowany artykuł wpisuje się</w:t>
      </w:r>
      <w:r w:rsidR="00EA1900">
        <w:rPr>
          <w:rFonts w:cs="Times New Roman"/>
        </w:rPr>
        <w:t xml:space="preserve"> w </w:t>
      </w:r>
      <w:r w:rsidR="00404191" w:rsidRPr="0024375B">
        <w:rPr>
          <w:rFonts w:cs="Times New Roman"/>
        </w:rPr>
        <w:t>ten model działania, umożliwiając udzielenie wsparcia zespołowi CSIRT przez wyspecjalizowane</w:t>
      </w:r>
      <w:r w:rsidR="00EA1900">
        <w:rPr>
          <w:rFonts w:cs="Times New Roman"/>
        </w:rPr>
        <w:t xml:space="preserve"> w </w:t>
      </w:r>
      <w:r w:rsidR="00404191" w:rsidRPr="0024375B">
        <w:rPr>
          <w:rFonts w:cs="Times New Roman"/>
        </w:rPr>
        <w:t xml:space="preserve">zakresie cyberbezpieczeństwa jednostki podległe lub nadzorowane przez Ministra Obrony Narodowej. </w:t>
      </w:r>
      <w:r w:rsidR="00AD6A8B" w:rsidRPr="0024375B">
        <w:rPr>
          <w:rFonts w:cs="Times New Roman"/>
        </w:rPr>
        <w:t>Decydującą rolę będzie miał tutaj Prezes Rady Ministrów, działający</w:t>
      </w:r>
      <w:r w:rsidR="00EA1900">
        <w:rPr>
          <w:rFonts w:cs="Times New Roman"/>
        </w:rPr>
        <w:t xml:space="preserve"> w </w:t>
      </w:r>
      <w:r w:rsidR="00AD6A8B" w:rsidRPr="0024375B">
        <w:rPr>
          <w:rFonts w:cs="Times New Roman"/>
        </w:rPr>
        <w:t>oparciu</w:t>
      </w:r>
      <w:r w:rsidR="0077165A">
        <w:rPr>
          <w:rFonts w:cs="Times New Roman"/>
        </w:rPr>
        <w:t xml:space="preserve"> o </w:t>
      </w:r>
      <w:r w:rsidR="00AD6A8B" w:rsidRPr="0024375B">
        <w:rPr>
          <w:rFonts w:cs="Times New Roman"/>
        </w:rPr>
        <w:t>opinię RZZK.</w:t>
      </w:r>
      <w:r w:rsidR="00280596" w:rsidRPr="0024375B">
        <w:rPr>
          <w:rFonts w:cs="Times New Roman"/>
        </w:rPr>
        <w:t xml:space="preserve"> Podkreślić należy, że dotychczasowa praktyka wskazuje, że zarówno Zespół do spraw Incydentów Krytycznych jak</w:t>
      </w:r>
      <w:r w:rsidR="002161FE">
        <w:rPr>
          <w:rFonts w:cs="Times New Roman"/>
        </w:rPr>
        <w:t xml:space="preserve"> i </w:t>
      </w:r>
      <w:r w:rsidR="00280596" w:rsidRPr="0024375B">
        <w:rPr>
          <w:rFonts w:cs="Times New Roman"/>
        </w:rPr>
        <w:t>RZZK są ciałami, które</w:t>
      </w:r>
      <w:r w:rsidR="00EA1900">
        <w:rPr>
          <w:rFonts w:cs="Times New Roman"/>
        </w:rPr>
        <w:t xml:space="preserve"> w </w:t>
      </w:r>
      <w:r w:rsidR="00280596" w:rsidRPr="0024375B">
        <w:rPr>
          <w:rFonts w:cs="Times New Roman"/>
        </w:rPr>
        <w:t>sytuacjach nagłych są</w:t>
      </w:r>
      <w:r w:rsidR="00EA1900">
        <w:rPr>
          <w:rFonts w:cs="Times New Roman"/>
        </w:rPr>
        <w:t xml:space="preserve"> w </w:t>
      </w:r>
      <w:r w:rsidR="00280596" w:rsidRPr="0024375B">
        <w:rPr>
          <w:rFonts w:cs="Times New Roman"/>
        </w:rPr>
        <w:t>stanie zebrać się szybko. Zaproponowane rozwiązanie jest zatem adekwatne.</w:t>
      </w:r>
    </w:p>
    <w:p w14:paraId="0A9B2B46" w14:textId="77777777" w:rsidR="00124DF9" w:rsidRPr="0024375B" w:rsidRDefault="6C897C90" w:rsidP="00862E68">
      <w:pPr>
        <w:pStyle w:val="Nagwek3"/>
      </w:pPr>
      <w:bookmarkStart w:id="22" w:name="_Toc136511048"/>
      <w:r w:rsidRPr="0024375B">
        <w:t>Zadania CSIRT INT</w:t>
      </w:r>
      <w:bookmarkEnd w:id="22"/>
    </w:p>
    <w:p w14:paraId="7DD7DCDD" w14:textId="77777777" w:rsidR="009C696D" w:rsidRDefault="009C696D" w:rsidP="00DC1575">
      <w:pPr>
        <w:pStyle w:val="Nagwek4"/>
        <w:rPr>
          <w:rFonts w:eastAsia="Times"/>
        </w:rPr>
      </w:pPr>
      <w:r>
        <w:rPr>
          <w:rFonts w:eastAsia="Times"/>
        </w:rPr>
        <w:t>Nowy</w:t>
      </w:r>
      <w:r w:rsidR="00EA1900">
        <w:rPr>
          <w:rFonts w:eastAsia="Times"/>
        </w:rPr>
        <w:t xml:space="preserve"> art. </w:t>
      </w:r>
      <w:r>
        <w:rPr>
          <w:rFonts w:eastAsia="Times"/>
        </w:rPr>
        <w:t>36b</w:t>
      </w:r>
    </w:p>
    <w:p w14:paraId="5D411294" w14:textId="77777777" w:rsidR="009C696D" w:rsidRDefault="1A8A6882" w:rsidP="0024375B">
      <w:pPr>
        <w:pStyle w:val="ARTartustawynprozporzdzenia"/>
        <w:rPr>
          <w:rFonts w:eastAsia="Times" w:cs="Times"/>
        </w:rPr>
      </w:pPr>
      <w:r w:rsidRPr="0024375B">
        <w:rPr>
          <w:rFonts w:eastAsia="Times" w:cs="Times"/>
        </w:rPr>
        <w:t>W</w:t>
      </w:r>
      <w:r w:rsidR="006C7FD0" w:rsidRPr="0024375B">
        <w:rPr>
          <w:rFonts w:eastAsia="Times" w:cs="Times"/>
        </w:rPr>
        <w:t xml:space="preserve"> nowym</w:t>
      </w:r>
      <w:r w:rsidR="00EA1900">
        <w:rPr>
          <w:rFonts w:eastAsia="Times" w:cs="Times"/>
        </w:rPr>
        <w:t xml:space="preserve"> art. </w:t>
      </w:r>
      <w:r w:rsidRPr="0024375B">
        <w:rPr>
          <w:rFonts w:eastAsia="Times" w:cs="Times"/>
        </w:rPr>
        <w:t>36b wprowadzony został CSIRT INT, który będzie wspierał placówki dyplomatyczne</w:t>
      </w:r>
      <w:r w:rsidR="002161FE">
        <w:rPr>
          <w:rFonts w:eastAsia="Times" w:cs="Times"/>
        </w:rPr>
        <w:t xml:space="preserve"> i </w:t>
      </w:r>
      <w:r w:rsidRPr="0024375B">
        <w:rPr>
          <w:rFonts w:eastAsia="Times" w:cs="Times"/>
        </w:rPr>
        <w:t>konsularne. Przepis ten reguluje zadania jakie zostały wskazane dla nowego CSIRT</w:t>
      </w:r>
      <w:r w:rsidR="000F27D7" w:rsidRPr="0024375B">
        <w:rPr>
          <w:rFonts w:eastAsia="Times" w:cs="Times"/>
        </w:rPr>
        <w:t>’</w:t>
      </w:r>
      <w:r w:rsidRPr="0024375B">
        <w:rPr>
          <w:rFonts w:eastAsia="Times" w:cs="Times"/>
        </w:rPr>
        <w:t>u. Przede wszystkim będzie on wspierał ww. podmioty</w:t>
      </w:r>
      <w:r w:rsidR="00EA1900">
        <w:rPr>
          <w:rFonts w:eastAsia="Times" w:cs="Times"/>
        </w:rPr>
        <w:t xml:space="preserve"> w </w:t>
      </w:r>
      <w:r w:rsidRPr="0024375B">
        <w:rPr>
          <w:rFonts w:eastAsia="Times" w:cs="Times"/>
        </w:rPr>
        <w:t>reagowaniu na incydenty. Zadania te są analogiczne do zadań CSIRT</w:t>
      </w:r>
      <w:r w:rsidR="000F27D7" w:rsidRPr="0024375B">
        <w:rPr>
          <w:rFonts w:eastAsia="Times" w:cs="Times"/>
        </w:rPr>
        <w:t>’</w:t>
      </w:r>
      <w:r w:rsidRPr="0024375B">
        <w:rPr>
          <w:rFonts w:eastAsia="Times" w:cs="Times"/>
        </w:rPr>
        <w:t>ów sektorowych. Wprowadzenie tego nowego CSIRT-u zwiększy cyberbezpieczeństwo podmiotów publicznych, które ze względu na swoje szczególne położenie są szczególnie narażone na ataki. Nowy Zespół reagowania na incydenty komputerowe, prowadzony przez Agencję Wywiadu, będzie dysponował najlepszymi dostępnymi środkami do udzielania wsparcia podmiotom położonym poza granicami kraju. CSIRT INT będzie również blisko współpracował</w:t>
      </w:r>
      <w:r w:rsidR="00EA1900">
        <w:rPr>
          <w:rFonts w:eastAsia="Times" w:cs="Times"/>
        </w:rPr>
        <w:t xml:space="preserve"> w </w:t>
      </w:r>
      <w:r w:rsidRPr="0024375B">
        <w:rPr>
          <w:rFonts w:eastAsia="Times" w:cs="Times"/>
        </w:rPr>
        <w:t>tym zakresie</w:t>
      </w:r>
      <w:r w:rsidR="002161FE">
        <w:rPr>
          <w:rFonts w:eastAsia="Times" w:cs="Times"/>
        </w:rPr>
        <w:t xml:space="preserve"> z </w:t>
      </w:r>
      <w:r w:rsidRPr="0024375B">
        <w:rPr>
          <w:rFonts w:eastAsia="Times" w:cs="Times"/>
        </w:rPr>
        <w:t>CSIRT GOV.</w:t>
      </w:r>
      <w:r w:rsidR="000F27D7" w:rsidRPr="0024375B">
        <w:rPr>
          <w:rFonts w:eastAsia="Times" w:cs="Times"/>
        </w:rPr>
        <w:t xml:space="preserve"> </w:t>
      </w:r>
      <w:r w:rsidR="00D32BDC" w:rsidRPr="0024375B">
        <w:rPr>
          <w:rFonts w:eastAsia="Times" w:cs="Times"/>
        </w:rPr>
        <w:t>Art. 36b reguluje podstawowe</w:t>
      </w:r>
      <w:r w:rsidR="0049201F" w:rsidRPr="0024375B">
        <w:rPr>
          <w:rFonts w:eastAsia="Times" w:cs="Times"/>
        </w:rPr>
        <w:t xml:space="preserve"> zadania jakie zostały postawione przed CSIRT INT. Będzie on pełnił rolę analogiczną do roli CSIRT sektorowych dla podmiotów podległych Ministrowi Spraw Zagranicznych lub przez niego nadzorowanych. Najważniejszym zadaniem będzie przekazywanie zgłoszeń</w:t>
      </w:r>
      <w:r w:rsidR="0077165A">
        <w:rPr>
          <w:rFonts w:eastAsia="Times" w:cs="Times"/>
        </w:rPr>
        <w:t xml:space="preserve"> o </w:t>
      </w:r>
      <w:r w:rsidR="0049201F" w:rsidRPr="0024375B">
        <w:rPr>
          <w:rFonts w:eastAsia="Times" w:cs="Times"/>
        </w:rPr>
        <w:t>incydentach do CSIRT GOV. Ponadto CSIRT INT będzie wspierał te podmioty przy obsłudze incydentów oraz przekazywał im informacje</w:t>
      </w:r>
      <w:r w:rsidR="0077165A">
        <w:rPr>
          <w:rFonts w:eastAsia="Times" w:cs="Times"/>
        </w:rPr>
        <w:t xml:space="preserve"> o </w:t>
      </w:r>
      <w:r w:rsidR="0049201F" w:rsidRPr="0024375B">
        <w:rPr>
          <w:rFonts w:eastAsia="Times" w:cs="Times"/>
        </w:rPr>
        <w:t>najlepszych praktykach</w:t>
      </w:r>
      <w:r w:rsidR="00EA1900">
        <w:rPr>
          <w:rFonts w:eastAsia="Times" w:cs="Times"/>
        </w:rPr>
        <w:t xml:space="preserve"> w </w:t>
      </w:r>
      <w:r w:rsidR="0049201F" w:rsidRPr="0024375B">
        <w:rPr>
          <w:rFonts w:eastAsia="Times" w:cs="Times"/>
        </w:rPr>
        <w:t xml:space="preserve">dziedzinie cyberbezpieczeństwa. Będzie on również mógł </w:t>
      </w:r>
      <w:r w:rsidR="0090731B" w:rsidRPr="0024375B">
        <w:rPr>
          <w:rFonts w:eastAsia="Times" w:cs="Times"/>
        </w:rPr>
        <w:t>prowadzić testy bezpieczeństwa.</w:t>
      </w:r>
      <w:r w:rsidR="00A740B7" w:rsidRPr="0024375B">
        <w:rPr>
          <w:rFonts w:eastAsia="Times" w:cs="Times"/>
        </w:rPr>
        <w:t xml:space="preserve"> </w:t>
      </w:r>
    </w:p>
    <w:p w14:paraId="2472A131" w14:textId="77777777" w:rsidR="009C696D" w:rsidRDefault="009C696D" w:rsidP="00DC1575">
      <w:pPr>
        <w:pStyle w:val="Nagwek4"/>
        <w:rPr>
          <w:rFonts w:eastAsia="Times"/>
        </w:rPr>
      </w:pPr>
      <w:r>
        <w:rPr>
          <w:rFonts w:eastAsia="Times"/>
        </w:rPr>
        <w:t>Nowy</w:t>
      </w:r>
      <w:r w:rsidR="00EA1900">
        <w:rPr>
          <w:rFonts w:eastAsia="Times"/>
        </w:rPr>
        <w:t xml:space="preserve"> art. </w:t>
      </w:r>
      <w:r>
        <w:rPr>
          <w:rFonts w:eastAsia="Times"/>
        </w:rPr>
        <w:t>36c</w:t>
      </w:r>
    </w:p>
    <w:p w14:paraId="5C9E9E14" w14:textId="658CD941" w:rsidR="004B33B2" w:rsidRPr="0024375B" w:rsidRDefault="003031AC" w:rsidP="0024375B">
      <w:pPr>
        <w:pStyle w:val="ARTartustawynprozporzdzenia"/>
        <w:rPr>
          <w:rFonts w:eastAsia="Times" w:cs="Times"/>
        </w:rPr>
      </w:pPr>
      <w:r w:rsidRPr="0024375B">
        <w:rPr>
          <w:rFonts w:eastAsia="Times" w:cs="Times"/>
        </w:rPr>
        <w:t>Art. 36</w:t>
      </w:r>
      <w:r w:rsidR="7BD5CB4C" w:rsidRPr="0024375B">
        <w:rPr>
          <w:rFonts w:eastAsia="Times" w:cs="Times"/>
        </w:rPr>
        <w:t>c</w:t>
      </w:r>
      <w:r w:rsidRPr="0024375B">
        <w:rPr>
          <w:rFonts w:eastAsia="Times" w:cs="Times"/>
        </w:rPr>
        <w:t xml:space="preserve"> reguluje szczegółowo kwestię przesyłania zgłoszeń podmiotów publicznych przez CSIRT </w:t>
      </w:r>
      <w:r w:rsidR="0094023B" w:rsidRPr="0024375B">
        <w:rPr>
          <w:rFonts w:eastAsia="Times" w:cs="Times"/>
        </w:rPr>
        <w:t>I</w:t>
      </w:r>
      <w:r w:rsidRPr="0024375B">
        <w:rPr>
          <w:rFonts w:eastAsia="Times" w:cs="Times"/>
        </w:rPr>
        <w:t xml:space="preserve">NT do CSIRT GOV. Zgłoszenia te </w:t>
      </w:r>
      <w:r w:rsidR="00F20486" w:rsidRPr="0024375B">
        <w:rPr>
          <w:rFonts w:eastAsia="Times" w:cs="Times"/>
        </w:rPr>
        <w:t>muszą być przesłane do CSIRT GOV</w:t>
      </w:r>
      <w:r w:rsidR="00EA1900">
        <w:rPr>
          <w:rFonts w:eastAsia="Times" w:cs="Times"/>
        </w:rPr>
        <w:t xml:space="preserve"> w </w:t>
      </w:r>
      <w:r w:rsidR="00F20486" w:rsidRPr="0024375B">
        <w:rPr>
          <w:rFonts w:eastAsia="Times" w:cs="Times"/>
        </w:rPr>
        <w:t>ciągu 8 godzin od ich otrzymania. Jest to niezbędne ze względu na koordynac</w:t>
      </w:r>
      <w:r w:rsidR="00443160">
        <w:rPr>
          <w:rFonts w:eastAsia="Times" w:cs="Times"/>
        </w:rPr>
        <w:t>yjną</w:t>
      </w:r>
      <w:r w:rsidR="00F20486" w:rsidRPr="0024375B">
        <w:rPr>
          <w:rFonts w:eastAsia="Times" w:cs="Times"/>
        </w:rPr>
        <w:t xml:space="preserve"> rol</w:t>
      </w:r>
      <w:r w:rsidR="00443160">
        <w:rPr>
          <w:rFonts w:eastAsia="Times" w:cs="Times"/>
        </w:rPr>
        <w:t>ę</w:t>
      </w:r>
      <w:r w:rsidR="00F20486" w:rsidRPr="0024375B">
        <w:rPr>
          <w:rFonts w:eastAsia="Times" w:cs="Times"/>
        </w:rPr>
        <w:t xml:space="preserve"> CSIRT GOV. By sprawnie koordynować obsługę incydentów </w:t>
      </w:r>
      <w:r w:rsidR="0094023B" w:rsidRPr="0024375B">
        <w:rPr>
          <w:rFonts w:eastAsia="Times" w:cs="Times"/>
        </w:rPr>
        <w:t>u </w:t>
      </w:r>
      <w:r w:rsidR="00F20486" w:rsidRPr="0024375B">
        <w:rPr>
          <w:rFonts w:eastAsia="Times" w:cs="Times"/>
        </w:rPr>
        <w:t xml:space="preserve">wszystkich podlegających mu podmiotów </w:t>
      </w:r>
      <w:r w:rsidR="0094023B" w:rsidRPr="0024375B">
        <w:rPr>
          <w:rFonts w:eastAsia="Times" w:cs="Times"/>
        </w:rPr>
        <w:t>musi mieć aktualne dane</w:t>
      </w:r>
      <w:r w:rsidR="0077165A">
        <w:rPr>
          <w:rFonts w:eastAsia="Times" w:cs="Times"/>
        </w:rPr>
        <w:t xml:space="preserve"> o </w:t>
      </w:r>
      <w:r w:rsidR="0094023B" w:rsidRPr="0024375B">
        <w:rPr>
          <w:rFonts w:eastAsia="Times" w:cs="Times"/>
        </w:rPr>
        <w:t>ich sytuacji.</w:t>
      </w:r>
      <w:r w:rsidR="30CD4748" w:rsidRPr="0024375B">
        <w:rPr>
          <w:rFonts w:eastAsia="Times" w:cs="Times"/>
        </w:rPr>
        <w:t xml:space="preserve"> To rozwiązanie jest </w:t>
      </w:r>
      <w:r w:rsidR="30CD4748" w:rsidRPr="0024375B">
        <w:rPr>
          <w:rFonts w:eastAsia="Times" w:cs="Times"/>
        </w:rPr>
        <w:lastRenderedPageBreak/>
        <w:t>kluczowe dla zapewnienia prawidłowego przepływu informacji między podmiotami krajowego systemu cyberbezpieczeństwa, uwzględniając jednocześnie, aby obowiązek nałożony na ww. rodzaj podmiotów publicznych odbywał się jednotorowo.</w:t>
      </w:r>
    </w:p>
    <w:p w14:paraId="4C2357D5" w14:textId="77777777" w:rsidR="00124DF9" w:rsidRPr="0024375B" w:rsidRDefault="6C897C90" w:rsidP="00862E68">
      <w:pPr>
        <w:pStyle w:val="Nagwek3"/>
      </w:pPr>
      <w:bookmarkStart w:id="23" w:name="_Toc136511049"/>
      <w:r w:rsidRPr="0024375B">
        <w:t>Ocena bezpieczeństwa</w:t>
      </w:r>
      <w:bookmarkEnd w:id="23"/>
    </w:p>
    <w:p w14:paraId="02ED55CF" w14:textId="77777777" w:rsidR="00B10014" w:rsidRDefault="00B10014" w:rsidP="00DC1575">
      <w:pPr>
        <w:pStyle w:val="Nagwek4"/>
      </w:pPr>
      <w:r>
        <w:t>Nowy art. 36d</w:t>
      </w:r>
    </w:p>
    <w:p w14:paraId="660187FD" w14:textId="67777059" w:rsidR="005B4C26" w:rsidRPr="0024375B" w:rsidRDefault="004B33B2" w:rsidP="00FC6B8C">
      <w:pPr>
        <w:pStyle w:val="NIEARTTEKSTtekstnieartykuowanynppodstprawnarozplubpreambua"/>
      </w:pPr>
      <w:r w:rsidRPr="0024375B">
        <w:rPr>
          <w:rFonts w:ascii="Times New Roman" w:hAnsi="Times New Roman" w:cs="Times New Roman"/>
        </w:rPr>
        <w:t xml:space="preserve">Wprowadzono nowy rozdział 6b, </w:t>
      </w:r>
      <w:r w:rsidRPr="0024375B">
        <w:t>który dotyczy możliwości przeprowadzania przez CSIRT GOV, CSIRT MON</w:t>
      </w:r>
      <w:r w:rsidR="001D3C94" w:rsidRPr="0024375B">
        <w:t>,</w:t>
      </w:r>
      <w:r w:rsidRPr="0024375B">
        <w:t xml:space="preserve"> CSIRT NASK</w:t>
      </w:r>
      <w:r w:rsidR="001D3C94" w:rsidRPr="0024375B">
        <w:t xml:space="preserve">, CSIRT sektorowe, CSIRT INT </w:t>
      </w:r>
      <w:r w:rsidR="00FF4871">
        <w:t>lub</w:t>
      </w:r>
      <w:r w:rsidR="00FF4871" w:rsidRPr="0024375B">
        <w:t xml:space="preserve"> </w:t>
      </w:r>
      <w:r w:rsidR="001D3C94" w:rsidRPr="0024375B">
        <w:t>CSIRT Telco</w:t>
      </w:r>
      <w:r w:rsidRPr="0024375B">
        <w:t xml:space="preserve"> oceny bezpieczeństwa systemów informacyjnych wykorzystywanych przez podmioty krajowego systemu cyberbezpieczeństwa. Przepisy tego rozdziału były wzorowane na</w:t>
      </w:r>
      <w:r w:rsidR="00EA1900">
        <w:t xml:space="preserve"> art. </w:t>
      </w:r>
      <w:r w:rsidRPr="0024375B">
        <w:t>32a ustawy</w:t>
      </w:r>
      <w:r w:rsidR="002161FE">
        <w:t xml:space="preserve"> z </w:t>
      </w:r>
      <w:r w:rsidRPr="0024375B">
        <w:t>dnia 24 maja 2002 r.</w:t>
      </w:r>
      <w:r w:rsidR="0077165A">
        <w:t xml:space="preserve"> o </w:t>
      </w:r>
      <w:r w:rsidRPr="0024375B">
        <w:rPr>
          <w:i/>
          <w:iCs/>
        </w:rPr>
        <w:t>Agencji Bezpieczeństwa Wewnętrznego oraz Agencji Wywiadu</w:t>
      </w:r>
      <w:r w:rsidRPr="0024375B">
        <w:rPr>
          <w:rStyle w:val="Odwoanieprzypisudolnego"/>
        </w:rPr>
        <w:footnoteReference w:id="31"/>
      </w:r>
      <w:r w:rsidR="00DA1ADF">
        <w:rPr>
          <w:i/>
          <w:iCs/>
          <w:vertAlign w:val="superscript"/>
        </w:rPr>
        <w:t>)</w:t>
      </w:r>
      <w:r w:rsidR="002746C8">
        <w:rPr>
          <w:i/>
          <w:iCs/>
        </w:rPr>
        <w:t xml:space="preserve">, </w:t>
      </w:r>
      <w:r w:rsidR="002746C8" w:rsidRPr="004440E0">
        <w:rPr>
          <w:szCs w:val="24"/>
        </w:rPr>
        <w:t>zwana dalej</w:t>
      </w:r>
      <w:r w:rsidR="002746C8" w:rsidRPr="00752578">
        <w:rPr>
          <w:rFonts w:ascii="Times New Roman" w:hAnsi="Times New Roman"/>
          <w:szCs w:val="24"/>
        </w:rPr>
        <w:t xml:space="preserve"> „ustawa o ABW i AW”.</w:t>
      </w:r>
      <w:r w:rsidRPr="0024375B">
        <w:t xml:space="preserve"> Wprowadzono jednak kilka istotnych zmian</w:t>
      </w:r>
      <w:r w:rsidR="00EA1900">
        <w:t xml:space="preserve"> w </w:t>
      </w:r>
      <w:r w:rsidRPr="0024375B">
        <w:t>stosunku do pierwowzoru. Przede wszystkim wyłącza się stosowanie tego przepisu do ocen bezpieczeństwa systemów teleinformatycznych podmiotów krajowego systemu cyberbezpieczeństwa, które znajdują się</w:t>
      </w:r>
      <w:r w:rsidR="00EA1900">
        <w:t xml:space="preserve"> w </w:t>
      </w:r>
      <w:r w:rsidRPr="0024375B">
        <w:t>zbiorze organów</w:t>
      </w:r>
      <w:r w:rsidR="002161FE">
        <w:t xml:space="preserve"> i </w:t>
      </w:r>
      <w:r w:rsidRPr="0024375B">
        <w:t>podmiotów wymienionych</w:t>
      </w:r>
      <w:r w:rsidR="002161FE">
        <w:t xml:space="preserve"> w</w:t>
      </w:r>
      <w:r w:rsidR="00EA1900">
        <w:t xml:space="preserve"> art. </w:t>
      </w:r>
      <w:r w:rsidRPr="0024375B">
        <w:t>32a ustawy</w:t>
      </w:r>
      <w:r w:rsidR="0077165A">
        <w:t xml:space="preserve"> o </w:t>
      </w:r>
      <w:r w:rsidRPr="0024375B">
        <w:t>ABW</w:t>
      </w:r>
      <w:r w:rsidR="002161FE">
        <w:t xml:space="preserve"> i </w:t>
      </w:r>
      <w:r w:rsidRPr="0024375B">
        <w:t>AW. Bez tego wyłączenia powstałyby dwie podstawy prawne do przeprowadzania ocen bezpieczeństwa wobec podmiotów krajowego systemu cyberbezpieczeństwa, które są jednocześnie operatorami infrastruktury krytycznej. Nie jest to sytuacja pożądana.</w:t>
      </w:r>
      <w:r w:rsidR="0026487F" w:rsidRPr="0024375B">
        <w:t xml:space="preserve"> </w:t>
      </w:r>
    </w:p>
    <w:p w14:paraId="63CAF20A" w14:textId="77777777" w:rsidR="004B33B2" w:rsidRPr="0024375B" w:rsidRDefault="0026487F" w:rsidP="00FC6B8C">
      <w:pPr>
        <w:pStyle w:val="NIEARTTEKSTtekstnieartykuowanynppodstprawnarozplubpreambua"/>
      </w:pPr>
      <w:r w:rsidRPr="0024375B">
        <w:t>Ponadto wyłącza się stosowanie rozdziału 6b do systemów teleinformatycznych akredytowanych na podstawie</w:t>
      </w:r>
      <w:r w:rsidR="00EA1900">
        <w:t xml:space="preserve"> art. </w:t>
      </w:r>
      <w:r w:rsidRPr="0024375B">
        <w:t>48 ustawy</w:t>
      </w:r>
      <w:r w:rsidR="002161FE">
        <w:t xml:space="preserve"> z </w:t>
      </w:r>
      <w:r w:rsidRPr="0024375B">
        <w:t>dnia 15 marca 2010 r.</w:t>
      </w:r>
      <w:r w:rsidR="0077165A">
        <w:t xml:space="preserve"> o </w:t>
      </w:r>
      <w:r w:rsidRPr="0024375B">
        <w:t>ochronie informacji niejawnych. Są to systemy służące przetwarzaniu informacji niejawnych</w:t>
      </w:r>
      <w:r w:rsidR="002161FE">
        <w:t xml:space="preserve"> i </w:t>
      </w:r>
      <w:r w:rsidRPr="0024375B">
        <w:t>tutaj pierwszeństwo powinny mieć przepisy ustawy</w:t>
      </w:r>
      <w:r w:rsidR="0077165A">
        <w:t xml:space="preserve"> o </w:t>
      </w:r>
      <w:r w:rsidRPr="0024375B">
        <w:t>ochronie informacji niejawnych.</w:t>
      </w:r>
    </w:p>
    <w:p w14:paraId="7BB46782" w14:textId="77777777" w:rsidR="004B33B2" w:rsidRPr="0024375B" w:rsidRDefault="004B33B2" w:rsidP="00FC6B8C">
      <w:pPr>
        <w:pStyle w:val="NIEARTTEKSTtekstnieartykuowanynppodstprawnarozplubpreambua"/>
      </w:pPr>
      <w:r w:rsidRPr="0024375B">
        <w:t>Wprowadzono jasne określenie właściwości CSIRT poziomu krajowego do przeprowadzania ocen bezpieczeństwa – nawiązuje ono do ogólnej właściwości zespołów CSIRT określonej</w:t>
      </w:r>
      <w:r w:rsidR="002161FE">
        <w:t xml:space="preserve"> w</w:t>
      </w:r>
      <w:r w:rsidR="00EA1900">
        <w:t xml:space="preserve"> art. </w:t>
      </w:r>
      <w:r w:rsidRPr="0024375B">
        <w:t xml:space="preserve">26 </w:t>
      </w:r>
      <w:r w:rsidR="00D00CB4">
        <w:t>ust. </w:t>
      </w:r>
      <w:r w:rsidRPr="0024375B">
        <w:t>5</w:t>
      </w:r>
      <w:r w:rsidR="00DA1ADF">
        <w:t>–</w:t>
      </w:r>
      <w:r w:rsidRPr="0024375B">
        <w:t xml:space="preserve">7. </w:t>
      </w:r>
      <w:r w:rsidR="001D3C94" w:rsidRPr="0024375B">
        <w:t>CSIRT sektorowe będą mogły przeprowadzać ocenę bezpieczeństwa wobec operatorów usług kluczowych</w:t>
      </w:r>
      <w:r w:rsidR="00EA1900">
        <w:t xml:space="preserve"> w </w:t>
      </w:r>
      <w:r w:rsidR="001D3C94" w:rsidRPr="0024375B">
        <w:t>danym sektorze. CSIRT INT będzie mógł przeprowadzić ocenę bezpieczeństwa wobec jednostek podległych lub nadzorowanych przez Ministra Spraw Zagranicznych. CSIRT Telco będzie mógł przeprowadzić ocenę bezpieczeństwa wobec przedsiębiorców komunikacji elektronicznej.</w:t>
      </w:r>
    </w:p>
    <w:p w14:paraId="52F3EC6C" w14:textId="77777777" w:rsidR="001D3C94" w:rsidRPr="0024375B" w:rsidRDefault="001D3C94" w:rsidP="00FC6B8C">
      <w:pPr>
        <w:pStyle w:val="NIEARTTEKSTtekstnieartykuowanynppodstprawnarozplubpreambua"/>
      </w:pPr>
      <w:r w:rsidRPr="0024375B">
        <w:t>Wprowadza się również regułę, że przeprowadzanie oceny bezpieczeństwa powinno być uzgodnione</w:t>
      </w:r>
      <w:r w:rsidR="002161FE">
        <w:t xml:space="preserve"> z </w:t>
      </w:r>
      <w:r w:rsidRPr="0024375B">
        <w:t>właściwym CSIRT poziomu krajowego</w:t>
      </w:r>
      <w:r w:rsidR="5228EC8D" w:rsidRPr="0024375B">
        <w:t>. Jest to po to, aby</w:t>
      </w:r>
      <w:r w:rsidR="00EA1900">
        <w:t xml:space="preserve"> w </w:t>
      </w:r>
      <w:r w:rsidR="5228EC8D" w:rsidRPr="0024375B">
        <w:t xml:space="preserve">tym samym czasie nie były prowadzone oceny bezpieczeństwa przez kilka zespołów. Jednocześnie wprowadza się obowiązek poinformowania odpowiednio </w:t>
      </w:r>
      <w:r w:rsidR="5228EC8D" w:rsidRPr="0024375B">
        <w:lastRenderedPageBreak/>
        <w:t>organu właściweg</w:t>
      </w:r>
      <w:r w:rsidR="45F55B5F" w:rsidRPr="0024375B">
        <w:t>o do spraw cyberbezpieczeństwa czy Prezesa UKE</w:t>
      </w:r>
      <w:r w:rsidR="0077165A">
        <w:t xml:space="preserve"> o </w:t>
      </w:r>
      <w:r w:rsidR="45F55B5F" w:rsidRPr="0024375B">
        <w:t>zamiarze wykonania oceny bezpieczeństwa.</w:t>
      </w:r>
    </w:p>
    <w:p w14:paraId="72C1D15C" w14:textId="77777777" w:rsidR="0026487F" w:rsidRPr="0024375B" w:rsidRDefault="00DA0551" w:rsidP="00DC1575">
      <w:pPr>
        <w:pStyle w:val="Nagwek4"/>
      </w:pPr>
      <w:r w:rsidRPr="0024375B">
        <w:t>Nowy</w:t>
      </w:r>
      <w:r w:rsidR="00EA1900">
        <w:t xml:space="preserve"> art. </w:t>
      </w:r>
      <w:r w:rsidR="0026487F" w:rsidRPr="0024375B">
        <w:t>36e</w:t>
      </w:r>
    </w:p>
    <w:p w14:paraId="1089A65E" w14:textId="77777777" w:rsidR="0026487F" w:rsidRPr="0024375B" w:rsidRDefault="0026487F" w:rsidP="00FC6B8C">
      <w:pPr>
        <w:pStyle w:val="NIEARTTEKSTtekstnieartykuowanynppodstprawnarozplubpreambua"/>
      </w:pPr>
      <w:r w:rsidRPr="0024375B">
        <w:t>Ocena bezpieczeństwa będzie mogła być przeprowadzona wyłącznie za zgodą podmiotu krajowego systemu cyberbezpieczeństwa wyrażoną</w:t>
      </w:r>
      <w:r w:rsidR="00EA1900">
        <w:t xml:space="preserve"> w </w:t>
      </w:r>
      <w:r w:rsidRPr="0024375B">
        <w:t>postaci pisemnej lub elektronicznej pod rygorem nieważności. Jest to duża różnica względem</w:t>
      </w:r>
      <w:r w:rsidR="00EA1900">
        <w:t xml:space="preserve"> art. </w:t>
      </w:r>
      <w:r w:rsidRPr="0024375B">
        <w:t>32a ustawy</w:t>
      </w:r>
      <w:r w:rsidR="0077165A">
        <w:t xml:space="preserve"> o </w:t>
      </w:r>
      <w:r w:rsidRPr="0024375B">
        <w:t>ABW</w:t>
      </w:r>
      <w:r w:rsidR="002161FE">
        <w:t xml:space="preserve"> i </w:t>
      </w:r>
      <w:r w:rsidRPr="0024375B">
        <w:t>AW, gdzie to Szef ABW decyduje</w:t>
      </w:r>
      <w:r w:rsidR="0077165A">
        <w:t xml:space="preserve"> o </w:t>
      </w:r>
      <w:r w:rsidRPr="0024375B">
        <w:t>włączeniu systemu teleinformatycznego operatora infrastruktury krytycznej do rocznego planu przeprowadzania ocen bezpieczeństwa.</w:t>
      </w:r>
    </w:p>
    <w:p w14:paraId="0BC02604" w14:textId="77777777" w:rsidR="0026487F" w:rsidRPr="0024375B" w:rsidRDefault="0026487F" w:rsidP="00FC6B8C">
      <w:pPr>
        <w:pStyle w:val="NIEARTTEKSTtekstnieartykuowanynppodstprawnarozplubpreambua"/>
      </w:pPr>
      <w:r w:rsidRPr="0024375B">
        <w:t>Celem oceny bezpieczeństwa jest pomoc</w:t>
      </w:r>
      <w:r w:rsidR="00EA1900">
        <w:t xml:space="preserve"> w </w:t>
      </w:r>
      <w:r w:rsidRPr="0024375B">
        <w:t>identyfikacji podatności. Ma ona charakter prewencyjny. Jednakże prowadzenie tej oceny nie może zaszkodzić systemowi informacyjnemu,</w:t>
      </w:r>
      <w:r w:rsidR="002161FE">
        <w:t xml:space="preserve"> a </w:t>
      </w:r>
      <w:r w:rsidRPr="0024375B">
        <w:t>szerzej podmiotowi, który korzysta</w:t>
      </w:r>
      <w:r w:rsidR="002161FE">
        <w:t xml:space="preserve"> z </w:t>
      </w:r>
      <w:r w:rsidRPr="0024375B">
        <w:t>tego systemu</w:t>
      </w:r>
      <w:r w:rsidR="002161FE">
        <w:t xml:space="preserve"> i </w:t>
      </w:r>
      <w:r w:rsidRPr="0024375B">
        <w:t>świadczy usługi dla swoich klientów. Dlatego wprowadza się zasadę, zgodnie</w:t>
      </w:r>
      <w:r w:rsidR="002161FE">
        <w:t xml:space="preserve"> z </w:t>
      </w:r>
      <w:r w:rsidRPr="0024375B">
        <w:t>którą czynności przeprowadzane</w:t>
      </w:r>
      <w:r w:rsidR="00EA1900">
        <w:t xml:space="preserve"> w </w:t>
      </w:r>
      <w:r w:rsidRPr="0024375B">
        <w:t>ramach oceny bezpieczeństwa powinny</w:t>
      </w:r>
      <w:r w:rsidR="00EA1900">
        <w:t xml:space="preserve"> w </w:t>
      </w:r>
      <w:r w:rsidRPr="0024375B">
        <w:t xml:space="preserve">jak najmniejszym stopniu zakłócać funkcjonowanie tego systemu lub ograniczać jego dostępność (art. 36e </w:t>
      </w:r>
      <w:r w:rsidR="00D00CB4">
        <w:t>ust. </w:t>
      </w:r>
      <w:r w:rsidRPr="0024375B">
        <w:t>2). Tym bardziej nie jest dopuszczalne, aby działania te doprowadziły do nieodwracalnego zniszczenia danych</w:t>
      </w:r>
      <w:r w:rsidR="00EA1900">
        <w:t xml:space="preserve"> w </w:t>
      </w:r>
      <w:r w:rsidRPr="0024375B">
        <w:t>systemie poddanym ocenie. Przepis ten stanowi więc ogólną dyrektywę dla osób przeprowadzających ocenę bezpieczeństwa</w:t>
      </w:r>
      <w:r w:rsidR="002161FE">
        <w:t xml:space="preserve"> i </w:t>
      </w:r>
      <w:r w:rsidRPr="0024375B">
        <w:t>stanowi gwarancję dla podmiotu krajowego systemu cyberbezpieczeństwa</w:t>
      </w:r>
      <w:r w:rsidR="00B764F3">
        <w:t xml:space="preserve"> wobec którego prowadzona jest ocena bezpieczeństwa</w:t>
      </w:r>
      <w:r w:rsidRPr="0024375B">
        <w:t>.</w:t>
      </w:r>
    </w:p>
    <w:p w14:paraId="657F0DF7" w14:textId="77777777" w:rsidR="0026487F" w:rsidRPr="0024375B" w:rsidRDefault="0026487F" w:rsidP="00FC6B8C">
      <w:pPr>
        <w:pStyle w:val="NIEARTTEKSTtekstnieartykuowanynppodstprawnarozplubpreambua"/>
      </w:pPr>
      <w:r w:rsidRPr="0024375B">
        <w:t>Po uzyskaniu zgody od podmiotu krajowego systemu cyberbezpieczeństwa, CSIRT przeprowadzający ocenę bezpieczeństwa będzie obowiązany uzgodnić tryb</w:t>
      </w:r>
      <w:r w:rsidR="002161FE">
        <w:t xml:space="preserve"> i </w:t>
      </w:r>
      <w:r w:rsidRPr="0024375B">
        <w:t>ramowe warunki przeprowadzania tej oceny,</w:t>
      </w:r>
      <w:r w:rsidR="00EA1900">
        <w:t xml:space="preserve"> w </w:t>
      </w:r>
      <w:r w:rsidRPr="0024375B">
        <w:t>szczególności datę rozpoczęcia, harmonogram oraz zakres</w:t>
      </w:r>
      <w:r w:rsidR="002161FE">
        <w:t xml:space="preserve"> i </w:t>
      </w:r>
      <w:r w:rsidRPr="0024375B">
        <w:t>rodzaj przeprowadzanych</w:t>
      </w:r>
      <w:r w:rsidR="00EA1900">
        <w:t xml:space="preserve"> w </w:t>
      </w:r>
      <w:r w:rsidRPr="0024375B">
        <w:t xml:space="preserve">ramach oceny bezpieczeństwa testów bezpieczeństwa (art. 36e </w:t>
      </w:r>
      <w:r w:rsidR="00D00CB4">
        <w:t>ust. </w:t>
      </w:r>
      <w:r w:rsidRPr="0024375B">
        <w:t xml:space="preserve">3). </w:t>
      </w:r>
    </w:p>
    <w:p w14:paraId="5647A481" w14:textId="77777777" w:rsidR="0026487F" w:rsidRPr="0024375B" w:rsidRDefault="0026487F" w:rsidP="00FC6B8C">
      <w:pPr>
        <w:pStyle w:val="NIEARTTEKSTtekstnieartykuowanynppodstprawnarozplubpreambua"/>
      </w:pPr>
      <w:r w:rsidRPr="0024375B">
        <w:t xml:space="preserve">Zespół CSIRT przeprowadzający ocenę bezpieczeństwa otrzyma dwa ważne uprawnienia, które są niezbędne do skutecznego przeprowadzenia takiej oceny (art. 36e </w:t>
      </w:r>
      <w:r w:rsidR="00D00CB4">
        <w:t>ust. </w:t>
      </w:r>
      <w:r w:rsidRPr="0024375B">
        <w:t>4</w:t>
      </w:r>
      <w:r w:rsidR="002161FE">
        <w:t xml:space="preserve"> i </w:t>
      </w:r>
      <w:r w:rsidRPr="0024375B">
        <w:t xml:space="preserve">5). </w:t>
      </w:r>
    </w:p>
    <w:p w14:paraId="157ED8A9" w14:textId="77777777" w:rsidR="0026487F" w:rsidRPr="0024375B" w:rsidRDefault="0026487F" w:rsidP="00FC6B8C">
      <w:pPr>
        <w:pStyle w:val="NIEARTTEKSTtekstnieartykuowanynppodstprawnarozplubpreambua"/>
      </w:pPr>
      <w:r w:rsidRPr="0024375B">
        <w:t>Po pierwsze będzie uprawniony do wytworzenia lub pozyskania urządzeń lub oprogramowania przystosowanych do popełnienia przestępstw określonych</w:t>
      </w:r>
      <w:r w:rsidR="002161FE">
        <w:t xml:space="preserve"> w</w:t>
      </w:r>
      <w:r w:rsidR="00EA1900">
        <w:t xml:space="preserve"> art. </w:t>
      </w:r>
      <w:r w:rsidRPr="0024375B">
        <w:t>165 § 1 pkt 4</w:t>
      </w:r>
      <w:r w:rsidRPr="0024375B">
        <w:rPr>
          <w:rStyle w:val="Odwoanieprzypisudolnego"/>
        </w:rPr>
        <w:footnoteReference w:id="32"/>
      </w:r>
      <w:r w:rsidR="005E6452">
        <w:rPr>
          <w:vertAlign w:val="superscript"/>
        </w:rPr>
        <w:t>)</w:t>
      </w:r>
      <w:r w:rsidRPr="0024375B">
        <w:t>,</w:t>
      </w:r>
      <w:r w:rsidR="00EA1900">
        <w:t xml:space="preserve"> art. </w:t>
      </w:r>
      <w:r w:rsidRPr="0024375B">
        <w:t>267 § 3</w:t>
      </w:r>
      <w:r w:rsidRPr="0024375B">
        <w:rPr>
          <w:rStyle w:val="Odwoanieprzypisudolnego"/>
        </w:rPr>
        <w:footnoteReference w:id="33"/>
      </w:r>
      <w:r w:rsidR="005E6452">
        <w:rPr>
          <w:vertAlign w:val="superscript"/>
        </w:rPr>
        <w:t>)</w:t>
      </w:r>
      <w:r w:rsidRPr="0024375B">
        <w:t>,</w:t>
      </w:r>
      <w:r w:rsidR="00EA1900">
        <w:t xml:space="preserve"> art. </w:t>
      </w:r>
      <w:r w:rsidRPr="0024375B">
        <w:t>268a</w:t>
      </w:r>
      <w:r w:rsidRPr="0024375B">
        <w:rPr>
          <w:rStyle w:val="Odwoanieprzypisudolnego"/>
        </w:rPr>
        <w:footnoteReference w:id="34"/>
      </w:r>
      <w:r w:rsidR="005E6452">
        <w:rPr>
          <w:vertAlign w:val="superscript"/>
        </w:rPr>
        <w:t>)</w:t>
      </w:r>
      <w:r w:rsidRPr="0024375B">
        <w:t xml:space="preserve"> § </w:t>
      </w:r>
      <w:r w:rsidRPr="0024375B">
        <w:lastRenderedPageBreak/>
        <w:t>1 albo § 2</w:t>
      </w:r>
      <w:r w:rsidR="00EA1900">
        <w:t xml:space="preserve"> w </w:t>
      </w:r>
      <w:r w:rsidRPr="0024375B">
        <w:t>związku</w:t>
      </w:r>
      <w:r w:rsidR="002161FE">
        <w:t xml:space="preserve"> z </w:t>
      </w:r>
      <w:r w:rsidRPr="0024375B">
        <w:t>§ 1,</w:t>
      </w:r>
      <w:r w:rsidR="00EA1900">
        <w:t xml:space="preserve"> art. </w:t>
      </w:r>
      <w:r w:rsidRPr="0024375B">
        <w:t>269 § 1</w:t>
      </w:r>
      <w:r w:rsidRPr="0024375B">
        <w:rPr>
          <w:rStyle w:val="Odwoanieprzypisudolnego"/>
        </w:rPr>
        <w:footnoteReference w:id="35"/>
      </w:r>
      <w:r w:rsidR="005E6452">
        <w:rPr>
          <w:vertAlign w:val="superscript"/>
        </w:rPr>
        <w:t>)</w:t>
      </w:r>
      <w:r w:rsidRPr="0024375B">
        <w:t xml:space="preserve"> lub 2 albo</w:t>
      </w:r>
      <w:r w:rsidR="00EA1900">
        <w:t xml:space="preserve"> art. </w:t>
      </w:r>
      <w:r w:rsidRPr="0024375B">
        <w:t>269a</w:t>
      </w:r>
      <w:r w:rsidRPr="0024375B">
        <w:rPr>
          <w:rStyle w:val="Odwoanieprzypisudolnego"/>
        </w:rPr>
        <w:footnoteReference w:id="36"/>
      </w:r>
      <w:r w:rsidR="005E6452">
        <w:rPr>
          <w:vertAlign w:val="superscript"/>
        </w:rPr>
        <w:t>)</w:t>
      </w:r>
      <w:r w:rsidRPr="0024375B">
        <w:t xml:space="preserve"> Kodeksu karnego aby móc sprawdzić, czy oceniany system jest podatny na tego rodzaju oprogramowanie. </w:t>
      </w:r>
    </w:p>
    <w:p w14:paraId="3E4A7F2C" w14:textId="77777777" w:rsidR="0026487F" w:rsidRPr="0024375B" w:rsidRDefault="0026487F" w:rsidP="00FC6B8C">
      <w:pPr>
        <w:pStyle w:val="NIEARTTEKSTtekstnieartykuowanynppodstprawnarozplubpreambua"/>
      </w:pPr>
      <w:r w:rsidRPr="0024375B">
        <w:t>Po drugie używając ww. urządzeń lub programów zespół CSIRT będzie uprawniony do dostępu do informacji dla niego nieprzeznaczonej, przełamując albo omijając elektroniczne, magnetyczne, informatyczne lub inne szczególne jej zabezpieczenie. Będzie mógł uzyskać dostęp do całości lub części ocenianego systemu.</w:t>
      </w:r>
      <w:r w:rsidR="00FF4871">
        <w:t xml:space="preserve"> Wprowadza się przy tym kontratyp zgodnie z którym o</w:t>
      </w:r>
      <w:r w:rsidR="00FF4871" w:rsidRPr="00FF4871">
        <w:t>soba wykonująca</w:t>
      </w:r>
      <w:r w:rsidR="00FF4871">
        <w:t xml:space="preserve"> te</w:t>
      </w:r>
      <w:r w:rsidR="00FF4871" w:rsidRPr="00FF4871">
        <w:t xml:space="preserve"> czynności nie popełnia przestępstwa, o którym mowa w art. 267 § 1 ustawy z dnia 6 czerwca 1997 r. – Kodeks karny.</w:t>
      </w:r>
    </w:p>
    <w:p w14:paraId="4AFD822A" w14:textId="77777777" w:rsidR="0026487F" w:rsidRPr="0024375B" w:rsidRDefault="0026487F" w:rsidP="00FC6B8C">
      <w:pPr>
        <w:pStyle w:val="NIEARTTEKSTtekstnieartykuowanynppodstprawnarozplubpreambua"/>
      </w:pPr>
      <w:r w:rsidRPr="0024375B">
        <w:t>Bez tego rodzaju szczególnych uprawnień zespół CSIRT nie będzie</w:t>
      </w:r>
      <w:r w:rsidR="00EA1900">
        <w:t xml:space="preserve"> w </w:t>
      </w:r>
      <w:r w:rsidRPr="0024375B">
        <w:t>stanie zidentyfikować podatności, które mogą być wykorzystane przez przestępców komputerowych do zaatakowania podmiotu krajowego systemu cyberbezpieczeństwa.</w:t>
      </w:r>
    </w:p>
    <w:p w14:paraId="7A777486" w14:textId="0EBE34D1" w:rsidR="0026487F" w:rsidRPr="0024375B" w:rsidRDefault="0026487F" w:rsidP="00FC6B8C">
      <w:pPr>
        <w:pStyle w:val="NIEARTTEKSTtekstnieartykuowanynppodstprawnarozplubpreambua"/>
      </w:pPr>
      <w:r w:rsidRPr="0024375B">
        <w:t>Aby zapewnić gwarancje dla podmiotu</w:t>
      </w:r>
      <w:r w:rsidR="004A2138">
        <w:t>,</w:t>
      </w:r>
      <w:r w:rsidRPr="0024375B">
        <w:t xml:space="preserve"> u którego jest przeprowadzana ocena wprowadza się przepis na mocy którego informacje uzyskane</w:t>
      </w:r>
      <w:r w:rsidR="00EA1900">
        <w:t xml:space="preserve"> w </w:t>
      </w:r>
      <w:r w:rsidRPr="0024375B">
        <w:t xml:space="preserve">wyniku oceny stanowią tajemnicę prawnie chronioną (art. 36e </w:t>
      </w:r>
      <w:r w:rsidR="00D00CB4">
        <w:t>ust. </w:t>
      </w:r>
      <w:r w:rsidRPr="0024375B">
        <w:t>6). Zespół CSIRT nie będzie mógł wykorzystać ich do realizacji innych zadań ustawowych. Informacje te będą podlegały niezwłocznemu, komisyjnemu</w:t>
      </w:r>
      <w:r w:rsidR="002161FE">
        <w:t xml:space="preserve"> i </w:t>
      </w:r>
      <w:r w:rsidRPr="0024375B">
        <w:t xml:space="preserve">protokolarnemu zniszczeniu. </w:t>
      </w:r>
    </w:p>
    <w:p w14:paraId="53BE2EC4" w14:textId="77777777" w:rsidR="00DA0551" w:rsidRPr="0024375B" w:rsidRDefault="0026487F" w:rsidP="00FC6B8C">
      <w:pPr>
        <w:pStyle w:val="NIEARTTEKSTtekstnieartykuowanynppodstprawnarozplubpreambua"/>
      </w:pPr>
      <w:r w:rsidRPr="0024375B">
        <w:t>Końcowym etapem oceny bezpieczeństwa będzie sporządzenie przez CSIRT raportu, który będzie zawierał podsumowanie przeprowadzonych</w:t>
      </w:r>
      <w:r w:rsidR="00EA1900">
        <w:t xml:space="preserve"> w </w:t>
      </w:r>
      <w:r w:rsidRPr="0024375B">
        <w:t xml:space="preserve">ramach oceny bezpieczeństwa czynności oraz wskazanie wykrytych podatności systemu informacyjnego (art. 36e </w:t>
      </w:r>
      <w:r w:rsidR="00D00CB4">
        <w:t>ust. </w:t>
      </w:r>
      <w:r w:rsidRPr="0024375B">
        <w:t>7). Raport będzie przekazany do podmiotu, którego system był poddany ocenie bezpieczeństwa. Dzięki temu podmiot będzie mógł przeanalizować np. jak jego personel, odpowiedzialny za bezpieczeństwo systemu, zachowywał się podczas oceny bezpieczeństwa; czy procedury bezpieczeństwa zadziałały prawidłowo,</w:t>
      </w:r>
      <w:r w:rsidR="002161FE">
        <w:t xml:space="preserve"> a </w:t>
      </w:r>
      <w:r w:rsidRPr="0024375B">
        <w:t>także czy</w:t>
      </w:r>
      <w:r w:rsidR="002161FE">
        <w:t xml:space="preserve"> i </w:t>
      </w:r>
      <w:r w:rsidRPr="0024375B">
        <w:t xml:space="preserve">jakie podatności zostały wykryte podczas oceny bezpieczeństwa. </w:t>
      </w:r>
    </w:p>
    <w:p w14:paraId="4214F93C" w14:textId="77777777" w:rsidR="00DA0551" w:rsidRPr="0024375B" w:rsidRDefault="00DA0551" w:rsidP="00DC1575">
      <w:pPr>
        <w:pStyle w:val="Nagwek4"/>
      </w:pPr>
      <w:r w:rsidRPr="0024375B">
        <w:t>Nowy</w:t>
      </w:r>
      <w:r w:rsidR="00EA1900">
        <w:t xml:space="preserve"> art. </w:t>
      </w:r>
      <w:r w:rsidR="0026487F" w:rsidRPr="0024375B">
        <w:t xml:space="preserve">36f </w:t>
      </w:r>
    </w:p>
    <w:p w14:paraId="39AA3915" w14:textId="77777777" w:rsidR="0026487F" w:rsidRPr="0024375B" w:rsidRDefault="0026487F" w:rsidP="00FC6B8C">
      <w:pPr>
        <w:pStyle w:val="NIEARTTEKSTtekstnieartykuowanynppodstprawnarozplubpreambua"/>
      </w:pPr>
      <w:r w:rsidRPr="0024375B">
        <w:t>W wyniku prowadzonej przez zespół CSIRT oceny bezpieczeństwa może zostać zidentyfikowana podatność, która może występować</w:t>
      </w:r>
      <w:r w:rsidR="00EA1900">
        <w:t xml:space="preserve"> w </w:t>
      </w:r>
      <w:r w:rsidRPr="0024375B">
        <w:t>innych systemach informacyjnych, które np. wykorzystują to samo oprogramowanie zawierające podatność.</w:t>
      </w:r>
      <w:r w:rsidR="00116933">
        <w:t xml:space="preserve"> W </w:t>
      </w:r>
      <w:r w:rsidRPr="0024375B">
        <w:t>takiej sytuacji zasadne jest, aby zespół CSIRT był obowiązany poinformować</w:t>
      </w:r>
      <w:r w:rsidR="0077165A">
        <w:t xml:space="preserve"> o </w:t>
      </w:r>
      <w:r w:rsidRPr="0024375B">
        <w:t>tym</w:t>
      </w:r>
      <w:r w:rsidR="005E6452">
        <w:t>:</w:t>
      </w:r>
    </w:p>
    <w:p w14:paraId="525C9CA4" w14:textId="77777777" w:rsidR="0026487F" w:rsidRPr="0024375B" w:rsidRDefault="0026487F" w:rsidP="00FC6B8C">
      <w:pPr>
        <w:pStyle w:val="NIEARTTEKSTtekstnieartykuowanynppodstprawnarozplubpreambua"/>
        <w:numPr>
          <w:ilvl w:val="0"/>
          <w:numId w:val="115"/>
        </w:numPr>
      </w:pPr>
      <w:r w:rsidRPr="0024375B">
        <w:lastRenderedPageBreak/>
        <w:t>ministra właściwego do spraw informatyzacji –</w:t>
      </w:r>
      <w:r w:rsidR="002161FE">
        <w:t xml:space="preserve"> z </w:t>
      </w:r>
      <w:r w:rsidRPr="0024375B">
        <w:t>uwagi na to, że minister jest właściwy</w:t>
      </w:r>
      <w:r w:rsidR="00EA1900">
        <w:t xml:space="preserve"> w </w:t>
      </w:r>
      <w:r w:rsidRPr="0024375B">
        <w:t>sprawach systemów</w:t>
      </w:r>
      <w:r w:rsidR="002161FE">
        <w:t xml:space="preserve"> i </w:t>
      </w:r>
      <w:r w:rsidRPr="0024375B">
        <w:t>sieci teleinformatycznych administracji publicznej</w:t>
      </w:r>
      <w:r w:rsidRPr="0024375B">
        <w:rPr>
          <w:rStyle w:val="Odwoanieprzypisudolnego"/>
        </w:rPr>
        <w:footnoteReference w:id="37"/>
      </w:r>
      <w:r w:rsidR="005E6452">
        <w:rPr>
          <w:vertAlign w:val="superscript"/>
        </w:rPr>
        <w:t>)</w:t>
      </w:r>
    </w:p>
    <w:p w14:paraId="45F21A64" w14:textId="77777777" w:rsidR="0026487F" w:rsidRPr="0024375B" w:rsidRDefault="0026487F" w:rsidP="00FC6B8C">
      <w:pPr>
        <w:pStyle w:val="NIEARTTEKSTtekstnieartykuowanynppodstprawnarozplubpreambua"/>
        <w:numPr>
          <w:ilvl w:val="0"/>
          <w:numId w:val="115"/>
        </w:numPr>
      </w:pPr>
      <w:r w:rsidRPr="0024375B">
        <w:t>Pełnomocnika Rządu do Spraw Cyberbezpieczeństwa –</w:t>
      </w:r>
      <w:r w:rsidR="002161FE">
        <w:t xml:space="preserve"> z </w:t>
      </w:r>
      <w:r w:rsidRPr="0024375B">
        <w:t>uwagi na to, że do zadań Pełnomocnika należy</w:t>
      </w:r>
      <w:r w:rsidR="00DA0551" w:rsidRPr="0024375B">
        <w:t xml:space="preserve"> ocena funkcjonowania krajowego systemu cyberbezpieczeństwa,</w:t>
      </w:r>
      <w:r w:rsidR="002161FE">
        <w:t xml:space="preserve"> a </w:t>
      </w:r>
      <w:r w:rsidRPr="0024375B">
        <w:t>także może on przekazywać Radzie Ministrów wnioski oraz rekomendacje dotyczące działań, które powinny podejmować podmioty krajowego systemu cyberbezpieczeństwa</w:t>
      </w:r>
      <w:r w:rsidR="00EA1900">
        <w:t xml:space="preserve"> w </w:t>
      </w:r>
      <w:r w:rsidRPr="0024375B">
        <w:t>celu zapewnienia cyberbezpieczeństwa na poziomie krajowym</w:t>
      </w:r>
      <w:r w:rsidR="002161FE">
        <w:t xml:space="preserve"> i </w:t>
      </w:r>
      <w:r w:rsidRPr="0024375B">
        <w:t>przeciwdziałania zagrożeniom</w:t>
      </w:r>
      <w:r w:rsidR="00EA1900">
        <w:t xml:space="preserve"> w </w:t>
      </w:r>
      <w:r w:rsidRPr="0024375B">
        <w:t>tym zakresie (art. 63 ustawy</w:t>
      </w:r>
      <w:r w:rsidR="0077165A">
        <w:t xml:space="preserve"> o </w:t>
      </w:r>
      <w:r w:rsidRPr="0024375B">
        <w:t>KSC).</w:t>
      </w:r>
    </w:p>
    <w:p w14:paraId="73EB4DDC" w14:textId="77777777" w:rsidR="0026487F" w:rsidRPr="0024375B" w:rsidRDefault="00DA0551" w:rsidP="00DC1575">
      <w:pPr>
        <w:pStyle w:val="Nagwek4"/>
      </w:pPr>
      <w:r w:rsidRPr="0024375B">
        <w:t>Nowy</w:t>
      </w:r>
      <w:r w:rsidR="00EA1900">
        <w:t xml:space="preserve"> art. </w:t>
      </w:r>
      <w:r w:rsidR="0026487F" w:rsidRPr="0024375B">
        <w:t>36g</w:t>
      </w:r>
    </w:p>
    <w:p w14:paraId="2516E177" w14:textId="77777777" w:rsidR="0026487F" w:rsidRPr="0024375B" w:rsidRDefault="0026487F" w:rsidP="00FC6B8C">
      <w:pPr>
        <w:pStyle w:val="NIEARTTEKSTtekstnieartykuowanynppodstprawnarozplubpreambua"/>
      </w:pPr>
      <w:r w:rsidRPr="0024375B">
        <w:t>Artykuł 36g zawiera upoważnienie ustawowe dla Rady Ministrów do określenia</w:t>
      </w:r>
      <w:r w:rsidR="00EA1900">
        <w:t xml:space="preserve"> w </w:t>
      </w:r>
      <w:r w:rsidRPr="0024375B">
        <w:t>drodze rozporządzenia sposobu niszczenia materiałów zawierające informacje, które zespół CSIRT uzyskał</w:t>
      </w:r>
      <w:r w:rsidR="00EA1900">
        <w:t xml:space="preserve"> w </w:t>
      </w:r>
      <w:r w:rsidRPr="0024375B">
        <w:t>trakcie przeprowadzania oceny bezpieczeństwa,</w:t>
      </w:r>
      <w:r w:rsidR="002161FE">
        <w:t xml:space="preserve"> a </w:t>
      </w:r>
      <w:r w:rsidRPr="0024375B">
        <w:t xml:space="preserve">także </w:t>
      </w:r>
      <w:r w:rsidR="00FF4871">
        <w:t>tryb działania komisji jak i wzór protokołu</w:t>
      </w:r>
      <w:r w:rsidRPr="0024375B">
        <w:t>. Przy wydaniu rozporządzenia powinien być wzięty pod uwagę rodzaj materiałów podlegających zniszczeniu.</w:t>
      </w:r>
      <w:r w:rsidR="00116933">
        <w:t xml:space="preserve"> W </w:t>
      </w:r>
      <w:r w:rsidRPr="0024375B">
        <w:t>szczególności chodzi tutaj</w:t>
      </w:r>
      <w:r w:rsidR="0077165A">
        <w:t xml:space="preserve"> o </w:t>
      </w:r>
      <w:r w:rsidRPr="0024375B">
        <w:t>tajemnice prawnie chronione, zgodnie</w:t>
      </w:r>
      <w:r w:rsidR="002161FE">
        <w:t xml:space="preserve"> z</w:t>
      </w:r>
      <w:r w:rsidR="00EA1900">
        <w:t xml:space="preserve"> art. </w:t>
      </w:r>
      <w:r w:rsidRPr="0024375B">
        <w:t xml:space="preserve">36e </w:t>
      </w:r>
      <w:r w:rsidR="00D00CB4">
        <w:t>ust. </w:t>
      </w:r>
      <w:r w:rsidRPr="0024375B">
        <w:t>6.</w:t>
      </w:r>
    </w:p>
    <w:p w14:paraId="79D46579" w14:textId="77777777" w:rsidR="0026487F" w:rsidRPr="0024375B" w:rsidRDefault="0026487F" w:rsidP="0024375B">
      <w:pPr>
        <w:jc w:val="both"/>
      </w:pPr>
    </w:p>
    <w:p w14:paraId="6445CB97" w14:textId="77777777" w:rsidR="00983C3C" w:rsidRPr="0024375B" w:rsidRDefault="121AA7F3" w:rsidP="00862E68">
      <w:pPr>
        <w:pStyle w:val="Nagwek3"/>
      </w:pPr>
      <w:bookmarkStart w:id="24" w:name="_Toc136511050"/>
      <w:r w:rsidRPr="0024375B">
        <w:t>Zmiany</w:t>
      </w:r>
      <w:r w:rsidR="00EA1900">
        <w:t xml:space="preserve"> w </w:t>
      </w:r>
      <w:r w:rsidRPr="0024375B">
        <w:t>przepisach</w:t>
      </w:r>
      <w:r w:rsidR="0077165A">
        <w:t xml:space="preserve"> o </w:t>
      </w:r>
      <w:r w:rsidRPr="0024375B">
        <w:t>przetwarzaniu danych</w:t>
      </w:r>
      <w:bookmarkEnd w:id="24"/>
    </w:p>
    <w:p w14:paraId="64A04AC7" w14:textId="77777777" w:rsidR="00BB032F" w:rsidRPr="0024375B" w:rsidRDefault="00BB032F" w:rsidP="00DC1575">
      <w:pPr>
        <w:pStyle w:val="Nagwek4"/>
      </w:pPr>
      <w:r w:rsidRPr="0024375B">
        <w:t>Zmiany</w:t>
      </w:r>
      <w:r w:rsidR="002161FE">
        <w:t xml:space="preserve"> w</w:t>
      </w:r>
      <w:r w:rsidR="00EA1900">
        <w:t xml:space="preserve"> art. </w:t>
      </w:r>
      <w:r w:rsidRPr="0024375B">
        <w:t>37</w:t>
      </w:r>
    </w:p>
    <w:p w14:paraId="746195D9" w14:textId="77777777" w:rsidR="00493AC7" w:rsidRPr="0024375B" w:rsidRDefault="00493AC7" w:rsidP="00FC6B8C">
      <w:pPr>
        <w:pStyle w:val="NIEARTTEKSTtekstnieartykuowanynppodstprawnarozplubpreambua"/>
      </w:pPr>
      <w:r w:rsidRPr="0024375B">
        <w:t>W</w:t>
      </w:r>
      <w:r w:rsidR="00EA1900">
        <w:t xml:space="preserve"> art. </w:t>
      </w:r>
      <w:r w:rsidRPr="0024375B">
        <w:t xml:space="preserve">37 dodano wyłączenie stosowania </w:t>
      </w:r>
      <w:r w:rsidR="00E7341A" w:rsidRPr="0024375B">
        <w:t>ustawy</w:t>
      </w:r>
      <w:r w:rsidR="002161FE">
        <w:t xml:space="preserve"> z </w:t>
      </w:r>
      <w:r w:rsidR="00E7341A" w:rsidRPr="0024375B">
        <w:t>dnia 11 sierpnia 2021 r.</w:t>
      </w:r>
      <w:r w:rsidR="0077165A">
        <w:t xml:space="preserve"> o </w:t>
      </w:r>
      <w:r w:rsidR="00E7341A" w:rsidRPr="0024375B">
        <w:t>otwartych danych</w:t>
      </w:r>
      <w:r w:rsidR="002161FE">
        <w:t xml:space="preserve"> i </w:t>
      </w:r>
      <w:r w:rsidR="00E7341A" w:rsidRPr="0024375B">
        <w:t>ponownym wykorzystywaniu informacji sektora publicznego</w:t>
      </w:r>
      <w:r w:rsidR="0099313C" w:rsidRPr="0024375B">
        <w:rPr>
          <w:rStyle w:val="Odwoanieprzypisudolnego"/>
          <w:rFonts w:ascii="Times New Roman" w:hAnsi="Times New Roman"/>
        </w:rPr>
        <w:footnoteReference w:id="38"/>
      </w:r>
      <w:r w:rsidR="005E6452">
        <w:rPr>
          <w:vertAlign w:val="superscript"/>
        </w:rPr>
        <w:t>)</w:t>
      </w:r>
      <w:r w:rsidR="008F2D23" w:rsidRPr="0024375B">
        <w:t>,</w:t>
      </w:r>
      <w:r w:rsidRPr="0024375B">
        <w:t xml:space="preserve"> do udostępniania informacji</w:t>
      </w:r>
      <w:r w:rsidR="0077165A">
        <w:t xml:space="preserve"> o </w:t>
      </w:r>
      <w:r w:rsidRPr="0024375B">
        <w:t>podatnościach, incydentach</w:t>
      </w:r>
      <w:r w:rsidR="002161FE">
        <w:t xml:space="preserve"> i </w:t>
      </w:r>
      <w:r w:rsidRPr="0024375B">
        <w:t>zagrożeniach cyberbezpieczeństwa oraz</w:t>
      </w:r>
      <w:r w:rsidR="0077165A">
        <w:t xml:space="preserve"> o </w:t>
      </w:r>
      <w:r w:rsidRPr="0024375B">
        <w:t>ryzyku wystąpienia incydentów.</w:t>
      </w:r>
      <w:r w:rsidR="006C7FD0" w:rsidRPr="0024375B">
        <w:t xml:space="preserve"> Wskazać należy, że zgłoszenie incydentu może zawierać wrażliwe dane dot. kluczowych dla państwa podmiotów gospodarczych, takich właśnie jak operatorzy usług kluczowych czy dostawcy usług cyfrowych. Udostępnienie informacji</w:t>
      </w:r>
      <w:r w:rsidR="0077165A">
        <w:t xml:space="preserve"> o </w:t>
      </w:r>
      <w:r w:rsidR="006C7FD0" w:rsidRPr="0024375B">
        <w:t>tym, że u konkretnego operatora usługi kluczowej, np. elektrociepłowni, szpitalu czy kopalni, wystąpiły podatności</w:t>
      </w:r>
      <w:r w:rsidR="00EA1900">
        <w:t xml:space="preserve"> w </w:t>
      </w:r>
      <w:r w:rsidR="006C7FD0" w:rsidRPr="0024375B">
        <w:t xml:space="preserve">systemach informacyjnych czy incydenty poważne może zachęcić przestępców lub podmioty nieprzychylne Państwu do </w:t>
      </w:r>
      <w:r w:rsidR="003072B2" w:rsidRPr="0024375B">
        <w:t xml:space="preserve">dokonania </w:t>
      </w:r>
      <w:r w:rsidR="006C7FD0" w:rsidRPr="0024375B">
        <w:t xml:space="preserve">cyberataku na te podmioty. Z tego też powodu projektodawca uważa, że znajdzie zastosowanie artykuł 1 </w:t>
      </w:r>
      <w:r w:rsidR="00D00CB4">
        <w:t>ust. </w:t>
      </w:r>
      <w:r w:rsidR="006C7FD0" w:rsidRPr="0024375B">
        <w:t>2 dyrektywy 2019/1024</w:t>
      </w:r>
      <w:r w:rsidR="003B585E" w:rsidRPr="0024375B">
        <w:rPr>
          <w:rStyle w:val="Odwoanieprzypisudolnego"/>
          <w:rFonts w:ascii="Times New Roman" w:hAnsi="Times New Roman"/>
        </w:rPr>
        <w:footnoteReference w:id="39"/>
      </w:r>
      <w:r w:rsidR="005E6452">
        <w:rPr>
          <w:vertAlign w:val="superscript"/>
        </w:rPr>
        <w:t>)</w:t>
      </w:r>
      <w:r w:rsidR="006C7FD0" w:rsidRPr="0024375B">
        <w:t xml:space="preserve"> ze względu na konieczność ochrony bezpieczeństwa narodowego.</w:t>
      </w:r>
    </w:p>
    <w:p w14:paraId="5EBE92B4" w14:textId="77777777" w:rsidR="00BB032F" w:rsidRPr="0024375B" w:rsidRDefault="00BB032F" w:rsidP="00DC1575">
      <w:pPr>
        <w:pStyle w:val="Nagwek4"/>
      </w:pPr>
      <w:r w:rsidRPr="0024375B">
        <w:lastRenderedPageBreak/>
        <w:t>Zmiany</w:t>
      </w:r>
      <w:r w:rsidR="002161FE">
        <w:t xml:space="preserve"> w</w:t>
      </w:r>
      <w:r w:rsidR="00EA1900">
        <w:t xml:space="preserve"> art. </w:t>
      </w:r>
      <w:r w:rsidRPr="0024375B">
        <w:t>39</w:t>
      </w:r>
    </w:p>
    <w:p w14:paraId="500EDA62" w14:textId="77777777" w:rsidR="00BB032F" w:rsidRPr="0024375B" w:rsidRDefault="004316EF" w:rsidP="00FC6B8C">
      <w:pPr>
        <w:pStyle w:val="NIEARTTEKSTtekstnieartykuowanynppodstprawnarozplubpreambua"/>
      </w:pPr>
      <w:r w:rsidRPr="0024375B">
        <w:t>Zmiany</w:t>
      </w:r>
      <w:r w:rsidR="002161FE">
        <w:t xml:space="preserve"> w</w:t>
      </w:r>
      <w:r w:rsidR="00EA1900">
        <w:t xml:space="preserve"> art. </w:t>
      </w:r>
      <w:r w:rsidRPr="0024375B">
        <w:t>39 umożliwią przetwarzanie danych pozyskanych</w:t>
      </w:r>
      <w:r w:rsidR="00EA1900">
        <w:t xml:space="preserve"> w </w:t>
      </w:r>
      <w:r w:rsidRPr="0024375B">
        <w:t>związku</w:t>
      </w:r>
      <w:r w:rsidR="002161FE">
        <w:t xml:space="preserve"> z </w:t>
      </w:r>
      <w:r w:rsidRPr="0024375B">
        <w:t>incydentami</w:t>
      </w:r>
      <w:r w:rsidR="002161FE">
        <w:t xml:space="preserve"> i </w:t>
      </w:r>
      <w:r w:rsidR="00C01B4E" w:rsidRPr="0024375B">
        <w:t>cyberzagrożeniami</w:t>
      </w:r>
      <w:r w:rsidRPr="0024375B">
        <w:t xml:space="preserve"> przez odpowiednio CSIRT sektorowe</w:t>
      </w:r>
      <w:r w:rsidR="002161FE">
        <w:t xml:space="preserve"> i </w:t>
      </w:r>
      <w:r w:rsidRPr="0024375B">
        <w:t>CSIRT INT.</w:t>
      </w:r>
      <w:r w:rsidR="00116933">
        <w:t xml:space="preserve"> W </w:t>
      </w:r>
      <w:r w:rsidR="00C01B4E" w:rsidRPr="0024375B">
        <w:t>przypadku CSIRT sektorowych jest to zmiana wynikająca</w:t>
      </w:r>
      <w:r w:rsidR="002161FE">
        <w:t xml:space="preserve"> z </w:t>
      </w:r>
      <w:r w:rsidR="00C01B4E" w:rsidRPr="0024375B">
        <w:t xml:space="preserve">zamiany pojęcia „sektorowy zespół cyberbezpieczeństwa” na CSIRT sektorowy. </w:t>
      </w:r>
    </w:p>
    <w:p w14:paraId="64DCB705" w14:textId="77777777" w:rsidR="00C01B4E" w:rsidRPr="0024375B" w:rsidRDefault="00C01B4E" w:rsidP="00FC6B8C">
      <w:pPr>
        <w:pStyle w:val="NIEARTTEKSTtekstnieartykuowanynppodstprawnarozplubpreambua"/>
      </w:pPr>
      <w:r w:rsidRPr="0024375B">
        <w:t>Projekt umożliwia również przetwarzanie danych</w:t>
      </w:r>
      <w:r w:rsidR="00EA1900">
        <w:t xml:space="preserve"> w </w:t>
      </w:r>
      <w:r w:rsidRPr="0024375B">
        <w:t>tym danych osobowych pozyskanych przez CSIRT Telco</w:t>
      </w:r>
      <w:r w:rsidR="00EA1900">
        <w:t xml:space="preserve"> w </w:t>
      </w:r>
      <w:r w:rsidRPr="0024375B">
        <w:t>związku</w:t>
      </w:r>
      <w:r w:rsidR="002161FE">
        <w:t xml:space="preserve"> z </w:t>
      </w:r>
      <w:r w:rsidRPr="0024375B">
        <w:t>wykonywaniem zadań związanych</w:t>
      </w:r>
      <w:r w:rsidR="002161FE">
        <w:t xml:space="preserve"> z </w:t>
      </w:r>
      <w:r w:rsidRPr="0024375B">
        <w:t>reagowaniem na incydenty telekomunikacyjne. Należy wskazać, że modyfikacja przepisów polega na dopisaniu CSIRT Telco – nie są zmienione ogólne zasady przetwarzania danych przez zespoły CSIRT.</w:t>
      </w:r>
    </w:p>
    <w:p w14:paraId="0266175B" w14:textId="77777777" w:rsidR="00C01B4E" w:rsidRPr="0024375B" w:rsidRDefault="00C01B4E" w:rsidP="00FC6B8C">
      <w:pPr>
        <w:pStyle w:val="NIEARTTEKSTtekstnieartykuowanynppodstprawnarozplubpreambua"/>
      </w:pPr>
      <w:r w:rsidRPr="0024375B">
        <w:t>Wyjaśnienia wymaga konieczność nadania uprawnienia CSIRT Telco do przetwarzania danych osobowych pozyskanych</w:t>
      </w:r>
      <w:r w:rsidR="00EA1900">
        <w:t xml:space="preserve"> w </w:t>
      </w:r>
      <w:r w:rsidRPr="0024375B">
        <w:t>związku</w:t>
      </w:r>
      <w:r w:rsidR="002161FE">
        <w:t xml:space="preserve"> z </w:t>
      </w:r>
      <w:r w:rsidRPr="0024375B">
        <w:t>incydentami telekomunikacyjnymi.</w:t>
      </w:r>
    </w:p>
    <w:p w14:paraId="219ABE0D" w14:textId="6C1DE916" w:rsidR="00C01B4E" w:rsidRPr="0024375B" w:rsidRDefault="00C01B4E" w:rsidP="00FC6B8C">
      <w:pPr>
        <w:pStyle w:val="NIEARTTEKSTtekstnieartykuowanynppodstprawnarozplubpreambua"/>
      </w:pPr>
      <w:r w:rsidRPr="0024375B">
        <w:t>Incydenty telekomunikacyjne mogą być związane</w:t>
      </w:r>
      <w:r w:rsidR="002161FE">
        <w:t xml:space="preserve"> z </w:t>
      </w:r>
      <w:r w:rsidRPr="0024375B">
        <w:t>różn</w:t>
      </w:r>
      <w:r w:rsidR="003C2448">
        <w:t>ymi</w:t>
      </w:r>
      <w:r w:rsidRPr="0024375B">
        <w:t xml:space="preserve"> rodzajami danych,</w:t>
      </w:r>
      <w:r w:rsidR="00EA1900">
        <w:t xml:space="preserve"> w </w:t>
      </w:r>
      <w:r w:rsidRPr="0024375B">
        <w:t>tym</w:t>
      </w:r>
      <w:r w:rsidR="002161FE">
        <w:t xml:space="preserve"> z </w:t>
      </w:r>
      <w:r w:rsidRPr="0024375B">
        <w:t>danymi osobowymi. Jak</w:t>
      </w:r>
      <w:r w:rsidR="004A2138">
        <w:t>o</w:t>
      </w:r>
      <w:r w:rsidRPr="0024375B">
        <w:t xml:space="preserve"> przykład można wskazać zdarzenie,</w:t>
      </w:r>
      <w:r w:rsidR="00EA1900">
        <w:t xml:space="preserve"> w </w:t>
      </w:r>
      <w:r w:rsidRPr="0024375B">
        <w:t>którym dzienniki połączeń konsumentów zostały wykradzione lub numery telefonów użytkowników końcowych oraz numery IMSI zostały upublicznione. Atak na sieć,</w:t>
      </w:r>
      <w:r w:rsidR="002161FE">
        <w:t xml:space="preserve"> z </w:t>
      </w:r>
      <w:r w:rsidRPr="0024375B">
        <w:t>której korzysta podmiot świadczący usługi OTT może spowodować utratę poufności</w:t>
      </w:r>
      <w:r w:rsidR="002161FE">
        <w:t xml:space="preserve"> i </w:t>
      </w:r>
      <w:r w:rsidRPr="0024375B">
        <w:t>dostęp do wiadomości</w:t>
      </w:r>
      <w:r w:rsidR="0077165A">
        <w:t xml:space="preserve"> o </w:t>
      </w:r>
      <w:r w:rsidRPr="0024375B">
        <w:t xml:space="preserve">użytkownikach np. komunikatorów internetowych. Z kolei wskutek ataku mogłaby zostać zaszyfrowana baza abonentów przedsiębiorcy komunikacji elektronicznej, wskutek czego tymczasowo niemożliwe lub utrudnione może być świadczenie usług komunikacji elektronicznej. </w:t>
      </w:r>
    </w:p>
    <w:p w14:paraId="4879B0D9" w14:textId="2759447D" w:rsidR="00C01B4E" w:rsidRPr="0024375B" w:rsidRDefault="00C01B4E" w:rsidP="00FC6B8C">
      <w:pPr>
        <w:pStyle w:val="NIEARTTEKSTtekstnieartykuowanynppodstprawnarozplubpreambua"/>
      </w:pPr>
      <w:r w:rsidRPr="0024375B">
        <w:t>Aby skutecznie zareagować na tego rodzaju zdarzenia, zespoły CSIRT Telco oraz zespoły CSIRT poziomu krajowego muszą otrzymać niezbędne dane m. in. po to, aby dokonać czynności</w:t>
      </w:r>
      <w:r w:rsidR="002161FE">
        <w:t xml:space="preserve"> z </w:t>
      </w:r>
      <w:r w:rsidRPr="0024375B">
        <w:t xml:space="preserve">zakresu informatyki śledczej. Niezbędne będzie przekazanie dzienników zdarzeń (logów), które mogą zawierać informacje kto, kiedy, jakiej czynności dokonał. </w:t>
      </w:r>
      <w:r w:rsidR="00C81695" w:rsidRPr="0024375B">
        <w:t>Innym przykładem</w:t>
      </w:r>
      <w:r w:rsidRPr="0024375B">
        <w:t xml:space="preserve"> będzie przekazanie zaszyfrowanej bazy danych abonentów. Wśród tych danych często będą znajdować się dane osobowe, jak wskazano wyżej. Może być też tak, że</w:t>
      </w:r>
      <w:r w:rsidR="00EA1900">
        <w:t xml:space="preserve"> w </w:t>
      </w:r>
      <w:r w:rsidRPr="0024375B">
        <w:t>skład tych danych będą znajdować się informacje umożliwiające identyfikację osób, które przyczyniły się do powstania incydentu telekomunikacyjnego.</w:t>
      </w:r>
      <w:r w:rsidR="00116933">
        <w:t xml:space="preserve"> W </w:t>
      </w:r>
      <w:r w:rsidRPr="0024375B">
        <w:t>tej sytuacji niezbędne jest zapewnienie możliwości przetwarzania przez ww. zespoły CSIRT danych osobowych. Podkreślić należy, że zarówno prawodawstwo unijne jak</w:t>
      </w:r>
      <w:r w:rsidR="002161FE">
        <w:t xml:space="preserve"> i </w:t>
      </w:r>
      <w:r w:rsidRPr="0024375B">
        <w:t>proponowane przepisy nakazują zgłaszanie incydentów telekomunikacyjnych spełniających określone progi ilościowe</w:t>
      </w:r>
      <w:r w:rsidR="002161FE">
        <w:t xml:space="preserve"> i </w:t>
      </w:r>
      <w:r w:rsidRPr="0024375B">
        <w:t>jakościowe. Progi te będą określone</w:t>
      </w:r>
      <w:r w:rsidR="00EA1900">
        <w:t xml:space="preserve"> w </w:t>
      </w:r>
      <w:r w:rsidRPr="0024375B">
        <w:t>rozporządzeniu. Obecnie przedsiębiorcy telekomunikacyjni zgłaszają do Prezesa UKE naruszenia bezpieczeństwa lub integralności sieci lub usług. Liczba tych zgłoszeń nie przekracza obecnie kilkudziesięciu rocznie. Projektowane przepisy są ewolucją obecnych rozwiązań</w:t>
      </w:r>
      <w:r w:rsidR="002161FE">
        <w:t xml:space="preserve"> z </w:t>
      </w:r>
      <w:r w:rsidRPr="0024375B">
        <w:t>działu VIIA</w:t>
      </w:r>
      <w:r w:rsidR="003C2448">
        <w:t xml:space="preserve"> ustawy z dnia 16 lipca 2004 r. -</w:t>
      </w:r>
      <w:r w:rsidRPr="0024375B">
        <w:t xml:space="preserve"> Praw</w:t>
      </w:r>
      <w:r w:rsidR="003C2448">
        <w:t>o</w:t>
      </w:r>
      <w:r w:rsidRPr="0024375B">
        <w:t xml:space="preserve"> telekomunikacyjne</w:t>
      </w:r>
      <w:r w:rsidR="002161FE">
        <w:t xml:space="preserve"> i </w:t>
      </w:r>
      <w:r w:rsidRPr="0024375B">
        <w:t>ostrożnie można założyć, że liczba zgłaszanych poważnych incydentów telekomunikacyjnych będzie podobna do obecnej liczby zgłoszeń poważnych naruszeń bezpieczeństwa lub integralności sieci lub usług. Co za tym idzie ww. zespoły CSIRT będą przetwarzać dane osobowe pozyskane dopiero przy zaistnieniu szczególnego rodzaju zdarzenia, jakim będzie poważny incydent telekomunikacyjny.</w:t>
      </w:r>
    </w:p>
    <w:p w14:paraId="7F82412E" w14:textId="77777777" w:rsidR="00C01B4E" w:rsidRPr="0024375B" w:rsidRDefault="00C01B4E" w:rsidP="00FC6B8C">
      <w:pPr>
        <w:pStyle w:val="NIEARTTEKSTtekstnieartykuowanynppodstprawnarozplubpreambua"/>
      </w:pPr>
      <w:r w:rsidRPr="0024375B">
        <w:lastRenderedPageBreak/>
        <w:t>Dane te będą usuwane niezwłocznie po stwierdzeniu, że nie są one konieczne do wykonywania zadań. Ustawa</w:t>
      </w:r>
      <w:r w:rsidR="0077165A">
        <w:t xml:space="preserve"> o </w:t>
      </w:r>
      <w:r w:rsidR="00F02E30">
        <w:t>KSC</w:t>
      </w:r>
      <w:r w:rsidR="00F02E30" w:rsidRPr="0024375B">
        <w:t xml:space="preserve"> </w:t>
      </w:r>
      <w:r w:rsidRPr="0024375B">
        <w:t>wprowadziła również obowiązek zachowania</w:t>
      </w:r>
      <w:r w:rsidR="00EA1900">
        <w:t xml:space="preserve"> w </w:t>
      </w:r>
      <w:r w:rsidRPr="0024375B">
        <w:t>tajemnicy przez zespoły CSIRT informacji,</w:t>
      </w:r>
      <w:r w:rsidR="00EA1900">
        <w:t xml:space="preserve"> w </w:t>
      </w:r>
      <w:r w:rsidRPr="0024375B">
        <w:t>tym informacji stanowiących tajemnice prawnie chronione, uzyskanych</w:t>
      </w:r>
      <w:r w:rsidR="00EA1900">
        <w:t xml:space="preserve"> w </w:t>
      </w:r>
      <w:r w:rsidRPr="0024375B">
        <w:t>związku</w:t>
      </w:r>
      <w:r w:rsidR="002161FE">
        <w:t xml:space="preserve"> z </w:t>
      </w:r>
      <w:r w:rsidRPr="0024375B">
        <w:t>realizacją zadań,</w:t>
      </w:r>
      <w:r w:rsidR="0077165A">
        <w:t xml:space="preserve"> o </w:t>
      </w:r>
      <w:r w:rsidRPr="0024375B">
        <w:t>których mowa</w:t>
      </w:r>
      <w:r w:rsidR="00EA1900">
        <w:t xml:space="preserve"> w </w:t>
      </w:r>
      <w:r w:rsidRPr="0024375B">
        <w:t>ustawie. Tajemnica ta będzie się również odnosić do danych osobowych pozyskanych</w:t>
      </w:r>
      <w:r w:rsidR="00EA1900">
        <w:t xml:space="preserve"> w </w:t>
      </w:r>
      <w:r w:rsidRPr="0024375B">
        <w:t>związku ze zgłoszeniem incydentu telekomunikacyjnego.</w:t>
      </w:r>
    </w:p>
    <w:p w14:paraId="430B856F" w14:textId="77777777" w:rsidR="00C01B4E" w:rsidRPr="0024375B" w:rsidRDefault="00C01B4E" w:rsidP="00FC6B8C">
      <w:pPr>
        <w:pStyle w:val="NIEARTTEKSTtekstnieartykuowanynppodstprawnarozplubpreambua"/>
      </w:pPr>
      <w:r w:rsidRPr="0024375B">
        <w:t>Podsumowując zespół CSIRT Telco</w:t>
      </w:r>
      <w:r w:rsidR="00F957D2">
        <w:t xml:space="preserve"> oraz CSIRT poziomu krajowego</w:t>
      </w:r>
      <w:r w:rsidRPr="0024375B">
        <w:t xml:space="preserve"> będą przetwarzały</w:t>
      </w:r>
      <w:r w:rsidR="00EA1900">
        <w:t xml:space="preserve"> w </w:t>
      </w:r>
      <w:r w:rsidRPr="0024375B">
        <w:t>niezbędnym zakresie dane osobowe pozyskane</w:t>
      </w:r>
      <w:r w:rsidR="00EA1900">
        <w:t xml:space="preserve"> w </w:t>
      </w:r>
      <w:r w:rsidRPr="0024375B">
        <w:t>trakcie reagowania na poważny incydent telekomunikacyjny. Dane te będą podlegały ochronie</w:t>
      </w:r>
      <w:r w:rsidR="002161FE">
        <w:t xml:space="preserve"> i </w:t>
      </w:r>
      <w:r w:rsidRPr="0024375B">
        <w:t>będą usuwane niezwłocznie po stwierdzeniu braku niezbędności przetwarzania.</w:t>
      </w:r>
    </w:p>
    <w:p w14:paraId="2C0AD9C1" w14:textId="315B06DB" w:rsidR="00C01B4E" w:rsidRPr="0024375B" w:rsidRDefault="00C01B4E" w:rsidP="00FC6B8C">
      <w:pPr>
        <w:pStyle w:val="NIEARTTEKSTtekstnieartykuowanynppodstprawnarozplubpreambua"/>
      </w:pPr>
      <w:r w:rsidRPr="0024375B">
        <w:t>Wprowadza się również możliwość przetwarzania danych osobowych pozyskanych</w:t>
      </w:r>
      <w:r w:rsidR="00EA1900">
        <w:t xml:space="preserve"> w </w:t>
      </w:r>
      <w:r w:rsidRPr="0024375B">
        <w:t>związku ze zgłoszeniem incydentu telekomunikacyjnego przez Prezesa UKE. Jest to związane</w:t>
      </w:r>
      <w:r w:rsidR="002161FE">
        <w:t xml:space="preserve"> z </w:t>
      </w:r>
      <w:r w:rsidRPr="0024375B">
        <w:t>uprawnienia</w:t>
      </w:r>
      <w:r w:rsidR="00001C0F">
        <w:t>mi</w:t>
      </w:r>
      <w:r w:rsidRPr="0024375B">
        <w:t xml:space="preserve"> kontrolnymi Prezesa UKE wobec przedsiębiorców komunikacji elektronicznej</w:t>
      </w:r>
      <w:r w:rsidR="00EA1900">
        <w:t xml:space="preserve"> w </w:t>
      </w:r>
      <w:r w:rsidRPr="0024375B">
        <w:t>zakresie wypełniania obowiązków wynikających</w:t>
      </w:r>
      <w:r w:rsidR="002161FE">
        <w:t xml:space="preserve"> z </w:t>
      </w:r>
      <w:r w:rsidRPr="0024375B">
        <w:t>rozdziału 4a ustawy</w:t>
      </w:r>
      <w:r w:rsidR="0077165A">
        <w:t xml:space="preserve"> o </w:t>
      </w:r>
      <w:r w:rsidR="00F02E30">
        <w:t>KSC</w:t>
      </w:r>
      <w:r w:rsidRPr="0024375B">
        <w:t>. Tytułem przykładu Prezes UKE będzie mógł</w:t>
      </w:r>
      <w:r w:rsidR="00EA1900">
        <w:t xml:space="preserve"> w </w:t>
      </w:r>
      <w:r w:rsidRPr="0024375B">
        <w:t>trakcie kontroli sprawdzić czy rzeczywiście przedsiębiorca komunikacji elektronicznej obsługiwał incydenty telekomunikacyjne – będzie mógł to ustalić przeglądając dokumentację wykrytych incydentów telekomunikacyjnych.</w:t>
      </w:r>
    </w:p>
    <w:p w14:paraId="37508034" w14:textId="77777777" w:rsidR="00C01B4E" w:rsidRPr="0024375B" w:rsidRDefault="00C81695" w:rsidP="00FC6B8C">
      <w:pPr>
        <w:pStyle w:val="NIEARTTEKSTtekstnieartykuowanynppodstprawnarozplubpreambua"/>
      </w:pPr>
      <w:r w:rsidRPr="0024375B">
        <w:t>Wprowadza się jeszcze dodatkowy przepis regulujący zasady usuwania danych osobowych pozyskanych przez ministra właściwego do spraw informatyzacji, Pełnomocnika, Dyrektora Rządowego Centrum Bezpieczeństwa, Prezesa UKE</w:t>
      </w:r>
      <w:r w:rsidR="00EA1900">
        <w:t xml:space="preserve"> w </w:t>
      </w:r>
      <w:r w:rsidRPr="0024375B">
        <w:t>związku</w:t>
      </w:r>
      <w:r w:rsidR="002161FE">
        <w:t xml:space="preserve"> z </w:t>
      </w:r>
      <w:r w:rsidRPr="0024375B">
        <w:t>wykonywaniem zadań wynikających</w:t>
      </w:r>
      <w:r w:rsidR="002161FE">
        <w:t xml:space="preserve"> z </w:t>
      </w:r>
      <w:r w:rsidRPr="0024375B">
        <w:t>ustawy</w:t>
      </w:r>
      <w:r w:rsidR="0077165A">
        <w:t xml:space="preserve"> o </w:t>
      </w:r>
      <w:r w:rsidRPr="0024375B">
        <w:t>KSC. Przepis wypełnia lukę prawną, która obecnie występuje</w:t>
      </w:r>
      <w:r w:rsidR="00EA1900">
        <w:t xml:space="preserve"> w </w:t>
      </w:r>
      <w:r w:rsidRPr="0024375B">
        <w:t>ustawie</w:t>
      </w:r>
      <w:r w:rsidR="0077165A">
        <w:t xml:space="preserve"> o </w:t>
      </w:r>
      <w:r w:rsidRPr="0024375B">
        <w:t>KSC.</w:t>
      </w:r>
    </w:p>
    <w:p w14:paraId="2653227C" w14:textId="77777777" w:rsidR="00BB032F" w:rsidRPr="0024375B" w:rsidRDefault="00BB032F" w:rsidP="00DC1575">
      <w:pPr>
        <w:pStyle w:val="Nagwek4"/>
      </w:pPr>
      <w:r w:rsidRPr="0024375B">
        <w:t>Zmiany</w:t>
      </w:r>
      <w:r w:rsidR="002161FE">
        <w:t xml:space="preserve"> w</w:t>
      </w:r>
      <w:r w:rsidR="00EA1900">
        <w:t xml:space="preserve"> art. </w:t>
      </w:r>
      <w:r w:rsidRPr="0024375B">
        <w:t>40</w:t>
      </w:r>
    </w:p>
    <w:p w14:paraId="5E5EAF7C" w14:textId="77777777" w:rsidR="005814F2" w:rsidRDefault="003D13C0" w:rsidP="00FC6B8C">
      <w:pPr>
        <w:pStyle w:val="NIEARTTEKSTtekstnieartykuowanynppodstprawnarozplubpreambua"/>
      </w:pPr>
      <w:r w:rsidRPr="0024375B">
        <w:t xml:space="preserve"> </w:t>
      </w:r>
      <w:r w:rsidR="004316EF" w:rsidRPr="0024375B">
        <w:t>Z kolei zmiany</w:t>
      </w:r>
      <w:r w:rsidR="002161FE">
        <w:t xml:space="preserve"> w</w:t>
      </w:r>
      <w:r w:rsidR="00EA1900">
        <w:t xml:space="preserve"> art. </w:t>
      </w:r>
      <w:r w:rsidR="004316EF" w:rsidRPr="0024375B">
        <w:t>40 umożliwią przetwarzanie informacji stanowiących tajemnice prawnie chronione przez CSIRT sektorowe, CSIRT INT, CSIRT Telco.</w:t>
      </w:r>
      <w:r w:rsidR="00BB032F" w:rsidRPr="0024375B">
        <w:t xml:space="preserve"> Jednocześnie zespoły te zostaną obowiązane do zachowania</w:t>
      </w:r>
      <w:r w:rsidR="00EA1900">
        <w:t xml:space="preserve"> w </w:t>
      </w:r>
      <w:r w:rsidR="00BB032F" w:rsidRPr="0024375B">
        <w:t>tajemnicy informacji,</w:t>
      </w:r>
      <w:r w:rsidR="00EA1900">
        <w:t xml:space="preserve"> w </w:t>
      </w:r>
      <w:r w:rsidR="00BB032F" w:rsidRPr="0024375B">
        <w:t>tym informacji stanowiących tajemnice prawnie chronione, uzyskanych</w:t>
      </w:r>
      <w:r w:rsidR="00EA1900">
        <w:t xml:space="preserve"> w </w:t>
      </w:r>
      <w:r w:rsidR="00BB032F" w:rsidRPr="0024375B">
        <w:t>związku</w:t>
      </w:r>
      <w:r w:rsidR="002161FE">
        <w:t xml:space="preserve"> z </w:t>
      </w:r>
      <w:r w:rsidR="00BB032F" w:rsidRPr="0024375B">
        <w:t>realizacją zadań</w:t>
      </w:r>
      <w:r w:rsidR="00B764F3">
        <w:t xml:space="preserve"> ustawowych</w:t>
      </w:r>
      <w:r w:rsidR="00BB032F" w:rsidRPr="0024375B">
        <w:t>.</w:t>
      </w:r>
    </w:p>
    <w:p w14:paraId="717F09FA" w14:textId="77777777" w:rsidR="005814F2" w:rsidRDefault="005814F2" w:rsidP="00862E68">
      <w:pPr>
        <w:pStyle w:val="Nagwek3"/>
      </w:pPr>
      <w:bookmarkStart w:id="25" w:name="_Toc136511051"/>
      <w:r>
        <w:t>Zmiany</w:t>
      </w:r>
      <w:r w:rsidR="00EA1900">
        <w:t xml:space="preserve"> w </w:t>
      </w:r>
      <w:r>
        <w:t>przepisach o organach właściwych do spraw cyberbezpieczeństwa</w:t>
      </w:r>
      <w:bookmarkEnd w:id="25"/>
    </w:p>
    <w:p w14:paraId="31AEA52C" w14:textId="77777777" w:rsidR="005814F2" w:rsidRPr="00E85DA6" w:rsidRDefault="005814F2" w:rsidP="00DC1575">
      <w:pPr>
        <w:pStyle w:val="Nagwek4"/>
      </w:pPr>
      <w:r w:rsidRPr="00E85DA6">
        <w:t>Zmiana</w:t>
      </w:r>
      <w:r w:rsidR="002161FE">
        <w:t xml:space="preserve"> w</w:t>
      </w:r>
      <w:r w:rsidR="00EA1900">
        <w:t xml:space="preserve"> art. </w:t>
      </w:r>
      <w:r w:rsidRPr="00E85DA6">
        <w:t>42</w:t>
      </w:r>
    </w:p>
    <w:p w14:paraId="14034B73" w14:textId="77777777" w:rsidR="005814F2" w:rsidRPr="0024375B" w:rsidRDefault="005814F2">
      <w:pPr>
        <w:pStyle w:val="ARTartustawynprozporzdzenia"/>
        <w:rPr>
          <w:rFonts w:ascii="Times New Roman" w:hAnsi="Times New Roman" w:cs="Times New Roman"/>
        </w:rPr>
      </w:pPr>
      <w:r w:rsidRPr="0024375B">
        <w:rPr>
          <w:rFonts w:ascii="Times New Roman" w:hAnsi="Times New Roman" w:cs="Times New Roman"/>
        </w:rPr>
        <w:t>Zmiana</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42 polega na tym, że wnioski organu właściwego do spraw cyberbezpieczeństwa</w:t>
      </w:r>
      <w:r>
        <w:rPr>
          <w:rFonts w:ascii="Times New Roman" w:hAnsi="Times New Roman" w:cs="Times New Roman"/>
        </w:rPr>
        <w:t xml:space="preserve"> o </w:t>
      </w:r>
      <w:r w:rsidRPr="0024375B">
        <w:rPr>
          <w:rFonts w:ascii="Times New Roman" w:hAnsi="Times New Roman" w:cs="Times New Roman"/>
        </w:rPr>
        <w:t>zmianę danych</w:t>
      </w:r>
      <w:r w:rsidR="00EA1900">
        <w:rPr>
          <w:rFonts w:ascii="Times New Roman" w:hAnsi="Times New Roman" w:cs="Times New Roman"/>
        </w:rPr>
        <w:t xml:space="preserve"> w </w:t>
      </w:r>
      <w:r w:rsidRPr="0024375B">
        <w:rPr>
          <w:rFonts w:ascii="Times New Roman" w:hAnsi="Times New Roman" w:cs="Times New Roman"/>
        </w:rPr>
        <w:t>wykazie operatorów usług kluczowych będą składane </w:t>
      </w:r>
      <w:r w:rsidR="00862E68">
        <w:rPr>
          <w:rFonts w:ascii="Times New Roman" w:hAnsi="Times New Roman" w:cs="Times New Roman"/>
        </w:rPr>
        <w:t>niezwłocznie</w:t>
      </w:r>
      <w:r w:rsidRPr="0024375B">
        <w:rPr>
          <w:rFonts w:ascii="Times New Roman" w:hAnsi="Times New Roman" w:cs="Times New Roman"/>
        </w:rPr>
        <w:t>, nie później niż</w:t>
      </w:r>
      <w:r w:rsidR="00EA1900">
        <w:rPr>
          <w:rFonts w:ascii="Times New Roman" w:hAnsi="Times New Roman" w:cs="Times New Roman"/>
        </w:rPr>
        <w:t xml:space="preserve"> w </w:t>
      </w:r>
      <w:r w:rsidRPr="0024375B">
        <w:rPr>
          <w:rFonts w:ascii="Times New Roman" w:hAnsi="Times New Roman" w:cs="Times New Roman"/>
        </w:rPr>
        <w:t>terminie 1 miesiąca od zmiany tych danych. Obecnie organ właściwy do spraw cyberbezpieczeństwa ma 6 miesięcy na przekazanie tych danych. Zmiana ta zapewni aktualność danych zawartych</w:t>
      </w:r>
      <w:r w:rsidR="00EA1900">
        <w:rPr>
          <w:rFonts w:ascii="Times New Roman" w:hAnsi="Times New Roman" w:cs="Times New Roman"/>
        </w:rPr>
        <w:t xml:space="preserve"> w </w:t>
      </w:r>
      <w:r w:rsidRPr="0024375B">
        <w:rPr>
          <w:rFonts w:ascii="Times New Roman" w:hAnsi="Times New Roman" w:cs="Times New Roman"/>
        </w:rPr>
        <w:t>wykazie operatorów usług kluczowych.</w:t>
      </w:r>
    </w:p>
    <w:p w14:paraId="5D7232AC" w14:textId="77777777" w:rsidR="00983C3C" w:rsidRPr="0024375B" w:rsidRDefault="121AA7F3" w:rsidP="00862E68">
      <w:pPr>
        <w:pStyle w:val="Nagwek3"/>
      </w:pPr>
      <w:bookmarkStart w:id="26" w:name="_Toc120008284"/>
      <w:bookmarkStart w:id="27" w:name="_Toc120564228"/>
      <w:bookmarkStart w:id="28" w:name="_Toc120564384"/>
      <w:bookmarkStart w:id="29" w:name="_Toc120613925"/>
      <w:bookmarkStart w:id="30" w:name="_Toc136511052"/>
      <w:bookmarkEnd w:id="26"/>
      <w:bookmarkEnd w:id="27"/>
      <w:bookmarkEnd w:id="28"/>
      <w:bookmarkEnd w:id="29"/>
      <w:r w:rsidRPr="0024375B">
        <w:lastRenderedPageBreak/>
        <w:t>Zadania</w:t>
      </w:r>
      <w:r w:rsidR="002161FE">
        <w:t xml:space="preserve"> i </w:t>
      </w:r>
      <w:r w:rsidRPr="0024375B">
        <w:t>obowiązki CSIRT sektorowych oraz CSIRT Telco</w:t>
      </w:r>
      <w:bookmarkEnd w:id="30"/>
    </w:p>
    <w:p w14:paraId="010EDDA9" w14:textId="77777777" w:rsidR="00BB032F" w:rsidRPr="0024375B" w:rsidRDefault="00BB032F" w:rsidP="00DC1575">
      <w:pPr>
        <w:pStyle w:val="Nagwek4"/>
      </w:pPr>
      <w:r w:rsidRPr="0024375B">
        <w:t>Zmiany</w:t>
      </w:r>
      <w:r w:rsidR="002161FE">
        <w:t xml:space="preserve"> w</w:t>
      </w:r>
      <w:r w:rsidR="00EA1900">
        <w:t xml:space="preserve"> art. </w:t>
      </w:r>
      <w:r w:rsidRPr="0024375B">
        <w:t>44</w:t>
      </w:r>
    </w:p>
    <w:p w14:paraId="325A4276" w14:textId="0C22C4A5" w:rsidR="007B1A5E" w:rsidRPr="00FC6B8C" w:rsidRDefault="0E294029">
      <w:pPr>
        <w:pStyle w:val="NIEARTTEKSTtekstnieartykuowanynppodstprawnarozplubpreambua"/>
      </w:pPr>
      <w:r w:rsidRPr="00FC6B8C">
        <w:t>Proponowana</w:t>
      </w:r>
      <w:r w:rsidR="00EA1900" w:rsidRPr="00FC6B8C">
        <w:t xml:space="preserve"> w </w:t>
      </w:r>
      <w:r w:rsidRPr="00FC6B8C">
        <w:t>nowelizacji nowa treść</w:t>
      </w:r>
      <w:r w:rsidR="00EA1900" w:rsidRPr="00FC6B8C">
        <w:t xml:space="preserve"> art. </w:t>
      </w:r>
      <w:r w:rsidRPr="00FC6B8C">
        <w:t xml:space="preserve">44 wprowadza obowiązek powołania przez organ właściwy </w:t>
      </w:r>
      <w:r w:rsidR="007B1A5E" w:rsidRPr="00FC6B8C">
        <w:t xml:space="preserve">do spraw cyberbezpieczeństwa </w:t>
      </w:r>
      <w:r w:rsidRPr="00FC6B8C">
        <w:t>CSIRT sektorowego właściwego dla danego sektora lub podsektora, który będzie wspierał operatorów usług kluczowych tego sektora</w:t>
      </w:r>
      <w:r w:rsidR="00EA1900" w:rsidRPr="00FC6B8C">
        <w:t xml:space="preserve"> w </w:t>
      </w:r>
      <w:r w:rsidRPr="00FC6B8C">
        <w:t>obszarze reagowania na incydenty</w:t>
      </w:r>
      <w:r w:rsidR="00001C0F">
        <w:t>.</w:t>
      </w:r>
    </w:p>
    <w:p w14:paraId="4BB466D5" w14:textId="77777777" w:rsidR="007B1A5E" w:rsidRPr="00FC6B8C" w:rsidRDefault="007B1A5E">
      <w:pPr>
        <w:pStyle w:val="NIEARTTEKSTtekstnieartykuowanynppodstprawnarozplubpreambua"/>
      </w:pPr>
      <w:r w:rsidRPr="00FC6B8C">
        <w:t xml:space="preserve">Do </w:t>
      </w:r>
      <w:r w:rsidR="00E8611E" w:rsidRPr="00FC6B8C">
        <w:t xml:space="preserve">obligatoryjnych </w:t>
      </w:r>
      <w:r w:rsidRPr="00FC6B8C">
        <w:t>zadań CSIRT sektorowego będzie należało przyjmowanie zgłoszeń</w:t>
      </w:r>
      <w:r w:rsidR="0077165A" w:rsidRPr="00FC6B8C">
        <w:t xml:space="preserve"> o </w:t>
      </w:r>
      <w:r w:rsidRPr="00FC6B8C">
        <w:t>incydentach oraz reagowanie na incydenty. Dotychczas sektorowe zespoły cyberbezpieczeństwa miały za zadanie przyjmować zgłoszenia</w:t>
      </w:r>
      <w:r w:rsidR="0077165A" w:rsidRPr="00FC6B8C">
        <w:t xml:space="preserve"> o </w:t>
      </w:r>
      <w:r w:rsidRPr="00FC6B8C">
        <w:t>incydentach poważnych</w:t>
      </w:r>
      <w:r w:rsidR="002161FE" w:rsidRPr="00FC6B8C">
        <w:t xml:space="preserve"> i </w:t>
      </w:r>
      <w:r w:rsidRPr="00FC6B8C">
        <w:t>reagować na nie. Zmiana ta pozwoli CSIRT sektorowemu uzyskiwać więcej zgłoszeń</w:t>
      </w:r>
      <w:r w:rsidR="0077165A" w:rsidRPr="00FC6B8C">
        <w:t xml:space="preserve"> o </w:t>
      </w:r>
      <w:r w:rsidR="00D10CA1" w:rsidRPr="00FC6B8C">
        <w:t>incydentach, dzięki czemu</w:t>
      </w:r>
      <w:r w:rsidRPr="00FC6B8C">
        <w:t xml:space="preserve"> zespół będzie mógł szybciej zdobywać doświadczenie</w:t>
      </w:r>
      <w:r w:rsidR="002161FE" w:rsidRPr="00FC6B8C">
        <w:t xml:space="preserve"> i </w:t>
      </w:r>
      <w:r w:rsidRPr="00FC6B8C">
        <w:t>wiedzę</w:t>
      </w:r>
      <w:r w:rsidR="00EA1900" w:rsidRPr="00FC6B8C">
        <w:t xml:space="preserve"> w </w:t>
      </w:r>
      <w:r w:rsidRPr="00FC6B8C">
        <w:t>ciągle zmieniającej się sytuacji</w:t>
      </w:r>
      <w:r w:rsidR="00EA1900" w:rsidRPr="00FC6B8C">
        <w:t xml:space="preserve"> w </w:t>
      </w:r>
      <w:r w:rsidRPr="00FC6B8C">
        <w:t>cyberprzestrzeni. Przełoży się to na skuteczną pomoc dla operatorów usług kluczowych zmagających się</w:t>
      </w:r>
      <w:r w:rsidR="002161FE" w:rsidRPr="00FC6B8C">
        <w:t xml:space="preserve"> z </w:t>
      </w:r>
      <w:r w:rsidRPr="00FC6B8C">
        <w:t xml:space="preserve">incydentami. Podkreślić przy tym należy, że nadal operatorzy usług kluczowych będą prawnie obowiązani zgłaszać </w:t>
      </w:r>
      <w:r w:rsidR="00B920A3" w:rsidRPr="00FC6B8C">
        <w:t xml:space="preserve">tylko </w:t>
      </w:r>
      <w:r w:rsidRPr="00FC6B8C">
        <w:t xml:space="preserve">incydenty poważne do CSIRT sektorowego. </w:t>
      </w:r>
      <w:r w:rsidR="00C81695" w:rsidRPr="00FC6B8C">
        <w:t>Dobrowolnie</w:t>
      </w:r>
      <w:r w:rsidRPr="00FC6B8C">
        <w:t xml:space="preserve"> będą mogli zgłosić każdy incydent</w:t>
      </w:r>
      <w:r w:rsidR="00C81695" w:rsidRPr="00FC6B8C">
        <w:t>, nawet ten który nie spełnia progów incydentu poważnego.</w:t>
      </w:r>
    </w:p>
    <w:p w14:paraId="62D9E709" w14:textId="77777777" w:rsidR="0037325F" w:rsidRPr="0024375B" w:rsidRDefault="0037325F" w:rsidP="00FC6B8C">
      <w:pPr>
        <w:pStyle w:val="NIEARTTEKSTtekstnieartykuowanynppodstprawnarozplubpreambua"/>
      </w:pPr>
      <w:r w:rsidRPr="0024375B">
        <w:t>Innymi zadaniami CSIRT sektorowego będzie</w:t>
      </w:r>
      <w:r w:rsidR="00F15797">
        <w:t>:</w:t>
      </w:r>
      <w:r w:rsidRPr="0024375B">
        <w:t xml:space="preserve"> </w:t>
      </w:r>
    </w:p>
    <w:p w14:paraId="5C812AC5" w14:textId="77777777" w:rsidR="0037325F" w:rsidRPr="0024375B" w:rsidRDefault="0037325F" w:rsidP="00FC6B8C">
      <w:pPr>
        <w:pStyle w:val="NIEARTTEKSTtekstnieartykuowanynppodstprawnarozplubpreambua"/>
        <w:numPr>
          <w:ilvl w:val="0"/>
          <w:numId w:val="116"/>
        </w:numPr>
      </w:pPr>
      <w:r w:rsidRPr="0024375B">
        <w:t>gromadzenie informacji</w:t>
      </w:r>
      <w:r w:rsidR="0077165A">
        <w:t xml:space="preserve"> o </w:t>
      </w:r>
      <w:r w:rsidRPr="0024375B">
        <w:t>podatnościach</w:t>
      </w:r>
      <w:r w:rsidR="002161FE">
        <w:t xml:space="preserve"> i </w:t>
      </w:r>
      <w:r w:rsidRPr="0024375B">
        <w:t>cyberzagrożeniach, które mogą mieć negatywny wpływ na bezpieczeństwo systemów informacyjnych;</w:t>
      </w:r>
    </w:p>
    <w:p w14:paraId="6252B3FC" w14:textId="77777777" w:rsidR="00E8611E" w:rsidRDefault="0037325F" w:rsidP="00FC6B8C">
      <w:pPr>
        <w:pStyle w:val="NIEARTTEKSTtekstnieartykuowanynppodstprawnarozplubpreambua"/>
        <w:numPr>
          <w:ilvl w:val="0"/>
          <w:numId w:val="116"/>
        </w:numPr>
      </w:pPr>
      <w:r w:rsidRPr="0024375B">
        <w:t>współpraca</w:t>
      </w:r>
      <w:r w:rsidR="002161FE">
        <w:t xml:space="preserve"> z </w:t>
      </w:r>
      <w:r w:rsidRPr="0024375B">
        <w:t>operatorami usług kluczowych</w:t>
      </w:r>
      <w:r w:rsidR="00EA1900">
        <w:t xml:space="preserve"> w </w:t>
      </w:r>
      <w:r w:rsidRPr="0024375B">
        <w:t>zakresie wymiany dobrych praktyk oraz informacji</w:t>
      </w:r>
      <w:r w:rsidR="0077165A">
        <w:t xml:space="preserve"> o </w:t>
      </w:r>
      <w:r w:rsidRPr="0024375B">
        <w:t>podatnościach</w:t>
      </w:r>
      <w:r w:rsidR="002161FE">
        <w:t xml:space="preserve"> i </w:t>
      </w:r>
      <w:r w:rsidRPr="0024375B">
        <w:t>cyberzagrożeniach, organizacja</w:t>
      </w:r>
      <w:r w:rsidR="002161FE">
        <w:t xml:space="preserve"> i </w:t>
      </w:r>
      <w:r w:rsidRPr="0024375B">
        <w:t>uczestniczenie</w:t>
      </w:r>
      <w:r w:rsidR="00EA1900">
        <w:t xml:space="preserve"> w </w:t>
      </w:r>
      <w:r w:rsidRPr="0024375B">
        <w:t>ćwiczeniach oraz wspieranie inicjatyw szkoleniowych</w:t>
      </w:r>
      <w:r w:rsidR="00E8611E">
        <w:t>;</w:t>
      </w:r>
    </w:p>
    <w:p w14:paraId="19CFC462" w14:textId="77777777" w:rsidR="00E8611E" w:rsidRDefault="00E8611E" w:rsidP="00FC6B8C">
      <w:pPr>
        <w:pStyle w:val="NIEARTTEKSTtekstnieartykuowanynppodstprawnarozplubpreambua"/>
        <w:numPr>
          <w:ilvl w:val="0"/>
          <w:numId w:val="116"/>
        </w:numPr>
      </w:pPr>
      <w:r w:rsidRPr="00A90F65">
        <w:t>współpraca z CSIRT MON, CSIRT NASK i CSIRT GOV w koordynowanym przez nie reagowaniu na incydenty, w szczególności w zakresie wymiany informacji o cyberzagrożeniach oraz stosowanych środkach zapobiegających i ograniczających wpływ incydentów</w:t>
      </w:r>
      <w:r>
        <w:t>; przepis podkreśla nadrzędną rolę zespołów CSIRT poziomu krajowego;</w:t>
      </w:r>
    </w:p>
    <w:p w14:paraId="52ADA46A" w14:textId="77777777" w:rsidR="0037325F" w:rsidRPr="0024375B" w:rsidRDefault="00E8611E" w:rsidP="00FC6B8C">
      <w:pPr>
        <w:pStyle w:val="NIEARTTEKSTtekstnieartykuowanynppodstprawnarozplubpreambua"/>
        <w:numPr>
          <w:ilvl w:val="0"/>
          <w:numId w:val="116"/>
        </w:numPr>
      </w:pPr>
      <w:r>
        <w:t xml:space="preserve">współpraca z innymi CSIRT sektorowymi </w:t>
      </w:r>
      <w:r w:rsidRPr="00A90F65">
        <w:t>oraz CSIRT INT w zakresie wymiany informacji o podatnościach i cyberzagrożeniach</w:t>
      </w:r>
      <w:r w:rsidR="0037325F" w:rsidRPr="0024375B">
        <w:t>.</w:t>
      </w:r>
    </w:p>
    <w:p w14:paraId="6A8954EA" w14:textId="77777777" w:rsidR="00F6749E" w:rsidRPr="0024375B" w:rsidRDefault="0E294029">
      <w:pPr>
        <w:pStyle w:val="NIEARTTEKSTtekstnieartykuowanynppodstprawnarozplubpreambua"/>
      </w:pPr>
      <w:r w:rsidRPr="0024375B">
        <w:t>Otrzymają również fakultatywną kompetencję zapewniania dynamicznej analizy ryzyka</w:t>
      </w:r>
      <w:r w:rsidR="002161FE">
        <w:t xml:space="preserve"> i </w:t>
      </w:r>
      <w:r w:rsidRPr="0024375B">
        <w:t>incydentów oraz koordynacji incydentów</w:t>
      </w:r>
      <w:r w:rsidR="00EA1900">
        <w:t xml:space="preserve"> w </w:t>
      </w:r>
      <w:r w:rsidRPr="0024375B">
        <w:t>sektorze</w:t>
      </w:r>
      <w:r w:rsidR="002161FE">
        <w:t xml:space="preserve"> a </w:t>
      </w:r>
      <w:r w:rsidRPr="0024375B">
        <w:t>także będą mogły,</w:t>
      </w:r>
      <w:r w:rsidR="00EA1900">
        <w:t xml:space="preserve"> w </w:t>
      </w:r>
      <w:r w:rsidRPr="0024375B">
        <w:t>uzgodnieniu</w:t>
      </w:r>
      <w:r w:rsidR="002161FE">
        <w:t xml:space="preserve"> z </w:t>
      </w:r>
      <w:r w:rsidRPr="0024375B">
        <w:t>operatorem usługi kluczowej, wspierać go</w:t>
      </w:r>
      <w:r w:rsidR="00EA1900">
        <w:t xml:space="preserve"> w </w:t>
      </w:r>
      <w:r w:rsidRPr="0024375B">
        <w:t>wykonywaniu jego obowiązków określonych</w:t>
      </w:r>
      <w:r w:rsidR="002161FE">
        <w:t xml:space="preserve"> w</w:t>
      </w:r>
      <w:r w:rsidR="00EA1900">
        <w:t xml:space="preserve"> art. </w:t>
      </w:r>
      <w:r w:rsidR="004E78C9" w:rsidRPr="0024375B">
        <w:t xml:space="preserve">11 </w:t>
      </w:r>
      <w:r w:rsidR="00D00CB4">
        <w:t>ust. </w:t>
      </w:r>
      <w:r w:rsidR="004E78C9" w:rsidRPr="0024375B">
        <w:t>1</w:t>
      </w:r>
      <w:r w:rsidR="005E6452">
        <w:t>–</w:t>
      </w:r>
      <w:r w:rsidR="004E78C9" w:rsidRPr="0024375B">
        <w:t>3,</w:t>
      </w:r>
      <w:r w:rsidR="00EA1900">
        <w:t xml:space="preserve"> art. </w:t>
      </w:r>
      <w:r w:rsidR="004E78C9" w:rsidRPr="0024375B">
        <w:t>12</w:t>
      </w:r>
      <w:r w:rsidR="002161FE">
        <w:t xml:space="preserve"> i</w:t>
      </w:r>
      <w:r w:rsidR="00EA1900">
        <w:t xml:space="preserve"> art. </w:t>
      </w:r>
      <w:r w:rsidR="004E78C9" w:rsidRPr="0024375B">
        <w:t>13</w:t>
      </w:r>
      <w:r w:rsidRPr="0024375B">
        <w:t xml:space="preserve"> ustawy</w:t>
      </w:r>
      <w:r w:rsidR="0077165A">
        <w:t xml:space="preserve"> o </w:t>
      </w:r>
      <w:r w:rsidR="0037325F" w:rsidRPr="0024375B">
        <w:t>KSC</w:t>
      </w:r>
      <w:r w:rsidRPr="0024375B">
        <w:t>.</w:t>
      </w:r>
      <w:r w:rsidR="3A3B1667" w:rsidRPr="0024375B">
        <w:t xml:space="preserve"> Będą one również uprawnione do przeprowadzania</w:t>
      </w:r>
      <w:r w:rsidR="00EA1900">
        <w:t xml:space="preserve"> w </w:t>
      </w:r>
      <w:r w:rsidR="3A3B1667" w:rsidRPr="0024375B">
        <w:t>ok</w:t>
      </w:r>
      <w:r w:rsidR="78A05E0C" w:rsidRPr="0024375B">
        <w:t>reśl</w:t>
      </w:r>
      <w:r w:rsidR="00612539" w:rsidRPr="0024375B">
        <w:t>o</w:t>
      </w:r>
      <w:r w:rsidR="78A05E0C" w:rsidRPr="0024375B">
        <w:t>nych sytuacjach</w:t>
      </w:r>
      <w:r w:rsidR="00E8611E">
        <w:t xml:space="preserve"> (zgodnie z rozdziałem 6b)</w:t>
      </w:r>
      <w:r w:rsidR="78A05E0C" w:rsidRPr="0024375B">
        <w:t xml:space="preserve"> testów bezpieczeństwa.</w:t>
      </w:r>
      <w:r w:rsidR="00E8611E">
        <w:t xml:space="preserve"> Nie bez powodu wprowadzenie do wyliczenia w ust. 1b brzmi „CSIRT sektorowy może, w szczególności:” – katalog zadań CSIRT sektorowego jest katalogiem otwartym. </w:t>
      </w:r>
      <w:r w:rsidR="004B799B">
        <w:t xml:space="preserve">CSIRT sektorowy powinien być dostosowany do sektora, do podmiotów które wspiera. Zależnie od oceny organu właściwego </w:t>
      </w:r>
      <w:r w:rsidR="004B799B">
        <w:lastRenderedPageBreak/>
        <w:t>do spraw cyberbezpieczeństwa ustawowe zadania CSIRT sektorowego mogłyby być uzupełnione o inne np. o wsparcie operatorów usług kluczowych w zakresie zarządzania ciągłością działania, czy o zadania związane z proaktywnym przeciwdziałaniem incydentom, np. tworzeniem oprogramowania bezpieczeństwa czy monitoring technologii</w:t>
      </w:r>
      <w:r w:rsidR="004B799B">
        <w:rPr>
          <w:rStyle w:val="Odwoanieprzypisudolnego"/>
          <w:rFonts w:ascii="Times New Roman" w:hAnsi="Times New Roman"/>
        </w:rPr>
        <w:footnoteReference w:id="40"/>
      </w:r>
      <w:r w:rsidR="004B799B">
        <w:t>.</w:t>
      </w:r>
      <w:r w:rsidR="00347C5A">
        <w:t xml:space="preserve"> Otwartość katalogu jest spowodowana także tym, że nie ma CSIRT, który zapewniałby wszystkie usługi zawarte w metodykach</w:t>
      </w:r>
      <w:r w:rsidR="00347C5A">
        <w:rPr>
          <w:rStyle w:val="Odwoanieprzypisudolnego"/>
          <w:rFonts w:ascii="Times New Roman" w:hAnsi="Times New Roman"/>
        </w:rPr>
        <w:footnoteReference w:id="41"/>
      </w:r>
      <w:r w:rsidR="00AB014D">
        <w:rPr>
          <w:vertAlign w:val="superscript"/>
        </w:rPr>
        <w:t>)</w:t>
      </w:r>
      <w:r w:rsidR="00347C5A">
        <w:t>, dlatego niezbędna jest tutaj zdrowa elastyczność.</w:t>
      </w:r>
      <w:r w:rsidR="004B799B">
        <w:t xml:space="preserve"> Projekt zakłada, że część zadań CSIRT sektorowego może być ustalona w akcie tworzącym CSIRT (np. w statucie jednostki budżetowej działającej jako CSIRT).</w:t>
      </w:r>
      <w:r w:rsidR="00347C5A">
        <w:t xml:space="preserve"> Oczywiście te fakultatywne zadania nie mogą prowadzić do nałożenia pozaustawowych obowiązków na operatorów usług kluczowych. Organ właściwy do spraw cyberbezpieczeństwa ustanawiając te zadania powinien się kierować uznanymi metodykami tworzenia takich zespołów</w:t>
      </w:r>
      <w:r w:rsidR="00466F8D">
        <w:t xml:space="preserve"> oraz </w:t>
      </w:r>
      <w:r w:rsidR="00347C5A">
        <w:t>koniecznością zapewnienia jak najlepszego wsparcia operatorom usług kluczowych.</w:t>
      </w:r>
    </w:p>
    <w:p w14:paraId="318B901E" w14:textId="77777777" w:rsidR="001D68E0" w:rsidRPr="0024375B" w:rsidRDefault="001D68E0" w:rsidP="00FC6B8C">
      <w:pPr>
        <w:pStyle w:val="NIEARTTEKSTtekstnieartykuowanynppodstprawnarozplubpreambua"/>
      </w:pPr>
      <w:r w:rsidRPr="0024375B">
        <w:t>CSIRT sektorowy będzie niezwłocznie (maksymalnie</w:t>
      </w:r>
      <w:r w:rsidR="00EA1900">
        <w:t xml:space="preserve"> w </w:t>
      </w:r>
      <w:r w:rsidRPr="0024375B">
        <w:t>ciągu 8 godzin) przekazywał zgłoszenie</w:t>
      </w:r>
      <w:r w:rsidR="0077165A">
        <w:t xml:space="preserve"> o </w:t>
      </w:r>
      <w:r w:rsidRPr="0024375B">
        <w:t>incydencie poważnym do właściwego CSIRT GOV, CSIRT MON albo CSIRT NASK.</w:t>
      </w:r>
      <w:r w:rsidR="201ECFA8" w:rsidRPr="0024375B">
        <w:t xml:space="preserve"> Takie rozwiązanie gwarantuje</w:t>
      </w:r>
      <w:r w:rsidR="65C912A0" w:rsidRPr="0024375B">
        <w:t>, że zespoły CSIRT poziomu krajowego będą posiadały aktualną wiedzę</w:t>
      </w:r>
      <w:r w:rsidR="0077165A">
        <w:t xml:space="preserve"> o </w:t>
      </w:r>
      <w:r w:rsidR="65C912A0" w:rsidRPr="0024375B">
        <w:t>występowaniu incydentów</w:t>
      </w:r>
      <w:r w:rsidR="00EA1900">
        <w:t xml:space="preserve"> w </w:t>
      </w:r>
      <w:r w:rsidR="133AEFCB" w:rsidRPr="0024375B">
        <w:t>systemie. Za nieprzestrzeganie tego obowiązku</w:t>
      </w:r>
      <w:r w:rsidR="710BC547" w:rsidRPr="0024375B">
        <w:t xml:space="preserve"> będzie możliwe ukaranie kierownika danego CSIRT sektorowego.</w:t>
      </w:r>
    </w:p>
    <w:p w14:paraId="52249315" w14:textId="77777777" w:rsidR="00EA5E9B" w:rsidRDefault="00EA5E9B" w:rsidP="00FC6B8C">
      <w:pPr>
        <w:pStyle w:val="NIEARTTEKSTtekstnieartykuowanynppodstprawnarozplubpreambua"/>
      </w:pPr>
      <w:r w:rsidRPr="0024375B">
        <w:t xml:space="preserve">Dzięki wprowadzonym zmianom </w:t>
      </w:r>
      <w:r w:rsidR="00677F50" w:rsidRPr="0024375B">
        <w:t>operatorom usług kluczowych</w:t>
      </w:r>
      <w:r w:rsidRPr="0024375B">
        <w:t xml:space="preserve"> zostanie zapewnione najlepsze możliwe wsparcie przy obsłudze incydentów. Ponadto nowy system zgłaszania incydentów zmniejsza obciążenia administracyjne ciążące na operatorach usług kluczowych.</w:t>
      </w:r>
    </w:p>
    <w:p w14:paraId="602B71B5" w14:textId="77777777" w:rsidR="00420DD3" w:rsidRDefault="00420DD3" w:rsidP="00FC6B8C">
      <w:pPr>
        <w:pStyle w:val="NIEARTTEKSTtekstnieartykuowanynppodstprawnarozplubpreambua"/>
      </w:pPr>
      <w:r>
        <w:t xml:space="preserve">Należy przy tym wskazać na doświadczenia płynące z funkcjonowania CSIRT KNF – jedynego obecnie sektorowego zespołu cyberbezpieczeństwa. W 2021 r. CSIRT KNF przekazał podmiotom rynku finansowego 22 ostrzeżenia o zagrożeniach cyberbezpieczeństwa wraz z sugerowanymi działaniami mitygującymi te zagrożenia. Zespół ten systematycznie monitoruje </w:t>
      </w:r>
      <w:r w:rsidRPr="00420DD3">
        <w:t>kampanie złośliwego</w:t>
      </w:r>
      <w:r>
        <w:t xml:space="preserve"> </w:t>
      </w:r>
      <w:r w:rsidRPr="00420DD3">
        <w:t xml:space="preserve">oprogramowania ukierunkowane na instytucje i klientów polskiego rynku finansowego. </w:t>
      </w:r>
      <w:r>
        <w:t>Prowadzi działalność edukacyjną poprzez szkolenia dla podmiotów nadzorowanych, publikowanie artykułów w prasie czy w mediach społecznościowych</w:t>
      </w:r>
      <w:r w:rsidR="005153A2">
        <w:rPr>
          <w:rStyle w:val="Odwoanieprzypisudolnego"/>
          <w:rFonts w:ascii="Times New Roman" w:hAnsi="Times New Roman"/>
        </w:rPr>
        <w:footnoteReference w:id="42"/>
      </w:r>
      <w:r w:rsidR="005E6452">
        <w:rPr>
          <w:vertAlign w:val="superscript"/>
        </w:rPr>
        <w:t>)</w:t>
      </w:r>
      <w:r>
        <w:t xml:space="preserve">. </w:t>
      </w:r>
      <w:r w:rsidR="005153A2">
        <w:t xml:space="preserve">Niezależnie od tego zespół ten wspiera 20 operatorów usług kluczowych w sektorze bankowości </w:t>
      </w:r>
      <w:r w:rsidR="005153A2">
        <w:lastRenderedPageBreak/>
        <w:t>i</w:t>
      </w:r>
      <w:r w:rsidR="005E56D3">
        <w:t> </w:t>
      </w:r>
      <w:r w:rsidR="005153A2">
        <w:t>infrastrukturze rynków finansowych w obsłudze incydentów poważnych. W 2021 r. w tym sektorze doszło do 30 incydentów poważnych</w:t>
      </w:r>
      <w:r w:rsidR="005153A2">
        <w:rPr>
          <w:rStyle w:val="Odwoanieprzypisudolnego"/>
          <w:rFonts w:ascii="Times New Roman" w:hAnsi="Times New Roman"/>
        </w:rPr>
        <w:footnoteReference w:id="43"/>
      </w:r>
      <w:r w:rsidR="005E6452">
        <w:rPr>
          <w:vertAlign w:val="superscript"/>
        </w:rPr>
        <w:t>)</w:t>
      </w:r>
      <w:r w:rsidR="005153A2">
        <w:t>, a od 1 stycznia do 8 grudnia 2022 r. do 21 incydentów poważnych</w:t>
      </w:r>
      <w:r w:rsidR="005153A2">
        <w:rPr>
          <w:rStyle w:val="Odwoanieprzypisudolnego"/>
          <w:rFonts w:ascii="Times New Roman" w:hAnsi="Times New Roman"/>
        </w:rPr>
        <w:footnoteReference w:id="44"/>
      </w:r>
      <w:r w:rsidR="005E6452">
        <w:rPr>
          <w:vertAlign w:val="superscript"/>
        </w:rPr>
        <w:t>)</w:t>
      </w:r>
      <w:r w:rsidR="005153A2">
        <w:t>.</w:t>
      </w:r>
      <w:r w:rsidR="00D651B9">
        <w:t xml:space="preserve"> Dzięki istnieniu wyspecjalizowanego dla tego sektora zespołu CSIRT podmioty rynku finansowego mogły liczyć na szybką i konkretną pomoc przy incydentach poważnych związanych ze świadczeniem usług bankowości elektronicznej.</w:t>
      </w:r>
    </w:p>
    <w:p w14:paraId="7DB607DD" w14:textId="77777777" w:rsidR="00D651B9" w:rsidRPr="0024375B" w:rsidRDefault="00D651B9" w:rsidP="00FC6B8C">
      <w:pPr>
        <w:pStyle w:val="NIEARTTEKSTtekstnieartykuowanynppodstprawnarozplubpreambua"/>
      </w:pPr>
      <w:r>
        <w:t xml:space="preserve">Opierając się na tych doświadczeniach projektodawca jest zdania, że powołanie analogicznych zespołów w innych sektorach gospodarki pozytywnie wpłynie na </w:t>
      </w:r>
      <w:r w:rsidR="00954850">
        <w:t xml:space="preserve">zdolności </w:t>
      </w:r>
      <w:r>
        <w:t>operatorów usług kluczowych</w:t>
      </w:r>
      <w:r w:rsidR="00954850">
        <w:t xml:space="preserve"> w zakresie cyberbezpieczeństwa</w:t>
      </w:r>
      <w:r>
        <w:t xml:space="preserve">. </w:t>
      </w:r>
    </w:p>
    <w:p w14:paraId="4B58A4B1" w14:textId="77777777" w:rsidR="00BC188F" w:rsidRPr="0024375B" w:rsidRDefault="00BC188F" w:rsidP="00FC6B8C">
      <w:pPr>
        <w:pStyle w:val="NIEARTTEKSTtekstnieartykuowanynppodstprawnarozplubpreambua"/>
      </w:pPr>
      <w:r w:rsidRPr="0024375B">
        <w:t>Uchyla się</w:t>
      </w:r>
      <w:r w:rsidR="00EA1900">
        <w:t xml:space="preserve"> art. </w:t>
      </w:r>
      <w:r w:rsidRPr="0024375B">
        <w:t xml:space="preserve">44 </w:t>
      </w:r>
      <w:r w:rsidR="00D00CB4">
        <w:t>ust. </w:t>
      </w:r>
      <w:r w:rsidRPr="0024375B">
        <w:t>2 ponieważ główną rolę</w:t>
      </w:r>
      <w:r w:rsidR="00EA1900">
        <w:t xml:space="preserve"> w </w:t>
      </w:r>
      <w:r w:rsidRPr="0024375B">
        <w:t>przekazywaniu informacji</w:t>
      </w:r>
      <w:r w:rsidR="0077165A">
        <w:t xml:space="preserve"> o </w:t>
      </w:r>
      <w:r w:rsidRPr="0024375B">
        <w:t>incydentach</w:t>
      </w:r>
      <w:r w:rsidR="0077165A">
        <w:t xml:space="preserve"> o </w:t>
      </w:r>
      <w:r w:rsidRPr="0024375B">
        <w:t>charakterze transgranicznym powinny być zespoły CSIRT poziomu krajowego, które są członkami sieci CSIRT Network.</w:t>
      </w:r>
    </w:p>
    <w:p w14:paraId="22B2FA70" w14:textId="77777777" w:rsidR="3575EA9D" w:rsidRPr="0024375B" w:rsidRDefault="3575EA9D" w:rsidP="00DC1575">
      <w:pPr>
        <w:pStyle w:val="Nagwek4"/>
      </w:pPr>
      <w:r w:rsidRPr="0024375B">
        <w:t>Zmiana</w:t>
      </w:r>
      <w:r w:rsidR="00EA1900">
        <w:t xml:space="preserve"> art. </w:t>
      </w:r>
      <w:r w:rsidRPr="0024375B">
        <w:t xml:space="preserve">44 </w:t>
      </w:r>
      <w:r w:rsidR="00D00CB4">
        <w:t>ust. </w:t>
      </w:r>
      <w:r w:rsidRPr="0024375B">
        <w:t>4 oraz dod</w:t>
      </w:r>
      <w:r w:rsidR="334F6FAE" w:rsidRPr="0024375B">
        <w:t>a</w:t>
      </w:r>
      <w:r w:rsidRPr="0024375B">
        <w:t xml:space="preserve">nie </w:t>
      </w:r>
      <w:r w:rsidR="00D00CB4">
        <w:t>ust. </w:t>
      </w:r>
      <w:r w:rsidRPr="0024375B">
        <w:t>5</w:t>
      </w:r>
      <w:r w:rsidR="00B85A6F">
        <w:t>–</w:t>
      </w:r>
      <w:r w:rsidRPr="0024375B">
        <w:t>11</w:t>
      </w:r>
    </w:p>
    <w:p w14:paraId="473E4FE3" w14:textId="77777777" w:rsidR="003A2921" w:rsidRDefault="003A2921">
      <w:pPr>
        <w:pStyle w:val="NIEARTTEKSTtekstnieartykuowanynppodstprawnarozplubpreambua"/>
      </w:pPr>
      <w:r>
        <w:t>Zmiana w art. 44 ust. 4 polega na zmianach terminologicznych – wyrazy „sektorowy zespół cyberbezpieczeństwa” zastępuje się wyrazami „CSIRT sektorowy”.</w:t>
      </w:r>
    </w:p>
    <w:p w14:paraId="3C8B8FF5" w14:textId="77777777" w:rsidR="00871EBF" w:rsidRDefault="00F6749E">
      <w:pPr>
        <w:pStyle w:val="NIEARTTEKSTtekstnieartykuowanynppodstprawnarozplubpreambua"/>
      </w:pPr>
      <w:r w:rsidRPr="0024375B">
        <w:t>Organ właściwy</w:t>
      </w:r>
      <w:r w:rsidR="008B099E" w:rsidRPr="0024375B">
        <w:t xml:space="preserve"> do spraw cyberbezpieczeństwa</w:t>
      </w:r>
      <w:r w:rsidRPr="0024375B">
        <w:t xml:space="preserve"> </w:t>
      </w:r>
      <w:r w:rsidR="008B099E" w:rsidRPr="0024375B">
        <w:t xml:space="preserve">będzie </w:t>
      </w:r>
      <w:r w:rsidRPr="0024375B">
        <w:t>m</w:t>
      </w:r>
      <w:r w:rsidR="008B099E" w:rsidRPr="0024375B">
        <w:t>ógł</w:t>
      </w:r>
      <w:r w:rsidRPr="0024375B">
        <w:t xml:space="preserve"> powierzyć realizację zadań </w:t>
      </w:r>
      <w:r w:rsidR="008B099E" w:rsidRPr="0024375B">
        <w:t xml:space="preserve">CSIRT sektorowego jednostkom </w:t>
      </w:r>
      <w:r w:rsidRPr="0024375B">
        <w:t>podległym lub nadzorowanym</w:t>
      </w:r>
      <w:r w:rsidR="0070762B" w:rsidRPr="0024375B">
        <w:rPr>
          <w:rStyle w:val="Odwoanieprzypisudolnego"/>
          <w:rFonts w:ascii="Times New Roman" w:hAnsi="Times New Roman"/>
        </w:rPr>
        <w:footnoteReference w:id="45"/>
      </w:r>
      <w:r w:rsidRPr="0024375B">
        <w:t xml:space="preserve"> </w:t>
      </w:r>
      <w:r w:rsidR="00612539" w:rsidRPr="0024375B">
        <w:t>albo organowi przez niego nadzorowanemu</w:t>
      </w:r>
      <w:r w:rsidRPr="0024375B">
        <w:t xml:space="preserve">. </w:t>
      </w:r>
    </w:p>
    <w:p w14:paraId="511E7156" w14:textId="77777777" w:rsidR="00871EBF" w:rsidRDefault="00871EBF">
      <w:pPr>
        <w:pStyle w:val="NIEARTTEKSTtekstnieartykuowanynppodstprawnarozplubpreambua"/>
      </w:pPr>
      <w:r>
        <w:t>Przykładowo zadania CSIRT sektorowego będą mogły być powierzone jednostce budżetowej podległej danemu organowi właściwemu do spraw cyberbezpieczeństwa. Finansowanie CSIRT sektorowego odbędzie się co do zasady z budżetu państwa – jednostka budżetowa będąca CSIRT sektorowym powinna być ustanowiona dysponentem</w:t>
      </w:r>
      <w:r w:rsidR="007115FB">
        <w:rPr>
          <w:rStyle w:val="Odwoanieprzypisudolnego"/>
          <w:rFonts w:ascii="Times New Roman" w:hAnsi="Times New Roman"/>
        </w:rPr>
        <w:footnoteReference w:id="46"/>
      </w:r>
      <w:r w:rsidR="00AB014D">
        <w:rPr>
          <w:vertAlign w:val="superscript"/>
        </w:rPr>
        <w:t>)</w:t>
      </w:r>
      <w:r>
        <w:t xml:space="preserve"> środków budżetu państwa drugiego lub trzeciego stopnia z części budżetowej, której dysponentem jest organ właściwy do spraw cyberbezpieczeństwa. Do decyzji organu właściwego do spraw cyberbezpieczeństwa należeć będzie czy zadania CSIRT sektorowego zostaną powierzone istniejącej jednostce budżetowej czy też zostanie w tym celu utworzona nowa jednostka budżetowa zgodnie z art. 12 lub 13 ustawy z dnia 27 sierpnia 2009 r. o finansach publicznych.</w:t>
      </w:r>
    </w:p>
    <w:p w14:paraId="17EEC716" w14:textId="26A52476" w:rsidR="00871EBF" w:rsidRDefault="00871EBF">
      <w:pPr>
        <w:pStyle w:val="NIEARTTEKSTtekstnieartykuowanynppodstprawnarozplubpreambua"/>
      </w:pPr>
      <w:r>
        <w:t>Projekt przewiduje możliwość powierzenia zadań także jednostce nadzorowanej</w:t>
      </w:r>
      <w:r w:rsidR="003A2921">
        <w:t xml:space="preserve"> przez organ właściwy do spraw cyberbezpieczeństwa. W szczególności CSIRT sektorowy mógłby zostać utworzony w państwowym instytucie badawczym. </w:t>
      </w:r>
      <w:r w:rsidR="003A2921" w:rsidRPr="003A2921">
        <w:t xml:space="preserve">Zgodnie z art. 22 pkt 2 lit b </w:t>
      </w:r>
      <w:r w:rsidR="003A2921">
        <w:t>ustawy</w:t>
      </w:r>
      <w:r w:rsidR="003A2921" w:rsidRPr="003A2921">
        <w:t xml:space="preserve"> z 30 kwietnia 2010 r. o instytutach badawczych do zadań państwowego instytutu badawczego należy wykonywanie m. in. zadań szczególnie ważnych dla </w:t>
      </w:r>
      <w:r w:rsidR="003A2921" w:rsidRPr="003A2921">
        <w:lastRenderedPageBreak/>
        <w:t>planowania i realizacji polityki państwa, których wykonanie jest niezbędne dla zapewnienia obronności i bezpieczeństwa publicznego które dotyczą monitoringu i zapobiegania skutkom zjawisk i wydarzeń mogących stwarzać zagrożenie publiczne.</w:t>
      </w:r>
      <w:r w:rsidR="003A2921">
        <w:t xml:space="preserve"> Niewątpliwie zapobieganie i reagowanie na incydenty poważne stanowi materię bezpieczeństwa publicznego. Z tego powodu zasadne jest powierzenie zadań CSIRT sektorowego państwowemu instytutowi badawczemu. Zgodnie z art. 21 ust. 6 ustawy o instytutach badawczych p</w:t>
      </w:r>
      <w:r w:rsidR="003A2921" w:rsidRPr="003A2921">
        <w:t>aństwowy instytut badawczy otrzymuje dotację celową na finansowanie realizacji zleconych zadań - w tej formie odbyłoby się finansowanie zadań CSIRT sektorowego.</w:t>
      </w:r>
    </w:p>
    <w:p w14:paraId="3E585E79" w14:textId="77777777" w:rsidR="00F6749E" w:rsidRPr="0024375B" w:rsidRDefault="001D68E0">
      <w:pPr>
        <w:pStyle w:val="NIEARTTEKSTtekstnieartykuowanynppodstprawnarozplubpreambua"/>
      </w:pPr>
      <w:r w:rsidRPr="0024375B">
        <w:t>Wprowadza się także możliwość porozumienia się organów właściwych ds. cyberbezpieczeństwa</w:t>
      </w:r>
      <w:r w:rsidR="002161FE">
        <w:t xml:space="preserve"> i </w:t>
      </w:r>
      <w:r w:rsidRPr="0024375B">
        <w:t>wyznaczenia wspólnego CSIRT sektorowego dla kilku sektorów. Organ właściwy będzie mógł także</w:t>
      </w:r>
      <w:r w:rsidR="008F2D23" w:rsidRPr="0024375B">
        <w:t>, alternatywnie,</w:t>
      </w:r>
      <w:r w:rsidRPr="0024375B">
        <w:t xml:space="preserve"> porozumieć się</w:t>
      </w:r>
      <w:r w:rsidR="002161FE">
        <w:t xml:space="preserve"> z </w:t>
      </w:r>
      <w:r w:rsidRPr="0024375B">
        <w:t>organami prowadzącymi CSIRT GOV, CSIRT MON, CSIRT NASK</w:t>
      </w:r>
      <w:r w:rsidR="002161FE">
        <w:t xml:space="preserve"> i </w:t>
      </w:r>
      <w:r w:rsidRPr="0024375B">
        <w:t>powierzyć</w:t>
      </w:r>
      <w:r w:rsidR="008F2D23" w:rsidRPr="0024375B">
        <w:t xml:space="preserve"> im</w:t>
      </w:r>
      <w:r w:rsidRPr="0024375B">
        <w:t xml:space="preserve"> realizację zadań CSIRT sektorowego. </w:t>
      </w:r>
      <w:r w:rsidR="0070762B" w:rsidRPr="0024375B">
        <w:t>Tego rodzaju przepisy zapewnią elastyczność</w:t>
      </w:r>
      <w:r w:rsidR="002161FE">
        <w:t xml:space="preserve"> i </w:t>
      </w:r>
      <w:r w:rsidR="0070762B" w:rsidRPr="0024375B">
        <w:t>efektywne wykorzystanie zasobów przy powoływaniu</w:t>
      </w:r>
      <w:r w:rsidR="00C81695" w:rsidRPr="0024375B">
        <w:t xml:space="preserve"> zespołów CSIRT sektorowych.</w:t>
      </w:r>
      <w:r w:rsidR="0070762B" w:rsidRPr="0024375B">
        <w:t xml:space="preserve"> </w:t>
      </w:r>
      <w:r w:rsidRPr="0024375B">
        <w:t>Komunikaty</w:t>
      </w:r>
      <w:r w:rsidR="0077165A">
        <w:t xml:space="preserve"> o </w:t>
      </w:r>
      <w:r w:rsidRPr="0024375B">
        <w:t>tych porozumieniach będą publikowane</w:t>
      </w:r>
      <w:r w:rsidR="00EA1900">
        <w:t xml:space="preserve"> w </w:t>
      </w:r>
      <w:r w:rsidRPr="0024375B">
        <w:t xml:space="preserve">dzienniku urzędowym organu właściwego </w:t>
      </w:r>
      <w:r w:rsidR="00677F50" w:rsidRPr="0024375B">
        <w:t xml:space="preserve">do spraw cyberbezpieczeństwa </w:t>
      </w:r>
      <w:r w:rsidRPr="0024375B">
        <w:t>oraz</w:t>
      </w:r>
      <w:r w:rsidR="00EA1900">
        <w:t xml:space="preserve"> w </w:t>
      </w:r>
      <w:r w:rsidRPr="0024375B">
        <w:t>Biuletynie Informacji Publicznej Pełnomocnika.</w:t>
      </w:r>
    </w:p>
    <w:p w14:paraId="5F2D2CBC" w14:textId="77777777" w:rsidR="00BB032F" w:rsidRPr="0024375B" w:rsidRDefault="00BB032F" w:rsidP="00DC1575">
      <w:pPr>
        <w:pStyle w:val="Nagwek4"/>
      </w:pPr>
      <w:r w:rsidRPr="0024375B">
        <w:t>Nowy</w:t>
      </w:r>
      <w:r w:rsidR="00EA1900">
        <w:t xml:space="preserve"> art. </w:t>
      </w:r>
      <w:r w:rsidRPr="0024375B">
        <w:t>44a</w:t>
      </w:r>
    </w:p>
    <w:p w14:paraId="631A0DE6" w14:textId="77777777" w:rsidR="003A6B3C" w:rsidRPr="0024375B" w:rsidRDefault="435B421B" w:rsidP="00FC6B8C">
      <w:pPr>
        <w:pStyle w:val="NIEARTTEKSTtekstnieartykuowanynppodstprawnarozplubpreambua"/>
        <w:rPr>
          <w:rFonts w:eastAsia="Times New Roman"/>
        </w:rPr>
      </w:pPr>
      <w:r w:rsidRPr="0024375B">
        <w:rPr>
          <w:rFonts w:eastAsia="Times New Roman"/>
        </w:rPr>
        <w:t>W</w:t>
      </w:r>
      <w:r w:rsidR="00EA1900">
        <w:rPr>
          <w:rFonts w:eastAsia="Times New Roman"/>
        </w:rPr>
        <w:t xml:space="preserve"> art. </w:t>
      </w:r>
      <w:r w:rsidRPr="0024375B">
        <w:rPr>
          <w:rFonts w:eastAsia="Times New Roman"/>
        </w:rPr>
        <w:t xml:space="preserve">44a uregulowano obowiązki zespołu CSIRT Telco. Funkcjonowanie zespołu CSIRT Telco zapewnia </w:t>
      </w:r>
      <w:r w:rsidR="0037325F" w:rsidRPr="0024375B">
        <w:rPr>
          <w:rFonts w:eastAsia="Times New Roman"/>
        </w:rPr>
        <w:t>Prezes UKE</w:t>
      </w:r>
      <w:r w:rsidRPr="0024375B">
        <w:rPr>
          <w:rFonts w:eastAsia="Times New Roman"/>
        </w:rPr>
        <w:t xml:space="preserve">. </w:t>
      </w:r>
      <w:r w:rsidR="0037325F" w:rsidRPr="0024375B">
        <w:rPr>
          <w:rFonts w:eastAsia="Times New Roman"/>
        </w:rPr>
        <w:t>Będzie</w:t>
      </w:r>
      <w:r w:rsidRPr="0024375B">
        <w:rPr>
          <w:rFonts w:eastAsia="Times New Roman"/>
        </w:rPr>
        <w:t xml:space="preserve"> </w:t>
      </w:r>
      <w:r w:rsidR="2E8F97C1" w:rsidRPr="0024375B">
        <w:rPr>
          <w:rFonts w:eastAsia="Times New Roman"/>
        </w:rPr>
        <w:t xml:space="preserve">on </w:t>
      </w:r>
      <w:r w:rsidRPr="0024375B">
        <w:rPr>
          <w:rFonts w:eastAsia="Times New Roman"/>
        </w:rPr>
        <w:t>mógł powierzyć prowadzenie zespołu jednostce podległej lub nadzorowanej</w:t>
      </w:r>
      <w:r w:rsidR="74B7F4FD" w:rsidRPr="0024375B">
        <w:rPr>
          <w:rFonts w:eastAsia="Times New Roman"/>
        </w:rPr>
        <w:t xml:space="preserve"> </w:t>
      </w:r>
      <w:r w:rsidR="0037325F" w:rsidRPr="0024375B">
        <w:rPr>
          <w:rFonts w:eastAsia="Times New Roman"/>
        </w:rPr>
        <w:t>przez ministra właściwego do spraw informatyzacji</w:t>
      </w:r>
      <w:r w:rsidRPr="0024375B">
        <w:rPr>
          <w:rFonts w:eastAsia="Times New Roman"/>
        </w:rPr>
        <w:t>. Zadania CSIRT Telco są analogiczne do zadań CSIRT sektorowego, ale odnoszą się do działań</w:t>
      </w:r>
      <w:r w:rsidR="00EA1900">
        <w:rPr>
          <w:rFonts w:eastAsia="Times New Roman"/>
        </w:rPr>
        <w:t xml:space="preserve"> w </w:t>
      </w:r>
      <w:r w:rsidRPr="0024375B">
        <w:rPr>
          <w:rFonts w:eastAsia="Times New Roman"/>
        </w:rPr>
        <w:t>zakresie wsparcia przedsiębiorców komunikacji elektronicznej</w:t>
      </w:r>
      <w:r w:rsidR="00EA1900">
        <w:rPr>
          <w:rFonts w:eastAsia="Times New Roman"/>
        </w:rPr>
        <w:t xml:space="preserve"> w </w:t>
      </w:r>
      <w:r w:rsidRPr="0024375B">
        <w:rPr>
          <w:rFonts w:eastAsia="Times New Roman"/>
        </w:rPr>
        <w:t>obsłudze incydentów telekomunikacyjnych.</w:t>
      </w:r>
    </w:p>
    <w:p w14:paraId="79941614" w14:textId="77777777" w:rsidR="00BB032F" w:rsidRPr="0024375B" w:rsidRDefault="00BB032F" w:rsidP="00DC1575">
      <w:pPr>
        <w:pStyle w:val="Nagwek4"/>
      </w:pPr>
      <w:r w:rsidRPr="0024375B">
        <w:t>Nowy</w:t>
      </w:r>
      <w:r w:rsidR="00EA1900">
        <w:t xml:space="preserve"> art. </w:t>
      </w:r>
      <w:r w:rsidRPr="0024375B">
        <w:t>44b</w:t>
      </w:r>
    </w:p>
    <w:p w14:paraId="41200230" w14:textId="77777777" w:rsidR="5F67F905" w:rsidRPr="0024375B" w:rsidRDefault="0037325F" w:rsidP="00FC6B8C">
      <w:pPr>
        <w:pStyle w:val="NIEARTTEKSTtekstnieartykuowanynppodstprawnarozplubpreambua"/>
      </w:pPr>
      <w:r w:rsidRPr="0024375B">
        <w:t>O</w:t>
      </w:r>
      <w:r w:rsidR="04DA5841" w:rsidRPr="0024375B">
        <w:t>rgany właściwe</w:t>
      </w:r>
      <w:r w:rsidR="79E6F920" w:rsidRPr="0024375B">
        <w:t xml:space="preserve"> do spraw cyberbezpieczeństwa</w:t>
      </w:r>
      <w:r w:rsidR="002161FE">
        <w:t xml:space="preserve"> i </w:t>
      </w:r>
      <w:r w:rsidR="0070762B" w:rsidRPr="0024375B">
        <w:t>Prezes UKE</w:t>
      </w:r>
      <w:r w:rsidR="04DA5841" w:rsidRPr="0024375B">
        <w:t xml:space="preserve"> </w:t>
      </w:r>
      <w:r w:rsidR="682D2C39" w:rsidRPr="0024375B">
        <w:t>będą</w:t>
      </w:r>
      <w:r w:rsidR="0070762B" w:rsidRPr="0024375B">
        <w:t xml:space="preserve"> raz</w:t>
      </w:r>
      <w:r w:rsidR="00EA1900">
        <w:t xml:space="preserve"> w </w:t>
      </w:r>
      <w:r w:rsidR="0070762B" w:rsidRPr="0024375B">
        <w:t>roku, do 31 stycznia</w:t>
      </w:r>
      <w:r w:rsidR="682D2C39" w:rsidRPr="0024375B">
        <w:t xml:space="preserve"> </w:t>
      </w:r>
      <w:r w:rsidR="04DA5841" w:rsidRPr="0024375B">
        <w:t>przedkładać sprawozdania</w:t>
      </w:r>
      <w:r w:rsidR="002161FE">
        <w:t xml:space="preserve"> z </w:t>
      </w:r>
      <w:r w:rsidR="04DA5841" w:rsidRPr="0024375B">
        <w:t>funkcjonowania CSIRT sektorowych</w:t>
      </w:r>
      <w:r w:rsidR="002161FE">
        <w:t xml:space="preserve"> i </w:t>
      </w:r>
      <w:r w:rsidR="0070762B" w:rsidRPr="0024375B">
        <w:t xml:space="preserve">CSIRT Telco </w:t>
      </w:r>
      <w:r w:rsidR="04DA5841" w:rsidRPr="0024375B">
        <w:t>Pełnomocnik</w:t>
      </w:r>
      <w:r w:rsidR="02BC2EC0" w:rsidRPr="0024375B">
        <w:t>owi</w:t>
      </w:r>
      <w:r w:rsidR="0070762B" w:rsidRPr="0024375B">
        <w:t xml:space="preserve"> (art. 44b).</w:t>
      </w:r>
      <w:r w:rsidR="00BB032F" w:rsidRPr="0024375B">
        <w:t xml:space="preserve"> Zapewni to Pełnomocnikowi niezbędne informacje do prowadzenia oceny funkcjonowania krajowego systemu cyberbezpieczeństwa</w:t>
      </w:r>
      <w:r w:rsidR="00E66F77">
        <w:t xml:space="preserve"> </w:t>
      </w:r>
      <w:r w:rsidR="00E66F77" w:rsidRPr="00E66F77">
        <w:t>zgodnie z art. 62 ust. 1 pkt 1</w:t>
      </w:r>
      <w:r w:rsidR="00E66F77">
        <w:t xml:space="preserve"> ustawy o KSC</w:t>
      </w:r>
      <w:r w:rsidR="00BB032F" w:rsidRPr="0024375B">
        <w:t>.</w:t>
      </w:r>
    </w:p>
    <w:p w14:paraId="0400CE46" w14:textId="77777777" w:rsidR="00C121B8" w:rsidRPr="00DD10ED" w:rsidRDefault="00C121B8" w:rsidP="00DC1575">
      <w:pPr>
        <w:pStyle w:val="Nagwek4"/>
      </w:pPr>
      <w:r w:rsidRPr="00B60F95">
        <w:t xml:space="preserve">Art. 45 </w:t>
      </w:r>
      <w:r w:rsidR="00D00CB4">
        <w:t>ust. </w:t>
      </w:r>
      <w:r w:rsidRPr="00B60F95">
        <w:t>1 pkt 6 lit. c – dodanie pkt 7</w:t>
      </w:r>
      <w:r w:rsidR="002161FE">
        <w:t xml:space="preserve"> i </w:t>
      </w:r>
      <w:r w:rsidRPr="00B60F95">
        <w:t>8</w:t>
      </w:r>
    </w:p>
    <w:p w14:paraId="2DF5F6F2" w14:textId="77777777" w:rsidR="60CA29DD" w:rsidRPr="0024375B" w:rsidRDefault="60CA29DD" w:rsidP="00FC6B8C">
      <w:pPr>
        <w:pStyle w:val="NIEARTTEKSTtekstnieartykuowanynppodstprawnarozplubpreambua"/>
      </w:pPr>
      <w:r w:rsidRPr="0024375B">
        <w:t>Zmiana</w:t>
      </w:r>
      <w:r w:rsidR="00EA1900">
        <w:t xml:space="preserve"> art. </w:t>
      </w:r>
      <w:r w:rsidRPr="0024375B">
        <w:t xml:space="preserve">45 </w:t>
      </w:r>
      <w:r w:rsidR="00D00CB4">
        <w:t>ust. </w:t>
      </w:r>
      <w:r w:rsidRPr="0024375B">
        <w:t>1</w:t>
      </w:r>
      <w:r w:rsidR="00EA1900">
        <w:t xml:space="preserve"> w </w:t>
      </w:r>
      <w:r w:rsidRPr="0024375B">
        <w:t>pkt 6</w:t>
      </w:r>
      <w:r w:rsidR="00EA1900">
        <w:t xml:space="preserve"> w </w:t>
      </w:r>
      <w:r w:rsidRPr="0024375B">
        <w:t>lit. c polegająca na dodaniu pkt 7</w:t>
      </w:r>
      <w:r w:rsidR="002161FE">
        <w:t xml:space="preserve"> </w:t>
      </w:r>
      <w:r w:rsidRPr="0024375B">
        <w:t xml:space="preserve">jest konsekwencją </w:t>
      </w:r>
      <w:r w:rsidR="72788701" w:rsidRPr="0024375B">
        <w:t>wprowadzenia nowych uprawnień dla minis</w:t>
      </w:r>
      <w:r w:rsidR="00C121B8" w:rsidRPr="0024375B">
        <w:t>tra właściw</w:t>
      </w:r>
      <w:r w:rsidR="72788701" w:rsidRPr="0024375B">
        <w:t>ego do spraw informatyzacji, tj.</w:t>
      </w:r>
      <w:r w:rsidR="002161FE">
        <w:t> </w:t>
      </w:r>
      <w:r w:rsidR="1652430E" w:rsidRPr="0024375B">
        <w:t>prowadzenie postępowań</w:t>
      </w:r>
      <w:r w:rsidR="00EA1900">
        <w:t xml:space="preserve"> w </w:t>
      </w:r>
      <w:r w:rsidR="1652430E" w:rsidRPr="0024375B">
        <w:t>sprawie uznania dostawcy za dostawcę wysokiego ryzyka.</w:t>
      </w:r>
    </w:p>
    <w:p w14:paraId="500F7F80" w14:textId="77777777" w:rsidR="007E3971" w:rsidRPr="0024375B" w:rsidRDefault="007E3971" w:rsidP="00862E68">
      <w:pPr>
        <w:pStyle w:val="Nagwek3"/>
      </w:pPr>
      <w:bookmarkStart w:id="31" w:name="_Toc136511053"/>
      <w:r w:rsidRPr="0024375B">
        <w:t>Zmiany dot. systemu S46, zadań MON oraz nadzoru</w:t>
      </w:r>
      <w:bookmarkEnd w:id="31"/>
    </w:p>
    <w:p w14:paraId="7D9B2651" w14:textId="77777777" w:rsidR="00BB032F" w:rsidRPr="0024375B" w:rsidRDefault="00BB032F" w:rsidP="00DC1575">
      <w:pPr>
        <w:pStyle w:val="Nagwek4"/>
      </w:pPr>
      <w:r w:rsidRPr="0024375B">
        <w:t>Zmiany</w:t>
      </w:r>
      <w:r w:rsidR="002161FE">
        <w:t xml:space="preserve"> w</w:t>
      </w:r>
      <w:r w:rsidR="00EA1900">
        <w:t xml:space="preserve"> art. </w:t>
      </w:r>
      <w:r w:rsidRPr="0024375B">
        <w:t>46</w:t>
      </w:r>
    </w:p>
    <w:p w14:paraId="4419E2F1" w14:textId="6AD03D5A" w:rsidR="00F6749E" w:rsidRDefault="00F6749E">
      <w:pPr>
        <w:pStyle w:val="NIEARTTEKSTtekstnieartykuowanynppodstprawnarozplubpreambua"/>
      </w:pPr>
      <w:r w:rsidRPr="00FC6B8C">
        <w:t>Proponowana</w:t>
      </w:r>
      <w:r w:rsidR="00EA1900" w:rsidRPr="00FC6B8C">
        <w:t xml:space="preserve"> w </w:t>
      </w:r>
      <w:r w:rsidRPr="00FC6B8C">
        <w:t>nowelizacji zmiana</w:t>
      </w:r>
      <w:r w:rsidR="00EA1900" w:rsidRPr="00FC6B8C">
        <w:t xml:space="preserve"> art. </w:t>
      </w:r>
      <w:r w:rsidRPr="00FC6B8C">
        <w:t>46 określa dostęp podmiotów krajowego systemu cyberbezpieczeństwa do tworzonego na podstawie tego samego artykułu systemu teleinformatycznego</w:t>
      </w:r>
      <w:r w:rsidR="00677F50" w:rsidRPr="00FC6B8C">
        <w:t xml:space="preserve"> (tzw. </w:t>
      </w:r>
      <w:r w:rsidR="00677F50" w:rsidRPr="00FC6B8C">
        <w:lastRenderedPageBreak/>
        <w:t>systemu S46)</w:t>
      </w:r>
      <w:r w:rsidRPr="00FC6B8C">
        <w:t>. Pełnomocnik oraz zespoły CSIRT poziomu krajowego będą miały stały</w:t>
      </w:r>
      <w:r w:rsidR="002161FE" w:rsidRPr="00FC6B8C">
        <w:t xml:space="preserve"> i </w:t>
      </w:r>
      <w:r w:rsidRPr="00FC6B8C">
        <w:t>nieograniczony dostęp do tego systemu. Prezes UKE oraz zespoły CSIRT sektorowe będą miały dostęp do systemu</w:t>
      </w:r>
      <w:r w:rsidR="00EA1900" w:rsidRPr="00FC6B8C">
        <w:t xml:space="preserve"> w </w:t>
      </w:r>
      <w:r w:rsidRPr="00FC6B8C">
        <w:t>obszarze swojej właściwości.</w:t>
      </w:r>
      <w:r w:rsidR="00D408AF" w:rsidRPr="00FC6B8C">
        <w:t xml:space="preserve"> Wprowadza się obligatoryjne korzystanie przez operatorów usług kluczowych</w:t>
      </w:r>
      <w:r w:rsidR="002161FE" w:rsidRPr="00FC6B8C">
        <w:t xml:space="preserve"> z </w:t>
      </w:r>
      <w:r w:rsidR="00D408AF" w:rsidRPr="00FC6B8C">
        <w:t>tego systemu (od 1 stycznia 202</w:t>
      </w:r>
      <w:r w:rsidR="00C11091" w:rsidRPr="00FC6B8C">
        <w:t>4</w:t>
      </w:r>
      <w:r w:rsidR="00D408AF" w:rsidRPr="00FC6B8C">
        <w:t xml:space="preserve"> r.</w:t>
      </w:r>
      <w:r w:rsidR="008F2D23" w:rsidRPr="00FC6B8C">
        <w:t>, za wyjątkiem zasady, zgodnie</w:t>
      </w:r>
      <w:r w:rsidR="002161FE" w:rsidRPr="00FC6B8C">
        <w:t xml:space="preserve"> z </w:t>
      </w:r>
      <w:r w:rsidR="008F2D23" w:rsidRPr="00FC6B8C">
        <w:t>którą</w:t>
      </w:r>
      <w:r w:rsidR="00EA1900" w:rsidRPr="00FC6B8C">
        <w:t xml:space="preserve"> w </w:t>
      </w:r>
      <w:r w:rsidR="008F2D23" w:rsidRPr="00FC6B8C">
        <w:t xml:space="preserve">przypadku wyznaczenia operatora usługi kluczowej </w:t>
      </w:r>
      <w:r w:rsidR="00790AB9" w:rsidRPr="00FC6B8C">
        <w:t>od</w:t>
      </w:r>
      <w:r w:rsidR="008F2D23" w:rsidRPr="00FC6B8C">
        <w:t xml:space="preserve"> 1 lipca 202</w:t>
      </w:r>
      <w:r w:rsidR="00C11091" w:rsidRPr="00FC6B8C">
        <w:t>3</w:t>
      </w:r>
      <w:r w:rsidR="008F2D23" w:rsidRPr="00FC6B8C">
        <w:t xml:space="preserve"> r., obowiązek ten aktualizuje się</w:t>
      </w:r>
      <w:r w:rsidR="00EA1900" w:rsidRPr="00FC6B8C">
        <w:t xml:space="preserve"> w </w:t>
      </w:r>
      <w:r w:rsidR="008F2D23" w:rsidRPr="00FC6B8C">
        <w:t>ciągu 6 miesięcy</w:t>
      </w:r>
      <w:r w:rsidR="00D408AF" w:rsidRPr="00FC6B8C">
        <w:t>).</w:t>
      </w:r>
      <w:r w:rsidRPr="00FC6B8C">
        <w:t xml:space="preserve"> Pozostałe podmioty krajowego systemu cyberbezpieczeństwa będą mogły uzyskać dostęp do systemu po podpisaniu porozumienia</w:t>
      </w:r>
      <w:r w:rsidR="002161FE" w:rsidRPr="00FC6B8C">
        <w:t xml:space="preserve"> z </w:t>
      </w:r>
      <w:r w:rsidRPr="00FC6B8C">
        <w:t xml:space="preserve">ministrem właściwym do spraw informatyzacji. </w:t>
      </w:r>
      <w:r w:rsidR="00026C24" w:rsidRPr="00FC6B8C">
        <w:t>Wprowadza się przy tym przepis dostosowujący, zgodnie</w:t>
      </w:r>
      <w:r w:rsidR="002161FE" w:rsidRPr="00FC6B8C">
        <w:t xml:space="preserve"> z </w:t>
      </w:r>
      <w:r w:rsidR="00026C24" w:rsidRPr="00FC6B8C">
        <w:t>którym dotychczas zawarte porozumienia</w:t>
      </w:r>
      <w:r w:rsidR="00EA1900" w:rsidRPr="00FC6B8C">
        <w:t xml:space="preserve"> w </w:t>
      </w:r>
      <w:r w:rsidR="00026C24" w:rsidRPr="00FC6B8C">
        <w:t>sprawie korzystania</w:t>
      </w:r>
      <w:r w:rsidR="002161FE" w:rsidRPr="00FC6B8C">
        <w:t xml:space="preserve"> z </w:t>
      </w:r>
      <w:r w:rsidR="00026C24" w:rsidRPr="00FC6B8C">
        <w:t>systemu S46 zachowują ważność po wejściu</w:t>
      </w:r>
      <w:r w:rsidR="00EA1900" w:rsidRPr="00FC6B8C">
        <w:t xml:space="preserve"> w </w:t>
      </w:r>
      <w:r w:rsidR="00026C24" w:rsidRPr="00FC6B8C">
        <w:t>życie niniejszej nowelizacji, co zapewni ciągłość korzystania</w:t>
      </w:r>
      <w:r w:rsidR="002161FE" w:rsidRPr="00FC6B8C">
        <w:t xml:space="preserve"> z </w:t>
      </w:r>
      <w:r w:rsidR="00026C24" w:rsidRPr="00FC6B8C">
        <w:t>tego systemu po nowelizacji.</w:t>
      </w:r>
      <w:r w:rsidR="00846067" w:rsidRPr="00FC6B8C">
        <w:t xml:space="preserve"> Ponadto wprowadza się możliwość, aby system</w:t>
      </w:r>
      <w:r w:rsidR="009C1768" w:rsidRPr="00FC6B8C">
        <w:t xml:space="preserve"> umożliwiał wymianę danych kontaktowych o zespołach CSIRT, SOC, ISAC,</w:t>
      </w:r>
      <w:r w:rsidR="00F15797" w:rsidRPr="00FC6B8C">
        <w:t xml:space="preserve"> a także</w:t>
      </w:r>
      <w:r w:rsidR="009C1768" w:rsidRPr="00FC6B8C">
        <w:t xml:space="preserve"> wymianę danych o osobach wyznaczonych do kontaktu przez podmioty krajowego systemu cyberbezpieczeństwa</w:t>
      </w:r>
      <w:r w:rsidR="00283592" w:rsidRPr="00FC6B8C">
        <w:t>. Zapewni to płynność informacji w ramach krajowego systemu cyberbezpieczeństwa.</w:t>
      </w:r>
    </w:p>
    <w:p w14:paraId="30241896" w14:textId="77777777" w:rsidR="00930C66" w:rsidRDefault="00930C66" w:rsidP="00C405E1">
      <w:pPr>
        <w:pStyle w:val="ARTartustawynprozporzdzenia"/>
      </w:pPr>
      <w:r>
        <w:t>Nowy art. 47a</w:t>
      </w:r>
    </w:p>
    <w:p w14:paraId="73CFEE95" w14:textId="77777777" w:rsidR="00930C66" w:rsidRPr="00930C66" w:rsidRDefault="00930C66" w:rsidP="00C405E1">
      <w:pPr>
        <w:pStyle w:val="ARTartustawynprozporzdzenia"/>
      </w:pPr>
      <w:r w:rsidRPr="00930C66">
        <w:t xml:space="preserve">Zgodnie z </w:t>
      </w:r>
      <w:r>
        <w:t>tym artykułem</w:t>
      </w:r>
      <w:r w:rsidRPr="00930C66">
        <w:t xml:space="preserve"> narzędzie do uwierzytelnienia dwuskładnikowego zakupione w ramach realizacji przez NASK-PIB zadania, o którym mowa w art. 37 ust. 1 ustawy z dnia 30 kwietnia 2010 r. o instytutach badawczych, z chwilą przekazania staje się własnością osoby, która je otrzymała. Narzędzia te przekazywane są przez NASK-PIB najważniejszym osobom w państwie w ramach szkoleń z cyberbezpieczeństwa. Narzędzia te są ściśle spersonalizowane i ich ponowne wykorzystanie przez inne osoby nie będzie możliwe. W związku z tym należy uregulować kwestie własności tych przedmiotów. Jako że nie da się ich ponownie wykorzystać powinny przejść na własność osób, które je otrzymały. Przepis precyzuje też, skutki prawne tego przekazania w prawie podatkowym.</w:t>
      </w:r>
    </w:p>
    <w:p w14:paraId="0B00BDE6" w14:textId="77777777" w:rsidR="624BCFEA" w:rsidRPr="0024375B" w:rsidRDefault="624BCFEA" w:rsidP="00DC1575">
      <w:pPr>
        <w:pStyle w:val="Nagwek4"/>
      </w:pPr>
      <w:r w:rsidRPr="0024375B">
        <w:t>Zmiana</w:t>
      </w:r>
      <w:r w:rsidR="00EA1900">
        <w:t xml:space="preserve"> art. </w:t>
      </w:r>
      <w:r w:rsidRPr="0024375B">
        <w:t xml:space="preserve">48 pkt 1 </w:t>
      </w:r>
    </w:p>
    <w:p w14:paraId="3681C618" w14:textId="77777777" w:rsidR="74943832" w:rsidRPr="0024375B" w:rsidRDefault="74943832" w:rsidP="00FC6B8C">
      <w:pPr>
        <w:pStyle w:val="NIEARTTEKSTtekstnieartykuowanynppodstprawnarozplubpreambua"/>
      </w:pPr>
      <w:r w:rsidRPr="0024375B">
        <w:t>Zmiana</w:t>
      </w:r>
      <w:r w:rsidR="00EA1900">
        <w:t xml:space="preserve"> art. </w:t>
      </w:r>
      <w:r w:rsidRPr="0024375B">
        <w:t>48 pkt 1 polega na dodaniu CSIRT INT do grona podmiotów, które będą informowane prze</w:t>
      </w:r>
      <w:r w:rsidR="05BE6335" w:rsidRPr="0024375B">
        <w:t>z Pojedynczy Punk</w:t>
      </w:r>
      <w:r w:rsidR="001447C4">
        <w:t>t</w:t>
      </w:r>
      <w:r w:rsidR="05BE6335" w:rsidRPr="0024375B">
        <w:t xml:space="preserve"> Kontaktowy</w:t>
      </w:r>
      <w:r w:rsidR="0077165A">
        <w:t xml:space="preserve"> o </w:t>
      </w:r>
      <w:r w:rsidR="794F8CA8" w:rsidRPr="0024375B">
        <w:t xml:space="preserve">zgłoszonym incydencie poważnym lub incydencie </w:t>
      </w:r>
      <w:r w:rsidR="5F0895A5" w:rsidRPr="0024375B">
        <w:t>istotnym</w:t>
      </w:r>
      <w:r w:rsidR="794F8CA8" w:rsidRPr="0024375B">
        <w:t xml:space="preserve"> </w:t>
      </w:r>
      <w:r w:rsidR="4A1FD0C2" w:rsidRPr="0024375B">
        <w:t xml:space="preserve">dotyczącym dwóch lub więcej państw </w:t>
      </w:r>
      <w:r w:rsidR="28AD8A9F" w:rsidRPr="0024375B">
        <w:t>członkowskich Unii Europejskiej.</w:t>
      </w:r>
    </w:p>
    <w:p w14:paraId="2B9960A2" w14:textId="77777777" w:rsidR="00BB032F" w:rsidRPr="0024375B" w:rsidRDefault="00BB032F" w:rsidP="00DC1575">
      <w:pPr>
        <w:pStyle w:val="Nagwek4"/>
      </w:pPr>
      <w:r w:rsidRPr="0024375B">
        <w:t>Zmiany</w:t>
      </w:r>
      <w:r w:rsidR="002161FE">
        <w:t xml:space="preserve"> w</w:t>
      </w:r>
      <w:r w:rsidR="00EA1900">
        <w:t xml:space="preserve"> art. </w:t>
      </w:r>
      <w:r w:rsidRPr="0024375B">
        <w:t>51</w:t>
      </w:r>
    </w:p>
    <w:p w14:paraId="361CFF7E" w14:textId="77777777" w:rsidR="00BB032F" w:rsidRDefault="00E05FE1" w:rsidP="0024375B">
      <w:pPr>
        <w:pStyle w:val="ARTartustawynprozporzdzenia"/>
        <w:rPr>
          <w:rFonts w:ascii="Times New Roman" w:hAnsi="Times New Roman" w:cs="Times New Roman"/>
        </w:rPr>
      </w:pPr>
      <w:r w:rsidRPr="0024375B">
        <w:rPr>
          <w:rFonts w:ascii="Times New Roman" w:hAnsi="Times New Roman" w:cs="Times New Roman"/>
        </w:rPr>
        <w:t>W</w:t>
      </w:r>
      <w:r w:rsidR="00EA1900">
        <w:rPr>
          <w:rFonts w:ascii="Times New Roman" w:hAnsi="Times New Roman" w:cs="Times New Roman"/>
        </w:rPr>
        <w:t xml:space="preserve"> art. </w:t>
      </w:r>
      <w:r w:rsidRPr="0024375B">
        <w:rPr>
          <w:rFonts w:ascii="Times New Roman" w:hAnsi="Times New Roman" w:cs="Times New Roman"/>
        </w:rPr>
        <w:t>51 pkt 5</w:t>
      </w:r>
      <w:r w:rsidR="00EA1900">
        <w:rPr>
          <w:rFonts w:ascii="Times New Roman" w:hAnsi="Times New Roman" w:cs="Times New Roman"/>
        </w:rPr>
        <w:t xml:space="preserve"> w </w:t>
      </w:r>
      <w:r w:rsidRPr="0024375B">
        <w:rPr>
          <w:rFonts w:ascii="Times New Roman" w:hAnsi="Times New Roman" w:cs="Times New Roman"/>
        </w:rPr>
        <w:t>prowadza się dwie zmiany. Zgodnie</w:t>
      </w:r>
      <w:r w:rsidR="002161FE">
        <w:rPr>
          <w:rFonts w:ascii="Times New Roman" w:hAnsi="Times New Roman" w:cs="Times New Roman"/>
        </w:rPr>
        <w:t xml:space="preserve"> z </w:t>
      </w:r>
      <w:r w:rsidRPr="0024375B">
        <w:rPr>
          <w:rFonts w:ascii="Times New Roman" w:hAnsi="Times New Roman" w:cs="Times New Roman"/>
        </w:rPr>
        <w:t>obecnym przepisem Minister Obrony Narodowej kieruje działaniami związanymi</w:t>
      </w:r>
      <w:r w:rsidR="002161FE">
        <w:rPr>
          <w:rFonts w:ascii="Times New Roman" w:hAnsi="Times New Roman" w:cs="Times New Roman"/>
        </w:rPr>
        <w:t xml:space="preserve"> z </w:t>
      </w:r>
      <w:r w:rsidRPr="0024375B">
        <w:rPr>
          <w:rFonts w:ascii="Times New Roman" w:hAnsi="Times New Roman" w:cs="Times New Roman"/>
        </w:rPr>
        <w:t>obsługą incydentów</w:t>
      </w:r>
      <w:r w:rsidR="00EA1900">
        <w:rPr>
          <w:rFonts w:ascii="Times New Roman" w:hAnsi="Times New Roman" w:cs="Times New Roman"/>
        </w:rPr>
        <w:t xml:space="preserve"> w </w:t>
      </w:r>
      <w:r w:rsidRPr="0024375B">
        <w:rPr>
          <w:rFonts w:ascii="Times New Roman" w:hAnsi="Times New Roman" w:cs="Times New Roman"/>
        </w:rPr>
        <w:t>czasie stanu wojennego. Trzeba jednak zauważyć, że działania wojenne mogą się rozpocząć zanim zostanie wprowadzony stan wojenny. Proponuje się, żeby Minister kierował tymi działaniami również</w:t>
      </w:r>
      <w:r w:rsidR="00EA1900">
        <w:rPr>
          <w:rFonts w:ascii="Times New Roman" w:hAnsi="Times New Roman" w:cs="Times New Roman"/>
        </w:rPr>
        <w:t xml:space="preserve"> w </w:t>
      </w:r>
      <w:r w:rsidRPr="0024375B">
        <w:rPr>
          <w:rFonts w:ascii="Times New Roman" w:hAnsi="Times New Roman" w:cs="Times New Roman"/>
        </w:rPr>
        <w:t>czasie wojny. Zgodnie</w:t>
      </w:r>
      <w:r w:rsidR="002161FE">
        <w:rPr>
          <w:rFonts w:ascii="Times New Roman" w:hAnsi="Times New Roman" w:cs="Times New Roman"/>
        </w:rPr>
        <w:t xml:space="preserve"> z</w:t>
      </w:r>
      <w:r w:rsidR="00EA1900">
        <w:rPr>
          <w:rFonts w:ascii="Times New Roman" w:hAnsi="Times New Roman" w:cs="Times New Roman"/>
        </w:rPr>
        <w:t xml:space="preserve"> art. </w:t>
      </w:r>
      <w:r w:rsidRPr="0024375B">
        <w:rPr>
          <w:rFonts w:ascii="Times New Roman" w:hAnsi="Times New Roman" w:cs="Times New Roman"/>
        </w:rPr>
        <w:t>2 pkt 2 ustawy</w:t>
      </w:r>
      <w:r w:rsidR="002161FE">
        <w:rPr>
          <w:rFonts w:ascii="Times New Roman" w:hAnsi="Times New Roman" w:cs="Times New Roman"/>
        </w:rPr>
        <w:t xml:space="preserve"> z </w:t>
      </w:r>
      <w:r w:rsidRPr="0024375B">
        <w:rPr>
          <w:rFonts w:ascii="Times New Roman" w:hAnsi="Times New Roman" w:cs="Times New Roman"/>
        </w:rPr>
        <w:t>dnia 11 marca 2022 r.</w:t>
      </w:r>
      <w:r w:rsidR="0077165A">
        <w:rPr>
          <w:rFonts w:ascii="Times New Roman" w:hAnsi="Times New Roman" w:cs="Times New Roman"/>
        </w:rPr>
        <w:t xml:space="preserve"> o </w:t>
      </w:r>
      <w:r w:rsidRPr="0024375B">
        <w:rPr>
          <w:rFonts w:ascii="Times New Roman" w:hAnsi="Times New Roman" w:cs="Times New Roman"/>
        </w:rPr>
        <w:t>obronie Ojczyzny</w:t>
      </w:r>
      <w:r w:rsidRPr="0024375B">
        <w:rPr>
          <w:rStyle w:val="Odwoanieprzypisudolnego"/>
          <w:rFonts w:ascii="Times New Roman" w:hAnsi="Times New Roman"/>
        </w:rPr>
        <w:footnoteReference w:id="47"/>
      </w:r>
      <w:r w:rsidR="00B85A6F">
        <w:rPr>
          <w:rFonts w:ascii="Times New Roman" w:hAnsi="Times New Roman" w:cs="Times New Roman"/>
          <w:vertAlign w:val="superscript"/>
        </w:rPr>
        <w:t>)</w:t>
      </w:r>
      <w:r w:rsidRPr="0024375B">
        <w:rPr>
          <w:rFonts w:ascii="Times New Roman" w:hAnsi="Times New Roman" w:cs="Times New Roman"/>
        </w:rPr>
        <w:t xml:space="preserve"> czas wojny jest to czas działań wojennych prowadzonych na terytorium </w:t>
      </w:r>
      <w:r w:rsidRPr="0024375B">
        <w:rPr>
          <w:rFonts w:ascii="Times New Roman" w:hAnsi="Times New Roman" w:cs="Times New Roman"/>
        </w:rPr>
        <w:lastRenderedPageBreak/>
        <w:t>Rzeczypospolitej Polskiej, których początek</w:t>
      </w:r>
      <w:r w:rsidR="002161FE">
        <w:rPr>
          <w:rFonts w:ascii="Times New Roman" w:hAnsi="Times New Roman" w:cs="Times New Roman"/>
        </w:rPr>
        <w:t xml:space="preserve"> i </w:t>
      </w:r>
      <w:r w:rsidRPr="0024375B">
        <w:rPr>
          <w:rFonts w:ascii="Times New Roman" w:hAnsi="Times New Roman" w:cs="Times New Roman"/>
        </w:rPr>
        <w:t>koniec jest określany</w:t>
      </w:r>
      <w:r w:rsidR="00EA1900">
        <w:rPr>
          <w:rFonts w:ascii="Times New Roman" w:hAnsi="Times New Roman" w:cs="Times New Roman"/>
        </w:rPr>
        <w:t xml:space="preserve"> w </w:t>
      </w:r>
      <w:r w:rsidRPr="0024375B">
        <w:rPr>
          <w:rFonts w:ascii="Times New Roman" w:hAnsi="Times New Roman" w:cs="Times New Roman"/>
        </w:rPr>
        <w:t>trybie postanowienia Prezydenta Rzeczypospolitej Polskiej wydanego na wniosek Rady Ministrów. Będzie więc precyzyjnie określony moment,</w:t>
      </w:r>
      <w:r w:rsidR="00EA1900">
        <w:rPr>
          <w:rFonts w:ascii="Times New Roman" w:hAnsi="Times New Roman" w:cs="Times New Roman"/>
        </w:rPr>
        <w:t xml:space="preserve"> w </w:t>
      </w:r>
      <w:r w:rsidRPr="0024375B">
        <w:rPr>
          <w:rFonts w:ascii="Times New Roman" w:hAnsi="Times New Roman" w:cs="Times New Roman"/>
        </w:rPr>
        <w:t>którym Minister Obrony Narodowej rozpoczyna realizację tej kompetencji.</w:t>
      </w:r>
      <w:r w:rsidR="00922E92">
        <w:rPr>
          <w:rFonts w:ascii="Times New Roman" w:hAnsi="Times New Roman" w:cs="Times New Roman"/>
        </w:rPr>
        <w:t xml:space="preserve"> </w:t>
      </w:r>
      <w:r w:rsidRPr="0024375B">
        <w:rPr>
          <w:rFonts w:ascii="Times New Roman" w:hAnsi="Times New Roman" w:cs="Times New Roman"/>
        </w:rPr>
        <w:t>Inną zmianą</w:t>
      </w:r>
      <w:r w:rsidR="00EA1900">
        <w:rPr>
          <w:rFonts w:ascii="Times New Roman" w:hAnsi="Times New Roman" w:cs="Times New Roman"/>
        </w:rPr>
        <w:t xml:space="preserve"> w </w:t>
      </w:r>
      <w:r w:rsidRPr="0024375B">
        <w:rPr>
          <w:rFonts w:ascii="Times New Roman" w:hAnsi="Times New Roman" w:cs="Times New Roman"/>
        </w:rPr>
        <w:t xml:space="preserve">tym przepisie jest doprecyzowanie, że </w:t>
      </w:r>
      <w:r w:rsidR="00493AC7" w:rsidRPr="0024375B">
        <w:rPr>
          <w:rFonts w:ascii="Times New Roman" w:hAnsi="Times New Roman" w:cs="Times New Roman"/>
        </w:rPr>
        <w:t>Minister Obrony Narodowej kieruje działaniami związanymi</w:t>
      </w:r>
      <w:r w:rsidR="002161FE">
        <w:rPr>
          <w:rFonts w:ascii="Times New Roman" w:hAnsi="Times New Roman" w:cs="Times New Roman"/>
        </w:rPr>
        <w:t xml:space="preserve"> z </w:t>
      </w:r>
      <w:r w:rsidR="00493AC7" w:rsidRPr="0024375B">
        <w:rPr>
          <w:rFonts w:ascii="Times New Roman" w:hAnsi="Times New Roman" w:cs="Times New Roman"/>
        </w:rPr>
        <w:t>obsługą incydentów</w:t>
      </w:r>
      <w:r w:rsidR="002161FE">
        <w:rPr>
          <w:rFonts w:ascii="Times New Roman" w:hAnsi="Times New Roman" w:cs="Times New Roman"/>
        </w:rPr>
        <w:t xml:space="preserve"> a </w:t>
      </w:r>
      <w:r w:rsidR="00922E92">
        <w:rPr>
          <w:rFonts w:ascii="Times New Roman" w:hAnsi="Times New Roman" w:cs="Times New Roman"/>
        </w:rPr>
        <w:t>także koordynuje działania CSIRT NASK</w:t>
      </w:r>
      <w:r w:rsidR="002161FE">
        <w:rPr>
          <w:rFonts w:ascii="Times New Roman" w:hAnsi="Times New Roman" w:cs="Times New Roman"/>
        </w:rPr>
        <w:t xml:space="preserve"> i </w:t>
      </w:r>
      <w:r w:rsidR="00922E92">
        <w:rPr>
          <w:rFonts w:ascii="Times New Roman" w:hAnsi="Times New Roman" w:cs="Times New Roman"/>
        </w:rPr>
        <w:t>CSIRT GOV</w:t>
      </w:r>
      <w:r w:rsidR="00EA1900">
        <w:rPr>
          <w:rFonts w:ascii="Times New Roman" w:hAnsi="Times New Roman" w:cs="Times New Roman"/>
        </w:rPr>
        <w:t xml:space="preserve"> w </w:t>
      </w:r>
      <w:r w:rsidR="00493AC7" w:rsidRPr="0024375B">
        <w:rPr>
          <w:rFonts w:ascii="Times New Roman" w:hAnsi="Times New Roman" w:cs="Times New Roman"/>
        </w:rPr>
        <w:t>czasie stanu wojennego</w:t>
      </w:r>
      <w:r w:rsidRPr="0024375B">
        <w:rPr>
          <w:rFonts w:ascii="Times New Roman" w:hAnsi="Times New Roman" w:cs="Times New Roman"/>
        </w:rPr>
        <w:t xml:space="preserve"> oraz czasie wojny</w:t>
      </w:r>
      <w:r w:rsidR="00493AC7" w:rsidRPr="0024375B">
        <w:rPr>
          <w:rFonts w:ascii="Times New Roman" w:hAnsi="Times New Roman" w:cs="Times New Roman"/>
        </w:rPr>
        <w:t xml:space="preserve"> poprzez CSIRT MON</w:t>
      </w:r>
      <w:r w:rsidR="00F100AB" w:rsidRPr="0024375B">
        <w:rPr>
          <w:rFonts w:ascii="Times New Roman" w:hAnsi="Times New Roman" w:cs="Times New Roman"/>
        </w:rPr>
        <w:t>.</w:t>
      </w:r>
    </w:p>
    <w:p w14:paraId="11825A0C" w14:textId="28748D6C" w:rsidR="00922E92" w:rsidRPr="0024375B" w:rsidRDefault="00F15797" w:rsidP="0024375B">
      <w:pPr>
        <w:pStyle w:val="ARTartustawynprozporzdzenia"/>
        <w:rPr>
          <w:rFonts w:ascii="Times New Roman" w:hAnsi="Times New Roman" w:cs="Times New Roman"/>
        </w:rPr>
      </w:pPr>
      <w:r>
        <w:rPr>
          <w:rFonts w:ascii="Times New Roman" w:hAnsi="Times New Roman" w:cs="Times New Roman"/>
        </w:rPr>
        <w:t>Zgodnie z dotychczasowym punktem 8 Minister Obrony Narodowej</w:t>
      </w:r>
      <w:r w:rsidR="00A7008B">
        <w:rPr>
          <w:rFonts w:ascii="Times New Roman" w:hAnsi="Times New Roman" w:cs="Times New Roman"/>
        </w:rPr>
        <w:t xml:space="preserve"> koordyn</w:t>
      </w:r>
      <w:r>
        <w:rPr>
          <w:rFonts w:ascii="Times New Roman" w:hAnsi="Times New Roman" w:cs="Times New Roman"/>
        </w:rPr>
        <w:t xml:space="preserve">uje </w:t>
      </w:r>
      <w:r w:rsidRPr="00F15797">
        <w:rPr>
          <w:rFonts w:ascii="Times New Roman" w:hAnsi="Times New Roman" w:cs="Times New Roman"/>
        </w:rPr>
        <w:t>we współpracy z ministrem właściwym do spraw wewnętrznych i ministrem właściwym do spraw informatyzacji</w:t>
      </w:r>
      <w:r w:rsidR="00A7008B">
        <w:rPr>
          <w:rFonts w:ascii="Times New Roman" w:hAnsi="Times New Roman" w:cs="Times New Roman"/>
        </w:rPr>
        <w:t xml:space="preserve"> realizacj</w:t>
      </w:r>
      <w:r>
        <w:rPr>
          <w:rFonts w:ascii="Times New Roman" w:hAnsi="Times New Roman" w:cs="Times New Roman"/>
        </w:rPr>
        <w:t>ę</w:t>
      </w:r>
      <w:r w:rsidR="00A7008B">
        <w:rPr>
          <w:rFonts w:ascii="Times New Roman" w:hAnsi="Times New Roman" w:cs="Times New Roman"/>
        </w:rPr>
        <w:t xml:space="preserve"> zadań organów administracji rządowej</w:t>
      </w:r>
      <w:r w:rsidR="002161FE">
        <w:rPr>
          <w:rFonts w:ascii="Times New Roman" w:hAnsi="Times New Roman" w:cs="Times New Roman"/>
        </w:rPr>
        <w:t xml:space="preserve"> i </w:t>
      </w:r>
      <w:r w:rsidR="00A7008B">
        <w:rPr>
          <w:rFonts w:ascii="Times New Roman" w:hAnsi="Times New Roman" w:cs="Times New Roman"/>
        </w:rPr>
        <w:t xml:space="preserve">jednostek samorządu terytorialnego </w:t>
      </w:r>
      <w:r>
        <w:rPr>
          <w:rFonts w:ascii="Times New Roman" w:hAnsi="Times New Roman" w:cs="Times New Roman"/>
        </w:rPr>
        <w:t xml:space="preserve">w czasie stanu wojennego </w:t>
      </w:r>
      <w:r w:rsidRPr="00F15797">
        <w:rPr>
          <w:rFonts w:ascii="Times New Roman" w:hAnsi="Times New Roman" w:cs="Times New Roman"/>
        </w:rPr>
        <w:t>dotyczących działań obronnych w przypadku zagrożenia cyberbezpieczeństwa</w:t>
      </w:r>
      <w:r>
        <w:rPr>
          <w:rFonts w:ascii="Times New Roman" w:hAnsi="Times New Roman" w:cs="Times New Roman"/>
        </w:rPr>
        <w:t xml:space="preserve">. Zakres koordynacji rozszerzono </w:t>
      </w:r>
      <w:r w:rsidR="00A7008B">
        <w:rPr>
          <w:rFonts w:ascii="Times New Roman" w:hAnsi="Times New Roman" w:cs="Times New Roman"/>
        </w:rPr>
        <w:t>o czas wojny.</w:t>
      </w:r>
    </w:p>
    <w:p w14:paraId="50C52698" w14:textId="77777777" w:rsidR="00BB032F" w:rsidRPr="0024375B" w:rsidRDefault="00BB032F" w:rsidP="00DC1575">
      <w:pPr>
        <w:pStyle w:val="Nagwek4"/>
      </w:pPr>
      <w:r w:rsidRPr="0024375B">
        <w:t>Nowy</w:t>
      </w:r>
      <w:r w:rsidR="00EA1900">
        <w:t xml:space="preserve"> art. </w:t>
      </w:r>
      <w:r w:rsidRPr="0024375B">
        <w:t>52a</w:t>
      </w:r>
    </w:p>
    <w:p w14:paraId="366683D0" w14:textId="77777777" w:rsidR="00E05FE1" w:rsidRPr="0024375B" w:rsidRDefault="00E05FE1" w:rsidP="0024375B">
      <w:pPr>
        <w:pStyle w:val="ARTartustawynprozporzdzenia"/>
        <w:rPr>
          <w:rFonts w:ascii="Times New Roman" w:hAnsi="Times New Roman" w:cs="Times New Roman"/>
        </w:rPr>
      </w:pPr>
      <w:r w:rsidRPr="0024375B">
        <w:rPr>
          <w:rFonts w:ascii="Times New Roman" w:hAnsi="Times New Roman" w:cs="Times New Roman"/>
        </w:rPr>
        <w:t>Proponuje się dodanie nowego</w:t>
      </w:r>
      <w:r w:rsidR="00EA1900">
        <w:rPr>
          <w:rFonts w:ascii="Times New Roman" w:hAnsi="Times New Roman" w:cs="Times New Roman"/>
        </w:rPr>
        <w:t xml:space="preserve"> art. </w:t>
      </w:r>
      <w:r w:rsidRPr="0024375B">
        <w:rPr>
          <w:rFonts w:ascii="Times New Roman" w:hAnsi="Times New Roman" w:cs="Times New Roman"/>
        </w:rPr>
        <w:t xml:space="preserve">52a. </w:t>
      </w:r>
      <w:r w:rsidR="00BB032F" w:rsidRPr="0024375B">
        <w:rPr>
          <w:rFonts w:ascii="Times New Roman" w:hAnsi="Times New Roman" w:cs="Times New Roman"/>
        </w:rPr>
        <w:t>Funkcjonowanie CSIRT MON zapewnia Minister Obrony Narodowej –</w:t>
      </w:r>
      <w:r w:rsidR="00EA1900">
        <w:rPr>
          <w:rFonts w:ascii="Times New Roman" w:hAnsi="Times New Roman" w:cs="Times New Roman"/>
        </w:rPr>
        <w:t xml:space="preserve"> w </w:t>
      </w:r>
      <w:r w:rsidR="00BB032F" w:rsidRPr="0024375B">
        <w:rPr>
          <w:rFonts w:ascii="Times New Roman" w:hAnsi="Times New Roman" w:cs="Times New Roman"/>
        </w:rPr>
        <w:t xml:space="preserve">praktyce poprzez podległe mu jednostki, jak Dowództwo Komponentu Wojsk Obrony Cyberprzestrzeni czy Służbę Kontrwywiadu Wojskowego. </w:t>
      </w:r>
    </w:p>
    <w:p w14:paraId="15DBA04D" w14:textId="1A6237D0" w:rsidR="009645A0" w:rsidRPr="0024375B" w:rsidRDefault="009645A0" w:rsidP="0024375B">
      <w:pPr>
        <w:pStyle w:val="ARTartustawynprozporzdzenia"/>
        <w:rPr>
          <w:rFonts w:ascii="Times New Roman" w:hAnsi="Times New Roman" w:cs="Times New Roman"/>
        </w:rPr>
      </w:pPr>
      <w:r w:rsidRPr="0024375B">
        <w:rPr>
          <w:rFonts w:ascii="Times New Roman" w:hAnsi="Times New Roman" w:cs="Times New Roman"/>
        </w:rPr>
        <w:t>Zgodnie</w:t>
      </w:r>
      <w:r w:rsidR="002161FE">
        <w:rPr>
          <w:rFonts w:ascii="Times New Roman" w:hAnsi="Times New Roman" w:cs="Times New Roman"/>
        </w:rPr>
        <w:t xml:space="preserve"> z</w:t>
      </w:r>
      <w:r w:rsidR="00EA1900">
        <w:rPr>
          <w:rFonts w:ascii="Times New Roman" w:hAnsi="Times New Roman" w:cs="Times New Roman"/>
        </w:rPr>
        <w:t xml:space="preserve"> art. </w:t>
      </w:r>
      <w:r w:rsidRPr="0024375B">
        <w:rPr>
          <w:rFonts w:ascii="Times New Roman" w:hAnsi="Times New Roman" w:cs="Times New Roman"/>
        </w:rPr>
        <w:t>17 ustawy</w:t>
      </w:r>
      <w:r w:rsidR="002161FE">
        <w:rPr>
          <w:rFonts w:ascii="Times New Roman" w:hAnsi="Times New Roman" w:cs="Times New Roman"/>
        </w:rPr>
        <w:t xml:space="preserve"> z </w:t>
      </w:r>
      <w:r w:rsidRPr="0024375B">
        <w:rPr>
          <w:rFonts w:ascii="Times New Roman" w:hAnsi="Times New Roman" w:cs="Times New Roman"/>
        </w:rPr>
        <w:t>dnia 29 sierpnia 2002 r.</w:t>
      </w:r>
      <w:r w:rsidR="0077165A">
        <w:rPr>
          <w:rFonts w:ascii="Times New Roman" w:hAnsi="Times New Roman" w:cs="Times New Roman"/>
        </w:rPr>
        <w:t xml:space="preserve"> o </w:t>
      </w:r>
      <w:r w:rsidRPr="0024375B">
        <w:rPr>
          <w:rFonts w:ascii="Times New Roman" w:hAnsi="Times New Roman" w:cs="Times New Roman"/>
        </w:rPr>
        <w:t>stanie wojennym oraz</w:t>
      </w:r>
      <w:r w:rsidR="0077165A">
        <w:rPr>
          <w:rFonts w:ascii="Times New Roman" w:hAnsi="Times New Roman" w:cs="Times New Roman"/>
        </w:rPr>
        <w:t xml:space="preserve"> o </w:t>
      </w:r>
      <w:r w:rsidRPr="0024375B">
        <w:rPr>
          <w:rFonts w:ascii="Times New Roman" w:hAnsi="Times New Roman" w:cs="Times New Roman"/>
        </w:rPr>
        <w:t>kompetencjach Naczelnego Dowódcy Sił Zbrojnych</w:t>
      </w:r>
      <w:r w:rsidR="002161FE">
        <w:rPr>
          <w:rFonts w:ascii="Times New Roman" w:hAnsi="Times New Roman" w:cs="Times New Roman"/>
        </w:rPr>
        <w:t xml:space="preserve"> i </w:t>
      </w:r>
      <w:r w:rsidRPr="0024375B">
        <w:rPr>
          <w:rFonts w:ascii="Times New Roman" w:hAnsi="Times New Roman" w:cs="Times New Roman"/>
        </w:rPr>
        <w:t>zasadach jego podległości konstytucyjnym organom Rzeczypospolitej Polskiej (Dz. U.</w:t>
      </w:r>
      <w:r w:rsidR="002161FE">
        <w:rPr>
          <w:rFonts w:ascii="Times New Roman" w:hAnsi="Times New Roman" w:cs="Times New Roman"/>
        </w:rPr>
        <w:t xml:space="preserve"> z </w:t>
      </w:r>
      <w:r w:rsidRPr="0024375B">
        <w:rPr>
          <w:rFonts w:ascii="Times New Roman" w:hAnsi="Times New Roman" w:cs="Times New Roman"/>
        </w:rPr>
        <w:t>20</w:t>
      </w:r>
      <w:r w:rsidR="00B85A6F">
        <w:rPr>
          <w:rFonts w:ascii="Times New Roman" w:hAnsi="Times New Roman" w:cs="Times New Roman"/>
        </w:rPr>
        <w:t>22</w:t>
      </w:r>
      <w:r w:rsidRPr="0024375B">
        <w:rPr>
          <w:rFonts w:ascii="Times New Roman" w:hAnsi="Times New Roman" w:cs="Times New Roman"/>
        </w:rPr>
        <w:t xml:space="preserve"> r. poz. </w:t>
      </w:r>
      <w:r w:rsidR="00B85A6F">
        <w:rPr>
          <w:rFonts w:ascii="Times New Roman" w:hAnsi="Times New Roman" w:cs="Times New Roman"/>
        </w:rPr>
        <w:t>2091</w:t>
      </w:r>
      <w:r w:rsidRPr="0024375B">
        <w:rPr>
          <w:rFonts w:ascii="Times New Roman" w:hAnsi="Times New Roman" w:cs="Times New Roman"/>
        </w:rPr>
        <w:t>) –</w:t>
      </w:r>
      <w:r w:rsidR="002161FE">
        <w:rPr>
          <w:rFonts w:ascii="Times New Roman" w:hAnsi="Times New Roman" w:cs="Times New Roman"/>
        </w:rPr>
        <w:t xml:space="preserve"> z </w:t>
      </w:r>
      <w:r w:rsidRPr="0024375B">
        <w:rPr>
          <w:rFonts w:ascii="Times New Roman" w:hAnsi="Times New Roman" w:cs="Times New Roman"/>
        </w:rPr>
        <w:t>chwilą mianowania przez Prezydenta Rzeczypospolitej Polskiej,</w:t>
      </w:r>
      <w:r w:rsidR="0077165A">
        <w:rPr>
          <w:rFonts w:ascii="Times New Roman" w:hAnsi="Times New Roman" w:cs="Times New Roman"/>
        </w:rPr>
        <w:t xml:space="preserve"> o </w:t>
      </w:r>
      <w:r w:rsidRPr="0024375B">
        <w:rPr>
          <w:rFonts w:ascii="Times New Roman" w:hAnsi="Times New Roman" w:cs="Times New Roman"/>
        </w:rPr>
        <w:t>ile Prezydent RP nie określi innego terminu przejęcia dowodzenia, Naczelny Dowódca Sił Zbrojnych przejmuje dowodzenie Siłami Zbrojnymi oraz jednostkami organizacyjnymi, podporządkowanymi mu zgodnie</w:t>
      </w:r>
      <w:r w:rsidR="002161FE">
        <w:rPr>
          <w:rFonts w:ascii="Times New Roman" w:hAnsi="Times New Roman" w:cs="Times New Roman"/>
        </w:rPr>
        <w:t xml:space="preserve"> z </w:t>
      </w:r>
      <w:r w:rsidRPr="0024375B">
        <w:rPr>
          <w:rFonts w:ascii="Times New Roman" w:hAnsi="Times New Roman" w:cs="Times New Roman"/>
        </w:rPr>
        <w:t>narodowymi planami użycia Sił Zbrojnych do obrony państwa. Natomiast</w:t>
      </w:r>
      <w:r w:rsidR="00EA1900">
        <w:rPr>
          <w:rFonts w:ascii="Times New Roman" w:hAnsi="Times New Roman" w:cs="Times New Roman"/>
        </w:rPr>
        <w:t xml:space="preserve"> w </w:t>
      </w:r>
      <w:r w:rsidRPr="0024375B">
        <w:rPr>
          <w:rFonts w:ascii="Times New Roman" w:hAnsi="Times New Roman" w:cs="Times New Roman"/>
        </w:rPr>
        <w:t>myśl</w:t>
      </w:r>
      <w:r w:rsidR="00EA1900">
        <w:rPr>
          <w:rFonts w:ascii="Times New Roman" w:hAnsi="Times New Roman" w:cs="Times New Roman"/>
        </w:rPr>
        <w:t xml:space="preserve"> art. </w:t>
      </w:r>
      <w:r w:rsidRPr="0024375B">
        <w:rPr>
          <w:rFonts w:ascii="Times New Roman" w:hAnsi="Times New Roman" w:cs="Times New Roman"/>
        </w:rPr>
        <w:t xml:space="preserve">23 </w:t>
      </w:r>
      <w:r w:rsidR="00D00CB4">
        <w:rPr>
          <w:rFonts w:ascii="Times New Roman" w:hAnsi="Times New Roman" w:cs="Times New Roman"/>
        </w:rPr>
        <w:t>ust. </w:t>
      </w:r>
      <w:r w:rsidRPr="0024375B">
        <w:rPr>
          <w:rFonts w:ascii="Times New Roman" w:hAnsi="Times New Roman" w:cs="Times New Roman"/>
        </w:rPr>
        <w:t>1 pkt 2 ustawy</w:t>
      </w:r>
      <w:r w:rsidR="002161FE">
        <w:rPr>
          <w:rFonts w:ascii="Times New Roman" w:hAnsi="Times New Roman" w:cs="Times New Roman"/>
        </w:rPr>
        <w:t xml:space="preserve"> z </w:t>
      </w:r>
      <w:r w:rsidRPr="0024375B">
        <w:rPr>
          <w:rFonts w:ascii="Times New Roman" w:hAnsi="Times New Roman" w:cs="Times New Roman"/>
        </w:rPr>
        <w:t>dnia 11 marca 2022 r.</w:t>
      </w:r>
      <w:r w:rsidR="0077165A">
        <w:rPr>
          <w:rFonts w:ascii="Times New Roman" w:hAnsi="Times New Roman" w:cs="Times New Roman"/>
        </w:rPr>
        <w:t xml:space="preserve"> o </w:t>
      </w:r>
      <w:r w:rsidRPr="0024375B">
        <w:rPr>
          <w:rFonts w:ascii="Times New Roman" w:hAnsi="Times New Roman" w:cs="Times New Roman"/>
        </w:rPr>
        <w:t>obronie Ojczyzny</w:t>
      </w:r>
      <w:r w:rsidR="00B038AD">
        <w:rPr>
          <w:rFonts w:ascii="Times New Roman" w:hAnsi="Times New Roman" w:cs="Times New Roman"/>
        </w:rPr>
        <w:t>,</w:t>
      </w:r>
      <w:r w:rsidRPr="0024375B">
        <w:rPr>
          <w:rFonts w:ascii="Times New Roman" w:hAnsi="Times New Roman" w:cs="Times New Roman"/>
        </w:rPr>
        <w:t xml:space="preserve"> Dowódca KWOC jest właściwy</w:t>
      </w:r>
      <w:r w:rsidR="00EA1900">
        <w:rPr>
          <w:rFonts w:ascii="Times New Roman" w:hAnsi="Times New Roman" w:cs="Times New Roman"/>
        </w:rPr>
        <w:t xml:space="preserve"> w </w:t>
      </w:r>
      <w:r w:rsidRPr="0024375B">
        <w:rPr>
          <w:rFonts w:ascii="Times New Roman" w:hAnsi="Times New Roman" w:cs="Times New Roman"/>
        </w:rPr>
        <w:t>zakresie dowodzenia jednostkami wojskowymi</w:t>
      </w:r>
      <w:r w:rsidR="002161FE">
        <w:rPr>
          <w:rFonts w:ascii="Times New Roman" w:hAnsi="Times New Roman" w:cs="Times New Roman"/>
        </w:rPr>
        <w:t xml:space="preserve"> i </w:t>
      </w:r>
      <w:r w:rsidRPr="0024375B">
        <w:rPr>
          <w:rFonts w:ascii="Times New Roman" w:hAnsi="Times New Roman" w:cs="Times New Roman"/>
        </w:rPr>
        <w:t>związkami organizacyjnymi Wojsk Obrony Cyberprzestrzeni</w:t>
      </w:r>
      <w:r w:rsidR="002161FE">
        <w:rPr>
          <w:rFonts w:ascii="Times New Roman" w:hAnsi="Times New Roman" w:cs="Times New Roman"/>
        </w:rPr>
        <w:t xml:space="preserve"> i </w:t>
      </w:r>
      <w:r w:rsidRPr="0024375B">
        <w:rPr>
          <w:rFonts w:ascii="Times New Roman" w:hAnsi="Times New Roman" w:cs="Times New Roman"/>
        </w:rPr>
        <w:t>podlega Naczelnemu Dowódcy Sił Zbrojnych</w:t>
      </w:r>
      <w:r w:rsidR="002161FE">
        <w:rPr>
          <w:rFonts w:ascii="Times New Roman" w:hAnsi="Times New Roman" w:cs="Times New Roman"/>
        </w:rPr>
        <w:t xml:space="preserve"> z </w:t>
      </w:r>
      <w:r w:rsidRPr="0024375B">
        <w:rPr>
          <w:rFonts w:ascii="Times New Roman" w:hAnsi="Times New Roman" w:cs="Times New Roman"/>
        </w:rPr>
        <w:t>chwilą jego mianowania</w:t>
      </w:r>
      <w:r w:rsidR="002161FE">
        <w:rPr>
          <w:rFonts w:ascii="Times New Roman" w:hAnsi="Times New Roman" w:cs="Times New Roman"/>
        </w:rPr>
        <w:t xml:space="preserve"> i </w:t>
      </w:r>
      <w:r w:rsidRPr="0024375B">
        <w:rPr>
          <w:rFonts w:ascii="Times New Roman" w:hAnsi="Times New Roman" w:cs="Times New Roman"/>
        </w:rPr>
        <w:t>przejęcia przez niego dowodzenia Siłami Zbrojnymi.</w:t>
      </w:r>
    </w:p>
    <w:p w14:paraId="25A1665E" w14:textId="77777777" w:rsidR="009645A0" w:rsidRPr="0024375B" w:rsidRDefault="009645A0" w:rsidP="0024375B">
      <w:pPr>
        <w:pStyle w:val="ARTartustawynprozporzdzenia"/>
        <w:rPr>
          <w:rFonts w:ascii="Times New Roman" w:hAnsi="Times New Roman" w:cs="Times New Roman"/>
        </w:rPr>
      </w:pPr>
      <w:r w:rsidRPr="0024375B">
        <w:rPr>
          <w:rFonts w:ascii="Times New Roman" w:hAnsi="Times New Roman" w:cs="Times New Roman"/>
        </w:rPr>
        <w:t>Proponowany przepis zabezpiecza realizację zadań Ministra Obrony Narodowej wynikających</w:t>
      </w:r>
      <w:r w:rsidR="002161FE">
        <w:rPr>
          <w:rFonts w:ascii="Times New Roman" w:hAnsi="Times New Roman" w:cs="Times New Roman"/>
        </w:rPr>
        <w:t xml:space="preserve"> z </w:t>
      </w:r>
      <w:r w:rsidRPr="0024375B">
        <w:rPr>
          <w:rFonts w:ascii="Times New Roman" w:hAnsi="Times New Roman" w:cs="Times New Roman"/>
        </w:rPr>
        <w:t>ustawy</w:t>
      </w:r>
      <w:r w:rsidR="0077165A">
        <w:rPr>
          <w:rFonts w:ascii="Times New Roman" w:hAnsi="Times New Roman" w:cs="Times New Roman"/>
        </w:rPr>
        <w:t xml:space="preserve"> o </w:t>
      </w:r>
      <w:r w:rsidRPr="0024375B">
        <w:rPr>
          <w:rFonts w:ascii="Times New Roman" w:hAnsi="Times New Roman" w:cs="Times New Roman"/>
        </w:rPr>
        <w:t>krajowym systemie cyberbezpieczeństwa -</w:t>
      </w:r>
      <w:r w:rsidR="00DB44AE" w:rsidRPr="0024375B">
        <w:rPr>
          <w:rFonts w:ascii="Times New Roman" w:hAnsi="Times New Roman" w:cs="Times New Roman"/>
        </w:rPr>
        <w:t xml:space="preserve"> </w:t>
      </w:r>
      <w:r w:rsidRPr="0024375B">
        <w:rPr>
          <w:rFonts w:ascii="Times New Roman" w:hAnsi="Times New Roman" w:cs="Times New Roman"/>
        </w:rPr>
        <w:t>od chwili mianowania Naczelnego Dowódcy Sił Zbrojnych.</w:t>
      </w:r>
    </w:p>
    <w:p w14:paraId="3BE0E70F" w14:textId="77777777" w:rsidR="00565181" w:rsidRPr="0024375B" w:rsidRDefault="00565181" w:rsidP="00DC1575">
      <w:pPr>
        <w:pStyle w:val="Nagwek4"/>
      </w:pPr>
      <w:r w:rsidRPr="0024375B">
        <w:t>Zmiany</w:t>
      </w:r>
      <w:r w:rsidR="00EA1900">
        <w:t xml:space="preserve"> w </w:t>
      </w:r>
      <w:r w:rsidRPr="0024375B">
        <w:t>rozdziale 11</w:t>
      </w:r>
    </w:p>
    <w:p w14:paraId="3E0D0C28" w14:textId="77777777" w:rsidR="003A6B3C" w:rsidRPr="0024375B" w:rsidRDefault="003A6B3C" w:rsidP="0024375B">
      <w:pPr>
        <w:spacing w:before="120"/>
        <w:ind w:firstLine="510"/>
        <w:jc w:val="both"/>
        <w:rPr>
          <w:rFonts w:eastAsia="Times New Roman" w:cs="Times New Roman"/>
          <w:szCs w:val="24"/>
        </w:rPr>
      </w:pPr>
      <w:r w:rsidRPr="0024375B">
        <w:rPr>
          <w:rFonts w:eastAsia="Times New Roman" w:cs="Times New Roman"/>
          <w:szCs w:val="24"/>
        </w:rPr>
        <w:t>Zmiany</w:t>
      </w:r>
      <w:r w:rsidR="00EA1900">
        <w:rPr>
          <w:rFonts w:eastAsia="Times New Roman" w:cs="Times New Roman"/>
          <w:szCs w:val="24"/>
        </w:rPr>
        <w:t xml:space="preserve"> w </w:t>
      </w:r>
      <w:r w:rsidRPr="0024375B">
        <w:rPr>
          <w:rFonts w:eastAsia="Times New Roman" w:cs="Times New Roman"/>
          <w:szCs w:val="24"/>
        </w:rPr>
        <w:t>rozdziale 11 umożliwią Prezesowi UKE nadzór</w:t>
      </w:r>
      <w:r w:rsidR="002161FE">
        <w:rPr>
          <w:rFonts w:eastAsia="Times New Roman" w:cs="Times New Roman"/>
          <w:szCs w:val="24"/>
        </w:rPr>
        <w:t xml:space="preserve"> i </w:t>
      </w:r>
      <w:r w:rsidRPr="0024375B">
        <w:rPr>
          <w:rFonts w:eastAsia="Times New Roman" w:cs="Times New Roman"/>
          <w:szCs w:val="24"/>
        </w:rPr>
        <w:t>kontrolę na przedsiębiorcami komunikacji elektronicznej</w:t>
      </w:r>
      <w:r w:rsidR="00EA1900">
        <w:rPr>
          <w:rFonts w:eastAsia="Times New Roman" w:cs="Times New Roman"/>
          <w:szCs w:val="24"/>
        </w:rPr>
        <w:t xml:space="preserve"> w </w:t>
      </w:r>
      <w:r w:rsidRPr="0024375B">
        <w:rPr>
          <w:rFonts w:eastAsia="Times New Roman" w:cs="Times New Roman"/>
          <w:szCs w:val="24"/>
        </w:rPr>
        <w:t>zakresie bezpieczeństwa sieci</w:t>
      </w:r>
      <w:r w:rsidR="002161FE">
        <w:rPr>
          <w:rFonts w:eastAsia="Times New Roman" w:cs="Times New Roman"/>
          <w:szCs w:val="24"/>
        </w:rPr>
        <w:t xml:space="preserve"> </w:t>
      </w:r>
      <w:r w:rsidR="00F52BD7">
        <w:rPr>
          <w:rFonts w:eastAsia="Times New Roman" w:cs="Times New Roman"/>
          <w:szCs w:val="24"/>
        </w:rPr>
        <w:t>lub</w:t>
      </w:r>
      <w:r w:rsidR="002161FE">
        <w:rPr>
          <w:rFonts w:eastAsia="Times New Roman" w:cs="Times New Roman"/>
          <w:szCs w:val="24"/>
        </w:rPr>
        <w:t> </w:t>
      </w:r>
      <w:r w:rsidRPr="0024375B">
        <w:rPr>
          <w:rFonts w:eastAsia="Times New Roman" w:cs="Times New Roman"/>
          <w:szCs w:val="24"/>
        </w:rPr>
        <w:t xml:space="preserve">usług komunikacji elektronicznej oraz zgłaszania incydentów telekomunikacyjnych. </w:t>
      </w:r>
      <w:r w:rsidR="00AA44E2" w:rsidRPr="0024375B">
        <w:rPr>
          <w:rFonts w:eastAsia="Times New Roman" w:cs="Times New Roman"/>
          <w:szCs w:val="24"/>
        </w:rPr>
        <w:t xml:space="preserve">Prezes UKE będzie mógł wydawać zalecenia pokontrolne wobec przedsiębiorców komunikacji elektronicznej. Ponadto będzie mógł wezwać </w:t>
      </w:r>
      <w:r w:rsidR="0066523F" w:rsidRPr="0024375B">
        <w:rPr>
          <w:rFonts w:eastAsia="Times New Roman" w:cs="Times New Roman"/>
          <w:szCs w:val="24"/>
        </w:rPr>
        <w:t xml:space="preserve">przedsiębiorcę komunikacji elektronicznej </w:t>
      </w:r>
      <w:r w:rsidR="00AA44E2" w:rsidRPr="0024375B">
        <w:rPr>
          <w:rFonts w:eastAsia="Times New Roman" w:cs="Times New Roman"/>
          <w:szCs w:val="24"/>
        </w:rPr>
        <w:t xml:space="preserve">do usunięcia </w:t>
      </w:r>
      <w:r w:rsidR="0013521B" w:rsidRPr="0024375B">
        <w:rPr>
          <w:rFonts w:eastAsia="Times New Roman" w:cs="Times New Roman"/>
          <w:szCs w:val="24"/>
        </w:rPr>
        <w:t xml:space="preserve">podatności, które doprowadziły lub mogły doprowadzić do incydentu telekomunikacyjnego lub krytycznego. </w:t>
      </w:r>
      <w:r w:rsidR="00F52BD7">
        <w:rPr>
          <w:rFonts w:eastAsia="Times New Roman" w:cs="Times New Roman"/>
          <w:szCs w:val="24"/>
        </w:rPr>
        <w:t xml:space="preserve">Zmiany te pozwolą Prezesowi UKE na skutecznie badanie, czy </w:t>
      </w:r>
      <w:r w:rsidR="00F52BD7">
        <w:rPr>
          <w:rFonts w:eastAsia="Times New Roman" w:cs="Times New Roman"/>
          <w:szCs w:val="24"/>
        </w:rPr>
        <w:lastRenderedPageBreak/>
        <w:t>przedsiębiorcy komunikacji elektronicznej rzeczywiście wykonują swoje obowiązki z zakresu bezpieczeństwa sieci lub usług komunikacji elektronicznej.</w:t>
      </w:r>
    </w:p>
    <w:p w14:paraId="15982EFA" w14:textId="77777777" w:rsidR="00983C3C" w:rsidRPr="0024375B" w:rsidRDefault="121AA7F3" w:rsidP="00862E68">
      <w:pPr>
        <w:pStyle w:val="Nagwek3"/>
        <w:rPr>
          <w:rFonts w:eastAsia="Times New Roman"/>
        </w:rPr>
      </w:pPr>
      <w:bookmarkStart w:id="32" w:name="_Toc136511054"/>
      <w:r w:rsidRPr="0024375B">
        <w:rPr>
          <w:rFonts w:eastAsia="Times New Roman"/>
        </w:rPr>
        <w:t>Krajowy system certyfikacji cyberbezpieczeństwa</w:t>
      </w:r>
      <w:bookmarkEnd w:id="32"/>
    </w:p>
    <w:p w14:paraId="0A4EFB80"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Po rozdziale 11 zostaje dodany rozdział 11a</w:t>
      </w:r>
      <w:r w:rsidR="006046F3" w:rsidRPr="0024375B">
        <w:rPr>
          <w:rFonts w:ascii="Times New Roman" w:hAnsi="Times New Roman" w:cs="Times New Roman"/>
        </w:rPr>
        <w:t>,</w:t>
      </w:r>
      <w:r w:rsidRPr="0024375B">
        <w:rPr>
          <w:rFonts w:ascii="Times New Roman" w:hAnsi="Times New Roman" w:cs="Times New Roman"/>
        </w:rPr>
        <w:t xml:space="preserve"> zawierający przepisy 59a</w:t>
      </w:r>
      <w:r w:rsidR="00B85A6F">
        <w:rPr>
          <w:rFonts w:ascii="Times New Roman" w:hAnsi="Times New Roman" w:cs="Times New Roman"/>
        </w:rPr>
        <w:t>–</w:t>
      </w:r>
      <w:r w:rsidRPr="0024375B">
        <w:rPr>
          <w:rFonts w:ascii="Times New Roman" w:hAnsi="Times New Roman" w:cs="Times New Roman"/>
        </w:rPr>
        <w:t>59z regulujące krajowy system certyfikacji cyberbezpieczeństwa.</w:t>
      </w:r>
    </w:p>
    <w:p w14:paraId="13130657" w14:textId="77777777" w:rsidR="00634506" w:rsidRPr="0024375B" w:rsidRDefault="00634506" w:rsidP="00DC1575">
      <w:pPr>
        <w:pStyle w:val="Nagwek4"/>
      </w:pPr>
      <w:r w:rsidRPr="0024375B">
        <w:t>Nowy</w:t>
      </w:r>
      <w:r w:rsidR="00EA1900">
        <w:t xml:space="preserve"> art. </w:t>
      </w:r>
      <w:r w:rsidRPr="0024375B">
        <w:t>59a</w:t>
      </w:r>
    </w:p>
    <w:p w14:paraId="5BE6EADB" w14:textId="77777777" w:rsidR="00234C8C"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Projektowany</w:t>
      </w:r>
      <w:r w:rsidR="00EA1900">
        <w:rPr>
          <w:rFonts w:ascii="Times New Roman" w:hAnsi="Times New Roman" w:cs="Times New Roman"/>
        </w:rPr>
        <w:t xml:space="preserve"> art. </w:t>
      </w:r>
      <w:r w:rsidRPr="0024375B">
        <w:rPr>
          <w:rFonts w:ascii="Times New Roman" w:hAnsi="Times New Roman" w:cs="Times New Roman"/>
        </w:rPr>
        <w:t>59</w:t>
      </w:r>
      <w:r w:rsidR="00F731A3" w:rsidRPr="0024375B">
        <w:rPr>
          <w:rFonts w:ascii="Times New Roman" w:hAnsi="Times New Roman" w:cs="Times New Roman"/>
        </w:rPr>
        <w:t>a</w:t>
      </w:r>
      <w:r w:rsidRPr="0024375B">
        <w:rPr>
          <w:rFonts w:ascii="Times New Roman" w:hAnsi="Times New Roman" w:cs="Times New Roman"/>
        </w:rPr>
        <w:t xml:space="preserve"> wyznacza zakres podmiotowy nowego systemu oraz wskazuje organ nadzoru nad jego działaniem.</w:t>
      </w:r>
      <w:r w:rsidR="00234C8C" w:rsidRPr="0024375B">
        <w:rPr>
          <w:rFonts w:ascii="Times New Roman" w:hAnsi="Times New Roman" w:cs="Times New Roman"/>
        </w:rPr>
        <w:t xml:space="preserve"> Do systemu będą należały Polskie Centrum Akredytacji, minister właściwy do spraw informatyzacji oraz zainteresowane jednostki oceniające zgodność</w:t>
      </w:r>
      <w:r w:rsidR="002161FE">
        <w:rPr>
          <w:rFonts w:ascii="Times New Roman" w:hAnsi="Times New Roman" w:cs="Times New Roman"/>
        </w:rPr>
        <w:t xml:space="preserve"> i </w:t>
      </w:r>
      <w:r w:rsidR="00234C8C" w:rsidRPr="0024375B">
        <w:rPr>
          <w:rFonts w:ascii="Times New Roman" w:hAnsi="Times New Roman" w:cs="Times New Roman"/>
        </w:rPr>
        <w:t>przedsiębiorcy certyfikując</w:t>
      </w:r>
      <w:r w:rsidR="00180CC6" w:rsidRPr="0024375B">
        <w:rPr>
          <w:rFonts w:ascii="Times New Roman" w:hAnsi="Times New Roman" w:cs="Times New Roman"/>
        </w:rPr>
        <w:t>y</w:t>
      </w:r>
      <w:r w:rsidR="00234C8C" w:rsidRPr="0024375B">
        <w:rPr>
          <w:rFonts w:ascii="Times New Roman" w:hAnsi="Times New Roman" w:cs="Times New Roman"/>
        </w:rPr>
        <w:t xml:space="preserve"> swoje produkty. Należy tu podkreślić, że podmioty prywatne nie będą</w:t>
      </w:r>
      <w:r w:rsidR="00EA1900">
        <w:rPr>
          <w:rFonts w:ascii="Times New Roman" w:hAnsi="Times New Roman" w:cs="Times New Roman"/>
        </w:rPr>
        <w:t xml:space="preserve"> w </w:t>
      </w:r>
      <w:r w:rsidR="00700C8C" w:rsidRPr="0024375B">
        <w:rPr>
          <w:rFonts w:ascii="Times New Roman" w:hAnsi="Times New Roman" w:cs="Times New Roman"/>
        </w:rPr>
        <w:t>żad</w:t>
      </w:r>
      <w:r w:rsidR="00234C8C" w:rsidRPr="0024375B">
        <w:rPr>
          <w:rFonts w:ascii="Times New Roman" w:hAnsi="Times New Roman" w:cs="Times New Roman"/>
        </w:rPr>
        <w:t>e</w:t>
      </w:r>
      <w:r w:rsidR="001A724B" w:rsidRPr="0024375B">
        <w:rPr>
          <w:rFonts w:ascii="Times New Roman" w:hAnsi="Times New Roman" w:cs="Times New Roman"/>
        </w:rPr>
        <w:t>n</w:t>
      </w:r>
      <w:r w:rsidR="00234C8C" w:rsidRPr="0024375B">
        <w:rPr>
          <w:rFonts w:ascii="Times New Roman" w:hAnsi="Times New Roman" w:cs="Times New Roman"/>
        </w:rPr>
        <w:t xml:space="preserve"> sposób zmuszone do dołączenia do tego systemu. Obowiązki</w:t>
      </w:r>
      <w:r w:rsidR="002161FE">
        <w:rPr>
          <w:rFonts w:ascii="Times New Roman" w:hAnsi="Times New Roman" w:cs="Times New Roman"/>
        </w:rPr>
        <w:t xml:space="preserve"> z </w:t>
      </w:r>
      <w:r w:rsidR="00234C8C" w:rsidRPr="0024375B">
        <w:rPr>
          <w:rFonts w:ascii="Times New Roman" w:hAnsi="Times New Roman" w:cs="Times New Roman"/>
        </w:rPr>
        <w:t>niego wynikające będą więc dotyczyć tylko tych, którzy dobrowolnie się im poddadzą. Tyczy się to zarówno jednostek oceniających zgodność jak</w:t>
      </w:r>
      <w:r w:rsidR="002161FE">
        <w:rPr>
          <w:rFonts w:ascii="Times New Roman" w:hAnsi="Times New Roman" w:cs="Times New Roman"/>
        </w:rPr>
        <w:t xml:space="preserve"> i </w:t>
      </w:r>
      <w:r w:rsidR="00234C8C" w:rsidRPr="0024375B">
        <w:rPr>
          <w:rFonts w:ascii="Times New Roman" w:hAnsi="Times New Roman" w:cs="Times New Roman"/>
        </w:rPr>
        <w:t xml:space="preserve">wytwórców. </w:t>
      </w:r>
    </w:p>
    <w:p w14:paraId="44CCB6B0" w14:textId="77777777" w:rsidR="00634506" w:rsidRPr="0024375B" w:rsidRDefault="00634506" w:rsidP="00DC1575">
      <w:pPr>
        <w:pStyle w:val="Nagwek4"/>
      </w:pPr>
      <w:r w:rsidRPr="0024375B">
        <w:t>Nowy</w:t>
      </w:r>
      <w:r w:rsidR="00EA1900">
        <w:t xml:space="preserve"> art. </w:t>
      </w:r>
      <w:r w:rsidRPr="0024375B">
        <w:t>59b</w:t>
      </w:r>
    </w:p>
    <w:p w14:paraId="7C8963B0" w14:textId="77777777" w:rsidR="00347C6B"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Art. 59</w:t>
      </w:r>
      <w:r w:rsidR="00F731A3" w:rsidRPr="0024375B">
        <w:rPr>
          <w:rFonts w:ascii="Times New Roman" w:hAnsi="Times New Roman" w:cs="Times New Roman"/>
        </w:rPr>
        <w:t>b</w:t>
      </w:r>
      <w:r w:rsidRPr="0024375B">
        <w:rPr>
          <w:rFonts w:ascii="Times New Roman" w:hAnsi="Times New Roman" w:cs="Times New Roman"/>
        </w:rPr>
        <w:t xml:space="preserve"> wyznacza zadania dla ministra właściwego do spraw informatyzacji. Zadania te wynikają wprost</w:t>
      </w:r>
      <w:r w:rsidR="002161FE">
        <w:rPr>
          <w:rFonts w:ascii="Times New Roman" w:hAnsi="Times New Roman" w:cs="Times New Roman"/>
        </w:rPr>
        <w:t xml:space="preserve"> z </w:t>
      </w:r>
      <w:r w:rsidRPr="0024375B">
        <w:rPr>
          <w:rFonts w:ascii="Times New Roman" w:hAnsi="Times New Roman" w:cs="Times New Roman"/>
        </w:rPr>
        <w:t xml:space="preserve">przepisów </w:t>
      </w:r>
      <w:r w:rsidR="003A6DBF" w:rsidRPr="0024375B">
        <w:rPr>
          <w:rFonts w:ascii="Times New Roman" w:hAnsi="Times New Roman" w:cs="Times New Roman"/>
        </w:rPr>
        <w:t>A</w:t>
      </w:r>
      <w:r w:rsidRPr="0024375B">
        <w:rPr>
          <w:rFonts w:ascii="Times New Roman" w:hAnsi="Times New Roman" w:cs="Times New Roman"/>
        </w:rPr>
        <w:t>ktu</w:t>
      </w:r>
      <w:r w:rsidR="0077165A">
        <w:rPr>
          <w:rFonts w:ascii="Times New Roman" w:hAnsi="Times New Roman" w:cs="Times New Roman"/>
        </w:rPr>
        <w:t xml:space="preserve"> o </w:t>
      </w:r>
      <w:r w:rsidRPr="0024375B">
        <w:rPr>
          <w:rFonts w:ascii="Times New Roman" w:hAnsi="Times New Roman" w:cs="Times New Roman"/>
        </w:rPr>
        <w:t>cyberbezpieczeństwie</w:t>
      </w:r>
      <w:r w:rsidR="002161FE">
        <w:rPr>
          <w:rFonts w:ascii="Times New Roman" w:hAnsi="Times New Roman" w:cs="Times New Roman"/>
        </w:rPr>
        <w:t xml:space="preserve"> i </w:t>
      </w:r>
      <w:r w:rsidRPr="0024375B">
        <w:rPr>
          <w:rFonts w:ascii="Times New Roman" w:hAnsi="Times New Roman" w:cs="Times New Roman"/>
        </w:rPr>
        <w:t>dotyczą nadzoru</w:t>
      </w:r>
      <w:r w:rsidR="002161FE">
        <w:rPr>
          <w:rFonts w:ascii="Times New Roman" w:hAnsi="Times New Roman" w:cs="Times New Roman"/>
        </w:rPr>
        <w:t xml:space="preserve"> i </w:t>
      </w:r>
      <w:r w:rsidRPr="0024375B">
        <w:rPr>
          <w:rFonts w:ascii="Times New Roman" w:hAnsi="Times New Roman" w:cs="Times New Roman"/>
        </w:rPr>
        <w:t>kontroli nad podmiotami tego systemu jak również współpracy międzynarodowej</w:t>
      </w:r>
      <w:r w:rsidR="00EA1900">
        <w:rPr>
          <w:rFonts w:ascii="Times New Roman" w:hAnsi="Times New Roman" w:cs="Times New Roman"/>
        </w:rPr>
        <w:t xml:space="preserve"> w </w:t>
      </w:r>
      <w:r w:rsidRPr="0024375B">
        <w:rPr>
          <w:rFonts w:ascii="Times New Roman" w:hAnsi="Times New Roman" w:cs="Times New Roman"/>
        </w:rPr>
        <w:t>tym zakresie.</w:t>
      </w:r>
      <w:r w:rsidR="00347C6B" w:rsidRPr="0024375B">
        <w:rPr>
          <w:rFonts w:ascii="Times New Roman" w:hAnsi="Times New Roman" w:cs="Times New Roman"/>
        </w:rPr>
        <w:t xml:space="preserve"> </w:t>
      </w:r>
    </w:p>
    <w:p w14:paraId="3DC24A67" w14:textId="77777777" w:rsidR="00347C6B" w:rsidRPr="0024375B" w:rsidRDefault="00347C6B"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Minister właściwy do spraw informatyzacji będzie dysponował również uprawnieniami</w:t>
      </w:r>
      <w:r w:rsidR="00EA1900">
        <w:rPr>
          <w:rFonts w:ascii="Times New Roman" w:hAnsi="Times New Roman" w:cs="Times New Roman"/>
        </w:rPr>
        <w:t xml:space="preserve"> w </w:t>
      </w:r>
      <w:r w:rsidRPr="0024375B">
        <w:rPr>
          <w:rFonts w:ascii="Times New Roman" w:hAnsi="Times New Roman" w:cs="Times New Roman"/>
        </w:rPr>
        <w:t>zakresie przeprowadzania kontroli przestrzegania przepisów projektowanej ustawy</w:t>
      </w:r>
      <w:r w:rsidR="00EA1900">
        <w:rPr>
          <w:rFonts w:ascii="Times New Roman" w:hAnsi="Times New Roman" w:cs="Times New Roman"/>
        </w:rPr>
        <w:t xml:space="preserve"> w </w:t>
      </w:r>
      <w:r w:rsidRPr="0024375B">
        <w:rPr>
          <w:rFonts w:ascii="Times New Roman" w:hAnsi="Times New Roman" w:cs="Times New Roman"/>
        </w:rPr>
        <w:t>zakresie certyfikacji cyberbezpieczeństwa.</w:t>
      </w:r>
      <w:r w:rsidR="00116933">
        <w:rPr>
          <w:rFonts w:ascii="Times New Roman" w:hAnsi="Times New Roman" w:cs="Times New Roman"/>
        </w:rPr>
        <w:t xml:space="preserve"> W </w:t>
      </w:r>
      <w:r w:rsidRPr="0024375B">
        <w:rPr>
          <w:rFonts w:ascii="Times New Roman" w:hAnsi="Times New Roman" w:cs="Times New Roman"/>
        </w:rPr>
        <w:t>tym zakresie będą stosowane przepisy dotychczas zawarte</w:t>
      </w:r>
      <w:r w:rsidR="00EA1900">
        <w:rPr>
          <w:rFonts w:ascii="Times New Roman" w:hAnsi="Times New Roman" w:cs="Times New Roman"/>
        </w:rPr>
        <w:t xml:space="preserve"> w </w:t>
      </w:r>
      <w:r w:rsidRPr="0024375B">
        <w:rPr>
          <w:rFonts w:ascii="Times New Roman" w:hAnsi="Times New Roman" w:cs="Times New Roman"/>
        </w:rPr>
        <w:t>ustawie</w:t>
      </w:r>
      <w:r w:rsidR="0077165A">
        <w:rPr>
          <w:rFonts w:ascii="Times New Roman" w:hAnsi="Times New Roman" w:cs="Times New Roman"/>
        </w:rPr>
        <w:t xml:space="preserve"> o </w:t>
      </w:r>
      <w:r w:rsidRPr="0024375B">
        <w:rPr>
          <w:rFonts w:ascii="Times New Roman" w:hAnsi="Times New Roman" w:cs="Times New Roman"/>
        </w:rPr>
        <w:t>krajowym systemie cyberbezpieczeństwa. Dzięki temu możliwe będzie prowadzenie efektywnego nadzoru praktycznie od początku obowiązywania nowej ustawy.</w:t>
      </w:r>
    </w:p>
    <w:p w14:paraId="61AD27CF" w14:textId="77777777" w:rsidR="00347C6B" w:rsidRPr="0024375B" w:rsidRDefault="00347C6B"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 ramach obowiązków krajowego organu minister właściwy do spraw informatyzacji będzie prowadzić szereg postępowań administracyjnych dotyczących m.in.:</w:t>
      </w:r>
    </w:p>
    <w:p w14:paraId="4ADD1A99" w14:textId="77777777" w:rsidR="00347C6B" w:rsidRPr="0024375B" w:rsidDel="00387D62" w:rsidRDefault="00347C6B" w:rsidP="0024375B">
      <w:pPr>
        <w:pStyle w:val="NIEARTTEKSTtekstnieartykuowanynppodstprawnarozplubpreambua"/>
        <w:numPr>
          <w:ilvl w:val="0"/>
          <w:numId w:val="48"/>
        </w:numPr>
        <w:ind w:left="851" w:firstLine="0"/>
        <w:rPr>
          <w:rFonts w:ascii="Times New Roman" w:hAnsi="Times New Roman" w:cs="Times New Roman"/>
        </w:rPr>
      </w:pPr>
      <w:r w:rsidRPr="0024375B">
        <w:rPr>
          <w:rFonts w:ascii="Times New Roman" w:hAnsi="Times New Roman" w:cs="Times New Roman"/>
        </w:rPr>
        <w:t>zatwierdzania certyfikatów odwołujących się do poziomu zaufania wysoki</w:t>
      </w:r>
      <w:r w:rsidR="008D57A6" w:rsidRPr="0024375B">
        <w:rPr>
          <w:rFonts w:ascii="Times New Roman" w:hAnsi="Times New Roman" w:cs="Times New Roman"/>
        </w:rPr>
        <w:t>,</w:t>
      </w:r>
      <w:r w:rsidRPr="0024375B">
        <w:rPr>
          <w:rFonts w:ascii="Times New Roman" w:hAnsi="Times New Roman" w:cs="Times New Roman"/>
        </w:rPr>
        <w:t xml:space="preserve"> </w:t>
      </w:r>
    </w:p>
    <w:p w14:paraId="1F5236BA" w14:textId="18289B6F" w:rsidR="00347C6B" w:rsidRPr="0024375B" w:rsidDel="00387D62" w:rsidRDefault="00347C6B" w:rsidP="0024375B">
      <w:pPr>
        <w:pStyle w:val="NIEARTTEKSTtekstnieartykuowanynppodstprawnarozplubpreambua"/>
        <w:numPr>
          <w:ilvl w:val="0"/>
          <w:numId w:val="48"/>
        </w:numPr>
        <w:ind w:left="851" w:firstLine="0"/>
        <w:rPr>
          <w:rFonts w:ascii="Times New Roman" w:hAnsi="Times New Roman" w:cs="Times New Roman"/>
        </w:rPr>
      </w:pPr>
      <w:r w:rsidRPr="0024375B">
        <w:rPr>
          <w:rFonts w:ascii="Times New Roman" w:hAnsi="Times New Roman" w:cs="Times New Roman"/>
        </w:rPr>
        <w:t>wydawania zezwoleń na prowadzenie oceny zgodności</w:t>
      </w:r>
      <w:r w:rsidR="00EA1900">
        <w:rPr>
          <w:rFonts w:ascii="Times New Roman" w:hAnsi="Times New Roman" w:cs="Times New Roman"/>
        </w:rPr>
        <w:t xml:space="preserve"> w </w:t>
      </w:r>
      <w:r w:rsidRPr="0024375B">
        <w:rPr>
          <w:rFonts w:ascii="Times New Roman" w:hAnsi="Times New Roman" w:cs="Times New Roman"/>
        </w:rPr>
        <w:t>przypadku</w:t>
      </w:r>
      <w:r w:rsidR="0CB53F28" w:rsidRPr="0024375B">
        <w:rPr>
          <w:rFonts w:ascii="Times New Roman" w:hAnsi="Times New Roman" w:cs="Times New Roman"/>
        </w:rPr>
        <w:t>,</w:t>
      </w:r>
      <w:r w:rsidRPr="0024375B">
        <w:rPr>
          <w:rFonts w:ascii="Times New Roman" w:hAnsi="Times New Roman" w:cs="Times New Roman"/>
        </w:rPr>
        <w:t xml:space="preserve"> gdy program certyfikacyjny określa szczególne wymagania dla jednostek oceniających</w:t>
      </w:r>
      <w:r w:rsidR="00B038AD">
        <w:rPr>
          <w:rFonts w:ascii="Times New Roman" w:hAnsi="Times New Roman" w:cs="Times New Roman"/>
        </w:rPr>
        <w:t xml:space="preserve"> zgodność</w:t>
      </w:r>
      <w:r w:rsidR="008D57A6" w:rsidRPr="0024375B">
        <w:rPr>
          <w:rFonts w:ascii="Times New Roman" w:hAnsi="Times New Roman" w:cs="Times New Roman"/>
        </w:rPr>
        <w:t>,</w:t>
      </w:r>
      <w:r w:rsidRPr="0024375B">
        <w:rPr>
          <w:rFonts w:ascii="Times New Roman" w:hAnsi="Times New Roman" w:cs="Times New Roman"/>
        </w:rPr>
        <w:t xml:space="preserve"> </w:t>
      </w:r>
    </w:p>
    <w:p w14:paraId="300A3A90" w14:textId="77777777" w:rsidR="00347C6B" w:rsidRPr="0024375B" w:rsidDel="00387D62" w:rsidRDefault="00347C6B" w:rsidP="0024375B">
      <w:pPr>
        <w:pStyle w:val="NIEARTTEKSTtekstnieartykuowanynppodstprawnarozplubpreambua"/>
        <w:numPr>
          <w:ilvl w:val="0"/>
          <w:numId w:val="48"/>
        </w:numPr>
        <w:ind w:left="851" w:firstLine="0"/>
        <w:rPr>
          <w:rFonts w:ascii="Times New Roman" w:hAnsi="Times New Roman" w:cs="Times New Roman"/>
        </w:rPr>
      </w:pPr>
      <w:r w:rsidRPr="0024375B">
        <w:rPr>
          <w:rFonts w:ascii="Times New Roman" w:hAnsi="Times New Roman" w:cs="Times New Roman"/>
        </w:rPr>
        <w:t>cofania</w:t>
      </w:r>
      <w:r w:rsidR="002161FE">
        <w:rPr>
          <w:rFonts w:ascii="Times New Roman" w:hAnsi="Times New Roman" w:cs="Times New Roman"/>
        </w:rPr>
        <w:t xml:space="preserve"> i </w:t>
      </w:r>
      <w:r w:rsidRPr="0024375B">
        <w:rPr>
          <w:rFonts w:ascii="Times New Roman" w:hAnsi="Times New Roman" w:cs="Times New Roman"/>
        </w:rPr>
        <w:t>ograniczania, zezwoleń na prowadzenie oceny zgodności</w:t>
      </w:r>
      <w:r w:rsidR="00EA1900">
        <w:rPr>
          <w:rFonts w:ascii="Times New Roman" w:hAnsi="Times New Roman" w:cs="Times New Roman"/>
        </w:rPr>
        <w:t xml:space="preserve"> w </w:t>
      </w:r>
      <w:r w:rsidRPr="0024375B">
        <w:rPr>
          <w:rFonts w:ascii="Times New Roman" w:hAnsi="Times New Roman" w:cs="Times New Roman"/>
        </w:rPr>
        <w:t>przypadku, gdy program certyfikacyjny określa szczególne wymagania dla jednostek oceniających zgodność</w:t>
      </w:r>
      <w:r w:rsidR="00A3395F" w:rsidRPr="0024375B">
        <w:rPr>
          <w:rFonts w:ascii="Times New Roman" w:hAnsi="Times New Roman" w:cs="Times New Roman"/>
        </w:rPr>
        <w:t>,</w:t>
      </w:r>
      <w:r w:rsidRPr="0024375B">
        <w:rPr>
          <w:rFonts w:ascii="Times New Roman" w:hAnsi="Times New Roman" w:cs="Times New Roman"/>
        </w:rPr>
        <w:t xml:space="preserve"> </w:t>
      </w:r>
    </w:p>
    <w:p w14:paraId="13757A9C" w14:textId="77777777" w:rsidR="00347C6B" w:rsidRPr="0024375B" w:rsidDel="00387D62" w:rsidRDefault="00347C6B" w:rsidP="0024375B">
      <w:pPr>
        <w:pStyle w:val="NIEARTTEKSTtekstnieartykuowanynppodstprawnarozplubpreambua"/>
        <w:numPr>
          <w:ilvl w:val="0"/>
          <w:numId w:val="48"/>
        </w:numPr>
        <w:ind w:left="851" w:firstLine="0"/>
        <w:rPr>
          <w:rFonts w:ascii="Times New Roman" w:hAnsi="Times New Roman" w:cs="Times New Roman"/>
        </w:rPr>
      </w:pPr>
      <w:r w:rsidRPr="0024375B">
        <w:rPr>
          <w:rFonts w:ascii="Times New Roman" w:hAnsi="Times New Roman" w:cs="Times New Roman"/>
        </w:rPr>
        <w:t>cofnięcia certyfikatu wydanego wbrew przepisom ustawy lub wbrew postanowieniom programu certyfikacyjnego</w:t>
      </w:r>
      <w:r w:rsidR="008D57A6" w:rsidRPr="0024375B">
        <w:rPr>
          <w:rFonts w:ascii="Times New Roman" w:hAnsi="Times New Roman" w:cs="Times New Roman"/>
        </w:rPr>
        <w:t>,</w:t>
      </w:r>
    </w:p>
    <w:p w14:paraId="1CED736A" w14:textId="77777777" w:rsidR="00347C6B" w:rsidRPr="0024375B" w:rsidRDefault="00347C6B" w:rsidP="0024375B">
      <w:pPr>
        <w:pStyle w:val="NIEARTTEKSTtekstnieartykuowanynppodstprawnarozplubpreambua"/>
        <w:numPr>
          <w:ilvl w:val="0"/>
          <w:numId w:val="48"/>
        </w:numPr>
        <w:ind w:left="851" w:firstLine="0"/>
        <w:rPr>
          <w:rFonts w:ascii="Times New Roman" w:hAnsi="Times New Roman" w:cs="Times New Roman"/>
        </w:rPr>
      </w:pPr>
      <w:r w:rsidRPr="0024375B">
        <w:rPr>
          <w:rFonts w:ascii="Times New Roman" w:hAnsi="Times New Roman" w:cs="Times New Roman"/>
        </w:rPr>
        <w:t>nakładania kar pieniężnych</w:t>
      </w:r>
      <w:r w:rsidR="004D1200" w:rsidRPr="0024375B">
        <w:rPr>
          <w:rFonts w:ascii="Times New Roman" w:hAnsi="Times New Roman" w:cs="Times New Roman"/>
        </w:rPr>
        <w:t>.</w:t>
      </w:r>
    </w:p>
    <w:p w14:paraId="5C715A96" w14:textId="77777777" w:rsidR="00347C6B" w:rsidRPr="0024375B" w:rsidRDefault="00347C6B"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lastRenderedPageBreak/>
        <w:t>Wszystkie rozstrzygnięcia</w:t>
      </w:r>
      <w:r w:rsidR="00EA1900">
        <w:rPr>
          <w:rFonts w:ascii="Times New Roman" w:hAnsi="Times New Roman" w:cs="Times New Roman"/>
        </w:rPr>
        <w:t xml:space="preserve"> w </w:t>
      </w:r>
      <w:r w:rsidRPr="0024375B">
        <w:rPr>
          <w:rFonts w:ascii="Times New Roman" w:hAnsi="Times New Roman" w:cs="Times New Roman"/>
        </w:rPr>
        <w:t>tym zakresie będą wydawane zgodnie</w:t>
      </w:r>
      <w:r w:rsidR="002161FE">
        <w:rPr>
          <w:rFonts w:ascii="Times New Roman" w:hAnsi="Times New Roman" w:cs="Times New Roman"/>
        </w:rPr>
        <w:t xml:space="preserve"> z </w:t>
      </w:r>
      <w:r w:rsidRPr="0024375B">
        <w:rPr>
          <w:rFonts w:ascii="Times New Roman" w:hAnsi="Times New Roman" w:cs="Times New Roman"/>
        </w:rPr>
        <w:t>przepisami Kodeksu postępowania administracyjnego</w:t>
      </w:r>
      <w:r w:rsidR="004D1200" w:rsidRPr="0024375B">
        <w:rPr>
          <w:rFonts w:ascii="Times New Roman" w:hAnsi="Times New Roman" w:cs="Times New Roman"/>
        </w:rPr>
        <w:t>,</w:t>
      </w:r>
      <w:r w:rsidR="002161FE">
        <w:rPr>
          <w:rFonts w:ascii="Times New Roman" w:hAnsi="Times New Roman" w:cs="Times New Roman"/>
        </w:rPr>
        <w:t xml:space="preserve"> z </w:t>
      </w:r>
      <w:r w:rsidR="004D1200" w:rsidRPr="0024375B">
        <w:rPr>
          <w:rFonts w:ascii="Times New Roman" w:hAnsi="Times New Roman" w:cs="Times New Roman"/>
        </w:rPr>
        <w:t>zastrzeżeniem, że wydawania zezwoleń na prowadzenie oceny zgodności</w:t>
      </w:r>
      <w:r w:rsidR="00EA1900">
        <w:rPr>
          <w:rFonts w:ascii="Times New Roman" w:hAnsi="Times New Roman" w:cs="Times New Roman"/>
        </w:rPr>
        <w:t xml:space="preserve"> w </w:t>
      </w:r>
      <w:r w:rsidR="004D1200" w:rsidRPr="0024375B">
        <w:rPr>
          <w:rFonts w:ascii="Times New Roman" w:hAnsi="Times New Roman" w:cs="Times New Roman"/>
        </w:rPr>
        <w:t>przypadku</w:t>
      </w:r>
      <w:r w:rsidR="1784B6EA" w:rsidRPr="0024375B">
        <w:rPr>
          <w:rFonts w:ascii="Times New Roman" w:hAnsi="Times New Roman" w:cs="Times New Roman"/>
        </w:rPr>
        <w:t>,</w:t>
      </w:r>
      <w:r w:rsidR="004D1200" w:rsidRPr="0024375B">
        <w:rPr>
          <w:rFonts w:ascii="Times New Roman" w:hAnsi="Times New Roman" w:cs="Times New Roman"/>
        </w:rPr>
        <w:t xml:space="preserve"> gdy program certyfikacyjny określa szczególne wymagania dla jednostek oceniających odbędzie się</w:t>
      </w:r>
      <w:r w:rsidR="00EA1900">
        <w:rPr>
          <w:rFonts w:ascii="Times New Roman" w:hAnsi="Times New Roman" w:cs="Times New Roman"/>
        </w:rPr>
        <w:t xml:space="preserve"> w </w:t>
      </w:r>
      <w:r w:rsidR="004D1200" w:rsidRPr="0024375B">
        <w:rPr>
          <w:rFonts w:ascii="Times New Roman" w:hAnsi="Times New Roman" w:cs="Times New Roman"/>
        </w:rPr>
        <w:t>tzw. postępowaniu uproszczonym,</w:t>
      </w:r>
      <w:r w:rsidR="002161FE">
        <w:rPr>
          <w:rFonts w:ascii="Times New Roman" w:hAnsi="Times New Roman" w:cs="Times New Roman"/>
        </w:rPr>
        <w:t xml:space="preserve"> a </w:t>
      </w:r>
      <w:r w:rsidR="004D1200" w:rsidRPr="0024375B">
        <w:rPr>
          <w:rFonts w:ascii="Times New Roman" w:hAnsi="Times New Roman" w:cs="Times New Roman"/>
        </w:rPr>
        <w:t>pozostałe –</w:t>
      </w:r>
      <w:r w:rsidR="00EA1900">
        <w:rPr>
          <w:rFonts w:ascii="Times New Roman" w:hAnsi="Times New Roman" w:cs="Times New Roman"/>
        </w:rPr>
        <w:t xml:space="preserve"> w </w:t>
      </w:r>
      <w:r w:rsidR="004D1200" w:rsidRPr="0024375B">
        <w:rPr>
          <w:rFonts w:ascii="Times New Roman" w:hAnsi="Times New Roman" w:cs="Times New Roman"/>
        </w:rPr>
        <w:t>ogólnym.</w:t>
      </w:r>
    </w:p>
    <w:p w14:paraId="03AD055C" w14:textId="77777777" w:rsidR="00F6749E" w:rsidRPr="0024375B" w:rsidRDefault="00347C6B"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Do obowiązków krajowego organu będą również należeć kwestie współpracy</w:t>
      </w:r>
      <w:r w:rsidR="002161FE">
        <w:rPr>
          <w:rFonts w:ascii="Times New Roman" w:hAnsi="Times New Roman" w:cs="Times New Roman"/>
        </w:rPr>
        <w:t xml:space="preserve"> z </w:t>
      </w:r>
      <w:r w:rsidRPr="0024375B">
        <w:rPr>
          <w:rFonts w:ascii="Times New Roman" w:hAnsi="Times New Roman" w:cs="Times New Roman"/>
        </w:rPr>
        <w:t>analogicznymi organami</w:t>
      </w:r>
      <w:r w:rsidR="00EA1900">
        <w:rPr>
          <w:rFonts w:ascii="Times New Roman" w:hAnsi="Times New Roman" w:cs="Times New Roman"/>
        </w:rPr>
        <w:t xml:space="preserve"> w </w:t>
      </w:r>
      <w:r w:rsidRPr="0024375B">
        <w:rPr>
          <w:rFonts w:ascii="Times New Roman" w:hAnsi="Times New Roman" w:cs="Times New Roman"/>
        </w:rPr>
        <w:t>innych państwach Unii Europejskiej, jak również będzie przeprowadzał wzajemne przeglądy</w:t>
      </w:r>
      <w:r w:rsidR="002161FE">
        <w:rPr>
          <w:rFonts w:ascii="Times New Roman" w:hAnsi="Times New Roman" w:cs="Times New Roman"/>
        </w:rPr>
        <w:t xml:space="preserve"> z </w:t>
      </w:r>
      <w:r w:rsidRPr="0024375B">
        <w:rPr>
          <w:rFonts w:ascii="Times New Roman" w:hAnsi="Times New Roman" w:cs="Times New Roman"/>
        </w:rPr>
        <w:t>tymi organami (art. 59</w:t>
      </w:r>
      <w:r w:rsidR="00F731A3" w:rsidRPr="0024375B">
        <w:rPr>
          <w:rFonts w:ascii="Times New Roman" w:hAnsi="Times New Roman" w:cs="Times New Roman"/>
        </w:rPr>
        <w:t>b</w:t>
      </w:r>
      <w:r w:rsidRPr="0024375B">
        <w:rPr>
          <w:rFonts w:ascii="Times New Roman" w:hAnsi="Times New Roman" w:cs="Times New Roman"/>
        </w:rPr>
        <w:t xml:space="preserve"> </w:t>
      </w:r>
      <w:r w:rsidR="00D00CB4">
        <w:rPr>
          <w:rFonts w:ascii="Times New Roman" w:hAnsi="Times New Roman" w:cs="Times New Roman"/>
        </w:rPr>
        <w:t>ust. </w:t>
      </w:r>
      <w:r w:rsidRPr="0024375B">
        <w:rPr>
          <w:rFonts w:ascii="Times New Roman" w:hAnsi="Times New Roman" w:cs="Times New Roman"/>
        </w:rPr>
        <w:t>1 pkt 4).</w:t>
      </w:r>
      <w:r w:rsidR="00116933">
        <w:rPr>
          <w:rFonts w:ascii="Times New Roman" w:hAnsi="Times New Roman" w:cs="Times New Roman"/>
        </w:rPr>
        <w:t xml:space="preserve"> W </w:t>
      </w:r>
      <w:r w:rsidRPr="0024375B">
        <w:rPr>
          <w:rFonts w:ascii="Times New Roman" w:hAnsi="Times New Roman" w:cs="Times New Roman"/>
        </w:rPr>
        <w:t>ramach tych działań organy będą nawzajem oceniać swoje działania</w:t>
      </w:r>
      <w:r w:rsidR="002161FE">
        <w:rPr>
          <w:rFonts w:ascii="Times New Roman" w:hAnsi="Times New Roman" w:cs="Times New Roman"/>
        </w:rPr>
        <w:t xml:space="preserve"> i </w:t>
      </w:r>
      <w:r w:rsidR="004D1200" w:rsidRPr="0024375B">
        <w:rPr>
          <w:rFonts w:ascii="Times New Roman" w:hAnsi="Times New Roman" w:cs="Times New Roman"/>
        </w:rPr>
        <w:t>funkcjonowanie krajowych systemów certyfikacji cyberbezpieczeństwa</w:t>
      </w:r>
      <w:r w:rsidRPr="0024375B">
        <w:rPr>
          <w:rFonts w:ascii="Times New Roman" w:hAnsi="Times New Roman" w:cs="Times New Roman"/>
        </w:rPr>
        <w:t>. Konieczność wdrożenia tej procedury wynika wprost</w:t>
      </w:r>
      <w:r w:rsidR="002161FE">
        <w:rPr>
          <w:rFonts w:ascii="Times New Roman" w:hAnsi="Times New Roman" w:cs="Times New Roman"/>
        </w:rPr>
        <w:t xml:space="preserve"> z </w:t>
      </w:r>
      <w:r w:rsidRPr="0024375B">
        <w:rPr>
          <w:rFonts w:ascii="Times New Roman" w:hAnsi="Times New Roman" w:cs="Times New Roman"/>
        </w:rPr>
        <w:t xml:space="preserve">przepisów </w:t>
      </w:r>
      <w:r w:rsidR="004D1200" w:rsidRPr="0024375B">
        <w:rPr>
          <w:rFonts w:ascii="Times New Roman" w:hAnsi="Times New Roman" w:cs="Times New Roman"/>
        </w:rPr>
        <w:t>A</w:t>
      </w:r>
      <w:r w:rsidRPr="0024375B">
        <w:rPr>
          <w:rFonts w:ascii="Times New Roman" w:hAnsi="Times New Roman" w:cs="Times New Roman"/>
        </w:rPr>
        <w:t>ktu</w:t>
      </w:r>
      <w:r w:rsidR="0077165A">
        <w:rPr>
          <w:rFonts w:ascii="Times New Roman" w:hAnsi="Times New Roman" w:cs="Times New Roman"/>
        </w:rPr>
        <w:t xml:space="preserve"> o </w:t>
      </w:r>
      <w:r w:rsidRPr="0024375B">
        <w:rPr>
          <w:rFonts w:ascii="Times New Roman" w:hAnsi="Times New Roman" w:cs="Times New Roman"/>
        </w:rPr>
        <w:t>cyberbezpieczeństwie.</w:t>
      </w:r>
    </w:p>
    <w:p w14:paraId="1FB35E3C" w14:textId="77777777" w:rsidR="00634506" w:rsidRPr="0024375B" w:rsidRDefault="00634506" w:rsidP="00DC1575">
      <w:pPr>
        <w:pStyle w:val="Nagwek4"/>
      </w:pPr>
      <w:r w:rsidRPr="0024375B">
        <w:t>Nowy</w:t>
      </w:r>
      <w:r w:rsidR="00EA1900">
        <w:t xml:space="preserve"> art. </w:t>
      </w:r>
      <w:r w:rsidRPr="0024375B">
        <w:t>59c</w:t>
      </w:r>
    </w:p>
    <w:p w14:paraId="3F32E609"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 </w:t>
      </w:r>
      <w:r w:rsidR="00DB254E" w:rsidRPr="0024375B">
        <w:rPr>
          <w:rFonts w:ascii="Times New Roman" w:hAnsi="Times New Roman" w:cs="Times New Roman"/>
        </w:rPr>
        <w:t>Projektowany</w:t>
      </w:r>
      <w:r w:rsidR="00EA1900">
        <w:rPr>
          <w:rFonts w:ascii="Times New Roman" w:hAnsi="Times New Roman" w:cs="Times New Roman"/>
        </w:rPr>
        <w:t xml:space="preserve"> art. </w:t>
      </w:r>
      <w:r w:rsidRPr="0024375B">
        <w:rPr>
          <w:rFonts w:ascii="Times New Roman" w:hAnsi="Times New Roman" w:cs="Times New Roman"/>
        </w:rPr>
        <w:t>59</w:t>
      </w:r>
      <w:r w:rsidR="00F731A3" w:rsidRPr="0024375B">
        <w:rPr>
          <w:rFonts w:ascii="Times New Roman" w:hAnsi="Times New Roman" w:cs="Times New Roman"/>
        </w:rPr>
        <w:t>c</w:t>
      </w:r>
      <w:r w:rsidRPr="0024375B">
        <w:rPr>
          <w:rFonts w:ascii="Times New Roman" w:hAnsi="Times New Roman" w:cs="Times New Roman"/>
        </w:rPr>
        <w:t xml:space="preserve"> wyznacza rolę Polskiego Centrum Akredytacji</w:t>
      </w:r>
      <w:r w:rsidR="004D1200" w:rsidRPr="0024375B">
        <w:rPr>
          <w:rFonts w:ascii="Times New Roman" w:hAnsi="Times New Roman" w:cs="Times New Roman"/>
        </w:rPr>
        <w:t xml:space="preserve"> (dalej „PCA”)</w:t>
      </w:r>
      <w:r w:rsidRPr="0024375B">
        <w:rPr>
          <w:rFonts w:ascii="Times New Roman" w:hAnsi="Times New Roman" w:cs="Times New Roman"/>
        </w:rPr>
        <w:t>, które będzie nadzorowało jednostki oceniające zgodność pod kątem spełnienia przez nie wymogów akredytacji. PCA będzie tu pełniło taką samą rolę jaką pełni</w:t>
      </w:r>
      <w:r w:rsidR="00EA1900">
        <w:rPr>
          <w:rFonts w:ascii="Times New Roman" w:hAnsi="Times New Roman" w:cs="Times New Roman"/>
        </w:rPr>
        <w:t xml:space="preserve"> w </w:t>
      </w:r>
      <w:r w:rsidRPr="0024375B">
        <w:rPr>
          <w:rFonts w:ascii="Times New Roman" w:hAnsi="Times New Roman" w:cs="Times New Roman"/>
        </w:rPr>
        <w:t>ogólnym systemie oceny zgodności. Zapewni to szybkie wdrożenie nowych przepisów</w:t>
      </w:r>
      <w:r w:rsidR="00EA1900">
        <w:rPr>
          <w:rFonts w:ascii="Times New Roman" w:hAnsi="Times New Roman" w:cs="Times New Roman"/>
        </w:rPr>
        <w:t xml:space="preserve"> w </w:t>
      </w:r>
      <w:r w:rsidRPr="0024375B">
        <w:rPr>
          <w:rFonts w:ascii="Times New Roman" w:hAnsi="Times New Roman" w:cs="Times New Roman"/>
        </w:rPr>
        <w:t>praktyce.</w:t>
      </w:r>
    </w:p>
    <w:p w14:paraId="1EAFB0A0" w14:textId="77777777" w:rsidR="00634506" w:rsidRPr="0024375B" w:rsidRDefault="00634506" w:rsidP="00DC1575">
      <w:pPr>
        <w:pStyle w:val="Nagwek4"/>
      </w:pPr>
      <w:r w:rsidRPr="0024375B">
        <w:t>Nowy</w:t>
      </w:r>
      <w:r w:rsidR="00EA1900">
        <w:t xml:space="preserve"> art. </w:t>
      </w:r>
      <w:r w:rsidRPr="0024375B">
        <w:t>59d</w:t>
      </w:r>
    </w:p>
    <w:p w14:paraId="5517BD4B" w14:textId="3F40C9C5" w:rsidR="006A5CD9"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Zgodnie</w:t>
      </w:r>
      <w:r w:rsidR="002161FE">
        <w:rPr>
          <w:rFonts w:ascii="Times New Roman" w:hAnsi="Times New Roman" w:cs="Times New Roman"/>
        </w:rPr>
        <w:t xml:space="preserve"> z </w:t>
      </w:r>
      <w:r w:rsidRPr="0024375B">
        <w:rPr>
          <w:rFonts w:ascii="Times New Roman" w:hAnsi="Times New Roman" w:cs="Times New Roman"/>
        </w:rPr>
        <w:t>projektowanym</w:t>
      </w:r>
      <w:r w:rsidR="00EA1900">
        <w:rPr>
          <w:rFonts w:ascii="Times New Roman" w:hAnsi="Times New Roman" w:cs="Times New Roman"/>
        </w:rPr>
        <w:t xml:space="preserve"> art. </w:t>
      </w:r>
      <w:r w:rsidR="00F832E8" w:rsidRPr="0024375B">
        <w:rPr>
          <w:rFonts w:ascii="Times New Roman" w:hAnsi="Times New Roman" w:cs="Times New Roman"/>
        </w:rPr>
        <w:t>59</w:t>
      </w:r>
      <w:r w:rsidR="008D57A6" w:rsidRPr="0024375B">
        <w:rPr>
          <w:rFonts w:ascii="Times New Roman" w:hAnsi="Times New Roman" w:cs="Times New Roman"/>
        </w:rPr>
        <w:t>d</w:t>
      </w:r>
      <w:r w:rsidR="00F832E8" w:rsidRPr="0024375B">
        <w:rPr>
          <w:rFonts w:ascii="Times New Roman" w:hAnsi="Times New Roman" w:cs="Times New Roman"/>
        </w:rPr>
        <w:t xml:space="preserve"> </w:t>
      </w:r>
      <w:r w:rsidRPr="0024375B">
        <w:rPr>
          <w:rFonts w:ascii="Times New Roman" w:hAnsi="Times New Roman" w:cs="Times New Roman"/>
        </w:rPr>
        <w:t xml:space="preserve">krajowe programy </w:t>
      </w:r>
      <w:r w:rsidR="00D76DF2" w:rsidRPr="0024375B">
        <w:rPr>
          <w:rFonts w:ascii="Times New Roman" w:hAnsi="Times New Roman" w:cs="Times New Roman"/>
        </w:rPr>
        <w:t>certyfikacji</w:t>
      </w:r>
      <w:r w:rsidRPr="0024375B">
        <w:rPr>
          <w:rFonts w:ascii="Times New Roman" w:hAnsi="Times New Roman" w:cs="Times New Roman"/>
        </w:rPr>
        <w:t xml:space="preserve"> będą </w:t>
      </w:r>
      <w:r w:rsidR="0D059E5F" w:rsidRPr="0024375B">
        <w:rPr>
          <w:rFonts w:ascii="Times New Roman" w:hAnsi="Times New Roman" w:cs="Times New Roman"/>
        </w:rPr>
        <w:t>określane</w:t>
      </w:r>
      <w:r w:rsidR="00EA1900">
        <w:rPr>
          <w:rFonts w:ascii="Times New Roman" w:hAnsi="Times New Roman" w:cs="Times New Roman"/>
        </w:rPr>
        <w:t xml:space="preserve"> w </w:t>
      </w:r>
      <w:r w:rsidRPr="0024375B">
        <w:rPr>
          <w:rFonts w:ascii="Times New Roman" w:hAnsi="Times New Roman" w:cs="Times New Roman"/>
        </w:rPr>
        <w:t>drodze rozporządzeń Rady Ministrów.</w:t>
      </w:r>
      <w:r w:rsidR="00FD08CC" w:rsidRPr="0024375B">
        <w:rPr>
          <w:rFonts w:ascii="Times New Roman" w:hAnsi="Times New Roman" w:cs="Times New Roman"/>
        </w:rPr>
        <w:t xml:space="preserve"> </w:t>
      </w:r>
      <w:r w:rsidRPr="0024375B">
        <w:rPr>
          <w:rFonts w:ascii="Times New Roman" w:hAnsi="Times New Roman" w:cs="Times New Roman"/>
        </w:rPr>
        <w:t xml:space="preserve">Przy ich tworzeniu będzie brany </w:t>
      </w:r>
      <w:r w:rsidR="003411C8" w:rsidRPr="0024375B">
        <w:rPr>
          <w:rFonts w:ascii="Times New Roman" w:hAnsi="Times New Roman" w:cs="Times New Roman"/>
        </w:rPr>
        <w:t xml:space="preserve">pod uwagę </w:t>
      </w:r>
      <w:r w:rsidRPr="0024375B">
        <w:rPr>
          <w:rFonts w:ascii="Times New Roman" w:hAnsi="Times New Roman" w:cs="Times New Roman"/>
        </w:rPr>
        <w:t>obecny stan wiedzy</w:t>
      </w:r>
      <w:r w:rsidR="00EA1900">
        <w:rPr>
          <w:rFonts w:ascii="Times New Roman" w:hAnsi="Times New Roman" w:cs="Times New Roman"/>
        </w:rPr>
        <w:t xml:space="preserve"> w </w:t>
      </w:r>
      <w:r w:rsidRPr="0024375B">
        <w:rPr>
          <w:rFonts w:ascii="Times New Roman" w:hAnsi="Times New Roman" w:cs="Times New Roman"/>
        </w:rPr>
        <w:t>dziedzinie techniki oraz kwestia potrzeb rynku</w:t>
      </w:r>
      <w:r w:rsidR="00EA1900">
        <w:rPr>
          <w:rFonts w:ascii="Times New Roman" w:hAnsi="Times New Roman" w:cs="Times New Roman"/>
        </w:rPr>
        <w:t xml:space="preserve"> w </w:t>
      </w:r>
      <w:r w:rsidRPr="0024375B">
        <w:rPr>
          <w:rFonts w:ascii="Times New Roman" w:hAnsi="Times New Roman" w:cs="Times New Roman"/>
        </w:rPr>
        <w:t>zakresie cyberbezpieczeństwa. Dzięki temu programy certyfikacyjne będą brały pod uwagę konkretne potrzeby przedsiębiorców oraz promować</w:t>
      </w:r>
      <w:r w:rsidR="00EA1900">
        <w:rPr>
          <w:rFonts w:ascii="Times New Roman" w:hAnsi="Times New Roman" w:cs="Times New Roman"/>
        </w:rPr>
        <w:t xml:space="preserve"> w </w:t>
      </w:r>
      <w:r w:rsidRPr="0024375B">
        <w:rPr>
          <w:rFonts w:ascii="Times New Roman" w:hAnsi="Times New Roman" w:cs="Times New Roman"/>
        </w:rPr>
        <w:t>tym zakresie najlepsze rozwiązania</w:t>
      </w:r>
      <w:r w:rsidR="002161FE">
        <w:rPr>
          <w:rFonts w:ascii="Times New Roman" w:hAnsi="Times New Roman" w:cs="Times New Roman"/>
        </w:rPr>
        <w:t xml:space="preserve"> z </w:t>
      </w:r>
      <w:r w:rsidRPr="0024375B">
        <w:rPr>
          <w:rFonts w:ascii="Times New Roman" w:hAnsi="Times New Roman" w:cs="Times New Roman"/>
        </w:rPr>
        <w:t>tej dziedziny.</w:t>
      </w:r>
      <w:r w:rsidR="006A5CD9" w:rsidRPr="0024375B">
        <w:rPr>
          <w:rFonts w:ascii="Times New Roman" w:hAnsi="Times New Roman" w:cs="Times New Roman"/>
        </w:rPr>
        <w:t xml:space="preserve"> </w:t>
      </w:r>
      <w:r w:rsidR="003B0A7B" w:rsidRPr="0024375B">
        <w:rPr>
          <w:rFonts w:ascii="Times New Roman" w:hAnsi="Times New Roman" w:cs="Times New Roman"/>
        </w:rPr>
        <w:t>Podstawą działania krajowego systemu certyfikacji cyberbezpieczeństwa będą jednak europejskie programy certyfikacyjne, dlatego też niniejszy przepis został ukształtowany jako fakultatywny. Dzięki temu organy będą mogły przygotowywać krajowe programy certyfikacyjne</w:t>
      </w:r>
      <w:r w:rsidR="00EA1900">
        <w:rPr>
          <w:rFonts w:ascii="Times New Roman" w:hAnsi="Times New Roman" w:cs="Times New Roman"/>
        </w:rPr>
        <w:t xml:space="preserve"> w </w:t>
      </w:r>
      <w:r w:rsidR="005362D1" w:rsidRPr="0024375B">
        <w:rPr>
          <w:rFonts w:ascii="Times New Roman" w:hAnsi="Times New Roman" w:cs="Times New Roman"/>
        </w:rPr>
        <w:t>sytuacji</w:t>
      </w:r>
      <w:r w:rsidR="00D76DF2">
        <w:rPr>
          <w:rFonts w:ascii="Times New Roman" w:hAnsi="Times New Roman" w:cs="Times New Roman"/>
        </w:rPr>
        <w:t>,</w:t>
      </w:r>
      <w:r w:rsidR="003B0A7B" w:rsidRPr="0024375B">
        <w:rPr>
          <w:rFonts w:ascii="Times New Roman" w:hAnsi="Times New Roman" w:cs="Times New Roman"/>
        </w:rPr>
        <w:t xml:space="preserve"> gdy uznają to za korzystne dla rozwoju </w:t>
      </w:r>
      <w:r w:rsidR="004D1200" w:rsidRPr="0024375B">
        <w:rPr>
          <w:rFonts w:ascii="Times New Roman" w:hAnsi="Times New Roman" w:cs="Times New Roman"/>
        </w:rPr>
        <w:t>certyfikacji</w:t>
      </w:r>
      <w:r w:rsidR="00EA1900">
        <w:rPr>
          <w:rFonts w:ascii="Times New Roman" w:hAnsi="Times New Roman" w:cs="Times New Roman"/>
        </w:rPr>
        <w:t xml:space="preserve"> w </w:t>
      </w:r>
      <w:r w:rsidR="003B0A7B" w:rsidRPr="0024375B">
        <w:rPr>
          <w:rFonts w:ascii="Times New Roman" w:hAnsi="Times New Roman" w:cs="Times New Roman"/>
        </w:rPr>
        <w:t>Polsce.</w:t>
      </w:r>
      <w:r w:rsidR="00FD08CC" w:rsidRPr="0024375B">
        <w:rPr>
          <w:rFonts w:ascii="Times New Roman" w:hAnsi="Times New Roman" w:cs="Times New Roman"/>
        </w:rPr>
        <w:t xml:space="preserve"> </w:t>
      </w:r>
      <w:r w:rsidR="005362D1" w:rsidRPr="0024375B">
        <w:rPr>
          <w:rFonts w:ascii="Times New Roman" w:hAnsi="Times New Roman" w:cs="Times New Roman"/>
        </w:rPr>
        <w:t>Przygotowanie projektu krajowego programu certyfikacji cyberbezpieczeństwa jest zadaniem ministra właściwego do spraw informatyzacji. Ze względu na konieczność szerokiego wykorzystania wiedzy specjalistycznej</w:t>
      </w:r>
      <w:r w:rsidR="00EA1900">
        <w:rPr>
          <w:rFonts w:ascii="Times New Roman" w:hAnsi="Times New Roman" w:cs="Times New Roman"/>
        </w:rPr>
        <w:t xml:space="preserve"> w </w:t>
      </w:r>
      <w:r w:rsidR="005362D1" w:rsidRPr="0024375B">
        <w:rPr>
          <w:rFonts w:ascii="Times New Roman" w:hAnsi="Times New Roman" w:cs="Times New Roman"/>
        </w:rPr>
        <w:t>ramach tych prac minister będzie mógł zlecić przygotowanie takiego dokumentu jednostkom przez siebie nadzorowanym</w:t>
      </w:r>
      <w:r w:rsidR="00A3395F" w:rsidRPr="0024375B">
        <w:rPr>
          <w:rFonts w:ascii="Times New Roman" w:hAnsi="Times New Roman" w:cs="Times New Roman"/>
        </w:rPr>
        <w:t>,</w:t>
      </w:r>
      <w:r w:rsidR="005362D1" w:rsidRPr="0024375B">
        <w:rPr>
          <w:rFonts w:ascii="Times New Roman" w:hAnsi="Times New Roman" w:cs="Times New Roman"/>
        </w:rPr>
        <w:t xml:space="preserve"> np. instytutom badawczych takim jak NASK</w:t>
      </w:r>
      <w:r w:rsidR="00D76DF2">
        <w:rPr>
          <w:rFonts w:ascii="Times New Roman" w:hAnsi="Times New Roman" w:cs="Times New Roman"/>
        </w:rPr>
        <w:t>- PIB</w:t>
      </w:r>
      <w:r w:rsidR="005362D1" w:rsidRPr="0024375B">
        <w:rPr>
          <w:rFonts w:ascii="Times New Roman" w:hAnsi="Times New Roman" w:cs="Times New Roman"/>
        </w:rPr>
        <w:t xml:space="preserve"> czy I</w:t>
      </w:r>
      <w:r w:rsidR="004D1200" w:rsidRPr="0024375B">
        <w:rPr>
          <w:rFonts w:ascii="Times New Roman" w:hAnsi="Times New Roman" w:cs="Times New Roman"/>
        </w:rPr>
        <w:t>nstytut Łączności</w:t>
      </w:r>
      <w:r w:rsidR="005362D1" w:rsidRPr="0024375B">
        <w:rPr>
          <w:rFonts w:ascii="Times New Roman" w:hAnsi="Times New Roman" w:cs="Times New Roman"/>
        </w:rPr>
        <w:t>.</w:t>
      </w:r>
      <w:r w:rsidR="00FA030A">
        <w:rPr>
          <w:rFonts w:ascii="Times New Roman" w:hAnsi="Times New Roman" w:cs="Times New Roman"/>
        </w:rPr>
        <w:t xml:space="preserve"> Przepis ten określa również elementy krajowych programów certyfikacji.</w:t>
      </w:r>
    </w:p>
    <w:p w14:paraId="0AC5D7EA" w14:textId="0863FACE" w:rsidR="000E693B" w:rsidRPr="000E693B" w:rsidRDefault="006A5CD9" w:rsidP="000E693B">
      <w:pPr>
        <w:pStyle w:val="NIEARTTEKSTtekstnieartykuowanynppodstprawnarozplubpreambua"/>
        <w:rPr>
          <w:rFonts w:ascii="Times New Roman" w:hAnsi="Times New Roman" w:cs="Times New Roman"/>
        </w:rPr>
      </w:pPr>
      <w:r w:rsidRPr="0024375B">
        <w:rPr>
          <w:rFonts w:ascii="Times New Roman" w:hAnsi="Times New Roman" w:cs="Times New Roman"/>
        </w:rPr>
        <w:t>Celem krajowych programów certyfikacji cyberbezpieczeństwa jest zapewnienie, by produkty ICT, usługi ICT</w:t>
      </w:r>
      <w:r w:rsidR="002161FE">
        <w:rPr>
          <w:rFonts w:ascii="Times New Roman" w:hAnsi="Times New Roman" w:cs="Times New Roman"/>
        </w:rPr>
        <w:t xml:space="preserve"> i </w:t>
      </w:r>
      <w:r w:rsidRPr="0024375B">
        <w:rPr>
          <w:rFonts w:ascii="Times New Roman" w:hAnsi="Times New Roman" w:cs="Times New Roman"/>
        </w:rPr>
        <w:t>procesy ICT</w:t>
      </w:r>
      <w:r w:rsidR="004D1200" w:rsidRPr="0024375B">
        <w:rPr>
          <w:rFonts w:ascii="Times New Roman" w:hAnsi="Times New Roman" w:cs="Times New Roman"/>
        </w:rPr>
        <w:t>,</w:t>
      </w:r>
      <w:r w:rsidRPr="0024375B">
        <w:rPr>
          <w:rFonts w:ascii="Times New Roman" w:hAnsi="Times New Roman" w:cs="Times New Roman"/>
        </w:rPr>
        <w:t xml:space="preserve"> certyfikowane zgodnie</w:t>
      </w:r>
      <w:r w:rsidR="002161FE">
        <w:rPr>
          <w:rFonts w:ascii="Times New Roman" w:hAnsi="Times New Roman" w:cs="Times New Roman"/>
        </w:rPr>
        <w:t xml:space="preserve"> z </w:t>
      </w:r>
      <w:r w:rsidRPr="0024375B">
        <w:rPr>
          <w:rFonts w:ascii="Times New Roman" w:hAnsi="Times New Roman" w:cs="Times New Roman"/>
        </w:rPr>
        <w:t>takimi programami</w:t>
      </w:r>
      <w:r w:rsidR="004D1200" w:rsidRPr="0024375B">
        <w:rPr>
          <w:rFonts w:ascii="Times New Roman" w:hAnsi="Times New Roman" w:cs="Times New Roman"/>
        </w:rPr>
        <w:t>,</w:t>
      </w:r>
      <w:r w:rsidRPr="0024375B">
        <w:rPr>
          <w:rFonts w:ascii="Times New Roman" w:hAnsi="Times New Roman" w:cs="Times New Roman"/>
        </w:rPr>
        <w:t xml:space="preserve"> spełniały określone wymogi</w:t>
      </w:r>
      <w:r w:rsidR="00EA1900">
        <w:rPr>
          <w:rFonts w:ascii="Times New Roman" w:hAnsi="Times New Roman" w:cs="Times New Roman"/>
        </w:rPr>
        <w:t xml:space="preserve"> w </w:t>
      </w:r>
      <w:r w:rsidRPr="0024375B">
        <w:rPr>
          <w:rFonts w:ascii="Times New Roman" w:hAnsi="Times New Roman" w:cs="Times New Roman"/>
        </w:rPr>
        <w:t>celu ochrony dostępności, autentyczności, integralności</w:t>
      </w:r>
      <w:r w:rsidR="002161FE">
        <w:rPr>
          <w:rFonts w:ascii="Times New Roman" w:hAnsi="Times New Roman" w:cs="Times New Roman"/>
        </w:rPr>
        <w:t xml:space="preserve"> i </w:t>
      </w:r>
      <w:r w:rsidRPr="0024375B">
        <w:rPr>
          <w:rFonts w:ascii="Times New Roman" w:hAnsi="Times New Roman" w:cs="Times New Roman"/>
        </w:rPr>
        <w:t>poufności przechowywanych, przekazywanych lub przetwarzanych danych lub powiązanych funkcji bądź usług oferowanych lub dostępnych za pośrednictwem tych produktów, usług</w:t>
      </w:r>
      <w:r w:rsidR="002161FE">
        <w:rPr>
          <w:rFonts w:ascii="Times New Roman" w:hAnsi="Times New Roman" w:cs="Times New Roman"/>
        </w:rPr>
        <w:t xml:space="preserve"> i </w:t>
      </w:r>
      <w:r w:rsidRPr="0024375B">
        <w:rPr>
          <w:rFonts w:ascii="Times New Roman" w:hAnsi="Times New Roman" w:cs="Times New Roman"/>
        </w:rPr>
        <w:t>procesów</w:t>
      </w:r>
      <w:r w:rsidR="00EA1900">
        <w:rPr>
          <w:rFonts w:ascii="Times New Roman" w:hAnsi="Times New Roman" w:cs="Times New Roman"/>
        </w:rPr>
        <w:t xml:space="preserve"> w </w:t>
      </w:r>
      <w:r w:rsidRPr="0024375B">
        <w:rPr>
          <w:rFonts w:ascii="Times New Roman" w:hAnsi="Times New Roman" w:cs="Times New Roman"/>
        </w:rPr>
        <w:t>trakcie ich całego cyklu życia. Nie jest możliwe</w:t>
      </w:r>
      <w:r w:rsidR="003411C8" w:rsidRPr="0024375B">
        <w:rPr>
          <w:rFonts w:ascii="Times New Roman" w:hAnsi="Times New Roman" w:cs="Times New Roman"/>
        </w:rPr>
        <w:t xml:space="preserve"> na poziomie ustawy</w:t>
      </w:r>
      <w:r w:rsidRPr="0024375B">
        <w:rPr>
          <w:rFonts w:ascii="Times New Roman" w:hAnsi="Times New Roman" w:cs="Times New Roman"/>
        </w:rPr>
        <w:t xml:space="preserve"> szczegółowe określenie wymogów cyberbezpieczeństwa odnoszących się do wszystkich produktów ICT, </w:t>
      </w:r>
      <w:r w:rsidRPr="0024375B">
        <w:rPr>
          <w:rFonts w:ascii="Times New Roman" w:hAnsi="Times New Roman" w:cs="Times New Roman"/>
        </w:rPr>
        <w:lastRenderedPageBreak/>
        <w:t>usług ICT</w:t>
      </w:r>
      <w:r w:rsidR="002161FE">
        <w:rPr>
          <w:rFonts w:ascii="Times New Roman" w:hAnsi="Times New Roman" w:cs="Times New Roman"/>
        </w:rPr>
        <w:t xml:space="preserve"> i </w:t>
      </w:r>
      <w:r w:rsidRPr="0024375B">
        <w:rPr>
          <w:rFonts w:ascii="Times New Roman" w:hAnsi="Times New Roman" w:cs="Times New Roman"/>
        </w:rPr>
        <w:t>procesów ICT. Produkty ICT, usługi ICT</w:t>
      </w:r>
      <w:r w:rsidR="002161FE">
        <w:rPr>
          <w:rFonts w:ascii="Times New Roman" w:hAnsi="Times New Roman" w:cs="Times New Roman"/>
        </w:rPr>
        <w:t xml:space="preserve"> i </w:t>
      </w:r>
      <w:r w:rsidRPr="0024375B">
        <w:rPr>
          <w:rFonts w:ascii="Times New Roman" w:hAnsi="Times New Roman" w:cs="Times New Roman"/>
        </w:rPr>
        <w:t>procesy ICT oraz potrzeby</w:t>
      </w:r>
      <w:r w:rsidR="00EA1900">
        <w:rPr>
          <w:rFonts w:ascii="Times New Roman" w:hAnsi="Times New Roman" w:cs="Times New Roman"/>
        </w:rPr>
        <w:t xml:space="preserve"> w </w:t>
      </w:r>
      <w:r w:rsidRPr="0024375B">
        <w:rPr>
          <w:rFonts w:ascii="Times New Roman" w:hAnsi="Times New Roman" w:cs="Times New Roman"/>
        </w:rPr>
        <w:t>zakresie cyberbezpieczeństwa powiązane</w:t>
      </w:r>
      <w:r w:rsidR="002161FE">
        <w:rPr>
          <w:rFonts w:ascii="Times New Roman" w:hAnsi="Times New Roman" w:cs="Times New Roman"/>
        </w:rPr>
        <w:t xml:space="preserve"> z </w:t>
      </w:r>
      <w:r w:rsidRPr="0024375B">
        <w:rPr>
          <w:rFonts w:ascii="Times New Roman" w:hAnsi="Times New Roman" w:cs="Times New Roman"/>
        </w:rPr>
        <w:t>tymi produktami, usługami</w:t>
      </w:r>
      <w:r w:rsidR="002161FE">
        <w:rPr>
          <w:rFonts w:ascii="Times New Roman" w:hAnsi="Times New Roman" w:cs="Times New Roman"/>
        </w:rPr>
        <w:t xml:space="preserve"> i </w:t>
      </w:r>
      <w:r w:rsidRPr="0024375B">
        <w:rPr>
          <w:rFonts w:ascii="Times New Roman" w:hAnsi="Times New Roman" w:cs="Times New Roman"/>
        </w:rPr>
        <w:t xml:space="preserve">procesami są tak zróżnicowane, że opracowanie ogólnych wymogów cyberbezpieczeństwa obowiązujących dla wszystkich przypadków jest bardzo </w:t>
      </w:r>
      <w:r w:rsidR="004D1200" w:rsidRPr="0024375B">
        <w:rPr>
          <w:rFonts w:ascii="Times New Roman" w:hAnsi="Times New Roman" w:cs="Times New Roman"/>
        </w:rPr>
        <w:t>skomplikowane</w:t>
      </w:r>
      <w:r w:rsidRPr="0024375B">
        <w:rPr>
          <w:rFonts w:ascii="Times New Roman" w:hAnsi="Times New Roman" w:cs="Times New Roman"/>
        </w:rPr>
        <w:t>.</w:t>
      </w:r>
      <w:r w:rsidR="00116933">
        <w:rPr>
          <w:rFonts w:ascii="Times New Roman" w:hAnsi="Times New Roman" w:cs="Times New Roman"/>
        </w:rPr>
        <w:t xml:space="preserve"> W </w:t>
      </w:r>
      <w:r w:rsidR="004D1200" w:rsidRPr="0024375B">
        <w:rPr>
          <w:rFonts w:ascii="Times New Roman" w:hAnsi="Times New Roman" w:cs="Times New Roman"/>
        </w:rPr>
        <w:t>szczególności mając na uwadze, że dotyczy to tak</w:t>
      </w:r>
      <w:r w:rsidRPr="0024375B">
        <w:rPr>
          <w:rFonts w:ascii="Times New Roman" w:hAnsi="Times New Roman" w:cs="Times New Roman"/>
        </w:rPr>
        <w:t xml:space="preserve"> </w:t>
      </w:r>
      <w:r w:rsidR="004D1200" w:rsidRPr="0024375B">
        <w:rPr>
          <w:rFonts w:ascii="Times New Roman" w:hAnsi="Times New Roman" w:cs="Times New Roman"/>
        </w:rPr>
        <w:t xml:space="preserve">różnych produktów </w:t>
      </w:r>
      <w:r w:rsidRPr="0024375B">
        <w:rPr>
          <w:rFonts w:ascii="Times New Roman" w:hAnsi="Times New Roman" w:cs="Times New Roman"/>
        </w:rPr>
        <w:t>jak drukarki, programy komputerowe czy usługi chmurowe. Metody osiągania celów cyberbezpieczeństwa</w:t>
      </w:r>
      <w:r w:rsidR="00EA1900">
        <w:rPr>
          <w:rFonts w:ascii="Times New Roman" w:hAnsi="Times New Roman" w:cs="Times New Roman"/>
        </w:rPr>
        <w:t xml:space="preserve"> w </w:t>
      </w:r>
      <w:r w:rsidRPr="0024375B">
        <w:rPr>
          <w:rFonts w:ascii="Times New Roman" w:hAnsi="Times New Roman" w:cs="Times New Roman"/>
        </w:rPr>
        <w:t>przypadku określonych produktów ICT, usług ICT</w:t>
      </w:r>
      <w:r w:rsidR="002161FE">
        <w:rPr>
          <w:rFonts w:ascii="Times New Roman" w:hAnsi="Times New Roman" w:cs="Times New Roman"/>
        </w:rPr>
        <w:t xml:space="preserve"> i </w:t>
      </w:r>
      <w:r w:rsidRPr="0024375B">
        <w:rPr>
          <w:rFonts w:ascii="Times New Roman" w:hAnsi="Times New Roman" w:cs="Times New Roman"/>
        </w:rPr>
        <w:t>procesów ICT należy następnie doprecyzować na poziomie poszczególnych programów certyfikacji, na przykład przez odesłanie do norm lub specyfikacji technicznych,</w:t>
      </w:r>
      <w:r w:rsidR="00EA1900">
        <w:rPr>
          <w:rFonts w:ascii="Times New Roman" w:hAnsi="Times New Roman" w:cs="Times New Roman"/>
        </w:rPr>
        <w:t xml:space="preserve"> w </w:t>
      </w:r>
      <w:r w:rsidRPr="0024375B">
        <w:rPr>
          <w:rFonts w:ascii="Times New Roman" w:hAnsi="Times New Roman" w:cs="Times New Roman"/>
        </w:rPr>
        <w:t>przypadku</w:t>
      </w:r>
      <w:r w:rsidR="00D76DF2">
        <w:rPr>
          <w:rFonts w:ascii="Times New Roman" w:hAnsi="Times New Roman" w:cs="Times New Roman"/>
        </w:rPr>
        <w:t>,</w:t>
      </w:r>
      <w:r w:rsidRPr="0024375B">
        <w:rPr>
          <w:rFonts w:ascii="Times New Roman" w:hAnsi="Times New Roman" w:cs="Times New Roman"/>
        </w:rPr>
        <w:t xml:space="preserve"> gdy nie istnieją odpowiednie normy.</w:t>
      </w:r>
      <w:r w:rsidR="00FD08CC" w:rsidRPr="0024375B">
        <w:rPr>
          <w:rFonts w:ascii="Times New Roman" w:hAnsi="Times New Roman" w:cs="Times New Roman"/>
        </w:rPr>
        <w:t xml:space="preserve"> </w:t>
      </w:r>
      <w:r w:rsidRPr="0024375B">
        <w:rPr>
          <w:rFonts w:ascii="Times New Roman" w:hAnsi="Times New Roman" w:cs="Times New Roman"/>
        </w:rPr>
        <w:t xml:space="preserve">Tylko takie indywidualne podejście, które pozwoli dostosować </w:t>
      </w:r>
      <w:r w:rsidR="004A22BE" w:rsidRPr="0024375B">
        <w:rPr>
          <w:rFonts w:ascii="Times New Roman" w:hAnsi="Times New Roman" w:cs="Times New Roman"/>
        </w:rPr>
        <w:t>programy do konkretnych produktów zapewni skuteczność tych programów. Trzeba wskazać, że ta różnorodność wpływa na wszelkie aspekty tych programów np.</w:t>
      </w:r>
      <w:r w:rsidR="00EA1900">
        <w:rPr>
          <w:rFonts w:ascii="Times New Roman" w:hAnsi="Times New Roman" w:cs="Times New Roman"/>
        </w:rPr>
        <w:t xml:space="preserve"> w </w:t>
      </w:r>
      <w:r w:rsidR="004A22BE" w:rsidRPr="0024375B">
        <w:rPr>
          <w:rFonts w:ascii="Times New Roman" w:hAnsi="Times New Roman" w:cs="Times New Roman"/>
        </w:rPr>
        <w:t>przypadku wykrycia</w:t>
      </w:r>
      <w:r w:rsidR="00EA1900">
        <w:rPr>
          <w:rFonts w:ascii="Times New Roman" w:hAnsi="Times New Roman" w:cs="Times New Roman"/>
        </w:rPr>
        <w:t xml:space="preserve"> w </w:t>
      </w:r>
      <w:r w:rsidR="004A22BE" w:rsidRPr="0024375B">
        <w:rPr>
          <w:rFonts w:ascii="Times New Roman" w:hAnsi="Times New Roman" w:cs="Times New Roman"/>
        </w:rPr>
        <w:t>certyfikowanym programie komputerowym podatności producent może mieć możliwość usunięcia tej wady przez jego aktualizacje podczas gdy wykrycie określonej podatności</w:t>
      </w:r>
      <w:r w:rsidR="00EA1900">
        <w:rPr>
          <w:rFonts w:ascii="Times New Roman" w:hAnsi="Times New Roman" w:cs="Times New Roman"/>
        </w:rPr>
        <w:t xml:space="preserve"> w </w:t>
      </w:r>
      <w:r w:rsidR="004A22BE" w:rsidRPr="0024375B">
        <w:rPr>
          <w:rFonts w:ascii="Times New Roman" w:hAnsi="Times New Roman" w:cs="Times New Roman"/>
        </w:rPr>
        <w:t xml:space="preserve">przenośnej pamięci </w:t>
      </w:r>
      <w:r w:rsidR="00180CC6" w:rsidRPr="0024375B">
        <w:rPr>
          <w:rFonts w:ascii="Times New Roman" w:hAnsi="Times New Roman" w:cs="Times New Roman"/>
        </w:rPr>
        <w:t>USB</w:t>
      </w:r>
      <w:r w:rsidR="004A22BE" w:rsidRPr="0024375B">
        <w:rPr>
          <w:rFonts w:ascii="Times New Roman" w:hAnsi="Times New Roman" w:cs="Times New Roman"/>
        </w:rPr>
        <w:t xml:space="preserve"> może wymusić konieczność wycofania określonej partii towaru</w:t>
      </w:r>
      <w:r w:rsidR="002161FE">
        <w:rPr>
          <w:rFonts w:ascii="Times New Roman" w:hAnsi="Times New Roman" w:cs="Times New Roman"/>
        </w:rPr>
        <w:t xml:space="preserve"> z </w:t>
      </w:r>
      <w:r w:rsidR="004A22BE" w:rsidRPr="0024375B">
        <w:rPr>
          <w:rFonts w:ascii="Times New Roman" w:hAnsi="Times New Roman" w:cs="Times New Roman"/>
        </w:rPr>
        <w:t xml:space="preserve">rynku. Tak samo dalsze monitorowanie spełnienia wymogów </w:t>
      </w:r>
      <w:r w:rsidR="00CB7582" w:rsidRPr="0024375B">
        <w:rPr>
          <w:rFonts w:ascii="Times New Roman" w:hAnsi="Times New Roman" w:cs="Times New Roman"/>
        </w:rPr>
        <w:t>określonych</w:t>
      </w:r>
      <w:r w:rsidR="00EA1900">
        <w:rPr>
          <w:rFonts w:ascii="Times New Roman" w:hAnsi="Times New Roman" w:cs="Times New Roman"/>
        </w:rPr>
        <w:t xml:space="preserve"> w </w:t>
      </w:r>
      <w:r w:rsidR="00CB7582" w:rsidRPr="0024375B">
        <w:rPr>
          <w:rFonts w:ascii="Times New Roman" w:hAnsi="Times New Roman" w:cs="Times New Roman"/>
        </w:rPr>
        <w:t>programie może wymagać zupełnie różnych metod.</w:t>
      </w:r>
      <w:r w:rsidR="00FD08CC" w:rsidRPr="0024375B">
        <w:rPr>
          <w:rFonts w:ascii="Times New Roman" w:hAnsi="Times New Roman" w:cs="Times New Roman"/>
        </w:rPr>
        <w:t xml:space="preserve"> </w:t>
      </w:r>
      <w:r w:rsidR="00CB7582" w:rsidRPr="0024375B">
        <w:rPr>
          <w:rFonts w:ascii="Times New Roman" w:hAnsi="Times New Roman" w:cs="Times New Roman"/>
        </w:rPr>
        <w:t>Ponadto każdy</w:t>
      </w:r>
      <w:r w:rsidR="002161FE">
        <w:rPr>
          <w:rFonts w:ascii="Times New Roman" w:hAnsi="Times New Roman" w:cs="Times New Roman"/>
        </w:rPr>
        <w:t xml:space="preserve"> z </w:t>
      </w:r>
      <w:r w:rsidR="00CB7582" w:rsidRPr="0024375B">
        <w:rPr>
          <w:rFonts w:ascii="Times New Roman" w:hAnsi="Times New Roman" w:cs="Times New Roman"/>
        </w:rPr>
        <w:t>programów będzie musiał być opracowywany przez innych ekspertów tak by był jak najlepiej dostosowany do ściśle określonej dziedziny, której dotyczy.</w:t>
      </w:r>
    </w:p>
    <w:p w14:paraId="62F8F489" w14:textId="77777777" w:rsidR="00634506" w:rsidRPr="0024375B" w:rsidRDefault="00634506" w:rsidP="00DC1575">
      <w:pPr>
        <w:pStyle w:val="Nagwek4"/>
      </w:pPr>
      <w:r w:rsidRPr="0024375B">
        <w:t>Nowy</w:t>
      </w:r>
      <w:r w:rsidR="00EA1900">
        <w:t xml:space="preserve"> art. </w:t>
      </w:r>
      <w:r w:rsidRPr="0024375B">
        <w:t>59</w:t>
      </w:r>
      <w:r w:rsidR="00FA030A">
        <w:t>e</w:t>
      </w:r>
    </w:p>
    <w:p w14:paraId="03CA2562" w14:textId="77777777" w:rsidR="000E693B" w:rsidRDefault="00DB254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Projektowan</w:t>
      </w:r>
      <w:r w:rsidR="000E693B">
        <w:rPr>
          <w:rFonts w:ascii="Times New Roman" w:hAnsi="Times New Roman" w:cs="Times New Roman"/>
        </w:rPr>
        <w:t>y</w:t>
      </w:r>
      <w:r w:rsidR="00EA1900">
        <w:rPr>
          <w:rFonts w:ascii="Times New Roman" w:hAnsi="Times New Roman" w:cs="Times New Roman"/>
        </w:rPr>
        <w:t xml:space="preserve"> art. </w:t>
      </w:r>
      <w:r w:rsidR="00F6749E" w:rsidRPr="0024375B">
        <w:rPr>
          <w:rFonts w:ascii="Times New Roman" w:hAnsi="Times New Roman" w:cs="Times New Roman"/>
        </w:rPr>
        <w:t>59</w:t>
      </w:r>
      <w:r w:rsidR="00FA030A">
        <w:rPr>
          <w:rFonts w:ascii="Times New Roman" w:hAnsi="Times New Roman" w:cs="Times New Roman"/>
        </w:rPr>
        <w:t>e</w:t>
      </w:r>
      <w:r w:rsidR="000E693B">
        <w:rPr>
          <w:rFonts w:ascii="Times New Roman" w:hAnsi="Times New Roman" w:cs="Times New Roman"/>
        </w:rPr>
        <w:t xml:space="preserve"> wprowadza obowiązek dostawcy, który poddaje swój produkt, usługę lub proces ICT ocenie zgodności, do udostępnienia jednostce prowadzącej ten proces wszelkich informacji niezbędnych do zbadania czy produkt ten spełnia wymagania zawarte w odpowiednim procesie certyfikacji. Przepis ten gwarantuje, że jednostki oceniające zgodność będą w stanie zebrać wszystkie informacje niezbędne do sprawnego realizowania ich działań. </w:t>
      </w:r>
    </w:p>
    <w:p w14:paraId="7D08CC82" w14:textId="77777777" w:rsidR="000E693B" w:rsidRPr="00BC5576" w:rsidRDefault="005159CE" w:rsidP="008B49B6">
      <w:pPr>
        <w:pStyle w:val="NIEARTTEKSTtekstnieartykuowanynppodstprawnarozplubpreambua"/>
        <w:ind w:firstLine="0"/>
        <w:rPr>
          <w:rFonts w:ascii="Times New Roman" w:hAnsi="Times New Roman" w:cs="Times New Roman"/>
          <w:u w:val="single"/>
        </w:rPr>
      </w:pPr>
      <w:r w:rsidRPr="00BC5576">
        <w:rPr>
          <w:u w:val="single"/>
        </w:rPr>
        <w:t>Nowy a</w:t>
      </w:r>
      <w:r w:rsidR="000E693B" w:rsidRPr="00BC5576">
        <w:rPr>
          <w:u w:val="single"/>
        </w:rPr>
        <w:t>rt. 59f</w:t>
      </w:r>
    </w:p>
    <w:p w14:paraId="559A8200" w14:textId="70094669" w:rsidR="00F6749E" w:rsidRPr="0024375B" w:rsidRDefault="000E693B" w:rsidP="0024375B">
      <w:pPr>
        <w:pStyle w:val="NIEARTTEKSTtekstnieartykuowanynppodstprawnarozplubpreambua"/>
        <w:rPr>
          <w:rFonts w:ascii="Times New Roman" w:hAnsi="Times New Roman" w:cs="Times New Roman"/>
        </w:rPr>
      </w:pPr>
      <w:r>
        <w:rPr>
          <w:rFonts w:ascii="Times New Roman" w:hAnsi="Times New Roman" w:cs="Times New Roman"/>
        </w:rPr>
        <w:t xml:space="preserve"> Art. 59f</w:t>
      </w:r>
      <w:r w:rsidR="00F6749E" w:rsidRPr="0024375B">
        <w:rPr>
          <w:rFonts w:ascii="Times New Roman" w:hAnsi="Times New Roman" w:cs="Times New Roman"/>
        </w:rPr>
        <w:t xml:space="preserve"> wyznacza elementy krajowych programów </w:t>
      </w:r>
      <w:r w:rsidR="00D76DF2" w:rsidRPr="0024375B">
        <w:rPr>
          <w:rFonts w:ascii="Times New Roman" w:hAnsi="Times New Roman" w:cs="Times New Roman"/>
        </w:rPr>
        <w:t>certyfikacji</w:t>
      </w:r>
      <w:r w:rsidR="00F6749E" w:rsidRPr="0024375B">
        <w:rPr>
          <w:rFonts w:ascii="Times New Roman" w:hAnsi="Times New Roman" w:cs="Times New Roman"/>
        </w:rPr>
        <w:t xml:space="preserve"> oraz</w:t>
      </w:r>
      <w:r>
        <w:rPr>
          <w:rFonts w:ascii="Times New Roman" w:hAnsi="Times New Roman" w:cs="Times New Roman"/>
        </w:rPr>
        <w:t xml:space="preserve"> określa</w:t>
      </w:r>
      <w:r w:rsidR="00F6749E" w:rsidRPr="0024375B">
        <w:rPr>
          <w:rFonts w:ascii="Times New Roman" w:hAnsi="Times New Roman" w:cs="Times New Roman"/>
        </w:rPr>
        <w:t xml:space="preserve"> poziomy uzasadnienia zaufania do których będą odwoływać się certyfikaty.</w:t>
      </w:r>
      <w:r w:rsidR="00567122" w:rsidRPr="0024375B">
        <w:rPr>
          <w:rFonts w:ascii="Times New Roman" w:hAnsi="Times New Roman" w:cs="Times New Roman"/>
        </w:rPr>
        <w:t xml:space="preserve"> Przepisy te zostały przygotowane na wzór odpowiednich przepisów </w:t>
      </w:r>
      <w:r w:rsidR="003A6DBF" w:rsidRPr="0024375B">
        <w:rPr>
          <w:rFonts w:ascii="Times New Roman" w:hAnsi="Times New Roman" w:cs="Times New Roman"/>
        </w:rPr>
        <w:t>A</w:t>
      </w:r>
      <w:r w:rsidR="00567122" w:rsidRPr="0024375B">
        <w:rPr>
          <w:rFonts w:ascii="Times New Roman" w:hAnsi="Times New Roman" w:cs="Times New Roman"/>
        </w:rPr>
        <w:t>ktu</w:t>
      </w:r>
      <w:r w:rsidR="0077165A">
        <w:rPr>
          <w:rFonts w:ascii="Times New Roman" w:hAnsi="Times New Roman" w:cs="Times New Roman"/>
        </w:rPr>
        <w:t xml:space="preserve"> o </w:t>
      </w:r>
      <w:r w:rsidR="00567122" w:rsidRPr="0024375B">
        <w:rPr>
          <w:rFonts w:ascii="Times New Roman" w:hAnsi="Times New Roman" w:cs="Times New Roman"/>
        </w:rPr>
        <w:t xml:space="preserve">cyberbezpieczeństwie </w:t>
      </w:r>
      <w:r w:rsidR="00567122" w:rsidRPr="0024375B">
        <w:rPr>
          <w:rFonts w:ascii="Times New Roman" w:eastAsia="Times New Roman" w:hAnsi="Times New Roman" w:cs="Times New Roman"/>
        </w:rPr>
        <w:t>przewiduj</w:t>
      </w:r>
      <w:r w:rsidR="00180CC6" w:rsidRPr="0024375B">
        <w:rPr>
          <w:rFonts w:ascii="Times New Roman" w:eastAsia="Times New Roman" w:hAnsi="Times New Roman" w:cs="Times New Roman"/>
        </w:rPr>
        <w:t>ący</w:t>
      </w:r>
      <w:r w:rsidR="73A80581" w:rsidRPr="0024375B">
        <w:rPr>
          <w:rFonts w:ascii="Times New Roman" w:eastAsia="Times New Roman" w:hAnsi="Times New Roman" w:cs="Times New Roman"/>
        </w:rPr>
        <w:t>ch</w:t>
      </w:r>
      <w:r w:rsidR="00567122" w:rsidRPr="0024375B">
        <w:rPr>
          <w:rFonts w:ascii="Times New Roman" w:eastAsia="Times New Roman" w:hAnsi="Times New Roman" w:cs="Times New Roman"/>
        </w:rPr>
        <w:t xml:space="preserve"> </w:t>
      </w:r>
      <w:r w:rsidR="00567122" w:rsidRPr="0024375B">
        <w:rPr>
          <w:rFonts w:ascii="Times New Roman" w:hAnsi="Times New Roman" w:cs="Times New Roman"/>
        </w:rPr>
        <w:t>trzy poziomy uzasadnienia zaufania – podstawowy, istotny</w:t>
      </w:r>
      <w:r w:rsidR="002161FE">
        <w:rPr>
          <w:rFonts w:ascii="Times New Roman" w:hAnsi="Times New Roman" w:cs="Times New Roman"/>
        </w:rPr>
        <w:t xml:space="preserve"> i </w:t>
      </w:r>
      <w:r w:rsidR="00567122" w:rsidRPr="0024375B">
        <w:rPr>
          <w:rFonts w:ascii="Times New Roman" w:hAnsi="Times New Roman" w:cs="Times New Roman"/>
        </w:rPr>
        <w:t>wysoki, które określają poziom cyberbezpieczeństwa jaki gwarantuje dany produkt. Odpowiednio do każdego</w:t>
      </w:r>
      <w:r w:rsidR="002161FE">
        <w:rPr>
          <w:rFonts w:ascii="Times New Roman" w:hAnsi="Times New Roman" w:cs="Times New Roman"/>
        </w:rPr>
        <w:t xml:space="preserve"> z </w:t>
      </w:r>
      <w:r w:rsidR="00567122" w:rsidRPr="0024375B">
        <w:rPr>
          <w:rFonts w:ascii="Times New Roman" w:hAnsi="Times New Roman" w:cs="Times New Roman"/>
        </w:rPr>
        <w:t xml:space="preserve">tych poziomów będą określane odrębne wymagania jakie musi spełniać produkt by uzyskać certyfikat </w:t>
      </w:r>
      <w:r w:rsidR="00C3377F" w:rsidRPr="0024375B">
        <w:rPr>
          <w:rFonts w:ascii="Times New Roman" w:hAnsi="Times New Roman" w:cs="Times New Roman"/>
        </w:rPr>
        <w:t xml:space="preserve">danego </w:t>
      </w:r>
      <w:r w:rsidR="00567122" w:rsidRPr="0024375B">
        <w:rPr>
          <w:rFonts w:ascii="Times New Roman" w:hAnsi="Times New Roman" w:cs="Times New Roman"/>
        </w:rPr>
        <w:t>poziomu. Każdy</w:t>
      </w:r>
      <w:r w:rsidR="002161FE">
        <w:rPr>
          <w:rFonts w:ascii="Times New Roman" w:hAnsi="Times New Roman" w:cs="Times New Roman"/>
        </w:rPr>
        <w:t xml:space="preserve"> z </w:t>
      </w:r>
      <w:r w:rsidR="00567122" w:rsidRPr="0024375B">
        <w:rPr>
          <w:rFonts w:ascii="Times New Roman" w:hAnsi="Times New Roman" w:cs="Times New Roman"/>
        </w:rPr>
        <w:t>certyfikatów wydawanych</w:t>
      </w:r>
      <w:r w:rsidR="00EA1900">
        <w:rPr>
          <w:rFonts w:ascii="Times New Roman" w:hAnsi="Times New Roman" w:cs="Times New Roman"/>
        </w:rPr>
        <w:t xml:space="preserve"> w </w:t>
      </w:r>
      <w:r w:rsidR="00567122" w:rsidRPr="0024375B">
        <w:rPr>
          <w:rFonts w:ascii="Times New Roman" w:hAnsi="Times New Roman" w:cs="Times New Roman"/>
        </w:rPr>
        <w:t>ramach tego systemu będzie musiał wskazywać jakiego poziomu dotyczy. Szczegóły związane</w:t>
      </w:r>
      <w:r w:rsidR="002161FE">
        <w:rPr>
          <w:rFonts w:ascii="Times New Roman" w:hAnsi="Times New Roman" w:cs="Times New Roman"/>
        </w:rPr>
        <w:t xml:space="preserve"> z </w:t>
      </w:r>
      <w:r w:rsidR="00567122" w:rsidRPr="0024375B">
        <w:rPr>
          <w:rFonts w:ascii="Times New Roman" w:hAnsi="Times New Roman" w:cs="Times New Roman"/>
        </w:rPr>
        <w:t>opisem wymagań bezpieczeństwa</w:t>
      </w:r>
      <w:r w:rsidR="002161FE">
        <w:rPr>
          <w:rFonts w:ascii="Times New Roman" w:hAnsi="Times New Roman" w:cs="Times New Roman"/>
        </w:rPr>
        <w:t xml:space="preserve"> i </w:t>
      </w:r>
      <w:r w:rsidR="00567122" w:rsidRPr="0024375B">
        <w:rPr>
          <w:rFonts w:ascii="Times New Roman" w:hAnsi="Times New Roman" w:cs="Times New Roman"/>
        </w:rPr>
        <w:t>procesem badania produktów będą określane</w:t>
      </w:r>
      <w:r w:rsidR="00EA1900">
        <w:rPr>
          <w:rFonts w:ascii="Times New Roman" w:hAnsi="Times New Roman" w:cs="Times New Roman"/>
        </w:rPr>
        <w:t xml:space="preserve"> w </w:t>
      </w:r>
      <w:r w:rsidR="00567122" w:rsidRPr="0024375B">
        <w:rPr>
          <w:rFonts w:ascii="Times New Roman" w:hAnsi="Times New Roman" w:cs="Times New Roman"/>
        </w:rPr>
        <w:t>europejskich</w:t>
      </w:r>
      <w:r w:rsidR="002161FE">
        <w:rPr>
          <w:rFonts w:ascii="Times New Roman" w:hAnsi="Times New Roman" w:cs="Times New Roman"/>
        </w:rPr>
        <w:t xml:space="preserve"> i </w:t>
      </w:r>
      <w:r w:rsidR="00567122" w:rsidRPr="0024375B">
        <w:rPr>
          <w:rFonts w:ascii="Times New Roman" w:hAnsi="Times New Roman" w:cs="Times New Roman"/>
        </w:rPr>
        <w:t>krajowych programach certyfikacji.</w:t>
      </w:r>
      <w:r w:rsidR="00FD08CC" w:rsidRPr="0024375B">
        <w:rPr>
          <w:rFonts w:ascii="Times New Roman" w:hAnsi="Times New Roman" w:cs="Times New Roman"/>
        </w:rPr>
        <w:t xml:space="preserve"> </w:t>
      </w:r>
      <w:r w:rsidR="00F6749E" w:rsidRPr="0024375B">
        <w:rPr>
          <w:rFonts w:ascii="Times New Roman" w:hAnsi="Times New Roman" w:cs="Times New Roman"/>
        </w:rPr>
        <w:t>Dzięki temu możliwa będzie promocja krajowych programów certyfikacyjnych</w:t>
      </w:r>
      <w:r w:rsidR="00EA1900">
        <w:rPr>
          <w:rFonts w:ascii="Times New Roman" w:hAnsi="Times New Roman" w:cs="Times New Roman"/>
        </w:rPr>
        <w:t xml:space="preserve"> w </w:t>
      </w:r>
      <w:r w:rsidR="00F6749E" w:rsidRPr="0024375B">
        <w:rPr>
          <w:rFonts w:ascii="Times New Roman" w:hAnsi="Times New Roman" w:cs="Times New Roman"/>
        </w:rPr>
        <w:t>całej Unii Europejskiej</w:t>
      </w:r>
      <w:r w:rsidR="002161FE">
        <w:rPr>
          <w:rFonts w:ascii="Times New Roman" w:hAnsi="Times New Roman" w:cs="Times New Roman"/>
        </w:rPr>
        <w:t xml:space="preserve"> i </w:t>
      </w:r>
      <w:r w:rsidR="00F6749E" w:rsidRPr="0024375B">
        <w:rPr>
          <w:rFonts w:ascii="Times New Roman" w:hAnsi="Times New Roman" w:cs="Times New Roman"/>
        </w:rPr>
        <w:t xml:space="preserve">stosunkowo łatwe przenoszenie ich na poziom europejski. </w:t>
      </w:r>
      <w:r w:rsidR="00567122" w:rsidRPr="0024375B">
        <w:rPr>
          <w:rFonts w:ascii="Times New Roman" w:hAnsi="Times New Roman" w:cs="Times New Roman"/>
        </w:rPr>
        <w:t>Ponadto takie rozwiązanie zapewni porównywalność certyfikatów krajowych</w:t>
      </w:r>
      <w:r w:rsidR="002161FE">
        <w:rPr>
          <w:rFonts w:ascii="Times New Roman" w:hAnsi="Times New Roman" w:cs="Times New Roman"/>
        </w:rPr>
        <w:t xml:space="preserve"> z </w:t>
      </w:r>
      <w:r w:rsidR="0015053A" w:rsidRPr="0024375B">
        <w:rPr>
          <w:rFonts w:ascii="Times New Roman" w:hAnsi="Times New Roman" w:cs="Times New Roman"/>
        </w:rPr>
        <w:t>dokumentami</w:t>
      </w:r>
      <w:r w:rsidR="002161FE">
        <w:rPr>
          <w:rFonts w:ascii="Times New Roman" w:hAnsi="Times New Roman" w:cs="Times New Roman"/>
        </w:rPr>
        <w:t xml:space="preserve"> z </w:t>
      </w:r>
      <w:r w:rsidR="00567122" w:rsidRPr="0024375B">
        <w:rPr>
          <w:rFonts w:ascii="Times New Roman" w:hAnsi="Times New Roman" w:cs="Times New Roman"/>
        </w:rPr>
        <w:t>innych państw członkowskich</w:t>
      </w:r>
      <w:r w:rsidR="0015053A" w:rsidRPr="0024375B">
        <w:rPr>
          <w:rFonts w:ascii="Times New Roman" w:hAnsi="Times New Roman" w:cs="Times New Roman"/>
        </w:rPr>
        <w:t xml:space="preserve"> oraz sprawi, że certyfikaty będą bardziej </w:t>
      </w:r>
      <w:r w:rsidR="00C3377F" w:rsidRPr="0024375B">
        <w:rPr>
          <w:rFonts w:ascii="Times New Roman" w:hAnsi="Times New Roman" w:cs="Times New Roman"/>
        </w:rPr>
        <w:lastRenderedPageBreak/>
        <w:t xml:space="preserve">przejrzyste </w:t>
      </w:r>
      <w:r w:rsidR="0015053A" w:rsidRPr="0024375B">
        <w:rPr>
          <w:rFonts w:ascii="Times New Roman" w:hAnsi="Times New Roman" w:cs="Times New Roman"/>
        </w:rPr>
        <w:t>dla zagranicznych klientów.</w:t>
      </w:r>
      <w:r>
        <w:rPr>
          <w:rFonts w:ascii="Times New Roman" w:hAnsi="Times New Roman" w:cs="Times New Roman"/>
        </w:rPr>
        <w:t xml:space="preserve"> Ust. 3 tego artykułu precyzuje podstawowe metody oceny czy produkt, usługę lub proces ICT spełnia wymagania określone w programie certyfikacji. Dla każdego z poziomów uzasadnienia zaufania zostały określone odrębne podstawowe metody oceny, w taki sposób by były one proporcjonalne do wymagań jakie będą dotyczyły tych produktów, usług czy procesów ICT. </w:t>
      </w:r>
    </w:p>
    <w:p w14:paraId="237A0DB2" w14:textId="77777777" w:rsidR="0052339B" w:rsidRDefault="0052339B" w:rsidP="00DC1575">
      <w:pPr>
        <w:pStyle w:val="Nagwek4"/>
      </w:pPr>
      <w:r w:rsidRPr="0024375B">
        <w:t>Nowy</w:t>
      </w:r>
      <w:r w:rsidR="00EA1900">
        <w:t xml:space="preserve"> art. </w:t>
      </w:r>
      <w:r w:rsidRPr="0024375B">
        <w:t>59</w:t>
      </w:r>
      <w:r w:rsidR="00FA030A">
        <w:t>g</w:t>
      </w:r>
    </w:p>
    <w:p w14:paraId="1C6C3B62" w14:textId="77777777" w:rsidR="000E693B" w:rsidRDefault="000E693B" w:rsidP="00BC5576">
      <w:pPr>
        <w:jc w:val="both"/>
      </w:pPr>
      <w:r>
        <w:rPr>
          <w:lang w:eastAsia="en-US"/>
        </w:rPr>
        <w:t xml:space="preserve">Art. 59g wprowadza wyraźny obowiązek spełniania wymagań przez produktu, usługi lub procesy ICT, które uzyskały odpowiedni certyfikat lub ocenę zgodności. Przepis ten odnosi się do, określonych wcześniej, poziomów uzasadnienia zaufania wskazując ogólnie jakie wymagania muszą być spełnione przez te produkty, usługi czy procesy ICT. </w:t>
      </w:r>
      <w:r w:rsidR="00EC001E">
        <w:rPr>
          <w:lang w:eastAsia="en-US"/>
        </w:rPr>
        <w:t>Szczegółowe wymagania będą określane w odpowiednich krajowych programach certyfikacji cyberbezpieczeństwa.</w:t>
      </w:r>
    </w:p>
    <w:p w14:paraId="7F2EF0A5" w14:textId="77777777" w:rsidR="000E693B" w:rsidRPr="00911CAE" w:rsidRDefault="000E693B" w:rsidP="00DC1575">
      <w:pPr>
        <w:pStyle w:val="Nagwek4"/>
      </w:pPr>
      <w:r w:rsidRPr="0024375B">
        <w:t>Nowy</w:t>
      </w:r>
      <w:r>
        <w:t xml:space="preserve"> art. </w:t>
      </w:r>
      <w:r w:rsidRPr="0024375B">
        <w:t>59</w:t>
      </w:r>
      <w:r>
        <w:t>h</w:t>
      </w:r>
    </w:p>
    <w:p w14:paraId="46D2E62C" w14:textId="038EC978" w:rsidR="0015053A" w:rsidRPr="0024375B" w:rsidRDefault="007B205B"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Projektowany</w:t>
      </w:r>
      <w:r w:rsidR="00EA1900">
        <w:rPr>
          <w:rFonts w:ascii="Times New Roman" w:hAnsi="Times New Roman" w:cs="Times New Roman"/>
        </w:rPr>
        <w:t xml:space="preserve"> art. </w:t>
      </w:r>
      <w:r w:rsidR="00F6749E" w:rsidRPr="0024375B">
        <w:rPr>
          <w:rFonts w:ascii="Times New Roman" w:hAnsi="Times New Roman" w:cs="Times New Roman"/>
        </w:rPr>
        <w:t>59</w:t>
      </w:r>
      <w:r w:rsidR="000E693B">
        <w:rPr>
          <w:rFonts w:ascii="Times New Roman" w:hAnsi="Times New Roman" w:cs="Times New Roman"/>
        </w:rPr>
        <w:t>h</w:t>
      </w:r>
      <w:r w:rsidR="00F6749E" w:rsidRPr="0024375B">
        <w:rPr>
          <w:rFonts w:ascii="Times New Roman" w:hAnsi="Times New Roman" w:cs="Times New Roman"/>
        </w:rPr>
        <w:t xml:space="preserve"> wyznacza obowiązek akredytacji dla jednostek oceniających zgodność oraz wskazuje obowiązki informacyjne Polskiego Centrum Akredytacji.</w:t>
      </w:r>
      <w:r w:rsidR="0015053A" w:rsidRPr="0024375B">
        <w:rPr>
          <w:rFonts w:ascii="Times New Roman" w:hAnsi="Times New Roman" w:cs="Times New Roman"/>
        </w:rPr>
        <w:t xml:space="preserve"> Aby prowadzić badania produktów, usług</w:t>
      </w:r>
      <w:r w:rsidR="002161FE">
        <w:rPr>
          <w:rFonts w:ascii="Times New Roman" w:hAnsi="Times New Roman" w:cs="Times New Roman"/>
        </w:rPr>
        <w:t xml:space="preserve"> i </w:t>
      </w:r>
      <w:r w:rsidR="0015053A" w:rsidRPr="0024375B">
        <w:rPr>
          <w:rFonts w:ascii="Times New Roman" w:hAnsi="Times New Roman" w:cs="Times New Roman"/>
        </w:rPr>
        <w:t xml:space="preserve">procesów ICT podmioty będą musiały uzyskać akredytację </w:t>
      </w:r>
      <w:r w:rsidR="00C3377F" w:rsidRPr="0024375B">
        <w:rPr>
          <w:rFonts w:ascii="Times New Roman" w:hAnsi="Times New Roman" w:cs="Times New Roman"/>
        </w:rPr>
        <w:t>PCA</w:t>
      </w:r>
      <w:r w:rsidR="0015053A" w:rsidRPr="0024375B">
        <w:rPr>
          <w:rFonts w:ascii="Times New Roman" w:hAnsi="Times New Roman" w:cs="Times New Roman"/>
        </w:rPr>
        <w:t>. Wymagania dla zainteresowanych zostały określone</w:t>
      </w:r>
      <w:r w:rsidR="00EA1900">
        <w:rPr>
          <w:rFonts w:ascii="Times New Roman" w:hAnsi="Times New Roman" w:cs="Times New Roman"/>
        </w:rPr>
        <w:t xml:space="preserve"> w </w:t>
      </w:r>
      <w:r w:rsidR="0015053A" w:rsidRPr="0024375B">
        <w:rPr>
          <w:rFonts w:ascii="Times New Roman" w:hAnsi="Times New Roman" w:cs="Times New Roman"/>
        </w:rPr>
        <w:t>załączniku nr 1 do Aktu</w:t>
      </w:r>
      <w:r w:rsidR="0077165A">
        <w:rPr>
          <w:rFonts w:ascii="Times New Roman" w:hAnsi="Times New Roman" w:cs="Times New Roman"/>
        </w:rPr>
        <w:t xml:space="preserve"> o </w:t>
      </w:r>
      <w:r w:rsidR="0015053A" w:rsidRPr="0024375B">
        <w:rPr>
          <w:rFonts w:ascii="Times New Roman" w:hAnsi="Times New Roman" w:cs="Times New Roman"/>
        </w:rPr>
        <w:t>cyberbezpieczeństwie. PCA będzie procedować na podstawie przepisów ustawy</w:t>
      </w:r>
      <w:r w:rsidR="002161FE">
        <w:rPr>
          <w:rFonts w:ascii="Times New Roman" w:hAnsi="Times New Roman" w:cs="Times New Roman"/>
        </w:rPr>
        <w:t xml:space="preserve"> z </w:t>
      </w:r>
      <w:r w:rsidR="003B0B80" w:rsidRPr="0024375B">
        <w:rPr>
          <w:rFonts w:ascii="Times New Roman" w:hAnsi="Times New Roman" w:cs="Times New Roman"/>
        </w:rPr>
        <w:t>dnia 13 kwietnia 2016 r.</w:t>
      </w:r>
      <w:r w:rsidR="0077165A">
        <w:rPr>
          <w:rFonts w:ascii="Times New Roman" w:hAnsi="Times New Roman" w:cs="Times New Roman"/>
        </w:rPr>
        <w:t xml:space="preserve"> o </w:t>
      </w:r>
      <w:r w:rsidR="0015053A" w:rsidRPr="0024375B">
        <w:rPr>
          <w:rFonts w:ascii="Times New Roman" w:hAnsi="Times New Roman" w:cs="Times New Roman"/>
        </w:rPr>
        <w:t>systemach oceny zgodności</w:t>
      </w:r>
      <w:r w:rsidR="002161FE">
        <w:rPr>
          <w:rFonts w:ascii="Times New Roman" w:hAnsi="Times New Roman" w:cs="Times New Roman"/>
        </w:rPr>
        <w:t xml:space="preserve"> i </w:t>
      </w:r>
      <w:r w:rsidR="0015053A" w:rsidRPr="0024375B">
        <w:rPr>
          <w:rFonts w:ascii="Times New Roman" w:hAnsi="Times New Roman" w:cs="Times New Roman"/>
        </w:rPr>
        <w:t>nadzoru rynku. Są to przepisy</w:t>
      </w:r>
      <w:r w:rsidR="00D76DF2">
        <w:rPr>
          <w:rFonts w:ascii="Times New Roman" w:hAnsi="Times New Roman" w:cs="Times New Roman"/>
        </w:rPr>
        <w:t>,</w:t>
      </w:r>
      <w:r w:rsidR="0015053A" w:rsidRPr="0024375B">
        <w:rPr>
          <w:rFonts w:ascii="Times New Roman" w:hAnsi="Times New Roman" w:cs="Times New Roman"/>
        </w:rPr>
        <w:t xml:space="preserve"> na </w:t>
      </w:r>
      <w:r w:rsidR="007F4D80" w:rsidRPr="0024375B">
        <w:rPr>
          <w:rFonts w:ascii="Times New Roman" w:hAnsi="Times New Roman" w:cs="Times New Roman"/>
        </w:rPr>
        <w:t>podstawie których PCA działa</w:t>
      </w:r>
      <w:r w:rsidR="00EA1900">
        <w:rPr>
          <w:rFonts w:ascii="Times New Roman" w:hAnsi="Times New Roman" w:cs="Times New Roman"/>
        </w:rPr>
        <w:t xml:space="preserve"> w </w:t>
      </w:r>
      <w:r w:rsidR="007F4D80" w:rsidRPr="0024375B">
        <w:rPr>
          <w:rFonts w:ascii="Times New Roman" w:hAnsi="Times New Roman" w:cs="Times New Roman"/>
        </w:rPr>
        <w:t>innych gałęziach gospodarki,</w:t>
      </w:r>
      <w:r w:rsidR="00EA1900">
        <w:rPr>
          <w:rFonts w:ascii="Times New Roman" w:hAnsi="Times New Roman" w:cs="Times New Roman"/>
        </w:rPr>
        <w:t xml:space="preserve"> w </w:t>
      </w:r>
      <w:r w:rsidR="007F4D80" w:rsidRPr="0024375B">
        <w:rPr>
          <w:rFonts w:ascii="Times New Roman" w:hAnsi="Times New Roman" w:cs="Times New Roman"/>
        </w:rPr>
        <w:t>związku</w:t>
      </w:r>
      <w:r w:rsidR="002161FE">
        <w:rPr>
          <w:rFonts w:ascii="Times New Roman" w:hAnsi="Times New Roman" w:cs="Times New Roman"/>
        </w:rPr>
        <w:t xml:space="preserve"> z </w:t>
      </w:r>
      <w:r w:rsidR="007F4D80" w:rsidRPr="0024375B">
        <w:rPr>
          <w:rFonts w:ascii="Times New Roman" w:hAnsi="Times New Roman" w:cs="Times New Roman"/>
        </w:rPr>
        <w:t>czym nie będzie to wymagało dodatkowego przygotowania</w:t>
      </w:r>
      <w:r w:rsidR="002161FE">
        <w:rPr>
          <w:rFonts w:ascii="Times New Roman" w:hAnsi="Times New Roman" w:cs="Times New Roman"/>
        </w:rPr>
        <w:t xml:space="preserve"> z </w:t>
      </w:r>
      <w:r w:rsidR="007F4D80" w:rsidRPr="0024375B">
        <w:rPr>
          <w:rFonts w:ascii="Times New Roman" w:hAnsi="Times New Roman" w:cs="Times New Roman"/>
        </w:rPr>
        <w:t>ich strony.</w:t>
      </w:r>
    </w:p>
    <w:p w14:paraId="23D5061F"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 Sprawna wymiana informacji między PCA sprawującym nadzór nad akredytacją oraz ministrem właściwym do spraw informatyzacji jest niezbędna do sprawnego działania nowego systemu.</w:t>
      </w:r>
      <w:r w:rsidR="00116933">
        <w:rPr>
          <w:rFonts w:ascii="Times New Roman" w:hAnsi="Times New Roman" w:cs="Times New Roman"/>
        </w:rPr>
        <w:t xml:space="preserve"> W </w:t>
      </w:r>
      <w:r w:rsidR="00092210" w:rsidRPr="0024375B">
        <w:rPr>
          <w:rFonts w:ascii="Times New Roman" w:hAnsi="Times New Roman" w:cs="Times New Roman"/>
        </w:rPr>
        <w:t>związku</w:t>
      </w:r>
      <w:r w:rsidR="002161FE">
        <w:rPr>
          <w:rFonts w:ascii="Times New Roman" w:hAnsi="Times New Roman" w:cs="Times New Roman"/>
        </w:rPr>
        <w:t xml:space="preserve"> z </w:t>
      </w:r>
      <w:r w:rsidR="00092210" w:rsidRPr="0024375B">
        <w:rPr>
          <w:rFonts w:ascii="Times New Roman" w:hAnsi="Times New Roman" w:cs="Times New Roman"/>
        </w:rPr>
        <w:t>tym PCA będzie informować ministra</w:t>
      </w:r>
      <w:r w:rsidR="0077165A">
        <w:rPr>
          <w:rFonts w:ascii="Times New Roman" w:hAnsi="Times New Roman" w:cs="Times New Roman"/>
        </w:rPr>
        <w:t xml:space="preserve"> o </w:t>
      </w:r>
      <w:r w:rsidR="00092210" w:rsidRPr="0024375B">
        <w:rPr>
          <w:rFonts w:ascii="Times New Roman" w:hAnsi="Times New Roman" w:cs="Times New Roman"/>
        </w:rPr>
        <w:t>dokonanych akredytacjach oraz</w:t>
      </w:r>
      <w:r w:rsidR="0077165A">
        <w:rPr>
          <w:rFonts w:ascii="Times New Roman" w:hAnsi="Times New Roman" w:cs="Times New Roman"/>
        </w:rPr>
        <w:t xml:space="preserve"> o </w:t>
      </w:r>
      <w:r w:rsidR="00092210" w:rsidRPr="0024375B">
        <w:rPr>
          <w:rFonts w:ascii="Times New Roman" w:hAnsi="Times New Roman" w:cs="Times New Roman"/>
        </w:rPr>
        <w:t>odmowie ich dokonania.</w:t>
      </w:r>
      <w:r w:rsidRPr="0024375B">
        <w:rPr>
          <w:rFonts w:ascii="Times New Roman" w:hAnsi="Times New Roman" w:cs="Times New Roman"/>
        </w:rPr>
        <w:t xml:space="preserve"> Proponowane rozwiązania gwarantują, że minister</w:t>
      </w:r>
      <w:r w:rsidR="0005636B" w:rsidRPr="0024375B">
        <w:rPr>
          <w:rFonts w:ascii="Times New Roman" w:hAnsi="Times New Roman" w:cs="Times New Roman"/>
        </w:rPr>
        <w:t xml:space="preserve"> właściwy do spraw informatyzacji</w:t>
      </w:r>
      <w:r w:rsidRPr="0024375B">
        <w:rPr>
          <w:rFonts w:ascii="Times New Roman" w:hAnsi="Times New Roman" w:cs="Times New Roman"/>
        </w:rPr>
        <w:t xml:space="preserve"> będzie </w:t>
      </w:r>
      <w:r w:rsidR="00C3377F" w:rsidRPr="0024375B">
        <w:rPr>
          <w:rFonts w:ascii="Times New Roman" w:hAnsi="Times New Roman" w:cs="Times New Roman"/>
        </w:rPr>
        <w:t xml:space="preserve">należycie </w:t>
      </w:r>
      <w:r w:rsidRPr="0024375B">
        <w:rPr>
          <w:rFonts w:ascii="Times New Roman" w:hAnsi="Times New Roman" w:cs="Times New Roman"/>
        </w:rPr>
        <w:t>poinformowany</w:t>
      </w:r>
      <w:r w:rsidR="0077165A">
        <w:rPr>
          <w:rFonts w:ascii="Times New Roman" w:hAnsi="Times New Roman" w:cs="Times New Roman"/>
        </w:rPr>
        <w:t xml:space="preserve"> o </w:t>
      </w:r>
      <w:r w:rsidRPr="0024375B">
        <w:rPr>
          <w:rFonts w:ascii="Times New Roman" w:hAnsi="Times New Roman" w:cs="Times New Roman"/>
        </w:rPr>
        <w:t>wszystkich podmiotach wy</w:t>
      </w:r>
      <w:r w:rsidR="2FBC2F2B" w:rsidRPr="0024375B">
        <w:rPr>
          <w:rFonts w:ascii="Times New Roman" w:hAnsi="Times New Roman" w:cs="Times New Roman"/>
        </w:rPr>
        <w:t>dających</w:t>
      </w:r>
      <w:r w:rsidRPr="0024375B">
        <w:rPr>
          <w:rFonts w:ascii="Times New Roman" w:hAnsi="Times New Roman" w:cs="Times New Roman"/>
        </w:rPr>
        <w:t xml:space="preserve"> certyfikaty</w:t>
      </w:r>
      <w:r w:rsidR="00092210" w:rsidRPr="0024375B">
        <w:rPr>
          <w:rFonts w:ascii="Times New Roman" w:hAnsi="Times New Roman" w:cs="Times New Roman"/>
        </w:rPr>
        <w:t xml:space="preserve"> oraz będzie posiadał informacje niezbędne do prowadzenia nadzoru nad tym rynkiem.</w:t>
      </w:r>
    </w:p>
    <w:p w14:paraId="3E588876" w14:textId="77777777" w:rsidR="0052339B" w:rsidRPr="0024375B" w:rsidRDefault="0052339B" w:rsidP="00DC1575">
      <w:pPr>
        <w:pStyle w:val="Nagwek4"/>
      </w:pPr>
      <w:r w:rsidRPr="0024375B">
        <w:t>Nowy</w:t>
      </w:r>
      <w:r w:rsidR="00EA1900">
        <w:t xml:space="preserve"> art. </w:t>
      </w:r>
      <w:r w:rsidRPr="0024375B">
        <w:t>59</w:t>
      </w:r>
      <w:r w:rsidR="00EC001E">
        <w:t>i</w:t>
      </w:r>
    </w:p>
    <w:p w14:paraId="6577EF5B" w14:textId="2EDF16F1" w:rsidR="00F6749E" w:rsidRDefault="54781C10" w:rsidP="0024375B">
      <w:pPr>
        <w:pStyle w:val="NIEARTTEKSTtekstnieartykuowanynppodstprawnarozplubpreambua"/>
        <w:rPr>
          <w:rStyle w:val="eop"/>
          <w:rFonts w:cs="Times"/>
          <w:color w:val="000000"/>
          <w:shd w:val="clear" w:color="auto" w:fill="FFFFFF"/>
        </w:rPr>
      </w:pPr>
      <w:r w:rsidRPr="0024375B">
        <w:rPr>
          <w:rFonts w:ascii="Times New Roman" w:hAnsi="Times New Roman" w:cs="Times New Roman"/>
        </w:rPr>
        <w:t>Projektowany</w:t>
      </w:r>
      <w:r w:rsidR="00EA1900">
        <w:rPr>
          <w:rFonts w:ascii="Times New Roman" w:hAnsi="Times New Roman" w:cs="Times New Roman"/>
        </w:rPr>
        <w:t xml:space="preserve"> art. </w:t>
      </w:r>
      <w:r w:rsidR="00702D4C" w:rsidRPr="0024375B">
        <w:rPr>
          <w:rFonts w:ascii="Times New Roman" w:hAnsi="Times New Roman" w:cs="Times New Roman"/>
        </w:rPr>
        <w:t>59</w:t>
      </w:r>
      <w:r w:rsidR="00EC001E">
        <w:rPr>
          <w:rFonts w:ascii="Times New Roman" w:hAnsi="Times New Roman" w:cs="Times New Roman"/>
        </w:rPr>
        <w:t>i</w:t>
      </w:r>
      <w:r w:rsidR="00092210" w:rsidRPr="0024375B">
        <w:rPr>
          <w:rFonts w:ascii="Times New Roman" w:hAnsi="Times New Roman" w:cs="Times New Roman"/>
        </w:rPr>
        <w:t xml:space="preserve"> reguluje </w:t>
      </w:r>
      <w:r w:rsidR="568381A6" w:rsidRPr="0024375B">
        <w:rPr>
          <w:rFonts w:ascii="Times New Roman" w:hAnsi="Times New Roman" w:cs="Times New Roman"/>
        </w:rPr>
        <w:t>sytuację,</w:t>
      </w:r>
      <w:r w:rsidR="00092210" w:rsidRPr="0024375B">
        <w:rPr>
          <w:rFonts w:ascii="Times New Roman" w:hAnsi="Times New Roman" w:cs="Times New Roman"/>
        </w:rPr>
        <w:t xml:space="preserve"> gdy</w:t>
      </w:r>
      <w:r w:rsidR="00EC001E">
        <w:rPr>
          <w:rFonts w:ascii="Times New Roman" w:hAnsi="Times New Roman" w:cs="Times New Roman"/>
        </w:rPr>
        <w:t xml:space="preserve"> europejski</w:t>
      </w:r>
      <w:r w:rsidR="00092210" w:rsidRPr="0024375B">
        <w:rPr>
          <w:rFonts w:ascii="Times New Roman" w:hAnsi="Times New Roman" w:cs="Times New Roman"/>
        </w:rPr>
        <w:t xml:space="preserve"> </w:t>
      </w:r>
      <w:r w:rsidR="00702D4C" w:rsidRPr="0024375B">
        <w:rPr>
          <w:rFonts w:ascii="Times New Roman" w:hAnsi="Times New Roman" w:cs="Times New Roman"/>
        </w:rPr>
        <w:t>program certyfikacji cyberbezpieczeństwa przewiduje specjalne wymagania dla jednostek oceniających zgodność.</w:t>
      </w:r>
      <w:r w:rsidR="00116933">
        <w:rPr>
          <w:rFonts w:ascii="Times New Roman" w:hAnsi="Times New Roman" w:cs="Times New Roman"/>
        </w:rPr>
        <w:t xml:space="preserve"> W </w:t>
      </w:r>
      <w:r w:rsidR="00702D4C" w:rsidRPr="0024375B">
        <w:rPr>
          <w:rFonts w:ascii="Times New Roman" w:hAnsi="Times New Roman" w:cs="Times New Roman"/>
        </w:rPr>
        <w:t>takim przypadku, oprócz akredytacji, te jednostki będą musiały uzyskać zezwolenia ministra właściwego do spraw informatyzacji.</w:t>
      </w:r>
      <w:r w:rsidR="00522515" w:rsidRPr="0024375B">
        <w:rPr>
          <w:rFonts w:ascii="Times New Roman" w:hAnsi="Times New Roman" w:cs="Times New Roman"/>
        </w:rPr>
        <w:t xml:space="preserve"> </w:t>
      </w:r>
      <w:r w:rsidR="00F6749E" w:rsidRPr="0024375B">
        <w:rPr>
          <w:rFonts w:ascii="Times New Roman" w:hAnsi="Times New Roman" w:cs="Times New Roman"/>
        </w:rPr>
        <w:t>Zezwolenia określone</w:t>
      </w:r>
      <w:r w:rsidR="00EA1900">
        <w:rPr>
          <w:rFonts w:ascii="Times New Roman" w:hAnsi="Times New Roman" w:cs="Times New Roman"/>
        </w:rPr>
        <w:t xml:space="preserve"> w </w:t>
      </w:r>
      <w:r w:rsidR="007B205B" w:rsidRPr="0024375B">
        <w:rPr>
          <w:rFonts w:ascii="Times New Roman" w:hAnsi="Times New Roman" w:cs="Times New Roman"/>
        </w:rPr>
        <w:t>projektowanym</w:t>
      </w:r>
      <w:r w:rsidR="00EA1900">
        <w:rPr>
          <w:rFonts w:ascii="Times New Roman" w:hAnsi="Times New Roman" w:cs="Times New Roman"/>
        </w:rPr>
        <w:t xml:space="preserve"> art. </w:t>
      </w:r>
      <w:r w:rsidR="00F6749E" w:rsidRPr="0024375B">
        <w:rPr>
          <w:rFonts w:ascii="Times New Roman" w:hAnsi="Times New Roman" w:cs="Times New Roman"/>
        </w:rPr>
        <w:t>59</w:t>
      </w:r>
      <w:r w:rsidR="00EC001E">
        <w:rPr>
          <w:rFonts w:ascii="Times New Roman" w:hAnsi="Times New Roman" w:cs="Times New Roman"/>
        </w:rPr>
        <w:t>i</w:t>
      </w:r>
      <w:r w:rsidR="00F6749E" w:rsidRPr="0024375B">
        <w:rPr>
          <w:rFonts w:ascii="Times New Roman" w:hAnsi="Times New Roman" w:cs="Times New Roman"/>
        </w:rPr>
        <w:t xml:space="preserve"> wynikają wprost</w:t>
      </w:r>
      <w:r w:rsidR="002161FE">
        <w:rPr>
          <w:rFonts w:ascii="Times New Roman" w:hAnsi="Times New Roman" w:cs="Times New Roman"/>
        </w:rPr>
        <w:t xml:space="preserve"> z </w:t>
      </w:r>
      <w:r w:rsidR="00F6749E" w:rsidRPr="0024375B">
        <w:rPr>
          <w:rFonts w:ascii="Times New Roman" w:hAnsi="Times New Roman" w:cs="Times New Roman"/>
        </w:rPr>
        <w:t xml:space="preserve">obowiązku wdrożenia </w:t>
      </w:r>
      <w:r w:rsidR="00C3377F" w:rsidRPr="0024375B">
        <w:rPr>
          <w:rFonts w:ascii="Times New Roman" w:hAnsi="Times New Roman" w:cs="Times New Roman"/>
        </w:rPr>
        <w:t>A</w:t>
      </w:r>
      <w:r w:rsidR="00F6749E" w:rsidRPr="0024375B">
        <w:rPr>
          <w:rFonts w:ascii="Times New Roman" w:hAnsi="Times New Roman" w:cs="Times New Roman"/>
        </w:rPr>
        <w:t>ktu</w:t>
      </w:r>
      <w:r w:rsidR="0077165A">
        <w:rPr>
          <w:rFonts w:ascii="Times New Roman" w:hAnsi="Times New Roman" w:cs="Times New Roman"/>
        </w:rPr>
        <w:t xml:space="preserve"> o </w:t>
      </w:r>
      <w:r w:rsidR="00F6749E" w:rsidRPr="0024375B">
        <w:rPr>
          <w:rFonts w:ascii="Times New Roman" w:hAnsi="Times New Roman" w:cs="Times New Roman"/>
        </w:rPr>
        <w:t>cyberbezpieczeństwie. Jeśli bowiem europejskie</w:t>
      </w:r>
      <w:r w:rsidR="00522515" w:rsidRPr="0024375B">
        <w:rPr>
          <w:rFonts w:ascii="Times New Roman" w:hAnsi="Times New Roman" w:cs="Times New Roman"/>
        </w:rPr>
        <w:t xml:space="preserve"> </w:t>
      </w:r>
      <w:r w:rsidR="00F6749E" w:rsidRPr="0024375B">
        <w:rPr>
          <w:rFonts w:ascii="Times New Roman" w:hAnsi="Times New Roman" w:cs="Times New Roman"/>
        </w:rPr>
        <w:t>programy certyfikacyjne będą zawierały postanowienia</w:t>
      </w:r>
      <w:r w:rsidR="0077165A">
        <w:rPr>
          <w:rFonts w:ascii="Times New Roman" w:hAnsi="Times New Roman" w:cs="Times New Roman"/>
        </w:rPr>
        <w:t xml:space="preserve"> o </w:t>
      </w:r>
      <w:r w:rsidR="00F6749E" w:rsidRPr="0024375B">
        <w:rPr>
          <w:rFonts w:ascii="Times New Roman" w:hAnsi="Times New Roman" w:cs="Times New Roman"/>
        </w:rPr>
        <w:t>szczególnych wymaganiach</w:t>
      </w:r>
      <w:r w:rsidR="00EA1900">
        <w:rPr>
          <w:rFonts w:ascii="Times New Roman" w:hAnsi="Times New Roman" w:cs="Times New Roman"/>
        </w:rPr>
        <w:t xml:space="preserve"> w </w:t>
      </w:r>
      <w:r w:rsidR="00F6749E" w:rsidRPr="0024375B">
        <w:rPr>
          <w:rFonts w:ascii="Times New Roman" w:hAnsi="Times New Roman" w:cs="Times New Roman"/>
        </w:rPr>
        <w:t>zakresie jednostek oceniających z</w:t>
      </w:r>
      <w:r w:rsidR="00D76DF2">
        <w:rPr>
          <w:rFonts w:ascii="Times New Roman" w:hAnsi="Times New Roman" w:cs="Times New Roman"/>
        </w:rPr>
        <w:t>godność</w:t>
      </w:r>
      <w:r w:rsidR="00F6749E" w:rsidRPr="0024375B">
        <w:rPr>
          <w:rFonts w:ascii="Times New Roman" w:hAnsi="Times New Roman" w:cs="Times New Roman"/>
        </w:rPr>
        <w:t xml:space="preserve"> musi istnieć organ sprawdzający te wymagania oraz zezwalający na ich działanie</w:t>
      </w:r>
      <w:r w:rsidR="00EA1900">
        <w:rPr>
          <w:rFonts w:ascii="Times New Roman" w:hAnsi="Times New Roman" w:cs="Times New Roman"/>
        </w:rPr>
        <w:t xml:space="preserve"> w </w:t>
      </w:r>
      <w:r w:rsidR="00F6749E" w:rsidRPr="0024375B">
        <w:rPr>
          <w:rFonts w:ascii="Times New Roman" w:hAnsi="Times New Roman" w:cs="Times New Roman"/>
        </w:rPr>
        <w:t xml:space="preserve">ramach określonego programu certyfikacji. </w:t>
      </w:r>
      <w:r w:rsidR="00522515" w:rsidRPr="0024375B">
        <w:rPr>
          <w:rFonts w:ascii="Times New Roman" w:hAnsi="Times New Roman" w:cs="Times New Roman"/>
        </w:rPr>
        <w:t>Taka regulacja wynika wprost</w:t>
      </w:r>
      <w:r w:rsidR="002161FE">
        <w:rPr>
          <w:rFonts w:ascii="Times New Roman" w:hAnsi="Times New Roman" w:cs="Times New Roman"/>
        </w:rPr>
        <w:t xml:space="preserve"> z </w:t>
      </w:r>
      <w:r w:rsidR="00522515" w:rsidRPr="0024375B">
        <w:rPr>
          <w:rFonts w:ascii="Times New Roman" w:hAnsi="Times New Roman" w:cs="Times New Roman"/>
        </w:rPr>
        <w:t>obowiązku wdrożenia Akt</w:t>
      </w:r>
      <w:r w:rsidR="00C3377F" w:rsidRPr="0024375B">
        <w:rPr>
          <w:rFonts w:ascii="Times New Roman" w:hAnsi="Times New Roman" w:cs="Times New Roman"/>
        </w:rPr>
        <w:t>u</w:t>
      </w:r>
      <w:r w:rsidR="0077165A">
        <w:rPr>
          <w:rFonts w:ascii="Times New Roman" w:hAnsi="Times New Roman" w:cs="Times New Roman"/>
        </w:rPr>
        <w:t xml:space="preserve"> o </w:t>
      </w:r>
      <w:r w:rsidR="00522515" w:rsidRPr="0024375B">
        <w:rPr>
          <w:rFonts w:ascii="Times New Roman" w:hAnsi="Times New Roman" w:cs="Times New Roman"/>
        </w:rPr>
        <w:t>cyberbezpieczeństwie.</w:t>
      </w:r>
      <w:r w:rsidR="005362D1" w:rsidRPr="0024375B">
        <w:rPr>
          <w:rFonts w:ascii="Times New Roman" w:hAnsi="Times New Roman" w:cs="Times New Roman"/>
        </w:rPr>
        <w:t xml:space="preserve"> Należy podkreślić, że</w:t>
      </w:r>
      <w:r w:rsidR="00EA1900">
        <w:rPr>
          <w:rFonts w:ascii="Times New Roman" w:hAnsi="Times New Roman" w:cs="Times New Roman"/>
        </w:rPr>
        <w:t xml:space="preserve"> w </w:t>
      </w:r>
      <w:r w:rsidR="005362D1" w:rsidRPr="0024375B">
        <w:rPr>
          <w:rFonts w:ascii="Times New Roman" w:hAnsi="Times New Roman" w:cs="Times New Roman"/>
        </w:rPr>
        <w:t>związku</w:t>
      </w:r>
      <w:r w:rsidR="002161FE">
        <w:rPr>
          <w:rFonts w:ascii="Times New Roman" w:hAnsi="Times New Roman" w:cs="Times New Roman"/>
        </w:rPr>
        <w:t xml:space="preserve"> z </w:t>
      </w:r>
      <w:r w:rsidR="005362D1" w:rsidRPr="0024375B">
        <w:rPr>
          <w:rFonts w:ascii="Times New Roman" w:hAnsi="Times New Roman" w:cs="Times New Roman"/>
        </w:rPr>
        <w:t>tym, iż postępowanie to dotyczy spełnienia formalnych kryteriów, zdecydowano</w:t>
      </w:r>
      <w:r w:rsidR="0077165A">
        <w:rPr>
          <w:rFonts w:ascii="Times New Roman" w:hAnsi="Times New Roman" w:cs="Times New Roman"/>
        </w:rPr>
        <w:t xml:space="preserve"> o </w:t>
      </w:r>
      <w:r w:rsidR="005362D1" w:rsidRPr="0024375B">
        <w:rPr>
          <w:rFonts w:ascii="Times New Roman" w:hAnsi="Times New Roman" w:cs="Times New Roman"/>
        </w:rPr>
        <w:t>zastosowaniu</w:t>
      </w:r>
      <w:r w:rsidR="00EA1900">
        <w:rPr>
          <w:rFonts w:ascii="Times New Roman" w:hAnsi="Times New Roman" w:cs="Times New Roman"/>
        </w:rPr>
        <w:t xml:space="preserve"> w </w:t>
      </w:r>
      <w:r w:rsidR="005362D1" w:rsidRPr="0024375B">
        <w:rPr>
          <w:rFonts w:ascii="Times New Roman" w:hAnsi="Times New Roman" w:cs="Times New Roman"/>
        </w:rPr>
        <w:t xml:space="preserve">tym przypadku </w:t>
      </w:r>
      <w:r w:rsidR="005362D1" w:rsidRPr="0024375B">
        <w:rPr>
          <w:rFonts w:ascii="Times New Roman" w:hAnsi="Times New Roman" w:cs="Times New Roman"/>
        </w:rPr>
        <w:lastRenderedPageBreak/>
        <w:t>przepisów</w:t>
      </w:r>
      <w:r w:rsidR="0077165A">
        <w:rPr>
          <w:rFonts w:ascii="Times New Roman" w:hAnsi="Times New Roman" w:cs="Times New Roman"/>
        </w:rPr>
        <w:t xml:space="preserve"> o </w:t>
      </w:r>
      <w:r w:rsidR="005362D1" w:rsidRPr="0024375B">
        <w:rPr>
          <w:rFonts w:ascii="Times New Roman" w:hAnsi="Times New Roman" w:cs="Times New Roman"/>
        </w:rPr>
        <w:t>postępowaniu uproszczonym. Pozwoli to maksymalnie przyśpieszyć to postępowanie oraz ograniczy formalności. Minister</w:t>
      </w:r>
      <w:r w:rsidR="00EA1900">
        <w:rPr>
          <w:rFonts w:ascii="Times New Roman" w:hAnsi="Times New Roman" w:cs="Times New Roman"/>
        </w:rPr>
        <w:t xml:space="preserve"> w </w:t>
      </w:r>
      <w:r w:rsidR="005362D1" w:rsidRPr="0024375B">
        <w:rPr>
          <w:rFonts w:ascii="Times New Roman" w:hAnsi="Times New Roman" w:cs="Times New Roman"/>
        </w:rPr>
        <w:t>ramach sprawowanego nadzoru będzie mógł również zmieniać zakres tego zezwolenia</w:t>
      </w:r>
      <w:r w:rsidR="005362D1" w:rsidRPr="0024375B">
        <w:rPr>
          <w:rStyle w:val="eop"/>
          <w:rFonts w:cs="Times"/>
          <w:color w:val="000000"/>
          <w:shd w:val="clear" w:color="auto" w:fill="FFFFFF"/>
        </w:rPr>
        <w:t xml:space="preserve"> jak</w:t>
      </w:r>
      <w:r w:rsidR="002161FE">
        <w:rPr>
          <w:rStyle w:val="eop"/>
          <w:rFonts w:cs="Times"/>
          <w:color w:val="000000"/>
          <w:shd w:val="clear" w:color="auto" w:fill="FFFFFF"/>
        </w:rPr>
        <w:t xml:space="preserve"> i </w:t>
      </w:r>
      <w:r w:rsidR="005362D1" w:rsidRPr="0024375B">
        <w:rPr>
          <w:rStyle w:val="eop"/>
          <w:rFonts w:cs="Times"/>
          <w:color w:val="000000"/>
          <w:shd w:val="clear" w:color="auto" w:fill="FFFFFF"/>
        </w:rPr>
        <w:t>cofnąć je</w:t>
      </w:r>
      <w:r w:rsidR="00EA1900">
        <w:rPr>
          <w:rStyle w:val="eop"/>
          <w:rFonts w:cs="Times"/>
          <w:color w:val="000000"/>
          <w:shd w:val="clear" w:color="auto" w:fill="FFFFFF"/>
        </w:rPr>
        <w:t xml:space="preserve"> w </w:t>
      </w:r>
      <w:r w:rsidR="005362D1" w:rsidRPr="0024375B">
        <w:rPr>
          <w:rStyle w:val="eop"/>
          <w:rFonts w:cs="Times"/>
          <w:color w:val="000000"/>
          <w:shd w:val="clear" w:color="auto" w:fill="FFFFFF"/>
        </w:rPr>
        <w:t>przypadku</w:t>
      </w:r>
      <w:r w:rsidR="00D76DF2">
        <w:rPr>
          <w:rStyle w:val="eop"/>
          <w:rFonts w:cs="Times"/>
          <w:color w:val="000000"/>
          <w:shd w:val="clear" w:color="auto" w:fill="FFFFFF"/>
        </w:rPr>
        <w:t>,</w:t>
      </w:r>
      <w:r w:rsidR="005362D1" w:rsidRPr="0024375B">
        <w:rPr>
          <w:rStyle w:val="eop"/>
          <w:rFonts w:cs="Times"/>
          <w:color w:val="000000"/>
          <w:shd w:val="clear" w:color="auto" w:fill="FFFFFF"/>
        </w:rPr>
        <w:t xml:space="preserve"> gdyby określona jednostka </w:t>
      </w:r>
      <w:r w:rsidR="00AF789D" w:rsidRPr="0024375B">
        <w:rPr>
          <w:rStyle w:val="eop"/>
          <w:rFonts w:cs="Times"/>
          <w:color w:val="000000"/>
          <w:shd w:val="clear" w:color="auto" w:fill="FFFFFF"/>
        </w:rPr>
        <w:t>przestała spełniać określone wymagania. Gwarantuje to zachowanie odpowiedniej jakości usług</w:t>
      </w:r>
      <w:r w:rsidR="00C3377F" w:rsidRPr="0024375B">
        <w:rPr>
          <w:rStyle w:val="eop"/>
          <w:rFonts w:cs="Times"/>
          <w:color w:val="000000"/>
          <w:shd w:val="clear" w:color="auto" w:fill="FFFFFF"/>
        </w:rPr>
        <w:t xml:space="preserve"> świadczonych przez</w:t>
      </w:r>
      <w:r w:rsidR="00AF789D" w:rsidRPr="0024375B">
        <w:rPr>
          <w:rStyle w:val="eop"/>
          <w:rFonts w:cs="Times"/>
          <w:color w:val="000000"/>
          <w:shd w:val="clear" w:color="auto" w:fill="FFFFFF"/>
        </w:rPr>
        <w:t xml:space="preserve"> jednostk</w:t>
      </w:r>
      <w:r w:rsidR="00C3377F" w:rsidRPr="0024375B">
        <w:rPr>
          <w:rStyle w:val="eop"/>
          <w:rFonts w:cs="Times"/>
          <w:color w:val="000000"/>
          <w:shd w:val="clear" w:color="auto" w:fill="FFFFFF"/>
        </w:rPr>
        <w:t>i</w:t>
      </w:r>
      <w:r w:rsidR="00AF789D" w:rsidRPr="0024375B">
        <w:rPr>
          <w:rStyle w:val="eop"/>
          <w:rFonts w:cs="Times"/>
          <w:color w:val="000000"/>
          <w:shd w:val="clear" w:color="auto" w:fill="FFFFFF"/>
        </w:rPr>
        <w:t xml:space="preserve"> oceniając</w:t>
      </w:r>
      <w:r w:rsidR="00C3377F" w:rsidRPr="0024375B">
        <w:rPr>
          <w:rStyle w:val="eop"/>
          <w:rFonts w:cs="Times"/>
          <w:color w:val="000000"/>
          <w:shd w:val="clear" w:color="auto" w:fill="FFFFFF"/>
        </w:rPr>
        <w:t>e</w:t>
      </w:r>
      <w:r w:rsidR="00AF789D" w:rsidRPr="0024375B">
        <w:rPr>
          <w:rStyle w:val="eop"/>
          <w:rFonts w:cs="Times"/>
          <w:color w:val="000000"/>
          <w:shd w:val="clear" w:color="auto" w:fill="FFFFFF"/>
        </w:rPr>
        <w:t xml:space="preserve"> zgodność.</w:t>
      </w:r>
    </w:p>
    <w:p w14:paraId="452663C1" w14:textId="297A6013" w:rsidR="00EC001E" w:rsidRPr="00BC5576" w:rsidRDefault="00EC001E" w:rsidP="00AD501E">
      <w:pPr>
        <w:jc w:val="both"/>
      </w:pPr>
      <w:r>
        <w:t>Ust. 4–7 tego artykułu określają precyzyjnie postępowanie w przypadku stwierdzenia, że podmiot, który otrzymał zezwolenie ministra na prowadzenie oceny zgodności w przypadku wprowadzenia w europejskim programie certyfikacji dodatkowych wymogów dla jednostek oceniających zgodność. W przypadku stwierdzenia naruszenia przepisów lub postanowień programu minister będzie mógł zawiesić wydane zezwolenie na określony czas, dając jednostce czas na usunięcie naruszeń. W przypadku gdy, w określonym terminie, naruszenia nie zostaną usunięte minister cofa wydane zezwolenie. Taki sposób postępowania gwarantuje ochronę interesu publicznego, równocześnie dając przedsiębiorcy czas na usunięciu naruszeń nie wymuszając na nim ponownego przechodzenia postępowania o wydanie zezwolenia.</w:t>
      </w:r>
    </w:p>
    <w:p w14:paraId="6CCDB9F4" w14:textId="77777777" w:rsidR="0052339B" w:rsidRPr="001C5AF2" w:rsidRDefault="0052339B" w:rsidP="00DC1575">
      <w:pPr>
        <w:pStyle w:val="Nagwek4"/>
        <w:rPr>
          <w:rStyle w:val="eop"/>
          <w:bCs/>
        </w:rPr>
      </w:pPr>
      <w:r w:rsidRPr="001C5AF2">
        <w:rPr>
          <w:rStyle w:val="eop"/>
          <w:bCs/>
        </w:rPr>
        <w:t>Nowy</w:t>
      </w:r>
      <w:r w:rsidR="00EA1900">
        <w:rPr>
          <w:rStyle w:val="eop"/>
          <w:bCs/>
        </w:rPr>
        <w:t xml:space="preserve"> art. </w:t>
      </w:r>
      <w:r w:rsidRPr="001C5AF2">
        <w:rPr>
          <w:rStyle w:val="eop"/>
          <w:bCs/>
        </w:rPr>
        <w:t>59</w:t>
      </w:r>
      <w:r w:rsidR="00EC001E">
        <w:rPr>
          <w:rStyle w:val="eop"/>
          <w:bCs/>
        </w:rPr>
        <w:t>j</w:t>
      </w:r>
      <w:r w:rsidR="00BC5576">
        <w:rPr>
          <w:rStyle w:val="eop"/>
          <w:bCs/>
        </w:rPr>
        <w:t>–</w:t>
      </w:r>
      <w:r w:rsidR="00EC001E">
        <w:rPr>
          <w:rStyle w:val="eop"/>
          <w:bCs/>
        </w:rPr>
        <w:t>k</w:t>
      </w:r>
    </w:p>
    <w:p w14:paraId="2B63B37D" w14:textId="77777777" w:rsidR="00F6749E" w:rsidRPr="0024375B" w:rsidRDefault="00AF789D" w:rsidP="0024375B">
      <w:pPr>
        <w:pStyle w:val="paragraph"/>
        <w:spacing w:before="0" w:beforeAutospacing="0" w:after="0" w:afterAutospacing="0" w:line="360" w:lineRule="auto"/>
        <w:ind w:firstLine="510"/>
        <w:jc w:val="both"/>
        <w:textAlignment w:val="baseline"/>
      </w:pPr>
      <w:r w:rsidRPr="0024375B">
        <w:rPr>
          <w:rStyle w:val="eop"/>
          <w:rFonts w:eastAsiaTheme="minorEastAsia"/>
          <w:color w:val="000000"/>
          <w:shd w:val="clear" w:color="auto" w:fill="FFFFFF"/>
        </w:rPr>
        <w:t>Now</w:t>
      </w:r>
      <w:r w:rsidR="00C3377F" w:rsidRPr="0024375B">
        <w:rPr>
          <w:rStyle w:val="eop"/>
          <w:rFonts w:eastAsiaTheme="minorEastAsia"/>
          <w:color w:val="000000"/>
          <w:shd w:val="clear" w:color="auto" w:fill="FFFFFF"/>
        </w:rPr>
        <w:t>o</w:t>
      </w:r>
      <w:r w:rsidR="00315DFF" w:rsidRPr="0024375B">
        <w:rPr>
          <w:rStyle w:val="eop"/>
          <w:rFonts w:eastAsiaTheme="minorEastAsia"/>
          <w:color w:val="000000"/>
          <w:shd w:val="clear" w:color="auto" w:fill="FFFFFF"/>
        </w:rPr>
        <w:t xml:space="preserve"> </w:t>
      </w:r>
      <w:r w:rsidR="00C3377F" w:rsidRPr="0024375B">
        <w:rPr>
          <w:rStyle w:val="eop"/>
          <w:rFonts w:eastAsiaTheme="minorEastAsia"/>
          <w:color w:val="000000"/>
          <w:shd w:val="clear" w:color="auto" w:fill="FFFFFF"/>
        </w:rPr>
        <w:t>dodane przepisy</w:t>
      </w:r>
      <w:r w:rsidR="00EA1900">
        <w:rPr>
          <w:rStyle w:val="eop"/>
          <w:rFonts w:eastAsiaTheme="minorEastAsia"/>
          <w:color w:val="000000"/>
          <w:shd w:val="clear" w:color="auto" w:fill="FFFFFF"/>
        </w:rPr>
        <w:t xml:space="preserve"> art. </w:t>
      </w:r>
      <w:r w:rsidRPr="0024375B">
        <w:rPr>
          <w:rStyle w:val="eop"/>
          <w:rFonts w:eastAsiaTheme="minorEastAsia"/>
          <w:color w:val="000000"/>
          <w:shd w:val="clear" w:color="auto" w:fill="FFFFFF"/>
        </w:rPr>
        <w:t>59</w:t>
      </w:r>
      <w:r w:rsidR="00EC001E">
        <w:rPr>
          <w:rStyle w:val="eop"/>
          <w:rFonts w:eastAsiaTheme="minorEastAsia"/>
          <w:color w:val="000000"/>
          <w:shd w:val="clear" w:color="auto" w:fill="FFFFFF"/>
        </w:rPr>
        <w:t>j</w:t>
      </w:r>
      <w:r w:rsidR="00BC5576">
        <w:rPr>
          <w:rStyle w:val="eop"/>
          <w:rFonts w:eastAsiaTheme="minorEastAsia"/>
          <w:color w:val="000000"/>
          <w:shd w:val="clear" w:color="auto" w:fill="FFFFFF"/>
        </w:rPr>
        <w:t>–</w:t>
      </w:r>
      <w:r w:rsidR="00EC001E">
        <w:rPr>
          <w:rStyle w:val="eop"/>
          <w:rFonts w:eastAsiaTheme="minorEastAsia"/>
          <w:color w:val="000000"/>
          <w:shd w:val="clear" w:color="auto" w:fill="FFFFFF"/>
        </w:rPr>
        <w:t>k</w:t>
      </w:r>
      <w:r w:rsidRPr="0024375B">
        <w:rPr>
          <w:rStyle w:val="eop"/>
          <w:rFonts w:eastAsiaTheme="minorEastAsia"/>
          <w:color w:val="000000"/>
          <w:shd w:val="clear" w:color="auto" w:fill="FFFFFF"/>
        </w:rPr>
        <w:t xml:space="preserve"> wyznaczają ogólne zasady związane</w:t>
      </w:r>
      <w:r w:rsidR="002161FE">
        <w:rPr>
          <w:rStyle w:val="eop"/>
          <w:rFonts w:eastAsiaTheme="minorEastAsia"/>
          <w:color w:val="000000"/>
          <w:shd w:val="clear" w:color="auto" w:fill="FFFFFF"/>
        </w:rPr>
        <w:t xml:space="preserve"> z </w:t>
      </w:r>
      <w:r w:rsidRPr="0024375B">
        <w:rPr>
          <w:rStyle w:val="eop"/>
          <w:rFonts w:eastAsiaTheme="minorEastAsia"/>
          <w:color w:val="000000"/>
          <w:shd w:val="clear" w:color="auto" w:fill="FFFFFF"/>
        </w:rPr>
        <w:t>oceną zgodności</w:t>
      </w:r>
      <w:r w:rsidR="002161FE">
        <w:rPr>
          <w:rStyle w:val="eop"/>
          <w:rFonts w:eastAsiaTheme="minorEastAsia"/>
          <w:color w:val="000000"/>
          <w:shd w:val="clear" w:color="auto" w:fill="FFFFFF"/>
        </w:rPr>
        <w:t xml:space="preserve"> i </w:t>
      </w:r>
      <w:r w:rsidRPr="0024375B">
        <w:rPr>
          <w:rStyle w:val="eop"/>
          <w:rFonts w:eastAsiaTheme="minorEastAsia"/>
          <w:color w:val="000000"/>
          <w:shd w:val="clear" w:color="auto" w:fill="FFFFFF"/>
        </w:rPr>
        <w:t>zasadami wydawania certyfikatów. Są one utworzone</w:t>
      </w:r>
      <w:r w:rsidR="00EA1900">
        <w:rPr>
          <w:rStyle w:val="eop"/>
          <w:rFonts w:eastAsiaTheme="minorEastAsia"/>
          <w:color w:val="000000"/>
          <w:shd w:val="clear" w:color="auto" w:fill="FFFFFF"/>
        </w:rPr>
        <w:t xml:space="preserve"> w </w:t>
      </w:r>
      <w:r w:rsidRPr="0024375B">
        <w:rPr>
          <w:rStyle w:val="eop"/>
          <w:rFonts w:eastAsiaTheme="minorEastAsia"/>
          <w:color w:val="000000"/>
          <w:shd w:val="clear" w:color="auto" w:fill="FFFFFF"/>
        </w:rPr>
        <w:t>sposób analogiczny do przepisów dot. systemu oceny zgodności.</w:t>
      </w:r>
      <w:r w:rsidRPr="0024375B">
        <w:rPr>
          <w:rStyle w:val="eop"/>
          <w:rFonts w:ascii="Times" w:eastAsiaTheme="minorEastAsia" w:hAnsi="Times" w:cs="Times"/>
          <w:color w:val="000000"/>
          <w:shd w:val="clear" w:color="auto" w:fill="FFFFFF"/>
        </w:rPr>
        <w:t> </w:t>
      </w:r>
      <w:r w:rsidR="00522515" w:rsidRPr="0024375B">
        <w:t xml:space="preserve"> Wskazują one wyraźnie, że poddanie produktów, usług</w:t>
      </w:r>
      <w:r w:rsidR="002161FE">
        <w:t xml:space="preserve"> i </w:t>
      </w:r>
      <w:r w:rsidR="00522515" w:rsidRPr="0024375B">
        <w:t>procesów ICT ocenie zgodności jest całkowicie dobrowolne. Warunki przeprowadzania oceny zgodności będą określane</w:t>
      </w:r>
      <w:r w:rsidR="00EA1900">
        <w:t xml:space="preserve"> w </w:t>
      </w:r>
      <w:r w:rsidR="00522515" w:rsidRPr="0024375B">
        <w:t>europejskich</w:t>
      </w:r>
      <w:r w:rsidR="002161FE">
        <w:t xml:space="preserve"> i </w:t>
      </w:r>
      <w:r w:rsidR="00522515" w:rsidRPr="0024375B">
        <w:t xml:space="preserve">krajowych programach certyfikacji. </w:t>
      </w:r>
      <w:r w:rsidR="00EC001E">
        <w:t xml:space="preserve">Wskazano również, że tylko pozytywny wynik oceny zgodności jest podstawą do wydania certyfikatu. </w:t>
      </w:r>
    </w:p>
    <w:p w14:paraId="2AE980FA" w14:textId="16732164" w:rsidR="00DF5AE7" w:rsidRPr="0024375B" w:rsidRDefault="00AF789D" w:rsidP="0024375B">
      <w:pPr>
        <w:pStyle w:val="ARTartustawynprozporzdzenia"/>
        <w:ind w:firstLine="0"/>
        <w:rPr>
          <w:rFonts w:ascii="Times New Roman" w:hAnsi="Times New Roman" w:cs="Times New Roman"/>
        </w:rPr>
      </w:pPr>
      <w:r w:rsidRPr="0024375B">
        <w:rPr>
          <w:rFonts w:ascii="Times New Roman" w:hAnsi="Times New Roman" w:cs="Times New Roman"/>
        </w:rPr>
        <w:t>Przepisy te określają</w:t>
      </w:r>
      <w:r w:rsidR="00D76DF2">
        <w:rPr>
          <w:rFonts w:ascii="Times New Roman" w:hAnsi="Times New Roman" w:cs="Times New Roman"/>
        </w:rPr>
        <w:t>,</w:t>
      </w:r>
      <w:r w:rsidRPr="0024375B">
        <w:rPr>
          <w:rFonts w:ascii="Times New Roman" w:hAnsi="Times New Roman" w:cs="Times New Roman"/>
        </w:rPr>
        <w:t xml:space="preserve"> kiedy </w:t>
      </w:r>
      <w:r w:rsidR="00897471" w:rsidRPr="0024375B">
        <w:rPr>
          <w:rFonts w:ascii="Times New Roman" w:hAnsi="Times New Roman" w:cs="Times New Roman"/>
        </w:rPr>
        <w:t>otrzymuje się certyfikat oraz kiedy możliwe jest wydanie deklaracji zgodności.</w:t>
      </w:r>
      <w:r w:rsidR="00116933">
        <w:rPr>
          <w:rFonts w:ascii="Times New Roman" w:hAnsi="Times New Roman" w:cs="Times New Roman"/>
        </w:rPr>
        <w:t xml:space="preserve"> W </w:t>
      </w:r>
      <w:r w:rsidR="00897471" w:rsidRPr="0024375B">
        <w:rPr>
          <w:rFonts w:ascii="Times New Roman" w:hAnsi="Times New Roman" w:cs="Times New Roman"/>
        </w:rPr>
        <w:t>przypadku najniższego poziomu zaufania producent może sam przeprowadzić badanie produktu,</w:t>
      </w:r>
      <w:r w:rsidR="002161FE">
        <w:rPr>
          <w:rFonts w:ascii="Times New Roman" w:hAnsi="Times New Roman" w:cs="Times New Roman"/>
        </w:rPr>
        <w:t xml:space="preserve"> a </w:t>
      </w:r>
      <w:r w:rsidR="00897471" w:rsidRPr="0024375B">
        <w:rPr>
          <w:rFonts w:ascii="Times New Roman" w:hAnsi="Times New Roman" w:cs="Times New Roman"/>
        </w:rPr>
        <w:t>następnie wskazać</w:t>
      </w:r>
      <w:r w:rsidR="00EA1900">
        <w:rPr>
          <w:rFonts w:ascii="Times New Roman" w:hAnsi="Times New Roman" w:cs="Times New Roman"/>
        </w:rPr>
        <w:t xml:space="preserve"> w </w:t>
      </w:r>
      <w:r w:rsidR="00897471" w:rsidRPr="0024375B">
        <w:rPr>
          <w:rFonts w:ascii="Times New Roman" w:hAnsi="Times New Roman" w:cs="Times New Roman"/>
        </w:rPr>
        <w:t>deklaracji zgodności, że produkt spełnia wymagania. Takie rozwiązanie stanowi ważne ułatwienie dla przedsiębiorców chcących uzyskać certyfikację przy możliwie najmniejszych kosztach. Będą mogli bowiem sami przeprowadzić niezbędne badania</w:t>
      </w:r>
      <w:r w:rsidR="002161FE">
        <w:rPr>
          <w:rFonts w:ascii="Times New Roman" w:hAnsi="Times New Roman" w:cs="Times New Roman"/>
        </w:rPr>
        <w:t xml:space="preserve"> i </w:t>
      </w:r>
      <w:r w:rsidR="00897471" w:rsidRPr="0024375B">
        <w:rPr>
          <w:rFonts w:ascii="Times New Roman" w:hAnsi="Times New Roman" w:cs="Times New Roman"/>
        </w:rPr>
        <w:t>wystawić deklarację zgodności. Równocześnie należy tu wspomnieć, że dalsze przepisy penalizują wprowadzanie</w:t>
      </w:r>
      <w:r w:rsidR="00EA1900">
        <w:rPr>
          <w:rFonts w:ascii="Times New Roman" w:hAnsi="Times New Roman" w:cs="Times New Roman"/>
        </w:rPr>
        <w:t xml:space="preserve"> w </w:t>
      </w:r>
      <w:r w:rsidR="00897471" w:rsidRPr="0024375B">
        <w:rPr>
          <w:rFonts w:ascii="Times New Roman" w:hAnsi="Times New Roman" w:cs="Times New Roman"/>
        </w:rPr>
        <w:t>błąd</w:t>
      </w:r>
      <w:r w:rsidR="00EA1900">
        <w:rPr>
          <w:rFonts w:ascii="Times New Roman" w:hAnsi="Times New Roman" w:cs="Times New Roman"/>
        </w:rPr>
        <w:t xml:space="preserve"> w </w:t>
      </w:r>
      <w:r w:rsidR="00897471" w:rsidRPr="0024375B">
        <w:rPr>
          <w:rFonts w:ascii="Times New Roman" w:hAnsi="Times New Roman" w:cs="Times New Roman"/>
        </w:rPr>
        <w:t>zakresie spełniania wymagań certyfikacyjnych.</w:t>
      </w:r>
      <w:r w:rsidR="00116933">
        <w:rPr>
          <w:rFonts w:ascii="Times New Roman" w:hAnsi="Times New Roman" w:cs="Times New Roman"/>
        </w:rPr>
        <w:t xml:space="preserve"> W </w:t>
      </w:r>
      <w:r w:rsidR="00897471" w:rsidRPr="0024375B">
        <w:rPr>
          <w:rFonts w:ascii="Times New Roman" w:hAnsi="Times New Roman" w:cs="Times New Roman"/>
        </w:rPr>
        <w:t>związku</w:t>
      </w:r>
      <w:r w:rsidR="002161FE">
        <w:rPr>
          <w:rFonts w:ascii="Times New Roman" w:hAnsi="Times New Roman" w:cs="Times New Roman"/>
        </w:rPr>
        <w:t xml:space="preserve"> z </w:t>
      </w:r>
      <w:r w:rsidR="00897471" w:rsidRPr="0024375B">
        <w:rPr>
          <w:rFonts w:ascii="Times New Roman" w:hAnsi="Times New Roman" w:cs="Times New Roman"/>
        </w:rPr>
        <w:t xml:space="preserve">tym istnieje zabezpieczenie przed nadużywaniem tego </w:t>
      </w:r>
      <w:r w:rsidR="00C3377F" w:rsidRPr="0024375B">
        <w:rPr>
          <w:rFonts w:ascii="Times New Roman" w:hAnsi="Times New Roman" w:cs="Times New Roman"/>
        </w:rPr>
        <w:t>rozwiązania</w:t>
      </w:r>
      <w:r w:rsidR="00897471" w:rsidRPr="0024375B">
        <w:rPr>
          <w:rFonts w:ascii="Times New Roman" w:hAnsi="Times New Roman" w:cs="Times New Roman"/>
        </w:rPr>
        <w:t>.</w:t>
      </w:r>
      <w:r w:rsidR="00C3377F" w:rsidRPr="0024375B">
        <w:rPr>
          <w:rFonts w:ascii="Times New Roman" w:hAnsi="Times New Roman" w:cs="Times New Roman"/>
        </w:rPr>
        <w:t xml:space="preserve"> </w:t>
      </w:r>
      <w:r w:rsidR="00DF5AE7" w:rsidRPr="0024375B">
        <w:rPr>
          <w:rFonts w:ascii="Times New Roman" w:hAnsi="Times New Roman" w:cs="Times New Roman"/>
        </w:rPr>
        <w:t>Otrzymanie certyfikatu wymaga przeprowadzenia badań produktu, usługi lub procesu</w:t>
      </w:r>
      <w:r w:rsidR="00C3377F" w:rsidRPr="0024375B">
        <w:rPr>
          <w:rFonts w:ascii="Times New Roman" w:hAnsi="Times New Roman" w:cs="Times New Roman"/>
        </w:rPr>
        <w:t xml:space="preserve"> ICT</w:t>
      </w:r>
      <w:r w:rsidR="00DF5AE7" w:rsidRPr="0024375B">
        <w:rPr>
          <w:rFonts w:ascii="Times New Roman" w:hAnsi="Times New Roman" w:cs="Times New Roman"/>
        </w:rPr>
        <w:t xml:space="preserve"> przez niezależny podmiot. Jest to niezbędna gwarancja dla prawidłowego przebiegu procesu certyfikacji. Należy nadmienić, że możliwość wystawienia deklaracji zgodności dotyczy jedynie najniższego poziomu uzasadnienia zaufania.</w:t>
      </w:r>
    </w:p>
    <w:p w14:paraId="5B05C3FF" w14:textId="77777777" w:rsidR="0052339B" w:rsidRPr="0024375B" w:rsidRDefault="0052339B" w:rsidP="00DC1575">
      <w:pPr>
        <w:pStyle w:val="Nagwek4"/>
      </w:pPr>
      <w:r w:rsidRPr="0024375B">
        <w:t>Nowy</w:t>
      </w:r>
      <w:r w:rsidR="00EA1900">
        <w:t xml:space="preserve"> art. </w:t>
      </w:r>
      <w:r w:rsidRPr="0024375B">
        <w:t>59</w:t>
      </w:r>
      <w:r w:rsidR="00EC001E">
        <w:t>l</w:t>
      </w:r>
    </w:p>
    <w:p w14:paraId="073CEAED" w14:textId="77777777" w:rsidR="0052339B" w:rsidRPr="0024375B" w:rsidRDefault="389572AD" w:rsidP="0024375B">
      <w:pPr>
        <w:pStyle w:val="ARTartustawynprozporzdzenia"/>
        <w:ind w:firstLine="567"/>
        <w:rPr>
          <w:rFonts w:ascii="Times New Roman" w:hAnsi="Times New Roman" w:cs="Times New Roman"/>
        </w:rPr>
      </w:pPr>
      <w:r w:rsidRPr="0024375B">
        <w:rPr>
          <w:rFonts w:ascii="Times New Roman" w:hAnsi="Times New Roman" w:cs="Times New Roman"/>
        </w:rPr>
        <w:t>Projektowany</w:t>
      </w:r>
      <w:r w:rsidR="00EA1900">
        <w:rPr>
          <w:rFonts w:ascii="Times New Roman" w:hAnsi="Times New Roman" w:cs="Times New Roman"/>
        </w:rPr>
        <w:t xml:space="preserve"> art. </w:t>
      </w:r>
      <w:r w:rsidR="00AF789D" w:rsidRPr="0024375B">
        <w:rPr>
          <w:rFonts w:ascii="Times New Roman" w:hAnsi="Times New Roman" w:cs="Times New Roman"/>
        </w:rPr>
        <w:t>59l określa zagadnienia związane</w:t>
      </w:r>
      <w:r w:rsidR="002161FE">
        <w:rPr>
          <w:rFonts w:ascii="Times New Roman" w:hAnsi="Times New Roman" w:cs="Times New Roman"/>
        </w:rPr>
        <w:t xml:space="preserve"> z </w:t>
      </w:r>
      <w:r w:rsidR="00AF789D" w:rsidRPr="0024375B">
        <w:rPr>
          <w:rFonts w:ascii="Times New Roman" w:hAnsi="Times New Roman" w:cs="Times New Roman"/>
        </w:rPr>
        <w:t>wnioskiem</w:t>
      </w:r>
      <w:r w:rsidR="0077165A">
        <w:rPr>
          <w:rFonts w:ascii="Times New Roman" w:hAnsi="Times New Roman" w:cs="Times New Roman"/>
        </w:rPr>
        <w:t xml:space="preserve"> o </w:t>
      </w:r>
      <w:r w:rsidR="00AF789D" w:rsidRPr="0024375B">
        <w:rPr>
          <w:rFonts w:ascii="Times New Roman" w:hAnsi="Times New Roman" w:cs="Times New Roman"/>
        </w:rPr>
        <w:t>certyfikację</w:t>
      </w:r>
      <w:r w:rsidR="00EA1900">
        <w:rPr>
          <w:rFonts w:ascii="Times New Roman" w:hAnsi="Times New Roman" w:cs="Times New Roman"/>
        </w:rPr>
        <w:t xml:space="preserve"> w </w:t>
      </w:r>
      <w:r w:rsidR="00AF789D" w:rsidRPr="0024375B">
        <w:rPr>
          <w:rFonts w:ascii="Times New Roman" w:hAnsi="Times New Roman" w:cs="Times New Roman"/>
        </w:rPr>
        <w:t>szczególności minimalne wymagania co do treści takiego wniosku.</w:t>
      </w:r>
      <w:r w:rsidR="00116933">
        <w:rPr>
          <w:rFonts w:ascii="Times New Roman" w:hAnsi="Times New Roman" w:cs="Times New Roman"/>
        </w:rPr>
        <w:t xml:space="preserve"> W </w:t>
      </w:r>
      <w:r w:rsidR="00AF789D" w:rsidRPr="0024375B">
        <w:rPr>
          <w:rFonts w:ascii="Times New Roman" w:hAnsi="Times New Roman" w:cs="Times New Roman"/>
        </w:rPr>
        <w:t xml:space="preserve">celu usprawnienia działań podmiotów krajowego systemu certyfikacji cyberbezpieczeństwa wszystkie dokumenty relewantne dla tego wniosku powinny zostać </w:t>
      </w:r>
      <w:r w:rsidR="00AF789D" w:rsidRPr="0024375B">
        <w:rPr>
          <w:rFonts w:ascii="Times New Roman" w:hAnsi="Times New Roman" w:cs="Times New Roman"/>
        </w:rPr>
        <w:lastRenderedPageBreak/>
        <w:t>złożone wraz</w:t>
      </w:r>
      <w:r w:rsidR="002161FE">
        <w:rPr>
          <w:rFonts w:ascii="Times New Roman" w:hAnsi="Times New Roman" w:cs="Times New Roman"/>
        </w:rPr>
        <w:t xml:space="preserve"> z </w:t>
      </w:r>
      <w:r w:rsidR="00AF789D" w:rsidRPr="0024375B">
        <w:rPr>
          <w:rFonts w:ascii="Times New Roman" w:hAnsi="Times New Roman" w:cs="Times New Roman"/>
        </w:rPr>
        <w:t>nim. Projektowane przepisy mają zabezpieczyć prawidłowe</w:t>
      </w:r>
      <w:r w:rsidR="002161FE">
        <w:rPr>
          <w:rFonts w:ascii="Times New Roman" w:hAnsi="Times New Roman" w:cs="Times New Roman"/>
        </w:rPr>
        <w:t xml:space="preserve"> i </w:t>
      </w:r>
      <w:r w:rsidR="00AF789D" w:rsidRPr="0024375B">
        <w:rPr>
          <w:rFonts w:ascii="Times New Roman" w:hAnsi="Times New Roman" w:cs="Times New Roman"/>
        </w:rPr>
        <w:t>sprawne prowadzenie oceny zgodności. </w:t>
      </w:r>
    </w:p>
    <w:p w14:paraId="470D3F0B" w14:textId="77777777" w:rsidR="0052339B" w:rsidRPr="0024375B" w:rsidRDefault="0052339B" w:rsidP="00DC1575">
      <w:pPr>
        <w:pStyle w:val="Nagwek4"/>
      </w:pPr>
      <w:r w:rsidRPr="0024375B">
        <w:t>Nowy</w:t>
      </w:r>
      <w:r w:rsidR="00EA1900">
        <w:t xml:space="preserve"> art. </w:t>
      </w:r>
      <w:r w:rsidRPr="0024375B">
        <w:t>59</w:t>
      </w:r>
      <w:r w:rsidR="00EC001E">
        <w:t>m</w:t>
      </w:r>
    </w:p>
    <w:p w14:paraId="623864A2" w14:textId="56C472D2" w:rsidR="00DF5AE7" w:rsidRPr="0024375B" w:rsidRDefault="2F667DD9" w:rsidP="0024375B">
      <w:pPr>
        <w:pStyle w:val="ARTartustawynprozporzdzenia"/>
        <w:ind w:firstLine="567"/>
        <w:rPr>
          <w:rFonts w:ascii="Times New Roman" w:hAnsi="Times New Roman" w:cs="Times New Roman"/>
        </w:rPr>
      </w:pPr>
      <w:r w:rsidRPr="0024375B">
        <w:rPr>
          <w:rFonts w:ascii="Times New Roman" w:hAnsi="Times New Roman" w:cs="Times New Roman"/>
        </w:rPr>
        <w:t>Projektowany</w:t>
      </w:r>
      <w:r w:rsidR="00EA1900">
        <w:rPr>
          <w:rFonts w:ascii="Times New Roman" w:hAnsi="Times New Roman" w:cs="Times New Roman"/>
        </w:rPr>
        <w:t xml:space="preserve"> art. </w:t>
      </w:r>
      <w:r w:rsidR="00DF5AE7" w:rsidRPr="0024375B">
        <w:rPr>
          <w:rFonts w:ascii="Times New Roman" w:hAnsi="Times New Roman" w:cs="Times New Roman"/>
        </w:rPr>
        <w:t>59</w:t>
      </w:r>
      <w:r w:rsidR="00EC001E">
        <w:rPr>
          <w:rFonts w:ascii="Times New Roman" w:hAnsi="Times New Roman" w:cs="Times New Roman"/>
        </w:rPr>
        <w:t>m</w:t>
      </w:r>
      <w:r w:rsidR="00DF5AE7" w:rsidRPr="0024375B">
        <w:rPr>
          <w:rFonts w:ascii="Times New Roman" w:hAnsi="Times New Roman" w:cs="Times New Roman"/>
        </w:rPr>
        <w:t xml:space="preserve"> wyznacza obowiązek jednostki oceniającej zgodność do przekazania ministrowi właściwemu do spraw informatyzacji dan</w:t>
      </w:r>
      <w:r w:rsidR="00DC1575">
        <w:rPr>
          <w:rFonts w:ascii="Times New Roman" w:hAnsi="Times New Roman" w:cs="Times New Roman"/>
        </w:rPr>
        <w:t>ych</w:t>
      </w:r>
      <w:r w:rsidR="00DF5AE7" w:rsidRPr="0024375B">
        <w:rPr>
          <w:rFonts w:ascii="Times New Roman" w:hAnsi="Times New Roman" w:cs="Times New Roman"/>
        </w:rPr>
        <w:t xml:space="preserve"> podmiotu, któremu wydano certyfikat, albo podmiotu, któremu cofnięto certyfikat, wraz ze wskazaniem przyczyny jej cofnięcia. Obowiązek ten jest konieczny</w:t>
      </w:r>
      <w:r w:rsidR="00DC1575">
        <w:rPr>
          <w:rFonts w:ascii="Times New Roman" w:hAnsi="Times New Roman" w:cs="Times New Roman"/>
        </w:rPr>
        <w:t>,</w:t>
      </w:r>
      <w:r w:rsidR="00DF5AE7" w:rsidRPr="0024375B">
        <w:rPr>
          <w:rFonts w:ascii="Times New Roman" w:hAnsi="Times New Roman" w:cs="Times New Roman"/>
        </w:rPr>
        <w:t xml:space="preserve"> gdyż umożliwia ministrowi sprawowanie skutecznego nadzoru nad całym krajowym systemem certyfikacji cyberbezpieczeństwa.</w:t>
      </w:r>
    </w:p>
    <w:p w14:paraId="28797A50" w14:textId="77777777" w:rsidR="0052339B" w:rsidRPr="0024375B" w:rsidRDefault="0052339B" w:rsidP="00DC1575">
      <w:pPr>
        <w:pStyle w:val="Nagwek4"/>
      </w:pPr>
      <w:r w:rsidRPr="0024375B">
        <w:t>Nowy</w:t>
      </w:r>
      <w:r w:rsidR="00EA1900">
        <w:t xml:space="preserve"> art. </w:t>
      </w:r>
      <w:r w:rsidRPr="0024375B">
        <w:t>59</w:t>
      </w:r>
      <w:r w:rsidR="00EC001E">
        <w:t>n</w:t>
      </w:r>
    </w:p>
    <w:p w14:paraId="57561246" w14:textId="08661A37" w:rsidR="00F6749E" w:rsidRPr="0024375B" w:rsidRDefault="007B205B"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Projektowany</w:t>
      </w:r>
      <w:r w:rsidR="00EA1900">
        <w:rPr>
          <w:rFonts w:ascii="Times New Roman" w:hAnsi="Times New Roman" w:cs="Times New Roman"/>
        </w:rPr>
        <w:t xml:space="preserve"> art. </w:t>
      </w:r>
      <w:r w:rsidR="00F6749E" w:rsidRPr="0024375B">
        <w:rPr>
          <w:rFonts w:ascii="Times New Roman" w:hAnsi="Times New Roman" w:cs="Times New Roman"/>
        </w:rPr>
        <w:t>59</w:t>
      </w:r>
      <w:r w:rsidR="00EC001E">
        <w:rPr>
          <w:rFonts w:ascii="Times New Roman" w:hAnsi="Times New Roman" w:cs="Times New Roman"/>
        </w:rPr>
        <w:t>n</w:t>
      </w:r>
      <w:r w:rsidR="00F6749E" w:rsidRPr="0024375B">
        <w:rPr>
          <w:rFonts w:ascii="Times New Roman" w:hAnsi="Times New Roman" w:cs="Times New Roman"/>
        </w:rPr>
        <w:t xml:space="preserve"> daje dodatkową gwarancję dla certyfikatów najwyższego poziomu. Taki certyfikat musi być zatwierdzony przez ministra właściwego do spraw informatyzacji.</w:t>
      </w:r>
      <w:r w:rsidR="00FD08CC" w:rsidRPr="0024375B">
        <w:rPr>
          <w:rFonts w:ascii="Times New Roman" w:hAnsi="Times New Roman" w:cs="Times New Roman"/>
        </w:rPr>
        <w:t xml:space="preserve"> </w:t>
      </w:r>
      <w:r w:rsidR="0075357E" w:rsidRPr="0024375B">
        <w:rPr>
          <w:rFonts w:ascii="Times New Roman" w:hAnsi="Times New Roman" w:cs="Times New Roman"/>
        </w:rPr>
        <w:t>Dotyczy to zarówno certyfikatów wydanych na podstawie europejskich jak</w:t>
      </w:r>
      <w:r w:rsidR="002161FE">
        <w:rPr>
          <w:rFonts w:ascii="Times New Roman" w:hAnsi="Times New Roman" w:cs="Times New Roman"/>
        </w:rPr>
        <w:t xml:space="preserve"> i </w:t>
      </w:r>
      <w:r w:rsidR="0075357E" w:rsidRPr="0024375B">
        <w:rPr>
          <w:rFonts w:ascii="Times New Roman" w:hAnsi="Times New Roman" w:cs="Times New Roman"/>
        </w:rPr>
        <w:t>krajowych programów certyfikacji cyberbezpieczeństwa. Odmowa zatwierdzenia jest możliwa</w:t>
      </w:r>
      <w:r w:rsidR="00EA1900">
        <w:rPr>
          <w:rFonts w:ascii="Times New Roman" w:hAnsi="Times New Roman" w:cs="Times New Roman"/>
        </w:rPr>
        <w:t xml:space="preserve"> w </w:t>
      </w:r>
      <w:r w:rsidR="4C927B11" w:rsidRPr="0024375B">
        <w:rPr>
          <w:rFonts w:ascii="Times New Roman" w:hAnsi="Times New Roman" w:cs="Times New Roman"/>
        </w:rPr>
        <w:t>przypadku,</w:t>
      </w:r>
      <w:r w:rsidR="0075357E" w:rsidRPr="0024375B">
        <w:rPr>
          <w:rFonts w:ascii="Times New Roman" w:hAnsi="Times New Roman" w:cs="Times New Roman"/>
        </w:rPr>
        <w:t xml:space="preserve"> gdy certyfikat został</w:t>
      </w:r>
      <w:r w:rsidR="002E60D6" w:rsidRPr="0024375B">
        <w:rPr>
          <w:rFonts w:ascii="Times New Roman" w:hAnsi="Times New Roman" w:cs="Times New Roman"/>
        </w:rPr>
        <w:t xml:space="preserve"> wydany wbrew przepisom</w:t>
      </w:r>
      <w:r w:rsidR="0075357E" w:rsidRPr="0024375B">
        <w:rPr>
          <w:rFonts w:ascii="Times New Roman" w:hAnsi="Times New Roman" w:cs="Times New Roman"/>
        </w:rPr>
        <w:t xml:space="preserve"> lub</w:t>
      </w:r>
      <w:r w:rsidR="002E60D6" w:rsidRPr="0024375B">
        <w:rPr>
          <w:rFonts w:ascii="Times New Roman" w:hAnsi="Times New Roman" w:cs="Times New Roman"/>
        </w:rPr>
        <w:t xml:space="preserve"> postanowieniom</w:t>
      </w:r>
      <w:r w:rsidR="0075357E" w:rsidRPr="0024375B">
        <w:rPr>
          <w:rFonts w:ascii="Times New Roman" w:hAnsi="Times New Roman" w:cs="Times New Roman"/>
        </w:rPr>
        <w:t xml:space="preserve"> programu certyfikacyjnego</w:t>
      </w:r>
      <w:r w:rsidR="00EA1900">
        <w:rPr>
          <w:rFonts w:ascii="Times New Roman" w:hAnsi="Times New Roman" w:cs="Times New Roman"/>
        </w:rPr>
        <w:t xml:space="preserve"> w </w:t>
      </w:r>
      <w:r w:rsidR="0075357E" w:rsidRPr="0024375B">
        <w:rPr>
          <w:rFonts w:ascii="Times New Roman" w:hAnsi="Times New Roman" w:cs="Times New Roman"/>
        </w:rPr>
        <w:t xml:space="preserve">ramach, którego </w:t>
      </w:r>
      <w:r w:rsidR="002E60D6" w:rsidRPr="0024375B">
        <w:rPr>
          <w:rFonts w:ascii="Times New Roman" w:hAnsi="Times New Roman" w:cs="Times New Roman"/>
        </w:rPr>
        <w:t xml:space="preserve">prowadzona była ta procedura. Do tego postępowania będą stosowane przepisy </w:t>
      </w:r>
      <w:r w:rsidR="00865337" w:rsidRPr="0024375B">
        <w:rPr>
          <w:rFonts w:ascii="Times New Roman" w:hAnsi="Times New Roman" w:cs="Times New Roman"/>
        </w:rPr>
        <w:t>K</w:t>
      </w:r>
      <w:r w:rsidR="002E60D6" w:rsidRPr="0024375B">
        <w:rPr>
          <w:rFonts w:ascii="Times New Roman" w:hAnsi="Times New Roman" w:cs="Times New Roman"/>
        </w:rPr>
        <w:t>odeksu postępowania administracyjnego, które zapewnią niezbędne gwarancje procesowe</w:t>
      </w:r>
      <w:r w:rsidR="00DE59B6" w:rsidRPr="0024375B">
        <w:rPr>
          <w:rFonts w:ascii="Times New Roman" w:hAnsi="Times New Roman" w:cs="Times New Roman"/>
        </w:rPr>
        <w:t xml:space="preserve"> dla ich stron</w:t>
      </w:r>
      <w:r w:rsidR="002E60D6" w:rsidRPr="0024375B">
        <w:rPr>
          <w:rFonts w:ascii="Times New Roman" w:hAnsi="Times New Roman" w:cs="Times New Roman"/>
        </w:rPr>
        <w:t>.</w:t>
      </w:r>
      <w:r w:rsidR="00FD08CC" w:rsidRPr="0024375B">
        <w:rPr>
          <w:rFonts w:ascii="Times New Roman" w:hAnsi="Times New Roman" w:cs="Times New Roman"/>
        </w:rPr>
        <w:t xml:space="preserve"> </w:t>
      </w:r>
      <w:r w:rsidR="0075357E" w:rsidRPr="0024375B">
        <w:rPr>
          <w:rFonts w:ascii="Times New Roman" w:hAnsi="Times New Roman" w:cs="Times New Roman"/>
        </w:rPr>
        <w:t>D</w:t>
      </w:r>
      <w:r w:rsidR="002E60D6" w:rsidRPr="0024375B">
        <w:rPr>
          <w:rFonts w:ascii="Times New Roman" w:hAnsi="Times New Roman" w:cs="Times New Roman"/>
        </w:rPr>
        <w:t>o wniosku</w:t>
      </w:r>
      <w:r w:rsidR="0077165A">
        <w:rPr>
          <w:rFonts w:ascii="Times New Roman" w:hAnsi="Times New Roman" w:cs="Times New Roman"/>
        </w:rPr>
        <w:t xml:space="preserve"> o </w:t>
      </w:r>
      <w:r w:rsidR="0075357E" w:rsidRPr="0024375B">
        <w:rPr>
          <w:rFonts w:ascii="Times New Roman" w:hAnsi="Times New Roman" w:cs="Times New Roman"/>
        </w:rPr>
        <w:t xml:space="preserve">zatwierdzenie takiego certyfikatu muszą być dołączone dokumenty potwierdzające </w:t>
      </w:r>
      <w:r w:rsidR="50E1CE12" w:rsidRPr="0024375B">
        <w:rPr>
          <w:rFonts w:ascii="Times New Roman" w:hAnsi="Times New Roman" w:cs="Times New Roman"/>
        </w:rPr>
        <w:t>przebieg procesu oceny zgodności</w:t>
      </w:r>
      <w:r w:rsidR="0075357E" w:rsidRPr="0024375B">
        <w:rPr>
          <w:rFonts w:ascii="Times New Roman" w:hAnsi="Times New Roman" w:cs="Times New Roman"/>
        </w:rPr>
        <w:t>.</w:t>
      </w:r>
      <w:r w:rsidR="65A2EAA3" w:rsidRPr="0024375B">
        <w:rPr>
          <w:rFonts w:ascii="Times New Roman" w:hAnsi="Times New Roman" w:cs="Times New Roman"/>
        </w:rPr>
        <w:t xml:space="preserve"> Przepisy przewidują też, że</w:t>
      </w:r>
      <w:r w:rsidR="00EA1900">
        <w:rPr>
          <w:rFonts w:ascii="Times New Roman" w:hAnsi="Times New Roman" w:cs="Times New Roman"/>
        </w:rPr>
        <w:t xml:space="preserve"> w </w:t>
      </w:r>
      <w:r w:rsidR="65A2EAA3" w:rsidRPr="0024375B">
        <w:rPr>
          <w:rFonts w:ascii="Times New Roman" w:hAnsi="Times New Roman" w:cs="Times New Roman"/>
        </w:rPr>
        <w:t>przypadku</w:t>
      </w:r>
      <w:r w:rsidR="00DC1575">
        <w:rPr>
          <w:rFonts w:ascii="Times New Roman" w:hAnsi="Times New Roman" w:cs="Times New Roman"/>
        </w:rPr>
        <w:t>,</w:t>
      </w:r>
      <w:r w:rsidR="65A2EAA3" w:rsidRPr="0024375B">
        <w:rPr>
          <w:rFonts w:ascii="Times New Roman" w:hAnsi="Times New Roman" w:cs="Times New Roman"/>
        </w:rPr>
        <w:t xml:space="preserve"> </w:t>
      </w:r>
      <w:r w:rsidR="21A61885" w:rsidRPr="0024375B">
        <w:rPr>
          <w:rFonts w:ascii="Times New Roman" w:hAnsi="Times New Roman" w:cs="Times New Roman"/>
        </w:rPr>
        <w:t>gdy będzie to konieczne, minister będzie mógł zwrócić się do nadzorowanych przez siebie instytutów naukowych</w:t>
      </w:r>
      <w:r w:rsidR="0077165A">
        <w:rPr>
          <w:rFonts w:ascii="Times New Roman" w:hAnsi="Times New Roman" w:cs="Times New Roman"/>
        </w:rPr>
        <w:t xml:space="preserve"> o </w:t>
      </w:r>
      <w:r w:rsidR="21A61885" w:rsidRPr="0024375B">
        <w:rPr>
          <w:rFonts w:ascii="Times New Roman" w:hAnsi="Times New Roman" w:cs="Times New Roman"/>
        </w:rPr>
        <w:t>wypowiedzenie się</w:t>
      </w:r>
      <w:r w:rsidR="00EA1900">
        <w:rPr>
          <w:rFonts w:ascii="Times New Roman" w:hAnsi="Times New Roman" w:cs="Times New Roman"/>
        </w:rPr>
        <w:t xml:space="preserve"> w </w:t>
      </w:r>
      <w:r w:rsidR="21A61885" w:rsidRPr="0024375B">
        <w:rPr>
          <w:rFonts w:ascii="Times New Roman" w:hAnsi="Times New Roman" w:cs="Times New Roman"/>
        </w:rPr>
        <w:t>kwestii danego programu certyfikacji.</w:t>
      </w:r>
      <w:r w:rsidR="0075357E" w:rsidRPr="0024375B">
        <w:rPr>
          <w:rFonts w:ascii="Times New Roman" w:hAnsi="Times New Roman" w:cs="Times New Roman"/>
        </w:rPr>
        <w:t xml:space="preserve"> Wymóg ten służy do przyśpieszenia post</w:t>
      </w:r>
      <w:r w:rsidR="00C12EC9" w:rsidRPr="0024375B">
        <w:rPr>
          <w:rFonts w:ascii="Times New Roman" w:hAnsi="Times New Roman" w:cs="Times New Roman"/>
        </w:rPr>
        <w:t>ę</w:t>
      </w:r>
      <w:r w:rsidR="0075357E" w:rsidRPr="0024375B">
        <w:rPr>
          <w:rFonts w:ascii="Times New Roman" w:hAnsi="Times New Roman" w:cs="Times New Roman"/>
        </w:rPr>
        <w:t>powania</w:t>
      </w:r>
      <w:r w:rsidR="002E60D6" w:rsidRPr="0024375B">
        <w:rPr>
          <w:rFonts w:ascii="Times New Roman" w:hAnsi="Times New Roman" w:cs="Times New Roman"/>
        </w:rPr>
        <w:t xml:space="preserve"> przez przekazanie do organu potrzebnych mu dokumentów</w:t>
      </w:r>
      <w:r w:rsidR="15A31981" w:rsidRPr="0024375B">
        <w:rPr>
          <w:rFonts w:ascii="Times New Roman" w:hAnsi="Times New Roman" w:cs="Times New Roman"/>
        </w:rPr>
        <w:t xml:space="preserve"> wraz</w:t>
      </w:r>
      <w:r w:rsidR="002161FE">
        <w:rPr>
          <w:rFonts w:ascii="Times New Roman" w:hAnsi="Times New Roman" w:cs="Times New Roman"/>
        </w:rPr>
        <w:t xml:space="preserve"> z </w:t>
      </w:r>
      <w:r w:rsidR="15A31981" w:rsidRPr="0024375B">
        <w:rPr>
          <w:rFonts w:ascii="Times New Roman" w:hAnsi="Times New Roman" w:cs="Times New Roman"/>
        </w:rPr>
        <w:t>wnioskiem wszczynającym postępowanie</w:t>
      </w:r>
      <w:r w:rsidR="002E60D6" w:rsidRPr="0024375B">
        <w:rPr>
          <w:rFonts w:ascii="Times New Roman" w:hAnsi="Times New Roman" w:cs="Times New Roman"/>
        </w:rPr>
        <w:t>. Bez tego przepisu organ musiałby wystąpić</w:t>
      </w:r>
      <w:r w:rsidR="0077165A">
        <w:rPr>
          <w:rFonts w:ascii="Times New Roman" w:hAnsi="Times New Roman" w:cs="Times New Roman"/>
        </w:rPr>
        <w:t xml:space="preserve"> o </w:t>
      </w:r>
      <w:r w:rsidR="002E60D6" w:rsidRPr="0024375B">
        <w:rPr>
          <w:rFonts w:ascii="Times New Roman" w:hAnsi="Times New Roman" w:cs="Times New Roman"/>
        </w:rPr>
        <w:t>te dokumenty co przedłużyłoby cały proces.</w:t>
      </w:r>
      <w:r w:rsidR="00FD08CC" w:rsidRPr="0024375B">
        <w:rPr>
          <w:rFonts w:ascii="Times New Roman" w:hAnsi="Times New Roman" w:cs="Times New Roman"/>
        </w:rPr>
        <w:t xml:space="preserve"> </w:t>
      </w:r>
      <w:r w:rsidR="00F6749E" w:rsidRPr="0024375B">
        <w:rPr>
          <w:rFonts w:ascii="Times New Roman" w:hAnsi="Times New Roman" w:cs="Times New Roman"/>
        </w:rPr>
        <w:t xml:space="preserve">Przepis ten reguluje również kwestie cofania certyfikatów wydanych </w:t>
      </w:r>
      <w:r w:rsidRPr="0024375B">
        <w:rPr>
          <w:rFonts w:ascii="Times New Roman" w:hAnsi="Times New Roman" w:cs="Times New Roman"/>
        </w:rPr>
        <w:t>niezgodnie</w:t>
      </w:r>
      <w:r w:rsidR="002161FE">
        <w:rPr>
          <w:rFonts w:ascii="Times New Roman" w:hAnsi="Times New Roman" w:cs="Times New Roman"/>
        </w:rPr>
        <w:t xml:space="preserve"> z </w:t>
      </w:r>
      <w:r w:rsidR="00F6749E" w:rsidRPr="0024375B">
        <w:rPr>
          <w:rFonts w:ascii="Times New Roman" w:hAnsi="Times New Roman" w:cs="Times New Roman"/>
        </w:rPr>
        <w:t>ustaw</w:t>
      </w:r>
      <w:r w:rsidRPr="0024375B">
        <w:rPr>
          <w:rFonts w:ascii="Times New Roman" w:hAnsi="Times New Roman" w:cs="Times New Roman"/>
        </w:rPr>
        <w:t>ą</w:t>
      </w:r>
      <w:r w:rsidR="00F6749E" w:rsidRPr="0024375B">
        <w:rPr>
          <w:rFonts w:ascii="Times New Roman" w:hAnsi="Times New Roman" w:cs="Times New Roman"/>
        </w:rPr>
        <w:t xml:space="preserve"> lub przepisom programu certyfikacyjnego. Obowiązek wprowadzenia takiej procedury wynika</w:t>
      </w:r>
      <w:r w:rsidR="002161FE">
        <w:rPr>
          <w:rFonts w:ascii="Times New Roman" w:hAnsi="Times New Roman" w:cs="Times New Roman"/>
        </w:rPr>
        <w:t xml:space="preserve"> z </w:t>
      </w:r>
      <w:r w:rsidR="00FD08CC" w:rsidRPr="0024375B">
        <w:rPr>
          <w:rFonts w:ascii="Times New Roman" w:hAnsi="Times New Roman" w:cs="Times New Roman"/>
        </w:rPr>
        <w:t>A</w:t>
      </w:r>
      <w:r w:rsidR="00F6749E" w:rsidRPr="0024375B">
        <w:rPr>
          <w:rFonts w:ascii="Times New Roman" w:hAnsi="Times New Roman" w:cs="Times New Roman"/>
        </w:rPr>
        <w:t>ktu</w:t>
      </w:r>
      <w:r w:rsidR="0077165A">
        <w:rPr>
          <w:rFonts w:ascii="Times New Roman" w:hAnsi="Times New Roman" w:cs="Times New Roman"/>
        </w:rPr>
        <w:t xml:space="preserve"> o </w:t>
      </w:r>
      <w:r w:rsidR="002D456E" w:rsidRPr="0024375B">
        <w:rPr>
          <w:rFonts w:ascii="Times New Roman" w:hAnsi="Times New Roman" w:cs="Times New Roman"/>
        </w:rPr>
        <w:t>c</w:t>
      </w:r>
      <w:r w:rsidR="00F6749E" w:rsidRPr="0024375B">
        <w:rPr>
          <w:rFonts w:ascii="Times New Roman" w:hAnsi="Times New Roman" w:cs="Times New Roman"/>
        </w:rPr>
        <w:t>yberbezpieczeństwie.</w:t>
      </w:r>
    </w:p>
    <w:p w14:paraId="1C07DEA6" w14:textId="77777777" w:rsidR="0052339B" w:rsidRPr="00AD501E" w:rsidRDefault="0052339B" w:rsidP="00DC1575">
      <w:pPr>
        <w:pStyle w:val="Nagwek4"/>
      </w:pPr>
      <w:r w:rsidRPr="00AD501E">
        <w:t>Nowy</w:t>
      </w:r>
      <w:r w:rsidR="00EA1900" w:rsidRPr="00AD501E">
        <w:t xml:space="preserve"> art. </w:t>
      </w:r>
      <w:r w:rsidRPr="00AD501E">
        <w:t>59</w:t>
      </w:r>
      <w:r w:rsidR="00FA030A" w:rsidRPr="00AD501E">
        <w:t>o</w:t>
      </w:r>
    </w:p>
    <w:p w14:paraId="74F54A43" w14:textId="216712FF" w:rsidR="00AD501E" w:rsidRPr="000246F7" w:rsidRDefault="00EC001E" w:rsidP="00DC1575">
      <w:pPr>
        <w:pStyle w:val="Nagwek4"/>
      </w:pPr>
      <w:r w:rsidRPr="00DC1575">
        <w:t>Art. 59o wskazuje, że jednostka oceniająca zgodność odmawia dokonania tej oceny</w:t>
      </w:r>
      <w:r w:rsidR="00EF23B5">
        <w:t>,</w:t>
      </w:r>
      <w:r w:rsidRPr="00DC1575">
        <w:t xml:space="preserve"> o ile dostawca nie dostarcza wszystkich informacji niezbędnych czy dany produkt, usługa pub proces ICT spełnia wymagania określone w odpowiednim programie certyfikacji. Dzięki temu te jednostki będą miały wyraźną</w:t>
      </w:r>
      <w:r w:rsidRPr="000246F7">
        <w:t xml:space="preserve"> podstawę do odmowy działań w przypadku stwierdzenia, że dostawca działa w złej wierze</w:t>
      </w:r>
    </w:p>
    <w:p w14:paraId="012EE2E1" w14:textId="77777777" w:rsidR="00EC001E" w:rsidRDefault="00EC001E" w:rsidP="000246F7">
      <w:pPr>
        <w:pStyle w:val="Nagwek4"/>
      </w:pPr>
      <w:r w:rsidRPr="00AD501E">
        <w:t xml:space="preserve"> </w:t>
      </w:r>
      <w:r w:rsidR="0052339B" w:rsidRPr="00AD501E">
        <w:t>Nowy</w:t>
      </w:r>
      <w:r w:rsidR="00EA1900" w:rsidRPr="00AD501E">
        <w:t xml:space="preserve"> art. </w:t>
      </w:r>
      <w:r w:rsidR="0052339B" w:rsidRPr="00AD501E">
        <w:t>59</w:t>
      </w:r>
      <w:r w:rsidR="00FA030A" w:rsidRPr="00AD501E">
        <w:t>p</w:t>
      </w:r>
    </w:p>
    <w:p w14:paraId="7EC292FF" w14:textId="77777777" w:rsidR="00EC001E" w:rsidRDefault="00EC001E" w:rsidP="00AD501E">
      <w:pPr>
        <w:ind w:firstLine="567"/>
        <w:jc w:val="both"/>
      </w:pPr>
      <w:r>
        <w:rPr>
          <w:lang w:eastAsia="en-US"/>
        </w:rPr>
        <w:t xml:space="preserve">Art. 59p precyzuje kwestie związane z certyfikatami wskazując na ich role w tym systemie. Ust. 2 określa co musi być wskazane w treści certyfikatu. </w:t>
      </w:r>
      <w:r w:rsidR="002B49F7">
        <w:rPr>
          <w:lang w:eastAsia="en-US"/>
        </w:rPr>
        <w:t>Szczególnie ważne jest tu wskazanie poziomu uzasadnienia zaufania, oznaczenie podmiotu, który wydał certyfikat i okresu na jaki został wydany. Przy określaniu okresu ważności certyfikatu będzie brana pod uwagę specyfikacja techniczna określonego produktu, usługi lub procesu ICT.</w:t>
      </w:r>
    </w:p>
    <w:p w14:paraId="098E48DC" w14:textId="77777777" w:rsidR="00EC001E" w:rsidRPr="00911CAE" w:rsidRDefault="00EC001E" w:rsidP="00DC1575">
      <w:pPr>
        <w:pStyle w:val="Nagwek4"/>
      </w:pPr>
      <w:r w:rsidRPr="0024375B">
        <w:lastRenderedPageBreak/>
        <w:t>Nowy</w:t>
      </w:r>
      <w:r>
        <w:t xml:space="preserve"> art. </w:t>
      </w:r>
      <w:r w:rsidRPr="0024375B">
        <w:t>59</w:t>
      </w:r>
      <w:r w:rsidR="002B49F7">
        <w:t>q</w:t>
      </w:r>
    </w:p>
    <w:p w14:paraId="328DE77B" w14:textId="77777777" w:rsidR="00F6749E" w:rsidRDefault="007B205B"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Projektowany</w:t>
      </w:r>
      <w:r w:rsidR="00EA1900">
        <w:rPr>
          <w:rFonts w:ascii="Times New Roman" w:hAnsi="Times New Roman" w:cs="Times New Roman"/>
        </w:rPr>
        <w:t xml:space="preserve"> art. </w:t>
      </w:r>
      <w:r w:rsidR="00F6749E" w:rsidRPr="0024375B">
        <w:rPr>
          <w:rFonts w:ascii="Times New Roman" w:hAnsi="Times New Roman" w:cs="Times New Roman"/>
        </w:rPr>
        <w:t>59</w:t>
      </w:r>
      <w:r w:rsidR="002B49F7">
        <w:rPr>
          <w:rFonts w:ascii="Times New Roman" w:hAnsi="Times New Roman" w:cs="Times New Roman"/>
        </w:rPr>
        <w:t>q</w:t>
      </w:r>
      <w:r w:rsidR="00F6749E" w:rsidRPr="0024375B">
        <w:rPr>
          <w:rFonts w:ascii="Times New Roman" w:hAnsi="Times New Roman" w:cs="Times New Roman"/>
        </w:rPr>
        <w:t xml:space="preserve"> reguluje </w:t>
      </w:r>
      <w:r w:rsidR="633B44F6" w:rsidRPr="0024375B">
        <w:rPr>
          <w:rFonts w:ascii="Times New Roman" w:hAnsi="Times New Roman" w:cs="Times New Roman"/>
        </w:rPr>
        <w:t>sytuację,</w:t>
      </w:r>
      <w:r w:rsidR="00F6749E" w:rsidRPr="0024375B">
        <w:rPr>
          <w:rFonts w:ascii="Times New Roman" w:hAnsi="Times New Roman" w:cs="Times New Roman"/>
        </w:rPr>
        <w:t xml:space="preserve"> gdy produkt, usługa lub proces ICT przestają spełniać wymagania już po otrzymaniu certyfikatu.</w:t>
      </w:r>
      <w:r w:rsidR="00347C6B" w:rsidRPr="0024375B">
        <w:rPr>
          <w:rFonts w:ascii="Times New Roman" w:hAnsi="Times New Roman" w:cs="Times New Roman"/>
        </w:rPr>
        <w:t xml:space="preserve"> Programy certyfikacyjne będą przewidywać zasady monitorowania produktów, usług</w:t>
      </w:r>
      <w:r w:rsidR="002161FE">
        <w:rPr>
          <w:rFonts w:ascii="Times New Roman" w:hAnsi="Times New Roman" w:cs="Times New Roman"/>
        </w:rPr>
        <w:t xml:space="preserve"> i </w:t>
      </w:r>
      <w:r w:rsidR="00347C6B" w:rsidRPr="0024375B">
        <w:rPr>
          <w:rFonts w:ascii="Times New Roman" w:hAnsi="Times New Roman" w:cs="Times New Roman"/>
        </w:rPr>
        <w:t>procesów, które uzyskały certyfikaty</w:t>
      </w:r>
      <w:r w:rsidR="00C940A5" w:rsidRPr="0024375B">
        <w:rPr>
          <w:rFonts w:ascii="Times New Roman" w:hAnsi="Times New Roman" w:cs="Times New Roman"/>
        </w:rPr>
        <w:t>.</w:t>
      </w:r>
      <w:r w:rsidR="00116933">
        <w:rPr>
          <w:rFonts w:ascii="Times New Roman" w:hAnsi="Times New Roman" w:cs="Times New Roman"/>
        </w:rPr>
        <w:t xml:space="preserve"> W </w:t>
      </w:r>
      <w:r w:rsidR="00C940A5" w:rsidRPr="0024375B">
        <w:rPr>
          <w:rFonts w:ascii="Times New Roman" w:hAnsi="Times New Roman" w:cs="Times New Roman"/>
        </w:rPr>
        <w:t>ramach tego monitoringu właściciele certyfikowanych produktów będą musieli wykazać, że ich towar wciąż spełnia wymagania określone</w:t>
      </w:r>
      <w:r w:rsidR="00EA1900">
        <w:rPr>
          <w:rFonts w:ascii="Times New Roman" w:hAnsi="Times New Roman" w:cs="Times New Roman"/>
        </w:rPr>
        <w:t xml:space="preserve"> w </w:t>
      </w:r>
      <w:r w:rsidR="00C940A5" w:rsidRPr="0024375B">
        <w:rPr>
          <w:rFonts w:ascii="Times New Roman" w:hAnsi="Times New Roman" w:cs="Times New Roman"/>
        </w:rPr>
        <w:t>programie.</w:t>
      </w:r>
      <w:r w:rsidR="00116933">
        <w:rPr>
          <w:rFonts w:ascii="Times New Roman" w:hAnsi="Times New Roman" w:cs="Times New Roman"/>
        </w:rPr>
        <w:t xml:space="preserve"> W </w:t>
      </w:r>
      <w:r w:rsidR="00C940A5" w:rsidRPr="0024375B">
        <w:rPr>
          <w:rFonts w:ascii="Times New Roman" w:hAnsi="Times New Roman" w:cs="Times New Roman"/>
        </w:rPr>
        <w:t xml:space="preserve">przypadku gdy przestanie je spełniać </w:t>
      </w:r>
      <w:r w:rsidR="005B0930" w:rsidRPr="0024375B">
        <w:rPr>
          <w:rFonts w:ascii="Times New Roman" w:hAnsi="Times New Roman" w:cs="Times New Roman"/>
        </w:rPr>
        <w:t xml:space="preserve">jednostka </w:t>
      </w:r>
      <w:r w:rsidR="00F6749E" w:rsidRPr="0024375B">
        <w:rPr>
          <w:rFonts w:ascii="Times New Roman" w:hAnsi="Times New Roman" w:cs="Times New Roman"/>
        </w:rPr>
        <w:t>oceniająca zgodność obowiązana jest do cofnięcia certyfikatu. Musi również</w:t>
      </w:r>
      <w:r w:rsidR="0077165A">
        <w:rPr>
          <w:rFonts w:ascii="Times New Roman" w:hAnsi="Times New Roman" w:cs="Times New Roman"/>
        </w:rPr>
        <w:t xml:space="preserve"> o </w:t>
      </w:r>
      <w:r w:rsidR="00F6749E" w:rsidRPr="0024375B">
        <w:rPr>
          <w:rFonts w:ascii="Times New Roman" w:hAnsi="Times New Roman" w:cs="Times New Roman"/>
        </w:rPr>
        <w:t>tym poinformować ministra właściwego do spraw informatyzacji. Otrzymywanie takich informacji jest niezbędn</w:t>
      </w:r>
      <w:r w:rsidR="5405DA4C" w:rsidRPr="0024375B">
        <w:rPr>
          <w:rFonts w:ascii="Times New Roman" w:hAnsi="Times New Roman" w:cs="Times New Roman"/>
        </w:rPr>
        <w:t>e</w:t>
      </w:r>
      <w:r w:rsidR="00F6749E" w:rsidRPr="0024375B">
        <w:rPr>
          <w:rFonts w:ascii="Times New Roman" w:hAnsi="Times New Roman" w:cs="Times New Roman"/>
        </w:rPr>
        <w:t xml:space="preserve"> by minister mógł wykonywać swoje obowiązki związane</w:t>
      </w:r>
      <w:r w:rsidR="002161FE">
        <w:rPr>
          <w:rFonts w:ascii="Times New Roman" w:hAnsi="Times New Roman" w:cs="Times New Roman"/>
        </w:rPr>
        <w:t xml:space="preserve"> z </w:t>
      </w:r>
      <w:r w:rsidR="00F6749E" w:rsidRPr="0024375B">
        <w:rPr>
          <w:rFonts w:ascii="Times New Roman" w:hAnsi="Times New Roman" w:cs="Times New Roman"/>
        </w:rPr>
        <w:t>nadzorem nad rynkiem certyfikacji.</w:t>
      </w:r>
    </w:p>
    <w:p w14:paraId="08F61F12" w14:textId="77777777" w:rsidR="00FA030A" w:rsidRDefault="00FA030A" w:rsidP="00DC1575">
      <w:pPr>
        <w:pStyle w:val="Nagwek4"/>
      </w:pPr>
      <w:r>
        <w:t>Nowy art. 59</w:t>
      </w:r>
      <w:r w:rsidR="002B49F7">
        <w:t>r</w:t>
      </w:r>
    </w:p>
    <w:p w14:paraId="6512B0A8" w14:textId="77777777" w:rsidR="00A97DE8" w:rsidRDefault="00A97DE8" w:rsidP="00FC6B8C">
      <w:pPr>
        <w:pStyle w:val="ARTartustawynprozporzdzenia"/>
      </w:pPr>
      <w:r>
        <w:t>Projektowany art. 59</w:t>
      </w:r>
      <w:r w:rsidR="002B49F7">
        <w:t>r</w:t>
      </w:r>
      <w:r>
        <w:t xml:space="preserve"> wprowadza obowiązek jednostek oceniających zgodność w zakresie monitorowania zgodności produktów, które otrzymały certyfikaty, z wymogami wskazanymi w programie certyfikacji przez cały okres na jaki został wydany certyfikat. Aby zapewnić im możliwość realizacji tego obowiązku przyznano im uprawnienie do żądania niezbędnych informacji od dostawców produktów. </w:t>
      </w:r>
    </w:p>
    <w:p w14:paraId="191002F0" w14:textId="77777777" w:rsidR="00FA030A" w:rsidRDefault="00FA030A" w:rsidP="00DC1575">
      <w:pPr>
        <w:pStyle w:val="Nagwek4"/>
      </w:pPr>
      <w:r>
        <w:t>Nowy art. 59</w:t>
      </w:r>
      <w:r w:rsidR="007361CA">
        <w:t>s</w:t>
      </w:r>
    </w:p>
    <w:p w14:paraId="164D65DD" w14:textId="4717D4A2" w:rsidR="00E20D20" w:rsidRDefault="00A97DE8" w:rsidP="00FC6B8C">
      <w:pPr>
        <w:pStyle w:val="ARTartustawynprozporzdzenia"/>
      </w:pPr>
      <w:r>
        <w:t>Reguluje sytuację</w:t>
      </w:r>
      <w:r w:rsidR="00093447">
        <w:t>,</w:t>
      </w:r>
      <w:r>
        <w:t xml:space="preserve"> gdy produkt przestaje spełniać wymagania już po uzyskaniu certyfikatu. W takim przypadku, jeśli dostawca sam poinformuje jednostkę oceniającą zgodność o tej sytuacji, będzie miał 2 miesiące na przywrócenie zgodności z wymaganiami. Jeśli zaś taka niezgodność zostanie wykryta w ramach kontroli to certyfikat od razu zostaje cofnięty. Taka regulacja ma promować współpracę między jednostkami oceniającymi zgodność a dostawcami produktów i zachęcać ich do informowania o kwestiach problematycznych.  </w:t>
      </w:r>
      <w:r w:rsidR="00E20D20">
        <w:t>Pozwoli to im utrzymać certyfikat i nie ponosić kosztów ponownej certyfikacji.</w:t>
      </w:r>
    </w:p>
    <w:p w14:paraId="32499D5D" w14:textId="77777777" w:rsidR="00A97DE8" w:rsidRPr="00FC6B8C" w:rsidRDefault="00A97DE8" w:rsidP="00FC6B8C">
      <w:pPr>
        <w:pStyle w:val="ARTartustawynprozporzdzenia"/>
      </w:pPr>
      <w:r>
        <w:t>We wskazanym</w:t>
      </w:r>
      <w:r w:rsidR="00E20D20">
        <w:t xml:space="preserve"> wyżej</w:t>
      </w:r>
      <w:r>
        <w:t xml:space="preserve"> okresie dostawca nie może powoływać się na posiadany certyfikat. </w:t>
      </w:r>
    </w:p>
    <w:p w14:paraId="4D26B69A" w14:textId="77777777" w:rsidR="0052339B" w:rsidRPr="0024375B" w:rsidRDefault="0052339B" w:rsidP="00DC1575">
      <w:pPr>
        <w:pStyle w:val="Nagwek4"/>
      </w:pPr>
      <w:r w:rsidRPr="0024375B">
        <w:t>Nowy</w:t>
      </w:r>
      <w:r w:rsidR="00EA1900">
        <w:t xml:space="preserve"> art. </w:t>
      </w:r>
      <w:r w:rsidRPr="0024375B">
        <w:t>59</w:t>
      </w:r>
      <w:r w:rsidR="007361CA">
        <w:t>t</w:t>
      </w:r>
    </w:p>
    <w:p w14:paraId="6138062A" w14:textId="77777777" w:rsidR="00DF5AE7" w:rsidRPr="0024375B" w:rsidRDefault="00DF5AE7"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Projektowan</w:t>
      </w:r>
      <w:r w:rsidR="00DE59B6" w:rsidRPr="0024375B">
        <w:rPr>
          <w:rFonts w:ascii="Times New Roman" w:hAnsi="Times New Roman" w:cs="Times New Roman"/>
        </w:rPr>
        <w:t>y</w:t>
      </w:r>
      <w:r w:rsidR="00EA1900">
        <w:rPr>
          <w:rFonts w:ascii="Times New Roman" w:hAnsi="Times New Roman" w:cs="Times New Roman"/>
        </w:rPr>
        <w:t xml:space="preserve"> art. </w:t>
      </w:r>
      <w:r w:rsidRPr="0024375B">
        <w:rPr>
          <w:rFonts w:ascii="Times New Roman" w:hAnsi="Times New Roman" w:cs="Times New Roman"/>
        </w:rPr>
        <w:t>59</w:t>
      </w:r>
      <w:r w:rsidR="007361CA">
        <w:rPr>
          <w:rFonts w:ascii="Times New Roman" w:hAnsi="Times New Roman" w:cs="Times New Roman"/>
        </w:rPr>
        <w:t>t</w:t>
      </w:r>
      <w:r w:rsidRPr="0024375B">
        <w:rPr>
          <w:rFonts w:ascii="Times New Roman" w:hAnsi="Times New Roman" w:cs="Times New Roman"/>
        </w:rPr>
        <w:t xml:space="preserve"> </w:t>
      </w:r>
      <w:r w:rsidR="003B0A7B" w:rsidRPr="0024375B">
        <w:rPr>
          <w:rFonts w:ascii="Times New Roman" w:hAnsi="Times New Roman" w:cs="Times New Roman"/>
        </w:rPr>
        <w:t xml:space="preserve">reguluje </w:t>
      </w:r>
      <w:r w:rsidRPr="0024375B">
        <w:rPr>
          <w:rFonts w:ascii="Times New Roman" w:hAnsi="Times New Roman" w:cs="Times New Roman"/>
        </w:rPr>
        <w:t>kwestie związane</w:t>
      </w:r>
      <w:r w:rsidR="002161FE">
        <w:rPr>
          <w:rFonts w:ascii="Times New Roman" w:hAnsi="Times New Roman" w:cs="Times New Roman"/>
        </w:rPr>
        <w:t xml:space="preserve"> z </w:t>
      </w:r>
      <w:r w:rsidRPr="0024375B">
        <w:rPr>
          <w:rFonts w:ascii="Times New Roman" w:hAnsi="Times New Roman" w:cs="Times New Roman"/>
        </w:rPr>
        <w:t>deklaracjami zgodności. Możliwość ich wydawania dotyczy tylko najniższego poziomu uzasadnienie zaufania</w:t>
      </w:r>
      <w:r w:rsidR="002161FE">
        <w:rPr>
          <w:rFonts w:ascii="Times New Roman" w:hAnsi="Times New Roman" w:cs="Times New Roman"/>
        </w:rPr>
        <w:t xml:space="preserve"> i </w:t>
      </w:r>
      <w:r w:rsidRPr="0024375B">
        <w:rPr>
          <w:rFonts w:ascii="Times New Roman" w:hAnsi="Times New Roman" w:cs="Times New Roman"/>
        </w:rPr>
        <w:t>daje szansę skorzystania</w:t>
      </w:r>
      <w:r w:rsidR="002161FE">
        <w:rPr>
          <w:rFonts w:ascii="Times New Roman" w:hAnsi="Times New Roman" w:cs="Times New Roman"/>
        </w:rPr>
        <w:t xml:space="preserve"> z </w:t>
      </w:r>
      <w:r w:rsidRPr="0024375B">
        <w:rPr>
          <w:rFonts w:ascii="Times New Roman" w:hAnsi="Times New Roman" w:cs="Times New Roman"/>
        </w:rPr>
        <w:t>programów certyfikacyjnych przy minimalnych kosztach. Producenci będą mogli sami wskazać, że ich produkty spełniają wymagania bez potrzeby przechodzenia przez proces certyfikacji co pozwoli im znacząco ograniczyć posiadane koszty.</w:t>
      </w:r>
      <w:r w:rsidR="007361CA">
        <w:rPr>
          <w:rFonts w:ascii="Times New Roman" w:hAnsi="Times New Roman" w:cs="Times New Roman"/>
        </w:rPr>
        <w:t xml:space="preserve"> Przepis ten precyzuje również elementy jakie deklaracja zgodności musi zawierać. Te zasady gwarantują transparentność przy wystawianiu deklaracji zgodności.</w:t>
      </w:r>
    </w:p>
    <w:p w14:paraId="3D515964" w14:textId="77777777" w:rsidR="0052339B" w:rsidRPr="0024375B" w:rsidRDefault="0052339B" w:rsidP="00DC1575">
      <w:pPr>
        <w:pStyle w:val="Nagwek4"/>
      </w:pPr>
      <w:r w:rsidRPr="0024375B">
        <w:t>Nowy</w:t>
      </w:r>
      <w:r w:rsidR="00EA1900">
        <w:t xml:space="preserve"> art. </w:t>
      </w:r>
      <w:r w:rsidRPr="0024375B">
        <w:t>59</w:t>
      </w:r>
      <w:r w:rsidR="007361CA">
        <w:t>u</w:t>
      </w:r>
    </w:p>
    <w:p w14:paraId="74DF2CE3" w14:textId="784512EE" w:rsidR="003B0A7B" w:rsidRPr="0024375B" w:rsidRDefault="003B0A7B" w:rsidP="0024375B">
      <w:pPr>
        <w:pStyle w:val="ARTartustawynprozporzdzenia"/>
      </w:pPr>
      <w:r w:rsidRPr="0024375B">
        <w:t>Projektowany</w:t>
      </w:r>
      <w:r w:rsidR="00EA1900">
        <w:t xml:space="preserve"> art. </w:t>
      </w:r>
      <w:r w:rsidRPr="0024375B">
        <w:t>59</w:t>
      </w:r>
      <w:r w:rsidR="007361CA">
        <w:t>u</w:t>
      </w:r>
      <w:r w:rsidRPr="0024375B">
        <w:t xml:space="preserve"> nakłada na podmioty krajowego systemu certyfikacji cyberbezpieczeństwa obowiązek przesyłania kopii wystawionych deklaracji zgodności do ministra właściwego do spraw informatyzacji. Przepis ten gwarantuje, że minister będzie zdolny do wykonywania nadzoru nad tym rynkiem. </w:t>
      </w:r>
      <w:r w:rsidR="00093447">
        <w:t>R</w:t>
      </w:r>
      <w:r w:rsidRPr="0024375B">
        <w:t xml:space="preserve">eguluje, kiedy jednostka oceniająca zgodność odmawia dokonania certyfikacji. </w:t>
      </w:r>
    </w:p>
    <w:p w14:paraId="30C9FF52" w14:textId="77777777" w:rsidR="0052339B" w:rsidRPr="0024375B" w:rsidRDefault="0052339B" w:rsidP="00DC1575">
      <w:pPr>
        <w:pStyle w:val="Nagwek4"/>
      </w:pPr>
      <w:r w:rsidRPr="0024375B">
        <w:lastRenderedPageBreak/>
        <w:t>Nowy</w:t>
      </w:r>
      <w:r w:rsidR="00EA1900">
        <w:t xml:space="preserve"> art. </w:t>
      </w:r>
      <w:r w:rsidRPr="0024375B">
        <w:t>59</w:t>
      </w:r>
      <w:r w:rsidR="007361CA">
        <w:t>v</w:t>
      </w:r>
    </w:p>
    <w:p w14:paraId="5054B432" w14:textId="77777777" w:rsidR="003B0A7B" w:rsidRPr="0024375B" w:rsidRDefault="003B0A7B" w:rsidP="0024375B">
      <w:pPr>
        <w:pStyle w:val="ARTartustawynprozporzdzenia"/>
      </w:pPr>
      <w:r w:rsidRPr="0024375B">
        <w:t>Projektowany</w:t>
      </w:r>
      <w:r w:rsidR="00EA1900">
        <w:t xml:space="preserve"> art. </w:t>
      </w:r>
      <w:r w:rsidRPr="0024375B">
        <w:t>59</w:t>
      </w:r>
      <w:r w:rsidR="007361CA">
        <w:t>v</w:t>
      </w:r>
      <w:r w:rsidRPr="0024375B">
        <w:t xml:space="preserve"> ustanawia domniemanie zgodności</w:t>
      </w:r>
      <w:r w:rsidR="002161FE">
        <w:t xml:space="preserve"> z </w:t>
      </w:r>
      <w:r w:rsidRPr="0024375B">
        <w:t>wymogami produktów</w:t>
      </w:r>
      <w:r w:rsidR="09669FFC" w:rsidRPr="0024375B">
        <w:t>,</w:t>
      </w:r>
      <w:r w:rsidRPr="0024375B">
        <w:t xml:space="preserve"> dla których wystawione zostały deklaracje zgodności.</w:t>
      </w:r>
    </w:p>
    <w:p w14:paraId="5C91BFF9" w14:textId="77777777" w:rsidR="0052339B" w:rsidRPr="0024375B" w:rsidRDefault="0052339B" w:rsidP="00DC1575">
      <w:pPr>
        <w:pStyle w:val="Nagwek4"/>
      </w:pPr>
      <w:r w:rsidRPr="0024375B">
        <w:t>Nowy</w:t>
      </w:r>
      <w:r w:rsidR="00EA1900">
        <w:t xml:space="preserve"> art. </w:t>
      </w:r>
      <w:r w:rsidRPr="0024375B">
        <w:t>59</w:t>
      </w:r>
      <w:r w:rsidR="007361CA">
        <w:t>w</w:t>
      </w:r>
    </w:p>
    <w:p w14:paraId="5E7E9D2E"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Zgodnie</w:t>
      </w:r>
      <w:r w:rsidR="002161FE">
        <w:rPr>
          <w:rFonts w:ascii="Times New Roman" w:hAnsi="Times New Roman" w:cs="Times New Roman"/>
        </w:rPr>
        <w:t xml:space="preserve"> z </w:t>
      </w:r>
      <w:r w:rsidR="007B205B" w:rsidRPr="0024375B">
        <w:rPr>
          <w:rFonts w:ascii="Times New Roman" w:hAnsi="Times New Roman" w:cs="Times New Roman"/>
        </w:rPr>
        <w:t>projektowanym</w:t>
      </w:r>
      <w:r w:rsidR="00EA1900">
        <w:rPr>
          <w:rFonts w:ascii="Times New Roman" w:hAnsi="Times New Roman" w:cs="Times New Roman"/>
        </w:rPr>
        <w:t xml:space="preserve"> art. </w:t>
      </w:r>
      <w:r w:rsidRPr="0024375B">
        <w:rPr>
          <w:rFonts w:ascii="Times New Roman" w:hAnsi="Times New Roman" w:cs="Times New Roman"/>
        </w:rPr>
        <w:t>59</w:t>
      </w:r>
      <w:r w:rsidR="007361CA">
        <w:rPr>
          <w:rFonts w:ascii="Times New Roman" w:hAnsi="Times New Roman" w:cs="Times New Roman"/>
        </w:rPr>
        <w:t>w</w:t>
      </w:r>
      <w:r w:rsidRPr="0024375B">
        <w:rPr>
          <w:rFonts w:ascii="Times New Roman" w:hAnsi="Times New Roman" w:cs="Times New Roman"/>
        </w:rPr>
        <w:t xml:space="preserve"> podmiot, którego produkt, usługa czy proces ICT został certyfikowany jest obowiązany zapewnić by spełniał on wymogi określone</w:t>
      </w:r>
      <w:r w:rsidR="00EA1900">
        <w:rPr>
          <w:rFonts w:ascii="Times New Roman" w:hAnsi="Times New Roman" w:cs="Times New Roman"/>
        </w:rPr>
        <w:t xml:space="preserve"> w </w:t>
      </w:r>
      <w:r w:rsidRPr="0024375B">
        <w:rPr>
          <w:rFonts w:ascii="Times New Roman" w:hAnsi="Times New Roman" w:cs="Times New Roman"/>
        </w:rPr>
        <w:t>programie certyfikacji przez cały cykl życia danego produktu. Musi on również udostępniać użytkownikom wszelkie informacje niezbędne do bezpiecznego</w:t>
      </w:r>
      <w:r w:rsidR="002161FE">
        <w:rPr>
          <w:rFonts w:ascii="Times New Roman" w:hAnsi="Times New Roman" w:cs="Times New Roman"/>
        </w:rPr>
        <w:t xml:space="preserve"> z </w:t>
      </w:r>
      <w:r w:rsidRPr="0024375B">
        <w:rPr>
          <w:rFonts w:ascii="Times New Roman" w:hAnsi="Times New Roman" w:cs="Times New Roman"/>
        </w:rPr>
        <w:t xml:space="preserve">nich korzystania. Postanowienia te są niezbędne do właściwego funkcjonowania krajowego systemu certyfikacji cyberbezpieczeństwa. Produkty wymagają bowiem odpowiednio wyszkolonego personelu wsparcia by pełnić </w:t>
      </w:r>
      <w:r w:rsidR="00DE59B6" w:rsidRPr="0024375B">
        <w:rPr>
          <w:rFonts w:ascii="Times New Roman" w:hAnsi="Times New Roman" w:cs="Times New Roman"/>
        </w:rPr>
        <w:t xml:space="preserve">przypisaną im </w:t>
      </w:r>
      <w:r w:rsidRPr="0024375B">
        <w:rPr>
          <w:rFonts w:ascii="Times New Roman" w:hAnsi="Times New Roman" w:cs="Times New Roman"/>
        </w:rPr>
        <w:t>funkcję. Ponadto</w:t>
      </w:r>
      <w:r w:rsidR="00DE59B6" w:rsidRPr="0024375B">
        <w:rPr>
          <w:rFonts w:ascii="Times New Roman" w:hAnsi="Times New Roman" w:cs="Times New Roman"/>
        </w:rPr>
        <w:t>,</w:t>
      </w:r>
      <w:r w:rsidR="00EA1900">
        <w:rPr>
          <w:rFonts w:ascii="Times New Roman" w:hAnsi="Times New Roman" w:cs="Times New Roman"/>
        </w:rPr>
        <w:t xml:space="preserve"> w </w:t>
      </w:r>
      <w:r w:rsidRPr="0024375B">
        <w:rPr>
          <w:rFonts w:ascii="Times New Roman" w:hAnsi="Times New Roman" w:cs="Times New Roman"/>
        </w:rPr>
        <w:t>przypadku wielu produktów, usług</w:t>
      </w:r>
      <w:r w:rsidR="002161FE">
        <w:rPr>
          <w:rFonts w:ascii="Times New Roman" w:hAnsi="Times New Roman" w:cs="Times New Roman"/>
        </w:rPr>
        <w:t xml:space="preserve"> i </w:t>
      </w:r>
      <w:r w:rsidRPr="0024375B">
        <w:rPr>
          <w:rFonts w:ascii="Times New Roman" w:hAnsi="Times New Roman" w:cs="Times New Roman"/>
        </w:rPr>
        <w:t>procesów ICT ciągłe aktualizacje są niezbędnym elementem zapewnienia bezpieczeństwa. Wiele</w:t>
      </w:r>
      <w:r w:rsidR="002161FE">
        <w:rPr>
          <w:rFonts w:ascii="Times New Roman" w:hAnsi="Times New Roman" w:cs="Times New Roman"/>
        </w:rPr>
        <w:t xml:space="preserve"> z </w:t>
      </w:r>
      <w:r w:rsidRPr="0024375B">
        <w:rPr>
          <w:rFonts w:ascii="Times New Roman" w:hAnsi="Times New Roman" w:cs="Times New Roman"/>
        </w:rPr>
        <w:t>najbardziej skutecznych cyberprzestępstw dotykało urządzeń, które nie przeszły niezbędnych aktualizacji oprogramowania jak np.</w:t>
      </w:r>
      <w:r w:rsidR="00EA1900">
        <w:rPr>
          <w:rFonts w:ascii="Times New Roman" w:hAnsi="Times New Roman" w:cs="Times New Roman"/>
        </w:rPr>
        <w:t xml:space="preserve"> w </w:t>
      </w:r>
      <w:r w:rsidRPr="0024375B">
        <w:rPr>
          <w:rFonts w:ascii="Times New Roman" w:hAnsi="Times New Roman" w:cs="Times New Roman"/>
        </w:rPr>
        <w:t>czasie rozprzestrzeniania się wirusa WannaCry. Dlatego zagwarantowanie bezpieczeństwa systemów informacyjnych wymaga nałożenia takich obowiązków na ich dostawców.</w:t>
      </w:r>
    </w:p>
    <w:p w14:paraId="3A60D2DD" w14:textId="77777777" w:rsidR="0052339B" w:rsidRPr="0024375B" w:rsidRDefault="0052339B" w:rsidP="00DC1575">
      <w:pPr>
        <w:pStyle w:val="Nagwek4"/>
      </w:pPr>
      <w:r w:rsidRPr="0024375B">
        <w:t>Nowy</w:t>
      </w:r>
      <w:r w:rsidR="00EA1900">
        <w:t xml:space="preserve"> art. </w:t>
      </w:r>
      <w:r w:rsidRPr="0024375B">
        <w:t>59</w:t>
      </w:r>
      <w:r w:rsidR="007361CA">
        <w:t>x</w:t>
      </w:r>
    </w:p>
    <w:p w14:paraId="2F864A5E" w14:textId="0CF42AA0" w:rsidR="003B0A7B" w:rsidRPr="0024375B" w:rsidRDefault="02E04EA3" w:rsidP="0024375B">
      <w:pPr>
        <w:pStyle w:val="ARTartustawynprozporzdzenia"/>
        <w:rPr>
          <w:rFonts w:ascii="Times New Roman" w:hAnsi="Times New Roman" w:cs="Times New Roman"/>
        </w:rPr>
      </w:pPr>
      <w:r w:rsidRPr="0024375B">
        <w:t>Projektowany</w:t>
      </w:r>
      <w:r w:rsidR="00EA1900">
        <w:t xml:space="preserve"> art. </w:t>
      </w:r>
      <w:r w:rsidR="003B0A7B" w:rsidRPr="0024375B">
        <w:rPr>
          <w:rFonts w:ascii="Times New Roman" w:hAnsi="Times New Roman" w:cs="Times New Roman"/>
        </w:rPr>
        <w:t>59</w:t>
      </w:r>
      <w:r w:rsidR="007361CA">
        <w:rPr>
          <w:rFonts w:ascii="Times New Roman" w:hAnsi="Times New Roman" w:cs="Times New Roman"/>
        </w:rPr>
        <w:t>x</w:t>
      </w:r>
      <w:r w:rsidR="003B0A7B" w:rsidRPr="0024375B">
        <w:rPr>
          <w:rFonts w:ascii="Times New Roman" w:hAnsi="Times New Roman" w:cs="Times New Roman"/>
        </w:rPr>
        <w:t xml:space="preserve"> określa obowiązki udostępniania</w:t>
      </w:r>
      <w:r w:rsidR="00FD08CC" w:rsidRPr="0024375B">
        <w:rPr>
          <w:rFonts w:ascii="Times New Roman" w:hAnsi="Times New Roman" w:cs="Times New Roman"/>
        </w:rPr>
        <w:t xml:space="preserve"> </w:t>
      </w:r>
      <w:r w:rsidR="003B0A7B" w:rsidRPr="0024375B">
        <w:rPr>
          <w:rFonts w:ascii="Times New Roman" w:hAnsi="Times New Roman" w:cs="Times New Roman"/>
        </w:rPr>
        <w:t>informacji nałożone na dostawców certyfikowanych produktów. </w:t>
      </w:r>
      <w:r w:rsidR="00DE59B6" w:rsidRPr="0024375B">
        <w:rPr>
          <w:rFonts w:ascii="Times New Roman" w:hAnsi="Times New Roman" w:cs="Times New Roman"/>
        </w:rPr>
        <w:t>Regulacje te</w:t>
      </w:r>
      <w:r w:rsidR="003B0A7B" w:rsidRPr="0024375B">
        <w:rPr>
          <w:rFonts w:ascii="Times New Roman" w:hAnsi="Times New Roman" w:cs="Times New Roman"/>
        </w:rPr>
        <w:t xml:space="preserve"> są niezbędne dla zapewnienia skutecznego nadzoru nad całym </w:t>
      </w:r>
      <w:r w:rsidR="00E31A9F" w:rsidRPr="0024375B">
        <w:rPr>
          <w:rFonts w:ascii="Times New Roman" w:hAnsi="Times New Roman" w:cs="Times New Roman"/>
        </w:rPr>
        <w:t xml:space="preserve">krajowym </w:t>
      </w:r>
      <w:r w:rsidR="003B0A7B" w:rsidRPr="0024375B">
        <w:rPr>
          <w:rFonts w:ascii="Times New Roman" w:hAnsi="Times New Roman" w:cs="Times New Roman"/>
        </w:rPr>
        <w:t>systemem</w:t>
      </w:r>
      <w:r w:rsidR="00DE59B6" w:rsidRPr="0024375B">
        <w:rPr>
          <w:rFonts w:ascii="Times New Roman" w:hAnsi="Times New Roman" w:cs="Times New Roman"/>
        </w:rPr>
        <w:t xml:space="preserve"> certyfikacji cyberbezpieczeństwa</w:t>
      </w:r>
      <w:r w:rsidR="003B0A7B" w:rsidRPr="0024375B">
        <w:rPr>
          <w:rFonts w:ascii="Times New Roman" w:hAnsi="Times New Roman" w:cs="Times New Roman"/>
        </w:rPr>
        <w:t>.</w:t>
      </w:r>
      <w:r w:rsidR="00FD08CC" w:rsidRPr="0024375B">
        <w:rPr>
          <w:rFonts w:ascii="Times New Roman" w:hAnsi="Times New Roman" w:cs="Times New Roman"/>
        </w:rPr>
        <w:t xml:space="preserve"> </w:t>
      </w:r>
    </w:p>
    <w:p w14:paraId="4DDFC912" w14:textId="77777777" w:rsidR="0052339B" w:rsidRPr="0024375B" w:rsidRDefault="0052339B" w:rsidP="00DC1575">
      <w:pPr>
        <w:pStyle w:val="Nagwek4"/>
      </w:pPr>
      <w:r w:rsidRPr="0024375B">
        <w:t>Nowy</w:t>
      </w:r>
      <w:r w:rsidR="00EA1900">
        <w:t xml:space="preserve"> art. </w:t>
      </w:r>
      <w:r w:rsidRPr="0024375B">
        <w:t>59</w:t>
      </w:r>
      <w:r w:rsidR="007361CA">
        <w:t>y</w:t>
      </w:r>
    </w:p>
    <w:p w14:paraId="1D3197F9" w14:textId="77777777" w:rsidR="005C1523" w:rsidRDefault="31FA7D6F" w:rsidP="0024375B">
      <w:pPr>
        <w:pStyle w:val="ARTartustawynprozporzdzenia"/>
        <w:rPr>
          <w:rFonts w:ascii="Times New Roman" w:hAnsi="Times New Roman" w:cs="Times New Roman"/>
        </w:rPr>
      </w:pPr>
      <w:r w:rsidRPr="0024375B">
        <w:t>Projektowany</w:t>
      </w:r>
      <w:r w:rsidR="00EA1900">
        <w:t xml:space="preserve"> art. </w:t>
      </w:r>
      <w:r w:rsidR="005C1523" w:rsidRPr="0024375B">
        <w:rPr>
          <w:rFonts w:ascii="Times New Roman" w:hAnsi="Times New Roman" w:cs="Times New Roman"/>
        </w:rPr>
        <w:t>59</w:t>
      </w:r>
      <w:r w:rsidR="007361CA">
        <w:rPr>
          <w:rFonts w:ascii="Times New Roman" w:hAnsi="Times New Roman" w:cs="Times New Roman"/>
        </w:rPr>
        <w:t>y</w:t>
      </w:r>
      <w:r w:rsidR="005C1523" w:rsidRPr="0024375B">
        <w:rPr>
          <w:rFonts w:ascii="Times New Roman" w:hAnsi="Times New Roman" w:cs="Times New Roman"/>
        </w:rPr>
        <w:t xml:space="preserve"> dodaje kolejną metodę sprawowania nadzoru przez ministra właściwego do spraw informatyzacji. Podmioty krajowego systemu certyfikacji cyberbezpieczeństwa będ</w:t>
      </w:r>
      <w:r w:rsidR="1E9D6327" w:rsidRPr="0024375B">
        <w:rPr>
          <w:rFonts w:ascii="Times New Roman" w:hAnsi="Times New Roman" w:cs="Times New Roman"/>
        </w:rPr>
        <w:t>ą</w:t>
      </w:r>
      <w:r w:rsidR="005C1523" w:rsidRPr="0024375B">
        <w:rPr>
          <w:rFonts w:ascii="Times New Roman" w:hAnsi="Times New Roman" w:cs="Times New Roman"/>
        </w:rPr>
        <w:t xml:space="preserve"> musiały przekazywać ministrowi wyjaśnienia</w:t>
      </w:r>
      <w:r w:rsidR="00EA1900">
        <w:rPr>
          <w:rFonts w:ascii="Times New Roman" w:hAnsi="Times New Roman" w:cs="Times New Roman"/>
        </w:rPr>
        <w:t xml:space="preserve"> w </w:t>
      </w:r>
      <w:r w:rsidR="005C1523" w:rsidRPr="0024375B">
        <w:rPr>
          <w:rFonts w:ascii="Times New Roman" w:hAnsi="Times New Roman" w:cs="Times New Roman"/>
        </w:rPr>
        <w:t>kwestiach związanych</w:t>
      </w:r>
      <w:r w:rsidR="002161FE">
        <w:rPr>
          <w:rFonts w:ascii="Times New Roman" w:hAnsi="Times New Roman" w:cs="Times New Roman"/>
        </w:rPr>
        <w:t xml:space="preserve"> z </w:t>
      </w:r>
      <w:r w:rsidR="005C1523" w:rsidRPr="0024375B">
        <w:rPr>
          <w:rFonts w:ascii="Times New Roman" w:hAnsi="Times New Roman" w:cs="Times New Roman"/>
        </w:rPr>
        <w:t>funkcjonowaniem krajowego systemu certyfikacji cyberbezpieczeństwa. Daje to ministrowi możliwość sprawdzania otrzymywanych informacji bez konieczności stosowania długotrwałej</w:t>
      </w:r>
      <w:r w:rsidR="002161FE">
        <w:rPr>
          <w:rFonts w:ascii="Times New Roman" w:hAnsi="Times New Roman" w:cs="Times New Roman"/>
        </w:rPr>
        <w:t xml:space="preserve"> i </w:t>
      </w:r>
      <w:r w:rsidR="005C1523" w:rsidRPr="0024375B">
        <w:rPr>
          <w:rFonts w:ascii="Times New Roman" w:hAnsi="Times New Roman" w:cs="Times New Roman"/>
        </w:rPr>
        <w:t>uciążliwej dla przedsiębiorcy procedury kontrolnej. Umożliwi to również ministrowi zbieranie informacji</w:t>
      </w:r>
      <w:r w:rsidR="0077165A">
        <w:rPr>
          <w:rFonts w:ascii="Times New Roman" w:hAnsi="Times New Roman" w:cs="Times New Roman"/>
        </w:rPr>
        <w:t xml:space="preserve"> o </w:t>
      </w:r>
      <w:r w:rsidR="005C1523" w:rsidRPr="0024375B">
        <w:rPr>
          <w:rFonts w:ascii="Times New Roman" w:hAnsi="Times New Roman" w:cs="Times New Roman"/>
        </w:rPr>
        <w:t>zjawiskach zachodzących na rynku certyfikacji.</w:t>
      </w:r>
    </w:p>
    <w:p w14:paraId="129FFC88" w14:textId="77777777" w:rsidR="00C11091" w:rsidRPr="00FC6B8C" w:rsidRDefault="00C11091" w:rsidP="00DC1575">
      <w:pPr>
        <w:pStyle w:val="Nagwek4"/>
      </w:pPr>
      <w:r>
        <w:t>Nowy art. 59</w:t>
      </w:r>
      <w:r w:rsidR="007361CA">
        <w:t>z</w:t>
      </w:r>
    </w:p>
    <w:p w14:paraId="1EA7B56A" w14:textId="3BBE296E" w:rsidR="00C12C1D" w:rsidRPr="0024375B" w:rsidRDefault="3386280A" w:rsidP="0024375B">
      <w:pPr>
        <w:pStyle w:val="NIEARTTEKSTtekstnieartykuowanynppodstprawnarozplubpreambua"/>
        <w:rPr>
          <w:rFonts w:ascii="Times New Roman" w:eastAsia="Times New Roman" w:hAnsi="Times New Roman" w:cs="Times New Roman"/>
        </w:rPr>
      </w:pPr>
      <w:r w:rsidRPr="0024375B">
        <w:rPr>
          <w:rFonts w:ascii="Times New Roman" w:hAnsi="Times New Roman" w:cs="Times New Roman"/>
        </w:rPr>
        <w:t>Omawiany</w:t>
      </w:r>
      <w:r w:rsidR="00EA1900">
        <w:rPr>
          <w:rFonts w:ascii="Times New Roman" w:hAnsi="Times New Roman" w:cs="Times New Roman"/>
        </w:rPr>
        <w:t xml:space="preserve"> art. </w:t>
      </w:r>
      <w:r w:rsidR="00F6749E" w:rsidRPr="0024375B">
        <w:rPr>
          <w:rFonts w:ascii="Times New Roman" w:hAnsi="Times New Roman" w:cs="Times New Roman"/>
        </w:rPr>
        <w:t>59</w:t>
      </w:r>
      <w:r w:rsidR="007361CA">
        <w:rPr>
          <w:rFonts w:ascii="Times New Roman" w:hAnsi="Times New Roman" w:cs="Times New Roman"/>
        </w:rPr>
        <w:t>z</w:t>
      </w:r>
      <w:r w:rsidR="00F6749E" w:rsidRPr="0024375B">
        <w:rPr>
          <w:rFonts w:ascii="Times New Roman" w:hAnsi="Times New Roman" w:cs="Times New Roman"/>
        </w:rPr>
        <w:t xml:space="preserve"> daj</w:t>
      </w:r>
      <w:r w:rsidR="00654ECC" w:rsidRPr="0024375B">
        <w:rPr>
          <w:rFonts w:ascii="Times New Roman" w:hAnsi="Times New Roman" w:cs="Times New Roman"/>
        </w:rPr>
        <w:t>e</w:t>
      </w:r>
      <w:r w:rsidR="00F6749E" w:rsidRPr="0024375B">
        <w:rPr>
          <w:rFonts w:ascii="Times New Roman" w:hAnsi="Times New Roman" w:cs="Times New Roman"/>
        </w:rPr>
        <w:t xml:space="preserve"> podstawę prawną dla prowadzeni</w:t>
      </w:r>
      <w:r w:rsidR="007B205B" w:rsidRPr="0024375B">
        <w:rPr>
          <w:rFonts w:ascii="Times New Roman" w:hAnsi="Times New Roman" w:cs="Times New Roman"/>
        </w:rPr>
        <w:t>a</w:t>
      </w:r>
      <w:r w:rsidR="00F6749E" w:rsidRPr="0024375B">
        <w:rPr>
          <w:rFonts w:ascii="Times New Roman" w:hAnsi="Times New Roman" w:cs="Times New Roman"/>
        </w:rPr>
        <w:t xml:space="preserve"> kontroli u podmiotów krajowego systemu certyfikacji cyberbezpieczeństwa przez ministra właściwego do spraw informatyzacji. Do kontroli będą stosowane dotychczasowe przepisy ustawy</w:t>
      </w:r>
      <w:r w:rsidR="0077165A">
        <w:rPr>
          <w:rFonts w:ascii="Times New Roman" w:hAnsi="Times New Roman" w:cs="Times New Roman"/>
        </w:rPr>
        <w:t xml:space="preserve"> o </w:t>
      </w:r>
      <w:r w:rsidR="00F6749E" w:rsidRPr="0024375B">
        <w:rPr>
          <w:rFonts w:ascii="Times New Roman" w:hAnsi="Times New Roman" w:cs="Times New Roman"/>
        </w:rPr>
        <w:t>krajowym systemie cyberbezpieczeństwa. Dzięki temu organ będzie mógł oprzeć się na dotychczasowej praktyce</w:t>
      </w:r>
      <w:r w:rsidR="00EA1900">
        <w:rPr>
          <w:rFonts w:ascii="Times New Roman" w:hAnsi="Times New Roman" w:cs="Times New Roman"/>
        </w:rPr>
        <w:t xml:space="preserve"> w </w:t>
      </w:r>
      <w:r w:rsidR="00F6749E" w:rsidRPr="0024375B">
        <w:rPr>
          <w:rFonts w:ascii="Times New Roman" w:hAnsi="Times New Roman" w:cs="Times New Roman"/>
        </w:rPr>
        <w:t>zakresie prowadzenia kontroli. Pozwoli to na najszybsze wdrożenie się organu do nowych obowiązków.</w:t>
      </w:r>
      <w:r w:rsidR="00116933">
        <w:rPr>
          <w:rFonts w:ascii="Times New Roman" w:hAnsi="Times New Roman" w:cs="Times New Roman"/>
        </w:rPr>
        <w:t xml:space="preserve"> W </w:t>
      </w:r>
      <w:r w:rsidR="00C12C1D" w:rsidRPr="0024375B">
        <w:rPr>
          <w:rFonts w:ascii="Times New Roman" w:hAnsi="Times New Roman" w:cs="Times New Roman"/>
        </w:rPr>
        <w:t>przypadku kontroli u podmiotów administracyjnych będzie stosowana ustawa</w:t>
      </w:r>
      <w:r w:rsidR="0077165A">
        <w:rPr>
          <w:rFonts w:ascii="Times New Roman" w:hAnsi="Times New Roman" w:cs="Times New Roman"/>
        </w:rPr>
        <w:t xml:space="preserve"> o </w:t>
      </w:r>
      <w:r w:rsidR="00C12C1D" w:rsidRPr="0024375B">
        <w:rPr>
          <w:rStyle w:val="normaltextrun"/>
          <w:rFonts w:ascii="Times New Roman" w:hAnsi="Times New Roman" w:cs="Times New Roman"/>
          <w:color w:val="000000"/>
          <w:bdr w:val="none" w:sz="0" w:space="0" w:color="auto" w:frame="1"/>
        </w:rPr>
        <w:t>kontroli</w:t>
      </w:r>
      <w:r w:rsidR="00EA1900">
        <w:rPr>
          <w:rStyle w:val="normaltextrun"/>
          <w:rFonts w:ascii="Times New Roman" w:hAnsi="Times New Roman" w:cs="Times New Roman"/>
          <w:color w:val="000000"/>
          <w:bdr w:val="none" w:sz="0" w:space="0" w:color="auto" w:frame="1"/>
        </w:rPr>
        <w:t xml:space="preserve"> w </w:t>
      </w:r>
      <w:r w:rsidR="00C12C1D" w:rsidRPr="0024375B">
        <w:rPr>
          <w:rStyle w:val="normaltextrun"/>
          <w:rFonts w:ascii="Times New Roman" w:hAnsi="Times New Roman" w:cs="Times New Roman"/>
          <w:color w:val="000000"/>
          <w:bdr w:val="none" w:sz="0" w:space="0" w:color="auto" w:frame="1"/>
        </w:rPr>
        <w:t>administracji rządowej, a</w:t>
      </w:r>
      <w:r w:rsidR="00EA1900">
        <w:rPr>
          <w:rStyle w:val="normaltextrun"/>
          <w:rFonts w:ascii="Times New Roman" w:hAnsi="Times New Roman" w:cs="Times New Roman"/>
          <w:color w:val="000000"/>
          <w:bdr w:val="none" w:sz="0" w:space="0" w:color="auto" w:frame="1"/>
        </w:rPr>
        <w:t xml:space="preserve"> w </w:t>
      </w:r>
      <w:r w:rsidR="00C12C1D" w:rsidRPr="0024375B">
        <w:rPr>
          <w:rStyle w:val="normaltextrun"/>
          <w:rFonts w:ascii="Times New Roman" w:hAnsi="Times New Roman" w:cs="Times New Roman"/>
          <w:color w:val="000000"/>
          <w:bdr w:val="none" w:sz="0" w:space="0" w:color="auto" w:frame="1"/>
        </w:rPr>
        <w:t xml:space="preserve">przypadku przedsiębiorców </w:t>
      </w:r>
      <w:r w:rsidR="00C12C1D" w:rsidRPr="0024375B">
        <w:rPr>
          <w:rStyle w:val="normaltextrun"/>
          <w:rFonts w:ascii="Times New Roman" w:hAnsi="Times New Roman" w:cs="Times New Roman"/>
          <w:color w:val="000000"/>
          <w:shd w:val="clear" w:color="auto" w:fill="FFFFFF"/>
        </w:rPr>
        <w:t>stosuje się przepisy rozdziału 5 ustawy</w:t>
      </w:r>
      <w:r w:rsidR="002161FE">
        <w:rPr>
          <w:rStyle w:val="normaltextrun"/>
          <w:rFonts w:ascii="Times New Roman" w:hAnsi="Times New Roman" w:cs="Times New Roman"/>
          <w:color w:val="000000"/>
          <w:shd w:val="clear" w:color="auto" w:fill="FFFFFF"/>
        </w:rPr>
        <w:t xml:space="preserve"> z </w:t>
      </w:r>
      <w:r w:rsidR="00C12C1D" w:rsidRPr="0024375B">
        <w:rPr>
          <w:rStyle w:val="normaltextrun"/>
          <w:rFonts w:ascii="Times New Roman" w:hAnsi="Times New Roman" w:cs="Times New Roman"/>
          <w:color w:val="000000"/>
          <w:shd w:val="clear" w:color="auto" w:fill="FFFFFF"/>
        </w:rPr>
        <w:t>dnia 6 marca 2018 r.</w:t>
      </w:r>
      <w:r w:rsidR="003507AC" w:rsidRPr="0024375B">
        <w:rPr>
          <w:rStyle w:val="normaltextrun"/>
          <w:rFonts w:ascii="Times New Roman" w:hAnsi="Times New Roman" w:cs="Times New Roman"/>
          <w:color w:val="000000"/>
          <w:shd w:val="clear" w:color="auto" w:fill="FFFFFF"/>
        </w:rPr>
        <w:t xml:space="preserve"> –</w:t>
      </w:r>
      <w:r w:rsidR="00C12C1D" w:rsidRPr="0024375B">
        <w:rPr>
          <w:rStyle w:val="normaltextrun"/>
          <w:rFonts w:ascii="Times New Roman" w:hAnsi="Times New Roman" w:cs="Times New Roman"/>
          <w:color w:val="000000"/>
          <w:shd w:val="clear" w:color="auto" w:fill="FFFFFF"/>
        </w:rPr>
        <w:t xml:space="preserve"> Prawo przedsiębiorców</w:t>
      </w:r>
      <w:r w:rsidR="00B50A11">
        <w:rPr>
          <w:rStyle w:val="normaltextrun"/>
          <w:rFonts w:ascii="Times New Roman" w:hAnsi="Times New Roman" w:cs="Times New Roman"/>
          <w:color w:val="000000"/>
          <w:shd w:val="clear" w:color="auto" w:fill="FFFFFF"/>
        </w:rPr>
        <w:t xml:space="preserve"> (Dz. U. z 2023 r. poz. 221</w:t>
      </w:r>
      <w:r w:rsidR="00BE1DB0">
        <w:rPr>
          <w:rStyle w:val="normaltextrun"/>
          <w:rFonts w:ascii="Times New Roman" w:hAnsi="Times New Roman" w:cs="Times New Roman"/>
          <w:color w:val="000000"/>
          <w:shd w:val="clear" w:color="auto" w:fill="FFFFFF"/>
        </w:rPr>
        <w:t>, z późn. zm.)</w:t>
      </w:r>
      <w:r w:rsidR="00C12C1D" w:rsidRPr="0024375B">
        <w:rPr>
          <w:rStyle w:val="normaltextrun"/>
          <w:rFonts w:ascii="Times New Roman" w:hAnsi="Times New Roman" w:cs="Times New Roman"/>
          <w:color w:val="000000"/>
          <w:shd w:val="clear" w:color="auto" w:fill="FFFFFF"/>
        </w:rPr>
        <w:t>.</w:t>
      </w:r>
      <w:r w:rsidR="00116933">
        <w:rPr>
          <w:rStyle w:val="normaltextrun"/>
          <w:rFonts w:ascii="Times New Roman" w:hAnsi="Times New Roman" w:cs="Times New Roman"/>
          <w:color w:val="000000"/>
          <w:shd w:val="clear" w:color="auto" w:fill="FFFFFF"/>
        </w:rPr>
        <w:t xml:space="preserve"> W </w:t>
      </w:r>
      <w:r w:rsidR="00C12C1D" w:rsidRPr="0024375B">
        <w:rPr>
          <w:rStyle w:val="normaltextrun"/>
          <w:rFonts w:ascii="Times New Roman" w:hAnsi="Times New Roman" w:cs="Times New Roman"/>
          <w:color w:val="000000"/>
          <w:shd w:val="clear" w:color="auto" w:fill="FFFFFF"/>
        </w:rPr>
        <w:t>związku</w:t>
      </w:r>
      <w:r w:rsidR="002161FE">
        <w:rPr>
          <w:rStyle w:val="normaltextrun"/>
          <w:rFonts w:ascii="Times New Roman" w:hAnsi="Times New Roman" w:cs="Times New Roman"/>
          <w:color w:val="000000"/>
          <w:shd w:val="clear" w:color="auto" w:fill="FFFFFF"/>
        </w:rPr>
        <w:t xml:space="preserve"> z </w:t>
      </w:r>
      <w:r w:rsidR="00C12C1D" w:rsidRPr="0024375B">
        <w:rPr>
          <w:rStyle w:val="normaltextrun"/>
          <w:rFonts w:ascii="Times New Roman" w:hAnsi="Times New Roman" w:cs="Times New Roman"/>
          <w:color w:val="000000"/>
          <w:shd w:val="clear" w:color="auto" w:fill="FFFFFF"/>
        </w:rPr>
        <w:t xml:space="preserve">tym </w:t>
      </w:r>
      <w:r w:rsidR="00C12C1D" w:rsidRPr="0024375B">
        <w:rPr>
          <w:rStyle w:val="normaltextrun"/>
          <w:rFonts w:ascii="Times New Roman" w:eastAsia="Times New Roman" w:hAnsi="Times New Roman" w:cs="Times New Roman"/>
          <w:color w:val="000000"/>
          <w:shd w:val="clear" w:color="auto" w:fill="FFFFFF"/>
        </w:rPr>
        <w:t xml:space="preserve">wszelkie gwarancje dla przedsiębiorców będą </w:t>
      </w:r>
      <w:r w:rsidR="00C12C1D" w:rsidRPr="0024375B">
        <w:rPr>
          <w:rStyle w:val="normaltextrun"/>
          <w:rFonts w:ascii="Times New Roman" w:eastAsia="Times New Roman" w:hAnsi="Times New Roman" w:cs="Times New Roman"/>
          <w:color w:val="000000"/>
          <w:shd w:val="clear" w:color="auto" w:fill="FFFFFF"/>
        </w:rPr>
        <w:lastRenderedPageBreak/>
        <w:t>zachowane</w:t>
      </w:r>
      <w:r w:rsidR="00EA1900">
        <w:rPr>
          <w:rStyle w:val="normaltextrun"/>
          <w:rFonts w:ascii="Times New Roman" w:eastAsia="Times New Roman" w:hAnsi="Times New Roman" w:cs="Times New Roman"/>
          <w:color w:val="000000"/>
          <w:shd w:val="clear" w:color="auto" w:fill="FFFFFF"/>
        </w:rPr>
        <w:t xml:space="preserve"> w </w:t>
      </w:r>
      <w:r w:rsidR="00C12C1D" w:rsidRPr="0024375B">
        <w:rPr>
          <w:rStyle w:val="normaltextrun"/>
          <w:rFonts w:ascii="Times New Roman" w:eastAsia="Times New Roman" w:hAnsi="Times New Roman" w:cs="Times New Roman"/>
          <w:color w:val="000000"/>
          <w:shd w:val="clear" w:color="auto" w:fill="FFFFFF"/>
        </w:rPr>
        <w:t>tej procedurze.</w:t>
      </w:r>
      <w:r w:rsidR="003507AC" w:rsidRPr="0024375B">
        <w:rPr>
          <w:rStyle w:val="normaltextrun"/>
          <w:rFonts w:ascii="Times New Roman" w:eastAsia="Times New Roman" w:hAnsi="Times New Roman" w:cs="Times New Roman"/>
          <w:color w:val="000000"/>
          <w:shd w:val="clear" w:color="auto" w:fill="FFFFFF"/>
        </w:rPr>
        <w:t xml:space="preserve"> </w:t>
      </w:r>
      <w:r w:rsidR="00C12C1D" w:rsidRPr="0024375B">
        <w:rPr>
          <w:rFonts w:ascii="Times New Roman" w:eastAsia="Times New Roman" w:hAnsi="Times New Roman" w:cs="Times New Roman"/>
        </w:rPr>
        <w:t>Ponadto będą stosowane przepisy</w:t>
      </w:r>
      <w:r w:rsidR="00EA1900">
        <w:rPr>
          <w:rFonts w:ascii="Times New Roman" w:eastAsia="Times New Roman" w:hAnsi="Times New Roman" w:cs="Times New Roman"/>
        </w:rPr>
        <w:t xml:space="preserve"> art. </w:t>
      </w:r>
      <w:r w:rsidR="00C12C1D" w:rsidRPr="0024375B">
        <w:rPr>
          <w:rFonts w:ascii="Times New Roman" w:eastAsia="Times New Roman" w:hAnsi="Times New Roman" w:cs="Times New Roman"/>
        </w:rPr>
        <w:t>55</w:t>
      </w:r>
      <w:r w:rsidR="00B85A6F">
        <w:rPr>
          <w:rFonts w:ascii="Times New Roman" w:eastAsia="Times New Roman" w:hAnsi="Times New Roman" w:cs="Times New Roman"/>
        </w:rPr>
        <w:t>–</w:t>
      </w:r>
      <w:r w:rsidR="00C12C1D" w:rsidRPr="0024375B">
        <w:rPr>
          <w:rFonts w:ascii="Times New Roman" w:eastAsia="Times New Roman" w:hAnsi="Times New Roman" w:cs="Times New Roman"/>
        </w:rPr>
        <w:t>59 ustawy.</w:t>
      </w:r>
      <w:r w:rsidR="00116933">
        <w:rPr>
          <w:rFonts w:ascii="Times New Roman" w:eastAsia="Times New Roman" w:hAnsi="Times New Roman" w:cs="Times New Roman"/>
        </w:rPr>
        <w:t xml:space="preserve"> W</w:t>
      </w:r>
      <w:r w:rsidR="00EA1900">
        <w:rPr>
          <w:rFonts w:ascii="Times New Roman" w:eastAsia="Times New Roman" w:hAnsi="Times New Roman" w:cs="Times New Roman"/>
        </w:rPr>
        <w:t xml:space="preserve"> art. </w:t>
      </w:r>
      <w:r w:rsidR="00C12C1D" w:rsidRPr="0024375B">
        <w:rPr>
          <w:rFonts w:ascii="Times New Roman" w:eastAsia="Times New Roman" w:hAnsi="Times New Roman" w:cs="Times New Roman"/>
        </w:rPr>
        <w:t>55</w:t>
      </w:r>
      <w:r w:rsidR="00EA1900">
        <w:rPr>
          <w:rFonts w:ascii="Times New Roman" w:eastAsia="Times New Roman" w:hAnsi="Times New Roman" w:cs="Times New Roman"/>
        </w:rPr>
        <w:t xml:space="preserve"> w </w:t>
      </w:r>
      <w:r w:rsidR="00C12C1D" w:rsidRPr="0024375B">
        <w:rPr>
          <w:rFonts w:ascii="Times New Roman" w:eastAsia="Times New Roman" w:hAnsi="Times New Roman" w:cs="Times New Roman"/>
        </w:rPr>
        <w:t>punktach od 1 do 6 wskazano zakres uprawnień przysługujących osobom przeprowadzającym kontrolę. Warto zauważyć, że</w:t>
      </w:r>
      <w:r w:rsidR="00EA1900">
        <w:rPr>
          <w:rFonts w:ascii="Times New Roman" w:eastAsia="Times New Roman" w:hAnsi="Times New Roman" w:cs="Times New Roman"/>
        </w:rPr>
        <w:t xml:space="preserve"> w </w:t>
      </w:r>
      <w:r w:rsidR="00C12C1D" w:rsidRPr="0024375B">
        <w:rPr>
          <w:rFonts w:ascii="Times New Roman" w:eastAsia="Times New Roman" w:hAnsi="Times New Roman" w:cs="Times New Roman"/>
        </w:rPr>
        <w:t>celu uniknięcia sytuacji,</w:t>
      </w:r>
      <w:r w:rsidR="00EA1900">
        <w:rPr>
          <w:rFonts w:ascii="Times New Roman" w:eastAsia="Times New Roman" w:hAnsi="Times New Roman" w:cs="Times New Roman"/>
        </w:rPr>
        <w:t xml:space="preserve"> w </w:t>
      </w:r>
      <w:r w:rsidR="00C12C1D" w:rsidRPr="0024375B">
        <w:rPr>
          <w:rFonts w:ascii="Times New Roman" w:eastAsia="Times New Roman" w:hAnsi="Times New Roman" w:cs="Times New Roman"/>
        </w:rPr>
        <w:t>której podmiot kontrolowany zwleka</w:t>
      </w:r>
      <w:r w:rsidR="002161FE">
        <w:rPr>
          <w:rFonts w:ascii="Times New Roman" w:eastAsia="Times New Roman" w:hAnsi="Times New Roman" w:cs="Times New Roman"/>
        </w:rPr>
        <w:t xml:space="preserve"> z </w:t>
      </w:r>
      <w:r w:rsidR="00C12C1D" w:rsidRPr="0024375B">
        <w:rPr>
          <w:rFonts w:ascii="Times New Roman" w:eastAsia="Times New Roman" w:hAnsi="Times New Roman" w:cs="Times New Roman"/>
        </w:rPr>
        <w:t xml:space="preserve">wydaniem przepustki osobie przeprowadzającej kontrolę, </w:t>
      </w:r>
      <w:r w:rsidR="003507AC" w:rsidRPr="0024375B">
        <w:rPr>
          <w:rFonts w:ascii="Times New Roman" w:eastAsia="Times New Roman" w:hAnsi="Times New Roman" w:cs="Times New Roman"/>
        </w:rPr>
        <w:t>przesądzono</w:t>
      </w:r>
      <w:r w:rsidR="00C12C1D" w:rsidRPr="0024375B">
        <w:rPr>
          <w:rFonts w:ascii="Times New Roman" w:eastAsia="Times New Roman" w:hAnsi="Times New Roman" w:cs="Times New Roman"/>
        </w:rPr>
        <w:t>, że osoba prowadząca czynności kontrolne, legitymująca się odpowiednimi dokumentami upoważniającymi do kontroli, ma prawo do swobodnego wstępu</w:t>
      </w:r>
      <w:r w:rsidR="002161FE">
        <w:rPr>
          <w:rFonts w:ascii="Times New Roman" w:eastAsia="Times New Roman" w:hAnsi="Times New Roman" w:cs="Times New Roman"/>
        </w:rPr>
        <w:t xml:space="preserve"> i </w:t>
      </w:r>
      <w:r w:rsidR="00C12C1D" w:rsidRPr="0024375B">
        <w:rPr>
          <w:rFonts w:ascii="Times New Roman" w:eastAsia="Times New Roman" w:hAnsi="Times New Roman" w:cs="Times New Roman"/>
        </w:rPr>
        <w:t>poruszania się po terenie podmiotu kontrolowanego bez obowiązku uzyskiwania przepustki. Warto zaznaczyć, że uprawnienia wynikające</w:t>
      </w:r>
      <w:r w:rsidR="002161FE">
        <w:rPr>
          <w:rFonts w:ascii="Times New Roman" w:eastAsia="Times New Roman" w:hAnsi="Times New Roman" w:cs="Times New Roman"/>
        </w:rPr>
        <w:t xml:space="preserve"> z</w:t>
      </w:r>
      <w:r w:rsidR="00EA1900">
        <w:rPr>
          <w:rFonts w:ascii="Times New Roman" w:eastAsia="Times New Roman" w:hAnsi="Times New Roman" w:cs="Times New Roman"/>
        </w:rPr>
        <w:t xml:space="preserve"> art. </w:t>
      </w:r>
      <w:r w:rsidR="00C12C1D" w:rsidRPr="0024375B">
        <w:rPr>
          <w:rFonts w:ascii="Times New Roman" w:eastAsia="Times New Roman" w:hAnsi="Times New Roman" w:cs="Times New Roman"/>
        </w:rPr>
        <w:t>55 dotyczą tylko czynności wykonywanych</w:t>
      </w:r>
      <w:r w:rsidR="00EA1900">
        <w:rPr>
          <w:rFonts w:ascii="Times New Roman" w:eastAsia="Times New Roman" w:hAnsi="Times New Roman" w:cs="Times New Roman"/>
        </w:rPr>
        <w:t xml:space="preserve"> w </w:t>
      </w:r>
      <w:r w:rsidR="00C12C1D" w:rsidRPr="0024375B">
        <w:rPr>
          <w:rFonts w:ascii="Times New Roman" w:eastAsia="Times New Roman" w:hAnsi="Times New Roman" w:cs="Times New Roman"/>
        </w:rPr>
        <w:t>celu przeprowadzenia kontroli</w:t>
      </w:r>
      <w:r w:rsidR="00EA1900">
        <w:rPr>
          <w:rFonts w:ascii="Times New Roman" w:eastAsia="Times New Roman" w:hAnsi="Times New Roman" w:cs="Times New Roman"/>
        </w:rPr>
        <w:t xml:space="preserve"> w </w:t>
      </w:r>
      <w:r w:rsidR="00C12C1D" w:rsidRPr="0024375B">
        <w:rPr>
          <w:rFonts w:ascii="Times New Roman" w:eastAsia="Times New Roman" w:hAnsi="Times New Roman" w:cs="Times New Roman"/>
        </w:rPr>
        <w:t>określonym zakresie. Nie jest dopuszczalne, aby korzystać</w:t>
      </w:r>
      <w:r w:rsidR="002161FE">
        <w:rPr>
          <w:rFonts w:ascii="Times New Roman" w:eastAsia="Times New Roman" w:hAnsi="Times New Roman" w:cs="Times New Roman"/>
        </w:rPr>
        <w:t xml:space="preserve"> z </w:t>
      </w:r>
      <w:r w:rsidR="00C12C1D" w:rsidRPr="0024375B">
        <w:rPr>
          <w:rFonts w:ascii="Times New Roman" w:eastAsia="Times New Roman" w:hAnsi="Times New Roman" w:cs="Times New Roman"/>
        </w:rPr>
        <w:t>danych uprawnień rozszerzająco, np. na czynności związane</w:t>
      </w:r>
      <w:r w:rsidR="002161FE">
        <w:rPr>
          <w:rFonts w:ascii="Times New Roman" w:eastAsia="Times New Roman" w:hAnsi="Times New Roman" w:cs="Times New Roman"/>
        </w:rPr>
        <w:t xml:space="preserve"> z </w:t>
      </w:r>
      <w:r w:rsidR="00C12C1D" w:rsidRPr="0024375B">
        <w:rPr>
          <w:rFonts w:ascii="Times New Roman" w:eastAsia="Times New Roman" w:hAnsi="Times New Roman" w:cs="Times New Roman"/>
        </w:rPr>
        <w:t xml:space="preserve">innymi kontrolami. Biorąc pod uwagę zakres działania niektórych przedsiębiorców objętych ustawą (którzy mogą należeć również do infrastruktury krytycznej), konieczne jest zaakcentowanie, że uprawnienia </w:t>
      </w:r>
      <w:r w:rsidR="003507AC" w:rsidRPr="0024375B">
        <w:rPr>
          <w:rFonts w:ascii="Times New Roman" w:eastAsia="Times New Roman" w:hAnsi="Times New Roman" w:cs="Times New Roman"/>
        </w:rPr>
        <w:t xml:space="preserve">te </w:t>
      </w:r>
      <w:r w:rsidR="00C12C1D" w:rsidRPr="0024375B">
        <w:rPr>
          <w:rFonts w:ascii="Times New Roman" w:eastAsia="Times New Roman" w:hAnsi="Times New Roman" w:cs="Times New Roman"/>
        </w:rPr>
        <w:t>nie mogą być nadużywane przez kontrolerów celem dostępu do pomieszczeń czy dokumentów niezwiązanych</w:t>
      </w:r>
      <w:r w:rsidR="002161FE">
        <w:rPr>
          <w:rFonts w:ascii="Times New Roman" w:eastAsia="Times New Roman" w:hAnsi="Times New Roman" w:cs="Times New Roman"/>
        </w:rPr>
        <w:t xml:space="preserve"> z </w:t>
      </w:r>
      <w:r w:rsidR="00C12C1D" w:rsidRPr="0024375B">
        <w:rPr>
          <w:rFonts w:ascii="Times New Roman" w:eastAsia="Times New Roman" w:hAnsi="Times New Roman" w:cs="Times New Roman"/>
        </w:rPr>
        <w:t>zakresem kontroli. Swobodny dostęp jest ograniczony celem</w:t>
      </w:r>
      <w:r w:rsidR="002161FE">
        <w:rPr>
          <w:rFonts w:ascii="Times New Roman" w:eastAsia="Times New Roman" w:hAnsi="Times New Roman" w:cs="Times New Roman"/>
        </w:rPr>
        <w:t xml:space="preserve"> i </w:t>
      </w:r>
      <w:r w:rsidR="00C12C1D" w:rsidRPr="0024375B">
        <w:rPr>
          <w:rFonts w:ascii="Times New Roman" w:eastAsia="Times New Roman" w:hAnsi="Times New Roman" w:cs="Times New Roman"/>
        </w:rPr>
        <w:t>zakresem kontroli.</w:t>
      </w:r>
    </w:p>
    <w:p w14:paraId="22E76C57" w14:textId="0E1400D6" w:rsidR="00C12C1D" w:rsidRPr="0024375B" w:rsidRDefault="00C12C1D" w:rsidP="0024375B">
      <w:pPr>
        <w:spacing w:before="120"/>
        <w:ind w:firstLine="567"/>
        <w:jc w:val="both"/>
        <w:rPr>
          <w:rFonts w:cs="Times New Roman"/>
          <w:szCs w:val="24"/>
        </w:rPr>
      </w:pPr>
      <w:r w:rsidRPr="0024375B">
        <w:rPr>
          <w:rFonts w:cs="Times New Roman"/>
          <w:szCs w:val="24"/>
        </w:rPr>
        <w:t>Art. 57 wskazuje, że osoba prowadząca czynności kontrolne wobec podmiotów będących przedsiębiorcami ustala stan faktyczny na podstawie dowodów zebranych</w:t>
      </w:r>
      <w:r w:rsidR="00EA1900">
        <w:rPr>
          <w:rFonts w:cs="Times New Roman"/>
          <w:szCs w:val="24"/>
        </w:rPr>
        <w:t xml:space="preserve"> w </w:t>
      </w:r>
      <w:r w:rsidRPr="0024375B">
        <w:rPr>
          <w:rFonts w:cs="Times New Roman"/>
          <w:szCs w:val="24"/>
        </w:rPr>
        <w:t>toku kontroli, a</w:t>
      </w:r>
      <w:r w:rsidR="00EA1900">
        <w:rPr>
          <w:rFonts w:cs="Times New Roman"/>
          <w:szCs w:val="24"/>
        </w:rPr>
        <w:t xml:space="preserve"> w </w:t>
      </w:r>
      <w:r w:rsidRPr="0024375B">
        <w:rPr>
          <w:rFonts w:cs="Times New Roman"/>
          <w:szCs w:val="24"/>
        </w:rPr>
        <w:t>szczególności dokumentów, przedmiotów, oględzin oraz ustnych lub pisemnych wyjaśnień</w:t>
      </w:r>
      <w:r w:rsidR="002161FE">
        <w:rPr>
          <w:rFonts w:cs="Times New Roman"/>
          <w:szCs w:val="24"/>
        </w:rPr>
        <w:t xml:space="preserve"> i </w:t>
      </w:r>
      <w:r w:rsidRPr="0024375B">
        <w:rPr>
          <w:rFonts w:cs="Times New Roman"/>
          <w:szCs w:val="24"/>
        </w:rPr>
        <w:t>oświadczeń. Przebieg przeprowadzonej kontroli osoba przeprowadzająca kontrolę ma przedstawić</w:t>
      </w:r>
      <w:r w:rsidR="00EA1900">
        <w:rPr>
          <w:rFonts w:cs="Times New Roman"/>
          <w:szCs w:val="24"/>
        </w:rPr>
        <w:t xml:space="preserve"> w </w:t>
      </w:r>
      <w:r w:rsidRPr="0024375B">
        <w:rPr>
          <w:rFonts w:cs="Times New Roman"/>
          <w:szCs w:val="24"/>
        </w:rPr>
        <w:t>protokole kontroli (art. 58).</w:t>
      </w:r>
      <w:r w:rsidR="00116933">
        <w:rPr>
          <w:rFonts w:cs="Times New Roman"/>
          <w:szCs w:val="24"/>
        </w:rPr>
        <w:t xml:space="preserve"> W </w:t>
      </w:r>
      <w:r w:rsidRPr="0024375B">
        <w:rPr>
          <w:rFonts w:cs="Times New Roman"/>
          <w:szCs w:val="24"/>
        </w:rPr>
        <w:t>sposób szczegółowy opisano także treść protokołu kontroli. Zasadą jest, iż protokół podpisują osoba przeprowadzająca kontrolę oraz osoba reprezentująca podmiot kontrolowany. Podmiot kontrolowany może zgłosić do protokołu pisemne zastrzeżenia, które osoba przeprowadzająca czynności kontrolne jest obowiązana przeanalizować</w:t>
      </w:r>
      <w:r w:rsidR="002161FE">
        <w:rPr>
          <w:rFonts w:cs="Times New Roman"/>
          <w:szCs w:val="24"/>
        </w:rPr>
        <w:t xml:space="preserve"> i </w:t>
      </w:r>
      <w:r w:rsidR="00EA1900">
        <w:rPr>
          <w:rFonts w:cs="Times New Roman"/>
          <w:szCs w:val="24"/>
        </w:rPr>
        <w:t>w </w:t>
      </w:r>
      <w:r w:rsidRPr="0024375B">
        <w:rPr>
          <w:rFonts w:cs="Times New Roman"/>
          <w:szCs w:val="24"/>
        </w:rPr>
        <w:t>razie potrzeby podjąć dodatkowe czynności kontrolne.</w:t>
      </w:r>
      <w:r w:rsidR="00116933">
        <w:rPr>
          <w:rFonts w:cs="Times New Roman"/>
          <w:szCs w:val="24"/>
        </w:rPr>
        <w:t xml:space="preserve"> W </w:t>
      </w:r>
      <w:r w:rsidRPr="0024375B">
        <w:rPr>
          <w:rFonts w:cs="Times New Roman"/>
          <w:szCs w:val="24"/>
        </w:rPr>
        <w:t>przypadku odmowy podpisania protokołu przez podmiot kontrolowany, osoba przeprowadzająca czynności kontrolne czyni</w:t>
      </w:r>
      <w:r w:rsidR="0077165A">
        <w:rPr>
          <w:rFonts w:cs="Times New Roman"/>
          <w:szCs w:val="24"/>
        </w:rPr>
        <w:t xml:space="preserve"> o </w:t>
      </w:r>
      <w:r w:rsidRPr="0024375B">
        <w:rPr>
          <w:rFonts w:cs="Times New Roman"/>
          <w:szCs w:val="24"/>
        </w:rPr>
        <w:t>tym wzmiankę</w:t>
      </w:r>
      <w:r w:rsidR="00EA1900">
        <w:rPr>
          <w:rFonts w:cs="Times New Roman"/>
          <w:szCs w:val="24"/>
        </w:rPr>
        <w:t xml:space="preserve"> w </w:t>
      </w:r>
      <w:r w:rsidRPr="0024375B">
        <w:rPr>
          <w:rFonts w:cs="Times New Roman"/>
          <w:szCs w:val="24"/>
        </w:rPr>
        <w:t xml:space="preserve">protokole. </w:t>
      </w:r>
    </w:p>
    <w:p w14:paraId="23340E5D" w14:textId="77777777" w:rsidR="00C12C1D" w:rsidRPr="0024375B" w:rsidRDefault="00C12C1D" w:rsidP="0024375B">
      <w:pPr>
        <w:spacing w:before="120"/>
        <w:ind w:firstLine="567"/>
        <w:jc w:val="both"/>
        <w:rPr>
          <w:rFonts w:cs="Times New Roman"/>
          <w:szCs w:val="24"/>
        </w:rPr>
      </w:pPr>
      <w:r w:rsidRPr="0024375B">
        <w:rPr>
          <w:rFonts w:cs="Times New Roman"/>
          <w:szCs w:val="24"/>
        </w:rPr>
        <w:t>W</w:t>
      </w:r>
      <w:r w:rsidR="00EA1900">
        <w:rPr>
          <w:rFonts w:cs="Times New Roman"/>
          <w:szCs w:val="24"/>
        </w:rPr>
        <w:t xml:space="preserve"> art. </w:t>
      </w:r>
      <w:r w:rsidRPr="0024375B">
        <w:rPr>
          <w:rFonts w:cs="Times New Roman"/>
          <w:szCs w:val="24"/>
        </w:rPr>
        <w:t>59 wskazano, że jeżeli na podstawie informacji zgromadzonych</w:t>
      </w:r>
      <w:r w:rsidR="00EA1900">
        <w:rPr>
          <w:rFonts w:cs="Times New Roman"/>
          <w:szCs w:val="24"/>
        </w:rPr>
        <w:t xml:space="preserve"> w </w:t>
      </w:r>
      <w:r w:rsidRPr="0024375B">
        <w:rPr>
          <w:rFonts w:cs="Times New Roman"/>
          <w:szCs w:val="24"/>
        </w:rPr>
        <w:t>protokole kontroli, organ właściwy lub minister właściwy do spraw informatyzacji uzna, że mogło dojść do naruszenia przepisów ustawy przez podmiot kontrolowany, przekazuje zalecenia pokontrolne dotyczące usunięcia wskazanych nieprawidłowości. Natomiast podmiot kontrolowany jest obowiązany</w:t>
      </w:r>
      <w:r w:rsidR="00EA1900">
        <w:rPr>
          <w:rFonts w:cs="Times New Roman"/>
          <w:szCs w:val="24"/>
        </w:rPr>
        <w:t xml:space="preserve"> w </w:t>
      </w:r>
      <w:r w:rsidRPr="0024375B">
        <w:rPr>
          <w:rFonts w:cs="Times New Roman"/>
          <w:szCs w:val="24"/>
        </w:rPr>
        <w:t>wyznaczonym terminie, poinformować organ właściwy lub ministra właściwego do spraw informatyzacji</w:t>
      </w:r>
      <w:r w:rsidR="0077165A">
        <w:rPr>
          <w:rFonts w:cs="Times New Roman"/>
          <w:szCs w:val="24"/>
        </w:rPr>
        <w:t xml:space="preserve"> o </w:t>
      </w:r>
      <w:r w:rsidRPr="0024375B">
        <w:rPr>
          <w:rFonts w:cs="Times New Roman"/>
          <w:szCs w:val="24"/>
        </w:rPr>
        <w:t>sposobie wykonania zaleceń. Wskazana powyżej regulacja jest istotna</w:t>
      </w:r>
      <w:r w:rsidR="002161FE">
        <w:rPr>
          <w:rFonts w:cs="Times New Roman"/>
          <w:szCs w:val="24"/>
        </w:rPr>
        <w:t xml:space="preserve"> z </w:t>
      </w:r>
      <w:r w:rsidRPr="0024375B">
        <w:rPr>
          <w:rFonts w:cs="Times New Roman"/>
          <w:szCs w:val="24"/>
        </w:rPr>
        <w:t>punktu widzenia regulacji zawartych</w:t>
      </w:r>
      <w:r w:rsidR="00EA1900">
        <w:rPr>
          <w:rFonts w:cs="Times New Roman"/>
          <w:szCs w:val="24"/>
        </w:rPr>
        <w:t xml:space="preserve"> w </w:t>
      </w:r>
      <w:r w:rsidRPr="0024375B">
        <w:rPr>
          <w:rFonts w:cs="Times New Roman"/>
          <w:szCs w:val="24"/>
        </w:rPr>
        <w:t>rozdziale 14 dotyczących nakładania administracyjnych kar pieniężnych. Pozwala bowiem podmiotowi kontrolowanemu na usunięcie wskazanych</w:t>
      </w:r>
      <w:r w:rsidR="00EA1900">
        <w:rPr>
          <w:rFonts w:cs="Times New Roman"/>
          <w:szCs w:val="24"/>
        </w:rPr>
        <w:t xml:space="preserve"> w </w:t>
      </w:r>
      <w:r w:rsidRPr="0024375B">
        <w:rPr>
          <w:rFonts w:cs="Times New Roman"/>
          <w:szCs w:val="24"/>
        </w:rPr>
        <w:t>protokole kontroli naruszeń, co</w:t>
      </w:r>
      <w:r w:rsidR="002161FE">
        <w:rPr>
          <w:rFonts w:cs="Times New Roman"/>
          <w:szCs w:val="24"/>
        </w:rPr>
        <w:t xml:space="preserve"> z </w:t>
      </w:r>
      <w:r w:rsidRPr="0024375B">
        <w:rPr>
          <w:rFonts w:cs="Times New Roman"/>
          <w:szCs w:val="24"/>
        </w:rPr>
        <w:t>kolei może pozwolić mu na uniknięcie nałożenia kary pieniężnej. Zgodnie</w:t>
      </w:r>
      <w:r w:rsidR="002161FE">
        <w:rPr>
          <w:rFonts w:cs="Times New Roman"/>
          <w:szCs w:val="24"/>
        </w:rPr>
        <w:t xml:space="preserve"> z </w:t>
      </w:r>
      <w:r w:rsidRPr="0024375B">
        <w:rPr>
          <w:rFonts w:cs="Times New Roman"/>
          <w:szCs w:val="24"/>
        </w:rPr>
        <w:t>obowiązującymi regulacjami</w:t>
      </w:r>
      <w:r w:rsidR="00EA1900">
        <w:rPr>
          <w:rFonts w:cs="Times New Roman"/>
          <w:szCs w:val="24"/>
        </w:rPr>
        <w:t xml:space="preserve"> w </w:t>
      </w:r>
      <w:r w:rsidRPr="0024375B">
        <w:rPr>
          <w:rFonts w:cs="Times New Roman"/>
          <w:szCs w:val="24"/>
        </w:rPr>
        <w:t>podobnych dziedzinach, od zaleceń pokontrolnych nie przysługują środki odwoławcze</w:t>
      </w:r>
      <w:r w:rsidR="003507AC" w:rsidRPr="0024375B">
        <w:rPr>
          <w:rFonts w:cs="Times New Roman"/>
          <w:szCs w:val="24"/>
        </w:rPr>
        <w:t xml:space="preserve">, natomiast </w:t>
      </w:r>
      <w:r w:rsidRPr="0024375B">
        <w:rPr>
          <w:rFonts w:cs="Times New Roman"/>
          <w:szCs w:val="24"/>
        </w:rPr>
        <w:t>wymierzanie kar pieniężnych będzie się odbywać</w:t>
      </w:r>
      <w:r w:rsidR="00EA1900">
        <w:rPr>
          <w:rFonts w:cs="Times New Roman"/>
          <w:szCs w:val="24"/>
        </w:rPr>
        <w:t xml:space="preserve"> w </w:t>
      </w:r>
      <w:r w:rsidRPr="0024375B">
        <w:rPr>
          <w:rFonts w:cs="Times New Roman"/>
          <w:szCs w:val="24"/>
        </w:rPr>
        <w:t xml:space="preserve">drodze postępowania administracyjnego, na zasadach ogólnych (z możliwością </w:t>
      </w:r>
      <w:r w:rsidR="00865337" w:rsidRPr="0024375B">
        <w:rPr>
          <w:rFonts w:cs="Times New Roman"/>
          <w:szCs w:val="24"/>
        </w:rPr>
        <w:t>zaskarżenia</w:t>
      </w:r>
      <w:r w:rsidR="00EA1900">
        <w:rPr>
          <w:rFonts w:cs="Times New Roman"/>
          <w:szCs w:val="24"/>
        </w:rPr>
        <w:t xml:space="preserve"> w </w:t>
      </w:r>
      <w:r w:rsidR="00865337" w:rsidRPr="0024375B">
        <w:rPr>
          <w:rFonts w:cs="Times New Roman"/>
          <w:szCs w:val="24"/>
        </w:rPr>
        <w:t>toku administracyjnym</w:t>
      </w:r>
      <w:r w:rsidR="002161FE">
        <w:rPr>
          <w:rFonts w:cs="Times New Roman"/>
          <w:szCs w:val="24"/>
        </w:rPr>
        <w:t xml:space="preserve"> </w:t>
      </w:r>
      <w:r w:rsidR="002161FE">
        <w:rPr>
          <w:rFonts w:cs="Times New Roman"/>
          <w:szCs w:val="24"/>
        </w:rPr>
        <w:lastRenderedPageBreak/>
        <w:t>i </w:t>
      </w:r>
      <w:r w:rsidR="00865337" w:rsidRPr="0024375B">
        <w:rPr>
          <w:rFonts w:cs="Times New Roman"/>
          <w:szCs w:val="24"/>
        </w:rPr>
        <w:t>sądowym</w:t>
      </w:r>
      <w:r w:rsidRPr="0024375B">
        <w:rPr>
          <w:rFonts w:cs="Times New Roman"/>
          <w:szCs w:val="24"/>
        </w:rPr>
        <w:t>).</w:t>
      </w:r>
    </w:p>
    <w:p w14:paraId="1F17C793" w14:textId="77777777" w:rsidR="0052339B" w:rsidRPr="0024375B" w:rsidRDefault="0052339B" w:rsidP="00DC1575">
      <w:pPr>
        <w:pStyle w:val="Nagwek4"/>
      </w:pPr>
      <w:r w:rsidRPr="0024375B">
        <w:t>Nowy</w:t>
      </w:r>
      <w:r w:rsidR="00EA1900">
        <w:t xml:space="preserve"> art. </w:t>
      </w:r>
      <w:r w:rsidRPr="0024375B">
        <w:t>59</w:t>
      </w:r>
      <w:r w:rsidR="00B07BA8">
        <w:t>z</w:t>
      </w:r>
      <w:r w:rsidR="007361CA">
        <w:t>a</w:t>
      </w:r>
    </w:p>
    <w:p w14:paraId="6E50184F" w14:textId="77777777" w:rsidR="00507D52" w:rsidRDefault="0052339B" w:rsidP="0024375B">
      <w:pPr>
        <w:spacing w:before="120"/>
        <w:ind w:firstLine="567"/>
        <w:jc w:val="both"/>
        <w:rPr>
          <w:rFonts w:cs="Times New Roman"/>
        </w:rPr>
      </w:pPr>
      <w:r w:rsidRPr="0024375B">
        <w:rPr>
          <w:rFonts w:cs="Times New Roman"/>
        </w:rPr>
        <w:t xml:space="preserve"> </w:t>
      </w:r>
      <w:r w:rsidR="00507D52" w:rsidRPr="0024375B">
        <w:rPr>
          <w:rFonts w:cs="Times New Roman"/>
        </w:rPr>
        <w:t>Ponadto, dla zapewnienia realnej kontroli, nad jakością produktów, które otrzymały certyfikaty, minister właściwy do spraw informatyzacji został wyposażony</w:t>
      </w:r>
      <w:r w:rsidR="00EA1900">
        <w:rPr>
          <w:rFonts w:cs="Times New Roman"/>
        </w:rPr>
        <w:t xml:space="preserve"> w </w:t>
      </w:r>
      <w:r w:rsidR="00507D52" w:rsidRPr="0024375B">
        <w:rPr>
          <w:rFonts w:cs="Times New Roman"/>
        </w:rPr>
        <w:t>uprawnienia do przeprowadzania badań produktów (art. 59</w:t>
      </w:r>
      <w:r w:rsidR="00B07BA8">
        <w:rPr>
          <w:rFonts w:cs="Times New Roman"/>
        </w:rPr>
        <w:t>z</w:t>
      </w:r>
      <w:r w:rsidR="00507D52" w:rsidRPr="0024375B">
        <w:rPr>
          <w:rFonts w:cs="Times New Roman"/>
        </w:rPr>
        <w:t>).</w:t>
      </w:r>
      <w:r w:rsidR="00116933">
        <w:rPr>
          <w:rFonts w:cs="Times New Roman"/>
        </w:rPr>
        <w:t xml:space="preserve"> W </w:t>
      </w:r>
      <w:r w:rsidR="00507D52" w:rsidRPr="0024375B">
        <w:rPr>
          <w:rFonts w:cs="Times New Roman"/>
        </w:rPr>
        <w:t>zakresie analizy technicznej produktów będzie mógł zwrócić się do nadzorowanych przez siebie instytutów badawczych</w:t>
      </w:r>
      <w:r w:rsidR="0077165A">
        <w:rPr>
          <w:rFonts w:cs="Times New Roman"/>
        </w:rPr>
        <w:t xml:space="preserve"> o </w:t>
      </w:r>
      <w:r w:rsidR="00507D52" w:rsidRPr="0024375B">
        <w:rPr>
          <w:rFonts w:cs="Times New Roman"/>
        </w:rPr>
        <w:t>wykonanie określonych czynności. Tego typu uprawnienie jest niezbędne dla zapewnieni</w:t>
      </w:r>
      <w:r w:rsidR="29EBAE17" w:rsidRPr="0024375B">
        <w:rPr>
          <w:rFonts w:cs="Times New Roman"/>
        </w:rPr>
        <w:t>a</w:t>
      </w:r>
      <w:r w:rsidR="00507D52" w:rsidRPr="0024375B">
        <w:rPr>
          <w:rFonts w:cs="Times New Roman"/>
        </w:rPr>
        <w:t xml:space="preserve"> realnego nadzoru nad jakością produktów na rynku.</w:t>
      </w:r>
    </w:p>
    <w:p w14:paraId="11C17A99" w14:textId="77777777" w:rsidR="00C11091" w:rsidRDefault="00C11091" w:rsidP="00DC1575">
      <w:pPr>
        <w:pStyle w:val="Nagwek4"/>
      </w:pPr>
      <w:r>
        <w:t>Nowy art. 59z</w:t>
      </w:r>
      <w:r w:rsidR="007361CA">
        <w:t>b</w:t>
      </w:r>
    </w:p>
    <w:p w14:paraId="468908A3" w14:textId="28DF3579" w:rsidR="00B07BA8" w:rsidRDefault="00B07BA8" w:rsidP="0024375B">
      <w:pPr>
        <w:spacing w:before="120"/>
        <w:ind w:firstLine="567"/>
        <w:jc w:val="both"/>
        <w:rPr>
          <w:rFonts w:cs="Times New Roman"/>
        </w:rPr>
      </w:pPr>
      <w:r>
        <w:rPr>
          <w:rFonts w:cs="Times New Roman"/>
        </w:rPr>
        <w:t>Art. 59z</w:t>
      </w:r>
      <w:r w:rsidR="007361CA">
        <w:rPr>
          <w:rFonts w:cs="Times New Roman"/>
        </w:rPr>
        <w:t>b</w:t>
      </w:r>
      <w:r>
        <w:rPr>
          <w:rFonts w:cs="Times New Roman"/>
        </w:rPr>
        <w:t xml:space="preserve"> określa procedurę przeprowadzania badań produktów</w:t>
      </w:r>
      <w:r w:rsidR="000246F7">
        <w:rPr>
          <w:rFonts w:cs="Times New Roman"/>
        </w:rPr>
        <w:t>,</w:t>
      </w:r>
      <w:r>
        <w:rPr>
          <w:rFonts w:cs="Times New Roman"/>
        </w:rPr>
        <w:t xml:space="preserve"> o których mowa w art. 59z oraz konsekwencje wykrycia, że produkt nie spełnia wymagań określonych w odpowiednim programie certyfikacji. </w:t>
      </w:r>
      <w:r w:rsidR="007361CA">
        <w:rPr>
          <w:rFonts w:cs="Times New Roman"/>
        </w:rPr>
        <w:t xml:space="preserve">Przepisy te precyzują kwestie takie jak protokół z pobrania próbki oraz określają kto ponosi koszt przeprowadzanych badań. </w:t>
      </w:r>
    </w:p>
    <w:p w14:paraId="121D32E1" w14:textId="77777777" w:rsidR="00C11091" w:rsidRPr="00FC6B8C" w:rsidRDefault="00C11091" w:rsidP="00DC1575">
      <w:pPr>
        <w:pStyle w:val="Nagwek4"/>
      </w:pPr>
      <w:r>
        <w:t>Nowy art. 59z</w:t>
      </w:r>
      <w:r w:rsidR="007361CA">
        <w:t>c</w:t>
      </w:r>
    </w:p>
    <w:p w14:paraId="0535972B" w14:textId="768F83A3" w:rsidR="009A47DD" w:rsidRPr="0024375B" w:rsidRDefault="009A47DD" w:rsidP="0024375B">
      <w:pPr>
        <w:spacing w:before="120"/>
        <w:ind w:firstLine="567"/>
        <w:jc w:val="both"/>
        <w:rPr>
          <w:rFonts w:cs="Times New Roman"/>
        </w:rPr>
      </w:pPr>
      <w:r w:rsidRPr="0024375B">
        <w:rPr>
          <w:rFonts w:cs="Times New Roman"/>
        </w:rPr>
        <w:t>Art. 59z</w:t>
      </w:r>
      <w:r w:rsidR="007361CA">
        <w:rPr>
          <w:rFonts w:cs="Times New Roman"/>
        </w:rPr>
        <w:t>c</w:t>
      </w:r>
      <w:r w:rsidRPr="0024375B">
        <w:rPr>
          <w:rFonts w:cs="Times New Roman"/>
        </w:rPr>
        <w:t xml:space="preserve"> określa uprawnienia ministra właściwego do spraw informatyzacji</w:t>
      </w:r>
      <w:r w:rsidR="00EA1900">
        <w:rPr>
          <w:rFonts w:cs="Times New Roman"/>
        </w:rPr>
        <w:t xml:space="preserve"> w </w:t>
      </w:r>
      <w:r w:rsidRPr="0024375B">
        <w:rPr>
          <w:rFonts w:cs="Times New Roman"/>
        </w:rPr>
        <w:t>przypadku</w:t>
      </w:r>
      <w:r w:rsidR="000246F7">
        <w:rPr>
          <w:rFonts w:cs="Times New Roman"/>
        </w:rPr>
        <w:t>,</w:t>
      </w:r>
      <w:r w:rsidRPr="0024375B">
        <w:rPr>
          <w:rFonts w:cs="Times New Roman"/>
        </w:rPr>
        <w:t xml:space="preserve"> gdy okaże się, że określony produkt ICT, usługa ICT lub proces ICT nie spełnia wymogów.</w:t>
      </w:r>
      <w:r w:rsidR="00116933">
        <w:rPr>
          <w:rFonts w:cs="Times New Roman"/>
        </w:rPr>
        <w:t xml:space="preserve"> W </w:t>
      </w:r>
      <w:r w:rsidRPr="0024375B">
        <w:rPr>
          <w:rFonts w:cs="Times New Roman"/>
        </w:rPr>
        <w:t>szczególności może on cofnąć certyfikat</w:t>
      </w:r>
      <w:r w:rsidR="000246F7">
        <w:rPr>
          <w:rFonts w:cs="Times New Roman"/>
        </w:rPr>
        <w:t>,</w:t>
      </w:r>
      <w:r w:rsidRPr="0024375B">
        <w:rPr>
          <w:rFonts w:cs="Times New Roman"/>
        </w:rPr>
        <w:t xml:space="preserve"> jeśli tak przewiduje właściwy europejski program certyfikacyjny.</w:t>
      </w:r>
    </w:p>
    <w:p w14:paraId="73F4ED49" w14:textId="77777777" w:rsidR="00C11091" w:rsidRPr="00FC6B8C" w:rsidRDefault="00C11091" w:rsidP="00DC1575">
      <w:pPr>
        <w:pStyle w:val="Nagwek4"/>
      </w:pPr>
      <w:r>
        <w:t>Nowy art. 59zd</w:t>
      </w:r>
    </w:p>
    <w:p w14:paraId="16401138" w14:textId="7ABA06E3" w:rsidR="00654ECC" w:rsidRPr="0024375B" w:rsidRDefault="00654ECC"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Projektowany</w:t>
      </w:r>
      <w:r w:rsidR="00EA1900">
        <w:rPr>
          <w:rFonts w:ascii="Times New Roman" w:hAnsi="Times New Roman" w:cs="Times New Roman"/>
        </w:rPr>
        <w:t xml:space="preserve"> art. </w:t>
      </w:r>
      <w:r w:rsidRPr="0024375B">
        <w:rPr>
          <w:rFonts w:ascii="Times New Roman" w:hAnsi="Times New Roman" w:cs="Times New Roman"/>
        </w:rPr>
        <w:t>59z</w:t>
      </w:r>
      <w:r w:rsidR="00B07BA8">
        <w:rPr>
          <w:rFonts w:ascii="Times New Roman" w:hAnsi="Times New Roman" w:cs="Times New Roman"/>
        </w:rPr>
        <w:t>d</w:t>
      </w:r>
      <w:r w:rsidRPr="0024375B">
        <w:rPr>
          <w:rFonts w:ascii="Times New Roman" w:hAnsi="Times New Roman" w:cs="Times New Roman"/>
        </w:rPr>
        <w:t xml:space="preserve"> wskazuje, że minister właściwy do spraw informatyzacji jest też organem właściwym do rozpatrywania skarg na unijne</w:t>
      </w:r>
      <w:r w:rsidR="002161FE">
        <w:rPr>
          <w:rFonts w:ascii="Times New Roman" w:hAnsi="Times New Roman" w:cs="Times New Roman"/>
        </w:rPr>
        <w:t xml:space="preserve"> i </w:t>
      </w:r>
      <w:r w:rsidRPr="0024375B">
        <w:rPr>
          <w:rFonts w:ascii="Times New Roman" w:hAnsi="Times New Roman" w:cs="Times New Roman"/>
        </w:rPr>
        <w:t>krajowe deklaracje zgodności dotyczące cyberbezpieczeństwa. Takie skargi umożliwią ministrowi wszczęcie postępowań kontrolnych</w:t>
      </w:r>
      <w:r w:rsidR="00EA1900">
        <w:rPr>
          <w:rFonts w:ascii="Times New Roman" w:hAnsi="Times New Roman" w:cs="Times New Roman"/>
        </w:rPr>
        <w:t xml:space="preserve"> w </w:t>
      </w:r>
      <w:r w:rsidRPr="0024375B">
        <w:rPr>
          <w:rFonts w:ascii="Times New Roman" w:hAnsi="Times New Roman" w:cs="Times New Roman"/>
        </w:rPr>
        <w:t>przypadku uzasadnionych podejrzeń, że produkt</w:t>
      </w:r>
      <w:r w:rsidR="000246F7">
        <w:rPr>
          <w:rFonts w:ascii="Times New Roman" w:hAnsi="Times New Roman" w:cs="Times New Roman"/>
        </w:rPr>
        <w:t>,</w:t>
      </w:r>
      <w:r w:rsidRPr="0024375B">
        <w:rPr>
          <w:rFonts w:ascii="Times New Roman" w:hAnsi="Times New Roman" w:cs="Times New Roman"/>
        </w:rPr>
        <w:t xml:space="preserve"> dla którego wystawiono deklarację zgodności nie spełnia wymagań określonych</w:t>
      </w:r>
      <w:r w:rsidR="00EA1900">
        <w:rPr>
          <w:rFonts w:ascii="Times New Roman" w:hAnsi="Times New Roman" w:cs="Times New Roman"/>
        </w:rPr>
        <w:t xml:space="preserve"> w </w:t>
      </w:r>
      <w:r w:rsidRPr="0024375B">
        <w:rPr>
          <w:rFonts w:ascii="Times New Roman" w:hAnsi="Times New Roman" w:cs="Times New Roman"/>
        </w:rPr>
        <w:t>programie certyfikacji. To uprawnienie dla ministra wynika wprost</w:t>
      </w:r>
      <w:r w:rsidR="002161FE">
        <w:rPr>
          <w:rFonts w:ascii="Times New Roman" w:hAnsi="Times New Roman" w:cs="Times New Roman"/>
        </w:rPr>
        <w:t xml:space="preserve"> z </w:t>
      </w:r>
      <w:r w:rsidRPr="0024375B">
        <w:rPr>
          <w:rFonts w:ascii="Times New Roman" w:hAnsi="Times New Roman" w:cs="Times New Roman"/>
        </w:rPr>
        <w:t xml:space="preserve">przepisów </w:t>
      </w:r>
      <w:r w:rsidR="00681336" w:rsidRPr="0024375B">
        <w:rPr>
          <w:rFonts w:ascii="Times New Roman" w:hAnsi="Times New Roman" w:cs="Times New Roman"/>
        </w:rPr>
        <w:t>A</w:t>
      </w:r>
      <w:r w:rsidRPr="0024375B">
        <w:rPr>
          <w:rFonts w:ascii="Times New Roman" w:hAnsi="Times New Roman" w:cs="Times New Roman"/>
        </w:rPr>
        <w:t>ktu</w:t>
      </w:r>
      <w:r w:rsidR="0077165A">
        <w:rPr>
          <w:rFonts w:ascii="Times New Roman" w:hAnsi="Times New Roman" w:cs="Times New Roman"/>
        </w:rPr>
        <w:t xml:space="preserve"> o </w:t>
      </w:r>
      <w:r w:rsidRPr="0024375B">
        <w:rPr>
          <w:rFonts w:ascii="Times New Roman" w:hAnsi="Times New Roman" w:cs="Times New Roman"/>
        </w:rPr>
        <w:t xml:space="preserve">cyberbezpieczeństwie. </w:t>
      </w:r>
    </w:p>
    <w:p w14:paraId="32E14306" w14:textId="77777777" w:rsidR="00507D52" w:rsidRPr="0024375B" w:rsidRDefault="00507D52" w:rsidP="0024375B">
      <w:pPr>
        <w:pStyle w:val="ARTartustawynprozporzdzenia"/>
      </w:pPr>
      <w:r w:rsidRPr="0024375B">
        <w:t>Należy zauważyć, że przepisy dotyczące skarg tworzą tylko ogólne ramy dla rozpatrywania skarg. Szczegółowo kwestie te będą regulowane</w:t>
      </w:r>
      <w:r w:rsidR="00EA1900">
        <w:t xml:space="preserve"> w </w:t>
      </w:r>
      <w:r w:rsidRPr="0024375B">
        <w:t xml:space="preserve">aktach implementujących wydawanych przez Komisję dla poszczególnych programów certyfikacyjnych. </w:t>
      </w:r>
      <w:r w:rsidR="006131B0" w:rsidRPr="0024375B">
        <w:t>Należy podkreślić, że będą one odrębnie określane dla każdego kolejnego programu co sprawia, że konieczne jest pozostawienie wielu kwestii nieuregulowanych</w:t>
      </w:r>
      <w:r w:rsidR="00EA1900">
        <w:t xml:space="preserve"> w </w:t>
      </w:r>
      <w:r w:rsidR="006131B0" w:rsidRPr="0024375B">
        <w:t xml:space="preserve">przepisach krajowych. </w:t>
      </w:r>
    </w:p>
    <w:p w14:paraId="06D50112" w14:textId="77777777" w:rsidR="008D7E1E" w:rsidRPr="0024375B" w:rsidRDefault="00654ECC"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Skargi składane do ministra właściwego do spraw informatyzacji rozpatrywane będą zgodnie</w:t>
      </w:r>
      <w:r w:rsidR="002161FE">
        <w:rPr>
          <w:rFonts w:ascii="Times New Roman" w:hAnsi="Times New Roman" w:cs="Times New Roman"/>
        </w:rPr>
        <w:t xml:space="preserve"> z </w:t>
      </w:r>
      <w:r w:rsidRPr="0024375B">
        <w:rPr>
          <w:rFonts w:ascii="Times New Roman" w:hAnsi="Times New Roman" w:cs="Times New Roman"/>
        </w:rPr>
        <w:t xml:space="preserve">przepisami </w:t>
      </w:r>
      <w:r w:rsidR="00145D1E" w:rsidRPr="0024375B">
        <w:rPr>
          <w:rFonts w:ascii="Times New Roman" w:hAnsi="Times New Roman" w:cs="Times New Roman"/>
        </w:rPr>
        <w:t>K</w:t>
      </w:r>
      <w:r w:rsidRPr="0024375B">
        <w:rPr>
          <w:rFonts w:ascii="Times New Roman" w:hAnsi="Times New Roman" w:cs="Times New Roman"/>
        </w:rPr>
        <w:t>odeksu postępowania administracyjnego. Ze względu na to, że będą one dotyczyły jednostek niezależnych od ministra wskazano, że przepisy te będą stosowane odpowiednio.</w:t>
      </w:r>
    </w:p>
    <w:p w14:paraId="3496B262" w14:textId="77777777" w:rsidR="00983C3C" w:rsidRPr="0024375B" w:rsidRDefault="121AA7F3" w:rsidP="00862E68">
      <w:pPr>
        <w:pStyle w:val="Nagwek3"/>
      </w:pPr>
      <w:bookmarkStart w:id="33" w:name="_Toc136511055"/>
      <w:r w:rsidRPr="0024375B">
        <w:lastRenderedPageBreak/>
        <w:t>Rekomendacje Pełnomocnika. Now</w:t>
      </w:r>
      <w:r w:rsidR="4D8FEAA0" w:rsidRPr="0024375B">
        <w:t>i</w:t>
      </w:r>
      <w:r w:rsidR="27D92F41" w:rsidRPr="0024375B">
        <w:t xml:space="preserve"> członkowie oraz</w:t>
      </w:r>
      <w:r w:rsidRPr="0024375B">
        <w:t xml:space="preserve"> zadania Kolegium</w:t>
      </w:r>
      <w:bookmarkEnd w:id="33"/>
    </w:p>
    <w:p w14:paraId="14461ED7" w14:textId="77777777" w:rsidR="00565181" w:rsidRPr="0024375B" w:rsidRDefault="00565181" w:rsidP="00DC1575">
      <w:pPr>
        <w:pStyle w:val="Nagwek4"/>
      </w:pPr>
      <w:r w:rsidRPr="0024375B">
        <w:t>Nowy</w:t>
      </w:r>
      <w:r w:rsidR="00EA1900">
        <w:t xml:space="preserve"> art. </w:t>
      </w:r>
      <w:r w:rsidRPr="0024375B">
        <w:t>62a</w:t>
      </w:r>
    </w:p>
    <w:p w14:paraId="6119CB49" w14:textId="77777777" w:rsidR="00565181" w:rsidRPr="0024375B" w:rsidRDefault="00CA523C"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Nowy a</w:t>
      </w:r>
      <w:r w:rsidR="00F6749E" w:rsidRPr="0024375B">
        <w:rPr>
          <w:rFonts w:ascii="Times New Roman" w:hAnsi="Times New Roman" w:cs="Times New Roman"/>
        </w:rPr>
        <w:t>rtykuł 62</w:t>
      </w:r>
      <w:r w:rsidR="008D6C51" w:rsidRPr="0024375B">
        <w:rPr>
          <w:rFonts w:ascii="Times New Roman" w:hAnsi="Times New Roman" w:cs="Times New Roman"/>
        </w:rPr>
        <w:t>a</w:t>
      </w:r>
      <w:r w:rsidR="00F6749E" w:rsidRPr="0024375B">
        <w:rPr>
          <w:rFonts w:ascii="Times New Roman" w:hAnsi="Times New Roman" w:cs="Times New Roman"/>
        </w:rPr>
        <w:t xml:space="preserve"> umożliwi wydawanie przez Pełnomocnika rekomendacji określających środki techniczne</w:t>
      </w:r>
      <w:r w:rsidR="002161FE">
        <w:rPr>
          <w:rFonts w:ascii="Times New Roman" w:hAnsi="Times New Roman" w:cs="Times New Roman"/>
        </w:rPr>
        <w:t xml:space="preserve"> i </w:t>
      </w:r>
      <w:r w:rsidR="00F6749E" w:rsidRPr="0024375B">
        <w:rPr>
          <w:rFonts w:ascii="Times New Roman" w:hAnsi="Times New Roman" w:cs="Times New Roman"/>
        </w:rPr>
        <w:t>organizacyjne stosowane</w:t>
      </w:r>
      <w:r w:rsidR="00EA1900">
        <w:rPr>
          <w:rFonts w:ascii="Times New Roman" w:hAnsi="Times New Roman" w:cs="Times New Roman"/>
        </w:rPr>
        <w:t xml:space="preserve"> w </w:t>
      </w:r>
      <w:r w:rsidR="00F6749E" w:rsidRPr="0024375B">
        <w:rPr>
          <w:rFonts w:ascii="Times New Roman" w:hAnsi="Times New Roman" w:cs="Times New Roman"/>
        </w:rPr>
        <w:t>celu zwiększ</w:t>
      </w:r>
      <w:r w:rsidR="00C842D6" w:rsidRPr="0024375B">
        <w:rPr>
          <w:rFonts w:ascii="Times New Roman" w:hAnsi="Times New Roman" w:cs="Times New Roman"/>
        </w:rPr>
        <w:t>e</w:t>
      </w:r>
      <w:r w:rsidR="00F6749E" w:rsidRPr="0024375B">
        <w:rPr>
          <w:rFonts w:ascii="Times New Roman" w:hAnsi="Times New Roman" w:cs="Times New Roman"/>
        </w:rPr>
        <w:t xml:space="preserve">nia bezpieczeństwa systemów informacyjnych podmiotów krajowego systemu cyberbezpieczeństwa. </w:t>
      </w:r>
      <w:r w:rsidR="00C842D6" w:rsidRPr="0024375B">
        <w:rPr>
          <w:rFonts w:ascii="Times New Roman" w:hAnsi="Times New Roman" w:cs="Times New Roman"/>
        </w:rPr>
        <w:t>Ten dokument będzie</w:t>
      </w:r>
      <w:r w:rsidR="00F6749E" w:rsidRPr="0024375B">
        <w:rPr>
          <w:rFonts w:ascii="Times New Roman" w:hAnsi="Times New Roman" w:cs="Times New Roman"/>
        </w:rPr>
        <w:t xml:space="preserve"> publikowan</w:t>
      </w:r>
      <w:r w:rsidR="00C842D6" w:rsidRPr="0024375B">
        <w:rPr>
          <w:rFonts w:ascii="Times New Roman" w:hAnsi="Times New Roman" w:cs="Times New Roman"/>
        </w:rPr>
        <w:t>y</w:t>
      </w:r>
      <w:r w:rsidR="00F6749E" w:rsidRPr="0024375B">
        <w:rPr>
          <w:rFonts w:ascii="Times New Roman" w:hAnsi="Times New Roman" w:cs="Times New Roman"/>
        </w:rPr>
        <w:t xml:space="preserve"> na stronie </w:t>
      </w:r>
      <w:r w:rsidR="002035A6" w:rsidRPr="0024375B">
        <w:rPr>
          <w:rFonts w:ascii="Times New Roman" w:hAnsi="Times New Roman" w:cs="Times New Roman"/>
        </w:rPr>
        <w:t>podmiotowej</w:t>
      </w:r>
      <w:r w:rsidR="00FD7CAA" w:rsidRPr="0024375B">
        <w:rPr>
          <w:rFonts w:ascii="Times New Roman" w:hAnsi="Times New Roman" w:cs="Times New Roman"/>
        </w:rPr>
        <w:t xml:space="preserve"> Pełnomocnika</w:t>
      </w:r>
      <w:r w:rsidR="00EA1900">
        <w:rPr>
          <w:rFonts w:ascii="Times New Roman" w:hAnsi="Times New Roman" w:cs="Times New Roman"/>
        </w:rPr>
        <w:t xml:space="preserve"> w </w:t>
      </w:r>
      <w:r w:rsidR="002035A6" w:rsidRPr="0024375B">
        <w:rPr>
          <w:rFonts w:ascii="Times New Roman" w:hAnsi="Times New Roman" w:cs="Times New Roman"/>
        </w:rPr>
        <w:t>Biuletynie Informacji Publicznej.</w:t>
      </w:r>
      <w:r w:rsidR="00116933">
        <w:rPr>
          <w:rFonts w:ascii="Times New Roman" w:hAnsi="Times New Roman" w:cs="Times New Roman"/>
        </w:rPr>
        <w:t xml:space="preserve"> W </w:t>
      </w:r>
      <w:r w:rsidR="00F6749E" w:rsidRPr="0024375B">
        <w:rPr>
          <w:rFonts w:ascii="Times New Roman" w:hAnsi="Times New Roman" w:cs="Times New Roman"/>
        </w:rPr>
        <w:t>takiej formie będą mogły być wydawane Narodowe Standardy Cyberbezpieczeństwa,</w:t>
      </w:r>
      <w:r w:rsidR="0077165A">
        <w:rPr>
          <w:rFonts w:ascii="Times New Roman" w:hAnsi="Times New Roman" w:cs="Times New Roman"/>
        </w:rPr>
        <w:t xml:space="preserve"> o </w:t>
      </w:r>
      <w:r w:rsidR="00F6749E" w:rsidRPr="0024375B">
        <w:rPr>
          <w:rFonts w:ascii="Times New Roman" w:hAnsi="Times New Roman" w:cs="Times New Roman"/>
        </w:rPr>
        <w:t>których mowa</w:t>
      </w:r>
      <w:r w:rsidR="00EA1900">
        <w:rPr>
          <w:rFonts w:ascii="Times New Roman" w:hAnsi="Times New Roman" w:cs="Times New Roman"/>
        </w:rPr>
        <w:t xml:space="preserve"> w </w:t>
      </w:r>
      <w:r w:rsidR="00F6749E" w:rsidRPr="0024375B">
        <w:rPr>
          <w:rFonts w:ascii="Times New Roman" w:hAnsi="Times New Roman" w:cs="Times New Roman"/>
        </w:rPr>
        <w:t>Strategii Cyberbezpieczeństwa Rzeczpospolitej Polskiej</w:t>
      </w:r>
      <w:r w:rsidR="00841F40" w:rsidRPr="0024375B">
        <w:rPr>
          <w:rFonts w:ascii="Times New Roman" w:hAnsi="Times New Roman" w:cs="Times New Roman"/>
        </w:rPr>
        <w:t>,</w:t>
      </w:r>
      <w:r w:rsidR="002161FE">
        <w:rPr>
          <w:rFonts w:ascii="Times New Roman" w:hAnsi="Times New Roman" w:cs="Times New Roman"/>
        </w:rPr>
        <w:t xml:space="preserve"> a </w:t>
      </w:r>
      <w:r w:rsidR="00F6749E" w:rsidRPr="0024375B">
        <w:rPr>
          <w:rFonts w:ascii="Times New Roman" w:hAnsi="Times New Roman" w:cs="Times New Roman"/>
        </w:rPr>
        <w:t>także inne zbiory dobrych praktyk.</w:t>
      </w:r>
      <w:r w:rsidR="008C7851" w:rsidRPr="0024375B">
        <w:rPr>
          <w:rFonts w:ascii="Times New Roman" w:hAnsi="Times New Roman" w:cs="Times New Roman"/>
        </w:rPr>
        <w:t xml:space="preserve"> Podkreślić należy, że</w:t>
      </w:r>
      <w:r w:rsidR="00F6749E" w:rsidRPr="0024375B">
        <w:rPr>
          <w:rFonts w:ascii="Times New Roman" w:hAnsi="Times New Roman" w:cs="Times New Roman"/>
        </w:rPr>
        <w:t xml:space="preserve"> </w:t>
      </w:r>
      <w:r w:rsidR="008C7851" w:rsidRPr="0024375B">
        <w:rPr>
          <w:rFonts w:ascii="Times New Roman" w:hAnsi="Times New Roman" w:cs="Times New Roman"/>
        </w:rPr>
        <w:t>r</w:t>
      </w:r>
      <w:r w:rsidR="00F6749E" w:rsidRPr="0024375B">
        <w:rPr>
          <w:rFonts w:ascii="Times New Roman" w:hAnsi="Times New Roman" w:cs="Times New Roman"/>
        </w:rPr>
        <w:t>ekomendacje będą</w:t>
      </w:r>
      <w:r w:rsidR="00790AB9" w:rsidRPr="0024375B">
        <w:rPr>
          <w:rFonts w:ascii="Times New Roman" w:hAnsi="Times New Roman" w:cs="Times New Roman"/>
        </w:rPr>
        <w:t xml:space="preserve"> formalnie</w:t>
      </w:r>
      <w:r w:rsidR="00F6749E" w:rsidRPr="0024375B">
        <w:rPr>
          <w:rFonts w:ascii="Times New Roman" w:hAnsi="Times New Roman" w:cs="Times New Roman"/>
        </w:rPr>
        <w:t xml:space="preserve"> niewiążące, </w:t>
      </w:r>
      <w:r w:rsidR="00790AB9" w:rsidRPr="0024375B">
        <w:rPr>
          <w:rFonts w:ascii="Times New Roman" w:hAnsi="Times New Roman" w:cs="Times New Roman"/>
        </w:rPr>
        <w:t xml:space="preserve">jednak </w:t>
      </w:r>
      <w:r w:rsidR="00F6749E" w:rsidRPr="0024375B">
        <w:rPr>
          <w:rFonts w:ascii="Times New Roman" w:hAnsi="Times New Roman" w:cs="Times New Roman"/>
        </w:rPr>
        <w:t>podmioty krajowego systemu cyberbezpieczeństwa będą musiały uwzględnić je</w:t>
      </w:r>
      <w:r w:rsidR="00EA1900">
        <w:rPr>
          <w:rFonts w:ascii="Times New Roman" w:hAnsi="Times New Roman" w:cs="Times New Roman"/>
        </w:rPr>
        <w:t xml:space="preserve"> w </w:t>
      </w:r>
      <w:r w:rsidR="00F6749E" w:rsidRPr="0024375B">
        <w:rPr>
          <w:rFonts w:ascii="Times New Roman" w:hAnsi="Times New Roman" w:cs="Times New Roman"/>
        </w:rPr>
        <w:t>ramach procesu zarządzania ryzykiem. Decyzja</w:t>
      </w:r>
      <w:r w:rsidR="0077165A">
        <w:rPr>
          <w:rFonts w:ascii="Times New Roman" w:hAnsi="Times New Roman" w:cs="Times New Roman"/>
        </w:rPr>
        <w:t xml:space="preserve"> o </w:t>
      </w:r>
      <w:r w:rsidR="00F6749E" w:rsidRPr="0024375B">
        <w:rPr>
          <w:rFonts w:ascii="Times New Roman" w:hAnsi="Times New Roman" w:cs="Times New Roman"/>
        </w:rPr>
        <w:t xml:space="preserve">uwzględnieniu tych środków będzie należała wyłącznie do podmiotów krajowego systemu cyberbezpieczeństwa. </w:t>
      </w:r>
      <w:r w:rsidR="00790AB9" w:rsidRPr="0024375B">
        <w:rPr>
          <w:rFonts w:ascii="Times New Roman" w:hAnsi="Times New Roman" w:cs="Times New Roman"/>
        </w:rPr>
        <w:t>Dzięki rekomendacjom</w:t>
      </w:r>
      <w:r w:rsidR="00F6749E" w:rsidRPr="0024375B">
        <w:rPr>
          <w:rFonts w:ascii="Times New Roman" w:hAnsi="Times New Roman" w:cs="Times New Roman"/>
        </w:rPr>
        <w:t xml:space="preserve"> uzyskają one fachową wiedzę, dzięki czemu będą mogły wprowadzić adekwatne </w:t>
      </w:r>
      <w:r w:rsidR="00FD7CAA" w:rsidRPr="0024375B">
        <w:rPr>
          <w:rFonts w:ascii="Times New Roman" w:hAnsi="Times New Roman" w:cs="Times New Roman"/>
        </w:rPr>
        <w:t xml:space="preserve">do oszacowanego ryzyka </w:t>
      </w:r>
      <w:r w:rsidR="00F6749E" w:rsidRPr="0024375B">
        <w:rPr>
          <w:rFonts w:ascii="Times New Roman" w:hAnsi="Times New Roman" w:cs="Times New Roman"/>
        </w:rPr>
        <w:t>zabezpieczenia</w:t>
      </w:r>
      <w:r w:rsidR="00FD7CAA" w:rsidRPr="0024375B">
        <w:rPr>
          <w:rFonts w:ascii="Times New Roman" w:hAnsi="Times New Roman" w:cs="Times New Roman"/>
        </w:rPr>
        <w:t>.</w:t>
      </w:r>
    </w:p>
    <w:p w14:paraId="35989DAA" w14:textId="77777777" w:rsidR="00F6749E" w:rsidRPr="0024375B" w:rsidRDefault="00565181" w:rsidP="00DC1575">
      <w:pPr>
        <w:pStyle w:val="Nagwek4"/>
      </w:pPr>
      <w:r w:rsidRPr="0024375B">
        <w:t>Zmiana</w:t>
      </w:r>
      <w:r w:rsidR="002161FE">
        <w:t xml:space="preserve"> w</w:t>
      </w:r>
      <w:r w:rsidR="00EA1900">
        <w:t xml:space="preserve"> art. </w:t>
      </w:r>
      <w:r w:rsidRPr="0024375B">
        <w:t>64</w:t>
      </w:r>
    </w:p>
    <w:p w14:paraId="3AE55D0C" w14:textId="77777777" w:rsidR="00F86AA6" w:rsidRPr="0024375B" w:rsidRDefault="00F86AA6" w:rsidP="0024375B">
      <w:pPr>
        <w:pStyle w:val="ARTartustawynprozporzdzenia"/>
      </w:pPr>
      <w:r w:rsidRPr="0024375B">
        <w:t>Zmiana</w:t>
      </w:r>
      <w:r w:rsidR="002161FE">
        <w:t xml:space="preserve"> w</w:t>
      </w:r>
      <w:r w:rsidR="00EA1900">
        <w:t xml:space="preserve"> art. </w:t>
      </w:r>
      <w:r w:rsidRPr="0024375B">
        <w:t xml:space="preserve">64 </w:t>
      </w:r>
      <w:r w:rsidR="00A6098E" w:rsidRPr="0024375B">
        <w:t>wskazuje</w:t>
      </w:r>
      <w:r w:rsidRPr="0024375B">
        <w:t xml:space="preserve">, że </w:t>
      </w:r>
      <w:r w:rsidRPr="0024375B">
        <w:rPr>
          <w:rFonts w:ascii="Times New Roman" w:eastAsia="Times New Roman" w:hAnsi="Times New Roman" w:cs="Times New Roman"/>
        </w:rPr>
        <w:t>Kolegium do Spraw Cyberbezpieczeństwa jest organem opiniodawczo-doradczym</w:t>
      </w:r>
      <w:r w:rsidRPr="0024375B">
        <w:t xml:space="preserve"> </w:t>
      </w:r>
      <w:r w:rsidR="00FD7CAA" w:rsidRPr="0024375B">
        <w:t>również</w:t>
      </w:r>
      <w:r w:rsidR="00EA1900">
        <w:t xml:space="preserve"> w </w:t>
      </w:r>
      <w:r w:rsidR="00F9233D" w:rsidRPr="0024375B">
        <w:t>sprawach dotyczących działalności zespołu CSIRT</w:t>
      </w:r>
      <w:r w:rsidRPr="0024375B">
        <w:t xml:space="preserve"> INT.</w:t>
      </w:r>
    </w:p>
    <w:p w14:paraId="0C2F6A7B" w14:textId="77777777" w:rsidR="00565181" w:rsidRPr="0024375B" w:rsidRDefault="00565181" w:rsidP="00DC1575">
      <w:pPr>
        <w:pStyle w:val="Nagwek4"/>
      </w:pPr>
      <w:r w:rsidRPr="0024375B">
        <w:t>Zmiany</w:t>
      </w:r>
      <w:r w:rsidR="002161FE">
        <w:t xml:space="preserve"> w</w:t>
      </w:r>
      <w:r w:rsidR="00EA1900">
        <w:t xml:space="preserve"> art. </w:t>
      </w:r>
      <w:r w:rsidRPr="0024375B">
        <w:t>64a</w:t>
      </w:r>
    </w:p>
    <w:p w14:paraId="1214B15A" w14:textId="77777777" w:rsidR="003B1554" w:rsidRPr="0024375B" w:rsidRDefault="002530E7" w:rsidP="0024375B">
      <w:pPr>
        <w:pStyle w:val="ARTartustawynprozporzdzenia"/>
      </w:pPr>
      <w:r w:rsidRPr="0024375B">
        <w:t>W nowym</w:t>
      </w:r>
      <w:r w:rsidR="00EA1900">
        <w:t xml:space="preserve"> art. </w:t>
      </w:r>
      <w:r w:rsidRPr="0024375B">
        <w:t>64a</w:t>
      </w:r>
      <w:r w:rsidR="003B1554" w:rsidRPr="0024375B">
        <w:t xml:space="preserve"> </w:t>
      </w:r>
      <w:r w:rsidRPr="0024375B">
        <w:t>o</w:t>
      </w:r>
      <w:r w:rsidR="003B1554" w:rsidRPr="0024375B">
        <w:t xml:space="preserve">kreślone zostały nowe rodzaje analiz jakie będą mogły być zlecane </w:t>
      </w:r>
      <w:r w:rsidRPr="0024375B">
        <w:t>CSIRT GOV CSIRT MON lub CSIRT NASK</w:t>
      </w:r>
      <w:r w:rsidR="003B1554" w:rsidRPr="0024375B">
        <w:t>. Będą to analizy dotyczące wpływu konkretnych produktów ICT, usług ICT lub procesów ICT na bezpieczeństwo usług świadczonych przez podmioty określone</w:t>
      </w:r>
      <w:r w:rsidR="002161FE">
        <w:t xml:space="preserve"> w</w:t>
      </w:r>
      <w:r w:rsidR="00EA1900">
        <w:t xml:space="preserve"> art. </w:t>
      </w:r>
      <w:r w:rsidR="003B1554" w:rsidRPr="0024375B">
        <w:t xml:space="preserve">66a </w:t>
      </w:r>
      <w:r w:rsidR="00D00CB4">
        <w:t>ust. </w:t>
      </w:r>
      <w:r w:rsidR="003B1554" w:rsidRPr="0024375B">
        <w:t>1 oraz analizy dotyczące trybu</w:t>
      </w:r>
      <w:r w:rsidR="002161FE">
        <w:t xml:space="preserve"> i </w:t>
      </w:r>
      <w:r w:rsidR="003B1554" w:rsidRPr="0024375B">
        <w:t>zakresu,</w:t>
      </w:r>
      <w:r w:rsidR="00EA1900">
        <w:t xml:space="preserve"> w </w:t>
      </w:r>
      <w:r w:rsidR="003B1554" w:rsidRPr="0024375B">
        <w:t>jakim dostawca sprawuje nadzór nad procesem wytwarzania</w:t>
      </w:r>
      <w:r w:rsidR="002161FE">
        <w:t xml:space="preserve"> i </w:t>
      </w:r>
      <w:r w:rsidR="003B1554" w:rsidRPr="0024375B">
        <w:t>dostarczania produktów ICT, usług ICT lub procesów ICT. Analizy te będą wykonywane</w:t>
      </w:r>
      <w:r w:rsidR="008668A2" w:rsidRPr="0024375B">
        <w:t xml:space="preserve"> </w:t>
      </w:r>
      <w:r w:rsidR="00E71037" w:rsidRPr="0024375B">
        <w:t>na wniosek Przewodniczącego Kolegium d</w:t>
      </w:r>
      <w:r w:rsidR="00677F50" w:rsidRPr="0024375B">
        <w:t>o Spraw</w:t>
      </w:r>
      <w:r w:rsidR="00E71037" w:rsidRPr="0024375B">
        <w:t xml:space="preserve"> Cyberbezpieczeństwa</w:t>
      </w:r>
      <w:r w:rsidR="002161FE">
        <w:t xml:space="preserve"> i </w:t>
      </w:r>
      <w:r w:rsidR="00865337" w:rsidRPr="0024375B">
        <w:t>będą mogły posłużyć jako dowód</w:t>
      </w:r>
      <w:r w:rsidR="00EA1900">
        <w:t xml:space="preserve"> w </w:t>
      </w:r>
      <w:r w:rsidR="00E71037" w:rsidRPr="0024375B">
        <w:t>ramach postępowania</w:t>
      </w:r>
      <w:r w:rsidR="0077165A">
        <w:t xml:space="preserve"> o </w:t>
      </w:r>
      <w:r w:rsidR="00E71037" w:rsidRPr="0024375B">
        <w:t>uznani</w:t>
      </w:r>
      <w:r w:rsidR="007F416C" w:rsidRPr="0024375B">
        <w:t>u</w:t>
      </w:r>
      <w:r w:rsidR="00E71037" w:rsidRPr="0024375B">
        <w:t xml:space="preserve"> dostawcy za dostawcę wysokiego ryzyka.</w:t>
      </w:r>
      <w:r w:rsidR="00DB44AE" w:rsidRPr="0024375B">
        <w:t xml:space="preserve"> </w:t>
      </w:r>
    </w:p>
    <w:p w14:paraId="3EE473CE" w14:textId="77777777" w:rsidR="1A04094F" w:rsidRPr="0024375B" w:rsidRDefault="1A04094F" w:rsidP="00DC1575">
      <w:pPr>
        <w:pStyle w:val="Nagwek4"/>
      </w:pPr>
      <w:r w:rsidRPr="0024375B">
        <w:t>Zmiany</w:t>
      </w:r>
      <w:r w:rsidR="002161FE">
        <w:t xml:space="preserve"> w</w:t>
      </w:r>
      <w:r w:rsidR="00EA1900">
        <w:t xml:space="preserve"> art. </w:t>
      </w:r>
      <w:r w:rsidRPr="0024375B">
        <w:t>65</w:t>
      </w:r>
    </w:p>
    <w:p w14:paraId="5D3B82D2" w14:textId="77777777" w:rsidR="1A04094F" w:rsidRPr="0024375B" w:rsidRDefault="1A04094F" w:rsidP="0024375B">
      <w:pPr>
        <w:pStyle w:val="ARTartustawynprozporzdzenia"/>
      </w:pPr>
      <w:r w:rsidRPr="0024375B">
        <w:t>W projektowych zmianach</w:t>
      </w:r>
      <w:r w:rsidR="00EA1900">
        <w:t xml:space="preserve"> art. </w:t>
      </w:r>
      <w:r w:rsidRPr="0024375B">
        <w:t xml:space="preserve">65 </w:t>
      </w:r>
      <w:r w:rsidR="6B667D07" w:rsidRPr="0024375B">
        <w:t>rozszerzono</w:t>
      </w:r>
      <w:r w:rsidRPr="0024375B">
        <w:t xml:space="preserve"> katalog zadań Kolegium do </w:t>
      </w:r>
      <w:r w:rsidR="4A5A434D" w:rsidRPr="0024375B">
        <w:t xml:space="preserve">Spraw </w:t>
      </w:r>
      <w:r w:rsidRPr="0024375B">
        <w:t>Cyberbezp</w:t>
      </w:r>
      <w:r w:rsidR="7B5225F6" w:rsidRPr="0024375B">
        <w:t>ieczeństwa</w:t>
      </w:r>
      <w:r w:rsidR="023BAE8B" w:rsidRPr="0024375B">
        <w:t xml:space="preserve"> m. in.</w:t>
      </w:r>
      <w:r w:rsidR="0077165A">
        <w:t xml:space="preserve"> o </w:t>
      </w:r>
      <w:r w:rsidR="608FCB56" w:rsidRPr="0024375B">
        <w:t xml:space="preserve">wyrażanie </w:t>
      </w:r>
      <w:r w:rsidR="21911DCB" w:rsidRPr="0024375B">
        <w:t>opinii</w:t>
      </w:r>
      <w:r w:rsidR="0077165A">
        <w:t xml:space="preserve"> o </w:t>
      </w:r>
      <w:r w:rsidR="608FCB56" w:rsidRPr="0024375B">
        <w:rPr>
          <w:rFonts w:eastAsia="Times" w:cs="Times"/>
          <w:szCs w:val="24"/>
        </w:rPr>
        <w:t>decyzji</w:t>
      </w:r>
      <w:r w:rsidR="00EA1900">
        <w:rPr>
          <w:rFonts w:eastAsia="Times" w:cs="Times"/>
          <w:szCs w:val="24"/>
        </w:rPr>
        <w:t xml:space="preserve"> w </w:t>
      </w:r>
      <w:r w:rsidR="608FCB56" w:rsidRPr="0024375B">
        <w:rPr>
          <w:rFonts w:eastAsia="Times" w:cs="Times"/>
          <w:szCs w:val="24"/>
        </w:rPr>
        <w:t>sprawie uznania dostawcy sprzętu lub oprogramowania za dostawcę wysokiego ryzyka</w:t>
      </w:r>
      <w:r w:rsidR="00B95437">
        <w:rPr>
          <w:rFonts w:eastAsia="Times" w:cs="Times"/>
          <w:szCs w:val="24"/>
        </w:rPr>
        <w:t>.</w:t>
      </w:r>
      <w:r w:rsidR="005908A5">
        <w:rPr>
          <w:rFonts w:eastAsia="Times" w:cs="Times"/>
          <w:szCs w:val="24"/>
        </w:rPr>
        <w:t xml:space="preserve"> Kolegium </w:t>
      </w:r>
      <w:r w:rsidR="00D53B72">
        <w:rPr>
          <w:rFonts w:eastAsia="Times" w:cs="Times"/>
          <w:szCs w:val="24"/>
        </w:rPr>
        <w:t>będzie także</w:t>
      </w:r>
      <w:r w:rsidR="005908A5">
        <w:rPr>
          <w:rFonts w:eastAsia="Times" w:cs="Times"/>
          <w:szCs w:val="24"/>
        </w:rPr>
        <w:t xml:space="preserve"> wyrażało opinię w sprawie </w:t>
      </w:r>
      <w:r w:rsidR="005908A5" w:rsidRPr="005908A5">
        <w:rPr>
          <w:rFonts w:eastAsia="Times" w:cs="Times"/>
          <w:szCs w:val="24"/>
        </w:rPr>
        <w:t>wyznaczenia Operatora strategicznej sieci bezpieczeństwa</w:t>
      </w:r>
      <w:r w:rsidR="005908A5">
        <w:rPr>
          <w:rFonts w:eastAsia="Times" w:cs="Times"/>
          <w:szCs w:val="24"/>
        </w:rPr>
        <w:t>.</w:t>
      </w:r>
    </w:p>
    <w:p w14:paraId="4F169C16" w14:textId="77777777" w:rsidR="00565181" w:rsidRPr="0024375B" w:rsidRDefault="00565181" w:rsidP="00DC1575">
      <w:pPr>
        <w:pStyle w:val="Nagwek4"/>
      </w:pPr>
      <w:r w:rsidRPr="0024375B">
        <w:t>Zmiany</w:t>
      </w:r>
      <w:r w:rsidR="002161FE">
        <w:t xml:space="preserve"> w</w:t>
      </w:r>
      <w:r w:rsidR="00EA1900">
        <w:t xml:space="preserve"> art. </w:t>
      </w:r>
      <w:r w:rsidRPr="0024375B">
        <w:t>66</w:t>
      </w:r>
    </w:p>
    <w:p w14:paraId="316EE41D" w14:textId="77777777" w:rsidR="00DC052D"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w:t>
      </w:r>
      <w:r w:rsidR="00EA1900">
        <w:rPr>
          <w:rFonts w:ascii="Times New Roman" w:hAnsi="Times New Roman" w:cs="Times New Roman"/>
        </w:rPr>
        <w:t xml:space="preserve"> art. </w:t>
      </w:r>
      <w:r w:rsidRPr="0024375B">
        <w:rPr>
          <w:rFonts w:ascii="Times New Roman" w:hAnsi="Times New Roman" w:cs="Times New Roman"/>
        </w:rPr>
        <w:t xml:space="preserve">66 </w:t>
      </w:r>
      <w:r w:rsidR="00DC052D" w:rsidRPr="0024375B">
        <w:rPr>
          <w:rFonts w:ascii="Times New Roman" w:hAnsi="Times New Roman" w:cs="Times New Roman"/>
        </w:rPr>
        <w:t xml:space="preserve">proponuje </w:t>
      </w:r>
      <w:r w:rsidRPr="0024375B">
        <w:rPr>
          <w:rFonts w:ascii="Times New Roman" w:hAnsi="Times New Roman" w:cs="Times New Roman"/>
        </w:rPr>
        <w:t>się rozszerzenie składu Kolegium</w:t>
      </w:r>
      <w:r w:rsidR="00DC052D" w:rsidRPr="0024375B">
        <w:rPr>
          <w:rFonts w:ascii="Times New Roman" w:hAnsi="Times New Roman" w:cs="Times New Roman"/>
        </w:rPr>
        <w:t xml:space="preserve">. </w:t>
      </w:r>
      <w:r w:rsidR="00D604BA">
        <w:rPr>
          <w:rFonts w:ascii="Times New Roman" w:hAnsi="Times New Roman" w:cs="Times New Roman"/>
        </w:rPr>
        <w:t>Nowym członkiem Kolegium będzie minister właściwy do spraw energii,</w:t>
      </w:r>
      <w:r w:rsidR="002161FE">
        <w:rPr>
          <w:rFonts w:ascii="Times New Roman" w:hAnsi="Times New Roman" w:cs="Times New Roman"/>
        </w:rPr>
        <w:t xml:space="preserve"> z </w:t>
      </w:r>
      <w:r w:rsidR="00D604BA">
        <w:rPr>
          <w:rFonts w:ascii="Times New Roman" w:hAnsi="Times New Roman" w:cs="Times New Roman"/>
        </w:rPr>
        <w:t xml:space="preserve">uwagi na to, że sektor energii jest </w:t>
      </w:r>
      <w:r w:rsidR="006F3D91">
        <w:rPr>
          <w:rFonts w:ascii="Times New Roman" w:hAnsi="Times New Roman" w:cs="Times New Roman"/>
        </w:rPr>
        <w:t>jednym</w:t>
      </w:r>
      <w:r w:rsidR="002161FE">
        <w:rPr>
          <w:rFonts w:ascii="Times New Roman" w:hAnsi="Times New Roman" w:cs="Times New Roman"/>
        </w:rPr>
        <w:t xml:space="preserve"> z </w:t>
      </w:r>
      <w:r w:rsidR="006F3D91">
        <w:rPr>
          <w:rFonts w:ascii="Times New Roman" w:hAnsi="Times New Roman" w:cs="Times New Roman"/>
        </w:rPr>
        <w:t>największych sektorów.</w:t>
      </w:r>
    </w:p>
    <w:p w14:paraId="06320A80" w14:textId="77777777" w:rsidR="00DC052D" w:rsidRPr="00D773CC" w:rsidRDefault="00247105" w:rsidP="00D773CC">
      <w:pPr>
        <w:pStyle w:val="NIEARTTEKSTtekstnieartykuowanynppodstprawnarozplubpreambua"/>
        <w:rPr>
          <w:rFonts w:ascii="Times New Roman" w:hAnsi="Times New Roman" w:cs="Times New Roman"/>
        </w:rPr>
      </w:pPr>
      <w:r w:rsidRPr="0024375B">
        <w:rPr>
          <w:rFonts w:ascii="Times New Roman" w:hAnsi="Times New Roman" w:cs="Times New Roman"/>
        </w:rPr>
        <w:t>W posiedzeniach Kolegium będą mogli także uczestniczyć:</w:t>
      </w:r>
      <w:r w:rsidR="00F6749E" w:rsidRPr="0024375B">
        <w:rPr>
          <w:rFonts w:ascii="Times New Roman" w:hAnsi="Times New Roman" w:cs="Times New Roman"/>
        </w:rPr>
        <w:t xml:space="preserve"> </w:t>
      </w:r>
    </w:p>
    <w:p w14:paraId="48C97B6F" w14:textId="77777777" w:rsidR="00D604BA" w:rsidRDefault="00D604BA" w:rsidP="001C5AF2">
      <w:pPr>
        <w:pStyle w:val="NIEARTTEKSTtekstnieartykuowanynppodstprawnarozplubpreambua"/>
        <w:numPr>
          <w:ilvl w:val="0"/>
          <w:numId w:val="103"/>
        </w:numPr>
        <w:spacing w:after="60" w:line="240" w:lineRule="auto"/>
        <w:ind w:left="1225" w:hanging="357"/>
        <w:rPr>
          <w:rFonts w:eastAsia="Times" w:cs="Times"/>
          <w:szCs w:val="24"/>
        </w:rPr>
      </w:pPr>
      <w:r w:rsidRPr="0024375B">
        <w:rPr>
          <w:rFonts w:eastAsia="Times" w:cs="Times"/>
          <w:szCs w:val="24"/>
        </w:rPr>
        <w:t>Dowódca Komponentu Wojsk Obrony Cyberprzestrzeni</w:t>
      </w:r>
      <w:r w:rsidR="00D53B72" w:rsidRPr="00D53B72">
        <w:rPr>
          <w:rFonts w:eastAsia="Times" w:cs="Times"/>
          <w:szCs w:val="24"/>
        </w:rPr>
        <w:t xml:space="preserve"> </w:t>
      </w:r>
      <w:r w:rsidR="00D53B72" w:rsidRPr="001C5AF2">
        <w:rPr>
          <w:rFonts w:eastAsia="Times" w:cs="Times"/>
          <w:szCs w:val="24"/>
        </w:rPr>
        <w:t>albo jego zastępca</w:t>
      </w:r>
      <w:r w:rsidR="006F3D91">
        <w:rPr>
          <w:rFonts w:eastAsia="Times" w:cs="Times"/>
          <w:szCs w:val="24"/>
        </w:rPr>
        <w:t>,</w:t>
      </w:r>
    </w:p>
    <w:p w14:paraId="74912E3B" w14:textId="77777777" w:rsidR="00D604BA" w:rsidRDefault="00D604BA" w:rsidP="001C5AF2">
      <w:pPr>
        <w:pStyle w:val="NIEARTTEKSTtekstnieartykuowanynppodstprawnarozplubpreambua"/>
        <w:numPr>
          <w:ilvl w:val="0"/>
          <w:numId w:val="103"/>
        </w:numPr>
        <w:spacing w:after="60" w:line="240" w:lineRule="auto"/>
        <w:ind w:left="1225" w:hanging="357"/>
        <w:rPr>
          <w:rFonts w:eastAsia="Times" w:cs="Times"/>
          <w:szCs w:val="24"/>
        </w:rPr>
      </w:pPr>
      <w:r w:rsidRPr="00D604BA">
        <w:rPr>
          <w:rFonts w:eastAsia="Times" w:cs="Times"/>
          <w:szCs w:val="24"/>
        </w:rPr>
        <w:lastRenderedPageBreak/>
        <w:t>Przewodniczący Komisji Nadzoru Finansowego</w:t>
      </w:r>
      <w:r w:rsidR="006F3D91">
        <w:rPr>
          <w:rFonts w:eastAsia="Times" w:cs="Times"/>
          <w:szCs w:val="24"/>
        </w:rPr>
        <w:t>,</w:t>
      </w:r>
    </w:p>
    <w:p w14:paraId="00A796A2" w14:textId="77777777" w:rsidR="00D604BA" w:rsidRPr="001C5AF2" w:rsidRDefault="00D604BA" w:rsidP="001C5AF2">
      <w:pPr>
        <w:pStyle w:val="Akapitzlist"/>
        <w:numPr>
          <w:ilvl w:val="0"/>
          <w:numId w:val="103"/>
        </w:numPr>
        <w:spacing w:after="60" w:line="240" w:lineRule="auto"/>
        <w:ind w:left="1225" w:hanging="357"/>
        <w:contextualSpacing w:val="0"/>
        <w:rPr>
          <w:rFonts w:eastAsia="Times" w:cs="Times"/>
          <w:szCs w:val="24"/>
        </w:rPr>
      </w:pPr>
      <w:r w:rsidRPr="0024375B">
        <w:rPr>
          <w:rFonts w:ascii="Times" w:eastAsia="Times" w:hAnsi="Times" w:cs="Times"/>
          <w:szCs w:val="24"/>
        </w:rPr>
        <w:t>Prokurator Generalny</w:t>
      </w:r>
      <w:r w:rsidR="00D53B72" w:rsidRPr="00D53B72">
        <w:rPr>
          <w:rFonts w:ascii="Times" w:eastAsia="Times" w:hAnsi="Times" w:cs="Times"/>
          <w:szCs w:val="24"/>
        </w:rPr>
        <w:t xml:space="preserve"> </w:t>
      </w:r>
      <w:r w:rsidR="00D53B72" w:rsidRPr="001C5AF2">
        <w:rPr>
          <w:rFonts w:ascii="Times" w:eastAsia="Times" w:hAnsi="Times" w:cs="Times"/>
          <w:szCs w:val="24"/>
        </w:rPr>
        <w:t>albo jego zastępca</w:t>
      </w:r>
      <w:r>
        <w:rPr>
          <w:rFonts w:eastAsia="Times" w:cs="Times"/>
          <w:szCs w:val="24"/>
        </w:rPr>
        <w:t>,</w:t>
      </w:r>
    </w:p>
    <w:p w14:paraId="384A6871" w14:textId="77777777" w:rsidR="1BE1E6BE" w:rsidRPr="00713E1C" w:rsidRDefault="1BE1E6BE" w:rsidP="001C5AF2">
      <w:pPr>
        <w:pStyle w:val="Akapitzlist"/>
        <w:numPr>
          <w:ilvl w:val="0"/>
          <w:numId w:val="103"/>
        </w:numPr>
        <w:spacing w:after="60" w:line="240" w:lineRule="auto"/>
        <w:ind w:left="1225" w:hanging="357"/>
        <w:contextualSpacing w:val="0"/>
        <w:rPr>
          <w:szCs w:val="24"/>
        </w:rPr>
      </w:pPr>
      <w:r w:rsidRPr="001C5AF2">
        <w:rPr>
          <w:rFonts w:ascii="Times" w:eastAsia="Times" w:hAnsi="Times" w:cs="Times"/>
          <w:szCs w:val="24"/>
        </w:rPr>
        <w:t>Szef Agencji Wywiadu albo jego zastępca</w:t>
      </w:r>
      <w:r w:rsidR="00D604BA">
        <w:rPr>
          <w:rFonts w:ascii="Times" w:eastAsia="Times" w:hAnsi="Times" w:cs="Times"/>
          <w:szCs w:val="24"/>
        </w:rPr>
        <w:t>,</w:t>
      </w:r>
    </w:p>
    <w:p w14:paraId="19959B9C" w14:textId="77777777" w:rsidR="1BE1E6BE" w:rsidRPr="00713E1C" w:rsidRDefault="1BE1E6BE" w:rsidP="001C5AF2">
      <w:pPr>
        <w:pStyle w:val="Akapitzlist"/>
        <w:numPr>
          <w:ilvl w:val="0"/>
          <w:numId w:val="103"/>
        </w:numPr>
        <w:spacing w:after="60" w:line="240" w:lineRule="auto"/>
        <w:ind w:left="1225" w:hanging="357"/>
        <w:contextualSpacing w:val="0"/>
        <w:rPr>
          <w:szCs w:val="24"/>
        </w:rPr>
      </w:pPr>
      <w:r w:rsidRPr="001C5AF2">
        <w:rPr>
          <w:rFonts w:ascii="Times" w:eastAsia="Times" w:hAnsi="Times" w:cs="Times"/>
          <w:szCs w:val="24"/>
        </w:rPr>
        <w:t>Szef Centralnego Biura Antykorupcyjnego albo jego zastępca</w:t>
      </w:r>
      <w:r w:rsidR="00D604BA">
        <w:rPr>
          <w:rFonts w:ascii="Times" w:eastAsia="Times" w:hAnsi="Times" w:cs="Times"/>
          <w:szCs w:val="24"/>
        </w:rPr>
        <w:t>,</w:t>
      </w:r>
    </w:p>
    <w:p w14:paraId="1B7F6579" w14:textId="77777777" w:rsidR="006F3D91" w:rsidRPr="001C5AF2" w:rsidRDefault="1BE1E6BE" w:rsidP="001C5AF2">
      <w:pPr>
        <w:pStyle w:val="Akapitzlist"/>
        <w:numPr>
          <w:ilvl w:val="0"/>
          <w:numId w:val="103"/>
        </w:numPr>
        <w:spacing w:after="60" w:line="240" w:lineRule="auto"/>
        <w:ind w:left="1225" w:hanging="357"/>
        <w:contextualSpacing w:val="0"/>
        <w:rPr>
          <w:szCs w:val="24"/>
        </w:rPr>
      </w:pPr>
      <w:r w:rsidRPr="001C5AF2">
        <w:rPr>
          <w:rFonts w:ascii="Times" w:eastAsia="Times" w:hAnsi="Times" w:cs="Times"/>
          <w:szCs w:val="24"/>
        </w:rPr>
        <w:t>Szef Służby Wywiadu Wojskowego albo jego zastępca</w:t>
      </w:r>
      <w:r w:rsidR="00D604BA">
        <w:rPr>
          <w:rFonts w:ascii="Times" w:eastAsia="Times" w:hAnsi="Times" w:cs="Times"/>
          <w:szCs w:val="24"/>
        </w:rPr>
        <w:t>.</w:t>
      </w:r>
    </w:p>
    <w:p w14:paraId="01649679" w14:textId="77777777" w:rsidR="006F3D91" w:rsidRDefault="006F3D91" w:rsidP="001C5AF2">
      <w:pPr>
        <w:spacing w:after="60" w:line="240" w:lineRule="auto"/>
        <w:rPr>
          <w:rFonts w:ascii="Times" w:eastAsia="Times" w:hAnsi="Times" w:cs="Times"/>
          <w:szCs w:val="24"/>
        </w:rPr>
      </w:pPr>
    </w:p>
    <w:p w14:paraId="0AED4653"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Ponadto, umożliwiono, aby pozostali szefowie służb (wymienieni</w:t>
      </w:r>
      <w:r w:rsidR="00EA1900">
        <w:rPr>
          <w:rFonts w:ascii="Times New Roman" w:hAnsi="Times New Roman" w:cs="Times New Roman"/>
        </w:rPr>
        <w:t xml:space="preserve"> w </w:t>
      </w:r>
      <w:r w:rsidR="00D00CB4">
        <w:rPr>
          <w:rFonts w:ascii="Times New Roman" w:hAnsi="Times New Roman" w:cs="Times New Roman"/>
        </w:rPr>
        <w:t>ust. </w:t>
      </w:r>
      <w:r w:rsidR="000C460C" w:rsidRPr="0024375B">
        <w:rPr>
          <w:rFonts w:ascii="Times New Roman" w:hAnsi="Times New Roman" w:cs="Times New Roman"/>
        </w:rPr>
        <w:t>4</w:t>
      </w:r>
      <w:r w:rsidRPr="0024375B">
        <w:rPr>
          <w:rFonts w:ascii="Times New Roman" w:hAnsi="Times New Roman" w:cs="Times New Roman"/>
        </w:rPr>
        <w:t>) mogli także desygnować na posiedzenia Kolegium swoich zastępców.</w:t>
      </w:r>
    </w:p>
    <w:p w14:paraId="4BAF91A1" w14:textId="77777777" w:rsidR="00650EDF" w:rsidRPr="0024375B" w:rsidRDefault="00650EDF" w:rsidP="0024375B">
      <w:pPr>
        <w:pStyle w:val="ARTartustawynprozporzdzenia"/>
        <w:ind w:firstLine="567"/>
      </w:pPr>
      <w:r w:rsidRPr="0024375B">
        <w:t>W ślad za odpowiednimi zmianami</w:t>
      </w:r>
      <w:r w:rsidR="00EA1900">
        <w:t xml:space="preserve"> w </w:t>
      </w:r>
      <w:r w:rsidR="00A6098E" w:rsidRPr="0024375B">
        <w:t xml:space="preserve">innych </w:t>
      </w:r>
      <w:r w:rsidRPr="0024375B">
        <w:t>przepisach, uzupełniono katalog kompetencji przewodniczącego Kolegium</w:t>
      </w:r>
      <w:r w:rsidR="0077165A">
        <w:t xml:space="preserve"> o </w:t>
      </w:r>
      <w:r w:rsidR="00BC0362" w:rsidRPr="0024375B">
        <w:t>możliwość</w:t>
      </w:r>
      <w:r w:rsidR="000C460C" w:rsidRPr="0024375B">
        <w:t>:</w:t>
      </w:r>
    </w:p>
    <w:p w14:paraId="2972AAAA" w14:textId="77777777" w:rsidR="00650EDF" w:rsidRPr="0024375B" w:rsidRDefault="00650EDF" w:rsidP="0024375B">
      <w:pPr>
        <w:pStyle w:val="ARTartustawynprozporzdzenia"/>
        <w:numPr>
          <w:ilvl w:val="0"/>
          <w:numId w:val="60"/>
        </w:numPr>
      </w:pPr>
      <w:r w:rsidRPr="0024375B">
        <w:t>wnioskowa</w:t>
      </w:r>
      <w:r w:rsidR="00BC0362" w:rsidRPr="0024375B">
        <w:t>nia</w:t>
      </w:r>
      <w:r w:rsidR="0077165A">
        <w:t xml:space="preserve"> o </w:t>
      </w:r>
      <w:r w:rsidRPr="0024375B">
        <w:t>przeprowadzenie badania,</w:t>
      </w:r>
      <w:r w:rsidR="0077165A">
        <w:t xml:space="preserve"> o </w:t>
      </w:r>
      <w:r w:rsidRPr="0024375B">
        <w:t>którym mowa</w:t>
      </w:r>
      <w:r w:rsidR="002161FE">
        <w:t xml:space="preserve"> w</w:t>
      </w:r>
      <w:r w:rsidR="00EA1900">
        <w:t xml:space="preserve"> art. </w:t>
      </w:r>
      <w:r w:rsidRPr="0024375B">
        <w:t xml:space="preserve">33 </w:t>
      </w:r>
      <w:r w:rsidR="00D00CB4">
        <w:t>ust. </w:t>
      </w:r>
      <w:r w:rsidRPr="0024375B">
        <w:t>1;</w:t>
      </w:r>
    </w:p>
    <w:p w14:paraId="2F09FD65" w14:textId="77777777" w:rsidR="00650EDF" w:rsidRPr="0024375B" w:rsidRDefault="00650EDF" w:rsidP="0024375B">
      <w:pPr>
        <w:pStyle w:val="ARTartustawynprozporzdzenia"/>
        <w:numPr>
          <w:ilvl w:val="0"/>
          <w:numId w:val="60"/>
        </w:numPr>
      </w:pPr>
      <w:r w:rsidRPr="0024375B">
        <w:t>zlec</w:t>
      </w:r>
      <w:r w:rsidR="00BC0362" w:rsidRPr="0024375B">
        <w:t>enia zespołom</w:t>
      </w:r>
      <w:r w:rsidRPr="0024375B">
        <w:t xml:space="preserve"> CSIRT GOV CSIRT MON lub CSIRT NASK, przeprowadzenie analizy dotyczącej wpływu konkretnych produktów ICT, usług ICT lub procesów ICT na bezpieczeństwo usług,</w:t>
      </w:r>
      <w:r w:rsidR="0077165A">
        <w:t xml:space="preserve"> o </w:t>
      </w:r>
      <w:r w:rsidRPr="0024375B">
        <w:t>której mowa</w:t>
      </w:r>
      <w:r w:rsidR="002161FE">
        <w:t xml:space="preserve"> w</w:t>
      </w:r>
      <w:r w:rsidR="00EA1900">
        <w:t xml:space="preserve"> art. </w:t>
      </w:r>
      <w:r w:rsidRPr="0024375B">
        <w:t xml:space="preserve">64a </w:t>
      </w:r>
      <w:r w:rsidR="00D00CB4">
        <w:t>ust. </w:t>
      </w:r>
      <w:r w:rsidRPr="0024375B">
        <w:t>1;</w:t>
      </w:r>
    </w:p>
    <w:p w14:paraId="2D4AEA07" w14:textId="77777777" w:rsidR="00650EDF" w:rsidRPr="0024375B" w:rsidRDefault="00650EDF" w:rsidP="0024375B">
      <w:pPr>
        <w:pStyle w:val="ARTartustawynprozporzdzenia"/>
        <w:numPr>
          <w:ilvl w:val="0"/>
          <w:numId w:val="60"/>
        </w:numPr>
      </w:pPr>
      <w:r w:rsidRPr="0024375B">
        <w:t>zlec</w:t>
      </w:r>
      <w:r w:rsidR="00BC0362" w:rsidRPr="0024375B">
        <w:t>enia</w:t>
      </w:r>
      <w:r w:rsidRPr="0024375B">
        <w:t xml:space="preserve"> CSIRT GOV CSIRT MON lub CSIRT NASK, przeprowadzenie analizy dotyczącej trybu</w:t>
      </w:r>
      <w:r w:rsidR="002161FE">
        <w:t xml:space="preserve"> i </w:t>
      </w:r>
      <w:r w:rsidRPr="0024375B">
        <w:t>zakresu,</w:t>
      </w:r>
      <w:r w:rsidR="00EA1900">
        <w:t xml:space="preserve"> w </w:t>
      </w:r>
      <w:r w:rsidRPr="0024375B">
        <w:t>jakim dostawca sprawuje nadzór nad procesem wytwarzania</w:t>
      </w:r>
      <w:r w:rsidR="002161FE">
        <w:t xml:space="preserve"> i </w:t>
      </w:r>
      <w:r w:rsidRPr="0024375B">
        <w:t>dostarczania produktów ICT, usług ICT lub procesów ICT,</w:t>
      </w:r>
      <w:r w:rsidR="0077165A">
        <w:t xml:space="preserve"> o </w:t>
      </w:r>
      <w:r w:rsidRPr="0024375B">
        <w:t>której mowa</w:t>
      </w:r>
      <w:r w:rsidR="002161FE">
        <w:t xml:space="preserve"> w</w:t>
      </w:r>
      <w:r w:rsidR="00EA1900">
        <w:t xml:space="preserve"> art. </w:t>
      </w:r>
      <w:r w:rsidRPr="0024375B">
        <w:t xml:space="preserve">64a </w:t>
      </w:r>
      <w:r w:rsidR="00D00CB4">
        <w:t>ust. </w:t>
      </w:r>
      <w:r w:rsidRPr="0024375B">
        <w:t>2;</w:t>
      </w:r>
    </w:p>
    <w:p w14:paraId="2E00DC52" w14:textId="77777777" w:rsidR="00650EDF" w:rsidRPr="0024375B" w:rsidRDefault="00650EDF" w:rsidP="0024375B">
      <w:pPr>
        <w:pStyle w:val="ARTartustawynprozporzdzenia"/>
        <w:numPr>
          <w:ilvl w:val="0"/>
          <w:numId w:val="60"/>
        </w:numPr>
      </w:pPr>
      <w:r w:rsidRPr="0024375B">
        <w:t>wnioskowa</w:t>
      </w:r>
      <w:r w:rsidR="00BC0362" w:rsidRPr="0024375B">
        <w:t>nia</w:t>
      </w:r>
      <w:r w:rsidR="0077165A">
        <w:t xml:space="preserve"> o </w:t>
      </w:r>
      <w:r w:rsidRPr="0024375B">
        <w:t>wszczęcie postępowania</w:t>
      </w:r>
      <w:r w:rsidR="00EA1900">
        <w:t xml:space="preserve"> w </w:t>
      </w:r>
      <w:r w:rsidRPr="0024375B">
        <w:t>sprawie uznania dostawcy sprzętu</w:t>
      </w:r>
      <w:r w:rsidR="002161FE">
        <w:t xml:space="preserve"> i </w:t>
      </w:r>
      <w:r w:rsidRPr="0024375B">
        <w:t>oprogramowania za dostawcę wysokiego ryzyka,</w:t>
      </w:r>
      <w:r w:rsidR="0077165A">
        <w:t xml:space="preserve"> o </w:t>
      </w:r>
      <w:r w:rsidRPr="0024375B">
        <w:t>którym mowa</w:t>
      </w:r>
      <w:r w:rsidR="002161FE">
        <w:t xml:space="preserve"> w</w:t>
      </w:r>
      <w:r w:rsidR="00EA1900">
        <w:t xml:space="preserve"> art. </w:t>
      </w:r>
      <w:r w:rsidRPr="0024375B">
        <w:t xml:space="preserve">66a </w:t>
      </w:r>
      <w:r w:rsidR="00D00CB4">
        <w:t>ust. </w:t>
      </w:r>
      <w:r w:rsidRPr="0024375B">
        <w:t>1</w:t>
      </w:r>
      <w:r w:rsidR="00374F63" w:rsidRPr="0024375B">
        <w:t>.</w:t>
      </w:r>
    </w:p>
    <w:p w14:paraId="7210FE18" w14:textId="77777777" w:rsidR="00650EDF" w:rsidRDefault="000C460C" w:rsidP="00FC6B8C">
      <w:pPr>
        <w:pStyle w:val="NIEARTTEKSTtekstnieartykuowanynppodstprawnarozplubpreambua"/>
      </w:pPr>
      <w:r w:rsidRPr="0024375B">
        <w:t xml:space="preserve">Przewodniczący Kolegium </w:t>
      </w:r>
      <w:r w:rsidR="00BC0362" w:rsidRPr="0024375B">
        <w:t>otrzy</w:t>
      </w:r>
      <w:r w:rsidRPr="0024375B">
        <w:t xml:space="preserve">ma także kompetencję do </w:t>
      </w:r>
      <w:r w:rsidR="00650EDF" w:rsidRPr="0024375B">
        <w:t>powo</w:t>
      </w:r>
      <w:r w:rsidRPr="0024375B">
        <w:t>łania zespo</w:t>
      </w:r>
      <w:r w:rsidR="00650EDF" w:rsidRPr="0024375B">
        <w:t>ł</w:t>
      </w:r>
      <w:r w:rsidRPr="0024375B">
        <w:t>u opiniującego</w:t>
      </w:r>
      <w:r w:rsidR="00650EDF" w:rsidRPr="0024375B">
        <w:t>,</w:t>
      </w:r>
      <w:r w:rsidR="0077165A">
        <w:t xml:space="preserve"> o </w:t>
      </w:r>
      <w:r w:rsidR="00650EDF" w:rsidRPr="0024375B">
        <w:t>którym mowa</w:t>
      </w:r>
      <w:r w:rsidR="002161FE">
        <w:t xml:space="preserve"> w</w:t>
      </w:r>
      <w:r w:rsidR="00EA1900">
        <w:t xml:space="preserve"> art. </w:t>
      </w:r>
      <w:r w:rsidR="00650EDF" w:rsidRPr="0024375B">
        <w:t xml:space="preserve">66a </w:t>
      </w:r>
      <w:r w:rsidR="00D00CB4">
        <w:t>ust. </w:t>
      </w:r>
      <w:r w:rsidR="00650EDF" w:rsidRPr="0024375B">
        <w:t>10</w:t>
      </w:r>
      <w:r w:rsidRPr="0024375B">
        <w:t xml:space="preserve"> pkt 1</w:t>
      </w:r>
      <w:r w:rsidR="00650EDF" w:rsidRPr="0024375B">
        <w:t xml:space="preserve">, oraz </w:t>
      </w:r>
      <w:r w:rsidR="00BC0362" w:rsidRPr="0024375B">
        <w:t xml:space="preserve">będzie mógł </w:t>
      </w:r>
      <w:r w:rsidR="00650EDF" w:rsidRPr="0024375B">
        <w:t>wskaz</w:t>
      </w:r>
      <w:r w:rsidR="00BC0362" w:rsidRPr="0024375B">
        <w:t>ać</w:t>
      </w:r>
      <w:r w:rsidR="00650EDF" w:rsidRPr="0024375B">
        <w:t xml:space="preserve"> przedstawicieli członków Kolegium wchodzących</w:t>
      </w:r>
      <w:r w:rsidR="00EA1900">
        <w:t xml:space="preserve"> w </w:t>
      </w:r>
      <w:r w:rsidR="00650EDF" w:rsidRPr="0024375B">
        <w:t>jego skład</w:t>
      </w:r>
      <w:r w:rsidR="00BC0362" w:rsidRPr="0024375B">
        <w:t>. Będzie mógł również rozstrzygnąć spór</w:t>
      </w:r>
      <w:r w:rsidR="00650EDF" w:rsidRPr="0024375B">
        <w:t>,</w:t>
      </w:r>
      <w:r w:rsidR="0077165A">
        <w:t xml:space="preserve"> o </w:t>
      </w:r>
      <w:r w:rsidRPr="0024375B">
        <w:t>którym mowa</w:t>
      </w:r>
      <w:r w:rsidR="002161FE">
        <w:t xml:space="preserve"> w</w:t>
      </w:r>
      <w:r w:rsidR="00EA1900">
        <w:t xml:space="preserve"> art. </w:t>
      </w:r>
      <w:r w:rsidRPr="0024375B">
        <w:t xml:space="preserve">66a </w:t>
      </w:r>
      <w:r w:rsidR="00D00CB4">
        <w:t>ust. </w:t>
      </w:r>
      <w:r w:rsidRPr="0024375B">
        <w:t>10 pkt 2</w:t>
      </w:r>
      <w:r w:rsidR="00650EDF" w:rsidRPr="0024375B">
        <w:t>, wskazując właściwego członka zespołu opiniującego.</w:t>
      </w:r>
    </w:p>
    <w:p w14:paraId="10F0C36D" w14:textId="77777777" w:rsidR="00B40575" w:rsidRDefault="00B40575" w:rsidP="00FC6B8C">
      <w:pPr>
        <w:pStyle w:val="NIEARTTEKSTtekstnieartykuowanynppodstprawnarozplubpreambua"/>
      </w:pPr>
      <w:r>
        <w:t>Ustawa o krajowym systemie cyberbezpieczeństwa nie przewiduje sytuacji nieobecności Sekretarza Kolegium do Spraw Cyberbezpieczeństwa na przykład spowodowanej czasowymi problemami zdrowotnymi. Aby zapewnić ciągłość obsługi Kolegium proponuje się wprowadzenie instytucji zastępcy Sekretarza Kolegium. Sekretarz Kolegium jest powoływany przez Przewodniczącego Kolegium - czyli Prezesa Rady Ministrów. Aby nie nakładać nadmiernych obowiązków na Prezesa Rady Ministrów zastosowano zasadę pomocniczości - zastępcę Sekretarza Kolegium będzie powoływał jak również odwoływał Sekretarz Kolegium. Będzie to też oznaczało, że Sekretarz Kolegium odpowiada przed Przewodniczącym Kolegium za wybór danej osoby na zastępcę. Kryteria wyboru zastępcy Sekretarza będą takie same, jak dla Sekretarza - zastępca będzie musiał spełniać wymagania określone w przepisach o ochronie informacji niejawnych w zakresie dostępu do informacji niejawnych o klauzuli „tajne”.</w:t>
      </w:r>
    </w:p>
    <w:p w14:paraId="7F85E4DE" w14:textId="77777777" w:rsidR="00B40575" w:rsidRPr="0024375B" w:rsidRDefault="00B40575" w:rsidP="00FC6B8C">
      <w:pPr>
        <w:pStyle w:val="NIEARTTEKSTtekstnieartykuowanynppodstprawnarozplubpreambua"/>
      </w:pPr>
      <w:r>
        <w:lastRenderedPageBreak/>
        <w:t>W przepisie wskazano jasno, że zastępca Sekretarza Kolegium wykonuje obowiązki Sekretarza w razie nieobecności tego ostatniego, w szczególności zastępuje go na posiedzeniu Kolegium.</w:t>
      </w:r>
    </w:p>
    <w:p w14:paraId="4EAA024C" w14:textId="77777777" w:rsidR="6778CDB2" w:rsidRPr="0024375B" w:rsidRDefault="6778CDB2" w:rsidP="0024375B">
      <w:pPr>
        <w:pStyle w:val="ARTartustawynprozporzdzenia"/>
        <w:ind w:firstLine="0"/>
      </w:pPr>
    </w:p>
    <w:p w14:paraId="6B26FBF1" w14:textId="77777777" w:rsidR="00F6749E" w:rsidRPr="0024375B" w:rsidRDefault="1F0A690A" w:rsidP="00862E68">
      <w:pPr>
        <w:pStyle w:val="Nagwek3"/>
      </w:pPr>
      <w:bookmarkStart w:id="34" w:name="_Toc136511056"/>
      <w:r w:rsidRPr="0024375B">
        <w:t>Postępowanie</w:t>
      </w:r>
      <w:r w:rsidR="00EA1900">
        <w:t xml:space="preserve"> w </w:t>
      </w:r>
      <w:r w:rsidRPr="0024375B">
        <w:t>sprawie uznania dostawcy za dostawcę wysokiego ryzyka</w:t>
      </w:r>
      <w:bookmarkEnd w:id="34"/>
    </w:p>
    <w:p w14:paraId="519C40B0" w14:textId="77777777" w:rsidR="001B0DCA" w:rsidRDefault="001B0DCA" w:rsidP="00DC1575">
      <w:pPr>
        <w:pStyle w:val="Nagwek4"/>
      </w:pPr>
      <w:r>
        <w:t>Nowy art. 66a</w:t>
      </w:r>
    </w:p>
    <w:p w14:paraId="726A8EC1"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Zawarty</w:t>
      </w:r>
      <w:r w:rsidR="00EA1900">
        <w:rPr>
          <w:rFonts w:ascii="Times New Roman" w:hAnsi="Times New Roman" w:cs="Times New Roman"/>
        </w:rPr>
        <w:t xml:space="preserve"> w </w:t>
      </w:r>
      <w:r w:rsidRPr="0024375B">
        <w:rPr>
          <w:rFonts w:ascii="Times New Roman" w:hAnsi="Times New Roman" w:cs="Times New Roman"/>
        </w:rPr>
        <w:t>rozdziale I Konstytucji</w:t>
      </w:r>
      <w:r w:rsidR="00DA4F08" w:rsidRPr="0024375B">
        <w:rPr>
          <w:rStyle w:val="Odwoanieprzypisudolnego"/>
          <w:rFonts w:ascii="Times New Roman" w:hAnsi="Times New Roman"/>
        </w:rPr>
        <w:footnoteReference w:id="48"/>
      </w:r>
      <w:r w:rsidR="00B85A6F">
        <w:rPr>
          <w:rFonts w:ascii="Times New Roman" w:hAnsi="Times New Roman" w:cs="Times New Roman"/>
          <w:vertAlign w:val="superscript"/>
        </w:rPr>
        <w:t>)</w:t>
      </w:r>
      <w:r w:rsidR="00EA1900">
        <w:rPr>
          <w:rFonts w:ascii="Times New Roman" w:hAnsi="Times New Roman" w:cs="Times New Roman"/>
        </w:rPr>
        <w:t xml:space="preserve"> art. </w:t>
      </w:r>
      <w:r w:rsidRPr="0024375B">
        <w:rPr>
          <w:rFonts w:ascii="Times New Roman" w:hAnsi="Times New Roman" w:cs="Times New Roman"/>
        </w:rPr>
        <w:t>20 stanowi</w:t>
      </w:r>
      <w:r w:rsidR="0077165A">
        <w:rPr>
          <w:rFonts w:ascii="Times New Roman" w:hAnsi="Times New Roman" w:cs="Times New Roman"/>
        </w:rPr>
        <w:t xml:space="preserve"> o </w:t>
      </w:r>
      <w:r w:rsidRPr="0024375B">
        <w:rPr>
          <w:rFonts w:ascii="Times New Roman" w:hAnsi="Times New Roman" w:cs="Times New Roman"/>
        </w:rPr>
        <w:t>ustroju gospodarczym Rzecz</w:t>
      </w:r>
      <w:r w:rsidR="005E606F" w:rsidRPr="0024375B">
        <w:rPr>
          <w:rFonts w:ascii="Times New Roman" w:hAnsi="Times New Roman" w:cs="Times New Roman"/>
        </w:rPr>
        <w:t>y</w:t>
      </w:r>
      <w:r w:rsidRPr="0024375B">
        <w:rPr>
          <w:rFonts w:ascii="Times New Roman" w:hAnsi="Times New Roman" w:cs="Times New Roman"/>
        </w:rPr>
        <w:t>pospolitej Polskiej. Opiera się on między innymi na wolności prowadzenia działalności gospodarczej, która polega na możliwości</w:t>
      </w:r>
      <w:r w:rsidR="00AA4F07" w:rsidRPr="0024375B">
        <w:rPr>
          <w:rFonts w:ascii="Times New Roman" w:hAnsi="Times New Roman" w:cs="Times New Roman"/>
        </w:rPr>
        <w:t>:</w:t>
      </w:r>
      <w:r w:rsidRPr="0024375B">
        <w:rPr>
          <w:rFonts w:ascii="Times New Roman" w:hAnsi="Times New Roman" w:cs="Times New Roman"/>
        </w:rPr>
        <w:t xml:space="preserve"> podejmowania działalności gospodarczej</w:t>
      </w:r>
      <w:r w:rsidR="00EA1900">
        <w:rPr>
          <w:rFonts w:ascii="Times New Roman" w:hAnsi="Times New Roman" w:cs="Times New Roman"/>
        </w:rPr>
        <w:t xml:space="preserve"> w </w:t>
      </w:r>
      <w:r w:rsidRPr="0024375B">
        <w:rPr>
          <w:rFonts w:ascii="Times New Roman" w:hAnsi="Times New Roman" w:cs="Times New Roman"/>
        </w:rPr>
        <w:t>wybranej formie, swobodnego podejmowania decyzji gospodarczych oraz decyzji</w:t>
      </w:r>
      <w:r w:rsidR="00EA1900">
        <w:rPr>
          <w:rFonts w:ascii="Times New Roman" w:hAnsi="Times New Roman" w:cs="Times New Roman"/>
        </w:rPr>
        <w:t xml:space="preserve"> w </w:t>
      </w:r>
      <w:r w:rsidRPr="0024375B">
        <w:rPr>
          <w:rFonts w:ascii="Times New Roman" w:hAnsi="Times New Roman" w:cs="Times New Roman"/>
        </w:rPr>
        <w:t>sprawie zakończenia działalności. Z kolei</w:t>
      </w:r>
      <w:r w:rsidR="00EA1900">
        <w:rPr>
          <w:rFonts w:ascii="Times New Roman" w:hAnsi="Times New Roman" w:cs="Times New Roman"/>
        </w:rPr>
        <w:t xml:space="preserve"> art. </w:t>
      </w:r>
      <w:r w:rsidRPr="0024375B">
        <w:rPr>
          <w:rFonts w:ascii="Times New Roman" w:hAnsi="Times New Roman" w:cs="Times New Roman"/>
        </w:rPr>
        <w:t>22 Konstytucji dopuszcza ograniczenie wolności działalności gospodarczej</w:t>
      </w:r>
      <w:r w:rsidR="00EA1900">
        <w:rPr>
          <w:rFonts w:ascii="Times New Roman" w:hAnsi="Times New Roman" w:cs="Times New Roman"/>
        </w:rPr>
        <w:t xml:space="preserve"> w </w:t>
      </w:r>
      <w:r w:rsidRPr="0024375B">
        <w:rPr>
          <w:rFonts w:ascii="Times New Roman" w:hAnsi="Times New Roman" w:cs="Times New Roman"/>
        </w:rPr>
        <w:t>drodze ustawy ze względu na ważny interes publiczny.</w:t>
      </w:r>
      <w:r w:rsidR="00116933">
        <w:rPr>
          <w:rFonts w:ascii="Times New Roman" w:hAnsi="Times New Roman" w:cs="Times New Roman"/>
        </w:rPr>
        <w:t xml:space="preserve"> W </w:t>
      </w:r>
      <w:r w:rsidRPr="0024375B">
        <w:rPr>
          <w:rFonts w:ascii="Times New Roman" w:hAnsi="Times New Roman" w:cs="Times New Roman"/>
        </w:rPr>
        <w:t>ślad za tym artykułem Trybunał Konstytucyjny podkreślał</w:t>
      </w:r>
      <w:r w:rsidR="00EA1900">
        <w:rPr>
          <w:rFonts w:ascii="Times New Roman" w:hAnsi="Times New Roman" w:cs="Times New Roman"/>
        </w:rPr>
        <w:t xml:space="preserve"> w </w:t>
      </w:r>
      <w:r w:rsidRPr="0024375B">
        <w:rPr>
          <w:rFonts w:ascii="Times New Roman" w:hAnsi="Times New Roman" w:cs="Times New Roman"/>
        </w:rPr>
        <w:t>swoim orzecznictwie, że wolność działalności gospodarczej nie ma charakteru absolutnego.</w:t>
      </w:r>
      <w:r w:rsidR="00116933">
        <w:rPr>
          <w:rFonts w:ascii="Times New Roman" w:hAnsi="Times New Roman" w:cs="Times New Roman"/>
        </w:rPr>
        <w:t xml:space="preserve"> W </w:t>
      </w:r>
      <w:r w:rsidRPr="0024375B">
        <w:rPr>
          <w:rFonts w:ascii="Times New Roman" w:hAnsi="Times New Roman" w:cs="Times New Roman"/>
        </w:rPr>
        <w:t>jednym</w:t>
      </w:r>
      <w:r w:rsidR="002161FE">
        <w:rPr>
          <w:rFonts w:ascii="Times New Roman" w:hAnsi="Times New Roman" w:cs="Times New Roman"/>
        </w:rPr>
        <w:t xml:space="preserve"> z </w:t>
      </w:r>
      <w:r w:rsidRPr="0024375B">
        <w:rPr>
          <w:rFonts w:ascii="Times New Roman" w:hAnsi="Times New Roman" w:cs="Times New Roman"/>
        </w:rPr>
        <w:t xml:space="preserve">wyroków Trybunał </w:t>
      </w:r>
      <w:r w:rsidR="00131DE5" w:rsidRPr="0024375B">
        <w:rPr>
          <w:rFonts w:ascii="Times New Roman" w:hAnsi="Times New Roman" w:cs="Times New Roman"/>
        </w:rPr>
        <w:t>zaznaczył</w:t>
      </w:r>
      <w:r w:rsidRPr="0024375B">
        <w:rPr>
          <w:rFonts w:ascii="Times New Roman" w:hAnsi="Times New Roman" w:cs="Times New Roman"/>
        </w:rPr>
        <w:t xml:space="preserve">, </w:t>
      </w:r>
      <w:r w:rsidRPr="0024375B">
        <w:rPr>
          <w:rFonts w:ascii="Times New Roman" w:eastAsia="Times New Roman" w:hAnsi="Times New Roman" w:cs="Times New Roman"/>
        </w:rPr>
        <w:t>że działalność gospodarcza może podlegać różnego rodzaju ograniczeniom</w:t>
      </w:r>
      <w:r w:rsidR="00EA1900">
        <w:rPr>
          <w:rFonts w:ascii="Times New Roman" w:eastAsia="Times New Roman" w:hAnsi="Times New Roman" w:cs="Times New Roman"/>
        </w:rPr>
        <w:t xml:space="preserve"> w </w:t>
      </w:r>
      <w:r w:rsidRPr="0024375B">
        <w:rPr>
          <w:rFonts w:ascii="Times New Roman" w:eastAsia="Times New Roman" w:hAnsi="Times New Roman" w:cs="Times New Roman"/>
        </w:rPr>
        <w:t>stopniu większym niż prawa</w:t>
      </w:r>
      <w:r w:rsidR="002161FE">
        <w:rPr>
          <w:rFonts w:ascii="Times New Roman" w:eastAsia="Times New Roman" w:hAnsi="Times New Roman" w:cs="Times New Roman"/>
        </w:rPr>
        <w:t xml:space="preserve"> i </w:t>
      </w:r>
      <w:r w:rsidRPr="0024375B">
        <w:rPr>
          <w:rFonts w:ascii="Times New Roman" w:eastAsia="Times New Roman" w:hAnsi="Times New Roman" w:cs="Times New Roman"/>
        </w:rPr>
        <w:t>wolności</w:t>
      </w:r>
      <w:r w:rsidR="0077165A">
        <w:rPr>
          <w:rFonts w:ascii="Times New Roman" w:eastAsia="Times New Roman" w:hAnsi="Times New Roman" w:cs="Times New Roman"/>
        </w:rPr>
        <w:t xml:space="preserve"> o </w:t>
      </w:r>
      <w:r w:rsidRPr="0024375B">
        <w:rPr>
          <w:rFonts w:ascii="Times New Roman" w:hAnsi="Times New Roman" w:cs="Times New Roman"/>
        </w:rPr>
        <w:t>charakterze osobistym bądź politycznym</w:t>
      </w:r>
      <w:r w:rsidRPr="0024375B">
        <w:rPr>
          <w:rStyle w:val="Odwoanieprzypisudolnego"/>
          <w:rFonts w:ascii="Times New Roman" w:hAnsi="Times New Roman"/>
        </w:rPr>
        <w:footnoteReference w:id="49"/>
      </w:r>
      <w:r w:rsidR="00471075" w:rsidRPr="0024375B">
        <w:rPr>
          <w:rStyle w:val="IGindeksgrny"/>
          <w:rFonts w:ascii="Times New Roman" w:hAnsi="Times New Roman" w:cs="Times New Roman"/>
        </w:rPr>
        <w:t>)</w:t>
      </w:r>
      <w:r w:rsidRPr="0024375B">
        <w:rPr>
          <w:rFonts w:ascii="Times New Roman" w:hAnsi="Times New Roman" w:cs="Times New Roman"/>
        </w:rPr>
        <w:t>. Państwo może więc wprowadzić takie przepisy ustawowe, które pozwolą zminimalizować niekorzystne skutki mechanizmów wolnorynkowych, jeżeli skutki te ujawniają się</w:t>
      </w:r>
      <w:r w:rsidR="00EA1900">
        <w:rPr>
          <w:rFonts w:ascii="Times New Roman" w:hAnsi="Times New Roman" w:cs="Times New Roman"/>
        </w:rPr>
        <w:t xml:space="preserve"> w </w:t>
      </w:r>
      <w:r w:rsidRPr="0024375B">
        <w:rPr>
          <w:rFonts w:ascii="Times New Roman" w:hAnsi="Times New Roman" w:cs="Times New Roman"/>
        </w:rPr>
        <w:t>sferze, która nie może pozostać obojętna dla państwa ze względu na ochronę powszechnie uznawanych wartości</w:t>
      </w:r>
      <w:r w:rsidRPr="0024375B">
        <w:rPr>
          <w:rStyle w:val="Odwoanieprzypisudolnego"/>
          <w:rFonts w:ascii="Times New Roman" w:hAnsi="Times New Roman"/>
        </w:rPr>
        <w:footnoteReference w:id="50"/>
      </w:r>
      <w:r w:rsidR="00471075" w:rsidRPr="0024375B">
        <w:rPr>
          <w:rStyle w:val="IGindeksgrny"/>
          <w:rFonts w:ascii="Times New Roman" w:hAnsi="Times New Roman" w:cs="Times New Roman"/>
        </w:rPr>
        <w:t>)</w:t>
      </w:r>
      <w:r w:rsidRPr="0024375B">
        <w:rPr>
          <w:rFonts w:ascii="Times New Roman" w:hAnsi="Times New Roman" w:cs="Times New Roman"/>
        </w:rPr>
        <w:t>. Z kolei</w:t>
      </w:r>
      <w:r w:rsidR="00EA1900">
        <w:rPr>
          <w:rFonts w:ascii="Times New Roman" w:hAnsi="Times New Roman" w:cs="Times New Roman"/>
        </w:rPr>
        <w:t xml:space="preserve"> w </w:t>
      </w:r>
      <w:r w:rsidRPr="0024375B">
        <w:rPr>
          <w:rFonts w:ascii="Times New Roman" w:hAnsi="Times New Roman" w:cs="Times New Roman"/>
        </w:rPr>
        <w:t>innym orzeczeniu Trybunał zaznaczył, że rezygnacja</w:t>
      </w:r>
      <w:r w:rsidR="002161FE">
        <w:rPr>
          <w:rFonts w:ascii="Times New Roman" w:hAnsi="Times New Roman" w:cs="Times New Roman"/>
        </w:rPr>
        <w:t xml:space="preserve"> z </w:t>
      </w:r>
      <w:r w:rsidRPr="0024375B">
        <w:rPr>
          <w:rFonts w:ascii="Times New Roman" w:hAnsi="Times New Roman" w:cs="Times New Roman"/>
        </w:rPr>
        <w:t>niezbędnych środków kontroli przez państwo niektórych dziedzin gospodarki mogł</w:t>
      </w:r>
      <w:r w:rsidR="005E606F" w:rsidRPr="0024375B">
        <w:rPr>
          <w:rFonts w:ascii="Times New Roman" w:hAnsi="Times New Roman" w:cs="Times New Roman"/>
        </w:rPr>
        <w:t>a</w:t>
      </w:r>
      <w:r w:rsidRPr="0024375B">
        <w:rPr>
          <w:rFonts w:ascii="Times New Roman" w:hAnsi="Times New Roman" w:cs="Times New Roman"/>
        </w:rPr>
        <w:t>by doprowadzić do zagrożenia bezpieczeństwa państwa, porządku publicznego</w:t>
      </w:r>
      <w:r w:rsidR="002161FE">
        <w:rPr>
          <w:rFonts w:ascii="Times New Roman" w:hAnsi="Times New Roman" w:cs="Times New Roman"/>
        </w:rPr>
        <w:t xml:space="preserve"> a </w:t>
      </w:r>
      <w:r w:rsidRPr="0024375B">
        <w:rPr>
          <w:rFonts w:ascii="Times New Roman" w:hAnsi="Times New Roman" w:cs="Times New Roman"/>
        </w:rPr>
        <w:t>także prawno-międzynarodowym zobowiązaniom państwa</w:t>
      </w:r>
      <w:r w:rsidRPr="0024375B">
        <w:rPr>
          <w:rStyle w:val="Odwoanieprzypisudolnego"/>
          <w:rFonts w:ascii="Times New Roman" w:hAnsi="Times New Roman"/>
        </w:rPr>
        <w:footnoteReference w:id="51"/>
      </w:r>
      <w:r w:rsidR="00471075" w:rsidRPr="0024375B">
        <w:rPr>
          <w:rStyle w:val="IGindeksgrny"/>
          <w:rFonts w:ascii="Times New Roman" w:hAnsi="Times New Roman" w:cs="Times New Roman"/>
        </w:rPr>
        <w:t>)</w:t>
      </w:r>
      <w:r w:rsidRPr="0024375B">
        <w:rPr>
          <w:rFonts w:ascii="Times New Roman" w:hAnsi="Times New Roman" w:cs="Times New Roman"/>
        </w:rPr>
        <w:t>.</w:t>
      </w:r>
      <w:r w:rsidR="00116933">
        <w:rPr>
          <w:rFonts w:ascii="Times New Roman" w:hAnsi="Times New Roman" w:cs="Times New Roman"/>
        </w:rPr>
        <w:t xml:space="preserve"> W </w:t>
      </w:r>
      <w:r w:rsidR="005E606F" w:rsidRPr="0024375B">
        <w:rPr>
          <w:rFonts w:ascii="Times New Roman" w:hAnsi="Times New Roman" w:cs="Times New Roman"/>
        </w:rPr>
        <w:t>tym kontekście należy wskazać, że b</w:t>
      </w:r>
      <w:r w:rsidRPr="0024375B">
        <w:rPr>
          <w:rFonts w:ascii="Times New Roman" w:hAnsi="Times New Roman" w:cs="Times New Roman"/>
        </w:rPr>
        <w:t>ezpieczeństwo państwa zostało uznane przez Trybunał Konstytucyjny za element dobra wspólnego,</w:t>
      </w:r>
      <w:r w:rsidR="002161FE">
        <w:rPr>
          <w:rFonts w:ascii="Times New Roman" w:hAnsi="Times New Roman" w:cs="Times New Roman"/>
        </w:rPr>
        <w:t xml:space="preserve"> a </w:t>
      </w:r>
      <w:r w:rsidRPr="0024375B">
        <w:rPr>
          <w:rFonts w:ascii="Times New Roman" w:hAnsi="Times New Roman" w:cs="Times New Roman"/>
        </w:rPr>
        <w:t>każdy obywatel jest zobowiązany do troski</w:t>
      </w:r>
      <w:r w:rsidR="0077165A">
        <w:rPr>
          <w:rFonts w:ascii="Times New Roman" w:hAnsi="Times New Roman" w:cs="Times New Roman"/>
        </w:rPr>
        <w:t xml:space="preserve"> o </w:t>
      </w:r>
      <w:r w:rsidRPr="0024375B">
        <w:rPr>
          <w:rFonts w:ascii="Times New Roman" w:hAnsi="Times New Roman" w:cs="Times New Roman"/>
        </w:rPr>
        <w:t>dobro wspólne. Obowiązkiem Rady Ministrów jest zapewnienie bezpieczeństwa wewnętrznego</w:t>
      </w:r>
      <w:r w:rsidR="002161FE">
        <w:rPr>
          <w:rFonts w:ascii="Times New Roman" w:hAnsi="Times New Roman" w:cs="Times New Roman"/>
        </w:rPr>
        <w:t xml:space="preserve"> i </w:t>
      </w:r>
      <w:r w:rsidRPr="0024375B">
        <w:rPr>
          <w:rFonts w:ascii="Times New Roman" w:hAnsi="Times New Roman" w:cs="Times New Roman"/>
        </w:rPr>
        <w:t xml:space="preserve">zewnętrznego państwa (art. 146 </w:t>
      </w:r>
      <w:r w:rsidR="00D00CB4">
        <w:rPr>
          <w:rFonts w:ascii="Times New Roman" w:hAnsi="Times New Roman" w:cs="Times New Roman"/>
        </w:rPr>
        <w:t>ust. </w:t>
      </w:r>
      <w:r w:rsidRPr="0024375B">
        <w:rPr>
          <w:rFonts w:ascii="Times New Roman" w:hAnsi="Times New Roman" w:cs="Times New Roman"/>
        </w:rPr>
        <w:t>4 pkt 7</w:t>
      </w:r>
      <w:r w:rsidR="002161FE">
        <w:rPr>
          <w:rFonts w:ascii="Times New Roman" w:hAnsi="Times New Roman" w:cs="Times New Roman"/>
        </w:rPr>
        <w:t xml:space="preserve"> i </w:t>
      </w:r>
      <w:r w:rsidRPr="0024375B">
        <w:rPr>
          <w:rFonts w:ascii="Times New Roman" w:hAnsi="Times New Roman" w:cs="Times New Roman"/>
        </w:rPr>
        <w:t>8 Konstytucji).</w:t>
      </w:r>
    </w:p>
    <w:p w14:paraId="7CF374C0" w14:textId="77777777" w:rsidR="006359E0" w:rsidRDefault="005E606F" w:rsidP="00DD10ED">
      <w:pPr>
        <w:pStyle w:val="NIEARTTEKSTtekstnieartykuowanynppodstprawnarozplubpreambua"/>
        <w:rPr>
          <w:rFonts w:ascii="Times New Roman" w:hAnsi="Times New Roman" w:cs="Times New Roman"/>
        </w:rPr>
      </w:pPr>
      <w:r w:rsidRPr="0024375B">
        <w:rPr>
          <w:rFonts w:ascii="Times New Roman" w:hAnsi="Times New Roman" w:cs="Times New Roman"/>
        </w:rPr>
        <w:t>Opierając się na powyższych przesłankach, p</w:t>
      </w:r>
      <w:r w:rsidR="00F6749E" w:rsidRPr="0024375B">
        <w:rPr>
          <w:rFonts w:ascii="Times New Roman" w:hAnsi="Times New Roman" w:cs="Times New Roman"/>
        </w:rPr>
        <w:t>rojektodawca proponuje wprowadzenie mechanizmu pozwalającego na uznanie określonego dostawcy sprzętu lub oprogramowania dla szczególnego rodzaju podmiotów gospodarczych</w:t>
      </w:r>
      <w:r w:rsidR="002161FE">
        <w:rPr>
          <w:rFonts w:ascii="Times New Roman" w:hAnsi="Times New Roman" w:cs="Times New Roman"/>
        </w:rPr>
        <w:t xml:space="preserve"> i </w:t>
      </w:r>
      <w:r w:rsidR="00F6749E" w:rsidRPr="0024375B">
        <w:rPr>
          <w:rFonts w:ascii="Times New Roman" w:hAnsi="Times New Roman" w:cs="Times New Roman"/>
        </w:rPr>
        <w:t>społecznych, za dostawcę wysokiego ryzyka. Wskazane</w:t>
      </w:r>
      <w:r w:rsidR="00EA1900">
        <w:rPr>
          <w:rFonts w:ascii="Times New Roman" w:hAnsi="Times New Roman" w:cs="Times New Roman"/>
        </w:rPr>
        <w:t xml:space="preserve"> w </w:t>
      </w:r>
      <w:r w:rsidR="00F6749E" w:rsidRPr="0024375B">
        <w:rPr>
          <w:rFonts w:ascii="Times New Roman" w:hAnsi="Times New Roman" w:cs="Times New Roman"/>
        </w:rPr>
        <w:t>decyzji zakresy produktów ICT, rodzaje usług ICT lub konkretne procesy ICT pochodzące od dostawcy</w:t>
      </w:r>
      <w:r w:rsidRPr="0024375B">
        <w:rPr>
          <w:rFonts w:ascii="Times New Roman" w:hAnsi="Times New Roman" w:cs="Times New Roman"/>
        </w:rPr>
        <w:t xml:space="preserve"> </w:t>
      </w:r>
      <w:r w:rsidR="00F6749E" w:rsidRPr="0024375B">
        <w:rPr>
          <w:rFonts w:ascii="Times New Roman" w:hAnsi="Times New Roman" w:cs="Times New Roman"/>
        </w:rPr>
        <w:t>wysokiego ryzyka, będą musiały być wycofane</w:t>
      </w:r>
      <w:r w:rsidR="002161FE">
        <w:rPr>
          <w:rFonts w:ascii="Times New Roman" w:hAnsi="Times New Roman" w:cs="Times New Roman"/>
        </w:rPr>
        <w:t xml:space="preserve"> z </w:t>
      </w:r>
      <w:r w:rsidR="00F6749E" w:rsidRPr="0024375B">
        <w:rPr>
          <w:rFonts w:ascii="Times New Roman" w:hAnsi="Times New Roman" w:cs="Times New Roman"/>
        </w:rPr>
        <w:t xml:space="preserve">tych podmiotów. </w:t>
      </w:r>
      <w:r w:rsidR="6150612C" w:rsidRPr="0024375B">
        <w:rPr>
          <w:rFonts w:ascii="Times New Roman" w:hAnsi="Times New Roman" w:cs="Times New Roman"/>
        </w:rPr>
        <w:t>Rozwiązanie to ma</w:t>
      </w:r>
      <w:r w:rsidR="00131DE5" w:rsidRPr="0024375B">
        <w:rPr>
          <w:rFonts w:ascii="Times New Roman" w:hAnsi="Times New Roman" w:cs="Times New Roman"/>
        </w:rPr>
        <w:t xml:space="preserve"> na</w:t>
      </w:r>
      <w:r w:rsidR="722B21BD" w:rsidRPr="0024375B">
        <w:rPr>
          <w:rFonts w:ascii="Times New Roman" w:hAnsi="Times New Roman" w:cs="Times New Roman"/>
        </w:rPr>
        <w:t xml:space="preserve"> celu</w:t>
      </w:r>
      <w:r w:rsidR="00131DE5" w:rsidRPr="0024375B">
        <w:rPr>
          <w:rFonts w:ascii="Times New Roman" w:hAnsi="Times New Roman" w:cs="Times New Roman"/>
        </w:rPr>
        <w:t xml:space="preserve"> </w:t>
      </w:r>
      <w:r w:rsidR="00F6749E" w:rsidRPr="0024375B">
        <w:rPr>
          <w:rFonts w:ascii="Times New Roman" w:hAnsi="Times New Roman" w:cs="Times New Roman"/>
        </w:rPr>
        <w:t xml:space="preserve">zapewnienie </w:t>
      </w:r>
      <w:r w:rsidR="00A949E8" w:rsidRPr="0024375B">
        <w:rPr>
          <w:rFonts w:ascii="Times New Roman" w:hAnsi="Times New Roman" w:cs="Times New Roman"/>
        </w:rPr>
        <w:t xml:space="preserve">ochrony </w:t>
      </w:r>
      <w:r w:rsidR="000C460C" w:rsidRPr="0024375B">
        <w:rPr>
          <w:rFonts w:ascii="Times New Roman" w:hAnsi="Times New Roman" w:cs="Times New Roman"/>
        </w:rPr>
        <w:t>ważnego interesu państwowego</w:t>
      </w:r>
      <w:r w:rsidR="00EA1900">
        <w:rPr>
          <w:rFonts w:ascii="Times New Roman" w:hAnsi="Times New Roman" w:cs="Times New Roman"/>
        </w:rPr>
        <w:t xml:space="preserve"> w </w:t>
      </w:r>
      <w:r w:rsidR="269DB3C9" w:rsidRPr="0024375B">
        <w:rPr>
          <w:rFonts w:ascii="Times New Roman" w:hAnsi="Times New Roman" w:cs="Times New Roman"/>
        </w:rPr>
        <w:t xml:space="preserve">postaci bezpieczeństwa </w:t>
      </w:r>
      <w:r w:rsidR="679F35A0" w:rsidRPr="0024375B">
        <w:rPr>
          <w:rFonts w:ascii="Times New Roman" w:hAnsi="Times New Roman" w:cs="Times New Roman"/>
        </w:rPr>
        <w:t>p</w:t>
      </w:r>
      <w:r w:rsidR="269DB3C9" w:rsidRPr="0024375B">
        <w:rPr>
          <w:rFonts w:ascii="Times New Roman" w:hAnsi="Times New Roman" w:cs="Times New Roman"/>
        </w:rPr>
        <w:t xml:space="preserve">aństwa. </w:t>
      </w:r>
    </w:p>
    <w:p w14:paraId="22D2E6A8" w14:textId="77777777" w:rsidR="00DD10ED" w:rsidRPr="00DD10ED" w:rsidRDefault="780D85FF" w:rsidP="00DD10ED">
      <w:pPr>
        <w:pStyle w:val="NIEARTTEKSTtekstnieartykuowanynppodstprawnarozplubpreambua"/>
        <w:rPr>
          <w:rFonts w:ascii="Times New Roman" w:hAnsi="Times New Roman" w:cs="Times New Roman"/>
        </w:rPr>
      </w:pPr>
      <w:r w:rsidRPr="0024375B">
        <w:rPr>
          <w:rFonts w:ascii="Times New Roman" w:hAnsi="Times New Roman" w:cs="Times New Roman"/>
        </w:rPr>
        <w:lastRenderedPageBreak/>
        <w:t>O</w:t>
      </w:r>
      <w:r w:rsidR="00F6749E" w:rsidRPr="0024375B">
        <w:rPr>
          <w:rFonts w:ascii="Times New Roman" w:hAnsi="Times New Roman" w:cs="Times New Roman"/>
        </w:rPr>
        <w:t xml:space="preserve">becnie nie ma żadnych środków prawnych umożliwiających </w:t>
      </w:r>
      <w:r w:rsidR="00A949E8" w:rsidRPr="0024375B">
        <w:rPr>
          <w:rFonts w:ascii="Times New Roman" w:hAnsi="Times New Roman" w:cs="Times New Roman"/>
        </w:rPr>
        <w:t xml:space="preserve">nakazanie </w:t>
      </w:r>
      <w:r w:rsidR="00F6749E" w:rsidRPr="0024375B">
        <w:rPr>
          <w:rFonts w:ascii="Times New Roman" w:hAnsi="Times New Roman" w:cs="Times New Roman"/>
        </w:rPr>
        <w:t>wycofywani</w:t>
      </w:r>
      <w:r w:rsidR="00A949E8" w:rsidRPr="0024375B">
        <w:rPr>
          <w:rFonts w:ascii="Times New Roman" w:hAnsi="Times New Roman" w:cs="Times New Roman"/>
        </w:rPr>
        <w:t>a</w:t>
      </w:r>
      <w:r w:rsidR="002161FE">
        <w:rPr>
          <w:rFonts w:ascii="Times New Roman" w:hAnsi="Times New Roman" w:cs="Times New Roman"/>
        </w:rPr>
        <w:t xml:space="preserve"> z </w:t>
      </w:r>
      <w:r w:rsidR="00F6749E" w:rsidRPr="0024375B">
        <w:rPr>
          <w:rFonts w:ascii="Times New Roman" w:hAnsi="Times New Roman" w:cs="Times New Roman"/>
        </w:rPr>
        <w:t>eksploatacji produktów ICT, usług ICT</w:t>
      </w:r>
      <w:r w:rsidR="002161FE">
        <w:rPr>
          <w:rFonts w:ascii="Times New Roman" w:hAnsi="Times New Roman" w:cs="Times New Roman"/>
        </w:rPr>
        <w:t xml:space="preserve"> i </w:t>
      </w:r>
      <w:r w:rsidR="00F6749E" w:rsidRPr="0024375B">
        <w:rPr>
          <w:rFonts w:ascii="Times New Roman" w:hAnsi="Times New Roman" w:cs="Times New Roman"/>
        </w:rPr>
        <w:t>procesów ICT zagrażających bezpieczeństwu kluczowych podmiotów</w:t>
      </w:r>
      <w:r w:rsidR="00EA1900">
        <w:rPr>
          <w:rFonts w:ascii="Times New Roman" w:hAnsi="Times New Roman" w:cs="Times New Roman"/>
        </w:rPr>
        <w:t xml:space="preserve"> w </w:t>
      </w:r>
      <w:r w:rsidR="00F6749E" w:rsidRPr="0024375B">
        <w:rPr>
          <w:rFonts w:ascii="Times New Roman" w:hAnsi="Times New Roman" w:cs="Times New Roman"/>
        </w:rPr>
        <w:t>Polsce</w:t>
      </w:r>
      <w:r w:rsidR="00240C10" w:rsidRPr="0024375B">
        <w:rPr>
          <w:rFonts w:ascii="Times New Roman" w:hAnsi="Times New Roman" w:cs="Times New Roman"/>
        </w:rPr>
        <w:t>,</w:t>
      </w:r>
      <w:r w:rsidR="002161FE">
        <w:rPr>
          <w:rFonts w:ascii="Times New Roman" w:hAnsi="Times New Roman" w:cs="Times New Roman"/>
        </w:rPr>
        <w:t xml:space="preserve"> a </w:t>
      </w:r>
      <w:r w:rsidR="00240C10" w:rsidRPr="0024375B">
        <w:rPr>
          <w:rFonts w:ascii="Times New Roman" w:hAnsi="Times New Roman" w:cs="Times New Roman"/>
        </w:rPr>
        <w:t xml:space="preserve">przez to </w:t>
      </w:r>
      <w:r w:rsidR="00A949E8" w:rsidRPr="0024375B">
        <w:rPr>
          <w:rFonts w:ascii="Times New Roman" w:hAnsi="Times New Roman" w:cs="Times New Roman"/>
        </w:rPr>
        <w:t xml:space="preserve">funkcjonowaniu </w:t>
      </w:r>
      <w:r w:rsidR="00240C10" w:rsidRPr="0024375B">
        <w:rPr>
          <w:rFonts w:ascii="Times New Roman" w:hAnsi="Times New Roman" w:cs="Times New Roman"/>
        </w:rPr>
        <w:t>państwa</w:t>
      </w:r>
      <w:r w:rsidR="00F6749E" w:rsidRPr="0024375B">
        <w:rPr>
          <w:rFonts w:ascii="Times New Roman" w:hAnsi="Times New Roman" w:cs="Times New Roman"/>
        </w:rPr>
        <w:t>.</w:t>
      </w:r>
      <w:r w:rsidR="00116933">
        <w:rPr>
          <w:rFonts w:ascii="Times New Roman" w:hAnsi="Times New Roman" w:cs="Times New Roman"/>
        </w:rPr>
        <w:t xml:space="preserve"> W </w:t>
      </w:r>
      <w:r w:rsidR="38561CDB" w:rsidRPr="0024375B">
        <w:rPr>
          <w:rFonts w:ascii="Times New Roman" w:hAnsi="Times New Roman" w:cs="Times New Roman"/>
        </w:rPr>
        <w:t>szczególności dotyczy to kluczowych przedsiębiorców telekomunikacyjnych, którzy będą świadczyć u</w:t>
      </w:r>
      <w:r w:rsidR="0DA06AE5" w:rsidRPr="0024375B">
        <w:rPr>
          <w:rFonts w:ascii="Times New Roman" w:hAnsi="Times New Roman" w:cs="Times New Roman"/>
        </w:rPr>
        <w:t>sługi</w:t>
      </w:r>
      <w:r w:rsidR="00EA1900">
        <w:rPr>
          <w:rFonts w:ascii="Times New Roman" w:hAnsi="Times New Roman" w:cs="Times New Roman"/>
        </w:rPr>
        <w:t xml:space="preserve"> w </w:t>
      </w:r>
      <w:r w:rsidR="0DA06AE5" w:rsidRPr="0024375B">
        <w:rPr>
          <w:rFonts w:ascii="Times New Roman" w:hAnsi="Times New Roman" w:cs="Times New Roman"/>
        </w:rPr>
        <w:t>oparciu</w:t>
      </w:r>
      <w:r w:rsidR="0077165A">
        <w:rPr>
          <w:rFonts w:ascii="Times New Roman" w:hAnsi="Times New Roman" w:cs="Times New Roman"/>
        </w:rPr>
        <w:t xml:space="preserve"> o </w:t>
      </w:r>
      <w:r w:rsidR="002930AA">
        <w:rPr>
          <w:rFonts w:ascii="Times New Roman" w:hAnsi="Times New Roman" w:cs="Times New Roman"/>
        </w:rPr>
        <w:t xml:space="preserve">mobilne </w:t>
      </w:r>
      <w:r w:rsidR="0DA06AE5" w:rsidRPr="0024375B">
        <w:rPr>
          <w:rFonts w:ascii="Times New Roman" w:hAnsi="Times New Roman" w:cs="Times New Roman"/>
        </w:rPr>
        <w:t>sieci 5G</w:t>
      </w:r>
      <w:r w:rsidR="009B312B">
        <w:rPr>
          <w:rStyle w:val="Odwoanieprzypisudolnego"/>
          <w:rFonts w:ascii="Times New Roman" w:hAnsi="Times New Roman"/>
        </w:rPr>
        <w:footnoteReference w:id="52"/>
      </w:r>
      <w:r w:rsidR="006A65EC">
        <w:rPr>
          <w:rFonts w:ascii="Times New Roman" w:hAnsi="Times New Roman" w:cs="Times New Roman"/>
          <w:vertAlign w:val="superscript"/>
        </w:rPr>
        <w:t>)</w:t>
      </w:r>
      <w:r w:rsidR="0DA06AE5" w:rsidRPr="0024375B">
        <w:rPr>
          <w:rFonts w:ascii="Times New Roman" w:hAnsi="Times New Roman" w:cs="Times New Roman"/>
        </w:rPr>
        <w:t>.</w:t>
      </w:r>
      <w:r w:rsidR="00116933">
        <w:rPr>
          <w:rFonts w:ascii="Times New Roman" w:hAnsi="Times New Roman" w:cs="Times New Roman"/>
        </w:rPr>
        <w:t xml:space="preserve"> </w:t>
      </w:r>
      <w:r w:rsidR="00DD10ED">
        <w:rPr>
          <w:rFonts w:ascii="Times New Roman" w:hAnsi="Times New Roman" w:cs="Times New Roman"/>
        </w:rPr>
        <w:t xml:space="preserve">Sieć 5G </w:t>
      </w:r>
      <w:r w:rsidR="00DD10ED" w:rsidRPr="00DD10ED">
        <w:rPr>
          <w:rFonts w:ascii="Times New Roman" w:hAnsi="Times New Roman" w:cs="Times New Roman"/>
        </w:rPr>
        <w:t>będzie oferowała możliwość przetwarzania znacznie większej liczby danych oraz wyższe prędkości przekazywania danych</w:t>
      </w:r>
      <w:r w:rsidR="00EA1900">
        <w:rPr>
          <w:rFonts w:ascii="Times New Roman" w:hAnsi="Times New Roman" w:cs="Times New Roman"/>
        </w:rPr>
        <w:t xml:space="preserve"> w </w:t>
      </w:r>
      <w:r w:rsidR="00DD10ED" w:rsidRPr="00DD10ED">
        <w:rPr>
          <w:rFonts w:ascii="Times New Roman" w:hAnsi="Times New Roman" w:cs="Times New Roman"/>
        </w:rPr>
        <w:t>porównaniu do dotychczasowej sieci 3G oraz 4G.</w:t>
      </w:r>
      <w:r w:rsidR="00DD10ED">
        <w:rPr>
          <w:rFonts w:ascii="Times New Roman" w:hAnsi="Times New Roman" w:cs="Times New Roman"/>
        </w:rPr>
        <w:t xml:space="preserve"> </w:t>
      </w:r>
      <w:r w:rsidR="00DD10ED" w:rsidRPr="00DD10ED">
        <w:rPr>
          <w:rFonts w:ascii="Times New Roman" w:hAnsi="Times New Roman" w:cs="Times New Roman"/>
        </w:rPr>
        <w:t>Dzięki sieci 5G możliwe będzie podłączenie znacznie większej liczby urządzeń Internetu Rzeczy niż do tej pory. Umożliwi to znacznie większe możliwości przekazywania danych pomiędzy obywatelami oraz wpłynie pozytywnie na rozwój gospodarki.</w:t>
      </w:r>
      <w:r w:rsidR="002930AA">
        <w:rPr>
          <w:rFonts w:ascii="Times New Roman" w:hAnsi="Times New Roman" w:cs="Times New Roman"/>
        </w:rPr>
        <w:t xml:space="preserve"> </w:t>
      </w:r>
    </w:p>
    <w:p w14:paraId="0FE78D15" w14:textId="77777777" w:rsidR="003D2163" w:rsidRDefault="00DD10ED" w:rsidP="00DD10ED">
      <w:pPr>
        <w:pStyle w:val="NIEARTTEKSTtekstnieartykuowanynppodstprawnarozplubpreambua"/>
        <w:rPr>
          <w:rFonts w:ascii="Times New Roman" w:hAnsi="Times New Roman" w:cs="Times New Roman"/>
        </w:rPr>
      </w:pPr>
      <w:r w:rsidRPr="00DD10ED">
        <w:rPr>
          <w:rFonts w:ascii="Times New Roman" w:hAnsi="Times New Roman" w:cs="Times New Roman"/>
        </w:rPr>
        <w:t>Wdrożenie sieci 5</w:t>
      </w:r>
      <w:r w:rsidR="009B312B">
        <w:rPr>
          <w:rFonts w:ascii="Times New Roman" w:hAnsi="Times New Roman" w:cs="Times New Roman"/>
        </w:rPr>
        <w:t>G</w:t>
      </w:r>
      <w:r w:rsidRPr="00DD10ED">
        <w:rPr>
          <w:rFonts w:ascii="Times New Roman" w:hAnsi="Times New Roman" w:cs="Times New Roman"/>
        </w:rPr>
        <w:t xml:space="preserve"> wiąże się</w:t>
      </w:r>
      <w:r w:rsidR="002161FE">
        <w:rPr>
          <w:rFonts w:ascii="Times New Roman" w:hAnsi="Times New Roman" w:cs="Times New Roman"/>
        </w:rPr>
        <w:t xml:space="preserve"> z </w:t>
      </w:r>
      <w:r w:rsidRPr="00DD10ED">
        <w:rPr>
          <w:rFonts w:ascii="Times New Roman" w:hAnsi="Times New Roman" w:cs="Times New Roman"/>
        </w:rPr>
        <w:t>ryzykami, szczególnie tymi związanymi</w:t>
      </w:r>
      <w:r w:rsidR="002161FE">
        <w:rPr>
          <w:rFonts w:ascii="Times New Roman" w:hAnsi="Times New Roman" w:cs="Times New Roman"/>
        </w:rPr>
        <w:t xml:space="preserve"> z </w:t>
      </w:r>
      <w:r w:rsidRPr="00DD10ED">
        <w:rPr>
          <w:rFonts w:ascii="Times New Roman" w:hAnsi="Times New Roman" w:cs="Times New Roman"/>
        </w:rPr>
        <w:t xml:space="preserve">bezpieczeństwem. Dzięki tym sieciom będzie możliwe świadczenie </w:t>
      </w:r>
      <w:r w:rsidR="009422FA">
        <w:rPr>
          <w:rFonts w:ascii="Times New Roman" w:hAnsi="Times New Roman" w:cs="Times New Roman"/>
        </w:rPr>
        <w:t xml:space="preserve">wielu </w:t>
      </w:r>
      <w:r w:rsidR="009422FA" w:rsidRPr="009422FA">
        <w:rPr>
          <w:rFonts w:ascii="Times New Roman" w:hAnsi="Times New Roman" w:cs="Times New Roman"/>
        </w:rPr>
        <w:t>usług niezbędnych do funkcjonowania rynku wewnętrznego oraz utrzymania</w:t>
      </w:r>
      <w:r w:rsidR="002161FE">
        <w:rPr>
          <w:rFonts w:ascii="Times New Roman" w:hAnsi="Times New Roman" w:cs="Times New Roman"/>
        </w:rPr>
        <w:t xml:space="preserve"> i </w:t>
      </w:r>
      <w:r w:rsidR="009422FA" w:rsidRPr="009422FA">
        <w:rPr>
          <w:rFonts w:ascii="Times New Roman" w:hAnsi="Times New Roman" w:cs="Times New Roman"/>
        </w:rPr>
        <w:t>realizacji podstawowych funkcji społecznych</w:t>
      </w:r>
      <w:r w:rsidR="002161FE">
        <w:rPr>
          <w:rFonts w:ascii="Times New Roman" w:hAnsi="Times New Roman" w:cs="Times New Roman"/>
        </w:rPr>
        <w:t xml:space="preserve"> i </w:t>
      </w:r>
      <w:r w:rsidR="009422FA" w:rsidRPr="009422FA">
        <w:rPr>
          <w:rFonts w:ascii="Times New Roman" w:hAnsi="Times New Roman" w:cs="Times New Roman"/>
        </w:rPr>
        <w:t>gospodarczych – takich jak energetyka, transport, bankowość</w:t>
      </w:r>
      <w:r w:rsidR="002161FE">
        <w:rPr>
          <w:rFonts w:ascii="Times New Roman" w:hAnsi="Times New Roman" w:cs="Times New Roman"/>
        </w:rPr>
        <w:t xml:space="preserve"> i </w:t>
      </w:r>
      <w:r w:rsidR="009422FA" w:rsidRPr="009422FA">
        <w:rPr>
          <w:rFonts w:ascii="Times New Roman" w:hAnsi="Times New Roman" w:cs="Times New Roman"/>
        </w:rPr>
        <w:t>opieka zdrowotna oraz systemy sterowania produkcją</w:t>
      </w:r>
      <w:r w:rsidR="009422FA">
        <w:rPr>
          <w:rFonts w:ascii="Times New Roman" w:hAnsi="Times New Roman" w:cs="Times New Roman"/>
        </w:rPr>
        <w:t>. P</w:t>
      </w:r>
      <w:r w:rsidRPr="00DD10ED">
        <w:rPr>
          <w:rFonts w:ascii="Times New Roman" w:hAnsi="Times New Roman" w:cs="Times New Roman"/>
        </w:rPr>
        <w:t>otencjalny cyberatak mógłby doprowadzić do naruszenia dostępności danej usługi</w:t>
      </w:r>
      <w:r w:rsidR="009422FA">
        <w:rPr>
          <w:rFonts w:ascii="Times New Roman" w:hAnsi="Times New Roman" w:cs="Times New Roman"/>
        </w:rPr>
        <w:t xml:space="preserve"> na niespotykaną dotąd skalę</w:t>
      </w:r>
      <w:r w:rsidRPr="00DD10ED">
        <w:rPr>
          <w:rFonts w:ascii="Times New Roman" w:hAnsi="Times New Roman" w:cs="Times New Roman"/>
        </w:rPr>
        <w:t xml:space="preserve">. </w:t>
      </w:r>
      <w:r w:rsidR="008601D9">
        <w:rPr>
          <w:rFonts w:ascii="Times New Roman" w:hAnsi="Times New Roman" w:cs="Times New Roman"/>
        </w:rPr>
        <w:t>M</w:t>
      </w:r>
      <w:r w:rsidRPr="00DD10ED">
        <w:rPr>
          <w:rFonts w:ascii="Times New Roman" w:hAnsi="Times New Roman" w:cs="Times New Roman"/>
        </w:rPr>
        <w:t>ożliwy byłby atak na sieć 5</w:t>
      </w:r>
      <w:r w:rsidR="009B312B">
        <w:rPr>
          <w:rFonts w:ascii="Times New Roman" w:hAnsi="Times New Roman" w:cs="Times New Roman"/>
        </w:rPr>
        <w:t>G</w:t>
      </w:r>
      <w:r w:rsidRPr="00DD10ED">
        <w:rPr>
          <w:rFonts w:ascii="Times New Roman" w:hAnsi="Times New Roman" w:cs="Times New Roman"/>
        </w:rPr>
        <w:t>, który doprowadziłby do przejęcia kontroli nad infrastrukturą krytyczną jak np. sieci energetyczne. Przejęcie kontroli nad siecią 5G mogłoby doprowadzić do naruszenia poufności</w:t>
      </w:r>
      <w:r w:rsidR="00F70239">
        <w:rPr>
          <w:rFonts w:ascii="Times New Roman" w:hAnsi="Times New Roman" w:cs="Times New Roman"/>
        </w:rPr>
        <w:t xml:space="preserve"> ogromnej liczby</w:t>
      </w:r>
      <w:r w:rsidRPr="00DD10ED">
        <w:rPr>
          <w:rFonts w:ascii="Times New Roman" w:hAnsi="Times New Roman" w:cs="Times New Roman"/>
        </w:rPr>
        <w:t xml:space="preserve"> przesyłanych danych. </w:t>
      </w:r>
      <w:r w:rsidR="00F70239">
        <w:rPr>
          <w:rFonts w:ascii="Times New Roman" w:hAnsi="Times New Roman" w:cs="Times New Roman"/>
        </w:rPr>
        <w:t>Skutki takich incydentów byłyby bardzo poważne.</w:t>
      </w:r>
    </w:p>
    <w:p w14:paraId="411C0E22" w14:textId="77777777" w:rsidR="003D2163" w:rsidRDefault="003D2163" w:rsidP="00DD10ED">
      <w:pPr>
        <w:pStyle w:val="NIEARTTEKSTtekstnieartykuowanynppodstprawnarozplubpreambua"/>
        <w:rPr>
          <w:rFonts w:ascii="Times New Roman" w:hAnsi="Times New Roman" w:cs="Times New Roman"/>
        </w:rPr>
      </w:pPr>
      <w:r>
        <w:rPr>
          <w:rFonts w:ascii="Times New Roman" w:hAnsi="Times New Roman" w:cs="Times New Roman"/>
        </w:rPr>
        <w:t>Kwestia bezpieczeństwa sieci 5G została podjęta na poziomie unijnym. W motywie 3</w:t>
      </w:r>
      <w:r w:rsidR="002161FE">
        <w:rPr>
          <w:rFonts w:ascii="Times New Roman" w:hAnsi="Times New Roman" w:cs="Times New Roman"/>
        </w:rPr>
        <w:t xml:space="preserve"> i </w:t>
      </w:r>
      <w:r>
        <w:rPr>
          <w:rFonts w:ascii="Times New Roman" w:hAnsi="Times New Roman" w:cs="Times New Roman"/>
        </w:rPr>
        <w:t xml:space="preserve">4 zaleceń </w:t>
      </w:r>
      <w:r w:rsidR="00962C9E">
        <w:rPr>
          <w:rFonts w:ascii="Times New Roman" w:hAnsi="Times New Roman" w:cs="Times New Roman"/>
        </w:rPr>
        <w:t>K</w:t>
      </w:r>
      <w:r>
        <w:rPr>
          <w:rFonts w:ascii="Times New Roman" w:hAnsi="Times New Roman" w:cs="Times New Roman"/>
        </w:rPr>
        <w:t xml:space="preserve">omisji </w:t>
      </w:r>
      <w:r w:rsidR="002930AA" w:rsidRPr="002930AA">
        <w:rPr>
          <w:rFonts w:ascii="Times New Roman" w:hAnsi="Times New Roman" w:cs="Times New Roman"/>
        </w:rPr>
        <w:t xml:space="preserve">(UE) 2019/534 </w:t>
      </w:r>
      <w:r>
        <w:rPr>
          <w:rFonts w:ascii="Times New Roman" w:hAnsi="Times New Roman" w:cs="Times New Roman"/>
        </w:rPr>
        <w:t>wskazano, że:</w:t>
      </w:r>
    </w:p>
    <w:p w14:paraId="6C570E55" w14:textId="77777777" w:rsidR="003D2163" w:rsidRPr="001C5AF2" w:rsidRDefault="003D2163" w:rsidP="003D2163">
      <w:pPr>
        <w:pStyle w:val="NIEARTTEKSTtekstnieartykuowanynppodstprawnarozplubpreambua"/>
        <w:rPr>
          <w:rFonts w:ascii="Times New Roman" w:hAnsi="Times New Roman" w:cs="Times New Roman"/>
          <w:i/>
        </w:rPr>
      </w:pPr>
      <w:r w:rsidRPr="001C5AF2">
        <w:rPr>
          <w:rFonts w:ascii="Times New Roman" w:hAnsi="Times New Roman" w:cs="Times New Roman"/>
          <w:i/>
        </w:rPr>
        <w:t>(3) Z powodu uzależnienia wielu usług o krytycznym znaczeniu od sieci 5G konsekwencje systemowych</w:t>
      </w:r>
      <w:r w:rsidR="002161FE">
        <w:rPr>
          <w:rFonts w:ascii="Times New Roman" w:hAnsi="Times New Roman" w:cs="Times New Roman"/>
          <w:i/>
        </w:rPr>
        <w:t xml:space="preserve"> i </w:t>
      </w:r>
      <w:r w:rsidRPr="001C5AF2">
        <w:rPr>
          <w:rFonts w:ascii="Times New Roman" w:hAnsi="Times New Roman" w:cs="Times New Roman"/>
          <w:i/>
        </w:rPr>
        <w:t>rozległych zakłóceń byłyby szczególnie poważne. W rezultacie zapewnienie cyberbezpieczeństwa sieci 5G jest kwestią o strategicznym znaczeniu dla Unii</w:t>
      </w:r>
      <w:r w:rsidR="00EA1900">
        <w:rPr>
          <w:rFonts w:ascii="Times New Roman" w:hAnsi="Times New Roman" w:cs="Times New Roman"/>
          <w:i/>
        </w:rPr>
        <w:t xml:space="preserve"> w </w:t>
      </w:r>
      <w:r w:rsidRPr="001C5AF2">
        <w:rPr>
          <w:rFonts w:ascii="Times New Roman" w:hAnsi="Times New Roman" w:cs="Times New Roman"/>
          <w:i/>
        </w:rPr>
        <w:t>czasie, gdy cyberataki przybierają na sile</w:t>
      </w:r>
      <w:r w:rsidR="002161FE">
        <w:rPr>
          <w:rFonts w:ascii="Times New Roman" w:hAnsi="Times New Roman" w:cs="Times New Roman"/>
          <w:i/>
        </w:rPr>
        <w:t xml:space="preserve"> i </w:t>
      </w:r>
      <w:r w:rsidRPr="001C5AF2">
        <w:rPr>
          <w:rFonts w:ascii="Times New Roman" w:hAnsi="Times New Roman" w:cs="Times New Roman"/>
          <w:i/>
        </w:rPr>
        <w:t>są coraz bardziej wyrafinowane.</w:t>
      </w:r>
    </w:p>
    <w:p w14:paraId="62CDC6DE" w14:textId="77777777" w:rsidR="003D2163" w:rsidRPr="001C5AF2" w:rsidRDefault="003D2163" w:rsidP="003D2163">
      <w:pPr>
        <w:pStyle w:val="NIEARTTEKSTtekstnieartykuowanynppodstprawnarozplubpreambua"/>
        <w:rPr>
          <w:rFonts w:ascii="Times New Roman" w:hAnsi="Times New Roman" w:cs="Times New Roman"/>
          <w:i/>
        </w:rPr>
      </w:pPr>
      <w:r w:rsidRPr="001C5AF2">
        <w:rPr>
          <w:rFonts w:ascii="Times New Roman" w:hAnsi="Times New Roman" w:cs="Times New Roman"/>
          <w:i/>
        </w:rPr>
        <w:t>(4) Ponadnarodowy charakter infrastruktury stanowiącej podstawę ekosystemu cyfrowego, która charakteryzuje się siecią wzajemnych powiązań, jak również transgraniczny charakter zagrożeń oznaczają, że wszelkie istotne luki bezpieczeństwa lub cyberincydenty dotyczące sieci 5G występujące</w:t>
      </w:r>
      <w:r w:rsidR="00EA1900">
        <w:rPr>
          <w:rFonts w:ascii="Times New Roman" w:hAnsi="Times New Roman" w:cs="Times New Roman"/>
          <w:i/>
        </w:rPr>
        <w:t xml:space="preserve"> w </w:t>
      </w:r>
      <w:r w:rsidRPr="001C5AF2">
        <w:rPr>
          <w:rFonts w:ascii="Times New Roman" w:hAnsi="Times New Roman" w:cs="Times New Roman"/>
          <w:i/>
        </w:rPr>
        <w:t xml:space="preserve">jednym państwie </w:t>
      </w:r>
      <w:r w:rsidRPr="001C5AF2">
        <w:rPr>
          <w:rFonts w:ascii="Times New Roman" w:hAnsi="Times New Roman" w:cs="Times New Roman"/>
          <w:i/>
        </w:rPr>
        <w:lastRenderedPageBreak/>
        <w:t>członkowskim miałyby wpływ na całą Unię. Dlatego też należy przewidzieć środki</w:t>
      </w:r>
      <w:r w:rsidR="00EA1900">
        <w:rPr>
          <w:rFonts w:ascii="Times New Roman" w:hAnsi="Times New Roman" w:cs="Times New Roman"/>
          <w:i/>
        </w:rPr>
        <w:t xml:space="preserve"> w </w:t>
      </w:r>
      <w:r w:rsidRPr="001C5AF2">
        <w:rPr>
          <w:rFonts w:ascii="Times New Roman" w:hAnsi="Times New Roman" w:cs="Times New Roman"/>
          <w:i/>
        </w:rPr>
        <w:t>celu zapewnienia wysokiego wspólnego poziomu cyberbezpieczeństwa sieci 5G.</w:t>
      </w:r>
    </w:p>
    <w:p w14:paraId="0B531362" w14:textId="1E4E9385" w:rsidR="003D2163" w:rsidRDefault="002930AA" w:rsidP="003D2163">
      <w:pPr>
        <w:pStyle w:val="NIEARTTEKSTtekstnieartykuowanynppodstprawnarozplubpreambua"/>
        <w:rPr>
          <w:rFonts w:ascii="Times New Roman" w:hAnsi="Times New Roman" w:cs="Times New Roman"/>
        </w:rPr>
      </w:pPr>
      <w:r>
        <w:rPr>
          <w:rFonts w:ascii="Times New Roman" w:hAnsi="Times New Roman" w:cs="Times New Roman"/>
        </w:rPr>
        <w:t>Komisja zaleciła,</w:t>
      </w:r>
      <w:r w:rsidR="003D2163">
        <w:rPr>
          <w:rFonts w:ascii="Times New Roman" w:hAnsi="Times New Roman" w:cs="Times New Roman"/>
        </w:rPr>
        <w:t xml:space="preserve"> aby państwa członkowskie przeprowadziły krajową ocenę ryzyka bezpieczeństwa sieci 5G je Komisji oraz ENISA. Ponadto Komisja zaleciła</w:t>
      </w:r>
      <w:r w:rsidR="00007CB9">
        <w:rPr>
          <w:rFonts w:ascii="Times New Roman" w:hAnsi="Times New Roman" w:cs="Times New Roman"/>
        </w:rPr>
        <w:t>,</w:t>
      </w:r>
      <w:r w:rsidR="003D2163">
        <w:rPr>
          <w:rFonts w:ascii="Times New Roman" w:hAnsi="Times New Roman" w:cs="Times New Roman"/>
        </w:rPr>
        <w:t xml:space="preserve"> aby</w:t>
      </w:r>
      <w:r w:rsidR="00EA1900">
        <w:rPr>
          <w:rFonts w:ascii="Times New Roman" w:hAnsi="Times New Roman" w:cs="Times New Roman"/>
        </w:rPr>
        <w:t xml:space="preserve"> w </w:t>
      </w:r>
      <w:r w:rsidR="003D2163">
        <w:rPr>
          <w:rFonts w:ascii="Times New Roman" w:hAnsi="Times New Roman" w:cs="Times New Roman"/>
        </w:rPr>
        <w:t>oparciu o krajową ocenę ryzyka państwa członkowskie powinny:</w:t>
      </w:r>
    </w:p>
    <w:p w14:paraId="0D1B5D30" w14:textId="77777777" w:rsidR="003D2163" w:rsidRDefault="003D2163" w:rsidP="001C5AF2">
      <w:pPr>
        <w:pStyle w:val="NIEARTTEKSTtekstnieartykuowanynppodstprawnarozplubpreambua"/>
        <w:numPr>
          <w:ilvl w:val="0"/>
          <w:numId w:val="109"/>
        </w:numPr>
        <w:rPr>
          <w:rFonts w:ascii="Times New Roman" w:hAnsi="Times New Roman" w:cs="Times New Roman"/>
        </w:rPr>
      </w:pPr>
      <w:r w:rsidRPr="003D2163">
        <w:rPr>
          <w:rFonts w:ascii="Times New Roman" w:hAnsi="Times New Roman" w:cs="Times New Roman"/>
        </w:rPr>
        <w:t>zaktualizować wymogi</w:t>
      </w:r>
      <w:r w:rsidR="00EA1900">
        <w:rPr>
          <w:rFonts w:ascii="Times New Roman" w:hAnsi="Times New Roman" w:cs="Times New Roman"/>
        </w:rPr>
        <w:t xml:space="preserve"> w </w:t>
      </w:r>
      <w:r w:rsidRPr="003D2163">
        <w:rPr>
          <w:rFonts w:ascii="Times New Roman" w:hAnsi="Times New Roman" w:cs="Times New Roman"/>
        </w:rPr>
        <w:t>zakresie bezpieczeństwa oraz metody zarządzania ryzykiem stosowane</w:t>
      </w:r>
      <w:r w:rsidR="00EA1900">
        <w:rPr>
          <w:rFonts w:ascii="Times New Roman" w:hAnsi="Times New Roman" w:cs="Times New Roman"/>
        </w:rPr>
        <w:t xml:space="preserve"> w </w:t>
      </w:r>
      <w:r w:rsidRPr="003D2163">
        <w:rPr>
          <w:rFonts w:ascii="Times New Roman" w:hAnsi="Times New Roman" w:cs="Times New Roman"/>
        </w:rPr>
        <w:t>odniesieniu do sieci 5G</w:t>
      </w:r>
      <w:r w:rsidR="006A65EC">
        <w:rPr>
          <w:rFonts w:ascii="Times New Roman" w:hAnsi="Times New Roman" w:cs="Times New Roman"/>
        </w:rPr>
        <w:t>,</w:t>
      </w:r>
    </w:p>
    <w:p w14:paraId="6DD2B1F5" w14:textId="77777777" w:rsidR="003D2163" w:rsidRDefault="003D2163" w:rsidP="001C5AF2">
      <w:pPr>
        <w:pStyle w:val="NIEARTTEKSTtekstnieartykuowanynppodstprawnarozplubpreambua"/>
        <w:numPr>
          <w:ilvl w:val="0"/>
          <w:numId w:val="109"/>
        </w:numPr>
        <w:rPr>
          <w:rFonts w:ascii="Times New Roman" w:hAnsi="Times New Roman" w:cs="Times New Roman"/>
        </w:rPr>
      </w:pPr>
      <w:r w:rsidRPr="003D2163">
        <w:rPr>
          <w:rFonts w:ascii="Times New Roman" w:hAnsi="Times New Roman" w:cs="Times New Roman"/>
        </w:rPr>
        <w:t>zaktualizować odpowiednie obowiązki nakładane na przedsiębiorstwa udostępniające publiczne sieci łączności lub świadczące publicznie dostępne usługi łączności elektronicznej zgodnie</w:t>
      </w:r>
      <w:r w:rsidR="002161FE">
        <w:rPr>
          <w:rFonts w:ascii="Times New Roman" w:hAnsi="Times New Roman" w:cs="Times New Roman"/>
        </w:rPr>
        <w:t xml:space="preserve"> z</w:t>
      </w:r>
      <w:r w:rsidR="00EA1900">
        <w:rPr>
          <w:rFonts w:ascii="Times New Roman" w:hAnsi="Times New Roman" w:cs="Times New Roman"/>
        </w:rPr>
        <w:t xml:space="preserve"> art. </w:t>
      </w:r>
      <w:r w:rsidRPr="003D2163">
        <w:rPr>
          <w:rFonts w:ascii="Times New Roman" w:hAnsi="Times New Roman" w:cs="Times New Roman"/>
        </w:rPr>
        <w:t>13a</w:t>
      </w:r>
      <w:r w:rsidR="002161FE">
        <w:rPr>
          <w:rFonts w:ascii="Times New Roman" w:hAnsi="Times New Roman" w:cs="Times New Roman"/>
        </w:rPr>
        <w:t xml:space="preserve"> i </w:t>
      </w:r>
      <w:r w:rsidRPr="003D2163">
        <w:rPr>
          <w:rFonts w:ascii="Times New Roman" w:hAnsi="Times New Roman" w:cs="Times New Roman"/>
        </w:rPr>
        <w:t>13b dyrektywy 2002/21/WE</w:t>
      </w:r>
      <w:r w:rsidR="006A65EC">
        <w:rPr>
          <w:rFonts w:ascii="Times New Roman" w:hAnsi="Times New Roman" w:cs="Times New Roman"/>
        </w:rPr>
        <w:t>,</w:t>
      </w:r>
    </w:p>
    <w:p w14:paraId="4701F4B2" w14:textId="77777777" w:rsidR="003D2163" w:rsidRPr="003D2163" w:rsidRDefault="003D2163" w:rsidP="001C5AF2">
      <w:pPr>
        <w:pStyle w:val="NIEARTTEKSTtekstnieartykuowanynppodstprawnarozplubpreambua"/>
        <w:numPr>
          <w:ilvl w:val="0"/>
          <w:numId w:val="109"/>
        </w:numPr>
        <w:rPr>
          <w:rFonts w:ascii="Times New Roman" w:hAnsi="Times New Roman" w:cs="Times New Roman"/>
        </w:rPr>
      </w:pPr>
      <w:r w:rsidRPr="003D2163">
        <w:rPr>
          <w:rFonts w:ascii="Times New Roman" w:hAnsi="Times New Roman" w:cs="Times New Roman"/>
        </w:rPr>
        <w:t>obwarować ogólne zezwolenia warunkami dotyczącymi zabezpieczenia sieci publicznych przed nieuprawnionym dostępem oraz uzyskać od przedsiębiorstw uczestniczących</w:t>
      </w:r>
      <w:r w:rsidR="00EA1900">
        <w:rPr>
          <w:rFonts w:ascii="Times New Roman" w:hAnsi="Times New Roman" w:cs="Times New Roman"/>
        </w:rPr>
        <w:t xml:space="preserve"> w </w:t>
      </w:r>
      <w:r w:rsidRPr="003D2163">
        <w:rPr>
          <w:rFonts w:ascii="Times New Roman" w:hAnsi="Times New Roman" w:cs="Times New Roman"/>
        </w:rPr>
        <w:t>przyszłych postępowaniach o udzielenie praw użytkowania częstotliwości radiowych</w:t>
      </w:r>
      <w:r w:rsidR="00EA1900">
        <w:rPr>
          <w:rFonts w:ascii="Times New Roman" w:hAnsi="Times New Roman" w:cs="Times New Roman"/>
        </w:rPr>
        <w:t xml:space="preserve"> w </w:t>
      </w:r>
      <w:r w:rsidRPr="003D2163">
        <w:rPr>
          <w:rFonts w:ascii="Times New Roman" w:hAnsi="Times New Roman" w:cs="Times New Roman"/>
        </w:rPr>
        <w:t>pasmach 5G zobowiązanie do przestrzegania wymogów</w:t>
      </w:r>
      <w:r w:rsidR="00EA1900">
        <w:rPr>
          <w:rFonts w:ascii="Times New Roman" w:hAnsi="Times New Roman" w:cs="Times New Roman"/>
        </w:rPr>
        <w:t xml:space="preserve"> w </w:t>
      </w:r>
      <w:r w:rsidRPr="003D2163">
        <w:rPr>
          <w:rFonts w:ascii="Times New Roman" w:hAnsi="Times New Roman" w:cs="Times New Roman"/>
        </w:rPr>
        <w:t>zakresie bezpieczeństwa sieci na podstawie dyrektywy 2002/20/WE</w:t>
      </w:r>
      <w:r w:rsidR="006A65EC">
        <w:rPr>
          <w:rFonts w:ascii="Times New Roman" w:hAnsi="Times New Roman" w:cs="Times New Roman"/>
        </w:rPr>
        <w:t>,</w:t>
      </w:r>
    </w:p>
    <w:p w14:paraId="311531B3" w14:textId="77777777" w:rsidR="003D2163" w:rsidRDefault="003D2163" w:rsidP="001C5AF2">
      <w:pPr>
        <w:pStyle w:val="NIEARTTEKSTtekstnieartykuowanynppodstprawnarozplubpreambua"/>
        <w:numPr>
          <w:ilvl w:val="0"/>
          <w:numId w:val="109"/>
        </w:numPr>
        <w:rPr>
          <w:rFonts w:ascii="Times New Roman" w:hAnsi="Times New Roman" w:cs="Times New Roman"/>
        </w:rPr>
      </w:pPr>
      <w:r w:rsidRPr="003D2163">
        <w:rPr>
          <w:rFonts w:ascii="Times New Roman" w:hAnsi="Times New Roman" w:cs="Times New Roman"/>
        </w:rPr>
        <w:t>stosować inne środki zapobiegawcze mające na celu ograniczenie potencjalnych zagrożeń dla cyberbezpieczeństwa.</w:t>
      </w:r>
    </w:p>
    <w:p w14:paraId="15205C1F" w14:textId="77777777" w:rsidR="00086B6D" w:rsidRDefault="003D2163" w:rsidP="003D2163">
      <w:pPr>
        <w:pStyle w:val="NIEARTTEKSTtekstnieartykuowanynppodstprawnarozplubpreambua"/>
        <w:rPr>
          <w:rFonts w:ascii="Times New Roman" w:hAnsi="Times New Roman" w:cs="Times New Roman"/>
        </w:rPr>
      </w:pPr>
      <w:r>
        <w:rPr>
          <w:rFonts w:ascii="Times New Roman" w:hAnsi="Times New Roman" w:cs="Times New Roman"/>
        </w:rPr>
        <w:t>Środki te powinny obejmować obowiązki nakładane na dostawców oraz operatorów celem zapewnienia bezpieczeństwa sieci 5G.</w:t>
      </w:r>
    </w:p>
    <w:p w14:paraId="157ADEAA" w14:textId="77777777" w:rsidR="00E45A6B" w:rsidRDefault="00086B6D" w:rsidP="001C5AF2">
      <w:pPr>
        <w:pStyle w:val="NIEARTTEKSTtekstnieartykuowanynppodstprawnarozplubpreambua"/>
        <w:ind w:firstLine="0"/>
        <w:rPr>
          <w:rFonts w:ascii="Times New Roman" w:hAnsi="Times New Roman" w:cs="Times New Roman"/>
        </w:rPr>
      </w:pPr>
      <w:r>
        <w:rPr>
          <w:rFonts w:ascii="Times New Roman" w:hAnsi="Times New Roman" w:cs="Times New Roman"/>
        </w:rPr>
        <w:t xml:space="preserve">W wyniku powyższych zaleceń powstała </w:t>
      </w:r>
      <w:r w:rsidR="0DA06AE5" w:rsidRPr="0024375B">
        <w:rPr>
          <w:rFonts w:ascii="Times New Roman" w:hAnsi="Times New Roman" w:cs="Times New Roman"/>
        </w:rPr>
        <w:t>unijn</w:t>
      </w:r>
      <w:r>
        <w:rPr>
          <w:rFonts w:ascii="Times New Roman" w:hAnsi="Times New Roman" w:cs="Times New Roman"/>
        </w:rPr>
        <w:t>a</w:t>
      </w:r>
      <w:r w:rsidR="0DA06AE5" w:rsidRPr="0024375B">
        <w:rPr>
          <w:rFonts w:ascii="Times New Roman" w:hAnsi="Times New Roman" w:cs="Times New Roman"/>
        </w:rPr>
        <w:t xml:space="preserve"> skoordynowan</w:t>
      </w:r>
      <w:r>
        <w:rPr>
          <w:rFonts w:ascii="Times New Roman" w:hAnsi="Times New Roman" w:cs="Times New Roman"/>
        </w:rPr>
        <w:t>a</w:t>
      </w:r>
      <w:r w:rsidR="00B60F95">
        <w:rPr>
          <w:rFonts w:ascii="Times New Roman" w:hAnsi="Times New Roman" w:cs="Times New Roman"/>
        </w:rPr>
        <w:t xml:space="preserve"> ocen</w:t>
      </w:r>
      <w:r>
        <w:rPr>
          <w:rFonts w:ascii="Times New Roman" w:hAnsi="Times New Roman" w:cs="Times New Roman"/>
        </w:rPr>
        <w:t>a</w:t>
      </w:r>
      <w:r w:rsidR="0DA06AE5" w:rsidRPr="0024375B">
        <w:rPr>
          <w:rFonts w:ascii="Times New Roman" w:hAnsi="Times New Roman" w:cs="Times New Roman"/>
        </w:rPr>
        <w:t xml:space="preserve"> ryzyka cyberbezpieczeństwa sieci 5</w:t>
      </w:r>
      <w:r w:rsidR="00FE0622">
        <w:rPr>
          <w:rFonts w:ascii="Times New Roman" w:hAnsi="Times New Roman" w:cs="Times New Roman"/>
        </w:rPr>
        <w:t>G</w:t>
      </w:r>
      <w:r w:rsidR="006F3D91">
        <w:rPr>
          <w:rStyle w:val="Odwoanieprzypisudolnego"/>
          <w:rFonts w:ascii="Times New Roman" w:hAnsi="Times New Roman"/>
        </w:rPr>
        <w:footnoteReference w:id="53"/>
      </w:r>
      <w:r w:rsidR="006A65EC">
        <w:rPr>
          <w:rFonts w:ascii="Times New Roman" w:hAnsi="Times New Roman" w:cs="Times New Roman"/>
          <w:vertAlign w:val="superscript"/>
        </w:rPr>
        <w:t>)</w:t>
      </w:r>
      <w:r w:rsidR="0DA06AE5" w:rsidRPr="0024375B">
        <w:rPr>
          <w:rFonts w:ascii="Times New Roman" w:hAnsi="Times New Roman" w:cs="Times New Roman"/>
        </w:rPr>
        <w:t xml:space="preserve"> </w:t>
      </w:r>
      <w:r>
        <w:rPr>
          <w:rFonts w:ascii="Times New Roman" w:hAnsi="Times New Roman" w:cs="Times New Roman"/>
        </w:rPr>
        <w:t xml:space="preserve">oraz </w:t>
      </w:r>
      <w:r w:rsidR="00432E6E" w:rsidRPr="00432E6E">
        <w:rPr>
          <w:rFonts w:ascii="Times New Roman" w:hAnsi="Times New Roman" w:cs="Times New Roman"/>
        </w:rPr>
        <w:t>Unijny zestaw środków dla cyberbezpieczeństwa sieci 5G</w:t>
      </w:r>
      <w:r w:rsidR="00432E6E">
        <w:rPr>
          <w:rFonts w:ascii="Times New Roman" w:hAnsi="Times New Roman" w:cs="Times New Roman"/>
        </w:rPr>
        <w:t xml:space="preserve"> – tzw. Toolbox 5G</w:t>
      </w:r>
      <w:r w:rsidR="005D6814">
        <w:rPr>
          <w:rStyle w:val="Odwoanieprzypisudolnego"/>
          <w:rFonts w:ascii="Times New Roman" w:hAnsi="Times New Roman"/>
        </w:rPr>
        <w:footnoteReference w:id="54"/>
      </w:r>
      <w:r w:rsidR="006A65EC">
        <w:rPr>
          <w:rFonts w:ascii="Times New Roman" w:hAnsi="Times New Roman" w:cs="Times New Roman"/>
          <w:vertAlign w:val="superscript"/>
        </w:rPr>
        <w:t>)</w:t>
      </w:r>
      <w:r w:rsidR="00432E6E">
        <w:rPr>
          <w:rFonts w:ascii="Times New Roman" w:hAnsi="Times New Roman" w:cs="Times New Roman"/>
        </w:rPr>
        <w:t>. W dokumentach tych wskazano na ryzyka związane</w:t>
      </w:r>
      <w:r w:rsidR="002161FE">
        <w:rPr>
          <w:rFonts w:ascii="Times New Roman" w:hAnsi="Times New Roman" w:cs="Times New Roman"/>
        </w:rPr>
        <w:t xml:space="preserve"> z </w:t>
      </w:r>
      <w:r w:rsidR="00432E6E">
        <w:rPr>
          <w:rFonts w:ascii="Times New Roman" w:hAnsi="Times New Roman" w:cs="Times New Roman"/>
        </w:rPr>
        <w:t>sieciami 5G</w:t>
      </w:r>
      <w:r w:rsidR="00EA1900">
        <w:rPr>
          <w:rFonts w:ascii="Times New Roman" w:hAnsi="Times New Roman" w:cs="Times New Roman"/>
        </w:rPr>
        <w:t xml:space="preserve"> w </w:t>
      </w:r>
      <w:r w:rsidR="00432E6E">
        <w:rPr>
          <w:rFonts w:ascii="Times New Roman" w:hAnsi="Times New Roman" w:cs="Times New Roman"/>
        </w:rPr>
        <w:t>tym także tymi związanymi</w:t>
      </w:r>
      <w:r w:rsidR="002161FE">
        <w:rPr>
          <w:rFonts w:ascii="Times New Roman" w:hAnsi="Times New Roman" w:cs="Times New Roman"/>
        </w:rPr>
        <w:t xml:space="preserve"> z </w:t>
      </w:r>
      <w:r w:rsidR="0DA06AE5" w:rsidRPr="0024375B">
        <w:rPr>
          <w:rFonts w:ascii="Times New Roman" w:hAnsi="Times New Roman" w:cs="Times New Roman"/>
        </w:rPr>
        <w:t>dostawcami sprzętu</w:t>
      </w:r>
      <w:r w:rsidR="002161FE">
        <w:rPr>
          <w:rFonts w:ascii="Times New Roman" w:hAnsi="Times New Roman" w:cs="Times New Roman"/>
        </w:rPr>
        <w:t xml:space="preserve"> i </w:t>
      </w:r>
      <w:r w:rsidR="0DA06AE5" w:rsidRPr="0024375B">
        <w:rPr>
          <w:rFonts w:ascii="Times New Roman" w:hAnsi="Times New Roman" w:cs="Times New Roman"/>
        </w:rPr>
        <w:t xml:space="preserve">oprogramowania dla tej sieci. </w:t>
      </w:r>
    </w:p>
    <w:p w14:paraId="25BCEB96" w14:textId="77777777" w:rsidR="008573E1" w:rsidRDefault="00E45A6B" w:rsidP="001C5AF2">
      <w:pPr>
        <w:pStyle w:val="NIEARTTEKSTtekstnieartykuowanynppodstprawnarozplubpreambua"/>
        <w:ind w:firstLine="0"/>
        <w:rPr>
          <w:rFonts w:ascii="Times New Roman" w:hAnsi="Times New Roman" w:cs="Times New Roman"/>
        </w:rPr>
      </w:pPr>
      <w:r w:rsidRPr="4101D53A">
        <w:rPr>
          <w:rFonts w:ascii="Times New Roman" w:hAnsi="Times New Roman" w:cs="Times New Roman"/>
        </w:rPr>
        <w:t>Jedno ze wskazanych ryzyk</w:t>
      </w:r>
      <w:r w:rsidR="2C7C979D" w:rsidRPr="0024375B">
        <w:rPr>
          <w:rFonts w:ascii="Times New Roman" w:hAnsi="Times New Roman" w:cs="Times New Roman"/>
        </w:rPr>
        <w:t xml:space="preserve"> dotyczy dostawców, którzy znajdują się pod wpływem państw prowadzących agresywne działania</w:t>
      </w:r>
      <w:r w:rsidR="00EA1900" w:rsidRPr="4101D53A">
        <w:rPr>
          <w:rFonts w:ascii="Times New Roman" w:hAnsi="Times New Roman" w:cs="Times New Roman"/>
        </w:rPr>
        <w:t xml:space="preserve"> w </w:t>
      </w:r>
      <w:r w:rsidR="2C7C979D" w:rsidRPr="0024375B">
        <w:rPr>
          <w:rFonts w:ascii="Times New Roman" w:hAnsi="Times New Roman" w:cs="Times New Roman"/>
        </w:rPr>
        <w:t>cyberprzestrzeni.</w:t>
      </w:r>
      <w:r w:rsidRPr="4101D53A">
        <w:rPr>
          <w:rFonts w:ascii="Times New Roman" w:hAnsi="Times New Roman" w:cs="Times New Roman"/>
        </w:rPr>
        <w:t xml:space="preserve"> </w:t>
      </w:r>
      <w:r w:rsidR="2C7C979D" w:rsidRPr="0024375B">
        <w:rPr>
          <w:rFonts w:ascii="Times New Roman" w:hAnsi="Times New Roman" w:cs="Times New Roman"/>
        </w:rPr>
        <w:t>Takie państwo może wpływać na</w:t>
      </w:r>
      <w:r w:rsidR="0F992BA2" w:rsidRPr="0024375B">
        <w:rPr>
          <w:rFonts w:ascii="Times New Roman" w:hAnsi="Times New Roman" w:cs="Times New Roman"/>
        </w:rPr>
        <w:t xml:space="preserve"> dostawcę, aby</w:t>
      </w:r>
      <w:r w:rsidR="00146B76" w:rsidRPr="4101D53A">
        <w:rPr>
          <w:rFonts w:ascii="Times New Roman" w:hAnsi="Times New Roman" w:cs="Times New Roman"/>
        </w:rPr>
        <w:t xml:space="preserve"> </w:t>
      </w:r>
      <w:r w:rsidR="0F992BA2" w:rsidRPr="0024375B">
        <w:rPr>
          <w:rFonts w:ascii="Times New Roman" w:hAnsi="Times New Roman" w:cs="Times New Roman"/>
        </w:rPr>
        <w:t xml:space="preserve">wykorzystał ukryte podatności </w:t>
      </w:r>
      <w:r w:rsidR="3829E259" w:rsidRPr="4101D53A">
        <w:rPr>
          <w:rFonts w:ascii="Times New Roman" w:hAnsi="Times New Roman" w:cs="Times New Roman"/>
        </w:rPr>
        <w:t xml:space="preserve">w </w:t>
      </w:r>
      <w:r w:rsidR="0F992BA2" w:rsidRPr="0024375B">
        <w:rPr>
          <w:rFonts w:ascii="Times New Roman" w:hAnsi="Times New Roman" w:cs="Times New Roman"/>
        </w:rPr>
        <w:t>sprzęcie lub oprogramowaniu dostarczonemu innemu państwu</w:t>
      </w:r>
      <w:r w:rsidR="00DD10ED" w:rsidRPr="4101D53A">
        <w:rPr>
          <w:rFonts w:ascii="Times New Roman" w:hAnsi="Times New Roman" w:cs="Times New Roman"/>
        </w:rPr>
        <w:t xml:space="preserve">, aby uzyskać dostęp do </w:t>
      </w:r>
      <w:r w:rsidR="00DD10ED" w:rsidRPr="4101D53A">
        <w:rPr>
          <w:rFonts w:ascii="Times New Roman" w:hAnsi="Times New Roman" w:cs="Times New Roman"/>
        </w:rPr>
        <w:lastRenderedPageBreak/>
        <w:t>wrażliwych danych przesyłanych przez ten sprzęt czy też wpływać na dostępność usług świadczonych poprzez ten sprzęt</w:t>
      </w:r>
      <w:r w:rsidR="00146B76" w:rsidRPr="4101D53A">
        <w:rPr>
          <w:rFonts w:ascii="Times New Roman" w:hAnsi="Times New Roman" w:cs="Times New Roman"/>
        </w:rPr>
        <w:t>.</w:t>
      </w:r>
      <w:r w:rsidR="008573E1" w:rsidRPr="4101D53A">
        <w:rPr>
          <w:rFonts w:ascii="Times New Roman" w:hAnsi="Times New Roman" w:cs="Times New Roman"/>
        </w:rPr>
        <w:t xml:space="preserve"> Dostawca taki będzie działał na rzecz interesów państwa, pod którego wpływem znajduje się.</w:t>
      </w:r>
      <w:r w:rsidR="00146B76" w:rsidRPr="4101D53A">
        <w:rPr>
          <w:rFonts w:ascii="Times New Roman" w:hAnsi="Times New Roman" w:cs="Times New Roman"/>
        </w:rPr>
        <w:t xml:space="preserve"> Prawdopodobieństw</w:t>
      </w:r>
      <w:r w:rsidR="0CD608B9" w:rsidRPr="4101D53A">
        <w:rPr>
          <w:rFonts w:ascii="Times New Roman" w:hAnsi="Times New Roman" w:cs="Times New Roman"/>
        </w:rPr>
        <w:t>o</w:t>
      </w:r>
      <w:r w:rsidR="00146B76" w:rsidRPr="4101D53A">
        <w:rPr>
          <w:rFonts w:ascii="Times New Roman" w:hAnsi="Times New Roman" w:cs="Times New Roman"/>
        </w:rPr>
        <w:t xml:space="preserve"> zaistnienia tej sytuacji zależy od stopnia,</w:t>
      </w:r>
      <w:r w:rsidR="00EA1900" w:rsidRPr="4101D53A">
        <w:rPr>
          <w:rFonts w:ascii="Times New Roman" w:hAnsi="Times New Roman" w:cs="Times New Roman"/>
        </w:rPr>
        <w:t xml:space="preserve"> w </w:t>
      </w:r>
      <w:r w:rsidR="00146B76" w:rsidRPr="4101D53A">
        <w:rPr>
          <w:rFonts w:ascii="Times New Roman" w:hAnsi="Times New Roman" w:cs="Times New Roman"/>
        </w:rPr>
        <w:t>jakim dostawca ma dostęp do sieci,</w:t>
      </w:r>
      <w:r w:rsidR="00EA1900" w:rsidRPr="4101D53A">
        <w:rPr>
          <w:rFonts w:ascii="Times New Roman" w:hAnsi="Times New Roman" w:cs="Times New Roman"/>
        </w:rPr>
        <w:t xml:space="preserve"> w </w:t>
      </w:r>
      <w:r w:rsidR="00146B76" w:rsidRPr="4101D53A">
        <w:rPr>
          <w:rFonts w:ascii="Times New Roman" w:hAnsi="Times New Roman" w:cs="Times New Roman"/>
        </w:rPr>
        <w:t>szczególności jej krytycznych funkcji</w:t>
      </w:r>
      <w:r>
        <w:rPr>
          <w:rStyle w:val="Odwoanieprzypisudolnego"/>
          <w:rFonts w:ascii="Times New Roman" w:hAnsi="Times New Roman"/>
        </w:rPr>
        <w:footnoteReference w:id="55"/>
      </w:r>
      <w:r w:rsidR="006A65EC">
        <w:rPr>
          <w:rFonts w:ascii="Times New Roman" w:hAnsi="Times New Roman" w:cs="Times New Roman"/>
          <w:vertAlign w:val="superscript"/>
        </w:rPr>
        <w:t>)</w:t>
      </w:r>
      <w:r w:rsidR="00DD10ED" w:rsidRPr="4101D53A">
        <w:rPr>
          <w:rFonts w:ascii="Times New Roman" w:hAnsi="Times New Roman" w:cs="Times New Roman"/>
        </w:rPr>
        <w:t>.</w:t>
      </w:r>
      <w:r w:rsidR="00445C31" w:rsidRPr="4101D53A">
        <w:rPr>
          <w:rFonts w:ascii="Times New Roman" w:hAnsi="Times New Roman" w:cs="Times New Roman"/>
        </w:rPr>
        <w:t xml:space="preserve"> </w:t>
      </w:r>
    </w:p>
    <w:p w14:paraId="5BA6AC70" w14:textId="77777777" w:rsidR="00146B76" w:rsidRDefault="04FE8669" w:rsidP="001C5AF2">
      <w:pPr>
        <w:pStyle w:val="NIEARTTEKSTtekstnieartykuowanynppodstprawnarozplubpreambua"/>
        <w:ind w:firstLine="0"/>
        <w:rPr>
          <w:rFonts w:ascii="Times New Roman" w:hAnsi="Times New Roman" w:cs="Times New Roman"/>
        </w:rPr>
      </w:pPr>
      <w:r w:rsidRPr="0024375B">
        <w:rPr>
          <w:rFonts w:ascii="Times New Roman" w:hAnsi="Times New Roman" w:cs="Times New Roman"/>
        </w:rPr>
        <w:t>Natomiast ryzyka dotyczą również aspektów technicznych - np.</w:t>
      </w:r>
      <w:r w:rsidR="7B70CC7F" w:rsidRPr="0024375B">
        <w:rPr>
          <w:rFonts w:ascii="Times New Roman" w:hAnsi="Times New Roman" w:cs="Times New Roman"/>
        </w:rPr>
        <w:t xml:space="preserve"> </w:t>
      </w:r>
      <w:r w:rsidR="2131F770" w:rsidRPr="0024375B">
        <w:rPr>
          <w:rFonts w:ascii="Times New Roman" w:hAnsi="Times New Roman" w:cs="Times New Roman"/>
        </w:rPr>
        <w:t>t</w:t>
      </w:r>
      <w:r w:rsidR="7B70CC7F" w:rsidRPr="0024375B">
        <w:rPr>
          <w:rFonts w:ascii="Times New Roman" w:hAnsi="Times New Roman" w:cs="Times New Roman"/>
        </w:rPr>
        <w:t>ego</w:t>
      </w:r>
      <w:r w:rsidR="00DD10ED">
        <w:rPr>
          <w:rFonts w:ascii="Times New Roman" w:hAnsi="Times New Roman" w:cs="Times New Roman"/>
        </w:rPr>
        <w:t xml:space="preserve"> </w:t>
      </w:r>
      <w:r w:rsidR="0E0676BA" w:rsidRPr="0024375B">
        <w:rPr>
          <w:rFonts w:ascii="Times New Roman" w:hAnsi="Times New Roman" w:cs="Times New Roman"/>
        </w:rPr>
        <w:t>czy</w:t>
      </w:r>
      <w:r w:rsidR="008573E1">
        <w:rPr>
          <w:rFonts w:ascii="Times New Roman" w:hAnsi="Times New Roman" w:cs="Times New Roman"/>
        </w:rPr>
        <w:t xml:space="preserve"> dostawca</w:t>
      </w:r>
      <w:r w:rsidR="0E0676BA" w:rsidRPr="0024375B">
        <w:rPr>
          <w:rFonts w:ascii="Times New Roman" w:hAnsi="Times New Roman" w:cs="Times New Roman"/>
        </w:rPr>
        <w:t xml:space="preserve"> jest</w:t>
      </w:r>
      <w:r w:rsidR="00EA1900">
        <w:rPr>
          <w:rFonts w:ascii="Times New Roman" w:hAnsi="Times New Roman" w:cs="Times New Roman"/>
        </w:rPr>
        <w:t xml:space="preserve"> w </w:t>
      </w:r>
      <w:r w:rsidR="0E0676BA" w:rsidRPr="0024375B">
        <w:rPr>
          <w:rFonts w:ascii="Times New Roman" w:hAnsi="Times New Roman" w:cs="Times New Roman"/>
        </w:rPr>
        <w:t>stanie zapewnić bezpieczeństwo swoich produktów</w:t>
      </w:r>
      <w:r w:rsidR="3B8130E9" w:rsidRPr="0024375B">
        <w:rPr>
          <w:rFonts w:ascii="Times New Roman" w:hAnsi="Times New Roman" w:cs="Times New Roman"/>
        </w:rPr>
        <w:t xml:space="preserve">, jak reaguje na incydenty </w:t>
      </w:r>
      <w:r w:rsidR="003C7EF7" w:rsidRPr="0024375B">
        <w:rPr>
          <w:rFonts w:ascii="Times New Roman" w:hAnsi="Times New Roman" w:cs="Times New Roman"/>
        </w:rPr>
        <w:t>związane</w:t>
      </w:r>
      <w:r w:rsidR="002161FE">
        <w:rPr>
          <w:rFonts w:ascii="Times New Roman" w:hAnsi="Times New Roman" w:cs="Times New Roman"/>
        </w:rPr>
        <w:t xml:space="preserve"> z </w:t>
      </w:r>
      <w:r w:rsidR="3B8130E9" w:rsidRPr="0024375B">
        <w:rPr>
          <w:rFonts w:ascii="Times New Roman" w:hAnsi="Times New Roman" w:cs="Times New Roman"/>
        </w:rPr>
        <w:t>tymi produktami</w:t>
      </w:r>
      <w:r w:rsidR="008573E1">
        <w:rPr>
          <w:rFonts w:ascii="Times New Roman" w:hAnsi="Times New Roman" w:cs="Times New Roman"/>
        </w:rPr>
        <w:t>, jak zarządza podatnościami własnych produktów</w:t>
      </w:r>
      <w:r w:rsidR="3B8130E9" w:rsidRPr="0024375B">
        <w:rPr>
          <w:rFonts w:ascii="Times New Roman" w:hAnsi="Times New Roman" w:cs="Times New Roman"/>
        </w:rPr>
        <w:t>.</w:t>
      </w:r>
      <w:r w:rsidR="00116933">
        <w:rPr>
          <w:rFonts w:ascii="Times New Roman" w:hAnsi="Times New Roman" w:cs="Times New Roman"/>
        </w:rPr>
        <w:t xml:space="preserve"> </w:t>
      </w:r>
      <w:r w:rsidR="00146B76">
        <w:rPr>
          <w:rFonts w:ascii="Times New Roman" w:hAnsi="Times New Roman" w:cs="Times New Roman"/>
        </w:rPr>
        <w:t>Niska jakość sprzętu</w:t>
      </w:r>
      <w:r w:rsidR="002161FE">
        <w:rPr>
          <w:rFonts w:ascii="Times New Roman" w:hAnsi="Times New Roman" w:cs="Times New Roman"/>
        </w:rPr>
        <w:t xml:space="preserve"> i </w:t>
      </w:r>
      <w:r w:rsidR="00146B76">
        <w:rPr>
          <w:rFonts w:ascii="Times New Roman" w:hAnsi="Times New Roman" w:cs="Times New Roman"/>
        </w:rPr>
        <w:t>oprogramowania dostarczanego przez dostawcę</w:t>
      </w:r>
      <w:r w:rsidR="008573E1">
        <w:rPr>
          <w:rFonts w:ascii="Times New Roman" w:hAnsi="Times New Roman" w:cs="Times New Roman"/>
        </w:rPr>
        <w:t>,</w:t>
      </w:r>
      <w:r w:rsidR="00EA1900">
        <w:rPr>
          <w:rFonts w:ascii="Times New Roman" w:hAnsi="Times New Roman" w:cs="Times New Roman"/>
        </w:rPr>
        <w:t xml:space="preserve"> w </w:t>
      </w:r>
      <w:r w:rsidR="008573E1">
        <w:rPr>
          <w:rFonts w:ascii="Times New Roman" w:hAnsi="Times New Roman" w:cs="Times New Roman"/>
        </w:rPr>
        <w:t>tym ukryte podatności,</w:t>
      </w:r>
      <w:r w:rsidR="00146B76">
        <w:rPr>
          <w:rFonts w:ascii="Times New Roman" w:hAnsi="Times New Roman" w:cs="Times New Roman"/>
        </w:rPr>
        <w:t xml:space="preserve"> może umożliwić cyberatak na sieć dokonywany przez agresywne państwa</w:t>
      </w:r>
      <w:r w:rsidR="00EA1900">
        <w:rPr>
          <w:rFonts w:ascii="Times New Roman" w:hAnsi="Times New Roman" w:cs="Times New Roman"/>
        </w:rPr>
        <w:t xml:space="preserve"> w </w:t>
      </w:r>
      <w:r w:rsidR="00146B76">
        <w:rPr>
          <w:rFonts w:ascii="Times New Roman" w:hAnsi="Times New Roman" w:cs="Times New Roman"/>
        </w:rPr>
        <w:t xml:space="preserve">cyberprzestrzeni, grupy </w:t>
      </w:r>
      <w:r w:rsidR="00146B76">
        <w:rPr>
          <w:rFonts w:ascii="Times New Roman" w:hAnsi="Times New Roman" w:cs="Times New Roman"/>
          <w:i/>
        </w:rPr>
        <w:t>Advanced Persistent Threat</w:t>
      </w:r>
      <w:r w:rsidR="00146B76">
        <w:rPr>
          <w:rFonts w:ascii="Times New Roman" w:hAnsi="Times New Roman" w:cs="Times New Roman"/>
        </w:rPr>
        <w:t xml:space="preserve"> czy grupy przestępcze</w:t>
      </w:r>
      <w:r w:rsidR="008573E1">
        <w:rPr>
          <w:rStyle w:val="Odwoanieprzypisudolnego"/>
          <w:rFonts w:ascii="Times New Roman" w:hAnsi="Times New Roman"/>
        </w:rPr>
        <w:footnoteReference w:id="56"/>
      </w:r>
      <w:r w:rsidR="006A65EC">
        <w:rPr>
          <w:rFonts w:ascii="Times New Roman" w:hAnsi="Times New Roman" w:cs="Times New Roman"/>
          <w:vertAlign w:val="superscript"/>
        </w:rPr>
        <w:t>)</w:t>
      </w:r>
      <w:r w:rsidR="00146B76">
        <w:rPr>
          <w:rFonts w:ascii="Times New Roman" w:hAnsi="Times New Roman" w:cs="Times New Roman"/>
        </w:rPr>
        <w:t>.</w:t>
      </w:r>
    </w:p>
    <w:p w14:paraId="24322173" w14:textId="77777777" w:rsidR="0090708C" w:rsidRPr="001C5AF2" w:rsidRDefault="0090708C" w:rsidP="001C5AF2">
      <w:pPr>
        <w:pStyle w:val="ARTartustawynprozporzdzenia"/>
      </w:pPr>
      <w:r>
        <w:t>Z wyżej wskazanych dokumentów wynika więc, że</w:t>
      </w:r>
      <w:r w:rsidR="00810BF7">
        <w:t xml:space="preserve"> mogą istnieć</w:t>
      </w:r>
      <w:r>
        <w:t xml:space="preserve"> dostawcy sprzętu lub oprogramowania, którzy</w:t>
      </w:r>
      <w:r w:rsidR="00810BF7">
        <w:t xml:space="preserve"> poprzez dostarczany sprzęt lub oprogramowanie</w:t>
      </w:r>
      <w:r>
        <w:t xml:space="preserve"> </w:t>
      </w:r>
      <w:r w:rsidR="00810BF7">
        <w:t>mogą zagrażać państwom członkowskim UE, w tym także Polsce. Przyjęło się określać takich dostawców jako „dostawców wysokiego ryzyka” (</w:t>
      </w:r>
      <w:r w:rsidR="00810BF7">
        <w:rPr>
          <w:i/>
        </w:rPr>
        <w:t>high risk vendors).</w:t>
      </w:r>
    </w:p>
    <w:p w14:paraId="323A0DAC" w14:textId="77777777" w:rsidR="00866F85" w:rsidRDefault="00866F85" w:rsidP="001C5AF2">
      <w:pPr>
        <w:pStyle w:val="ARTartustawynprozporzdzenia"/>
      </w:pPr>
      <w:r>
        <w:t>Toolbox 5G wskazuje środki strategiczne, które będą</w:t>
      </w:r>
      <w:r w:rsidR="00EA1900">
        <w:t xml:space="preserve"> w </w:t>
      </w:r>
      <w:r>
        <w:t>stanie zmitygować ryzyka wskazane</w:t>
      </w:r>
      <w:r w:rsidR="00EA1900">
        <w:t xml:space="preserve"> w </w:t>
      </w:r>
      <w:r>
        <w:t>Unijnej ocenie cyberbezpieczeństwa sieci 5G. Przede wszystkim Toolbox 5G zaleca środk</w:t>
      </w:r>
      <w:r w:rsidR="00B920A3">
        <w:t>i</w:t>
      </w:r>
      <w:r>
        <w:t xml:space="preserve"> strategiczn</w:t>
      </w:r>
      <w:r w:rsidR="00B920A3">
        <w:t>e</w:t>
      </w:r>
      <w:r>
        <w:t>:</w:t>
      </w:r>
    </w:p>
    <w:p w14:paraId="782B519A" w14:textId="77777777" w:rsidR="00866F85" w:rsidRPr="00905885" w:rsidRDefault="00866F85" w:rsidP="001C5AF2">
      <w:pPr>
        <w:pStyle w:val="ARTartustawynprozporzdzenia"/>
        <w:numPr>
          <w:ilvl w:val="0"/>
          <w:numId w:val="104"/>
        </w:numPr>
      </w:pPr>
      <w:r>
        <w:t>SM01 – wzmocnienie roli władz krajowych – środek ten polega m. in. na wyposażenie władz krajowych</w:t>
      </w:r>
      <w:r w:rsidR="00EA1900">
        <w:t xml:space="preserve"> w </w:t>
      </w:r>
      <w:r>
        <w:t xml:space="preserve">kompetencje do zakazu, ograniczenia lub wprowadzenia wymagań odnośnie produktów dla sieci 5G, biorąc pod uwagę m. in. bezpieczeństwo </w:t>
      </w:r>
      <w:r w:rsidR="00AB5E84">
        <w:t>krytycznych (</w:t>
      </w:r>
      <w:r w:rsidR="00AB5E84">
        <w:rPr>
          <w:i/>
        </w:rPr>
        <w:t>critical and sensitive)</w:t>
      </w:r>
      <w:r w:rsidR="00AB5E84">
        <w:t xml:space="preserve"> części sieci 5G, ryzyka związane</w:t>
      </w:r>
      <w:r w:rsidR="002161FE">
        <w:t xml:space="preserve"> z </w:t>
      </w:r>
      <w:r w:rsidR="00AB5E84">
        <w:t>wpływ państw trzecich na łańcuchy dostaw 5G czy ryzyka dla bezpieczeństwa narodowego</w:t>
      </w:r>
      <w:r w:rsidR="002930AA">
        <w:t>,</w:t>
      </w:r>
    </w:p>
    <w:p w14:paraId="30E68425" w14:textId="77777777" w:rsidR="00866F85" w:rsidRPr="001C5AF2" w:rsidRDefault="00866F85" w:rsidP="001C5AF2">
      <w:pPr>
        <w:pStyle w:val="ARTartustawynprozporzdzenia"/>
        <w:numPr>
          <w:ilvl w:val="0"/>
          <w:numId w:val="104"/>
        </w:numPr>
      </w:pPr>
      <w:r>
        <w:t xml:space="preserve">SM03 </w:t>
      </w:r>
      <w:r w:rsidR="00AB5E84">
        <w:t>–</w:t>
      </w:r>
      <w:r>
        <w:t xml:space="preserve"> </w:t>
      </w:r>
      <w:r w:rsidR="00AB5E84">
        <w:t>ocena ryzyka dostawców – przeprowadzenie rygorystycznej oceny ryzyka dostawców</w:t>
      </w:r>
      <w:r w:rsidR="002161FE">
        <w:t xml:space="preserve"> a </w:t>
      </w:r>
      <w:r w:rsidR="00AB5E84">
        <w:t>następnie wprowadzenie niezbędnych wyłączeń</w:t>
      </w:r>
      <w:r w:rsidR="00EA1900">
        <w:t xml:space="preserve"> w </w:t>
      </w:r>
      <w:r w:rsidR="00AB5E84">
        <w:t>krytycznych zasobach.</w:t>
      </w:r>
    </w:p>
    <w:p w14:paraId="16685B62" w14:textId="77777777" w:rsidR="00D6493B" w:rsidRPr="001C5AF2" w:rsidRDefault="00D6493B" w:rsidP="001C5AF2">
      <w:pPr>
        <w:pStyle w:val="ARTartustawynprozporzdzenia"/>
      </w:pPr>
      <w:r>
        <w:t xml:space="preserve">W swoim komunikacie z 29 stycznia 2020 Komisja Europejska potwierdziła, że </w:t>
      </w:r>
      <w:r w:rsidRPr="001C5AF2">
        <w:rPr>
          <w:i/>
        </w:rPr>
        <w:t>państwa członkowskie zgodziły się co do konieczności oceny profilu ryzyka poszczególnych dostawców i w konsekwencji stosowania odpowiednich ograniczeń wobec dostawców uznanych za stwarzających wysokie ryzyko, w tym niezbędnych wyłączeń, aby skutecznie łagodzić ryzyko w odniesieniu do kluczowych aktywów, jak wskazano w zestawie narzędzi</w:t>
      </w:r>
      <w:r>
        <w:rPr>
          <w:rStyle w:val="Odwoanieprzypisudolnego"/>
          <w:i/>
        </w:rPr>
        <w:footnoteReference w:id="57"/>
      </w:r>
      <w:r w:rsidR="006A65EC">
        <w:rPr>
          <w:i/>
          <w:vertAlign w:val="superscript"/>
        </w:rPr>
        <w:t>)</w:t>
      </w:r>
      <w:r w:rsidRPr="001C5AF2">
        <w:rPr>
          <w:i/>
        </w:rPr>
        <w:t>.</w:t>
      </w:r>
    </w:p>
    <w:p w14:paraId="3C866D35" w14:textId="0BE888B0" w:rsidR="00DD10ED" w:rsidRDefault="00AB5E84" w:rsidP="00DD10ED">
      <w:pPr>
        <w:pStyle w:val="NIEARTTEKSTtekstnieartykuowanynppodstprawnarozplubpreambua"/>
        <w:rPr>
          <w:rFonts w:ascii="Times New Roman" w:hAnsi="Times New Roman" w:cs="Times New Roman"/>
        </w:rPr>
      </w:pPr>
      <w:r w:rsidRPr="4101D53A">
        <w:rPr>
          <w:rFonts w:ascii="Times New Roman" w:hAnsi="Times New Roman" w:cs="Times New Roman"/>
        </w:rPr>
        <w:lastRenderedPageBreak/>
        <w:t>Biorąc pod uwagę powyższe stanowisko unijne</w:t>
      </w:r>
      <w:r w:rsidR="3B8130E9" w:rsidRPr="4101D53A">
        <w:rPr>
          <w:rFonts w:ascii="Times New Roman" w:hAnsi="Times New Roman" w:cs="Times New Roman"/>
        </w:rPr>
        <w:t xml:space="preserve"> zasadne</w:t>
      </w:r>
      <w:r w:rsidRPr="4101D53A">
        <w:rPr>
          <w:rFonts w:ascii="Times New Roman" w:hAnsi="Times New Roman" w:cs="Times New Roman"/>
        </w:rPr>
        <w:t xml:space="preserve"> jest</w:t>
      </w:r>
      <w:r w:rsidR="3B8130E9" w:rsidRPr="4101D53A">
        <w:rPr>
          <w:rFonts w:ascii="Times New Roman" w:hAnsi="Times New Roman" w:cs="Times New Roman"/>
        </w:rPr>
        <w:t xml:space="preserve"> </w:t>
      </w:r>
      <w:r w:rsidR="20DA277B" w:rsidRPr="4101D53A">
        <w:rPr>
          <w:rFonts w:ascii="Times New Roman" w:hAnsi="Times New Roman" w:cs="Times New Roman"/>
        </w:rPr>
        <w:t>wprowadzenie procedury umożliwiającej zbadanie ryzyk związanych</w:t>
      </w:r>
      <w:r w:rsidR="002161FE" w:rsidRPr="4101D53A">
        <w:rPr>
          <w:rFonts w:ascii="Times New Roman" w:hAnsi="Times New Roman" w:cs="Times New Roman"/>
        </w:rPr>
        <w:t xml:space="preserve"> z </w:t>
      </w:r>
      <w:r w:rsidR="20DA277B" w:rsidRPr="4101D53A">
        <w:rPr>
          <w:rFonts w:ascii="Times New Roman" w:hAnsi="Times New Roman" w:cs="Times New Roman"/>
        </w:rPr>
        <w:t>danym dostawcą sprzętu lub oprogramowania.</w:t>
      </w:r>
      <w:r w:rsidR="00116933" w:rsidRPr="4101D53A">
        <w:rPr>
          <w:rFonts w:ascii="Times New Roman" w:hAnsi="Times New Roman" w:cs="Times New Roman"/>
        </w:rPr>
        <w:t xml:space="preserve"> W </w:t>
      </w:r>
      <w:r w:rsidR="20DA277B" w:rsidRPr="4101D53A">
        <w:rPr>
          <w:rFonts w:ascii="Times New Roman" w:hAnsi="Times New Roman" w:cs="Times New Roman"/>
        </w:rPr>
        <w:t>przypadku</w:t>
      </w:r>
      <w:r w:rsidR="00007CB9">
        <w:rPr>
          <w:rFonts w:ascii="Times New Roman" w:hAnsi="Times New Roman" w:cs="Times New Roman"/>
        </w:rPr>
        <w:t>,</w:t>
      </w:r>
      <w:r w:rsidR="76247584" w:rsidRPr="4101D53A">
        <w:rPr>
          <w:rFonts w:ascii="Times New Roman" w:hAnsi="Times New Roman" w:cs="Times New Roman"/>
        </w:rPr>
        <w:t xml:space="preserve"> gdyby ryzyka dla bezpieczeństwa państwa okazały się zbyt wysoki</w:t>
      </w:r>
      <w:r w:rsidR="5731568E" w:rsidRPr="4101D53A">
        <w:rPr>
          <w:rFonts w:ascii="Times New Roman" w:hAnsi="Times New Roman" w:cs="Times New Roman"/>
        </w:rPr>
        <w:t>e</w:t>
      </w:r>
      <w:r w:rsidR="76247584" w:rsidRPr="4101D53A">
        <w:rPr>
          <w:rFonts w:ascii="Times New Roman" w:hAnsi="Times New Roman" w:cs="Times New Roman"/>
        </w:rPr>
        <w:t>, taki dostawca powinien być uznany za stwarzający wysokie ryzyko.</w:t>
      </w:r>
      <w:r w:rsidR="00A77A57" w:rsidRPr="4101D53A">
        <w:rPr>
          <w:rFonts w:ascii="Times New Roman" w:hAnsi="Times New Roman" w:cs="Times New Roman"/>
        </w:rPr>
        <w:t xml:space="preserve"> </w:t>
      </w:r>
    </w:p>
    <w:p w14:paraId="0C186359" w14:textId="77777777" w:rsidR="00A86A71"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w:t>
      </w:r>
      <w:r w:rsidR="00EA1900">
        <w:rPr>
          <w:rFonts w:ascii="Times New Roman" w:hAnsi="Times New Roman" w:cs="Times New Roman"/>
        </w:rPr>
        <w:t xml:space="preserve"> art. </w:t>
      </w:r>
      <w:r w:rsidRPr="0024375B">
        <w:rPr>
          <w:rFonts w:ascii="Times New Roman" w:hAnsi="Times New Roman" w:cs="Times New Roman"/>
        </w:rPr>
        <w:t>66a została dodana kompetencja ministra właściwego do spraw informatyzacji do przeprowadzenia</w:t>
      </w:r>
      <w:r w:rsidR="0077165A">
        <w:rPr>
          <w:rFonts w:ascii="Times New Roman" w:hAnsi="Times New Roman" w:cs="Times New Roman"/>
        </w:rPr>
        <w:t xml:space="preserve"> </w:t>
      </w:r>
      <w:r w:rsidRPr="0024375B">
        <w:rPr>
          <w:rFonts w:ascii="Times New Roman" w:hAnsi="Times New Roman" w:cs="Times New Roman"/>
        </w:rPr>
        <w:t>postępowania</w:t>
      </w:r>
      <w:r w:rsidR="00EA1900">
        <w:rPr>
          <w:rFonts w:ascii="Times New Roman" w:hAnsi="Times New Roman" w:cs="Times New Roman"/>
        </w:rPr>
        <w:t xml:space="preserve"> w </w:t>
      </w:r>
      <w:r w:rsidRPr="0024375B">
        <w:rPr>
          <w:rFonts w:ascii="Times New Roman" w:hAnsi="Times New Roman" w:cs="Times New Roman"/>
        </w:rPr>
        <w:t>sprawie uznania dostawcy sprzętu lub oprogramowania za dostawcę wysokiego ryzyka.</w:t>
      </w:r>
      <w:r w:rsidR="00445C31">
        <w:rPr>
          <w:rFonts w:ascii="Times New Roman" w:hAnsi="Times New Roman" w:cs="Times New Roman"/>
        </w:rPr>
        <w:t xml:space="preserve"> Postępowanie to będzie prowadzone</w:t>
      </w:r>
      <w:r w:rsidR="00EA1900">
        <w:rPr>
          <w:rFonts w:ascii="Times New Roman" w:hAnsi="Times New Roman" w:cs="Times New Roman"/>
        </w:rPr>
        <w:t xml:space="preserve"> w </w:t>
      </w:r>
      <w:r w:rsidR="00445C31">
        <w:rPr>
          <w:rFonts w:ascii="Times New Roman" w:hAnsi="Times New Roman" w:cs="Times New Roman"/>
        </w:rPr>
        <w:t xml:space="preserve">celu </w:t>
      </w:r>
      <w:r w:rsidR="00445C31" w:rsidRPr="0024375B">
        <w:rPr>
          <w:rFonts w:ascii="Times New Roman" w:hAnsi="Times New Roman" w:cs="Times New Roman"/>
        </w:rPr>
        <w:t>ochrony ważnych interesów państwowych</w:t>
      </w:r>
      <w:r w:rsidR="00EA1900">
        <w:rPr>
          <w:rFonts w:ascii="Times New Roman" w:hAnsi="Times New Roman" w:cs="Times New Roman"/>
        </w:rPr>
        <w:t xml:space="preserve"> w </w:t>
      </w:r>
      <w:r w:rsidR="00445C31" w:rsidRPr="0024375B">
        <w:rPr>
          <w:rFonts w:ascii="Times New Roman" w:hAnsi="Times New Roman" w:cs="Times New Roman"/>
        </w:rPr>
        <w:t>postaci bezpieczeństwa państwa lub bezpieczeństwa</w:t>
      </w:r>
      <w:r w:rsidR="002161FE">
        <w:rPr>
          <w:rFonts w:ascii="Times New Roman" w:hAnsi="Times New Roman" w:cs="Times New Roman"/>
        </w:rPr>
        <w:t xml:space="preserve"> i </w:t>
      </w:r>
      <w:r w:rsidR="00445C31" w:rsidRPr="0024375B">
        <w:rPr>
          <w:rFonts w:ascii="Times New Roman" w:hAnsi="Times New Roman" w:cs="Times New Roman"/>
        </w:rPr>
        <w:t>porządku publicznego</w:t>
      </w:r>
      <w:r w:rsidR="00605747">
        <w:rPr>
          <w:rFonts w:ascii="Times New Roman" w:hAnsi="Times New Roman" w:cs="Times New Roman"/>
        </w:rPr>
        <w:t>.</w:t>
      </w:r>
      <w:r w:rsidR="00445C31" w:rsidRPr="0024375B">
        <w:rPr>
          <w:rFonts w:ascii="Times New Roman" w:hAnsi="Times New Roman" w:cs="Times New Roman"/>
        </w:rPr>
        <w:t xml:space="preserve"> </w:t>
      </w:r>
      <w:r w:rsidR="00A86A71">
        <w:rPr>
          <w:rFonts w:ascii="Times New Roman" w:hAnsi="Times New Roman" w:cs="Times New Roman"/>
        </w:rPr>
        <w:t xml:space="preserve">Tak jak wyżej wspomniano kwestia cyberbezpieczeństwa sieci 5G jest kwestią strategiczną dla Unii Europejskiej </w:t>
      </w:r>
      <w:r w:rsidR="002161FE">
        <w:rPr>
          <w:rFonts w:ascii="Times New Roman" w:hAnsi="Times New Roman" w:cs="Times New Roman"/>
        </w:rPr>
        <w:t>z </w:t>
      </w:r>
      <w:r w:rsidR="00A86A71">
        <w:rPr>
          <w:rFonts w:ascii="Times New Roman" w:hAnsi="Times New Roman" w:cs="Times New Roman"/>
        </w:rPr>
        <w:t>uwagi na współzależności pomiędzy sieciami telekomunikacyjnymi państw członkowskich UE</w:t>
      </w:r>
      <w:r w:rsidR="008601D9">
        <w:rPr>
          <w:rFonts w:ascii="Times New Roman" w:hAnsi="Times New Roman" w:cs="Times New Roman"/>
        </w:rPr>
        <w:t>.</w:t>
      </w:r>
      <w:r w:rsidR="002161FE">
        <w:rPr>
          <w:rFonts w:ascii="Times New Roman" w:hAnsi="Times New Roman" w:cs="Times New Roman"/>
        </w:rPr>
        <w:t xml:space="preserve"> </w:t>
      </w:r>
      <w:r w:rsidR="008601D9">
        <w:rPr>
          <w:rFonts w:ascii="Times New Roman" w:hAnsi="Times New Roman" w:cs="Times New Roman"/>
        </w:rPr>
        <w:t>Ze względu na</w:t>
      </w:r>
      <w:r w:rsidR="00A86A71">
        <w:rPr>
          <w:rFonts w:ascii="Times New Roman" w:hAnsi="Times New Roman" w:cs="Times New Roman"/>
        </w:rPr>
        <w:t xml:space="preserve"> potencjalne szkody, które może przynieść</w:t>
      </w:r>
      <w:r w:rsidR="00614161">
        <w:rPr>
          <w:rFonts w:ascii="Times New Roman" w:hAnsi="Times New Roman" w:cs="Times New Roman"/>
        </w:rPr>
        <w:t xml:space="preserve"> zakłócenie funkcjonowania tych sieci</w:t>
      </w:r>
      <w:r w:rsidR="00A86A71">
        <w:rPr>
          <w:rFonts w:ascii="Times New Roman" w:hAnsi="Times New Roman" w:cs="Times New Roman"/>
        </w:rPr>
        <w:t xml:space="preserve"> jest to również materia dotycząca bezpieczeństwa państwa. </w:t>
      </w:r>
      <w:r w:rsidR="001A0099">
        <w:rPr>
          <w:rFonts w:ascii="Times New Roman" w:hAnsi="Times New Roman" w:cs="Times New Roman"/>
        </w:rPr>
        <w:t>Jednakże przepis nie zamyka się wyłącznie do sieci 5G. Postępowaniu będzie mógł być poddany dostawca produktów, usług</w:t>
      </w:r>
      <w:r w:rsidR="002161FE">
        <w:rPr>
          <w:rFonts w:ascii="Times New Roman" w:hAnsi="Times New Roman" w:cs="Times New Roman"/>
        </w:rPr>
        <w:t xml:space="preserve"> i </w:t>
      </w:r>
      <w:r w:rsidR="001A0099">
        <w:rPr>
          <w:rFonts w:ascii="Times New Roman" w:hAnsi="Times New Roman" w:cs="Times New Roman"/>
        </w:rPr>
        <w:t xml:space="preserve">procesów ICT nie tylko dla sieci 5G, ale również dla innych systemów informacyjnych – jeżeli będzie spełniona przesłanka </w:t>
      </w:r>
      <w:r w:rsidR="00DC7FB3">
        <w:rPr>
          <w:rFonts w:ascii="Times New Roman" w:hAnsi="Times New Roman" w:cs="Times New Roman"/>
        </w:rPr>
        <w:t xml:space="preserve">zapewnienia </w:t>
      </w:r>
      <w:r w:rsidR="001A0099">
        <w:rPr>
          <w:rFonts w:ascii="Times New Roman" w:hAnsi="Times New Roman" w:cs="Times New Roman"/>
        </w:rPr>
        <w:t>ochrony bezpieczeństwa państwa.</w:t>
      </w:r>
    </w:p>
    <w:p w14:paraId="1EA7FFB0" w14:textId="77777777" w:rsidR="00F6749E" w:rsidRPr="0024375B" w:rsidRDefault="00116933" w:rsidP="001C5AF2">
      <w:pPr>
        <w:pStyle w:val="NIEARTTEKSTtekstnieartykuowanynppodstprawnarozplubpreambua"/>
        <w:keepNext/>
        <w:rPr>
          <w:rFonts w:ascii="Times New Roman" w:hAnsi="Times New Roman" w:cs="Times New Roman"/>
        </w:rPr>
      </w:pPr>
      <w:r>
        <w:rPr>
          <w:rFonts w:ascii="Times New Roman" w:hAnsi="Times New Roman" w:cs="Times New Roman"/>
        </w:rPr>
        <w:t>W </w:t>
      </w:r>
      <w:r w:rsidR="00F6749E" w:rsidRPr="0024375B">
        <w:rPr>
          <w:rFonts w:ascii="Times New Roman" w:hAnsi="Times New Roman" w:cs="Times New Roman"/>
        </w:rPr>
        <w:t>rozumieniu artykułu</w:t>
      </w:r>
      <w:r w:rsidR="001A0099">
        <w:rPr>
          <w:rFonts w:ascii="Times New Roman" w:hAnsi="Times New Roman" w:cs="Times New Roman"/>
        </w:rPr>
        <w:t xml:space="preserve"> 66a</w:t>
      </w:r>
      <w:r w:rsidR="00F6749E" w:rsidRPr="0024375B">
        <w:rPr>
          <w:rFonts w:ascii="Times New Roman" w:hAnsi="Times New Roman" w:cs="Times New Roman"/>
        </w:rPr>
        <w:t xml:space="preserve"> dostawcą sprzętu lub oprogramowania jest dostawca produktów ICT, usług ICT lub procesów ICT</w:t>
      </w:r>
      <w:r w:rsidR="00BD1A3C">
        <w:rPr>
          <w:rStyle w:val="Odwoanieprzypisudolnego"/>
          <w:rFonts w:ascii="Times New Roman" w:hAnsi="Times New Roman"/>
        </w:rPr>
        <w:footnoteReference w:id="58"/>
      </w:r>
      <w:r w:rsidR="006A65EC">
        <w:rPr>
          <w:rFonts w:ascii="Times New Roman" w:hAnsi="Times New Roman" w:cs="Times New Roman"/>
          <w:vertAlign w:val="superscript"/>
        </w:rPr>
        <w:t>)</w:t>
      </w:r>
      <w:r w:rsidR="00F6749E" w:rsidRPr="0024375B">
        <w:rPr>
          <w:rFonts w:ascii="Times New Roman" w:hAnsi="Times New Roman" w:cs="Times New Roman"/>
        </w:rPr>
        <w:t>.</w:t>
      </w:r>
      <w:r w:rsidR="00FD08CC" w:rsidRPr="0024375B">
        <w:rPr>
          <w:rFonts w:ascii="Times New Roman" w:hAnsi="Times New Roman" w:cs="Times New Roman"/>
        </w:rPr>
        <w:t xml:space="preserve"> </w:t>
      </w:r>
      <w:r w:rsidR="00F6749E" w:rsidRPr="0024375B">
        <w:rPr>
          <w:rFonts w:ascii="Times New Roman" w:hAnsi="Times New Roman" w:cs="Times New Roman"/>
        </w:rPr>
        <w:t>Zgodnie</w:t>
      </w:r>
      <w:r w:rsidR="002161FE">
        <w:rPr>
          <w:rFonts w:ascii="Times New Roman" w:hAnsi="Times New Roman" w:cs="Times New Roman"/>
        </w:rPr>
        <w:t xml:space="preserve"> z </w:t>
      </w:r>
      <w:r w:rsidR="00F6749E" w:rsidRPr="0024375B">
        <w:rPr>
          <w:rFonts w:ascii="Times New Roman" w:hAnsi="Times New Roman" w:cs="Times New Roman"/>
        </w:rPr>
        <w:t>definicją dostawcy może to być producent, importer, dystrybutor.</w:t>
      </w:r>
      <w:r w:rsidR="00A86A71">
        <w:rPr>
          <w:rFonts w:ascii="Times New Roman" w:hAnsi="Times New Roman" w:cs="Times New Roman"/>
        </w:rPr>
        <w:t xml:space="preserve"> Dzięki temu postępowaniem będą mogły być objęte wszystkie podmioty kluczowe</w:t>
      </w:r>
      <w:r w:rsidR="00EA1900">
        <w:rPr>
          <w:rFonts w:ascii="Times New Roman" w:hAnsi="Times New Roman" w:cs="Times New Roman"/>
        </w:rPr>
        <w:t xml:space="preserve"> w </w:t>
      </w:r>
      <w:r w:rsidR="00A86A71">
        <w:rPr>
          <w:rFonts w:ascii="Times New Roman" w:hAnsi="Times New Roman" w:cs="Times New Roman"/>
        </w:rPr>
        <w:t>łańcuchu dostaw.</w:t>
      </w:r>
      <w:r w:rsidR="00F6749E" w:rsidRPr="0024375B">
        <w:rPr>
          <w:rFonts w:ascii="Times New Roman" w:hAnsi="Times New Roman" w:cs="Times New Roman"/>
        </w:rPr>
        <w:t xml:space="preserve"> Postępowanie nie będzie dotyczyło wszystkich produktów</w:t>
      </w:r>
      <w:r w:rsidR="001A0099">
        <w:rPr>
          <w:rFonts w:ascii="Times New Roman" w:hAnsi="Times New Roman" w:cs="Times New Roman"/>
        </w:rPr>
        <w:t>, usług</w:t>
      </w:r>
      <w:r w:rsidR="002161FE">
        <w:rPr>
          <w:rFonts w:ascii="Times New Roman" w:hAnsi="Times New Roman" w:cs="Times New Roman"/>
        </w:rPr>
        <w:t xml:space="preserve"> i </w:t>
      </w:r>
      <w:r w:rsidR="001A0099">
        <w:rPr>
          <w:rFonts w:ascii="Times New Roman" w:hAnsi="Times New Roman" w:cs="Times New Roman"/>
        </w:rPr>
        <w:t>procesów ICT</w:t>
      </w:r>
      <w:r w:rsidR="00F6749E" w:rsidRPr="0024375B">
        <w:rPr>
          <w:rFonts w:ascii="Times New Roman" w:hAnsi="Times New Roman" w:cs="Times New Roman"/>
        </w:rPr>
        <w:t xml:space="preserve"> pochodzących od konkretnego dostawcy sprzętu lub oprogramowania, lecz tylko tych, które są wykorzystywane przez:</w:t>
      </w:r>
      <w:r w:rsidR="00FD08CC" w:rsidRPr="0024375B">
        <w:rPr>
          <w:rFonts w:ascii="Times New Roman" w:hAnsi="Times New Roman" w:cs="Times New Roman"/>
        </w:rPr>
        <w:t xml:space="preserve"> </w:t>
      </w:r>
    </w:p>
    <w:p w14:paraId="2E08B8D0" w14:textId="77777777" w:rsidR="001A0099" w:rsidRDefault="00F6749E" w:rsidP="001C5AF2">
      <w:pPr>
        <w:pStyle w:val="NIEARTTEKSTtekstnieartykuowanynppodstprawnarozplubpreambua"/>
        <w:keepNext/>
        <w:numPr>
          <w:ilvl w:val="0"/>
          <w:numId w:val="106"/>
        </w:numPr>
        <w:rPr>
          <w:rFonts w:ascii="Times New Roman" w:hAnsi="Times New Roman" w:cs="Times New Roman"/>
        </w:rPr>
      </w:pPr>
      <w:r w:rsidRPr="0024375B">
        <w:rPr>
          <w:rFonts w:ascii="Times New Roman" w:hAnsi="Times New Roman" w:cs="Times New Roman"/>
        </w:rPr>
        <w:t>podmioty krajowego systemu cyberbezpieczeństwa,</w:t>
      </w:r>
      <w:r w:rsidR="00EA1900">
        <w:rPr>
          <w:rFonts w:ascii="Times New Roman" w:hAnsi="Times New Roman" w:cs="Times New Roman"/>
        </w:rPr>
        <w:t xml:space="preserve"> w </w:t>
      </w:r>
      <w:r w:rsidRPr="0024375B">
        <w:rPr>
          <w:rFonts w:ascii="Times New Roman" w:hAnsi="Times New Roman" w:cs="Times New Roman"/>
        </w:rPr>
        <w:t xml:space="preserve">tym </w:t>
      </w:r>
      <w:r w:rsidR="00AA4F07" w:rsidRPr="0024375B">
        <w:rPr>
          <w:rFonts w:ascii="Times New Roman" w:hAnsi="Times New Roman" w:cs="Times New Roman"/>
        </w:rPr>
        <w:t xml:space="preserve">operatorów </w:t>
      </w:r>
      <w:r w:rsidRPr="0024375B">
        <w:rPr>
          <w:rFonts w:ascii="Times New Roman" w:hAnsi="Times New Roman" w:cs="Times New Roman"/>
        </w:rPr>
        <w:t xml:space="preserve">usług kluczowych, </w:t>
      </w:r>
      <w:r w:rsidR="00AA4F07" w:rsidRPr="0024375B">
        <w:rPr>
          <w:rFonts w:ascii="Times New Roman" w:hAnsi="Times New Roman" w:cs="Times New Roman"/>
        </w:rPr>
        <w:t xml:space="preserve">dostawców </w:t>
      </w:r>
      <w:r w:rsidRPr="0024375B">
        <w:rPr>
          <w:rFonts w:ascii="Times New Roman" w:hAnsi="Times New Roman" w:cs="Times New Roman"/>
        </w:rPr>
        <w:t>usług cyfrowych, czy podmiot</w:t>
      </w:r>
      <w:r w:rsidR="00AA4F07" w:rsidRPr="0024375B">
        <w:rPr>
          <w:rFonts w:ascii="Times New Roman" w:hAnsi="Times New Roman" w:cs="Times New Roman"/>
        </w:rPr>
        <w:t>ów</w:t>
      </w:r>
      <w:r w:rsidRPr="0024375B">
        <w:rPr>
          <w:rFonts w:ascii="Times New Roman" w:hAnsi="Times New Roman" w:cs="Times New Roman"/>
        </w:rPr>
        <w:t xml:space="preserve"> publiczn</w:t>
      </w:r>
      <w:r w:rsidR="00AA4F07" w:rsidRPr="0024375B">
        <w:rPr>
          <w:rFonts w:ascii="Times New Roman" w:hAnsi="Times New Roman" w:cs="Times New Roman"/>
        </w:rPr>
        <w:t>ych</w:t>
      </w:r>
      <w:r w:rsidR="006A65EC">
        <w:rPr>
          <w:rFonts w:ascii="Times New Roman" w:hAnsi="Times New Roman" w:cs="Times New Roman"/>
        </w:rPr>
        <w:t>:</w:t>
      </w:r>
    </w:p>
    <w:p w14:paraId="1FA6CE0B" w14:textId="77777777" w:rsidR="001A0099" w:rsidRDefault="001A0099" w:rsidP="001C5AF2">
      <w:pPr>
        <w:pStyle w:val="NIEARTTEKSTtekstnieartykuowanynppodstprawnarozplubpreambua"/>
        <w:numPr>
          <w:ilvl w:val="1"/>
          <w:numId w:val="106"/>
        </w:numPr>
        <w:rPr>
          <w:rFonts w:ascii="Times New Roman" w:hAnsi="Times New Roman" w:cs="Times New Roman"/>
        </w:rPr>
      </w:pPr>
      <w:r>
        <w:rPr>
          <w:rFonts w:ascii="Times New Roman" w:hAnsi="Times New Roman" w:cs="Times New Roman"/>
        </w:rPr>
        <w:t>operatorzy usług kluczowych świadczą usługi kluczowe, które</w:t>
      </w:r>
      <w:r w:rsidRPr="001A0099">
        <w:rPr>
          <w:rFonts w:ascii="Times New Roman" w:hAnsi="Times New Roman" w:cs="Times New Roman"/>
        </w:rPr>
        <w:t xml:space="preserve"> ma</w:t>
      </w:r>
      <w:r>
        <w:rPr>
          <w:rFonts w:ascii="Times New Roman" w:hAnsi="Times New Roman" w:cs="Times New Roman"/>
        </w:rPr>
        <w:t>ją</w:t>
      </w:r>
      <w:r w:rsidRPr="001A0099">
        <w:rPr>
          <w:rFonts w:ascii="Times New Roman" w:hAnsi="Times New Roman" w:cs="Times New Roman"/>
        </w:rPr>
        <w:t xml:space="preserve"> kluczowe znaczenie dla utrzymania krytycznej działalności społecznej lub gospodarczej</w:t>
      </w:r>
      <w:r>
        <w:rPr>
          <w:rFonts w:ascii="Times New Roman" w:hAnsi="Times New Roman" w:cs="Times New Roman"/>
        </w:rPr>
        <w:t>,</w:t>
      </w:r>
    </w:p>
    <w:p w14:paraId="5D3B449A" w14:textId="77777777" w:rsidR="001A0099" w:rsidRDefault="001A0099" w:rsidP="001C5AF2">
      <w:pPr>
        <w:pStyle w:val="NIEARTTEKSTtekstnieartykuowanynppodstprawnarozplubpreambua"/>
        <w:numPr>
          <w:ilvl w:val="1"/>
          <w:numId w:val="106"/>
        </w:numPr>
        <w:rPr>
          <w:rFonts w:ascii="Times New Roman" w:hAnsi="Times New Roman" w:cs="Times New Roman"/>
        </w:rPr>
      </w:pPr>
      <w:r>
        <w:rPr>
          <w:rFonts w:ascii="Times New Roman" w:hAnsi="Times New Roman" w:cs="Times New Roman"/>
        </w:rPr>
        <w:lastRenderedPageBreak/>
        <w:t>dostawcy usług cyfrowych świadczą usługi cyfrowe (i</w:t>
      </w:r>
      <w:r w:rsidRPr="001A0099">
        <w:rPr>
          <w:rFonts w:ascii="Times New Roman" w:hAnsi="Times New Roman" w:cs="Times New Roman"/>
        </w:rPr>
        <w:t>nte</w:t>
      </w:r>
      <w:r>
        <w:rPr>
          <w:rFonts w:ascii="Times New Roman" w:hAnsi="Times New Roman" w:cs="Times New Roman"/>
        </w:rPr>
        <w:t>rnetowa</w:t>
      </w:r>
      <w:r w:rsidRPr="001A0099">
        <w:rPr>
          <w:rFonts w:ascii="Times New Roman" w:hAnsi="Times New Roman" w:cs="Times New Roman"/>
        </w:rPr>
        <w:t xml:space="preserve"> platforma handlowa</w:t>
      </w:r>
      <w:r>
        <w:rPr>
          <w:rFonts w:ascii="Times New Roman" w:hAnsi="Times New Roman" w:cs="Times New Roman"/>
        </w:rPr>
        <w:t>, u</w:t>
      </w:r>
      <w:r w:rsidRPr="001A0099">
        <w:rPr>
          <w:rFonts w:ascii="Times New Roman" w:hAnsi="Times New Roman" w:cs="Times New Roman"/>
        </w:rPr>
        <w:t>sługa przetwarzania</w:t>
      </w:r>
      <w:r w:rsidR="00EA1900">
        <w:rPr>
          <w:rFonts w:ascii="Times New Roman" w:hAnsi="Times New Roman" w:cs="Times New Roman"/>
        </w:rPr>
        <w:t xml:space="preserve"> w </w:t>
      </w:r>
      <w:r w:rsidRPr="001A0099">
        <w:rPr>
          <w:rFonts w:ascii="Times New Roman" w:hAnsi="Times New Roman" w:cs="Times New Roman"/>
        </w:rPr>
        <w:t>chmurze</w:t>
      </w:r>
      <w:r>
        <w:rPr>
          <w:rFonts w:ascii="Times New Roman" w:hAnsi="Times New Roman" w:cs="Times New Roman"/>
        </w:rPr>
        <w:t>, w</w:t>
      </w:r>
      <w:r w:rsidRPr="001A0099">
        <w:rPr>
          <w:rFonts w:ascii="Times New Roman" w:hAnsi="Times New Roman" w:cs="Times New Roman"/>
        </w:rPr>
        <w:t>yszukiwarka internetowa</w:t>
      </w:r>
      <w:r>
        <w:rPr>
          <w:rFonts w:ascii="Times New Roman" w:hAnsi="Times New Roman" w:cs="Times New Roman"/>
        </w:rPr>
        <w:t>), które są niezbędne dla zapewnienia funkcjonowania współczesnego społeczeństwa informacyjnego,</w:t>
      </w:r>
    </w:p>
    <w:p w14:paraId="45C3A229" w14:textId="77777777" w:rsidR="001A0099" w:rsidRPr="00905885" w:rsidRDefault="001A0099" w:rsidP="001C5AF2">
      <w:pPr>
        <w:pStyle w:val="NIEARTTEKSTtekstnieartykuowanynppodstprawnarozplubpreambua"/>
        <w:numPr>
          <w:ilvl w:val="1"/>
          <w:numId w:val="106"/>
        </w:numPr>
        <w:rPr>
          <w:rFonts w:ascii="Times New Roman" w:hAnsi="Times New Roman" w:cs="Times New Roman"/>
        </w:rPr>
      </w:pPr>
      <w:r>
        <w:rPr>
          <w:rFonts w:ascii="Times New Roman" w:hAnsi="Times New Roman" w:cs="Times New Roman"/>
        </w:rPr>
        <w:t>podmioty publiczne realizują</w:t>
      </w:r>
      <w:r w:rsidR="005A2047">
        <w:rPr>
          <w:rFonts w:ascii="Times New Roman" w:hAnsi="Times New Roman" w:cs="Times New Roman"/>
        </w:rPr>
        <w:t>, za pomocą systemów informacyjnych,</w:t>
      </w:r>
      <w:r>
        <w:rPr>
          <w:rFonts w:ascii="Times New Roman" w:hAnsi="Times New Roman" w:cs="Times New Roman"/>
        </w:rPr>
        <w:t xml:space="preserve"> zadania publiczne na rzecz obywateli;</w:t>
      </w:r>
    </w:p>
    <w:p w14:paraId="7D30CD0B" w14:textId="77777777" w:rsidR="003D6828" w:rsidRPr="001C5AF2" w:rsidRDefault="00F6749E" w:rsidP="001C5AF2">
      <w:pPr>
        <w:pStyle w:val="NIEARTTEKSTtekstnieartykuowanynppodstprawnarozplubpreambua"/>
        <w:numPr>
          <w:ilvl w:val="0"/>
          <w:numId w:val="106"/>
        </w:numPr>
      </w:pPr>
      <w:r w:rsidRPr="00905885">
        <w:rPr>
          <w:rFonts w:ascii="Times New Roman" w:hAnsi="Times New Roman" w:cs="Times New Roman"/>
        </w:rPr>
        <w:t>przedsiębiorców telekomunikacyjn</w:t>
      </w:r>
      <w:r w:rsidR="004A7E91" w:rsidRPr="00905885">
        <w:rPr>
          <w:rFonts w:ascii="Times New Roman" w:hAnsi="Times New Roman" w:cs="Times New Roman"/>
        </w:rPr>
        <w:t>ych</w:t>
      </w:r>
      <w:r w:rsidRPr="00905885">
        <w:rPr>
          <w:rFonts w:ascii="Times New Roman" w:hAnsi="Times New Roman" w:cs="Times New Roman"/>
        </w:rPr>
        <w:t xml:space="preserve"> obowiązan</w:t>
      </w:r>
      <w:r w:rsidR="004A7E91" w:rsidRPr="00905885">
        <w:rPr>
          <w:rFonts w:ascii="Times New Roman" w:hAnsi="Times New Roman" w:cs="Times New Roman"/>
        </w:rPr>
        <w:t>ych</w:t>
      </w:r>
      <w:r w:rsidRPr="00C87FE1">
        <w:rPr>
          <w:rFonts w:ascii="Times New Roman" w:hAnsi="Times New Roman" w:cs="Times New Roman"/>
        </w:rPr>
        <w:t xml:space="preserve"> posiadać aktualne</w:t>
      </w:r>
      <w:r w:rsidR="002161FE">
        <w:rPr>
          <w:rFonts w:ascii="Times New Roman" w:hAnsi="Times New Roman" w:cs="Times New Roman"/>
        </w:rPr>
        <w:t xml:space="preserve"> i </w:t>
      </w:r>
      <w:r w:rsidRPr="004652A8">
        <w:rPr>
          <w:rFonts w:ascii="Times New Roman" w:hAnsi="Times New Roman" w:cs="Times New Roman"/>
        </w:rPr>
        <w:t>uzgodnione plany działań</w:t>
      </w:r>
      <w:r w:rsidR="00EA1900">
        <w:rPr>
          <w:rFonts w:ascii="Times New Roman" w:hAnsi="Times New Roman" w:cs="Times New Roman"/>
        </w:rPr>
        <w:t xml:space="preserve"> w </w:t>
      </w:r>
      <w:r w:rsidR="00954850" w:rsidRPr="004652A8">
        <w:rPr>
          <w:rFonts w:ascii="Times New Roman" w:hAnsi="Times New Roman" w:cs="Times New Roman"/>
        </w:rPr>
        <w:t>sytuacj</w:t>
      </w:r>
      <w:r w:rsidR="00954850">
        <w:rPr>
          <w:rFonts w:ascii="Times New Roman" w:hAnsi="Times New Roman" w:cs="Times New Roman"/>
        </w:rPr>
        <w:t>i</w:t>
      </w:r>
      <w:r w:rsidR="00954850" w:rsidRPr="004652A8">
        <w:rPr>
          <w:rFonts w:ascii="Times New Roman" w:hAnsi="Times New Roman" w:cs="Times New Roman"/>
        </w:rPr>
        <w:t xml:space="preserve"> </w:t>
      </w:r>
      <w:r w:rsidRPr="004652A8">
        <w:rPr>
          <w:rFonts w:ascii="Times New Roman" w:hAnsi="Times New Roman" w:cs="Times New Roman"/>
        </w:rPr>
        <w:t>szczególn</w:t>
      </w:r>
      <w:r w:rsidR="00954850">
        <w:rPr>
          <w:rFonts w:ascii="Times New Roman" w:hAnsi="Times New Roman" w:cs="Times New Roman"/>
        </w:rPr>
        <w:t>ego</w:t>
      </w:r>
      <w:r w:rsidRPr="004652A8">
        <w:rPr>
          <w:rFonts w:ascii="Times New Roman" w:hAnsi="Times New Roman" w:cs="Times New Roman"/>
        </w:rPr>
        <w:t xml:space="preserve"> zagroże</w:t>
      </w:r>
      <w:r w:rsidR="00954850">
        <w:rPr>
          <w:rFonts w:ascii="Times New Roman" w:hAnsi="Times New Roman" w:cs="Times New Roman"/>
        </w:rPr>
        <w:t xml:space="preserve">nia </w:t>
      </w:r>
      <w:r w:rsidRPr="004652A8">
        <w:rPr>
          <w:rFonts w:ascii="Times New Roman" w:hAnsi="Times New Roman" w:cs="Times New Roman"/>
        </w:rPr>
        <w:t>(</w:t>
      </w:r>
      <w:r w:rsidR="00954850">
        <w:rPr>
          <w:rFonts w:ascii="Times New Roman" w:hAnsi="Times New Roman" w:cs="Times New Roman"/>
        </w:rPr>
        <w:t xml:space="preserve">obecnie, na gruncie Prawa telekomunikacyjnego jest to </w:t>
      </w:r>
      <w:r w:rsidR="5B4EF51A" w:rsidRPr="003D6828">
        <w:rPr>
          <w:rFonts w:ascii="Times New Roman" w:hAnsi="Times New Roman" w:cs="Times New Roman"/>
        </w:rPr>
        <w:t>69</w:t>
      </w:r>
      <w:r w:rsidRPr="003D6828">
        <w:rPr>
          <w:rFonts w:ascii="Times New Roman" w:hAnsi="Times New Roman" w:cs="Times New Roman"/>
        </w:rPr>
        <w:t xml:space="preserve"> podmiotów)</w:t>
      </w:r>
      <w:r w:rsidR="006A65EC">
        <w:rPr>
          <w:rFonts w:ascii="Times New Roman" w:hAnsi="Times New Roman" w:cs="Times New Roman"/>
        </w:rPr>
        <w:t>:</w:t>
      </w:r>
    </w:p>
    <w:p w14:paraId="54370A25" w14:textId="77777777" w:rsidR="005A2047" w:rsidRPr="001C5AF2" w:rsidRDefault="001A0099" w:rsidP="001C5AF2">
      <w:pPr>
        <w:pStyle w:val="NIEARTTEKSTtekstnieartykuowanynppodstprawnarozplubpreambua"/>
        <w:numPr>
          <w:ilvl w:val="1"/>
          <w:numId w:val="106"/>
        </w:numPr>
      </w:pPr>
      <w:r w:rsidRPr="00905885">
        <w:rPr>
          <w:rFonts w:ascii="Times New Roman" w:hAnsi="Times New Roman" w:cs="Times New Roman"/>
        </w:rPr>
        <w:t xml:space="preserve">przedsiębiorcy ci </w:t>
      </w:r>
      <w:r w:rsidRPr="00C87FE1">
        <w:rPr>
          <w:rFonts w:ascii="Times New Roman" w:hAnsi="Times New Roman" w:cs="Times New Roman"/>
        </w:rPr>
        <w:t xml:space="preserve">mają za zadanie </w:t>
      </w:r>
      <w:r w:rsidR="003D6828" w:rsidRPr="00C87FE1">
        <w:rPr>
          <w:rFonts w:ascii="Times New Roman" w:hAnsi="Times New Roman" w:cs="Times New Roman"/>
        </w:rPr>
        <w:t>m. in. współpracę</w:t>
      </w:r>
      <w:r w:rsidR="002161FE">
        <w:rPr>
          <w:rFonts w:ascii="Times New Roman" w:hAnsi="Times New Roman" w:cs="Times New Roman"/>
        </w:rPr>
        <w:t xml:space="preserve"> z </w:t>
      </w:r>
      <w:r w:rsidR="003D6828" w:rsidRPr="00C87FE1">
        <w:rPr>
          <w:rFonts w:ascii="Times New Roman" w:hAnsi="Times New Roman" w:cs="Times New Roman"/>
        </w:rPr>
        <w:t>podmiotami</w:t>
      </w:r>
      <w:r w:rsidR="002161FE">
        <w:rPr>
          <w:rFonts w:ascii="Times New Roman" w:hAnsi="Times New Roman" w:cs="Times New Roman"/>
        </w:rPr>
        <w:t xml:space="preserve"> i </w:t>
      </w:r>
      <w:r w:rsidR="003D6828" w:rsidRPr="00C87FE1">
        <w:rPr>
          <w:rFonts w:ascii="Times New Roman" w:hAnsi="Times New Roman" w:cs="Times New Roman"/>
        </w:rPr>
        <w:t>służbami wykonującymi zadania</w:t>
      </w:r>
      <w:r w:rsidR="00EA1900">
        <w:rPr>
          <w:rFonts w:ascii="Times New Roman" w:hAnsi="Times New Roman" w:cs="Times New Roman"/>
        </w:rPr>
        <w:t xml:space="preserve"> w </w:t>
      </w:r>
      <w:r w:rsidR="003D6828" w:rsidRPr="00C87FE1">
        <w:rPr>
          <w:rFonts w:ascii="Times New Roman" w:hAnsi="Times New Roman" w:cs="Times New Roman"/>
        </w:rPr>
        <w:t xml:space="preserve">zakresie </w:t>
      </w:r>
    </w:p>
    <w:p w14:paraId="5E8CFDB0" w14:textId="77777777" w:rsidR="005A2047" w:rsidRPr="001C5AF2" w:rsidRDefault="003D6828" w:rsidP="001C5AF2">
      <w:pPr>
        <w:pStyle w:val="NIEARTTEKSTtekstnieartykuowanynppodstprawnarozplubpreambua"/>
        <w:numPr>
          <w:ilvl w:val="2"/>
          <w:numId w:val="111"/>
        </w:numPr>
      </w:pPr>
      <w:r w:rsidRPr="00C87FE1">
        <w:rPr>
          <w:rFonts w:ascii="Times New Roman" w:hAnsi="Times New Roman" w:cs="Times New Roman"/>
        </w:rPr>
        <w:t>ratownic</w:t>
      </w:r>
      <w:r w:rsidRPr="004652A8">
        <w:rPr>
          <w:rFonts w:ascii="Times New Roman" w:hAnsi="Times New Roman" w:cs="Times New Roman"/>
        </w:rPr>
        <w:t>twa, niesienia pomocy ludności,</w:t>
      </w:r>
      <w:r w:rsidR="002161FE">
        <w:rPr>
          <w:rFonts w:ascii="Times New Roman" w:hAnsi="Times New Roman" w:cs="Times New Roman"/>
        </w:rPr>
        <w:t xml:space="preserve"> </w:t>
      </w:r>
    </w:p>
    <w:p w14:paraId="61ED3761" w14:textId="77777777" w:rsidR="001A0099" w:rsidRPr="001C5AF2" w:rsidRDefault="003D6828" w:rsidP="001C5AF2">
      <w:pPr>
        <w:pStyle w:val="NIEARTTEKSTtekstnieartykuowanynppodstprawnarozplubpreambua"/>
        <w:numPr>
          <w:ilvl w:val="2"/>
          <w:numId w:val="111"/>
        </w:numPr>
      </w:pPr>
      <w:r w:rsidRPr="004652A8">
        <w:rPr>
          <w:rFonts w:ascii="Times New Roman" w:hAnsi="Times New Roman" w:cs="Times New Roman"/>
        </w:rPr>
        <w:t>obronności, bezpieczeństwa państwa oraz bezpieczeństwa</w:t>
      </w:r>
      <w:r w:rsidR="002161FE">
        <w:rPr>
          <w:rFonts w:ascii="Times New Roman" w:hAnsi="Times New Roman" w:cs="Times New Roman"/>
        </w:rPr>
        <w:t xml:space="preserve"> i </w:t>
      </w:r>
      <w:r w:rsidRPr="004652A8">
        <w:rPr>
          <w:rFonts w:ascii="Times New Roman" w:hAnsi="Times New Roman" w:cs="Times New Roman"/>
        </w:rPr>
        <w:t>porządku publicznego</w:t>
      </w:r>
      <w:r>
        <w:rPr>
          <w:rFonts w:ascii="Times New Roman" w:hAnsi="Times New Roman" w:cs="Times New Roman"/>
        </w:rPr>
        <w:t>;</w:t>
      </w:r>
    </w:p>
    <w:p w14:paraId="64727A66" w14:textId="5AD9B631" w:rsidR="00F6749E" w:rsidRPr="004C6527" w:rsidRDefault="00F6749E" w:rsidP="009A6D9D">
      <w:pPr>
        <w:pStyle w:val="NIEARTTEKSTtekstnieartykuowanynppodstprawnarozplubpreambua"/>
        <w:numPr>
          <w:ilvl w:val="0"/>
          <w:numId w:val="106"/>
        </w:numPr>
        <w:rPr>
          <w:rFonts w:ascii="Times New Roman" w:hAnsi="Times New Roman" w:cs="Times New Roman"/>
        </w:rPr>
      </w:pPr>
      <w:r w:rsidRPr="0024375B">
        <w:rPr>
          <w:rFonts w:ascii="Times New Roman" w:hAnsi="Times New Roman" w:cs="Times New Roman"/>
        </w:rPr>
        <w:t>właścicieli</w:t>
      </w:r>
      <w:r w:rsidR="002161FE">
        <w:rPr>
          <w:rFonts w:ascii="Times New Roman" w:hAnsi="Times New Roman" w:cs="Times New Roman"/>
        </w:rPr>
        <w:t xml:space="preserve"> i </w:t>
      </w:r>
      <w:r w:rsidRPr="0024375B">
        <w:rPr>
          <w:rFonts w:ascii="Times New Roman" w:hAnsi="Times New Roman" w:cs="Times New Roman"/>
        </w:rPr>
        <w:t>posiadaczy obiektów, instalacji lub urządzeń infrastruktury krytycznej,</w:t>
      </w:r>
      <w:r w:rsidR="0077165A">
        <w:rPr>
          <w:rFonts w:ascii="Times New Roman" w:hAnsi="Times New Roman" w:cs="Times New Roman"/>
        </w:rPr>
        <w:t xml:space="preserve"> o </w:t>
      </w:r>
      <w:r w:rsidRPr="0024375B">
        <w:rPr>
          <w:rFonts w:ascii="Times New Roman" w:hAnsi="Times New Roman" w:cs="Times New Roman"/>
        </w:rPr>
        <w:t>których mowa</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 xml:space="preserve">5b </w:t>
      </w:r>
      <w:r w:rsidR="00D00CB4">
        <w:rPr>
          <w:rFonts w:ascii="Times New Roman" w:hAnsi="Times New Roman" w:cs="Times New Roman"/>
        </w:rPr>
        <w:t>ust. </w:t>
      </w:r>
      <w:r w:rsidRPr="0024375B">
        <w:rPr>
          <w:rFonts w:ascii="Times New Roman" w:hAnsi="Times New Roman" w:cs="Times New Roman"/>
        </w:rPr>
        <w:t>7 pkt 1 ustawy</w:t>
      </w:r>
      <w:r w:rsidR="002161FE">
        <w:rPr>
          <w:rFonts w:ascii="Times New Roman" w:hAnsi="Times New Roman" w:cs="Times New Roman"/>
        </w:rPr>
        <w:t xml:space="preserve"> z </w:t>
      </w:r>
      <w:r w:rsidRPr="0024375B">
        <w:rPr>
          <w:rFonts w:ascii="Times New Roman" w:hAnsi="Times New Roman" w:cs="Times New Roman"/>
        </w:rPr>
        <w:t>dnia 26 kwietnia 2007 r.</w:t>
      </w:r>
      <w:r w:rsidR="0077165A">
        <w:rPr>
          <w:rFonts w:ascii="Times New Roman" w:hAnsi="Times New Roman" w:cs="Times New Roman"/>
        </w:rPr>
        <w:t xml:space="preserve"> o </w:t>
      </w:r>
      <w:r w:rsidRPr="0024375B">
        <w:rPr>
          <w:rFonts w:ascii="Times New Roman" w:hAnsi="Times New Roman" w:cs="Times New Roman"/>
        </w:rPr>
        <w:t>zarządzaniu kryzysowym (dalej</w:t>
      </w:r>
      <w:r w:rsidR="00EA1900">
        <w:rPr>
          <w:rFonts w:ascii="Times New Roman" w:hAnsi="Times New Roman" w:cs="Times New Roman"/>
        </w:rPr>
        <w:t xml:space="preserve"> w </w:t>
      </w:r>
      <w:r w:rsidRPr="0024375B">
        <w:rPr>
          <w:rFonts w:ascii="Times New Roman" w:hAnsi="Times New Roman" w:cs="Times New Roman"/>
        </w:rPr>
        <w:t>uzasadnieniu zwani operatorami infrastruktury krytycznej (</w:t>
      </w:r>
      <w:r w:rsidR="00EC6655" w:rsidRPr="0024375B">
        <w:rPr>
          <w:rFonts w:ascii="Times New Roman" w:hAnsi="Times New Roman" w:cs="Times New Roman"/>
        </w:rPr>
        <w:t>100-200</w:t>
      </w:r>
      <w:r w:rsidRPr="0024375B">
        <w:rPr>
          <w:rFonts w:ascii="Times New Roman" w:hAnsi="Times New Roman" w:cs="Times New Roman"/>
        </w:rPr>
        <w:t xml:space="preserve"> podmiotów)</w:t>
      </w:r>
      <w:r w:rsidR="00A43448">
        <w:rPr>
          <w:rFonts w:ascii="Times New Roman" w:hAnsi="Times New Roman" w:cs="Times New Roman"/>
        </w:rPr>
        <w:t>)</w:t>
      </w:r>
      <w:r w:rsidR="004C6527">
        <w:rPr>
          <w:rFonts w:ascii="Times New Roman" w:hAnsi="Times New Roman" w:cs="Times New Roman"/>
        </w:rPr>
        <w:t xml:space="preserve">. </w:t>
      </w:r>
      <w:r w:rsidR="004C6527" w:rsidRPr="004C6527">
        <w:rPr>
          <w:rFonts w:ascii="Times New Roman" w:hAnsi="Times New Roman" w:cs="Times New Roman"/>
        </w:rPr>
        <w:t>O</w:t>
      </w:r>
      <w:r w:rsidR="003D6828" w:rsidRPr="00FD0CD6">
        <w:rPr>
          <w:rFonts w:ascii="Times New Roman" w:hAnsi="Times New Roman" w:cs="Times New Roman"/>
        </w:rPr>
        <w:t>peratorzy</w:t>
      </w:r>
      <w:r w:rsidR="003D6828" w:rsidRPr="004C6527">
        <w:rPr>
          <w:rFonts w:ascii="Times New Roman" w:hAnsi="Times New Roman" w:cs="Times New Roman"/>
        </w:rPr>
        <w:t xml:space="preserve"> infrastruktury krytycznej zarządzają infrastrukturą kryty</w:t>
      </w:r>
      <w:r w:rsidR="003D6828" w:rsidRPr="00FD0CD6">
        <w:rPr>
          <w:rFonts w:ascii="Times New Roman" w:hAnsi="Times New Roman" w:cs="Times New Roman"/>
        </w:rPr>
        <w:t>czną, którą stanowią systemy oraz wchodzące</w:t>
      </w:r>
      <w:r w:rsidR="00EA1900" w:rsidRPr="004C6527">
        <w:rPr>
          <w:rFonts w:ascii="Times New Roman" w:hAnsi="Times New Roman" w:cs="Times New Roman"/>
        </w:rPr>
        <w:t xml:space="preserve"> w </w:t>
      </w:r>
      <w:r w:rsidR="003D6828" w:rsidRPr="004C6527">
        <w:rPr>
          <w:rFonts w:ascii="Times New Roman" w:hAnsi="Times New Roman" w:cs="Times New Roman"/>
        </w:rPr>
        <w:t>ich skład powiązane ze sobą funkcjonalnie obiekty,</w:t>
      </w:r>
      <w:r w:rsidR="00EA1900" w:rsidRPr="004C6527">
        <w:rPr>
          <w:rFonts w:ascii="Times New Roman" w:hAnsi="Times New Roman" w:cs="Times New Roman"/>
        </w:rPr>
        <w:t xml:space="preserve"> w </w:t>
      </w:r>
      <w:r w:rsidR="003D6828" w:rsidRPr="004C6527">
        <w:rPr>
          <w:rFonts w:ascii="Times New Roman" w:hAnsi="Times New Roman" w:cs="Times New Roman"/>
        </w:rPr>
        <w:t>tym obiekty budowlane, urządzenia, instalacje, usługi kluczowe dla bezpieczeństwa państwa</w:t>
      </w:r>
      <w:r w:rsidR="002161FE" w:rsidRPr="004C6527">
        <w:rPr>
          <w:rFonts w:ascii="Times New Roman" w:hAnsi="Times New Roman" w:cs="Times New Roman"/>
        </w:rPr>
        <w:t xml:space="preserve"> i </w:t>
      </w:r>
      <w:r w:rsidR="003D6828" w:rsidRPr="004C6527">
        <w:rPr>
          <w:rFonts w:ascii="Times New Roman" w:hAnsi="Times New Roman" w:cs="Times New Roman"/>
        </w:rPr>
        <w:t>jego obywateli oraz służące zapewnieniu sprawnego funkcjonowania organów administracji publicznej,</w:t>
      </w:r>
      <w:r w:rsidR="002161FE" w:rsidRPr="004C6527">
        <w:rPr>
          <w:rFonts w:ascii="Times New Roman" w:hAnsi="Times New Roman" w:cs="Times New Roman"/>
        </w:rPr>
        <w:t xml:space="preserve"> a </w:t>
      </w:r>
      <w:r w:rsidR="003D6828" w:rsidRPr="004C6527">
        <w:rPr>
          <w:rFonts w:ascii="Times New Roman" w:hAnsi="Times New Roman" w:cs="Times New Roman"/>
        </w:rPr>
        <w:t>także instytucji</w:t>
      </w:r>
      <w:r w:rsidR="002161FE" w:rsidRPr="004C6527">
        <w:rPr>
          <w:rFonts w:ascii="Times New Roman" w:hAnsi="Times New Roman" w:cs="Times New Roman"/>
        </w:rPr>
        <w:t xml:space="preserve"> i </w:t>
      </w:r>
      <w:r w:rsidR="003D6828" w:rsidRPr="004C6527">
        <w:rPr>
          <w:rFonts w:ascii="Times New Roman" w:hAnsi="Times New Roman" w:cs="Times New Roman"/>
        </w:rPr>
        <w:t>przedsiębiorców.</w:t>
      </w:r>
    </w:p>
    <w:p w14:paraId="16CE860E"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Podmioty te są szczególnie ważne dla zapewnienia bezpieczeństwa państwa, dlatego konieczne jest, żeby korzystały</w:t>
      </w:r>
      <w:r w:rsidR="002161FE">
        <w:rPr>
          <w:rFonts w:ascii="Times New Roman" w:hAnsi="Times New Roman" w:cs="Times New Roman"/>
        </w:rPr>
        <w:t xml:space="preserve"> z </w:t>
      </w:r>
      <w:r w:rsidRPr="0024375B">
        <w:rPr>
          <w:rFonts w:ascii="Times New Roman" w:hAnsi="Times New Roman" w:cs="Times New Roman"/>
        </w:rPr>
        <w:t>bezpiecznego sprzętu</w:t>
      </w:r>
      <w:r w:rsidR="00EA1900">
        <w:rPr>
          <w:rFonts w:ascii="Times New Roman" w:hAnsi="Times New Roman" w:cs="Times New Roman"/>
        </w:rPr>
        <w:t xml:space="preserve"> </w:t>
      </w:r>
      <w:r w:rsidR="00DC7FB3">
        <w:rPr>
          <w:rFonts w:ascii="Times New Roman" w:hAnsi="Times New Roman" w:cs="Times New Roman"/>
        </w:rPr>
        <w:t xml:space="preserve">lub oprogramowania </w:t>
      </w:r>
      <w:r w:rsidR="00EA1900">
        <w:rPr>
          <w:rFonts w:ascii="Times New Roman" w:hAnsi="Times New Roman" w:cs="Times New Roman"/>
        </w:rPr>
        <w:t>w </w:t>
      </w:r>
      <w:r w:rsidRPr="0024375B">
        <w:rPr>
          <w:rFonts w:ascii="Times New Roman" w:hAnsi="Times New Roman" w:cs="Times New Roman"/>
        </w:rPr>
        <w:t>trakcie świadczenia usług na rzecz państwa</w:t>
      </w:r>
      <w:r w:rsidR="002161FE">
        <w:rPr>
          <w:rFonts w:ascii="Times New Roman" w:hAnsi="Times New Roman" w:cs="Times New Roman"/>
        </w:rPr>
        <w:t xml:space="preserve"> i </w:t>
      </w:r>
      <w:r w:rsidRPr="0024375B">
        <w:rPr>
          <w:rFonts w:ascii="Times New Roman" w:hAnsi="Times New Roman" w:cs="Times New Roman"/>
        </w:rPr>
        <w:t>obywateli.</w:t>
      </w:r>
      <w:r w:rsidR="005C3C3C">
        <w:rPr>
          <w:rFonts w:ascii="Times New Roman" w:hAnsi="Times New Roman" w:cs="Times New Roman"/>
        </w:rPr>
        <w:t xml:space="preserve"> </w:t>
      </w:r>
      <w:r w:rsidR="00B432CF" w:rsidRPr="0024375B">
        <w:rPr>
          <w:rFonts w:ascii="Times New Roman" w:hAnsi="Times New Roman" w:cs="Times New Roman"/>
        </w:rPr>
        <w:t xml:space="preserve">Podkreślić należy, że choć niniejszą nowelizacją dodaje się do podmiotów krajowego systemu cyberbezpieczeństwa przedsiębiorców komunikacji elektronicznej, to niniejsze postępowanie ma dotyczyć sprzętu lub oprogramowania wykorzystywanego przez przedsiębiorców </w:t>
      </w:r>
      <w:r w:rsidR="00D33BAD" w:rsidRPr="00D33BAD">
        <w:rPr>
          <w:rFonts w:ascii="Times New Roman" w:hAnsi="Times New Roman" w:cs="Times New Roman"/>
        </w:rPr>
        <w:t>komunikacji elektronicznej</w:t>
      </w:r>
      <w:r w:rsidR="00D33BAD" w:rsidRPr="00D33BAD" w:rsidDel="00D33BAD">
        <w:rPr>
          <w:rFonts w:ascii="Times New Roman" w:hAnsi="Times New Roman" w:cs="Times New Roman"/>
        </w:rPr>
        <w:t xml:space="preserve"> </w:t>
      </w:r>
      <w:r w:rsidR="00B432CF" w:rsidRPr="0024375B">
        <w:rPr>
          <w:rFonts w:ascii="Times New Roman" w:hAnsi="Times New Roman" w:cs="Times New Roman"/>
        </w:rPr>
        <w:t>sporządzających plany działań</w:t>
      </w:r>
      <w:r w:rsidR="00EA1900">
        <w:rPr>
          <w:rFonts w:ascii="Times New Roman" w:hAnsi="Times New Roman" w:cs="Times New Roman"/>
        </w:rPr>
        <w:t xml:space="preserve"> w </w:t>
      </w:r>
      <w:r w:rsidR="00B432CF" w:rsidRPr="0024375B">
        <w:rPr>
          <w:rFonts w:ascii="Times New Roman" w:hAnsi="Times New Roman" w:cs="Times New Roman"/>
        </w:rPr>
        <w:t>sytuacjach szczególnych zagrożeń.</w:t>
      </w:r>
    </w:p>
    <w:p w14:paraId="0BF98940" w14:textId="77777777" w:rsidR="00347F6A"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Do postępowania</w:t>
      </w:r>
      <w:r w:rsidR="00EA1900">
        <w:rPr>
          <w:rFonts w:ascii="Times New Roman" w:hAnsi="Times New Roman" w:cs="Times New Roman"/>
        </w:rPr>
        <w:t xml:space="preserve"> w </w:t>
      </w:r>
      <w:r w:rsidRPr="0024375B">
        <w:rPr>
          <w:rFonts w:ascii="Times New Roman" w:hAnsi="Times New Roman" w:cs="Times New Roman"/>
        </w:rPr>
        <w:t>sprawie uznania dostawcy za dostawcę wysokiego ryzyka będ</w:t>
      </w:r>
      <w:r w:rsidR="00690B21" w:rsidRPr="0024375B">
        <w:rPr>
          <w:rFonts w:ascii="Times New Roman" w:hAnsi="Times New Roman" w:cs="Times New Roman"/>
        </w:rPr>
        <w:t>ą</w:t>
      </w:r>
      <w:r w:rsidRPr="0024375B">
        <w:rPr>
          <w:rFonts w:ascii="Times New Roman" w:hAnsi="Times New Roman" w:cs="Times New Roman"/>
        </w:rPr>
        <w:t xml:space="preserve"> miał</w:t>
      </w:r>
      <w:r w:rsidR="00690B21" w:rsidRPr="0024375B">
        <w:rPr>
          <w:rFonts w:ascii="Times New Roman" w:hAnsi="Times New Roman" w:cs="Times New Roman"/>
        </w:rPr>
        <w:t>y</w:t>
      </w:r>
      <w:r w:rsidRPr="0024375B">
        <w:rPr>
          <w:rFonts w:ascii="Times New Roman" w:hAnsi="Times New Roman" w:cs="Times New Roman"/>
        </w:rPr>
        <w:t xml:space="preserve"> zastosowanie </w:t>
      </w:r>
      <w:r w:rsidR="00690B21" w:rsidRPr="0024375B">
        <w:rPr>
          <w:rFonts w:ascii="Times New Roman" w:hAnsi="Times New Roman" w:cs="Times New Roman"/>
        </w:rPr>
        <w:t xml:space="preserve">przepisy </w:t>
      </w:r>
      <w:r w:rsidRPr="0024375B">
        <w:rPr>
          <w:rFonts w:ascii="Times New Roman" w:hAnsi="Times New Roman" w:cs="Times New Roman"/>
        </w:rPr>
        <w:t>Kodeks</w:t>
      </w:r>
      <w:r w:rsidR="00690B21" w:rsidRPr="0024375B">
        <w:rPr>
          <w:rFonts w:ascii="Times New Roman" w:hAnsi="Times New Roman" w:cs="Times New Roman"/>
        </w:rPr>
        <w:t>u</w:t>
      </w:r>
      <w:r w:rsidRPr="0024375B">
        <w:rPr>
          <w:rFonts w:ascii="Times New Roman" w:hAnsi="Times New Roman" w:cs="Times New Roman"/>
        </w:rPr>
        <w:t xml:space="preserve"> postępowania administracyjnego</w:t>
      </w:r>
      <w:r w:rsidR="00961B09" w:rsidRPr="0024375B">
        <w:rPr>
          <w:rFonts w:ascii="Times New Roman" w:hAnsi="Times New Roman" w:cs="Times New Roman"/>
        </w:rPr>
        <w:t xml:space="preserve"> (Kpa)</w:t>
      </w:r>
      <w:r w:rsidRPr="0024375B">
        <w:rPr>
          <w:rFonts w:ascii="Times New Roman" w:hAnsi="Times New Roman" w:cs="Times New Roman"/>
        </w:rPr>
        <w:t xml:space="preserve">. </w:t>
      </w:r>
      <w:r w:rsidR="008A2196" w:rsidRPr="0024375B">
        <w:rPr>
          <w:rFonts w:ascii="Times New Roman" w:hAnsi="Times New Roman" w:cs="Times New Roman"/>
        </w:rPr>
        <w:t xml:space="preserve">Dzięki temu dostawca sprzętu lub oprogramowania będzie </w:t>
      </w:r>
      <w:r w:rsidR="00E55FB3" w:rsidRPr="0024375B">
        <w:rPr>
          <w:rFonts w:ascii="Times New Roman" w:hAnsi="Times New Roman" w:cs="Times New Roman"/>
        </w:rPr>
        <w:t>brał udział</w:t>
      </w:r>
      <w:r w:rsidR="00EA1900">
        <w:rPr>
          <w:rFonts w:ascii="Times New Roman" w:hAnsi="Times New Roman" w:cs="Times New Roman"/>
        </w:rPr>
        <w:t xml:space="preserve"> w </w:t>
      </w:r>
      <w:r w:rsidR="00E55FB3" w:rsidRPr="0024375B">
        <w:rPr>
          <w:rFonts w:ascii="Times New Roman" w:hAnsi="Times New Roman" w:cs="Times New Roman"/>
        </w:rPr>
        <w:t>postępowaniu na prawach strony,</w:t>
      </w:r>
      <w:r w:rsidR="002161FE">
        <w:rPr>
          <w:rFonts w:ascii="Times New Roman" w:hAnsi="Times New Roman" w:cs="Times New Roman"/>
        </w:rPr>
        <w:t xml:space="preserve"> z </w:t>
      </w:r>
      <w:r w:rsidR="00E55FB3" w:rsidRPr="0024375B">
        <w:rPr>
          <w:rFonts w:ascii="Times New Roman" w:hAnsi="Times New Roman" w:cs="Times New Roman"/>
        </w:rPr>
        <w:t>odmiennościami wynikających ze szczególnych regulacji wynikających</w:t>
      </w:r>
      <w:r w:rsidR="002161FE">
        <w:rPr>
          <w:rFonts w:ascii="Times New Roman" w:hAnsi="Times New Roman" w:cs="Times New Roman"/>
        </w:rPr>
        <w:t xml:space="preserve"> z </w:t>
      </w:r>
      <w:r w:rsidR="00E55FB3" w:rsidRPr="0024375B">
        <w:rPr>
          <w:rFonts w:ascii="Times New Roman" w:hAnsi="Times New Roman" w:cs="Times New Roman"/>
        </w:rPr>
        <w:t>przepisów nowelizacji.</w:t>
      </w:r>
      <w:r w:rsidR="00116933">
        <w:rPr>
          <w:rFonts w:ascii="Times New Roman" w:hAnsi="Times New Roman" w:cs="Times New Roman"/>
        </w:rPr>
        <w:t xml:space="preserve"> W </w:t>
      </w:r>
      <w:r w:rsidR="00347F6A" w:rsidRPr="0024375B">
        <w:rPr>
          <w:rFonts w:ascii="Times New Roman" w:hAnsi="Times New Roman" w:cs="Times New Roman"/>
        </w:rPr>
        <w:t>postępowaniu nie będą stosowane przepisy następujących artykułów Kpa:</w:t>
      </w:r>
    </w:p>
    <w:p w14:paraId="7F131EA2" w14:textId="77777777" w:rsidR="00347F6A" w:rsidRPr="0024375B" w:rsidRDefault="00347F6A" w:rsidP="0024375B">
      <w:pPr>
        <w:pStyle w:val="NIEARTTEKSTtekstnieartykuowanynppodstprawnarozplubpreambua"/>
        <w:numPr>
          <w:ilvl w:val="0"/>
          <w:numId w:val="56"/>
        </w:numPr>
        <w:rPr>
          <w:rFonts w:ascii="Times New Roman" w:hAnsi="Times New Roman" w:cs="Times New Roman"/>
        </w:rPr>
      </w:pPr>
      <w:r w:rsidRPr="0024375B">
        <w:rPr>
          <w:rFonts w:ascii="Times New Roman" w:hAnsi="Times New Roman" w:cs="Times New Roman"/>
        </w:rPr>
        <w:lastRenderedPageBreak/>
        <w:t>Art. 28 – projekt wprowadza wyjątek, że</w:t>
      </w:r>
      <w:r w:rsidR="00EA1900">
        <w:rPr>
          <w:rFonts w:ascii="Times New Roman" w:hAnsi="Times New Roman" w:cs="Times New Roman"/>
        </w:rPr>
        <w:t xml:space="preserve"> w </w:t>
      </w:r>
      <w:r w:rsidRPr="0024375B">
        <w:rPr>
          <w:rFonts w:ascii="Times New Roman" w:hAnsi="Times New Roman" w:cs="Times New Roman"/>
        </w:rPr>
        <w:t>tym szczególnym postępowaniu stroną postępowania jest każdy wobec kogo zostało wszczęte postępowanie</w:t>
      </w:r>
      <w:r w:rsidR="00EA1900">
        <w:rPr>
          <w:rFonts w:ascii="Times New Roman" w:hAnsi="Times New Roman" w:cs="Times New Roman"/>
        </w:rPr>
        <w:t xml:space="preserve"> w </w:t>
      </w:r>
      <w:r w:rsidRPr="0024375B">
        <w:rPr>
          <w:rFonts w:ascii="Times New Roman" w:hAnsi="Times New Roman" w:cs="Times New Roman"/>
        </w:rPr>
        <w:t>sprawie uznania za dostawcę wysokiego ryzyka.</w:t>
      </w:r>
    </w:p>
    <w:p w14:paraId="1B8B2A82" w14:textId="77777777" w:rsidR="00347F6A" w:rsidRPr="0024375B" w:rsidRDefault="00347F6A" w:rsidP="0024375B">
      <w:pPr>
        <w:pStyle w:val="NIEARTTEKSTtekstnieartykuowanynppodstprawnarozplubpreambua"/>
        <w:numPr>
          <w:ilvl w:val="0"/>
          <w:numId w:val="56"/>
        </w:numPr>
        <w:rPr>
          <w:rFonts w:ascii="Times New Roman" w:hAnsi="Times New Roman" w:cs="Times New Roman"/>
        </w:rPr>
      </w:pPr>
      <w:r w:rsidRPr="0024375B">
        <w:rPr>
          <w:rFonts w:ascii="Times New Roman" w:hAnsi="Times New Roman" w:cs="Times New Roman"/>
        </w:rPr>
        <w:t>Art. 31 – wyłącza się udział organizacji społecznej</w:t>
      </w:r>
      <w:r w:rsidR="00EA1900">
        <w:rPr>
          <w:rFonts w:ascii="Times New Roman" w:hAnsi="Times New Roman" w:cs="Times New Roman"/>
        </w:rPr>
        <w:t xml:space="preserve"> w </w:t>
      </w:r>
      <w:r w:rsidRPr="0024375B">
        <w:rPr>
          <w:rFonts w:ascii="Times New Roman" w:hAnsi="Times New Roman" w:cs="Times New Roman"/>
        </w:rPr>
        <w:t>postępowaniu</w:t>
      </w:r>
      <w:r w:rsidR="008A2196" w:rsidRPr="0024375B">
        <w:rPr>
          <w:rFonts w:ascii="Times New Roman" w:hAnsi="Times New Roman" w:cs="Times New Roman"/>
        </w:rPr>
        <w:t>;</w:t>
      </w:r>
    </w:p>
    <w:p w14:paraId="44EA883B" w14:textId="77777777" w:rsidR="00347F6A" w:rsidRPr="0024375B" w:rsidRDefault="00347F6A" w:rsidP="0024375B">
      <w:pPr>
        <w:pStyle w:val="NIEARTTEKSTtekstnieartykuowanynppodstprawnarozplubpreambua"/>
        <w:numPr>
          <w:ilvl w:val="0"/>
          <w:numId w:val="56"/>
        </w:numPr>
        <w:rPr>
          <w:rFonts w:ascii="Times New Roman" w:hAnsi="Times New Roman" w:cs="Times New Roman"/>
        </w:rPr>
      </w:pPr>
      <w:r w:rsidRPr="0024375B">
        <w:rPr>
          <w:rFonts w:ascii="Times New Roman" w:hAnsi="Times New Roman" w:cs="Times New Roman"/>
        </w:rPr>
        <w:t>Art. 51 – wyłącza się prz</w:t>
      </w:r>
      <w:r w:rsidR="008A2196" w:rsidRPr="0024375B">
        <w:rPr>
          <w:rFonts w:ascii="Times New Roman" w:hAnsi="Times New Roman" w:cs="Times New Roman"/>
        </w:rPr>
        <w:t>epis</w:t>
      </w:r>
      <w:r w:rsidR="00E55FB3" w:rsidRPr="0024375B">
        <w:rPr>
          <w:rFonts w:ascii="Times New Roman" w:hAnsi="Times New Roman" w:cs="Times New Roman"/>
        </w:rPr>
        <w:t>, który zawęża osobiste stawiennictwo do obrębu gminy lub miasta,</w:t>
      </w:r>
      <w:r w:rsidR="00EA1900">
        <w:rPr>
          <w:rFonts w:ascii="Times New Roman" w:hAnsi="Times New Roman" w:cs="Times New Roman"/>
        </w:rPr>
        <w:t xml:space="preserve"> w </w:t>
      </w:r>
      <w:r w:rsidR="00E55FB3" w:rsidRPr="0024375B">
        <w:rPr>
          <w:rFonts w:ascii="Times New Roman" w:hAnsi="Times New Roman" w:cs="Times New Roman"/>
        </w:rPr>
        <w:t>którym zamieszkuje albo przebywa osoba, jak również sąsiedniej gminy albo miasta</w:t>
      </w:r>
      <w:r w:rsidR="008A2196" w:rsidRPr="0024375B">
        <w:rPr>
          <w:rFonts w:ascii="Times New Roman" w:hAnsi="Times New Roman" w:cs="Times New Roman"/>
        </w:rPr>
        <w:t>;</w:t>
      </w:r>
    </w:p>
    <w:p w14:paraId="74791274" w14:textId="77777777" w:rsidR="00347F6A" w:rsidRPr="0024375B" w:rsidRDefault="00347F6A" w:rsidP="0024375B">
      <w:pPr>
        <w:pStyle w:val="NIEARTTEKSTtekstnieartykuowanynppodstprawnarozplubpreambua"/>
        <w:numPr>
          <w:ilvl w:val="0"/>
          <w:numId w:val="56"/>
        </w:numPr>
        <w:rPr>
          <w:rFonts w:ascii="Times New Roman" w:hAnsi="Times New Roman" w:cs="Times New Roman"/>
        </w:rPr>
      </w:pPr>
      <w:r w:rsidRPr="0024375B">
        <w:rPr>
          <w:rFonts w:ascii="Times New Roman" w:hAnsi="Times New Roman" w:cs="Times New Roman"/>
        </w:rPr>
        <w:t xml:space="preserve">Art. 66a – wyłącza się </w:t>
      </w:r>
      <w:r w:rsidR="008A2196" w:rsidRPr="0024375B">
        <w:rPr>
          <w:rFonts w:ascii="Times New Roman" w:hAnsi="Times New Roman" w:cs="Times New Roman"/>
        </w:rPr>
        <w:t>przepis dotyczący prowadzenia metryki sprawy;</w:t>
      </w:r>
    </w:p>
    <w:p w14:paraId="63C5CFDE" w14:textId="77777777" w:rsidR="00347F6A" w:rsidRPr="0024375B" w:rsidRDefault="00347F6A" w:rsidP="0024375B">
      <w:pPr>
        <w:pStyle w:val="NIEARTTEKSTtekstnieartykuowanynppodstprawnarozplubpreambua"/>
        <w:numPr>
          <w:ilvl w:val="0"/>
          <w:numId w:val="56"/>
        </w:numPr>
        <w:rPr>
          <w:rFonts w:ascii="Times New Roman" w:hAnsi="Times New Roman" w:cs="Times New Roman"/>
        </w:rPr>
      </w:pPr>
      <w:r w:rsidRPr="0024375B">
        <w:rPr>
          <w:rFonts w:ascii="Times New Roman" w:hAnsi="Times New Roman" w:cs="Times New Roman"/>
        </w:rPr>
        <w:t>Art. 79</w:t>
      </w:r>
      <w:r w:rsidR="008A2196" w:rsidRPr="0024375B">
        <w:rPr>
          <w:rFonts w:ascii="Times New Roman" w:hAnsi="Times New Roman" w:cs="Times New Roman"/>
        </w:rPr>
        <w:t xml:space="preserve"> – wyłącza się przepis</w:t>
      </w:r>
      <w:r w:rsidR="0077165A">
        <w:rPr>
          <w:rFonts w:ascii="Times New Roman" w:hAnsi="Times New Roman" w:cs="Times New Roman"/>
        </w:rPr>
        <w:t xml:space="preserve"> o </w:t>
      </w:r>
      <w:r w:rsidR="008A2196" w:rsidRPr="0024375B">
        <w:rPr>
          <w:rFonts w:ascii="Times New Roman" w:hAnsi="Times New Roman" w:cs="Times New Roman"/>
        </w:rPr>
        <w:t>udziale strony</w:t>
      </w:r>
      <w:r w:rsidR="00EA1900">
        <w:rPr>
          <w:rFonts w:ascii="Times New Roman" w:hAnsi="Times New Roman" w:cs="Times New Roman"/>
        </w:rPr>
        <w:t xml:space="preserve"> w </w:t>
      </w:r>
      <w:r w:rsidR="008A2196" w:rsidRPr="0024375B">
        <w:rPr>
          <w:rFonts w:ascii="Times New Roman" w:hAnsi="Times New Roman" w:cs="Times New Roman"/>
        </w:rPr>
        <w:t>przeprowadzeniu dowodu;</w:t>
      </w:r>
    </w:p>
    <w:p w14:paraId="36C46EDC" w14:textId="77777777" w:rsidR="009F4B33" w:rsidRPr="0024375B" w:rsidRDefault="008A2196" w:rsidP="0024375B">
      <w:pPr>
        <w:pStyle w:val="ARTartustawynprozporzdzenia"/>
      </w:pPr>
      <w:r w:rsidRPr="0024375B">
        <w:t>Wyłączenia tych przepisów Kpa są niezbędne ze względu na szczególny charakter tego postępowania, które ma na celu zapewnienie bezpieczeństwa narodowego</w:t>
      </w:r>
      <w:r w:rsidR="00E55FB3" w:rsidRPr="0024375B">
        <w:t xml:space="preserve">. </w:t>
      </w:r>
    </w:p>
    <w:p w14:paraId="28DDC763" w14:textId="77777777" w:rsidR="008A2196" w:rsidRPr="0024375B" w:rsidRDefault="00230B53" w:rsidP="0024375B">
      <w:pPr>
        <w:pStyle w:val="ARTartustawynprozporzdzenia"/>
        <w:rPr>
          <w:rFonts w:ascii="Times New Roman" w:hAnsi="Times New Roman" w:cs="Times New Roman"/>
        </w:rPr>
      </w:pPr>
      <w:r w:rsidRPr="0024375B">
        <w:t>W</w:t>
      </w:r>
      <w:r w:rsidR="009F4B33" w:rsidRPr="0024375B">
        <w:t xml:space="preserve"> celu usprawnienia przebiegu postępowania</w:t>
      </w:r>
      <w:r w:rsidR="002161FE">
        <w:t xml:space="preserve"> i </w:t>
      </w:r>
      <w:r w:rsidRPr="0024375B">
        <w:t>wzmocnienia trwałości rozstrzygnięć konieczne jest</w:t>
      </w:r>
      <w:r w:rsidR="00DB44AE" w:rsidRPr="0024375B">
        <w:t xml:space="preserve"> </w:t>
      </w:r>
      <w:r w:rsidRPr="0024375B">
        <w:t>z</w:t>
      </w:r>
      <w:r w:rsidR="00E55FB3" w:rsidRPr="0024375B">
        <w:t>awężenie przymiotu strony oraz udziału organizacji społecznej, mając na względzie, że do każdego takiego postę</w:t>
      </w:r>
      <w:r w:rsidR="00085E93" w:rsidRPr="0024375B">
        <w:t>powania, według zasad ogólnych mogłoby przystąpić na prawach strony nawet setki podmiotów korzystających</w:t>
      </w:r>
      <w:r w:rsidR="002161FE">
        <w:t xml:space="preserve"> z </w:t>
      </w:r>
      <w:r w:rsidR="00085E93" w:rsidRPr="0024375B">
        <w:t xml:space="preserve">konkretnych </w:t>
      </w:r>
      <w:r w:rsidR="00085E93" w:rsidRPr="0024375B">
        <w:rPr>
          <w:rFonts w:ascii="Times New Roman" w:hAnsi="Times New Roman" w:cs="Times New Roman"/>
        </w:rPr>
        <w:t xml:space="preserve">produktów pochodzących od konkretnego dostawcy sprzętu lub oprogramowania. </w:t>
      </w:r>
    </w:p>
    <w:p w14:paraId="5F36F628" w14:textId="77777777" w:rsidR="0036247A" w:rsidRPr="0024375B" w:rsidRDefault="0036247A" w:rsidP="0024375B">
      <w:pPr>
        <w:pStyle w:val="ARTartustawynprozporzdzenia"/>
        <w:rPr>
          <w:rFonts w:ascii="Times New Roman" w:hAnsi="Times New Roman" w:cs="Times New Roman"/>
        </w:rPr>
      </w:pPr>
      <w:r w:rsidRPr="0024375B">
        <w:rPr>
          <w:rFonts w:ascii="Times New Roman" w:hAnsi="Times New Roman" w:cs="Times New Roman"/>
        </w:rPr>
        <w:t>Wyłączenie</w:t>
      </w:r>
      <w:r w:rsidR="00EA1900">
        <w:rPr>
          <w:rFonts w:ascii="Times New Roman" w:hAnsi="Times New Roman" w:cs="Times New Roman"/>
        </w:rPr>
        <w:t xml:space="preserve"> art. </w:t>
      </w:r>
      <w:r w:rsidRPr="0024375B">
        <w:rPr>
          <w:rFonts w:ascii="Times New Roman" w:hAnsi="Times New Roman" w:cs="Times New Roman"/>
        </w:rPr>
        <w:t xml:space="preserve">28 </w:t>
      </w:r>
      <w:r w:rsidR="00B1785C" w:rsidRPr="0024375B">
        <w:rPr>
          <w:rFonts w:ascii="Times New Roman" w:hAnsi="Times New Roman" w:cs="Times New Roman"/>
        </w:rPr>
        <w:t>Kpa</w:t>
      </w:r>
      <w:r w:rsidR="00B1785C" w:rsidRPr="0024375B" w:rsidDel="00B1785C">
        <w:rPr>
          <w:rFonts w:ascii="Times New Roman" w:hAnsi="Times New Roman" w:cs="Times New Roman"/>
        </w:rPr>
        <w:t xml:space="preserve"> </w:t>
      </w:r>
      <w:r w:rsidR="005765B0" w:rsidRPr="0024375B">
        <w:rPr>
          <w:rFonts w:ascii="Times New Roman" w:hAnsi="Times New Roman" w:cs="Times New Roman"/>
        </w:rPr>
        <w:t>jest konieczne, ponieważ postępowanie jest wszczynane</w:t>
      </w:r>
      <w:r w:rsidR="002161FE">
        <w:rPr>
          <w:rFonts w:ascii="Times New Roman" w:hAnsi="Times New Roman" w:cs="Times New Roman"/>
        </w:rPr>
        <w:t xml:space="preserve"> z </w:t>
      </w:r>
      <w:r w:rsidR="005765B0" w:rsidRPr="0024375B">
        <w:rPr>
          <w:rFonts w:ascii="Times New Roman" w:hAnsi="Times New Roman" w:cs="Times New Roman"/>
        </w:rPr>
        <w:t>urzędu przez ministra albo na wniosek przewodniczącego Kolegium – co za tym idzie stroną jest każdy wobec kogo zostało wszczęte postępowanie</w:t>
      </w:r>
      <w:r w:rsidR="00EA1900">
        <w:rPr>
          <w:rFonts w:ascii="Times New Roman" w:hAnsi="Times New Roman" w:cs="Times New Roman"/>
        </w:rPr>
        <w:t xml:space="preserve"> w </w:t>
      </w:r>
      <w:r w:rsidR="005765B0" w:rsidRPr="0024375B">
        <w:rPr>
          <w:rFonts w:ascii="Times New Roman" w:hAnsi="Times New Roman" w:cs="Times New Roman"/>
        </w:rPr>
        <w:t>sprawie uznania za dostawcę wysokiego ryzyka. Podobne rozwiązanie znajduje się</w:t>
      </w:r>
      <w:r w:rsidR="002161FE">
        <w:rPr>
          <w:rFonts w:ascii="Times New Roman" w:hAnsi="Times New Roman" w:cs="Times New Roman"/>
        </w:rPr>
        <w:t xml:space="preserve"> w</w:t>
      </w:r>
      <w:r w:rsidR="00EA1900">
        <w:rPr>
          <w:rFonts w:ascii="Times New Roman" w:hAnsi="Times New Roman" w:cs="Times New Roman"/>
        </w:rPr>
        <w:t xml:space="preserve"> art. </w:t>
      </w:r>
      <w:r w:rsidR="00CE3E1E" w:rsidRPr="0024375B">
        <w:rPr>
          <w:rFonts w:ascii="Times New Roman" w:hAnsi="Times New Roman" w:cs="Times New Roman"/>
        </w:rPr>
        <w:t xml:space="preserve">88 </w:t>
      </w:r>
      <w:r w:rsidR="00D00CB4">
        <w:rPr>
          <w:rFonts w:ascii="Times New Roman" w:hAnsi="Times New Roman" w:cs="Times New Roman"/>
        </w:rPr>
        <w:t>ust. </w:t>
      </w:r>
      <w:r w:rsidR="00CE3E1E" w:rsidRPr="0024375B">
        <w:rPr>
          <w:rFonts w:ascii="Times New Roman" w:hAnsi="Times New Roman" w:cs="Times New Roman"/>
        </w:rPr>
        <w:t>1 ustawy</w:t>
      </w:r>
      <w:r w:rsidR="002161FE">
        <w:rPr>
          <w:rFonts w:ascii="Times New Roman" w:hAnsi="Times New Roman" w:cs="Times New Roman"/>
        </w:rPr>
        <w:t xml:space="preserve"> z </w:t>
      </w:r>
      <w:r w:rsidR="00CE3E1E" w:rsidRPr="0024375B">
        <w:rPr>
          <w:rFonts w:ascii="Times New Roman" w:hAnsi="Times New Roman" w:cs="Times New Roman"/>
        </w:rPr>
        <w:t>dnia 16 lutego 2007 r.</w:t>
      </w:r>
      <w:r w:rsidR="0077165A">
        <w:rPr>
          <w:rFonts w:ascii="Times New Roman" w:hAnsi="Times New Roman" w:cs="Times New Roman"/>
        </w:rPr>
        <w:t xml:space="preserve"> o </w:t>
      </w:r>
      <w:r w:rsidR="00CE3E1E" w:rsidRPr="0024375B">
        <w:rPr>
          <w:rFonts w:ascii="Times New Roman" w:hAnsi="Times New Roman" w:cs="Times New Roman"/>
        </w:rPr>
        <w:t>ochronie konkurencji</w:t>
      </w:r>
      <w:r w:rsidR="002161FE">
        <w:rPr>
          <w:rFonts w:ascii="Times New Roman" w:hAnsi="Times New Roman" w:cs="Times New Roman"/>
        </w:rPr>
        <w:t xml:space="preserve"> i </w:t>
      </w:r>
      <w:r w:rsidR="00CE3E1E" w:rsidRPr="0024375B">
        <w:rPr>
          <w:rFonts w:ascii="Times New Roman" w:hAnsi="Times New Roman" w:cs="Times New Roman"/>
        </w:rPr>
        <w:t>konsumentów.</w:t>
      </w:r>
    </w:p>
    <w:p w14:paraId="5A8E4A86" w14:textId="77777777" w:rsidR="742AB620" w:rsidRPr="0024375B" w:rsidRDefault="7F258389" w:rsidP="0024375B">
      <w:pPr>
        <w:pStyle w:val="ARTartustawynprozporzdzenia"/>
        <w:ind w:firstLine="0"/>
      </w:pPr>
      <w:r w:rsidRPr="0024375B">
        <w:t>Z kolei wyłączenie</w:t>
      </w:r>
      <w:r w:rsidR="00EA1900">
        <w:t xml:space="preserve"> art. </w:t>
      </w:r>
      <w:r w:rsidRPr="0024375B">
        <w:t xml:space="preserve">31 </w:t>
      </w:r>
      <w:r w:rsidR="00B1785C" w:rsidRPr="0024375B">
        <w:rPr>
          <w:rFonts w:ascii="Times New Roman" w:hAnsi="Times New Roman" w:cs="Times New Roman"/>
        </w:rPr>
        <w:t>Kpa</w:t>
      </w:r>
      <w:r w:rsidR="00B1785C" w:rsidRPr="0024375B" w:rsidDel="00B1785C">
        <w:t xml:space="preserve"> </w:t>
      </w:r>
      <w:r w:rsidRPr="0024375B">
        <w:t>wynika ze szczególnego związku tego postępowania</w:t>
      </w:r>
      <w:r w:rsidR="002161FE">
        <w:t xml:space="preserve"> z </w:t>
      </w:r>
      <w:r w:rsidRPr="0024375B">
        <w:t>kwestiami bezpieczeństwa narodowego.</w:t>
      </w:r>
    </w:p>
    <w:p w14:paraId="1FCDE966" w14:textId="77777777" w:rsidR="0036247A" w:rsidRPr="0024375B" w:rsidRDefault="0036247A" w:rsidP="0024375B">
      <w:pPr>
        <w:pStyle w:val="ARTartustawynprozporzdzenia"/>
        <w:ind w:firstLine="0"/>
        <w:rPr>
          <w:rFonts w:ascii="Times New Roman" w:hAnsi="Times New Roman" w:cs="Times New Roman"/>
        </w:rPr>
      </w:pPr>
      <w:r w:rsidRPr="0024375B">
        <w:rPr>
          <w:rFonts w:ascii="Times New Roman" w:hAnsi="Times New Roman" w:cs="Times New Roman"/>
        </w:rPr>
        <w:t>Ze względu na ogólnopolski zasięg decyzji jaka ma zostać wydana</w:t>
      </w:r>
      <w:r w:rsidR="00EA1900">
        <w:rPr>
          <w:rFonts w:ascii="Times New Roman" w:hAnsi="Times New Roman" w:cs="Times New Roman"/>
        </w:rPr>
        <w:t xml:space="preserve"> w </w:t>
      </w:r>
      <w:r w:rsidRPr="0024375B">
        <w:rPr>
          <w:rFonts w:ascii="Times New Roman" w:hAnsi="Times New Roman" w:cs="Times New Roman"/>
        </w:rPr>
        <w:t>tym postępowaniu został wyłączony</w:t>
      </w:r>
      <w:r w:rsidR="00EA1900">
        <w:rPr>
          <w:rFonts w:ascii="Times New Roman" w:hAnsi="Times New Roman" w:cs="Times New Roman"/>
        </w:rPr>
        <w:t xml:space="preserve"> art. </w:t>
      </w:r>
      <w:r w:rsidRPr="0024375B">
        <w:rPr>
          <w:rFonts w:ascii="Times New Roman" w:hAnsi="Times New Roman" w:cs="Times New Roman"/>
        </w:rPr>
        <w:t>51</w:t>
      </w:r>
      <w:r w:rsidR="006E0FC6" w:rsidRPr="0024375B">
        <w:rPr>
          <w:rFonts w:ascii="Times New Roman" w:hAnsi="Times New Roman" w:cs="Times New Roman"/>
        </w:rPr>
        <w:t xml:space="preserve"> </w:t>
      </w:r>
      <w:r w:rsidR="00B1785C" w:rsidRPr="0024375B">
        <w:rPr>
          <w:rFonts w:ascii="Times New Roman" w:hAnsi="Times New Roman" w:cs="Times New Roman"/>
        </w:rPr>
        <w:t>Kpa</w:t>
      </w:r>
      <w:r w:rsidRPr="0024375B">
        <w:rPr>
          <w:rFonts w:ascii="Times New Roman" w:hAnsi="Times New Roman" w:cs="Times New Roman"/>
        </w:rPr>
        <w:t xml:space="preserve">. </w:t>
      </w:r>
    </w:p>
    <w:p w14:paraId="397FA50E" w14:textId="77777777" w:rsidR="0036247A" w:rsidRPr="0024375B" w:rsidRDefault="000851A6" w:rsidP="0024375B">
      <w:pPr>
        <w:pStyle w:val="ARTartustawynprozporzdzenia"/>
        <w:ind w:firstLine="0"/>
        <w:rPr>
          <w:rFonts w:ascii="Times New Roman" w:hAnsi="Times New Roman" w:cs="Times New Roman"/>
        </w:rPr>
      </w:pPr>
      <w:r w:rsidRPr="0024375B">
        <w:rPr>
          <w:rFonts w:ascii="Times New Roman" w:hAnsi="Times New Roman" w:cs="Times New Roman"/>
        </w:rPr>
        <w:t>Kwestia metryki sprawy przy tego typu postępowaniu jest złożona. Obowiązkowo</w:t>
      </w:r>
      <w:r w:rsidR="00EA1900">
        <w:rPr>
          <w:rFonts w:ascii="Times New Roman" w:hAnsi="Times New Roman" w:cs="Times New Roman"/>
        </w:rPr>
        <w:t xml:space="preserve"> w </w:t>
      </w:r>
      <w:r w:rsidRPr="0024375B">
        <w:rPr>
          <w:rFonts w:ascii="Times New Roman" w:hAnsi="Times New Roman" w:cs="Times New Roman"/>
        </w:rPr>
        <w:t>ramach postepowania</w:t>
      </w:r>
      <w:r w:rsidR="0077165A">
        <w:rPr>
          <w:rFonts w:ascii="Times New Roman" w:hAnsi="Times New Roman" w:cs="Times New Roman"/>
        </w:rPr>
        <w:t xml:space="preserve"> o </w:t>
      </w:r>
      <w:r w:rsidRPr="0024375B">
        <w:rPr>
          <w:rFonts w:ascii="Times New Roman" w:hAnsi="Times New Roman" w:cs="Times New Roman"/>
        </w:rPr>
        <w:t>uznaniu dostawcy za dostawcę wysokiego ryzyka będą przeprowadzane szerokie analizy podmiotu, którego dotyczy postępowanie oraz jego produktów. Ujawnienie nazwisk osób, które przeprowadzały te analizy mogłoby narazić ich na działania ze strony podmiotów zainteresowanych konkretnym wynikiem sprawy. Ponadto wiele</w:t>
      </w:r>
      <w:r w:rsidR="002161FE">
        <w:rPr>
          <w:rFonts w:ascii="Times New Roman" w:hAnsi="Times New Roman" w:cs="Times New Roman"/>
        </w:rPr>
        <w:t xml:space="preserve"> z </w:t>
      </w:r>
      <w:r w:rsidRPr="0024375B">
        <w:rPr>
          <w:rFonts w:ascii="Times New Roman" w:hAnsi="Times New Roman" w:cs="Times New Roman"/>
        </w:rPr>
        <w:t>tych osób to funkcjonariusze, których tożsamość, ze względu na wykonywane zadania, musi być chroniona. Z powyższych względów wyłączony został</w:t>
      </w:r>
      <w:r w:rsidR="00EA1900">
        <w:rPr>
          <w:rFonts w:ascii="Times New Roman" w:hAnsi="Times New Roman" w:cs="Times New Roman"/>
        </w:rPr>
        <w:t xml:space="preserve"> art. </w:t>
      </w:r>
      <w:r w:rsidRPr="0024375B">
        <w:rPr>
          <w:rFonts w:ascii="Times New Roman" w:hAnsi="Times New Roman" w:cs="Times New Roman"/>
        </w:rPr>
        <w:t xml:space="preserve">66a Kodeksu </w:t>
      </w:r>
      <w:r w:rsidR="00952F53">
        <w:rPr>
          <w:rFonts w:ascii="Times New Roman" w:hAnsi="Times New Roman" w:cs="Times New Roman"/>
        </w:rPr>
        <w:t>p</w:t>
      </w:r>
      <w:r w:rsidRPr="0024375B">
        <w:rPr>
          <w:rFonts w:ascii="Times New Roman" w:hAnsi="Times New Roman" w:cs="Times New Roman"/>
        </w:rPr>
        <w:t xml:space="preserve">ostępowania </w:t>
      </w:r>
      <w:r w:rsidR="00952F53">
        <w:rPr>
          <w:rFonts w:ascii="Times New Roman" w:hAnsi="Times New Roman" w:cs="Times New Roman"/>
        </w:rPr>
        <w:t>a</w:t>
      </w:r>
      <w:r w:rsidRPr="0024375B">
        <w:rPr>
          <w:rFonts w:ascii="Times New Roman" w:hAnsi="Times New Roman" w:cs="Times New Roman"/>
        </w:rPr>
        <w:t xml:space="preserve">dministracyjnego. </w:t>
      </w:r>
    </w:p>
    <w:p w14:paraId="70EBC9FF" w14:textId="77777777" w:rsidR="000851A6" w:rsidRPr="0024375B" w:rsidRDefault="000851A6" w:rsidP="0024375B">
      <w:pPr>
        <w:pStyle w:val="ARTartustawynprozporzdzenia"/>
        <w:ind w:firstLine="0"/>
        <w:rPr>
          <w:rFonts w:ascii="Times New Roman" w:hAnsi="Times New Roman" w:cs="Times New Roman"/>
        </w:rPr>
      </w:pPr>
      <w:r w:rsidRPr="0024375B">
        <w:rPr>
          <w:rFonts w:ascii="Times New Roman" w:hAnsi="Times New Roman" w:cs="Times New Roman"/>
        </w:rPr>
        <w:t>W związku</w:t>
      </w:r>
      <w:r w:rsidR="002161FE">
        <w:rPr>
          <w:rFonts w:ascii="Times New Roman" w:hAnsi="Times New Roman" w:cs="Times New Roman"/>
        </w:rPr>
        <w:t xml:space="preserve"> z </w:t>
      </w:r>
      <w:r w:rsidRPr="0024375B">
        <w:rPr>
          <w:rFonts w:ascii="Times New Roman" w:hAnsi="Times New Roman" w:cs="Times New Roman"/>
        </w:rPr>
        <w:t>wrażliwym charakterem informacji</w:t>
      </w:r>
      <w:r w:rsidR="00DC052D" w:rsidRPr="0024375B">
        <w:rPr>
          <w:rFonts w:ascii="Times New Roman" w:hAnsi="Times New Roman" w:cs="Times New Roman"/>
        </w:rPr>
        <w:t>,</w:t>
      </w:r>
      <w:r w:rsidRPr="0024375B">
        <w:rPr>
          <w:rFonts w:ascii="Times New Roman" w:hAnsi="Times New Roman" w:cs="Times New Roman"/>
        </w:rPr>
        <w:t xml:space="preserve"> jakie będą wykorzystywane</w:t>
      </w:r>
      <w:r w:rsidR="00EA1900">
        <w:rPr>
          <w:rFonts w:ascii="Times New Roman" w:hAnsi="Times New Roman" w:cs="Times New Roman"/>
        </w:rPr>
        <w:t xml:space="preserve"> w </w:t>
      </w:r>
      <w:r w:rsidRPr="0024375B">
        <w:rPr>
          <w:rFonts w:ascii="Times New Roman" w:hAnsi="Times New Roman" w:cs="Times New Roman"/>
        </w:rPr>
        <w:t>ramach tego postępowania</w:t>
      </w:r>
      <w:r w:rsidR="00DC052D" w:rsidRPr="0024375B">
        <w:rPr>
          <w:rFonts w:ascii="Times New Roman" w:hAnsi="Times New Roman" w:cs="Times New Roman"/>
        </w:rPr>
        <w:t>,</w:t>
      </w:r>
      <w:r w:rsidRPr="0024375B">
        <w:rPr>
          <w:rFonts w:ascii="Times New Roman" w:hAnsi="Times New Roman" w:cs="Times New Roman"/>
        </w:rPr>
        <w:t xml:space="preserve"> konieczne jest wyłączenie udziału </w:t>
      </w:r>
      <w:r w:rsidR="00830718" w:rsidRPr="0024375B">
        <w:rPr>
          <w:rFonts w:ascii="Times New Roman" w:hAnsi="Times New Roman" w:cs="Times New Roman"/>
        </w:rPr>
        <w:t>strony</w:t>
      </w:r>
      <w:r w:rsidR="002161FE">
        <w:rPr>
          <w:rFonts w:ascii="Times New Roman" w:hAnsi="Times New Roman" w:cs="Times New Roman"/>
        </w:rPr>
        <w:t xml:space="preserve"> z </w:t>
      </w:r>
      <w:r w:rsidRPr="0024375B">
        <w:rPr>
          <w:rFonts w:ascii="Times New Roman" w:hAnsi="Times New Roman" w:cs="Times New Roman"/>
        </w:rPr>
        <w:t xml:space="preserve">przeprowadzanych dowodów. </w:t>
      </w:r>
    </w:p>
    <w:p w14:paraId="20B13985" w14:textId="77777777" w:rsidR="00DA31F8" w:rsidRPr="0024375B" w:rsidRDefault="00DA31F8" w:rsidP="0024375B">
      <w:pPr>
        <w:pStyle w:val="ARTartustawynprozporzdzenia"/>
      </w:pPr>
      <w:r w:rsidRPr="0024375B">
        <w:rPr>
          <w:rFonts w:cs="Times New Roman"/>
        </w:rPr>
        <w:lastRenderedPageBreak/>
        <w:t xml:space="preserve">Jednocześnie umożliwiono przystąpienie do postępowania na prawach strony kilkunastu największych przedsiębiorców </w:t>
      </w:r>
      <w:r w:rsidR="00EF255A" w:rsidRPr="00EF255A">
        <w:rPr>
          <w:rFonts w:cs="Times New Roman"/>
        </w:rPr>
        <w:t>komunikacji elektronicznej</w:t>
      </w:r>
      <w:r w:rsidRPr="0024375B">
        <w:rPr>
          <w:rFonts w:cs="Times New Roman"/>
        </w:rPr>
        <w:t xml:space="preserve">. Będą to tacy przedsiębiorcy </w:t>
      </w:r>
      <w:r w:rsidR="00201907">
        <w:rPr>
          <w:rFonts w:cs="Times New Roman"/>
        </w:rPr>
        <w:t>komunikacji elektronicznej</w:t>
      </w:r>
      <w:r w:rsidRPr="0024375B">
        <w:rPr>
          <w:rFonts w:cs="Times New Roman"/>
        </w:rPr>
        <w:t>, którzy</w:t>
      </w:r>
      <w:r w:rsidR="00EA1900">
        <w:rPr>
          <w:rFonts w:cs="Times New Roman"/>
        </w:rPr>
        <w:t xml:space="preserve"> w </w:t>
      </w:r>
      <w:r w:rsidRPr="0024375B">
        <w:rPr>
          <w:rFonts w:cs="Times New Roman"/>
        </w:rPr>
        <w:t>poprzednim roku obrotowym uzyskali przychód</w:t>
      </w:r>
      <w:r w:rsidR="002161FE">
        <w:rPr>
          <w:rFonts w:cs="Times New Roman"/>
        </w:rPr>
        <w:t xml:space="preserve"> z </w:t>
      </w:r>
      <w:r w:rsidRPr="0024375B">
        <w:rPr>
          <w:rFonts w:cs="Times New Roman"/>
        </w:rPr>
        <w:t>tytułu prowadzenia działalności telekomunikacyjnej</w:t>
      </w:r>
      <w:r w:rsidR="00EA1900">
        <w:rPr>
          <w:rFonts w:cs="Times New Roman"/>
        </w:rPr>
        <w:t xml:space="preserve"> w </w:t>
      </w:r>
      <w:r w:rsidRPr="0024375B">
        <w:rPr>
          <w:rFonts w:cs="Times New Roman"/>
        </w:rPr>
        <w:t>wysokości co najmniej dwudziestotysięcznej krotności przeciętnego wynagrodzenia</w:t>
      </w:r>
      <w:r w:rsidR="00EA1900">
        <w:rPr>
          <w:rFonts w:cs="Times New Roman"/>
        </w:rPr>
        <w:t xml:space="preserve"> w </w:t>
      </w:r>
      <w:r w:rsidRPr="0024375B">
        <w:rPr>
          <w:rFonts w:cs="Times New Roman"/>
        </w:rPr>
        <w:t>gospodarce narodowej, wskazanego</w:t>
      </w:r>
      <w:r w:rsidR="00EA1900">
        <w:rPr>
          <w:rFonts w:cs="Times New Roman"/>
        </w:rPr>
        <w:t xml:space="preserve"> w </w:t>
      </w:r>
      <w:r w:rsidRPr="0024375B">
        <w:rPr>
          <w:rFonts w:cs="Times New Roman"/>
        </w:rPr>
        <w:t>ostatnim komunikacie Prezesa Głównego Urzędu Statystycznego,</w:t>
      </w:r>
      <w:r w:rsidR="0077165A">
        <w:rPr>
          <w:rFonts w:cs="Times New Roman"/>
        </w:rPr>
        <w:t xml:space="preserve"> o </w:t>
      </w:r>
      <w:r w:rsidRPr="0024375B">
        <w:rPr>
          <w:rFonts w:cs="Times New Roman"/>
        </w:rPr>
        <w:t>którym mowa</w:t>
      </w:r>
      <w:r w:rsidR="002161FE">
        <w:rPr>
          <w:rFonts w:cs="Times New Roman"/>
        </w:rPr>
        <w:t xml:space="preserve"> w</w:t>
      </w:r>
      <w:r w:rsidR="00EA1900">
        <w:rPr>
          <w:rFonts w:cs="Times New Roman"/>
        </w:rPr>
        <w:t xml:space="preserve"> art. </w:t>
      </w:r>
      <w:r w:rsidRPr="0024375B">
        <w:rPr>
          <w:rFonts w:cs="Times New Roman"/>
        </w:rPr>
        <w:t>20 pkt 1 lit.</w:t>
      </w:r>
      <w:r w:rsidR="002161FE">
        <w:rPr>
          <w:rFonts w:cs="Times New Roman"/>
        </w:rPr>
        <w:t xml:space="preserve"> a </w:t>
      </w:r>
      <w:r w:rsidRPr="0024375B">
        <w:rPr>
          <w:rFonts w:cs="Times New Roman"/>
        </w:rPr>
        <w:t>ustawy</w:t>
      </w:r>
      <w:r w:rsidR="002161FE">
        <w:rPr>
          <w:rFonts w:cs="Times New Roman"/>
        </w:rPr>
        <w:t xml:space="preserve"> z </w:t>
      </w:r>
      <w:r w:rsidRPr="0024375B">
        <w:rPr>
          <w:rFonts w:cs="Times New Roman"/>
        </w:rPr>
        <w:t>dnia 17 grudnia 1998 r.</w:t>
      </w:r>
      <w:r w:rsidR="0077165A">
        <w:rPr>
          <w:rFonts w:cs="Times New Roman"/>
        </w:rPr>
        <w:t xml:space="preserve"> o </w:t>
      </w:r>
      <w:r w:rsidRPr="0024375B">
        <w:rPr>
          <w:rFonts w:cs="Times New Roman"/>
        </w:rPr>
        <w:t>emeryturach</w:t>
      </w:r>
      <w:r w:rsidR="002161FE">
        <w:rPr>
          <w:rFonts w:cs="Times New Roman"/>
        </w:rPr>
        <w:t xml:space="preserve"> i </w:t>
      </w:r>
      <w:r w:rsidRPr="0024375B">
        <w:rPr>
          <w:rFonts w:cs="Times New Roman"/>
        </w:rPr>
        <w:t>rentach</w:t>
      </w:r>
      <w:r w:rsidR="002161FE">
        <w:rPr>
          <w:rFonts w:cs="Times New Roman"/>
        </w:rPr>
        <w:t xml:space="preserve"> z </w:t>
      </w:r>
      <w:r w:rsidRPr="0024375B">
        <w:rPr>
          <w:rFonts w:cs="Times New Roman"/>
        </w:rPr>
        <w:t>Funduszu Ubezpieczeń Społecznych. Aby przystąpić do postępowania taki przedsiębiorca będzie obowiązany złożyć stosowny wniosek. Zmiana odpowiada na postulaty strony społecznej, jednocześnie zapewniając sprawny przebieg postępowania.</w:t>
      </w:r>
    </w:p>
    <w:p w14:paraId="49F85CC9" w14:textId="77777777" w:rsidR="00F6749E" w:rsidRPr="0024375B" w:rsidRDefault="00F6749E" w:rsidP="0024375B">
      <w:pPr>
        <w:pStyle w:val="NIEARTTEKSTtekstnieartykuowanynppodstprawnarozplubpreambua"/>
        <w:ind w:firstLine="0"/>
        <w:rPr>
          <w:rFonts w:ascii="Times New Roman" w:hAnsi="Times New Roman" w:cs="Times New Roman"/>
        </w:rPr>
      </w:pPr>
      <w:r w:rsidRPr="0024375B">
        <w:rPr>
          <w:rFonts w:ascii="Times New Roman" w:hAnsi="Times New Roman" w:cs="Times New Roman"/>
        </w:rPr>
        <w:t xml:space="preserve">Decyzja ministra właściwego do spraw informatyzacji będzie miała formę decyzji administracyjnej, co pozwoli dostawcy na złożenie skargi </w:t>
      </w:r>
      <w:r w:rsidR="00F5546D" w:rsidRPr="0024375B">
        <w:rPr>
          <w:rFonts w:ascii="Times New Roman" w:hAnsi="Times New Roman" w:cs="Times New Roman"/>
        </w:rPr>
        <w:t xml:space="preserve">do </w:t>
      </w:r>
      <w:r w:rsidR="00085E93" w:rsidRPr="0024375B">
        <w:rPr>
          <w:rFonts w:ascii="Times New Roman" w:hAnsi="Times New Roman" w:cs="Times New Roman"/>
        </w:rPr>
        <w:t>wojewódzkiego sądu administracyjnego</w:t>
      </w:r>
      <w:r w:rsidRPr="0024375B">
        <w:rPr>
          <w:rFonts w:ascii="Times New Roman" w:hAnsi="Times New Roman" w:cs="Times New Roman"/>
        </w:rPr>
        <w:t>.</w:t>
      </w:r>
    </w:p>
    <w:p w14:paraId="580C7112" w14:textId="77777777" w:rsidR="008A2196" w:rsidRPr="0024375B" w:rsidRDefault="008A2196" w:rsidP="0024375B">
      <w:pPr>
        <w:pStyle w:val="ARTartustawynprozporzdzenia"/>
        <w:rPr>
          <w:rFonts w:ascii="Times New Roman" w:hAnsi="Times New Roman" w:cs="Times New Roman"/>
        </w:rPr>
      </w:pPr>
      <w:r w:rsidRPr="0024375B">
        <w:t xml:space="preserve">W przypadku, gdy </w:t>
      </w:r>
      <w:r w:rsidRPr="0024375B">
        <w:rPr>
          <w:rFonts w:ascii="Times New Roman" w:hAnsi="Times New Roman" w:cs="Times New Roman"/>
        </w:rPr>
        <w:t>dostawcą sprzętu lub oprogramowania jest strona niemająca siedziby na terytorium państwa członkowskiego Unii Europejskiej, Konfederacji Szwajcarskiej albo państwa członkowskiego Europejskiego Porozumienia</w:t>
      </w:r>
      <w:r w:rsidR="0077165A">
        <w:rPr>
          <w:rFonts w:ascii="Times New Roman" w:hAnsi="Times New Roman" w:cs="Times New Roman"/>
        </w:rPr>
        <w:t xml:space="preserve"> o </w:t>
      </w:r>
      <w:r w:rsidRPr="0024375B">
        <w:rPr>
          <w:rFonts w:ascii="Times New Roman" w:hAnsi="Times New Roman" w:cs="Times New Roman"/>
        </w:rPr>
        <w:t>Wolnym Handlu (EFTA) zawiadomienie</w:t>
      </w:r>
      <w:r w:rsidR="0077165A">
        <w:rPr>
          <w:rFonts w:ascii="Times New Roman" w:hAnsi="Times New Roman" w:cs="Times New Roman"/>
        </w:rPr>
        <w:t xml:space="preserve"> o </w:t>
      </w:r>
      <w:r w:rsidRPr="0024375B">
        <w:rPr>
          <w:rFonts w:ascii="Times New Roman" w:hAnsi="Times New Roman" w:cs="Times New Roman"/>
        </w:rPr>
        <w:t xml:space="preserve">wszczęciu postępowania publikowane jest na stronie podmiotowej Biuletynu Informacji Publicznej ministra właściwego do spraw informatyzacji. Publikacja ma skutek doręczenia po upływie 14 dni od dnia jej dokonania. Przepis </w:t>
      </w:r>
      <w:r w:rsidR="00085E93" w:rsidRPr="0024375B">
        <w:rPr>
          <w:rFonts w:ascii="Times New Roman" w:hAnsi="Times New Roman" w:cs="Times New Roman"/>
        </w:rPr>
        <w:t>ten stanowi szczególną regulacj</w:t>
      </w:r>
      <w:r w:rsidR="00F5546D" w:rsidRPr="0024375B">
        <w:rPr>
          <w:rFonts w:ascii="Times New Roman" w:eastAsia="Times New Roman" w:hAnsi="Times New Roman" w:cs="Times New Roman"/>
        </w:rPr>
        <w:t>ę</w:t>
      </w:r>
      <w:r w:rsidR="00EA1900">
        <w:rPr>
          <w:rFonts w:ascii="Times New Roman" w:hAnsi="Times New Roman" w:cs="Times New Roman"/>
        </w:rPr>
        <w:t xml:space="preserve"> w </w:t>
      </w:r>
      <w:r w:rsidR="00085E93" w:rsidRPr="0024375B">
        <w:rPr>
          <w:rFonts w:ascii="Times New Roman" w:hAnsi="Times New Roman" w:cs="Times New Roman"/>
        </w:rPr>
        <w:t>stosunku do zasad doręczeń określonych</w:t>
      </w:r>
      <w:r w:rsidR="00EA1900">
        <w:rPr>
          <w:rFonts w:ascii="Times New Roman" w:hAnsi="Times New Roman" w:cs="Times New Roman"/>
        </w:rPr>
        <w:t xml:space="preserve"> w </w:t>
      </w:r>
      <w:r w:rsidR="00085E93" w:rsidRPr="0024375B">
        <w:rPr>
          <w:rFonts w:ascii="Times New Roman" w:hAnsi="Times New Roman" w:cs="Times New Roman"/>
        </w:rPr>
        <w:t>Kpa.</w:t>
      </w:r>
    </w:p>
    <w:p w14:paraId="705AA883" w14:textId="77777777" w:rsidR="00F615E6" w:rsidRPr="0024375B" w:rsidRDefault="00F615E6" w:rsidP="0024375B">
      <w:pPr>
        <w:pStyle w:val="ARTartustawynprozporzdzenia"/>
      </w:pPr>
      <w:r w:rsidRPr="0024375B">
        <w:t>Zawiadomienie</w:t>
      </w:r>
      <w:r w:rsidR="0077165A">
        <w:t xml:space="preserve"> o </w:t>
      </w:r>
      <w:r w:rsidRPr="0024375B">
        <w:t>wszczęciu postępowania wobec dostawcy, który ma siedzibę na terytorium Unii Europejskiej, Konfederacji Szwajcarskiej czy państwa członkowskiego EFTA będzie doręczane na zasadach ogólnych wynikających</w:t>
      </w:r>
      <w:r w:rsidR="002161FE">
        <w:t xml:space="preserve"> z </w:t>
      </w:r>
      <w:r w:rsidRPr="0024375B">
        <w:t>Kpa. Natomiast po otrzymaniu potwierdzenia doręczenia informacja</w:t>
      </w:r>
      <w:r w:rsidR="0077165A">
        <w:t xml:space="preserve"> o </w:t>
      </w:r>
      <w:r w:rsidRPr="0024375B">
        <w:t>tym będzie publikowana na stronie Biuletynu Informacji Publicznej ministra właściwego do spraw informatyzacji, aby uprawnieni przedsiębiorcy telekomunikacyjni mogli złożyć wniosek</w:t>
      </w:r>
      <w:r w:rsidR="0077165A">
        <w:t xml:space="preserve"> o </w:t>
      </w:r>
      <w:r w:rsidRPr="0024375B">
        <w:t>dopuszczenie do postępowania na prawach strony.</w:t>
      </w:r>
    </w:p>
    <w:p w14:paraId="60FF95C9"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Postępowanie</w:t>
      </w:r>
      <w:r w:rsidR="00EA1900">
        <w:rPr>
          <w:rFonts w:ascii="Times New Roman" w:hAnsi="Times New Roman" w:cs="Times New Roman"/>
        </w:rPr>
        <w:t xml:space="preserve"> w </w:t>
      </w:r>
      <w:r w:rsidRPr="0024375B">
        <w:rPr>
          <w:rFonts w:ascii="Times New Roman" w:hAnsi="Times New Roman" w:cs="Times New Roman"/>
        </w:rPr>
        <w:t>sprawie uznania dostawcy za dostawcę wysokiego ryzyka będzie wszczynane</w:t>
      </w:r>
      <w:r w:rsidR="002161FE">
        <w:rPr>
          <w:rFonts w:ascii="Times New Roman" w:hAnsi="Times New Roman" w:cs="Times New Roman"/>
        </w:rPr>
        <w:t xml:space="preserve"> z </w:t>
      </w:r>
      <w:r w:rsidRPr="0024375B">
        <w:rPr>
          <w:rFonts w:ascii="Times New Roman" w:hAnsi="Times New Roman" w:cs="Times New Roman"/>
        </w:rPr>
        <w:t xml:space="preserve">urzędu przez ministra właściwego ds. informatyzacji lub na wniosek </w:t>
      </w:r>
      <w:r w:rsidR="00085E93" w:rsidRPr="0024375B">
        <w:rPr>
          <w:rFonts w:ascii="Times New Roman" w:hAnsi="Times New Roman" w:cs="Times New Roman"/>
        </w:rPr>
        <w:t>p</w:t>
      </w:r>
      <w:r w:rsidRPr="0024375B">
        <w:rPr>
          <w:rFonts w:ascii="Times New Roman" w:hAnsi="Times New Roman" w:cs="Times New Roman"/>
        </w:rPr>
        <w:t>rzewodniczącego Kolegium.</w:t>
      </w:r>
      <w:r w:rsidR="00D33BAD">
        <w:rPr>
          <w:rFonts w:ascii="Times New Roman" w:hAnsi="Times New Roman" w:cs="Times New Roman"/>
        </w:rPr>
        <w:t xml:space="preserve"> Minister właściwy do spraw informatyzacji jest odpowiedzialny za bezpieczeństwo cyberprzestrzeni w wymiarze cywilnym, stąd też zasadne jest, aby to on prowadził tego rodzaju postępowanie.</w:t>
      </w:r>
      <w:r w:rsidRPr="0024375B">
        <w:rPr>
          <w:rFonts w:ascii="Times New Roman" w:hAnsi="Times New Roman" w:cs="Times New Roman"/>
        </w:rPr>
        <w:t xml:space="preserve"> </w:t>
      </w:r>
      <w:r w:rsidR="00DA31F8" w:rsidRPr="0024375B">
        <w:rPr>
          <w:rFonts w:ascii="Times New Roman" w:hAnsi="Times New Roman" w:cs="Times New Roman"/>
        </w:rPr>
        <w:t>Przed wydaniem decyzji</w:t>
      </w:r>
      <w:r w:rsidR="00085E93" w:rsidRPr="0024375B">
        <w:rPr>
          <w:rFonts w:ascii="Times New Roman" w:hAnsi="Times New Roman" w:cs="Times New Roman"/>
        </w:rPr>
        <w:t xml:space="preserve"> </w:t>
      </w:r>
      <w:r w:rsidRPr="0024375B">
        <w:rPr>
          <w:rFonts w:ascii="Times New Roman" w:hAnsi="Times New Roman" w:cs="Times New Roman"/>
        </w:rPr>
        <w:t>minister właściwy ds. informatyzacji będzie obowiązany zwrócić się do Kolegium</w:t>
      </w:r>
      <w:r w:rsidR="0077165A">
        <w:rPr>
          <w:rFonts w:ascii="Times New Roman" w:hAnsi="Times New Roman" w:cs="Times New Roman"/>
        </w:rPr>
        <w:t xml:space="preserve"> o </w:t>
      </w:r>
      <w:r w:rsidRPr="0024375B">
        <w:rPr>
          <w:rFonts w:ascii="Times New Roman" w:hAnsi="Times New Roman" w:cs="Times New Roman"/>
        </w:rPr>
        <w:t>wydanie opinii</w:t>
      </w:r>
      <w:r w:rsidR="00EA1900">
        <w:rPr>
          <w:rFonts w:ascii="Times New Roman" w:hAnsi="Times New Roman" w:cs="Times New Roman"/>
        </w:rPr>
        <w:t xml:space="preserve"> w </w:t>
      </w:r>
      <w:r w:rsidRPr="0024375B">
        <w:rPr>
          <w:rFonts w:ascii="Times New Roman" w:hAnsi="Times New Roman" w:cs="Times New Roman"/>
        </w:rPr>
        <w:t>sprawie uznania dostawcy sprzętu lub oprogramowania za dostawcę wysokiego ryzyka. Kolegium będzie miało 3 miesiące, od dnia wystąpienia</w:t>
      </w:r>
      <w:r w:rsidR="0077165A">
        <w:rPr>
          <w:rFonts w:ascii="Times New Roman" w:hAnsi="Times New Roman" w:cs="Times New Roman"/>
        </w:rPr>
        <w:t xml:space="preserve"> o </w:t>
      </w:r>
      <w:r w:rsidRPr="0024375B">
        <w:rPr>
          <w:rFonts w:ascii="Times New Roman" w:hAnsi="Times New Roman" w:cs="Times New Roman"/>
        </w:rPr>
        <w:t>opinię, na przekazanie jej do ministra.</w:t>
      </w:r>
      <w:r w:rsidR="00FB47A4" w:rsidRPr="0024375B">
        <w:t xml:space="preserve"> </w:t>
      </w:r>
      <w:r w:rsidR="00FB47A4" w:rsidRPr="0024375B">
        <w:rPr>
          <w:rFonts w:ascii="Times New Roman" w:hAnsi="Times New Roman" w:cs="Times New Roman"/>
        </w:rPr>
        <w:t>Termin od dnia wystąpienia</w:t>
      </w:r>
      <w:r w:rsidR="0077165A">
        <w:rPr>
          <w:rFonts w:ascii="Times New Roman" w:hAnsi="Times New Roman" w:cs="Times New Roman"/>
        </w:rPr>
        <w:t xml:space="preserve"> o </w:t>
      </w:r>
      <w:r w:rsidR="00FB47A4" w:rsidRPr="0024375B">
        <w:rPr>
          <w:rFonts w:ascii="Times New Roman" w:hAnsi="Times New Roman" w:cs="Times New Roman"/>
        </w:rPr>
        <w:t xml:space="preserve">opinię do dnia otrzymania opinii nie </w:t>
      </w:r>
      <w:r w:rsidR="00085E93" w:rsidRPr="0024375B">
        <w:rPr>
          <w:rFonts w:ascii="Times New Roman" w:hAnsi="Times New Roman" w:cs="Times New Roman"/>
        </w:rPr>
        <w:t xml:space="preserve">będzie </w:t>
      </w:r>
      <w:r w:rsidR="00FB47A4" w:rsidRPr="0024375B">
        <w:rPr>
          <w:rFonts w:ascii="Times New Roman" w:hAnsi="Times New Roman" w:cs="Times New Roman"/>
        </w:rPr>
        <w:t>wlicza</w:t>
      </w:r>
      <w:r w:rsidR="00085E93" w:rsidRPr="0024375B">
        <w:rPr>
          <w:rFonts w:ascii="Times New Roman" w:hAnsi="Times New Roman" w:cs="Times New Roman"/>
        </w:rPr>
        <w:t>ł</w:t>
      </w:r>
      <w:r w:rsidR="00FB47A4" w:rsidRPr="0024375B">
        <w:rPr>
          <w:rFonts w:ascii="Times New Roman" w:hAnsi="Times New Roman" w:cs="Times New Roman"/>
        </w:rPr>
        <w:t xml:space="preserve"> się do terminu załatwienia sprawy. </w:t>
      </w:r>
    </w:p>
    <w:p w14:paraId="482224F3"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lastRenderedPageBreak/>
        <w:t xml:space="preserve">Art. 66a </w:t>
      </w:r>
      <w:r w:rsidR="00D00CB4">
        <w:rPr>
          <w:rFonts w:ascii="Times New Roman" w:hAnsi="Times New Roman" w:cs="Times New Roman"/>
        </w:rPr>
        <w:t>ust. </w:t>
      </w:r>
      <w:r w:rsidR="00F5546D" w:rsidRPr="0024375B">
        <w:rPr>
          <w:rFonts w:ascii="Times New Roman" w:hAnsi="Times New Roman" w:cs="Times New Roman"/>
        </w:rPr>
        <w:t xml:space="preserve">10 </w:t>
      </w:r>
      <w:r w:rsidRPr="0024375B">
        <w:rPr>
          <w:rFonts w:ascii="Times New Roman" w:hAnsi="Times New Roman" w:cs="Times New Roman"/>
        </w:rPr>
        <w:t>zawiera wskazanie elementów analizy</w:t>
      </w:r>
      <w:r w:rsidR="00DA31F8" w:rsidRPr="0024375B">
        <w:rPr>
          <w:rFonts w:ascii="Times New Roman" w:hAnsi="Times New Roman" w:cs="Times New Roman"/>
        </w:rPr>
        <w:t>,</w:t>
      </w:r>
      <w:r w:rsidRPr="0024375B">
        <w:rPr>
          <w:rFonts w:ascii="Times New Roman" w:hAnsi="Times New Roman" w:cs="Times New Roman"/>
        </w:rPr>
        <w:t xml:space="preserve"> która ma być zawarta</w:t>
      </w:r>
      <w:r w:rsidR="00EA1900">
        <w:rPr>
          <w:rFonts w:ascii="Times New Roman" w:hAnsi="Times New Roman" w:cs="Times New Roman"/>
        </w:rPr>
        <w:t xml:space="preserve"> w </w:t>
      </w:r>
      <w:r w:rsidRPr="0024375B">
        <w:rPr>
          <w:rFonts w:ascii="Times New Roman" w:hAnsi="Times New Roman" w:cs="Times New Roman"/>
        </w:rPr>
        <w:t>opinii Kolegium.</w:t>
      </w:r>
      <w:r w:rsidR="00116933">
        <w:rPr>
          <w:rFonts w:ascii="Times New Roman" w:hAnsi="Times New Roman" w:cs="Times New Roman"/>
        </w:rPr>
        <w:t xml:space="preserve"> W </w:t>
      </w:r>
      <w:r w:rsidRPr="0024375B">
        <w:rPr>
          <w:rFonts w:ascii="Times New Roman" w:hAnsi="Times New Roman" w:cs="Times New Roman"/>
        </w:rPr>
        <w:t>większości nawiązują one do pkt. 2.37 raportu Unii Europejskiej dotyczącego unijnej oceny ryzyka cyberbezpieczeństwa sieci 5G</w:t>
      </w:r>
      <w:r w:rsidRPr="0024375B">
        <w:rPr>
          <w:rStyle w:val="Odwoanieprzypisudolnego"/>
          <w:rFonts w:ascii="Times New Roman" w:hAnsi="Times New Roman"/>
        </w:rPr>
        <w:footnoteReference w:id="59"/>
      </w:r>
      <w:r w:rsidR="00D34253" w:rsidRPr="0024375B">
        <w:rPr>
          <w:rStyle w:val="IGindeksgrny"/>
          <w:rFonts w:ascii="Times New Roman" w:hAnsi="Times New Roman" w:cs="Times New Roman"/>
        </w:rPr>
        <w:t>)</w:t>
      </w:r>
      <w:r w:rsidRPr="0024375B">
        <w:rPr>
          <w:rFonts w:ascii="Times New Roman" w:hAnsi="Times New Roman" w:cs="Times New Roman"/>
        </w:rPr>
        <w:t>.</w:t>
      </w:r>
      <w:r w:rsidR="00116933">
        <w:rPr>
          <w:rFonts w:ascii="Times New Roman" w:hAnsi="Times New Roman" w:cs="Times New Roman"/>
        </w:rPr>
        <w:t xml:space="preserve"> </w:t>
      </w:r>
    </w:p>
    <w:p w14:paraId="60F04B74" w14:textId="77777777" w:rsidR="00AB5E84" w:rsidRPr="00AB5E84" w:rsidRDefault="00AB5E84" w:rsidP="00AB5E84">
      <w:pPr>
        <w:pStyle w:val="NIEARTTEKSTtekstnieartykuowanynppodstprawnarozplubpreambua"/>
        <w:rPr>
          <w:bCs w:val="0"/>
        </w:rPr>
      </w:pPr>
      <w:r w:rsidRPr="00AB5E84">
        <w:rPr>
          <w:bCs w:val="0"/>
        </w:rPr>
        <w:t>Celem opinii Kolegium jest kompleksowa analiza działalności dostawcy sprzętu lub oprogramowania. W skład Kolegium wchodzą ministrowie kluczowi dla bezpieczeństwa państwa</w:t>
      </w:r>
      <w:r w:rsidR="002161FE">
        <w:rPr>
          <w:bCs w:val="0"/>
        </w:rPr>
        <w:t xml:space="preserve"> a </w:t>
      </w:r>
      <w:r w:rsidRPr="00AB5E84">
        <w:rPr>
          <w:bCs w:val="0"/>
        </w:rPr>
        <w:t>także szefowie służb specjalnych. Będą więc</w:t>
      </w:r>
      <w:r w:rsidR="00EA1900">
        <w:rPr>
          <w:bCs w:val="0"/>
        </w:rPr>
        <w:t xml:space="preserve"> w </w:t>
      </w:r>
      <w:r w:rsidRPr="00AB5E84">
        <w:rPr>
          <w:bCs w:val="0"/>
        </w:rPr>
        <w:t xml:space="preserve">stanie pozyskać niezbędne informacje do oceny dostawcy od swoich jednostek podległych lub nadzorowanych. </w:t>
      </w:r>
    </w:p>
    <w:p w14:paraId="7D8B7E6C" w14:textId="7DE84F8A" w:rsidR="00AB5E84" w:rsidRPr="004652A8" w:rsidRDefault="00AB5E84" w:rsidP="00AB5E84">
      <w:pPr>
        <w:pStyle w:val="NIEARTTEKSTtekstnieartykuowanynppodstprawnarozplubpreambua"/>
        <w:rPr>
          <w:bCs w:val="0"/>
          <w:szCs w:val="24"/>
        </w:rPr>
      </w:pPr>
      <w:r w:rsidRPr="00905885">
        <w:rPr>
          <w:bCs w:val="0"/>
          <w:szCs w:val="24"/>
        </w:rPr>
        <w:t>Zasadne jest</w:t>
      </w:r>
      <w:r w:rsidR="000D51BD">
        <w:rPr>
          <w:bCs w:val="0"/>
          <w:szCs w:val="24"/>
        </w:rPr>
        <w:t>,</w:t>
      </w:r>
      <w:r w:rsidRPr="00905885">
        <w:rPr>
          <w:bCs w:val="0"/>
          <w:szCs w:val="24"/>
        </w:rPr>
        <w:t xml:space="preserve"> aby opinia podejmowała kwestie zagrożeń</w:t>
      </w:r>
      <w:r w:rsidR="00C87FE1">
        <w:rPr>
          <w:bCs w:val="0"/>
          <w:szCs w:val="24"/>
        </w:rPr>
        <w:t>,</w:t>
      </w:r>
      <w:r w:rsidRPr="00905885">
        <w:rPr>
          <w:bCs w:val="0"/>
          <w:szCs w:val="24"/>
        </w:rPr>
        <w:t xml:space="preserve"> które stwarza dostawca. Nie są to jedna</w:t>
      </w:r>
      <w:r>
        <w:rPr>
          <w:bCs w:val="0"/>
          <w:szCs w:val="24"/>
        </w:rPr>
        <w:t>k</w:t>
      </w:r>
      <w:r w:rsidRPr="00905885">
        <w:rPr>
          <w:bCs w:val="0"/>
          <w:szCs w:val="24"/>
        </w:rPr>
        <w:t xml:space="preserve"> zwykłe zagrożenia, lecz takie, które wpływają na bezpieczeństwo narodowe. Przepis dalej precyzuje, że chodzi o</w:t>
      </w:r>
      <w:r w:rsidR="00DC7FB3">
        <w:rPr>
          <w:bCs w:val="0"/>
          <w:szCs w:val="24"/>
        </w:rPr>
        <w:t> </w:t>
      </w:r>
      <w:r w:rsidRPr="00905885">
        <w:rPr>
          <w:bCs w:val="0"/>
          <w:szCs w:val="24"/>
        </w:rPr>
        <w:t>zagrożenia</w:t>
      </w:r>
      <w:r w:rsidR="00EA1900">
        <w:rPr>
          <w:bCs w:val="0"/>
          <w:szCs w:val="24"/>
        </w:rPr>
        <w:t xml:space="preserve"> w </w:t>
      </w:r>
      <w:r w:rsidRPr="00905885">
        <w:rPr>
          <w:bCs w:val="0"/>
          <w:szCs w:val="24"/>
        </w:rPr>
        <w:t>wymiarze ekonomicznym, wywiado</w:t>
      </w:r>
      <w:r w:rsidRPr="00C87FE1">
        <w:rPr>
          <w:bCs w:val="0"/>
          <w:szCs w:val="24"/>
        </w:rPr>
        <w:t>wczym oraz terrorystycznym</w:t>
      </w:r>
      <w:r w:rsidR="00952D6D">
        <w:rPr>
          <w:rStyle w:val="Odwoanieprzypisudolnego"/>
          <w:bCs w:val="0"/>
          <w:szCs w:val="24"/>
        </w:rPr>
        <w:footnoteReference w:id="60"/>
      </w:r>
      <w:r w:rsidR="00C94AA5">
        <w:rPr>
          <w:bCs w:val="0"/>
          <w:szCs w:val="24"/>
          <w:vertAlign w:val="superscript"/>
        </w:rPr>
        <w:t>)</w:t>
      </w:r>
      <w:r w:rsidRPr="00C87FE1">
        <w:rPr>
          <w:bCs w:val="0"/>
          <w:szCs w:val="24"/>
        </w:rPr>
        <w:t>. Ponadto konieczna będzie analiz</w:t>
      </w:r>
      <w:r w:rsidR="002B30A1">
        <w:rPr>
          <w:bCs w:val="0"/>
          <w:szCs w:val="24"/>
        </w:rPr>
        <w:t>a</w:t>
      </w:r>
      <w:r w:rsidRPr="00C87FE1">
        <w:rPr>
          <w:bCs w:val="0"/>
          <w:szCs w:val="24"/>
        </w:rPr>
        <w:t xml:space="preserve"> zagrożeń, które stwarza dostawca dla zobowiązań sojuszniczych (np.</w:t>
      </w:r>
      <w:r w:rsidR="00EA1900">
        <w:rPr>
          <w:bCs w:val="0"/>
          <w:szCs w:val="24"/>
        </w:rPr>
        <w:t xml:space="preserve"> w </w:t>
      </w:r>
      <w:r w:rsidRPr="00C87FE1">
        <w:rPr>
          <w:bCs w:val="0"/>
          <w:szCs w:val="24"/>
        </w:rPr>
        <w:t>ramach NATO czy innych umów międzynarodowych)</w:t>
      </w:r>
      <w:r w:rsidR="002161FE">
        <w:rPr>
          <w:bCs w:val="0"/>
          <w:szCs w:val="24"/>
        </w:rPr>
        <w:t xml:space="preserve"> a </w:t>
      </w:r>
      <w:r w:rsidRPr="00C87FE1">
        <w:rPr>
          <w:bCs w:val="0"/>
          <w:szCs w:val="24"/>
        </w:rPr>
        <w:t>także europejskich. Niewąt</w:t>
      </w:r>
      <w:r w:rsidRPr="004652A8">
        <w:rPr>
          <w:bCs w:val="0"/>
          <w:szCs w:val="24"/>
        </w:rPr>
        <w:t>pliwie zobowiązaniem europejskim jest zapewnienie na poziomie unijnym wysokiego poziomu bezpieczeństwa systemów informacyjnych (co wynika</w:t>
      </w:r>
      <w:r w:rsidR="002161FE">
        <w:rPr>
          <w:bCs w:val="0"/>
          <w:szCs w:val="24"/>
        </w:rPr>
        <w:t xml:space="preserve"> z </w:t>
      </w:r>
      <w:r w:rsidRPr="004652A8">
        <w:rPr>
          <w:bCs w:val="0"/>
          <w:szCs w:val="24"/>
        </w:rPr>
        <w:t>dyrektywy NIS</w:t>
      </w:r>
      <w:r w:rsidR="00DC7FB3">
        <w:rPr>
          <w:bCs w:val="0"/>
          <w:szCs w:val="24"/>
        </w:rPr>
        <w:t>/NIS2</w:t>
      </w:r>
      <w:r w:rsidRPr="004652A8">
        <w:rPr>
          <w:bCs w:val="0"/>
          <w:szCs w:val="24"/>
        </w:rPr>
        <w:t>) oraz bezpieczeństwa sieci</w:t>
      </w:r>
      <w:r w:rsidR="002161FE">
        <w:rPr>
          <w:bCs w:val="0"/>
          <w:szCs w:val="24"/>
        </w:rPr>
        <w:t xml:space="preserve"> i </w:t>
      </w:r>
      <w:r w:rsidRPr="004652A8">
        <w:rPr>
          <w:bCs w:val="0"/>
          <w:szCs w:val="24"/>
        </w:rPr>
        <w:t>usług komunikacji elektronicznej (co wynika</w:t>
      </w:r>
      <w:r w:rsidR="002161FE">
        <w:rPr>
          <w:bCs w:val="0"/>
          <w:szCs w:val="24"/>
        </w:rPr>
        <w:t xml:space="preserve"> z </w:t>
      </w:r>
      <w:r w:rsidRPr="004652A8">
        <w:rPr>
          <w:bCs w:val="0"/>
          <w:szCs w:val="24"/>
        </w:rPr>
        <w:t xml:space="preserve">EKŁE). </w:t>
      </w:r>
    </w:p>
    <w:p w14:paraId="6B7DFAE7" w14:textId="54405BDD" w:rsidR="00AB5E84" w:rsidRPr="00AB5E84" w:rsidRDefault="00AB5E84" w:rsidP="00AB5E84">
      <w:pPr>
        <w:pStyle w:val="NIEARTTEKSTtekstnieartykuowanynppodstprawnarozplubpreambua"/>
        <w:rPr>
          <w:bCs w:val="0"/>
        </w:rPr>
      </w:pPr>
      <w:r w:rsidRPr="00AB5E84">
        <w:rPr>
          <w:bCs w:val="0"/>
        </w:rPr>
        <w:t>Kolejnym a</w:t>
      </w:r>
      <w:r>
        <w:rPr>
          <w:bCs w:val="0"/>
        </w:rPr>
        <w:t>s</w:t>
      </w:r>
      <w:r w:rsidRPr="00AB5E84">
        <w:rPr>
          <w:bCs w:val="0"/>
        </w:rPr>
        <w:t>pektem opinii powinna być analiza prawdopodobieństwa,</w:t>
      </w:r>
      <w:r w:rsidR="002161FE">
        <w:rPr>
          <w:bCs w:val="0"/>
        </w:rPr>
        <w:t xml:space="preserve"> z </w:t>
      </w:r>
      <w:r w:rsidRPr="00AB5E84">
        <w:rPr>
          <w:bCs w:val="0"/>
        </w:rPr>
        <w:t>jakim</w:t>
      </w:r>
      <w:r>
        <w:rPr>
          <w:bCs w:val="0"/>
        </w:rPr>
        <w:t xml:space="preserve"> dostawca znajduje się pod wpływem państwa</w:t>
      </w:r>
      <w:r w:rsidR="00C94AA5">
        <w:rPr>
          <w:bCs w:val="0"/>
        </w:rPr>
        <w:t>.</w:t>
      </w:r>
      <w:r w:rsidRPr="00AB5E84">
        <w:rPr>
          <w:bCs w:val="0"/>
        </w:rPr>
        <w:t xml:space="preserve"> Ta część opinii skupia się na powiązaniach dostawcy sprzętu lub oprogramowania</w:t>
      </w:r>
      <w:r w:rsidR="002161FE">
        <w:rPr>
          <w:bCs w:val="0"/>
        </w:rPr>
        <w:t xml:space="preserve"> z </w:t>
      </w:r>
      <w:r w:rsidRPr="00AB5E84">
        <w:rPr>
          <w:bCs w:val="0"/>
        </w:rPr>
        <w:t>państwem spoza Unii Europejskiej oraz NAT</w:t>
      </w:r>
      <w:r w:rsidR="00962C9E">
        <w:rPr>
          <w:bCs w:val="0"/>
        </w:rPr>
        <w:t>O</w:t>
      </w:r>
      <w:r w:rsidRPr="00AB5E84">
        <w:rPr>
          <w:bCs w:val="0"/>
        </w:rPr>
        <w:t>. Wpływ ten może obejmować prawodawstwo danego państwa, które reguluje stosunki mi</w:t>
      </w:r>
      <w:r w:rsidR="00A86A71">
        <w:rPr>
          <w:bCs w:val="0"/>
        </w:rPr>
        <w:t>ędzy państwem</w:t>
      </w:r>
      <w:r w:rsidR="002161FE">
        <w:rPr>
          <w:bCs w:val="0"/>
        </w:rPr>
        <w:t xml:space="preserve"> a </w:t>
      </w:r>
      <w:r w:rsidR="00A86A71">
        <w:rPr>
          <w:bCs w:val="0"/>
        </w:rPr>
        <w:t>dostawcą (np.</w:t>
      </w:r>
      <w:r w:rsidR="00EA1900">
        <w:rPr>
          <w:bCs w:val="0"/>
        </w:rPr>
        <w:t xml:space="preserve"> w </w:t>
      </w:r>
      <w:r w:rsidRPr="00AB5E84">
        <w:rPr>
          <w:bCs w:val="0"/>
        </w:rPr>
        <w:t>zakresie swobody działalności gospodarczej czy bezpieczeństwa przetwarzanych danych). Co istotne Kolegium powinno pochylić się także nad praktyką stosowania tych przepisów, aby sprawd</w:t>
      </w:r>
      <w:r w:rsidR="00A86A71">
        <w:rPr>
          <w:bCs w:val="0"/>
        </w:rPr>
        <w:t>zić</w:t>
      </w:r>
      <w:r w:rsidR="000D51BD">
        <w:rPr>
          <w:bCs w:val="0"/>
        </w:rPr>
        <w:t>,</w:t>
      </w:r>
      <w:r w:rsidR="00A86A71">
        <w:rPr>
          <w:bCs w:val="0"/>
        </w:rPr>
        <w:t xml:space="preserve"> jak one funkcjonują - np. c</w:t>
      </w:r>
      <w:r w:rsidRPr="00AB5E84">
        <w:rPr>
          <w:bCs w:val="0"/>
        </w:rPr>
        <w:t>zy gwarancje zawarte</w:t>
      </w:r>
      <w:r w:rsidR="00EA1900">
        <w:rPr>
          <w:bCs w:val="0"/>
        </w:rPr>
        <w:t xml:space="preserve"> w </w:t>
      </w:r>
      <w:r w:rsidRPr="00AB5E84">
        <w:rPr>
          <w:bCs w:val="0"/>
        </w:rPr>
        <w:t xml:space="preserve">tych przepisach rzeczywiście są respektowane przez dane państwo. </w:t>
      </w:r>
    </w:p>
    <w:p w14:paraId="5B0F71EB" w14:textId="77777777" w:rsidR="00AB5E84" w:rsidRPr="00AB5E84" w:rsidRDefault="00AB5E84" w:rsidP="00AB5E84">
      <w:pPr>
        <w:pStyle w:val="NIEARTTEKSTtekstnieartykuowanynppodstprawnarozplubpreambua"/>
        <w:rPr>
          <w:bCs w:val="0"/>
        </w:rPr>
      </w:pPr>
      <w:r w:rsidRPr="00AB5E84">
        <w:rPr>
          <w:bCs w:val="0"/>
        </w:rPr>
        <w:t>Z uwagi na to, że współcześnie coraz więcej danych osobowych jest przesyłanych poza Unię Europejską ważna jest także kwestia ochrony danych osobowych</w:t>
      </w:r>
      <w:r w:rsidR="00EA1900">
        <w:rPr>
          <w:bCs w:val="0"/>
        </w:rPr>
        <w:t xml:space="preserve"> w </w:t>
      </w:r>
      <w:r w:rsidRPr="00AB5E84">
        <w:rPr>
          <w:bCs w:val="0"/>
        </w:rPr>
        <w:t>danym państwie -</w:t>
      </w:r>
      <w:r w:rsidR="002161FE">
        <w:rPr>
          <w:bCs w:val="0"/>
        </w:rPr>
        <w:t xml:space="preserve"> i </w:t>
      </w:r>
      <w:r w:rsidRPr="00AB5E84">
        <w:rPr>
          <w:bCs w:val="0"/>
        </w:rPr>
        <w:t xml:space="preserve">kwestia faktycznego stosowania tych przepisów. </w:t>
      </w:r>
    </w:p>
    <w:p w14:paraId="7A9223E7" w14:textId="77777777" w:rsidR="00AB5E84" w:rsidRPr="00AB5E84" w:rsidRDefault="00AB5E84" w:rsidP="00AB5E84">
      <w:pPr>
        <w:pStyle w:val="NIEARTTEKSTtekstnieartykuowanynppodstprawnarozplubpreambua"/>
        <w:rPr>
          <w:bCs w:val="0"/>
        </w:rPr>
      </w:pPr>
      <w:r w:rsidRPr="00AB5E84">
        <w:rPr>
          <w:bCs w:val="0"/>
        </w:rPr>
        <w:t>Opinia będzie także zawierała analizę struktury własnościowej dostawcy sprzętu lub oprogramowania - chodzi tutaj o ustalenie kto faktycznie sprawuje kontrolę własnościową nad dostawcą. Finalnie powinny być sprawdzone możliwości wpływu danego państwa na dostawcę.</w:t>
      </w:r>
    </w:p>
    <w:p w14:paraId="53784576" w14:textId="748981A3" w:rsidR="00AB5E84" w:rsidRPr="00AB5E84" w:rsidRDefault="00AB5E84" w:rsidP="00AB5E84">
      <w:pPr>
        <w:pStyle w:val="NIEARTTEKSTtekstnieartykuowanynppodstprawnarozplubpreambua"/>
        <w:rPr>
          <w:bCs w:val="0"/>
        </w:rPr>
      </w:pPr>
      <w:r w:rsidRPr="00AB5E84">
        <w:rPr>
          <w:bCs w:val="0"/>
        </w:rPr>
        <w:lastRenderedPageBreak/>
        <w:t>Opinia będzie więc dotyczyła otoczenia regulacyjnego dostawcy, faktycznego stosowania prawa, struktur</w:t>
      </w:r>
      <w:r w:rsidR="000D51BD">
        <w:rPr>
          <w:bCs w:val="0"/>
        </w:rPr>
        <w:t>y</w:t>
      </w:r>
      <w:r w:rsidRPr="00AB5E84">
        <w:rPr>
          <w:bCs w:val="0"/>
        </w:rPr>
        <w:t xml:space="preserve"> własnościow</w:t>
      </w:r>
      <w:r w:rsidR="000D51BD">
        <w:rPr>
          <w:bCs w:val="0"/>
        </w:rPr>
        <w:t>ej</w:t>
      </w:r>
      <w:r w:rsidRPr="00AB5E84">
        <w:rPr>
          <w:bCs w:val="0"/>
        </w:rPr>
        <w:t xml:space="preserve"> aż po faktyczny wpływ państwa na dostawcę. Po dokonaniu analiz uzyskany zostanie całościowy obraz relacji między dostawcą</w:t>
      </w:r>
      <w:r w:rsidR="002161FE">
        <w:rPr>
          <w:bCs w:val="0"/>
        </w:rPr>
        <w:t xml:space="preserve"> a </w:t>
      </w:r>
      <w:r w:rsidRPr="00AB5E84">
        <w:rPr>
          <w:bCs w:val="0"/>
        </w:rPr>
        <w:t>państwem.</w:t>
      </w:r>
    </w:p>
    <w:p w14:paraId="480D931D" w14:textId="48C36071" w:rsidR="00AB5E84" w:rsidRPr="00AB5E84" w:rsidRDefault="00AB5E84" w:rsidP="00905885">
      <w:pPr>
        <w:pStyle w:val="NIEARTTEKSTtekstnieartykuowanynppodstprawnarozplubpreambua"/>
        <w:rPr>
          <w:bCs w:val="0"/>
        </w:rPr>
      </w:pPr>
      <w:r w:rsidRPr="00AB5E84">
        <w:rPr>
          <w:bCs w:val="0"/>
        </w:rPr>
        <w:t>Rozporządzeniem wykonawczym Rady (UE) 2020/1125</w:t>
      </w:r>
      <w:r w:rsidR="002161FE">
        <w:rPr>
          <w:bCs w:val="0"/>
        </w:rPr>
        <w:t xml:space="preserve"> z </w:t>
      </w:r>
      <w:r w:rsidRPr="00AB5E84">
        <w:rPr>
          <w:bCs w:val="0"/>
        </w:rPr>
        <w:t>dnia 30 lipca 2020 r. wykonującym rozporządzenie (UE) 2019/796</w:t>
      </w:r>
      <w:r w:rsidR="00EA1900">
        <w:rPr>
          <w:bCs w:val="0"/>
        </w:rPr>
        <w:t xml:space="preserve"> w </w:t>
      </w:r>
      <w:r w:rsidRPr="00AB5E84">
        <w:rPr>
          <w:bCs w:val="0"/>
        </w:rPr>
        <w:t>sprawie środków ograniczających</w:t>
      </w:r>
      <w:r w:rsidR="00EA1900">
        <w:rPr>
          <w:bCs w:val="0"/>
        </w:rPr>
        <w:t xml:space="preserve"> w </w:t>
      </w:r>
      <w:r w:rsidRPr="00AB5E84">
        <w:rPr>
          <w:bCs w:val="0"/>
        </w:rPr>
        <w:t>celu zwalczania cyberataków zagrażających Unii lub jej państwom członkowskim Unia Europejska wskazała podmioty, które dokonują cyberataków na Unię lub jej państw</w:t>
      </w:r>
      <w:r w:rsidR="000D51BD">
        <w:rPr>
          <w:bCs w:val="0"/>
        </w:rPr>
        <w:t>a</w:t>
      </w:r>
      <w:r w:rsidRPr="00AB5E84">
        <w:rPr>
          <w:bCs w:val="0"/>
        </w:rPr>
        <w:t xml:space="preserve"> członkowski</w:t>
      </w:r>
      <w:r w:rsidR="000D51BD">
        <w:rPr>
          <w:bCs w:val="0"/>
        </w:rPr>
        <w:t>e</w:t>
      </w:r>
      <w:r w:rsidRPr="00AB5E84">
        <w:rPr>
          <w:bCs w:val="0"/>
        </w:rPr>
        <w:t>. Wskazane jest, aby opinia Kolegium dotyczyła również jakie są relacje pomiędzy tymi podmiotami</w:t>
      </w:r>
      <w:r w:rsidR="002161FE">
        <w:rPr>
          <w:bCs w:val="0"/>
        </w:rPr>
        <w:t xml:space="preserve"> a </w:t>
      </w:r>
      <w:r w:rsidRPr="00AB5E84">
        <w:rPr>
          <w:bCs w:val="0"/>
        </w:rPr>
        <w:t>dostawcą sprzętu lub oprogramowania.</w:t>
      </w:r>
    </w:p>
    <w:p w14:paraId="4BD191CE" w14:textId="77777777" w:rsidR="00A86A71" w:rsidRPr="0024375B" w:rsidRDefault="00AB5E84" w:rsidP="00A86A71">
      <w:pPr>
        <w:pStyle w:val="NIEARTTEKSTtekstnieartykuowanynppodstprawnarozplubpreambua"/>
        <w:rPr>
          <w:rFonts w:ascii="Times New Roman" w:hAnsi="Times New Roman" w:cs="Times New Roman"/>
        </w:rPr>
      </w:pPr>
      <w:r w:rsidRPr="00AB5E84">
        <w:rPr>
          <w:bCs w:val="0"/>
        </w:rPr>
        <w:t>Jak już wyżej wspomniano ryzyka dotyczą również aspektów technicznych produktów, usług</w:t>
      </w:r>
      <w:r w:rsidR="002161FE">
        <w:rPr>
          <w:bCs w:val="0"/>
        </w:rPr>
        <w:t xml:space="preserve"> i </w:t>
      </w:r>
      <w:r w:rsidRPr="00AB5E84">
        <w:rPr>
          <w:bCs w:val="0"/>
        </w:rPr>
        <w:t xml:space="preserve">procesów ICT dostarczanych przez dostawcę. </w:t>
      </w:r>
      <w:r w:rsidR="00A86A71">
        <w:rPr>
          <w:bCs w:val="0"/>
        </w:rPr>
        <w:t>Dlatego d</w:t>
      </w:r>
      <w:r w:rsidR="00A86A71" w:rsidRPr="0024375B">
        <w:rPr>
          <w:rFonts w:ascii="Times New Roman" w:hAnsi="Times New Roman" w:cs="Times New Roman"/>
        </w:rPr>
        <w:t>o technicznych aspektów opinii należy analiza:</w:t>
      </w:r>
    </w:p>
    <w:p w14:paraId="41D3769C" w14:textId="77777777" w:rsidR="00A86A71" w:rsidRPr="0024375B" w:rsidRDefault="00A86A71" w:rsidP="001C5AF2">
      <w:pPr>
        <w:pStyle w:val="NIEARTTEKSTtekstnieartykuowanynppodstprawnarozplubpreambua"/>
        <w:numPr>
          <w:ilvl w:val="0"/>
          <w:numId w:val="108"/>
        </w:numPr>
        <w:rPr>
          <w:rFonts w:ascii="Times New Roman" w:hAnsi="Times New Roman" w:cs="Times New Roman"/>
        </w:rPr>
      </w:pPr>
      <w:r w:rsidRPr="0024375B">
        <w:rPr>
          <w:rFonts w:ascii="Times New Roman" w:hAnsi="Times New Roman" w:cs="Times New Roman"/>
        </w:rPr>
        <w:t>liczby</w:t>
      </w:r>
      <w:r w:rsidR="002161FE">
        <w:rPr>
          <w:rFonts w:ascii="Times New Roman" w:hAnsi="Times New Roman" w:cs="Times New Roman"/>
        </w:rPr>
        <w:t xml:space="preserve"> i </w:t>
      </w:r>
      <w:r w:rsidRPr="0024375B">
        <w:rPr>
          <w:rFonts w:ascii="Times New Roman" w:hAnsi="Times New Roman" w:cs="Times New Roman"/>
        </w:rPr>
        <w:t>rodzajów wykrytych podatności</w:t>
      </w:r>
      <w:r w:rsidR="002161FE">
        <w:rPr>
          <w:rFonts w:ascii="Times New Roman" w:hAnsi="Times New Roman" w:cs="Times New Roman"/>
        </w:rPr>
        <w:t xml:space="preserve"> i </w:t>
      </w:r>
      <w:r w:rsidRPr="0024375B">
        <w:rPr>
          <w:rFonts w:ascii="Times New Roman" w:hAnsi="Times New Roman" w:cs="Times New Roman"/>
        </w:rPr>
        <w:t>incydentów dotyczących zakresu typów produktów ICT lub rodzajów usług ICT lub konkretnych procesów ICT dostarczanych przez dostawcę sprzętu lub oprogramowania oraz sposobu</w:t>
      </w:r>
      <w:r w:rsidR="002161FE">
        <w:rPr>
          <w:rFonts w:ascii="Times New Roman" w:hAnsi="Times New Roman" w:cs="Times New Roman"/>
        </w:rPr>
        <w:t xml:space="preserve"> i </w:t>
      </w:r>
      <w:r w:rsidRPr="0024375B">
        <w:rPr>
          <w:rFonts w:ascii="Times New Roman" w:hAnsi="Times New Roman" w:cs="Times New Roman"/>
        </w:rPr>
        <w:t>czasu ich eliminowania;</w:t>
      </w:r>
    </w:p>
    <w:p w14:paraId="687A124A" w14:textId="77777777" w:rsidR="00A86A71" w:rsidRPr="0024375B" w:rsidRDefault="00A86A71" w:rsidP="001C5AF2">
      <w:pPr>
        <w:pStyle w:val="NIEARTTEKSTtekstnieartykuowanynppodstprawnarozplubpreambua"/>
        <w:numPr>
          <w:ilvl w:val="0"/>
          <w:numId w:val="108"/>
        </w:numPr>
        <w:rPr>
          <w:rFonts w:ascii="Times New Roman" w:hAnsi="Times New Roman" w:cs="Times New Roman"/>
        </w:rPr>
      </w:pPr>
      <w:r w:rsidRPr="0024375B">
        <w:rPr>
          <w:rFonts w:ascii="Times New Roman" w:hAnsi="Times New Roman" w:cs="Times New Roman"/>
        </w:rPr>
        <w:t>tryb</w:t>
      </w:r>
      <w:r w:rsidR="002161FE">
        <w:rPr>
          <w:rFonts w:ascii="Times New Roman" w:hAnsi="Times New Roman" w:cs="Times New Roman"/>
        </w:rPr>
        <w:t xml:space="preserve"> i </w:t>
      </w:r>
      <w:r w:rsidRPr="0024375B">
        <w:rPr>
          <w:rFonts w:ascii="Times New Roman" w:hAnsi="Times New Roman" w:cs="Times New Roman"/>
        </w:rPr>
        <w:t>zakres,</w:t>
      </w:r>
      <w:r w:rsidR="00EA1900">
        <w:rPr>
          <w:rFonts w:ascii="Times New Roman" w:hAnsi="Times New Roman" w:cs="Times New Roman"/>
        </w:rPr>
        <w:t xml:space="preserve"> w </w:t>
      </w:r>
      <w:r w:rsidRPr="0024375B">
        <w:rPr>
          <w:rFonts w:ascii="Times New Roman" w:hAnsi="Times New Roman" w:cs="Times New Roman"/>
        </w:rPr>
        <w:t>jakim dostawca sprzętu lub oprogramowania sprawuje nadzór nad procesem wytwarzania</w:t>
      </w:r>
      <w:r w:rsidR="002161FE">
        <w:rPr>
          <w:rFonts w:ascii="Times New Roman" w:hAnsi="Times New Roman" w:cs="Times New Roman"/>
        </w:rPr>
        <w:t xml:space="preserve"> i </w:t>
      </w:r>
      <w:r w:rsidRPr="0024375B">
        <w:rPr>
          <w:rFonts w:ascii="Times New Roman" w:hAnsi="Times New Roman" w:cs="Times New Roman"/>
        </w:rPr>
        <w:t>dostarczania sprzętu lub oprogramowania dla podmiotów,</w:t>
      </w:r>
      <w:r>
        <w:rPr>
          <w:rFonts w:ascii="Times New Roman" w:hAnsi="Times New Roman" w:cs="Times New Roman"/>
        </w:rPr>
        <w:t xml:space="preserve"> o </w:t>
      </w:r>
      <w:r w:rsidRPr="0024375B">
        <w:rPr>
          <w:rFonts w:ascii="Times New Roman" w:hAnsi="Times New Roman" w:cs="Times New Roman"/>
        </w:rPr>
        <w:t>których mowa</w:t>
      </w:r>
      <w:r w:rsidR="00EA1900">
        <w:rPr>
          <w:rFonts w:ascii="Times New Roman" w:hAnsi="Times New Roman" w:cs="Times New Roman"/>
        </w:rPr>
        <w:t xml:space="preserve"> w </w:t>
      </w:r>
      <w:r>
        <w:rPr>
          <w:rFonts w:ascii="Times New Roman" w:hAnsi="Times New Roman" w:cs="Times New Roman"/>
        </w:rPr>
        <w:t>ust. </w:t>
      </w:r>
      <w:r w:rsidRPr="0024375B">
        <w:rPr>
          <w:rFonts w:ascii="Times New Roman" w:hAnsi="Times New Roman" w:cs="Times New Roman"/>
        </w:rPr>
        <w:t>1 pkt. 1</w:t>
      </w:r>
      <w:r w:rsidR="00C94AA5">
        <w:rPr>
          <w:rFonts w:ascii="Times New Roman" w:hAnsi="Times New Roman" w:cs="Times New Roman"/>
        </w:rPr>
        <w:t>–</w:t>
      </w:r>
      <w:r w:rsidRPr="0024375B">
        <w:rPr>
          <w:rFonts w:ascii="Times New Roman" w:hAnsi="Times New Roman" w:cs="Times New Roman"/>
        </w:rPr>
        <w:t>4 oraz ryzyka dla procesu wytwarzania</w:t>
      </w:r>
      <w:r w:rsidR="002161FE">
        <w:rPr>
          <w:rFonts w:ascii="Times New Roman" w:hAnsi="Times New Roman" w:cs="Times New Roman"/>
        </w:rPr>
        <w:t xml:space="preserve"> i </w:t>
      </w:r>
      <w:r w:rsidRPr="0024375B">
        <w:rPr>
          <w:rFonts w:ascii="Times New Roman" w:hAnsi="Times New Roman" w:cs="Times New Roman"/>
        </w:rPr>
        <w:t>dostarczania sprzętu lub oprogramowania;</w:t>
      </w:r>
    </w:p>
    <w:p w14:paraId="2E1C95FF" w14:textId="77777777" w:rsidR="00A86A71" w:rsidRDefault="00A86A71" w:rsidP="001C5AF2">
      <w:pPr>
        <w:pStyle w:val="NIEARTTEKSTtekstnieartykuowanynppodstprawnarozplubpreambua"/>
        <w:numPr>
          <w:ilvl w:val="0"/>
          <w:numId w:val="108"/>
        </w:numPr>
        <w:rPr>
          <w:rFonts w:ascii="Times New Roman" w:hAnsi="Times New Roman" w:cs="Times New Roman"/>
        </w:rPr>
      </w:pPr>
      <w:r w:rsidRPr="0024375B">
        <w:rPr>
          <w:rFonts w:ascii="Times New Roman" w:hAnsi="Times New Roman" w:cs="Times New Roman"/>
        </w:rPr>
        <w:t>treść wydanych wcześniej rekomendacji,</w:t>
      </w:r>
      <w:r>
        <w:rPr>
          <w:rFonts w:ascii="Times New Roman" w:hAnsi="Times New Roman" w:cs="Times New Roman"/>
        </w:rPr>
        <w:t xml:space="preserve"> o </w:t>
      </w:r>
      <w:r w:rsidRPr="0024375B">
        <w:rPr>
          <w:rFonts w:ascii="Times New Roman" w:hAnsi="Times New Roman" w:cs="Times New Roman"/>
        </w:rPr>
        <w:t>których mowa</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33, dotyczących sprzętu lub oprogramowania danego dostawcy.</w:t>
      </w:r>
    </w:p>
    <w:p w14:paraId="19B32DCF" w14:textId="77777777" w:rsidR="00AB5E84" w:rsidRPr="00AB5E84" w:rsidRDefault="00A86A71" w:rsidP="00AB5E84">
      <w:pPr>
        <w:pStyle w:val="NIEARTTEKSTtekstnieartykuowanynppodstprawnarozplubpreambua"/>
        <w:rPr>
          <w:bCs w:val="0"/>
        </w:rPr>
      </w:pPr>
      <w:r>
        <w:rPr>
          <w:bCs w:val="0"/>
        </w:rPr>
        <w:t>Jest to związane</w:t>
      </w:r>
      <w:r w:rsidR="002161FE">
        <w:rPr>
          <w:bCs w:val="0"/>
        </w:rPr>
        <w:t xml:space="preserve"> z </w:t>
      </w:r>
      <w:r>
        <w:rPr>
          <w:bCs w:val="0"/>
        </w:rPr>
        <w:t>potencjalnymi ryzykami, które wiążą się</w:t>
      </w:r>
      <w:r w:rsidR="002161FE">
        <w:rPr>
          <w:bCs w:val="0"/>
        </w:rPr>
        <w:t xml:space="preserve"> z </w:t>
      </w:r>
      <w:r>
        <w:rPr>
          <w:bCs w:val="0"/>
        </w:rPr>
        <w:t>niską jakością sprzętu lub oprogramowania. Jak wyżej wspomniano podatności mogą być wykorzystane do cyberataków przez państwa, grupy APT czy grupy przestępcze – dlatego warto zbadać jakość produktów dostarczanych przez dostawcę.</w:t>
      </w:r>
    </w:p>
    <w:p w14:paraId="09F10D55" w14:textId="77777777" w:rsidR="00F6749E" w:rsidRPr="0024375B" w:rsidRDefault="00AB5E84" w:rsidP="001C5AF2">
      <w:pPr>
        <w:pStyle w:val="ARTartustawynprozporzdzenia"/>
      </w:pPr>
      <w:r w:rsidRPr="00AB5E84">
        <w:t>Realizując postulaty strony społecznej dodano wymóg, aby prowadząc opinię Kolegium uwzględniło także certyfikaty produktów, usług</w:t>
      </w:r>
      <w:r w:rsidR="002161FE">
        <w:t xml:space="preserve"> i </w:t>
      </w:r>
      <w:r w:rsidRPr="00AB5E84">
        <w:t>procesów ICT dostarczanych przez dostawcę oraz wyniki analiz łańcuchów dostaw, które przeprowadziły zespoły CSIRT poziomu krajowego oraz CSIRT INT.</w:t>
      </w:r>
    </w:p>
    <w:p w14:paraId="7F993304" w14:textId="46C2242E"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Procedura sporządzania opinii Kolegium została określona</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 xml:space="preserve">66a </w:t>
      </w:r>
      <w:r w:rsidR="00D00CB4">
        <w:rPr>
          <w:rFonts w:ascii="Times New Roman" w:hAnsi="Times New Roman" w:cs="Times New Roman"/>
        </w:rPr>
        <w:t>ust. </w:t>
      </w:r>
      <w:r w:rsidR="00FB47A4" w:rsidRPr="0024375B">
        <w:rPr>
          <w:rFonts w:ascii="Times New Roman" w:hAnsi="Times New Roman" w:cs="Times New Roman"/>
        </w:rPr>
        <w:t>1</w:t>
      </w:r>
      <w:r w:rsidR="00F5546D" w:rsidRPr="0024375B">
        <w:rPr>
          <w:rFonts w:ascii="Times New Roman" w:hAnsi="Times New Roman" w:cs="Times New Roman"/>
        </w:rPr>
        <w:t>2</w:t>
      </w:r>
      <w:r w:rsidR="00FB47A4" w:rsidRPr="0024375B">
        <w:rPr>
          <w:rFonts w:ascii="Times New Roman" w:hAnsi="Times New Roman" w:cs="Times New Roman"/>
        </w:rPr>
        <w:t>. Opinia zostanie przygotowana przez zespół opiniujący</w:t>
      </w:r>
      <w:r w:rsidR="00EA1900">
        <w:rPr>
          <w:rFonts w:ascii="Times New Roman" w:hAnsi="Times New Roman" w:cs="Times New Roman"/>
        </w:rPr>
        <w:t xml:space="preserve"> w </w:t>
      </w:r>
      <w:r w:rsidR="00FB47A4" w:rsidRPr="0024375B">
        <w:rPr>
          <w:rFonts w:ascii="Times New Roman" w:hAnsi="Times New Roman" w:cs="Times New Roman"/>
        </w:rPr>
        <w:t>skład</w:t>
      </w:r>
      <w:r w:rsidR="000D51BD">
        <w:rPr>
          <w:rFonts w:ascii="Times New Roman" w:hAnsi="Times New Roman" w:cs="Times New Roman"/>
        </w:rPr>
        <w:t>,</w:t>
      </w:r>
      <w:r w:rsidR="00FB47A4" w:rsidRPr="0024375B">
        <w:rPr>
          <w:rFonts w:ascii="Times New Roman" w:hAnsi="Times New Roman" w:cs="Times New Roman"/>
        </w:rPr>
        <w:t xml:space="preserve"> którego wchodzą przedstawiciele członków Kolegium. Każdy członek zespołu opiniującego przygotowuje stanowisko</w:t>
      </w:r>
      <w:r w:rsidR="00EA1900">
        <w:rPr>
          <w:rFonts w:ascii="Times New Roman" w:hAnsi="Times New Roman" w:cs="Times New Roman"/>
        </w:rPr>
        <w:t xml:space="preserve"> w </w:t>
      </w:r>
      <w:r w:rsidR="00FB47A4" w:rsidRPr="0024375B">
        <w:rPr>
          <w:rFonts w:ascii="Times New Roman" w:hAnsi="Times New Roman" w:cs="Times New Roman"/>
        </w:rPr>
        <w:t xml:space="preserve">zakresie swojej </w:t>
      </w:r>
      <w:r w:rsidR="00CB6824" w:rsidRPr="0024375B">
        <w:rPr>
          <w:rFonts w:ascii="Times New Roman" w:hAnsi="Times New Roman" w:cs="Times New Roman"/>
        </w:rPr>
        <w:t>właściwości</w:t>
      </w:r>
      <w:r w:rsidR="00FB47A4" w:rsidRPr="0024375B">
        <w:rPr>
          <w:rFonts w:ascii="Times New Roman" w:hAnsi="Times New Roman" w:cs="Times New Roman"/>
        </w:rPr>
        <w:t xml:space="preserve">. Przewodniczący Kolegium będzie miał kompetencję do rozstrzygnięcia </w:t>
      </w:r>
      <w:r w:rsidR="00CB6824" w:rsidRPr="0024375B">
        <w:rPr>
          <w:rFonts w:ascii="Times New Roman" w:hAnsi="Times New Roman" w:cs="Times New Roman"/>
        </w:rPr>
        <w:t xml:space="preserve">ewentualnego </w:t>
      </w:r>
      <w:r w:rsidR="00FB47A4" w:rsidRPr="0024375B">
        <w:rPr>
          <w:rFonts w:ascii="Times New Roman" w:hAnsi="Times New Roman" w:cs="Times New Roman"/>
        </w:rPr>
        <w:t>negatywnego sporu co do zakresu tej właściwości poprzez wskazanie właściwego członka zespołu opiniującego.</w:t>
      </w:r>
      <w:r w:rsidR="00F526E0" w:rsidRPr="0024375B">
        <w:rPr>
          <w:rFonts w:ascii="Times New Roman" w:hAnsi="Times New Roman" w:cs="Times New Roman"/>
        </w:rPr>
        <w:t xml:space="preserve"> Wprowadzono obowiązek przeprowadzenia analiz łańcuchów dostaw,</w:t>
      </w:r>
      <w:r w:rsidR="0077165A">
        <w:rPr>
          <w:rFonts w:ascii="Times New Roman" w:hAnsi="Times New Roman" w:cs="Times New Roman"/>
        </w:rPr>
        <w:t xml:space="preserve"> o </w:t>
      </w:r>
      <w:r w:rsidR="00F526E0" w:rsidRPr="0024375B">
        <w:rPr>
          <w:rFonts w:ascii="Times New Roman" w:hAnsi="Times New Roman" w:cs="Times New Roman"/>
        </w:rPr>
        <w:t>których mowa</w:t>
      </w:r>
      <w:r w:rsidR="002161FE">
        <w:rPr>
          <w:rFonts w:ascii="Times New Roman" w:hAnsi="Times New Roman" w:cs="Times New Roman"/>
        </w:rPr>
        <w:t xml:space="preserve"> w</w:t>
      </w:r>
      <w:r w:rsidR="00EA1900">
        <w:rPr>
          <w:rFonts w:ascii="Times New Roman" w:hAnsi="Times New Roman" w:cs="Times New Roman"/>
        </w:rPr>
        <w:t xml:space="preserve"> art. </w:t>
      </w:r>
      <w:r w:rsidR="00F526E0" w:rsidRPr="0024375B">
        <w:rPr>
          <w:rFonts w:ascii="Times New Roman" w:hAnsi="Times New Roman" w:cs="Times New Roman"/>
        </w:rPr>
        <w:t>64a, zanim zostanie sporządzona opinia Kolegium</w:t>
      </w:r>
      <w:r w:rsidR="00EA1900">
        <w:rPr>
          <w:rFonts w:ascii="Times New Roman" w:hAnsi="Times New Roman" w:cs="Times New Roman"/>
        </w:rPr>
        <w:t xml:space="preserve"> w </w:t>
      </w:r>
      <w:r w:rsidR="00F526E0" w:rsidRPr="0024375B">
        <w:rPr>
          <w:rFonts w:ascii="Times New Roman" w:hAnsi="Times New Roman" w:cs="Times New Roman"/>
        </w:rPr>
        <w:t>sprawie dostawcy.</w:t>
      </w:r>
    </w:p>
    <w:p w14:paraId="3347290C" w14:textId="77777777" w:rsidR="00DC7FB3"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lastRenderedPageBreak/>
        <w:t>Po przeprowadzeniu postępowania minister właściwy d</w:t>
      </w:r>
      <w:r w:rsidR="008601D9">
        <w:rPr>
          <w:rFonts w:ascii="Times New Roman" w:hAnsi="Times New Roman" w:cs="Times New Roman"/>
        </w:rPr>
        <w:t xml:space="preserve">o </w:t>
      </w:r>
      <w:r w:rsidRPr="0024375B">
        <w:rPr>
          <w:rFonts w:ascii="Times New Roman" w:hAnsi="Times New Roman" w:cs="Times New Roman"/>
        </w:rPr>
        <w:t>s</w:t>
      </w:r>
      <w:r w:rsidR="008601D9">
        <w:rPr>
          <w:rFonts w:ascii="Times New Roman" w:hAnsi="Times New Roman" w:cs="Times New Roman"/>
        </w:rPr>
        <w:t>praw</w:t>
      </w:r>
      <w:r w:rsidRPr="0024375B">
        <w:rPr>
          <w:rFonts w:ascii="Times New Roman" w:hAnsi="Times New Roman" w:cs="Times New Roman"/>
        </w:rPr>
        <w:t xml:space="preserve"> informatyzacji wyda decyzję uznającą dostawcę sprzętu lub oprogramowania za dostawcę wysokiego ryzyka, jeżeli</w:t>
      </w:r>
      <w:r w:rsidR="002161FE">
        <w:rPr>
          <w:rFonts w:ascii="Times New Roman" w:hAnsi="Times New Roman" w:cs="Times New Roman"/>
        </w:rPr>
        <w:t xml:space="preserve"> z </w:t>
      </w:r>
      <w:r w:rsidRPr="0024375B">
        <w:rPr>
          <w:rFonts w:ascii="Times New Roman" w:hAnsi="Times New Roman" w:cs="Times New Roman"/>
        </w:rPr>
        <w:t xml:space="preserve">przeprowadzonego postępowania wynika, że dostawca ten stanowi </w:t>
      </w:r>
      <w:r w:rsidR="00847ACE" w:rsidRPr="0024375B">
        <w:rPr>
          <w:rFonts w:ascii="Times New Roman" w:hAnsi="Times New Roman" w:cs="Times New Roman"/>
        </w:rPr>
        <w:t>poważne zagrożenie dla obronności, bezpieczeństwa państwa lub bezpieczeństwa</w:t>
      </w:r>
      <w:r w:rsidR="002161FE">
        <w:rPr>
          <w:rFonts w:ascii="Times New Roman" w:hAnsi="Times New Roman" w:cs="Times New Roman"/>
        </w:rPr>
        <w:t xml:space="preserve"> i </w:t>
      </w:r>
      <w:r w:rsidR="00847ACE" w:rsidRPr="0024375B">
        <w:rPr>
          <w:rFonts w:ascii="Times New Roman" w:hAnsi="Times New Roman" w:cs="Times New Roman"/>
        </w:rPr>
        <w:t>porządku publicznego lub życia</w:t>
      </w:r>
      <w:r w:rsidR="002161FE">
        <w:rPr>
          <w:rFonts w:ascii="Times New Roman" w:hAnsi="Times New Roman" w:cs="Times New Roman"/>
        </w:rPr>
        <w:t xml:space="preserve"> i </w:t>
      </w:r>
      <w:r w:rsidR="00847ACE" w:rsidRPr="0024375B">
        <w:rPr>
          <w:rFonts w:ascii="Times New Roman" w:hAnsi="Times New Roman" w:cs="Times New Roman"/>
        </w:rPr>
        <w:t>zdrowia ludzi</w:t>
      </w:r>
      <w:r w:rsidRPr="0024375B">
        <w:rPr>
          <w:rFonts w:ascii="Times New Roman" w:hAnsi="Times New Roman" w:cs="Times New Roman"/>
        </w:rPr>
        <w:t>.</w:t>
      </w:r>
      <w:r w:rsidR="00D33BAD">
        <w:rPr>
          <w:rFonts w:ascii="Times New Roman" w:hAnsi="Times New Roman" w:cs="Times New Roman"/>
        </w:rPr>
        <w:t xml:space="preserve"> Nie chodzi więc o zwykłe zagrożenie, tylko o jego kwalifikowaną postać</w:t>
      </w:r>
      <w:r w:rsidR="00264266">
        <w:rPr>
          <w:rFonts w:ascii="Times New Roman" w:hAnsi="Times New Roman" w:cs="Times New Roman"/>
        </w:rPr>
        <w:t>.</w:t>
      </w:r>
      <w:r w:rsidR="00CC355E">
        <w:rPr>
          <w:rFonts w:ascii="Times New Roman" w:hAnsi="Times New Roman" w:cs="Times New Roman"/>
        </w:rPr>
        <w:t xml:space="preserve"> </w:t>
      </w:r>
      <w:r w:rsidRPr="0024375B">
        <w:rPr>
          <w:rFonts w:ascii="Times New Roman" w:hAnsi="Times New Roman" w:cs="Times New Roman"/>
        </w:rPr>
        <w:t>Decyzja będzie zawierać wskazanie typów produktów ICT, rodzajów usług ICT</w:t>
      </w:r>
      <w:r w:rsidR="002161FE">
        <w:rPr>
          <w:rFonts w:ascii="Times New Roman" w:hAnsi="Times New Roman" w:cs="Times New Roman"/>
        </w:rPr>
        <w:t xml:space="preserve"> i </w:t>
      </w:r>
      <w:r w:rsidRPr="0024375B">
        <w:rPr>
          <w:rFonts w:ascii="Times New Roman" w:hAnsi="Times New Roman" w:cs="Times New Roman"/>
        </w:rPr>
        <w:t>konkretnych procesów ICT pochodzących od dostawcy uwzględnionych</w:t>
      </w:r>
      <w:r w:rsidR="00EA1900">
        <w:rPr>
          <w:rFonts w:ascii="Times New Roman" w:hAnsi="Times New Roman" w:cs="Times New Roman"/>
        </w:rPr>
        <w:t xml:space="preserve"> w </w:t>
      </w:r>
      <w:r w:rsidRPr="0024375B">
        <w:rPr>
          <w:rFonts w:ascii="Times New Roman" w:hAnsi="Times New Roman" w:cs="Times New Roman"/>
        </w:rPr>
        <w:t>postępowaniu</w:t>
      </w:r>
      <w:r w:rsidR="00EA1900">
        <w:rPr>
          <w:rFonts w:ascii="Times New Roman" w:hAnsi="Times New Roman" w:cs="Times New Roman"/>
        </w:rPr>
        <w:t xml:space="preserve"> w </w:t>
      </w:r>
      <w:r w:rsidRPr="0024375B">
        <w:rPr>
          <w:rFonts w:ascii="Times New Roman" w:hAnsi="Times New Roman" w:cs="Times New Roman"/>
        </w:rPr>
        <w:t>sprawie uznania za dostawcę wysokiego ryzyka</w:t>
      </w:r>
      <w:r w:rsidR="00DC7FB3">
        <w:rPr>
          <w:rFonts w:ascii="Times New Roman" w:hAnsi="Times New Roman" w:cs="Times New Roman"/>
        </w:rPr>
        <w:t xml:space="preserve"> – ponieważ one też stwarzają zagrożenie</w:t>
      </w:r>
      <w:r w:rsidRPr="0024375B">
        <w:rPr>
          <w:rFonts w:ascii="Times New Roman" w:hAnsi="Times New Roman" w:cs="Times New Roman"/>
        </w:rPr>
        <w:t>.</w:t>
      </w:r>
      <w:r w:rsidR="0090708C">
        <w:rPr>
          <w:rFonts w:ascii="Times New Roman" w:hAnsi="Times New Roman" w:cs="Times New Roman"/>
        </w:rPr>
        <w:t xml:space="preserve"> </w:t>
      </w:r>
    </w:p>
    <w:p w14:paraId="4BFE904B" w14:textId="62A60597" w:rsidR="0062648F" w:rsidRDefault="0090708C" w:rsidP="0024375B">
      <w:pPr>
        <w:pStyle w:val="NIEARTTEKSTtekstnieartykuowanynppodstprawnarozplubpreambua"/>
        <w:rPr>
          <w:rFonts w:ascii="Times New Roman" w:hAnsi="Times New Roman" w:cs="Times New Roman"/>
        </w:rPr>
      </w:pPr>
      <w:r>
        <w:rPr>
          <w:rFonts w:ascii="Times New Roman" w:hAnsi="Times New Roman" w:cs="Times New Roman"/>
        </w:rPr>
        <w:t xml:space="preserve">Dzięki prawnemu zidentyfikowaniu dostawcy wysokiego ryzyka będzie możliwe wprowadzenie dodatkowych środków mitygujących zagrożenie, jakie stwarza sprzęt lub oprogramowanie dostarczane przez dostawcę wysokiego ryzyka. </w:t>
      </w:r>
      <w:r w:rsidR="00F6749E" w:rsidRPr="0024375B">
        <w:rPr>
          <w:rFonts w:ascii="Times New Roman" w:hAnsi="Times New Roman" w:cs="Times New Roman"/>
        </w:rPr>
        <w:t>Ze względu na charakter sprawy –</w:t>
      </w:r>
      <w:r w:rsidR="18B6F584" w:rsidRPr="0024375B">
        <w:rPr>
          <w:rFonts w:ascii="Times New Roman" w:hAnsi="Times New Roman" w:cs="Times New Roman"/>
        </w:rPr>
        <w:t xml:space="preserve"> stwierdzenie </w:t>
      </w:r>
      <w:r w:rsidR="007B66DB" w:rsidRPr="0024375B">
        <w:rPr>
          <w:rFonts w:ascii="Times New Roman" w:hAnsi="Times New Roman" w:cs="Times New Roman"/>
        </w:rPr>
        <w:t>poważne</w:t>
      </w:r>
      <w:r w:rsidR="1A115C6A" w:rsidRPr="0024375B">
        <w:rPr>
          <w:rFonts w:ascii="Times New Roman" w:hAnsi="Times New Roman" w:cs="Times New Roman"/>
        </w:rPr>
        <w:t>go</w:t>
      </w:r>
      <w:r w:rsidR="00F6749E" w:rsidRPr="0024375B">
        <w:rPr>
          <w:rFonts w:ascii="Times New Roman" w:hAnsi="Times New Roman" w:cs="Times New Roman"/>
        </w:rPr>
        <w:t xml:space="preserve"> zagrożeni</w:t>
      </w:r>
      <w:r w:rsidR="30A4CAA8" w:rsidRPr="0024375B">
        <w:rPr>
          <w:rFonts w:ascii="Times New Roman" w:hAnsi="Times New Roman" w:cs="Times New Roman"/>
        </w:rPr>
        <w:t>a</w:t>
      </w:r>
      <w:r w:rsidR="00F6749E" w:rsidRPr="0024375B">
        <w:rPr>
          <w:rFonts w:ascii="Times New Roman" w:hAnsi="Times New Roman" w:cs="Times New Roman"/>
        </w:rPr>
        <w:t xml:space="preserve"> dla </w:t>
      </w:r>
      <w:r w:rsidR="00023A90" w:rsidRPr="00023A90">
        <w:rPr>
          <w:rFonts w:ascii="Times New Roman" w:hAnsi="Times New Roman" w:cs="Times New Roman"/>
        </w:rPr>
        <w:t>obronności, bezpieczeństwa państwa lub bezpieczeństwa</w:t>
      </w:r>
      <w:r w:rsidR="002161FE">
        <w:rPr>
          <w:rFonts w:ascii="Times New Roman" w:hAnsi="Times New Roman" w:cs="Times New Roman"/>
        </w:rPr>
        <w:t xml:space="preserve"> i </w:t>
      </w:r>
      <w:r w:rsidR="00023A90" w:rsidRPr="00023A90">
        <w:rPr>
          <w:rFonts w:ascii="Times New Roman" w:hAnsi="Times New Roman" w:cs="Times New Roman"/>
        </w:rPr>
        <w:t>porządku publicznego lub życia</w:t>
      </w:r>
      <w:r w:rsidR="002161FE">
        <w:rPr>
          <w:rFonts w:ascii="Times New Roman" w:hAnsi="Times New Roman" w:cs="Times New Roman"/>
        </w:rPr>
        <w:t xml:space="preserve"> i </w:t>
      </w:r>
      <w:r w:rsidR="00023A90" w:rsidRPr="00023A90">
        <w:rPr>
          <w:rFonts w:ascii="Times New Roman" w:hAnsi="Times New Roman" w:cs="Times New Roman"/>
        </w:rPr>
        <w:t>zdrowia ludzi</w:t>
      </w:r>
      <w:r w:rsidR="00023A90" w:rsidRPr="00023A90" w:rsidDel="00023A90">
        <w:rPr>
          <w:rFonts w:ascii="Times New Roman" w:hAnsi="Times New Roman" w:cs="Times New Roman"/>
        </w:rPr>
        <w:t xml:space="preserve"> </w:t>
      </w:r>
      <w:r w:rsidR="00F6749E" w:rsidRPr="0024375B">
        <w:rPr>
          <w:rFonts w:ascii="Times New Roman" w:hAnsi="Times New Roman" w:cs="Times New Roman"/>
        </w:rPr>
        <w:t>– decyzja ta będzie podlegała natychmiastowej wykonalności.</w:t>
      </w:r>
      <w:r w:rsidR="00C14071">
        <w:rPr>
          <w:rFonts w:ascii="Times New Roman" w:hAnsi="Times New Roman" w:cs="Times New Roman"/>
        </w:rPr>
        <w:t xml:space="preserve"> </w:t>
      </w:r>
      <w:r w:rsidR="00C14071" w:rsidRPr="00C14071">
        <w:rPr>
          <w:rFonts w:ascii="Times New Roman" w:hAnsi="Times New Roman" w:cs="Times New Roman"/>
        </w:rPr>
        <w:t>Wskazać należy, że zastosowane</w:t>
      </w:r>
      <w:r w:rsidR="00EA1900">
        <w:rPr>
          <w:rFonts w:ascii="Times New Roman" w:hAnsi="Times New Roman" w:cs="Times New Roman"/>
        </w:rPr>
        <w:t xml:space="preserve"> w </w:t>
      </w:r>
      <w:r w:rsidR="00C14071" w:rsidRPr="00C14071">
        <w:rPr>
          <w:rFonts w:ascii="Times New Roman" w:hAnsi="Times New Roman" w:cs="Times New Roman"/>
        </w:rPr>
        <w:t>przepisie przesłanki</w:t>
      </w:r>
      <w:r w:rsidR="00EA1900">
        <w:rPr>
          <w:rFonts w:ascii="Times New Roman" w:hAnsi="Times New Roman" w:cs="Times New Roman"/>
        </w:rPr>
        <w:t xml:space="preserve"> w </w:t>
      </w:r>
      <w:r w:rsidR="00C14071" w:rsidRPr="00C14071">
        <w:rPr>
          <w:rFonts w:ascii="Times New Roman" w:hAnsi="Times New Roman" w:cs="Times New Roman"/>
        </w:rPr>
        <w:t>żaden sposób nie odnoszą się do pochodzenia dostawcy. Za dostawcę wysokiego ryzyka może być uznany zarówno podmiot zagraniczny jak również podmiot działający</w:t>
      </w:r>
      <w:r w:rsidR="00EA1900">
        <w:rPr>
          <w:rFonts w:ascii="Times New Roman" w:hAnsi="Times New Roman" w:cs="Times New Roman"/>
        </w:rPr>
        <w:t xml:space="preserve"> w </w:t>
      </w:r>
      <w:r w:rsidR="00C14071" w:rsidRPr="00C14071">
        <w:rPr>
          <w:rFonts w:ascii="Times New Roman" w:hAnsi="Times New Roman" w:cs="Times New Roman"/>
        </w:rPr>
        <w:t>kraju. Wszyscy przedsiębiorcy są obowiązani do działania</w:t>
      </w:r>
      <w:r w:rsidR="00EA1900">
        <w:rPr>
          <w:rFonts w:ascii="Times New Roman" w:hAnsi="Times New Roman" w:cs="Times New Roman"/>
        </w:rPr>
        <w:t xml:space="preserve"> w </w:t>
      </w:r>
      <w:r w:rsidR="00C14071" w:rsidRPr="00C14071">
        <w:rPr>
          <w:rFonts w:ascii="Times New Roman" w:hAnsi="Times New Roman" w:cs="Times New Roman"/>
        </w:rPr>
        <w:t>sposób nie zagrażający bezpieczeństwu państwa polskiego.</w:t>
      </w:r>
      <w:r w:rsidR="008601D9">
        <w:rPr>
          <w:rFonts w:ascii="Times New Roman" w:hAnsi="Times New Roman" w:cs="Times New Roman"/>
        </w:rPr>
        <w:t xml:space="preserve"> </w:t>
      </w:r>
    </w:p>
    <w:p w14:paraId="7FF26C67" w14:textId="77777777" w:rsidR="00F6749E" w:rsidRPr="0024375B" w:rsidRDefault="008601D9" w:rsidP="0024375B">
      <w:pPr>
        <w:pStyle w:val="NIEARTTEKSTtekstnieartykuowanynppodstprawnarozplubpreambua"/>
        <w:rPr>
          <w:rFonts w:ascii="Times New Roman" w:hAnsi="Times New Roman" w:cs="Times New Roman"/>
        </w:rPr>
      </w:pPr>
      <w:r>
        <w:rPr>
          <w:rFonts w:ascii="Times New Roman" w:hAnsi="Times New Roman" w:cs="Times New Roman"/>
        </w:rPr>
        <w:t>Jeżeli w trakcie postępowania zostanie stwierdzone, że dostawca nie stanowi poważnego zagrożenia dla</w:t>
      </w:r>
      <w:r w:rsidRPr="008601D9">
        <w:rPr>
          <w:rFonts w:ascii="Times New Roman" w:hAnsi="Times New Roman" w:cs="Times New Roman"/>
        </w:rPr>
        <w:t xml:space="preserve"> obronności, bezpieczeństwa państwa lub bezpieczeństwa i porządku publicznego lub życia i zdrowia ludzi</w:t>
      </w:r>
      <w:r>
        <w:rPr>
          <w:rFonts w:ascii="Times New Roman" w:hAnsi="Times New Roman" w:cs="Times New Roman"/>
        </w:rPr>
        <w:t>, to zgodnie z zasadami ogólnymi Kpa zostanie wydana decyzja o umorzeniu postępowania</w:t>
      </w:r>
      <w:r w:rsidR="0090708C">
        <w:rPr>
          <w:rFonts w:ascii="Times New Roman" w:hAnsi="Times New Roman" w:cs="Times New Roman"/>
        </w:rPr>
        <w:t>.</w:t>
      </w:r>
    </w:p>
    <w:p w14:paraId="12359F7C" w14:textId="1E8C6116"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Aby podmioty </w:t>
      </w:r>
      <w:r w:rsidR="00023A90">
        <w:rPr>
          <w:rFonts w:ascii="Times New Roman" w:hAnsi="Times New Roman" w:cs="Times New Roman"/>
        </w:rPr>
        <w:t xml:space="preserve">obowiązane do wycofania sprzętu </w:t>
      </w:r>
      <w:r w:rsidRPr="0024375B">
        <w:rPr>
          <w:rFonts w:ascii="Times New Roman" w:hAnsi="Times New Roman" w:cs="Times New Roman"/>
        </w:rPr>
        <w:t>mogły zastosować się do obowiązków wynikających</w:t>
      </w:r>
      <w:r w:rsidR="002161FE">
        <w:rPr>
          <w:rFonts w:ascii="Times New Roman" w:hAnsi="Times New Roman" w:cs="Times New Roman"/>
        </w:rPr>
        <w:t xml:space="preserve"> z </w:t>
      </w:r>
      <w:r w:rsidR="007B66DB" w:rsidRPr="0024375B">
        <w:rPr>
          <w:rFonts w:ascii="Times New Roman" w:hAnsi="Times New Roman" w:cs="Times New Roman"/>
        </w:rPr>
        <w:t xml:space="preserve">wydania tej </w:t>
      </w:r>
      <w:r w:rsidRPr="0024375B">
        <w:rPr>
          <w:rFonts w:ascii="Times New Roman" w:hAnsi="Times New Roman" w:cs="Times New Roman"/>
        </w:rPr>
        <w:t xml:space="preserve">decyzji administracyjnej, </w:t>
      </w:r>
      <w:r w:rsidR="00FB47A4" w:rsidRPr="0024375B">
        <w:rPr>
          <w:rFonts w:ascii="Times New Roman" w:hAnsi="Times New Roman" w:cs="Times New Roman"/>
        </w:rPr>
        <w:t xml:space="preserve">minister właściwy do spraw informatyzacji </w:t>
      </w:r>
      <w:r w:rsidR="00AC2FAD">
        <w:rPr>
          <w:rFonts w:ascii="Times New Roman" w:hAnsi="Times New Roman" w:cs="Times New Roman"/>
        </w:rPr>
        <w:t>o</w:t>
      </w:r>
      <w:r w:rsidR="00FB47A4" w:rsidRPr="0024375B">
        <w:rPr>
          <w:rFonts w:ascii="Times New Roman" w:hAnsi="Times New Roman" w:cs="Times New Roman"/>
        </w:rPr>
        <w:t>publikuje ją</w:t>
      </w:r>
      <w:r w:rsidR="00EA1900">
        <w:rPr>
          <w:rFonts w:ascii="Times New Roman" w:hAnsi="Times New Roman" w:cs="Times New Roman"/>
        </w:rPr>
        <w:t xml:space="preserve"> w </w:t>
      </w:r>
      <w:r w:rsidRPr="0024375B">
        <w:rPr>
          <w:rFonts w:ascii="Times New Roman" w:hAnsi="Times New Roman" w:cs="Times New Roman"/>
        </w:rPr>
        <w:t>Dzienniku Urzędowym</w:t>
      </w:r>
      <w:r w:rsidR="000D51BD">
        <w:rPr>
          <w:rFonts w:ascii="Times New Roman" w:hAnsi="Times New Roman" w:cs="Times New Roman"/>
        </w:rPr>
        <w:t xml:space="preserve"> Rzeczypospolitej Polskiej</w:t>
      </w:r>
      <w:r w:rsidRPr="0024375B">
        <w:rPr>
          <w:rFonts w:ascii="Times New Roman" w:hAnsi="Times New Roman" w:cs="Times New Roman"/>
        </w:rPr>
        <w:t xml:space="preserve"> </w:t>
      </w:r>
      <w:r w:rsidR="000D51BD">
        <w:rPr>
          <w:rFonts w:ascii="Times New Roman" w:hAnsi="Times New Roman" w:cs="Times New Roman"/>
        </w:rPr>
        <w:t>„</w:t>
      </w:r>
      <w:r w:rsidRPr="0024375B">
        <w:rPr>
          <w:rFonts w:ascii="Times New Roman" w:hAnsi="Times New Roman" w:cs="Times New Roman"/>
        </w:rPr>
        <w:t>Monitor Polski</w:t>
      </w:r>
      <w:r w:rsidR="000D51BD">
        <w:rPr>
          <w:rFonts w:ascii="Times New Roman" w:hAnsi="Times New Roman" w:cs="Times New Roman"/>
        </w:rPr>
        <w:t>”</w:t>
      </w:r>
      <w:r w:rsidRPr="0024375B">
        <w:rPr>
          <w:rFonts w:ascii="Times New Roman" w:hAnsi="Times New Roman" w:cs="Times New Roman"/>
        </w:rPr>
        <w:t>, na stronie podmiotowej ministra</w:t>
      </w:r>
      <w:r w:rsidR="00EA1900">
        <w:rPr>
          <w:rFonts w:ascii="Times New Roman" w:hAnsi="Times New Roman" w:cs="Times New Roman"/>
        </w:rPr>
        <w:t xml:space="preserve"> w </w:t>
      </w:r>
      <w:r w:rsidRPr="0024375B">
        <w:rPr>
          <w:rFonts w:ascii="Times New Roman" w:hAnsi="Times New Roman" w:cs="Times New Roman"/>
        </w:rPr>
        <w:t>Biuletynie Informacji Publicznej,</w:t>
      </w:r>
      <w:r w:rsidR="002161FE">
        <w:rPr>
          <w:rFonts w:ascii="Times New Roman" w:hAnsi="Times New Roman" w:cs="Times New Roman"/>
        </w:rPr>
        <w:t xml:space="preserve"> a </w:t>
      </w:r>
      <w:r w:rsidRPr="0024375B">
        <w:rPr>
          <w:rFonts w:ascii="Times New Roman" w:hAnsi="Times New Roman" w:cs="Times New Roman"/>
        </w:rPr>
        <w:t xml:space="preserve">także na stronie internetowej urzędu obsługującego ministra. </w:t>
      </w:r>
    </w:p>
    <w:p w14:paraId="2E341976" w14:textId="77777777" w:rsidR="00FB47A4" w:rsidRPr="0024375B" w:rsidRDefault="00FB47A4" w:rsidP="0024375B">
      <w:pPr>
        <w:pStyle w:val="ARTartustawynprozporzdzenia"/>
      </w:pPr>
      <w:r w:rsidRPr="0024375B">
        <w:t>Od decyzji</w:t>
      </w:r>
      <w:r w:rsidR="00EA1900">
        <w:t xml:space="preserve"> w </w:t>
      </w:r>
      <w:r w:rsidRPr="0024375B">
        <w:t>sprawie uznania za dostawcę wysokiego ryzyka nie będzie przysługiwał wniosek</w:t>
      </w:r>
      <w:r w:rsidR="0077165A">
        <w:t xml:space="preserve"> o </w:t>
      </w:r>
      <w:r w:rsidRPr="0024375B">
        <w:t>ponowne rozpatrzenie sprawy.</w:t>
      </w:r>
      <w:r w:rsidR="00C125D1">
        <w:t xml:space="preserve"> Prawa strony</w:t>
      </w:r>
      <w:r w:rsidR="00756889">
        <w:t xml:space="preserve"> postępowania</w:t>
      </w:r>
      <w:r w:rsidR="00C125D1">
        <w:t xml:space="preserve"> będą zagwarantowane poprzez możliwość złożenia skargi do sądu administracyjnego.</w:t>
      </w:r>
    </w:p>
    <w:p w14:paraId="1FC18D4D" w14:textId="77777777" w:rsidR="008548DA" w:rsidRPr="0024375B" w:rsidRDefault="008548DA" w:rsidP="00DC1575">
      <w:pPr>
        <w:pStyle w:val="Nagwek4"/>
      </w:pPr>
      <w:r w:rsidRPr="0024375B">
        <w:t>Nowy</w:t>
      </w:r>
      <w:r w:rsidR="00EA1900">
        <w:t xml:space="preserve"> art. </w:t>
      </w:r>
      <w:r w:rsidR="00C43185" w:rsidRPr="0024375B">
        <w:t xml:space="preserve">66b </w:t>
      </w:r>
    </w:p>
    <w:p w14:paraId="5F5676BF" w14:textId="639DFAAD" w:rsidR="00810BF7" w:rsidRDefault="00810BF7" w:rsidP="001C5AF2">
      <w:pPr>
        <w:pStyle w:val="ARTartustawynprozporzdzenia"/>
        <w:rPr>
          <w:rFonts w:ascii="Times New Roman" w:hAnsi="Times New Roman" w:cs="Times New Roman"/>
        </w:rPr>
      </w:pPr>
      <w:r>
        <w:rPr>
          <w:rFonts w:ascii="Times New Roman" w:hAnsi="Times New Roman" w:cs="Times New Roman"/>
        </w:rPr>
        <w:t>Następstwem prawnego zidentyfikowania dostawcy wysokiego ryzyka powinno</w:t>
      </w:r>
      <w:r w:rsidR="000D51BD">
        <w:rPr>
          <w:rFonts w:ascii="Times New Roman" w:hAnsi="Times New Roman" w:cs="Times New Roman"/>
        </w:rPr>
        <w:t xml:space="preserve"> być</w:t>
      </w:r>
      <w:r>
        <w:rPr>
          <w:rFonts w:ascii="Times New Roman" w:hAnsi="Times New Roman" w:cs="Times New Roman"/>
        </w:rPr>
        <w:t xml:space="preserve"> zmitygowanie ryzyka, które on stwarza. Art. 66b wprowadza więc </w:t>
      </w:r>
      <w:r>
        <w:t>niezbędne wymogi bezpieczeństwa dla podmiotów krajowego systemu cyberbezpieczeństwa, operatorów infrastruktury krytycznej czy 69 przedsiębiorców komunikacji elektronicznej w związku z wykorzystywaniem sprzętu lub oprogramowania pochodzącego od dostawcy wysokiego ryzyka.</w:t>
      </w:r>
      <w:r w:rsidR="007D419D">
        <w:t xml:space="preserve"> </w:t>
      </w:r>
    </w:p>
    <w:p w14:paraId="13166AEF" w14:textId="1CA0570C"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Podmioty krajowego systemu cyberbezpieczeństwa, operatorzy infrastruktury krytycznej, przedsiębiorcy </w:t>
      </w:r>
      <w:r w:rsidR="00201907">
        <w:rPr>
          <w:rFonts w:ascii="Times New Roman" w:hAnsi="Times New Roman" w:cs="Times New Roman"/>
        </w:rPr>
        <w:t>komunikacji elektronicznej</w:t>
      </w:r>
      <w:r w:rsidR="00201907" w:rsidRPr="0024375B">
        <w:rPr>
          <w:rFonts w:ascii="Times New Roman" w:hAnsi="Times New Roman" w:cs="Times New Roman"/>
        </w:rPr>
        <w:t xml:space="preserve"> </w:t>
      </w:r>
      <w:r w:rsidRPr="0024375B">
        <w:rPr>
          <w:rFonts w:ascii="Times New Roman" w:hAnsi="Times New Roman" w:cs="Times New Roman"/>
        </w:rPr>
        <w:t>sporządzający plany działań</w:t>
      </w:r>
      <w:r w:rsidR="00EA1900">
        <w:rPr>
          <w:rFonts w:ascii="Times New Roman" w:hAnsi="Times New Roman" w:cs="Times New Roman"/>
        </w:rPr>
        <w:t xml:space="preserve"> w </w:t>
      </w:r>
      <w:r w:rsidRPr="0024375B">
        <w:rPr>
          <w:rFonts w:ascii="Times New Roman" w:hAnsi="Times New Roman" w:cs="Times New Roman"/>
        </w:rPr>
        <w:t>sytuacji szczególnego zagrożenia,</w:t>
      </w:r>
      <w:r w:rsidR="009A6B72">
        <w:rPr>
          <w:rFonts w:ascii="Times New Roman" w:hAnsi="Times New Roman" w:cs="Times New Roman"/>
        </w:rPr>
        <w:t xml:space="preserve"> </w:t>
      </w:r>
      <w:r w:rsidRPr="0024375B">
        <w:rPr>
          <w:rFonts w:ascii="Times New Roman" w:hAnsi="Times New Roman" w:cs="Times New Roman"/>
        </w:rPr>
        <w:lastRenderedPageBreak/>
        <w:t>nie będą mogły wprowadzać do użytkowania zakresów typów produktów ICT, rodzajów usług ICT</w:t>
      </w:r>
      <w:r w:rsidR="002161FE">
        <w:rPr>
          <w:rFonts w:ascii="Times New Roman" w:hAnsi="Times New Roman" w:cs="Times New Roman"/>
        </w:rPr>
        <w:t xml:space="preserve"> i </w:t>
      </w:r>
      <w:r w:rsidRPr="0024375B">
        <w:rPr>
          <w:rFonts w:ascii="Times New Roman" w:hAnsi="Times New Roman" w:cs="Times New Roman"/>
        </w:rPr>
        <w:t>konkretnych procesów ICT</w:t>
      </w:r>
      <w:r w:rsidR="00EA1900">
        <w:rPr>
          <w:rFonts w:ascii="Times New Roman" w:hAnsi="Times New Roman" w:cs="Times New Roman"/>
        </w:rPr>
        <w:t xml:space="preserve"> w </w:t>
      </w:r>
      <w:r w:rsidRPr="0024375B">
        <w:rPr>
          <w:rFonts w:ascii="Times New Roman" w:hAnsi="Times New Roman" w:cs="Times New Roman"/>
        </w:rPr>
        <w:t>zakresie objętym decyzją, dostarczanych przez dostawcę wysokiego ryzyka. Dotyczyć to będzie zarówno nowych produktów, usług</w:t>
      </w:r>
      <w:r w:rsidR="002161FE">
        <w:rPr>
          <w:rFonts w:ascii="Times New Roman" w:hAnsi="Times New Roman" w:cs="Times New Roman"/>
        </w:rPr>
        <w:t xml:space="preserve"> i </w:t>
      </w:r>
      <w:r w:rsidRPr="0024375B">
        <w:rPr>
          <w:rFonts w:ascii="Times New Roman" w:hAnsi="Times New Roman" w:cs="Times New Roman"/>
        </w:rPr>
        <w:t>procesów, jak</w:t>
      </w:r>
      <w:r w:rsidR="002161FE">
        <w:rPr>
          <w:rFonts w:ascii="Times New Roman" w:hAnsi="Times New Roman" w:cs="Times New Roman"/>
        </w:rPr>
        <w:t xml:space="preserve"> i </w:t>
      </w:r>
      <w:r w:rsidRPr="0024375B">
        <w:rPr>
          <w:rFonts w:ascii="Times New Roman" w:hAnsi="Times New Roman" w:cs="Times New Roman"/>
        </w:rPr>
        <w:t>używanych.</w:t>
      </w:r>
      <w:r w:rsidR="003C4FEE">
        <w:rPr>
          <w:rFonts w:ascii="Times New Roman" w:hAnsi="Times New Roman" w:cs="Times New Roman"/>
        </w:rPr>
        <w:t xml:space="preserve"> W tym przypadku chodzi o sytuację,</w:t>
      </w:r>
      <w:r w:rsidR="00EA1900">
        <w:rPr>
          <w:rFonts w:ascii="Times New Roman" w:hAnsi="Times New Roman" w:cs="Times New Roman"/>
        </w:rPr>
        <w:t xml:space="preserve"> w </w:t>
      </w:r>
      <w:r w:rsidR="003C4FEE">
        <w:rPr>
          <w:rFonts w:ascii="Times New Roman" w:hAnsi="Times New Roman" w:cs="Times New Roman"/>
        </w:rPr>
        <w:t>której</w:t>
      </w:r>
      <w:r w:rsidR="00EA1900">
        <w:rPr>
          <w:rFonts w:ascii="Times New Roman" w:hAnsi="Times New Roman" w:cs="Times New Roman"/>
        </w:rPr>
        <w:t xml:space="preserve"> w </w:t>
      </w:r>
      <w:r w:rsidR="003C4FEE">
        <w:rPr>
          <w:rFonts w:ascii="Times New Roman" w:hAnsi="Times New Roman" w:cs="Times New Roman"/>
        </w:rPr>
        <w:t>chwili wydania decyzji dany podmiot nie ma danego produktu, usługi lub procesu ICT – nie będzie mógł więc ich używać lub</w:t>
      </w:r>
      <w:r w:rsidR="002161FE">
        <w:rPr>
          <w:rFonts w:ascii="Times New Roman" w:hAnsi="Times New Roman" w:cs="Times New Roman"/>
        </w:rPr>
        <w:t xml:space="preserve"> z </w:t>
      </w:r>
      <w:r w:rsidR="003C4FEE">
        <w:rPr>
          <w:rFonts w:ascii="Times New Roman" w:hAnsi="Times New Roman" w:cs="Times New Roman"/>
        </w:rPr>
        <w:t>nich korzystać. Celem jest</w:t>
      </w:r>
      <w:r w:rsidR="000D51BD">
        <w:rPr>
          <w:rFonts w:ascii="Times New Roman" w:hAnsi="Times New Roman" w:cs="Times New Roman"/>
        </w:rPr>
        <w:t>,</w:t>
      </w:r>
      <w:r w:rsidR="003C4FEE">
        <w:rPr>
          <w:rFonts w:ascii="Times New Roman" w:hAnsi="Times New Roman" w:cs="Times New Roman"/>
        </w:rPr>
        <w:t xml:space="preserve"> aby nie wprowadzać kolejnych produktów, usług, procesów ICT</w:t>
      </w:r>
      <w:r w:rsidR="000D51BD">
        <w:rPr>
          <w:rFonts w:ascii="Times New Roman" w:hAnsi="Times New Roman" w:cs="Times New Roman"/>
        </w:rPr>
        <w:t>,</w:t>
      </w:r>
      <w:r w:rsidR="003C4FEE">
        <w:rPr>
          <w:rFonts w:ascii="Times New Roman" w:hAnsi="Times New Roman" w:cs="Times New Roman"/>
        </w:rPr>
        <w:t xml:space="preserve"> żeby nie zwiększać już</w:t>
      </w:r>
      <w:r w:rsidR="002161FE">
        <w:rPr>
          <w:rFonts w:ascii="Times New Roman" w:hAnsi="Times New Roman" w:cs="Times New Roman"/>
        </w:rPr>
        <w:t xml:space="preserve"> i </w:t>
      </w:r>
      <w:r w:rsidR="003C4FEE">
        <w:rPr>
          <w:rFonts w:ascii="Times New Roman" w:hAnsi="Times New Roman" w:cs="Times New Roman"/>
        </w:rPr>
        <w:t>tak wysokiego ryzyka związanego</w:t>
      </w:r>
      <w:r w:rsidR="002161FE">
        <w:rPr>
          <w:rFonts w:ascii="Times New Roman" w:hAnsi="Times New Roman" w:cs="Times New Roman"/>
        </w:rPr>
        <w:t xml:space="preserve"> z </w:t>
      </w:r>
      <w:r w:rsidR="00CD72AC">
        <w:rPr>
          <w:rFonts w:ascii="Times New Roman" w:hAnsi="Times New Roman" w:cs="Times New Roman"/>
        </w:rPr>
        <w:t>nimi</w:t>
      </w:r>
      <w:r w:rsidR="00023A90">
        <w:rPr>
          <w:rFonts w:ascii="Times New Roman" w:hAnsi="Times New Roman" w:cs="Times New Roman"/>
        </w:rPr>
        <w:t>.</w:t>
      </w:r>
    </w:p>
    <w:p w14:paraId="5E111BBA" w14:textId="163157C3"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Innym obowiązkiem będzie wycofanie</w:t>
      </w:r>
      <w:r w:rsidR="002161FE">
        <w:rPr>
          <w:rFonts w:ascii="Times New Roman" w:hAnsi="Times New Roman" w:cs="Times New Roman"/>
        </w:rPr>
        <w:t xml:space="preserve"> z </w:t>
      </w:r>
      <w:r w:rsidRPr="0024375B">
        <w:rPr>
          <w:rFonts w:ascii="Times New Roman" w:hAnsi="Times New Roman" w:cs="Times New Roman"/>
        </w:rPr>
        <w:t>użytkowania zakresów typów produktów ICT, rodzajów usług ICT</w:t>
      </w:r>
      <w:r w:rsidR="002161FE">
        <w:rPr>
          <w:rFonts w:ascii="Times New Roman" w:hAnsi="Times New Roman" w:cs="Times New Roman"/>
        </w:rPr>
        <w:t xml:space="preserve"> i </w:t>
      </w:r>
      <w:r w:rsidRPr="0024375B">
        <w:rPr>
          <w:rFonts w:ascii="Times New Roman" w:hAnsi="Times New Roman" w:cs="Times New Roman"/>
        </w:rPr>
        <w:t>konkretnych proces</w:t>
      </w:r>
      <w:r w:rsidR="000D51BD">
        <w:rPr>
          <w:rFonts w:ascii="Times New Roman" w:hAnsi="Times New Roman" w:cs="Times New Roman"/>
        </w:rPr>
        <w:t>ów</w:t>
      </w:r>
      <w:r w:rsidRPr="0024375B">
        <w:rPr>
          <w:rFonts w:ascii="Times New Roman" w:hAnsi="Times New Roman" w:cs="Times New Roman"/>
        </w:rPr>
        <w:t xml:space="preserve"> ICT</w:t>
      </w:r>
      <w:r w:rsidR="00EA1900">
        <w:rPr>
          <w:rFonts w:ascii="Times New Roman" w:hAnsi="Times New Roman" w:cs="Times New Roman"/>
        </w:rPr>
        <w:t xml:space="preserve"> w </w:t>
      </w:r>
      <w:r w:rsidRPr="0024375B">
        <w:rPr>
          <w:rFonts w:ascii="Times New Roman" w:hAnsi="Times New Roman" w:cs="Times New Roman"/>
        </w:rPr>
        <w:t>zakresie objętym decyzją, dostarczanych przez dostawcę wysokiego ryzyka, jednak nie później niż 7 lat od dnia opublikowania informacji</w:t>
      </w:r>
      <w:r w:rsidR="0077165A">
        <w:rPr>
          <w:rFonts w:ascii="Times New Roman" w:hAnsi="Times New Roman" w:cs="Times New Roman"/>
        </w:rPr>
        <w:t xml:space="preserve"> o </w:t>
      </w:r>
      <w:r w:rsidRPr="0024375B">
        <w:rPr>
          <w:rFonts w:ascii="Times New Roman" w:hAnsi="Times New Roman" w:cs="Times New Roman"/>
        </w:rPr>
        <w:t xml:space="preserve">decyzji. </w:t>
      </w:r>
      <w:r w:rsidR="003C4FEE">
        <w:rPr>
          <w:rFonts w:ascii="Times New Roman" w:hAnsi="Times New Roman" w:cs="Times New Roman"/>
        </w:rPr>
        <w:t>Chodzi tutaj o sytuację,</w:t>
      </w:r>
      <w:r w:rsidR="00EA1900">
        <w:rPr>
          <w:rFonts w:ascii="Times New Roman" w:hAnsi="Times New Roman" w:cs="Times New Roman"/>
        </w:rPr>
        <w:t xml:space="preserve"> w </w:t>
      </w:r>
      <w:r w:rsidR="003C4FEE">
        <w:rPr>
          <w:rFonts w:ascii="Times New Roman" w:hAnsi="Times New Roman" w:cs="Times New Roman"/>
        </w:rPr>
        <w:t>której</w:t>
      </w:r>
      <w:r w:rsidR="00EA1900">
        <w:rPr>
          <w:rFonts w:ascii="Times New Roman" w:hAnsi="Times New Roman" w:cs="Times New Roman"/>
        </w:rPr>
        <w:t xml:space="preserve"> w </w:t>
      </w:r>
      <w:r w:rsidR="003C4FEE">
        <w:rPr>
          <w:rFonts w:ascii="Times New Roman" w:hAnsi="Times New Roman" w:cs="Times New Roman"/>
        </w:rPr>
        <w:t>chwili wydania decyzji o uznaniu za dostawcę wysokiego ryzyka dany podmiot już używa lub korzysta</w:t>
      </w:r>
      <w:r w:rsidR="002161FE">
        <w:rPr>
          <w:rFonts w:ascii="Times New Roman" w:hAnsi="Times New Roman" w:cs="Times New Roman"/>
        </w:rPr>
        <w:t xml:space="preserve"> z </w:t>
      </w:r>
      <w:r w:rsidR="003C4FEE">
        <w:rPr>
          <w:rFonts w:ascii="Times New Roman" w:hAnsi="Times New Roman" w:cs="Times New Roman"/>
        </w:rPr>
        <w:t>produktów, usług</w:t>
      </w:r>
      <w:r w:rsidR="002161FE">
        <w:rPr>
          <w:rFonts w:ascii="Times New Roman" w:hAnsi="Times New Roman" w:cs="Times New Roman"/>
        </w:rPr>
        <w:t xml:space="preserve"> i </w:t>
      </w:r>
      <w:r w:rsidR="003C4FEE">
        <w:rPr>
          <w:rFonts w:ascii="Times New Roman" w:hAnsi="Times New Roman" w:cs="Times New Roman"/>
        </w:rPr>
        <w:t>procesów ICT uwzględnionych</w:t>
      </w:r>
      <w:r w:rsidR="00EA1900">
        <w:rPr>
          <w:rFonts w:ascii="Times New Roman" w:hAnsi="Times New Roman" w:cs="Times New Roman"/>
        </w:rPr>
        <w:t xml:space="preserve"> w </w:t>
      </w:r>
      <w:r w:rsidR="003C4FEE">
        <w:rPr>
          <w:rFonts w:ascii="Times New Roman" w:hAnsi="Times New Roman" w:cs="Times New Roman"/>
        </w:rPr>
        <w:t>decyzji o uznaniu za dostawcę wysokiego ryzyka.</w:t>
      </w:r>
      <w:r w:rsidR="00CD72AC">
        <w:rPr>
          <w:rFonts w:ascii="Times New Roman" w:hAnsi="Times New Roman" w:cs="Times New Roman"/>
        </w:rPr>
        <w:t xml:space="preserve"> Będzie więc musiał wycofać go</w:t>
      </w:r>
      <w:r w:rsidR="00EA1900">
        <w:rPr>
          <w:rFonts w:ascii="Times New Roman" w:hAnsi="Times New Roman" w:cs="Times New Roman"/>
        </w:rPr>
        <w:t xml:space="preserve"> w </w:t>
      </w:r>
      <w:r w:rsidR="00CD72AC">
        <w:rPr>
          <w:rFonts w:ascii="Times New Roman" w:hAnsi="Times New Roman" w:cs="Times New Roman"/>
        </w:rPr>
        <w:t>terminie 7 lat. Jest to związane</w:t>
      </w:r>
      <w:r w:rsidR="002161FE">
        <w:rPr>
          <w:rFonts w:ascii="Times New Roman" w:hAnsi="Times New Roman" w:cs="Times New Roman"/>
        </w:rPr>
        <w:t xml:space="preserve"> z </w:t>
      </w:r>
      <w:r w:rsidR="00CD72AC">
        <w:rPr>
          <w:rFonts w:ascii="Times New Roman" w:hAnsi="Times New Roman" w:cs="Times New Roman"/>
        </w:rPr>
        <w:t>tym, że natychmiastowe wycofanie produktów, usług</w:t>
      </w:r>
      <w:r w:rsidR="002161FE">
        <w:rPr>
          <w:rFonts w:ascii="Times New Roman" w:hAnsi="Times New Roman" w:cs="Times New Roman"/>
        </w:rPr>
        <w:t xml:space="preserve"> i </w:t>
      </w:r>
      <w:r w:rsidR="00CD72AC">
        <w:rPr>
          <w:rFonts w:ascii="Times New Roman" w:hAnsi="Times New Roman" w:cs="Times New Roman"/>
        </w:rPr>
        <w:t>procesów ICT mogłoby być niemożliwe</w:t>
      </w:r>
      <w:r w:rsidR="00EA1900">
        <w:rPr>
          <w:rFonts w:ascii="Times New Roman" w:hAnsi="Times New Roman" w:cs="Times New Roman"/>
        </w:rPr>
        <w:t xml:space="preserve"> w </w:t>
      </w:r>
      <w:r w:rsidR="00CD72AC">
        <w:rPr>
          <w:rFonts w:ascii="Times New Roman" w:hAnsi="Times New Roman" w:cs="Times New Roman"/>
        </w:rPr>
        <w:t xml:space="preserve">praktyce, gdyż mogłoby spowodować zaprzestanie świadczenia usług. </w:t>
      </w:r>
    </w:p>
    <w:p w14:paraId="5161A4A8" w14:textId="7E008883"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Natomiast przedsiębiorcy </w:t>
      </w:r>
      <w:r w:rsidR="00201907">
        <w:rPr>
          <w:rFonts w:ascii="Times New Roman" w:hAnsi="Times New Roman" w:cs="Times New Roman"/>
        </w:rPr>
        <w:t>komunikacji elektronicznej</w:t>
      </w:r>
      <w:r w:rsidRPr="0024375B">
        <w:rPr>
          <w:rFonts w:ascii="Times New Roman" w:hAnsi="Times New Roman" w:cs="Times New Roman"/>
        </w:rPr>
        <w:t>, posiadający lub korzystający</w:t>
      </w:r>
      <w:r w:rsidR="002161FE">
        <w:rPr>
          <w:rFonts w:ascii="Times New Roman" w:hAnsi="Times New Roman" w:cs="Times New Roman"/>
        </w:rPr>
        <w:t xml:space="preserve"> z </w:t>
      </w:r>
      <w:r w:rsidRPr="0024375B">
        <w:rPr>
          <w:rFonts w:ascii="Times New Roman" w:hAnsi="Times New Roman" w:cs="Times New Roman"/>
        </w:rPr>
        <w:t>typów produktów ICT, rodzajów usług ICT, konkretnych procesy ICT wskazanych</w:t>
      </w:r>
      <w:r w:rsidR="00EA1900">
        <w:rPr>
          <w:rFonts w:ascii="Times New Roman" w:hAnsi="Times New Roman" w:cs="Times New Roman"/>
        </w:rPr>
        <w:t xml:space="preserve"> w </w:t>
      </w:r>
      <w:r w:rsidRPr="0024375B">
        <w:rPr>
          <w:rFonts w:ascii="Times New Roman" w:hAnsi="Times New Roman" w:cs="Times New Roman"/>
        </w:rPr>
        <w:t>decyzji</w:t>
      </w:r>
      <w:r w:rsidR="002161FE">
        <w:rPr>
          <w:rFonts w:ascii="Times New Roman" w:hAnsi="Times New Roman" w:cs="Times New Roman"/>
        </w:rPr>
        <w:t xml:space="preserve"> i </w:t>
      </w:r>
      <w:r w:rsidRPr="0024375B">
        <w:rPr>
          <w:rFonts w:ascii="Times New Roman" w:hAnsi="Times New Roman" w:cs="Times New Roman"/>
        </w:rPr>
        <w:t>określone</w:t>
      </w:r>
      <w:r w:rsidR="00EA1900">
        <w:rPr>
          <w:rFonts w:ascii="Times New Roman" w:hAnsi="Times New Roman" w:cs="Times New Roman"/>
        </w:rPr>
        <w:t xml:space="preserve"> w </w:t>
      </w:r>
      <w:r w:rsidRPr="0024375B">
        <w:rPr>
          <w:rFonts w:ascii="Times New Roman" w:hAnsi="Times New Roman" w:cs="Times New Roman"/>
        </w:rPr>
        <w:t>wykazie kategorii funkcji krytycznych dla bezpieczeństwa sieci</w:t>
      </w:r>
      <w:r w:rsidR="002161FE">
        <w:rPr>
          <w:rFonts w:ascii="Times New Roman" w:hAnsi="Times New Roman" w:cs="Times New Roman"/>
        </w:rPr>
        <w:t xml:space="preserve"> i </w:t>
      </w:r>
      <w:r w:rsidRPr="0024375B">
        <w:rPr>
          <w:rFonts w:ascii="Times New Roman" w:hAnsi="Times New Roman" w:cs="Times New Roman"/>
        </w:rPr>
        <w:t>usług</w:t>
      </w:r>
      <w:r w:rsidR="00EA1900">
        <w:rPr>
          <w:rFonts w:ascii="Times New Roman" w:hAnsi="Times New Roman" w:cs="Times New Roman"/>
        </w:rPr>
        <w:t xml:space="preserve"> w </w:t>
      </w:r>
      <w:r w:rsidRPr="0024375B">
        <w:rPr>
          <w:rFonts w:ascii="Times New Roman" w:hAnsi="Times New Roman" w:cs="Times New Roman"/>
        </w:rPr>
        <w:t>załączniku nr 3 do ustawy będą musieli wycofać je</w:t>
      </w:r>
      <w:r w:rsidR="00EA1900">
        <w:rPr>
          <w:rFonts w:ascii="Times New Roman" w:hAnsi="Times New Roman" w:cs="Times New Roman"/>
        </w:rPr>
        <w:t xml:space="preserve"> w </w:t>
      </w:r>
      <w:r w:rsidRPr="0024375B">
        <w:rPr>
          <w:rFonts w:ascii="Times New Roman" w:hAnsi="Times New Roman" w:cs="Times New Roman"/>
        </w:rPr>
        <w:t xml:space="preserve">ciągu 5 lat od ogłoszenia decyzji. Takie skrócenie okresu na wycofanie jest spowodowane szczególnym znaczeniem dla bezpieczeństwa </w:t>
      </w:r>
      <w:r w:rsidR="000D51BD">
        <w:rPr>
          <w:rFonts w:ascii="Times New Roman" w:hAnsi="Times New Roman" w:cs="Times New Roman"/>
        </w:rPr>
        <w:t>p</w:t>
      </w:r>
      <w:r w:rsidRPr="0024375B">
        <w:rPr>
          <w:rFonts w:ascii="Times New Roman" w:hAnsi="Times New Roman" w:cs="Times New Roman"/>
        </w:rPr>
        <w:t>aństwa usług telekomunikacyjnych, szczególnie sprzętu lub oprogramowania wykorzystywanych do realizowania funkcji krytycznych dla bezpieczeństwa sieci</w:t>
      </w:r>
      <w:r w:rsidR="002161FE">
        <w:rPr>
          <w:rFonts w:ascii="Times New Roman" w:hAnsi="Times New Roman" w:cs="Times New Roman"/>
        </w:rPr>
        <w:t xml:space="preserve"> i </w:t>
      </w:r>
      <w:r w:rsidRPr="0024375B">
        <w:rPr>
          <w:rFonts w:ascii="Times New Roman" w:hAnsi="Times New Roman" w:cs="Times New Roman"/>
        </w:rPr>
        <w:t>usług określonych</w:t>
      </w:r>
      <w:r w:rsidR="00EA1900">
        <w:rPr>
          <w:rFonts w:ascii="Times New Roman" w:hAnsi="Times New Roman" w:cs="Times New Roman"/>
        </w:rPr>
        <w:t xml:space="preserve"> w </w:t>
      </w:r>
      <w:r w:rsidRPr="0024375B">
        <w:rPr>
          <w:rFonts w:ascii="Times New Roman" w:hAnsi="Times New Roman" w:cs="Times New Roman"/>
        </w:rPr>
        <w:t>załączniku nr 3.</w:t>
      </w:r>
    </w:p>
    <w:p w14:paraId="29F6A510" w14:textId="4188C05C" w:rsidR="00F526E0" w:rsidRDefault="00F526E0"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Jednocześnie wprowadzono przepis umożliwiający użytkowanie dotychczas posiadanych typów produktów ICT, rodzajów usług ICT</w:t>
      </w:r>
      <w:r w:rsidR="002161FE">
        <w:rPr>
          <w:rFonts w:ascii="Times New Roman" w:hAnsi="Times New Roman" w:cs="Times New Roman"/>
        </w:rPr>
        <w:t xml:space="preserve"> i </w:t>
      </w:r>
      <w:r w:rsidRPr="0024375B">
        <w:rPr>
          <w:rFonts w:ascii="Times New Roman" w:hAnsi="Times New Roman" w:cs="Times New Roman"/>
        </w:rPr>
        <w:t>konkretnych procesów ICT</w:t>
      </w:r>
      <w:r w:rsidR="00EA1900">
        <w:rPr>
          <w:rFonts w:ascii="Times New Roman" w:hAnsi="Times New Roman" w:cs="Times New Roman"/>
        </w:rPr>
        <w:t xml:space="preserve"> w </w:t>
      </w:r>
      <w:r w:rsidRPr="0024375B">
        <w:rPr>
          <w:rFonts w:ascii="Times New Roman" w:hAnsi="Times New Roman" w:cs="Times New Roman"/>
        </w:rPr>
        <w:t>zakresie objętym decyzją</w:t>
      </w:r>
      <w:r w:rsidR="00EA1900">
        <w:rPr>
          <w:rFonts w:ascii="Times New Roman" w:hAnsi="Times New Roman" w:cs="Times New Roman"/>
        </w:rPr>
        <w:t xml:space="preserve"> w </w:t>
      </w:r>
      <w:r w:rsidRPr="0024375B">
        <w:rPr>
          <w:rFonts w:ascii="Times New Roman" w:hAnsi="Times New Roman" w:cs="Times New Roman"/>
        </w:rPr>
        <w:t>sprawie uznania za dostawcę wysokiego ryzyka, dostarczanych przez dostawcę wysokiego ryzyka,</w:t>
      </w:r>
      <w:r w:rsidR="00EA1900">
        <w:rPr>
          <w:rFonts w:ascii="Times New Roman" w:hAnsi="Times New Roman" w:cs="Times New Roman"/>
        </w:rPr>
        <w:t xml:space="preserve"> w </w:t>
      </w:r>
      <w:r w:rsidRPr="0024375B">
        <w:rPr>
          <w:rFonts w:ascii="Times New Roman" w:hAnsi="Times New Roman" w:cs="Times New Roman"/>
        </w:rPr>
        <w:t>zakresie naprawy, modernizacji, wymiany elementu lub aktualizacji. Będzie to możliwe wyłącznie</w:t>
      </w:r>
      <w:r w:rsidR="000D51BD">
        <w:rPr>
          <w:rFonts w:ascii="Times New Roman" w:hAnsi="Times New Roman" w:cs="Times New Roman"/>
        </w:rPr>
        <w:t>,</w:t>
      </w:r>
      <w:r w:rsidRPr="0024375B">
        <w:rPr>
          <w:rFonts w:ascii="Times New Roman" w:hAnsi="Times New Roman" w:cs="Times New Roman"/>
        </w:rPr>
        <w:t xml:space="preserve"> jeśli jest to niezbędne dla zapewnienia odpowiedniej jakości</w:t>
      </w:r>
      <w:r w:rsidR="002161FE">
        <w:rPr>
          <w:rFonts w:ascii="Times New Roman" w:hAnsi="Times New Roman" w:cs="Times New Roman"/>
        </w:rPr>
        <w:t xml:space="preserve"> i </w:t>
      </w:r>
      <w:r w:rsidRPr="0024375B">
        <w:rPr>
          <w:rFonts w:ascii="Times New Roman" w:hAnsi="Times New Roman" w:cs="Times New Roman"/>
        </w:rPr>
        <w:t>ciągłości świadczonych usług,</w:t>
      </w:r>
      <w:r w:rsidR="00EA1900">
        <w:rPr>
          <w:rFonts w:ascii="Times New Roman" w:hAnsi="Times New Roman" w:cs="Times New Roman"/>
        </w:rPr>
        <w:t xml:space="preserve"> w </w:t>
      </w:r>
      <w:r w:rsidRPr="0024375B">
        <w:rPr>
          <w:rFonts w:ascii="Times New Roman" w:hAnsi="Times New Roman" w:cs="Times New Roman"/>
        </w:rPr>
        <w:t xml:space="preserve">szczególności dokonywania niezbędnych napraw awarii lub uszkodzeń. </w:t>
      </w:r>
      <w:r w:rsidR="00D13EEA" w:rsidRPr="0024375B">
        <w:rPr>
          <w:rFonts w:ascii="Times New Roman" w:hAnsi="Times New Roman" w:cs="Times New Roman"/>
        </w:rPr>
        <w:t>Te same przepisy zostały zastosowane do podmiotów publicznych, które już zakupiły określony sprzęt</w:t>
      </w:r>
      <w:r w:rsidR="00EA1900">
        <w:rPr>
          <w:rFonts w:ascii="Times New Roman" w:hAnsi="Times New Roman" w:cs="Times New Roman"/>
        </w:rPr>
        <w:t xml:space="preserve"> w </w:t>
      </w:r>
      <w:r w:rsidR="00D13EEA" w:rsidRPr="0024375B">
        <w:rPr>
          <w:rFonts w:ascii="Times New Roman" w:hAnsi="Times New Roman" w:cs="Times New Roman"/>
        </w:rPr>
        <w:t>drodze zamówienia publicznego. Jest to niezbędne rozwiązanie zarówno dla zapewnienia ciągłości świadczenia usług jak również ochrony dyscypliny finansów publicznych.</w:t>
      </w:r>
    </w:p>
    <w:p w14:paraId="76271D18" w14:textId="77777777" w:rsidR="00822446" w:rsidRPr="00A4787E" w:rsidRDefault="00822446" w:rsidP="001C5AF2">
      <w:pPr>
        <w:pStyle w:val="ARTartustawynprozporzdzenia"/>
      </w:pPr>
      <w:r>
        <w:t>Wyżej zaproponowana interwencja prawodawcy jest konieczna ze względu na istotność dla bezpieczeństwa pań</w:t>
      </w:r>
      <w:r w:rsidR="0062648F">
        <w:t>stwa</w:t>
      </w:r>
      <w:r>
        <w:t xml:space="preserve"> usług świadczonych przez podmioty obowiązane do wycofania sprzętu lub oprogramowania. Podmioty te mogą być związane wieloletnimi umowami z dostawcą wysokiego ryzyka na dostarczanie sprzętu lub oprogramowania czy świadczenie usług serwisowych. Bez prawnego obowiązku </w:t>
      </w:r>
      <w:r>
        <w:lastRenderedPageBreak/>
        <w:t xml:space="preserve">stopniowego wycofania sprzętu lub oprogramowania pochodzącego od dostawcy wysokiego ryzyka podmioty te nie wycofają sprzętu lub oprogramowanie </w:t>
      </w:r>
      <w:r w:rsidR="002210FA">
        <w:t xml:space="preserve">m. in. </w:t>
      </w:r>
      <w:r>
        <w:t>z uwagi na ryzyko odpowiedzialności kontraktowej wobec dostawcy. W konsekwencji ryzyko związane ze sprzętem lub oprogramowaniem pochodzącym od dostawcy wysokiego ryzyka nie zostanie skutecznie zmitygowane.</w:t>
      </w:r>
    </w:p>
    <w:p w14:paraId="55940A18" w14:textId="77777777" w:rsidR="00F526E0" w:rsidRDefault="40F1142A"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Podkreślić należy, że jest to wyjątek od podstawowej reguły zakazu wprowadzania do użytkowania</w:t>
      </w:r>
      <w:r w:rsidR="002161FE">
        <w:rPr>
          <w:rFonts w:ascii="Times New Roman" w:hAnsi="Times New Roman" w:cs="Times New Roman"/>
        </w:rPr>
        <w:t xml:space="preserve"> i </w:t>
      </w:r>
      <w:r w:rsidRPr="0024375B">
        <w:rPr>
          <w:rFonts w:ascii="Times New Roman" w:hAnsi="Times New Roman" w:cs="Times New Roman"/>
        </w:rPr>
        <w:t>obowiązku wycofania ww. sprzętu lub oprogramowania</w:t>
      </w:r>
      <w:r w:rsidR="00EA1900">
        <w:rPr>
          <w:rFonts w:ascii="Times New Roman" w:hAnsi="Times New Roman" w:cs="Times New Roman"/>
        </w:rPr>
        <w:t xml:space="preserve"> w </w:t>
      </w:r>
      <w:r w:rsidRPr="0024375B">
        <w:rPr>
          <w:rFonts w:ascii="Times New Roman" w:hAnsi="Times New Roman" w:cs="Times New Roman"/>
        </w:rPr>
        <w:t xml:space="preserve">ciągu 5-7 lat. Wyjątek ten nie może być interpretowany rozszerzająco. </w:t>
      </w:r>
    </w:p>
    <w:p w14:paraId="2B54159C" w14:textId="77777777" w:rsidR="00622038" w:rsidRPr="001C5AF2" w:rsidRDefault="00622038" w:rsidP="001C5AF2">
      <w:pPr>
        <w:pStyle w:val="ARTartustawynprozporzdzenia"/>
      </w:pPr>
      <w:r>
        <w:t xml:space="preserve">Wyjaśnienia wymaga termin </w:t>
      </w:r>
      <w:r>
        <w:rPr>
          <w:i/>
        </w:rPr>
        <w:t>użytkowania</w:t>
      </w:r>
      <w:r>
        <w:t xml:space="preserve"> użyty</w:t>
      </w:r>
      <w:r w:rsidR="00EA1900">
        <w:t xml:space="preserve"> w </w:t>
      </w:r>
      <w:r>
        <w:t>tym przepisie. Nie należy go utożsamiać</w:t>
      </w:r>
      <w:r w:rsidR="002161FE">
        <w:t xml:space="preserve"> z </w:t>
      </w:r>
      <w:r>
        <w:t>użytkowaniem</w:t>
      </w:r>
      <w:r w:rsidR="002161FE">
        <w:t xml:space="preserve"> z </w:t>
      </w:r>
      <w:r>
        <w:t>Kodeksu cywilnego, które jest ograniczonym prawem rzeczowym.</w:t>
      </w:r>
      <w:r w:rsidR="003C4FEE">
        <w:t xml:space="preserve"> Użytkowanie</w:t>
      </w:r>
      <w:r w:rsidR="00EA1900">
        <w:t xml:space="preserve"> w </w:t>
      </w:r>
      <w:r>
        <w:t>rozumieniu</w:t>
      </w:r>
      <w:r w:rsidR="00EA1900">
        <w:t xml:space="preserve"> art. </w:t>
      </w:r>
      <w:r>
        <w:t xml:space="preserve">66b oznacza </w:t>
      </w:r>
      <w:r w:rsidR="006B2942">
        <w:t xml:space="preserve">każdy przypadek </w:t>
      </w:r>
      <w:r>
        <w:t>używani</w:t>
      </w:r>
      <w:r w:rsidR="006B2942">
        <w:t>a</w:t>
      </w:r>
      <w:r>
        <w:t xml:space="preserve"> czy korzystani</w:t>
      </w:r>
      <w:r w:rsidR="00B940BC">
        <w:t>a</w:t>
      </w:r>
      <w:r w:rsidR="002161FE">
        <w:t xml:space="preserve"> z </w:t>
      </w:r>
      <w:r>
        <w:t xml:space="preserve">produktu, usługi, procesu ICT do świadczenia usług przez dany podmiot. </w:t>
      </w:r>
    </w:p>
    <w:p w14:paraId="53CDC1CF" w14:textId="77777777" w:rsidR="008548DA" w:rsidRDefault="008548DA"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Należy podkreślić, że</w:t>
      </w:r>
      <w:r w:rsidR="00EA1900">
        <w:rPr>
          <w:rFonts w:ascii="Times New Roman" w:hAnsi="Times New Roman" w:cs="Times New Roman"/>
        </w:rPr>
        <w:t xml:space="preserve"> w </w:t>
      </w:r>
      <w:r w:rsidRPr="0024375B">
        <w:rPr>
          <w:rFonts w:ascii="Times New Roman" w:hAnsi="Times New Roman" w:cs="Times New Roman"/>
        </w:rPr>
        <w:t>zaproponowanych przepisach prawa nie ma mechanizmu nakazującego natychmiastowe wycofanie sprzętu lub oprogramowania wskazanego</w:t>
      </w:r>
      <w:r w:rsidR="00EA1900">
        <w:rPr>
          <w:rFonts w:ascii="Times New Roman" w:hAnsi="Times New Roman" w:cs="Times New Roman"/>
        </w:rPr>
        <w:t xml:space="preserve"> w </w:t>
      </w:r>
      <w:r w:rsidRPr="0024375B">
        <w:rPr>
          <w:rFonts w:ascii="Times New Roman" w:hAnsi="Times New Roman" w:cs="Times New Roman"/>
        </w:rPr>
        <w:t>ocenie ryzyka dostawców. Podmioty krajowego systemu cyberbezpieczeństwa,</w:t>
      </w:r>
      <w:r w:rsidR="00EA1900">
        <w:rPr>
          <w:rFonts w:ascii="Times New Roman" w:hAnsi="Times New Roman" w:cs="Times New Roman"/>
        </w:rPr>
        <w:t xml:space="preserve"> w </w:t>
      </w:r>
      <w:r w:rsidRPr="0024375B">
        <w:rPr>
          <w:rFonts w:ascii="Times New Roman" w:hAnsi="Times New Roman" w:cs="Times New Roman"/>
        </w:rPr>
        <w:t>tym operatorzy usług kluczowych, czy przedsiębiorcy telekomunikacyjni, zostaną zobowiązani do wycofania danego sprzętu lub oprogramowania</w:t>
      </w:r>
      <w:r w:rsidR="00EA1900">
        <w:rPr>
          <w:rFonts w:ascii="Times New Roman" w:hAnsi="Times New Roman" w:cs="Times New Roman"/>
        </w:rPr>
        <w:t xml:space="preserve"> w </w:t>
      </w:r>
      <w:r w:rsidRPr="0024375B">
        <w:rPr>
          <w:rFonts w:ascii="Times New Roman" w:hAnsi="Times New Roman" w:cs="Times New Roman"/>
        </w:rPr>
        <w:t>określonym czasie.</w:t>
      </w:r>
      <w:r w:rsidR="00116933">
        <w:rPr>
          <w:rFonts w:ascii="Times New Roman" w:hAnsi="Times New Roman" w:cs="Times New Roman"/>
        </w:rPr>
        <w:t xml:space="preserve"> W </w:t>
      </w:r>
      <w:r w:rsidRPr="0024375B">
        <w:rPr>
          <w:rFonts w:ascii="Times New Roman" w:hAnsi="Times New Roman" w:cs="Times New Roman"/>
        </w:rPr>
        <w:t>proponowanych przepisach jest mowa</w:t>
      </w:r>
      <w:r w:rsidR="0077165A">
        <w:rPr>
          <w:rFonts w:ascii="Times New Roman" w:hAnsi="Times New Roman" w:cs="Times New Roman"/>
        </w:rPr>
        <w:t xml:space="preserve"> o </w:t>
      </w:r>
      <w:r w:rsidRPr="0024375B">
        <w:rPr>
          <w:rFonts w:ascii="Times New Roman" w:hAnsi="Times New Roman" w:cs="Times New Roman"/>
        </w:rPr>
        <w:t xml:space="preserve">5-7 latach – termin ten jest często uznawany za średni okres użytkowania sprzętu lub oprogramowania, czyli tzw. cykl życia urządzenia. </w:t>
      </w:r>
    </w:p>
    <w:p w14:paraId="17910EA0" w14:textId="77777777" w:rsidR="00822446" w:rsidRDefault="00B34539">
      <w:pPr>
        <w:pStyle w:val="ARTartustawynprozporzdzenia"/>
      </w:pPr>
      <w:r>
        <w:t>Proponowane rozwiązania mają wpływ na swobodę działalności gospodarczej podmiotów zobowiązanych do wycofania sprzętu</w:t>
      </w:r>
      <w:r w:rsidR="0034006F">
        <w:t xml:space="preserve"> – wpływają bowiem na wolność podejmowania decyzji</w:t>
      </w:r>
      <w:r w:rsidR="00264266">
        <w:t xml:space="preserve"> gospodarczych</w:t>
      </w:r>
      <w:r>
        <w:t xml:space="preserve">. Mają także wpływ na wykonywanie niektórych atrybutów prawa własności tj. prawa do używania produktów. Wskazać należy, że </w:t>
      </w:r>
      <w:r w:rsidR="00810BF7">
        <w:t>przepisy te mają</w:t>
      </w:r>
      <w:r>
        <w:t xml:space="preserve"> na celu mitygację ryzyk związanych ze sprzętem lub oprogramowaniem pochodzącym od dostawcy wysokiego ryzyka. Tak jak wyżej wspomniano korzystanie</w:t>
      </w:r>
      <w:r w:rsidR="002161FE">
        <w:t xml:space="preserve"> z </w:t>
      </w:r>
      <w:r>
        <w:t>takiego sprzętu mogłoby doprowadzić do poważnych ryzyk naruszenia poufności danych oraz naruszenia dostępności usługi. Co za tym idzie doprowadziłoby to do poważnego utrudnienia funkcjonowania obywateli - współczesnego społeczeństwa informacyjnego -</w:t>
      </w:r>
      <w:r w:rsidR="002161FE">
        <w:t xml:space="preserve"> a </w:t>
      </w:r>
      <w:r>
        <w:t>także do ryzyka przejęcia kontroli nad infrastrukturą krytyczną państwa. Wycofanie sprzętu lub oprogramowania pochodzących od dostawcy wysokiego ryzyka jest zatem konieczne do zapewnienia funkcjonowania demokratycznego państwa prawnego.</w:t>
      </w:r>
    </w:p>
    <w:p w14:paraId="32EABD3C" w14:textId="36486DD4" w:rsidR="00B34539" w:rsidRDefault="00B34539" w:rsidP="00B34539">
      <w:pPr>
        <w:pStyle w:val="ARTartustawynprozporzdzenia"/>
      </w:pPr>
      <w:r>
        <w:t xml:space="preserve">Proponowane </w:t>
      </w:r>
      <w:r w:rsidR="00810BF7">
        <w:t>rozwiązania</w:t>
      </w:r>
      <w:r>
        <w:t xml:space="preserve"> nie naruszają istoty swobody prowadzenia działalności gospodarczej. Ogranicza się wykorzystywanie przez przedsiębiorców konkretnego sprzętu lub oprogramowania </w:t>
      </w:r>
      <w:r w:rsidR="009D3F38">
        <w:t xml:space="preserve">do świadczenia usług </w:t>
      </w:r>
      <w:r>
        <w:t>-</w:t>
      </w:r>
      <w:r w:rsidR="00EA1900">
        <w:t xml:space="preserve"> w </w:t>
      </w:r>
      <w:r>
        <w:t xml:space="preserve">pozostałym zakresie przedsiębiorcy będą mogli swobodnie podejmować decyzje biznesowe. </w:t>
      </w:r>
      <w:r w:rsidR="00810BF7">
        <w:t>Przepisy</w:t>
      </w:r>
      <w:r>
        <w:t xml:space="preserve"> te nie naruszają również istoty prawa własności. Tak jak wyżej wspomniano nie ma mechanizmu natychmiastowego wycofania sprzętu lub oprogramowania - przez czas wycofywania</w:t>
      </w:r>
      <w:r w:rsidR="002161FE">
        <w:t xml:space="preserve"> z </w:t>
      </w:r>
      <w:r>
        <w:t>użytkowania podmioty te będą mogły</w:t>
      </w:r>
      <w:r w:rsidR="00EA1900">
        <w:t xml:space="preserve"> w </w:t>
      </w:r>
      <w:r>
        <w:t>pełni wykonywać prawo własności. Ponadto</w:t>
      </w:r>
      <w:r w:rsidR="00EA1900">
        <w:t xml:space="preserve"> w </w:t>
      </w:r>
      <w:r>
        <w:t xml:space="preserve">czasie wycofywania będzie można wprowadzić dotychczas posiadany sprzęt lub oprogramowanie pochodzący od dostawcy </w:t>
      </w:r>
      <w:r>
        <w:lastRenderedPageBreak/>
        <w:t>wysokiego ryzyka, aby dokonać niezbędnych napraw usterek czy awarii</w:t>
      </w:r>
      <w:r w:rsidR="000D51BD">
        <w:t>,</w:t>
      </w:r>
      <w:r>
        <w:t xml:space="preserve"> aby zapewnić ciągłość świadczenia usługi </w:t>
      </w:r>
      <w:r w:rsidR="0089492D">
        <w:t>–</w:t>
      </w:r>
      <w:r>
        <w:t xml:space="preserve"> pokazuje</w:t>
      </w:r>
      <w:r w:rsidR="0089492D">
        <w:t xml:space="preserve"> to</w:t>
      </w:r>
      <w:r>
        <w:t>, że istota prawa własności nie została naruszona.</w:t>
      </w:r>
      <w:r w:rsidR="00264266">
        <w:t xml:space="preserve"> Co ważne sprzęt lub oprogramowanie pochodzący od dostawcy wysokiego ryzyka i tak podlegałby stopniowej wymianie ze względu na zużycie czy postęp technologiczny. Proponowane rozwiązanie wpisuje się więc w mechanizm stopniowej wymiany sprzętu</w:t>
      </w:r>
      <w:r w:rsidR="0089492D">
        <w:t>.</w:t>
      </w:r>
    </w:p>
    <w:p w14:paraId="726A679B" w14:textId="77777777" w:rsidR="0089492D" w:rsidRDefault="00B34539" w:rsidP="00D62B05">
      <w:pPr>
        <w:pStyle w:val="ARTartustawynprozporzdzenia"/>
      </w:pPr>
      <w:r>
        <w:t>Proponowane rozwiązanie wpłynie na swobodę prowadzenia działalności gospodarczej przez dostawcę wysokiego ryzyka. Należy jednak podkreślić, że będzie to związane</w:t>
      </w:r>
      <w:r w:rsidR="002161FE">
        <w:t xml:space="preserve"> z </w:t>
      </w:r>
      <w:r w:rsidR="009D3F38">
        <w:t xml:space="preserve">poważnym </w:t>
      </w:r>
      <w:r>
        <w:t xml:space="preserve">zagrożeniem dla państwa, które stwarza ten dostawca. </w:t>
      </w:r>
      <w:r w:rsidR="009D3F38">
        <w:t>Jednakże i</w:t>
      </w:r>
      <w:r>
        <w:t>stota prowadzenia działalności gospodarczej przez dostawcę wysokiego ryzyka nie zostanie naruszona. Taki dostawca nadal będzie mógł prowadzić działalność gospodarczą</w:t>
      </w:r>
      <w:r w:rsidR="003449F3">
        <w:t>.</w:t>
      </w:r>
    </w:p>
    <w:p w14:paraId="7715AA14" w14:textId="77777777" w:rsidR="00D62B05" w:rsidRDefault="007D419D" w:rsidP="00D62B05">
      <w:pPr>
        <w:pStyle w:val="ARTartustawynprozporzdzenia"/>
      </w:pPr>
      <w:r>
        <w:t>Podkreślić należy, że</w:t>
      </w:r>
      <w:r w:rsidR="00D62B05">
        <w:t xml:space="preserve"> </w:t>
      </w:r>
      <w:r>
        <w:t>w</w:t>
      </w:r>
      <w:r w:rsidR="00D62B05">
        <w:t xml:space="preserve">artością konstytucyjną, która </w:t>
      </w:r>
      <w:r w:rsidR="0062648F">
        <w:t xml:space="preserve">w tej sytuacji </w:t>
      </w:r>
      <w:r w:rsidR="00D62B05">
        <w:t>powinna być bardziej chroniona od swobody prowadzenia działalności gospodarczej czy prawa własności jest bezpieczeństwo państwa</w:t>
      </w:r>
      <w:r w:rsidR="0034006F">
        <w:t xml:space="preserve">. </w:t>
      </w:r>
      <w:r w:rsidR="00D62B05">
        <w:t>Państwo powinno odpowiednio zaadresować problem dostawcy wysokiego ryzyka, który może, dzięki podatnościom w sprzęcie lub oprogramowaniu które dostarczył, doprowadzić do ataku na infrastrukturę krytyczną państwa</w:t>
      </w:r>
      <w:r w:rsidR="001B0DCA">
        <w:t xml:space="preserve"> (</w:t>
      </w:r>
      <w:r w:rsidR="0089492D">
        <w:t xml:space="preserve">np. </w:t>
      </w:r>
      <w:r w:rsidR="001B0DCA">
        <w:t>inteligentne sieci energetyczne</w:t>
      </w:r>
      <w:r w:rsidR="002034F2">
        <w:t>, sieci telekomunikacyjne</w:t>
      </w:r>
      <w:r w:rsidR="001B0DCA">
        <w:t>)</w:t>
      </w:r>
      <w:r w:rsidR="00581F28">
        <w:t xml:space="preserve">, </w:t>
      </w:r>
      <w:r w:rsidR="00D62B05">
        <w:t xml:space="preserve">zakłócać funkcjonowanie organów państwa (np. poprzez ataki </w:t>
      </w:r>
      <w:r w:rsidR="00D62B05" w:rsidRPr="001C5AF2">
        <w:rPr>
          <w:i/>
        </w:rPr>
        <w:t>man in the middle</w:t>
      </w:r>
      <w:r w:rsidR="00581F28">
        <w:t xml:space="preserve">, </w:t>
      </w:r>
      <w:r w:rsidR="00D62B05">
        <w:t xml:space="preserve">kradzież danych) czy </w:t>
      </w:r>
      <w:r w:rsidR="0089492D">
        <w:t xml:space="preserve">zakłócić działanie kluczowych dla społeczeństwa usług </w:t>
      </w:r>
      <w:r w:rsidR="00D62B05">
        <w:t xml:space="preserve">(np. poprzez atak na systemy i urządzenia szpitalne, bez których znacznie utrudnione jest wykonywanie operacji ratujących życie). </w:t>
      </w:r>
      <w:r>
        <w:t xml:space="preserve">Może to się odbyć poprzez celowo zaprojektowane ukryte podatności lub również ukryte podatności powstałe w wyniku aktualizacji oprogramowania dostarczonego przez dostawcę wysokiego ryzyka. </w:t>
      </w:r>
      <w:r w:rsidR="00D62B05">
        <w:t xml:space="preserve">Wykorzystanie podatności w infrastrukturze telekomunikacyjnej, której elementy dostarczył taki dostawca, mogłoby utrudnić lub uniemożliwić funkcjonowanie usług komunikacji elektronicznej na danym obszarze. </w:t>
      </w:r>
    </w:p>
    <w:p w14:paraId="152ABC60" w14:textId="77777777" w:rsidR="0089492D" w:rsidRDefault="00D62B05" w:rsidP="00D62B05">
      <w:pPr>
        <w:pStyle w:val="ARTartustawynprozporzdzenia"/>
      </w:pPr>
      <w:r>
        <w:t>Demokratyczne państwo prawne nie może być bezbronne i musi zawczasu identyfikować poważne zagrożenia dla jego funkcjonowania oraz</w:t>
      </w:r>
      <w:r w:rsidR="00822446">
        <w:t xml:space="preserve"> skutecznie je</w:t>
      </w:r>
      <w:r>
        <w:t xml:space="preserve"> mitygować. Ryzyka stwarzanego przez dostawcę wysokiego ryzyka (który działa pod wpływem obcych służb wywiadowczych lub grup przestępczych) oraz jego sprzęt lub oprogramowanie nie da się inaczej zmitygować, jak tylko poprzez stopniowe wycofanie takiego sprzętu. Podmioty korzystające z tych produktów, usług, procesów nie będą w stanie zidentyfikować ukrytych podatności, poprzez które dostawca wysokiego ryzyka będzie mógł</w:t>
      </w:r>
      <w:r w:rsidR="000A065D" w:rsidRPr="000A065D">
        <w:t xml:space="preserve"> </w:t>
      </w:r>
      <w:r w:rsidR="000A065D">
        <w:t>dokonywać ataków</w:t>
      </w:r>
      <w:r>
        <w:t>. W związku z tym nie jest możliwe zmitygowanie ryzyka stwarzanego przez dostawcę wysokiego ryzyka poprzez wprowadzenie dodatkowych środków bezpieczeństwa</w:t>
      </w:r>
      <w:r w:rsidR="0062648F">
        <w:t>, innych niż wycofanie</w:t>
      </w:r>
      <w:r w:rsidR="003449F3">
        <w:t xml:space="preserve"> sprzętu lub oprogramowania</w:t>
      </w:r>
      <w:r>
        <w:t>, ponieważ będą one nieskuteczne wobec ukrytych podatności pozwalających np. nagle wyłączyć sprzęt czy zakłócić telekomunikację między podmiotami.</w:t>
      </w:r>
      <w:r w:rsidR="00CE3487">
        <w:t xml:space="preserve"> </w:t>
      </w:r>
    </w:p>
    <w:p w14:paraId="23897323" w14:textId="77777777" w:rsidR="00A97C35" w:rsidRDefault="00A97C35" w:rsidP="00B34539">
      <w:pPr>
        <w:pStyle w:val="ARTartustawynprozporzdzenia"/>
      </w:pPr>
      <w:r w:rsidRPr="001C5AF2">
        <w:t xml:space="preserve">Zmitygowanie ryzyka sprzętu lub oprogramowania pochodzącego od dostawcy wysokiego ryzyka nie jest także możliwe poprzez obowiązkową certyfikację sprzętu lub oprogramowania. Standardy certyfikacyjne </w:t>
      </w:r>
      <w:r w:rsidRPr="001C5AF2">
        <w:lastRenderedPageBreak/>
        <w:t>nie zawsze będą w stanie pomóc przy wykryciu ukrytych podatności, zwłaszcza jeśli sam producent chce je ukryć. Ponadto standardy te są znane samemu producentowi, który może to wykorzystać. </w:t>
      </w:r>
      <w:r w:rsidRPr="00CE3487" w:rsidDel="00A97C35">
        <w:t xml:space="preserve"> </w:t>
      </w:r>
    </w:p>
    <w:p w14:paraId="6B12CB65" w14:textId="77777777" w:rsidR="00B34539" w:rsidRDefault="000A065D" w:rsidP="00B34539">
      <w:pPr>
        <w:pStyle w:val="ARTartustawynprozporzdzenia"/>
      </w:pPr>
      <w:r>
        <w:t>W</w:t>
      </w:r>
      <w:r w:rsidR="00B34539">
        <w:t>arto</w:t>
      </w:r>
      <w:r w:rsidR="00531ED0">
        <w:t xml:space="preserve"> raz jeszcze</w:t>
      </w:r>
      <w:r w:rsidR="00B34539">
        <w:t xml:space="preserve"> podkreślić, że postępowanie</w:t>
      </w:r>
      <w:r w:rsidR="00EA1900">
        <w:t xml:space="preserve"> w </w:t>
      </w:r>
      <w:r w:rsidR="00B34539">
        <w:t>sprawie uznania za dostawcę wysokiego ryzyka będzie postępowaniem administracyjnym. Dostawca będzie mógł przedstawić swoje racje</w:t>
      </w:r>
      <w:r w:rsidR="00EA1900">
        <w:t xml:space="preserve"> w </w:t>
      </w:r>
      <w:r w:rsidR="00B34539">
        <w:t>postępowaniu zanim zostanie uznany za dostawcę wysokiego ryzyka. Decyzja będzie mogła być zaskarżona do sądu administracyjnego, co zapewnia dostawcy możliwość obrony swoich praw. Dostawca będzie mógł być uznany za dostawcę wysokiego ryzyka, jeżeli będzie spełniał szczególnego rodzaju przesłanki - będzie stwarzał poważne zagrożenie</w:t>
      </w:r>
      <w:r w:rsidR="00603DA8">
        <w:t xml:space="preserve"> dla obronności, bezpieczeństwa państwa</w:t>
      </w:r>
      <w:r w:rsidR="00B34539">
        <w:t xml:space="preserve">. </w:t>
      </w:r>
    </w:p>
    <w:p w14:paraId="4B11DF0C" w14:textId="77777777" w:rsidR="00B34539" w:rsidRPr="001C5AF2" w:rsidRDefault="00B34539" w:rsidP="001C5AF2">
      <w:pPr>
        <w:pStyle w:val="ARTartustawynprozporzdzenia"/>
      </w:pPr>
      <w:r>
        <w:t>Podsumowując - zanim dostawca zostanie uznany za dostawcę wysokiego ryzyka jego sprawa zostanie wszechstronnie wyjaśniona - nastąpi to poprzez opinię Kolegium oraz czynności przeprowadzone przez ministra właściwego do spraw informatyzacji. Dostawca będzie mógł przedstawić swoje stanowisko a</w:t>
      </w:r>
      <w:r w:rsidR="0034006F">
        <w:t> </w:t>
      </w:r>
      <w:r w:rsidR="00EA1900">
        <w:t>w </w:t>
      </w:r>
      <w:r>
        <w:t>przypadku uznania za dostawcę wysokiego ryzyka - kwestionować to przed sądem administracyjnym.</w:t>
      </w:r>
    </w:p>
    <w:p w14:paraId="07A6A4DB" w14:textId="77777777" w:rsidR="008548DA" w:rsidRPr="0024375B" w:rsidRDefault="008548DA" w:rsidP="00DC1575">
      <w:pPr>
        <w:pStyle w:val="Nagwek4"/>
      </w:pPr>
      <w:r w:rsidRPr="0024375B">
        <w:t>Nowy</w:t>
      </w:r>
      <w:r w:rsidR="00EA1900">
        <w:t xml:space="preserve"> art. </w:t>
      </w:r>
      <w:r w:rsidR="00C43185" w:rsidRPr="0024375B">
        <w:t xml:space="preserve">66c </w:t>
      </w:r>
    </w:p>
    <w:p w14:paraId="1F0F22B4" w14:textId="77777777" w:rsidR="00D90CD9" w:rsidRPr="001C5AF2" w:rsidRDefault="00F6749E" w:rsidP="001C5AF2">
      <w:pPr>
        <w:pStyle w:val="ARTartustawynprozporzdzenia"/>
      </w:pPr>
      <w:r w:rsidRPr="0024375B">
        <w:rPr>
          <w:rFonts w:ascii="Times New Roman" w:hAnsi="Times New Roman" w:cs="Times New Roman"/>
        </w:rPr>
        <w:t>Organy właściwe do spraw cyberbezpieczeństwa będą mogły zwracać się do podmiotów krajowego systemu cyberbezpieczeństwa</w:t>
      </w:r>
      <w:r w:rsidR="0077165A">
        <w:rPr>
          <w:rFonts w:ascii="Times New Roman" w:hAnsi="Times New Roman" w:cs="Times New Roman"/>
        </w:rPr>
        <w:t xml:space="preserve"> o </w:t>
      </w:r>
      <w:r w:rsidRPr="0024375B">
        <w:rPr>
          <w:rFonts w:ascii="Times New Roman" w:hAnsi="Times New Roman" w:cs="Times New Roman"/>
        </w:rPr>
        <w:t>udzielenie informacji</w:t>
      </w:r>
      <w:r w:rsidR="00EA1900">
        <w:rPr>
          <w:rFonts w:ascii="Times New Roman" w:hAnsi="Times New Roman" w:cs="Times New Roman"/>
        </w:rPr>
        <w:t xml:space="preserve"> w </w:t>
      </w:r>
      <w:r w:rsidRPr="0024375B">
        <w:rPr>
          <w:rFonts w:ascii="Times New Roman" w:hAnsi="Times New Roman" w:cs="Times New Roman"/>
        </w:rPr>
        <w:t>s</w:t>
      </w:r>
      <w:r w:rsidR="005B0930" w:rsidRPr="0024375B">
        <w:rPr>
          <w:rFonts w:ascii="Times New Roman" w:hAnsi="Times New Roman" w:cs="Times New Roman"/>
        </w:rPr>
        <w:t>prawie</w:t>
      </w:r>
      <w:r w:rsidRPr="0024375B">
        <w:rPr>
          <w:rFonts w:ascii="Times New Roman" w:hAnsi="Times New Roman" w:cs="Times New Roman"/>
        </w:rPr>
        <w:t xml:space="preserve"> wycofywanych produktów ICT, usług ICT</w:t>
      </w:r>
      <w:r w:rsidR="002161FE">
        <w:rPr>
          <w:rFonts w:ascii="Times New Roman" w:hAnsi="Times New Roman" w:cs="Times New Roman"/>
        </w:rPr>
        <w:t xml:space="preserve"> i </w:t>
      </w:r>
      <w:r w:rsidRPr="0024375B">
        <w:rPr>
          <w:rFonts w:ascii="Times New Roman" w:hAnsi="Times New Roman" w:cs="Times New Roman"/>
        </w:rPr>
        <w:t>procesów ICT. Podobne kompetencje będzie miał</w:t>
      </w:r>
      <w:r w:rsidR="00EA1900">
        <w:rPr>
          <w:rFonts w:ascii="Times New Roman" w:hAnsi="Times New Roman" w:cs="Times New Roman"/>
        </w:rPr>
        <w:t xml:space="preserve"> w </w:t>
      </w:r>
      <w:r w:rsidRPr="0024375B">
        <w:rPr>
          <w:rFonts w:ascii="Times New Roman" w:hAnsi="Times New Roman" w:cs="Times New Roman"/>
        </w:rPr>
        <w:t>stosunku do przedsiębiorców telekomunikacyjnych Prezes UKE.</w:t>
      </w:r>
      <w:r w:rsidR="00D90CD9">
        <w:rPr>
          <w:rFonts w:ascii="Times New Roman" w:hAnsi="Times New Roman" w:cs="Times New Roman"/>
        </w:rPr>
        <w:t xml:space="preserve"> Przepis wzmocni kompetencje organów</w:t>
      </w:r>
      <w:r w:rsidR="002161FE">
        <w:rPr>
          <w:rFonts w:ascii="Times New Roman" w:hAnsi="Times New Roman" w:cs="Times New Roman"/>
        </w:rPr>
        <w:t xml:space="preserve"> i </w:t>
      </w:r>
      <w:r w:rsidR="00D90CD9">
        <w:rPr>
          <w:rFonts w:ascii="Times New Roman" w:hAnsi="Times New Roman" w:cs="Times New Roman"/>
        </w:rPr>
        <w:t xml:space="preserve">zapewni im możliwość monitorowania </w:t>
      </w:r>
      <w:r w:rsidR="004652A8">
        <w:rPr>
          <w:rFonts w:ascii="Times New Roman" w:hAnsi="Times New Roman" w:cs="Times New Roman"/>
        </w:rPr>
        <w:t xml:space="preserve">procesu </w:t>
      </w:r>
      <w:r w:rsidR="00D90CD9" w:rsidRPr="0024375B">
        <w:rPr>
          <w:rFonts w:ascii="Times New Roman" w:hAnsi="Times New Roman" w:cs="Times New Roman"/>
        </w:rPr>
        <w:t>wycofywan</w:t>
      </w:r>
      <w:r w:rsidR="004652A8">
        <w:rPr>
          <w:rFonts w:ascii="Times New Roman" w:hAnsi="Times New Roman" w:cs="Times New Roman"/>
        </w:rPr>
        <w:t>ia</w:t>
      </w:r>
      <w:r w:rsidR="00D90CD9" w:rsidRPr="0024375B">
        <w:rPr>
          <w:rFonts w:ascii="Times New Roman" w:hAnsi="Times New Roman" w:cs="Times New Roman"/>
        </w:rPr>
        <w:t xml:space="preserve"> produktów ICT, usług ICT</w:t>
      </w:r>
      <w:r w:rsidR="002161FE">
        <w:rPr>
          <w:rFonts w:ascii="Times New Roman" w:hAnsi="Times New Roman" w:cs="Times New Roman"/>
        </w:rPr>
        <w:t xml:space="preserve"> i </w:t>
      </w:r>
      <w:r w:rsidR="00D90CD9" w:rsidRPr="0024375B">
        <w:rPr>
          <w:rFonts w:ascii="Times New Roman" w:hAnsi="Times New Roman" w:cs="Times New Roman"/>
        </w:rPr>
        <w:t>procesów ICT.</w:t>
      </w:r>
    </w:p>
    <w:p w14:paraId="22B30F43" w14:textId="77777777" w:rsidR="008548DA" w:rsidRPr="0024375B" w:rsidRDefault="008548DA" w:rsidP="00DC1575">
      <w:pPr>
        <w:pStyle w:val="Nagwek4"/>
      </w:pPr>
      <w:r w:rsidRPr="0024375B">
        <w:t>Nowy</w:t>
      </w:r>
      <w:r w:rsidR="00EA1900">
        <w:t xml:space="preserve"> art. </w:t>
      </w:r>
      <w:r w:rsidRPr="0024375B">
        <w:t>66d</w:t>
      </w:r>
    </w:p>
    <w:p w14:paraId="4A5D35D6" w14:textId="77777777" w:rsidR="001B0DCA"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 artykule 66d wprowadzono przepisy dotyczące procedury przed sądem administracyjnym, jest to więc przepis</w:t>
      </w:r>
      <w:r w:rsidR="0077165A">
        <w:rPr>
          <w:rFonts w:ascii="Times New Roman" w:hAnsi="Times New Roman" w:cs="Times New Roman"/>
        </w:rPr>
        <w:t xml:space="preserve"> o </w:t>
      </w:r>
      <w:r w:rsidRPr="0024375B">
        <w:rPr>
          <w:rFonts w:ascii="Times New Roman" w:hAnsi="Times New Roman" w:cs="Times New Roman"/>
        </w:rPr>
        <w:t xml:space="preserve">charakterze </w:t>
      </w:r>
      <w:r w:rsidRPr="0024375B">
        <w:rPr>
          <w:rFonts w:ascii="Times New Roman" w:hAnsi="Times New Roman" w:cs="Times New Roman"/>
          <w:i/>
          <w:iCs/>
        </w:rPr>
        <w:t>lex specialis</w:t>
      </w:r>
      <w:r w:rsidRPr="0024375B">
        <w:rPr>
          <w:rFonts w:ascii="Times New Roman" w:hAnsi="Times New Roman" w:cs="Times New Roman"/>
        </w:rPr>
        <w:t xml:space="preserve"> do </w:t>
      </w:r>
      <w:r w:rsidR="00242FEC" w:rsidRPr="0024375B">
        <w:rPr>
          <w:rFonts w:ascii="Times New Roman" w:hAnsi="Times New Roman" w:cs="Times New Roman"/>
        </w:rPr>
        <w:t>ustawy</w:t>
      </w:r>
      <w:r w:rsidR="002161FE">
        <w:rPr>
          <w:rFonts w:ascii="Times New Roman" w:hAnsi="Times New Roman" w:cs="Times New Roman"/>
        </w:rPr>
        <w:t xml:space="preserve"> z </w:t>
      </w:r>
      <w:r w:rsidR="00FB47A4" w:rsidRPr="0024375B">
        <w:rPr>
          <w:rFonts w:ascii="Times New Roman" w:hAnsi="Times New Roman" w:cs="Times New Roman"/>
        </w:rPr>
        <w:t>dnia 30 sierpnia 2002 r.</w:t>
      </w:r>
      <w:r w:rsidR="00E96F6D" w:rsidRPr="0024375B">
        <w:rPr>
          <w:rFonts w:ascii="Times New Roman" w:hAnsi="Times New Roman" w:cs="Times New Roman"/>
        </w:rPr>
        <w:t xml:space="preserve"> – </w:t>
      </w:r>
      <w:r w:rsidR="00242FEC" w:rsidRPr="0024375B">
        <w:rPr>
          <w:rFonts w:ascii="Times New Roman" w:hAnsi="Times New Roman" w:cs="Times New Roman"/>
        </w:rPr>
        <w:t>Prawo</w:t>
      </w:r>
      <w:r w:rsidR="0077165A">
        <w:rPr>
          <w:rFonts w:ascii="Times New Roman" w:hAnsi="Times New Roman" w:cs="Times New Roman"/>
        </w:rPr>
        <w:t xml:space="preserve"> o </w:t>
      </w:r>
      <w:r w:rsidRPr="0024375B">
        <w:rPr>
          <w:rFonts w:ascii="Times New Roman" w:hAnsi="Times New Roman" w:cs="Times New Roman"/>
        </w:rPr>
        <w:t>postępowaniu przed sądami administracyjnymi</w:t>
      </w:r>
      <w:r w:rsidR="00FB47A4" w:rsidRPr="0024375B">
        <w:rPr>
          <w:rFonts w:ascii="Times New Roman" w:hAnsi="Times New Roman" w:cs="Times New Roman"/>
        </w:rPr>
        <w:t xml:space="preserve"> (Dz. U. 20</w:t>
      </w:r>
      <w:r w:rsidR="39099282" w:rsidRPr="0024375B">
        <w:rPr>
          <w:rFonts w:ascii="Times New Roman" w:hAnsi="Times New Roman" w:cs="Times New Roman"/>
        </w:rPr>
        <w:t>2</w:t>
      </w:r>
      <w:r w:rsidR="00B96895">
        <w:rPr>
          <w:rFonts w:ascii="Times New Roman" w:hAnsi="Times New Roman" w:cs="Times New Roman"/>
        </w:rPr>
        <w:t>3</w:t>
      </w:r>
      <w:r w:rsidR="00FB47A4" w:rsidRPr="0024375B">
        <w:rPr>
          <w:rFonts w:ascii="Times New Roman" w:hAnsi="Times New Roman" w:cs="Times New Roman"/>
        </w:rPr>
        <w:t xml:space="preserve"> r. poz. </w:t>
      </w:r>
      <w:r w:rsidR="00B96895">
        <w:rPr>
          <w:rFonts w:ascii="Times New Roman" w:hAnsi="Times New Roman" w:cs="Times New Roman"/>
        </w:rPr>
        <w:t>259 i 803</w:t>
      </w:r>
      <w:r w:rsidR="00FB47A4" w:rsidRPr="0024375B">
        <w:rPr>
          <w:rFonts w:ascii="Times New Roman" w:hAnsi="Times New Roman" w:cs="Times New Roman"/>
        </w:rPr>
        <w:t>)</w:t>
      </w:r>
      <w:r w:rsidR="00AC7889" w:rsidRPr="0024375B">
        <w:rPr>
          <w:rFonts w:ascii="Times New Roman" w:hAnsi="Times New Roman" w:cs="Times New Roman"/>
        </w:rPr>
        <w:t xml:space="preserve"> (dalej – PPSA)</w:t>
      </w:r>
      <w:r w:rsidRPr="0024375B">
        <w:rPr>
          <w:rFonts w:ascii="Times New Roman" w:hAnsi="Times New Roman" w:cs="Times New Roman"/>
        </w:rPr>
        <w:t>. Jest on wzorowany na</w:t>
      </w:r>
      <w:r w:rsidR="00EA1900">
        <w:rPr>
          <w:rFonts w:ascii="Times New Roman" w:hAnsi="Times New Roman" w:cs="Times New Roman"/>
        </w:rPr>
        <w:t xml:space="preserve"> art. </w:t>
      </w:r>
      <w:r w:rsidRPr="0024375B">
        <w:rPr>
          <w:rFonts w:ascii="Times New Roman" w:hAnsi="Times New Roman" w:cs="Times New Roman"/>
        </w:rPr>
        <w:t>38 ustawy</w:t>
      </w:r>
      <w:r w:rsidR="002161FE">
        <w:rPr>
          <w:rFonts w:ascii="Times New Roman" w:hAnsi="Times New Roman" w:cs="Times New Roman"/>
        </w:rPr>
        <w:t xml:space="preserve"> z </w:t>
      </w:r>
      <w:r w:rsidR="00214557" w:rsidRPr="0024375B">
        <w:rPr>
          <w:rFonts w:ascii="Times New Roman" w:hAnsi="Times New Roman" w:cs="Times New Roman"/>
        </w:rPr>
        <w:t>dnia 5 sierpnia 2010 r.</w:t>
      </w:r>
      <w:r w:rsidR="0077165A">
        <w:rPr>
          <w:rFonts w:ascii="Times New Roman" w:hAnsi="Times New Roman" w:cs="Times New Roman"/>
        </w:rPr>
        <w:t xml:space="preserve"> o </w:t>
      </w:r>
      <w:r w:rsidRPr="0024375B">
        <w:rPr>
          <w:rFonts w:ascii="Times New Roman" w:hAnsi="Times New Roman" w:cs="Times New Roman"/>
        </w:rPr>
        <w:t>ochronie informacji niejawnych</w:t>
      </w:r>
      <w:r w:rsidR="00242FEC" w:rsidRPr="0024375B">
        <w:rPr>
          <w:rFonts w:ascii="Times New Roman" w:hAnsi="Times New Roman" w:cs="Times New Roman"/>
        </w:rPr>
        <w:t xml:space="preserve"> (Dz. U.</w:t>
      </w:r>
      <w:r w:rsidR="002161FE">
        <w:rPr>
          <w:rFonts w:ascii="Times New Roman" w:hAnsi="Times New Roman" w:cs="Times New Roman"/>
        </w:rPr>
        <w:t xml:space="preserve"> z </w:t>
      </w:r>
      <w:r w:rsidR="00242FEC" w:rsidRPr="0024375B">
        <w:rPr>
          <w:rFonts w:ascii="Times New Roman" w:hAnsi="Times New Roman" w:cs="Times New Roman"/>
        </w:rPr>
        <w:t>20</w:t>
      </w:r>
      <w:r w:rsidR="00024384">
        <w:rPr>
          <w:rFonts w:ascii="Times New Roman" w:hAnsi="Times New Roman" w:cs="Times New Roman"/>
        </w:rPr>
        <w:t>23</w:t>
      </w:r>
      <w:r w:rsidR="00242FEC" w:rsidRPr="0024375B">
        <w:rPr>
          <w:rFonts w:ascii="Times New Roman" w:hAnsi="Times New Roman" w:cs="Times New Roman"/>
        </w:rPr>
        <w:t xml:space="preserve"> r. poz. 7</w:t>
      </w:r>
      <w:r w:rsidR="00024384">
        <w:rPr>
          <w:rFonts w:ascii="Times New Roman" w:hAnsi="Times New Roman" w:cs="Times New Roman"/>
        </w:rPr>
        <w:t>56</w:t>
      </w:r>
      <w:r w:rsidR="00242FEC" w:rsidRPr="0024375B">
        <w:rPr>
          <w:rFonts w:ascii="Times New Roman" w:hAnsi="Times New Roman" w:cs="Times New Roman"/>
        </w:rPr>
        <w:t>)</w:t>
      </w:r>
      <w:r w:rsidRPr="0024375B">
        <w:rPr>
          <w:rFonts w:ascii="Times New Roman" w:hAnsi="Times New Roman" w:cs="Times New Roman"/>
        </w:rPr>
        <w:t>, która dotyczy rozpoznania skargi na decyzję</w:t>
      </w:r>
      <w:r w:rsidR="0077165A">
        <w:rPr>
          <w:rFonts w:ascii="Times New Roman" w:hAnsi="Times New Roman" w:cs="Times New Roman"/>
        </w:rPr>
        <w:t xml:space="preserve"> o </w:t>
      </w:r>
      <w:r w:rsidRPr="0024375B">
        <w:rPr>
          <w:rFonts w:ascii="Times New Roman" w:hAnsi="Times New Roman" w:cs="Times New Roman"/>
        </w:rPr>
        <w:t>odmowie wydania poświadczenia bezpieczeństwa. Przepis ma za zadanie pogodzić dwie wartości prawne – prawo do złożenia skargi na decyzję administracyjną oraz ochronę informacji niejawnych, których ujawnienie mogłoby narazić państwo na niepowetowane szkody. Sąd administracyjny będzie rozpoznawał skargę na decyzję</w:t>
      </w:r>
      <w:r w:rsidR="0077165A">
        <w:rPr>
          <w:rFonts w:ascii="Times New Roman" w:hAnsi="Times New Roman" w:cs="Times New Roman"/>
        </w:rPr>
        <w:t xml:space="preserve"> o </w:t>
      </w:r>
      <w:r w:rsidRPr="0024375B">
        <w:rPr>
          <w:rFonts w:ascii="Times New Roman" w:hAnsi="Times New Roman" w:cs="Times New Roman"/>
        </w:rPr>
        <w:t>uznaniu dostawcy sprzętu lub oprogramowania za dostawcę wysokiego ryzyka na posiedzeniu niejawnym. Z kolei sentencja wyroku</w:t>
      </w:r>
      <w:r w:rsidR="002161FE">
        <w:rPr>
          <w:rFonts w:ascii="Times New Roman" w:hAnsi="Times New Roman" w:cs="Times New Roman"/>
        </w:rPr>
        <w:t xml:space="preserve"> z </w:t>
      </w:r>
      <w:r w:rsidRPr="0024375B">
        <w:rPr>
          <w:rFonts w:ascii="Times New Roman" w:hAnsi="Times New Roman" w:cs="Times New Roman"/>
        </w:rPr>
        <w:t>uzasadnieniem zostanie doręczona tylko ministrowi właściwemu do spraw informatyzacji. Skarżącemu doręcza się odpis wyroku</w:t>
      </w:r>
      <w:r w:rsidR="002161FE">
        <w:rPr>
          <w:rFonts w:ascii="Times New Roman" w:hAnsi="Times New Roman" w:cs="Times New Roman"/>
        </w:rPr>
        <w:t xml:space="preserve"> z </w:t>
      </w:r>
      <w:r w:rsidRPr="0024375B">
        <w:rPr>
          <w:rFonts w:ascii="Times New Roman" w:hAnsi="Times New Roman" w:cs="Times New Roman"/>
        </w:rPr>
        <w:t>tą częścią uzasadnienia, która nie wymaga utajnienia ze względu na ochronę informacji niejawnych. Takie sformułowanie przepisu będzie zgodne</w:t>
      </w:r>
      <w:r w:rsidR="002161FE">
        <w:rPr>
          <w:rFonts w:ascii="Times New Roman" w:hAnsi="Times New Roman" w:cs="Times New Roman"/>
        </w:rPr>
        <w:t xml:space="preserve"> z </w:t>
      </w:r>
      <w:r w:rsidRPr="0024375B">
        <w:rPr>
          <w:rFonts w:ascii="Times New Roman" w:hAnsi="Times New Roman" w:cs="Times New Roman"/>
        </w:rPr>
        <w:t>wyrokiem Trybunału Konstytucyjnego, który za niekonstytucyjne uznał brak doręczenia jawnych elementów wyroku sądu administracyjnego</w:t>
      </w:r>
      <w:r w:rsidRPr="0024375B">
        <w:rPr>
          <w:rStyle w:val="Odwoanieprzypisudolnego"/>
          <w:rFonts w:ascii="Times New Roman" w:hAnsi="Times New Roman"/>
        </w:rPr>
        <w:footnoteReference w:id="61"/>
      </w:r>
      <w:r w:rsidR="000E4894" w:rsidRPr="0024375B">
        <w:rPr>
          <w:rStyle w:val="IGindeksgrny"/>
          <w:rFonts w:ascii="Times New Roman" w:hAnsi="Times New Roman" w:cs="Times New Roman"/>
        </w:rPr>
        <w:t>)</w:t>
      </w:r>
      <w:r w:rsidRPr="0024375B">
        <w:rPr>
          <w:rFonts w:ascii="Times New Roman" w:hAnsi="Times New Roman" w:cs="Times New Roman"/>
        </w:rPr>
        <w:t>. Przepis stanowi</w:t>
      </w:r>
      <w:r w:rsidR="0ABA5EAB" w:rsidRPr="0024375B">
        <w:rPr>
          <w:rFonts w:ascii="Times New Roman" w:hAnsi="Times New Roman" w:cs="Times New Roman"/>
        </w:rPr>
        <w:t xml:space="preserve"> niezbędne</w:t>
      </w:r>
      <w:r w:rsidRPr="0024375B">
        <w:rPr>
          <w:rFonts w:ascii="Times New Roman" w:hAnsi="Times New Roman" w:cs="Times New Roman"/>
        </w:rPr>
        <w:t xml:space="preserve"> </w:t>
      </w:r>
      <w:r w:rsidRPr="0024375B">
        <w:rPr>
          <w:rFonts w:ascii="Times New Roman" w:hAnsi="Times New Roman" w:cs="Times New Roman"/>
        </w:rPr>
        <w:lastRenderedPageBreak/>
        <w:t>odstąpienie od zasady ustności</w:t>
      </w:r>
      <w:r w:rsidR="002161FE">
        <w:rPr>
          <w:rFonts w:ascii="Times New Roman" w:hAnsi="Times New Roman" w:cs="Times New Roman"/>
        </w:rPr>
        <w:t xml:space="preserve"> i </w:t>
      </w:r>
      <w:r w:rsidRPr="0024375B">
        <w:rPr>
          <w:rFonts w:ascii="Times New Roman" w:hAnsi="Times New Roman" w:cs="Times New Roman"/>
        </w:rPr>
        <w:t>jawności, jednakże strona będzie miała możliwość składania pism procesowych, jak</w:t>
      </w:r>
      <w:r w:rsidR="00EA1900">
        <w:rPr>
          <w:rFonts w:ascii="Times New Roman" w:hAnsi="Times New Roman" w:cs="Times New Roman"/>
        </w:rPr>
        <w:t xml:space="preserve"> w </w:t>
      </w:r>
      <w:r w:rsidRPr="0024375B">
        <w:rPr>
          <w:rFonts w:ascii="Times New Roman" w:hAnsi="Times New Roman" w:cs="Times New Roman"/>
        </w:rPr>
        <w:t xml:space="preserve">każdym innym postępowaniu przed sądem administracyjnym. </w:t>
      </w:r>
    </w:p>
    <w:p w14:paraId="74E72AEE" w14:textId="77777777" w:rsidR="00F6749E" w:rsidRPr="0024375B" w:rsidRDefault="001B0DCA" w:rsidP="0024375B">
      <w:pPr>
        <w:pStyle w:val="NIEARTTEKSTtekstnieartykuowanynppodstprawnarozplubpreambua"/>
        <w:rPr>
          <w:rFonts w:ascii="Times New Roman" w:hAnsi="Times New Roman" w:cs="Times New Roman"/>
        </w:rPr>
      </w:pPr>
      <w:r>
        <w:rPr>
          <w:rFonts w:ascii="Times New Roman" w:hAnsi="Times New Roman" w:cs="Times New Roman"/>
        </w:rPr>
        <w:t xml:space="preserve">Rozwiązanie to jest konieczne dla zapewnienia bezpieczeństwa demokratycznego państwa prawnego – ujawnienie informacji niejawnych wykorzystanych w postępowaniu o uznaniu za dostawcę wysokiego ryzyka mogłoby narazić Rzeczpospolitą na niepowetowane szkody. Nie została naruszona istota prawa do sądu, ponieważ w zakresie w jakim uzasadnienie nie zawiera informacji niejawnych (uzasadnienie prawne, kwestia wykładni, </w:t>
      </w:r>
      <w:r w:rsidR="00BD2A95">
        <w:rPr>
          <w:rFonts w:ascii="Times New Roman" w:hAnsi="Times New Roman" w:cs="Times New Roman"/>
        </w:rPr>
        <w:t>ustalenia organu</w:t>
      </w:r>
      <w:r>
        <w:rPr>
          <w:rFonts w:ascii="Times New Roman" w:hAnsi="Times New Roman" w:cs="Times New Roman"/>
        </w:rPr>
        <w:t xml:space="preserve"> niepodlegają</w:t>
      </w:r>
      <w:r w:rsidR="00BD2A95">
        <w:rPr>
          <w:rFonts w:ascii="Times New Roman" w:hAnsi="Times New Roman" w:cs="Times New Roman"/>
        </w:rPr>
        <w:t>ce</w:t>
      </w:r>
      <w:r>
        <w:rPr>
          <w:rFonts w:ascii="Times New Roman" w:hAnsi="Times New Roman" w:cs="Times New Roman"/>
        </w:rPr>
        <w:t xml:space="preserve"> utajnieniu) zostanie doręczone skarżącemu, dzięki czemu będzie mógł złożyć skargę kasacyjną. Rozwiązanie jest też proporcjonalne sensu stricto, bowiem s</w:t>
      </w:r>
      <w:r w:rsidR="00F6749E" w:rsidRPr="0024375B">
        <w:rPr>
          <w:rFonts w:ascii="Times New Roman" w:hAnsi="Times New Roman" w:cs="Times New Roman"/>
        </w:rPr>
        <w:t>ędziowie mają</w:t>
      </w:r>
      <w:r w:rsidR="002161FE">
        <w:rPr>
          <w:rFonts w:ascii="Times New Roman" w:hAnsi="Times New Roman" w:cs="Times New Roman"/>
        </w:rPr>
        <w:t xml:space="preserve"> z </w:t>
      </w:r>
      <w:r w:rsidR="00F6749E" w:rsidRPr="0024375B">
        <w:rPr>
          <w:rFonts w:ascii="Times New Roman" w:hAnsi="Times New Roman" w:cs="Times New Roman"/>
        </w:rPr>
        <w:t>urzędu dostęp do wszystkich materiałów niejawnych, które będą zgromadzone</w:t>
      </w:r>
      <w:r w:rsidR="00EA1900">
        <w:rPr>
          <w:rFonts w:ascii="Times New Roman" w:hAnsi="Times New Roman" w:cs="Times New Roman"/>
        </w:rPr>
        <w:t xml:space="preserve"> w </w:t>
      </w:r>
      <w:r w:rsidR="00F6749E" w:rsidRPr="0024375B">
        <w:rPr>
          <w:rFonts w:ascii="Times New Roman" w:hAnsi="Times New Roman" w:cs="Times New Roman"/>
        </w:rPr>
        <w:t>sprawie. Będą więc mogli skrupulatnie zbadać legalność postępowania</w:t>
      </w:r>
      <w:r w:rsidR="00EA1900">
        <w:rPr>
          <w:rFonts w:ascii="Times New Roman" w:hAnsi="Times New Roman" w:cs="Times New Roman"/>
        </w:rPr>
        <w:t xml:space="preserve"> w </w:t>
      </w:r>
      <w:r w:rsidR="00F6749E" w:rsidRPr="0024375B">
        <w:rPr>
          <w:rFonts w:ascii="Times New Roman" w:hAnsi="Times New Roman" w:cs="Times New Roman"/>
        </w:rPr>
        <w:t>sprawie uznania za dostawcę wysokiego ryzyka.</w:t>
      </w:r>
      <w:r w:rsidR="00F03478">
        <w:rPr>
          <w:rFonts w:ascii="Times New Roman" w:hAnsi="Times New Roman" w:cs="Times New Roman"/>
        </w:rPr>
        <w:t xml:space="preserve"> </w:t>
      </w:r>
      <w:r w:rsidR="00603DA8">
        <w:rPr>
          <w:rFonts w:ascii="Times New Roman" w:hAnsi="Times New Roman" w:cs="Times New Roman"/>
        </w:rPr>
        <w:t>Na poparcie tego rozwiązania w</w:t>
      </w:r>
      <w:r w:rsidR="00F03478">
        <w:rPr>
          <w:rFonts w:ascii="Times New Roman" w:hAnsi="Times New Roman" w:cs="Times New Roman"/>
        </w:rPr>
        <w:t>arto tutaj odwołać się do wyroku Naczelnego Sądu Administracyjnego</w:t>
      </w:r>
      <w:r w:rsidR="002161FE">
        <w:rPr>
          <w:rFonts w:ascii="Times New Roman" w:hAnsi="Times New Roman" w:cs="Times New Roman"/>
        </w:rPr>
        <w:t xml:space="preserve"> z </w:t>
      </w:r>
      <w:r w:rsidR="00F03478">
        <w:rPr>
          <w:rFonts w:ascii="Times New Roman" w:hAnsi="Times New Roman" w:cs="Times New Roman"/>
        </w:rPr>
        <w:t xml:space="preserve">8 marca 2017 r. sygn. akt  </w:t>
      </w:r>
      <w:r w:rsidR="00F03478" w:rsidRPr="00F03478">
        <w:rPr>
          <w:rFonts w:ascii="Times New Roman" w:hAnsi="Times New Roman" w:cs="Times New Roman"/>
        </w:rPr>
        <w:t>I OSK 1312/15</w:t>
      </w:r>
      <w:r w:rsidR="00F03478">
        <w:rPr>
          <w:rFonts w:ascii="Times New Roman" w:hAnsi="Times New Roman" w:cs="Times New Roman"/>
        </w:rPr>
        <w:t xml:space="preserve">: </w:t>
      </w:r>
      <w:r w:rsidR="00F03478" w:rsidRPr="001C5AF2">
        <w:rPr>
          <w:rFonts w:ascii="Times New Roman" w:hAnsi="Times New Roman" w:cs="Times New Roman"/>
          <w:i/>
        </w:rPr>
        <w:t>strona skarżąca –</w:t>
      </w:r>
      <w:r w:rsidR="002161FE">
        <w:rPr>
          <w:rFonts w:ascii="Times New Roman" w:hAnsi="Times New Roman" w:cs="Times New Roman"/>
          <w:i/>
        </w:rPr>
        <w:t xml:space="preserve"> z </w:t>
      </w:r>
      <w:r w:rsidR="00F03478" w:rsidRPr="001C5AF2">
        <w:rPr>
          <w:rFonts w:ascii="Times New Roman" w:hAnsi="Times New Roman" w:cs="Times New Roman"/>
          <w:i/>
        </w:rPr>
        <w:t>istoty sprawy mająca ograniczony dostęp do szeregu informacji</w:t>
      </w:r>
      <w:r w:rsidR="002161FE">
        <w:rPr>
          <w:rFonts w:ascii="Times New Roman" w:hAnsi="Times New Roman" w:cs="Times New Roman"/>
          <w:i/>
        </w:rPr>
        <w:t xml:space="preserve"> z </w:t>
      </w:r>
      <w:r w:rsidR="00F03478" w:rsidRPr="001C5AF2">
        <w:rPr>
          <w:rFonts w:ascii="Times New Roman" w:hAnsi="Times New Roman" w:cs="Times New Roman"/>
          <w:i/>
        </w:rPr>
        <w:t>nią związanych – powinna móc działać</w:t>
      </w:r>
      <w:r w:rsidR="00EA1900">
        <w:rPr>
          <w:rFonts w:ascii="Times New Roman" w:hAnsi="Times New Roman" w:cs="Times New Roman"/>
          <w:i/>
        </w:rPr>
        <w:t xml:space="preserve"> w </w:t>
      </w:r>
      <w:r w:rsidR="00F03478" w:rsidRPr="001C5AF2">
        <w:rPr>
          <w:rFonts w:ascii="Times New Roman" w:hAnsi="Times New Roman" w:cs="Times New Roman"/>
          <w:i/>
        </w:rPr>
        <w:t>zaufaniu, że zasadniczo pełny dostęp do informacji posiada sąd, do którego zwraca się ona o kontrolę działania organu administracji publicznej,</w:t>
      </w:r>
      <w:r w:rsidR="002161FE">
        <w:rPr>
          <w:rFonts w:ascii="Times New Roman" w:hAnsi="Times New Roman" w:cs="Times New Roman"/>
          <w:i/>
        </w:rPr>
        <w:t xml:space="preserve"> i </w:t>
      </w:r>
      <w:r w:rsidR="00F03478" w:rsidRPr="001C5AF2">
        <w:rPr>
          <w:rFonts w:ascii="Times New Roman" w:hAnsi="Times New Roman" w:cs="Times New Roman"/>
          <w:i/>
        </w:rPr>
        <w:t>że tę kontrolę sąd ten dokona</w:t>
      </w:r>
      <w:r w:rsidR="00EA1900">
        <w:rPr>
          <w:rFonts w:ascii="Times New Roman" w:hAnsi="Times New Roman" w:cs="Times New Roman"/>
          <w:i/>
        </w:rPr>
        <w:t xml:space="preserve"> w </w:t>
      </w:r>
      <w:r w:rsidR="00F03478" w:rsidRPr="001C5AF2">
        <w:rPr>
          <w:rFonts w:ascii="Times New Roman" w:hAnsi="Times New Roman" w:cs="Times New Roman"/>
          <w:i/>
        </w:rPr>
        <w:t>sposób niezależny</w:t>
      </w:r>
      <w:r w:rsidR="002161FE">
        <w:rPr>
          <w:rFonts w:ascii="Times New Roman" w:hAnsi="Times New Roman" w:cs="Times New Roman"/>
          <w:i/>
        </w:rPr>
        <w:t xml:space="preserve"> i </w:t>
      </w:r>
      <w:r w:rsidR="00F03478" w:rsidRPr="001C5AF2">
        <w:rPr>
          <w:rFonts w:ascii="Times New Roman" w:hAnsi="Times New Roman" w:cs="Times New Roman"/>
          <w:i/>
        </w:rPr>
        <w:t>niezawisły</w:t>
      </w:r>
      <w:r w:rsidR="00EA1900">
        <w:rPr>
          <w:rFonts w:ascii="Times New Roman" w:hAnsi="Times New Roman" w:cs="Times New Roman"/>
          <w:i/>
        </w:rPr>
        <w:t xml:space="preserve"> w </w:t>
      </w:r>
      <w:r w:rsidR="00F03478" w:rsidRPr="001C5AF2">
        <w:rPr>
          <w:rFonts w:ascii="Times New Roman" w:hAnsi="Times New Roman" w:cs="Times New Roman"/>
          <w:i/>
        </w:rPr>
        <w:t>oparciu o pełną wiedzę wynikającą</w:t>
      </w:r>
      <w:r w:rsidR="002161FE">
        <w:rPr>
          <w:rFonts w:ascii="Times New Roman" w:hAnsi="Times New Roman" w:cs="Times New Roman"/>
          <w:i/>
        </w:rPr>
        <w:t xml:space="preserve"> z </w:t>
      </w:r>
      <w:r w:rsidR="00F03478" w:rsidRPr="001C5AF2">
        <w:rPr>
          <w:rFonts w:ascii="Times New Roman" w:hAnsi="Times New Roman" w:cs="Times New Roman"/>
          <w:i/>
        </w:rPr>
        <w:t>ustaleń organu,</w:t>
      </w:r>
      <w:r w:rsidR="00EA1900">
        <w:rPr>
          <w:rFonts w:ascii="Times New Roman" w:hAnsi="Times New Roman" w:cs="Times New Roman"/>
          <w:i/>
        </w:rPr>
        <w:t xml:space="preserve"> w </w:t>
      </w:r>
      <w:r w:rsidR="00F03478" w:rsidRPr="001C5AF2">
        <w:rPr>
          <w:rFonts w:ascii="Times New Roman" w:hAnsi="Times New Roman" w:cs="Times New Roman"/>
          <w:i/>
        </w:rPr>
        <w:t>tym także niejawnych</w:t>
      </w:r>
      <w:r w:rsidR="00F03478" w:rsidRPr="00F03478">
        <w:rPr>
          <w:rFonts w:ascii="Times New Roman" w:hAnsi="Times New Roman" w:cs="Times New Roman"/>
        </w:rPr>
        <w:t>.</w:t>
      </w:r>
    </w:p>
    <w:p w14:paraId="6366E4A5" w14:textId="77777777" w:rsidR="008548DA" w:rsidRPr="0024375B" w:rsidRDefault="008548DA" w:rsidP="00DC1575">
      <w:pPr>
        <w:pStyle w:val="Nagwek4"/>
      </w:pPr>
      <w:r w:rsidRPr="0024375B">
        <w:t>Nowy</w:t>
      </w:r>
      <w:r w:rsidR="00EA1900">
        <w:t xml:space="preserve"> art. </w:t>
      </w:r>
      <w:r w:rsidRPr="0024375B">
        <w:t>66e</w:t>
      </w:r>
    </w:p>
    <w:p w14:paraId="7D5E7544" w14:textId="77777777" w:rsidR="61EA572D" w:rsidRDefault="2FECC681" w:rsidP="0024375B">
      <w:pPr>
        <w:pStyle w:val="ARTartustawynprozporzdzenia"/>
        <w:rPr>
          <w:rFonts w:ascii="Times New Roman" w:hAnsi="Times New Roman" w:cs="Times New Roman"/>
        </w:rPr>
      </w:pPr>
      <w:r w:rsidRPr="0024375B">
        <w:rPr>
          <w:rFonts w:ascii="Times New Roman" w:hAnsi="Times New Roman" w:cs="Times New Roman"/>
        </w:rPr>
        <w:t>Projektowany</w:t>
      </w:r>
      <w:r w:rsidR="00EA1900">
        <w:rPr>
          <w:rFonts w:ascii="Times New Roman" w:hAnsi="Times New Roman" w:cs="Times New Roman"/>
        </w:rPr>
        <w:t xml:space="preserve"> art. </w:t>
      </w:r>
      <w:r w:rsidR="61EA572D" w:rsidRPr="0024375B">
        <w:rPr>
          <w:rFonts w:ascii="Times New Roman" w:hAnsi="Times New Roman" w:cs="Times New Roman"/>
        </w:rPr>
        <w:t xml:space="preserve">66e określa, że minister właściwy do spraw informatyzacji będzie </w:t>
      </w:r>
      <w:r w:rsidR="5E4126C4" w:rsidRPr="0024375B">
        <w:rPr>
          <w:rFonts w:ascii="Times New Roman" w:hAnsi="Times New Roman" w:cs="Times New Roman"/>
        </w:rPr>
        <w:t>prowadził wykaz decyzji</w:t>
      </w:r>
      <w:r w:rsidR="0077165A">
        <w:rPr>
          <w:rFonts w:ascii="Times New Roman" w:hAnsi="Times New Roman" w:cs="Times New Roman"/>
        </w:rPr>
        <w:t xml:space="preserve"> o </w:t>
      </w:r>
      <w:r w:rsidR="5E4126C4" w:rsidRPr="0024375B">
        <w:rPr>
          <w:rFonts w:ascii="Times New Roman" w:hAnsi="Times New Roman" w:cs="Times New Roman"/>
        </w:rPr>
        <w:t>uznaniu za dostawcę wysokiego ryzyka</w:t>
      </w:r>
      <w:r w:rsidR="00EA1900">
        <w:rPr>
          <w:rFonts w:ascii="Times New Roman" w:hAnsi="Times New Roman" w:cs="Times New Roman"/>
        </w:rPr>
        <w:t xml:space="preserve"> w </w:t>
      </w:r>
      <w:r w:rsidR="5E4126C4" w:rsidRPr="0024375B">
        <w:rPr>
          <w:rFonts w:ascii="Times New Roman" w:hAnsi="Times New Roman" w:cs="Times New Roman"/>
        </w:rPr>
        <w:t>podziale na produkty, usługi</w:t>
      </w:r>
      <w:r w:rsidR="002161FE">
        <w:rPr>
          <w:rFonts w:ascii="Times New Roman" w:hAnsi="Times New Roman" w:cs="Times New Roman"/>
        </w:rPr>
        <w:t xml:space="preserve"> i </w:t>
      </w:r>
      <w:r w:rsidR="5E4126C4" w:rsidRPr="0024375B">
        <w:rPr>
          <w:rFonts w:ascii="Times New Roman" w:hAnsi="Times New Roman" w:cs="Times New Roman"/>
        </w:rPr>
        <w:t>procesy</w:t>
      </w:r>
      <w:r w:rsidR="00EA1900">
        <w:rPr>
          <w:rFonts w:ascii="Times New Roman" w:hAnsi="Times New Roman" w:cs="Times New Roman"/>
        </w:rPr>
        <w:t xml:space="preserve"> w </w:t>
      </w:r>
      <w:r w:rsidR="5E4126C4" w:rsidRPr="0024375B">
        <w:rPr>
          <w:rFonts w:ascii="Times New Roman" w:hAnsi="Times New Roman" w:cs="Times New Roman"/>
        </w:rPr>
        <w:t xml:space="preserve">nich wskazane. Ułatwi to dostęp do </w:t>
      </w:r>
      <w:r w:rsidR="6B0E538C" w:rsidRPr="0024375B">
        <w:rPr>
          <w:rFonts w:ascii="Times New Roman" w:hAnsi="Times New Roman" w:cs="Times New Roman"/>
        </w:rPr>
        <w:t>informacji</w:t>
      </w:r>
      <w:r w:rsidR="0077165A">
        <w:rPr>
          <w:rFonts w:ascii="Times New Roman" w:hAnsi="Times New Roman" w:cs="Times New Roman"/>
        </w:rPr>
        <w:t xml:space="preserve"> o </w:t>
      </w:r>
      <w:r w:rsidR="6B0E538C" w:rsidRPr="0024375B">
        <w:rPr>
          <w:rFonts w:ascii="Times New Roman" w:hAnsi="Times New Roman" w:cs="Times New Roman"/>
        </w:rPr>
        <w:t>niebezpiecznych produktach</w:t>
      </w:r>
      <w:r w:rsidR="00DB5C69" w:rsidRPr="0024375B">
        <w:rPr>
          <w:rFonts w:ascii="Times New Roman" w:hAnsi="Times New Roman" w:cs="Times New Roman"/>
        </w:rPr>
        <w:t>, usługach</w:t>
      </w:r>
      <w:r w:rsidR="002161FE">
        <w:rPr>
          <w:rFonts w:ascii="Times New Roman" w:hAnsi="Times New Roman" w:cs="Times New Roman"/>
        </w:rPr>
        <w:t xml:space="preserve"> i </w:t>
      </w:r>
      <w:r w:rsidR="00DB5C69" w:rsidRPr="0024375B">
        <w:rPr>
          <w:rFonts w:ascii="Times New Roman" w:hAnsi="Times New Roman" w:cs="Times New Roman"/>
        </w:rPr>
        <w:t>procesach ICT</w:t>
      </w:r>
      <w:r w:rsidR="003B1554" w:rsidRPr="0024375B">
        <w:rPr>
          <w:rFonts w:ascii="Times New Roman" w:hAnsi="Times New Roman" w:cs="Times New Roman"/>
        </w:rPr>
        <w:t xml:space="preserve">. </w:t>
      </w:r>
    </w:p>
    <w:p w14:paraId="2BC59E0D" w14:textId="77777777" w:rsidR="004D0E49" w:rsidRPr="0024375B" w:rsidRDefault="004D0E49" w:rsidP="0024375B">
      <w:pPr>
        <w:pStyle w:val="ARTartustawynprozporzdzenia"/>
        <w:rPr>
          <w:rFonts w:ascii="Times New Roman" w:hAnsi="Times New Roman" w:cs="Times New Roman"/>
        </w:rPr>
      </w:pPr>
    </w:p>
    <w:p w14:paraId="574D2560" w14:textId="77777777" w:rsidR="00F6749E" w:rsidRPr="0024375B" w:rsidRDefault="1F0A690A" w:rsidP="00862E68">
      <w:pPr>
        <w:pStyle w:val="Nagwek3"/>
      </w:pPr>
      <w:bookmarkStart w:id="35" w:name="_Toc136511057"/>
      <w:r w:rsidRPr="0024375B">
        <w:t>Ostrzeżenie</w:t>
      </w:r>
      <w:bookmarkEnd w:id="35"/>
    </w:p>
    <w:p w14:paraId="459FA6BF" w14:textId="77777777" w:rsidR="008548DA" w:rsidRPr="0024375B" w:rsidRDefault="000423AA" w:rsidP="00DC1575">
      <w:pPr>
        <w:pStyle w:val="Nagwek4"/>
      </w:pPr>
      <w:r w:rsidRPr="0024375B">
        <w:t>Now</w:t>
      </w:r>
      <w:r>
        <w:t xml:space="preserve">y </w:t>
      </w:r>
      <w:r w:rsidR="00EA1900">
        <w:t>art. </w:t>
      </w:r>
      <w:r w:rsidR="008548DA" w:rsidRPr="0024375B">
        <w:t>67a</w:t>
      </w:r>
    </w:p>
    <w:p w14:paraId="18CCC32F" w14:textId="77777777" w:rsidR="00396ADC" w:rsidRPr="0024375B" w:rsidRDefault="7FCABC7B" w:rsidP="0024375B">
      <w:pPr>
        <w:pStyle w:val="ARTartustawynprozporzdzenia"/>
        <w:rPr>
          <w:rFonts w:ascii="Times New Roman" w:hAnsi="Times New Roman" w:cs="Times New Roman"/>
        </w:rPr>
      </w:pPr>
      <w:r w:rsidRPr="0024375B">
        <w:rPr>
          <w:rFonts w:ascii="Times New Roman" w:hAnsi="Times New Roman" w:cs="Times New Roman"/>
        </w:rPr>
        <w:t>Przepisy nowelizacji ustawy</w:t>
      </w:r>
      <w:r w:rsidR="0077165A">
        <w:rPr>
          <w:rFonts w:ascii="Times New Roman" w:hAnsi="Times New Roman" w:cs="Times New Roman"/>
        </w:rPr>
        <w:t xml:space="preserve"> o </w:t>
      </w:r>
      <w:r w:rsidRPr="0024375B">
        <w:rPr>
          <w:rFonts w:ascii="Times New Roman" w:hAnsi="Times New Roman" w:cs="Times New Roman"/>
        </w:rPr>
        <w:t>krajowym systemie cyberbezpieczeństwa zawierają dodanie szczególn</w:t>
      </w:r>
      <w:r w:rsidR="000423AA">
        <w:rPr>
          <w:rFonts w:ascii="Times New Roman" w:hAnsi="Times New Roman" w:cs="Times New Roman"/>
        </w:rPr>
        <w:t>ego</w:t>
      </w:r>
      <w:r w:rsidRPr="0024375B">
        <w:rPr>
          <w:rFonts w:ascii="Times New Roman" w:hAnsi="Times New Roman" w:cs="Times New Roman"/>
        </w:rPr>
        <w:t xml:space="preserve"> środk</w:t>
      </w:r>
      <w:r w:rsidR="000423AA">
        <w:rPr>
          <w:rFonts w:ascii="Times New Roman" w:hAnsi="Times New Roman" w:cs="Times New Roman"/>
        </w:rPr>
        <w:t>a</w:t>
      </w:r>
      <w:r w:rsidRPr="0024375B">
        <w:rPr>
          <w:rFonts w:ascii="Times New Roman" w:hAnsi="Times New Roman" w:cs="Times New Roman"/>
        </w:rPr>
        <w:t xml:space="preserve"> – ostrzeżenia </w:t>
      </w:r>
      <w:r w:rsidR="52183E17" w:rsidRPr="0024375B">
        <w:rPr>
          <w:rFonts w:ascii="Times New Roman" w:hAnsi="Times New Roman" w:cs="Times New Roman"/>
        </w:rPr>
        <w:t>(art. 67a)</w:t>
      </w:r>
      <w:r w:rsidRPr="0024375B">
        <w:rPr>
          <w:rFonts w:ascii="Times New Roman" w:hAnsi="Times New Roman" w:cs="Times New Roman"/>
        </w:rPr>
        <w:t>.</w:t>
      </w:r>
      <w:r w:rsidR="000423AA">
        <w:rPr>
          <w:rFonts w:ascii="Times New Roman" w:hAnsi="Times New Roman" w:cs="Times New Roman"/>
        </w:rPr>
        <w:t xml:space="preserve"> Jego</w:t>
      </w:r>
      <w:r w:rsidRPr="0024375B">
        <w:rPr>
          <w:rFonts w:ascii="Times New Roman" w:hAnsi="Times New Roman" w:cs="Times New Roman"/>
        </w:rPr>
        <w:t xml:space="preserve"> stosowanie będzie ograniczone do niektórych grup podmiotów gospodarki</w:t>
      </w:r>
      <w:r w:rsidR="002161FE">
        <w:rPr>
          <w:rFonts w:ascii="Times New Roman" w:hAnsi="Times New Roman" w:cs="Times New Roman"/>
        </w:rPr>
        <w:t xml:space="preserve"> i </w:t>
      </w:r>
      <w:r w:rsidRPr="0024375B">
        <w:rPr>
          <w:rFonts w:ascii="Times New Roman" w:hAnsi="Times New Roman" w:cs="Times New Roman"/>
        </w:rPr>
        <w:t>społeczeństwa. Będ</w:t>
      </w:r>
      <w:r w:rsidR="000423AA">
        <w:rPr>
          <w:rFonts w:ascii="Times New Roman" w:hAnsi="Times New Roman" w:cs="Times New Roman"/>
        </w:rPr>
        <w:t>zie</w:t>
      </w:r>
      <w:r w:rsidRPr="0024375B">
        <w:rPr>
          <w:rFonts w:ascii="Times New Roman" w:hAnsi="Times New Roman" w:cs="Times New Roman"/>
        </w:rPr>
        <w:t xml:space="preserve"> mogły być stosowane</w:t>
      </w:r>
      <w:r w:rsidR="00EA1900">
        <w:rPr>
          <w:rFonts w:ascii="Times New Roman" w:hAnsi="Times New Roman" w:cs="Times New Roman"/>
        </w:rPr>
        <w:t xml:space="preserve"> w </w:t>
      </w:r>
      <w:r w:rsidRPr="0024375B">
        <w:rPr>
          <w:rFonts w:ascii="Times New Roman" w:hAnsi="Times New Roman" w:cs="Times New Roman"/>
        </w:rPr>
        <w:t>przypadku ryzyka wystąpienia (ostrzeżenie) incydentu krytycznego. Incydent krytyczny jest najbardziej dotkliwym</w:t>
      </w:r>
      <w:r w:rsidR="00EA1900">
        <w:rPr>
          <w:rFonts w:ascii="Times New Roman" w:hAnsi="Times New Roman" w:cs="Times New Roman"/>
        </w:rPr>
        <w:t xml:space="preserve"> w </w:t>
      </w:r>
      <w:r w:rsidRPr="0024375B">
        <w:rPr>
          <w:rFonts w:ascii="Times New Roman" w:hAnsi="Times New Roman" w:cs="Times New Roman"/>
        </w:rPr>
        <w:t>skutkach typem incydentu cyberbezpieczeństwa, skutkującym znaczną szkodą dla bezpieczeństwa lub porządku publicznego, interesów międzynarodowych, interesów gospodarczych, działania instytucji publicznych, praw</w:t>
      </w:r>
      <w:r w:rsidR="002161FE">
        <w:rPr>
          <w:rFonts w:ascii="Times New Roman" w:hAnsi="Times New Roman" w:cs="Times New Roman"/>
        </w:rPr>
        <w:t xml:space="preserve"> i </w:t>
      </w:r>
      <w:r w:rsidRPr="0024375B">
        <w:rPr>
          <w:rFonts w:ascii="Times New Roman" w:hAnsi="Times New Roman" w:cs="Times New Roman"/>
        </w:rPr>
        <w:t>wolności obywatelskich lub życia</w:t>
      </w:r>
      <w:r w:rsidR="002161FE">
        <w:rPr>
          <w:rFonts w:ascii="Times New Roman" w:hAnsi="Times New Roman" w:cs="Times New Roman"/>
        </w:rPr>
        <w:t xml:space="preserve"> i </w:t>
      </w:r>
      <w:r w:rsidRPr="0024375B">
        <w:rPr>
          <w:rFonts w:ascii="Times New Roman" w:hAnsi="Times New Roman" w:cs="Times New Roman"/>
        </w:rPr>
        <w:t>zdrowia ludzi. Incydent krytyczny jest klasyfikowany przez zespoły CSIRT poziomu krajowego,</w:t>
      </w:r>
      <w:r w:rsidR="002161FE">
        <w:rPr>
          <w:rFonts w:ascii="Times New Roman" w:hAnsi="Times New Roman" w:cs="Times New Roman"/>
        </w:rPr>
        <w:t xml:space="preserve"> a </w:t>
      </w:r>
      <w:r w:rsidRPr="0024375B">
        <w:rPr>
          <w:rFonts w:ascii="Times New Roman" w:hAnsi="Times New Roman" w:cs="Times New Roman"/>
        </w:rPr>
        <w:t>więc najpierw operator usługi kluczowej, dostawca usługi cyfrowej lub podmiot publiczny zgłaszają właściwy incydent, który następnie</w:t>
      </w:r>
      <w:r w:rsidR="0E7CB7AC" w:rsidRPr="0024375B">
        <w:rPr>
          <w:rFonts w:ascii="Times New Roman" w:hAnsi="Times New Roman" w:cs="Times New Roman"/>
        </w:rPr>
        <w:t xml:space="preserve"> – </w:t>
      </w:r>
      <w:r w:rsidRPr="0024375B">
        <w:rPr>
          <w:rFonts w:ascii="Times New Roman" w:hAnsi="Times New Roman" w:cs="Times New Roman"/>
        </w:rPr>
        <w:t>po przeprowadzeniu należytej oceny</w:t>
      </w:r>
      <w:r w:rsidR="0E7CB7AC" w:rsidRPr="0024375B">
        <w:rPr>
          <w:rFonts w:ascii="Times New Roman" w:hAnsi="Times New Roman" w:cs="Times New Roman"/>
        </w:rPr>
        <w:t xml:space="preserve"> – </w:t>
      </w:r>
      <w:r w:rsidRPr="0024375B">
        <w:rPr>
          <w:rFonts w:ascii="Times New Roman" w:hAnsi="Times New Roman" w:cs="Times New Roman"/>
        </w:rPr>
        <w:t xml:space="preserve">może być uznany przez CSIRT poziomu krajowego za incydent krytyczny. </w:t>
      </w:r>
    </w:p>
    <w:p w14:paraId="026894BB" w14:textId="77777777" w:rsidR="00792C84" w:rsidRPr="0024375B" w:rsidRDefault="00396ADC" w:rsidP="0024375B">
      <w:pPr>
        <w:pStyle w:val="ARTartustawynprozporzdzenia"/>
      </w:pPr>
      <w:r w:rsidRPr="0024375B">
        <w:rPr>
          <w:rFonts w:ascii="Times New Roman" w:hAnsi="Times New Roman" w:cs="Times New Roman"/>
        </w:rPr>
        <w:lastRenderedPageBreak/>
        <w:t>Obecnie państwo nie dysponuje środkami prawnymi, które umożliwiałyby skuteczną reakcję na incydent krytyczny.</w:t>
      </w:r>
      <w:r w:rsidR="000514C2" w:rsidRPr="0024375B">
        <w:rPr>
          <w:rFonts w:ascii="Times New Roman" w:hAnsi="Times New Roman" w:cs="Times New Roman"/>
        </w:rPr>
        <w:t xml:space="preserve"> Oczywiście za obsługę incydentu krytycznego odpowiada jeden</w:t>
      </w:r>
      <w:r w:rsidR="002161FE">
        <w:rPr>
          <w:rFonts w:ascii="Times New Roman" w:hAnsi="Times New Roman" w:cs="Times New Roman"/>
        </w:rPr>
        <w:t xml:space="preserve"> z </w:t>
      </w:r>
      <w:r w:rsidR="000514C2" w:rsidRPr="0024375B">
        <w:rPr>
          <w:rFonts w:ascii="Times New Roman" w:hAnsi="Times New Roman" w:cs="Times New Roman"/>
        </w:rPr>
        <w:t>zespołów CSIRT poziomu krajowego, który będzie współpracował</w:t>
      </w:r>
      <w:r w:rsidR="002161FE">
        <w:rPr>
          <w:rFonts w:ascii="Times New Roman" w:hAnsi="Times New Roman" w:cs="Times New Roman"/>
        </w:rPr>
        <w:t xml:space="preserve"> z </w:t>
      </w:r>
      <w:r w:rsidR="000514C2" w:rsidRPr="0024375B">
        <w:rPr>
          <w:rFonts w:ascii="Times New Roman" w:hAnsi="Times New Roman" w:cs="Times New Roman"/>
        </w:rPr>
        <w:t xml:space="preserve">podmiotem, u którego wystąpił incydent krytyczny. Podkreślić </w:t>
      </w:r>
      <w:r w:rsidR="00792C84" w:rsidRPr="0024375B">
        <w:rPr>
          <w:rFonts w:ascii="Times New Roman" w:hAnsi="Times New Roman" w:cs="Times New Roman"/>
        </w:rPr>
        <w:t xml:space="preserve">jednak </w:t>
      </w:r>
      <w:r w:rsidR="000514C2" w:rsidRPr="0024375B">
        <w:rPr>
          <w:rFonts w:ascii="Times New Roman" w:hAnsi="Times New Roman" w:cs="Times New Roman"/>
        </w:rPr>
        <w:t>należy, że cyberataki mogą nie dotyczyć jednego podmiotu,</w:t>
      </w:r>
      <w:r w:rsidR="002161FE">
        <w:rPr>
          <w:rFonts w:ascii="Times New Roman" w:hAnsi="Times New Roman" w:cs="Times New Roman"/>
        </w:rPr>
        <w:t xml:space="preserve"> a </w:t>
      </w:r>
      <w:r w:rsidR="000514C2" w:rsidRPr="0024375B">
        <w:rPr>
          <w:rFonts w:ascii="Times New Roman" w:hAnsi="Times New Roman" w:cs="Times New Roman"/>
        </w:rPr>
        <w:t>skutki takich ataków mogą się rozszerzać na inne podmioty</w:t>
      </w:r>
      <w:r w:rsidR="00EA1900">
        <w:rPr>
          <w:rFonts w:ascii="Times New Roman" w:hAnsi="Times New Roman" w:cs="Times New Roman"/>
        </w:rPr>
        <w:t xml:space="preserve"> w </w:t>
      </w:r>
      <w:r w:rsidR="000514C2" w:rsidRPr="0024375B">
        <w:rPr>
          <w:rFonts w:ascii="Times New Roman" w:hAnsi="Times New Roman" w:cs="Times New Roman"/>
        </w:rPr>
        <w:t>bardzo szybki</w:t>
      </w:r>
      <w:r w:rsidR="00DB5C69" w:rsidRPr="0024375B">
        <w:rPr>
          <w:rFonts w:ascii="Times New Roman" w:hAnsi="Times New Roman" w:cs="Times New Roman"/>
        </w:rPr>
        <w:t>m</w:t>
      </w:r>
      <w:r w:rsidR="000514C2" w:rsidRPr="0024375B">
        <w:rPr>
          <w:rFonts w:ascii="Times New Roman" w:hAnsi="Times New Roman" w:cs="Times New Roman"/>
        </w:rPr>
        <w:t xml:space="preserve"> czasie. Zespoły CSIRT mogą nie nadążyć</w:t>
      </w:r>
      <w:r w:rsidR="00EA1900">
        <w:rPr>
          <w:rFonts w:ascii="Times New Roman" w:hAnsi="Times New Roman" w:cs="Times New Roman"/>
        </w:rPr>
        <w:t xml:space="preserve"> w </w:t>
      </w:r>
      <w:r w:rsidR="000514C2" w:rsidRPr="0024375B">
        <w:rPr>
          <w:rFonts w:ascii="Times New Roman" w:hAnsi="Times New Roman" w:cs="Times New Roman"/>
        </w:rPr>
        <w:t xml:space="preserve">obsłudze takiego incydentu krytycznego, który dotyczy wielu podmiotów. Jako przykład można podać </w:t>
      </w:r>
      <w:r w:rsidR="000514C2" w:rsidRPr="0024375B">
        <w:t>sytuację, gdy cały świat zmaga</w:t>
      </w:r>
      <w:r w:rsidR="4DC747DC" w:rsidRPr="0024375B">
        <w:t>ł</w:t>
      </w:r>
      <w:r w:rsidR="000514C2" w:rsidRPr="0024375B">
        <w:t xml:space="preserve"> się</w:t>
      </w:r>
      <w:r w:rsidR="002161FE">
        <w:t xml:space="preserve"> z </w:t>
      </w:r>
      <w:r w:rsidR="000514C2" w:rsidRPr="0024375B">
        <w:t xml:space="preserve">podatnością Log4Shell. </w:t>
      </w:r>
      <w:r w:rsidR="704EEF98" w:rsidRPr="0024375B">
        <w:t xml:space="preserve">Była </w:t>
      </w:r>
      <w:r w:rsidR="000514C2" w:rsidRPr="0024375B">
        <w:t xml:space="preserve">to krytyczna podatność, która mogła być wykorzystywana przez grupy </w:t>
      </w:r>
      <w:r w:rsidR="000514C2" w:rsidRPr="0024375B">
        <w:rPr>
          <w:i/>
          <w:iCs/>
        </w:rPr>
        <w:t>advanced persistent threat</w:t>
      </w:r>
      <w:r w:rsidR="000514C2" w:rsidRPr="0024375B">
        <w:rPr>
          <w:rStyle w:val="Odwoanieprzypisudolnego"/>
        </w:rPr>
        <w:footnoteReference w:id="62"/>
      </w:r>
      <w:r w:rsidR="00C94AA5">
        <w:rPr>
          <w:vertAlign w:val="superscript"/>
        </w:rPr>
        <w:t>)</w:t>
      </w:r>
      <w:r w:rsidR="000514C2" w:rsidRPr="0024375B">
        <w:t xml:space="preserve">. </w:t>
      </w:r>
      <w:r w:rsidR="00792C84" w:rsidRPr="0024375B">
        <w:t xml:space="preserve">Innym przykładem są ataki na wiele podmiotów administracji rządowej na Ukrainie. </w:t>
      </w:r>
    </w:p>
    <w:p w14:paraId="011E7552" w14:textId="77777777" w:rsidR="00F41A04" w:rsidRPr="0024375B" w:rsidRDefault="00F41A04"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Przed wydaniem ostrzeżenia niezbędne będzie przeprowadzenie analizy uzasadniającej wydanie tych środków nadzwyczajnych. Analiza będzie przeprowadzana wspólnie</w:t>
      </w:r>
      <w:r w:rsidR="002161FE">
        <w:rPr>
          <w:rFonts w:ascii="Times New Roman" w:hAnsi="Times New Roman" w:cs="Times New Roman"/>
        </w:rPr>
        <w:t xml:space="preserve"> z </w:t>
      </w:r>
      <w:r w:rsidRPr="0024375B">
        <w:rPr>
          <w:rFonts w:ascii="Times New Roman" w:hAnsi="Times New Roman" w:cs="Times New Roman"/>
        </w:rPr>
        <w:t>Zespołem</w:t>
      </w:r>
      <w:r w:rsidR="00DB5C84">
        <w:rPr>
          <w:rFonts w:ascii="Times New Roman" w:hAnsi="Times New Roman" w:cs="Times New Roman"/>
        </w:rPr>
        <w:t xml:space="preserve"> do spraw incydentów krytycznych</w:t>
      </w:r>
      <w:r w:rsidRPr="0024375B">
        <w:rPr>
          <w:rFonts w:ascii="Times New Roman" w:hAnsi="Times New Roman" w:cs="Times New Roman"/>
        </w:rPr>
        <w:t>. Zespół ten jest organem pomocniczym</w:t>
      </w:r>
      <w:r w:rsidR="00EA1900">
        <w:rPr>
          <w:rFonts w:ascii="Times New Roman" w:hAnsi="Times New Roman" w:cs="Times New Roman"/>
        </w:rPr>
        <w:t xml:space="preserve"> w </w:t>
      </w:r>
      <w:r w:rsidRPr="0024375B">
        <w:rPr>
          <w:rFonts w:ascii="Times New Roman" w:hAnsi="Times New Roman" w:cs="Times New Roman"/>
        </w:rPr>
        <w:t>sprawach obsługi incydentów krytycznych.</w:t>
      </w:r>
      <w:r w:rsidR="00116933">
        <w:rPr>
          <w:rFonts w:ascii="Times New Roman" w:hAnsi="Times New Roman" w:cs="Times New Roman"/>
        </w:rPr>
        <w:t xml:space="preserve"> W </w:t>
      </w:r>
      <w:r w:rsidRPr="0024375B">
        <w:rPr>
          <w:rFonts w:ascii="Times New Roman" w:hAnsi="Times New Roman" w:cs="Times New Roman"/>
        </w:rPr>
        <w:t>jego skład wchodzą przedstawiciele CSIRT MON, CSIRT NASK, Szefa Agencji Bezpieczeństwa Wewnętrznego realizującego zadania</w:t>
      </w:r>
      <w:r w:rsidR="00EA1900">
        <w:rPr>
          <w:rFonts w:ascii="Times New Roman" w:hAnsi="Times New Roman" w:cs="Times New Roman"/>
        </w:rPr>
        <w:t xml:space="preserve"> w </w:t>
      </w:r>
      <w:r w:rsidRPr="0024375B">
        <w:rPr>
          <w:rFonts w:ascii="Times New Roman" w:hAnsi="Times New Roman" w:cs="Times New Roman"/>
        </w:rPr>
        <w:t>ramach CSIRT GOV oraz Rządowego Centrum Bezpieczeństwa</w:t>
      </w:r>
      <w:r w:rsidR="0041140B" w:rsidRPr="0024375B">
        <w:rPr>
          <w:rFonts w:ascii="Times New Roman" w:hAnsi="Times New Roman" w:cs="Times New Roman"/>
        </w:rPr>
        <w:t>, Pełnomocnika oraz ministra właściwego do spraw informatyzacji</w:t>
      </w:r>
      <w:r w:rsidRPr="0024375B">
        <w:rPr>
          <w:rFonts w:ascii="Times New Roman" w:hAnsi="Times New Roman" w:cs="Times New Roman"/>
        </w:rPr>
        <w:t xml:space="preserve">. Jest to zespół ekspercki mający ułatwić reakcję na incydent krytyczny. </w:t>
      </w:r>
    </w:p>
    <w:p w14:paraId="088784CA" w14:textId="7581FE0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Pełnomocnik będzie mógł wydać ostrzeżenie, które będzie miękkim, niewiążącym środkiem wskazującym na ryzyko związane</w:t>
      </w:r>
      <w:r w:rsidR="002161FE">
        <w:rPr>
          <w:rFonts w:ascii="Times New Roman" w:hAnsi="Times New Roman" w:cs="Times New Roman"/>
        </w:rPr>
        <w:t xml:space="preserve"> z </w:t>
      </w:r>
      <w:r w:rsidRPr="0024375B">
        <w:rPr>
          <w:rFonts w:ascii="Times New Roman" w:hAnsi="Times New Roman" w:cs="Times New Roman"/>
        </w:rPr>
        <w:t>możliwością wystąpienia incydentu krytycznego oraz zalecającym określone działania zmniejszające ryzyko wystąpienia tego incydentu. Instrument ten jest wzorowany na ostrzeżeniach wydawanych przez czeską Narodową Agencję Bezpieczeństwa Cybernetycznego</w:t>
      </w:r>
      <w:r w:rsidR="002161FE">
        <w:rPr>
          <w:rFonts w:ascii="Times New Roman" w:hAnsi="Times New Roman" w:cs="Times New Roman"/>
        </w:rPr>
        <w:t xml:space="preserve"> i </w:t>
      </w:r>
      <w:r w:rsidRPr="0024375B">
        <w:rPr>
          <w:rFonts w:ascii="Times New Roman" w:hAnsi="Times New Roman" w:cs="Times New Roman"/>
        </w:rPr>
        <w:t xml:space="preserve">Informacji. </w:t>
      </w:r>
      <w:r w:rsidR="00F41A04" w:rsidRPr="0024375B">
        <w:rPr>
          <w:rFonts w:ascii="Times New Roman" w:hAnsi="Times New Roman" w:cs="Times New Roman"/>
        </w:rPr>
        <w:t>Ostrzeżenie jako miękki środek będzie zawierało zalecenie określonego zachowania, które zmniejszy ryzyko wystąpienia incydentu. Katalog możliwych zaleceń został wskazany</w:t>
      </w:r>
      <w:r w:rsidR="002161FE">
        <w:rPr>
          <w:rFonts w:ascii="Times New Roman" w:hAnsi="Times New Roman" w:cs="Times New Roman"/>
        </w:rPr>
        <w:t xml:space="preserve"> w</w:t>
      </w:r>
      <w:r w:rsidR="00EA1900">
        <w:rPr>
          <w:rFonts w:ascii="Times New Roman" w:hAnsi="Times New Roman" w:cs="Times New Roman"/>
        </w:rPr>
        <w:t xml:space="preserve"> art. </w:t>
      </w:r>
      <w:r w:rsidR="00F41A04" w:rsidRPr="0024375B">
        <w:rPr>
          <w:rFonts w:ascii="Times New Roman" w:hAnsi="Times New Roman" w:cs="Times New Roman"/>
        </w:rPr>
        <w:t xml:space="preserve">67a </w:t>
      </w:r>
      <w:r w:rsidR="00D00CB4">
        <w:rPr>
          <w:rFonts w:ascii="Times New Roman" w:hAnsi="Times New Roman" w:cs="Times New Roman"/>
        </w:rPr>
        <w:t>ust. </w:t>
      </w:r>
      <w:r w:rsidR="4784B845" w:rsidRPr="0024375B">
        <w:rPr>
          <w:rFonts w:ascii="Times New Roman" w:hAnsi="Times New Roman" w:cs="Times New Roman"/>
        </w:rPr>
        <w:t>9</w:t>
      </w:r>
      <w:r w:rsidR="00F41A04" w:rsidRPr="0024375B">
        <w:rPr>
          <w:rFonts w:ascii="Times New Roman" w:hAnsi="Times New Roman" w:cs="Times New Roman"/>
        </w:rPr>
        <w:t xml:space="preserve">. </w:t>
      </w:r>
      <w:r w:rsidR="000423AA" w:rsidRPr="0024375B">
        <w:rPr>
          <w:rFonts w:ascii="Times New Roman" w:hAnsi="Times New Roman" w:cs="Times New Roman"/>
        </w:rPr>
        <w:t xml:space="preserve">Może to być m.in. </w:t>
      </w:r>
      <w:r w:rsidR="000423AA">
        <w:rPr>
          <w:rFonts w:ascii="Times New Roman" w:hAnsi="Times New Roman" w:cs="Times New Roman"/>
        </w:rPr>
        <w:t>zalecenie</w:t>
      </w:r>
      <w:r w:rsidR="000423AA" w:rsidRPr="0024375B">
        <w:rPr>
          <w:rFonts w:ascii="Times New Roman" w:hAnsi="Times New Roman" w:cs="Times New Roman"/>
        </w:rPr>
        <w:t xml:space="preserve"> zastosowania określonej poprawki bezpieczeństwa, szczególnej konfiguracji sprzętu lub oprogramowania</w:t>
      </w:r>
      <w:r w:rsidR="000423AA">
        <w:rPr>
          <w:rFonts w:ascii="Times New Roman" w:hAnsi="Times New Roman" w:cs="Times New Roman"/>
        </w:rPr>
        <w:t xml:space="preserve"> lub zalecenie zaprzestania</w:t>
      </w:r>
      <w:r w:rsidR="000423AA" w:rsidRPr="0024375B">
        <w:rPr>
          <w:rFonts w:ascii="Times New Roman" w:hAnsi="Times New Roman" w:cs="Times New Roman"/>
        </w:rPr>
        <w:t xml:space="preserve"> korzystania</w:t>
      </w:r>
      <w:r w:rsidR="000423AA">
        <w:rPr>
          <w:rFonts w:ascii="Times New Roman" w:hAnsi="Times New Roman" w:cs="Times New Roman"/>
        </w:rPr>
        <w:t xml:space="preserve"> z </w:t>
      </w:r>
      <w:r w:rsidR="000423AA" w:rsidRPr="0024375B">
        <w:rPr>
          <w:rFonts w:ascii="Times New Roman" w:hAnsi="Times New Roman" w:cs="Times New Roman"/>
        </w:rPr>
        <w:t xml:space="preserve">określonego sprzętu lub oprogramowania. </w:t>
      </w:r>
      <w:r w:rsidR="3FEA4FB8" w:rsidRPr="0024375B">
        <w:rPr>
          <w:rFonts w:ascii="Times New Roman" w:hAnsi="Times New Roman" w:cs="Times New Roman"/>
        </w:rPr>
        <w:t>Decyzja</w:t>
      </w:r>
      <w:r w:rsidR="0077165A">
        <w:rPr>
          <w:rFonts w:ascii="Times New Roman" w:hAnsi="Times New Roman" w:cs="Times New Roman"/>
        </w:rPr>
        <w:t xml:space="preserve"> o </w:t>
      </w:r>
      <w:r w:rsidR="3FEA4FB8" w:rsidRPr="0024375B">
        <w:rPr>
          <w:rFonts w:ascii="Times New Roman" w:hAnsi="Times New Roman" w:cs="Times New Roman"/>
        </w:rPr>
        <w:t>zastosowaniu się do ostrzeżenia będzie należała do adresatów ostrzeżenia.</w:t>
      </w:r>
    </w:p>
    <w:p w14:paraId="51FDF41F" w14:textId="77777777" w:rsidR="0052339B" w:rsidRPr="0024375B" w:rsidRDefault="0052339B" w:rsidP="00DC1575">
      <w:pPr>
        <w:pStyle w:val="Nagwek4"/>
      </w:pPr>
      <w:r w:rsidRPr="0024375B">
        <w:t>Nowy</w:t>
      </w:r>
      <w:r w:rsidR="00EA1900">
        <w:t xml:space="preserve"> art. </w:t>
      </w:r>
      <w:r w:rsidRPr="0024375B">
        <w:t>67</w:t>
      </w:r>
      <w:r w:rsidR="000423AA">
        <w:t>b</w:t>
      </w:r>
    </w:p>
    <w:p w14:paraId="168B1F90" w14:textId="77777777" w:rsidR="00112B08" w:rsidRPr="0024375B" w:rsidRDefault="6EDA4D89"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 xml:space="preserve">Z uwagi na konstytucyjną niezależność Narodowego Banku Polskiego </w:t>
      </w:r>
      <w:r w:rsidR="3E1DCEE9" w:rsidRPr="0024375B">
        <w:rPr>
          <w:rFonts w:ascii="Times New Roman" w:hAnsi="Times New Roman" w:cs="Times New Roman"/>
        </w:rPr>
        <w:t>nie będą do niego stosowały się przepisy dotyczące wycofania produktów ICT, usług ICT, procesów ICT pochodzących od dostawcy wysokiego ryzyka. Minister właściwy do spraw informatyzacji będzie informował Prezesa Narodowego Banku Polskiego</w:t>
      </w:r>
      <w:r w:rsidR="0077165A">
        <w:rPr>
          <w:rFonts w:ascii="Times New Roman" w:hAnsi="Times New Roman" w:cs="Times New Roman"/>
        </w:rPr>
        <w:t xml:space="preserve"> o </w:t>
      </w:r>
      <w:r w:rsidR="3E1DCEE9" w:rsidRPr="0024375B">
        <w:rPr>
          <w:rFonts w:ascii="Times New Roman" w:hAnsi="Times New Roman" w:cs="Times New Roman"/>
        </w:rPr>
        <w:t>wydaniu decyzji</w:t>
      </w:r>
      <w:r w:rsidR="0077165A">
        <w:rPr>
          <w:rFonts w:ascii="Times New Roman" w:hAnsi="Times New Roman" w:cs="Times New Roman"/>
        </w:rPr>
        <w:t xml:space="preserve"> o </w:t>
      </w:r>
      <w:r w:rsidR="3E1DCEE9" w:rsidRPr="0024375B">
        <w:rPr>
          <w:rFonts w:ascii="Times New Roman" w:hAnsi="Times New Roman" w:cs="Times New Roman"/>
        </w:rPr>
        <w:t xml:space="preserve">uznaniu </w:t>
      </w:r>
      <w:r w:rsidR="422430D5" w:rsidRPr="0024375B">
        <w:rPr>
          <w:rFonts w:ascii="Times New Roman" w:hAnsi="Times New Roman" w:cs="Times New Roman"/>
        </w:rPr>
        <w:t xml:space="preserve">danego dostawcy </w:t>
      </w:r>
      <w:r w:rsidR="3E1DCEE9" w:rsidRPr="0024375B">
        <w:rPr>
          <w:rFonts w:ascii="Times New Roman" w:hAnsi="Times New Roman" w:cs="Times New Roman"/>
        </w:rPr>
        <w:t>za dostawcę wysokiego ryzyka.</w:t>
      </w:r>
      <w:r w:rsidR="422430D5" w:rsidRPr="0024375B">
        <w:rPr>
          <w:rFonts w:ascii="Times New Roman" w:hAnsi="Times New Roman" w:cs="Times New Roman"/>
        </w:rPr>
        <w:t xml:space="preserve"> Prezes Narodowego Banku Polskiego zdecyduje </w:t>
      </w:r>
      <w:r w:rsidR="43059A68" w:rsidRPr="0024375B">
        <w:rPr>
          <w:rFonts w:ascii="Times New Roman" w:hAnsi="Times New Roman" w:cs="Times New Roman"/>
        </w:rPr>
        <w:t xml:space="preserve">zatem </w:t>
      </w:r>
      <w:r w:rsidR="422430D5" w:rsidRPr="0024375B">
        <w:rPr>
          <w:rFonts w:ascii="Times New Roman" w:hAnsi="Times New Roman" w:cs="Times New Roman"/>
        </w:rPr>
        <w:t xml:space="preserve">czy </w:t>
      </w:r>
      <w:r w:rsidR="43059A68" w:rsidRPr="0024375B">
        <w:rPr>
          <w:rFonts w:ascii="Times New Roman" w:hAnsi="Times New Roman" w:cs="Times New Roman"/>
        </w:rPr>
        <w:t>wycofa produkty ICT, usługi ICT oraz procesy ICT wskazane</w:t>
      </w:r>
      <w:r w:rsidR="00EA1900">
        <w:rPr>
          <w:rFonts w:ascii="Times New Roman" w:hAnsi="Times New Roman" w:cs="Times New Roman"/>
        </w:rPr>
        <w:t xml:space="preserve"> w </w:t>
      </w:r>
      <w:r w:rsidR="43059A68" w:rsidRPr="0024375B">
        <w:rPr>
          <w:rFonts w:ascii="Times New Roman" w:hAnsi="Times New Roman" w:cs="Times New Roman"/>
        </w:rPr>
        <w:t>decyzji</w:t>
      </w:r>
      <w:r w:rsidR="0077165A">
        <w:rPr>
          <w:rFonts w:ascii="Times New Roman" w:hAnsi="Times New Roman" w:cs="Times New Roman"/>
        </w:rPr>
        <w:t xml:space="preserve"> o </w:t>
      </w:r>
      <w:r w:rsidR="43059A68" w:rsidRPr="0024375B">
        <w:rPr>
          <w:rFonts w:ascii="Times New Roman" w:hAnsi="Times New Roman" w:cs="Times New Roman"/>
        </w:rPr>
        <w:t xml:space="preserve">uznaniu dostawcy za dostawcę wysokiego ryzyka. </w:t>
      </w:r>
    </w:p>
    <w:p w14:paraId="72469C3E" w14:textId="77777777" w:rsidR="0052339B" w:rsidRPr="0024375B" w:rsidRDefault="0052339B" w:rsidP="00DC1575">
      <w:pPr>
        <w:pStyle w:val="Nagwek4"/>
      </w:pPr>
      <w:r w:rsidRPr="0024375B">
        <w:lastRenderedPageBreak/>
        <w:t>Nowy</w:t>
      </w:r>
      <w:r w:rsidR="00EA1900">
        <w:t xml:space="preserve"> art. </w:t>
      </w:r>
      <w:r w:rsidRPr="0024375B">
        <w:t>67</w:t>
      </w:r>
      <w:r w:rsidR="000423AA">
        <w:t>c</w:t>
      </w:r>
    </w:p>
    <w:p w14:paraId="19E4FAED" w14:textId="77777777" w:rsidR="00ED38F0" w:rsidRPr="0024375B" w:rsidRDefault="0E4D911F" w:rsidP="0024375B">
      <w:pPr>
        <w:pStyle w:val="ARTartustawynprozporzdzenia"/>
      </w:pPr>
      <w:r w:rsidRPr="0024375B">
        <w:t>W</w:t>
      </w:r>
      <w:r w:rsidR="00EA1900">
        <w:t xml:space="preserve"> art. </w:t>
      </w:r>
      <w:r w:rsidRPr="0024375B">
        <w:t>67</w:t>
      </w:r>
      <w:r w:rsidR="000423AA">
        <w:t>c</w:t>
      </w:r>
      <w:r w:rsidRPr="0024375B">
        <w:t xml:space="preserve"> dodano opcjonalną możliwość przekazania zadań zespołów CSIRT, określonych</w:t>
      </w:r>
      <w:r w:rsidR="002161FE">
        <w:t xml:space="preserve"> w</w:t>
      </w:r>
      <w:r w:rsidR="00EA1900">
        <w:t xml:space="preserve"> art. </w:t>
      </w:r>
      <w:r w:rsidRPr="0024375B">
        <w:t>26, Ministrowi Obrony Narodowej. Decyzję</w:t>
      </w:r>
      <w:r w:rsidR="00EA1900">
        <w:t xml:space="preserve"> w </w:t>
      </w:r>
      <w:r w:rsidRPr="0024375B">
        <w:t>tej sprawie podejmie Prezes Rady Ministrów, działając na podstawie rekomendacji Kolegium do Spraw Cyberbezpieczeństwa oraz</w:t>
      </w:r>
      <w:r w:rsidR="00EA1900">
        <w:t xml:space="preserve"> w </w:t>
      </w:r>
      <w:r w:rsidRPr="0024375B">
        <w:t>uzgodnieniu</w:t>
      </w:r>
      <w:r w:rsidR="002161FE">
        <w:t xml:space="preserve"> z </w:t>
      </w:r>
      <w:r w:rsidRPr="0024375B">
        <w:t>Ministrem Obrony Narodowej.</w:t>
      </w:r>
      <w:r w:rsidR="00116933">
        <w:t xml:space="preserve"> W </w:t>
      </w:r>
      <w:r w:rsidRPr="0024375B">
        <w:t>decyzji zostaną określone m.in. zakres, czas powierzenia zadań</w:t>
      </w:r>
      <w:r w:rsidR="002161FE">
        <w:t xml:space="preserve"> a </w:t>
      </w:r>
      <w:r w:rsidRPr="0024375B">
        <w:t>także fakultatywnie szczegóły współpracy</w:t>
      </w:r>
      <w:r w:rsidR="002161FE">
        <w:t xml:space="preserve"> z </w:t>
      </w:r>
      <w:r w:rsidRPr="0024375B">
        <w:t>CSIRT MON, CSIRT NASK</w:t>
      </w:r>
      <w:r w:rsidR="002161FE">
        <w:t xml:space="preserve"> i </w:t>
      </w:r>
      <w:r w:rsidRPr="0024375B">
        <w:t>CSIRT GOV.</w:t>
      </w:r>
      <w:r w:rsidR="005E56D3">
        <w:t xml:space="preserve"> Zadania te będą realizowane przez Ministra Obrony Narodowej za pomocą jego jednostek podległych lub przez niego nadzorowanych. Decyzja będzie ogłaszana w Dzienniku Urzędowym Rzeczypospolitej Polskiej „Monitor Polski”. Ponadto celem poinformowania podmiotów krajowego systemu cyberbezpieczeństwa informacja o ogłoszeniu decyzji będzie publikowana </w:t>
      </w:r>
      <w:r w:rsidR="005E56D3" w:rsidRPr="005E56D3">
        <w:t>na stronach internetowych CSIRT GOV, CSIRT MON, CSIRT NASK lub jest udostępniania w Biuletynie Informacji Publicznej na stronie podmiotowej Pełnomocnika Rządu do Spraw Cyberbezpieczeństwa</w:t>
      </w:r>
      <w:r w:rsidR="005E56D3">
        <w:t>.</w:t>
      </w:r>
    </w:p>
    <w:p w14:paraId="007B0814" w14:textId="77777777" w:rsidR="2FE5BDC5" w:rsidRPr="0024375B" w:rsidRDefault="2FE5BDC5" w:rsidP="0024375B">
      <w:pPr>
        <w:pStyle w:val="ARTartustawynprozporzdzenia"/>
      </w:pPr>
    </w:p>
    <w:p w14:paraId="0AF1A0AA" w14:textId="77777777" w:rsidR="00983C3C" w:rsidRPr="0024375B" w:rsidRDefault="00983C3C" w:rsidP="00862E68">
      <w:pPr>
        <w:pStyle w:val="Nagwek3"/>
      </w:pPr>
      <w:bookmarkStart w:id="36" w:name="_Toc136511058"/>
      <w:r w:rsidRPr="0024375B">
        <w:t>Zmiany</w:t>
      </w:r>
      <w:r w:rsidR="00EA1900">
        <w:t xml:space="preserve"> w </w:t>
      </w:r>
      <w:r w:rsidRPr="0024375B">
        <w:t>przepisach</w:t>
      </w:r>
      <w:r w:rsidR="0077165A">
        <w:t xml:space="preserve"> o </w:t>
      </w:r>
      <w:r w:rsidR="00982C10" w:rsidRPr="0024375B">
        <w:t xml:space="preserve">administracyjnych </w:t>
      </w:r>
      <w:r w:rsidRPr="0024375B">
        <w:t>kar</w:t>
      </w:r>
      <w:r w:rsidR="00982C10" w:rsidRPr="0024375B">
        <w:t>ach pieniężnych</w:t>
      </w:r>
      <w:bookmarkEnd w:id="36"/>
    </w:p>
    <w:p w14:paraId="72AD527A" w14:textId="77777777" w:rsidR="00EA4AEB" w:rsidRPr="0024375B" w:rsidRDefault="00EA4AEB" w:rsidP="0024375B">
      <w:pPr>
        <w:rPr>
          <w:lang w:eastAsia="en-US"/>
        </w:rPr>
      </w:pPr>
    </w:p>
    <w:p w14:paraId="7E420AEA" w14:textId="77777777" w:rsidR="004A4085" w:rsidRPr="0024375B" w:rsidRDefault="004A4085" w:rsidP="0024375B">
      <w:pPr>
        <w:spacing w:after="120"/>
        <w:ind w:firstLine="510"/>
        <w:jc w:val="both"/>
        <w:rPr>
          <w:szCs w:val="24"/>
        </w:rPr>
      </w:pPr>
      <w:r w:rsidRPr="0024375B">
        <w:t>W związku ze zmianami</w:t>
      </w:r>
      <w:r w:rsidR="00EA1900">
        <w:t xml:space="preserve"> w </w:t>
      </w:r>
      <w:r w:rsidRPr="0024375B">
        <w:t>przepisach materialnych należało odpowiednio zmodyfikować przepisy</w:t>
      </w:r>
      <w:r w:rsidR="0077165A">
        <w:t xml:space="preserve"> o </w:t>
      </w:r>
      <w:r w:rsidRPr="0024375B">
        <w:t>karach administracyjnych. Kary administracyjne pełnią</w:t>
      </w:r>
      <w:r w:rsidR="00EA1900">
        <w:t xml:space="preserve"> w </w:t>
      </w:r>
      <w:r w:rsidRPr="0024375B">
        <w:t>systemie prawa przede wszystkim funkcję prewencyjną oraz represyjną</w:t>
      </w:r>
      <w:r w:rsidRPr="0024375B">
        <w:rPr>
          <w:rStyle w:val="Odwoanieprzypisudolnego"/>
          <w:szCs w:val="24"/>
        </w:rPr>
        <w:footnoteReference w:id="63"/>
      </w:r>
      <w:r w:rsidR="00B26928">
        <w:rPr>
          <w:vertAlign w:val="superscript"/>
        </w:rPr>
        <w:t>)</w:t>
      </w:r>
      <w:r w:rsidR="00A3395F" w:rsidRPr="0024375B">
        <w:t>,</w:t>
      </w:r>
      <w:r w:rsidRPr="0024375B">
        <w:t xml:space="preserve"> dlatego niezbędne jest ich prawidłowe ustanowienie oraz zapewnienie skutecznego stosowania.</w:t>
      </w:r>
      <w:r w:rsidR="00116933">
        <w:t xml:space="preserve"> W</w:t>
      </w:r>
      <w:r w:rsidR="00EA1900">
        <w:t xml:space="preserve"> art. </w:t>
      </w:r>
      <w:r w:rsidRPr="0024375B">
        <w:t>73 ustawy, będącym przedmiotowo-podmiotowym katalogiem kar pieniężnych, wprowadzono zmiany zarówno techniczne, ujednolicające jak</w:t>
      </w:r>
      <w:r w:rsidR="002161FE">
        <w:t xml:space="preserve"> i </w:t>
      </w:r>
      <w:r w:rsidRPr="0024375B">
        <w:t>dodano przesłanki ponoszenia odpowiedzialności przez operatora usługi kluczowej. Nadto wprowadza się</w:t>
      </w:r>
      <w:r w:rsidR="00EA1900">
        <w:t xml:space="preserve"> w </w:t>
      </w:r>
      <w:r w:rsidRPr="0024375B">
        <w:t>ustawie</w:t>
      </w:r>
      <w:r w:rsidR="0077165A">
        <w:t xml:space="preserve"> o </w:t>
      </w:r>
      <w:r w:rsidRPr="0024375B">
        <w:t>Krajowym Systemie Cyberbezpieczeństwa karę na operatora usługi kluczowej, który</w:t>
      </w:r>
      <w:r w:rsidR="002161FE">
        <w:t xml:space="preserve"> z </w:t>
      </w:r>
      <w:r w:rsidRPr="0024375B">
        <w:t>własnej winy nie korzysta</w:t>
      </w:r>
      <w:r w:rsidR="002161FE">
        <w:t xml:space="preserve"> z </w:t>
      </w:r>
      <w:r w:rsidRPr="0024375B">
        <w:t>systemu S46</w:t>
      </w:r>
      <w:r w:rsidR="00EA1900">
        <w:t xml:space="preserve"> w </w:t>
      </w:r>
      <w:r w:rsidRPr="0024375B">
        <w:t>celu realizacji obowiązków</w:t>
      </w:r>
      <w:r w:rsidR="002161FE">
        <w:t xml:space="preserve"> z</w:t>
      </w:r>
      <w:r w:rsidR="00EA1900">
        <w:t xml:space="preserve"> art. </w:t>
      </w:r>
      <w:r w:rsidRPr="0024375B">
        <w:t>11, czyli przekazywania zgłoszeń incydentów poważnych. Kara nie będzie więc nakładana np.</w:t>
      </w:r>
      <w:r w:rsidR="00EA1900">
        <w:t xml:space="preserve"> w </w:t>
      </w:r>
      <w:r w:rsidRPr="0024375B">
        <w:t>sytuacjach siły wyższej, gdy</w:t>
      </w:r>
      <w:r w:rsidR="002161FE">
        <w:t xml:space="preserve"> z </w:t>
      </w:r>
      <w:r w:rsidRPr="0024375B">
        <w:t>powodów technicznych nie było możliwości przekazania zgłoszenia. Ponadto wprowadza się karę za brak współdziałania operatora usługi kluczowej</w:t>
      </w:r>
      <w:r w:rsidR="002161FE">
        <w:t xml:space="preserve"> z </w:t>
      </w:r>
      <w:r w:rsidRPr="0024375B">
        <w:t>CSIRT sektorowym podczas obsługi incydentu poważnego,</w:t>
      </w:r>
      <w:r w:rsidR="002161FE">
        <w:t xml:space="preserve"> a </w:t>
      </w:r>
      <w:r w:rsidRPr="0024375B">
        <w:t>także za niezapewnienie temu zespołowi dostępu do informacji</w:t>
      </w:r>
      <w:r w:rsidR="0077165A">
        <w:t xml:space="preserve"> o </w:t>
      </w:r>
      <w:r w:rsidRPr="0024375B">
        <w:t>rejestrowanych incydentach.</w:t>
      </w:r>
    </w:p>
    <w:p w14:paraId="46A9AD84" w14:textId="77777777" w:rsidR="004A4085" w:rsidRPr="0024375B" w:rsidRDefault="004A4085" w:rsidP="0024375B">
      <w:pPr>
        <w:spacing w:after="120"/>
        <w:ind w:firstLine="510"/>
        <w:jc w:val="both"/>
        <w:rPr>
          <w:szCs w:val="24"/>
        </w:rPr>
      </w:pPr>
      <w:r w:rsidRPr="0024375B">
        <w:rPr>
          <w:szCs w:val="24"/>
        </w:rPr>
        <w:t>Co więcej nowelizacja przewiduje poszerzenie katalogu podmiotów, które będą podlegały obligatoryjnej odpowiedzialności karnoadministracyjnej.</w:t>
      </w:r>
      <w:r w:rsidR="00116933">
        <w:rPr>
          <w:szCs w:val="24"/>
        </w:rPr>
        <w:t xml:space="preserve"> W </w:t>
      </w:r>
      <w:r w:rsidRPr="0024375B">
        <w:rPr>
          <w:szCs w:val="24"/>
        </w:rPr>
        <w:t>szczególności przewidziane zostały kary za posługiwanie się certyfikatem lub deklaracją zgodności</w:t>
      </w:r>
      <w:r w:rsidR="00EA1900">
        <w:rPr>
          <w:szCs w:val="24"/>
        </w:rPr>
        <w:t xml:space="preserve"> w </w:t>
      </w:r>
      <w:r w:rsidRPr="0024375B">
        <w:rPr>
          <w:szCs w:val="24"/>
        </w:rPr>
        <w:t>przypadku niespełniania przez dany produkt warunków określonych</w:t>
      </w:r>
      <w:r w:rsidR="00EA1900">
        <w:rPr>
          <w:szCs w:val="24"/>
        </w:rPr>
        <w:t xml:space="preserve"> w </w:t>
      </w:r>
      <w:r w:rsidRPr="0024375B">
        <w:rPr>
          <w:szCs w:val="24"/>
        </w:rPr>
        <w:t xml:space="preserve">programie certyfikacji. Zapewnia to, że próby nadużycia systemu będą spotykały się ze zdecydowaną </w:t>
      </w:r>
      <w:r w:rsidRPr="0024375B">
        <w:rPr>
          <w:szCs w:val="24"/>
        </w:rPr>
        <w:lastRenderedPageBreak/>
        <w:t>reakcją. Odpowiedzialności podlegać będą też m.in. osoby fizyczne, prawne</w:t>
      </w:r>
      <w:r w:rsidR="002161FE">
        <w:rPr>
          <w:szCs w:val="24"/>
        </w:rPr>
        <w:t xml:space="preserve"> i </w:t>
      </w:r>
      <w:r w:rsidRPr="0024375B">
        <w:rPr>
          <w:szCs w:val="24"/>
        </w:rPr>
        <w:t>jednostki organizacyjne nieposiadające osobowości prawnej, które utrudniają lub uniemożliwiają właściwym organom prowadzenie czynności kontrolnych. Wysokość kar administracyjnych została odpowiednio zróżnicowana tak by były one skuteczne, proporcjonalne do czynu oraz odstraszające (art. 73 ust.1a</w:t>
      </w:r>
      <w:r w:rsidR="00B26928">
        <w:rPr>
          <w:szCs w:val="24"/>
        </w:rPr>
        <w:t>–</w:t>
      </w:r>
      <w:r w:rsidRPr="0024375B">
        <w:rPr>
          <w:szCs w:val="24"/>
        </w:rPr>
        <w:t xml:space="preserve">1c). </w:t>
      </w:r>
    </w:p>
    <w:p w14:paraId="76727A31" w14:textId="77777777" w:rsidR="004A4085" w:rsidRPr="0024375B" w:rsidRDefault="004A4085" w:rsidP="0024375B">
      <w:pPr>
        <w:pStyle w:val="ARTartustawynprozporzdzenia"/>
        <w:spacing w:after="120"/>
        <w:rPr>
          <w:rFonts w:ascii="Times New Roman" w:hAnsi="Times New Roman" w:cs="Times New Roman"/>
          <w:szCs w:val="24"/>
        </w:rPr>
      </w:pPr>
      <w:r w:rsidRPr="0024375B">
        <w:rPr>
          <w:rFonts w:ascii="Times New Roman" w:hAnsi="Times New Roman" w:cs="Times New Roman"/>
          <w:szCs w:val="24"/>
        </w:rPr>
        <w:t>Przewidziano także kary dla podmiotów zobowiązanych do wycofania sprzętu dostawcy uznanego za dostawcę wysokiego ryzyka. Kara dla podmiotów zobowiązanych do wycofania sprzętu dostawcy uznanego za dostawcę wysokiego ryzyka będzie nakładana</w:t>
      </w:r>
      <w:r w:rsidR="00EA1900">
        <w:rPr>
          <w:rFonts w:ascii="Times New Roman" w:hAnsi="Times New Roman" w:cs="Times New Roman"/>
          <w:szCs w:val="24"/>
        </w:rPr>
        <w:t xml:space="preserve"> w </w:t>
      </w:r>
      <w:r w:rsidRPr="0024375B">
        <w:rPr>
          <w:rFonts w:ascii="Times New Roman" w:hAnsi="Times New Roman" w:cs="Times New Roman"/>
          <w:szCs w:val="24"/>
        </w:rPr>
        <w:t>sytuacji naruszenia przez te podmioty obowiązków określonych</w:t>
      </w:r>
      <w:r w:rsidR="002161FE">
        <w:rPr>
          <w:rFonts w:ascii="Times New Roman" w:hAnsi="Times New Roman" w:cs="Times New Roman"/>
          <w:szCs w:val="24"/>
        </w:rPr>
        <w:t xml:space="preserve"> w</w:t>
      </w:r>
      <w:r w:rsidR="00EA1900">
        <w:rPr>
          <w:rFonts w:ascii="Times New Roman" w:hAnsi="Times New Roman" w:cs="Times New Roman"/>
          <w:szCs w:val="24"/>
        </w:rPr>
        <w:t xml:space="preserve"> art. </w:t>
      </w:r>
      <w:r w:rsidRPr="0024375B">
        <w:rPr>
          <w:rFonts w:ascii="Times New Roman" w:hAnsi="Times New Roman" w:cs="Times New Roman"/>
          <w:szCs w:val="24"/>
        </w:rPr>
        <w:t>66b,</w:t>
      </w:r>
      <w:r w:rsidR="002161FE">
        <w:rPr>
          <w:rFonts w:ascii="Times New Roman" w:hAnsi="Times New Roman" w:cs="Times New Roman"/>
          <w:szCs w:val="24"/>
        </w:rPr>
        <w:t xml:space="preserve"> a </w:t>
      </w:r>
      <w:r w:rsidRPr="0024375B">
        <w:rPr>
          <w:rFonts w:ascii="Times New Roman" w:hAnsi="Times New Roman" w:cs="Times New Roman"/>
          <w:szCs w:val="24"/>
        </w:rPr>
        <w:t>zatem</w:t>
      </w:r>
      <w:r w:rsidR="00EA1900">
        <w:rPr>
          <w:rFonts w:ascii="Times New Roman" w:hAnsi="Times New Roman" w:cs="Times New Roman"/>
          <w:szCs w:val="24"/>
        </w:rPr>
        <w:t xml:space="preserve"> w </w:t>
      </w:r>
      <w:r w:rsidRPr="0024375B">
        <w:rPr>
          <w:rFonts w:ascii="Times New Roman" w:hAnsi="Times New Roman" w:cs="Times New Roman"/>
          <w:szCs w:val="24"/>
        </w:rPr>
        <w:t>sytuacji wprowadzania do użytkowania typów produktów, rodzajów usług</w:t>
      </w:r>
      <w:r w:rsidR="002161FE">
        <w:rPr>
          <w:rFonts w:ascii="Times New Roman" w:hAnsi="Times New Roman" w:cs="Times New Roman"/>
          <w:szCs w:val="24"/>
        </w:rPr>
        <w:t xml:space="preserve"> i </w:t>
      </w:r>
      <w:r w:rsidRPr="0024375B">
        <w:rPr>
          <w:rFonts w:ascii="Times New Roman" w:hAnsi="Times New Roman" w:cs="Times New Roman"/>
          <w:szCs w:val="24"/>
        </w:rPr>
        <w:t>konkretnych procesów ICT</w:t>
      </w:r>
      <w:r w:rsidR="00EA1900">
        <w:rPr>
          <w:rFonts w:ascii="Times New Roman" w:hAnsi="Times New Roman" w:cs="Times New Roman"/>
          <w:szCs w:val="24"/>
        </w:rPr>
        <w:t xml:space="preserve"> w </w:t>
      </w:r>
      <w:r w:rsidRPr="0024375B">
        <w:rPr>
          <w:rFonts w:ascii="Times New Roman" w:hAnsi="Times New Roman" w:cs="Times New Roman"/>
          <w:szCs w:val="24"/>
        </w:rPr>
        <w:t>zakresie objętym decyzją, dostarczanych przez dostawcę wysokiego ryzyka lub</w:t>
      </w:r>
      <w:r w:rsidR="00EA1900">
        <w:rPr>
          <w:rFonts w:ascii="Times New Roman" w:hAnsi="Times New Roman" w:cs="Times New Roman"/>
          <w:szCs w:val="24"/>
        </w:rPr>
        <w:t xml:space="preserve"> w </w:t>
      </w:r>
      <w:r w:rsidRPr="0024375B">
        <w:rPr>
          <w:rFonts w:ascii="Times New Roman" w:hAnsi="Times New Roman" w:cs="Times New Roman"/>
          <w:szCs w:val="24"/>
        </w:rPr>
        <w:t>sytuacji niewycofania</w:t>
      </w:r>
      <w:r w:rsidR="002161FE">
        <w:rPr>
          <w:rFonts w:ascii="Times New Roman" w:hAnsi="Times New Roman" w:cs="Times New Roman"/>
          <w:szCs w:val="24"/>
        </w:rPr>
        <w:t xml:space="preserve"> z </w:t>
      </w:r>
      <w:r w:rsidRPr="0024375B">
        <w:rPr>
          <w:rFonts w:ascii="Times New Roman" w:hAnsi="Times New Roman" w:cs="Times New Roman"/>
          <w:szCs w:val="24"/>
        </w:rPr>
        <w:t>użytkowania przedmiotowych produktów, usług bądź procesów ICT dostarczanych przez dostawcę wysokiego ryzyka</w:t>
      </w:r>
      <w:r w:rsidR="00EA1900">
        <w:rPr>
          <w:rFonts w:ascii="Times New Roman" w:hAnsi="Times New Roman" w:cs="Times New Roman"/>
          <w:szCs w:val="24"/>
        </w:rPr>
        <w:t xml:space="preserve"> w </w:t>
      </w:r>
      <w:r w:rsidRPr="0024375B">
        <w:rPr>
          <w:rFonts w:ascii="Times New Roman" w:hAnsi="Times New Roman" w:cs="Times New Roman"/>
          <w:szCs w:val="24"/>
        </w:rPr>
        <w:t>terminie do 7 lat od ogłoszenia lub udostępnienia informacji</w:t>
      </w:r>
      <w:r w:rsidR="0077165A">
        <w:rPr>
          <w:rFonts w:ascii="Times New Roman" w:hAnsi="Times New Roman" w:cs="Times New Roman"/>
          <w:szCs w:val="24"/>
        </w:rPr>
        <w:t xml:space="preserve"> o </w:t>
      </w:r>
      <w:r w:rsidRPr="0024375B">
        <w:rPr>
          <w:rFonts w:ascii="Times New Roman" w:hAnsi="Times New Roman" w:cs="Times New Roman"/>
          <w:szCs w:val="24"/>
        </w:rPr>
        <w:t>decyzji.</w:t>
      </w:r>
      <w:r w:rsidR="00116933">
        <w:rPr>
          <w:rFonts w:ascii="Times New Roman" w:hAnsi="Times New Roman" w:cs="Times New Roman"/>
          <w:szCs w:val="24"/>
        </w:rPr>
        <w:t xml:space="preserve"> </w:t>
      </w:r>
      <w:r w:rsidRPr="0024375B">
        <w:rPr>
          <w:rFonts w:ascii="Times New Roman" w:hAnsi="Times New Roman" w:cs="Times New Roman"/>
          <w:szCs w:val="24"/>
        </w:rPr>
        <w:t>Obydwie kary będą wynosiły do 3% całkowitego rocznego światowego obrotu danego podmiotu</w:t>
      </w:r>
      <w:r w:rsidR="002161FE">
        <w:rPr>
          <w:rFonts w:ascii="Times New Roman" w:hAnsi="Times New Roman" w:cs="Times New Roman"/>
          <w:szCs w:val="24"/>
        </w:rPr>
        <w:t xml:space="preserve"> z </w:t>
      </w:r>
      <w:r w:rsidRPr="0024375B">
        <w:rPr>
          <w:rFonts w:ascii="Times New Roman" w:hAnsi="Times New Roman" w:cs="Times New Roman"/>
          <w:szCs w:val="24"/>
        </w:rPr>
        <w:t>poprzedniego roku obrotowego.</w:t>
      </w:r>
      <w:r w:rsidR="00116933">
        <w:rPr>
          <w:rFonts w:ascii="Times New Roman" w:hAnsi="Times New Roman" w:cs="Times New Roman"/>
          <w:szCs w:val="24"/>
        </w:rPr>
        <w:t xml:space="preserve"> W </w:t>
      </w:r>
      <w:r w:rsidRPr="0024375B">
        <w:rPr>
          <w:rFonts w:ascii="Times New Roman" w:hAnsi="Times New Roman" w:cs="Times New Roman"/>
          <w:szCs w:val="24"/>
        </w:rPr>
        <w:t>przypadku podmiotów publicznych kara będzie wynosić do 100 000 zł.</w:t>
      </w:r>
    </w:p>
    <w:p w14:paraId="20C69074" w14:textId="77777777" w:rsidR="004A4085" w:rsidRPr="0024375B" w:rsidRDefault="004A4085" w:rsidP="0024375B">
      <w:pPr>
        <w:spacing w:before="240" w:after="120"/>
        <w:ind w:firstLine="510"/>
        <w:jc w:val="both"/>
        <w:rPr>
          <w:szCs w:val="24"/>
        </w:rPr>
      </w:pPr>
      <w:r w:rsidRPr="0024375B">
        <w:rPr>
          <w:szCs w:val="24"/>
        </w:rPr>
        <w:t>Ponadto, niezależnie od kary pieniężnej</w:t>
      </w:r>
      <w:r w:rsidR="00EA1900">
        <w:rPr>
          <w:szCs w:val="24"/>
        </w:rPr>
        <w:t xml:space="preserve"> w </w:t>
      </w:r>
      <w:r w:rsidRPr="0024375B">
        <w:rPr>
          <w:szCs w:val="24"/>
        </w:rPr>
        <w:t>przypadku podmiotu publicznego, który nie wyznaczył osób,</w:t>
      </w:r>
      <w:r w:rsidR="0077165A">
        <w:rPr>
          <w:szCs w:val="24"/>
        </w:rPr>
        <w:t xml:space="preserve"> o </w:t>
      </w:r>
      <w:r w:rsidRPr="0024375B">
        <w:rPr>
          <w:szCs w:val="24"/>
        </w:rPr>
        <w:t>których mowa</w:t>
      </w:r>
      <w:r w:rsidR="002161FE">
        <w:rPr>
          <w:szCs w:val="24"/>
        </w:rPr>
        <w:t xml:space="preserve"> w</w:t>
      </w:r>
      <w:r w:rsidR="00EA1900">
        <w:rPr>
          <w:szCs w:val="24"/>
        </w:rPr>
        <w:t xml:space="preserve"> art. </w:t>
      </w:r>
      <w:r w:rsidRPr="0024375B">
        <w:rPr>
          <w:szCs w:val="24"/>
        </w:rPr>
        <w:t>21 ustawy, minister właściwy do spraw informatyzacji zyskuje uprawnienie do nałożenia</w:t>
      </w:r>
      <w:r w:rsidR="00EA1900">
        <w:rPr>
          <w:szCs w:val="24"/>
        </w:rPr>
        <w:t xml:space="preserve"> w </w:t>
      </w:r>
      <w:r w:rsidRPr="0024375B">
        <w:rPr>
          <w:szCs w:val="24"/>
        </w:rPr>
        <w:t>drodze decyzji na kierującego podmiotem publicznym, realizującym zadanie publiczne zależne od systemu informacyjnego, karę pieniężną</w:t>
      </w:r>
      <w:r w:rsidR="00EA1900">
        <w:rPr>
          <w:szCs w:val="24"/>
        </w:rPr>
        <w:t xml:space="preserve"> w </w:t>
      </w:r>
      <w:r w:rsidRPr="0024375B">
        <w:rPr>
          <w:szCs w:val="24"/>
        </w:rPr>
        <w:t>wysokości do jednokrotności minimalnego wynagrodzenia za pracę</w:t>
      </w:r>
      <w:r w:rsidR="00EA1900">
        <w:rPr>
          <w:szCs w:val="24"/>
        </w:rPr>
        <w:t xml:space="preserve"> w </w:t>
      </w:r>
      <w:r w:rsidRPr="0024375B">
        <w:rPr>
          <w:szCs w:val="24"/>
        </w:rPr>
        <w:t>roku,</w:t>
      </w:r>
      <w:r w:rsidR="00EA1900">
        <w:rPr>
          <w:szCs w:val="24"/>
        </w:rPr>
        <w:t xml:space="preserve"> w </w:t>
      </w:r>
      <w:r w:rsidRPr="0024375B">
        <w:rPr>
          <w:szCs w:val="24"/>
        </w:rPr>
        <w:t>którym nie został wykonany obowiązek. Podobne rozwiązanie przyjęto przy niewypełnianiu przez podmiot obowiązków informacyjnych</w:t>
      </w:r>
      <w:r w:rsidR="0077165A">
        <w:rPr>
          <w:szCs w:val="24"/>
        </w:rPr>
        <w:t xml:space="preserve"> o </w:t>
      </w:r>
      <w:r w:rsidRPr="0024375B">
        <w:rPr>
          <w:szCs w:val="24"/>
        </w:rPr>
        <w:t>których mowa</w:t>
      </w:r>
      <w:r w:rsidR="002161FE">
        <w:rPr>
          <w:szCs w:val="24"/>
        </w:rPr>
        <w:t xml:space="preserve"> w</w:t>
      </w:r>
      <w:r w:rsidR="00EA1900">
        <w:rPr>
          <w:szCs w:val="24"/>
        </w:rPr>
        <w:t xml:space="preserve"> art. </w:t>
      </w:r>
      <w:r w:rsidRPr="0024375B">
        <w:rPr>
          <w:szCs w:val="24"/>
        </w:rPr>
        <w:t>66c, przy czym</w:t>
      </w:r>
      <w:r w:rsidR="00EA1900">
        <w:rPr>
          <w:szCs w:val="24"/>
        </w:rPr>
        <w:t xml:space="preserve"> w </w:t>
      </w:r>
      <w:r w:rsidRPr="0024375B">
        <w:rPr>
          <w:szCs w:val="24"/>
        </w:rPr>
        <w:t>tym wypadku kara pieniężna nałożona na kierującego podmiotem może wynosić do 300% jego miesięcznego wynagrodzenia. Sankcję tą może</w:t>
      </w:r>
      <w:r w:rsidR="00EA1900">
        <w:rPr>
          <w:szCs w:val="24"/>
        </w:rPr>
        <w:t xml:space="preserve"> w </w:t>
      </w:r>
      <w:r w:rsidRPr="0024375B">
        <w:rPr>
          <w:szCs w:val="24"/>
        </w:rPr>
        <w:t>drodze decyzji nałożyć organ uprawniony do żądania informacji zgodnie</w:t>
      </w:r>
      <w:r w:rsidR="002161FE">
        <w:rPr>
          <w:szCs w:val="24"/>
        </w:rPr>
        <w:t xml:space="preserve"> z </w:t>
      </w:r>
      <w:r w:rsidRPr="0024375B">
        <w:rPr>
          <w:szCs w:val="24"/>
        </w:rPr>
        <w:t>właściwością, która została określona</w:t>
      </w:r>
      <w:r w:rsidR="002161FE">
        <w:rPr>
          <w:szCs w:val="24"/>
        </w:rPr>
        <w:t xml:space="preserve"> w</w:t>
      </w:r>
      <w:r w:rsidR="00EA1900">
        <w:rPr>
          <w:szCs w:val="24"/>
        </w:rPr>
        <w:t xml:space="preserve"> art. </w:t>
      </w:r>
      <w:r w:rsidRPr="0024375B">
        <w:rPr>
          <w:szCs w:val="24"/>
        </w:rPr>
        <w:t xml:space="preserve">66c </w:t>
      </w:r>
      <w:r w:rsidR="00D00CB4">
        <w:rPr>
          <w:szCs w:val="24"/>
        </w:rPr>
        <w:t>ust. </w:t>
      </w:r>
      <w:r w:rsidRPr="0024375B">
        <w:rPr>
          <w:szCs w:val="24"/>
        </w:rPr>
        <w:t xml:space="preserve">2. Jak zostało powyżej podniesione, jest to uprawnienie ministra do spraw informatyzacji bądź innego właściwego organu (art. 66 </w:t>
      </w:r>
      <w:r w:rsidR="00D00CB4">
        <w:rPr>
          <w:szCs w:val="24"/>
        </w:rPr>
        <w:t>ust. </w:t>
      </w:r>
      <w:r w:rsidRPr="0024375B">
        <w:rPr>
          <w:szCs w:val="24"/>
        </w:rPr>
        <w:t>2),</w:t>
      </w:r>
      <w:r w:rsidR="002161FE">
        <w:rPr>
          <w:szCs w:val="24"/>
        </w:rPr>
        <w:t xml:space="preserve"> a </w:t>
      </w:r>
      <w:r w:rsidRPr="0024375B">
        <w:rPr>
          <w:szCs w:val="24"/>
        </w:rPr>
        <w:t>zatem odpowiedzialność karnoadministracyjna</w:t>
      </w:r>
      <w:r w:rsidR="00EA1900">
        <w:rPr>
          <w:szCs w:val="24"/>
        </w:rPr>
        <w:t xml:space="preserve"> w </w:t>
      </w:r>
      <w:r w:rsidRPr="0024375B">
        <w:rPr>
          <w:szCs w:val="24"/>
        </w:rPr>
        <w:t xml:space="preserve">tym przypadku jest fakultatywna. </w:t>
      </w:r>
    </w:p>
    <w:p w14:paraId="7CA08648" w14:textId="00B84611" w:rsidR="004A4085" w:rsidRPr="0024375B" w:rsidRDefault="004A4085" w:rsidP="0024375B">
      <w:pPr>
        <w:spacing w:after="120"/>
        <w:ind w:firstLine="510"/>
        <w:jc w:val="both"/>
        <w:rPr>
          <w:szCs w:val="24"/>
        </w:rPr>
      </w:pPr>
      <w:r w:rsidRPr="0024375B">
        <w:rPr>
          <w:szCs w:val="24"/>
        </w:rPr>
        <w:t>Odnosząc się do fakultatywnej odpowiedzialności karnoadministracyjnej, należy wskazać, że</w:t>
      </w:r>
      <w:r w:rsidR="00EA1900">
        <w:rPr>
          <w:szCs w:val="24"/>
        </w:rPr>
        <w:t xml:space="preserve"> art. </w:t>
      </w:r>
      <w:r w:rsidRPr="0024375B">
        <w:rPr>
          <w:szCs w:val="24"/>
        </w:rPr>
        <w:t xml:space="preserve">73 </w:t>
      </w:r>
      <w:r w:rsidR="00D00CB4">
        <w:rPr>
          <w:szCs w:val="24"/>
        </w:rPr>
        <w:t>ust. </w:t>
      </w:r>
      <w:r w:rsidRPr="0024375B">
        <w:rPr>
          <w:szCs w:val="24"/>
        </w:rPr>
        <w:t>2d wprowadza możliwość nałożenia kary pieniężnej wyłącznie</w:t>
      </w:r>
      <w:r w:rsidR="000D51BD">
        <w:rPr>
          <w:szCs w:val="24"/>
        </w:rPr>
        <w:t>,</w:t>
      </w:r>
      <w:r w:rsidRPr="0024375B">
        <w:rPr>
          <w:szCs w:val="24"/>
        </w:rPr>
        <w:t xml:space="preserve"> gdy przemawia za tym charakter lub zakres naruszenia. Takie określenie jest niezbędne</w:t>
      </w:r>
      <w:r w:rsidR="000D51BD">
        <w:rPr>
          <w:szCs w:val="24"/>
        </w:rPr>
        <w:t>,</w:t>
      </w:r>
      <w:r w:rsidRPr="0024375B">
        <w:rPr>
          <w:szCs w:val="24"/>
        </w:rPr>
        <w:t xml:space="preserve"> aby zapewnić proporcjonalność</w:t>
      </w:r>
      <w:r w:rsidR="00EA1900">
        <w:rPr>
          <w:szCs w:val="24"/>
        </w:rPr>
        <w:t xml:space="preserve"> w </w:t>
      </w:r>
      <w:r w:rsidRPr="0024375B">
        <w:rPr>
          <w:szCs w:val="24"/>
        </w:rPr>
        <w:t>rozumieniu konieczności</w:t>
      </w:r>
      <w:r w:rsidR="002161FE">
        <w:rPr>
          <w:szCs w:val="24"/>
        </w:rPr>
        <w:t xml:space="preserve"> i </w:t>
      </w:r>
      <w:r w:rsidRPr="0024375B">
        <w:rPr>
          <w:szCs w:val="24"/>
        </w:rPr>
        <w:t>adekwatności nakładanej kary do zakresu naruszenia. Może się również okazać, że działanie bądź zaniechanie podmiotu przejawia znikomą szkodliwość społeczną wobec czego niecelowe byłoby obligatoryjne karanie kierującego podmiotem. Wyjaśnienia wymagają jednak pojęcia „zakres naruszenia” oraz „charakter naruszenia”.</w:t>
      </w:r>
    </w:p>
    <w:p w14:paraId="354C77AF" w14:textId="77777777" w:rsidR="004A4085" w:rsidRPr="0024375B" w:rsidRDefault="004A4085" w:rsidP="0024375B">
      <w:pPr>
        <w:spacing w:after="120"/>
        <w:ind w:firstLine="510"/>
        <w:jc w:val="both"/>
        <w:rPr>
          <w:szCs w:val="24"/>
        </w:rPr>
      </w:pPr>
      <w:r w:rsidRPr="0024375B">
        <w:t>Zakres naruszenia można zdefiniować jako rozmiar naruszenia oraz częstotliwość naruszeń. Zakres naruszenia jest niezbędny do określenia stopnia szkodliwości społecznej czynu sprawcy,</w:t>
      </w:r>
      <w:r w:rsidR="002161FE">
        <w:t xml:space="preserve"> a </w:t>
      </w:r>
      <w:r w:rsidRPr="0024375B">
        <w:t xml:space="preserve">więc pozwala na </w:t>
      </w:r>
      <w:r w:rsidRPr="0024375B">
        <w:lastRenderedPageBreak/>
        <w:t>określenie rzeczywistych oraz potencjalnych skutków naruszenia prawa. Ze względu na to, że jest to pojęcie</w:t>
      </w:r>
      <w:r w:rsidR="0077165A">
        <w:t xml:space="preserve"> o </w:t>
      </w:r>
      <w:r w:rsidRPr="0024375B">
        <w:t>charakterze stopniowalnym, dokonując oceny organ nakładający karę administracyjną powinien brać pod uwagę</w:t>
      </w:r>
      <w:r w:rsidR="00EA1900">
        <w:t xml:space="preserve"> w </w:t>
      </w:r>
      <w:r w:rsidRPr="0024375B">
        <w:t>szczególności podstawowe cele ustawy oraz szkodliwość naruszenia tj. rodzaj naruszonych obowiązków</w:t>
      </w:r>
      <w:r w:rsidR="002161FE">
        <w:t xml:space="preserve"> i </w:t>
      </w:r>
      <w:r w:rsidRPr="0024375B">
        <w:t>dóbr, intensywność naruszenia, następstwa oraz wysokość wyrządzonej szkody</w:t>
      </w:r>
      <w:r w:rsidRPr="0024375B">
        <w:rPr>
          <w:rStyle w:val="Odwoanieprzypisudolnego"/>
          <w:szCs w:val="24"/>
        </w:rPr>
        <w:footnoteReference w:id="64"/>
      </w:r>
      <w:r w:rsidR="00B26928">
        <w:rPr>
          <w:vertAlign w:val="superscript"/>
        </w:rPr>
        <w:t>)</w:t>
      </w:r>
      <w:r w:rsidRPr="0024375B">
        <w:t>.</w:t>
      </w:r>
    </w:p>
    <w:p w14:paraId="51985468" w14:textId="77777777" w:rsidR="004A4085" w:rsidRPr="0024375B" w:rsidRDefault="004A4085" w:rsidP="0024375B">
      <w:pPr>
        <w:spacing w:after="120"/>
        <w:ind w:firstLine="510"/>
        <w:jc w:val="both"/>
        <w:rPr>
          <w:szCs w:val="24"/>
        </w:rPr>
      </w:pPr>
      <w:r w:rsidRPr="0024375B">
        <w:t>Charakter naruszenia należy rozumieć jako stopień zawinienia osoby podlegającej odpowiedzialności karnoadministracyjnej</w:t>
      </w:r>
      <w:r w:rsidR="000C0F86" w:rsidRPr="0024375B">
        <w:t>,</w:t>
      </w:r>
      <w:r w:rsidRPr="0024375B">
        <w:t xml:space="preserve"> tj. czy czyn został przez nią popełniony</w:t>
      </w:r>
      <w:r w:rsidR="002161FE">
        <w:t xml:space="preserve"> z </w:t>
      </w:r>
      <w:r w:rsidRPr="0024375B">
        <w:t>winy umyślnej lub nieumyślnej</w:t>
      </w:r>
      <w:r w:rsidRPr="0024375B">
        <w:rPr>
          <w:rStyle w:val="Odwoanieprzypisudolnego"/>
          <w:szCs w:val="24"/>
        </w:rPr>
        <w:footnoteReference w:id="65"/>
      </w:r>
      <w:r w:rsidRPr="0024375B">
        <w:t>. Określając zatem charakter naruszenia organ obowiązany jest do ustalenia czy osoba podlegająca odpowiedzialności karnoadministracyjnej</w:t>
      </w:r>
      <w:r w:rsidR="00EA1900">
        <w:t xml:space="preserve"> w </w:t>
      </w:r>
      <w:r w:rsidRPr="0024375B">
        <w:t>tym przypadku popełniła ten czyn</w:t>
      </w:r>
      <w:r w:rsidR="00EA1900">
        <w:t xml:space="preserve"> w </w:t>
      </w:r>
      <w:r w:rsidRPr="0024375B">
        <w:t>zamiarze bezpośrednim, ewentualnym, poprzez lekkomyślność albo niedbalstwo. Od tego ustalenia zależeć będzie właśnie decyzja</w:t>
      </w:r>
      <w:r w:rsidR="0077165A">
        <w:t xml:space="preserve"> o </w:t>
      </w:r>
      <w:r w:rsidRPr="0024375B">
        <w:t>odstąpieniu od nałożenia kary bądź</w:t>
      </w:r>
      <w:r w:rsidR="0077165A">
        <w:t xml:space="preserve"> o </w:t>
      </w:r>
      <w:r w:rsidRPr="0024375B">
        <w:t>jej nałożeniu oraz wysokości.</w:t>
      </w:r>
    </w:p>
    <w:p w14:paraId="5BEAFFD5" w14:textId="3864B080" w:rsidR="004A4085" w:rsidRPr="0024375B" w:rsidRDefault="004A4085" w:rsidP="0024375B">
      <w:pPr>
        <w:pStyle w:val="NIEARTTEKSTtekstnieartykuowanynppodstprawnarozplubpreambua"/>
        <w:spacing w:after="120"/>
        <w:rPr>
          <w:rFonts w:ascii="Times New Roman" w:hAnsi="Times New Roman" w:cs="Times New Roman"/>
          <w:szCs w:val="24"/>
        </w:rPr>
      </w:pPr>
      <w:r w:rsidRPr="0024375B">
        <w:rPr>
          <w:rFonts w:ascii="Times New Roman" w:hAnsi="Times New Roman" w:cs="Times New Roman"/>
          <w:szCs w:val="24"/>
        </w:rPr>
        <w:t>W</w:t>
      </w:r>
      <w:r w:rsidR="00EA1900">
        <w:rPr>
          <w:rFonts w:ascii="Times New Roman" w:hAnsi="Times New Roman" w:cs="Times New Roman"/>
          <w:szCs w:val="24"/>
        </w:rPr>
        <w:t xml:space="preserve"> art. </w:t>
      </w:r>
      <w:r w:rsidRPr="0024375B">
        <w:rPr>
          <w:rFonts w:ascii="Times New Roman" w:hAnsi="Times New Roman" w:cs="Times New Roman"/>
          <w:szCs w:val="24"/>
        </w:rPr>
        <w:t>74 wskazano organy właściwe do wymierzania administracyjnych kar pieniężnych</w:t>
      </w:r>
      <w:r w:rsidR="000D51BD">
        <w:rPr>
          <w:rFonts w:ascii="Times New Roman" w:hAnsi="Times New Roman" w:cs="Times New Roman"/>
          <w:szCs w:val="24"/>
        </w:rPr>
        <w:t>,</w:t>
      </w:r>
      <w:r w:rsidR="0077165A">
        <w:rPr>
          <w:rFonts w:ascii="Times New Roman" w:hAnsi="Times New Roman" w:cs="Times New Roman"/>
          <w:szCs w:val="24"/>
        </w:rPr>
        <w:t xml:space="preserve"> o </w:t>
      </w:r>
      <w:r w:rsidRPr="0024375B">
        <w:rPr>
          <w:rFonts w:ascii="Times New Roman" w:hAnsi="Times New Roman" w:cs="Times New Roman"/>
          <w:szCs w:val="24"/>
        </w:rPr>
        <w:t>których mowa</w:t>
      </w:r>
      <w:r w:rsidR="00EA1900">
        <w:rPr>
          <w:rFonts w:ascii="Times New Roman" w:hAnsi="Times New Roman" w:cs="Times New Roman"/>
          <w:szCs w:val="24"/>
        </w:rPr>
        <w:t xml:space="preserve"> w </w:t>
      </w:r>
      <w:r w:rsidRPr="0024375B">
        <w:rPr>
          <w:rFonts w:ascii="Times New Roman" w:hAnsi="Times New Roman" w:cs="Times New Roman"/>
          <w:szCs w:val="24"/>
        </w:rPr>
        <w:t>artykule poprzedzającym. Wprowadzono ogólną zasadę, że karę na przedsiębiorców komunikacji elektronicznej za niewycofanie sprzętu lub oprogramowania pochodzącego od dostawcy wysokiego ryzyka nakłada Prezes UKE. Z kolei kary na operatorów usług kluczowych</w:t>
      </w:r>
      <w:r w:rsidR="002161FE">
        <w:rPr>
          <w:rFonts w:ascii="Times New Roman" w:hAnsi="Times New Roman" w:cs="Times New Roman"/>
          <w:szCs w:val="24"/>
        </w:rPr>
        <w:t xml:space="preserve"> i </w:t>
      </w:r>
      <w:r w:rsidRPr="0024375B">
        <w:rPr>
          <w:rFonts w:ascii="Times New Roman" w:hAnsi="Times New Roman" w:cs="Times New Roman"/>
          <w:szCs w:val="24"/>
        </w:rPr>
        <w:t>dostawców usług cyfrowych, którzy nie są przedsiębiorcami komunikacji elektronicznej będą nakładać organy właściwe do spraw cyberbezpieczeństwa.</w:t>
      </w:r>
      <w:r w:rsidR="00116933">
        <w:rPr>
          <w:rFonts w:ascii="Times New Roman" w:hAnsi="Times New Roman" w:cs="Times New Roman"/>
          <w:szCs w:val="24"/>
        </w:rPr>
        <w:t xml:space="preserve"> W </w:t>
      </w:r>
      <w:r w:rsidRPr="0024375B">
        <w:rPr>
          <w:rFonts w:ascii="Times New Roman" w:hAnsi="Times New Roman" w:cs="Times New Roman"/>
          <w:szCs w:val="24"/>
        </w:rPr>
        <w:t xml:space="preserve">pozostałych przypadkach kary będzie nakładał minister właściwy do spraw informatyzacji. </w:t>
      </w:r>
    </w:p>
    <w:p w14:paraId="6165775A" w14:textId="77777777" w:rsidR="004A4085" w:rsidRPr="0024375B" w:rsidRDefault="004A4085" w:rsidP="0024375B">
      <w:pPr>
        <w:spacing w:after="120"/>
        <w:ind w:firstLine="510"/>
        <w:jc w:val="both"/>
        <w:rPr>
          <w:szCs w:val="24"/>
        </w:rPr>
      </w:pPr>
      <w:r w:rsidRPr="0024375B">
        <w:rPr>
          <w:szCs w:val="24"/>
        </w:rPr>
        <w:t>W celu zagwarantowania prawidłowego przebiegu postępowania,</w:t>
      </w:r>
      <w:r w:rsidR="002161FE">
        <w:rPr>
          <w:szCs w:val="24"/>
        </w:rPr>
        <w:t xml:space="preserve"> a </w:t>
      </w:r>
      <w:r w:rsidRPr="0024375B">
        <w:rPr>
          <w:szCs w:val="24"/>
        </w:rPr>
        <w:t>tym samym wymierzenia adekwatnej do popełnionego czynu kary pieniężnej,</w:t>
      </w:r>
      <w:r w:rsidR="00EA1900">
        <w:rPr>
          <w:szCs w:val="24"/>
        </w:rPr>
        <w:t xml:space="preserve"> w </w:t>
      </w:r>
      <w:r w:rsidRPr="0024375B">
        <w:rPr>
          <w:szCs w:val="24"/>
        </w:rPr>
        <w:t xml:space="preserve">stosunku do podmiotów obowiązanych do wycofania sprzętu bądź oprogramowania dostarczanego przez dostawcę wysokiego ryzyka (art. 66a </w:t>
      </w:r>
      <w:r w:rsidR="00D00CB4">
        <w:rPr>
          <w:szCs w:val="24"/>
        </w:rPr>
        <w:t>ust. </w:t>
      </w:r>
      <w:r w:rsidRPr="0024375B">
        <w:rPr>
          <w:szCs w:val="24"/>
        </w:rPr>
        <w:t>1 pkt 1</w:t>
      </w:r>
      <w:r w:rsidR="00B26928">
        <w:rPr>
          <w:szCs w:val="24"/>
        </w:rPr>
        <w:t>–</w:t>
      </w:r>
      <w:r w:rsidRPr="0024375B">
        <w:rPr>
          <w:szCs w:val="24"/>
        </w:rPr>
        <w:t>4 wprowadzony zostaje</w:t>
      </w:r>
      <w:r w:rsidR="00EA1900">
        <w:rPr>
          <w:szCs w:val="24"/>
        </w:rPr>
        <w:t xml:space="preserve"> art. </w:t>
      </w:r>
      <w:r w:rsidRPr="0024375B">
        <w:rPr>
          <w:szCs w:val="24"/>
        </w:rPr>
        <w:t>74a, który nakłada na te podmioty obowiązek dostarczenia danych organowi uprawnionemu do nakładania kary na każde jego żądanie,</w:t>
      </w:r>
      <w:r w:rsidR="00EA1900">
        <w:rPr>
          <w:szCs w:val="24"/>
        </w:rPr>
        <w:t xml:space="preserve"> w </w:t>
      </w:r>
      <w:r w:rsidRPr="0024375B">
        <w:rPr>
          <w:szCs w:val="24"/>
        </w:rPr>
        <w:t>terminie wskazanym</w:t>
      </w:r>
      <w:r w:rsidR="00EA1900">
        <w:rPr>
          <w:szCs w:val="24"/>
        </w:rPr>
        <w:t xml:space="preserve"> w </w:t>
      </w:r>
      <w:r w:rsidRPr="0024375B">
        <w:rPr>
          <w:szCs w:val="24"/>
        </w:rPr>
        <w:t>wezwaniu, nie dłuższym niż 1 miesiąc od dnia otrzymania żądania. Jeżeli jednak dane nie zostały organowi doręczone bądź uniemożliwiają one ustalenie podstawy wymiaru kary pieniężnej, organ uprawniony do jej nałożenia ustala podstawę wymiaru kary</w:t>
      </w:r>
      <w:r w:rsidR="00EA1900">
        <w:rPr>
          <w:szCs w:val="24"/>
        </w:rPr>
        <w:t xml:space="preserve"> w </w:t>
      </w:r>
      <w:r w:rsidRPr="0024375B">
        <w:rPr>
          <w:szCs w:val="24"/>
        </w:rPr>
        <w:t>sposób szacunkowy biorąc pod uwagę wielkość podmiotu, specyfikę prowadzonej przez niego działalności lub ogólnie dostępne dane finansowe dotyczące podmiotu. Przyjęcie takiego rozwiązania ma przyczynić się do zapewnienia realizacji zasady szybkości postępowania oraz zasady proporcjonalności.</w:t>
      </w:r>
    </w:p>
    <w:p w14:paraId="0CA0A3E5" w14:textId="77777777" w:rsidR="004A4085" w:rsidRPr="0024375B" w:rsidRDefault="004A4085" w:rsidP="0024375B">
      <w:pPr>
        <w:spacing w:after="120"/>
        <w:ind w:firstLine="510"/>
        <w:jc w:val="both"/>
        <w:rPr>
          <w:szCs w:val="24"/>
        </w:rPr>
      </w:pPr>
      <w:r w:rsidRPr="0024375B">
        <w:rPr>
          <w:szCs w:val="24"/>
        </w:rPr>
        <w:t>Mając na uwadze konieczność zapewnienia sprawnego przekazywania zgłoszeń incydentów</w:t>
      </w:r>
      <w:r w:rsidR="002161FE">
        <w:rPr>
          <w:szCs w:val="24"/>
        </w:rPr>
        <w:t xml:space="preserve"> z </w:t>
      </w:r>
      <w:r w:rsidRPr="0024375B">
        <w:rPr>
          <w:szCs w:val="24"/>
        </w:rPr>
        <w:t xml:space="preserve">CSIRT sektorowego czy CSIRT INT do właściwego CSIRT poziomu krajowego wprowadza się karę za nie </w:t>
      </w:r>
      <w:r w:rsidRPr="0024375B">
        <w:rPr>
          <w:szCs w:val="24"/>
        </w:rPr>
        <w:lastRenderedPageBreak/>
        <w:t>wykonanie tego obowiązku. Kara będzie nakładana na kierownika CSIRT sektorowego</w:t>
      </w:r>
      <w:r w:rsidR="002161FE">
        <w:rPr>
          <w:szCs w:val="24"/>
        </w:rPr>
        <w:t xml:space="preserve"> i </w:t>
      </w:r>
      <w:r w:rsidRPr="0024375B">
        <w:rPr>
          <w:szCs w:val="24"/>
        </w:rPr>
        <w:t>CSIRT INT</w:t>
      </w:r>
      <w:r w:rsidR="00EA1900">
        <w:rPr>
          <w:szCs w:val="24"/>
        </w:rPr>
        <w:t xml:space="preserve"> w </w:t>
      </w:r>
      <w:r w:rsidRPr="0024375B">
        <w:rPr>
          <w:szCs w:val="24"/>
        </w:rPr>
        <w:t>wysokości do jednokrotności minimalnego wynagrodzenia za pracę</w:t>
      </w:r>
      <w:r w:rsidR="00EA1900">
        <w:rPr>
          <w:szCs w:val="24"/>
        </w:rPr>
        <w:t xml:space="preserve"> w </w:t>
      </w:r>
      <w:r w:rsidRPr="0024375B">
        <w:rPr>
          <w:szCs w:val="24"/>
        </w:rPr>
        <w:t xml:space="preserve">roku. </w:t>
      </w:r>
    </w:p>
    <w:p w14:paraId="09BC46C3" w14:textId="77777777" w:rsidR="004A4085" w:rsidRPr="0024375B" w:rsidRDefault="004A4085" w:rsidP="0024375B">
      <w:pPr>
        <w:spacing w:after="120"/>
        <w:ind w:firstLine="510"/>
        <w:jc w:val="both"/>
        <w:rPr>
          <w:szCs w:val="24"/>
        </w:rPr>
      </w:pPr>
      <w:r w:rsidRPr="0024375B">
        <w:rPr>
          <w:szCs w:val="24"/>
        </w:rPr>
        <w:t>W związku</w:t>
      </w:r>
      <w:r w:rsidR="002161FE">
        <w:rPr>
          <w:szCs w:val="24"/>
        </w:rPr>
        <w:t xml:space="preserve"> z </w:t>
      </w:r>
      <w:r w:rsidRPr="0024375B">
        <w:rPr>
          <w:szCs w:val="24"/>
        </w:rPr>
        <w:t>nałożeniem na przedsiębiorców komunikacji elektronicznej zadań</w:t>
      </w:r>
      <w:r w:rsidR="002161FE">
        <w:rPr>
          <w:szCs w:val="24"/>
        </w:rPr>
        <w:t xml:space="preserve"> i </w:t>
      </w:r>
      <w:r w:rsidRPr="0024375B">
        <w:rPr>
          <w:szCs w:val="24"/>
        </w:rPr>
        <w:t>obowiązków, wprowadza się sankcje za niewykonywanie obowiązków wyszczególnionych</w:t>
      </w:r>
      <w:r w:rsidR="002161FE">
        <w:rPr>
          <w:szCs w:val="24"/>
        </w:rPr>
        <w:t xml:space="preserve"> w</w:t>
      </w:r>
      <w:r w:rsidR="00EA1900">
        <w:rPr>
          <w:szCs w:val="24"/>
        </w:rPr>
        <w:t xml:space="preserve"> art. </w:t>
      </w:r>
      <w:r w:rsidRPr="0024375B">
        <w:rPr>
          <w:szCs w:val="24"/>
        </w:rPr>
        <w:t>76a</w:t>
      </w:r>
      <w:r w:rsidR="00B26928">
        <w:rPr>
          <w:szCs w:val="24"/>
        </w:rPr>
        <w:t>–</w:t>
      </w:r>
      <w:r w:rsidRPr="0024375B">
        <w:rPr>
          <w:szCs w:val="24"/>
        </w:rPr>
        <w:t>76c. Zgodnie</w:t>
      </w:r>
      <w:r w:rsidR="002161FE">
        <w:rPr>
          <w:szCs w:val="24"/>
        </w:rPr>
        <w:t xml:space="preserve"> z </w:t>
      </w:r>
      <w:r w:rsidRPr="0024375B">
        <w:rPr>
          <w:szCs w:val="24"/>
        </w:rPr>
        <w:t>tymi przepisami, karze pieniężnej podlegać będzie przedsiębiorca komunikacji elektronicznej, który:</w:t>
      </w:r>
    </w:p>
    <w:p w14:paraId="16F34DA8"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nie wypełnia obowiązku systematycznego szacowania ryzyka wystąpienia sytuacji szczególnego zagrożenia,</w:t>
      </w:r>
      <w:r w:rsidR="0077165A">
        <w:rPr>
          <w:szCs w:val="24"/>
        </w:rPr>
        <w:t xml:space="preserve"> o </w:t>
      </w:r>
      <w:r w:rsidRPr="0024375B">
        <w:rPr>
          <w:szCs w:val="24"/>
        </w:rPr>
        <w:t>którym mowa</w:t>
      </w:r>
      <w:r w:rsidR="002161FE">
        <w:rPr>
          <w:szCs w:val="24"/>
        </w:rPr>
        <w:t xml:space="preserve"> w</w:t>
      </w:r>
      <w:r w:rsidR="00EA1900">
        <w:rPr>
          <w:szCs w:val="24"/>
        </w:rPr>
        <w:t xml:space="preserve"> art. </w:t>
      </w:r>
      <w:r w:rsidRPr="0024375B">
        <w:rPr>
          <w:szCs w:val="24"/>
        </w:rPr>
        <w:t xml:space="preserve">20 </w:t>
      </w:r>
      <w:r w:rsidR="00D00CB4">
        <w:rPr>
          <w:szCs w:val="24"/>
        </w:rPr>
        <w:t>ust. </w:t>
      </w:r>
      <w:r w:rsidRPr="0024375B">
        <w:rPr>
          <w:szCs w:val="24"/>
        </w:rPr>
        <w:t>2;</w:t>
      </w:r>
    </w:p>
    <w:p w14:paraId="0EF6DCF5"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nie podejmuje środków,</w:t>
      </w:r>
      <w:r w:rsidR="0077165A">
        <w:rPr>
          <w:szCs w:val="24"/>
        </w:rPr>
        <w:t xml:space="preserve"> o </w:t>
      </w:r>
      <w:r w:rsidRPr="0024375B">
        <w:rPr>
          <w:szCs w:val="24"/>
        </w:rPr>
        <w:t>których mowa</w:t>
      </w:r>
      <w:r w:rsidR="002161FE">
        <w:rPr>
          <w:szCs w:val="24"/>
        </w:rPr>
        <w:t xml:space="preserve"> w</w:t>
      </w:r>
      <w:r w:rsidR="00EA1900">
        <w:rPr>
          <w:szCs w:val="24"/>
        </w:rPr>
        <w:t xml:space="preserve"> art. </w:t>
      </w:r>
      <w:r w:rsidRPr="0024375B">
        <w:rPr>
          <w:szCs w:val="24"/>
        </w:rPr>
        <w:t xml:space="preserve">20a </w:t>
      </w:r>
      <w:r w:rsidR="00D00CB4">
        <w:rPr>
          <w:szCs w:val="24"/>
        </w:rPr>
        <w:t>ust. </w:t>
      </w:r>
      <w:r w:rsidRPr="0024375B">
        <w:rPr>
          <w:szCs w:val="24"/>
        </w:rPr>
        <w:t>2 pkt 2;</w:t>
      </w:r>
    </w:p>
    <w:p w14:paraId="2F875BF3"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nie dokumentuje czynności,</w:t>
      </w:r>
      <w:r w:rsidR="0077165A">
        <w:rPr>
          <w:szCs w:val="24"/>
        </w:rPr>
        <w:t xml:space="preserve"> o </w:t>
      </w:r>
      <w:r w:rsidRPr="0024375B">
        <w:rPr>
          <w:szCs w:val="24"/>
        </w:rPr>
        <w:t>których mowa</w:t>
      </w:r>
      <w:r w:rsidR="002161FE">
        <w:rPr>
          <w:szCs w:val="24"/>
        </w:rPr>
        <w:t xml:space="preserve"> w</w:t>
      </w:r>
      <w:r w:rsidR="00EA1900">
        <w:rPr>
          <w:szCs w:val="24"/>
        </w:rPr>
        <w:t xml:space="preserve"> art. </w:t>
      </w:r>
      <w:r w:rsidRPr="0024375B">
        <w:rPr>
          <w:szCs w:val="24"/>
        </w:rPr>
        <w:t xml:space="preserve">20a </w:t>
      </w:r>
      <w:r w:rsidR="00D00CB4">
        <w:rPr>
          <w:szCs w:val="24"/>
        </w:rPr>
        <w:t>ust. </w:t>
      </w:r>
      <w:r w:rsidRPr="0024375B">
        <w:rPr>
          <w:szCs w:val="24"/>
        </w:rPr>
        <w:t>2 pkt 1</w:t>
      </w:r>
      <w:r w:rsidR="002161FE">
        <w:rPr>
          <w:szCs w:val="24"/>
        </w:rPr>
        <w:t xml:space="preserve"> i </w:t>
      </w:r>
      <w:r w:rsidRPr="0024375B">
        <w:rPr>
          <w:szCs w:val="24"/>
        </w:rPr>
        <w:t>2;</w:t>
      </w:r>
    </w:p>
    <w:p w14:paraId="76DF54E9"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nie przekazuje informacji,</w:t>
      </w:r>
      <w:r w:rsidR="0077165A">
        <w:rPr>
          <w:szCs w:val="24"/>
        </w:rPr>
        <w:t xml:space="preserve"> o </w:t>
      </w:r>
      <w:r w:rsidRPr="0024375B">
        <w:rPr>
          <w:szCs w:val="24"/>
        </w:rPr>
        <w:t>których mowa</w:t>
      </w:r>
      <w:r w:rsidR="002161FE">
        <w:rPr>
          <w:szCs w:val="24"/>
        </w:rPr>
        <w:t xml:space="preserve"> w</w:t>
      </w:r>
      <w:r w:rsidR="00EA1900">
        <w:rPr>
          <w:szCs w:val="24"/>
        </w:rPr>
        <w:t xml:space="preserve"> art. </w:t>
      </w:r>
      <w:r w:rsidRPr="0024375B">
        <w:rPr>
          <w:szCs w:val="24"/>
        </w:rPr>
        <w:t xml:space="preserve">20b </w:t>
      </w:r>
      <w:r w:rsidR="00D00CB4">
        <w:rPr>
          <w:szCs w:val="24"/>
        </w:rPr>
        <w:t>ust. </w:t>
      </w:r>
      <w:r w:rsidRPr="0024375B">
        <w:rPr>
          <w:szCs w:val="24"/>
        </w:rPr>
        <w:t>2,</w:t>
      </w:r>
      <w:r w:rsidR="00EA1900">
        <w:rPr>
          <w:szCs w:val="24"/>
        </w:rPr>
        <w:t xml:space="preserve"> w </w:t>
      </w:r>
      <w:r w:rsidRPr="0024375B">
        <w:rPr>
          <w:szCs w:val="24"/>
        </w:rPr>
        <w:t>terminie wskazanym</w:t>
      </w:r>
      <w:r w:rsidR="00EA1900">
        <w:rPr>
          <w:szCs w:val="24"/>
        </w:rPr>
        <w:t xml:space="preserve"> w </w:t>
      </w:r>
      <w:r w:rsidRPr="0024375B">
        <w:rPr>
          <w:szCs w:val="24"/>
        </w:rPr>
        <w:t>żądaniu Prezesa UKE;</w:t>
      </w:r>
    </w:p>
    <w:p w14:paraId="70C97477"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nie wykonuje obowiązku,</w:t>
      </w:r>
      <w:r w:rsidR="0077165A">
        <w:rPr>
          <w:szCs w:val="24"/>
        </w:rPr>
        <w:t xml:space="preserve"> o </w:t>
      </w:r>
      <w:r w:rsidRPr="0024375B">
        <w:rPr>
          <w:szCs w:val="24"/>
        </w:rPr>
        <w:t>którym mowa</w:t>
      </w:r>
      <w:r w:rsidR="002161FE">
        <w:rPr>
          <w:szCs w:val="24"/>
        </w:rPr>
        <w:t xml:space="preserve"> w</w:t>
      </w:r>
      <w:r w:rsidR="00EA1900">
        <w:rPr>
          <w:szCs w:val="24"/>
        </w:rPr>
        <w:t xml:space="preserve"> art. </w:t>
      </w:r>
      <w:r w:rsidRPr="0024375B">
        <w:rPr>
          <w:szCs w:val="24"/>
        </w:rPr>
        <w:t xml:space="preserve">20b </w:t>
      </w:r>
      <w:r w:rsidR="00D00CB4">
        <w:rPr>
          <w:szCs w:val="24"/>
        </w:rPr>
        <w:t>ust. </w:t>
      </w:r>
      <w:r w:rsidRPr="0024375B">
        <w:rPr>
          <w:szCs w:val="24"/>
        </w:rPr>
        <w:t>4,</w:t>
      </w:r>
      <w:r w:rsidR="00EA1900">
        <w:rPr>
          <w:szCs w:val="24"/>
        </w:rPr>
        <w:t xml:space="preserve"> w </w:t>
      </w:r>
      <w:r w:rsidRPr="0024375B">
        <w:rPr>
          <w:szCs w:val="24"/>
        </w:rPr>
        <w:t>terminie wskazanym</w:t>
      </w:r>
      <w:r w:rsidR="00EA1900">
        <w:rPr>
          <w:szCs w:val="24"/>
        </w:rPr>
        <w:t xml:space="preserve"> w </w:t>
      </w:r>
      <w:r w:rsidRPr="0024375B">
        <w:rPr>
          <w:szCs w:val="24"/>
        </w:rPr>
        <w:t>decyzji Prezesa UKE;</w:t>
      </w:r>
    </w:p>
    <w:p w14:paraId="7B85E2F3"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nie obsługuje incydentu telekomunikacyjnego,</w:t>
      </w:r>
      <w:r w:rsidR="0077165A">
        <w:rPr>
          <w:szCs w:val="24"/>
        </w:rPr>
        <w:t xml:space="preserve"> o </w:t>
      </w:r>
      <w:r w:rsidRPr="0024375B">
        <w:rPr>
          <w:szCs w:val="24"/>
        </w:rPr>
        <w:t>którym mowa</w:t>
      </w:r>
      <w:r w:rsidR="002161FE">
        <w:rPr>
          <w:szCs w:val="24"/>
        </w:rPr>
        <w:t xml:space="preserve"> w</w:t>
      </w:r>
      <w:r w:rsidR="00EA1900">
        <w:rPr>
          <w:szCs w:val="24"/>
        </w:rPr>
        <w:t xml:space="preserve"> art. </w:t>
      </w:r>
      <w:r w:rsidRPr="0024375B">
        <w:rPr>
          <w:szCs w:val="24"/>
        </w:rPr>
        <w:t xml:space="preserve">20d </w:t>
      </w:r>
      <w:r w:rsidR="00D00CB4">
        <w:rPr>
          <w:szCs w:val="24"/>
        </w:rPr>
        <w:t>ust. </w:t>
      </w:r>
      <w:r w:rsidRPr="0024375B">
        <w:rPr>
          <w:szCs w:val="24"/>
        </w:rPr>
        <w:t>1 pkt 2;</w:t>
      </w:r>
    </w:p>
    <w:p w14:paraId="5A608FDE"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nie zgłasza poważnego incydentu telekomunikacyjnego,</w:t>
      </w:r>
      <w:r w:rsidR="0077165A">
        <w:rPr>
          <w:szCs w:val="24"/>
        </w:rPr>
        <w:t xml:space="preserve"> o </w:t>
      </w:r>
      <w:r w:rsidRPr="0024375B">
        <w:rPr>
          <w:szCs w:val="24"/>
        </w:rPr>
        <w:t>którym mowa</w:t>
      </w:r>
      <w:r w:rsidR="002161FE">
        <w:rPr>
          <w:szCs w:val="24"/>
        </w:rPr>
        <w:t xml:space="preserve"> w</w:t>
      </w:r>
      <w:r w:rsidR="00EA1900">
        <w:rPr>
          <w:szCs w:val="24"/>
        </w:rPr>
        <w:t xml:space="preserve"> art. </w:t>
      </w:r>
      <w:r w:rsidRPr="0024375B">
        <w:rPr>
          <w:szCs w:val="24"/>
        </w:rPr>
        <w:t xml:space="preserve">20d </w:t>
      </w:r>
      <w:r w:rsidR="00D00CB4">
        <w:rPr>
          <w:szCs w:val="24"/>
        </w:rPr>
        <w:t>ust. </w:t>
      </w:r>
      <w:r w:rsidRPr="0024375B">
        <w:rPr>
          <w:szCs w:val="24"/>
        </w:rPr>
        <w:t>1 pkt 2;</w:t>
      </w:r>
    </w:p>
    <w:p w14:paraId="457C20C6"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nie współdziała podczas obsługi poważnego incydentu telekomunikacyjnego</w:t>
      </w:r>
      <w:r w:rsidR="002161FE">
        <w:rPr>
          <w:szCs w:val="24"/>
        </w:rPr>
        <w:t xml:space="preserve"> i </w:t>
      </w:r>
      <w:r w:rsidRPr="0024375B">
        <w:rPr>
          <w:szCs w:val="24"/>
        </w:rPr>
        <w:t>incydentu krytycznego</w:t>
      </w:r>
      <w:r w:rsidR="002161FE">
        <w:rPr>
          <w:szCs w:val="24"/>
        </w:rPr>
        <w:t xml:space="preserve"> z </w:t>
      </w:r>
      <w:r w:rsidRPr="0024375B">
        <w:rPr>
          <w:szCs w:val="24"/>
        </w:rPr>
        <w:t>CSIRT Telco lub</w:t>
      </w:r>
      <w:r w:rsidR="002161FE">
        <w:rPr>
          <w:szCs w:val="24"/>
        </w:rPr>
        <w:t xml:space="preserve"> z </w:t>
      </w:r>
      <w:r w:rsidRPr="0024375B">
        <w:rPr>
          <w:szCs w:val="24"/>
        </w:rPr>
        <w:t>właściwym CSIRT GOV, CSIRT MON, CSIRT NASK</w:t>
      </w:r>
      <w:r w:rsidR="002161FE">
        <w:rPr>
          <w:szCs w:val="24"/>
        </w:rPr>
        <w:t xml:space="preserve"> i </w:t>
      </w:r>
      <w:r w:rsidRPr="0024375B">
        <w:rPr>
          <w:szCs w:val="24"/>
        </w:rPr>
        <w:t>tym samym nie wykonuje obowiązku,</w:t>
      </w:r>
      <w:r w:rsidR="0077165A">
        <w:rPr>
          <w:szCs w:val="24"/>
        </w:rPr>
        <w:t xml:space="preserve"> o </w:t>
      </w:r>
      <w:r w:rsidRPr="0024375B">
        <w:rPr>
          <w:szCs w:val="24"/>
        </w:rPr>
        <w:t>którym mowa</w:t>
      </w:r>
      <w:r w:rsidR="002161FE">
        <w:rPr>
          <w:szCs w:val="24"/>
        </w:rPr>
        <w:t xml:space="preserve"> w</w:t>
      </w:r>
      <w:r w:rsidR="00EA1900">
        <w:rPr>
          <w:szCs w:val="24"/>
        </w:rPr>
        <w:t xml:space="preserve"> art. </w:t>
      </w:r>
      <w:r w:rsidRPr="0024375B">
        <w:rPr>
          <w:szCs w:val="24"/>
        </w:rPr>
        <w:t xml:space="preserve">20d </w:t>
      </w:r>
      <w:r w:rsidR="00D00CB4">
        <w:rPr>
          <w:szCs w:val="24"/>
        </w:rPr>
        <w:t>ust. </w:t>
      </w:r>
      <w:r w:rsidRPr="0024375B">
        <w:rPr>
          <w:szCs w:val="24"/>
        </w:rPr>
        <w:t>1 pkt 3</w:t>
      </w:r>
      <w:r w:rsidR="002161FE">
        <w:rPr>
          <w:szCs w:val="24"/>
        </w:rPr>
        <w:t xml:space="preserve"> i </w:t>
      </w:r>
      <w:r w:rsidRPr="0024375B">
        <w:rPr>
          <w:szCs w:val="24"/>
        </w:rPr>
        <w:t>4;</w:t>
      </w:r>
    </w:p>
    <w:p w14:paraId="46021FB3"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nie usuwa,</w:t>
      </w:r>
      <w:r w:rsidR="00EA1900">
        <w:rPr>
          <w:szCs w:val="24"/>
        </w:rPr>
        <w:t xml:space="preserve"> w </w:t>
      </w:r>
      <w:r w:rsidRPr="0024375B">
        <w:rPr>
          <w:szCs w:val="24"/>
        </w:rPr>
        <w:t>wyznaczonym przez Prezesa UKE terminie, podatności, która doprowadziła lub mogła doprowadzić do incydentu telekomunikacyjnego lub krytycznego,</w:t>
      </w:r>
      <w:r w:rsidR="0077165A">
        <w:rPr>
          <w:szCs w:val="24"/>
        </w:rPr>
        <w:t xml:space="preserve"> o </w:t>
      </w:r>
      <w:r w:rsidRPr="0024375B">
        <w:rPr>
          <w:szCs w:val="24"/>
        </w:rPr>
        <w:t>której mowa</w:t>
      </w:r>
      <w:r w:rsidR="002161FE">
        <w:rPr>
          <w:szCs w:val="24"/>
        </w:rPr>
        <w:t xml:space="preserve"> w</w:t>
      </w:r>
      <w:r w:rsidR="00EA1900">
        <w:rPr>
          <w:szCs w:val="24"/>
        </w:rPr>
        <w:t xml:space="preserve"> art. </w:t>
      </w:r>
      <w:r w:rsidRPr="0024375B">
        <w:rPr>
          <w:szCs w:val="24"/>
        </w:rPr>
        <w:t>54a;</w:t>
      </w:r>
    </w:p>
    <w:p w14:paraId="5A86F2B6" w14:textId="77777777" w:rsidR="004A4085" w:rsidRPr="0024375B" w:rsidRDefault="004A4085" w:rsidP="0024375B">
      <w:pPr>
        <w:pStyle w:val="Akapitzlist"/>
        <w:numPr>
          <w:ilvl w:val="0"/>
          <w:numId w:val="96"/>
        </w:numPr>
        <w:suppressAutoHyphens/>
        <w:autoSpaceDN w:val="0"/>
        <w:spacing w:after="120" w:line="360" w:lineRule="auto"/>
        <w:ind w:firstLine="510"/>
        <w:contextualSpacing w:val="0"/>
        <w:rPr>
          <w:szCs w:val="24"/>
        </w:rPr>
      </w:pPr>
      <w:r w:rsidRPr="0024375B">
        <w:rPr>
          <w:szCs w:val="24"/>
        </w:rPr>
        <w:t xml:space="preserve"> nie wykonuje zaleceń pokontrolnych Prezesa UKE,</w:t>
      </w:r>
      <w:r w:rsidR="0077165A">
        <w:rPr>
          <w:szCs w:val="24"/>
        </w:rPr>
        <w:t xml:space="preserve"> o </w:t>
      </w:r>
      <w:r w:rsidRPr="0024375B">
        <w:rPr>
          <w:szCs w:val="24"/>
        </w:rPr>
        <w:t>których mowa</w:t>
      </w:r>
      <w:r w:rsidR="002161FE">
        <w:rPr>
          <w:szCs w:val="24"/>
        </w:rPr>
        <w:t xml:space="preserve"> w</w:t>
      </w:r>
      <w:r w:rsidR="00EA1900">
        <w:rPr>
          <w:szCs w:val="24"/>
        </w:rPr>
        <w:t xml:space="preserve"> art. </w:t>
      </w:r>
      <w:r w:rsidRPr="0024375B">
        <w:rPr>
          <w:szCs w:val="24"/>
        </w:rPr>
        <w:t>59</w:t>
      </w:r>
      <w:r w:rsidR="000C0F86" w:rsidRPr="0024375B">
        <w:rPr>
          <w:szCs w:val="24"/>
        </w:rPr>
        <w:t>.</w:t>
      </w:r>
    </w:p>
    <w:p w14:paraId="061A2469" w14:textId="77777777" w:rsidR="004A4085" w:rsidRPr="0024375B" w:rsidRDefault="004A4085" w:rsidP="0024375B">
      <w:pPr>
        <w:spacing w:after="120"/>
        <w:ind w:left="708" w:firstLine="510"/>
        <w:jc w:val="both"/>
        <w:rPr>
          <w:szCs w:val="24"/>
        </w:rPr>
      </w:pPr>
      <w:r w:rsidRPr="0024375B">
        <w:rPr>
          <w:szCs w:val="24"/>
        </w:rPr>
        <w:t>Ponadto, zgodnie</w:t>
      </w:r>
      <w:r w:rsidR="002161FE">
        <w:rPr>
          <w:szCs w:val="24"/>
        </w:rPr>
        <w:t xml:space="preserve"> z</w:t>
      </w:r>
      <w:r w:rsidR="00EA1900">
        <w:rPr>
          <w:szCs w:val="24"/>
        </w:rPr>
        <w:t xml:space="preserve"> art. </w:t>
      </w:r>
      <w:r w:rsidRPr="0024375B">
        <w:rPr>
          <w:szCs w:val="24"/>
        </w:rPr>
        <w:t xml:space="preserve">76 </w:t>
      </w:r>
      <w:r w:rsidR="00D00CB4">
        <w:rPr>
          <w:szCs w:val="24"/>
        </w:rPr>
        <w:t>ust. </w:t>
      </w:r>
      <w:r w:rsidRPr="0024375B">
        <w:rPr>
          <w:szCs w:val="24"/>
        </w:rPr>
        <w:t>2 sankcje przewiduje się za:</w:t>
      </w:r>
    </w:p>
    <w:p w14:paraId="33F38006" w14:textId="77777777" w:rsidR="004A4085" w:rsidRPr="0024375B" w:rsidRDefault="004A4085" w:rsidP="0024375B">
      <w:pPr>
        <w:pStyle w:val="Akapitzlist"/>
        <w:numPr>
          <w:ilvl w:val="0"/>
          <w:numId w:val="97"/>
        </w:numPr>
        <w:suppressAutoHyphens/>
        <w:autoSpaceDN w:val="0"/>
        <w:spacing w:after="120" w:line="360" w:lineRule="auto"/>
        <w:ind w:firstLine="510"/>
        <w:contextualSpacing w:val="0"/>
        <w:rPr>
          <w:szCs w:val="24"/>
        </w:rPr>
      </w:pPr>
      <w:r w:rsidRPr="0024375B">
        <w:rPr>
          <w:szCs w:val="24"/>
        </w:rPr>
        <w:t>niewyznaczenie przez przedsiębiorcę komunikacji elektronicznej dwóch osób,</w:t>
      </w:r>
      <w:r w:rsidR="0077165A">
        <w:rPr>
          <w:szCs w:val="24"/>
        </w:rPr>
        <w:t xml:space="preserve"> o </w:t>
      </w:r>
      <w:r w:rsidRPr="0024375B">
        <w:rPr>
          <w:szCs w:val="24"/>
        </w:rPr>
        <w:t>których mowa</w:t>
      </w:r>
      <w:r w:rsidR="002161FE">
        <w:rPr>
          <w:szCs w:val="24"/>
        </w:rPr>
        <w:t xml:space="preserve"> w</w:t>
      </w:r>
      <w:r w:rsidR="00EA1900">
        <w:rPr>
          <w:szCs w:val="24"/>
        </w:rPr>
        <w:t xml:space="preserve"> art. </w:t>
      </w:r>
      <w:r w:rsidRPr="0024375B">
        <w:rPr>
          <w:szCs w:val="24"/>
        </w:rPr>
        <w:t xml:space="preserve">20a </w:t>
      </w:r>
      <w:r w:rsidR="00D00CB4">
        <w:rPr>
          <w:szCs w:val="24"/>
        </w:rPr>
        <w:t>ust. </w:t>
      </w:r>
      <w:r w:rsidRPr="0024375B">
        <w:rPr>
          <w:szCs w:val="24"/>
        </w:rPr>
        <w:t>4;</w:t>
      </w:r>
    </w:p>
    <w:p w14:paraId="1F8342A5" w14:textId="77777777" w:rsidR="004A4085" w:rsidRPr="0024375B" w:rsidRDefault="004A4085" w:rsidP="0024375B">
      <w:pPr>
        <w:pStyle w:val="Akapitzlist"/>
        <w:numPr>
          <w:ilvl w:val="0"/>
          <w:numId w:val="97"/>
        </w:numPr>
        <w:suppressAutoHyphens/>
        <w:autoSpaceDN w:val="0"/>
        <w:spacing w:after="120" w:line="360" w:lineRule="auto"/>
        <w:ind w:firstLine="510"/>
        <w:contextualSpacing w:val="0"/>
        <w:rPr>
          <w:szCs w:val="24"/>
        </w:rPr>
      </w:pPr>
      <w:r w:rsidRPr="0024375B">
        <w:rPr>
          <w:szCs w:val="24"/>
        </w:rPr>
        <w:t>niezapewnienie dostępu do informacji</w:t>
      </w:r>
      <w:r w:rsidR="0077165A">
        <w:rPr>
          <w:szCs w:val="24"/>
        </w:rPr>
        <w:t xml:space="preserve"> o </w:t>
      </w:r>
      <w:r w:rsidRPr="0024375B">
        <w:rPr>
          <w:szCs w:val="24"/>
        </w:rPr>
        <w:t>rejestrowanych przez przedsiębiorcę komunikacji elektronicznej incydentach telekomunikacyjnych właściwemu CSIRT MON, CSIRT NASK lub CSIRT GOV oraz CSIRT Telco</w:t>
      </w:r>
      <w:r w:rsidR="00EA1900">
        <w:rPr>
          <w:szCs w:val="24"/>
        </w:rPr>
        <w:t xml:space="preserve"> w </w:t>
      </w:r>
      <w:r w:rsidRPr="0024375B">
        <w:rPr>
          <w:szCs w:val="24"/>
        </w:rPr>
        <w:t>zakresie niezbędnym do realizacji ich zadań;</w:t>
      </w:r>
    </w:p>
    <w:p w14:paraId="09A06CF7" w14:textId="77777777" w:rsidR="004A4085" w:rsidRPr="0024375B" w:rsidRDefault="004A4085" w:rsidP="0024375B">
      <w:pPr>
        <w:pStyle w:val="Akapitzlist"/>
        <w:numPr>
          <w:ilvl w:val="0"/>
          <w:numId w:val="97"/>
        </w:numPr>
        <w:suppressAutoHyphens/>
        <w:autoSpaceDN w:val="0"/>
        <w:spacing w:after="120" w:line="360" w:lineRule="auto"/>
        <w:ind w:firstLine="510"/>
        <w:contextualSpacing w:val="0"/>
        <w:rPr>
          <w:szCs w:val="24"/>
        </w:rPr>
      </w:pPr>
      <w:r w:rsidRPr="0024375B">
        <w:rPr>
          <w:szCs w:val="24"/>
        </w:rPr>
        <w:t>niewykonywanie obowiązku,</w:t>
      </w:r>
      <w:r w:rsidR="0077165A">
        <w:rPr>
          <w:szCs w:val="24"/>
        </w:rPr>
        <w:t xml:space="preserve"> o </w:t>
      </w:r>
      <w:r w:rsidRPr="0024375B">
        <w:rPr>
          <w:szCs w:val="24"/>
        </w:rPr>
        <w:t>którym mowa</w:t>
      </w:r>
      <w:r w:rsidR="002161FE">
        <w:rPr>
          <w:szCs w:val="24"/>
        </w:rPr>
        <w:t xml:space="preserve"> w</w:t>
      </w:r>
      <w:r w:rsidR="00EA1900">
        <w:rPr>
          <w:szCs w:val="24"/>
        </w:rPr>
        <w:t xml:space="preserve"> art. </w:t>
      </w:r>
      <w:r w:rsidRPr="0024375B">
        <w:rPr>
          <w:szCs w:val="24"/>
        </w:rPr>
        <w:t xml:space="preserve">20f </w:t>
      </w:r>
      <w:r w:rsidR="00D00CB4">
        <w:rPr>
          <w:szCs w:val="24"/>
        </w:rPr>
        <w:t>ust. </w:t>
      </w:r>
      <w:r w:rsidRPr="0024375B">
        <w:rPr>
          <w:szCs w:val="24"/>
        </w:rPr>
        <w:t>1</w:t>
      </w:r>
      <w:r w:rsidR="002161FE">
        <w:rPr>
          <w:szCs w:val="24"/>
        </w:rPr>
        <w:t xml:space="preserve"> i </w:t>
      </w:r>
      <w:r w:rsidRPr="0024375B">
        <w:rPr>
          <w:szCs w:val="24"/>
        </w:rPr>
        <w:t>2;</w:t>
      </w:r>
    </w:p>
    <w:p w14:paraId="6A80FBF8" w14:textId="77777777" w:rsidR="004A4085" w:rsidRPr="0024375B" w:rsidRDefault="004A4085" w:rsidP="0024375B">
      <w:pPr>
        <w:pStyle w:val="Akapitzlist"/>
        <w:numPr>
          <w:ilvl w:val="0"/>
          <w:numId w:val="97"/>
        </w:numPr>
        <w:suppressAutoHyphens/>
        <w:autoSpaceDN w:val="0"/>
        <w:spacing w:after="120" w:line="360" w:lineRule="auto"/>
        <w:ind w:firstLine="510"/>
        <w:contextualSpacing w:val="0"/>
        <w:rPr>
          <w:szCs w:val="24"/>
        </w:rPr>
      </w:pPr>
      <w:r w:rsidRPr="0024375B">
        <w:rPr>
          <w:szCs w:val="24"/>
        </w:rPr>
        <w:lastRenderedPageBreak/>
        <w:t>niewykonywanie obowiązku,</w:t>
      </w:r>
      <w:r w:rsidR="0077165A">
        <w:rPr>
          <w:szCs w:val="24"/>
        </w:rPr>
        <w:t xml:space="preserve"> o </w:t>
      </w:r>
      <w:r w:rsidRPr="0024375B">
        <w:rPr>
          <w:szCs w:val="24"/>
        </w:rPr>
        <w:t>którym mowa</w:t>
      </w:r>
      <w:r w:rsidR="002161FE">
        <w:rPr>
          <w:szCs w:val="24"/>
        </w:rPr>
        <w:t xml:space="preserve"> w</w:t>
      </w:r>
      <w:r w:rsidR="00EA1900">
        <w:rPr>
          <w:szCs w:val="24"/>
        </w:rPr>
        <w:t xml:space="preserve"> art. </w:t>
      </w:r>
      <w:r w:rsidRPr="0024375B">
        <w:rPr>
          <w:szCs w:val="24"/>
        </w:rPr>
        <w:t xml:space="preserve">20h </w:t>
      </w:r>
      <w:r w:rsidR="00D00CB4">
        <w:rPr>
          <w:szCs w:val="24"/>
        </w:rPr>
        <w:t>ust. </w:t>
      </w:r>
      <w:r w:rsidRPr="0024375B">
        <w:rPr>
          <w:szCs w:val="24"/>
        </w:rPr>
        <w:t>5.</w:t>
      </w:r>
    </w:p>
    <w:p w14:paraId="714F5ACB" w14:textId="09D3EC6E" w:rsidR="004A4085" w:rsidRPr="0024375B" w:rsidRDefault="004A4085" w:rsidP="0024375B">
      <w:pPr>
        <w:spacing w:after="120"/>
        <w:ind w:firstLine="510"/>
        <w:jc w:val="both"/>
        <w:rPr>
          <w:szCs w:val="24"/>
        </w:rPr>
      </w:pPr>
      <w:r w:rsidRPr="0024375B">
        <w:rPr>
          <w:szCs w:val="24"/>
        </w:rPr>
        <w:t>Kary</w:t>
      </w:r>
      <w:r w:rsidR="00EA1900">
        <w:rPr>
          <w:szCs w:val="24"/>
        </w:rPr>
        <w:t xml:space="preserve"> w </w:t>
      </w:r>
      <w:r w:rsidRPr="0024375B">
        <w:rPr>
          <w:szCs w:val="24"/>
        </w:rPr>
        <w:t>powyżej przytoczonych sytuacjach będzie nakładał Prezes UKE</w:t>
      </w:r>
      <w:r w:rsidR="001211D5">
        <w:rPr>
          <w:szCs w:val="24"/>
        </w:rPr>
        <w:t>.</w:t>
      </w:r>
      <w:r w:rsidR="009A6D9D">
        <w:rPr>
          <w:szCs w:val="24"/>
        </w:rPr>
        <w:t xml:space="preserve"> </w:t>
      </w:r>
      <w:r w:rsidRPr="0024375B">
        <w:rPr>
          <w:szCs w:val="24"/>
        </w:rPr>
        <w:t>Należy jednak zwrócić uwagę na to, że</w:t>
      </w:r>
      <w:r w:rsidR="00EA1900">
        <w:rPr>
          <w:szCs w:val="24"/>
        </w:rPr>
        <w:t xml:space="preserve"> art. </w:t>
      </w:r>
      <w:r w:rsidRPr="0024375B">
        <w:rPr>
          <w:szCs w:val="24"/>
        </w:rPr>
        <w:t xml:space="preserve">76a </w:t>
      </w:r>
      <w:r w:rsidR="00D00CB4">
        <w:rPr>
          <w:szCs w:val="24"/>
        </w:rPr>
        <w:t>ust. </w:t>
      </w:r>
      <w:r w:rsidRPr="0024375B">
        <w:rPr>
          <w:szCs w:val="24"/>
        </w:rPr>
        <w:t>1</w:t>
      </w:r>
      <w:r w:rsidR="002161FE">
        <w:rPr>
          <w:szCs w:val="24"/>
        </w:rPr>
        <w:t xml:space="preserve"> i </w:t>
      </w:r>
      <w:r w:rsidR="00D00CB4">
        <w:rPr>
          <w:szCs w:val="24"/>
        </w:rPr>
        <w:t>ust. </w:t>
      </w:r>
      <w:r w:rsidRPr="0024375B">
        <w:rPr>
          <w:szCs w:val="24"/>
        </w:rPr>
        <w:t>2 dotyczy dwóch różnych odpowiedzialności karnoadministracyjnych. Pierwsza sytuacja to odpowiedzialność</w:t>
      </w:r>
      <w:r w:rsidR="0077165A">
        <w:rPr>
          <w:szCs w:val="24"/>
        </w:rPr>
        <w:t xml:space="preserve"> o </w:t>
      </w:r>
      <w:r w:rsidRPr="0024375B">
        <w:rPr>
          <w:szCs w:val="24"/>
        </w:rPr>
        <w:t>charakterze obligatoryjnym,</w:t>
      </w:r>
      <w:r w:rsidR="002161FE">
        <w:rPr>
          <w:szCs w:val="24"/>
        </w:rPr>
        <w:t xml:space="preserve"> a </w:t>
      </w:r>
      <w:r w:rsidRPr="0024375B">
        <w:rPr>
          <w:szCs w:val="24"/>
        </w:rPr>
        <w:t>zatem Prezes UKE będzie miał obowiązek nałożenia kary pieniężnej na przedsiębiorcę komunikacji elektronicznej</w:t>
      </w:r>
      <w:r w:rsidR="000D51BD">
        <w:rPr>
          <w:szCs w:val="24"/>
        </w:rPr>
        <w:t>,</w:t>
      </w:r>
      <w:r w:rsidRPr="0024375B">
        <w:rPr>
          <w:szCs w:val="24"/>
        </w:rPr>
        <w:t xml:space="preserve"> gdy zajdą przesłanki enumeratywnie wymienione</w:t>
      </w:r>
      <w:r w:rsidR="002161FE">
        <w:rPr>
          <w:szCs w:val="24"/>
        </w:rPr>
        <w:t xml:space="preserve"> w</w:t>
      </w:r>
      <w:r w:rsidR="00EA1900">
        <w:rPr>
          <w:szCs w:val="24"/>
        </w:rPr>
        <w:t xml:space="preserve"> art. </w:t>
      </w:r>
      <w:r w:rsidRPr="0024375B">
        <w:rPr>
          <w:szCs w:val="24"/>
        </w:rPr>
        <w:t xml:space="preserve">76a </w:t>
      </w:r>
      <w:r w:rsidR="00D00CB4">
        <w:rPr>
          <w:szCs w:val="24"/>
        </w:rPr>
        <w:t>ust. </w:t>
      </w:r>
      <w:r w:rsidRPr="0024375B">
        <w:rPr>
          <w:szCs w:val="24"/>
        </w:rPr>
        <w:t>1.</w:t>
      </w:r>
      <w:r w:rsidR="00116933">
        <w:rPr>
          <w:szCs w:val="24"/>
        </w:rPr>
        <w:t xml:space="preserve"> W </w:t>
      </w:r>
      <w:r w:rsidRPr="0024375B">
        <w:rPr>
          <w:szCs w:val="24"/>
        </w:rPr>
        <w:t>ust</w:t>
      </w:r>
      <w:r w:rsidR="00952F53">
        <w:rPr>
          <w:szCs w:val="24"/>
        </w:rPr>
        <w:t>.</w:t>
      </w:r>
      <w:r w:rsidRPr="0024375B">
        <w:rPr>
          <w:szCs w:val="24"/>
        </w:rPr>
        <w:t xml:space="preserve"> 2 przewiduje się odpowiedzialność fakultatywną, wobec czego nadaje się uprawnienie Prezesowi UKE do nałożenia kary pieniężnej na przedsiębiorcę komunikacji elektronicznej, jeżeli przemawia za tym charakter lub zakres naruszenia. Przesłanki dotyczące charakteru</w:t>
      </w:r>
      <w:r w:rsidR="002161FE">
        <w:rPr>
          <w:szCs w:val="24"/>
        </w:rPr>
        <w:t xml:space="preserve"> i </w:t>
      </w:r>
      <w:r w:rsidRPr="0024375B">
        <w:rPr>
          <w:szCs w:val="24"/>
        </w:rPr>
        <w:t>zakresu naruszenia należy rozumieć analogicznie względem uzasadnienia</w:t>
      </w:r>
      <w:r w:rsidR="00EA1900">
        <w:rPr>
          <w:szCs w:val="24"/>
        </w:rPr>
        <w:t xml:space="preserve"> art. </w:t>
      </w:r>
      <w:r w:rsidRPr="0024375B">
        <w:rPr>
          <w:szCs w:val="24"/>
        </w:rPr>
        <w:t xml:space="preserve">73 </w:t>
      </w:r>
      <w:r w:rsidR="00D00CB4">
        <w:rPr>
          <w:szCs w:val="24"/>
        </w:rPr>
        <w:t>ust. </w:t>
      </w:r>
      <w:r w:rsidRPr="0024375B">
        <w:rPr>
          <w:szCs w:val="24"/>
        </w:rPr>
        <w:t>2d. Wprowadza się również dopuszczalność nałożenia kary pieniężnej nawet</w:t>
      </w:r>
      <w:r w:rsidR="00EA1900">
        <w:rPr>
          <w:szCs w:val="24"/>
        </w:rPr>
        <w:t xml:space="preserve"> w </w:t>
      </w:r>
      <w:r w:rsidRPr="0024375B">
        <w:rPr>
          <w:szCs w:val="24"/>
        </w:rPr>
        <w:t>sytuacji zaprzestania naruszania prawa przez podmiot bądź naprawienia wyrządzonej przez niego szkody. Uprawniony będzie do tego Prezes UKE po uznaniu, że przemawiają za tym czas trwania, zakres lub skutki naruszenia.</w:t>
      </w:r>
    </w:p>
    <w:p w14:paraId="0C5B07B3" w14:textId="2221F34E" w:rsidR="004A4085" w:rsidRPr="0024375B" w:rsidRDefault="004A4085" w:rsidP="0024375B">
      <w:pPr>
        <w:spacing w:after="120"/>
        <w:ind w:firstLine="510"/>
        <w:jc w:val="both"/>
        <w:rPr>
          <w:szCs w:val="24"/>
        </w:rPr>
      </w:pPr>
      <w:r w:rsidRPr="0024375B">
        <w:rPr>
          <w:szCs w:val="24"/>
        </w:rPr>
        <w:t>Powyższe kary będą nakładane przez Prezesa UKE</w:t>
      </w:r>
      <w:r w:rsidR="00EA1900">
        <w:rPr>
          <w:szCs w:val="24"/>
        </w:rPr>
        <w:t xml:space="preserve"> w </w:t>
      </w:r>
      <w:r w:rsidRPr="0024375B">
        <w:rPr>
          <w:szCs w:val="24"/>
        </w:rPr>
        <w:t>drodze decyzji, której nie nadaje się rygoru natychmiastowej wykonalności. Górna granica nałożonej kary została ustalona na poziomie 3% przychodu ukaranego podmiotu osiągniętego</w:t>
      </w:r>
      <w:r w:rsidR="00EA1900">
        <w:rPr>
          <w:szCs w:val="24"/>
        </w:rPr>
        <w:t xml:space="preserve"> w </w:t>
      </w:r>
      <w:r w:rsidRPr="0024375B">
        <w:rPr>
          <w:szCs w:val="24"/>
        </w:rPr>
        <w:t>poprzednim roku kalendarzowym. Przepisy przewidują również sposób ustalania wysokości wymiaru kary</w:t>
      </w:r>
      <w:r w:rsidR="000C0F86" w:rsidRPr="0024375B">
        <w:rPr>
          <w:szCs w:val="24"/>
        </w:rPr>
        <w:t>,</w:t>
      </w:r>
      <w:r w:rsidR="00EA1900">
        <w:rPr>
          <w:szCs w:val="24"/>
        </w:rPr>
        <w:t xml:space="preserve"> w </w:t>
      </w:r>
      <w:r w:rsidRPr="0024375B">
        <w:rPr>
          <w:szCs w:val="24"/>
        </w:rPr>
        <w:t>przypadku</w:t>
      </w:r>
      <w:r w:rsidR="000D51BD">
        <w:rPr>
          <w:szCs w:val="24"/>
        </w:rPr>
        <w:t>,</w:t>
      </w:r>
      <w:r w:rsidRPr="0024375B">
        <w:rPr>
          <w:szCs w:val="24"/>
        </w:rPr>
        <w:t xml:space="preserve"> gdy podmiot nie osiągnął przychodu bądź nie dysponuje danymi finansowymi niezbędnymi do ustalenia przychodu za rok kalendarzowy poprzedzający rok nałożenia kary.</w:t>
      </w:r>
    </w:p>
    <w:p w14:paraId="1B430B83" w14:textId="77777777" w:rsidR="004A4085" w:rsidRPr="0024375B" w:rsidRDefault="004A4085" w:rsidP="0024375B">
      <w:pPr>
        <w:spacing w:before="120" w:after="120"/>
        <w:ind w:firstLine="510"/>
        <w:jc w:val="both"/>
        <w:rPr>
          <w:szCs w:val="24"/>
        </w:rPr>
      </w:pPr>
      <w:r w:rsidRPr="0024375B">
        <w:rPr>
          <w:szCs w:val="24"/>
        </w:rPr>
        <w:t>Wymierzanie kar pieniężnych co do zasady będzie się odbywać</w:t>
      </w:r>
      <w:r w:rsidR="00EA1900">
        <w:rPr>
          <w:szCs w:val="24"/>
        </w:rPr>
        <w:t xml:space="preserve"> w </w:t>
      </w:r>
      <w:r w:rsidRPr="0024375B">
        <w:rPr>
          <w:szCs w:val="24"/>
        </w:rPr>
        <w:t>drodze postępowania administracyjnego, na zasadach ogólnych tj. przy zastosowaniu przepisów działu 4A Kodeksu Postępowania Administracyjnego (z możliwością odwołania</w:t>
      </w:r>
      <w:r w:rsidR="002161FE">
        <w:rPr>
          <w:szCs w:val="24"/>
        </w:rPr>
        <w:t xml:space="preserve"> i </w:t>
      </w:r>
      <w:r w:rsidRPr="0024375B">
        <w:rPr>
          <w:szCs w:val="24"/>
        </w:rPr>
        <w:t>drogi sądowej).</w:t>
      </w:r>
    </w:p>
    <w:p w14:paraId="761D5DE1" w14:textId="77777777" w:rsidR="003A6DBF" w:rsidRPr="0024375B" w:rsidRDefault="076C78AB" w:rsidP="00862E68">
      <w:pPr>
        <w:pStyle w:val="Nagwek3"/>
      </w:pPr>
      <w:bookmarkStart w:id="37" w:name="_Toc115641857"/>
      <w:bookmarkStart w:id="38" w:name="_Toc115641858"/>
      <w:bookmarkStart w:id="39" w:name="_Toc115641859"/>
      <w:bookmarkStart w:id="40" w:name="_Toc115641860"/>
      <w:bookmarkStart w:id="41" w:name="_Toc115641861"/>
      <w:bookmarkStart w:id="42" w:name="_Toc115641862"/>
      <w:bookmarkStart w:id="43" w:name="_Toc115641863"/>
      <w:bookmarkStart w:id="44" w:name="_Toc115641864"/>
      <w:bookmarkStart w:id="45" w:name="_Toc115641865"/>
      <w:bookmarkStart w:id="46" w:name="_Toc115641866"/>
      <w:bookmarkStart w:id="47" w:name="_Toc115641867"/>
      <w:bookmarkStart w:id="48" w:name="_Toc115641868"/>
      <w:bookmarkStart w:id="49" w:name="_Toc115641869"/>
      <w:bookmarkStart w:id="50" w:name="_Toc115641870"/>
      <w:bookmarkStart w:id="51" w:name="_Toc115641871"/>
      <w:bookmarkStart w:id="52" w:name="_Toc101766926"/>
      <w:bookmarkStart w:id="53" w:name="_Toc101767222"/>
      <w:bookmarkStart w:id="54" w:name="_Toc101767251"/>
      <w:bookmarkStart w:id="55" w:name="_Toc101767286"/>
      <w:bookmarkStart w:id="56" w:name="_Toc101767367"/>
      <w:bookmarkStart w:id="57" w:name="_Toc115641872"/>
      <w:bookmarkStart w:id="58" w:name="_Toc101766927"/>
      <w:bookmarkStart w:id="59" w:name="_Toc101767223"/>
      <w:bookmarkStart w:id="60" w:name="_Toc101767252"/>
      <w:bookmarkStart w:id="61" w:name="_Toc101767287"/>
      <w:bookmarkStart w:id="62" w:name="_Toc101767368"/>
      <w:bookmarkStart w:id="63" w:name="_Toc115641873"/>
      <w:bookmarkStart w:id="64" w:name="_Toc101766928"/>
      <w:bookmarkStart w:id="65" w:name="_Toc101767224"/>
      <w:bookmarkStart w:id="66" w:name="_Toc101767253"/>
      <w:bookmarkStart w:id="67" w:name="_Toc101767288"/>
      <w:bookmarkStart w:id="68" w:name="_Toc101767369"/>
      <w:bookmarkStart w:id="69" w:name="_Toc115641874"/>
      <w:bookmarkStart w:id="70" w:name="_Toc101766929"/>
      <w:bookmarkStart w:id="71" w:name="_Toc101767225"/>
      <w:bookmarkStart w:id="72" w:name="_Toc101767254"/>
      <w:bookmarkStart w:id="73" w:name="_Toc101767289"/>
      <w:bookmarkStart w:id="74" w:name="_Toc101767370"/>
      <w:bookmarkStart w:id="75" w:name="_Toc115641875"/>
      <w:bookmarkStart w:id="76" w:name="_Toc101766930"/>
      <w:bookmarkStart w:id="77" w:name="_Toc101767226"/>
      <w:bookmarkStart w:id="78" w:name="_Toc101767255"/>
      <w:bookmarkStart w:id="79" w:name="_Toc101767290"/>
      <w:bookmarkStart w:id="80" w:name="_Toc101767371"/>
      <w:bookmarkStart w:id="81" w:name="_Toc115641876"/>
      <w:bookmarkStart w:id="82" w:name="_Toc136511059"/>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24375B">
        <w:t>Strategiczna sieć bezpieczeństwa</w:t>
      </w:r>
      <w:bookmarkEnd w:id="82"/>
    </w:p>
    <w:p w14:paraId="5FA770E8" w14:textId="77777777" w:rsidR="006A4AB7" w:rsidRPr="001C5AF2" w:rsidRDefault="006A4AB7" w:rsidP="00DC1575">
      <w:pPr>
        <w:pStyle w:val="Nagwek4"/>
        <w:rPr>
          <w:bCs/>
        </w:rPr>
      </w:pPr>
      <w:r w:rsidRPr="00B60F95">
        <w:t xml:space="preserve">Nowy </w:t>
      </w:r>
      <w:r w:rsidRPr="00DD10ED">
        <w:t>a</w:t>
      </w:r>
      <w:r w:rsidR="003A6DBF" w:rsidRPr="00DD10ED">
        <w:t>rt. 76</w:t>
      </w:r>
      <w:r w:rsidR="00AF03E5">
        <w:t>c</w:t>
      </w:r>
      <w:r w:rsidR="003A6DBF" w:rsidRPr="00DD10ED">
        <w:t>.</w:t>
      </w:r>
      <w:r w:rsidR="003A6DBF" w:rsidRPr="001C5AF2">
        <w:rPr>
          <w:bCs/>
        </w:rPr>
        <w:t xml:space="preserve"> </w:t>
      </w:r>
    </w:p>
    <w:p w14:paraId="35A34AF9" w14:textId="77777777" w:rsidR="00B535C4" w:rsidRDefault="003A6DBF" w:rsidP="0024375B">
      <w:pPr>
        <w:spacing w:before="120" w:after="120"/>
        <w:ind w:firstLine="510"/>
        <w:jc w:val="both"/>
        <w:rPr>
          <w:rFonts w:cs="Times New Roman"/>
        </w:rPr>
      </w:pPr>
      <w:r w:rsidRPr="0024375B">
        <w:rPr>
          <w:rFonts w:cs="Times New Roman"/>
        </w:rPr>
        <w:t>Celem tworzonej strategicznej sieci bezpieczeństwa jest zapewnienie realizacji zadań na rzecz obronności, bezpieczeństwa państwa oraz bezpieczeństwa</w:t>
      </w:r>
      <w:r w:rsidR="002161FE">
        <w:rPr>
          <w:rFonts w:cs="Times New Roman"/>
        </w:rPr>
        <w:t xml:space="preserve"> i </w:t>
      </w:r>
      <w:r w:rsidRPr="0024375B">
        <w:rPr>
          <w:rFonts w:cs="Times New Roman"/>
        </w:rPr>
        <w:t>porządku publicznego</w:t>
      </w:r>
      <w:r w:rsidR="00EA1900">
        <w:rPr>
          <w:rFonts w:cs="Times New Roman"/>
        </w:rPr>
        <w:t xml:space="preserve"> w </w:t>
      </w:r>
      <w:r w:rsidRPr="0024375B">
        <w:rPr>
          <w:rFonts w:cs="Times New Roman"/>
        </w:rPr>
        <w:t>aspekcie telekomunikacyjnym, czyli związanym</w:t>
      </w:r>
      <w:r w:rsidR="002161FE">
        <w:rPr>
          <w:rFonts w:cs="Times New Roman"/>
        </w:rPr>
        <w:t xml:space="preserve"> z </w:t>
      </w:r>
      <w:r w:rsidRPr="0024375B">
        <w:rPr>
          <w:rFonts w:cs="Times New Roman"/>
        </w:rPr>
        <w:t>nadawaniem, odbiorem lub transmisją informacji, niezależnie od ich rodzaju, za pomocą przewodów, fal radiowych bądź optycznych lub innych środków wykorzystujących energię elektromagnetyczną. Podmiotem zobowiązanym do jej uruchomienie oraz zarządzani</w:t>
      </w:r>
      <w:r w:rsidR="009118EF">
        <w:rPr>
          <w:rFonts w:cs="Times New Roman"/>
        </w:rPr>
        <w:t>a</w:t>
      </w:r>
      <w:r w:rsidRPr="0024375B">
        <w:rPr>
          <w:rFonts w:cs="Times New Roman"/>
        </w:rPr>
        <w:t xml:space="preserve"> </w:t>
      </w:r>
      <w:r w:rsidR="480FF3AB" w:rsidRPr="0024375B">
        <w:rPr>
          <w:rFonts w:cs="Times New Roman"/>
        </w:rPr>
        <w:t>będzie</w:t>
      </w:r>
      <w:r w:rsidR="00DB44AE" w:rsidRPr="0024375B">
        <w:rPr>
          <w:rFonts w:cs="Times New Roman"/>
        </w:rPr>
        <w:t xml:space="preserve"> </w:t>
      </w:r>
      <w:r w:rsidR="67AAFCEC" w:rsidRPr="0024375B">
        <w:rPr>
          <w:rFonts w:cs="Times New Roman"/>
        </w:rPr>
        <w:t>operator strategicznej sieci bezpieczeństwa (</w:t>
      </w:r>
      <w:r w:rsidRPr="0024375B">
        <w:rPr>
          <w:rFonts w:cs="Times New Roman"/>
        </w:rPr>
        <w:t>OSSB</w:t>
      </w:r>
      <w:r w:rsidR="3E59B8CD" w:rsidRPr="0024375B">
        <w:rPr>
          <w:rFonts w:cs="Times New Roman"/>
        </w:rPr>
        <w:t>)</w:t>
      </w:r>
      <w:r w:rsidRPr="0024375B">
        <w:rPr>
          <w:rFonts w:cs="Times New Roman"/>
        </w:rPr>
        <w:t>.</w:t>
      </w:r>
      <w:r w:rsidR="000D76CC">
        <w:rPr>
          <w:rFonts w:cs="Times New Roman"/>
        </w:rPr>
        <w:t xml:space="preserve"> </w:t>
      </w:r>
      <w:r w:rsidR="004511D8" w:rsidRPr="0024375B">
        <w:rPr>
          <w:rFonts w:cs="Times New Roman"/>
        </w:rPr>
        <w:t>Przepis ten precyzuje również, że strategiczna sieć bezpieczeństwa jest siecią telekomunikacyjną</w:t>
      </w:r>
      <w:r w:rsidR="00EA1900">
        <w:rPr>
          <w:rFonts w:cs="Times New Roman"/>
        </w:rPr>
        <w:t xml:space="preserve"> w </w:t>
      </w:r>
      <w:r w:rsidR="004511D8" w:rsidRPr="0024375B">
        <w:rPr>
          <w:rFonts w:cs="Times New Roman"/>
        </w:rPr>
        <w:t xml:space="preserve">rozumieniu </w:t>
      </w:r>
      <w:r w:rsidR="0048687E">
        <w:rPr>
          <w:rFonts w:cs="Times New Roman"/>
        </w:rPr>
        <w:t>P</w:t>
      </w:r>
      <w:r w:rsidR="004511D8" w:rsidRPr="0024375B">
        <w:rPr>
          <w:rFonts w:cs="Times New Roman"/>
        </w:rPr>
        <w:t xml:space="preserve">rawa </w:t>
      </w:r>
      <w:r w:rsidR="009118EF">
        <w:rPr>
          <w:rFonts w:cs="Times New Roman"/>
        </w:rPr>
        <w:t>komunikacji elektronicznej</w:t>
      </w:r>
      <w:r w:rsidR="004511D8" w:rsidRPr="0024375B">
        <w:rPr>
          <w:rFonts w:cs="Times New Roman"/>
        </w:rPr>
        <w:t xml:space="preserve">. </w:t>
      </w:r>
    </w:p>
    <w:p w14:paraId="5480125D" w14:textId="77777777" w:rsidR="00B535C4" w:rsidRPr="00B535C4" w:rsidRDefault="00B535C4" w:rsidP="00B535C4">
      <w:pPr>
        <w:spacing w:before="120" w:after="120"/>
        <w:ind w:firstLine="510"/>
        <w:jc w:val="both"/>
        <w:rPr>
          <w:rFonts w:cs="Times New Roman"/>
        </w:rPr>
      </w:pPr>
      <w:r w:rsidRPr="00B535C4">
        <w:rPr>
          <w:rFonts w:cs="Times New Roman"/>
        </w:rPr>
        <w:t xml:space="preserve">Stworzenie strategicznej sieci bezpieczeństwa jest niezbędne i konieczne, ponieważ usługi telekomunikacyjne związane z obronnością i bezpieczeństwem państwa powinien świadczyć podmiot kontrolowany w całości przez państwo, wolny od wpływów podmiotów trzecich. </w:t>
      </w:r>
      <w:r w:rsidRPr="00B535C4">
        <w:rPr>
          <w:rFonts w:cs="Times New Roman"/>
        </w:rPr>
        <w:lastRenderedPageBreak/>
        <w:t xml:space="preserve">w szczególności infrastruktura telekomunikacyjna służąca tego rodzaju usługom powinna być pod kontrolą państwa. </w:t>
      </w:r>
    </w:p>
    <w:p w14:paraId="504D66CE" w14:textId="77777777" w:rsidR="00B535C4" w:rsidRPr="00B535C4" w:rsidRDefault="00B535C4" w:rsidP="00B535C4">
      <w:pPr>
        <w:spacing w:before="120" w:after="120"/>
        <w:ind w:firstLine="510"/>
        <w:jc w:val="both"/>
        <w:rPr>
          <w:rFonts w:cs="Times New Roman"/>
        </w:rPr>
      </w:pPr>
      <w:r w:rsidRPr="00B535C4">
        <w:rPr>
          <w:rFonts w:cs="Times New Roman"/>
        </w:rPr>
        <w:t xml:space="preserve">Istotne jest zapewnienie, aby dane na temat osób realizujących zadania z zakresu obronności, bezpieczeństwa państwa, bezpieczeństwa i porządku publicznego podczas wypełniania obowiązków służbowych były w jak najmniejszym stopniu przetwarzane przez podmioty niepubliczne. Utworzenie strategicznej sieci bezpieczeństwa jest przydatne do osiągnięcia tego celu bowiem sieć ta będzie odrębna od innych sieci telekomunikacyjnych i będzie zarządzana przez podmiot znajdujący się pod kontrolą państwa.  </w:t>
      </w:r>
    </w:p>
    <w:p w14:paraId="446DD1B1" w14:textId="77777777" w:rsidR="00B535C4" w:rsidRPr="00B535C4" w:rsidRDefault="00B535C4" w:rsidP="00B535C4">
      <w:pPr>
        <w:spacing w:before="120" w:after="120"/>
        <w:ind w:firstLine="510"/>
        <w:jc w:val="both"/>
        <w:rPr>
          <w:rFonts w:cs="Times New Roman"/>
        </w:rPr>
      </w:pPr>
      <w:r w:rsidRPr="00B535C4">
        <w:rPr>
          <w:rFonts w:cs="Times New Roman"/>
        </w:rPr>
        <w:t xml:space="preserve">Utworzenie strategicznej sieci bezpieczeństwa jest konieczne do osiągnięcia ww. celu. Obecnie organy administracji korzystają, przy realizacji zadań z zakresu obronności czy bezpieczeństwa państwa z usług operatorów znajdujących się, ze względu na strukturę, pod wpływem podmiotów trzecich. Sytuacja ta może zagrażać bezpieczeństwu przekazywanych informacji, a co za tym idzie zagraża bezpieczeństwu państwa.   </w:t>
      </w:r>
    </w:p>
    <w:p w14:paraId="44123982" w14:textId="77777777" w:rsidR="003A6DBF" w:rsidRPr="0024375B" w:rsidRDefault="00B535C4" w:rsidP="00B535C4">
      <w:pPr>
        <w:spacing w:before="120" w:after="120"/>
        <w:ind w:firstLine="510"/>
        <w:jc w:val="both"/>
        <w:rPr>
          <w:rFonts w:cs="Times New Roman"/>
        </w:rPr>
      </w:pPr>
      <w:r w:rsidRPr="00B535C4">
        <w:rPr>
          <w:rFonts w:cs="Times New Roman"/>
        </w:rPr>
        <w:t xml:space="preserve">Utworzenie strategicznej sieci bezpieczeństwa oraz jej operatora jest zdaniem projektodawcy najmniej uciążliwym rozwiązaniem. Podkreślić należy, że nie chodzi tutaj o utworzenie operatora, który świadczyłby usługi telekomunikacyjne do wykonywania wszystkich zadań administracji. Operator ten będzie świadczył jedynie usługi telekomunikacyjne związane ze szczególnymi zadaniami – tymi związanymi z bezpieczeństwem państwa. W pozostałym zakresie organy administracji będą mogły w swobodnym zakresie korzystać z usług różnych przedsiębiorców telekomunikacyjnych. </w:t>
      </w:r>
      <w:r w:rsidR="009118EF" w:rsidRPr="009118EF">
        <w:rPr>
          <w:rFonts w:cs="Times New Roman"/>
        </w:rPr>
        <w:t xml:space="preserve">Strategiczna sieć bezpieczeństwa </w:t>
      </w:r>
      <w:r w:rsidR="009118EF">
        <w:rPr>
          <w:rFonts w:cs="Times New Roman"/>
        </w:rPr>
        <w:t xml:space="preserve">będzie </w:t>
      </w:r>
      <w:r w:rsidR="009118EF" w:rsidRPr="009118EF">
        <w:rPr>
          <w:rFonts w:cs="Times New Roman"/>
        </w:rPr>
        <w:t>zapewnia</w:t>
      </w:r>
      <w:r w:rsidR="009118EF">
        <w:rPr>
          <w:rFonts w:cs="Times New Roman"/>
        </w:rPr>
        <w:t>ła</w:t>
      </w:r>
      <w:r w:rsidR="009118EF" w:rsidRPr="009118EF">
        <w:rPr>
          <w:rFonts w:cs="Times New Roman"/>
        </w:rPr>
        <w:t xml:space="preserve"> poziom bezpieczeństwa usług transmisji danych, połączeń głosowych oraz wiadomości tekstowych niezbędny do zapewnienia realizacji zadań na rzecz obronności, bezpieczeństwa państwa oraz bezpieczeństwa i porządku publicznego</w:t>
      </w:r>
      <w:r w:rsidR="009118EF">
        <w:rPr>
          <w:rFonts w:cs="Times New Roman"/>
        </w:rPr>
        <w:t>.</w:t>
      </w:r>
    </w:p>
    <w:p w14:paraId="0A3511A3" w14:textId="16FB36E0" w:rsidR="00750E5E" w:rsidRPr="0024375B" w:rsidRDefault="00750E5E" w:rsidP="0024375B">
      <w:pPr>
        <w:pStyle w:val="NIEARTTEKSTtekstnieartykuowanynppodstprawnarozplubpreambua"/>
        <w:spacing w:after="120"/>
      </w:pPr>
      <w:r w:rsidRPr="0024375B">
        <w:rPr>
          <w:rFonts w:cs="Times New Roman"/>
        </w:rPr>
        <w:t xml:space="preserve">Operatora strategicznej sieci cyberbezpieczeństwa będzie wyznaczał Prezes Rady Ministrów. </w:t>
      </w:r>
      <w:r w:rsidR="009118EF">
        <w:rPr>
          <w:rFonts w:cs="Times New Roman"/>
        </w:rPr>
        <w:t>Wpierw będzie zasięgał opinii Kolegium do Spraw Cyberbezpieczeństwa</w:t>
      </w:r>
      <w:r w:rsidR="007A27F5">
        <w:rPr>
          <w:rFonts w:cs="Times New Roman"/>
        </w:rPr>
        <w:t xml:space="preserve"> w tej sprawie</w:t>
      </w:r>
      <w:r w:rsidR="009118EF">
        <w:rPr>
          <w:rFonts w:cs="Times New Roman"/>
        </w:rPr>
        <w:t xml:space="preserve">. </w:t>
      </w:r>
      <w:r w:rsidRPr="0024375B">
        <w:t>Wskazanie, jako organu wyznaczającego Operatora strategicznej sieci bezpieczeństwa, Prezesa Rady Ministrów wynika ze szczególnej pozycji ustrojowej tego organu, który na mocy</w:t>
      </w:r>
      <w:r w:rsidR="00EA1900">
        <w:t xml:space="preserve"> art. </w:t>
      </w:r>
      <w:r w:rsidRPr="0024375B">
        <w:t>148 Konstytucji Rzeczypospolitej Polskiej nie tylko reprezentuje Radę Ministrów</w:t>
      </w:r>
      <w:r w:rsidR="002161FE">
        <w:t xml:space="preserve"> i </w:t>
      </w:r>
      <w:r w:rsidRPr="0024375B">
        <w:t>kieruje jej pracami, ale także zapewnia wykonywanie polityki Rady Ministrów. Polski system prawa sytuuje władzę wykonawczą jako odpowiedzialną za zapewnienie obronności, bezpieczeństwa państwa oraz bezpieczeństwa</w:t>
      </w:r>
      <w:r w:rsidR="002161FE">
        <w:t xml:space="preserve"> i </w:t>
      </w:r>
      <w:r w:rsidRPr="0024375B">
        <w:t>porządku publicznego, przypisując zadania</w:t>
      </w:r>
      <w:r w:rsidR="00EA1900">
        <w:t xml:space="preserve"> w </w:t>
      </w:r>
      <w:r w:rsidRPr="0024375B">
        <w:t>tych obszarach poszczególnym organom administracji rządowej,</w:t>
      </w:r>
      <w:r w:rsidR="00EA1900">
        <w:t xml:space="preserve"> w </w:t>
      </w:r>
      <w:r w:rsidRPr="0024375B">
        <w:t>szczególności ministrom kierującym działami administracji rządowej. Tworzona strategiczna sieć bezpieczeństwa ma zapewnić bezpieczną komunikację na potrzeby realizacji tych zadań, jej Operator ma świadczyć usługi</w:t>
      </w:r>
      <w:r w:rsidR="00EA1900">
        <w:t xml:space="preserve"> w </w:t>
      </w:r>
      <w:r w:rsidRPr="0024375B">
        <w:t>ramach tej sieci podmiotom realizującym zadania</w:t>
      </w:r>
      <w:r w:rsidR="0048687E">
        <w:t xml:space="preserve"> z zakresu bezpieczeństwa państwa</w:t>
      </w:r>
      <w:r w:rsidRPr="0024375B">
        <w:t>. Ponadto, Prezes Rady Ministrów jest przewodniczącym zarówno Kolegium do Spraw Służb Specjalnych, Rządowego Zespołu Zarządzania Kryzysowego, jak</w:t>
      </w:r>
      <w:r w:rsidR="002161FE">
        <w:t xml:space="preserve"> i </w:t>
      </w:r>
      <w:r w:rsidRPr="0024375B">
        <w:t xml:space="preserve">Kolegium do Spraw Cyberbezpieczeństwa. A zatem wskazanie Prezesa Rady Ministrów jako organu wyznaczającego </w:t>
      </w:r>
      <w:r w:rsidR="000D51BD">
        <w:t>o</w:t>
      </w:r>
      <w:r w:rsidRPr="0024375B">
        <w:t>peratora strategicznej sieci bezpieczeństwa jest</w:t>
      </w:r>
      <w:r w:rsidR="00EA1900">
        <w:t xml:space="preserve"> w </w:t>
      </w:r>
      <w:r w:rsidRPr="0024375B">
        <w:t>pełni uzasadnione.</w:t>
      </w:r>
    </w:p>
    <w:p w14:paraId="30F252C9" w14:textId="3E74EB3E" w:rsidR="009765BC" w:rsidRPr="0024375B" w:rsidRDefault="00516043" w:rsidP="0024375B">
      <w:pPr>
        <w:pStyle w:val="ARTartustawynprozporzdzenia"/>
        <w:spacing w:after="120"/>
      </w:pPr>
      <w:r w:rsidRPr="0024375B">
        <w:lastRenderedPageBreak/>
        <w:t>Przez pojęcie zarządzania siecią</w:t>
      </w:r>
      <w:r w:rsidR="004511D8" w:rsidRPr="0024375B">
        <w:t>, użyte</w:t>
      </w:r>
      <w:r w:rsidR="002161FE">
        <w:t xml:space="preserve"> w</w:t>
      </w:r>
      <w:r w:rsidR="00EA1900">
        <w:t xml:space="preserve"> art. </w:t>
      </w:r>
      <w:r w:rsidR="00750E5E" w:rsidRPr="0024375B">
        <w:t>76</w:t>
      </w:r>
      <w:r w:rsidR="00AF03E5">
        <w:t>c</w:t>
      </w:r>
      <w:r w:rsidR="00750E5E" w:rsidRPr="0024375B">
        <w:t xml:space="preserve"> ust.</w:t>
      </w:r>
      <w:r w:rsidR="00B707BA">
        <w:t xml:space="preserve"> </w:t>
      </w:r>
      <w:r w:rsidR="00750E5E" w:rsidRPr="0024375B">
        <w:t>2,</w:t>
      </w:r>
      <w:r w:rsidR="00DB44AE" w:rsidRPr="0024375B">
        <w:t xml:space="preserve"> </w:t>
      </w:r>
      <w:r w:rsidR="00750E5E" w:rsidRPr="0024375B">
        <w:t>należy rozumieć dokonywanie wszelkich czynności zarządczych związanych</w:t>
      </w:r>
      <w:r w:rsidR="00750E5E" w:rsidRPr="0024375B">
        <w:rPr>
          <w:rFonts w:cs="Times New Roman"/>
          <w:b/>
          <w:bCs/>
        </w:rPr>
        <w:t xml:space="preserve"> </w:t>
      </w:r>
      <w:r w:rsidR="00750E5E" w:rsidRPr="0024375B">
        <w:t>zarówno</w:t>
      </w:r>
      <w:r w:rsidR="002161FE">
        <w:t xml:space="preserve"> z </w:t>
      </w:r>
      <w:r w:rsidR="00750E5E" w:rsidRPr="0024375B">
        <w:t>bieżącym utrzymaniem tej sieci, zapewnieniem bezpieczeństwa,</w:t>
      </w:r>
      <w:r w:rsidR="00EA1900">
        <w:t xml:space="preserve"> w </w:t>
      </w:r>
      <w:r w:rsidR="00750E5E" w:rsidRPr="0024375B">
        <w:t>tym bezpieczeństwa świadczonych</w:t>
      </w:r>
      <w:r w:rsidR="00EA1900">
        <w:t xml:space="preserve"> w </w:t>
      </w:r>
      <w:r w:rsidR="00750E5E" w:rsidRPr="0024375B">
        <w:t>sieci usług, jak</w:t>
      </w:r>
      <w:r w:rsidR="002161FE">
        <w:t xml:space="preserve"> i </w:t>
      </w:r>
      <w:r w:rsidR="00750E5E" w:rsidRPr="0024375B">
        <w:t>modernizacją</w:t>
      </w:r>
      <w:r w:rsidR="002161FE">
        <w:t xml:space="preserve"> i </w:t>
      </w:r>
      <w:r w:rsidR="00750E5E" w:rsidRPr="0024375B">
        <w:t>rozwojem sieci, które są nierozerwalnie związane</w:t>
      </w:r>
      <w:r w:rsidR="002161FE">
        <w:t xml:space="preserve"> z </w:t>
      </w:r>
      <w:r w:rsidR="00750E5E" w:rsidRPr="0024375B">
        <w:t>podnoszeniem poziomu bezpieczeństwa oraz jakości świadczonych usług</w:t>
      </w:r>
      <w:r w:rsidR="009765BC" w:rsidRPr="0024375B">
        <w:t>.</w:t>
      </w:r>
    </w:p>
    <w:p w14:paraId="5B5EC82D" w14:textId="77777777" w:rsidR="00516043" w:rsidRPr="0024375B" w:rsidRDefault="009765BC" w:rsidP="0024375B">
      <w:pPr>
        <w:pStyle w:val="ARTartustawynprozporzdzenia"/>
        <w:spacing w:after="120"/>
        <w:rPr>
          <w:rFonts w:cs="Times New Roman"/>
          <w:b/>
          <w:bCs/>
        </w:rPr>
      </w:pPr>
      <w:r w:rsidRPr="0024375B">
        <w:t>Wprowadza się fakultatywne upoważnienie ustawowe do wydania rozporządzenia przez Prezesa Rady Ministrów. Organ ten będzie mógł określić</w:t>
      </w:r>
      <w:r w:rsidR="00EA1900">
        <w:t xml:space="preserve"> w </w:t>
      </w:r>
      <w:r w:rsidRPr="0024375B">
        <w:t>rozporządzeniu minimalne wymagania techniczne jakie musi spełniać strategiczna sieć bezpieczeństwa oraz minimalny poziom bezpieczeństwa usług transmisji danych, połączeń głosowych oraz wiadomości tekstowych, mając na względzie konieczność zapewnienia odpowiedniego poziomu bezpieczeństwa komunikacji oraz aktualny poziom wiedzy naukowo–technicznej.</w:t>
      </w:r>
    </w:p>
    <w:p w14:paraId="5E325A69" w14:textId="77777777" w:rsidR="006A4AB7" w:rsidRPr="00DD10ED" w:rsidRDefault="006A4AB7" w:rsidP="00DC1575">
      <w:pPr>
        <w:pStyle w:val="Nagwek4"/>
      </w:pPr>
      <w:r w:rsidRPr="00B60F95">
        <w:t xml:space="preserve">Nowy </w:t>
      </w:r>
      <w:r w:rsidRPr="00DD10ED">
        <w:t>a</w:t>
      </w:r>
      <w:r w:rsidR="003A6DBF" w:rsidRPr="00DD10ED">
        <w:t>rt. 76</w:t>
      </w:r>
      <w:r w:rsidR="00AF03E5">
        <w:t>d</w:t>
      </w:r>
      <w:r w:rsidR="003A6DBF" w:rsidRPr="00DD10ED">
        <w:t xml:space="preserve">. </w:t>
      </w:r>
    </w:p>
    <w:p w14:paraId="4CC355D8" w14:textId="77777777" w:rsidR="003A6DBF" w:rsidRPr="0024375B" w:rsidRDefault="009765BC" w:rsidP="0024375B">
      <w:pPr>
        <w:spacing w:before="120" w:after="120"/>
        <w:ind w:firstLine="510"/>
        <w:jc w:val="both"/>
        <w:rPr>
          <w:rFonts w:cs="Times New Roman"/>
          <w:szCs w:val="24"/>
        </w:rPr>
      </w:pPr>
      <w:r w:rsidRPr="0024375B">
        <w:rPr>
          <w:rFonts w:cs="Times New Roman"/>
          <w:szCs w:val="24"/>
        </w:rPr>
        <w:t>Strategiczna s</w:t>
      </w:r>
      <w:r w:rsidR="003A6DBF" w:rsidRPr="0024375B">
        <w:rPr>
          <w:rFonts w:cs="Times New Roman"/>
          <w:szCs w:val="24"/>
        </w:rPr>
        <w:t>ieć</w:t>
      </w:r>
      <w:r w:rsidRPr="0024375B">
        <w:rPr>
          <w:rFonts w:cs="Times New Roman"/>
          <w:szCs w:val="24"/>
        </w:rPr>
        <w:t xml:space="preserve"> bezpieczeństwa</w:t>
      </w:r>
      <w:r w:rsidR="003A6DBF" w:rsidRPr="0024375B">
        <w:rPr>
          <w:rFonts w:cs="Times New Roman"/>
          <w:szCs w:val="24"/>
        </w:rPr>
        <w:t xml:space="preserve"> będzie zarządzana przez OSSB wskazanego </w:t>
      </w:r>
      <w:r w:rsidRPr="0024375B">
        <w:rPr>
          <w:rFonts w:cs="Times New Roman"/>
          <w:szCs w:val="24"/>
        </w:rPr>
        <w:t>przez</w:t>
      </w:r>
      <w:r w:rsidR="003A6DBF" w:rsidRPr="0024375B">
        <w:rPr>
          <w:rFonts w:cs="Times New Roman"/>
          <w:szCs w:val="24"/>
        </w:rPr>
        <w:t xml:space="preserve"> Prezesa Rady Ministrów. Wybór Prezesa Rady Ministrów jest ograniczony do kręgu podmiotów, które spełniają łącznie następujące warunki:</w:t>
      </w:r>
    </w:p>
    <w:p w14:paraId="7CC1284A" w14:textId="77777777" w:rsidR="003A6DBF" w:rsidRPr="0024375B" w:rsidRDefault="003A6DBF" w:rsidP="0024375B">
      <w:pPr>
        <w:numPr>
          <w:ilvl w:val="0"/>
          <w:numId w:val="51"/>
        </w:numPr>
        <w:autoSpaceDE/>
        <w:autoSpaceDN/>
        <w:adjustRightInd/>
        <w:spacing w:before="120" w:after="120"/>
        <w:ind w:firstLine="510"/>
        <w:jc w:val="both"/>
        <w:rPr>
          <w:rFonts w:cs="Times New Roman"/>
        </w:rPr>
      </w:pPr>
      <w:r w:rsidRPr="0024375B">
        <w:rPr>
          <w:rFonts w:cs="Times New Roman"/>
        </w:rPr>
        <w:t xml:space="preserve">będących jednoosobową spółką Skarbu Państwa, </w:t>
      </w:r>
    </w:p>
    <w:p w14:paraId="1933A382" w14:textId="77777777" w:rsidR="003A6DBF" w:rsidRPr="0024375B" w:rsidRDefault="003A6DBF" w:rsidP="0024375B">
      <w:pPr>
        <w:numPr>
          <w:ilvl w:val="0"/>
          <w:numId w:val="51"/>
        </w:numPr>
        <w:autoSpaceDE/>
        <w:autoSpaceDN/>
        <w:adjustRightInd/>
        <w:spacing w:before="120" w:after="120"/>
        <w:ind w:firstLine="510"/>
        <w:jc w:val="both"/>
        <w:rPr>
          <w:rFonts w:cs="Times New Roman"/>
        </w:rPr>
      </w:pPr>
      <w:r w:rsidRPr="0024375B">
        <w:rPr>
          <w:rFonts w:cs="Times New Roman"/>
        </w:rPr>
        <w:t>będących przedsiębiorcą telekomunikacyjnym,</w:t>
      </w:r>
    </w:p>
    <w:p w14:paraId="6D14792E" w14:textId="77777777" w:rsidR="003A6DBF" w:rsidRPr="0024375B" w:rsidRDefault="003A6DBF" w:rsidP="0024375B">
      <w:pPr>
        <w:numPr>
          <w:ilvl w:val="0"/>
          <w:numId w:val="51"/>
        </w:numPr>
        <w:autoSpaceDE/>
        <w:autoSpaceDN/>
        <w:adjustRightInd/>
        <w:spacing w:before="120" w:after="120"/>
        <w:ind w:firstLine="510"/>
        <w:jc w:val="both"/>
        <w:rPr>
          <w:rFonts w:cs="Times New Roman"/>
        </w:rPr>
      </w:pPr>
      <w:r w:rsidRPr="0024375B">
        <w:rPr>
          <w:rFonts w:cs="Times New Roman"/>
        </w:rPr>
        <w:t>posiadających infrastrukturę telekomunikacyjną niezbędną do zapewnienia realizacji zadań na rzecz obronności, bezpieczeństwa państwa oraz bezpieczeństwa</w:t>
      </w:r>
      <w:r w:rsidR="002161FE">
        <w:rPr>
          <w:rFonts w:cs="Times New Roman"/>
        </w:rPr>
        <w:t xml:space="preserve"> i </w:t>
      </w:r>
      <w:r w:rsidRPr="0024375B">
        <w:rPr>
          <w:rFonts w:cs="Times New Roman"/>
        </w:rPr>
        <w:t>porządku publicznego,</w:t>
      </w:r>
    </w:p>
    <w:p w14:paraId="4579DA70" w14:textId="77777777" w:rsidR="003A6DBF" w:rsidRPr="0024375B" w:rsidRDefault="003A6DBF" w:rsidP="0024375B">
      <w:pPr>
        <w:numPr>
          <w:ilvl w:val="0"/>
          <w:numId w:val="51"/>
        </w:numPr>
        <w:autoSpaceDE/>
        <w:autoSpaceDN/>
        <w:adjustRightInd/>
        <w:spacing w:before="120" w:after="120"/>
        <w:ind w:firstLine="510"/>
        <w:jc w:val="both"/>
        <w:rPr>
          <w:rFonts w:cs="Times New Roman"/>
        </w:rPr>
      </w:pPr>
      <w:r w:rsidRPr="0024375B">
        <w:rPr>
          <w:rFonts w:cs="Times New Roman"/>
        </w:rPr>
        <w:t>posiadających środki techniczne</w:t>
      </w:r>
      <w:r w:rsidR="002161FE">
        <w:rPr>
          <w:rFonts w:cs="Times New Roman"/>
        </w:rPr>
        <w:t xml:space="preserve"> i </w:t>
      </w:r>
      <w:r w:rsidRPr="0024375B">
        <w:rPr>
          <w:rFonts w:cs="Times New Roman"/>
        </w:rPr>
        <w:t>organizacyjne zapewniające bezpieczne przetwarzanie danych</w:t>
      </w:r>
      <w:r w:rsidR="00EA1900">
        <w:rPr>
          <w:rFonts w:cs="Times New Roman"/>
        </w:rPr>
        <w:t xml:space="preserve"> w </w:t>
      </w:r>
      <w:r w:rsidRPr="0024375B">
        <w:rPr>
          <w:rFonts w:cs="Times New Roman"/>
        </w:rPr>
        <w:t>sieci telekomunikacyjnej</w:t>
      </w:r>
      <w:r w:rsidR="00C76151" w:rsidRPr="0024375B">
        <w:rPr>
          <w:rFonts w:cs="Times New Roman"/>
        </w:rPr>
        <w:t>,</w:t>
      </w:r>
    </w:p>
    <w:p w14:paraId="6EBDD6EC" w14:textId="77777777" w:rsidR="004D1B48" w:rsidRPr="0024375B" w:rsidRDefault="00C76151" w:rsidP="0024375B">
      <w:pPr>
        <w:numPr>
          <w:ilvl w:val="0"/>
          <w:numId w:val="51"/>
        </w:numPr>
        <w:autoSpaceDE/>
        <w:autoSpaceDN/>
        <w:adjustRightInd/>
        <w:spacing w:before="120" w:after="120"/>
        <w:ind w:firstLine="510"/>
        <w:jc w:val="both"/>
        <w:rPr>
          <w:rFonts w:cs="Times New Roman"/>
        </w:rPr>
      </w:pPr>
      <w:r w:rsidRPr="0024375B">
        <w:rPr>
          <w:rFonts w:eastAsia="Calibri" w:cs="Times New Roman"/>
        </w:rPr>
        <w:t>posiadających świadectwo bezpieczeństwa przemysłowego</w:t>
      </w:r>
      <w:r w:rsidR="005222C8" w:rsidRPr="0024375B">
        <w:rPr>
          <w:rFonts w:eastAsia="Calibri" w:cs="Times New Roman"/>
        </w:rPr>
        <w:t xml:space="preserve"> pierwszego stopnia</w:t>
      </w:r>
      <w:r w:rsidR="004D1B48" w:rsidRPr="0024375B">
        <w:rPr>
          <w:rFonts w:eastAsia="Calibri" w:cs="Times New Roman"/>
        </w:rPr>
        <w:t>,</w:t>
      </w:r>
    </w:p>
    <w:p w14:paraId="03EB0C95" w14:textId="26718862" w:rsidR="004D1B48" w:rsidRPr="0024375B" w:rsidRDefault="004D1B48" w:rsidP="0024375B">
      <w:pPr>
        <w:numPr>
          <w:ilvl w:val="0"/>
          <w:numId w:val="51"/>
        </w:numPr>
        <w:autoSpaceDE/>
        <w:autoSpaceDN/>
        <w:adjustRightInd/>
        <w:spacing w:before="120" w:after="120"/>
        <w:ind w:firstLine="510"/>
        <w:jc w:val="both"/>
        <w:rPr>
          <w:rFonts w:cs="Times New Roman"/>
        </w:rPr>
      </w:pPr>
      <w:r w:rsidRPr="0024375B">
        <w:rPr>
          <w:rFonts w:eastAsia="Calibri" w:cs="Times New Roman"/>
        </w:rPr>
        <w:t xml:space="preserve">dających rękojmię należytego wykonywania zadań </w:t>
      </w:r>
      <w:r w:rsidR="00B707BA">
        <w:rPr>
          <w:rFonts w:eastAsia="Calibri" w:cs="Times New Roman"/>
        </w:rPr>
        <w:t>o</w:t>
      </w:r>
      <w:r w:rsidRPr="0024375B">
        <w:rPr>
          <w:rFonts w:eastAsia="Calibri" w:cs="Times New Roman"/>
        </w:rPr>
        <w:t xml:space="preserve">peratora strategicznej sieci bezpieczeństwa. </w:t>
      </w:r>
    </w:p>
    <w:p w14:paraId="6B4E5285" w14:textId="77777777" w:rsidR="00C76151" w:rsidRPr="0024375B" w:rsidRDefault="004D1B48" w:rsidP="0024375B">
      <w:pPr>
        <w:autoSpaceDE/>
        <w:autoSpaceDN/>
        <w:adjustRightInd/>
        <w:spacing w:before="120" w:after="120"/>
        <w:ind w:left="720" w:firstLine="510"/>
        <w:jc w:val="both"/>
        <w:rPr>
          <w:rFonts w:cs="Times New Roman"/>
        </w:rPr>
      </w:pPr>
      <w:r w:rsidRPr="0024375B">
        <w:rPr>
          <w:rFonts w:eastAsia="Calibri" w:cs="Times New Roman"/>
        </w:rPr>
        <w:t>Przyjęcie przez podmiot funkcji OSSB nastąpi po wyrażeniu przez niego zgody.</w:t>
      </w:r>
    </w:p>
    <w:p w14:paraId="36C0A078" w14:textId="6F82B2F4" w:rsidR="00516043" w:rsidRPr="0024375B" w:rsidRDefault="55EE66AE" w:rsidP="0024375B">
      <w:pPr>
        <w:spacing w:before="120" w:after="120"/>
        <w:ind w:firstLine="510"/>
        <w:jc w:val="both"/>
        <w:rPr>
          <w:rFonts w:eastAsia="Calibri" w:cs="Times New Roman"/>
        </w:rPr>
      </w:pPr>
      <w:r w:rsidRPr="0024375B">
        <w:rPr>
          <w:rFonts w:eastAsia="Calibri" w:cs="Times New Roman"/>
        </w:rPr>
        <w:t>OSSB będzie przedsiębiorca telekomunikacyjny, który już dostarcza sieć telekomunikacyjną za wynagrodzeniem. Dlatego zasadne j</w:t>
      </w:r>
      <w:r w:rsidR="567298D0" w:rsidRPr="0024375B">
        <w:rPr>
          <w:rFonts w:eastAsia="Calibri" w:cs="Times New Roman"/>
        </w:rPr>
        <w:t>est</w:t>
      </w:r>
      <w:r w:rsidR="00B707BA">
        <w:rPr>
          <w:rFonts w:eastAsia="Calibri" w:cs="Times New Roman"/>
        </w:rPr>
        <w:t>,</w:t>
      </w:r>
      <w:r w:rsidR="567298D0" w:rsidRPr="0024375B">
        <w:rPr>
          <w:rFonts w:eastAsia="Calibri" w:cs="Times New Roman"/>
        </w:rPr>
        <w:t xml:space="preserve"> aby działalność OSSB polegająca na zarządzaniu strategicznej sieci bezpieczeństwa by</w:t>
      </w:r>
      <w:r w:rsidR="0EB0E79E" w:rsidRPr="0024375B">
        <w:rPr>
          <w:rFonts w:eastAsia="Calibri" w:cs="Times New Roman"/>
        </w:rPr>
        <w:t>ła wyodrębniona</w:t>
      </w:r>
      <w:r w:rsidR="599EC775" w:rsidRPr="0024375B">
        <w:rPr>
          <w:rFonts w:eastAsia="Calibri" w:cs="Times New Roman"/>
        </w:rPr>
        <w:t xml:space="preserve"> m. in. </w:t>
      </w:r>
      <w:r w:rsidR="3FBCAEAC" w:rsidRPr="0024375B">
        <w:rPr>
          <w:rFonts w:eastAsia="Calibri" w:cs="Times New Roman"/>
        </w:rPr>
        <w:t>pod kątem rachunkowości.</w:t>
      </w:r>
      <w:r w:rsidR="004D1B48" w:rsidRPr="0024375B">
        <w:rPr>
          <w:rFonts w:eastAsia="Calibri" w:cs="Times New Roman"/>
        </w:rPr>
        <w:t xml:space="preserve"> </w:t>
      </w:r>
      <w:r w:rsidR="00516043" w:rsidRPr="0024375B">
        <w:rPr>
          <w:rFonts w:eastAsia="Calibri" w:cs="Times New Roman"/>
        </w:rPr>
        <w:t>Operator strategicznej sieci bezpieczeństwa ma świadczyć bezpieczne usługi dla szeregu kluczowych podmiotów administracji publicznej. Są to podmioty należące do różnych działów administracji rządowej.</w:t>
      </w:r>
      <w:r w:rsidR="00116933">
        <w:rPr>
          <w:rFonts w:eastAsia="Calibri" w:cs="Times New Roman"/>
        </w:rPr>
        <w:t xml:space="preserve"> W </w:t>
      </w:r>
      <w:r w:rsidR="00516043" w:rsidRPr="0024375B">
        <w:rPr>
          <w:rFonts w:eastAsia="Calibri" w:cs="Times New Roman"/>
        </w:rPr>
        <w:t>związku</w:t>
      </w:r>
      <w:r w:rsidR="002161FE">
        <w:rPr>
          <w:rFonts w:eastAsia="Calibri" w:cs="Times New Roman"/>
        </w:rPr>
        <w:t xml:space="preserve"> z </w:t>
      </w:r>
      <w:r w:rsidR="00516043" w:rsidRPr="0024375B">
        <w:rPr>
          <w:rFonts w:eastAsia="Calibri" w:cs="Times New Roman"/>
        </w:rPr>
        <w:t>tym działalnoś</w:t>
      </w:r>
      <w:r w:rsidR="007A27F5">
        <w:rPr>
          <w:rFonts w:eastAsia="Calibri" w:cs="Times New Roman"/>
        </w:rPr>
        <w:t>ć</w:t>
      </w:r>
      <w:r w:rsidR="00516043" w:rsidRPr="0024375B">
        <w:rPr>
          <w:rFonts w:eastAsia="Calibri" w:cs="Times New Roman"/>
        </w:rPr>
        <w:t xml:space="preserve"> OSSB będzie wpływać na realizację zadań administracji podlegającej różnym ministrom. Z tego względu jego wyznaczenie nie może zostać powierzone jednemu</w:t>
      </w:r>
      <w:r w:rsidR="002161FE">
        <w:rPr>
          <w:rFonts w:eastAsia="Calibri" w:cs="Times New Roman"/>
        </w:rPr>
        <w:t xml:space="preserve"> z </w:t>
      </w:r>
      <w:r w:rsidR="00516043" w:rsidRPr="0024375B">
        <w:rPr>
          <w:rFonts w:eastAsia="Calibri" w:cs="Times New Roman"/>
        </w:rPr>
        <w:t>ministró</w:t>
      </w:r>
      <w:r w:rsidR="0048687E">
        <w:rPr>
          <w:rFonts w:eastAsia="Calibri" w:cs="Times New Roman"/>
        </w:rPr>
        <w:t>w</w:t>
      </w:r>
      <w:r w:rsidR="00516043" w:rsidRPr="0024375B">
        <w:rPr>
          <w:rFonts w:eastAsia="Calibri" w:cs="Times New Roman"/>
        </w:rPr>
        <w:t>, ale organowi, który posiada ogólne kierownictwo</w:t>
      </w:r>
      <w:r w:rsidR="00EA1900">
        <w:rPr>
          <w:rFonts w:eastAsia="Calibri" w:cs="Times New Roman"/>
        </w:rPr>
        <w:t xml:space="preserve"> w </w:t>
      </w:r>
      <w:r w:rsidR="00516043" w:rsidRPr="0024375B">
        <w:rPr>
          <w:rFonts w:eastAsia="Calibri" w:cs="Times New Roman"/>
        </w:rPr>
        <w:t xml:space="preserve">kwestiach działań administracji publicznej. </w:t>
      </w:r>
    </w:p>
    <w:p w14:paraId="16D8E1A8" w14:textId="77777777" w:rsidR="000E75EE" w:rsidRDefault="000E75EE" w:rsidP="00DC1575">
      <w:pPr>
        <w:pStyle w:val="Nagwek4"/>
        <w:rPr>
          <w:b/>
        </w:rPr>
      </w:pPr>
      <w:r>
        <w:lastRenderedPageBreak/>
        <w:t>Nowy a</w:t>
      </w:r>
      <w:r w:rsidR="003A6DBF" w:rsidRPr="0024375B">
        <w:t>rt. 76</w:t>
      </w:r>
      <w:r w:rsidR="00AF03E5">
        <w:t>e</w:t>
      </w:r>
      <w:r w:rsidR="003A6DBF" w:rsidRPr="0024375B">
        <w:t>.</w:t>
      </w:r>
    </w:p>
    <w:p w14:paraId="19559724" w14:textId="77777777" w:rsidR="003A6DBF" w:rsidRPr="0024375B" w:rsidRDefault="003A6DBF" w:rsidP="0024375B">
      <w:pPr>
        <w:spacing w:before="120" w:after="120"/>
        <w:ind w:firstLine="510"/>
        <w:jc w:val="both"/>
        <w:rPr>
          <w:rFonts w:cs="Times New Roman"/>
          <w:b/>
          <w:bCs/>
          <w:szCs w:val="24"/>
        </w:rPr>
      </w:pPr>
      <w:r w:rsidRPr="0024375B">
        <w:rPr>
          <w:rFonts w:cs="Times New Roman"/>
          <w:bCs/>
          <w:szCs w:val="24"/>
        </w:rPr>
        <w:t>OSSB świadczy usługi telekomunikacyjne,</w:t>
      </w:r>
      <w:r w:rsidR="002161FE">
        <w:rPr>
          <w:rFonts w:cs="Times New Roman"/>
          <w:bCs/>
          <w:szCs w:val="24"/>
        </w:rPr>
        <w:t xml:space="preserve"> a </w:t>
      </w:r>
      <w:r w:rsidRPr="0024375B">
        <w:rPr>
          <w:rFonts w:cs="Times New Roman"/>
          <w:bCs/>
          <w:szCs w:val="24"/>
        </w:rPr>
        <w:t>także może świadczyć inne usługi (np.</w:t>
      </w:r>
      <w:r w:rsidR="00EA1900">
        <w:rPr>
          <w:rFonts w:cs="Times New Roman"/>
          <w:bCs/>
          <w:szCs w:val="24"/>
        </w:rPr>
        <w:t xml:space="preserve"> w </w:t>
      </w:r>
      <w:r w:rsidRPr="0024375B">
        <w:rPr>
          <w:rFonts w:cs="Times New Roman"/>
          <w:bCs/>
          <w:szCs w:val="24"/>
        </w:rPr>
        <w:t>zakresie bezpieczeństwa, czy usługi związane</w:t>
      </w:r>
      <w:r w:rsidR="002161FE">
        <w:rPr>
          <w:rFonts w:cs="Times New Roman"/>
          <w:bCs/>
          <w:szCs w:val="24"/>
        </w:rPr>
        <w:t xml:space="preserve"> z </w:t>
      </w:r>
      <w:r w:rsidRPr="0024375B">
        <w:rPr>
          <w:rFonts w:cs="Times New Roman"/>
          <w:bCs/>
          <w:szCs w:val="24"/>
        </w:rPr>
        <w:t>telekomunikacyjnym procesem inwestycyjnym)</w:t>
      </w:r>
      <w:r w:rsidR="00EA1900">
        <w:rPr>
          <w:rFonts w:cs="Times New Roman"/>
          <w:bCs/>
          <w:szCs w:val="24"/>
        </w:rPr>
        <w:t xml:space="preserve"> w </w:t>
      </w:r>
      <w:r w:rsidRPr="0024375B">
        <w:rPr>
          <w:rFonts w:cs="Times New Roman"/>
          <w:bCs/>
          <w:szCs w:val="24"/>
        </w:rPr>
        <w:t>celu realizacji zadań na rzecz obronności, bezpieczeństwa państwa oraz bezpieczeństwa</w:t>
      </w:r>
      <w:r w:rsidR="002161FE">
        <w:rPr>
          <w:rFonts w:cs="Times New Roman"/>
          <w:bCs/>
          <w:szCs w:val="24"/>
        </w:rPr>
        <w:t xml:space="preserve"> i </w:t>
      </w:r>
      <w:r w:rsidRPr="0024375B">
        <w:rPr>
          <w:rFonts w:cs="Times New Roman"/>
          <w:bCs/>
          <w:szCs w:val="24"/>
        </w:rPr>
        <w:t>porządku publicznego,</w:t>
      </w:r>
      <w:r w:rsidR="00EA1900">
        <w:rPr>
          <w:rFonts w:cs="Times New Roman"/>
          <w:bCs/>
          <w:szCs w:val="24"/>
        </w:rPr>
        <w:t xml:space="preserve"> w </w:t>
      </w:r>
      <w:r w:rsidRPr="0024375B">
        <w:rPr>
          <w:rFonts w:cs="Times New Roman"/>
          <w:bCs/>
          <w:szCs w:val="24"/>
        </w:rPr>
        <w:t>zakresie telekomunikacji.</w:t>
      </w:r>
    </w:p>
    <w:p w14:paraId="039400E5" w14:textId="77777777" w:rsidR="003A6DBF" w:rsidRPr="0024375B" w:rsidRDefault="003A6DBF" w:rsidP="0024375B">
      <w:pPr>
        <w:spacing w:before="120" w:after="120"/>
        <w:ind w:firstLine="510"/>
        <w:jc w:val="both"/>
        <w:rPr>
          <w:rFonts w:cs="Times New Roman"/>
          <w:szCs w:val="24"/>
        </w:rPr>
      </w:pPr>
      <w:r w:rsidRPr="0024375B">
        <w:rPr>
          <w:rFonts w:cs="Times New Roman"/>
          <w:szCs w:val="24"/>
        </w:rPr>
        <w:t>OSSB oprócz możliwości korzystania, tak jak wszystkie inne podmioty cywilne,</w:t>
      </w:r>
      <w:r w:rsidR="002161FE">
        <w:rPr>
          <w:rFonts w:cs="Times New Roman"/>
          <w:szCs w:val="24"/>
        </w:rPr>
        <w:t xml:space="preserve"> z </w:t>
      </w:r>
      <w:r w:rsidRPr="0024375B">
        <w:rPr>
          <w:rFonts w:cs="Times New Roman"/>
          <w:szCs w:val="24"/>
        </w:rPr>
        <w:t>częstotliwości przeznaczonych dla użytkowania cywilnego, będzie mógł także świadczyć swoje usługi telekomunikacyjne</w:t>
      </w:r>
      <w:r w:rsidR="00EA1900">
        <w:rPr>
          <w:rFonts w:cs="Times New Roman"/>
          <w:szCs w:val="24"/>
        </w:rPr>
        <w:t xml:space="preserve"> w </w:t>
      </w:r>
      <w:r w:rsidRPr="0024375B">
        <w:rPr>
          <w:rFonts w:cs="Times New Roman"/>
          <w:szCs w:val="24"/>
        </w:rPr>
        <w:t>oparciu</w:t>
      </w:r>
      <w:r w:rsidR="0077165A">
        <w:rPr>
          <w:rFonts w:cs="Times New Roman"/>
          <w:szCs w:val="24"/>
        </w:rPr>
        <w:t xml:space="preserve"> o </w:t>
      </w:r>
      <w:r w:rsidRPr="0024375B">
        <w:rPr>
          <w:rFonts w:cs="Times New Roman"/>
          <w:szCs w:val="24"/>
        </w:rPr>
        <w:t>zasoby częstotliwości użytkowane jako rządowe</w:t>
      </w:r>
      <w:r w:rsidR="00EA1900">
        <w:rPr>
          <w:rFonts w:cs="Times New Roman"/>
          <w:szCs w:val="24"/>
        </w:rPr>
        <w:t xml:space="preserve"> w </w:t>
      </w:r>
      <w:r w:rsidRPr="0024375B">
        <w:rPr>
          <w:rFonts w:cs="Times New Roman"/>
          <w:szCs w:val="24"/>
        </w:rPr>
        <w:t>użytkowaniu rządowym lub cywilno-rządowym. Zgodnie</w:t>
      </w:r>
      <w:r w:rsidR="002161FE">
        <w:rPr>
          <w:rFonts w:cs="Times New Roman"/>
          <w:szCs w:val="24"/>
        </w:rPr>
        <w:t xml:space="preserve"> z </w:t>
      </w:r>
      <w:r w:rsidRPr="0024375B">
        <w:rPr>
          <w:rFonts w:cs="Times New Roman"/>
          <w:szCs w:val="24"/>
        </w:rPr>
        <w:t>obowiązującymi regulacjami częstotliwości rządowe lub użytkowane jako rządowe</w:t>
      </w:r>
      <w:r w:rsidR="00EA1900">
        <w:rPr>
          <w:rFonts w:cs="Times New Roman"/>
          <w:szCs w:val="24"/>
        </w:rPr>
        <w:t xml:space="preserve"> w </w:t>
      </w:r>
      <w:r w:rsidRPr="0024375B">
        <w:rPr>
          <w:rFonts w:cs="Times New Roman"/>
          <w:szCs w:val="24"/>
        </w:rPr>
        <w:t>użytkowaniu cywilno-rządowym, mogą być wykorzystywane wyłącznie przez określonych ustawą użytkowników, będących użytkownikami rządowymi.</w:t>
      </w:r>
    </w:p>
    <w:p w14:paraId="5FF3093C" w14:textId="04183377" w:rsidR="003A6DBF" w:rsidRPr="0024375B" w:rsidRDefault="003A6DBF" w:rsidP="0024375B">
      <w:pPr>
        <w:spacing w:before="120" w:after="120"/>
        <w:ind w:firstLine="510"/>
        <w:jc w:val="both"/>
        <w:rPr>
          <w:rFonts w:cs="Times New Roman"/>
          <w:b/>
          <w:szCs w:val="24"/>
        </w:rPr>
      </w:pPr>
      <w:r w:rsidRPr="0024375B">
        <w:rPr>
          <w:rFonts w:cs="Times New Roman"/>
          <w:szCs w:val="24"/>
        </w:rPr>
        <w:t>Wykorzystanie częstotliwości rządowych przez OSSB będzie koordynowane przez Ministra Obrony Narodowej, jednakże koordynacja częstotliwości rządowych</w:t>
      </w:r>
      <w:r w:rsidR="00EA1900">
        <w:rPr>
          <w:rFonts w:cs="Times New Roman"/>
          <w:szCs w:val="24"/>
        </w:rPr>
        <w:t xml:space="preserve"> w </w:t>
      </w:r>
      <w:r w:rsidRPr="0024375B">
        <w:rPr>
          <w:rFonts w:cs="Times New Roman"/>
          <w:szCs w:val="24"/>
        </w:rPr>
        <w:t>zakresie 703</w:t>
      </w:r>
      <w:r w:rsidR="00B26928">
        <w:rPr>
          <w:rFonts w:cs="Times New Roman"/>
          <w:szCs w:val="24"/>
        </w:rPr>
        <w:t>–</w:t>
      </w:r>
      <w:r w:rsidRPr="0024375B">
        <w:rPr>
          <w:rFonts w:cs="Times New Roman"/>
          <w:szCs w:val="24"/>
        </w:rPr>
        <w:t>713 MHz oraz 758</w:t>
      </w:r>
      <w:r w:rsidR="00B26928">
        <w:rPr>
          <w:rFonts w:cs="Times New Roman"/>
          <w:szCs w:val="24"/>
        </w:rPr>
        <w:t>–</w:t>
      </w:r>
      <w:r w:rsidRPr="0024375B">
        <w:rPr>
          <w:rFonts w:cs="Times New Roman"/>
          <w:szCs w:val="24"/>
        </w:rPr>
        <w:t>768 MHz</w:t>
      </w:r>
      <w:r w:rsidR="00EA1900">
        <w:rPr>
          <w:rFonts w:cs="Times New Roman"/>
          <w:szCs w:val="24"/>
        </w:rPr>
        <w:t xml:space="preserve"> w </w:t>
      </w:r>
      <w:r w:rsidRPr="0024375B">
        <w:rPr>
          <w:rFonts w:cs="Times New Roman"/>
          <w:szCs w:val="24"/>
        </w:rPr>
        <w:t>drodze pewnego wyjątku zostaje powierzona Prezesowi Urzędu Komunikacji Elektronicznej (dalej jako „Prezes UKE”). Takie rozwiązanie jest konieczne ze względu na przewidzianą</w:t>
      </w:r>
      <w:r w:rsidR="00EA1900">
        <w:rPr>
          <w:rFonts w:cs="Times New Roman"/>
          <w:szCs w:val="24"/>
        </w:rPr>
        <w:t xml:space="preserve"> w </w:t>
      </w:r>
      <w:r w:rsidRPr="0024375B">
        <w:rPr>
          <w:rFonts w:cs="Times New Roman"/>
          <w:szCs w:val="24"/>
        </w:rPr>
        <w:t>niniejszej ustawie możliwość współużytkowania,</w:t>
      </w:r>
      <w:r w:rsidR="00EA1900">
        <w:rPr>
          <w:rFonts w:cs="Times New Roman"/>
          <w:szCs w:val="24"/>
        </w:rPr>
        <w:t xml:space="preserve"> w </w:t>
      </w:r>
      <w:r w:rsidRPr="0024375B">
        <w:rPr>
          <w:rFonts w:cs="Times New Roman"/>
          <w:szCs w:val="24"/>
        </w:rPr>
        <w:t>ramach jednej sieci telekomunikacyjnej, tych częstotliwości</w:t>
      </w:r>
      <w:r w:rsidR="002161FE">
        <w:rPr>
          <w:rFonts w:cs="Times New Roman"/>
          <w:szCs w:val="24"/>
        </w:rPr>
        <w:t xml:space="preserve"> z </w:t>
      </w:r>
      <w:r w:rsidRPr="0024375B">
        <w:rPr>
          <w:rFonts w:cs="Times New Roman"/>
          <w:szCs w:val="24"/>
        </w:rPr>
        <w:t>częstotliwościami cywilnymi</w:t>
      </w:r>
      <w:r w:rsidR="002161FE">
        <w:rPr>
          <w:rFonts w:cs="Times New Roman"/>
          <w:szCs w:val="24"/>
        </w:rPr>
        <w:t xml:space="preserve"> z </w:t>
      </w:r>
      <w:r w:rsidRPr="0024375B">
        <w:rPr>
          <w:rFonts w:cs="Times New Roman"/>
          <w:szCs w:val="24"/>
        </w:rPr>
        <w:t>zakresu 713</w:t>
      </w:r>
      <w:r w:rsidR="00B26928">
        <w:rPr>
          <w:rFonts w:cs="Times New Roman"/>
          <w:szCs w:val="24"/>
        </w:rPr>
        <w:t>–</w:t>
      </w:r>
      <w:r w:rsidRPr="0024375B">
        <w:rPr>
          <w:rFonts w:cs="Times New Roman"/>
          <w:szCs w:val="24"/>
        </w:rPr>
        <w:t>733 MHz oraz 768</w:t>
      </w:r>
      <w:r w:rsidR="00B26928">
        <w:rPr>
          <w:rFonts w:cs="Times New Roman"/>
          <w:szCs w:val="24"/>
        </w:rPr>
        <w:t>–</w:t>
      </w:r>
      <w:r w:rsidRPr="0024375B">
        <w:rPr>
          <w:rFonts w:cs="Times New Roman"/>
          <w:szCs w:val="24"/>
        </w:rPr>
        <w:t>788 MHz.</w:t>
      </w:r>
      <w:r w:rsidR="00116933">
        <w:rPr>
          <w:rFonts w:cs="Times New Roman"/>
          <w:szCs w:val="24"/>
        </w:rPr>
        <w:t xml:space="preserve"> W </w:t>
      </w:r>
      <w:r w:rsidRPr="0024375B">
        <w:rPr>
          <w:rFonts w:cs="Times New Roman"/>
          <w:szCs w:val="24"/>
        </w:rPr>
        <w:t>takim przypadku, organ regulacyjny odpowiedzialny za gospodarowanie widmem</w:t>
      </w:r>
      <w:r w:rsidR="00EA1900">
        <w:rPr>
          <w:rFonts w:cs="Times New Roman"/>
          <w:szCs w:val="24"/>
        </w:rPr>
        <w:t xml:space="preserve"> w </w:t>
      </w:r>
      <w:r w:rsidRPr="0024375B">
        <w:rPr>
          <w:rFonts w:cs="Times New Roman"/>
          <w:szCs w:val="24"/>
        </w:rPr>
        <w:t>Polsce musi mieć realne narzędzia, które umożliwią właściwe,</w:t>
      </w:r>
      <w:r w:rsidR="002161FE">
        <w:rPr>
          <w:rFonts w:cs="Times New Roman"/>
          <w:szCs w:val="24"/>
        </w:rPr>
        <w:t xml:space="preserve"> a </w:t>
      </w:r>
      <w:r w:rsidRPr="0024375B">
        <w:rPr>
          <w:rFonts w:cs="Times New Roman"/>
          <w:szCs w:val="24"/>
        </w:rPr>
        <w:t>przede wszystkim niepowodujące szkodliwych zakłóceń, użytkowanie</w:t>
      </w:r>
      <w:r w:rsidR="00B707BA">
        <w:rPr>
          <w:rFonts w:cs="Times New Roman"/>
          <w:szCs w:val="24"/>
        </w:rPr>
        <w:t>,</w:t>
      </w:r>
      <w:r w:rsidRPr="0024375B">
        <w:rPr>
          <w:rFonts w:cs="Times New Roman"/>
          <w:szCs w:val="24"/>
        </w:rPr>
        <w:t xml:space="preserve"> współużytkowanych zakresów widma radiowego. Z tego także powodu wykorzystanie częstotliwości rządowych</w:t>
      </w:r>
      <w:r w:rsidR="002161FE">
        <w:rPr>
          <w:rFonts w:cs="Times New Roman"/>
          <w:szCs w:val="24"/>
        </w:rPr>
        <w:t xml:space="preserve"> z </w:t>
      </w:r>
      <w:r w:rsidRPr="0024375B">
        <w:rPr>
          <w:rFonts w:cs="Times New Roman"/>
          <w:szCs w:val="24"/>
        </w:rPr>
        <w:t>zakresu 703</w:t>
      </w:r>
      <w:r w:rsidR="00B26928">
        <w:rPr>
          <w:rFonts w:cs="Times New Roman"/>
          <w:szCs w:val="24"/>
        </w:rPr>
        <w:t>–</w:t>
      </w:r>
      <w:r w:rsidRPr="0024375B">
        <w:rPr>
          <w:rFonts w:cs="Times New Roman"/>
          <w:szCs w:val="24"/>
        </w:rPr>
        <w:t>713 MHz oraz 758</w:t>
      </w:r>
      <w:r w:rsidR="00B26928">
        <w:rPr>
          <w:rFonts w:cs="Times New Roman"/>
          <w:szCs w:val="24"/>
        </w:rPr>
        <w:t>–</w:t>
      </w:r>
      <w:r w:rsidRPr="0024375B">
        <w:rPr>
          <w:rFonts w:cs="Times New Roman"/>
          <w:szCs w:val="24"/>
        </w:rPr>
        <w:t>768 MHz będzie wymagać uzyskania pozwolenia radiowego, które nie jest wymagane dla użytkowników rządowych.</w:t>
      </w:r>
    </w:p>
    <w:p w14:paraId="09B63DE8" w14:textId="77777777" w:rsidR="006A4AB7" w:rsidRDefault="006A4AB7" w:rsidP="00DC1575">
      <w:pPr>
        <w:pStyle w:val="Nagwek4"/>
      </w:pPr>
      <w:r w:rsidRPr="00B60F95">
        <w:t xml:space="preserve">Nowy </w:t>
      </w:r>
      <w:r w:rsidRPr="00DD10ED">
        <w:t>a</w:t>
      </w:r>
      <w:r w:rsidR="003A6DBF" w:rsidRPr="00DD10ED">
        <w:t>rt. 76</w:t>
      </w:r>
      <w:r w:rsidR="00AF03E5">
        <w:t>f</w:t>
      </w:r>
      <w:r w:rsidR="003A6DBF" w:rsidRPr="0024375B">
        <w:t xml:space="preserve"> </w:t>
      </w:r>
    </w:p>
    <w:p w14:paraId="2F71B178" w14:textId="77777777" w:rsidR="003A6DBF" w:rsidRPr="0024375B" w:rsidRDefault="006A4AB7" w:rsidP="0024375B">
      <w:pPr>
        <w:spacing w:before="120" w:after="120"/>
        <w:ind w:firstLine="510"/>
        <w:jc w:val="both"/>
        <w:rPr>
          <w:rFonts w:cs="Times New Roman"/>
          <w:szCs w:val="24"/>
        </w:rPr>
      </w:pPr>
      <w:r>
        <w:rPr>
          <w:rFonts w:cs="Times New Roman"/>
          <w:szCs w:val="24"/>
        </w:rPr>
        <w:t xml:space="preserve">W </w:t>
      </w:r>
      <w:r w:rsidR="00D00CB4">
        <w:rPr>
          <w:rFonts w:cs="Times New Roman"/>
          <w:szCs w:val="24"/>
        </w:rPr>
        <w:t>ust. </w:t>
      </w:r>
      <w:r w:rsidR="003A6DBF" w:rsidRPr="0024375B">
        <w:rPr>
          <w:rFonts w:cs="Times New Roman"/>
          <w:szCs w:val="24"/>
        </w:rPr>
        <w:t>1.</w:t>
      </w:r>
      <w:r>
        <w:rPr>
          <w:rFonts w:cs="Times New Roman"/>
          <w:szCs w:val="24"/>
        </w:rPr>
        <w:t xml:space="preserve"> wskazano, że</w:t>
      </w:r>
      <w:r w:rsidR="003A6DBF" w:rsidRPr="0024375B">
        <w:rPr>
          <w:rFonts w:cs="Times New Roman"/>
          <w:b/>
          <w:szCs w:val="24"/>
        </w:rPr>
        <w:t xml:space="preserve"> </w:t>
      </w:r>
      <w:r w:rsidR="003A6DBF" w:rsidRPr="0024375B">
        <w:rPr>
          <w:rFonts w:cs="Times New Roman"/>
          <w:szCs w:val="24"/>
        </w:rPr>
        <w:t>OSSB będzie świadczył na wniosek usługi telekomunikacyjne podmiotom najważniejszym</w:t>
      </w:r>
      <w:r w:rsidR="002161FE">
        <w:rPr>
          <w:rFonts w:cs="Times New Roman"/>
          <w:szCs w:val="24"/>
        </w:rPr>
        <w:t xml:space="preserve"> z </w:t>
      </w:r>
      <w:r w:rsidR="003A6DBF" w:rsidRPr="0024375B">
        <w:rPr>
          <w:rFonts w:cs="Times New Roman"/>
          <w:szCs w:val="24"/>
        </w:rPr>
        <w:t>punktu widzenia bezpieczeństwa państwa, tj.: Kancelarii Prezydenta RP, Kancelarii Sejmu, Kancelarii Senatu, Kancelarii Prezesa Rady Ministrów, Biuru Bezpieczeństwa Narodowego, urzędom obsługującym organy administracji rządowej, organy jednostek samorządu terytorialnego oraz instytucjom podległym tym organom lub przez nie nadzorowanym, wykonującym zadania</w:t>
      </w:r>
      <w:r w:rsidR="002161FE">
        <w:rPr>
          <w:rFonts w:cs="Times New Roman"/>
          <w:szCs w:val="24"/>
        </w:rPr>
        <w:t xml:space="preserve"> z </w:t>
      </w:r>
      <w:r w:rsidR="003A6DBF" w:rsidRPr="0024375B">
        <w:rPr>
          <w:rFonts w:cs="Times New Roman"/>
          <w:szCs w:val="24"/>
        </w:rPr>
        <w:t>zakresu ochrony bezpieczeństwa</w:t>
      </w:r>
      <w:r w:rsidR="002161FE">
        <w:rPr>
          <w:rFonts w:cs="Times New Roman"/>
          <w:szCs w:val="24"/>
        </w:rPr>
        <w:t xml:space="preserve"> i </w:t>
      </w:r>
      <w:r w:rsidR="003A6DBF" w:rsidRPr="0024375B">
        <w:rPr>
          <w:rFonts w:cs="Times New Roman"/>
          <w:szCs w:val="24"/>
        </w:rPr>
        <w:t>porządku publicznego, bezpieczeństwa</w:t>
      </w:r>
      <w:r w:rsidR="002161FE">
        <w:rPr>
          <w:rFonts w:cs="Times New Roman"/>
          <w:szCs w:val="24"/>
        </w:rPr>
        <w:t xml:space="preserve"> i </w:t>
      </w:r>
      <w:r w:rsidR="003A6DBF" w:rsidRPr="0024375B">
        <w:rPr>
          <w:rFonts w:cs="Times New Roman"/>
          <w:szCs w:val="24"/>
        </w:rPr>
        <w:t>obronności państwa, ochrony granicy państwa, ochrony ludności</w:t>
      </w:r>
      <w:r w:rsidR="002161FE">
        <w:rPr>
          <w:rFonts w:cs="Times New Roman"/>
          <w:szCs w:val="24"/>
        </w:rPr>
        <w:t xml:space="preserve"> i </w:t>
      </w:r>
      <w:r w:rsidR="003A6DBF" w:rsidRPr="0024375B">
        <w:rPr>
          <w:rFonts w:cs="Times New Roman"/>
          <w:szCs w:val="24"/>
        </w:rPr>
        <w:t>obrony cywilnej, zarządzania kryzysowego,</w:t>
      </w:r>
      <w:r w:rsidR="00EA1900">
        <w:rPr>
          <w:rFonts w:cs="Times New Roman"/>
          <w:szCs w:val="24"/>
        </w:rPr>
        <w:t xml:space="preserve"> w </w:t>
      </w:r>
      <w:r w:rsidR="003A6DBF" w:rsidRPr="0024375B">
        <w:rPr>
          <w:rFonts w:cs="Times New Roman"/>
          <w:szCs w:val="24"/>
        </w:rPr>
        <w:t>tym związane</w:t>
      </w:r>
      <w:r w:rsidR="002161FE">
        <w:rPr>
          <w:rFonts w:cs="Times New Roman"/>
          <w:szCs w:val="24"/>
        </w:rPr>
        <w:t xml:space="preserve"> z </w:t>
      </w:r>
      <w:r w:rsidR="003A6DBF" w:rsidRPr="0024375B">
        <w:rPr>
          <w:rFonts w:cs="Times New Roman"/>
          <w:szCs w:val="24"/>
        </w:rPr>
        <w:t>zapewnieniem ciągłości funkcjonowania</w:t>
      </w:r>
      <w:r w:rsidR="002161FE">
        <w:rPr>
          <w:rFonts w:cs="Times New Roman"/>
          <w:szCs w:val="24"/>
        </w:rPr>
        <w:t xml:space="preserve"> i </w:t>
      </w:r>
      <w:r w:rsidR="003A6DBF" w:rsidRPr="0024375B">
        <w:rPr>
          <w:rFonts w:cs="Times New Roman"/>
          <w:szCs w:val="24"/>
        </w:rPr>
        <w:t>odtwarzania infrastruktury krytycznej państwa, dostaw energii, ochrony interesów Rzeczypospolitej Polskiej za granicą, ochrony zdrowia, weterynaryjnej ochrony zdrowia publicznego, nadzoru sanitarnego, ochrony środowiska, sprawiedliwości,</w:t>
      </w:r>
      <w:r w:rsidR="00EA1900">
        <w:rPr>
          <w:rFonts w:cs="Times New Roman"/>
          <w:szCs w:val="24"/>
        </w:rPr>
        <w:t xml:space="preserve"> w </w:t>
      </w:r>
      <w:r w:rsidR="003A6DBF" w:rsidRPr="0024375B">
        <w:rPr>
          <w:rFonts w:cs="Times New Roman"/>
          <w:szCs w:val="24"/>
        </w:rPr>
        <w:t>tym sądownictwa</w:t>
      </w:r>
      <w:r w:rsidR="002161FE">
        <w:rPr>
          <w:rFonts w:cs="Times New Roman"/>
          <w:szCs w:val="24"/>
        </w:rPr>
        <w:t xml:space="preserve"> i </w:t>
      </w:r>
      <w:r w:rsidR="003A6DBF" w:rsidRPr="0024375B">
        <w:rPr>
          <w:rFonts w:cs="Times New Roman"/>
          <w:szCs w:val="24"/>
        </w:rPr>
        <w:t xml:space="preserve">prokuratury, Siłom Zbrojnym Rzeczypospolitej Polskiej oraz innym jednostkom organizacyjnym podległym lub nadzorowanym </w:t>
      </w:r>
      <w:r w:rsidR="003A6DBF" w:rsidRPr="0024375B">
        <w:rPr>
          <w:rFonts w:cs="Times New Roman"/>
          <w:szCs w:val="24"/>
        </w:rPr>
        <w:lastRenderedPageBreak/>
        <w:t>przez Ministra Obrony Narodowej.</w:t>
      </w:r>
    </w:p>
    <w:p w14:paraId="37B2074F" w14:textId="6C89EFCA" w:rsidR="00411398" w:rsidRPr="0024375B" w:rsidRDefault="00411398" w:rsidP="0024375B">
      <w:pPr>
        <w:spacing w:before="120" w:after="120"/>
        <w:ind w:firstLine="510"/>
        <w:jc w:val="both"/>
      </w:pPr>
      <w:r w:rsidRPr="0024375B">
        <w:t>W zakresie</w:t>
      </w:r>
      <w:r w:rsidR="00EA1900">
        <w:t xml:space="preserve"> art. </w:t>
      </w:r>
      <w:r w:rsidRPr="0024375B">
        <w:t>76</w:t>
      </w:r>
      <w:r w:rsidR="00AF03E5">
        <w:t>f</w:t>
      </w:r>
      <w:r w:rsidRPr="0024375B">
        <w:t xml:space="preserve"> </w:t>
      </w:r>
      <w:r w:rsidR="00D00CB4">
        <w:t>ust. </w:t>
      </w:r>
      <w:r w:rsidRPr="0024375B">
        <w:t xml:space="preserve">1 pkt 6 należy podkreślić, że usługi </w:t>
      </w:r>
      <w:r w:rsidR="0048687E">
        <w:t>OSSB</w:t>
      </w:r>
      <w:r w:rsidRPr="0024375B">
        <w:t xml:space="preserve"> świadczone na rzecz</w:t>
      </w:r>
      <w:r w:rsidR="00DB44AE" w:rsidRPr="0024375B">
        <w:t xml:space="preserve"> </w:t>
      </w:r>
      <w:r w:rsidRPr="0024375B">
        <w:t>urzędów obsługujących organy administracji rządowej będą wykorzystywane przede wszystkim przy realizacji zadań określonych</w:t>
      </w:r>
      <w:r w:rsidR="00EA1900">
        <w:t xml:space="preserve"> w </w:t>
      </w:r>
      <w:r w:rsidRPr="0024375B">
        <w:t>przepisach jako zadania organu.</w:t>
      </w:r>
      <w:r w:rsidR="00116933">
        <w:t xml:space="preserve"> W </w:t>
      </w:r>
      <w:r w:rsidRPr="0024375B">
        <w:t>praktyce zadania te wykonywane są przez pracowników urzędów obsługujących dany organ.</w:t>
      </w:r>
      <w:r w:rsidR="00116933">
        <w:t xml:space="preserve"> W </w:t>
      </w:r>
      <w:r w:rsidRPr="0024375B">
        <w:t>związku</w:t>
      </w:r>
      <w:r w:rsidR="002161FE">
        <w:t xml:space="preserve"> z </w:t>
      </w:r>
      <w:r w:rsidRPr="0024375B">
        <w:t>tym nie istnieją przeszkody, które uniemożliwiałyby korzystanie</w:t>
      </w:r>
      <w:r w:rsidR="002161FE">
        <w:t xml:space="preserve"> z </w:t>
      </w:r>
      <w:r w:rsidRPr="0024375B">
        <w:t xml:space="preserve">usług </w:t>
      </w:r>
      <w:r w:rsidR="00B707BA">
        <w:t>o</w:t>
      </w:r>
      <w:r w:rsidRPr="0024375B">
        <w:t>peratora przy wykonywaniu ustawowych zadań organów.</w:t>
      </w:r>
    </w:p>
    <w:p w14:paraId="43CF3CD0" w14:textId="77777777" w:rsidR="003A6DBF" w:rsidRPr="0024375B" w:rsidRDefault="003A6DBF" w:rsidP="0024375B">
      <w:pPr>
        <w:spacing w:before="120" w:after="120"/>
        <w:ind w:firstLine="510"/>
        <w:jc w:val="both"/>
        <w:rPr>
          <w:rFonts w:cs="Times New Roman"/>
          <w:b/>
          <w:szCs w:val="24"/>
        </w:rPr>
      </w:pPr>
      <w:r w:rsidRPr="0024375B">
        <w:rPr>
          <w:rFonts w:cs="Times New Roman"/>
          <w:szCs w:val="24"/>
        </w:rPr>
        <w:t>Jednocześnie OSSB będzie świadczył usługi telekomunikacyjne także instytucjom wykonującym na rzecz administracji rządowej zadania</w:t>
      </w:r>
      <w:r w:rsidR="002161FE">
        <w:rPr>
          <w:rFonts w:cs="Times New Roman"/>
          <w:szCs w:val="24"/>
        </w:rPr>
        <w:t xml:space="preserve"> z </w:t>
      </w:r>
      <w:r w:rsidRPr="0024375B">
        <w:rPr>
          <w:rFonts w:cs="Times New Roman"/>
          <w:szCs w:val="24"/>
        </w:rPr>
        <w:t>zakresu ochrony ludności</w:t>
      </w:r>
      <w:r w:rsidR="002161FE">
        <w:rPr>
          <w:rFonts w:cs="Times New Roman"/>
          <w:szCs w:val="24"/>
        </w:rPr>
        <w:t xml:space="preserve"> i </w:t>
      </w:r>
      <w:r w:rsidRPr="0024375B">
        <w:rPr>
          <w:rFonts w:cs="Times New Roman"/>
          <w:szCs w:val="24"/>
        </w:rPr>
        <w:t>obrony cywilnej, zarządzania kryzysowego,</w:t>
      </w:r>
      <w:r w:rsidR="00EA1900">
        <w:rPr>
          <w:rFonts w:cs="Times New Roman"/>
          <w:szCs w:val="24"/>
        </w:rPr>
        <w:t xml:space="preserve"> w </w:t>
      </w:r>
      <w:r w:rsidRPr="0024375B">
        <w:rPr>
          <w:rFonts w:cs="Times New Roman"/>
          <w:szCs w:val="24"/>
        </w:rPr>
        <w:t>tym związane</w:t>
      </w:r>
      <w:r w:rsidR="002161FE">
        <w:rPr>
          <w:rFonts w:cs="Times New Roman"/>
          <w:szCs w:val="24"/>
        </w:rPr>
        <w:t xml:space="preserve"> z </w:t>
      </w:r>
      <w:r w:rsidRPr="0024375B">
        <w:rPr>
          <w:rFonts w:cs="Times New Roman"/>
          <w:szCs w:val="24"/>
        </w:rPr>
        <w:t>zapewnieniem ciągłości funkcjonowania</w:t>
      </w:r>
      <w:r w:rsidR="002161FE">
        <w:rPr>
          <w:rFonts w:cs="Times New Roman"/>
          <w:szCs w:val="24"/>
        </w:rPr>
        <w:t xml:space="preserve"> i </w:t>
      </w:r>
      <w:r w:rsidRPr="0024375B">
        <w:rPr>
          <w:rFonts w:cs="Times New Roman"/>
          <w:szCs w:val="24"/>
        </w:rPr>
        <w:t>odtwarzania infrastruktury krytycznej Państwa, również na wniosek tych podmiotów.</w:t>
      </w:r>
    </w:p>
    <w:p w14:paraId="005CCC9C" w14:textId="02C11092" w:rsidR="003A6DBF" w:rsidRPr="0024375B" w:rsidRDefault="003A6DBF" w:rsidP="0024375B">
      <w:pPr>
        <w:spacing w:before="120" w:after="120"/>
        <w:ind w:firstLine="510"/>
        <w:jc w:val="both"/>
        <w:rPr>
          <w:rFonts w:cs="Times New Roman"/>
        </w:rPr>
      </w:pPr>
      <w:r w:rsidRPr="0024375B">
        <w:rPr>
          <w:rFonts w:cs="Times New Roman"/>
        </w:rPr>
        <w:t xml:space="preserve">Projekt zakłada nałożenie na ww. </w:t>
      </w:r>
      <w:r w:rsidR="00210D3D" w:rsidRPr="0024375B">
        <w:rPr>
          <w:rFonts w:cs="Times New Roman"/>
        </w:rPr>
        <w:t xml:space="preserve">podmioty </w:t>
      </w:r>
      <w:r w:rsidRPr="0024375B">
        <w:rPr>
          <w:rFonts w:cs="Times New Roman"/>
        </w:rPr>
        <w:t>obowiąz</w:t>
      </w:r>
      <w:r w:rsidR="00F77A73">
        <w:rPr>
          <w:rFonts w:cs="Times New Roman"/>
        </w:rPr>
        <w:t>ku</w:t>
      </w:r>
      <w:r w:rsidRPr="0024375B">
        <w:rPr>
          <w:rFonts w:cs="Times New Roman"/>
        </w:rPr>
        <w:t xml:space="preserve"> korzystania</w:t>
      </w:r>
      <w:r w:rsidR="002161FE">
        <w:rPr>
          <w:rFonts w:cs="Times New Roman"/>
        </w:rPr>
        <w:t xml:space="preserve"> z </w:t>
      </w:r>
      <w:r w:rsidRPr="0024375B">
        <w:rPr>
          <w:rFonts w:cs="Times New Roman"/>
        </w:rPr>
        <w:t>usług telekomunikacyjnych świadczonych przez OSSB</w:t>
      </w:r>
      <w:r w:rsidR="00EA1900">
        <w:rPr>
          <w:rFonts w:cs="Times New Roman"/>
        </w:rPr>
        <w:t xml:space="preserve"> w </w:t>
      </w:r>
      <w:r w:rsidRPr="0024375B">
        <w:rPr>
          <w:rFonts w:cs="Times New Roman"/>
        </w:rPr>
        <w:t>ruchomej publicznej sieci telekomunikacyjnej</w:t>
      </w:r>
      <w:r w:rsidR="00EA1900">
        <w:rPr>
          <w:rFonts w:cs="Times New Roman"/>
        </w:rPr>
        <w:t xml:space="preserve"> w </w:t>
      </w:r>
      <w:r w:rsidR="00F0254E" w:rsidRPr="0024375B">
        <w:t>zakresie niezbędnym do zapewnienia</w:t>
      </w:r>
      <w:r w:rsidR="00EA1900">
        <w:t xml:space="preserve"> w </w:t>
      </w:r>
      <w:r w:rsidR="00F0254E" w:rsidRPr="0024375B">
        <w:t>tych podmiotach realizacji zadań na rzecz obronności, bezpieczeństwa państwa oraz bezpieczeństwa</w:t>
      </w:r>
      <w:r w:rsidR="002161FE">
        <w:t xml:space="preserve"> i </w:t>
      </w:r>
      <w:r w:rsidR="00F0254E" w:rsidRPr="0024375B">
        <w:t>porządku publicznego</w:t>
      </w:r>
      <w:r w:rsidRPr="0024375B">
        <w:rPr>
          <w:rFonts w:cs="Times New Roman"/>
        </w:rPr>
        <w:t>. Przyjęcie takiego rozwiązania ma zapewnić bezpieczeństwo informacji przekazywanych przy wykorzystaniu świadczonych przez OSSB usług.</w:t>
      </w:r>
      <w:r w:rsidR="009F6B8E">
        <w:rPr>
          <w:rFonts w:cs="Times New Roman"/>
        </w:rPr>
        <w:t xml:space="preserve"> Jednocześnie,</w:t>
      </w:r>
      <w:r w:rsidR="002161FE">
        <w:rPr>
          <w:rFonts w:cs="Times New Roman"/>
        </w:rPr>
        <w:t xml:space="preserve"> z </w:t>
      </w:r>
      <w:r w:rsidR="009F6B8E">
        <w:rPr>
          <w:rFonts w:cs="Times New Roman"/>
        </w:rPr>
        <w:t>uwagi na charakter działalności, obowiązek ten nie dotyczy służb specjalnych</w:t>
      </w:r>
      <w:r w:rsidR="00F77A73">
        <w:rPr>
          <w:rFonts w:cs="Times New Roman"/>
        </w:rPr>
        <w:t xml:space="preserve"> a także Sił Zbrojnych</w:t>
      </w:r>
      <w:r w:rsidR="00F77A73" w:rsidRPr="00F77A73">
        <w:rPr>
          <w:rFonts w:cs="Times New Roman"/>
        </w:rPr>
        <w:t xml:space="preserve"> Rzeczypo</w:t>
      </w:r>
      <w:r w:rsidR="00F77A73">
        <w:rPr>
          <w:rFonts w:cs="Times New Roman"/>
        </w:rPr>
        <w:t>spolitej Polskiej oraz jednostek podległych</w:t>
      </w:r>
      <w:r w:rsidR="00F77A73" w:rsidRPr="00F77A73">
        <w:rPr>
          <w:rFonts w:cs="Times New Roman"/>
        </w:rPr>
        <w:t xml:space="preserve"> </w:t>
      </w:r>
      <w:r w:rsidR="00F77A73">
        <w:rPr>
          <w:rFonts w:cs="Times New Roman"/>
        </w:rPr>
        <w:t>lub nadzorowanych</w:t>
      </w:r>
      <w:r w:rsidR="00F77A73" w:rsidRPr="00F77A73">
        <w:rPr>
          <w:rFonts w:cs="Times New Roman"/>
        </w:rPr>
        <w:t xml:space="preserve"> przez Ministra Obrony Narodowej</w:t>
      </w:r>
      <w:r w:rsidR="00F77A73">
        <w:rPr>
          <w:rFonts w:cs="Times New Roman"/>
        </w:rPr>
        <w:t xml:space="preserve"> (projektowany art. 76</w:t>
      </w:r>
      <w:r w:rsidR="00AF03E5">
        <w:rPr>
          <w:rFonts w:cs="Times New Roman"/>
        </w:rPr>
        <w:t>f</w:t>
      </w:r>
      <w:r w:rsidR="00F77A73">
        <w:rPr>
          <w:rFonts w:cs="Times New Roman"/>
        </w:rPr>
        <w:t xml:space="preserve"> ust. 3). Jeżeli jednak służby specjalne albo Siły Zbrojne Rzeczypospolitej Polskiej podejmą decyzję o korzystaniu z </w:t>
      </w:r>
      <w:r w:rsidR="00F77A73" w:rsidRPr="00F77A73">
        <w:rPr>
          <w:rFonts w:cs="Times New Roman"/>
        </w:rPr>
        <w:t>usług telekomunikacyjnych świadczonych przez OSSB</w:t>
      </w:r>
      <w:r w:rsidR="00F77A73">
        <w:rPr>
          <w:rFonts w:cs="Times New Roman"/>
        </w:rPr>
        <w:t xml:space="preserve"> to na podstawie projektowanego art. 76</w:t>
      </w:r>
      <w:r w:rsidR="00AF03E5">
        <w:rPr>
          <w:rFonts w:cs="Times New Roman"/>
        </w:rPr>
        <w:t>f</w:t>
      </w:r>
      <w:r w:rsidR="00F77A73">
        <w:rPr>
          <w:rFonts w:cs="Times New Roman"/>
        </w:rPr>
        <w:t xml:space="preserve"> ust</w:t>
      </w:r>
      <w:r w:rsidR="006D1AD2">
        <w:rPr>
          <w:rFonts w:cs="Times New Roman"/>
        </w:rPr>
        <w:t>.</w:t>
      </w:r>
      <w:r w:rsidR="00F77A73">
        <w:rPr>
          <w:rFonts w:cs="Times New Roman"/>
        </w:rPr>
        <w:t xml:space="preserve"> 1 będą mogły wystąpić do OSSB </w:t>
      </w:r>
      <w:r w:rsidR="0064796A">
        <w:rPr>
          <w:rFonts w:cs="Times New Roman"/>
        </w:rPr>
        <w:t>o świadczenie takich u</w:t>
      </w:r>
      <w:r w:rsidR="006D1AD2">
        <w:rPr>
          <w:rFonts w:cs="Times New Roman"/>
        </w:rPr>
        <w:t>słu</w:t>
      </w:r>
      <w:r w:rsidR="0064796A">
        <w:rPr>
          <w:rFonts w:cs="Times New Roman"/>
        </w:rPr>
        <w:t xml:space="preserve">g. </w:t>
      </w:r>
    </w:p>
    <w:p w14:paraId="450326BC" w14:textId="77777777" w:rsidR="00A70E7C" w:rsidRDefault="003A6DBF" w:rsidP="0024375B">
      <w:pPr>
        <w:spacing w:before="120" w:after="120"/>
        <w:ind w:firstLine="510"/>
        <w:jc w:val="both"/>
        <w:rPr>
          <w:rFonts w:cs="Times New Roman"/>
        </w:rPr>
      </w:pPr>
      <w:r w:rsidRPr="0024375B">
        <w:rPr>
          <w:rFonts w:cs="Times New Roman"/>
        </w:rPr>
        <w:t>Art. 76</w:t>
      </w:r>
      <w:r w:rsidR="00AF03E5">
        <w:rPr>
          <w:rFonts w:cs="Times New Roman"/>
        </w:rPr>
        <w:t>f</w:t>
      </w:r>
      <w:r w:rsidRPr="0024375B">
        <w:rPr>
          <w:rFonts w:cs="Times New Roman"/>
        </w:rPr>
        <w:t xml:space="preserve"> </w:t>
      </w:r>
      <w:r w:rsidR="00D00CB4">
        <w:rPr>
          <w:rFonts w:cs="Times New Roman"/>
        </w:rPr>
        <w:t>ust. </w:t>
      </w:r>
      <w:r w:rsidRPr="0024375B">
        <w:rPr>
          <w:rFonts w:cs="Times New Roman"/>
        </w:rPr>
        <w:t>4</w:t>
      </w:r>
      <w:r w:rsidR="00B26928">
        <w:rPr>
          <w:rFonts w:cs="Times New Roman"/>
        </w:rPr>
        <w:t>–</w:t>
      </w:r>
      <w:r w:rsidRPr="0024375B">
        <w:rPr>
          <w:rFonts w:cs="Times New Roman"/>
        </w:rPr>
        <w:t xml:space="preserve">6. </w:t>
      </w:r>
    </w:p>
    <w:p w14:paraId="0322365F" w14:textId="43A57201" w:rsidR="003A6DBF" w:rsidRPr="0024375B" w:rsidRDefault="003A6DBF" w:rsidP="0024375B">
      <w:pPr>
        <w:spacing w:before="120" w:after="120"/>
        <w:ind w:firstLine="510"/>
        <w:jc w:val="both"/>
        <w:rPr>
          <w:rFonts w:cs="Times New Roman"/>
          <w:b/>
          <w:bCs/>
        </w:rPr>
      </w:pPr>
      <w:r w:rsidRPr="0024375B">
        <w:rPr>
          <w:rFonts w:cs="Times New Roman"/>
        </w:rPr>
        <w:t>Przepis</w:t>
      </w:r>
      <w:r w:rsidR="00EA1900">
        <w:rPr>
          <w:rFonts w:cs="Times New Roman"/>
        </w:rPr>
        <w:t xml:space="preserve"> art. </w:t>
      </w:r>
      <w:r w:rsidRPr="0024375B">
        <w:rPr>
          <w:rFonts w:cs="Times New Roman"/>
        </w:rPr>
        <w:t>76</w:t>
      </w:r>
      <w:r w:rsidR="00AF03E5">
        <w:rPr>
          <w:rFonts w:cs="Times New Roman"/>
        </w:rPr>
        <w:t>f</w:t>
      </w:r>
      <w:r w:rsidRPr="0024375B">
        <w:rPr>
          <w:rFonts w:cs="Times New Roman"/>
        </w:rPr>
        <w:t xml:space="preserve"> </w:t>
      </w:r>
      <w:r w:rsidR="00D00CB4">
        <w:rPr>
          <w:rFonts w:cs="Times New Roman"/>
        </w:rPr>
        <w:t>ust. </w:t>
      </w:r>
      <w:r w:rsidRPr="0024375B">
        <w:rPr>
          <w:rFonts w:cs="Times New Roman"/>
        </w:rPr>
        <w:t>4 przewiduje, że Prezes Rady Ministrów będzie mógł zobowiązać OSSB do świadczenia usług właścicielom</w:t>
      </w:r>
      <w:r w:rsidR="002161FE">
        <w:rPr>
          <w:rFonts w:cs="Times New Roman"/>
        </w:rPr>
        <w:t xml:space="preserve"> i </w:t>
      </w:r>
      <w:r w:rsidRPr="0024375B">
        <w:rPr>
          <w:rFonts w:cs="Times New Roman"/>
        </w:rPr>
        <w:t>posiadaczom obiektów, instalacji lub urządzeń infrastruktury krytycznej,</w:t>
      </w:r>
      <w:r w:rsidR="002161FE">
        <w:rPr>
          <w:rFonts w:cs="Times New Roman"/>
        </w:rPr>
        <w:t xml:space="preserve"> a </w:t>
      </w:r>
      <w:r w:rsidRPr="0024375B">
        <w:rPr>
          <w:rFonts w:cs="Times New Roman"/>
        </w:rPr>
        <w:t>także</w:t>
      </w:r>
      <w:r w:rsidR="469AD916" w:rsidRPr="0024375B">
        <w:rPr>
          <w:rFonts w:ascii="Times" w:eastAsia="Times" w:hAnsi="Times" w:cs="Times"/>
          <w:szCs w:val="24"/>
        </w:rPr>
        <w:t xml:space="preserve"> przedsiębiorcom realizującym zadania na rzecz Sił Zbrojnych,</w:t>
      </w:r>
      <w:r w:rsidR="0077165A">
        <w:rPr>
          <w:rFonts w:ascii="Times" w:eastAsia="Times" w:hAnsi="Times" w:cs="Times"/>
          <w:szCs w:val="24"/>
        </w:rPr>
        <w:t xml:space="preserve"> o </w:t>
      </w:r>
      <w:r w:rsidR="469AD916" w:rsidRPr="0024375B">
        <w:rPr>
          <w:rFonts w:ascii="Times" w:eastAsia="Times" w:hAnsi="Times" w:cs="Times"/>
          <w:szCs w:val="24"/>
        </w:rPr>
        <w:t>których mowa</w:t>
      </w:r>
      <w:r w:rsidR="002161FE">
        <w:rPr>
          <w:rFonts w:ascii="Times" w:eastAsia="Times" w:hAnsi="Times" w:cs="Times"/>
          <w:szCs w:val="24"/>
        </w:rPr>
        <w:t xml:space="preserve"> w</w:t>
      </w:r>
      <w:r w:rsidR="00EA1900">
        <w:rPr>
          <w:rFonts w:ascii="Times" w:eastAsia="Times" w:hAnsi="Times" w:cs="Times"/>
          <w:szCs w:val="24"/>
        </w:rPr>
        <w:t xml:space="preserve"> art. </w:t>
      </w:r>
      <w:r w:rsidR="00C02732" w:rsidRPr="0024375B">
        <w:rPr>
          <w:rFonts w:ascii="Times" w:eastAsia="Times" w:hAnsi="Times" w:cs="Times"/>
          <w:szCs w:val="24"/>
        </w:rPr>
        <w:t xml:space="preserve">648 </w:t>
      </w:r>
      <w:r w:rsidR="469AD916" w:rsidRPr="0024375B">
        <w:rPr>
          <w:rFonts w:ascii="Times" w:eastAsia="Times" w:hAnsi="Times" w:cs="Times"/>
          <w:szCs w:val="24"/>
        </w:rPr>
        <w:t>ustawy</w:t>
      </w:r>
      <w:r w:rsidR="002161FE">
        <w:rPr>
          <w:rFonts w:ascii="Times" w:eastAsia="Times" w:hAnsi="Times" w:cs="Times"/>
          <w:szCs w:val="24"/>
        </w:rPr>
        <w:t xml:space="preserve"> z </w:t>
      </w:r>
      <w:r w:rsidR="469AD916" w:rsidRPr="0024375B">
        <w:rPr>
          <w:rFonts w:ascii="Times" w:eastAsia="Times" w:hAnsi="Times" w:cs="Times"/>
          <w:szCs w:val="24"/>
        </w:rPr>
        <w:t>dnia 11 marca 2022 r.</w:t>
      </w:r>
      <w:r w:rsidR="0077165A">
        <w:rPr>
          <w:rFonts w:ascii="Times" w:eastAsia="Times" w:hAnsi="Times" w:cs="Times"/>
          <w:szCs w:val="24"/>
        </w:rPr>
        <w:t xml:space="preserve"> o </w:t>
      </w:r>
      <w:r w:rsidR="469AD916" w:rsidRPr="0024375B">
        <w:rPr>
          <w:rFonts w:ascii="Times" w:eastAsia="Times" w:hAnsi="Times" w:cs="Times"/>
          <w:szCs w:val="24"/>
        </w:rPr>
        <w:t>obronie Ojczyzny</w:t>
      </w:r>
      <w:r w:rsidRPr="0024375B">
        <w:rPr>
          <w:rFonts w:cs="Times New Roman"/>
        </w:rPr>
        <w:t>. Wprowadzenie takiego uprawnienia dla Prezesa Rady Ministrów zwiększy elastyczność</w:t>
      </w:r>
      <w:r w:rsidR="00EA1900">
        <w:rPr>
          <w:rFonts w:cs="Times New Roman"/>
        </w:rPr>
        <w:t xml:space="preserve"> w </w:t>
      </w:r>
      <w:r w:rsidRPr="0024375B">
        <w:rPr>
          <w:rFonts w:cs="Times New Roman"/>
        </w:rPr>
        <w:t>reagowaniu na aktualne potrzeby</w:t>
      </w:r>
      <w:r w:rsidR="00EA1900">
        <w:rPr>
          <w:rFonts w:cs="Times New Roman"/>
        </w:rPr>
        <w:t xml:space="preserve"> w </w:t>
      </w:r>
      <w:r w:rsidRPr="0024375B">
        <w:rPr>
          <w:rFonts w:cs="Times New Roman"/>
        </w:rPr>
        <w:t>zakresie zapewnienia bezpiecznej wymiany informacji pomiędzy kluczowymi podmiotami odpowiedzialnymi za realizację zadań</w:t>
      </w:r>
      <w:r w:rsidR="002161FE">
        <w:rPr>
          <w:rFonts w:cs="Times New Roman"/>
        </w:rPr>
        <w:t xml:space="preserve"> z </w:t>
      </w:r>
      <w:r w:rsidRPr="0024375B">
        <w:rPr>
          <w:rFonts w:cs="Times New Roman"/>
        </w:rPr>
        <w:t>zakresu obronności, bezpieczeństwa państwa oraz bezpieczeństwa</w:t>
      </w:r>
      <w:r w:rsidR="002161FE">
        <w:rPr>
          <w:rFonts w:cs="Times New Roman"/>
        </w:rPr>
        <w:t xml:space="preserve"> i </w:t>
      </w:r>
      <w:r w:rsidRPr="0024375B">
        <w:rPr>
          <w:rFonts w:cs="Times New Roman"/>
        </w:rPr>
        <w:t xml:space="preserve">porządku publicznego. </w:t>
      </w:r>
      <w:r w:rsidR="004511D8" w:rsidRPr="0024375B">
        <w:rPr>
          <w:rFonts w:cs="Times New Roman"/>
        </w:rPr>
        <w:t>Prezes Rady Ministrów będzie mógł podejmować takie działania na wniosek odpowiednio ministra</w:t>
      </w:r>
      <w:r w:rsidR="004511D8" w:rsidRPr="0024375B">
        <w:rPr>
          <w:rFonts w:cs="Times New Roman"/>
          <w:bCs/>
        </w:rPr>
        <w:t>, we właściwości którego znajduje się określ</w:t>
      </w:r>
      <w:r w:rsidR="0048687E">
        <w:rPr>
          <w:rFonts w:cs="Times New Roman"/>
          <w:bCs/>
        </w:rPr>
        <w:t>o</w:t>
      </w:r>
      <w:r w:rsidR="004511D8" w:rsidRPr="0024375B">
        <w:rPr>
          <w:rFonts w:cs="Times New Roman"/>
          <w:bCs/>
        </w:rPr>
        <w:t xml:space="preserve">ny system infrastruktury krytycznej lub Ministra Obrony Narodowej. </w:t>
      </w:r>
    </w:p>
    <w:p w14:paraId="528C88BE" w14:textId="3D135659" w:rsidR="005222C8" w:rsidRPr="0024375B" w:rsidRDefault="003A6DBF" w:rsidP="0024375B">
      <w:pPr>
        <w:spacing w:before="120" w:after="120"/>
        <w:ind w:firstLine="510"/>
        <w:jc w:val="both"/>
        <w:rPr>
          <w:rFonts w:cs="Times New Roman"/>
        </w:rPr>
      </w:pPr>
      <w:r w:rsidRPr="0024375B">
        <w:rPr>
          <w:rFonts w:cs="Times New Roman"/>
        </w:rPr>
        <w:t>Z kolei przepis</w:t>
      </w:r>
      <w:r w:rsidR="00EA1900">
        <w:rPr>
          <w:rFonts w:cs="Times New Roman"/>
        </w:rPr>
        <w:t xml:space="preserve"> art. </w:t>
      </w:r>
      <w:r w:rsidR="00F70CD6" w:rsidRPr="0024375B">
        <w:rPr>
          <w:rFonts w:cs="Times New Roman"/>
        </w:rPr>
        <w:t>76</w:t>
      </w:r>
      <w:r w:rsidR="00AF03E5">
        <w:rPr>
          <w:rFonts w:cs="Times New Roman"/>
        </w:rPr>
        <w:t>f</w:t>
      </w:r>
      <w:r w:rsidRPr="0024375B">
        <w:rPr>
          <w:rFonts w:cs="Times New Roman"/>
        </w:rPr>
        <w:t xml:space="preserve"> </w:t>
      </w:r>
      <w:r w:rsidR="00D00CB4">
        <w:rPr>
          <w:rFonts w:cs="Times New Roman"/>
        </w:rPr>
        <w:t>ust. </w:t>
      </w:r>
      <w:r w:rsidR="00F70CD6" w:rsidRPr="0024375B">
        <w:rPr>
          <w:rFonts w:cs="Times New Roman"/>
        </w:rPr>
        <w:t>5</w:t>
      </w:r>
      <w:r w:rsidRPr="0024375B">
        <w:rPr>
          <w:rFonts w:cs="Times New Roman"/>
        </w:rPr>
        <w:t xml:space="preserve"> ustawy wprowadza możliwość zlecenia OSSB świadczenia usługi wsparcia technicznego przy realizacji zadań Agencji Bezpieczeństwa Wewnętrznego, Agencji Wywiadu, Służby Kontrwywiadu Wojskowego, Służby Wywiadu Wojskowego, Centralne</w:t>
      </w:r>
      <w:r w:rsidR="00F86C73">
        <w:rPr>
          <w:rFonts w:cs="Times New Roman"/>
        </w:rPr>
        <w:t>go</w:t>
      </w:r>
      <w:r w:rsidRPr="0024375B">
        <w:rPr>
          <w:rFonts w:cs="Times New Roman"/>
        </w:rPr>
        <w:t xml:space="preserve"> Biur</w:t>
      </w:r>
      <w:r w:rsidR="00F86C73">
        <w:rPr>
          <w:rFonts w:cs="Times New Roman"/>
        </w:rPr>
        <w:t>a</w:t>
      </w:r>
      <w:r w:rsidRPr="0024375B">
        <w:rPr>
          <w:rFonts w:cs="Times New Roman"/>
        </w:rPr>
        <w:t xml:space="preserve"> Antykorupcyjne</w:t>
      </w:r>
      <w:r w:rsidR="00F86C73">
        <w:rPr>
          <w:rFonts w:cs="Times New Roman"/>
        </w:rPr>
        <w:t>go</w:t>
      </w:r>
      <w:r w:rsidR="000C0F86" w:rsidRPr="0024375B">
        <w:rPr>
          <w:rFonts w:cs="Times New Roman"/>
        </w:rPr>
        <w:t>,</w:t>
      </w:r>
      <w:r w:rsidRPr="0024375B">
        <w:rPr>
          <w:rFonts w:cs="Times New Roman"/>
        </w:rPr>
        <w:t xml:space="preserve"> </w:t>
      </w:r>
      <w:r w:rsidR="1B641723" w:rsidRPr="0024375B">
        <w:rPr>
          <w:rFonts w:ascii="Times" w:eastAsia="Times" w:hAnsi="Times" w:cs="Times"/>
          <w:szCs w:val="24"/>
        </w:rPr>
        <w:t xml:space="preserve">Straży </w:t>
      </w:r>
      <w:r w:rsidR="1B641723" w:rsidRPr="0024375B">
        <w:rPr>
          <w:rFonts w:ascii="Times" w:eastAsia="Times" w:hAnsi="Times" w:cs="Times"/>
          <w:szCs w:val="24"/>
        </w:rPr>
        <w:lastRenderedPageBreak/>
        <w:t>Granicznej, Państwowej Straży Pożarnej, Służby Ochrony Państwa oraz Policji</w:t>
      </w:r>
      <w:r w:rsidRPr="0024375B">
        <w:rPr>
          <w:rFonts w:cs="Times New Roman"/>
        </w:rPr>
        <w:t>.</w:t>
      </w:r>
      <w:r w:rsidR="004511D8" w:rsidRPr="0024375B">
        <w:rPr>
          <w:rFonts w:cs="Times New Roman"/>
        </w:rPr>
        <w:t xml:space="preserve"> Usługi te są ściśle powiązane ze świadczonymi przez OSSB usługami telekomunikacyjnymi</w:t>
      </w:r>
      <w:r w:rsidR="00EA1900">
        <w:rPr>
          <w:rFonts w:cs="Times New Roman"/>
        </w:rPr>
        <w:t xml:space="preserve"> w </w:t>
      </w:r>
      <w:r w:rsidR="004511D8" w:rsidRPr="0024375B">
        <w:rPr>
          <w:rFonts w:cs="Times New Roman"/>
        </w:rPr>
        <w:t>związku</w:t>
      </w:r>
      <w:r w:rsidR="002161FE">
        <w:rPr>
          <w:rFonts w:cs="Times New Roman"/>
        </w:rPr>
        <w:t xml:space="preserve"> z </w:t>
      </w:r>
      <w:r w:rsidR="004511D8" w:rsidRPr="0024375B">
        <w:rPr>
          <w:rFonts w:cs="Times New Roman"/>
        </w:rPr>
        <w:t xml:space="preserve">czym świadczenie ich przez inny podmiot byłoby co najmniej </w:t>
      </w:r>
      <w:r w:rsidR="009E6485">
        <w:rPr>
          <w:rFonts w:cs="Times New Roman"/>
        </w:rPr>
        <w:t>nie</w:t>
      </w:r>
      <w:r w:rsidR="004511D8" w:rsidRPr="0024375B">
        <w:rPr>
          <w:rFonts w:cs="Times New Roman"/>
        </w:rPr>
        <w:t>efektywne, a</w:t>
      </w:r>
      <w:r w:rsidR="00EA1900">
        <w:rPr>
          <w:rFonts w:cs="Times New Roman"/>
        </w:rPr>
        <w:t xml:space="preserve"> w </w:t>
      </w:r>
      <w:r w:rsidR="004511D8" w:rsidRPr="0024375B">
        <w:rPr>
          <w:rFonts w:cs="Times New Roman"/>
        </w:rPr>
        <w:t>wielu przypadkach niemożliwe.</w:t>
      </w:r>
      <w:r w:rsidR="00F746D2" w:rsidRPr="0024375B">
        <w:rPr>
          <w:rFonts w:cs="Times New Roman"/>
        </w:rPr>
        <w:t xml:space="preserve"> </w:t>
      </w:r>
    </w:p>
    <w:p w14:paraId="7466CC02" w14:textId="77777777" w:rsidR="009E6485" w:rsidRDefault="005222C8" w:rsidP="0024375B">
      <w:pPr>
        <w:spacing w:before="120" w:after="120"/>
        <w:ind w:firstLine="510"/>
        <w:jc w:val="both"/>
        <w:rPr>
          <w:rFonts w:cs="Times New Roman"/>
        </w:rPr>
      </w:pPr>
      <w:r w:rsidRPr="0024375B">
        <w:rPr>
          <w:rFonts w:cs="Times New Roman"/>
        </w:rPr>
        <w:t xml:space="preserve">Usługi wsparcia technicznego </w:t>
      </w:r>
      <w:r w:rsidR="009E6485" w:rsidRPr="009E6485">
        <w:rPr>
          <w:rFonts w:cs="Times New Roman"/>
        </w:rPr>
        <w:t>mogą polegać</w:t>
      </w:r>
      <w:r w:rsidR="00EA1900">
        <w:rPr>
          <w:rFonts w:cs="Times New Roman"/>
        </w:rPr>
        <w:t xml:space="preserve"> w </w:t>
      </w:r>
      <w:r w:rsidR="009E6485" w:rsidRPr="009E6485">
        <w:rPr>
          <w:rFonts w:cs="Times New Roman"/>
        </w:rPr>
        <w:t>szczególności na utrzymaniu, rozbudowie</w:t>
      </w:r>
      <w:r w:rsidR="002161FE">
        <w:rPr>
          <w:rFonts w:cs="Times New Roman"/>
        </w:rPr>
        <w:t xml:space="preserve"> i </w:t>
      </w:r>
      <w:r w:rsidR="009E6485" w:rsidRPr="009E6485">
        <w:rPr>
          <w:rFonts w:cs="Times New Roman"/>
        </w:rPr>
        <w:t>modyfikacji sieci teleinformatycznych</w:t>
      </w:r>
      <w:r w:rsidR="00EA1900">
        <w:rPr>
          <w:rFonts w:cs="Times New Roman"/>
        </w:rPr>
        <w:t xml:space="preserve"> w </w:t>
      </w:r>
      <w:r w:rsidR="009E6485" w:rsidRPr="009E6485">
        <w:rPr>
          <w:rFonts w:cs="Times New Roman"/>
        </w:rPr>
        <w:t>zakresie sieci rozległych oraz zestawienia</w:t>
      </w:r>
      <w:r w:rsidR="002161FE">
        <w:rPr>
          <w:rFonts w:cs="Times New Roman"/>
        </w:rPr>
        <w:t xml:space="preserve"> i </w:t>
      </w:r>
      <w:r w:rsidR="009E6485" w:rsidRPr="009E6485">
        <w:rPr>
          <w:rFonts w:cs="Times New Roman"/>
        </w:rPr>
        <w:t>utrzymania łączy dostępowych do takich sieci.</w:t>
      </w:r>
    </w:p>
    <w:p w14:paraId="26AD5154" w14:textId="77777777" w:rsidR="003A6DBF" w:rsidRPr="0024375B" w:rsidRDefault="003A6DBF" w:rsidP="0024375B">
      <w:pPr>
        <w:spacing w:before="120" w:after="120"/>
        <w:ind w:firstLine="510"/>
        <w:jc w:val="both"/>
        <w:rPr>
          <w:rFonts w:cs="Times New Roman"/>
          <w:szCs w:val="24"/>
        </w:rPr>
      </w:pPr>
      <w:r w:rsidRPr="0024375B">
        <w:rPr>
          <w:rFonts w:cs="Times New Roman"/>
          <w:szCs w:val="24"/>
        </w:rPr>
        <w:t>Świadczenie usług telekomunikacyjnych, usług wsparcia technicznego oraz innych usług,</w:t>
      </w:r>
      <w:r w:rsidR="0077165A">
        <w:rPr>
          <w:rFonts w:cs="Times New Roman"/>
          <w:szCs w:val="24"/>
        </w:rPr>
        <w:t xml:space="preserve"> o </w:t>
      </w:r>
      <w:r w:rsidRPr="0024375B">
        <w:rPr>
          <w:rFonts w:cs="Times New Roman"/>
          <w:szCs w:val="24"/>
        </w:rPr>
        <w:t>których mowa</w:t>
      </w:r>
      <w:r w:rsidR="002161FE">
        <w:rPr>
          <w:rFonts w:cs="Times New Roman"/>
          <w:szCs w:val="24"/>
        </w:rPr>
        <w:t xml:space="preserve"> w</w:t>
      </w:r>
      <w:r w:rsidR="00EA1900">
        <w:rPr>
          <w:rFonts w:cs="Times New Roman"/>
          <w:szCs w:val="24"/>
        </w:rPr>
        <w:t xml:space="preserve"> art. </w:t>
      </w:r>
      <w:r w:rsidR="00F70CD6" w:rsidRPr="0024375B">
        <w:rPr>
          <w:rFonts w:cs="Times New Roman"/>
          <w:szCs w:val="24"/>
        </w:rPr>
        <w:t>76</w:t>
      </w:r>
      <w:r w:rsidR="00AF03E5">
        <w:rPr>
          <w:rFonts w:cs="Times New Roman"/>
          <w:szCs w:val="24"/>
        </w:rPr>
        <w:t>e</w:t>
      </w:r>
      <w:r w:rsidR="00F70CD6" w:rsidRPr="0024375B">
        <w:rPr>
          <w:rFonts w:cs="Times New Roman"/>
          <w:szCs w:val="24"/>
        </w:rPr>
        <w:t xml:space="preserve"> </w:t>
      </w:r>
      <w:r w:rsidR="00D00CB4">
        <w:rPr>
          <w:rFonts w:cs="Times New Roman"/>
          <w:szCs w:val="24"/>
        </w:rPr>
        <w:t>ust. </w:t>
      </w:r>
      <w:r w:rsidR="00F70CD6" w:rsidRPr="0024375B">
        <w:rPr>
          <w:rFonts w:cs="Times New Roman"/>
          <w:szCs w:val="24"/>
        </w:rPr>
        <w:t>1</w:t>
      </w:r>
      <w:r w:rsidR="002161FE">
        <w:rPr>
          <w:rFonts w:cs="Times New Roman"/>
          <w:szCs w:val="24"/>
        </w:rPr>
        <w:t xml:space="preserve"> i</w:t>
      </w:r>
      <w:r w:rsidR="00EA1900">
        <w:rPr>
          <w:rFonts w:cs="Times New Roman"/>
          <w:szCs w:val="24"/>
        </w:rPr>
        <w:t xml:space="preserve"> art. </w:t>
      </w:r>
      <w:r w:rsidR="00F70CD6" w:rsidRPr="0024375B">
        <w:rPr>
          <w:rFonts w:cs="Times New Roman"/>
          <w:szCs w:val="24"/>
        </w:rPr>
        <w:t>76</w:t>
      </w:r>
      <w:r w:rsidR="00AF03E5">
        <w:rPr>
          <w:rFonts w:cs="Times New Roman"/>
          <w:szCs w:val="24"/>
        </w:rPr>
        <w:t>f</w:t>
      </w:r>
      <w:r w:rsidRPr="0024375B">
        <w:rPr>
          <w:rFonts w:cs="Times New Roman"/>
          <w:szCs w:val="24"/>
        </w:rPr>
        <w:t xml:space="preserve"> </w:t>
      </w:r>
      <w:r w:rsidR="00D00CB4">
        <w:rPr>
          <w:rFonts w:cs="Times New Roman"/>
          <w:szCs w:val="24"/>
        </w:rPr>
        <w:t>ust. </w:t>
      </w:r>
      <w:r w:rsidR="00F70CD6" w:rsidRPr="0024375B">
        <w:rPr>
          <w:rFonts w:cs="Times New Roman"/>
          <w:szCs w:val="24"/>
        </w:rPr>
        <w:t>1</w:t>
      </w:r>
      <w:r w:rsidR="002161FE">
        <w:rPr>
          <w:rFonts w:cs="Times New Roman"/>
          <w:szCs w:val="24"/>
        </w:rPr>
        <w:t xml:space="preserve"> i </w:t>
      </w:r>
      <w:r w:rsidR="00F70CD6" w:rsidRPr="0024375B">
        <w:rPr>
          <w:rFonts w:cs="Times New Roman"/>
          <w:szCs w:val="24"/>
        </w:rPr>
        <w:t xml:space="preserve">2 </w:t>
      </w:r>
      <w:r w:rsidRPr="0024375B">
        <w:rPr>
          <w:rFonts w:cs="Times New Roman"/>
          <w:szCs w:val="24"/>
        </w:rPr>
        <w:t>wymaga zawarcia umowy pomiędzy stronami</w:t>
      </w:r>
      <w:r w:rsidR="00F70CD6" w:rsidRPr="0024375B">
        <w:rPr>
          <w:rFonts w:cs="Times New Roman"/>
          <w:szCs w:val="24"/>
        </w:rPr>
        <w:t xml:space="preserve"> (art. 76</w:t>
      </w:r>
      <w:r w:rsidR="00AF03E5">
        <w:rPr>
          <w:rFonts w:cs="Times New Roman"/>
          <w:szCs w:val="24"/>
        </w:rPr>
        <w:t>f</w:t>
      </w:r>
      <w:r w:rsidR="00F70CD6" w:rsidRPr="0024375B">
        <w:rPr>
          <w:rFonts w:cs="Times New Roman"/>
          <w:szCs w:val="24"/>
        </w:rPr>
        <w:t xml:space="preserve"> </w:t>
      </w:r>
      <w:r w:rsidR="00D00CB4">
        <w:rPr>
          <w:rFonts w:cs="Times New Roman"/>
          <w:szCs w:val="24"/>
        </w:rPr>
        <w:t>ust. </w:t>
      </w:r>
      <w:r w:rsidR="00F70CD6" w:rsidRPr="0024375B">
        <w:rPr>
          <w:rFonts w:cs="Times New Roman"/>
          <w:szCs w:val="24"/>
        </w:rPr>
        <w:t>6),</w:t>
      </w:r>
      <w:r w:rsidR="002161FE">
        <w:rPr>
          <w:rFonts w:cs="Times New Roman"/>
          <w:szCs w:val="24"/>
        </w:rPr>
        <w:t xml:space="preserve"> a </w:t>
      </w:r>
      <w:r w:rsidR="00F70CD6" w:rsidRPr="0024375B">
        <w:rPr>
          <w:rFonts w:cs="Times New Roman"/>
          <w:szCs w:val="24"/>
        </w:rPr>
        <w:t xml:space="preserve">umowa to musi odnosić się do jakości usług, </w:t>
      </w:r>
      <w:r w:rsidR="00F70CD6" w:rsidRPr="0024375B">
        <w:t>co najmniej</w:t>
      </w:r>
      <w:r w:rsidR="00EA1900">
        <w:t xml:space="preserve"> w </w:t>
      </w:r>
      <w:r w:rsidR="00F70CD6" w:rsidRPr="0024375B">
        <w:t>przypadkach zagrożenia dla obronności, bezpieczeństwa państwa lub bezpieczeństwa</w:t>
      </w:r>
      <w:r w:rsidR="002161FE">
        <w:t xml:space="preserve"> i </w:t>
      </w:r>
      <w:r w:rsidR="00F70CD6" w:rsidRPr="0024375B">
        <w:t>porządku publicznego</w:t>
      </w:r>
      <w:r w:rsidR="00F70CD6" w:rsidRPr="0024375B">
        <w:rPr>
          <w:rFonts w:cs="Times New Roman"/>
          <w:szCs w:val="24"/>
        </w:rPr>
        <w:t xml:space="preserve"> (art. 76</w:t>
      </w:r>
      <w:r w:rsidR="00AF03E5">
        <w:rPr>
          <w:rFonts w:cs="Times New Roman"/>
          <w:szCs w:val="24"/>
        </w:rPr>
        <w:t>f</w:t>
      </w:r>
      <w:r w:rsidR="00F70CD6" w:rsidRPr="0024375B">
        <w:rPr>
          <w:rFonts w:cs="Times New Roman"/>
          <w:szCs w:val="24"/>
        </w:rPr>
        <w:t xml:space="preserve"> </w:t>
      </w:r>
      <w:r w:rsidR="00D00CB4">
        <w:rPr>
          <w:rFonts w:cs="Times New Roman"/>
          <w:szCs w:val="24"/>
        </w:rPr>
        <w:t>ust. </w:t>
      </w:r>
      <w:r w:rsidR="00F70CD6" w:rsidRPr="0024375B">
        <w:rPr>
          <w:rFonts w:cs="Times New Roman"/>
          <w:szCs w:val="24"/>
        </w:rPr>
        <w:t>7).</w:t>
      </w:r>
      <w:r w:rsidR="005222C8" w:rsidRPr="0024375B">
        <w:rPr>
          <w:rFonts w:cs="Times New Roman"/>
          <w:szCs w:val="24"/>
        </w:rPr>
        <w:t xml:space="preserve"> </w:t>
      </w:r>
      <w:r w:rsidR="009F6B8E">
        <w:rPr>
          <w:rFonts w:cs="Times New Roman"/>
          <w:szCs w:val="24"/>
        </w:rPr>
        <w:t>Wskazano, że u</w:t>
      </w:r>
      <w:r w:rsidR="009F6B8E" w:rsidRPr="009F6B8E">
        <w:rPr>
          <w:rFonts w:cs="Times New Roman"/>
          <w:szCs w:val="24"/>
        </w:rPr>
        <w:t>mowa określa również zasady odpłatności za świadczone usługi</w:t>
      </w:r>
      <w:r w:rsidR="009F6B8E">
        <w:rPr>
          <w:rFonts w:cs="Times New Roman"/>
          <w:szCs w:val="24"/>
        </w:rPr>
        <w:t>.</w:t>
      </w:r>
    </w:p>
    <w:p w14:paraId="6215CCDE" w14:textId="7FD4E550" w:rsidR="00A2706E" w:rsidRPr="0024375B" w:rsidRDefault="00A2706E" w:rsidP="0024375B">
      <w:pPr>
        <w:spacing w:before="120" w:after="120"/>
        <w:ind w:firstLine="510"/>
        <w:jc w:val="both"/>
        <w:rPr>
          <w:rFonts w:cs="Times New Roman"/>
          <w:szCs w:val="24"/>
        </w:rPr>
      </w:pPr>
      <w:r w:rsidRPr="0024375B">
        <w:rPr>
          <w:rFonts w:cs="Times New Roman"/>
          <w:szCs w:val="24"/>
        </w:rPr>
        <w:t>Rozwiązania zawarte</w:t>
      </w:r>
      <w:r w:rsidR="002161FE">
        <w:rPr>
          <w:rFonts w:cs="Times New Roman"/>
          <w:szCs w:val="24"/>
        </w:rPr>
        <w:t xml:space="preserve"> w</w:t>
      </w:r>
      <w:r w:rsidR="00EA1900">
        <w:rPr>
          <w:rFonts w:cs="Times New Roman"/>
          <w:szCs w:val="24"/>
        </w:rPr>
        <w:t xml:space="preserve"> art. </w:t>
      </w:r>
      <w:r w:rsidRPr="0024375B">
        <w:rPr>
          <w:rFonts w:cs="Times New Roman"/>
          <w:szCs w:val="24"/>
        </w:rPr>
        <w:t>76</w:t>
      </w:r>
      <w:r w:rsidR="00AF03E5">
        <w:rPr>
          <w:rFonts w:cs="Times New Roman"/>
          <w:szCs w:val="24"/>
        </w:rPr>
        <w:t>e</w:t>
      </w:r>
      <w:r w:rsidRPr="0024375B">
        <w:rPr>
          <w:rFonts w:cs="Times New Roman"/>
          <w:szCs w:val="24"/>
        </w:rPr>
        <w:t xml:space="preserve"> oraz 76</w:t>
      </w:r>
      <w:r w:rsidR="00AF03E5">
        <w:rPr>
          <w:rFonts w:cs="Times New Roman"/>
          <w:szCs w:val="24"/>
        </w:rPr>
        <w:t>f</w:t>
      </w:r>
      <w:r w:rsidRPr="0024375B">
        <w:rPr>
          <w:rFonts w:cs="Times New Roman"/>
          <w:szCs w:val="24"/>
        </w:rPr>
        <w:t xml:space="preserve"> zawierają rozwiązania niezbędna dla zapewnienia efektywności świadczenia usług przez OSSB.</w:t>
      </w:r>
      <w:r w:rsidR="00116933">
        <w:rPr>
          <w:rFonts w:cs="Times New Roman"/>
          <w:szCs w:val="24"/>
        </w:rPr>
        <w:t xml:space="preserve"> W </w:t>
      </w:r>
      <w:r w:rsidRPr="0024375B">
        <w:rPr>
          <w:rFonts w:cs="Times New Roman"/>
          <w:szCs w:val="24"/>
        </w:rPr>
        <w:t>szczególności usługi wsparcia technicznego oraz usługi badawczo-rozwojowe muszą być zapewniane</w:t>
      </w:r>
      <w:r w:rsidR="00EA1900">
        <w:rPr>
          <w:rFonts w:cs="Times New Roman"/>
          <w:szCs w:val="24"/>
        </w:rPr>
        <w:t xml:space="preserve"> w </w:t>
      </w:r>
      <w:r w:rsidRPr="0024375B">
        <w:rPr>
          <w:rFonts w:cs="Times New Roman"/>
          <w:szCs w:val="24"/>
        </w:rPr>
        <w:t>ramach bezpiecznej sieci telekomunikacyjnej. Rozdzielenie tych usług od usług telekomunikacyjnych byłyby nieefektywne</w:t>
      </w:r>
      <w:r w:rsidR="00F86C73">
        <w:rPr>
          <w:rFonts w:cs="Times New Roman"/>
          <w:szCs w:val="24"/>
        </w:rPr>
        <w:t>,</w:t>
      </w:r>
      <w:r w:rsidRPr="0024375B">
        <w:rPr>
          <w:rFonts w:cs="Times New Roman"/>
          <w:szCs w:val="24"/>
        </w:rPr>
        <w:t xml:space="preserve"> gdyż</w:t>
      </w:r>
      <w:r w:rsidR="00EA1900">
        <w:rPr>
          <w:rFonts w:cs="Times New Roman"/>
          <w:szCs w:val="24"/>
        </w:rPr>
        <w:t xml:space="preserve"> w </w:t>
      </w:r>
      <w:r w:rsidRPr="0024375B">
        <w:rPr>
          <w:rFonts w:cs="Times New Roman"/>
          <w:szCs w:val="24"/>
        </w:rPr>
        <w:t>efekcie dwa podmioty miałyby dostęp do sieci telekomunikacyjnej stosowanej przez OSSB. Prowadziłoby to potencjalnie do dodatkowych kosztów związanych</w:t>
      </w:r>
      <w:r w:rsidR="002161FE">
        <w:rPr>
          <w:rFonts w:cs="Times New Roman"/>
          <w:szCs w:val="24"/>
        </w:rPr>
        <w:t xml:space="preserve"> z </w:t>
      </w:r>
      <w:r w:rsidRPr="0024375B">
        <w:rPr>
          <w:rFonts w:cs="Times New Roman"/>
          <w:szCs w:val="24"/>
        </w:rPr>
        <w:t>wpuszczeniem nowego podmiotu do tego systemu oraz wymagałoby to wprowadzenia dodatkowych środków</w:t>
      </w:r>
      <w:r w:rsidR="00FA5582" w:rsidRPr="0024375B">
        <w:rPr>
          <w:rFonts w:cs="Times New Roman"/>
          <w:szCs w:val="24"/>
        </w:rPr>
        <w:t xml:space="preserve"> bezpieczeństwa związanych</w:t>
      </w:r>
      <w:r w:rsidR="002161FE">
        <w:rPr>
          <w:rFonts w:cs="Times New Roman"/>
          <w:szCs w:val="24"/>
        </w:rPr>
        <w:t xml:space="preserve"> z </w:t>
      </w:r>
      <w:r w:rsidR="00FA5582" w:rsidRPr="0024375B">
        <w:rPr>
          <w:rFonts w:cs="Times New Roman"/>
          <w:szCs w:val="24"/>
        </w:rPr>
        <w:t xml:space="preserve">dostępem do informacji </w:t>
      </w:r>
      <w:r w:rsidR="00E23830" w:rsidRPr="0024375B">
        <w:rPr>
          <w:rFonts w:cs="Times New Roman"/>
          <w:szCs w:val="24"/>
        </w:rPr>
        <w:t>podmiotu zajmującego się świadczeniem usług wsparcia. Taka sytuacja jest nieakceptowalna</w:t>
      </w:r>
      <w:r w:rsidR="002161FE">
        <w:rPr>
          <w:rFonts w:cs="Times New Roman"/>
          <w:szCs w:val="24"/>
        </w:rPr>
        <w:t xml:space="preserve"> z </w:t>
      </w:r>
      <w:r w:rsidR="00E23830" w:rsidRPr="0024375B">
        <w:rPr>
          <w:rFonts w:cs="Times New Roman"/>
          <w:szCs w:val="24"/>
        </w:rPr>
        <w:t>punktu widzenia wrażliwego charakteru danych jakie będą przesyłane za pośrednictwem strategicznej sieci bezpieczeństwa. Dopuszczenie</w:t>
      </w:r>
      <w:r w:rsidR="00DB44AE" w:rsidRPr="0024375B">
        <w:rPr>
          <w:rFonts w:cs="Times New Roman"/>
          <w:szCs w:val="24"/>
        </w:rPr>
        <w:t xml:space="preserve"> </w:t>
      </w:r>
      <w:r w:rsidR="00E23830" w:rsidRPr="0024375B">
        <w:rPr>
          <w:rFonts w:cs="Times New Roman"/>
          <w:szCs w:val="24"/>
        </w:rPr>
        <w:t>dodatkowych osób do takich informacji zawsze zwiększa ryzyko wycieku danych</w:t>
      </w:r>
      <w:r w:rsidR="00EA1900">
        <w:rPr>
          <w:rFonts w:cs="Times New Roman"/>
          <w:szCs w:val="24"/>
        </w:rPr>
        <w:t xml:space="preserve"> w </w:t>
      </w:r>
      <w:r w:rsidR="00E23830" w:rsidRPr="0024375B">
        <w:rPr>
          <w:rFonts w:cs="Times New Roman"/>
          <w:szCs w:val="24"/>
        </w:rPr>
        <w:t>związku</w:t>
      </w:r>
      <w:r w:rsidR="002161FE">
        <w:rPr>
          <w:rFonts w:cs="Times New Roman"/>
          <w:szCs w:val="24"/>
        </w:rPr>
        <w:t xml:space="preserve"> z </w:t>
      </w:r>
      <w:r w:rsidR="00E23830" w:rsidRPr="0024375B">
        <w:rPr>
          <w:rFonts w:cs="Times New Roman"/>
          <w:szCs w:val="24"/>
        </w:rPr>
        <w:t>czym inne środki nie są</w:t>
      </w:r>
      <w:r w:rsidR="00EA1900">
        <w:rPr>
          <w:rFonts w:cs="Times New Roman"/>
          <w:szCs w:val="24"/>
        </w:rPr>
        <w:t xml:space="preserve"> w </w:t>
      </w:r>
      <w:r w:rsidR="00E23830" w:rsidRPr="0024375B">
        <w:rPr>
          <w:rFonts w:cs="Times New Roman"/>
          <w:szCs w:val="24"/>
        </w:rPr>
        <w:t xml:space="preserve">stanie zapewnić realizację celów jakie </w:t>
      </w:r>
      <w:r w:rsidR="0048687E">
        <w:rPr>
          <w:rFonts w:cs="Times New Roman"/>
          <w:szCs w:val="24"/>
        </w:rPr>
        <w:t>służą u</w:t>
      </w:r>
      <w:r w:rsidR="00E23830" w:rsidRPr="0024375B">
        <w:rPr>
          <w:rFonts w:cs="Times New Roman"/>
          <w:szCs w:val="24"/>
        </w:rPr>
        <w:t xml:space="preserve">tworzeniu </w:t>
      </w:r>
      <w:r w:rsidR="00F86C73">
        <w:rPr>
          <w:rFonts w:cs="Times New Roman"/>
          <w:szCs w:val="24"/>
        </w:rPr>
        <w:t>s</w:t>
      </w:r>
      <w:r w:rsidR="00E23830" w:rsidRPr="0024375B">
        <w:rPr>
          <w:rFonts w:cs="Times New Roman"/>
          <w:szCs w:val="24"/>
        </w:rPr>
        <w:t xml:space="preserve">trategicznej </w:t>
      </w:r>
      <w:r w:rsidR="00F86C73">
        <w:rPr>
          <w:rFonts w:cs="Times New Roman"/>
          <w:szCs w:val="24"/>
        </w:rPr>
        <w:t>s</w:t>
      </w:r>
      <w:r w:rsidR="00E23830" w:rsidRPr="0024375B">
        <w:rPr>
          <w:rFonts w:cs="Times New Roman"/>
          <w:szCs w:val="24"/>
        </w:rPr>
        <w:t xml:space="preserve">ieci </w:t>
      </w:r>
      <w:r w:rsidR="00F86C73">
        <w:rPr>
          <w:rFonts w:cs="Times New Roman"/>
          <w:szCs w:val="24"/>
        </w:rPr>
        <w:t>b</w:t>
      </w:r>
      <w:r w:rsidR="00E23830" w:rsidRPr="0024375B">
        <w:rPr>
          <w:rFonts w:cs="Times New Roman"/>
          <w:szCs w:val="24"/>
        </w:rPr>
        <w:t>ezpieczeństwa.</w:t>
      </w:r>
    </w:p>
    <w:p w14:paraId="79615A2E" w14:textId="77777777" w:rsidR="006A4AB7" w:rsidRPr="006A4AB7" w:rsidRDefault="006A4AB7" w:rsidP="00DC1575">
      <w:pPr>
        <w:pStyle w:val="Nagwek4"/>
      </w:pPr>
      <w:r w:rsidRPr="00713E1C">
        <w:t xml:space="preserve">Nowy </w:t>
      </w:r>
      <w:r w:rsidRPr="00C87FE1">
        <w:t>a</w:t>
      </w:r>
      <w:r w:rsidR="003A6DBF" w:rsidRPr="004652A8">
        <w:t>rt. 76</w:t>
      </w:r>
      <w:r w:rsidR="00AF03E5">
        <w:t>g</w:t>
      </w:r>
      <w:r w:rsidR="00035719" w:rsidRPr="002B30A1">
        <w:t>.</w:t>
      </w:r>
      <w:r w:rsidR="00035719" w:rsidRPr="006A4AB7">
        <w:t xml:space="preserve"> </w:t>
      </w:r>
    </w:p>
    <w:p w14:paraId="26CD8861" w14:textId="5A354BAE" w:rsidR="003A6DBF" w:rsidRPr="0024375B" w:rsidRDefault="003A6DBF" w:rsidP="0024375B">
      <w:pPr>
        <w:spacing w:before="120" w:after="120"/>
        <w:ind w:firstLine="510"/>
        <w:jc w:val="both"/>
        <w:rPr>
          <w:rFonts w:cs="Times New Roman"/>
          <w:bCs/>
          <w:szCs w:val="24"/>
        </w:rPr>
      </w:pPr>
      <w:r w:rsidRPr="0024375B">
        <w:rPr>
          <w:rFonts w:cs="Times New Roman"/>
          <w:bCs/>
          <w:szCs w:val="24"/>
        </w:rPr>
        <w:t>Przepis przesądza, że przy zawieraniu umów dotyczących realizacji zadań na rzecz obronności, bezpieczeństwa państwa oraz bezpieczeństwa</w:t>
      </w:r>
      <w:r w:rsidR="002161FE">
        <w:rPr>
          <w:rFonts w:cs="Times New Roman"/>
          <w:bCs/>
          <w:szCs w:val="24"/>
        </w:rPr>
        <w:t xml:space="preserve"> i </w:t>
      </w:r>
      <w:r w:rsidRPr="0024375B">
        <w:rPr>
          <w:rFonts w:cs="Times New Roman"/>
          <w:bCs/>
          <w:szCs w:val="24"/>
        </w:rPr>
        <w:t>porządku publicznego,</w:t>
      </w:r>
      <w:r w:rsidR="00EA1900">
        <w:rPr>
          <w:rFonts w:cs="Times New Roman"/>
          <w:bCs/>
          <w:szCs w:val="24"/>
        </w:rPr>
        <w:t xml:space="preserve"> w </w:t>
      </w:r>
      <w:r w:rsidRPr="0024375B">
        <w:rPr>
          <w:rFonts w:cs="Times New Roman"/>
          <w:bCs/>
          <w:szCs w:val="24"/>
        </w:rPr>
        <w:t>zakresie telekomunikacji, nie stosuje się przepisów ustawy</w:t>
      </w:r>
      <w:r w:rsidR="002161FE">
        <w:rPr>
          <w:rFonts w:cs="Times New Roman"/>
          <w:bCs/>
          <w:szCs w:val="24"/>
        </w:rPr>
        <w:t xml:space="preserve"> z </w:t>
      </w:r>
      <w:r w:rsidRPr="0024375B">
        <w:rPr>
          <w:rFonts w:cs="Times New Roman"/>
          <w:bCs/>
          <w:szCs w:val="24"/>
        </w:rPr>
        <w:t>dnia 11 września 2019 r. – Prawo zamówień publicznych</w:t>
      </w:r>
      <w:r w:rsidR="007568F2">
        <w:rPr>
          <w:rFonts w:cs="Times New Roman"/>
          <w:bCs/>
          <w:szCs w:val="24"/>
        </w:rPr>
        <w:t xml:space="preserve"> (Dz. U. z 2022 r. poz. 1710, z późn. zm.)</w:t>
      </w:r>
      <w:r w:rsidR="00D13EEA" w:rsidRPr="0024375B">
        <w:rPr>
          <w:rFonts w:cs="Times New Roman"/>
          <w:bCs/>
          <w:szCs w:val="24"/>
        </w:rPr>
        <w:t>, gdyż umowy te</w:t>
      </w:r>
      <w:r w:rsidR="004511D8" w:rsidRPr="0024375B">
        <w:rPr>
          <w:rFonts w:cs="Times New Roman"/>
          <w:bCs/>
          <w:szCs w:val="24"/>
        </w:rPr>
        <w:t xml:space="preserve"> są ściśle związane</w:t>
      </w:r>
      <w:r w:rsidR="002161FE">
        <w:rPr>
          <w:rFonts w:cs="Times New Roman"/>
          <w:bCs/>
          <w:szCs w:val="24"/>
        </w:rPr>
        <w:t xml:space="preserve"> z </w:t>
      </w:r>
      <w:r w:rsidR="004511D8" w:rsidRPr="0024375B">
        <w:rPr>
          <w:rFonts w:cs="Times New Roman"/>
          <w:bCs/>
          <w:szCs w:val="24"/>
        </w:rPr>
        <w:t>ochroną istotnych interesów bezpieczeństwa państwa</w:t>
      </w:r>
      <w:r w:rsidR="000C0F86" w:rsidRPr="0024375B">
        <w:rPr>
          <w:rFonts w:cs="Times New Roman"/>
          <w:bCs/>
          <w:szCs w:val="24"/>
        </w:rPr>
        <w:t>.</w:t>
      </w:r>
      <w:r w:rsidRPr="0024375B">
        <w:rPr>
          <w:rFonts w:cs="Times New Roman"/>
          <w:bCs/>
          <w:szCs w:val="24"/>
        </w:rPr>
        <w:t xml:space="preserve"> </w:t>
      </w:r>
      <w:r w:rsidR="00315324">
        <w:rPr>
          <w:rFonts w:cs="Times New Roman"/>
          <w:bCs/>
          <w:szCs w:val="24"/>
        </w:rPr>
        <w:t xml:space="preserve">Aby wyłączenie doszło do skutku muszą być więc spełnione dwie przesłanki – umowy muszą dotyczyć </w:t>
      </w:r>
      <w:r w:rsidR="00315324" w:rsidRPr="00315324">
        <w:rPr>
          <w:rFonts w:cs="Times New Roman"/>
          <w:bCs/>
          <w:szCs w:val="24"/>
        </w:rPr>
        <w:t xml:space="preserve">zadań na rzecz obronności, bezpieczeństwa państwa oraz bezpieczeństwa i porządku publicznego, w zakresie telekomunikacji </w:t>
      </w:r>
      <w:r w:rsidR="00315324">
        <w:rPr>
          <w:rFonts w:cs="Times New Roman"/>
          <w:bCs/>
          <w:szCs w:val="24"/>
        </w:rPr>
        <w:t xml:space="preserve">oraz zachodzić konieczność </w:t>
      </w:r>
      <w:r w:rsidR="00315324" w:rsidRPr="00A90F65">
        <w:rPr>
          <w:rFonts w:ascii="Times" w:hAnsi="Times"/>
        </w:rPr>
        <w:t>ochron</w:t>
      </w:r>
      <w:r w:rsidR="00315324">
        <w:rPr>
          <w:rFonts w:ascii="Times" w:hAnsi="Times"/>
        </w:rPr>
        <w:t>y</w:t>
      </w:r>
      <w:r w:rsidR="00315324" w:rsidRPr="00A90F65">
        <w:rPr>
          <w:rFonts w:ascii="Times" w:hAnsi="Times"/>
        </w:rPr>
        <w:t xml:space="preserve"> istotnych interesów bezpieczeństwa państwa</w:t>
      </w:r>
      <w:r w:rsidR="00315324">
        <w:rPr>
          <w:rFonts w:ascii="Times" w:hAnsi="Times"/>
        </w:rPr>
        <w:t>.</w:t>
      </w:r>
      <w:r w:rsidR="00315324" w:rsidRPr="00A90F65">
        <w:rPr>
          <w:rFonts w:ascii="Times" w:hAnsi="Times"/>
        </w:rPr>
        <w:t xml:space="preserve"> </w:t>
      </w:r>
      <w:r w:rsidRPr="0024375B">
        <w:rPr>
          <w:rFonts w:cs="Times New Roman"/>
          <w:bCs/>
          <w:szCs w:val="24"/>
        </w:rPr>
        <w:t>Jest to rozwiązanie zgodne</w:t>
      </w:r>
      <w:r w:rsidR="002161FE">
        <w:rPr>
          <w:rFonts w:cs="Times New Roman"/>
          <w:bCs/>
          <w:szCs w:val="24"/>
        </w:rPr>
        <w:t xml:space="preserve"> z</w:t>
      </w:r>
      <w:r w:rsidR="00EA1900">
        <w:rPr>
          <w:rFonts w:cs="Times New Roman"/>
          <w:bCs/>
          <w:szCs w:val="24"/>
        </w:rPr>
        <w:t xml:space="preserve"> art. </w:t>
      </w:r>
      <w:r w:rsidRPr="0024375B">
        <w:rPr>
          <w:rFonts w:cs="Times New Roman"/>
          <w:bCs/>
          <w:szCs w:val="24"/>
        </w:rPr>
        <w:t>13 lit.</w:t>
      </w:r>
      <w:r w:rsidR="002161FE">
        <w:rPr>
          <w:rFonts w:cs="Times New Roman"/>
          <w:bCs/>
          <w:szCs w:val="24"/>
        </w:rPr>
        <w:t xml:space="preserve"> a </w:t>
      </w:r>
      <w:r w:rsidRPr="0024375B">
        <w:rPr>
          <w:rFonts w:cs="Times New Roman"/>
          <w:bCs/>
          <w:szCs w:val="24"/>
        </w:rPr>
        <w:t>dyrektywy 2009/81/WE, zgodnie</w:t>
      </w:r>
      <w:r w:rsidR="002161FE">
        <w:rPr>
          <w:rFonts w:cs="Times New Roman"/>
          <w:bCs/>
          <w:szCs w:val="24"/>
        </w:rPr>
        <w:t xml:space="preserve"> z </w:t>
      </w:r>
      <w:r w:rsidRPr="0024375B">
        <w:rPr>
          <w:rFonts w:cs="Times New Roman"/>
          <w:bCs/>
          <w:szCs w:val="24"/>
        </w:rPr>
        <w:t>którym nie stosuje się postanowień tejże dyrektywy do zamówień,</w:t>
      </w:r>
      <w:r w:rsidR="00EA1900">
        <w:rPr>
          <w:rFonts w:cs="Times New Roman"/>
          <w:bCs/>
          <w:szCs w:val="24"/>
        </w:rPr>
        <w:t xml:space="preserve"> w </w:t>
      </w:r>
      <w:r w:rsidRPr="0024375B">
        <w:rPr>
          <w:rFonts w:cs="Times New Roman"/>
          <w:bCs/>
          <w:szCs w:val="24"/>
        </w:rPr>
        <w:t>przypadku których stosowanie dyrektywy zobowiązałoby państwo członkowskie do dostarczenia informacji, których ujawnienie uznaje się za sprzeczne</w:t>
      </w:r>
      <w:r w:rsidR="002161FE">
        <w:rPr>
          <w:rFonts w:cs="Times New Roman"/>
          <w:bCs/>
          <w:szCs w:val="24"/>
        </w:rPr>
        <w:t xml:space="preserve"> z </w:t>
      </w:r>
      <w:r w:rsidRPr="0024375B">
        <w:rPr>
          <w:rFonts w:cs="Times New Roman"/>
          <w:bCs/>
          <w:szCs w:val="24"/>
        </w:rPr>
        <w:t>jego podstawowymi interesami</w:t>
      </w:r>
      <w:r w:rsidR="00EA1900">
        <w:rPr>
          <w:rFonts w:cs="Times New Roman"/>
          <w:bCs/>
          <w:szCs w:val="24"/>
        </w:rPr>
        <w:t xml:space="preserve"> w </w:t>
      </w:r>
      <w:r w:rsidRPr="0024375B">
        <w:rPr>
          <w:rFonts w:cs="Times New Roman"/>
          <w:bCs/>
          <w:szCs w:val="24"/>
        </w:rPr>
        <w:t>zakresie bezpieczeństwa.</w:t>
      </w:r>
    </w:p>
    <w:p w14:paraId="35F5B9D8" w14:textId="49A53484" w:rsidR="00D317C3" w:rsidRPr="0024375B" w:rsidRDefault="00D317C3" w:rsidP="0024375B">
      <w:pPr>
        <w:spacing w:before="120" w:after="120"/>
        <w:ind w:firstLine="510"/>
        <w:jc w:val="both"/>
        <w:rPr>
          <w:rFonts w:cs="Times New Roman"/>
          <w:bCs/>
          <w:szCs w:val="24"/>
        </w:rPr>
      </w:pPr>
      <w:r w:rsidRPr="0024375B">
        <w:rPr>
          <w:rFonts w:cs="Times New Roman"/>
          <w:bCs/>
          <w:szCs w:val="24"/>
        </w:rPr>
        <w:lastRenderedPageBreak/>
        <w:t>Wprowadzone</w:t>
      </w:r>
      <w:r w:rsidR="00DB44AE" w:rsidRPr="0024375B">
        <w:rPr>
          <w:rFonts w:cs="Times New Roman"/>
          <w:bCs/>
          <w:szCs w:val="24"/>
        </w:rPr>
        <w:t xml:space="preserve"> </w:t>
      </w:r>
      <w:r w:rsidRPr="0024375B">
        <w:rPr>
          <w:rFonts w:cs="Times New Roman"/>
          <w:bCs/>
          <w:szCs w:val="24"/>
        </w:rPr>
        <w:t>wyłączenie jest niezbędne dla realizacji celu jaki stawia sobie niniejsza ustawa. Aby strategiczna sieć bezpieczeństwa</w:t>
      </w:r>
      <w:r w:rsidR="00A93D9C" w:rsidRPr="0024375B">
        <w:rPr>
          <w:rFonts w:cs="Times New Roman"/>
          <w:bCs/>
          <w:szCs w:val="24"/>
        </w:rPr>
        <w:t xml:space="preserve"> realnie przyczyniła się do wzrostu poziomu bezpieczeństwa komunikacji kluczowych podmiotów niezbędne jest zapewnienie</w:t>
      </w:r>
      <w:r w:rsidR="000C0F86" w:rsidRPr="0024375B">
        <w:rPr>
          <w:rFonts w:cs="Times New Roman"/>
          <w:bCs/>
          <w:szCs w:val="24"/>
        </w:rPr>
        <w:t>,</w:t>
      </w:r>
      <w:r w:rsidR="00A93D9C" w:rsidRPr="0024375B">
        <w:rPr>
          <w:rFonts w:cs="Times New Roman"/>
          <w:bCs/>
          <w:szCs w:val="24"/>
        </w:rPr>
        <w:t xml:space="preserve"> aby wszystkie relewantne podmioty korzystały</w:t>
      </w:r>
      <w:r w:rsidR="002161FE">
        <w:rPr>
          <w:rFonts w:cs="Times New Roman"/>
          <w:bCs/>
          <w:szCs w:val="24"/>
        </w:rPr>
        <w:t xml:space="preserve"> z </w:t>
      </w:r>
      <w:r w:rsidR="00A93D9C" w:rsidRPr="0024375B">
        <w:rPr>
          <w:rFonts w:cs="Times New Roman"/>
          <w:bCs/>
          <w:szCs w:val="24"/>
        </w:rPr>
        <w:t>tej sieci. Jeśli chociaż część</w:t>
      </w:r>
      <w:r w:rsidR="002161FE">
        <w:rPr>
          <w:rFonts w:cs="Times New Roman"/>
          <w:bCs/>
          <w:szCs w:val="24"/>
        </w:rPr>
        <w:t xml:space="preserve"> z </w:t>
      </w:r>
      <w:r w:rsidR="00A93D9C" w:rsidRPr="0024375B">
        <w:rPr>
          <w:rFonts w:cs="Times New Roman"/>
          <w:bCs/>
          <w:szCs w:val="24"/>
        </w:rPr>
        <w:t>nich nie będzie</w:t>
      </w:r>
      <w:r w:rsidR="002161FE">
        <w:rPr>
          <w:rFonts w:cs="Times New Roman"/>
          <w:bCs/>
          <w:szCs w:val="24"/>
        </w:rPr>
        <w:t xml:space="preserve"> z </w:t>
      </w:r>
      <w:r w:rsidR="00A93D9C" w:rsidRPr="0024375B">
        <w:rPr>
          <w:rFonts w:cs="Times New Roman"/>
          <w:bCs/>
          <w:szCs w:val="24"/>
        </w:rPr>
        <w:t>niej korzystała to przesyłanie do nich informacji wrażliwych będzie</w:t>
      </w:r>
      <w:r w:rsidR="00DB44AE" w:rsidRPr="0024375B">
        <w:rPr>
          <w:rFonts w:cs="Times New Roman"/>
          <w:bCs/>
          <w:szCs w:val="24"/>
        </w:rPr>
        <w:t xml:space="preserve"> </w:t>
      </w:r>
      <w:r w:rsidR="00A93D9C" w:rsidRPr="0024375B">
        <w:rPr>
          <w:rFonts w:cs="Times New Roman"/>
          <w:bCs/>
          <w:szCs w:val="24"/>
        </w:rPr>
        <w:t>obarczone dodatkowym ryzykiem. Mamy tu do czynienia ze specyficznym efektem sieciowym</w:t>
      </w:r>
      <w:r w:rsidR="007568F2">
        <w:rPr>
          <w:rFonts w:cs="Times New Roman"/>
          <w:bCs/>
          <w:szCs w:val="24"/>
        </w:rPr>
        <w:t>,</w:t>
      </w:r>
      <w:r w:rsidR="00EA1900">
        <w:rPr>
          <w:rFonts w:cs="Times New Roman"/>
          <w:bCs/>
          <w:szCs w:val="24"/>
        </w:rPr>
        <w:t xml:space="preserve"> w </w:t>
      </w:r>
      <w:r w:rsidR="00A93D9C" w:rsidRPr="0024375B">
        <w:rPr>
          <w:rFonts w:cs="Times New Roman"/>
          <w:bCs/>
          <w:szCs w:val="24"/>
        </w:rPr>
        <w:t>którym korzyści</w:t>
      </w:r>
      <w:r w:rsidR="002161FE">
        <w:rPr>
          <w:rFonts w:cs="Times New Roman"/>
          <w:bCs/>
          <w:szCs w:val="24"/>
        </w:rPr>
        <w:t xml:space="preserve"> z </w:t>
      </w:r>
      <w:r w:rsidR="00A93D9C" w:rsidRPr="0024375B">
        <w:rPr>
          <w:rFonts w:cs="Times New Roman"/>
          <w:bCs/>
          <w:szCs w:val="24"/>
        </w:rPr>
        <w:t>danego rozwiązania są tym większe im większa jest skala danego przedsięwzięcia.</w:t>
      </w:r>
      <w:r w:rsidR="00116933">
        <w:rPr>
          <w:rFonts w:cs="Times New Roman"/>
          <w:bCs/>
          <w:szCs w:val="24"/>
        </w:rPr>
        <w:t xml:space="preserve"> W </w:t>
      </w:r>
      <w:r w:rsidR="00A93D9C" w:rsidRPr="0024375B">
        <w:rPr>
          <w:rFonts w:cs="Times New Roman"/>
          <w:bCs/>
          <w:szCs w:val="24"/>
        </w:rPr>
        <w:t>związku</w:t>
      </w:r>
      <w:r w:rsidR="002161FE">
        <w:rPr>
          <w:rFonts w:cs="Times New Roman"/>
          <w:bCs/>
          <w:szCs w:val="24"/>
        </w:rPr>
        <w:t xml:space="preserve"> z </w:t>
      </w:r>
      <w:r w:rsidR="00A93D9C" w:rsidRPr="0024375B">
        <w:rPr>
          <w:rFonts w:cs="Times New Roman"/>
          <w:bCs/>
          <w:szCs w:val="24"/>
        </w:rPr>
        <w:t xml:space="preserve">powyższym wszystkie podmioty, na rzecz których obowiązki powinien świadczyć, muszą mieć możliwość uzyskania jego usług tak szybko jak to możliwe. Z tego względu konieczne jest </w:t>
      </w:r>
      <w:r w:rsidR="005F12DC" w:rsidRPr="0024375B">
        <w:rPr>
          <w:rFonts w:cs="Times New Roman"/>
          <w:bCs/>
          <w:szCs w:val="24"/>
        </w:rPr>
        <w:t>umożliwienie im jak najszybszego zawarcia umowy</w:t>
      </w:r>
      <w:r w:rsidR="002161FE">
        <w:rPr>
          <w:rFonts w:cs="Times New Roman"/>
          <w:bCs/>
          <w:szCs w:val="24"/>
        </w:rPr>
        <w:t xml:space="preserve"> z </w:t>
      </w:r>
      <w:r w:rsidR="005F12DC" w:rsidRPr="0024375B">
        <w:rPr>
          <w:rFonts w:cs="Times New Roman"/>
          <w:bCs/>
          <w:szCs w:val="24"/>
        </w:rPr>
        <w:t>OSSB.</w:t>
      </w:r>
    </w:p>
    <w:p w14:paraId="2EE76DAF" w14:textId="7268B141" w:rsidR="00B535C4" w:rsidRPr="00B535C4" w:rsidRDefault="005F12DC" w:rsidP="00B535C4">
      <w:pPr>
        <w:spacing w:before="120" w:after="120"/>
        <w:ind w:firstLine="510"/>
        <w:jc w:val="both"/>
        <w:rPr>
          <w:rFonts w:cs="Times New Roman"/>
        </w:rPr>
      </w:pPr>
      <w:r w:rsidRPr="2CD82DBF">
        <w:rPr>
          <w:rFonts w:cs="Times New Roman"/>
        </w:rPr>
        <w:t>Ponadto</w:t>
      </w:r>
      <w:r w:rsidR="00376204">
        <w:rPr>
          <w:rFonts w:cs="Times New Roman"/>
        </w:rPr>
        <w:t xml:space="preserve"> </w:t>
      </w:r>
      <w:r w:rsidRPr="2CD82DBF">
        <w:rPr>
          <w:rFonts w:cs="Times New Roman"/>
        </w:rPr>
        <w:t>wyłączenie</w:t>
      </w:r>
      <w:r w:rsidR="00376204">
        <w:rPr>
          <w:rFonts w:cs="Times New Roman"/>
        </w:rPr>
        <w:t>,</w:t>
      </w:r>
      <w:r w:rsidR="0077165A" w:rsidRPr="2CD82DBF">
        <w:rPr>
          <w:rFonts w:cs="Times New Roman"/>
        </w:rPr>
        <w:t xml:space="preserve"> o </w:t>
      </w:r>
      <w:r w:rsidRPr="2CD82DBF">
        <w:rPr>
          <w:rFonts w:cs="Times New Roman"/>
        </w:rPr>
        <w:t>którym mowa</w:t>
      </w:r>
      <w:r w:rsidR="002161FE">
        <w:rPr>
          <w:rFonts w:cs="Times New Roman"/>
        </w:rPr>
        <w:t xml:space="preserve"> w</w:t>
      </w:r>
      <w:r w:rsidR="00EA1900">
        <w:rPr>
          <w:rFonts w:cs="Times New Roman"/>
        </w:rPr>
        <w:t xml:space="preserve"> art. </w:t>
      </w:r>
      <w:r w:rsidRPr="2CD82DBF">
        <w:rPr>
          <w:rFonts w:cs="Times New Roman"/>
        </w:rPr>
        <w:t>76</w:t>
      </w:r>
      <w:r w:rsidR="00AF03E5">
        <w:rPr>
          <w:rFonts w:cs="Times New Roman"/>
        </w:rPr>
        <w:t>g</w:t>
      </w:r>
      <w:r w:rsidRPr="2CD82DBF">
        <w:rPr>
          <w:rFonts w:cs="Times New Roman"/>
        </w:rPr>
        <w:t xml:space="preserve"> </w:t>
      </w:r>
      <w:r w:rsidR="00D00CB4" w:rsidRPr="2CD82DBF">
        <w:rPr>
          <w:rFonts w:cs="Times New Roman"/>
        </w:rPr>
        <w:t>ust. </w:t>
      </w:r>
      <w:r w:rsidR="003C335B">
        <w:rPr>
          <w:rFonts w:cs="Times New Roman"/>
        </w:rPr>
        <w:t>1</w:t>
      </w:r>
      <w:r w:rsidR="00376204">
        <w:rPr>
          <w:rFonts w:cs="Times New Roman"/>
        </w:rPr>
        <w:t>,</w:t>
      </w:r>
      <w:r w:rsidRPr="2CD82DBF">
        <w:rPr>
          <w:rFonts w:cs="Times New Roman"/>
        </w:rPr>
        <w:t xml:space="preserve"> mieści się</w:t>
      </w:r>
      <w:r w:rsidR="00EA1900">
        <w:rPr>
          <w:rFonts w:cs="Times New Roman"/>
        </w:rPr>
        <w:t xml:space="preserve"> w </w:t>
      </w:r>
      <w:r w:rsidRPr="2CD82DBF">
        <w:rPr>
          <w:rFonts w:cs="Times New Roman"/>
        </w:rPr>
        <w:t>zakresie</w:t>
      </w:r>
      <w:r w:rsidR="00EA1900">
        <w:rPr>
          <w:rFonts w:cs="Times New Roman"/>
        </w:rPr>
        <w:t xml:space="preserve"> art. </w:t>
      </w:r>
      <w:r w:rsidRPr="2CD82DBF">
        <w:rPr>
          <w:rFonts w:cs="Times New Roman"/>
        </w:rPr>
        <w:t xml:space="preserve">12 </w:t>
      </w:r>
      <w:r w:rsidR="00D00CB4" w:rsidRPr="2CD82DBF">
        <w:rPr>
          <w:rFonts w:cs="Times New Roman"/>
        </w:rPr>
        <w:t>ust. </w:t>
      </w:r>
      <w:r w:rsidRPr="2CD82DBF">
        <w:rPr>
          <w:rFonts w:cs="Times New Roman"/>
        </w:rPr>
        <w:t xml:space="preserve">1 lit. b ustawy </w:t>
      </w:r>
      <w:r w:rsidR="00376204">
        <w:rPr>
          <w:rFonts w:cs="Times New Roman"/>
          <w:bCs/>
          <w:szCs w:val="24"/>
        </w:rPr>
        <w:t>z </w:t>
      </w:r>
      <w:r w:rsidR="00376204" w:rsidRPr="0024375B">
        <w:rPr>
          <w:rFonts w:cs="Times New Roman"/>
          <w:bCs/>
          <w:szCs w:val="24"/>
        </w:rPr>
        <w:t xml:space="preserve">dnia 11 września 2019 r. </w:t>
      </w:r>
      <w:r w:rsidR="00376204">
        <w:rPr>
          <w:rFonts w:cs="Times New Roman"/>
          <w:bCs/>
          <w:szCs w:val="24"/>
        </w:rPr>
        <w:t xml:space="preserve">- </w:t>
      </w:r>
      <w:r w:rsidRPr="2CD82DBF">
        <w:rPr>
          <w:rFonts w:cs="Times New Roman"/>
        </w:rPr>
        <w:t xml:space="preserve">Prawo </w:t>
      </w:r>
      <w:r w:rsidR="00376204">
        <w:rPr>
          <w:rFonts w:cs="Times New Roman"/>
        </w:rPr>
        <w:t>z</w:t>
      </w:r>
      <w:r w:rsidRPr="2CD82DBF">
        <w:rPr>
          <w:rFonts w:cs="Times New Roman"/>
        </w:rPr>
        <w:t xml:space="preserve">amówień </w:t>
      </w:r>
      <w:r w:rsidR="00376204">
        <w:rPr>
          <w:rFonts w:cs="Times New Roman"/>
        </w:rPr>
        <w:t>p</w:t>
      </w:r>
      <w:r w:rsidRPr="2CD82DBF">
        <w:rPr>
          <w:rFonts w:cs="Times New Roman"/>
        </w:rPr>
        <w:t xml:space="preserve">ublicznych. </w:t>
      </w:r>
      <w:r w:rsidR="00B535C4" w:rsidRPr="00B535C4">
        <w:rPr>
          <w:rFonts w:cs="Times New Roman"/>
        </w:rPr>
        <w:t xml:space="preserve">Operatorem strategicznej sieci bezpieczeństwa będzie jednoosobowa spółka Skarbu Państwa, a więc istnieje zależność między </w:t>
      </w:r>
      <w:r w:rsidR="00376204">
        <w:rPr>
          <w:rFonts w:cs="Times New Roman"/>
        </w:rPr>
        <w:t>p</w:t>
      </w:r>
      <w:r w:rsidR="00B535C4" w:rsidRPr="00B535C4">
        <w:rPr>
          <w:rFonts w:cs="Times New Roman"/>
        </w:rPr>
        <w:t xml:space="preserve">aństwem a OSSB. Państwo poprzez nadzór właścicielski (wykonywanie swoich uprawnień) będzie miało wpływ na działalność OSSB. Dzięki temu spełnione zostaną wymagania wskazane w art. 12 ust. 1 lit. a oraz c dyrektywy 2014/24/UE.  </w:t>
      </w:r>
    </w:p>
    <w:p w14:paraId="7F67A0B9" w14:textId="3564F649" w:rsidR="00B535C4" w:rsidRDefault="00B535C4" w:rsidP="00B535C4">
      <w:pPr>
        <w:spacing w:before="120" w:after="120"/>
        <w:ind w:firstLine="510"/>
        <w:jc w:val="both"/>
        <w:rPr>
          <w:rFonts w:cs="Times New Roman"/>
        </w:rPr>
      </w:pPr>
      <w:r w:rsidRPr="00B535C4">
        <w:rPr>
          <w:rFonts w:cs="Times New Roman"/>
        </w:rPr>
        <w:t xml:space="preserve">Wskazać przy tym </w:t>
      </w:r>
      <w:r w:rsidR="009C1025" w:rsidRPr="00B535C4">
        <w:rPr>
          <w:rFonts w:cs="Times New Roman"/>
        </w:rPr>
        <w:t xml:space="preserve">należy, </w:t>
      </w:r>
      <w:r w:rsidRPr="00B535C4">
        <w:rPr>
          <w:rFonts w:cs="Times New Roman"/>
        </w:rPr>
        <w:t xml:space="preserve">że OSSB będzie świadczył usługi w ramach strategicznej sieci bezpieczeństwa dla </w:t>
      </w:r>
      <w:r w:rsidRPr="00FC6B8C">
        <w:rPr>
          <w:rFonts w:cs="Times New Roman"/>
          <w:i/>
        </w:rPr>
        <w:t>stationes fisci</w:t>
      </w:r>
      <w:r w:rsidRPr="00B535C4">
        <w:rPr>
          <w:rFonts w:cs="Times New Roman"/>
        </w:rPr>
        <w:t xml:space="preserve"> Skarbu Państwa. Dlatego projektodawca uważa wymaganie wskazane w art. 12 ust. 1 lit. b dyrektywy 2014/24/UE za spełnione.</w:t>
      </w:r>
    </w:p>
    <w:p w14:paraId="458DC45B" w14:textId="78AA497F" w:rsidR="005F12DC" w:rsidRPr="0024375B" w:rsidRDefault="005F12DC" w:rsidP="0024375B">
      <w:pPr>
        <w:spacing w:before="120" w:after="120"/>
        <w:ind w:firstLine="510"/>
        <w:jc w:val="both"/>
        <w:rPr>
          <w:rFonts w:cs="Times New Roman"/>
        </w:rPr>
      </w:pPr>
      <w:r w:rsidRPr="2CD82DBF">
        <w:rPr>
          <w:rFonts w:cs="Times New Roman"/>
        </w:rPr>
        <w:t>Równocześnie jednak należy zwrócić</w:t>
      </w:r>
      <w:r w:rsidR="00376204">
        <w:rPr>
          <w:rFonts w:cs="Times New Roman"/>
        </w:rPr>
        <w:t xml:space="preserve"> uwagę</w:t>
      </w:r>
      <w:r w:rsidRPr="2CD82DBF">
        <w:rPr>
          <w:rFonts w:cs="Times New Roman"/>
        </w:rPr>
        <w:t>, że</w:t>
      </w:r>
      <w:r w:rsidR="00EA1900">
        <w:rPr>
          <w:rFonts w:cs="Times New Roman"/>
        </w:rPr>
        <w:t xml:space="preserve"> w </w:t>
      </w:r>
      <w:r w:rsidRPr="2CD82DBF">
        <w:rPr>
          <w:rFonts w:cs="Times New Roman"/>
        </w:rPr>
        <w:t>praktyce zastosowani</w:t>
      </w:r>
      <w:r w:rsidR="000C0F86" w:rsidRPr="2CD82DBF">
        <w:rPr>
          <w:rFonts w:cs="Times New Roman"/>
        </w:rPr>
        <w:t>e</w:t>
      </w:r>
      <w:r w:rsidR="00EA1900">
        <w:rPr>
          <w:rFonts w:cs="Times New Roman"/>
        </w:rPr>
        <w:t xml:space="preserve"> art. </w:t>
      </w:r>
      <w:r w:rsidRPr="2CD82DBF">
        <w:rPr>
          <w:rFonts w:cs="Times New Roman"/>
        </w:rPr>
        <w:t>12 PZP wiązałoby się</w:t>
      </w:r>
      <w:r w:rsidR="002161FE">
        <w:rPr>
          <w:rFonts w:cs="Times New Roman"/>
        </w:rPr>
        <w:t xml:space="preserve"> z </w:t>
      </w:r>
      <w:r w:rsidRPr="2CD82DBF">
        <w:rPr>
          <w:rFonts w:cs="Times New Roman"/>
        </w:rPr>
        <w:t>licznymi problemami praktycznymi, gdyż każdorazowo zamawiający musiałby dokonywać ocenę czy można zastosować to wyłączenie. Mogłoby to rodzić wątpliwości prawne oraz przedłużać proces zawierania umów</w:t>
      </w:r>
      <w:r w:rsidR="002161FE">
        <w:rPr>
          <w:rFonts w:cs="Times New Roman"/>
        </w:rPr>
        <w:t xml:space="preserve"> z </w:t>
      </w:r>
      <w:r w:rsidRPr="2CD82DBF">
        <w:rPr>
          <w:rFonts w:cs="Times New Roman"/>
        </w:rPr>
        <w:t>OSSB. Aby uniknąć wskazanych problemów</w:t>
      </w:r>
      <w:r w:rsidR="002161FE">
        <w:rPr>
          <w:rFonts w:cs="Times New Roman"/>
        </w:rPr>
        <w:t xml:space="preserve"> i </w:t>
      </w:r>
      <w:r w:rsidRPr="2CD82DBF">
        <w:rPr>
          <w:rFonts w:cs="Times New Roman"/>
        </w:rPr>
        <w:t>potencjalnych opóźnień zdecydowa</w:t>
      </w:r>
      <w:r w:rsidR="004D1B48" w:rsidRPr="2CD82DBF">
        <w:rPr>
          <w:rFonts w:cs="Times New Roman"/>
        </w:rPr>
        <w:t xml:space="preserve">no </w:t>
      </w:r>
      <w:r w:rsidRPr="2CD82DBF">
        <w:rPr>
          <w:rFonts w:cs="Times New Roman"/>
        </w:rPr>
        <w:t>się wprowadzić</w:t>
      </w:r>
      <w:r w:rsidR="00EA1900">
        <w:rPr>
          <w:rFonts w:cs="Times New Roman"/>
        </w:rPr>
        <w:t xml:space="preserve"> art. </w:t>
      </w:r>
      <w:r w:rsidRPr="2CD82DBF">
        <w:rPr>
          <w:rFonts w:cs="Times New Roman"/>
        </w:rPr>
        <w:t>76</w:t>
      </w:r>
      <w:r w:rsidR="00AF03E5">
        <w:rPr>
          <w:rFonts w:cs="Times New Roman"/>
        </w:rPr>
        <w:t>g</w:t>
      </w:r>
      <w:r w:rsidRPr="2CD82DBF">
        <w:rPr>
          <w:rFonts w:cs="Times New Roman"/>
        </w:rPr>
        <w:t xml:space="preserve"> </w:t>
      </w:r>
      <w:r w:rsidR="00D00CB4" w:rsidRPr="2CD82DBF">
        <w:rPr>
          <w:rFonts w:cs="Times New Roman"/>
        </w:rPr>
        <w:t>ust. </w:t>
      </w:r>
      <w:r w:rsidR="003C335B">
        <w:rPr>
          <w:rFonts w:cs="Times New Roman"/>
        </w:rPr>
        <w:t>1</w:t>
      </w:r>
      <w:r w:rsidRPr="2CD82DBF">
        <w:rPr>
          <w:rFonts w:cs="Times New Roman"/>
        </w:rPr>
        <w:t>. Pozwoli to zapewnić sprawny proces zawierania umów</w:t>
      </w:r>
      <w:r w:rsidR="002161FE">
        <w:rPr>
          <w:rFonts w:cs="Times New Roman"/>
        </w:rPr>
        <w:t xml:space="preserve"> z </w:t>
      </w:r>
      <w:r w:rsidRPr="2CD82DBF">
        <w:rPr>
          <w:rFonts w:cs="Times New Roman"/>
        </w:rPr>
        <w:t>OSSB nie naruszając przy tym przepisów prawa europejskiego.</w:t>
      </w:r>
    </w:p>
    <w:p w14:paraId="6AB2A74E" w14:textId="7D49291B" w:rsidR="00345371" w:rsidRDefault="00345371" w:rsidP="001C5AF2">
      <w:pPr>
        <w:spacing w:after="120"/>
        <w:ind w:firstLine="510"/>
        <w:jc w:val="both"/>
        <w:rPr>
          <w:rFonts w:cs="Times New Roman"/>
        </w:rPr>
      </w:pPr>
      <w:r w:rsidRPr="2CD82DBF">
        <w:rPr>
          <w:rFonts w:cs="Times New Roman"/>
        </w:rPr>
        <w:t xml:space="preserve">Należy też zauważyć, że stosowanie </w:t>
      </w:r>
      <w:r w:rsidR="00376204">
        <w:rPr>
          <w:rFonts w:cs="Times New Roman"/>
        </w:rPr>
        <w:t xml:space="preserve">ustawy </w:t>
      </w:r>
      <w:r w:rsidR="00376204">
        <w:rPr>
          <w:rFonts w:cs="Times New Roman"/>
          <w:bCs/>
          <w:szCs w:val="24"/>
        </w:rPr>
        <w:t>z </w:t>
      </w:r>
      <w:r w:rsidR="00376204" w:rsidRPr="0024375B">
        <w:rPr>
          <w:rFonts w:cs="Times New Roman"/>
          <w:bCs/>
          <w:szCs w:val="24"/>
        </w:rPr>
        <w:t xml:space="preserve">dnia 11 września 2019 r. </w:t>
      </w:r>
      <w:r w:rsidR="00376204">
        <w:rPr>
          <w:rFonts w:cs="Times New Roman"/>
          <w:bCs/>
          <w:szCs w:val="24"/>
        </w:rPr>
        <w:t xml:space="preserve"> -</w:t>
      </w:r>
      <w:r w:rsidR="0048687E">
        <w:rPr>
          <w:rFonts w:cs="Times New Roman"/>
        </w:rPr>
        <w:t>P</w:t>
      </w:r>
      <w:r w:rsidRPr="2CD82DBF">
        <w:rPr>
          <w:rFonts w:cs="Times New Roman"/>
        </w:rPr>
        <w:t>raw</w:t>
      </w:r>
      <w:r w:rsidR="00376204">
        <w:rPr>
          <w:rFonts w:cs="Times New Roman"/>
        </w:rPr>
        <w:t>o</w:t>
      </w:r>
      <w:r w:rsidRPr="2CD82DBF">
        <w:rPr>
          <w:rFonts w:cs="Times New Roman"/>
        </w:rPr>
        <w:t xml:space="preserve"> zamówień publicznych do kluczowych usług telekomunikacyjnych mogłoby prowadzić do ujawnienia przez państwo polskie kluczowych informacji związanych</w:t>
      </w:r>
      <w:r w:rsidR="002161FE">
        <w:rPr>
          <w:rFonts w:cs="Times New Roman"/>
        </w:rPr>
        <w:t xml:space="preserve"> z </w:t>
      </w:r>
      <w:r w:rsidRPr="2CD82DBF">
        <w:rPr>
          <w:rFonts w:cs="Times New Roman"/>
        </w:rPr>
        <w:t>podstawowy</w:t>
      </w:r>
      <w:r w:rsidR="00E606BD">
        <w:rPr>
          <w:rFonts w:cs="Times New Roman"/>
        </w:rPr>
        <w:t>m</w:t>
      </w:r>
      <w:r w:rsidRPr="2CD82DBF">
        <w:rPr>
          <w:rFonts w:cs="Times New Roman"/>
        </w:rPr>
        <w:t xml:space="preserve"> interes</w:t>
      </w:r>
      <w:r w:rsidR="00E606BD">
        <w:rPr>
          <w:rFonts w:cs="Times New Roman"/>
        </w:rPr>
        <w:t>em</w:t>
      </w:r>
      <w:r w:rsidRPr="2CD82DBF">
        <w:rPr>
          <w:rFonts w:cs="Times New Roman"/>
        </w:rPr>
        <w:t xml:space="preserve"> bezpieczeństwa </w:t>
      </w:r>
      <w:r w:rsidR="0048687E" w:rsidRPr="2CD82DBF">
        <w:rPr>
          <w:rFonts w:cs="Times New Roman"/>
        </w:rPr>
        <w:t>pańs</w:t>
      </w:r>
      <w:r w:rsidR="0048687E">
        <w:rPr>
          <w:rFonts w:cs="Times New Roman"/>
        </w:rPr>
        <w:t>twa</w:t>
      </w:r>
      <w:r w:rsidR="0048687E" w:rsidRPr="2CD82DBF">
        <w:rPr>
          <w:rFonts w:cs="Times New Roman"/>
        </w:rPr>
        <w:t>, o których</w:t>
      </w:r>
      <w:r w:rsidRPr="2CD82DBF">
        <w:rPr>
          <w:rFonts w:cs="Times New Roman"/>
        </w:rPr>
        <w:t xml:space="preserve"> mówi</w:t>
      </w:r>
      <w:r w:rsidR="00EA1900">
        <w:rPr>
          <w:rFonts w:cs="Times New Roman"/>
        </w:rPr>
        <w:t xml:space="preserve"> art. </w:t>
      </w:r>
      <w:r w:rsidRPr="2CD82DBF">
        <w:rPr>
          <w:rFonts w:cs="Times New Roman"/>
        </w:rPr>
        <w:t>346 Traktatu</w:t>
      </w:r>
      <w:r w:rsidR="0077165A" w:rsidRPr="2CD82DBF">
        <w:rPr>
          <w:rFonts w:cs="Times New Roman"/>
        </w:rPr>
        <w:t xml:space="preserve"> o </w:t>
      </w:r>
      <w:r w:rsidRPr="2CD82DBF">
        <w:rPr>
          <w:rFonts w:cs="Times New Roman"/>
        </w:rPr>
        <w:t>funkcjonowaniu Unii Europejskiej. Kluczowe kwestie związane</w:t>
      </w:r>
      <w:r w:rsidR="002161FE">
        <w:rPr>
          <w:rFonts w:cs="Times New Roman"/>
        </w:rPr>
        <w:t xml:space="preserve"> z </w:t>
      </w:r>
      <w:r w:rsidRPr="2CD82DBF">
        <w:rPr>
          <w:rFonts w:cs="Times New Roman"/>
        </w:rPr>
        <w:t>technicznymi zabezpieczeniami komunikacji między najistotniejszymi organami państwa muszą pozostać tajemnicą tak aby nie ułatwiać</w:t>
      </w:r>
      <w:r w:rsidR="00EA1900">
        <w:rPr>
          <w:rFonts w:cs="Times New Roman"/>
        </w:rPr>
        <w:t xml:space="preserve"> w </w:t>
      </w:r>
      <w:r w:rsidRPr="2CD82DBF">
        <w:rPr>
          <w:rFonts w:cs="Times New Roman"/>
        </w:rPr>
        <w:t>żaden sposób działań państw nieprzyjaznych, które mogłyby próbować przejąć taką komunikację. Każda informacja</w:t>
      </w:r>
      <w:r w:rsidR="0077165A" w:rsidRPr="2CD82DBF">
        <w:rPr>
          <w:rFonts w:cs="Times New Roman"/>
        </w:rPr>
        <w:t xml:space="preserve"> o </w:t>
      </w:r>
      <w:r w:rsidRPr="2CD82DBF">
        <w:rPr>
          <w:rFonts w:cs="Times New Roman"/>
        </w:rPr>
        <w:t>stosowanych metodach zabezpieczania komunikacji mogłaby przyczynić się do wzrostu ryzyka tej komunikacji. Wraz</w:t>
      </w:r>
      <w:r w:rsidR="002161FE">
        <w:rPr>
          <w:rFonts w:cs="Times New Roman"/>
        </w:rPr>
        <w:t xml:space="preserve"> z </w:t>
      </w:r>
      <w:r w:rsidRPr="2CD82DBF">
        <w:rPr>
          <w:rFonts w:cs="Times New Roman"/>
        </w:rPr>
        <w:t>agresją Rosji na Ukrainę znacząco wzrosło zagrożenie działaniami</w:t>
      </w:r>
      <w:r w:rsidR="00EA1900">
        <w:rPr>
          <w:rFonts w:cs="Times New Roman"/>
        </w:rPr>
        <w:t xml:space="preserve"> w </w:t>
      </w:r>
      <w:r w:rsidRPr="2CD82DBF">
        <w:rPr>
          <w:rFonts w:cs="Times New Roman"/>
        </w:rPr>
        <w:t>tym zakresie. Nie możemy ignorować tego faktu przy przygotowywaniu przepisów mających służyć bezpośrednio interesom bezpieczeństwa państwa.</w:t>
      </w:r>
    </w:p>
    <w:p w14:paraId="62C949C7" w14:textId="77777777" w:rsidR="003C335B" w:rsidRPr="006A4AB7" w:rsidRDefault="003C335B" w:rsidP="001C5AF2">
      <w:pPr>
        <w:spacing w:after="120"/>
        <w:ind w:firstLine="510"/>
        <w:jc w:val="both"/>
        <w:rPr>
          <w:rFonts w:cs="Times New Roman"/>
        </w:rPr>
      </w:pPr>
      <w:r>
        <w:rPr>
          <w:rFonts w:cs="Times New Roman"/>
        </w:rPr>
        <w:t>Zgodnie</w:t>
      </w:r>
      <w:r w:rsidR="002161FE">
        <w:rPr>
          <w:rFonts w:cs="Times New Roman"/>
        </w:rPr>
        <w:t xml:space="preserve"> z </w:t>
      </w:r>
      <w:r>
        <w:rPr>
          <w:rFonts w:cs="Times New Roman"/>
        </w:rPr>
        <w:t xml:space="preserve">ust. 2 </w:t>
      </w:r>
      <w:r w:rsidR="006A4AAD">
        <w:rPr>
          <w:rFonts w:cs="Times New Roman"/>
        </w:rPr>
        <w:t>c</w:t>
      </w:r>
      <w:r w:rsidRPr="003C335B">
        <w:rPr>
          <w:rFonts w:cs="Times New Roman"/>
        </w:rPr>
        <w:t>eny usług świadczonych przez OSSB będą kształtowane zgodnie</w:t>
      </w:r>
      <w:r w:rsidR="002161FE">
        <w:rPr>
          <w:rFonts w:cs="Times New Roman"/>
        </w:rPr>
        <w:t xml:space="preserve"> z </w:t>
      </w:r>
      <w:r w:rsidRPr="003C335B">
        <w:rPr>
          <w:rFonts w:cs="Times New Roman"/>
        </w:rPr>
        <w:t xml:space="preserve">przepisami ustawy, </w:t>
      </w:r>
      <w:r w:rsidRPr="003C335B">
        <w:rPr>
          <w:rFonts w:cs="Times New Roman"/>
        </w:rPr>
        <w:lastRenderedPageBreak/>
        <w:t>tj. będą obejmowały koszty oraz rozsądną marżę</w:t>
      </w:r>
      <w:r w:rsidR="006A4AAD">
        <w:rPr>
          <w:rFonts w:cs="Times New Roman"/>
        </w:rPr>
        <w:t>.</w:t>
      </w:r>
      <w:r w:rsidRPr="003C335B">
        <w:rPr>
          <w:rFonts w:cs="Times New Roman"/>
        </w:rPr>
        <w:t xml:space="preserve"> Rozwiązanie</w:t>
      </w:r>
      <w:r w:rsidR="002161FE">
        <w:rPr>
          <w:rFonts w:cs="Times New Roman"/>
        </w:rPr>
        <w:t xml:space="preserve"> z </w:t>
      </w:r>
      <w:r w:rsidRPr="003C335B">
        <w:rPr>
          <w:rFonts w:cs="Times New Roman"/>
        </w:rPr>
        <w:t>rozsądną marżą występuje już</w:t>
      </w:r>
      <w:r w:rsidR="00EA1900">
        <w:rPr>
          <w:rFonts w:cs="Times New Roman"/>
        </w:rPr>
        <w:t xml:space="preserve"> w </w:t>
      </w:r>
      <w:r w:rsidRPr="003C335B">
        <w:rPr>
          <w:rFonts w:cs="Times New Roman"/>
        </w:rPr>
        <w:t xml:space="preserve">przepisach – por. </w:t>
      </w:r>
      <w:r w:rsidR="00E606BD">
        <w:rPr>
          <w:rFonts w:cs="Times New Roman"/>
        </w:rPr>
        <w:t>a</w:t>
      </w:r>
      <w:r w:rsidR="00E606BD" w:rsidRPr="003C335B">
        <w:rPr>
          <w:rFonts w:cs="Times New Roman"/>
        </w:rPr>
        <w:t>rt</w:t>
      </w:r>
      <w:r w:rsidRPr="003C335B">
        <w:rPr>
          <w:rFonts w:cs="Times New Roman"/>
        </w:rPr>
        <w:t>. 9mk ustawy</w:t>
      </w:r>
      <w:r w:rsidR="002161FE">
        <w:rPr>
          <w:rFonts w:cs="Times New Roman"/>
        </w:rPr>
        <w:t xml:space="preserve"> z </w:t>
      </w:r>
      <w:r w:rsidRPr="003C335B">
        <w:rPr>
          <w:rFonts w:cs="Times New Roman"/>
        </w:rPr>
        <w:t>28 marca 2003 r. o transporcie kolejowym</w:t>
      </w:r>
      <w:r w:rsidR="006A4AAD">
        <w:rPr>
          <w:rFonts w:cs="Times New Roman"/>
        </w:rPr>
        <w:t>. Mechanizm ten równoważy interesy zarówno OSSB jak</w:t>
      </w:r>
      <w:r w:rsidR="002161FE">
        <w:rPr>
          <w:rFonts w:cs="Times New Roman"/>
        </w:rPr>
        <w:t xml:space="preserve"> i </w:t>
      </w:r>
      <w:r w:rsidR="006A4AAD">
        <w:rPr>
          <w:rFonts w:cs="Times New Roman"/>
        </w:rPr>
        <w:t>podmiotów zobowiązanych do zawarcia</w:t>
      </w:r>
      <w:r w:rsidR="002161FE">
        <w:rPr>
          <w:rFonts w:cs="Times New Roman"/>
        </w:rPr>
        <w:t xml:space="preserve"> z </w:t>
      </w:r>
      <w:r w:rsidR="006A4AAD">
        <w:rPr>
          <w:rFonts w:cs="Times New Roman"/>
        </w:rPr>
        <w:t>nim umowy.</w:t>
      </w:r>
    </w:p>
    <w:p w14:paraId="5F204D74" w14:textId="77777777" w:rsidR="006A4AB7" w:rsidRPr="004652A8" w:rsidRDefault="006A4AB7" w:rsidP="00DC1575">
      <w:pPr>
        <w:pStyle w:val="Nagwek4"/>
      </w:pPr>
      <w:r w:rsidRPr="00713E1C">
        <w:t xml:space="preserve">Nowy </w:t>
      </w:r>
      <w:r w:rsidRPr="00C87FE1">
        <w:t>a</w:t>
      </w:r>
      <w:r w:rsidR="00C54C17" w:rsidRPr="004652A8">
        <w:t>rt. 76</w:t>
      </w:r>
      <w:r w:rsidR="00AF03E5">
        <w:t>h</w:t>
      </w:r>
      <w:r w:rsidR="00C54C17" w:rsidRPr="004652A8">
        <w:t xml:space="preserve"> </w:t>
      </w:r>
    </w:p>
    <w:p w14:paraId="75484623" w14:textId="7ABAE1CC" w:rsidR="00C54C17" w:rsidRPr="0024375B" w:rsidRDefault="00C54C17" w:rsidP="0024375B">
      <w:pPr>
        <w:spacing w:before="120" w:after="120"/>
        <w:ind w:firstLine="510"/>
        <w:jc w:val="both"/>
        <w:rPr>
          <w:rFonts w:ascii="Times" w:eastAsia="Times" w:hAnsi="Times" w:cs="Times"/>
        </w:rPr>
      </w:pPr>
      <w:r w:rsidRPr="0024375B">
        <w:rPr>
          <w:rFonts w:cs="Times New Roman"/>
        </w:rPr>
        <w:t>Prezes UKE będzie mógł przeprowadzić analizę cen usług telekomunikacyjnych stosowanych przez OSSB.</w:t>
      </w:r>
      <w:r w:rsidR="23FC04D4" w:rsidRPr="0024375B">
        <w:rPr>
          <w:rFonts w:cs="Times New Roman"/>
        </w:rPr>
        <w:t xml:space="preserve"> Analiza ta będzie mogła być przeprowadzona na wniosek podmiotów korzystających</w:t>
      </w:r>
      <w:r w:rsidR="002161FE">
        <w:rPr>
          <w:rFonts w:cs="Times New Roman"/>
        </w:rPr>
        <w:t xml:space="preserve"> z </w:t>
      </w:r>
      <w:r w:rsidR="23FC04D4" w:rsidRPr="0024375B">
        <w:rPr>
          <w:rFonts w:cs="Times New Roman"/>
        </w:rPr>
        <w:t>usług telekomunikacyjnych OSSB.</w:t>
      </w:r>
      <w:r w:rsidR="5C3A53A1" w:rsidRPr="0024375B">
        <w:rPr>
          <w:rFonts w:cs="Times New Roman"/>
        </w:rPr>
        <w:t xml:space="preserve"> Prezes UKE będzie miał 2 miesiące na przeprowadzenie analizy – od momentu złożenia wniosku. Jeżeli Prezes UKE stwierdzi, że ceny usług telekomunikacyjnych OSSB </w:t>
      </w:r>
      <w:r w:rsidR="1ADF38D3" w:rsidRPr="2CD82DBF">
        <w:rPr>
          <w:rFonts w:ascii="Times" w:eastAsia="Times" w:hAnsi="Times" w:cs="Times"/>
        </w:rPr>
        <w:t xml:space="preserve">przekraczają </w:t>
      </w:r>
      <w:r w:rsidR="006A4AAD">
        <w:t>koszty</w:t>
      </w:r>
      <w:r w:rsidR="002161FE">
        <w:t xml:space="preserve"> i </w:t>
      </w:r>
      <w:r w:rsidR="006A4AAD">
        <w:t>rozsądną marżę</w:t>
      </w:r>
      <w:r w:rsidR="006A4AAD" w:rsidRPr="2CD82DBF" w:rsidDel="006A4AAD">
        <w:rPr>
          <w:rFonts w:ascii="Times" w:eastAsia="Times" w:hAnsi="Times" w:cs="Times"/>
        </w:rPr>
        <w:t xml:space="preserve"> </w:t>
      </w:r>
      <w:r w:rsidR="1ADF38D3" w:rsidRPr="2CD82DBF">
        <w:rPr>
          <w:rFonts w:ascii="Times" w:eastAsia="Times" w:hAnsi="Times" w:cs="Times"/>
        </w:rPr>
        <w:t>to podmiot zobowiązany do zawarcia umowy</w:t>
      </w:r>
      <w:r w:rsidR="002161FE">
        <w:rPr>
          <w:rFonts w:ascii="Times" w:eastAsia="Times" w:hAnsi="Times" w:cs="Times"/>
        </w:rPr>
        <w:t xml:space="preserve"> z </w:t>
      </w:r>
      <w:r w:rsidR="00376204">
        <w:rPr>
          <w:rFonts w:ascii="Times" w:eastAsia="Times" w:hAnsi="Times" w:cs="Times"/>
        </w:rPr>
        <w:t>o</w:t>
      </w:r>
      <w:r w:rsidR="1ADF38D3" w:rsidRPr="2CD82DBF">
        <w:rPr>
          <w:rFonts w:ascii="Times" w:eastAsia="Times" w:hAnsi="Times" w:cs="Times"/>
        </w:rPr>
        <w:t>peratorem strategicznej sieci bezpieczeństwa będzie mógł rozpocząć procedurę zawarcia umowy</w:t>
      </w:r>
      <w:r w:rsidR="0077165A" w:rsidRPr="2CD82DBF">
        <w:rPr>
          <w:rFonts w:ascii="Times" w:eastAsia="Times" w:hAnsi="Times" w:cs="Times"/>
        </w:rPr>
        <w:t xml:space="preserve"> o </w:t>
      </w:r>
      <w:r w:rsidR="1ADF38D3" w:rsidRPr="2CD82DBF">
        <w:rPr>
          <w:rFonts w:ascii="Times" w:eastAsia="Times" w:hAnsi="Times" w:cs="Times"/>
        </w:rPr>
        <w:t>świadczenie usług telekomunikacyjnych</w:t>
      </w:r>
      <w:r w:rsidR="002161FE">
        <w:rPr>
          <w:rFonts w:ascii="Times" w:eastAsia="Times" w:hAnsi="Times" w:cs="Times"/>
        </w:rPr>
        <w:t xml:space="preserve"> z </w:t>
      </w:r>
      <w:r w:rsidR="1ADF38D3" w:rsidRPr="2CD82DBF">
        <w:rPr>
          <w:rFonts w:ascii="Times" w:eastAsia="Times" w:hAnsi="Times" w:cs="Times"/>
        </w:rPr>
        <w:t xml:space="preserve">innym dostawcą usług. Po stronie OSSB powstanie również wtedy obowiązek przedstawienia usługobiorcy </w:t>
      </w:r>
      <w:r w:rsidR="326FFA39" w:rsidRPr="2CD82DBF">
        <w:rPr>
          <w:rFonts w:ascii="Times" w:eastAsia="Times" w:hAnsi="Times" w:cs="Times"/>
        </w:rPr>
        <w:t>nowej oferty, która ponownie, na wniosek usługobiorcy, będzie podlegała analizie przez Prezesa UKE, tym razem</w:t>
      </w:r>
      <w:r w:rsidR="00EA1900">
        <w:rPr>
          <w:rFonts w:ascii="Times" w:eastAsia="Times" w:hAnsi="Times" w:cs="Times"/>
        </w:rPr>
        <w:t xml:space="preserve"> w </w:t>
      </w:r>
      <w:r w:rsidR="326FFA39" w:rsidRPr="2CD82DBF">
        <w:rPr>
          <w:rFonts w:ascii="Times" w:eastAsia="Times" w:hAnsi="Times" w:cs="Times"/>
        </w:rPr>
        <w:t>terminie 21 dni. Jeżeli ponownie Prezes UKE stwie</w:t>
      </w:r>
      <w:r w:rsidR="000C0F86" w:rsidRPr="2CD82DBF">
        <w:rPr>
          <w:rFonts w:ascii="Times" w:eastAsia="Times" w:hAnsi="Times" w:cs="Times"/>
        </w:rPr>
        <w:t>r</w:t>
      </w:r>
      <w:r w:rsidR="326FFA39" w:rsidRPr="2CD82DBF">
        <w:rPr>
          <w:rFonts w:ascii="Times" w:eastAsia="Times" w:hAnsi="Times" w:cs="Times"/>
        </w:rPr>
        <w:t xml:space="preserve">dzi, że ceny usług świadczonych przez OSSB przekraczają </w:t>
      </w:r>
      <w:r w:rsidR="006A4AAD" w:rsidRPr="006A4AAD">
        <w:rPr>
          <w:rFonts w:ascii="Times" w:eastAsia="Times" w:hAnsi="Times" w:cs="Times"/>
        </w:rPr>
        <w:t>koszty</w:t>
      </w:r>
      <w:r w:rsidR="002161FE">
        <w:rPr>
          <w:rFonts w:ascii="Times" w:eastAsia="Times" w:hAnsi="Times" w:cs="Times"/>
        </w:rPr>
        <w:t xml:space="preserve"> i </w:t>
      </w:r>
      <w:r w:rsidR="006A4AAD" w:rsidRPr="006A4AAD">
        <w:rPr>
          <w:rFonts w:ascii="Times" w:eastAsia="Times" w:hAnsi="Times" w:cs="Times"/>
        </w:rPr>
        <w:t>rozsądną marżę</w:t>
      </w:r>
      <w:r w:rsidR="1E0B6778" w:rsidRPr="2CD82DBF">
        <w:rPr>
          <w:rFonts w:ascii="Times" w:eastAsia="Times" w:hAnsi="Times" w:cs="Times"/>
        </w:rPr>
        <w:t xml:space="preserve">, to </w:t>
      </w:r>
      <w:r w:rsidR="00AF03E5">
        <w:rPr>
          <w:rFonts w:ascii="Times" w:eastAsia="Times" w:hAnsi="Times" w:cs="Times"/>
        </w:rPr>
        <w:t>będzie mógł wydać decyzję zmieniającą tą umowę</w:t>
      </w:r>
      <w:r w:rsidR="1E0B6778" w:rsidRPr="2CD82DBF">
        <w:rPr>
          <w:rFonts w:ascii="Times" w:eastAsia="Times" w:hAnsi="Times" w:cs="Times"/>
        </w:rPr>
        <w:t>.</w:t>
      </w:r>
      <w:r w:rsidR="001D6035" w:rsidRPr="2CD82DBF">
        <w:rPr>
          <w:rFonts w:ascii="Times" w:eastAsia="Times" w:hAnsi="Times" w:cs="Times"/>
        </w:rPr>
        <w:t xml:space="preserve"> Operator strategicznej sieci bezpieczeństwa będzie również zobowiązany do udostępniania informacji na żądanie Prezesa UKE, tak aby zagwarantować, że organ będzie dysponował wszystkimi informacjami niezbędnymi do realizacji jego zadań. </w:t>
      </w:r>
    </w:p>
    <w:p w14:paraId="70B7953D" w14:textId="6E754C03" w:rsidR="001D6035" w:rsidRDefault="00516043" w:rsidP="0024375B">
      <w:pPr>
        <w:spacing w:before="120" w:after="120"/>
        <w:ind w:firstLine="510"/>
        <w:jc w:val="both"/>
        <w:rPr>
          <w:rFonts w:ascii="Times" w:eastAsia="Times" w:hAnsi="Times" w:cs="Times"/>
          <w:szCs w:val="24"/>
        </w:rPr>
      </w:pPr>
      <w:r w:rsidRPr="0024375B">
        <w:rPr>
          <w:rFonts w:ascii="Times" w:eastAsia="Times" w:hAnsi="Times" w:cs="Times"/>
          <w:szCs w:val="24"/>
        </w:rPr>
        <w:t>Prezes UKE jako organ regulacyjny</w:t>
      </w:r>
      <w:r w:rsidR="00EA1900">
        <w:rPr>
          <w:rFonts w:ascii="Times" w:eastAsia="Times" w:hAnsi="Times" w:cs="Times"/>
          <w:szCs w:val="24"/>
        </w:rPr>
        <w:t xml:space="preserve"> w </w:t>
      </w:r>
      <w:r w:rsidRPr="0024375B">
        <w:rPr>
          <w:rFonts w:ascii="Times" w:eastAsia="Times" w:hAnsi="Times" w:cs="Times"/>
          <w:szCs w:val="24"/>
        </w:rPr>
        <w:t>dziedzinie rynku usług telekomunikacyjnych, jest jedynym podmiotem, który posiada kompetencję pozwalające mu ocenić czy cena zaproponowana przez OSSB odpowiada ponoszonym kosztom oraz rynkowym cenom podobnych usług. Należy podkreślić, że Prezes UKE</w:t>
      </w:r>
      <w:r w:rsidR="00EA1900">
        <w:rPr>
          <w:rFonts w:ascii="Times" w:eastAsia="Times" w:hAnsi="Times" w:cs="Times"/>
          <w:szCs w:val="24"/>
        </w:rPr>
        <w:t xml:space="preserve"> w </w:t>
      </w:r>
      <w:r w:rsidRPr="0024375B">
        <w:rPr>
          <w:rFonts w:ascii="Times" w:eastAsia="Times" w:hAnsi="Times" w:cs="Times"/>
          <w:szCs w:val="24"/>
        </w:rPr>
        <w:t>ramach swojej zwykłej działalności otrzymuje informacje</w:t>
      </w:r>
      <w:r w:rsidR="0077165A">
        <w:rPr>
          <w:rFonts w:ascii="Times" w:eastAsia="Times" w:hAnsi="Times" w:cs="Times"/>
          <w:szCs w:val="24"/>
        </w:rPr>
        <w:t xml:space="preserve"> o </w:t>
      </w:r>
      <w:r w:rsidRPr="0024375B">
        <w:rPr>
          <w:rFonts w:ascii="Times" w:eastAsia="Times" w:hAnsi="Times" w:cs="Times"/>
          <w:szCs w:val="24"/>
        </w:rPr>
        <w:t>cenach usług oferowanych przez operatorów telekomunikacyjnych oraz jest</w:t>
      </w:r>
      <w:r w:rsidR="002161FE">
        <w:rPr>
          <w:rFonts w:ascii="Times" w:eastAsia="Times" w:hAnsi="Times" w:cs="Times"/>
          <w:szCs w:val="24"/>
        </w:rPr>
        <w:t xml:space="preserve"> z </w:t>
      </w:r>
      <w:r w:rsidRPr="0024375B">
        <w:rPr>
          <w:rFonts w:ascii="Times" w:eastAsia="Times" w:hAnsi="Times" w:cs="Times"/>
          <w:szCs w:val="24"/>
        </w:rPr>
        <w:t>nimi</w:t>
      </w:r>
      <w:r w:rsidR="00EA1900">
        <w:rPr>
          <w:rFonts w:ascii="Times" w:eastAsia="Times" w:hAnsi="Times" w:cs="Times"/>
          <w:szCs w:val="24"/>
        </w:rPr>
        <w:t xml:space="preserve"> w </w:t>
      </w:r>
      <w:r w:rsidRPr="0024375B">
        <w:rPr>
          <w:rFonts w:ascii="Times" w:eastAsia="Times" w:hAnsi="Times" w:cs="Times"/>
          <w:szCs w:val="24"/>
        </w:rPr>
        <w:t>stałym kontakcie. Każdy inny organ musiałby osobno pozyskiwać informacje potrzebne do przeprowadzenia analiz.</w:t>
      </w:r>
    </w:p>
    <w:p w14:paraId="4DE52DFC" w14:textId="77777777" w:rsidR="006A4AAD" w:rsidRDefault="006A4AAD" w:rsidP="00DC1575">
      <w:pPr>
        <w:pStyle w:val="Nagwek4"/>
        <w:rPr>
          <w:rFonts w:eastAsia="Times"/>
        </w:rPr>
      </w:pPr>
      <w:r>
        <w:rPr>
          <w:rFonts w:eastAsia="Times"/>
        </w:rPr>
        <w:t>Nowy</w:t>
      </w:r>
      <w:r w:rsidR="00EA1900">
        <w:rPr>
          <w:rFonts w:eastAsia="Times"/>
        </w:rPr>
        <w:t xml:space="preserve"> art. </w:t>
      </w:r>
      <w:r>
        <w:rPr>
          <w:rFonts w:eastAsia="Times"/>
        </w:rPr>
        <w:t>76</w:t>
      </w:r>
      <w:r w:rsidR="00AF03E5">
        <w:rPr>
          <w:rFonts w:eastAsia="Times"/>
        </w:rPr>
        <w:t>i</w:t>
      </w:r>
    </w:p>
    <w:p w14:paraId="6C21FAE1" w14:textId="77777777" w:rsidR="00C73DF4" w:rsidRPr="001C5AF2" w:rsidRDefault="00C73DF4" w:rsidP="001F251C">
      <w:pPr>
        <w:jc w:val="both"/>
        <w:rPr>
          <w:lang w:eastAsia="en-US"/>
        </w:rPr>
      </w:pPr>
      <w:r>
        <w:rPr>
          <w:lang w:eastAsia="en-US"/>
        </w:rPr>
        <w:t xml:space="preserve">Przepis ten reguluje obowiązki informacyjne OSSB wobec Prezesa UKE. OSSB będzie przekazywał Prezesowi UKE </w:t>
      </w:r>
      <w:r w:rsidRPr="00C73DF4">
        <w:rPr>
          <w:lang w:eastAsia="en-US"/>
        </w:rPr>
        <w:t>informacje o zawartej umowie na świadczenie usług za pośrednictwem strategicznej sieci bezpieczeństwa,</w:t>
      </w:r>
      <w:r w:rsidR="00EA1900">
        <w:rPr>
          <w:lang w:eastAsia="en-US"/>
        </w:rPr>
        <w:t xml:space="preserve"> w </w:t>
      </w:r>
      <w:r w:rsidRPr="00C73DF4">
        <w:rPr>
          <w:lang w:eastAsia="en-US"/>
        </w:rPr>
        <w:t>szczególności cenę oraz zakres świadczonych usług,</w:t>
      </w:r>
      <w:r w:rsidR="00EA1900">
        <w:rPr>
          <w:lang w:eastAsia="en-US"/>
        </w:rPr>
        <w:t xml:space="preserve"> w </w:t>
      </w:r>
      <w:r w:rsidRPr="00C73DF4">
        <w:rPr>
          <w:lang w:eastAsia="en-US"/>
        </w:rPr>
        <w:t>terminie 14 dni od dnia zawarcia umowy</w:t>
      </w:r>
      <w:r>
        <w:rPr>
          <w:lang w:eastAsia="en-US"/>
        </w:rPr>
        <w:t>.</w:t>
      </w:r>
    </w:p>
    <w:p w14:paraId="6EA27DE0" w14:textId="77777777" w:rsidR="00DF5DAD" w:rsidRPr="006A4AB7" w:rsidRDefault="006A4AB7" w:rsidP="00DC1575">
      <w:pPr>
        <w:pStyle w:val="Nagwek4"/>
      </w:pPr>
      <w:r w:rsidRPr="00AF03E5">
        <w:t>Nowy a</w:t>
      </w:r>
      <w:r w:rsidR="003A6DBF" w:rsidRPr="00AF03E5">
        <w:t xml:space="preserve">rt. </w:t>
      </w:r>
      <w:r w:rsidR="003A6DBF" w:rsidRPr="00AF03E5">
        <w:rPr>
          <w:bCs/>
        </w:rPr>
        <w:t>76</w:t>
      </w:r>
      <w:r w:rsidR="00AF03E5">
        <w:t>j</w:t>
      </w:r>
      <w:r w:rsidR="00035719" w:rsidRPr="2CD82DBF">
        <w:t xml:space="preserve"> </w:t>
      </w:r>
    </w:p>
    <w:p w14:paraId="6AC3E931" w14:textId="786B49D1" w:rsidR="00DF5DAD" w:rsidRPr="0024375B" w:rsidRDefault="00DF5DAD" w:rsidP="0024375B">
      <w:pPr>
        <w:spacing w:after="120"/>
        <w:ind w:firstLine="510"/>
        <w:jc w:val="both"/>
        <w:rPr>
          <w:color w:val="000000"/>
        </w:rPr>
      </w:pPr>
      <w:r w:rsidRPr="0024375B">
        <w:rPr>
          <w:color w:val="000000"/>
        </w:rPr>
        <w:t>W</w:t>
      </w:r>
      <w:r w:rsidR="00EA1900">
        <w:rPr>
          <w:color w:val="000000"/>
        </w:rPr>
        <w:t xml:space="preserve"> art. </w:t>
      </w:r>
      <w:r w:rsidRPr="0024375B">
        <w:rPr>
          <w:color w:val="000000"/>
        </w:rPr>
        <w:t>76</w:t>
      </w:r>
      <w:r w:rsidR="00AF03E5">
        <w:rPr>
          <w:color w:val="000000"/>
        </w:rPr>
        <w:t>j</w:t>
      </w:r>
      <w:r w:rsidRPr="0024375B">
        <w:rPr>
          <w:color w:val="000000"/>
        </w:rPr>
        <w:t xml:space="preserve"> zapewniono </w:t>
      </w:r>
      <w:r w:rsidR="005079C4">
        <w:rPr>
          <w:color w:val="000000"/>
        </w:rPr>
        <w:t>o</w:t>
      </w:r>
      <w:r w:rsidRPr="0024375B">
        <w:rPr>
          <w:color w:val="000000"/>
        </w:rPr>
        <w:t>peratorowi strategicznej sieci bezpieczeństwa możliwość uzyskania dostępu do infrastruktury technicznej,</w:t>
      </w:r>
      <w:r w:rsidR="00EA1900">
        <w:rPr>
          <w:color w:val="000000"/>
        </w:rPr>
        <w:t xml:space="preserve"> w </w:t>
      </w:r>
      <w:r w:rsidRPr="0024375B">
        <w:rPr>
          <w:color w:val="000000"/>
        </w:rPr>
        <w:t>tym współkorzystanie</w:t>
      </w:r>
      <w:r w:rsidR="002161FE">
        <w:rPr>
          <w:color w:val="000000"/>
        </w:rPr>
        <w:t xml:space="preserve"> z </w:t>
      </w:r>
      <w:r w:rsidRPr="0024375B">
        <w:rPr>
          <w:color w:val="000000"/>
        </w:rPr>
        <w:t>niej,</w:t>
      </w:r>
      <w:r w:rsidR="00EA1900">
        <w:rPr>
          <w:color w:val="000000"/>
        </w:rPr>
        <w:t xml:space="preserve"> w </w:t>
      </w:r>
      <w:r w:rsidRPr="0024375B">
        <w:rPr>
          <w:color w:val="000000"/>
        </w:rPr>
        <w:t>celu realizacji zadań,</w:t>
      </w:r>
      <w:r w:rsidR="0077165A">
        <w:rPr>
          <w:color w:val="000000"/>
        </w:rPr>
        <w:t xml:space="preserve"> o </w:t>
      </w:r>
      <w:r w:rsidRPr="0024375B">
        <w:rPr>
          <w:color w:val="000000"/>
        </w:rPr>
        <w:t>których mowa</w:t>
      </w:r>
      <w:r w:rsidR="002161FE">
        <w:rPr>
          <w:color w:val="000000"/>
        </w:rPr>
        <w:t xml:space="preserve"> w</w:t>
      </w:r>
      <w:r w:rsidR="00EA1900">
        <w:rPr>
          <w:color w:val="000000"/>
        </w:rPr>
        <w:t xml:space="preserve"> art. </w:t>
      </w:r>
      <w:r w:rsidRPr="0024375B">
        <w:rPr>
          <w:color w:val="000000"/>
        </w:rPr>
        <w:t>76</w:t>
      </w:r>
      <w:r w:rsidR="00AF03E5">
        <w:rPr>
          <w:color w:val="000000"/>
        </w:rPr>
        <w:t>c</w:t>
      </w:r>
      <w:r w:rsidRPr="0024375B">
        <w:rPr>
          <w:color w:val="000000"/>
        </w:rPr>
        <w:t xml:space="preserve"> </w:t>
      </w:r>
      <w:r w:rsidR="00D00CB4">
        <w:rPr>
          <w:color w:val="000000"/>
        </w:rPr>
        <w:t>ust. </w:t>
      </w:r>
      <w:r w:rsidRPr="0024375B">
        <w:rPr>
          <w:color w:val="000000"/>
        </w:rPr>
        <w:t>1. Wprowadzenie regulacji</w:t>
      </w:r>
      <w:r w:rsidR="0077165A">
        <w:rPr>
          <w:color w:val="000000"/>
        </w:rPr>
        <w:t xml:space="preserve"> o </w:t>
      </w:r>
      <w:r w:rsidRPr="0024375B">
        <w:rPr>
          <w:color w:val="000000"/>
        </w:rPr>
        <w:t>charakterze szczególnym wobec przepisów</w:t>
      </w:r>
      <w:r w:rsidR="00EA1900">
        <w:rPr>
          <w:color w:val="000000"/>
        </w:rPr>
        <w:t xml:space="preserve"> art. </w:t>
      </w:r>
      <w:r w:rsidRPr="0024375B">
        <w:rPr>
          <w:color w:val="000000"/>
        </w:rPr>
        <w:t>17-24a ustawy</w:t>
      </w:r>
      <w:r w:rsidR="002161FE">
        <w:rPr>
          <w:color w:val="000000"/>
        </w:rPr>
        <w:t xml:space="preserve"> z </w:t>
      </w:r>
      <w:r w:rsidRPr="0024375B">
        <w:rPr>
          <w:color w:val="000000"/>
        </w:rPr>
        <w:t>dnia 7 maja 2010 r.</w:t>
      </w:r>
      <w:r w:rsidR="0077165A">
        <w:rPr>
          <w:color w:val="000000"/>
        </w:rPr>
        <w:t xml:space="preserve"> o </w:t>
      </w:r>
      <w:r w:rsidRPr="0024375B">
        <w:rPr>
          <w:color w:val="000000"/>
        </w:rPr>
        <w:t>wspieraniu rozwoju usług</w:t>
      </w:r>
      <w:r w:rsidR="002161FE">
        <w:rPr>
          <w:color w:val="000000"/>
        </w:rPr>
        <w:t xml:space="preserve"> i </w:t>
      </w:r>
      <w:r w:rsidRPr="0024375B">
        <w:rPr>
          <w:color w:val="000000"/>
        </w:rPr>
        <w:t>sieci telekomunikacyjnych (Dz. U.</w:t>
      </w:r>
      <w:r w:rsidR="002161FE">
        <w:rPr>
          <w:color w:val="000000"/>
        </w:rPr>
        <w:t xml:space="preserve"> z </w:t>
      </w:r>
      <w:r w:rsidRPr="0024375B">
        <w:rPr>
          <w:color w:val="000000"/>
        </w:rPr>
        <w:t>202</w:t>
      </w:r>
      <w:r w:rsidR="005079C4">
        <w:rPr>
          <w:color w:val="000000"/>
        </w:rPr>
        <w:t>3</w:t>
      </w:r>
      <w:r w:rsidRPr="0024375B">
        <w:rPr>
          <w:color w:val="000000"/>
        </w:rPr>
        <w:t xml:space="preserve"> r. poz. 7</w:t>
      </w:r>
      <w:r w:rsidR="005079C4">
        <w:rPr>
          <w:color w:val="000000"/>
        </w:rPr>
        <w:t>33</w:t>
      </w:r>
      <w:r w:rsidRPr="0024375B">
        <w:rPr>
          <w:color w:val="000000"/>
        </w:rPr>
        <w:t>,) jest uzasadnione</w:t>
      </w:r>
      <w:r w:rsidR="002161FE">
        <w:rPr>
          <w:color w:val="000000"/>
        </w:rPr>
        <w:t xml:space="preserve"> z </w:t>
      </w:r>
      <w:r w:rsidRPr="0024375B">
        <w:rPr>
          <w:color w:val="000000"/>
        </w:rPr>
        <w:t xml:space="preserve">uwagi na szczególny cel, któremu ma służyć wspomniany dostęp, tj. realizację zadań na rzecz obronności, </w:t>
      </w:r>
      <w:r w:rsidRPr="0024375B">
        <w:rPr>
          <w:color w:val="000000"/>
        </w:rPr>
        <w:lastRenderedPageBreak/>
        <w:t>bezpieczeństwa państwa oraz bezpieczeństwa</w:t>
      </w:r>
      <w:r w:rsidR="002161FE">
        <w:rPr>
          <w:color w:val="000000"/>
        </w:rPr>
        <w:t xml:space="preserve"> i </w:t>
      </w:r>
      <w:r w:rsidRPr="0024375B">
        <w:rPr>
          <w:color w:val="000000"/>
        </w:rPr>
        <w:t>porządku publicznego,</w:t>
      </w:r>
      <w:r w:rsidR="00EA1900">
        <w:rPr>
          <w:color w:val="000000"/>
        </w:rPr>
        <w:t xml:space="preserve"> w </w:t>
      </w:r>
      <w:r w:rsidRPr="0024375B">
        <w:rPr>
          <w:color w:val="000000"/>
        </w:rPr>
        <w:t xml:space="preserve">zakresie telekomunikacji. </w:t>
      </w:r>
    </w:p>
    <w:p w14:paraId="78D5EF83" w14:textId="46FBC273" w:rsidR="00DF5DAD" w:rsidRPr="0024375B" w:rsidRDefault="00DF5DAD" w:rsidP="0024375B">
      <w:pPr>
        <w:spacing w:after="120"/>
        <w:ind w:firstLine="510"/>
        <w:jc w:val="both"/>
        <w:rPr>
          <w:color w:val="000000"/>
        </w:rPr>
      </w:pPr>
      <w:r w:rsidRPr="0024375B">
        <w:rPr>
          <w:color w:val="000000"/>
        </w:rPr>
        <w:t>Rozwiązania zawarte</w:t>
      </w:r>
      <w:r w:rsidR="002161FE">
        <w:rPr>
          <w:color w:val="000000"/>
        </w:rPr>
        <w:t xml:space="preserve"> w</w:t>
      </w:r>
      <w:r w:rsidR="00EA1900">
        <w:rPr>
          <w:color w:val="000000"/>
        </w:rPr>
        <w:t xml:space="preserve"> art. </w:t>
      </w:r>
      <w:r w:rsidR="00C73DF4" w:rsidRPr="0024375B">
        <w:rPr>
          <w:color w:val="000000"/>
        </w:rPr>
        <w:t>76</w:t>
      </w:r>
      <w:r w:rsidR="00AF03E5">
        <w:rPr>
          <w:color w:val="000000"/>
        </w:rPr>
        <w:t>j</w:t>
      </w:r>
      <w:r w:rsidR="00C73DF4" w:rsidRPr="0024375B">
        <w:rPr>
          <w:color w:val="000000"/>
        </w:rPr>
        <w:t xml:space="preserve"> </w:t>
      </w:r>
      <w:r w:rsidRPr="0024375B">
        <w:rPr>
          <w:color w:val="000000"/>
        </w:rPr>
        <w:t>zostały opracowane na kanwie funkcjonującej obecnie regulacji -</w:t>
      </w:r>
      <w:r w:rsidR="00EA1900">
        <w:rPr>
          <w:color w:val="000000"/>
        </w:rPr>
        <w:t xml:space="preserve"> art. </w:t>
      </w:r>
      <w:r w:rsidRPr="0024375B">
        <w:rPr>
          <w:color w:val="000000"/>
        </w:rPr>
        <w:t>17-24a ustawy</w:t>
      </w:r>
      <w:r w:rsidR="002161FE">
        <w:rPr>
          <w:color w:val="000000"/>
        </w:rPr>
        <w:t xml:space="preserve"> z </w:t>
      </w:r>
      <w:r w:rsidRPr="0024375B">
        <w:rPr>
          <w:color w:val="000000"/>
        </w:rPr>
        <w:t>dnia 7 maja 2010 r.</w:t>
      </w:r>
      <w:r w:rsidR="0077165A">
        <w:rPr>
          <w:color w:val="000000"/>
        </w:rPr>
        <w:t xml:space="preserve"> o </w:t>
      </w:r>
      <w:r w:rsidRPr="0024375B">
        <w:rPr>
          <w:color w:val="000000"/>
        </w:rPr>
        <w:t>wspieraniu rozwoju usług</w:t>
      </w:r>
      <w:r w:rsidR="002161FE">
        <w:rPr>
          <w:color w:val="000000"/>
        </w:rPr>
        <w:t xml:space="preserve"> i </w:t>
      </w:r>
      <w:r w:rsidRPr="0024375B">
        <w:rPr>
          <w:color w:val="000000"/>
        </w:rPr>
        <w:t>sieci telekomunikacyjnych, bądź wprost do nich odsyłają. Jednocześnie,</w:t>
      </w:r>
      <w:r w:rsidR="002161FE">
        <w:rPr>
          <w:color w:val="000000"/>
        </w:rPr>
        <w:t xml:space="preserve"> z </w:t>
      </w:r>
      <w:r w:rsidRPr="0024375B">
        <w:rPr>
          <w:color w:val="000000"/>
        </w:rPr>
        <w:t xml:space="preserve">uwagi na specyfikę zadań realizowanych przez </w:t>
      </w:r>
      <w:r w:rsidR="005079C4">
        <w:rPr>
          <w:color w:val="000000"/>
        </w:rPr>
        <w:t>o</w:t>
      </w:r>
      <w:r w:rsidRPr="0024375B">
        <w:rPr>
          <w:color w:val="000000"/>
        </w:rPr>
        <w:t>peratora strategicznej sieci bezpieczeństwa</w:t>
      </w:r>
      <w:r w:rsidR="002161FE">
        <w:rPr>
          <w:color w:val="000000"/>
        </w:rPr>
        <w:t xml:space="preserve"> i </w:t>
      </w:r>
      <w:r w:rsidRPr="0024375B">
        <w:rPr>
          <w:color w:val="000000"/>
        </w:rPr>
        <w:t>szczególny charakter sytuacji,</w:t>
      </w:r>
      <w:r w:rsidR="00EA1900">
        <w:rPr>
          <w:color w:val="000000"/>
        </w:rPr>
        <w:t xml:space="preserve"> w </w:t>
      </w:r>
      <w:r w:rsidRPr="0024375B">
        <w:rPr>
          <w:color w:val="000000"/>
        </w:rPr>
        <w:t>jakich uzyskanie przez niego dostępu do infrastruktury technicznej będzie konieczne, zdecydowano się na wprowadzenie pewnych odstępstw od przepisów ustawy</w:t>
      </w:r>
      <w:r w:rsidR="002161FE">
        <w:rPr>
          <w:color w:val="000000"/>
        </w:rPr>
        <w:t xml:space="preserve"> z </w:t>
      </w:r>
      <w:r w:rsidRPr="0024375B">
        <w:rPr>
          <w:color w:val="000000"/>
        </w:rPr>
        <w:t>dnia 7 maja 2010 r.</w:t>
      </w:r>
      <w:r w:rsidR="0077165A">
        <w:rPr>
          <w:color w:val="000000"/>
        </w:rPr>
        <w:t xml:space="preserve"> o </w:t>
      </w:r>
      <w:r w:rsidRPr="0024375B">
        <w:rPr>
          <w:color w:val="000000"/>
        </w:rPr>
        <w:t>wspieraniu rozwoju usług</w:t>
      </w:r>
      <w:r w:rsidR="002161FE">
        <w:rPr>
          <w:color w:val="000000"/>
        </w:rPr>
        <w:t xml:space="preserve"> i </w:t>
      </w:r>
      <w:r w:rsidRPr="0024375B">
        <w:rPr>
          <w:color w:val="000000"/>
        </w:rPr>
        <w:t>sieci telekomunikacyjnych.</w:t>
      </w:r>
    </w:p>
    <w:p w14:paraId="42527850" w14:textId="77777777" w:rsidR="00DF5DAD" w:rsidRPr="0024375B" w:rsidRDefault="00DF5DAD" w:rsidP="0024375B">
      <w:pPr>
        <w:spacing w:after="120"/>
        <w:ind w:firstLine="510"/>
        <w:jc w:val="both"/>
        <w:rPr>
          <w:color w:val="000000"/>
        </w:rPr>
      </w:pPr>
      <w:r w:rsidRPr="0024375B">
        <w:rPr>
          <w:color w:val="000000"/>
        </w:rPr>
        <w:t xml:space="preserve">W </w:t>
      </w:r>
      <w:r w:rsidR="00D00CB4">
        <w:rPr>
          <w:color w:val="000000"/>
        </w:rPr>
        <w:t>ust. </w:t>
      </w:r>
      <w:r w:rsidRPr="0024375B">
        <w:rPr>
          <w:color w:val="000000"/>
        </w:rPr>
        <w:t>3 wprost wskazano, iż opłaty</w:t>
      </w:r>
      <w:r w:rsidR="002161FE">
        <w:rPr>
          <w:color w:val="000000"/>
        </w:rPr>
        <w:t xml:space="preserve"> z </w:t>
      </w:r>
      <w:r w:rsidRPr="0024375B">
        <w:rPr>
          <w:color w:val="000000"/>
        </w:rPr>
        <w:t>tytułu dostępu do infrastruktury technicznej określa się</w:t>
      </w:r>
      <w:r w:rsidR="00EA1900">
        <w:rPr>
          <w:color w:val="000000"/>
        </w:rPr>
        <w:t xml:space="preserve"> w </w:t>
      </w:r>
      <w:r w:rsidRPr="0024375B">
        <w:rPr>
          <w:color w:val="000000"/>
        </w:rPr>
        <w:t>wysokości, która umożliwia zwrot części kosztów, które ponosi operator sieci</w:t>
      </w:r>
      <w:r w:rsidR="00EA1900">
        <w:rPr>
          <w:color w:val="000000"/>
        </w:rPr>
        <w:t xml:space="preserve"> w </w:t>
      </w:r>
      <w:r w:rsidRPr="0024375B">
        <w:rPr>
          <w:color w:val="000000"/>
        </w:rPr>
        <w:t>związku</w:t>
      </w:r>
      <w:r w:rsidR="002161FE">
        <w:rPr>
          <w:color w:val="000000"/>
        </w:rPr>
        <w:t xml:space="preserve"> z </w:t>
      </w:r>
      <w:r w:rsidRPr="0024375B">
        <w:rPr>
          <w:color w:val="000000"/>
        </w:rPr>
        <w:t>utrzymaniem tej infrastruktury oraz</w:t>
      </w:r>
      <w:r w:rsidR="002161FE">
        <w:rPr>
          <w:color w:val="000000"/>
        </w:rPr>
        <w:t xml:space="preserve"> z </w:t>
      </w:r>
      <w:r w:rsidRPr="0024375B">
        <w:rPr>
          <w:color w:val="000000"/>
        </w:rPr>
        <w:t>zapewnieniem dostępu.</w:t>
      </w:r>
    </w:p>
    <w:p w14:paraId="70DE7B7D" w14:textId="77777777" w:rsidR="00DF5DAD" w:rsidRPr="0024375B" w:rsidRDefault="00DF5DAD" w:rsidP="0024375B">
      <w:pPr>
        <w:spacing w:after="120"/>
        <w:ind w:firstLine="510"/>
        <w:jc w:val="both"/>
        <w:rPr>
          <w:color w:val="000000"/>
        </w:rPr>
      </w:pPr>
      <w:r w:rsidRPr="2CD82DBF">
        <w:rPr>
          <w:color w:val="000000" w:themeColor="text1"/>
        </w:rPr>
        <w:t>Zdecydowano również, że podstawową formą zapewnienia Operatorowi strategicznej sieci bezpieczeństwa dostępu do infrastruktury technicznej przez operatora sieci będzie umowa. Decyzja Prezesa UKE może być wydana wyłącznie</w:t>
      </w:r>
      <w:r w:rsidR="00EA1900">
        <w:rPr>
          <w:color w:val="000000" w:themeColor="text1"/>
        </w:rPr>
        <w:t xml:space="preserve"> w </w:t>
      </w:r>
      <w:r w:rsidRPr="2CD82DBF">
        <w:rPr>
          <w:color w:val="000000" w:themeColor="text1"/>
        </w:rPr>
        <w:t>przypadku odmowy udzielenia dostępu do infrastruktury technicznej przez operatora sieci lub niezawarcia umowy</w:t>
      </w:r>
      <w:r w:rsidR="0077165A" w:rsidRPr="2CD82DBF">
        <w:rPr>
          <w:color w:val="000000" w:themeColor="text1"/>
        </w:rPr>
        <w:t xml:space="preserve"> o </w:t>
      </w:r>
      <w:r w:rsidRPr="2CD82DBF">
        <w:rPr>
          <w:color w:val="000000" w:themeColor="text1"/>
        </w:rPr>
        <w:t>dostępie do infrastruktury technicznej</w:t>
      </w:r>
      <w:r w:rsidR="00EA1900">
        <w:rPr>
          <w:color w:val="000000" w:themeColor="text1"/>
        </w:rPr>
        <w:t xml:space="preserve"> w </w:t>
      </w:r>
      <w:r w:rsidRPr="2CD82DBF">
        <w:rPr>
          <w:color w:val="000000" w:themeColor="text1"/>
        </w:rPr>
        <w:t>terminie 2 miesięcy</w:t>
      </w:r>
      <w:r w:rsidR="00DB44AE" w:rsidRPr="2CD82DBF">
        <w:rPr>
          <w:color w:val="000000" w:themeColor="text1"/>
        </w:rPr>
        <w:t xml:space="preserve"> </w:t>
      </w:r>
      <w:r w:rsidRPr="2CD82DBF">
        <w:rPr>
          <w:color w:val="000000" w:themeColor="text1"/>
        </w:rPr>
        <w:t>od dnia złożenia wniosku</w:t>
      </w:r>
      <w:r w:rsidR="0077165A" w:rsidRPr="2CD82DBF">
        <w:rPr>
          <w:color w:val="000000" w:themeColor="text1"/>
        </w:rPr>
        <w:t xml:space="preserve"> o </w:t>
      </w:r>
      <w:r w:rsidRPr="2CD82DBF">
        <w:rPr>
          <w:color w:val="000000" w:themeColor="text1"/>
        </w:rPr>
        <w:t>taki dostęp.</w:t>
      </w:r>
      <w:r w:rsidR="00116933" w:rsidRPr="2CD82DBF">
        <w:rPr>
          <w:color w:val="000000" w:themeColor="text1"/>
        </w:rPr>
        <w:t xml:space="preserve"> W </w:t>
      </w:r>
      <w:r w:rsidRPr="2CD82DBF">
        <w:rPr>
          <w:color w:val="000000" w:themeColor="text1"/>
        </w:rPr>
        <w:t>związku</w:t>
      </w:r>
      <w:r w:rsidR="002161FE">
        <w:rPr>
          <w:color w:val="000000" w:themeColor="text1"/>
        </w:rPr>
        <w:t xml:space="preserve"> z </w:t>
      </w:r>
      <w:r w:rsidRPr="2CD82DBF">
        <w:rPr>
          <w:color w:val="000000" w:themeColor="text1"/>
        </w:rPr>
        <w:t>powyższym, wobec Operatora strategicznej sieci bezpieczeństwa nie znajdą zastosowania przepisy</w:t>
      </w:r>
      <w:r w:rsidR="00EA1900">
        <w:rPr>
          <w:color w:val="000000" w:themeColor="text1"/>
        </w:rPr>
        <w:t xml:space="preserve"> art. </w:t>
      </w:r>
      <w:r w:rsidRPr="2CD82DBF">
        <w:rPr>
          <w:color w:val="000000" w:themeColor="text1"/>
        </w:rPr>
        <w:t xml:space="preserve">18 </w:t>
      </w:r>
      <w:r w:rsidR="00D00CB4" w:rsidRPr="2CD82DBF">
        <w:rPr>
          <w:color w:val="000000" w:themeColor="text1"/>
        </w:rPr>
        <w:t>ust. </w:t>
      </w:r>
      <w:r w:rsidRPr="2CD82DBF">
        <w:rPr>
          <w:color w:val="000000" w:themeColor="text1"/>
        </w:rPr>
        <w:t>2</w:t>
      </w:r>
      <w:r w:rsidR="00B26928">
        <w:rPr>
          <w:color w:val="000000" w:themeColor="text1"/>
        </w:rPr>
        <w:t>–</w:t>
      </w:r>
      <w:r w:rsidRPr="2CD82DBF">
        <w:rPr>
          <w:color w:val="000000" w:themeColor="text1"/>
        </w:rPr>
        <w:t>10 ustawy</w:t>
      </w:r>
      <w:r w:rsidR="002161FE">
        <w:rPr>
          <w:color w:val="000000" w:themeColor="text1"/>
        </w:rPr>
        <w:t xml:space="preserve"> z </w:t>
      </w:r>
      <w:r w:rsidRPr="2CD82DBF">
        <w:rPr>
          <w:color w:val="000000" w:themeColor="text1"/>
        </w:rPr>
        <w:t>dnia 7 maja 2010 r.</w:t>
      </w:r>
      <w:r w:rsidR="0077165A" w:rsidRPr="2CD82DBF">
        <w:rPr>
          <w:color w:val="000000" w:themeColor="text1"/>
        </w:rPr>
        <w:t xml:space="preserve"> o </w:t>
      </w:r>
      <w:r w:rsidRPr="2CD82DBF">
        <w:rPr>
          <w:color w:val="000000" w:themeColor="text1"/>
        </w:rPr>
        <w:t>wspieraniu rozwoju usług</w:t>
      </w:r>
      <w:r w:rsidR="002161FE">
        <w:rPr>
          <w:color w:val="000000" w:themeColor="text1"/>
        </w:rPr>
        <w:t xml:space="preserve"> i </w:t>
      </w:r>
      <w:r w:rsidRPr="2CD82DBF">
        <w:rPr>
          <w:color w:val="000000" w:themeColor="text1"/>
        </w:rPr>
        <w:t>sieci telekomunikacyjnych.</w:t>
      </w:r>
      <w:r w:rsidR="00116933" w:rsidRPr="2CD82DBF">
        <w:rPr>
          <w:color w:val="000000" w:themeColor="text1"/>
        </w:rPr>
        <w:t xml:space="preserve"> W </w:t>
      </w:r>
      <w:r w:rsidRPr="2CD82DBF">
        <w:rPr>
          <w:color w:val="000000" w:themeColor="text1"/>
        </w:rPr>
        <w:t>celu przyspieszenia procedury wydania decyzji</w:t>
      </w:r>
      <w:r w:rsidR="00EA1900">
        <w:rPr>
          <w:color w:val="000000" w:themeColor="text1"/>
        </w:rPr>
        <w:t xml:space="preserve"> w </w:t>
      </w:r>
      <w:r w:rsidRPr="2CD82DBF">
        <w:rPr>
          <w:color w:val="000000" w:themeColor="text1"/>
        </w:rPr>
        <w:t>sprawie dostępu do infrastruktury technicznej, zrezygnowano także</w:t>
      </w:r>
      <w:r w:rsidR="002161FE">
        <w:rPr>
          <w:color w:val="000000" w:themeColor="text1"/>
        </w:rPr>
        <w:t xml:space="preserve"> z </w:t>
      </w:r>
      <w:r w:rsidRPr="2CD82DBF">
        <w:rPr>
          <w:color w:val="000000" w:themeColor="text1"/>
        </w:rPr>
        <w:t>konieczności dokonywania uzgodnień</w:t>
      </w:r>
      <w:r w:rsidR="002161FE">
        <w:rPr>
          <w:color w:val="000000" w:themeColor="text1"/>
        </w:rPr>
        <w:t xml:space="preserve"> z </w:t>
      </w:r>
      <w:r w:rsidRPr="2CD82DBF">
        <w:rPr>
          <w:color w:val="000000" w:themeColor="text1"/>
        </w:rPr>
        <w:t>Prezesem URE</w:t>
      </w:r>
      <w:r w:rsidR="002161FE">
        <w:rPr>
          <w:color w:val="000000" w:themeColor="text1"/>
        </w:rPr>
        <w:t xml:space="preserve"> i </w:t>
      </w:r>
      <w:r w:rsidRPr="2CD82DBF">
        <w:rPr>
          <w:color w:val="000000" w:themeColor="text1"/>
        </w:rPr>
        <w:t>Prezesem UTK,</w:t>
      </w:r>
      <w:r w:rsidR="0077165A" w:rsidRPr="2CD82DBF">
        <w:rPr>
          <w:color w:val="000000" w:themeColor="text1"/>
        </w:rPr>
        <w:t xml:space="preserve"> o </w:t>
      </w:r>
      <w:r w:rsidRPr="2CD82DBF">
        <w:rPr>
          <w:color w:val="000000" w:themeColor="text1"/>
        </w:rPr>
        <w:t>których mowa</w:t>
      </w:r>
      <w:r w:rsidR="002161FE">
        <w:rPr>
          <w:color w:val="000000" w:themeColor="text1"/>
        </w:rPr>
        <w:t xml:space="preserve"> w</w:t>
      </w:r>
      <w:r w:rsidR="00EA1900">
        <w:rPr>
          <w:color w:val="000000" w:themeColor="text1"/>
        </w:rPr>
        <w:t xml:space="preserve"> art. </w:t>
      </w:r>
      <w:r w:rsidRPr="2CD82DBF">
        <w:rPr>
          <w:color w:val="000000" w:themeColor="text1"/>
        </w:rPr>
        <w:t xml:space="preserve">22 </w:t>
      </w:r>
      <w:r w:rsidR="00D00CB4" w:rsidRPr="2CD82DBF">
        <w:rPr>
          <w:color w:val="000000" w:themeColor="text1"/>
        </w:rPr>
        <w:t>ust. </w:t>
      </w:r>
      <w:r w:rsidRPr="2CD82DBF">
        <w:rPr>
          <w:color w:val="000000" w:themeColor="text1"/>
        </w:rPr>
        <w:t>6 ustawy</w:t>
      </w:r>
      <w:r w:rsidR="002161FE">
        <w:rPr>
          <w:color w:val="000000" w:themeColor="text1"/>
        </w:rPr>
        <w:t xml:space="preserve"> z </w:t>
      </w:r>
      <w:r w:rsidRPr="2CD82DBF">
        <w:rPr>
          <w:color w:val="000000" w:themeColor="text1"/>
        </w:rPr>
        <w:t>dnia 7 maja 2010 r.</w:t>
      </w:r>
      <w:r w:rsidR="0077165A" w:rsidRPr="2CD82DBF">
        <w:rPr>
          <w:color w:val="000000" w:themeColor="text1"/>
        </w:rPr>
        <w:t xml:space="preserve"> o </w:t>
      </w:r>
      <w:r w:rsidRPr="2CD82DBF">
        <w:rPr>
          <w:color w:val="000000" w:themeColor="text1"/>
        </w:rPr>
        <w:t>wspieraniu rozwoju usług</w:t>
      </w:r>
      <w:r w:rsidR="002161FE">
        <w:rPr>
          <w:color w:val="000000" w:themeColor="text1"/>
        </w:rPr>
        <w:t xml:space="preserve"> i </w:t>
      </w:r>
      <w:r w:rsidRPr="2CD82DBF">
        <w:rPr>
          <w:color w:val="000000" w:themeColor="text1"/>
        </w:rPr>
        <w:t>sieci telekomunikacyjnych.</w:t>
      </w:r>
    </w:p>
    <w:p w14:paraId="22344FDD" w14:textId="77777777" w:rsidR="00DF5DAD" w:rsidRPr="009D6625" w:rsidRDefault="006A4AB7" w:rsidP="00DC1575">
      <w:pPr>
        <w:pStyle w:val="Nagwek4"/>
      </w:pPr>
      <w:r w:rsidRPr="00713E1C">
        <w:t xml:space="preserve">Nowy </w:t>
      </w:r>
      <w:r w:rsidRPr="00C87FE1">
        <w:t>a</w:t>
      </w:r>
      <w:r w:rsidR="003A6DBF" w:rsidRPr="004652A8">
        <w:t>rt. 76</w:t>
      </w:r>
      <w:r w:rsidR="00AF03E5">
        <w:t>k</w:t>
      </w:r>
      <w:r w:rsidR="00035719" w:rsidRPr="00713E1C">
        <w:t xml:space="preserve">. </w:t>
      </w:r>
    </w:p>
    <w:p w14:paraId="4BE8A907" w14:textId="435F826E" w:rsidR="00DF5DAD" w:rsidRPr="0024375B" w:rsidRDefault="00DF5DAD" w:rsidP="0024375B">
      <w:pPr>
        <w:spacing w:after="120"/>
        <w:ind w:firstLine="510"/>
        <w:jc w:val="both"/>
        <w:rPr>
          <w:color w:val="000000"/>
        </w:rPr>
      </w:pPr>
      <w:r w:rsidRPr="0024375B">
        <w:rPr>
          <w:color w:val="000000"/>
        </w:rPr>
        <w:t xml:space="preserve">W analogiczny </w:t>
      </w:r>
      <w:r w:rsidR="000C0F86" w:rsidRPr="0024375B">
        <w:rPr>
          <w:color w:val="000000"/>
        </w:rPr>
        <w:t xml:space="preserve">sposób </w:t>
      </w:r>
      <w:r w:rsidRPr="0024375B">
        <w:rPr>
          <w:color w:val="000000"/>
        </w:rPr>
        <w:t>jak dostęp do infrastruktury technicznej</w:t>
      </w:r>
      <w:r w:rsidR="000C0F86" w:rsidRPr="0024375B">
        <w:rPr>
          <w:color w:val="000000"/>
        </w:rPr>
        <w:t>,</w:t>
      </w:r>
      <w:r w:rsidRPr="0024375B">
        <w:rPr>
          <w:color w:val="000000"/>
        </w:rPr>
        <w:t xml:space="preserve"> uregulowana została</w:t>
      </w:r>
      <w:r w:rsidR="002161FE">
        <w:rPr>
          <w:color w:val="000000"/>
        </w:rPr>
        <w:t xml:space="preserve"> w</w:t>
      </w:r>
      <w:r w:rsidR="00EA1900">
        <w:rPr>
          <w:color w:val="000000"/>
        </w:rPr>
        <w:t xml:space="preserve"> art. </w:t>
      </w:r>
      <w:r w:rsidRPr="0024375B">
        <w:rPr>
          <w:color w:val="000000"/>
        </w:rPr>
        <w:t xml:space="preserve">76k możliwość uzyskania przez </w:t>
      </w:r>
      <w:r w:rsidR="005079C4">
        <w:rPr>
          <w:color w:val="000000"/>
        </w:rPr>
        <w:t>o</w:t>
      </w:r>
      <w:r w:rsidRPr="0024375B">
        <w:rPr>
          <w:color w:val="000000"/>
        </w:rPr>
        <w:t>peratora strategicznej sieci bezpieczeństwa dostępu do nieruchomości – co do zasady przepis ten bazuje na rozwiązaniach zawartych</w:t>
      </w:r>
      <w:r w:rsidR="00EA1900">
        <w:rPr>
          <w:color w:val="000000"/>
        </w:rPr>
        <w:t xml:space="preserve"> w </w:t>
      </w:r>
      <w:r w:rsidRPr="0024375B">
        <w:rPr>
          <w:color w:val="000000"/>
        </w:rPr>
        <w:t>ustawie</w:t>
      </w:r>
      <w:r w:rsidR="002161FE">
        <w:rPr>
          <w:color w:val="000000"/>
        </w:rPr>
        <w:t xml:space="preserve"> z </w:t>
      </w:r>
      <w:r w:rsidRPr="0024375B">
        <w:rPr>
          <w:color w:val="000000"/>
        </w:rPr>
        <w:t>dnia 7 maja 2010 r.</w:t>
      </w:r>
      <w:r w:rsidR="0077165A">
        <w:rPr>
          <w:color w:val="000000"/>
        </w:rPr>
        <w:t xml:space="preserve"> o </w:t>
      </w:r>
      <w:r w:rsidRPr="0024375B">
        <w:rPr>
          <w:color w:val="000000"/>
        </w:rPr>
        <w:t>wspieraniu rozwoju usług</w:t>
      </w:r>
      <w:r w:rsidR="002161FE">
        <w:rPr>
          <w:color w:val="000000"/>
        </w:rPr>
        <w:t xml:space="preserve"> i </w:t>
      </w:r>
      <w:r w:rsidRPr="0024375B">
        <w:rPr>
          <w:color w:val="000000"/>
        </w:rPr>
        <w:t>sieci telekomunikacyjnych. Dostęp do nieruchomości,</w:t>
      </w:r>
      <w:r w:rsidR="00EA1900">
        <w:rPr>
          <w:color w:val="000000"/>
        </w:rPr>
        <w:t xml:space="preserve"> w </w:t>
      </w:r>
      <w:r w:rsidRPr="0024375B">
        <w:rPr>
          <w:color w:val="000000"/>
        </w:rPr>
        <w:t>tym do budynku,</w:t>
      </w:r>
      <w:r w:rsidR="0077165A">
        <w:rPr>
          <w:color w:val="000000"/>
        </w:rPr>
        <w:t xml:space="preserve"> o </w:t>
      </w:r>
      <w:r w:rsidRPr="0024375B">
        <w:rPr>
          <w:color w:val="000000"/>
        </w:rPr>
        <w:t>którym mowa</w:t>
      </w:r>
      <w:r w:rsidR="00EA1900">
        <w:rPr>
          <w:color w:val="000000"/>
        </w:rPr>
        <w:t xml:space="preserve"> w </w:t>
      </w:r>
      <w:r w:rsidRPr="0024375B">
        <w:rPr>
          <w:color w:val="000000"/>
        </w:rPr>
        <w:t>przepisie, polega na umożliwieniu umieszczenia na tej nieruchomości infrastruktury telekomunikacyjnej,</w:t>
      </w:r>
      <w:r w:rsidR="002161FE">
        <w:rPr>
          <w:color w:val="000000"/>
        </w:rPr>
        <w:t xml:space="preserve"> a </w:t>
      </w:r>
      <w:r w:rsidRPr="0024375B">
        <w:rPr>
          <w:color w:val="000000"/>
        </w:rPr>
        <w:t>także eksploatacji</w:t>
      </w:r>
      <w:r w:rsidR="002161FE">
        <w:rPr>
          <w:color w:val="000000"/>
        </w:rPr>
        <w:t xml:space="preserve"> i </w:t>
      </w:r>
      <w:r w:rsidRPr="0024375B">
        <w:rPr>
          <w:color w:val="000000"/>
        </w:rPr>
        <w:t>konserwacji tej infrastruktury telekomunikacyjnej, jeżeli nie uniemożliwia to racjonalnego korzystania</w:t>
      </w:r>
      <w:r w:rsidR="002161FE">
        <w:rPr>
          <w:color w:val="000000"/>
        </w:rPr>
        <w:t xml:space="preserve"> z </w:t>
      </w:r>
      <w:r w:rsidRPr="0024375B">
        <w:rPr>
          <w:color w:val="000000"/>
        </w:rPr>
        <w:t>nieruchomości,</w:t>
      </w:r>
      <w:r w:rsidR="00EA1900">
        <w:rPr>
          <w:color w:val="000000"/>
        </w:rPr>
        <w:t xml:space="preserve"> w </w:t>
      </w:r>
      <w:r w:rsidRPr="0024375B">
        <w:rPr>
          <w:color w:val="000000"/>
        </w:rPr>
        <w:t xml:space="preserve">szczególności nie prowadzi do istotnego zmniejszenia jej wartości. </w:t>
      </w:r>
    </w:p>
    <w:p w14:paraId="37A93FEB" w14:textId="421B88D5" w:rsidR="00DF5DAD" w:rsidRPr="0024375B" w:rsidRDefault="00DF5DAD" w:rsidP="0024375B">
      <w:pPr>
        <w:spacing w:after="120"/>
        <w:ind w:firstLine="510"/>
        <w:jc w:val="both"/>
        <w:rPr>
          <w:color w:val="000000"/>
        </w:rPr>
      </w:pPr>
      <w:r w:rsidRPr="0024375B">
        <w:rPr>
          <w:color w:val="000000"/>
        </w:rPr>
        <w:t xml:space="preserve">Podmiotami obowiązanymi do zapewnienia </w:t>
      </w:r>
      <w:r w:rsidR="005079C4">
        <w:rPr>
          <w:color w:val="000000"/>
        </w:rPr>
        <w:t>o</w:t>
      </w:r>
      <w:r w:rsidRPr="0024375B">
        <w:rPr>
          <w:color w:val="000000"/>
        </w:rPr>
        <w:t>peratorowi strategicznej sieci bezpieczeństwa dostępu do nieruchomości są użytkownik wieczysty lub zarządca nieruchomości stanowiącej własność Skarbu Państwa jednostka samorządu terytorialnego oraz właściciel lub zarządca nieruchomości.</w:t>
      </w:r>
    </w:p>
    <w:p w14:paraId="7305F40F" w14:textId="355D292C" w:rsidR="00DF5DAD" w:rsidRPr="0024375B" w:rsidRDefault="00DF5DAD" w:rsidP="0024375B">
      <w:pPr>
        <w:spacing w:after="120"/>
        <w:ind w:firstLine="510"/>
        <w:jc w:val="both"/>
        <w:rPr>
          <w:color w:val="000000"/>
        </w:rPr>
      </w:pPr>
      <w:r w:rsidRPr="0024375B">
        <w:rPr>
          <w:color w:val="000000"/>
        </w:rPr>
        <w:t>Co istotne,</w:t>
      </w:r>
      <w:r w:rsidR="00EA1900">
        <w:rPr>
          <w:color w:val="000000"/>
        </w:rPr>
        <w:t xml:space="preserve"> w </w:t>
      </w:r>
      <w:r w:rsidRPr="0024375B">
        <w:rPr>
          <w:color w:val="000000"/>
        </w:rPr>
        <w:t>odróżnieniu od dostępu,</w:t>
      </w:r>
      <w:r w:rsidR="0077165A">
        <w:rPr>
          <w:color w:val="000000"/>
        </w:rPr>
        <w:t xml:space="preserve"> o </w:t>
      </w:r>
      <w:r w:rsidRPr="0024375B">
        <w:rPr>
          <w:color w:val="000000"/>
        </w:rPr>
        <w:t>którym mowa</w:t>
      </w:r>
      <w:r w:rsidR="00EA1900">
        <w:rPr>
          <w:color w:val="000000"/>
        </w:rPr>
        <w:t xml:space="preserve"> art. </w:t>
      </w:r>
      <w:r w:rsidRPr="0024375B">
        <w:rPr>
          <w:color w:val="000000"/>
        </w:rPr>
        <w:t xml:space="preserve">30 </w:t>
      </w:r>
      <w:r w:rsidR="00D00CB4">
        <w:rPr>
          <w:color w:val="000000"/>
        </w:rPr>
        <w:t>ust. </w:t>
      </w:r>
      <w:r w:rsidRPr="0024375B">
        <w:rPr>
          <w:color w:val="000000"/>
        </w:rPr>
        <w:t>1 ustawy</w:t>
      </w:r>
      <w:r w:rsidR="002161FE">
        <w:rPr>
          <w:color w:val="000000"/>
        </w:rPr>
        <w:t xml:space="preserve"> z </w:t>
      </w:r>
      <w:r w:rsidRPr="0024375B">
        <w:rPr>
          <w:color w:val="000000"/>
        </w:rPr>
        <w:t>dnia 7 maja 2010 r.</w:t>
      </w:r>
      <w:r w:rsidR="0077165A">
        <w:rPr>
          <w:color w:val="000000"/>
        </w:rPr>
        <w:t xml:space="preserve"> o </w:t>
      </w:r>
      <w:r w:rsidRPr="0024375B">
        <w:rPr>
          <w:color w:val="000000"/>
        </w:rPr>
        <w:t>wspieraniu rozwoju usług</w:t>
      </w:r>
      <w:r w:rsidR="002161FE">
        <w:rPr>
          <w:color w:val="000000"/>
        </w:rPr>
        <w:t xml:space="preserve"> i </w:t>
      </w:r>
      <w:r w:rsidRPr="0024375B">
        <w:rPr>
          <w:color w:val="000000"/>
        </w:rPr>
        <w:t xml:space="preserve">sieci telekomunikacyjnych, dostęp do nieruchomości przez </w:t>
      </w:r>
      <w:r w:rsidR="005079C4">
        <w:rPr>
          <w:color w:val="000000"/>
        </w:rPr>
        <w:t>o</w:t>
      </w:r>
      <w:r w:rsidRPr="0024375B">
        <w:rPr>
          <w:color w:val="000000"/>
        </w:rPr>
        <w:t xml:space="preserve">peratora </w:t>
      </w:r>
      <w:r w:rsidRPr="0024375B">
        <w:rPr>
          <w:color w:val="000000"/>
        </w:rPr>
        <w:lastRenderedPageBreak/>
        <w:t>strategicznej sieci bezpieczeństwa nie ma na celu zapewnienia telekomunikacji</w:t>
      </w:r>
      <w:r w:rsidR="00EA1900">
        <w:rPr>
          <w:color w:val="000000"/>
        </w:rPr>
        <w:t xml:space="preserve"> w </w:t>
      </w:r>
      <w:r w:rsidRPr="0024375B">
        <w:rPr>
          <w:color w:val="000000"/>
        </w:rPr>
        <w:t>tym budynku,</w:t>
      </w:r>
      <w:r w:rsidR="002161FE">
        <w:rPr>
          <w:color w:val="000000"/>
        </w:rPr>
        <w:t xml:space="preserve"> a </w:t>
      </w:r>
      <w:r w:rsidRPr="0024375B">
        <w:rPr>
          <w:color w:val="000000"/>
        </w:rPr>
        <w:t>realizację zadań,</w:t>
      </w:r>
      <w:r w:rsidR="0077165A">
        <w:rPr>
          <w:color w:val="000000"/>
        </w:rPr>
        <w:t xml:space="preserve"> o </w:t>
      </w:r>
      <w:r w:rsidRPr="0024375B">
        <w:rPr>
          <w:color w:val="000000"/>
        </w:rPr>
        <w:t>których mowa</w:t>
      </w:r>
      <w:r w:rsidR="002161FE">
        <w:rPr>
          <w:color w:val="000000"/>
        </w:rPr>
        <w:t xml:space="preserve"> w</w:t>
      </w:r>
      <w:r w:rsidR="00EA1900">
        <w:rPr>
          <w:color w:val="000000"/>
        </w:rPr>
        <w:t xml:space="preserve"> art. </w:t>
      </w:r>
      <w:r w:rsidRPr="0024375B">
        <w:rPr>
          <w:color w:val="000000"/>
        </w:rPr>
        <w:t>76</w:t>
      </w:r>
      <w:r w:rsidR="00AF03E5">
        <w:rPr>
          <w:color w:val="000000"/>
        </w:rPr>
        <w:t>c</w:t>
      </w:r>
      <w:r w:rsidRPr="0024375B">
        <w:rPr>
          <w:color w:val="000000"/>
        </w:rPr>
        <w:t xml:space="preserve"> </w:t>
      </w:r>
      <w:r w:rsidR="00D00CB4">
        <w:rPr>
          <w:color w:val="000000"/>
        </w:rPr>
        <w:t>ust. </w:t>
      </w:r>
      <w:r w:rsidRPr="0024375B">
        <w:rPr>
          <w:color w:val="000000"/>
        </w:rPr>
        <w:t xml:space="preserve">1, czyli </w:t>
      </w:r>
      <w:r w:rsidRPr="0024375B">
        <w:t>zadań na rzecz obronności, bezpieczeństwa państwa oraz bezpieczeństwa</w:t>
      </w:r>
      <w:r w:rsidR="002161FE">
        <w:t xml:space="preserve"> i </w:t>
      </w:r>
      <w:r w:rsidRPr="0024375B">
        <w:t>porządku publicznego</w:t>
      </w:r>
      <w:r w:rsidRPr="0024375B">
        <w:rPr>
          <w:color w:val="000000"/>
        </w:rPr>
        <w:t>.</w:t>
      </w:r>
    </w:p>
    <w:p w14:paraId="4670CD8C" w14:textId="52015600" w:rsidR="00DF5DAD" w:rsidRPr="0024375B" w:rsidRDefault="00DF5DAD" w:rsidP="0024375B">
      <w:pPr>
        <w:spacing w:after="120"/>
        <w:ind w:firstLine="510"/>
        <w:jc w:val="both"/>
        <w:rPr>
          <w:b/>
          <w:color w:val="000000"/>
        </w:rPr>
      </w:pPr>
      <w:r w:rsidRPr="0024375B">
        <w:rPr>
          <w:color w:val="000000"/>
        </w:rPr>
        <w:t>Ze względu na ten wyjątkowy charakter strategicznej sieci bezpieczeństwa</w:t>
      </w:r>
      <w:r w:rsidR="002161FE">
        <w:rPr>
          <w:color w:val="000000"/>
        </w:rPr>
        <w:t xml:space="preserve"> i </w:t>
      </w:r>
      <w:r w:rsidRPr="0024375B">
        <w:rPr>
          <w:color w:val="000000"/>
        </w:rPr>
        <w:t>fakt, że jej celem jest realizacja zadań publicznych</w:t>
      </w:r>
      <w:r w:rsidR="0077165A">
        <w:rPr>
          <w:color w:val="000000"/>
        </w:rPr>
        <w:t xml:space="preserve"> o </w:t>
      </w:r>
      <w:r w:rsidRPr="0024375B">
        <w:rPr>
          <w:color w:val="000000"/>
        </w:rPr>
        <w:t>szczególnym znaczeniu wprowadzono pewne odstępstwo od</w:t>
      </w:r>
      <w:r w:rsidR="00EA1900">
        <w:rPr>
          <w:color w:val="000000"/>
        </w:rPr>
        <w:t xml:space="preserve"> art. </w:t>
      </w:r>
      <w:r w:rsidRPr="0024375B">
        <w:rPr>
          <w:color w:val="000000"/>
        </w:rPr>
        <w:t xml:space="preserve">30 </w:t>
      </w:r>
      <w:r w:rsidR="00D00CB4">
        <w:rPr>
          <w:color w:val="000000"/>
        </w:rPr>
        <w:t>ust. </w:t>
      </w:r>
      <w:r w:rsidRPr="0024375B">
        <w:rPr>
          <w:color w:val="000000"/>
        </w:rPr>
        <w:t>3a ustawy</w:t>
      </w:r>
      <w:r w:rsidR="002161FE">
        <w:rPr>
          <w:color w:val="000000"/>
        </w:rPr>
        <w:t xml:space="preserve"> z </w:t>
      </w:r>
      <w:r w:rsidRPr="0024375B">
        <w:rPr>
          <w:color w:val="000000"/>
        </w:rPr>
        <w:t>dnia 7 maja 2010 r.</w:t>
      </w:r>
      <w:r w:rsidR="0077165A">
        <w:rPr>
          <w:color w:val="000000"/>
        </w:rPr>
        <w:t xml:space="preserve"> o </w:t>
      </w:r>
      <w:r w:rsidRPr="0024375B">
        <w:rPr>
          <w:color w:val="000000"/>
        </w:rPr>
        <w:t>wspieraniu rozwoju usług</w:t>
      </w:r>
      <w:r w:rsidR="002161FE">
        <w:rPr>
          <w:color w:val="000000"/>
        </w:rPr>
        <w:t xml:space="preserve"> i </w:t>
      </w:r>
      <w:r w:rsidRPr="0024375B">
        <w:rPr>
          <w:color w:val="000000"/>
        </w:rPr>
        <w:t>sieci telekomunikacyjnych, zgodnie</w:t>
      </w:r>
      <w:r w:rsidR="002161FE">
        <w:rPr>
          <w:color w:val="000000"/>
        </w:rPr>
        <w:t xml:space="preserve"> z </w:t>
      </w:r>
      <w:r w:rsidRPr="0024375B">
        <w:rPr>
          <w:color w:val="000000"/>
        </w:rPr>
        <w:t>którym dostęp do nieruchomości jest nieodpłatny. Zgodnie</w:t>
      </w:r>
      <w:r w:rsidR="002161FE">
        <w:rPr>
          <w:color w:val="000000"/>
        </w:rPr>
        <w:t xml:space="preserve"> z </w:t>
      </w:r>
      <w:r w:rsidR="00D00CB4">
        <w:rPr>
          <w:color w:val="000000"/>
        </w:rPr>
        <w:t>ust. </w:t>
      </w:r>
      <w:r w:rsidRPr="0024375B">
        <w:rPr>
          <w:color w:val="000000"/>
        </w:rPr>
        <w:t xml:space="preserve">4 pkt 2, jeżeli podmiotem zapewniającym dostęp jest jednostka samorządu terytorialnego, właściciel lub zarządca nieruchomości, </w:t>
      </w:r>
      <w:r w:rsidR="0081106F">
        <w:rPr>
          <w:color w:val="000000"/>
        </w:rPr>
        <w:t>o</w:t>
      </w:r>
      <w:r w:rsidRPr="0024375B">
        <w:rPr>
          <w:color w:val="000000"/>
        </w:rPr>
        <w:t>perator strategicznej sieci bezpieczeństwa ponosi proporcjonalną część kosztów administracyjnych, poniesionych przy zarządzaniu, sprawowaniu nadzoru lub zarządzaniu tą nieruchomością, proporcjonalną część kosztów, które wystąpiły po stronie udostępniającego, jeżeli są konieczne</w:t>
      </w:r>
      <w:r w:rsidR="002161FE">
        <w:rPr>
          <w:color w:val="000000"/>
        </w:rPr>
        <w:t xml:space="preserve"> i </w:t>
      </w:r>
      <w:r w:rsidRPr="0024375B">
        <w:rPr>
          <w:color w:val="000000"/>
        </w:rPr>
        <w:t>zaistniały bezpośrednio na skutek zapewnienia takiego dostępu oraz koszty przywrócenia nieruchomości do stanu poprzedniego.</w:t>
      </w:r>
    </w:p>
    <w:p w14:paraId="708A557D" w14:textId="77777777" w:rsidR="009A6B72" w:rsidRDefault="009A6B72" w:rsidP="00DC1575">
      <w:pPr>
        <w:pStyle w:val="Nagwek4"/>
      </w:pPr>
      <w:r w:rsidRPr="00713E1C">
        <w:t xml:space="preserve">Nowy </w:t>
      </w:r>
      <w:r w:rsidRPr="00C87FE1">
        <w:t>a</w:t>
      </w:r>
      <w:r w:rsidR="003A6DBF" w:rsidRPr="004652A8">
        <w:t>rt. 76</w:t>
      </w:r>
      <w:r w:rsidR="00AF03E5">
        <w:rPr>
          <w:bCs/>
        </w:rPr>
        <w:t>l</w:t>
      </w:r>
    </w:p>
    <w:p w14:paraId="05FE9041" w14:textId="184D0FC0" w:rsidR="003A6DBF" w:rsidRPr="0024375B" w:rsidRDefault="00977121" w:rsidP="0024375B">
      <w:pPr>
        <w:spacing w:before="120" w:after="120"/>
        <w:ind w:firstLine="510"/>
        <w:jc w:val="both"/>
      </w:pPr>
      <w:r>
        <w:rPr>
          <w:rFonts w:cs="Times New Roman"/>
        </w:rPr>
        <w:t xml:space="preserve"> </w:t>
      </w:r>
      <w:r w:rsidR="020FEC77" w:rsidRPr="0024375B">
        <w:rPr>
          <w:rFonts w:cs="Times New Roman"/>
        </w:rPr>
        <w:t xml:space="preserve">Od </w:t>
      </w:r>
      <w:r w:rsidR="003A6DBF" w:rsidRPr="0024375B">
        <w:rPr>
          <w:rFonts w:cs="Times New Roman"/>
        </w:rPr>
        <w:t>decyzji Prezesa UKE,</w:t>
      </w:r>
      <w:r w:rsidR="0077165A">
        <w:rPr>
          <w:rFonts w:cs="Times New Roman"/>
        </w:rPr>
        <w:t xml:space="preserve"> o </w:t>
      </w:r>
      <w:r w:rsidR="003A6DBF" w:rsidRPr="0024375B">
        <w:rPr>
          <w:rFonts w:cs="Times New Roman"/>
        </w:rPr>
        <w:t>której mowa</w:t>
      </w:r>
      <w:r w:rsidR="00EA1900">
        <w:rPr>
          <w:rFonts w:cs="Times New Roman"/>
        </w:rPr>
        <w:t xml:space="preserve"> w </w:t>
      </w:r>
      <w:r w:rsidR="00D00CB4">
        <w:rPr>
          <w:rFonts w:cs="Times New Roman"/>
        </w:rPr>
        <w:t>ust. </w:t>
      </w:r>
      <w:r w:rsidR="00C73DF4">
        <w:t>76</w:t>
      </w:r>
      <w:r w:rsidR="00AF03E5">
        <w:t>j</w:t>
      </w:r>
      <w:r w:rsidR="00C73DF4">
        <w:t xml:space="preserve"> ust. 5 oraz</w:t>
      </w:r>
      <w:r w:rsidR="00EA1900">
        <w:t xml:space="preserve"> art. </w:t>
      </w:r>
      <w:r w:rsidR="00C73DF4">
        <w:t>76</w:t>
      </w:r>
      <w:r w:rsidR="00AF03E5">
        <w:t>k</w:t>
      </w:r>
      <w:r w:rsidR="00C73DF4">
        <w:t xml:space="preserve"> ust. 5 </w:t>
      </w:r>
      <w:r w:rsidR="0077165A">
        <w:rPr>
          <w:rFonts w:cs="Times New Roman"/>
        </w:rPr>
        <w:t>w </w:t>
      </w:r>
      <w:r w:rsidR="635D0CDC" w:rsidRPr="0024375B">
        <w:rPr>
          <w:rFonts w:cs="Times New Roman"/>
        </w:rPr>
        <w:t>sprawie dostępu telekomunikacyjnego</w:t>
      </w:r>
      <w:r w:rsidR="003A6DBF" w:rsidRPr="0024375B">
        <w:rPr>
          <w:rFonts w:cs="Times New Roman"/>
        </w:rPr>
        <w:t xml:space="preserve">, jak również </w:t>
      </w:r>
      <w:r w:rsidR="55196469" w:rsidRPr="0024375B">
        <w:rPr>
          <w:rFonts w:cs="Times New Roman"/>
        </w:rPr>
        <w:t>od decyzji w</w:t>
      </w:r>
      <w:r w:rsidR="0081106F">
        <w:rPr>
          <w:rFonts w:cs="Times New Roman"/>
        </w:rPr>
        <w:t xml:space="preserve"> </w:t>
      </w:r>
      <w:r w:rsidR="55196469" w:rsidRPr="0024375B">
        <w:rPr>
          <w:rFonts w:cs="Times New Roman"/>
        </w:rPr>
        <w:t>s</w:t>
      </w:r>
      <w:r w:rsidR="0081106F">
        <w:rPr>
          <w:rFonts w:cs="Times New Roman"/>
        </w:rPr>
        <w:t>prawie</w:t>
      </w:r>
      <w:r w:rsidR="003A6DBF" w:rsidRPr="0024375B">
        <w:rPr>
          <w:rFonts w:cs="Times New Roman"/>
        </w:rPr>
        <w:t xml:space="preserve"> dostępu do nieruchomości użytkownika wieczystego lub zarządcy nieruchomości stanowiącej własność Skarbu Państwa lub jednostki samorządu terytorialnego,</w:t>
      </w:r>
      <w:r w:rsidR="0077165A">
        <w:rPr>
          <w:rFonts w:cs="Times New Roman"/>
        </w:rPr>
        <w:t xml:space="preserve"> </w:t>
      </w:r>
      <w:r w:rsidR="009C253C" w:rsidRPr="0024375B">
        <w:rPr>
          <w:rFonts w:cs="Times New Roman"/>
        </w:rPr>
        <w:t>b</w:t>
      </w:r>
      <w:r w:rsidR="504A5623" w:rsidRPr="0024375B">
        <w:rPr>
          <w:rFonts w:cs="Times New Roman"/>
        </w:rPr>
        <w:t xml:space="preserve">ędzie przysługiwało odwołanie do </w:t>
      </w:r>
      <w:r w:rsidR="504A5623" w:rsidRPr="2CD82DBF">
        <w:rPr>
          <w:rFonts w:eastAsia="Times New Roman" w:cs="Times New Roman"/>
          <w:color w:val="000000" w:themeColor="text1"/>
        </w:rPr>
        <w:t>Sądu Okręgowego</w:t>
      </w:r>
      <w:r w:rsidR="00EA1900">
        <w:rPr>
          <w:rFonts w:eastAsia="Times New Roman" w:cs="Times New Roman"/>
          <w:color w:val="000000" w:themeColor="text1"/>
        </w:rPr>
        <w:t xml:space="preserve"> w </w:t>
      </w:r>
      <w:r w:rsidR="504A5623" w:rsidRPr="2CD82DBF">
        <w:rPr>
          <w:rFonts w:eastAsia="Times New Roman" w:cs="Times New Roman"/>
          <w:color w:val="000000" w:themeColor="text1"/>
        </w:rPr>
        <w:t>Warszawie – Sądu Ochrony Konkurencji</w:t>
      </w:r>
      <w:r w:rsidR="002161FE">
        <w:rPr>
          <w:rFonts w:eastAsia="Times New Roman" w:cs="Times New Roman"/>
          <w:color w:val="000000" w:themeColor="text1"/>
        </w:rPr>
        <w:t xml:space="preserve"> i </w:t>
      </w:r>
      <w:r w:rsidR="504A5623" w:rsidRPr="2CD82DBF">
        <w:rPr>
          <w:rFonts w:eastAsia="Times New Roman" w:cs="Times New Roman"/>
          <w:color w:val="000000" w:themeColor="text1"/>
        </w:rPr>
        <w:t>Konsumentów.</w:t>
      </w:r>
    </w:p>
    <w:p w14:paraId="11F0BA33" w14:textId="77777777" w:rsidR="00E70604" w:rsidRPr="009D6625" w:rsidRDefault="00E70604" w:rsidP="00DC1575">
      <w:pPr>
        <w:pStyle w:val="Nagwek4"/>
      </w:pPr>
      <w:r w:rsidRPr="00713E1C">
        <w:t xml:space="preserve">Nowy </w:t>
      </w:r>
      <w:r w:rsidRPr="00C87FE1">
        <w:t>a</w:t>
      </w:r>
      <w:r w:rsidR="003A6DBF" w:rsidRPr="004652A8">
        <w:t>rt. 76</w:t>
      </w:r>
      <w:r w:rsidR="00AF03E5">
        <w:t>m</w:t>
      </w:r>
      <w:r w:rsidR="00035719" w:rsidRPr="00713E1C">
        <w:t>.</w:t>
      </w:r>
      <w:r w:rsidR="00035719" w:rsidRPr="009D6625">
        <w:t xml:space="preserve"> </w:t>
      </w:r>
    </w:p>
    <w:p w14:paraId="5B23ECED" w14:textId="70384AE8" w:rsidR="003A6DBF" w:rsidRPr="0024375B" w:rsidRDefault="003A6DBF" w:rsidP="0024375B">
      <w:pPr>
        <w:spacing w:before="120" w:after="120"/>
        <w:ind w:firstLine="510"/>
        <w:jc w:val="both"/>
        <w:rPr>
          <w:rFonts w:cs="Times New Roman"/>
          <w:b/>
          <w:szCs w:val="24"/>
        </w:rPr>
      </w:pPr>
      <w:r w:rsidRPr="0024375B">
        <w:rPr>
          <w:rFonts w:cs="Times New Roman"/>
          <w:szCs w:val="24"/>
        </w:rPr>
        <w:t>Przepis zastrzega dla OSSB pierwszeństwo kupna sieci telekomunikacyjnych na wypadek, gdyby państwow</w:t>
      </w:r>
      <w:r w:rsidR="00E70604">
        <w:rPr>
          <w:rFonts w:cs="Times New Roman"/>
          <w:szCs w:val="24"/>
        </w:rPr>
        <w:t>a</w:t>
      </w:r>
      <w:r w:rsidRPr="0024375B">
        <w:rPr>
          <w:rFonts w:cs="Times New Roman"/>
          <w:szCs w:val="24"/>
        </w:rPr>
        <w:t xml:space="preserve"> osoba prawna lub jednostka samorządu terytorialnego sprzedała je osobie trzeciej.</w:t>
      </w:r>
      <w:r w:rsidR="00E70604">
        <w:rPr>
          <w:rFonts w:cs="Times New Roman"/>
          <w:szCs w:val="24"/>
        </w:rPr>
        <w:t xml:space="preserve"> Wprowadzono obowiązek poinformowania przez ww. podmioty OSSSB o zamiarze zbycia sieci telekomunikacyjnych. OSSB będzie miał </w:t>
      </w:r>
      <w:r w:rsidR="00B534FF">
        <w:rPr>
          <w:rFonts w:cs="Times New Roman"/>
          <w:szCs w:val="24"/>
        </w:rPr>
        <w:t>nie krócej niż 2 tygodnia na skorzystanie</w:t>
      </w:r>
      <w:r w:rsidR="002161FE">
        <w:rPr>
          <w:rFonts w:cs="Times New Roman"/>
          <w:szCs w:val="24"/>
        </w:rPr>
        <w:t xml:space="preserve"> z </w:t>
      </w:r>
      <w:r w:rsidR="00B534FF">
        <w:rPr>
          <w:rFonts w:cs="Times New Roman"/>
          <w:szCs w:val="24"/>
        </w:rPr>
        <w:t>prawa pierwokupu.</w:t>
      </w:r>
      <w:r w:rsidR="00E70604">
        <w:rPr>
          <w:rFonts w:cs="Times New Roman"/>
          <w:szCs w:val="24"/>
        </w:rPr>
        <w:t xml:space="preserve"> </w:t>
      </w:r>
      <w:r w:rsidRPr="0024375B">
        <w:rPr>
          <w:rFonts w:cs="Times New Roman"/>
          <w:szCs w:val="24"/>
        </w:rPr>
        <w:t>Do pierwokupu stosuje się przepisy rozdziału IV księgi III ustawy</w:t>
      </w:r>
      <w:r w:rsidR="002161FE">
        <w:rPr>
          <w:rFonts w:cs="Times New Roman"/>
          <w:szCs w:val="24"/>
        </w:rPr>
        <w:t xml:space="preserve"> z </w:t>
      </w:r>
      <w:r w:rsidRPr="0024375B">
        <w:rPr>
          <w:rFonts w:cs="Times New Roman"/>
          <w:szCs w:val="24"/>
        </w:rPr>
        <w:t xml:space="preserve">dnia 23 kwietnia 1964 r. </w:t>
      </w:r>
      <w:r w:rsidR="00B26928">
        <w:rPr>
          <w:rFonts w:cs="Times New Roman"/>
          <w:szCs w:val="24"/>
        </w:rPr>
        <w:t>–</w:t>
      </w:r>
      <w:r w:rsidRPr="0024375B">
        <w:rPr>
          <w:rFonts w:cs="Times New Roman"/>
          <w:szCs w:val="24"/>
        </w:rPr>
        <w:t> Kodeks cywilny</w:t>
      </w:r>
      <w:r w:rsidR="0081106F">
        <w:rPr>
          <w:rFonts w:cs="Times New Roman"/>
          <w:szCs w:val="24"/>
        </w:rPr>
        <w:t xml:space="preserve"> (Dz. U. z 2022 r. poz. 1360, z późn. zm.)</w:t>
      </w:r>
      <w:r w:rsidRPr="0024375B">
        <w:rPr>
          <w:rFonts w:cs="Times New Roman"/>
          <w:szCs w:val="24"/>
        </w:rPr>
        <w:t>.</w:t>
      </w:r>
    </w:p>
    <w:p w14:paraId="0C4514FF" w14:textId="77777777" w:rsidR="00E70604" w:rsidRDefault="00E70604" w:rsidP="00DC1575">
      <w:pPr>
        <w:pStyle w:val="Nagwek4"/>
        <w:rPr>
          <w:bCs/>
        </w:rPr>
      </w:pPr>
      <w:r w:rsidRPr="00713E1C">
        <w:t xml:space="preserve">Nowy </w:t>
      </w:r>
      <w:r w:rsidRPr="00C87FE1">
        <w:t>a</w:t>
      </w:r>
      <w:r w:rsidR="003A6DBF" w:rsidRPr="004652A8">
        <w:t>rt. 76</w:t>
      </w:r>
      <w:r w:rsidR="00AF03E5">
        <w:t>n</w:t>
      </w:r>
      <w:r w:rsidR="00035719" w:rsidRPr="002B30A1">
        <w:t>.</w:t>
      </w:r>
      <w:r w:rsidR="00035719" w:rsidRPr="0024375B">
        <w:rPr>
          <w:bCs/>
        </w:rPr>
        <w:t xml:space="preserve"> </w:t>
      </w:r>
    </w:p>
    <w:p w14:paraId="51432665" w14:textId="5F61F2BE" w:rsidR="004D1B48" w:rsidRPr="0024375B" w:rsidRDefault="004D1B48" w:rsidP="0024375B">
      <w:pPr>
        <w:spacing w:before="120" w:after="120"/>
        <w:ind w:firstLine="510"/>
        <w:jc w:val="both"/>
        <w:rPr>
          <w:rFonts w:cs="Times New Roman"/>
        </w:rPr>
      </w:pPr>
      <w:r w:rsidRPr="0024375B">
        <w:rPr>
          <w:rFonts w:cs="Times New Roman"/>
        </w:rPr>
        <w:t>W sytuacjach nadzwyczajnych wzrasta potrzeba przekazywania sygnałów pomiędzy podmiotami</w:t>
      </w:r>
      <w:r w:rsidR="00DB44AE" w:rsidRPr="0024375B">
        <w:rPr>
          <w:rFonts w:cs="Times New Roman"/>
        </w:rPr>
        <w:t xml:space="preserve"> </w:t>
      </w:r>
      <w:r w:rsidRPr="0024375B">
        <w:rPr>
          <w:rFonts w:cs="Times New Roman"/>
        </w:rPr>
        <w:t>realizującymi zadania</w:t>
      </w:r>
      <w:r w:rsidR="002161FE">
        <w:rPr>
          <w:rFonts w:cs="Times New Roman"/>
        </w:rPr>
        <w:t xml:space="preserve"> z </w:t>
      </w:r>
      <w:r w:rsidRPr="0024375B">
        <w:rPr>
          <w:rFonts w:cs="Times New Roman"/>
        </w:rPr>
        <w:t>obszaru bezpieczeństwa państwa, porządku publicznego czy zarządzania kryzysowego. Czasowo może się okazać, że</w:t>
      </w:r>
      <w:r w:rsidR="00EA1900">
        <w:rPr>
          <w:rFonts w:cs="Times New Roman"/>
        </w:rPr>
        <w:t xml:space="preserve"> w </w:t>
      </w:r>
      <w:r w:rsidRPr="0024375B">
        <w:rPr>
          <w:rFonts w:cs="Times New Roman"/>
        </w:rPr>
        <w:t>takich sytuacjach, świadczący usługi tym podmiotom, OSSB nie dysponuje wystarczającymi zasobami częstotliwości, by zapewnić sprawną łączność wszystkim podmiotom zobowiązanym do działania</w:t>
      </w:r>
      <w:r w:rsidR="00EA1900">
        <w:rPr>
          <w:rFonts w:cs="Times New Roman"/>
        </w:rPr>
        <w:t xml:space="preserve"> w </w:t>
      </w:r>
      <w:r w:rsidRPr="0024375B">
        <w:rPr>
          <w:rFonts w:cs="Times New Roman"/>
        </w:rPr>
        <w:t xml:space="preserve">sytuacjach nadzwyczajnych na określonym obszarze. Dlatego uprawnia się </w:t>
      </w:r>
      <w:r w:rsidR="009118EF">
        <w:rPr>
          <w:rFonts w:cs="Times New Roman"/>
        </w:rPr>
        <w:t>Prezesa UKE</w:t>
      </w:r>
      <w:r w:rsidR="009118EF" w:rsidRPr="0024375B">
        <w:rPr>
          <w:rFonts w:cs="Times New Roman"/>
        </w:rPr>
        <w:t xml:space="preserve"> </w:t>
      </w:r>
      <w:r w:rsidRPr="0024375B">
        <w:rPr>
          <w:rFonts w:cs="Times New Roman"/>
        </w:rPr>
        <w:t xml:space="preserve">do </w:t>
      </w:r>
      <w:r w:rsidR="009118EF">
        <w:rPr>
          <w:rFonts w:cs="Times New Roman"/>
        </w:rPr>
        <w:t>nałożenia w drodze decyzji administracyjnej na</w:t>
      </w:r>
      <w:r w:rsidRPr="0024375B">
        <w:rPr>
          <w:rFonts w:cs="Times New Roman"/>
        </w:rPr>
        <w:t xml:space="preserve"> podmiot dysponując</w:t>
      </w:r>
      <w:r w:rsidR="009118EF">
        <w:rPr>
          <w:rFonts w:cs="Times New Roman"/>
        </w:rPr>
        <w:t>y</w:t>
      </w:r>
      <w:r w:rsidRPr="0024375B">
        <w:rPr>
          <w:rFonts w:cs="Times New Roman"/>
        </w:rPr>
        <w:t xml:space="preserve"> rezerwacją częstotliwości</w:t>
      </w:r>
      <w:r w:rsidR="002161FE">
        <w:rPr>
          <w:rFonts w:cs="Times New Roman"/>
        </w:rPr>
        <w:t xml:space="preserve"> z </w:t>
      </w:r>
      <w:r w:rsidRPr="0024375B">
        <w:rPr>
          <w:rFonts w:cs="Times New Roman"/>
        </w:rPr>
        <w:t>zakresu 713</w:t>
      </w:r>
      <w:r w:rsidR="00B60E0C">
        <w:rPr>
          <w:rFonts w:cs="Times New Roman"/>
        </w:rPr>
        <w:t>–</w:t>
      </w:r>
      <w:r w:rsidRPr="0024375B">
        <w:rPr>
          <w:rFonts w:cs="Times New Roman"/>
        </w:rPr>
        <w:t>733 MHz oraz 768</w:t>
      </w:r>
      <w:r w:rsidR="00B60E0C">
        <w:rPr>
          <w:rFonts w:cs="Times New Roman"/>
        </w:rPr>
        <w:t>–</w:t>
      </w:r>
      <w:r w:rsidRPr="0024375B">
        <w:rPr>
          <w:rFonts w:cs="Times New Roman"/>
        </w:rPr>
        <w:t>788 MHz udostępnienia zasobów częstotliwości</w:t>
      </w:r>
      <w:r w:rsidR="002161FE">
        <w:rPr>
          <w:rFonts w:cs="Times New Roman"/>
        </w:rPr>
        <w:t xml:space="preserve"> z </w:t>
      </w:r>
      <w:r w:rsidRPr="0024375B">
        <w:rPr>
          <w:rFonts w:cs="Times New Roman"/>
        </w:rPr>
        <w:t>tego zakresu</w:t>
      </w:r>
      <w:r w:rsidR="009118EF">
        <w:rPr>
          <w:rFonts w:cs="Times New Roman"/>
        </w:rPr>
        <w:t xml:space="preserve"> na rzecz OSSB</w:t>
      </w:r>
      <w:r w:rsidRPr="0024375B">
        <w:rPr>
          <w:rFonts w:cs="Times New Roman"/>
        </w:rPr>
        <w:t xml:space="preserve">. Uprawnienie to przysługuje, jeżeli wystąpi sytuacja szczególnego zagrożenia </w:t>
      </w:r>
      <w:r w:rsidRPr="0024375B">
        <w:rPr>
          <w:rFonts w:cs="Times New Roman"/>
        </w:rPr>
        <w:lastRenderedPageBreak/>
        <w:t>oraz gdy OSSB wykorzysta możliwości świadczenia usług</w:t>
      </w:r>
      <w:r w:rsidR="00EA1900">
        <w:rPr>
          <w:rFonts w:cs="Times New Roman"/>
        </w:rPr>
        <w:t xml:space="preserve"> w </w:t>
      </w:r>
      <w:r w:rsidRPr="0024375B">
        <w:rPr>
          <w:rFonts w:cs="Times New Roman"/>
        </w:rPr>
        <w:t>zakresie częstotliwości 703</w:t>
      </w:r>
      <w:r w:rsidR="00B60E0C">
        <w:rPr>
          <w:rFonts w:cs="Times New Roman"/>
        </w:rPr>
        <w:t>–</w:t>
      </w:r>
      <w:r w:rsidRPr="0024375B">
        <w:rPr>
          <w:rFonts w:cs="Times New Roman"/>
        </w:rPr>
        <w:t>713 MHz</w:t>
      </w:r>
      <w:r w:rsidR="002161FE">
        <w:rPr>
          <w:rFonts w:cs="Times New Roman"/>
        </w:rPr>
        <w:t xml:space="preserve"> i </w:t>
      </w:r>
      <w:r w:rsidRPr="0024375B">
        <w:rPr>
          <w:rFonts w:cs="Times New Roman"/>
        </w:rPr>
        <w:t xml:space="preserve">758-768 MHz. </w:t>
      </w:r>
      <w:r w:rsidR="009118EF">
        <w:rPr>
          <w:rFonts w:cs="Times New Roman"/>
        </w:rPr>
        <w:t xml:space="preserve">Decyzja ta będzie wydawana na uzasadniony wniosek OSSB, który będzie zawierał opis sytuacji szczególnego zagrożenia, </w:t>
      </w:r>
      <w:r w:rsidR="009118EF" w:rsidRPr="009118EF">
        <w:rPr>
          <w:rFonts w:cs="Times New Roman"/>
        </w:rPr>
        <w:t>wskazanie przyczyn pełnego wykorzystania możliwości świadczenia usług w zakresie częstotliwości 703–713 MHz i 758–768 MHz</w:t>
      </w:r>
      <w:r w:rsidR="009118EF" w:rsidRPr="009118EF">
        <w:t xml:space="preserve"> </w:t>
      </w:r>
      <w:r w:rsidR="009118EF">
        <w:t xml:space="preserve">i </w:t>
      </w:r>
      <w:r w:rsidR="009118EF" w:rsidRPr="009118EF">
        <w:rPr>
          <w:rFonts w:cs="Times New Roman"/>
        </w:rPr>
        <w:t>wskazanie obszaru, na którym wystąpiła sytuacja szczególnego zagrożenia</w:t>
      </w:r>
      <w:r w:rsidR="009118EF">
        <w:rPr>
          <w:rFonts w:cs="Times New Roman"/>
        </w:rPr>
        <w:t>. Decyzja Prezesa UKE będzie wydana na czas określony, nie dłuższy niż czas trwania sytuacji szczególnego zagrożenia i nie dłużej niż 72 godziny. Będzie miała ona rygor natychmiastowej wykonalności.</w:t>
      </w:r>
    </w:p>
    <w:p w14:paraId="1824CD88" w14:textId="77777777" w:rsidR="004D1B48" w:rsidRPr="0024375B" w:rsidRDefault="004D1B48" w:rsidP="0024375B">
      <w:pPr>
        <w:spacing w:before="120" w:after="120"/>
        <w:ind w:firstLine="510"/>
        <w:jc w:val="both"/>
        <w:rPr>
          <w:rFonts w:cs="Times New Roman"/>
        </w:rPr>
      </w:pPr>
      <w:r w:rsidRPr="0024375B">
        <w:rPr>
          <w:rFonts w:cs="Times New Roman"/>
        </w:rPr>
        <w:t>Podmiot dysponujący tymi częstotliwościami będzie musiał niezwłocznie, nie później niż</w:t>
      </w:r>
      <w:r w:rsidR="00EA1900">
        <w:rPr>
          <w:rFonts w:cs="Times New Roman"/>
        </w:rPr>
        <w:t xml:space="preserve"> w </w:t>
      </w:r>
      <w:r w:rsidRPr="0024375B">
        <w:rPr>
          <w:rFonts w:cs="Times New Roman"/>
        </w:rPr>
        <w:t>ciągu 1 godziny, udostępnić Operatorowi strategicznej sieci bezpieczeństwa zasoby częstotliwości</w:t>
      </w:r>
      <w:r w:rsidR="002161FE">
        <w:rPr>
          <w:rFonts w:cs="Times New Roman"/>
        </w:rPr>
        <w:t xml:space="preserve"> z </w:t>
      </w:r>
      <w:r w:rsidRPr="0024375B">
        <w:rPr>
          <w:rFonts w:cs="Times New Roman"/>
        </w:rPr>
        <w:t>zakresu 713</w:t>
      </w:r>
      <w:r w:rsidR="00B60E0C">
        <w:rPr>
          <w:rFonts w:cs="Times New Roman"/>
        </w:rPr>
        <w:t>–</w:t>
      </w:r>
      <w:r w:rsidRPr="0024375B">
        <w:rPr>
          <w:rFonts w:cs="Times New Roman"/>
        </w:rPr>
        <w:t>733 MHz oraz 768</w:t>
      </w:r>
      <w:r w:rsidR="00B60E0C">
        <w:rPr>
          <w:rFonts w:cs="Times New Roman"/>
        </w:rPr>
        <w:t>–</w:t>
      </w:r>
      <w:r w:rsidRPr="0024375B">
        <w:rPr>
          <w:rFonts w:cs="Times New Roman"/>
        </w:rPr>
        <w:t>788 MHz. Wprowadza się tutaj wyjątek – nie będą mogły być</w:t>
      </w:r>
      <w:r w:rsidR="00EA1900">
        <w:rPr>
          <w:rFonts w:cs="Times New Roman"/>
        </w:rPr>
        <w:t xml:space="preserve"> w </w:t>
      </w:r>
      <w:r w:rsidRPr="0024375B">
        <w:rPr>
          <w:rFonts w:cs="Times New Roman"/>
        </w:rPr>
        <w:t xml:space="preserve">ten sposób udostępnione częstotliwości wcześniej udostępnione Siłom Zbrojnym RP. </w:t>
      </w:r>
    </w:p>
    <w:p w14:paraId="56ED8FE7" w14:textId="77777777" w:rsidR="004D1B48" w:rsidRDefault="004D1B48" w:rsidP="0024375B">
      <w:pPr>
        <w:spacing w:before="120" w:after="120"/>
        <w:ind w:firstLine="510"/>
        <w:jc w:val="both"/>
        <w:rPr>
          <w:rFonts w:cs="Times New Roman"/>
        </w:rPr>
      </w:pPr>
      <w:r w:rsidRPr="0024375B">
        <w:rPr>
          <w:rFonts w:cs="Times New Roman"/>
        </w:rPr>
        <w:t>OSSB będzie obowiązany udostępnić Siłom Zbrojnym RP udostępnione mu przez podmiot dysponujący rezerwacją częstotliwości</w:t>
      </w:r>
      <w:r w:rsidR="002161FE">
        <w:rPr>
          <w:rFonts w:cs="Times New Roman"/>
        </w:rPr>
        <w:t xml:space="preserve"> z </w:t>
      </w:r>
      <w:r w:rsidRPr="0024375B">
        <w:rPr>
          <w:rFonts w:cs="Times New Roman"/>
        </w:rPr>
        <w:t>zakresu 713</w:t>
      </w:r>
      <w:r w:rsidR="00B60E0C">
        <w:rPr>
          <w:rFonts w:cs="Times New Roman"/>
        </w:rPr>
        <w:t>–</w:t>
      </w:r>
      <w:r w:rsidRPr="0024375B">
        <w:rPr>
          <w:rFonts w:cs="Times New Roman"/>
        </w:rPr>
        <w:t>733 MHz oraz 768</w:t>
      </w:r>
      <w:r w:rsidR="00B60E0C">
        <w:rPr>
          <w:rFonts w:cs="Times New Roman"/>
        </w:rPr>
        <w:t>–</w:t>
      </w:r>
      <w:r w:rsidRPr="0024375B">
        <w:rPr>
          <w:rFonts w:cs="Times New Roman"/>
        </w:rPr>
        <w:t>788 MHz zasoby częstotliwości</w:t>
      </w:r>
      <w:r w:rsidR="002161FE">
        <w:rPr>
          <w:rFonts w:cs="Times New Roman"/>
        </w:rPr>
        <w:t xml:space="preserve"> z </w:t>
      </w:r>
      <w:r w:rsidRPr="0024375B">
        <w:rPr>
          <w:rFonts w:cs="Times New Roman"/>
        </w:rPr>
        <w:t>tego zakresu niezwłocznie, nie później niż</w:t>
      </w:r>
      <w:r w:rsidR="00EA1900">
        <w:rPr>
          <w:rFonts w:cs="Times New Roman"/>
        </w:rPr>
        <w:t xml:space="preserve"> w </w:t>
      </w:r>
      <w:r w:rsidRPr="0024375B">
        <w:rPr>
          <w:rFonts w:cs="Times New Roman"/>
        </w:rPr>
        <w:t xml:space="preserve">ciągu jednej godziny, na czas na jaki zostały mu udostępnione. </w:t>
      </w:r>
    </w:p>
    <w:p w14:paraId="72B68547" w14:textId="4BAA537E" w:rsidR="009118EF" w:rsidRDefault="009118EF" w:rsidP="0024375B">
      <w:pPr>
        <w:spacing w:before="120" w:after="120"/>
        <w:ind w:firstLine="510"/>
        <w:jc w:val="both"/>
        <w:rPr>
          <w:rFonts w:cs="Times New Roman"/>
        </w:rPr>
      </w:pPr>
      <w:r w:rsidRPr="009118EF">
        <w:rPr>
          <w:rFonts w:cs="Times New Roman"/>
        </w:rPr>
        <w:t xml:space="preserve">W przypadku udostępnienia częstotliwości </w:t>
      </w:r>
      <w:r w:rsidR="0081106F">
        <w:rPr>
          <w:rFonts w:cs="Times New Roman"/>
        </w:rPr>
        <w:t>o</w:t>
      </w:r>
      <w:r w:rsidRPr="009118EF">
        <w:rPr>
          <w:rFonts w:cs="Times New Roman"/>
        </w:rPr>
        <w:t>peratorowi strategicznej sieci bezpieczeństwa, przedsiębiorca telekomunikacyjny nie uiszcza opłaty za prawo dysponowania częstotliwością, za okres udostępnienia częstotliwości</w:t>
      </w:r>
    </w:p>
    <w:p w14:paraId="5F23F85E" w14:textId="77777777" w:rsidR="009118EF" w:rsidRPr="0024375B" w:rsidRDefault="009118EF" w:rsidP="00FC6B8C">
      <w:pPr>
        <w:tabs>
          <w:tab w:val="left" w:pos="7032"/>
        </w:tabs>
        <w:spacing w:before="120" w:after="120"/>
        <w:ind w:firstLine="510"/>
        <w:jc w:val="both"/>
        <w:rPr>
          <w:rFonts w:cs="Times New Roman"/>
        </w:rPr>
      </w:pPr>
      <w:r>
        <w:rPr>
          <w:rFonts w:cs="Times New Roman"/>
        </w:rPr>
        <w:t>Wprowadza się także regulację odszkodowawczą - d</w:t>
      </w:r>
      <w:r w:rsidRPr="009118EF">
        <w:rPr>
          <w:rFonts w:cs="Times New Roman"/>
        </w:rPr>
        <w:t>o roszczenia o odszkodowanie z tytułu strat poniesionych przez przedsiębiorcę telekomunikacyjnego wskutek wydania decyzji</w:t>
      </w:r>
      <w:r>
        <w:rPr>
          <w:rFonts w:cs="Times New Roman"/>
        </w:rPr>
        <w:t xml:space="preserve"> </w:t>
      </w:r>
      <w:r w:rsidRPr="009118EF">
        <w:rPr>
          <w:rFonts w:cs="Times New Roman"/>
        </w:rPr>
        <w:t>stosuje się odpowiednio przepisy ustawy z dnia 22 listopada 2002 r. o wyrównywaniu strat majątkowych wynikających z ograniczenia w czasie stanu nadzwyczajnego wolności i praw człowieka i obywatela (Dz. U. poz. 1955).</w:t>
      </w:r>
    </w:p>
    <w:p w14:paraId="01FC067E" w14:textId="77777777" w:rsidR="003A6DBF" w:rsidRPr="0024375B" w:rsidRDefault="004D1B48" w:rsidP="0024375B">
      <w:pPr>
        <w:spacing w:before="120" w:after="120"/>
        <w:ind w:firstLine="510"/>
        <w:jc w:val="both"/>
      </w:pPr>
      <w:r w:rsidRPr="0024375B">
        <w:rPr>
          <w:rFonts w:cs="Times New Roman"/>
        </w:rPr>
        <w:t xml:space="preserve">Proponowane rozwiązanie dotyczy sytuacji nagłych, kryzysowych, niebezpiecznych, gdy OSSB </w:t>
      </w:r>
      <w:r w:rsidR="009C253C" w:rsidRPr="0024375B">
        <w:rPr>
          <w:rFonts w:cs="Times New Roman"/>
        </w:rPr>
        <w:t xml:space="preserve">nie </w:t>
      </w:r>
      <w:r w:rsidRPr="0024375B">
        <w:rPr>
          <w:rFonts w:cs="Times New Roman"/>
        </w:rPr>
        <w:t>ma wystarczających zasobów do realizacji zwiększonego zapotrzebowania na jego usługi. Obwarowane jest szczególnymi przesłankami. Udostępnienie częstotliwości jest ograniczone czasowo do okresu trwania sytuacji szczególnego zagrożenia – po tym czasie OSSB ma obowiązek zwolnić zasoby. Z tych powodów należy uznać to rozwiązanie za proporcjonalne</w:t>
      </w:r>
      <w:r w:rsidR="009C253C" w:rsidRPr="0024375B">
        <w:rPr>
          <w:rFonts w:cs="Times New Roman"/>
          <w:bCs/>
        </w:rPr>
        <w:t>.</w:t>
      </w:r>
    </w:p>
    <w:p w14:paraId="3C91C92B" w14:textId="77777777" w:rsidR="00B534FF" w:rsidRPr="002B30A1" w:rsidRDefault="00B534FF" w:rsidP="00DC1575">
      <w:pPr>
        <w:pStyle w:val="Nagwek4"/>
      </w:pPr>
      <w:r w:rsidRPr="00713E1C">
        <w:t xml:space="preserve">Nowy </w:t>
      </w:r>
      <w:r w:rsidRPr="00C87FE1">
        <w:t>a</w:t>
      </w:r>
      <w:r w:rsidR="003A6DBF" w:rsidRPr="004652A8">
        <w:t>rt. 76</w:t>
      </w:r>
      <w:r w:rsidR="00AF03E5">
        <w:t>o</w:t>
      </w:r>
      <w:r w:rsidR="00035719" w:rsidRPr="002B30A1">
        <w:t xml:space="preserve">. </w:t>
      </w:r>
    </w:p>
    <w:p w14:paraId="3FDF55B5" w14:textId="6051D4E6" w:rsidR="004D1FAE" w:rsidRDefault="004D1FAE" w:rsidP="0024375B">
      <w:pPr>
        <w:spacing w:before="120" w:after="120"/>
        <w:ind w:firstLine="510"/>
        <w:jc w:val="both"/>
        <w:rPr>
          <w:rFonts w:cs="Times New Roman"/>
          <w:szCs w:val="24"/>
        </w:rPr>
      </w:pPr>
      <w:r w:rsidRPr="0024375B">
        <w:rPr>
          <w:rFonts w:cs="Times New Roman"/>
          <w:szCs w:val="24"/>
        </w:rPr>
        <w:t>Reguluje obowiązek operatorów telekomunikacyjnych określenia kanału komunikacji</w:t>
      </w:r>
      <w:r w:rsidR="002161FE">
        <w:rPr>
          <w:rFonts w:cs="Times New Roman"/>
          <w:szCs w:val="24"/>
        </w:rPr>
        <w:t xml:space="preserve"> z </w:t>
      </w:r>
      <w:r w:rsidR="0081106F">
        <w:rPr>
          <w:rFonts w:cs="Times New Roman"/>
          <w:szCs w:val="24"/>
        </w:rPr>
        <w:t>o</w:t>
      </w:r>
      <w:r w:rsidRPr="0024375B">
        <w:rPr>
          <w:rFonts w:cs="Times New Roman"/>
          <w:szCs w:val="24"/>
        </w:rPr>
        <w:t>peratorem strategicznej sieci bezpieczeństwa. Gwarantuje to, że</w:t>
      </w:r>
      <w:r w:rsidR="00EA1900">
        <w:rPr>
          <w:rFonts w:cs="Times New Roman"/>
          <w:szCs w:val="24"/>
        </w:rPr>
        <w:t xml:space="preserve"> w </w:t>
      </w:r>
      <w:r w:rsidRPr="0024375B">
        <w:rPr>
          <w:rFonts w:cs="Times New Roman"/>
          <w:szCs w:val="24"/>
        </w:rPr>
        <w:t>przypadku wystąpienia sytuacji kryzysowej Operator będzie</w:t>
      </w:r>
      <w:r w:rsidR="00EA1900">
        <w:rPr>
          <w:rFonts w:cs="Times New Roman"/>
          <w:szCs w:val="24"/>
        </w:rPr>
        <w:t xml:space="preserve"> w </w:t>
      </w:r>
      <w:r w:rsidRPr="0024375B">
        <w:rPr>
          <w:rFonts w:cs="Times New Roman"/>
          <w:szCs w:val="24"/>
        </w:rPr>
        <w:t>stanie szybko skontaktować się</w:t>
      </w:r>
      <w:r w:rsidR="002161FE">
        <w:rPr>
          <w:rFonts w:cs="Times New Roman"/>
          <w:szCs w:val="24"/>
        </w:rPr>
        <w:t xml:space="preserve"> z </w:t>
      </w:r>
      <w:r w:rsidRPr="0024375B">
        <w:rPr>
          <w:rFonts w:cs="Times New Roman"/>
          <w:szCs w:val="24"/>
        </w:rPr>
        <w:t>operatorami telekomunikacyjnymi</w:t>
      </w:r>
      <w:r w:rsidR="002161FE">
        <w:rPr>
          <w:rFonts w:cs="Times New Roman"/>
          <w:szCs w:val="24"/>
        </w:rPr>
        <w:t xml:space="preserve"> i </w:t>
      </w:r>
      <w:r w:rsidRPr="0024375B">
        <w:rPr>
          <w:rFonts w:cs="Times New Roman"/>
          <w:szCs w:val="24"/>
        </w:rPr>
        <w:t xml:space="preserve">zareagować na kryzys. </w:t>
      </w:r>
    </w:p>
    <w:p w14:paraId="75E7DE7C" w14:textId="77777777" w:rsidR="00B534FF" w:rsidRPr="00905885" w:rsidRDefault="00B534FF" w:rsidP="00DC1575">
      <w:pPr>
        <w:pStyle w:val="Nagwek4"/>
      </w:pPr>
      <w:r w:rsidRPr="00713E1C">
        <w:t>Nowy</w:t>
      </w:r>
      <w:r w:rsidR="00EA1900">
        <w:t xml:space="preserve"> art. </w:t>
      </w:r>
      <w:r w:rsidRPr="00713E1C">
        <w:t>76</w:t>
      </w:r>
      <w:r w:rsidR="00AF03E5">
        <w:t>p</w:t>
      </w:r>
    </w:p>
    <w:p w14:paraId="5B4F442A" w14:textId="3E616A60" w:rsidR="004D1FAE" w:rsidRDefault="004D1FAE" w:rsidP="0024375B">
      <w:pPr>
        <w:spacing w:before="120" w:after="120"/>
        <w:ind w:firstLine="510"/>
        <w:jc w:val="both"/>
        <w:rPr>
          <w:rFonts w:cs="Times New Roman"/>
          <w:szCs w:val="24"/>
        </w:rPr>
      </w:pPr>
      <w:r w:rsidRPr="0024375B">
        <w:rPr>
          <w:rFonts w:cs="Times New Roman"/>
          <w:szCs w:val="24"/>
        </w:rPr>
        <w:t>Art. 76</w:t>
      </w:r>
      <w:r w:rsidR="00AF03E5">
        <w:rPr>
          <w:rFonts w:cs="Times New Roman"/>
          <w:szCs w:val="24"/>
        </w:rPr>
        <w:t>p</w:t>
      </w:r>
      <w:r w:rsidRPr="0024375B">
        <w:rPr>
          <w:rFonts w:cs="Times New Roman"/>
          <w:szCs w:val="24"/>
        </w:rPr>
        <w:t xml:space="preserve"> określa, że</w:t>
      </w:r>
      <w:r w:rsidR="00EA1900">
        <w:rPr>
          <w:rFonts w:cs="Times New Roman"/>
          <w:szCs w:val="24"/>
        </w:rPr>
        <w:t xml:space="preserve"> w </w:t>
      </w:r>
      <w:r w:rsidRPr="0024375B">
        <w:rPr>
          <w:rFonts w:cs="Times New Roman"/>
          <w:szCs w:val="24"/>
        </w:rPr>
        <w:t>zakresie nieuregulowanym</w:t>
      </w:r>
      <w:r w:rsidR="00EA1900">
        <w:rPr>
          <w:rFonts w:cs="Times New Roman"/>
          <w:szCs w:val="24"/>
        </w:rPr>
        <w:t xml:space="preserve"> w </w:t>
      </w:r>
      <w:r w:rsidRPr="0024375B">
        <w:rPr>
          <w:rFonts w:cs="Times New Roman"/>
          <w:szCs w:val="24"/>
        </w:rPr>
        <w:t xml:space="preserve">niniejszej ustawie do </w:t>
      </w:r>
      <w:r w:rsidR="0081106F">
        <w:rPr>
          <w:rFonts w:cs="Times New Roman"/>
          <w:szCs w:val="24"/>
        </w:rPr>
        <w:t>o</w:t>
      </w:r>
      <w:r w:rsidRPr="0024375B">
        <w:rPr>
          <w:rFonts w:cs="Times New Roman"/>
          <w:szCs w:val="24"/>
        </w:rPr>
        <w:t xml:space="preserve">peratora strategicznej sieci bezpieczeństwa stosuje się </w:t>
      </w:r>
      <w:r w:rsidR="00245D9A">
        <w:rPr>
          <w:rFonts w:cs="Times New Roman"/>
          <w:szCs w:val="24"/>
        </w:rPr>
        <w:t xml:space="preserve">odpowiednio </w:t>
      </w:r>
      <w:r w:rsidRPr="0024375B">
        <w:rPr>
          <w:rFonts w:cs="Times New Roman"/>
          <w:szCs w:val="24"/>
        </w:rPr>
        <w:t xml:space="preserve">przepisy ustawy – Prawo </w:t>
      </w:r>
      <w:r w:rsidR="009118EF">
        <w:rPr>
          <w:rFonts w:cs="Times New Roman"/>
          <w:szCs w:val="24"/>
        </w:rPr>
        <w:t>komunikacji elektronicznej</w:t>
      </w:r>
      <w:r w:rsidRPr="0024375B">
        <w:rPr>
          <w:rFonts w:cs="Times New Roman"/>
          <w:szCs w:val="24"/>
        </w:rPr>
        <w:t xml:space="preserve">. Oznacza to, że </w:t>
      </w:r>
      <w:r w:rsidRPr="0024375B">
        <w:rPr>
          <w:rFonts w:cs="Times New Roman"/>
          <w:szCs w:val="24"/>
        </w:rPr>
        <w:lastRenderedPageBreak/>
        <w:t>operator strategicznej sieci bezpieczeństwa posiada takie same prawa</w:t>
      </w:r>
      <w:r w:rsidR="002161FE">
        <w:rPr>
          <w:rFonts w:cs="Times New Roman"/>
          <w:szCs w:val="24"/>
        </w:rPr>
        <w:t xml:space="preserve"> i </w:t>
      </w:r>
      <w:r w:rsidRPr="0024375B">
        <w:rPr>
          <w:rFonts w:cs="Times New Roman"/>
          <w:szCs w:val="24"/>
        </w:rPr>
        <w:t>obowiązki jak pozostali operatorzy telekomunikacyjni,</w:t>
      </w:r>
      <w:r w:rsidR="002161FE">
        <w:rPr>
          <w:rFonts w:cs="Times New Roman"/>
          <w:szCs w:val="24"/>
        </w:rPr>
        <w:t xml:space="preserve"> z </w:t>
      </w:r>
      <w:r w:rsidRPr="0024375B">
        <w:rPr>
          <w:rFonts w:cs="Times New Roman"/>
          <w:szCs w:val="24"/>
        </w:rPr>
        <w:t>wyjątkiem kwestii uregulowanych</w:t>
      </w:r>
      <w:r w:rsidR="00EA1900">
        <w:rPr>
          <w:rFonts w:cs="Times New Roman"/>
          <w:szCs w:val="24"/>
        </w:rPr>
        <w:t xml:space="preserve"> w </w:t>
      </w:r>
      <w:r w:rsidRPr="0024375B">
        <w:rPr>
          <w:rFonts w:cs="Times New Roman"/>
          <w:szCs w:val="24"/>
        </w:rPr>
        <w:t xml:space="preserve">niniejszej ustawie. </w:t>
      </w:r>
    </w:p>
    <w:p w14:paraId="0AF6E8AF" w14:textId="77777777" w:rsidR="00B534FF" w:rsidRPr="00905885" w:rsidRDefault="00B534FF" w:rsidP="00DC1575">
      <w:pPr>
        <w:pStyle w:val="Nagwek4"/>
      </w:pPr>
      <w:r w:rsidRPr="00713E1C">
        <w:t>Nowy</w:t>
      </w:r>
      <w:r w:rsidR="00EA1900">
        <w:t xml:space="preserve"> art. </w:t>
      </w:r>
      <w:r w:rsidRPr="00713E1C">
        <w:t>76</w:t>
      </w:r>
      <w:r w:rsidR="00AF03E5">
        <w:t>q</w:t>
      </w:r>
    </w:p>
    <w:p w14:paraId="3D494ADB" w14:textId="3A3AB127" w:rsidR="003A6DBF" w:rsidRPr="0024375B" w:rsidRDefault="00210D3D" w:rsidP="0024375B">
      <w:pPr>
        <w:spacing w:before="120" w:after="120"/>
        <w:ind w:firstLine="510"/>
        <w:jc w:val="both"/>
        <w:rPr>
          <w:rFonts w:cs="Times New Roman"/>
          <w:szCs w:val="24"/>
        </w:rPr>
      </w:pPr>
      <w:r w:rsidRPr="0024375B">
        <w:rPr>
          <w:rFonts w:cs="Times New Roman"/>
          <w:szCs w:val="24"/>
        </w:rPr>
        <w:t>Art. 76</w:t>
      </w:r>
      <w:r w:rsidR="00AF03E5">
        <w:rPr>
          <w:rFonts w:cs="Times New Roman"/>
          <w:szCs w:val="24"/>
        </w:rPr>
        <w:t>q</w:t>
      </w:r>
      <w:r w:rsidR="0052339B" w:rsidRPr="0024375B">
        <w:rPr>
          <w:rFonts w:cs="Times New Roman"/>
          <w:szCs w:val="24"/>
        </w:rPr>
        <w:t xml:space="preserve"> </w:t>
      </w:r>
      <w:r w:rsidR="003A6DBF" w:rsidRPr="0024375B">
        <w:rPr>
          <w:rFonts w:cs="Times New Roman"/>
          <w:szCs w:val="24"/>
        </w:rPr>
        <w:t>zawiera kompetencj</w:t>
      </w:r>
      <w:r w:rsidR="0048687E">
        <w:rPr>
          <w:rFonts w:cs="Times New Roman"/>
          <w:szCs w:val="24"/>
        </w:rPr>
        <w:t>ę dla</w:t>
      </w:r>
      <w:r w:rsidR="003A6DBF" w:rsidRPr="0024375B">
        <w:rPr>
          <w:rFonts w:cs="Times New Roman"/>
          <w:szCs w:val="24"/>
        </w:rPr>
        <w:t xml:space="preserve"> Prezesa Rady Ministrów, który może,</w:t>
      </w:r>
      <w:r w:rsidR="00EA1900">
        <w:rPr>
          <w:rFonts w:cs="Times New Roman"/>
          <w:szCs w:val="24"/>
        </w:rPr>
        <w:t xml:space="preserve"> w </w:t>
      </w:r>
      <w:r w:rsidR="003A6DBF" w:rsidRPr="0024375B">
        <w:rPr>
          <w:rFonts w:cs="Times New Roman"/>
          <w:szCs w:val="24"/>
        </w:rPr>
        <w:t>przypadku utraty przez OSSB co najmniej jednego</w:t>
      </w:r>
      <w:r w:rsidR="002161FE">
        <w:rPr>
          <w:rFonts w:cs="Times New Roman"/>
          <w:szCs w:val="24"/>
        </w:rPr>
        <w:t xml:space="preserve"> z </w:t>
      </w:r>
      <w:r w:rsidR="003A6DBF" w:rsidRPr="0024375B">
        <w:rPr>
          <w:rFonts w:cs="Times New Roman"/>
          <w:szCs w:val="24"/>
        </w:rPr>
        <w:t>przymiotów niezbędnych do jego wyznaczenia,</w:t>
      </w:r>
      <w:r w:rsidR="00EA1900">
        <w:rPr>
          <w:rFonts w:cs="Times New Roman"/>
          <w:szCs w:val="24"/>
        </w:rPr>
        <w:t xml:space="preserve"> w </w:t>
      </w:r>
      <w:r w:rsidR="003A6DBF" w:rsidRPr="0024375B">
        <w:rPr>
          <w:rFonts w:cs="Times New Roman"/>
          <w:szCs w:val="24"/>
        </w:rPr>
        <w:t xml:space="preserve">drodze zarządzenia odwołać OSSB, oraz wyznaczyć nowego </w:t>
      </w:r>
      <w:r w:rsidR="007F37C6">
        <w:rPr>
          <w:rFonts w:cs="Times New Roman"/>
          <w:szCs w:val="24"/>
        </w:rPr>
        <w:t>o</w:t>
      </w:r>
      <w:r w:rsidR="003A6DBF" w:rsidRPr="0024375B">
        <w:rPr>
          <w:rFonts w:cs="Times New Roman"/>
          <w:szCs w:val="24"/>
        </w:rPr>
        <w:t>peratora strategicznej sieci bezpieczeństwa (art. 76</w:t>
      </w:r>
      <w:r w:rsidR="00AF03E5">
        <w:rPr>
          <w:rFonts w:cs="Times New Roman"/>
          <w:szCs w:val="24"/>
        </w:rPr>
        <w:t>q</w:t>
      </w:r>
      <w:r w:rsidR="003A6DBF" w:rsidRPr="0024375B" w:rsidDel="00B34783">
        <w:rPr>
          <w:rFonts w:cs="Times New Roman"/>
          <w:szCs w:val="24"/>
        </w:rPr>
        <w:t xml:space="preserve"> </w:t>
      </w:r>
      <w:r w:rsidR="00D00CB4">
        <w:rPr>
          <w:rFonts w:cs="Times New Roman"/>
          <w:szCs w:val="24"/>
        </w:rPr>
        <w:t>ust. </w:t>
      </w:r>
      <w:r w:rsidR="003A6DBF" w:rsidRPr="0024375B">
        <w:rPr>
          <w:rFonts w:cs="Times New Roman"/>
          <w:szCs w:val="24"/>
        </w:rPr>
        <w:t>1), także</w:t>
      </w:r>
      <w:r w:rsidR="002161FE">
        <w:rPr>
          <w:rFonts w:cs="Times New Roman"/>
          <w:szCs w:val="24"/>
        </w:rPr>
        <w:t xml:space="preserve"> z </w:t>
      </w:r>
      <w:r w:rsidR="003A6DBF" w:rsidRPr="0024375B">
        <w:rPr>
          <w:rFonts w:cs="Times New Roman"/>
          <w:szCs w:val="24"/>
        </w:rPr>
        <w:t>określeniem terminu skuteczności obu czynności (art. 76</w:t>
      </w:r>
      <w:r w:rsidR="00B534FF">
        <w:rPr>
          <w:rFonts w:cs="Times New Roman"/>
          <w:szCs w:val="24"/>
        </w:rPr>
        <w:t>r</w:t>
      </w:r>
      <w:r w:rsidR="003A6DBF" w:rsidRPr="0024375B" w:rsidDel="00B34783">
        <w:rPr>
          <w:rFonts w:cs="Times New Roman"/>
          <w:szCs w:val="24"/>
        </w:rPr>
        <w:t xml:space="preserve"> </w:t>
      </w:r>
      <w:r w:rsidR="00D00CB4">
        <w:rPr>
          <w:rFonts w:cs="Times New Roman"/>
          <w:szCs w:val="24"/>
        </w:rPr>
        <w:t>ust. </w:t>
      </w:r>
      <w:r w:rsidR="003A6DBF" w:rsidRPr="0024375B">
        <w:rPr>
          <w:rFonts w:cs="Times New Roman"/>
          <w:szCs w:val="24"/>
        </w:rPr>
        <w:t>2). Kompetencja ta ma charakter fakultatywny, aby zapewnić odpowiednią elastyczność, np.</w:t>
      </w:r>
      <w:r w:rsidR="00EA1900">
        <w:rPr>
          <w:rFonts w:cs="Times New Roman"/>
          <w:szCs w:val="24"/>
        </w:rPr>
        <w:t xml:space="preserve"> w </w:t>
      </w:r>
      <w:r w:rsidR="003A6DBF" w:rsidRPr="0024375B">
        <w:rPr>
          <w:rFonts w:cs="Times New Roman"/>
          <w:szCs w:val="24"/>
        </w:rPr>
        <w:t>sytuacji gdyby żaden podmiot</w:t>
      </w:r>
      <w:r w:rsidR="00EA1900">
        <w:rPr>
          <w:rFonts w:cs="Times New Roman"/>
          <w:szCs w:val="24"/>
        </w:rPr>
        <w:t xml:space="preserve"> w </w:t>
      </w:r>
      <w:r w:rsidR="003A6DBF" w:rsidRPr="0024375B">
        <w:rPr>
          <w:rFonts w:cs="Times New Roman"/>
          <w:szCs w:val="24"/>
        </w:rPr>
        <w:t>danym momencie nie spełniałby wymogów ustawowych lub</w:t>
      </w:r>
      <w:r w:rsidR="00EA1900">
        <w:rPr>
          <w:rFonts w:cs="Times New Roman"/>
          <w:szCs w:val="24"/>
        </w:rPr>
        <w:t xml:space="preserve"> w </w:t>
      </w:r>
      <w:r w:rsidR="003A6DBF" w:rsidRPr="0024375B">
        <w:rPr>
          <w:rFonts w:cs="Times New Roman"/>
          <w:szCs w:val="24"/>
        </w:rPr>
        <w:t>sytuacji gdy spółka wyznaczona jako OSSB przestałaby być</w:t>
      </w:r>
      <w:r w:rsidR="00EA1900">
        <w:rPr>
          <w:rFonts w:cs="Times New Roman"/>
          <w:szCs w:val="24"/>
        </w:rPr>
        <w:t xml:space="preserve"> w </w:t>
      </w:r>
      <w:r w:rsidR="003A6DBF" w:rsidRPr="0024375B">
        <w:rPr>
          <w:rFonts w:cs="Times New Roman"/>
          <w:szCs w:val="24"/>
        </w:rPr>
        <w:t>efekcie przekształceń spółką jednoosobową, a</w:t>
      </w:r>
      <w:r w:rsidR="00EA1900">
        <w:rPr>
          <w:rFonts w:cs="Times New Roman"/>
          <w:szCs w:val="24"/>
        </w:rPr>
        <w:t xml:space="preserve"> w </w:t>
      </w:r>
      <w:r w:rsidR="003A6DBF" w:rsidRPr="0024375B">
        <w:rPr>
          <w:rFonts w:cs="Times New Roman"/>
          <w:szCs w:val="24"/>
        </w:rPr>
        <w:t>ocenie Prezesa Rady Ministrów istniałaby nieproporcjonalne ryzyko związane ze zmianą OSSB</w:t>
      </w:r>
      <w:r w:rsidR="00EA1900">
        <w:rPr>
          <w:rFonts w:cs="Times New Roman"/>
          <w:szCs w:val="24"/>
        </w:rPr>
        <w:t xml:space="preserve"> w </w:t>
      </w:r>
      <w:r w:rsidR="003A6DBF" w:rsidRPr="0024375B">
        <w:rPr>
          <w:rFonts w:cs="Times New Roman"/>
          <w:szCs w:val="24"/>
        </w:rPr>
        <w:t>kontekście zapewnienia ciągłości świadczenia określonych usług</w:t>
      </w:r>
      <w:r w:rsidR="00EA1900">
        <w:rPr>
          <w:rFonts w:cs="Times New Roman"/>
          <w:szCs w:val="24"/>
        </w:rPr>
        <w:t xml:space="preserve"> w </w:t>
      </w:r>
      <w:r w:rsidR="003A6DBF" w:rsidRPr="0024375B">
        <w:rPr>
          <w:rFonts w:cs="Times New Roman"/>
          <w:szCs w:val="24"/>
        </w:rPr>
        <w:t>celu realizacji zadań na rzecz obronności, bezpieczeństwa państwa oraz bezpieczeństwa</w:t>
      </w:r>
      <w:r w:rsidR="002161FE">
        <w:rPr>
          <w:rFonts w:cs="Times New Roman"/>
          <w:szCs w:val="24"/>
        </w:rPr>
        <w:t xml:space="preserve"> i </w:t>
      </w:r>
      <w:r w:rsidR="003A6DBF" w:rsidRPr="0024375B">
        <w:rPr>
          <w:rFonts w:cs="Times New Roman"/>
          <w:szCs w:val="24"/>
        </w:rPr>
        <w:t>porządku publicznego.</w:t>
      </w:r>
    </w:p>
    <w:p w14:paraId="3FC97FC3" w14:textId="77777777" w:rsidR="00B534FF" w:rsidRPr="00713E1C" w:rsidRDefault="00B534FF" w:rsidP="00DC1575">
      <w:pPr>
        <w:pStyle w:val="Nagwek4"/>
      </w:pPr>
      <w:r w:rsidRPr="001C5AF2">
        <w:rPr>
          <w:shd w:val="clear" w:color="auto" w:fill="auto"/>
        </w:rPr>
        <w:t>Nowy a</w:t>
      </w:r>
      <w:r w:rsidR="003A6DBF" w:rsidRPr="001C5AF2">
        <w:rPr>
          <w:shd w:val="clear" w:color="auto" w:fill="auto"/>
        </w:rPr>
        <w:t>rt. 76</w:t>
      </w:r>
      <w:r w:rsidR="00AF03E5">
        <w:rPr>
          <w:shd w:val="clear" w:color="auto" w:fill="auto"/>
        </w:rPr>
        <w:t>r</w:t>
      </w:r>
      <w:r w:rsidR="00035719" w:rsidRPr="001C5AF2">
        <w:rPr>
          <w:shd w:val="clear" w:color="auto" w:fill="auto"/>
        </w:rPr>
        <w:t xml:space="preserve">. </w:t>
      </w:r>
    </w:p>
    <w:p w14:paraId="30372B44" w14:textId="52818759" w:rsidR="003A6DBF" w:rsidRPr="0024375B" w:rsidRDefault="003A6DBF" w:rsidP="001C5AF2">
      <w:pPr>
        <w:spacing w:before="120" w:after="120"/>
        <w:ind w:firstLine="510"/>
        <w:jc w:val="both"/>
        <w:rPr>
          <w:rFonts w:cs="Times New Roman"/>
          <w:szCs w:val="24"/>
        </w:rPr>
      </w:pPr>
      <w:r w:rsidRPr="0024375B">
        <w:rPr>
          <w:rFonts w:cs="Times New Roman"/>
          <w:szCs w:val="24"/>
        </w:rPr>
        <w:t xml:space="preserve">Nowy </w:t>
      </w:r>
      <w:r w:rsidR="007F37C6">
        <w:rPr>
          <w:rFonts w:cs="Times New Roman"/>
          <w:szCs w:val="24"/>
        </w:rPr>
        <w:t>o</w:t>
      </w:r>
      <w:r w:rsidRPr="0024375B">
        <w:rPr>
          <w:rFonts w:cs="Times New Roman"/>
          <w:szCs w:val="24"/>
        </w:rPr>
        <w:t xml:space="preserve">perator strategicznej sieci bezpieczeństwa, wyznaczony przez Prezesa Rady Ministrów, jest następcą prawnym dotychczasowego </w:t>
      </w:r>
      <w:r w:rsidR="007F37C6">
        <w:rPr>
          <w:rFonts w:cs="Times New Roman"/>
          <w:szCs w:val="24"/>
        </w:rPr>
        <w:t>o</w:t>
      </w:r>
      <w:r w:rsidRPr="0024375B">
        <w:rPr>
          <w:rFonts w:cs="Times New Roman"/>
          <w:szCs w:val="24"/>
        </w:rPr>
        <w:t>peratora strategicznej sieci bezpieczeństwa</w:t>
      </w:r>
      <w:r w:rsidR="00EA1900">
        <w:rPr>
          <w:rFonts w:cs="Times New Roman"/>
          <w:szCs w:val="24"/>
        </w:rPr>
        <w:t xml:space="preserve"> w </w:t>
      </w:r>
      <w:r w:rsidRPr="0024375B">
        <w:rPr>
          <w:rFonts w:cs="Times New Roman"/>
          <w:szCs w:val="24"/>
        </w:rPr>
        <w:t>zakresie realizacji jego zadań. Poprzez przepis szczególny przesądzony jest</w:t>
      </w:r>
      <w:r w:rsidR="00DB44AE" w:rsidRPr="0024375B">
        <w:rPr>
          <w:rFonts w:cs="Times New Roman"/>
          <w:szCs w:val="24"/>
        </w:rPr>
        <w:t xml:space="preserve"> </w:t>
      </w:r>
      <w:r w:rsidRPr="0024375B">
        <w:rPr>
          <w:rFonts w:cs="Times New Roman"/>
          <w:szCs w:val="24"/>
        </w:rPr>
        <w:t>skutek niektórych stosunków prawnych – umowy</w:t>
      </w:r>
      <w:r w:rsidR="0077165A">
        <w:rPr>
          <w:rFonts w:cs="Times New Roman"/>
          <w:szCs w:val="24"/>
        </w:rPr>
        <w:t xml:space="preserve"> o </w:t>
      </w:r>
      <w:r w:rsidRPr="0024375B">
        <w:rPr>
          <w:rFonts w:cs="Times New Roman"/>
          <w:szCs w:val="24"/>
        </w:rPr>
        <w:t>świadczenie usług, do których odnosi się, poprzez odesłanie,</w:t>
      </w:r>
      <w:r w:rsidR="00EA1900">
        <w:rPr>
          <w:rFonts w:cs="Times New Roman"/>
          <w:szCs w:val="24"/>
        </w:rPr>
        <w:t xml:space="preserve"> art. </w:t>
      </w:r>
      <w:r w:rsidRPr="0024375B">
        <w:rPr>
          <w:rFonts w:cs="Times New Roman"/>
          <w:szCs w:val="24"/>
        </w:rPr>
        <w:t>76</w:t>
      </w:r>
      <w:r w:rsidR="00AF03E5">
        <w:rPr>
          <w:rFonts w:cs="Times New Roman"/>
          <w:szCs w:val="24"/>
        </w:rPr>
        <w:t>f</w:t>
      </w:r>
      <w:r w:rsidRPr="0024375B" w:rsidDel="009B36B2">
        <w:rPr>
          <w:rFonts w:cs="Times New Roman"/>
          <w:szCs w:val="24"/>
        </w:rPr>
        <w:t xml:space="preserve"> </w:t>
      </w:r>
      <w:r w:rsidR="00D00CB4">
        <w:rPr>
          <w:rFonts w:cs="Times New Roman"/>
          <w:szCs w:val="24"/>
        </w:rPr>
        <w:t>ust. </w:t>
      </w:r>
      <w:r w:rsidRPr="0024375B">
        <w:rPr>
          <w:rFonts w:cs="Times New Roman"/>
          <w:szCs w:val="24"/>
        </w:rPr>
        <w:t>4, 10</w:t>
      </w:r>
      <w:r w:rsidR="002161FE">
        <w:rPr>
          <w:rFonts w:cs="Times New Roman"/>
          <w:szCs w:val="24"/>
        </w:rPr>
        <w:t xml:space="preserve"> i </w:t>
      </w:r>
      <w:r w:rsidRPr="0024375B">
        <w:rPr>
          <w:rFonts w:cs="Times New Roman"/>
          <w:szCs w:val="24"/>
        </w:rPr>
        <w:t>11 ustawy, wygasają</w:t>
      </w:r>
      <w:r w:rsidR="002161FE">
        <w:rPr>
          <w:rFonts w:cs="Times New Roman"/>
          <w:szCs w:val="24"/>
        </w:rPr>
        <w:t xml:space="preserve"> z </w:t>
      </w:r>
      <w:r w:rsidRPr="0024375B">
        <w:rPr>
          <w:rFonts w:cs="Times New Roman"/>
          <w:szCs w:val="24"/>
        </w:rPr>
        <w:t>mocy prawa</w:t>
      </w:r>
      <w:r w:rsidR="00EA1900">
        <w:rPr>
          <w:rFonts w:cs="Times New Roman"/>
          <w:szCs w:val="24"/>
        </w:rPr>
        <w:t xml:space="preserve"> w </w:t>
      </w:r>
      <w:r w:rsidRPr="0024375B">
        <w:rPr>
          <w:rFonts w:cs="Times New Roman"/>
          <w:szCs w:val="24"/>
        </w:rPr>
        <w:t>terminie 3 miesięcy od dnia wydania zarządzenia.</w:t>
      </w:r>
      <w:r w:rsidR="00794FF8" w:rsidRPr="0024375B">
        <w:rPr>
          <w:rFonts w:cs="Times New Roman"/>
          <w:szCs w:val="24"/>
        </w:rPr>
        <w:t xml:space="preserve"> </w:t>
      </w:r>
    </w:p>
    <w:p w14:paraId="4F8397DC" w14:textId="77777777" w:rsidR="003A6DBF" w:rsidRPr="0024375B" w:rsidRDefault="003A6DBF" w:rsidP="00862E68">
      <w:pPr>
        <w:pStyle w:val="Nagwek3"/>
      </w:pPr>
      <w:bookmarkStart w:id="83" w:name="_Toc136511060"/>
      <w:r w:rsidRPr="0024375B">
        <w:t>Przyznanie częstotliwości</w:t>
      </w:r>
      <w:r w:rsidR="002161FE">
        <w:t xml:space="preserve"> z </w:t>
      </w:r>
      <w:r w:rsidRPr="0024375B">
        <w:t>zakresu 703–7</w:t>
      </w:r>
      <w:r w:rsidR="005954DA" w:rsidRPr="0024375B">
        <w:t>1</w:t>
      </w:r>
      <w:r w:rsidRPr="0024375B">
        <w:t>3 MHz oraz 758–7</w:t>
      </w:r>
      <w:r w:rsidR="005954DA" w:rsidRPr="0024375B">
        <w:t>6</w:t>
      </w:r>
      <w:r w:rsidRPr="0024375B">
        <w:t>8 MHz</w:t>
      </w:r>
      <w:bookmarkEnd w:id="83"/>
    </w:p>
    <w:p w14:paraId="0665A9B1" w14:textId="77777777" w:rsidR="003A6DBF" w:rsidRPr="0024375B" w:rsidRDefault="003A6DBF" w:rsidP="0024375B">
      <w:pPr>
        <w:spacing w:before="120" w:after="120"/>
        <w:ind w:firstLine="567"/>
        <w:jc w:val="both"/>
        <w:rPr>
          <w:rFonts w:cs="Times New Roman"/>
          <w:szCs w:val="24"/>
        </w:rPr>
      </w:pPr>
      <w:r w:rsidRPr="0024375B">
        <w:rPr>
          <w:rFonts w:cs="Times New Roman"/>
        </w:rPr>
        <w:t>11 marca 2013 r., na podstawie</w:t>
      </w:r>
      <w:r w:rsidR="00EA1900">
        <w:rPr>
          <w:rFonts w:cs="Times New Roman"/>
        </w:rPr>
        <w:t xml:space="preserve"> art. </w:t>
      </w:r>
      <w:r w:rsidRPr="0024375B">
        <w:rPr>
          <w:rFonts w:cs="Times New Roman"/>
        </w:rPr>
        <w:t xml:space="preserve">4 </w:t>
      </w:r>
      <w:r w:rsidR="00D00CB4">
        <w:rPr>
          <w:rFonts w:cs="Times New Roman"/>
        </w:rPr>
        <w:t>ust. </w:t>
      </w:r>
      <w:r w:rsidRPr="0024375B">
        <w:rPr>
          <w:rFonts w:cs="Times New Roman"/>
        </w:rPr>
        <w:t>2 Decyzji</w:t>
      </w:r>
      <w:r w:rsidR="0077165A">
        <w:rPr>
          <w:rFonts w:cs="Times New Roman"/>
        </w:rPr>
        <w:t xml:space="preserve"> o </w:t>
      </w:r>
      <w:r w:rsidRPr="0024375B">
        <w:rPr>
          <w:rFonts w:cs="Times New Roman"/>
        </w:rPr>
        <w:t>spektrum radiowym</w:t>
      </w:r>
      <w:r w:rsidRPr="0024375B">
        <w:rPr>
          <w:rFonts w:cs="Times New Roman"/>
          <w:vertAlign w:val="superscript"/>
        </w:rPr>
        <w:footnoteReference w:id="66"/>
      </w:r>
      <w:r w:rsidR="00B60E0C">
        <w:rPr>
          <w:rFonts w:cs="Times New Roman"/>
          <w:vertAlign w:val="superscript"/>
        </w:rPr>
        <w:t>)</w:t>
      </w:r>
      <w:r w:rsidRPr="0024375B">
        <w:rPr>
          <w:rFonts w:cs="Times New Roman"/>
        </w:rPr>
        <w:t xml:space="preserve"> Komisja Europejska udzieliła Europejskiej Konferencji Administracji Pocztowych</w:t>
      </w:r>
      <w:r w:rsidR="002161FE">
        <w:rPr>
          <w:rFonts w:cs="Times New Roman"/>
        </w:rPr>
        <w:t xml:space="preserve"> i </w:t>
      </w:r>
      <w:r w:rsidRPr="0024375B">
        <w:rPr>
          <w:rFonts w:cs="Times New Roman"/>
        </w:rPr>
        <w:t>Telekomunikacyjnych (</w:t>
      </w:r>
      <w:r w:rsidRPr="0024375B">
        <w:rPr>
          <w:rFonts w:cs="Times New Roman"/>
          <w:i/>
          <w:iCs/>
        </w:rPr>
        <w:t>European Conference of Postal and Telecommunications Administrations</w:t>
      </w:r>
      <w:r w:rsidRPr="0024375B">
        <w:rPr>
          <w:rFonts w:cs="Times New Roman"/>
        </w:rPr>
        <w:t xml:space="preserve"> - CEPT) zlecenia na opracowanie zharmonizowanych warunków technicznych dla pasma 700 MHz na potrzeby bezprzewodowych usług szerokopasmowej łączności elektronicznej</w:t>
      </w:r>
      <w:r w:rsidR="00EA1900">
        <w:rPr>
          <w:rFonts w:cs="Times New Roman"/>
        </w:rPr>
        <w:t xml:space="preserve"> w </w:t>
      </w:r>
      <w:r w:rsidRPr="0024375B">
        <w:rPr>
          <w:rFonts w:cs="Times New Roman"/>
        </w:rPr>
        <w:t>Unii oraz na potrzeby innych zastosowań, wspierających priorytety unijnej polityki widma radiowego.</w:t>
      </w:r>
      <w:r w:rsidR="00116933">
        <w:rPr>
          <w:rFonts w:cs="Times New Roman"/>
        </w:rPr>
        <w:t xml:space="preserve"> W </w:t>
      </w:r>
      <w:r w:rsidRPr="0024375B">
        <w:rPr>
          <w:rFonts w:cs="Times New Roman"/>
        </w:rPr>
        <w:t>ramach tego zlecenia, CEPT przedstawił sprawozdania nr 53</w:t>
      </w:r>
      <w:r w:rsidRPr="0024375B">
        <w:rPr>
          <w:rFonts w:cs="Times New Roman"/>
          <w:vertAlign w:val="superscript"/>
        </w:rPr>
        <w:footnoteReference w:id="67"/>
      </w:r>
      <w:r w:rsidR="00B60E0C">
        <w:rPr>
          <w:rFonts w:cs="Times New Roman"/>
          <w:vertAlign w:val="superscript"/>
        </w:rPr>
        <w:t>)</w:t>
      </w:r>
      <w:r w:rsidRPr="0024375B">
        <w:rPr>
          <w:rFonts w:cs="Times New Roman"/>
        </w:rPr>
        <w:t xml:space="preserve"> (w 2014 r.)</w:t>
      </w:r>
      <w:r w:rsidR="002161FE">
        <w:rPr>
          <w:rFonts w:cs="Times New Roman"/>
        </w:rPr>
        <w:t xml:space="preserve"> i </w:t>
      </w:r>
      <w:r w:rsidRPr="0024375B">
        <w:rPr>
          <w:rFonts w:cs="Times New Roman"/>
        </w:rPr>
        <w:t>60</w:t>
      </w:r>
      <w:r w:rsidRPr="0024375B">
        <w:rPr>
          <w:rFonts w:cs="Times New Roman"/>
          <w:vertAlign w:val="superscript"/>
        </w:rPr>
        <w:footnoteReference w:id="68"/>
      </w:r>
      <w:r w:rsidR="00B60E0C">
        <w:rPr>
          <w:rFonts w:cs="Times New Roman"/>
          <w:vertAlign w:val="superscript"/>
        </w:rPr>
        <w:t>)</w:t>
      </w:r>
      <w:r w:rsidRPr="0024375B">
        <w:rPr>
          <w:rFonts w:cs="Times New Roman"/>
        </w:rPr>
        <w:t xml:space="preserve"> (w 2016 r.), które stanowią podstawę technicznej harmonizacji pasma 700 MHz na potrzeby naziemnych bezprzewodowych usług szerokopasmowej łączności elektronicznej</w:t>
      </w:r>
      <w:r w:rsidR="00EA1900">
        <w:rPr>
          <w:rFonts w:cs="Times New Roman"/>
        </w:rPr>
        <w:t xml:space="preserve"> w </w:t>
      </w:r>
      <w:r w:rsidRPr="0024375B">
        <w:rPr>
          <w:rFonts w:cs="Times New Roman"/>
        </w:rPr>
        <w:t>Europie. Komisja Europejska</w:t>
      </w:r>
      <w:r w:rsidR="00EA1900">
        <w:rPr>
          <w:rFonts w:cs="Times New Roman"/>
        </w:rPr>
        <w:t xml:space="preserve"> </w:t>
      </w:r>
      <w:r w:rsidR="00EA1900">
        <w:rPr>
          <w:rFonts w:cs="Times New Roman"/>
        </w:rPr>
        <w:lastRenderedPageBreak/>
        <w:t>w </w:t>
      </w:r>
      <w:r w:rsidRPr="0024375B">
        <w:rPr>
          <w:rFonts w:cs="Times New Roman"/>
        </w:rPr>
        <w:t>komunikacie pt. „Strategia jednolitego rynku cyfrowego dla Europy”</w:t>
      </w:r>
      <w:r w:rsidRPr="0024375B">
        <w:rPr>
          <w:rFonts w:cs="Times New Roman"/>
          <w:vertAlign w:val="superscript"/>
        </w:rPr>
        <w:footnoteReference w:id="69"/>
      </w:r>
      <w:r w:rsidR="00B60E0C">
        <w:rPr>
          <w:rFonts w:cs="Times New Roman"/>
          <w:vertAlign w:val="superscript"/>
        </w:rPr>
        <w:t>)</w:t>
      </w:r>
      <w:r w:rsidRPr="0024375B">
        <w:rPr>
          <w:rFonts w:cs="Times New Roman"/>
        </w:rPr>
        <w:t xml:space="preserve"> przedstawiła wizję powszechnego dostępu do łączności wysokiej jakości dla przedsiębiorstw</w:t>
      </w:r>
      <w:r w:rsidR="002161FE">
        <w:rPr>
          <w:rFonts w:cs="Times New Roman"/>
        </w:rPr>
        <w:t xml:space="preserve"> i </w:t>
      </w:r>
      <w:r w:rsidRPr="0024375B">
        <w:rPr>
          <w:rFonts w:cs="Times New Roman"/>
        </w:rPr>
        <w:t>obywateli. Strategia ta zapowiadała konkretne wnioski ustawodawcze Komisji, dotyczące m.in. skoordynowanego zwalniania zakresu 694</w:t>
      </w:r>
      <w:r w:rsidR="00B60E0C">
        <w:rPr>
          <w:rFonts w:cs="Times New Roman"/>
        </w:rPr>
        <w:t>–</w:t>
      </w:r>
      <w:r w:rsidRPr="0024375B">
        <w:rPr>
          <w:rFonts w:cs="Times New Roman"/>
        </w:rPr>
        <w:t>790 MHz. Bazując na sprawozdaniach CEPT, oraz biorąc pod uwagę prace legislacyjne nad decyzją zmieniającą przeznaczenia pasma 700 MHz</w:t>
      </w:r>
      <w:r w:rsidR="00EA1900">
        <w:rPr>
          <w:rFonts w:cs="Times New Roman"/>
        </w:rPr>
        <w:t xml:space="preserve"> w </w:t>
      </w:r>
      <w:r w:rsidRPr="0024375B">
        <w:rPr>
          <w:rFonts w:cs="Times New Roman"/>
        </w:rPr>
        <w:t>Unii, 28 kwietnia 2016 r. Komisja Europejska wydała Decyzję harmonizacyjną odnośnie zakresu częstotliwości 694</w:t>
      </w:r>
      <w:r w:rsidR="00024384">
        <w:rPr>
          <w:rFonts w:cs="Times New Roman"/>
        </w:rPr>
        <w:t>–</w:t>
      </w:r>
      <w:r w:rsidRPr="0024375B">
        <w:rPr>
          <w:rFonts w:cs="Times New Roman"/>
        </w:rPr>
        <w:t>790 MHz</w:t>
      </w:r>
      <w:r w:rsidRPr="0024375B">
        <w:rPr>
          <w:rFonts w:cs="Times New Roman"/>
          <w:vertAlign w:val="superscript"/>
        </w:rPr>
        <w:footnoteReference w:id="70"/>
      </w:r>
      <w:r w:rsidR="00B60E0C">
        <w:rPr>
          <w:rFonts w:cs="Times New Roman"/>
          <w:vertAlign w:val="superscript"/>
        </w:rPr>
        <w:t>)</w:t>
      </w:r>
      <w:r w:rsidRPr="0024375B">
        <w:rPr>
          <w:rFonts w:cs="Times New Roman"/>
        </w:rPr>
        <w:t>. Tym samym zapewniono ujednolicone warunki techniczne, umożliwiające użytkowanie pasma 700 MHz na potrzeby naziemnych bezprzewodowych usług szerokopasmowej łączności elektronicznej</w:t>
      </w:r>
      <w:r w:rsidR="002161FE">
        <w:rPr>
          <w:rFonts w:cs="Times New Roman"/>
        </w:rPr>
        <w:t xml:space="preserve"> i </w:t>
      </w:r>
      <w:r w:rsidRPr="0024375B">
        <w:rPr>
          <w:rFonts w:cs="Times New Roman"/>
        </w:rPr>
        <w:t>innych zastosowań zgodnie</w:t>
      </w:r>
      <w:r w:rsidR="002161FE">
        <w:rPr>
          <w:rFonts w:cs="Times New Roman"/>
        </w:rPr>
        <w:t xml:space="preserve"> z </w:t>
      </w:r>
      <w:r w:rsidRPr="0024375B">
        <w:rPr>
          <w:rFonts w:cs="Times New Roman"/>
        </w:rPr>
        <w:t>priorytetami polityki widma radiowego na szczeblu unijnym</w:t>
      </w:r>
      <w:r w:rsidR="002161FE">
        <w:rPr>
          <w:rFonts w:cs="Times New Roman"/>
        </w:rPr>
        <w:t xml:space="preserve"> i </w:t>
      </w:r>
      <w:r w:rsidRPr="0024375B">
        <w:rPr>
          <w:rFonts w:cs="Times New Roman"/>
        </w:rPr>
        <w:t>krajowym. 17 maja 2017 r. Parlament Europejski</w:t>
      </w:r>
      <w:r w:rsidR="002161FE">
        <w:rPr>
          <w:rFonts w:cs="Times New Roman"/>
        </w:rPr>
        <w:t xml:space="preserve"> i </w:t>
      </w:r>
      <w:r w:rsidRPr="0024375B">
        <w:rPr>
          <w:rFonts w:cs="Times New Roman"/>
        </w:rPr>
        <w:t>Rada wydały Decyzję</w:t>
      </w:r>
      <w:r w:rsidR="00EA1900">
        <w:rPr>
          <w:rFonts w:cs="Times New Roman"/>
        </w:rPr>
        <w:t xml:space="preserve"> w </w:t>
      </w:r>
      <w:r w:rsidRPr="0024375B">
        <w:rPr>
          <w:rFonts w:cs="Times New Roman"/>
        </w:rPr>
        <w:t>sprawie wykorzystania zakresu częstotliwości 470</w:t>
      </w:r>
      <w:r w:rsidR="00B60E0C">
        <w:rPr>
          <w:rFonts w:cs="Times New Roman"/>
        </w:rPr>
        <w:t>–</w:t>
      </w:r>
      <w:r w:rsidRPr="0024375B">
        <w:rPr>
          <w:rFonts w:cs="Times New Roman"/>
        </w:rPr>
        <w:t>790 MHz</w:t>
      </w:r>
      <w:r w:rsidR="00EA1900">
        <w:rPr>
          <w:rFonts w:cs="Times New Roman"/>
        </w:rPr>
        <w:t xml:space="preserve"> w </w:t>
      </w:r>
      <w:r w:rsidRPr="0024375B">
        <w:rPr>
          <w:rFonts w:cs="Times New Roman"/>
        </w:rPr>
        <w:t>Unii Europejskiej</w:t>
      </w:r>
      <w:r w:rsidRPr="0024375B">
        <w:rPr>
          <w:rFonts w:cs="Times New Roman"/>
          <w:vertAlign w:val="superscript"/>
        </w:rPr>
        <w:footnoteReference w:id="71"/>
      </w:r>
      <w:r w:rsidR="00B60E0C">
        <w:rPr>
          <w:rFonts w:cs="Times New Roman"/>
          <w:vertAlign w:val="superscript"/>
        </w:rPr>
        <w:t>)</w:t>
      </w:r>
      <w:r w:rsidRPr="0024375B">
        <w:rPr>
          <w:rFonts w:cs="Times New Roman"/>
        </w:rPr>
        <w:t xml:space="preserve"> (dalej: Decyzja</w:t>
      </w:r>
      <w:r w:rsidR="0077165A">
        <w:rPr>
          <w:rFonts w:cs="Times New Roman"/>
        </w:rPr>
        <w:t xml:space="preserve"> o </w:t>
      </w:r>
      <w:r w:rsidRPr="0024375B">
        <w:rPr>
          <w:rFonts w:cs="Times New Roman"/>
        </w:rPr>
        <w:t>zmianie przeznaczenia), na mocy której Państwa Członkowskie UE zostały zobowiązane do udostępnienia pasma 700 MHz na potrzeby usług szerokopasmowych do 30 czerwca 2020 r. lub</w:t>
      </w:r>
      <w:r w:rsidR="00EA1900">
        <w:rPr>
          <w:rFonts w:cs="Times New Roman"/>
        </w:rPr>
        <w:t xml:space="preserve"> w </w:t>
      </w:r>
      <w:r w:rsidRPr="0024375B">
        <w:rPr>
          <w:rFonts w:cs="Times New Roman"/>
        </w:rPr>
        <w:t xml:space="preserve">uzasadnionych przypadkach najpóźniej do 30 czerwca 2022 r. </w:t>
      </w:r>
    </w:p>
    <w:p w14:paraId="052BABD1" w14:textId="77777777" w:rsidR="003A6DBF" w:rsidRPr="0024375B" w:rsidRDefault="003A6DBF" w:rsidP="0024375B">
      <w:pPr>
        <w:spacing w:before="120" w:after="120"/>
        <w:ind w:firstLine="567"/>
        <w:jc w:val="both"/>
        <w:rPr>
          <w:rFonts w:cs="Times New Roman"/>
          <w:szCs w:val="24"/>
        </w:rPr>
      </w:pPr>
      <w:r w:rsidRPr="0024375B">
        <w:rPr>
          <w:rFonts w:cs="Times New Roman"/>
          <w:szCs w:val="24"/>
        </w:rPr>
        <w:t>Zgodnie</w:t>
      </w:r>
      <w:r w:rsidR="002161FE">
        <w:rPr>
          <w:rFonts w:cs="Times New Roman"/>
          <w:szCs w:val="24"/>
        </w:rPr>
        <w:t xml:space="preserve"> z </w:t>
      </w:r>
      <w:r w:rsidRPr="0024375B">
        <w:rPr>
          <w:rFonts w:cs="Times New Roman"/>
          <w:szCs w:val="24"/>
        </w:rPr>
        <w:t>Krajowym Planem Działań zmiany przeznaczenia pasma 700 MHz</w:t>
      </w:r>
      <w:r w:rsidR="00EA1900">
        <w:rPr>
          <w:rFonts w:cs="Times New Roman"/>
          <w:szCs w:val="24"/>
        </w:rPr>
        <w:t xml:space="preserve"> w </w:t>
      </w:r>
      <w:r w:rsidRPr="0024375B">
        <w:rPr>
          <w:rFonts w:cs="Times New Roman"/>
          <w:szCs w:val="24"/>
        </w:rPr>
        <w:t>Polsce, którego przyjęcie wymagane było Decyzją</w:t>
      </w:r>
      <w:r w:rsidR="0077165A">
        <w:rPr>
          <w:rFonts w:cs="Times New Roman"/>
          <w:szCs w:val="24"/>
        </w:rPr>
        <w:t xml:space="preserve"> o </w:t>
      </w:r>
      <w:r w:rsidRPr="0024375B">
        <w:rPr>
          <w:rFonts w:cs="Times New Roman"/>
          <w:szCs w:val="24"/>
        </w:rPr>
        <w:t>zmianie przeznaczenia, 28 grudnia 2018 r. na podstawie</w:t>
      </w:r>
      <w:r w:rsidR="002161FE">
        <w:rPr>
          <w:rFonts w:cs="Times New Roman"/>
          <w:szCs w:val="24"/>
        </w:rPr>
        <w:t xml:space="preserve"> z</w:t>
      </w:r>
      <w:r w:rsidR="00EA1900">
        <w:rPr>
          <w:rFonts w:cs="Times New Roman"/>
          <w:szCs w:val="24"/>
        </w:rPr>
        <w:t xml:space="preserve"> art. </w:t>
      </w:r>
      <w:r w:rsidRPr="0024375B">
        <w:rPr>
          <w:rFonts w:cs="Times New Roman"/>
          <w:szCs w:val="24"/>
        </w:rPr>
        <w:t xml:space="preserve">1. </w:t>
      </w:r>
      <w:r w:rsidR="00D00CB4">
        <w:rPr>
          <w:rFonts w:cs="Times New Roman"/>
          <w:szCs w:val="24"/>
        </w:rPr>
        <w:t>ust. </w:t>
      </w:r>
      <w:r w:rsidRPr="0024375B">
        <w:rPr>
          <w:rFonts w:cs="Times New Roman"/>
          <w:szCs w:val="24"/>
        </w:rPr>
        <w:t>1. Decyzji Parlamentu Europejskiego</w:t>
      </w:r>
      <w:r w:rsidR="002161FE">
        <w:rPr>
          <w:rFonts w:cs="Times New Roman"/>
          <w:szCs w:val="24"/>
        </w:rPr>
        <w:t xml:space="preserve"> i </w:t>
      </w:r>
      <w:r w:rsidRPr="0024375B">
        <w:rPr>
          <w:rFonts w:cs="Times New Roman"/>
          <w:szCs w:val="24"/>
        </w:rPr>
        <w:t>Rady (UE) 2017/899</w:t>
      </w:r>
      <w:r w:rsidR="002161FE">
        <w:rPr>
          <w:rFonts w:cs="Times New Roman"/>
          <w:szCs w:val="24"/>
        </w:rPr>
        <w:t xml:space="preserve"> z </w:t>
      </w:r>
      <w:r w:rsidRPr="0024375B">
        <w:rPr>
          <w:rFonts w:cs="Times New Roman"/>
          <w:szCs w:val="24"/>
        </w:rPr>
        <w:t>dnia 17 maja 2017 r.</w:t>
      </w:r>
      <w:r w:rsidR="00EA1900">
        <w:rPr>
          <w:rFonts w:cs="Times New Roman"/>
          <w:szCs w:val="24"/>
        </w:rPr>
        <w:t xml:space="preserve"> w </w:t>
      </w:r>
      <w:r w:rsidRPr="0024375B">
        <w:rPr>
          <w:rFonts w:cs="Times New Roman"/>
          <w:szCs w:val="24"/>
        </w:rPr>
        <w:t>sprawie wykorzystywania zakresu częstotliwości 470–790 MHz</w:t>
      </w:r>
      <w:r w:rsidR="00EA1900">
        <w:rPr>
          <w:rFonts w:cs="Times New Roman"/>
          <w:szCs w:val="24"/>
        </w:rPr>
        <w:t xml:space="preserve"> w </w:t>
      </w:r>
      <w:r w:rsidRPr="0024375B">
        <w:rPr>
          <w:rFonts w:cs="Times New Roman"/>
          <w:szCs w:val="24"/>
        </w:rPr>
        <w:t>Unii, Polska wystąpiła do Komisji Europejskiej</w:t>
      </w:r>
      <w:r w:rsidR="002161FE">
        <w:rPr>
          <w:rFonts w:cs="Times New Roman"/>
          <w:szCs w:val="24"/>
        </w:rPr>
        <w:t xml:space="preserve"> z </w:t>
      </w:r>
      <w:r w:rsidRPr="0024375B">
        <w:rPr>
          <w:rFonts w:cs="Times New Roman"/>
          <w:szCs w:val="24"/>
        </w:rPr>
        <w:t>informacją</w:t>
      </w:r>
      <w:r w:rsidR="0077165A">
        <w:rPr>
          <w:rFonts w:cs="Times New Roman"/>
          <w:szCs w:val="24"/>
        </w:rPr>
        <w:t xml:space="preserve"> o </w:t>
      </w:r>
      <w:r w:rsidRPr="0024375B">
        <w:rPr>
          <w:rFonts w:cs="Times New Roman"/>
          <w:szCs w:val="24"/>
        </w:rPr>
        <w:t>konieczności odsunięcia terminu udostępnienia pasma 700 MHz na potrzeby naziemnych systemów zdolnych do zapewniania usług bezprzewodowej szerokopasmowej łączności elektronicznej do 30 czerwca 2022 r. Wskazanym przez Polskę uzasadnionym powodem odroczenia dopuszczenia do korzystania</w:t>
      </w:r>
      <w:r w:rsidR="002161FE">
        <w:rPr>
          <w:rFonts w:cs="Times New Roman"/>
          <w:szCs w:val="24"/>
        </w:rPr>
        <w:t xml:space="preserve"> z </w:t>
      </w:r>
      <w:r w:rsidRPr="0024375B">
        <w:rPr>
          <w:rFonts w:cs="Times New Roman"/>
          <w:szCs w:val="24"/>
        </w:rPr>
        <w:t>częstotliwości</w:t>
      </w:r>
      <w:r w:rsidR="002161FE">
        <w:rPr>
          <w:rFonts w:cs="Times New Roman"/>
          <w:szCs w:val="24"/>
        </w:rPr>
        <w:t xml:space="preserve"> z </w:t>
      </w:r>
      <w:r w:rsidRPr="0024375B">
        <w:rPr>
          <w:rFonts w:cs="Times New Roman"/>
          <w:szCs w:val="24"/>
        </w:rPr>
        <w:t xml:space="preserve">pasma 700 MHz na potrzeby naziemnych systemów zdolnych do zapewnienia usług bezprzewodowej szerokopasmowej łączności elektronicznej po dniu 30 czerwca 2020 r. (art. 1 </w:t>
      </w:r>
      <w:r w:rsidR="00D00CB4">
        <w:rPr>
          <w:rFonts w:cs="Times New Roman"/>
          <w:szCs w:val="24"/>
        </w:rPr>
        <w:t>ust. </w:t>
      </w:r>
      <w:r w:rsidRPr="0024375B">
        <w:rPr>
          <w:rFonts w:cs="Times New Roman"/>
          <w:szCs w:val="24"/>
        </w:rPr>
        <w:t>1) były nierozwiązane problemy dotyczące koordynacji transgranicznej skutkujące szkodliwymi zakłóceniami. Brak informacji ze strony Federacji Rosyjskiej, Republiki Białorusi oraz Ukrainy</w:t>
      </w:r>
      <w:r w:rsidR="0077165A">
        <w:rPr>
          <w:rFonts w:cs="Times New Roman"/>
          <w:szCs w:val="24"/>
        </w:rPr>
        <w:t xml:space="preserve"> o </w:t>
      </w:r>
      <w:r w:rsidRPr="0024375B">
        <w:rPr>
          <w:rFonts w:cs="Times New Roman"/>
          <w:szCs w:val="24"/>
        </w:rPr>
        <w:t>wyłączeniu do 30 czerwca 2020 r. naziemnej telewizji, działającej</w:t>
      </w:r>
      <w:r w:rsidR="00EA1900">
        <w:rPr>
          <w:rFonts w:cs="Times New Roman"/>
          <w:szCs w:val="24"/>
        </w:rPr>
        <w:t xml:space="preserve"> w </w:t>
      </w:r>
      <w:r w:rsidRPr="0024375B">
        <w:rPr>
          <w:rFonts w:cs="Times New Roman"/>
          <w:szCs w:val="24"/>
        </w:rPr>
        <w:t>paśmie 700 MHz na terenie tych krajów, uniemożliwiłby de facto</w:t>
      </w:r>
      <w:r w:rsidR="00EA1900">
        <w:rPr>
          <w:rFonts w:cs="Times New Roman"/>
          <w:szCs w:val="24"/>
        </w:rPr>
        <w:t xml:space="preserve"> w </w:t>
      </w:r>
      <w:r w:rsidRPr="0024375B">
        <w:rPr>
          <w:rFonts w:cs="Times New Roman"/>
          <w:szCs w:val="24"/>
        </w:rPr>
        <w:t>sposób niezakłócony uruchomienie pasma 700 MHz na potrzeby naziemnych systemów zdolnych do zapewniania usług bezprzewodowej szerokopasmowej łączności elektronicznej na terenie Polski</w:t>
      </w:r>
      <w:r w:rsidR="00EA1900">
        <w:rPr>
          <w:rFonts w:cs="Times New Roman"/>
          <w:szCs w:val="24"/>
        </w:rPr>
        <w:t xml:space="preserve"> w </w:t>
      </w:r>
      <w:r w:rsidRPr="0024375B">
        <w:rPr>
          <w:rFonts w:cs="Times New Roman"/>
          <w:szCs w:val="24"/>
        </w:rPr>
        <w:t xml:space="preserve">wymaganym terminie tj. do 30 czerwca 2020 r. </w:t>
      </w:r>
    </w:p>
    <w:p w14:paraId="776B3376" w14:textId="77777777" w:rsidR="003A6DBF" w:rsidRPr="0024375B" w:rsidRDefault="003A6DBF" w:rsidP="0024375B">
      <w:pPr>
        <w:spacing w:before="120" w:after="120"/>
        <w:ind w:firstLine="567"/>
        <w:jc w:val="both"/>
        <w:rPr>
          <w:rFonts w:cs="Times New Roman"/>
          <w:szCs w:val="24"/>
        </w:rPr>
      </w:pPr>
      <w:r w:rsidRPr="0024375B">
        <w:rPr>
          <w:rFonts w:cs="Times New Roman"/>
          <w:szCs w:val="24"/>
        </w:rPr>
        <w:lastRenderedPageBreak/>
        <w:t>Ramy krajowych działań wyznaczane są przez decyzje Unii Europejskiej oraz regulacje Międzynarodowego Związku Telekomunikacyjnego (International Telecommunications Union - ITU) stąd Krajowy Plan Działań zmiany przeznaczenia pasma 700 MHz</w:t>
      </w:r>
      <w:r w:rsidR="00EA1900">
        <w:rPr>
          <w:rFonts w:cs="Times New Roman"/>
          <w:szCs w:val="24"/>
        </w:rPr>
        <w:t xml:space="preserve"> w </w:t>
      </w:r>
      <w:r w:rsidRPr="0024375B">
        <w:rPr>
          <w:rFonts w:cs="Times New Roman"/>
          <w:szCs w:val="24"/>
        </w:rPr>
        <w:t>Polsce, stanowiący podstawę do dalszych decyzji ustawodawczych nie przesądza</w:t>
      </w:r>
      <w:r w:rsidR="0077165A">
        <w:rPr>
          <w:rFonts w:cs="Times New Roman"/>
          <w:szCs w:val="24"/>
        </w:rPr>
        <w:t xml:space="preserve"> o </w:t>
      </w:r>
      <w:r w:rsidRPr="0024375B">
        <w:rPr>
          <w:rFonts w:cs="Times New Roman"/>
          <w:szCs w:val="24"/>
        </w:rPr>
        <w:t>kierunkach</w:t>
      </w:r>
      <w:r w:rsidR="002161FE">
        <w:rPr>
          <w:rFonts w:cs="Times New Roman"/>
          <w:szCs w:val="24"/>
        </w:rPr>
        <w:t xml:space="preserve"> i </w:t>
      </w:r>
      <w:r w:rsidRPr="0024375B">
        <w:rPr>
          <w:rFonts w:cs="Times New Roman"/>
          <w:szCs w:val="24"/>
        </w:rPr>
        <w:t>sposobie wykorzystania tego zasobu. Z punktu widzenia realizacji Decyzji</w:t>
      </w:r>
      <w:r w:rsidR="0077165A">
        <w:rPr>
          <w:rFonts w:cs="Times New Roman"/>
          <w:szCs w:val="24"/>
        </w:rPr>
        <w:t xml:space="preserve"> o </w:t>
      </w:r>
      <w:r w:rsidRPr="0024375B">
        <w:rPr>
          <w:rFonts w:cs="Times New Roman"/>
          <w:szCs w:val="24"/>
        </w:rPr>
        <w:t>zmianie przeznaczenia kluczowa jest więc zgodność podejmowanych działań na szczeblu krajowym</w:t>
      </w:r>
      <w:r w:rsidR="002161FE">
        <w:rPr>
          <w:rFonts w:cs="Times New Roman"/>
          <w:szCs w:val="24"/>
        </w:rPr>
        <w:t xml:space="preserve"> z </w:t>
      </w:r>
      <w:r w:rsidRPr="0024375B">
        <w:rPr>
          <w:rFonts w:cs="Times New Roman"/>
          <w:szCs w:val="24"/>
        </w:rPr>
        <w:t>uwarunkowaniami Decyzji harmonizacyjnej. Zgodnie</w:t>
      </w:r>
      <w:r w:rsidR="002161FE">
        <w:rPr>
          <w:rFonts w:cs="Times New Roman"/>
          <w:szCs w:val="24"/>
        </w:rPr>
        <w:t xml:space="preserve"> z </w:t>
      </w:r>
      <w:r w:rsidRPr="0024375B">
        <w:rPr>
          <w:rFonts w:cs="Times New Roman"/>
          <w:szCs w:val="24"/>
        </w:rPr>
        <w:t>tą Decyzją użytkowanie pasma 700 MHz do świadczenia naziemnych bezprzewodowych usług szerokopasmowej łączności elektronicznej będzie opierało się</w:t>
      </w:r>
      <w:r w:rsidR="0077165A">
        <w:rPr>
          <w:rFonts w:cs="Times New Roman"/>
          <w:szCs w:val="24"/>
        </w:rPr>
        <w:t xml:space="preserve"> o </w:t>
      </w:r>
      <w:r w:rsidRPr="0024375B">
        <w:rPr>
          <w:rFonts w:cs="Times New Roman"/>
          <w:szCs w:val="24"/>
        </w:rPr>
        <w:t>zharmonizowaną</w:t>
      </w:r>
      <w:r w:rsidR="00EA1900">
        <w:rPr>
          <w:rFonts w:cs="Times New Roman"/>
          <w:szCs w:val="24"/>
        </w:rPr>
        <w:t xml:space="preserve"> w </w:t>
      </w:r>
      <w:r w:rsidRPr="0024375B">
        <w:rPr>
          <w:rFonts w:cs="Times New Roman"/>
          <w:szCs w:val="24"/>
        </w:rPr>
        <w:t>skali europejskiej „podstawową aranżację” kanałów 2x30 MHz</w:t>
      </w:r>
      <w:r w:rsidR="00EA1900">
        <w:rPr>
          <w:rFonts w:cs="Times New Roman"/>
          <w:szCs w:val="24"/>
        </w:rPr>
        <w:t xml:space="preserve"> w </w:t>
      </w:r>
      <w:r w:rsidRPr="0024375B">
        <w:rPr>
          <w:rFonts w:cs="Times New Roman"/>
          <w:szCs w:val="24"/>
        </w:rPr>
        <w:t>zakresach 703- 733 MHz (FDD - Frequency Division Duplex łącze „w górę”) oraz 758</w:t>
      </w:r>
      <w:r w:rsidR="00B60E0C">
        <w:rPr>
          <w:rFonts w:cs="Times New Roman"/>
          <w:szCs w:val="24"/>
        </w:rPr>
        <w:t>–</w:t>
      </w:r>
      <w:r w:rsidRPr="0024375B">
        <w:rPr>
          <w:rFonts w:cs="Times New Roman"/>
          <w:szCs w:val="24"/>
        </w:rPr>
        <w:t>788 MHz (FDD - Frequency Division Duplex łącze „w dół”).</w:t>
      </w:r>
      <w:r w:rsidR="00116933">
        <w:rPr>
          <w:rFonts w:cs="Times New Roman"/>
          <w:szCs w:val="24"/>
        </w:rPr>
        <w:t xml:space="preserve"> W </w:t>
      </w:r>
      <w:r w:rsidRPr="0024375B">
        <w:rPr>
          <w:rFonts w:cs="Times New Roman"/>
          <w:szCs w:val="24"/>
        </w:rPr>
        <w:t>myśl Decyzji harmonizacyjnej ww. zakresy pasma 700 MHz powinny być użytkowane do świadczenia naziemnych bezprzewodowych usług szerokopasmowej łączności elektronicznej</w:t>
      </w:r>
      <w:r w:rsidR="00EA1900">
        <w:rPr>
          <w:rFonts w:cs="Times New Roman"/>
          <w:szCs w:val="24"/>
        </w:rPr>
        <w:t xml:space="preserve"> w </w:t>
      </w:r>
      <w:r w:rsidRPr="0024375B">
        <w:rPr>
          <w:rFonts w:cs="Times New Roman"/>
          <w:szCs w:val="24"/>
        </w:rPr>
        <w:t>oparciu</w:t>
      </w:r>
      <w:r w:rsidR="0077165A">
        <w:rPr>
          <w:rFonts w:cs="Times New Roman"/>
          <w:szCs w:val="24"/>
        </w:rPr>
        <w:t xml:space="preserve"> o </w:t>
      </w:r>
      <w:r w:rsidRPr="0024375B">
        <w:rPr>
          <w:rFonts w:cs="Times New Roman"/>
          <w:szCs w:val="24"/>
        </w:rPr>
        <w:t>zharmonizowaną aranżację kanałów (jako tzw. „aranżacja podstawowa”) oraz powiązane wspólne najmniej restrykcyjne warunki techniczne, jeżeli państwa członkowskie wyznaczą je do użytkowania</w:t>
      </w:r>
      <w:r w:rsidR="00EA1900">
        <w:rPr>
          <w:rFonts w:cs="Times New Roman"/>
          <w:szCs w:val="24"/>
        </w:rPr>
        <w:t xml:space="preserve"> w </w:t>
      </w:r>
      <w:r w:rsidRPr="0024375B">
        <w:rPr>
          <w:rFonts w:cs="Times New Roman"/>
          <w:szCs w:val="24"/>
        </w:rPr>
        <w:t>zastosowaniach innych niż przez sieci radiodyfuzyjne</w:t>
      </w:r>
      <w:r w:rsidR="0077165A">
        <w:rPr>
          <w:rFonts w:cs="Times New Roman"/>
          <w:szCs w:val="24"/>
        </w:rPr>
        <w:t xml:space="preserve"> o </w:t>
      </w:r>
      <w:r w:rsidRPr="0024375B">
        <w:rPr>
          <w:rFonts w:cs="Times New Roman"/>
          <w:szCs w:val="24"/>
        </w:rPr>
        <w:t xml:space="preserve">dużej mocy. </w:t>
      </w:r>
    </w:p>
    <w:p w14:paraId="66A21B18" w14:textId="77777777" w:rsidR="003A6DBF" w:rsidRPr="0024375B" w:rsidRDefault="003A6DBF" w:rsidP="0024375B">
      <w:pPr>
        <w:spacing w:before="120" w:after="120"/>
        <w:ind w:firstLine="567"/>
        <w:jc w:val="both"/>
        <w:rPr>
          <w:rFonts w:cs="Times New Roman"/>
          <w:bCs/>
          <w:szCs w:val="24"/>
        </w:rPr>
      </w:pPr>
      <w:r w:rsidRPr="0024375B">
        <w:rPr>
          <w:rFonts w:cs="Times New Roman"/>
          <w:bCs/>
          <w:szCs w:val="24"/>
        </w:rPr>
        <w:t>Niemniej jednak państwa członkowskie UE mają swobodę decyzji</w:t>
      </w:r>
      <w:r w:rsidR="00EA1900">
        <w:rPr>
          <w:rFonts w:cs="Times New Roman"/>
          <w:bCs/>
          <w:szCs w:val="24"/>
        </w:rPr>
        <w:t xml:space="preserve"> w </w:t>
      </w:r>
      <w:r w:rsidRPr="0024375B">
        <w:rPr>
          <w:rFonts w:cs="Times New Roman"/>
          <w:bCs/>
          <w:szCs w:val="24"/>
        </w:rPr>
        <w:t>zakresie użytkowania części pasma częstotliwości 700 MHz</w:t>
      </w:r>
      <w:r w:rsidR="00EA1900">
        <w:rPr>
          <w:rFonts w:cs="Times New Roman"/>
          <w:bCs/>
          <w:szCs w:val="24"/>
        </w:rPr>
        <w:t xml:space="preserve"> w </w:t>
      </w:r>
      <w:r w:rsidRPr="0024375B">
        <w:rPr>
          <w:rFonts w:cs="Times New Roman"/>
          <w:bCs/>
          <w:szCs w:val="24"/>
        </w:rPr>
        <w:t>celu zaspokojenia szczególnych potrzeb krajowych. Oprócz naziemnych bezprzewodowych usług szerokopasmowej łączności elektronicznej powyższe obejmuje również użytkowanie zgodnie</w:t>
      </w:r>
      <w:r w:rsidR="002161FE">
        <w:rPr>
          <w:rFonts w:cs="Times New Roman"/>
          <w:bCs/>
          <w:szCs w:val="24"/>
        </w:rPr>
        <w:t xml:space="preserve"> z </w:t>
      </w:r>
      <w:r w:rsidRPr="0024375B">
        <w:rPr>
          <w:rFonts w:cs="Times New Roman"/>
          <w:bCs/>
          <w:szCs w:val="24"/>
        </w:rPr>
        <w:t>priorytetami sektorowymi unijnej polityki widma radiowego,</w:t>
      </w:r>
      <w:r w:rsidR="00EA1900">
        <w:rPr>
          <w:rFonts w:cs="Times New Roman"/>
          <w:bCs/>
          <w:szCs w:val="24"/>
        </w:rPr>
        <w:t xml:space="preserve"> w </w:t>
      </w:r>
      <w:r w:rsidRPr="0024375B">
        <w:rPr>
          <w:rFonts w:cs="Times New Roman"/>
          <w:bCs/>
          <w:szCs w:val="24"/>
        </w:rPr>
        <w:t>szczególności na potrzeby Programme Making and Special Events (PMSE, bezprzewodowe urządzenia do transmisji sygnałów akustycznych), Public Protection and Disa</w:t>
      </w:r>
      <w:r w:rsidR="001A00AB" w:rsidRPr="0024375B">
        <w:rPr>
          <w:rFonts w:cs="Times New Roman"/>
          <w:bCs/>
          <w:szCs w:val="24"/>
        </w:rPr>
        <w:t>s</w:t>
      </w:r>
      <w:r w:rsidRPr="0024375B">
        <w:rPr>
          <w:rFonts w:cs="Times New Roman"/>
          <w:bCs/>
          <w:szCs w:val="24"/>
        </w:rPr>
        <w:t>ter Relief (PPDR, łączność radiowa na potrzeby ochrony publicznej</w:t>
      </w:r>
      <w:r w:rsidR="002161FE">
        <w:rPr>
          <w:rFonts w:cs="Times New Roman"/>
          <w:bCs/>
          <w:szCs w:val="24"/>
        </w:rPr>
        <w:t xml:space="preserve"> i </w:t>
      </w:r>
      <w:r w:rsidRPr="0024375B">
        <w:rPr>
          <w:rFonts w:cs="Times New Roman"/>
          <w:bCs/>
          <w:szCs w:val="24"/>
        </w:rPr>
        <w:t>pomocy</w:t>
      </w:r>
      <w:r w:rsidR="00EA1900">
        <w:rPr>
          <w:rFonts w:cs="Times New Roman"/>
          <w:bCs/>
          <w:szCs w:val="24"/>
        </w:rPr>
        <w:t xml:space="preserve"> w </w:t>
      </w:r>
      <w:r w:rsidRPr="0024375B">
        <w:rPr>
          <w:rFonts w:cs="Times New Roman"/>
          <w:bCs/>
          <w:szCs w:val="24"/>
        </w:rPr>
        <w:t>przypadku klęsk żywiołowych)</w:t>
      </w:r>
      <w:r w:rsidR="002161FE">
        <w:rPr>
          <w:rFonts w:cs="Times New Roman"/>
          <w:bCs/>
          <w:szCs w:val="24"/>
        </w:rPr>
        <w:t xml:space="preserve"> i </w:t>
      </w:r>
      <w:r w:rsidRPr="0024375B">
        <w:rPr>
          <w:rFonts w:cs="Times New Roman"/>
          <w:bCs/>
          <w:szCs w:val="24"/>
        </w:rPr>
        <w:t>Internet of Things (IoT, Internet Rzeczy))</w:t>
      </w:r>
      <w:r w:rsidR="002161FE">
        <w:rPr>
          <w:rFonts w:cs="Times New Roman"/>
          <w:bCs/>
          <w:szCs w:val="24"/>
        </w:rPr>
        <w:t xml:space="preserve"> i </w:t>
      </w:r>
      <w:r w:rsidR="00EA1900">
        <w:rPr>
          <w:rFonts w:cs="Times New Roman"/>
          <w:bCs/>
          <w:szCs w:val="24"/>
        </w:rPr>
        <w:t xml:space="preserve"> w </w:t>
      </w:r>
      <w:r w:rsidRPr="0024375B">
        <w:rPr>
          <w:rFonts w:cs="Times New Roman"/>
          <w:bCs/>
          <w:szCs w:val="24"/>
        </w:rPr>
        <w:t xml:space="preserve">celu zapewnienia efektywnego użytkowania widma. </w:t>
      </w:r>
    </w:p>
    <w:p w14:paraId="73F650D7" w14:textId="77777777" w:rsidR="00B534FF" w:rsidRPr="009D6625" w:rsidRDefault="00B534FF" w:rsidP="00DC1575">
      <w:pPr>
        <w:pStyle w:val="Nagwek4"/>
      </w:pPr>
      <w:r w:rsidRPr="00713E1C">
        <w:t xml:space="preserve">Nowy </w:t>
      </w:r>
      <w:r w:rsidRPr="004652A8">
        <w:t>a</w:t>
      </w:r>
      <w:r w:rsidR="003A6DBF" w:rsidRPr="004652A8">
        <w:t>rt. 76</w:t>
      </w:r>
      <w:r w:rsidR="00AF03E5">
        <w:t>s</w:t>
      </w:r>
      <w:r w:rsidR="003A6DBF" w:rsidRPr="002B30A1" w:rsidDel="00354766">
        <w:rPr>
          <w:bCs/>
        </w:rPr>
        <w:t xml:space="preserve"> </w:t>
      </w:r>
    </w:p>
    <w:p w14:paraId="4B88423D" w14:textId="131D85BC" w:rsidR="003A6DBF" w:rsidRPr="0024375B" w:rsidRDefault="003A6DBF" w:rsidP="0024375B">
      <w:pPr>
        <w:spacing w:before="120" w:after="120"/>
        <w:ind w:firstLine="567"/>
        <w:jc w:val="both"/>
        <w:rPr>
          <w:rFonts w:cs="Times New Roman"/>
          <w:b/>
          <w:szCs w:val="24"/>
        </w:rPr>
      </w:pPr>
      <w:r w:rsidRPr="0024375B">
        <w:rPr>
          <w:rFonts w:cs="Times New Roman"/>
          <w:szCs w:val="24"/>
        </w:rPr>
        <w:t>Przepis ustawy zobowiązuje Prezesa UKE do przydzielenia,</w:t>
      </w:r>
      <w:r w:rsidR="00EA1900">
        <w:rPr>
          <w:rFonts w:cs="Times New Roman"/>
          <w:szCs w:val="24"/>
        </w:rPr>
        <w:t xml:space="preserve"> w </w:t>
      </w:r>
      <w:r w:rsidRPr="0024375B">
        <w:rPr>
          <w:rFonts w:cs="Times New Roman"/>
          <w:szCs w:val="24"/>
        </w:rPr>
        <w:t xml:space="preserve">drodze decyzji administracyjnej, OSSB określonego zakresu częstotliwości, przeznaczonego do użytkowania rządowego. Do decyzji Prezesa UKE odpowiednio należy stosować przepisy ustawy Prawo </w:t>
      </w:r>
      <w:r w:rsidR="009118EF">
        <w:rPr>
          <w:rFonts w:cs="Times New Roman"/>
          <w:szCs w:val="24"/>
        </w:rPr>
        <w:t>komunikacji elektronicznej</w:t>
      </w:r>
      <w:r w:rsidR="009118EF" w:rsidRPr="0024375B">
        <w:rPr>
          <w:rFonts w:cs="Times New Roman"/>
          <w:szCs w:val="24"/>
        </w:rPr>
        <w:t xml:space="preserve"> </w:t>
      </w:r>
      <w:r w:rsidRPr="0024375B">
        <w:rPr>
          <w:rFonts w:cs="Times New Roman"/>
          <w:szCs w:val="24"/>
        </w:rPr>
        <w:t>dotyczące rezerwacji częstotliwości, regulujące między innymi okres, na który jest ona wydawana oraz jej treść. Jednocześnie</w:t>
      </w:r>
      <w:r w:rsidR="00EA1900">
        <w:rPr>
          <w:rFonts w:cs="Times New Roman"/>
          <w:szCs w:val="24"/>
        </w:rPr>
        <w:t xml:space="preserve"> w </w:t>
      </w:r>
      <w:r w:rsidRPr="0024375B">
        <w:rPr>
          <w:rFonts w:cs="Times New Roman"/>
          <w:szCs w:val="24"/>
        </w:rPr>
        <w:t>decyzji tej Prezes UKE obligatoryjnie określi zobowiązania pokryciowe</w:t>
      </w:r>
      <w:r w:rsidR="007F37C6">
        <w:rPr>
          <w:rFonts w:cs="Times New Roman"/>
          <w:szCs w:val="24"/>
        </w:rPr>
        <w:t>,</w:t>
      </w:r>
      <w:r w:rsidRPr="0024375B">
        <w:rPr>
          <w:rFonts w:cs="Times New Roman"/>
          <w:szCs w:val="24"/>
        </w:rPr>
        <w:t xml:space="preserve"> czyli nałożone na OSSB wymogi</w:t>
      </w:r>
      <w:r w:rsidR="00EA1900">
        <w:rPr>
          <w:rFonts w:cs="Times New Roman"/>
          <w:szCs w:val="24"/>
        </w:rPr>
        <w:t xml:space="preserve"> w </w:t>
      </w:r>
      <w:r w:rsidRPr="0024375B">
        <w:rPr>
          <w:rFonts w:cs="Times New Roman"/>
          <w:szCs w:val="24"/>
        </w:rPr>
        <w:t>zakresie pokrycia zasięgiem ruchomych sieci telekomunikacyjnych opartych</w:t>
      </w:r>
      <w:r w:rsidR="0077165A">
        <w:rPr>
          <w:rFonts w:cs="Times New Roman"/>
          <w:szCs w:val="24"/>
        </w:rPr>
        <w:t xml:space="preserve"> o </w:t>
      </w:r>
      <w:r w:rsidRPr="0024375B">
        <w:rPr>
          <w:rFonts w:cs="Times New Roman"/>
          <w:szCs w:val="24"/>
        </w:rPr>
        <w:t>te częstotliwości.</w:t>
      </w:r>
    </w:p>
    <w:p w14:paraId="4561FAFF" w14:textId="77777777" w:rsidR="003A6DBF" w:rsidRPr="0024375B" w:rsidRDefault="003A6DBF" w:rsidP="0024375B">
      <w:pPr>
        <w:spacing w:before="120" w:after="120"/>
        <w:ind w:firstLine="567"/>
        <w:jc w:val="both"/>
        <w:rPr>
          <w:rFonts w:cs="Times New Roman"/>
          <w:szCs w:val="24"/>
        </w:rPr>
      </w:pPr>
      <w:r w:rsidRPr="0024375B">
        <w:rPr>
          <w:rFonts w:cs="Times New Roman"/>
          <w:szCs w:val="24"/>
        </w:rPr>
        <w:t>Decyzja harmonizacyjna</w:t>
      </w:r>
      <w:r w:rsidR="00EA1900">
        <w:rPr>
          <w:rFonts w:cs="Times New Roman"/>
          <w:szCs w:val="24"/>
        </w:rPr>
        <w:t xml:space="preserve"> w </w:t>
      </w:r>
      <w:r w:rsidRPr="0024375B">
        <w:rPr>
          <w:rFonts w:cs="Times New Roman"/>
          <w:szCs w:val="24"/>
        </w:rPr>
        <w:t>tym kontekście wyraźnie wskazuje, że nie naruszając prawa państw członkowskich do organizowania</w:t>
      </w:r>
      <w:r w:rsidR="002161FE">
        <w:rPr>
          <w:rFonts w:cs="Times New Roman"/>
          <w:szCs w:val="24"/>
        </w:rPr>
        <w:t xml:space="preserve"> i </w:t>
      </w:r>
      <w:r w:rsidRPr="0024375B">
        <w:rPr>
          <w:rFonts w:cs="Times New Roman"/>
          <w:szCs w:val="24"/>
        </w:rPr>
        <w:t xml:space="preserve">użytkowania swojego widma radiowego do celów bezpieczeństwa publicznego oraz obronności, jeżeli została wdrożona łączność radiowa PPDR, należy stosować warunki techniczne dla bezprzewodowych usług szerokopasmowej łączności elektronicznej określonych dla aranżacji </w:t>
      </w:r>
      <w:r w:rsidRPr="0024375B">
        <w:rPr>
          <w:rFonts w:cs="Times New Roman"/>
          <w:szCs w:val="24"/>
        </w:rPr>
        <w:lastRenderedPageBreak/>
        <w:t>podstawowej. Państwa członkowskie mogą więc dokonać przeznaczenia określonego zasobu</w:t>
      </w:r>
      <w:r w:rsidR="002161FE">
        <w:rPr>
          <w:rFonts w:cs="Times New Roman"/>
          <w:szCs w:val="24"/>
        </w:rPr>
        <w:t xml:space="preserve"> z </w:t>
      </w:r>
      <w:r w:rsidRPr="0024375B">
        <w:rPr>
          <w:rFonts w:cs="Times New Roman"/>
          <w:szCs w:val="24"/>
        </w:rPr>
        <w:t>pasma 700 MHz zgodnie</w:t>
      </w:r>
      <w:r w:rsidR="002161FE">
        <w:rPr>
          <w:rFonts w:cs="Times New Roman"/>
          <w:szCs w:val="24"/>
        </w:rPr>
        <w:t xml:space="preserve"> z </w:t>
      </w:r>
      <w:r w:rsidRPr="0024375B">
        <w:rPr>
          <w:rFonts w:cs="Times New Roman"/>
          <w:szCs w:val="24"/>
        </w:rPr>
        <w:t>wytycznymi wskazanymi</w:t>
      </w:r>
      <w:r w:rsidR="00EA1900">
        <w:rPr>
          <w:rFonts w:cs="Times New Roman"/>
          <w:szCs w:val="24"/>
        </w:rPr>
        <w:t xml:space="preserve"> w </w:t>
      </w:r>
      <w:r w:rsidRPr="0024375B">
        <w:rPr>
          <w:rFonts w:cs="Times New Roman"/>
          <w:szCs w:val="24"/>
        </w:rPr>
        <w:t>Decyzji harmonizacyjnej.</w:t>
      </w:r>
    </w:p>
    <w:p w14:paraId="5AE6E47F" w14:textId="77777777" w:rsidR="00B534FF" w:rsidRPr="00F77A73" w:rsidRDefault="00B534FF" w:rsidP="00DC1575">
      <w:pPr>
        <w:pStyle w:val="Nagwek4"/>
      </w:pPr>
      <w:r w:rsidRPr="00713E1C">
        <w:t xml:space="preserve">Nowy </w:t>
      </w:r>
      <w:r w:rsidRPr="004652A8">
        <w:t>a</w:t>
      </w:r>
      <w:r w:rsidR="003A6DBF" w:rsidRPr="004652A8">
        <w:t xml:space="preserve">rt. </w:t>
      </w:r>
      <w:r w:rsidR="003A6DBF" w:rsidRPr="002B30A1">
        <w:t>76</w:t>
      </w:r>
      <w:r w:rsidR="00AF03E5">
        <w:t>t</w:t>
      </w:r>
      <w:r w:rsidR="003A6DBF" w:rsidRPr="00F77A73">
        <w:t xml:space="preserve"> </w:t>
      </w:r>
    </w:p>
    <w:p w14:paraId="66D8D080" w14:textId="77777777" w:rsidR="003A6DBF" w:rsidRPr="0024375B" w:rsidRDefault="003A6DBF" w:rsidP="0024375B">
      <w:pPr>
        <w:spacing w:before="120" w:after="120"/>
        <w:ind w:firstLine="567"/>
        <w:jc w:val="both"/>
        <w:rPr>
          <w:rFonts w:cs="Times New Roman"/>
          <w:szCs w:val="24"/>
        </w:rPr>
      </w:pPr>
      <w:r w:rsidRPr="0024375B">
        <w:rPr>
          <w:rFonts w:cs="Times New Roman"/>
          <w:szCs w:val="24"/>
        </w:rPr>
        <w:t>Przepis reguluje kwestię zmiany podmiotu, któremu przydzielono częstotliwości rządowe</w:t>
      </w:r>
      <w:r w:rsidR="002161FE">
        <w:rPr>
          <w:rFonts w:cs="Times New Roman"/>
          <w:szCs w:val="24"/>
        </w:rPr>
        <w:t xml:space="preserve"> z </w:t>
      </w:r>
      <w:r w:rsidRPr="0024375B">
        <w:rPr>
          <w:rFonts w:cs="Times New Roman"/>
          <w:szCs w:val="24"/>
        </w:rPr>
        <w:t>zakresu 703</w:t>
      </w:r>
      <w:r w:rsidR="004C6527">
        <w:rPr>
          <w:rFonts w:cs="Times New Roman"/>
          <w:szCs w:val="24"/>
        </w:rPr>
        <w:t>–</w:t>
      </w:r>
      <w:r w:rsidRPr="0024375B">
        <w:rPr>
          <w:rFonts w:cs="Times New Roman"/>
          <w:szCs w:val="24"/>
        </w:rPr>
        <w:t>713 MHz oraz 758</w:t>
      </w:r>
      <w:r w:rsidR="004C6527">
        <w:rPr>
          <w:rFonts w:cs="Times New Roman"/>
          <w:szCs w:val="24"/>
        </w:rPr>
        <w:t>–</w:t>
      </w:r>
      <w:r w:rsidRPr="0024375B">
        <w:rPr>
          <w:rFonts w:cs="Times New Roman"/>
          <w:szCs w:val="24"/>
        </w:rPr>
        <w:t>768 MHz</w:t>
      </w:r>
      <w:r w:rsidR="00EA1900">
        <w:rPr>
          <w:rFonts w:cs="Times New Roman"/>
          <w:szCs w:val="24"/>
        </w:rPr>
        <w:t xml:space="preserve"> w </w:t>
      </w:r>
      <w:r w:rsidRPr="0024375B">
        <w:rPr>
          <w:rFonts w:cs="Times New Roman"/>
          <w:szCs w:val="24"/>
        </w:rPr>
        <w:t>przypadku odwołania lub zmiany podmiotu będącego OSSB.</w:t>
      </w:r>
      <w:r w:rsidR="00116933">
        <w:rPr>
          <w:rFonts w:cs="Times New Roman"/>
          <w:szCs w:val="24"/>
        </w:rPr>
        <w:t xml:space="preserve"> W </w:t>
      </w:r>
      <w:r w:rsidRPr="0024375B">
        <w:rPr>
          <w:rFonts w:cs="Times New Roman"/>
          <w:szCs w:val="24"/>
        </w:rPr>
        <w:t>takim przypadku nowy OSSB wstępuje</w:t>
      </w:r>
      <w:r w:rsidR="00EA1900">
        <w:rPr>
          <w:rFonts w:cs="Times New Roman"/>
          <w:szCs w:val="24"/>
        </w:rPr>
        <w:t xml:space="preserve"> w </w:t>
      </w:r>
      <w:r w:rsidRPr="0024375B">
        <w:rPr>
          <w:rFonts w:cs="Times New Roman"/>
          <w:szCs w:val="24"/>
        </w:rPr>
        <w:t>prawa</w:t>
      </w:r>
      <w:r w:rsidR="002161FE">
        <w:rPr>
          <w:rFonts w:cs="Times New Roman"/>
          <w:szCs w:val="24"/>
        </w:rPr>
        <w:t xml:space="preserve"> i </w:t>
      </w:r>
      <w:r w:rsidRPr="0024375B">
        <w:rPr>
          <w:rFonts w:cs="Times New Roman"/>
          <w:szCs w:val="24"/>
        </w:rPr>
        <w:t>obowiązki związane</w:t>
      </w:r>
      <w:r w:rsidR="002161FE">
        <w:rPr>
          <w:rFonts w:cs="Times New Roman"/>
          <w:szCs w:val="24"/>
        </w:rPr>
        <w:t xml:space="preserve"> z </w:t>
      </w:r>
      <w:r w:rsidRPr="0024375B">
        <w:rPr>
          <w:rFonts w:cs="Times New Roman"/>
          <w:szCs w:val="24"/>
        </w:rPr>
        <w:t>przydziałem tego zakresu częstotliwości określone</w:t>
      </w:r>
      <w:r w:rsidR="00EA1900">
        <w:rPr>
          <w:rFonts w:cs="Times New Roman"/>
          <w:szCs w:val="24"/>
        </w:rPr>
        <w:t xml:space="preserve"> w </w:t>
      </w:r>
      <w:r w:rsidRPr="0024375B">
        <w:rPr>
          <w:rFonts w:cs="Times New Roman"/>
          <w:szCs w:val="24"/>
        </w:rPr>
        <w:t>ustawie oraz decyzji Prezesa UKE. Takie rozwiązanie zapewni dalsze niezakłócone funkcjonowanie sieci</w:t>
      </w:r>
      <w:r w:rsidR="002161FE">
        <w:rPr>
          <w:rFonts w:cs="Times New Roman"/>
          <w:szCs w:val="24"/>
        </w:rPr>
        <w:t xml:space="preserve"> i </w:t>
      </w:r>
      <w:r w:rsidRPr="0024375B">
        <w:rPr>
          <w:rFonts w:cs="Times New Roman"/>
          <w:szCs w:val="24"/>
        </w:rPr>
        <w:t>prawidłową realizację usług strategicznych.</w:t>
      </w:r>
    </w:p>
    <w:p w14:paraId="26C39BB6" w14:textId="77777777" w:rsidR="003A6DBF" w:rsidRPr="0024375B" w:rsidRDefault="004D1B48" w:rsidP="00862E68">
      <w:pPr>
        <w:pStyle w:val="Nagwek3"/>
        <w:rPr>
          <w:bCs/>
        </w:rPr>
      </w:pPr>
      <w:bookmarkStart w:id="84" w:name="_Toc136511061"/>
      <w:r w:rsidRPr="0024375B">
        <w:t>Finansowanie</w:t>
      </w:r>
      <w:r w:rsidR="003A6DBF" w:rsidRPr="0024375B">
        <w:t xml:space="preserve"> strategicznej sieci bezpieczeństwa</w:t>
      </w:r>
      <w:bookmarkEnd w:id="84"/>
    </w:p>
    <w:p w14:paraId="39396D75" w14:textId="77777777" w:rsidR="00C73DF4" w:rsidRDefault="00C73DF4" w:rsidP="00DC1575">
      <w:pPr>
        <w:pStyle w:val="Nagwek4"/>
      </w:pPr>
      <w:r>
        <w:t xml:space="preserve">Nowy </w:t>
      </w:r>
      <w:r w:rsidR="00024384">
        <w:t>a</w:t>
      </w:r>
      <w:r w:rsidR="003A6DBF" w:rsidRPr="0024375B">
        <w:t>rt. 76</w:t>
      </w:r>
      <w:r w:rsidR="00AF03E5">
        <w:t>u</w:t>
      </w:r>
      <w:r w:rsidR="00963E3F" w:rsidRPr="0024375B">
        <w:t>.</w:t>
      </w:r>
      <w:r w:rsidR="00035719" w:rsidRPr="0024375B">
        <w:t xml:space="preserve"> </w:t>
      </w:r>
    </w:p>
    <w:p w14:paraId="6B290143" w14:textId="77AD5D4F" w:rsidR="004D1B48" w:rsidRPr="0024375B" w:rsidRDefault="00882E1B" w:rsidP="0024375B">
      <w:pPr>
        <w:spacing w:before="120" w:after="120"/>
        <w:ind w:firstLine="567"/>
        <w:jc w:val="both"/>
        <w:rPr>
          <w:rFonts w:cs="Times New Roman"/>
          <w:bCs/>
          <w:szCs w:val="24"/>
        </w:rPr>
      </w:pPr>
      <w:r>
        <w:rPr>
          <w:rFonts w:cs="Times New Roman"/>
          <w:bCs/>
          <w:szCs w:val="24"/>
        </w:rPr>
        <w:t>Utworzenie, utrzymanie, rozwój i modernizacja</w:t>
      </w:r>
      <w:r w:rsidRPr="00882E1B">
        <w:rPr>
          <w:rFonts w:cs="Times New Roman"/>
          <w:bCs/>
          <w:szCs w:val="24"/>
        </w:rPr>
        <w:t xml:space="preserve"> infrastruktury</w:t>
      </w:r>
      <w:r w:rsidRPr="00882E1B" w:rsidDel="00882E1B">
        <w:rPr>
          <w:rFonts w:cs="Times New Roman"/>
          <w:bCs/>
          <w:szCs w:val="24"/>
        </w:rPr>
        <w:t xml:space="preserve"> </w:t>
      </w:r>
      <w:r w:rsidR="004D1B48" w:rsidRPr="0024375B">
        <w:rPr>
          <w:rFonts w:cs="Times New Roman"/>
          <w:bCs/>
          <w:szCs w:val="24"/>
        </w:rPr>
        <w:t>strategicznej sieci bezpieczeństwa będą finansowane</w:t>
      </w:r>
      <w:r w:rsidR="00EA1900">
        <w:rPr>
          <w:rFonts w:cs="Times New Roman"/>
          <w:bCs/>
          <w:szCs w:val="24"/>
        </w:rPr>
        <w:t xml:space="preserve"> w </w:t>
      </w:r>
      <w:r w:rsidR="004D1B48" w:rsidRPr="0024375B">
        <w:rPr>
          <w:rFonts w:cs="Times New Roman"/>
          <w:bCs/>
          <w:szCs w:val="24"/>
        </w:rPr>
        <w:t xml:space="preserve">formie dotacji celowej udzielanej </w:t>
      </w:r>
      <w:r w:rsidR="007F37C6">
        <w:rPr>
          <w:rFonts w:cs="Times New Roman"/>
          <w:bCs/>
          <w:szCs w:val="24"/>
        </w:rPr>
        <w:t>o</w:t>
      </w:r>
      <w:r w:rsidR="004D1B48" w:rsidRPr="0024375B">
        <w:rPr>
          <w:rFonts w:cs="Times New Roman"/>
          <w:bCs/>
          <w:szCs w:val="24"/>
        </w:rPr>
        <w:t>peratorowi strategicznej sieci bezpieczeństwa przez ministra właściwego do spraw aktywów państwowych</w:t>
      </w:r>
      <w:r w:rsidR="002161FE">
        <w:rPr>
          <w:rFonts w:cs="Times New Roman"/>
          <w:bCs/>
          <w:szCs w:val="24"/>
        </w:rPr>
        <w:t xml:space="preserve"> z </w:t>
      </w:r>
      <w:r w:rsidR="004D1B48" w:rsidRPr="0024375B">
        <w:rPr>
          <w:rFonts w:cs="Times New Roman"/>
          <w:bCs/>
          <w:szCs w:val="24"/>
        </w:rPr>
        <w:t>części budżetu państwa, której jest dysponentem. Podstawą określenia wysokości dotacji będzie koszt realizacji poszczególnych zadań ustalony przez ministra właściwego do spraw aktywów państwowych.</w:t>
      </w:r>
      <w:r>
        <w:rPr>
          <w:rFonts w:cs="Times New Roman"/>
          <w:bCs/>
          <w:szCs w:val="24"/>
        </w:rPr>
        <w:t xml:space="preserve"> </w:t>
      </w:r>
      <w:r w:rsidR="004D1B48" w:rsidRPr="0024375B">
        <w:rPr>
          <w:rFonts w:cs="Times New Roman"/>
          <w:bCs/>
          <w:szCs w:val="24"/>
        </w:rPr>
        <w:t xml:space="preserve">Łączna kwota dotacji zostanie oszacowana na podstawie przedstawionych przez </w:t>
      </w:r>
      <w:r w:rsidR="007F37C6">
        <w:rPr>
          <w:rFonts w:cs="Times New Roman"/>
          <w:bCs/>
          <w:szCs w:val="24"/>
        </w:rPr>
        <w:t>o</w:t>
      </w:r>
      <w:r w:rsidR="004D1B48" w:rsidRPr="0024375B">
        <w:rPr>
          <w:rFonts w:cs="Times New Roman"/>
          <w:bCs/>
          <w:szCs w:val="24"/>
        </w:rPr>
        <w:t>peratora strategicznej sieci bezpieczeństwa danych dotyczących kosztu realizacji poszczególnych zadań</w:t>
      </w:r>
      <w:r w:rsidR="002161FE">
        <w:rPr>
          <w:rFonts w:cs="Times New Roman"/>
          <w:bCs/>
          <w:szCs w:val="24"/>
        </w:rPr>
        <w:t xml:space="preserve"> z </w:t>
      </w:r>
      <w:r w:rsidR="004D1B48" w:rsidRPr="0024375B">
        <w:rPr>
          <w:rFonts w:cs="Times New Roman"/>
          <w:bCs/>
          <w:szCs w:val="24"/>
        </w:rPr>
        <w:t>uwzględnieniem liczby zrealizowanych zadań. Szczegółowe warunki wypłaty środków, wysokość kwot przeznaczonych na realizację poszczególnych zadań,</w:t>
      </w:r>
      <w:r w:rsidR="002161FE">
        <w:rPr>
          <w:rFonts w:cs="Times New Roman"/>
          <w:bCs/>
          <w:szCs w:val="24"/>
        </w:rPr>
        <w:t xml:space="preserve"> a </w:t>
      </w:r>
      <w:r w:rsidR="004D1B48" w:rsidRPr="0024375B">
        <w:rPr>
          <w:rFonts w:cs="Times New Roman"/>
          <w:bCs/>
          <w:szCs w:val="24"/>
        </w:rPr>
        <w:t>także sposób</w:t>
      </w:r>
      <w:r w:rsidR="002161FE">
        <w:rPr>
          <w:rFonts w:cs="Times New Roman"/>
          <w:bCs/>
          <w:szCs w:val="24"/>
        </w:rPr>
        <w:t xml:space="preserve"> i </w:t>
      </w:r>
      <w:r w:rsidR="004D1B48" w:rsidRPr="0024375B">
        <w:rPr>
          <w:rFonts w:cs="Times New Roman"/>
          <w:bCs/>
          <w:szCs w:val="24"/>
        </w:rPr>
        <w:t>zasady rozliczeń będzie określała umowa zawarta pomiędzy tym ministrem</w:t>
      </w:r>
      <w:r w:rsidR="002161FE">
        <w:rPr>
          <w:rFonts w:cs="Times New Roman"/>
          <w:bCs/>
          <w:szCs w:val="24"/>
        </w:rPr>
        <w:t xml:space="preserve"> a </w:t>
      </w:r>
      <w:r w:rsidR="004D1B48" w:rsidRPr="0024375B">
        <w:rPr>
          <w:rFonts w:cs="Times New Roman"/>
          <w:bCs/>
          <w:szCs w:val="24"/>
        </w:rPr>
        <w:t xml:space="preserve">OSSB. </w:t>
      </w:r>
    </w:p>
    <w:p w14:paraId="1F22466D" w14:textId="77777777" w:rsidR="003A6DBF" w:rsidRDefault="004D1B48" w:rsidP="0024375B">
      <w:pPr>
        <w:spacing w:before="120" w:after="120"/>
        <w:ind w:firstLine="567"/>
        <w:jc w:val="both"/>
        <w:rPr>
          <w:rFonts w:cs="Times New Roman"/>
          <w:bCs/>
          <w:szCs w:val="24"/>
        </w:rPr>
      </w:pPr>
      <w:r w:rsidRPr="0024375B">
        <w:rPr>
          <w:rFonts w:cs="Times New Roman"/>
          <w:bCs/>
          <w:szCs w:val="24"/>
        </w:rPr>
        <w:t>Jednocześnie ze środków tej dotacji Operator strategicznej sieci bezpieczeństwa nie będzie mógł finansować swojej działalności gospodarczej.</w:t>
      </w:r>
      <w:r w:rsidR="00A17574">
        <w:rPr>
          <w:rFonts w:cs="Times New Roman"/>
          <w:bCs/>
          <w:szCs w:val="24"/>
        </w:rPr>
        <w:t xml:space="preserve"> Przepis ten zapewnia, że środki z dotacji zostaną wyłącznie spożytkowane na cele publiczne.</w:t>
      </w:r>
    </w:p>
    <w:p w14:paraId="00F48A69" w14:textId="77777777" w:rsidR="00882E1B" w:rsidRDefault="00882E1B" w:rsidP="00862E68">
      <w:pPr>
        <w:pStyle w:val="Nagwek3"/>
      </w:pPr>
      <w:bookmarkStart w:id="85" w:name="_Toc136511062"/>
      <w:r>
        <w:t>Zmiany w art. 93</w:t>
      </w:r>
      <w:bookmarkEnd w:id="85"/>
    </w:p>
    <w:p w14:paraId="406E8435" w14:textId="77777777" w:rsidR="00882E1B" w:rsidRPr="0024375B" w:rsidRDefault="00882E1B" w:rsidP="0024375B">
      <w:pPr>
        <w:spacing w:before="120" w:after="120"/>
        <w:ind w:firstLine="567"/>
        <w:jc w:val="both"/>
        <w:rPr>
          <w:rFonts w:cs="Times New Roman"/>
          <w:szCs w:val="24"/>
        </w:rPr>
      </w:pPr>
      <w:r>
        <w:rPr>
          <w:rFonts w:cs="Times New Roman"/>
          <w:szCs w:val="24"/>
        </w:rPr>
        <w:t xml:space="preserve">Artykuł 93 ustawy o KSC zawiera maksymalny limit wydatków </w:t>
      </w:r>
      <w:r w:rsidRPr="00882E1B">
        <w:rPr>
          <w:rFonts w:cs="Times New Roman"/>
          <w:szCs w:val="24"/>
        </w:rPr>
        <w:t>z budżetu państwa</w:t>
      </w:r>
      <w:r>
        <w:rPr>
          <w:rFonts w:cs="Times New Roman"/>
          <w:szCs w:val="24"/>
        </w:rPr>
        <w:t xml:space="preserve"> dla poszczególnych części budżetowych, </w:t>
      </w:r>
      <w:r w:rsidRPr="00882E1B">
        <w:rPr>
          <w:rFonts w:cs="Times New Roman"/>
          <w:szCs w:val="24"/>
        </w:rPr>
        <w:t>będący</w:t>
      </w:r>
      <w:r>
        <w:rPr>
          <w:rFonts w:cs="Times New Roman"/>
          <w:szCs w:val="24"/>
        </w:rPr>
        <w:t>ch</w:t>
      </w:r>
      <w:r w:rsidRPr="00882E1B">
        <w:rPr>
          <w:rFonts w:cs="Times New Roman"/>
          <w:szCs w:val="24"/>
        </w:rPr>
        <w:t xml:space="preserve"> skutkiem finansowym wejścia w życie ustawy</w:t>
      </w:r>
      <w:r>
        <w:rPr>
          <w:rFonts w:cs="Times New Roman"/>
          <w:szCs w:val="24"/>
        </w:rPr>
        <w:t xml:space="preserve"> o KSC. Przepis ust. 8 oraz ust. 23 zawierają limity dla części budżetowej dla Komisji Nadzoru Finansowego. Część ta już nie istnieje – Urząd Komisji Nadzoru Finansowego jest obecnie państwową osobą prawną, a zasady jego finansowania określa </w:t>
      </w:r>
      <w:r w:rsidRPr="00882E1B">
        <w:rPr>
          <w:rFonts w:cs="Times New Roman"/>
          <w:szCs w:val="24"/>
        </w:rPr>
        <w:t>rozdzia</w:t>
      </w:r>
      <w:r>
        <w:rPr>
          <w:rFonts w:cs="Times New Roman"/>
          <w:szCs w:val="24"/>
        </w:rPr>
        <w:t>ł</w:t>
      </w:r>
      <w:r w:rsidRPr="00882E1B">
        <w:rPr>
          <w:rFonts w:cs="Times New Roman"/>
          <w:szCs w:val="24"/>
        </w:rPr>
        <w:t xml:space="preserve"> 3 ustawy z dnia 21 lipca 2006 r. o nadzorze nad rynkiem finansowym</w:t>
      </w:r>
      <w:r>
        <w:rPr>
          <w:rStyle w:val="Odwoanieprzypisudolnego"/>
          <w:rFonts w:eastAsia="Calibri"/>
          <w:sz w:val="22"/>
          <w:szCs w:val="22"/>
          <w:lang w:eastAsia="en-US"/>
        </w:rPr>
        <w:footnoteReference w:id="72"/>
      </w:r>
      <w:r w:rsidR="00024384">
        <w:rPr>
          <w:rFonts w:cs="Times New Roman"/>
          <w:szCs w:val="24"/>
          <w:vertAlign w:val="superscript"/>
        </w:rPr>
        <w:t>)</w:t>
      </w:r>
      <w:r>
        <w:rPr>
          <w:rFonts w:cs="Times New Roman"/>
          <w:szCs w:val="24"/>
        </w:rPr>
        <w:t>. Z tego powodu uchyla się przepisy art. 93 ust. 8 i 23 jako zbędne.</w:t>
      </w:r>
    </w:p>
    <w:p w14:paraId="6AD2C995" w14:textId="77777777" w:rsidR="00D66505" w:rsidRPr="0024375B" w:rsidRDefault="00D66505" w:rsidP="00862E68">
      <w:pPr>
        <w:pStyle w:val="Nagwek3"/>
      </w:pPr>
      <w:bookmarkStart w:id="86" w:name="_Toc136511063"/>
      <w:r w:rsidRPr="0024375B">
        <w:lastRenderedPageBreak/>
        <w:t>Zmiany</w:t>
      </w:r>
      <w:r w:rsidR="00EA1900">
        <w:t xml:space="preserve"> w </w:t>
      </w:r>
      <w:r w:rsidRPr="0024375B">
        <w:t>załącznikach do ustawy</w:t>
      </w:r>
      <w:bookmarkEnd w:id="86"/>
    </w:p>
    <w:p w14:paraId="338C46C0" w14:textId="79EB7C3B" w:rsidR="00B40575" w:rsidRDefault="00B40575" w:rsidP="00B40575">
      <w:pPr>
        <w:pStyle w:val="ARTartustawynprozporzdzenia"/>
        <w:rPr>
          <w:rFonts w:ascii="Times New Roman" w:hAnsi="Times New Roman" w:cs="Times New Roman"/>
        </w:rPr>
      </w:pPr>
      <w:r w:rsidRPr="00B40575">
        <w:rPr>
          <w:rFonts w:ascii="Times New Roman" w:hAnsi="Times New Roman" w:cs="Times New Roman"/>
        </w:rPr>
        <w:t>W sektorze ochrona zdrowia obecnie</w:t>
      </w:r>
      <w:r>
        <w:rPr>
          <w:rFonts w:ascii="Times New Roman" w:hAnsi="Times New Roman" w:cs="Times New Roman"/>
        </w:rPr>
        <w:t xml:space="preserve"> </w:t>
      </w:r>
      <w:r w:rsidRPr="00B40575">
        <w:rPr>
          <w:rFonts w:ascii="Times New Roman" w:hAnsi="Times New Roman" w:cs="Times New Roman"/>
        </w:rPr>
        <w:t>za operatora usługi kluczowej może zostać uznana jednostka podległa ministrowi właściwemu do</w:t>
      </w:r>
      <w:r>
        <w:rPr>
          <w:rFonts w:ascii="Times New Roman" w:hAnsi="Times New Roman" w:cs="Times New Roman"/>
        </w:rPr>
        <w:t xml:space="preserve"> </w:t>
      </w:r>
      <w:r w:rsidRPr="00B40575">
        <w:rPr>
          <w:rFonts w:ascii="Times New Roman" w:hAnsi="Times New Roman" w:cs="Times New Roman"/>
        </w:rPr>
        <w:t>spraw zdrowia, właściwa w zakresie systemów informacyjnych ochrony zdrowia. Zmiana</w:t>
      </w:r>
      <w:r>
        <w:rPr>
          <w:rFonts w:ascii="Times New Roman" w:hAnsi="Times New Roman" w:cs="Times New Roman"/>
        </w:rPr>
        <w:t xml:space="preserve"> </w:t>
      </w:r>
      <w:r w:rsidRPr="00B40575">
        <w:rPr>
          <w:rFonts w:ascii="Times New Roman" w:hAnsi="Times New Roman" w:cs="Times New Roman"/>
        </w:rPr>
        <w:t>załącznika polegałaby na zastąpieniu wyrażenia „Jednostka podległa ministrowi właściwemu do</w:t>
      </w:r>
      <w:r>
        <w:rPr>
          <w:rFonts w:ascii="Times New Roman" w:hAnsi="Times New Roman" w:cs="Times New Roman"/>
        </w:rPr>
        <w:t xml:space="preserve"> </w:t>
      </w:r>
      <w:r w:rsidRPr="00B40575">
        <w:rPr>
          <w:rFonts w:ascii="Times New Roman" w:hAnsi="Times New Roman" w:cs="Times New Roman"/>
        </w:rPr>
        <w:t>spraw zdrowia, właściwa w zakresie systemów informacyjnych ochrony zdrowia</w:t>
      </w:r>
      <w:r w:rsidR="0086120C">
        <w:rPr>
          <w:rFonts w:ascii="Times New Roman" w:hAnsi="Times New Roman" w:cs="Times New Roman"/>
        </w:rPr>
        <w:t>”</w:t>
      </w:r>
      <w:r w:rsidRPr="00B40575">
        <w:rPr>
          <w:rFonts w:ascii="Times New Roman" w:hAnsi="Times New Roman" w:cs="Times New Roman"/>
        </w:rPr>
        <w:t xml:space="preserve"> na „Jednostka</w:t>
      </w:r>
      <w:r>
        <w:rPr>
          <w:rFonts w:ascii="Times New Roman" w:hAnsi="Times New Roman" w:cs="Times New Roman"/>
        </w:rPr>
        <w:t xml:space="preserve"> </w:t>
      </w:r>
      <w:r w:rsidRPr="00B40575">
        <w:rPr>
          <w:rFonts w:ascii="Times New Roman" w:hAnsi="Times New Roman" w:cs="Times New Roman"/>
        </w:rPr>
        <w:t>podległa ministrowi właściwemu do spraw zdrowia lub przez niego nadzorowana</w:t>
      </w:r>
      <w:r w:rsidR="0086120C">
        <w:rPr>
          <w:rFonts w:ascii="Times New Roman" w:hAnsi="Times New Roman" w:cs="Times New Roman"/>
        </w:rPr>
        <w:t>”</w:t>
      </w:r>
      <w:r w:rsidRPr="00B40575">
        <w:rPr>
          <w:rFonts w:ascii="Times New Roman" w:hAnsi="Times New Roman" w:cs="Times New Roman"/>
        </w:rPr>
        <w:t>. Za operatora</w:t>
      </w:r>
      <w:r>
        <w:rPr>
          <w:rFonts w:ascii="Times New Roman" w:hAnsi="Times New Roman" w:cs="Times New Roman"/>
        </w:rPr>
        <w:t xml:space="preserve"> </w:t>
      </w:r>
      <w:r w:rsidRPr="00B40575">
        <w:rPr>
          <w:rFonts w:ascii="Times New Roman" w:hAnsi="Times New Roman" w:cs="Times New Roman"/>
        </w:rPr>
        <w:t>usługi kluczowej mogłaby być uznana każda jednostka podległa lub nadzorowana przez ministra</w:t>
      </w:r>
      <w:r>
        <w:rPr>
          <w:rFonts w:ascii="Times New Roman" w:hAnsi="Times New Roman" w:cs="Times New Roman"/>
        </w:rPr>
        <w:t xml:space="preserve"> </w:t>
      </w:r>
      <w:r w:rsidRPr="00B40575">
        <w:rPr>
          <w:rFonts w:ascii="Times New Roman" w:hAnsi="Times New Roman" w:cs="Times New Roman"/>
        </w:rPr>
        <w:t>właściwego do spraw zdrowia, która np. zarządza danymi epidemiologicznymi.</w:t>
      </w:r>
      <w:r w:rsidRPr="00B40575">
        <w:rPr>
          <w:rFonts w:ascii="Times New Roman" w:hAnsi="Times New Roman" w:cs="Times New Roman"/>
        </w:rPr>
        <w:cr/>
      </w:r>
    </w:p>
    <w:p w14:paraId="278303B3" w14:textId="77777777" w:rsidR="00D66505" w:rsidRPr="0024375B" w:rsidRDefault="00B40575" w:rsidP="0024375B">
      <w:pPr>
        <w:pStyle w:val="ARTartustawynprozporzdzenia"/>
        <w:rPr>
          <w:rFonts w:ascii="Times New Roman" w:hAnsi="Times New Roman" w:cs="Times New Roman"/>
        </w:rPr>
      </w:pPr>
      <w:r>
        <w:rPr>
          <w:rFonts w:ascii="Times New Roman" w:hAnsi="Times New Roman" w:cs="Times New Roman"/>
        </w:rPr>
        <w:t>Ponadto w</w:t>
      </w:r>
      <w:r w:rsidR="00D66505" w:rsidRPr="0024375B">
        <w:rPr>
          <w:rFonts w:ascii="Times New Roman" w:hAnsi="Times New Roman" w:cs="Times New Roman"/>
        </w:rPr>
        <w:t xml:space="preserve"> załączniku numer 1</w:t>
      </w:r>
      <w:r w:rsidR="00EA1900">
        <w:rPr>
          <w:rFonts w:ascii="Times New Roman" w:hAnsi="Times New Roman" w:cs="Times New Roman"/>
        </w:rPr>
        <w:t xml:space="preserve"> w </w:t>
      </w:r>
      <w:r w:rsidR="00D66505" w:rsidRPr="0024375B">
        <w:rPr>
          <w:rFonts w:ascii="Times New Roman" w:hAnsi="Times New Roman" w:cs="Times New Roman"/>
        </w:rPr>
        <w:t xml:space="preserve">kolumnie „Rodzaj podmiotów” dotyczącej sektora „Ochrona zdrowia” usunięto: </w:t>
      </w:r>
    </w:p>
    <w:p w14:paraId="6831BC99" w14:textId="77777777" w:rsidR="00D66505" w:rsidRPr="0024375B" w:rsidRDefault="00D66505" w:rsidP="0024375B">
      <w:pPr>
        <w:pStyle w:val="ARTartustawynprozporzdzenia"/>
        <w:numPr>
          <w:ilvl w:val="0"/>
          <w:numId w:val="29"/>
        </w:numPr>
        <w:rPr>
          <w:rFonts w:ascii="Times New Roman" w:hAnsi="Times New Roman" w:cs="Times New Roman"/>
        </w:rPr>
      </w:pPr>
      <w:r w:rsidRPr="0024375B">
        <w:rPr>
          <w:rFonts w:ascii="Times New Roman" w:hAnsi="Times New Roman" w:cs="Times New Roman"/>
        </w:rPr>
        <w:t>„Podmiot leczniczy,</w:t>
      </w:r>
      <w:r w:rsidR="00EA1900">
        <w:rPr>
          <w:rFonts w:ascii="Times New Roman" w:hAnsi="Times New Roman" w:cs="Times New Roman"/>
        </w:rPr>
        <w:t xml:space="preserve"> w </w:t>
      </w:r>
      <w:r w:rsidRPr="0024375B">
        <w:rPr>
          <w:rFonts w:ascii="Times New Roman" w:hAnsi="Times New Roman" w:cs="Times New Roman"/>
        </w:rPr>
        <w:t>przedsiębiorstwie którego funkcjonuje dział farmacji szpitalnej</w:t>
      </w:r>
      <w:r w:rsidR="00EA1900">
        <w:rPr>
          <w:rFonts w:ascii="Times New Roman" w:hAnsi="Times New Roman" w:cs="Times New Roman"/>
        </w:rPr>
        <w:t xml:space="preserve"> w </w:t>
      </w:r>
      <w:r w:rsidRPr="0024375B">
        <w:rPr>
          <w:rFonts w:ascii="Times New Roman" w:hAnsi="Times New Roman" w:cs="Times New Roman"/>
        </w:rPr>
        <w:t>rozumieniu ustawy</w:t>
      </w:r>
      <w:r w:rsidR="002161FE">
        <w:rPr>
          <w:rFonts w:ascii="Times New Roman" w:hAnsi="Times New Roman" w:cs="Times New Roman"/>
        </w:rPr>
        <w:t xml:space="preserve"> z </w:t>
      </w:r>
      <w:r w:rsidRPr="0024375B">
        <w:rPr>
          <w:rFonts w:ascii="Times New Roman" w:hAnsi="Times New Roman" w:cs="Times New Roman"/>
        </w:rPr>
        <w:t>dnia 6 września 2001 r. – Prawo farmaceutyczne (Dz. U.</w:t>
      </w:r>
      <w:r w:rsidR="002161FE">
        <w:rPr>
          <w:rFonts w:ascii="Times New Roman" w:hAnsi="Times New Roman" w:cs="Times New Roman"/>
        </w:rPr>
        <w:t xml:space="preserve"> z </w:t>
      </w:r>
      <w:r w:rsidRPr="0024375B">
        <w:rPr>
          <w:rFonts w:ascii="Times New Roman" w:hAnsi="Times New Roman" w:cs="Times New Roman"/>
        </w:rPr>
        <w:t>202</w:t>
      </w:r>
      <w:r w:rsidR="00B60E0C">
        <w:rPr>
          <w:rFonts w:ascii="Times New Roman" w:hAnsi="Times New Roman" w:cs="Times New Roman"/>
        </w:rPr>
        <w:t>2</w:t>
      </w:r>
      <w:r w:rsidRPr="0024375B">
        <w:rPr>
          <w:rFonts w:ascii="Times New Roman" w:hAnsi="Times New Roman" w:cs="Times New Roman"/>
        </w:rPr>
        <w:t xml:space="preserve"> r. poz. </w:t>
      </w:r>
      <w:r w:rsidR="00B60E0C">
        <w:rPr>
          <w:rFonts w:ascii="Times New Roman" w:hAnsi="Times New Roman" w:cs="Times New Roman"/>
        </w:rPr>
        <w:t>2301</w:t>
      </w:r>
      <w:r w:rsidR="00024384">
        <w:rPr>
          <w:rFonts w:ascii="Times New Roman" w:hAnsi="Times New Roman" w:cs="Times New Roman"/>
        </w:rPr>
        <w:t xml:space="preserve"> oraz z 2023 r. poz. 605 i 650</w:t>
      </w:r>
      <w:r w:rsidRPr="0024375B">
        <w:rPr>
          <w:rFonts w:ascii="Times New Roman" w:hAnsi="Times New Roman" w:cs="Times New Roman"/>
        </w:rPr>
        <w:t>).”</w:t>
      </w:r>
    </w:p>
    <w:p w14:paraId="571D19DD" w14:textId="77777777" w:rsidR="00D66505" w:rsidRPr="0024375B" w:rsidRDefault="00D66505" w:rsidP="0024375B">
      <w:pPr>
        <w:pStyle w:val="ARTartustawynprozporzdzenia"/>
        <w:numPr>
          <w:ilvl w:val="0"/>
          <w:numId w:val="29"/>
        </w:numPr>
        <w:rPr>
          <w:rFonts w:ascii="Times New Roman" w:hAnsi="Times New Roman" w:cs="Times New Roman"/>
        </w:rPr>
      </w:pPr>
      <w:r w:rsidRPr="0024375B">
        <w:rPr>
          <w:rFonts w:ascii="Times New Roman" w:hAnsi="Times New Roman" w:cs="Times New Roman"/>
        </w:rPr>
        <w:t>„Podmiot leczniczy,</w:t>
      </w:r>
      <w:r w:rsidR="00EA1900">
        <w:rPr>
          <w:rFonts w:ascii="Times New Roman" w:hAnsi="Times New Roman" w:cs="Times New Roman"/>
        </w:rPr>
        <w:t xml:space="preserve"> w </w:t>
      </w:r>
      <w:r w:rsidRPr="0024375B">
        <w:rPr>
          <w:rFonts w:ascii="Times New Roman" w:hAnsi="Times New Roman" w:cs="Times New Roman"/>
        </w:rPr>
        <w:t>przedsiębiorstwie którego funkcjonuje apteka szpitalna</w:t>
      </w:r>
      <w:r w:rsidR="00EA1900">
        <w:rPr>
          <w:rFonts w:ascii="Times New Roman" w:hAnsi="Times New Roman" w:cs="Times New Roman"/>
        </w:rPr>
        <w:t xml:space="preserve"> w </w:t>
      </w:r>
      <w:r w:rsidRPr="0024375B">
        <w:rPr>
          <w:rFonts w:ascii="Times New Roman" w:hAnsi="Times New Roman" w:cs="Times New Roman"/>
        </w:rPr>
        <w:t>rozumieniu ustawy</w:t>
      </w:r>
      <w:r w:rsidR="002161FE">
        <w:rPr>
          <w:rFonts w:ascii="Times New Roman" w:hAnsi="Times New Roman" w:cs="Times New Roman"/>
        </w:rPr>
        <w:t xml:space="preserve"> z </w:t>
      </w:r>
      <w:r w:rsidRPr="0024375B">
        <w:rPr>
          <w:rFonts w:ascii="Times New Roman" w:hAnsi="Times New Roman" w:cs="Times New Roman"/>
        </w:rPr>
        <w:t>dnia 6 września 2001 r. – Prawo farmaceutyczne.”</w:t>
      </w:r>
    </w:p>
    <w:p w14:paraId="12761CCA" w14:textId="77777777" w:rsidR="00D66505" w:rsidRPr="0024375B" w:rsidRDefault="00D66505" w:rsidP="0024375B">
      <w:pPr>
        <w:pStyle w:val="ARTartustawynprozporzdzenia"/>
        <w:rPr>
          <w:rFonts w:ascii="Times New Roman" w:hAnsi="Times New Roman" w:cs="Times New Roman"/>
        </w:rPr>
      </w:pPr>
      <w:r w:rsidRPr="0024375B">
        <w:rPr>
          <w:rFonts w:ascii="Times New Roman" w:hAnsi="Times New Roman" w:cs="Times New Roman"/>
        </w:rPr>
        <w:t>Podmioty lecznicze,</w:t>
      </w:r>
      <w:r w:rsidR="00EA1900">
        <w:rPr>
          <w:rFonts w:ascii="Times New Roman" w:hAnsi="Times New Roman" w:cs="Times New Roman"/>
        </w:rPr>
        <w:t xml:space="preserve"> w </w:t>
      </w:r>
      <w:r w:rsidRPr="0024375B">
        <w:rPr>
          <w:rFonts w:ascii="Times New Roman" w:hAnsi="Times New Roman" w:cs="Times New Roman"/>
        </w:rPr>
        <w:t>przedsiębiorstwie których funkcjonują dział farmacji szpitalnej lub apteka szpitalna są faktycznie tożsame</w:t>
      </w:r>
      <w:r w:rsidR="002161FE">
        <w:rPr>
          <w:rFonts w:ascii="Times New Roman" w:hAnsi="Times New Roman" w:cs="Times New Roman"/>
        </w:rPr>
        <w:t xml:space="preserve"> z </w:t>
      </w:r>
      <w:r w:rsidRPr="0024375B">
        <w:rPr>
          <w:rFonts w:ascii="Times New Roman" w:hAnsi="Times New Roman" w:cs="Times New Roman"/>
        </w:rPr>
        <w:t>podmiotami leczniczymi,</w:t>
      </w:r>
      <w:r w:rsidR="0077165A">
        <w:rPr>
          <w:rFonts w:ascii="Times New Roman" w:hAnsi="Times New Roman" w:cs="Times New Roman"/>
        </w:rPr>
        <w:t xml:space="preserve"> o </w:t>
      </w:r>
      <w:r w:rsidRPr="0024375B">
        <w:rPr>
          <w:rFonts w:ascii="Times New Roman" w:hAnsi="Times New Roman" w:cs="Times New Roman"/>
        </w:rPr>
        <w:t>których mowa</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 xml:space="preserve">4 </w:t>
      </w:r>
      <w:r w:rsidR="00D00CB4">
        <w:rPr>
          <w:rFonts w:ascii="Times New Roman" w:hAnsi="Times New Roman" w:cs="Times New Roman"/>
        </w:rPr>
        <w:t>ust. </w:t>
      </w:r>
      <w:r w:rsidRPr="0024375B">
        <w:rPr>
          <w:rFonts w:ascii="Times New Roman" w:hAnsi="Times New Roman" w:cs="Times New Roman"/>
        </w:rPr>
        <w:t>1 ustawy</w:t>
      </w:r>
      <w:r w:rsidR="002161FE">
        <w:rPr>
          <w:rFonts w:ascii="Times New Roman" w:hAnsi="Times New Roman" w:cs="Times New Roman"/>
        </w:rPr>
        <w:t xml:space="preserve"> z </w:t>
      </w:r>
      <w:r w:rsidRPr="0024375B">
        <w:rPr>
          <w:rFonts w:ascii="Times New Roman" w:hAnsi="Times New Roman" w:cs="Times New Roman"/>
        </w:rPr>
        <w:t>dnia 15 kwietnia 2011 r.</w:t>
      </w:r>
      <w:r w:rsidR="0077165A">
        <w:rPr>
          <w:rFonts w:ascii="Times New Roman" w:hAnsi="Times New Roman" w:cs="Times New Roman"/>
        </w:rPr>
        <w:t xml:space="preserve"> o </w:t>
      </w:r>
      <w:r w:rsidRPr="0024375B">
        <w:rPr>
          <w:rFonts w:ascii="Times New Roman" w:hAnsi="Times New Roman" w:cs="Times New Roman"/>
        </w:rPr>
        <w:t>działalności leczniczej. Brak jest jakiegokolwiek uzasadnienia dla istnienia wyodrębnienia takich podmiotów, ponieważ podmioty posiadające dział farmacji lub aptekę szpitalną są podmiotami leczniczymi,</w:t>
      </w:r>
      <w:r w:rsidR="0077165A">
        <w:rPr>
          <w:rFonts w:ascii="Times New Roman" w:hAnsi="Times New Roman" w:cs="Times New Roman"/>
        </w:rPr>
        <w:t xml:space="preserve"> o </w:t>
      </w:r>
      <w:r w:rsidRPr="0024375B">
        <w:rPr>
          <w:rFonts w:ascii="Times New Roman" w:hAnsi="Times New Roman" w:cs="Times New Roman"/>
        </w:rPr>
        <w:t>którym mowa</w:t>
      </w:r>
      <w:r w:rsidR="002161FE">
        <w:rPr>
          <w:rFonts w:ascii="Times New Roman" w:hAnsi="Times New Roman" w:cs="Times New Roman"/>
        </w:rPr>
        <w:t xml:space="preserve"> w</w:t>
      </w:r>
      <w:r w:rsidR="00EA1900">
        <w:rPr>
          <w:rFonts w:ascii="Times New Roman" w:hAnsi="Times New Roman" w:cs="Times New Roman"/>
        </w:rPr>
        <w:t xml:space="preserve"> art. </w:t>
      </w:r>
      <w:r w:rsidRPr="0024375B">
        <w:rPr>
          <w:rFonts w:ascii="Times New Roman" w:hAnsi="Times New Roman" w:cs="Times New Roman"/>
        </w:rPr>
        <w:t xml:space="preserve">4 </w:t>
      </w:r>
      <w:r w:rsidR="00D00CB4">
        <w:rPr>
          <w:rFonts w:ascii="Times New Roman" w:hAnsi="Times New Roman" w:cs="Times New Roman"/>
        </w:rPr>
        <w:t>ust. </w:t>
      </w:r>
      <w:r w:rsidRPr="0024375B">
        <w:rPr>
          <w:rFonts w:ascii="Times New Roman" w:hAnsi="Times New Roman" w:cs="Times New Roman"/>
        </w:rPr>
        <w:t>1 ustawy</w:t>
      </w:r>
      <w:r w:rsidR="002161FE">
        <w:rPr>
          <w:rFonts w:ascii="Times New Roman" w:hAnsi="Times New Roman" w:cs="Times New Roman"/>
        </w:rPr>
        <w:t xml:space="preserve"> z </w:t>
      </w:r>
      <w:r w:rsidRPr="0024375B">
        <w:rPr>
          <w:rFonts w:ascii="Times New Roman" w:hAnsi="Times New Roman" w:cs="Times New Roman"/>
        </w:rPr>
        <w:t>dnia 15 kwietnia 2011 r.</w:t>
      </w:r>
      <w:r w:rsidR="0077165A">
        <w:rPr>
          <w:rFonts w:ascii="Times New Roman" w:hAnsi="Times New Roman" w:cs="Times New Roman"/>
        </w:rPr>
        <w:t xml:space="preserve"> o </w:t>
      </w:r>
      <w:r w:rsidRPr="0024375B">
        <w:rPr>
          <w:rFonts w:ascii="Times New Roman" w:hAnsi="Times New Roman" w:cs="Times New Roman"/>
        </w:rPr>
        <w:t>działalności leczniczej.</w:t>
      </w:r>
    </w:p>
    <w:p w14:paraId="583B1B44" w14:textId="77777777" w:rsidR="00D66505" w:rsidRPr="0024375B" w:rsidRDefault="00D66505" w:rsidP="0024375B">
      <w:pPr>
        <w:pStyle w:val="ARTartustawynprozporzdzenia"/>
        <w:rPr>
          <w:rFonts w:ascii="Times New Roman" w:hAnsi="Times New Roman" w:cs="Times New Roman"/>
        </w:rPr>
      </w:pPr>
      <w:r w:rsidRPr="0024375B">
        <w:rPr>
          <w:rFonts w:ascii="Times New Roman" w:hAnsi="Times New Roman" w:cs="Times New Roman"/>
        </w:rPr>
        <w:t>W tym samym załączniku nr 1</w:t>
      </w:r>
      <w:r w:rsidR="00EA1900">
        <w:rPr>
          <w:rFonts w:ascii="Times New Roman" w:hAnsi="Times New Roman" w:cs="Times New Roman"/>
        </w:rPr>
        <w:t xml:space="preserve"> w </w:t>
      </w:r>
      <w:r w:rsidRPr="0024375B">
        <w:rPr>
          <w:rFonts w:ascii="Times New Roman" w:hAnsi="Times New Roman" w:cs="Times New Roman"/>
        </w:rPr>
        <w:t>kolumnie „Rodzaj podmiotów” odnoszącej się do sektora Infrastruktury cyfrowej dodano nowy podmiot, jakim jest operator strategicznej sieci bezpieczeństwa.</w:t>
      </w:r>
    </w:p>
    <w:p w14:paraId="6E91EE25" w14:textId="77777777" w:rsidR="00D66505" w:rsidRPr="0024375B" w:rsidRDefault="00D66505" w:rsidP="0024375B">
      <w:pPr>
        <w:spacing w:before="120" w:after="120"/>
        <w:ind w:firstLine="567"/>
        <w:jc w:val="both"/>
        <w:rPr>
          <w:rFonts w:cs="Times New Roman"/>
          <w:bCs/>
          <w:szCs w:val="24"/>
        </w:rPr>
      </w:pPr>
    </w:p>
    <w:p w14:paraId="6F69F79A" w14:textId="77777777" w:rsidR="00F6749E" w:rsidRPr="0024375B" w:rsidRDefault="00F6749E" w:rsidP="0024375B">
      <w:pPr>
        <w:pStyle w:val="Nagwek2"/>
      </w:pPr>
      <w:bookmarkStart w:id="87" w:name="_Toc136511064"/>
      <w:r w:rsidRPr="0024375B">
        <w:t>Zmiany</w:t>
      </w:r>
      <w:r w:rsidR="00EA1900">
        <w:t xml:space="preserve"> w </w:t>
      </w:r>
      <w:r w:rsidR="007E3971" w:rsidRPr="0024375B">
        <w:t>innych ustawach</w:t>
      </w:r>
      <w:bookmarkEnd w:id="87"/>
    </w:p>
    <w:p w14:paraId="4F4CBA04" w14:textId="77777777" w:rsidR="006111F0" w:rsidRDefault="006111F0" w:rsidP="0024375B">
      <w:pPr>
        <w:pStyle w:val="ARTartustawynprozporzdzenia"/>
        <w:rPr>
          <w:rFonts w:ascii="Times New Roman" w:hAnsi="Times New Roman" w:cs="Times New Roman"/>
        </w:rPr>
      </w:pPr>
    </w:p>
    <w:p w14:paraId="3C63226A" w14:textId="491E0DFF" w:rsidR="00137062" w:rsidRPr="0024375B" w:rsidRDefault="00790AB9" w:rsidP="0024375B">
      <w:pPr>
        <w:pStyle w:val="ARTartustawynprozporzdzenia"/>
        <w:rPr>
          <w:iCs/>
          <w:lang w:eastAsia="en-US"/>
        </w:rPr>
      </w:pPr>
      <w:r w:rsidRPr="0024375B">
        <w:rPr>
          <w:rFonts w:ascii="Times New Roman" w:hAnsi="Times New Roman" w:cs="Times New Roman"/>
        </w:rPr>
        <w:t>Zgodnie</w:t>
      </w:r>
      <w:r w:rsidR="002161FE">
        <w:rPr>
          <w:rFonts w:ascii="Times New Roman" w:hAnsi="Times New Roman" w:cs="Times New Roman"/>
        </w:rPr>
        <w:t xml:space="preserve"> z</w:t>
      </w:r>
      <w:r w:rsidR="00EA1900">
        <w:rPr>
          <w:rFonts w:ascii="Times New Roman" w:hAnsi="Times New Roman" w:cs="Times New Roman"/>
        </w:rPr>
        <w:t xml:space="preserve"> art. </w:t>
      </w:r>
      <w:r w:rsidR="00B74E8D" w:rsidRPr="0024375B">
        <w:rPr>
          <w:rFonts w:ascii="Times New Roman" w:hAnsi="Times New Roman" w:cs="Times New Roman"/>
        </w:rPr>
        <w:t>10</w:t>
      </w:r>
      <w:r w:rsidR="00EA1900">
        <w:rPr>
          <w:rFonts w:ascii="Times New Roman" w:hAnsi="Times New Roman" w:cs="Times New Roman"/>
        </w:rPr>
        <w:t xml:space="preserve"> w </w:t>
      </w:r>
      <w:r w:rsidR="00137062" w:rsidRPr="0024375B">
        <w:rPr>
          <w:iCs/>
          <w:lang w:eastAsia="en-US"/>
        </w:rPr>
        <w:t>ustawie</w:t>
      </w:r>
      <w:r w:rsidR="002161FE">
        <w:rPr>
          <w:iCs/>
          <w:lang w:eastAsia="en-US"/>
        </w:rPr>
        <w:t xml:space="preserve"> z </w:t>
      </w:r>
      <w:r w:rsidR="00137062" w:rsidRPr="0024375B">
        <w:rPr>
          <w:iCs/>
          <w:lang w:eastAsia="en-US"/>
        </w:rPr>
        <w:t>dnia 16 grudnia 2016 r.</w:t>
      </w:r>
      <w:r w:rsidR="0077165A">
        <w:rPr>
          <w:iCs/>
          <w:lang w:eastAsia="en-US"/>
        </w:rPr>
        <w:t xml:space="preserve"> o </w:t>
      </w:r>
      <w:r w:rsidR="00137062" w:rsidRPr="0024375B">
        <w:rPr>
          <w:iCs/>
          <w:lang w:eastAsia="en-US"/>
        </w:rPr>
        <w:t>zasadach zarządzaniu mieniem państwowym</w:t>
      </w:r>
      <w:r w:rsidR="002161FE">
        <w:rPr>
          <w:iCs/>
          <w:lang w:eastAsia="en-US"/>
        </w:rPr>
        <w:t xml:space="preserve"> w</w:t>
      </w:r>
      <w:r w:rsidR="00EA1900">
        <w:rPr>
          <w:iCs/>
          <w:lang w:eastAsia="en-US"/>
        </w:rPr>
        <w:t xml:space="preserve"> art. </w:t>
      </w:r>
      <w:r w:rsidR="00137062" w:rsidRPr="0024375B">
        <w:rPr>
          <w:iCs/>
          <w:lang w:eastAsia="en-US"/>
        </w:rPr>
        <w:t xml:space="preserve">13 </w:t>
      </w:r>
      <w:r w:rsidR="00D00CB4">
        <w:rPr>
          <w:iCs/>
          <w:lang w:eastAsia="en-US"/>
        </w:rPr>
        <w:t>ust. </w:t>
      </w:r>
      <w:r w:rsidR="00137062" w:rsidRPr="0024375B">
        <w:rPr>
          <w:iCs/>
          <w:lang w:eastAsia="en-US"/>
        </w:rPr>
        <w:t>1 dodaje się pkt 31</w:t>
      </w:r>
      <w:r w:rsidR="00EA1900">
        <w:rPr>
          <w:iCs/>
          <w:lang w:eastAsia="en-US"/>
        </w:rPr>
        <w:t xml:space="preserve"> w </w:t>
      </w:r>
      <w:r w:rsidR="00137062" w:rsidRPr="0024375B">
        <w:rPr>
          <w:iCs/>
          <w:lang w:eastAsia="en-US"/>
        </w:rPr>
        <w:t>brzmieniu: „podmiot wyznaczony na operatora strategicznej sieci bezpieczeństwa,</w:t>
      </w:r>
      <w:r w:rsidR="0077165A">
        <w:rPr>
          <w:iCs/>
          <w:lang w:eastAsia="en-US"/>
        </w:rPr>
        <w:t xml:space="preserve"> o </w:t>
      </w:r>
      <w:r w:rsidR="00137062" w:rsidRPr="0024375B">
        <w:rPr>
          <w:iCs/>
          <w:lang w:eastAsia="en-US"/>
        </w:rPr>
        <w:t>którym mowa</w:t>
      </w:r>
      <w:r w:rsidR="00EA1900">
        <w:rPr>
          <w:iCs/>
          <w:lang w:eastAsia="en-US"/>
        </w:rPr>
        <w:t xml:space="preserve"> w </w:t>
      </w:r>
      <w:r w:rsidR="00137062" w:rsidRPr="0024375B">
        <w:rPr>
          <w:iCs/>
          <w:lang w:eastAsia="en-US"/>
        </w:rPr>
        <w:t>przepisach ustawy</w:t>
      </w:r>
      <w:r w:rsidR="002161FE">
        <w:rPr>
          <w:iCs/>
          <w:lang w:eastAsia="en-US"/>
        </w:rPr>
        <w:t xml:space="preserve"> z </w:t>
      </w:r>
      <w:r w:rsidR="00137062" w:rsidRPr="0024375B">
        <w:rPr>
          <w:iCs/>
          <w:lang w:eastAsia="en-US"/>
        </w:rPr>
        <w:t>dnia 5 lipca 2018 r.</w:t>
      </w:r>
      <w:r w:rsidR="0077165A">
        <w:rPr>
          <w:iCs/>
          <w:lang w:eastAsia="en-US"/>
        </w:rPr>
        <w:t xml:space="preserve"> o </w:t>
      </w:r>
      <w:r w:rsidR="00137062" w:rsidRPr="0024375B">
        <w:rPr>
          <w:iCs/>
          <w:lang w:eastAsia="en-US"/>
        </w:rPr>
        <w:t>krajowym systemie cyberbezpieczeństwa”. Ta zmiana jest konsekwencją wprowadzenia do polskiego porządku prawnego operatora strategicznej sieci bezpieczeństwa</w:t>
      </w:r>
      <w:r w:rsidR="00865337" w:rsidRPr="0024375B">
        <w:rPr>
          <w:iCs/>
          <w:lang w:eastAsia="en-US"/>
        </w:rPr>
        <w:t>, który nie powinien zbywać akcji lub praw</w:t>
      </w:r>
      <w:r w:rsidR="002161FE">
        <w:rPr>
          <w:iCs/>
          <w:lang w:eastAsia="en-US"/>
        </w:rPr>
        <w:t xml:space="preserve"> z </w:t>
      </w:r>
      <w:r w:rsidR="00865337" w:rsidRPr="0024375B">
        <w:rPr>
          <w:iCs/>
          <w:lang w:eastAsia="en-US"/>
        </w:rPr>
        <w:t>akcji należąc</w:t>
      </w:r>
      <w:r w:rsidR="0086120C">
        <w:rPr>
          <w:iCs/>
          <w:lang w:eastAsia="en-US"/>
        </w:rPr>
        <w:t>ych</w:t>
      </w:r>
      <w:r w:rsidR="00865337" w:rsidRPr="0024375B">
        <w:rPr>
          <w:iCs/>
          <w:lang w:eastAsia="en-US"/>
        </w:rPr>
        <w:t xml:space="preserve"> do Skarbu Państwa.</w:t>
      </w:r>
    </w:p>
    <w:p w14:paraId="422C1EAA" w14:textId="3F310D48" w:rsidR="004D1B48" w:rsidRPr="0024375B" w:rsidRDefault="004D1B48" w:rsidP="0024375B">
      <w:pPr>
        <w:pStyle w:val="ARTartustawynprozporzdzenia"/>
        <w:rPr>
          <w:iCs/>
          <w:lang w:eastAsia="en-US"/>
        </w:rPr>
      </w:pPr>
      <w:r w:rsidRPr="0024375B">
        <w:rPr>
          <w:iCs/>
          <w:lang w:eastAsia="en-US"/>
        </w:rPr>
        <w:lastRenderedPageBreak/>
        <w:t>Wprowadza się również zmianę</w:t>
      </w:r>
      <w:r w:rsidR="002161FE">
        <w:rPr>
          <w:iCs/>
          <w:lang w:eastAsia="en-US"/>
        </w:rPr>
        <w:t xml:space="preserve"> w</w:t>
      </w:r>
      <w:r w:rsidR="00EA1900">
        <w:rPr>
          <w:iCs/>
          <w:lang w:eastAsia="en-US"/>
        </w:rPr>
        <w:t xml:space="preserve"> art. </w:t>
      </w:r>
      <w:r w:rsidRPr="0024375B">
        <w:rPr>
          <w:iCs/>
          <w:lang w:eastAsia="en-US"/>
        </w:rPr>
        <w:t>226 ustawy</w:t>
      </w:r>
      <w:r w:rsidR="002161FE">
        <w:rPr>
          <w:iCs/>
          <w:lang w:eastAsia="en-US"/>
        </w:rPr>
        <w:t xml:space="preserve"> z </w:t>
      </w:r>
      <w:r w:rsidRPr="0024375B">
        <w:rPr>
          <w:iCs/>
          <w:lang w:eastAsia="en-US"/>
        </w:rPr>
        <w:t>dnia 11 września 2019 r. - Prawo zamówień publicznych. Artykuł ten reguluje sytuacje,</w:t>
      </w:r>
      <w:r w:rsidR="00EA1900">
        <w:rPr>
          <w:iCs/>
          <w:lang w:eastAsia="en-US"/>
        </w:rPr>
        <w:t xml:space="preserve"> w </w:t>
      </w:r>
      <w:r w:rsidRPr="0024375B">
        <w:rPr>
          <w:iCs/>
          <w:lang w:eastAsia="en-US"/>
        </w:rPr>
        <w:t>którym zamawiający odrzuca ofertę złożoną</w:t>
      </w:r>
      <w:r w:rsidR="00EA1900">
        <w:rPr>
          <w:iCs/>
          <w:lang w:eastAsia="en-US"/>
        </w:rPr>
        <w:t xml:space="preserve"> w </w:t>
      </w:r>
      <w:r w:rsidRPr="0024375B">
        <w:rPr>
          <w:iCs/>
          <w:lang w:eastAsia="en-US"/>
        </w:rPr>
        <w:t>ramach postępowania</w:t>
      </w:r>
      <w:r w:rsidR="0077165A">
        <w:rPr>
          <w:iCs/>
          <w:lang w:eastAsia="en-US"/>
        </w:rPr>
        <w:t xml:space="preserve"> o </w:t>
      </w:r>
      <w:r w:rsidRPr="0024375B">
        <w:rPr>
          <w:iCs/>
          <w:lang w:eastAsia="en-US"/>
        </w:rPr>
        <w:t>zamówienie publiczne. Kolejną przesłanką odrzucenia oferty będzie sytuacja, gdy oferta obejmuje produkt ICT, którego typ został określony</w:t>
      </w:r>
      <w:r w:rsidR="00EA1900">
        <w:rPr>
          <w:iCs/>
          <w:lang w:eastAsia="en-US"/>
        </w:rPr>
        <w:t xml:space="preserve"> w </w:t>
      </w:r>
      <w:r w:rsidRPr="0024375B">
        <w:rPr>
          <w:iCs/>
          <w:lang w:eastAsia="en-US"/>
        </w:rPr>
        <w:t>decyzji</w:t>
      </w:r>
      <w:r w:rsidR="00EA1900">
        <w:rPr>
          <w:iCs/>
          <w:lang w:eastAsia="en-US"/>
        </w:rPr>
        <w:t xml:space="preserve"> w </w:t>
      </w:r>
      <w:r w:rsidRPr="0024375B">
        <w:rPr>
          <w:iCs/>
          <w:lang w:eastAsia="en-US"/>
        </w:rPr>
        <w:t>sprawie uznania dostawcy za dostawcę wysokiego ryzyka,</w:t>
      </w:r>
      <w:r w:rsidR="0077165A">
        <w:rPr>
          <w:iCs/>
          <w:lang w:eastAsia="en-US"/>
        </w:rPr>
        <w:t xml:space="preserve"> o </w:t>
      </w:r>
      <w:r w:rsidRPr="0024375B">
        <w:rPr>
          <w:iCs/>
          <w:lang w:eastAsia="en-US"/>
        </w:rPr>
        <w:t>której mowa</w:t>
      </w:r>
      <w:r w:rsidR="002161FE">
        <w:rPr>
          <w:iCs/>
          <w:lang w:eastAsia="en-US"/>
        </w:rPr>
        <w:t xml:space="preserve"> w</w:t>
      </w:r>
      <w:r w:rsidR="00EA1900">
        <w:rPr>
          <w:iCs/>
          <w:lang w:eastAsia="en-US"/>
        </w:rPr>
        <w:t xml:space="preserve"> art. </w:t>
      </w:r>
      <w:r w:rsidRPr="0024375B">
        <w:rPr>
          <w:iCs/>
          <w:lang w:eastAsia="en-US"/>
        </w:rPr>
        <w:t xml:space="preserve">66a </w:t>
      </w:r>
      <w:r w:rsidR="00D00CB4">
        <w:rPr>
          <w:iCs/>
          <w:lang w:eastAsia="en-US"/>
        </w:rPr>
        <w:t>ust. </w:t>
      </w:r>
      <w:r w:rsidRPr="0024375B">
        <w:rPr>
          <w:iCs/>
          <w:lang w:eastAsia="en-US"/>
        </w:rPr>
        <w:t>13 ustawy</w:t>
      </w:r>
      <w:r w:rsidR="002161FE">
        <w:rPr>
          <w:iCs/>
          <w:lang w:eastAsia="en-US"/>
        </w:rPr>
        <w:t xml:space="preserve"> z </w:t>
      </w:r>
      <w:r w:rsidRPr="0024375B">
        <w:rPr>
          <w:iCs/>
          <w:lang w:eastAsia="en-US"/>
        </w:rPr>
        <w:t>dnia 5 lipca 2018 r.</w:t>
      </w:r>
      <w:r w:rsidR="0077165A">
        <w:rPr>
          <w:iCs/>
          <w:lang w:eastAsia="en-US"/>
        </w:rPr>
        <w:t xml:space="preserve"> o </w:t>
      </w:r>
      <w:r w:rsidRPr="0024375B">
        <w:rPr>
          <w:iCs/>
          <w:lang w:eastAsia="en-US"/>
        </w:rPr>
        <w:t>krajowym systemie cyberbezpieczeństwa (Dz. U.</w:t>
      </w:r>
      <w:r w:rsidR="002161FE">
        <w:rPr>
          <w:iCs/>
          <w:lang w:eastAsia="en-US"/>
        </w:rPr>
        <w:t xml:space="preserve"> z </w:t>
      </w:r>
      <w:r w:rsidRPr="0024375B">
        <w:rPr>
          <w:iCs/>
          <w:lang w:eastAsia="en-US"/>
        </w:rPr>
        <w:t>202</w:t>
      </w:r>
      <w:r w:rsidR="0086120C">
        <w:rPr>
          <w:iCs/>
          <w:lang w:eastAsia="en-US"/>
        </w:rPr>
        <w:t>3</w:t>
      </w:r>
      <w:r w:rsidRPr="0024375B">
        <w:rPr>
          <w:iCs/>
          <w:lang w:eastAsia="en-US"/>
        </w:rPr>
        <w:t xml:space="preserve"> r. poz. </w:t>
      </w:r>
      <w:r w:rsidR="0086120C">
        <w:rPr>
          <w:iCs/>
          <w:lang w:eastAsia="en-US"/>
        </w:rPr>
        <w:t>9</w:t>
      </w:r>
      <w:r w:rsidR="00FA2511">
        <w:rPr>
          <w:iCs/>
          <w:lang w:eastAsia="en-US"/>
        </w:rPr>
        <w:t>1</w:t>
      </w:r>
      <w:r w:rsidR="0086120C">
        <w:rPr>
          <w:iCs/>
          <w:lang w:eastAsia="en-US"/>
        </w:rPr>
        <w:t>3</w:t>
      </w:r>
      <w:r w:rsidR="002161FE">
        <w:rPr>
          <w:iCs/>
          <w:lang w:eastAsia="en-US"/>
        </w:rPr>
        <w:t xml:space="preserve"> i </w:t>
      </w:r>
      <w:r w:rsidRPr="0024375B">
        <w:rPr>
          <w:iCs/>
          <w:lang w:eastAsia="en-US"/>
        </w:rPr>
        <w:t>poz. …) oraz usługę ICT lub proces ICT, określone</w:t>
      </w:r>
      <w:r w:rsidR="00EA1900">
        <w:rPr>
          <w:iCs/>
          <w:lang w:eastAsia="en-US"/>
        </w:rPr>
        <w:t xml:space="preserve"> w </w:t>
      </w:r>
      <w:r w:rsidRPr="0024375B">
        <w:rPr>
          <w:iCs/>
          <w:lang w:eastAsia="en-US"/>
        </w:rPr>
        <w:t>tej decyzji.</w:t>
      </w:r>
    </w:p>
    <w:p w14:paraId="31A137A6" w14:textId="77777777" w:rsidR="00804999" w:rsidRPr="0024375B" w:rsidRDefault="00804999" w:rsidP="0024375B">
      <w:pPr>
        <w:pStyle w:val="Nagwek2"/>
      </w:pPr>
      <w:bookmarkStart w:id="88" w:name="_Toc136511065"/>
      <w:r w:rsidRPr="0024375B">
        <w:t>Pozostałe przepisy przejściowe</w:t>
      </w:r>
      <w:r w:rsidR="002161FE">
        <w:t xml:space="preserve"> i </w:t>
      </w:r>
      <w:r w:rsidRPr="0024375B">
        <w:t>dostosowujące</w:t>
      </w:r>
      <w:bookmarkEnd w:id="88"/>
    </w:p>
    <w:p w14:paraId="10E0B79F" w14:textId="498E075C" w:rsidR="00116933" w:rsidRPr="0024375B" w:rsidRDefault="00116933" w:rsidP="00DC1575">
      <w:pPr>
        <w:pStyle w:val="Nagwek4"/>
      </w:pPr>
      <w:r>
        <w:t xml:space="preserve">Art. </w:t>
      </w:r>
      <w:r w:rsidR="001F277D">
        <w:t>4</w:t>
      </w:r>
    </w:p>
    <w:p w14:paraId="17F0F9D9" w14:textId="7B5F7C95" w:rsidR="003D1451" w:rsidRDefault="001373CB" w:rsidP="0024375B">
      <w:pPr>
        <w:pStyle w:val="ARTartustawynprozporzdzenia"/>
      </w:pPr>
      <w:r w:rsidRPr="0024375B">
        <w:rPr>
          <w:rFonts w:ascii="Times New Roman" w:eastAsiaTheme="minorHAnsi" w:hAnsi="Times New Roman" w:cs="Times New Roman"/>
          <w:bCs/>
          <w:szCs w:val="24"/>
          <w:lang w:eastAsia="en-US"/>
        </w:rPr>
        <w:t>Celem</w:t>
      </w:r>
      <w:r w:rsidR="00EA1900">
        <w:rPr>
          <w:rFonts w:ascii="Times New Roman" w:eastAsiaTheme="minorHAnsi" w:hAnsi="Times New Roman" w:cs="Times New Roman"/>
          <w:bCs/>
          <w:szCs w:val="24"/>
          <w:lang w:eastAsia="en-US"/>
        </w:rPr>
        <w:t xml:space="preserve"> art. </w:t>
      </w:r>
      <w:r w:rsidR="001F277D">
        <w:rPr>
          <w:rFonts w:ascii="Times New Roman" w:eastAsiaTheme="minorHAnsi" w:hAnsi="Times New Roman" w:cs="Times New Roman"/>
          <w:bCs/>
          <w:szCs w:val="24"/>
          <w:lang w:eastAsia="en-US"/>
        </w:rPr>
        <w:t>4</w:t>
      </w:r>
      <w:r w:rsidR="001F277D" w:rsidRPr="0024375B">
        <w:rPr>
          <w:rFonts w:ascii="Times New Roman" w:eastAsiaTheme="minorHAnsi" w:hAnsi="Times New Roman" w:cs="Times New Roman"/>
          <w:bCs/>
          <w:szCs w:val="24"/>
          <w:lang w:eastAsia="en-US"/>
        </w:rPr>
        <w:t xml:space="preserve"> </w:t>
      </w:r>
      <w:r w:rsidRPr="0024375B">
        <w:rPr>
          <w:rFonts w:ascii="Times New Roman" w:eastAsiaTheme="minorHAnsi" w:hAnsi="Times New Roman" w:cs="Times New Roman"/>
          <w:bCs/>
          <w:szCs w:val="24"/>
          <w:lang w:eastAsia="en-US"/>
        </w:rPr>
        <w:t>jest uregulowanie kwestii rozstrzygnięcia postępowań wszczętych</w:t>
      </w:r>
      <w:r w:rsidR="0077165A">
        <w:rPr>
          <w:rFonts w:ascii="Times New Roman" w:eastAsiaTheme="minorHAnsi" w:hAnsi="Times New Roman" w:cs="Times New Roman"/>
          <w:bCs/>
          <w:szCs w:val="24"/>
          <w:lang w:eastAsia="en-US"/>
        </w:rPr>
        <w:t xml:space="preserve"> o </w:t>
      </w:r>
      <w:r w:rsidRPr="0024375B">
        <w:rPr>
          <w:rFonts w:ascii="Times New Roman" w:eastAsiaTheme="minorHAnsi" w:hAnsi="Times New Roman" w:cs="Times New Roman"/>
          <w:bCs/>
          <w:szCs w:val="24"/>
          <w:lang w:eastAsia="en-US"/>
        </w:rPr>
        <w:t>udzielenie zamówienia publicznego. Przepis przejściowy wprost rozstrzyga</w:t>
      </w:r>
      <w:r w:rsidR="0077165A">
        <w:rPr>
          <w:rFonts w:ascii="Times New Roman" w:eastAsiaTheme="minorHAnsi" w:hAnsi="Times New Roman" w:cs="Times New Roman"/>
          <w:bCs/>
          <w:szCs w:val="24"/>
          <w:lang w:eastAsia="en-US"/>
        </w:rPr>
        <w:t xml:space="preserve"> o </w:t>
      </w:r>
      <w:r w:rsidRPr="0024375B">
        <w:rPr>
          <w:rFonts w:ascii="Times New Roman" w:eastAsiaTheme="minorHAnsi" w:hAnsi="Times New Roman" w:cs="Times New Roman"/>
          <w:bCs/>
          <w:szCs w:val="24"/>
          <w:lang w:eastAsia="en-US"/>
        </w:rPr>
        <w:t xml:space="preserve">stosowaniu </w:t>
      </w:r>
      <w:r w:rsidR="003D1451" w:rsidRPr="0024375B">
        <w:rPr>
          <w:rFonts w:ascii="Times New Roman" w:eastAsiaTheme="minorHAnsi" w:hAnsi="Times New Roman" w:cs="Times New Roman"/>
          <w:bCs/>
          <w:szCs w:val="24"/>
          <w:lang w:eastAsia="en-US"/>
        </w:rPr>
        <w:t xml:space="preserve">do tych postępowań </w:t>
      </w:r>
      <w:r w:rsidRPr="0024375B">
        <w:rPr>
          <w:rFonts w:ascii="Times New Roman" w:eastAsiaTheme="minorHAnsi" w:hAnsi="Times New Roman" w:cs="Times New Roman"/>
          <w:bCs/>
          <w:szCs w:val="24"/>
          <w:lang w:eastAsia="en-US"/>
        </w:rPr>
        <w:t>ustawy</w:t>
      </w:r>
      <w:r w:rsidR="0077165A">
        <w:rPr>
          <w:rFonts w:ascii="Times New Roman" w:eastAsiaTheme="minorHAnsi" w:hAnsi="Times New Roman" w:cs="Times New Roman"/>
          <w:bCs/>
          <w:szCs w:val="24"/>
          <w:lang w:eastAsia="en-US"/>
        </w:rPr>
        <w:t xml:space="preserve"> o </w:t>
      </w:r>
      <w:r w:rsidRPr="0024375B">
        <w:rPr>
          <w:rFonts w:ascii="Times New Roman" w:eastAsiaTheme="minorHAnsi" w:hAnsi="Times New Roman" w:cs="Times New Roman"/>
          <w:bCs/>
          <w:szCs w:val="24"/>
          <w:lang w:eastAsia="en-US"/>
        </w:rPr>
        <w:t>krajowym systemie cyberbezpieczeństwa</w:t>
      </w:r>
      <w:r w:rsidR="003941B3">
        <w:rPr>
          <w:rFonts w:ascii="Times New Roman" w:eastAsiaTheme="minorHAnsi" w:hAnsi="Times New Roman" w:cs="Times New Roman"/>
          <w:bCs/>
          <w:szCs w:val="24"/>
          <w:lang w:eastAsia="en-US"/>
        </w:rPr>
        <w:t xml:space="preserve"> oraz </w:t>
      </w:r>
      <w:r w:rsidR="00FA2511">
        <w:rPr>
          <w:rFonts w:ascii="Times New Roman" w:eastAsiaTheme="minorHAnsi" w:hAnsi="Times New Roman" w:cs="Times New Roman"/>
          <w:bCs/>
          <w:szCs w:val="24"/>
          <w:lang w:eastAsia="en-US"/>
        </w:rPr>
        <w:t xml:space="preserve">ustawy z dnia 11 września 2019 r. - </w:t>
      </w:r>
      <w:r w:rsidR="003941B3">
        <w:rPr>
          <w:rFonts w:ascii="Times New Roman" w:eastAsiaTheme="minorHAnsi" w:hAnsi="Times New Roman" w:cs="Times New Roman"/>
          <w:bCs/>
          <w:szCs w:val="24"/>
          <w:lang w:eastAsia="en-US"/>
        </w:rPr>
        <w:t xml:space="preserve">Prawo </w:t>
      </w:r>
      <w:r w:rsidR="00FA2511">
        <w:rPr>
          <w:rFonts w:ascii="Times New Roman" w:eastAsiaTheme="minorHAnsi" w:hAnsi="Times New Roman" w:cs="Times New Roman"/>
          <w:bCs/>
          <w:szCs w:val="24"/>
          <w:lang w:eastAsia="en-US"/>
        </w:rPr>
        <w:t>z</w:t>
      </w:r>
      <w:r w:rsidR="003941B3">
        <w:rPr>
          <w:rFonts w:ascii="Times New Roman" w:eastAsiaTheme="minorHAnsi" w:hAnsi="Times New Roman" w:cs="Times New Roman"/>
          <w:bCs/>
          <w:szCs w:val="24"/>
          <w:lang w:eastAsia="en-US"/>
        </w:rPr>
        <w:t xml:space="preserve">amówień </w:t>
      </w:r>
      <w:r w:rsidR="00FA2511">
        <w:rPr>
          <w:rFonts w:ascii="Times New Roman" w:eastAsiaTheme="minorHAnsi" w:hAnsi="Times New Roman" w:cs="Times New Roman"/>
          <w:bCs/>
          <w:szCs w:val="24"/>
          <w:lang w:eastAsia="en-US"/>
        </w:rPr>
        <w:t>p</w:t>
      </w:r>
      <w:r w:rsidR="003941B3">
        <w:rPr>
          <w:rFonts w:ascii="Times New Roman" w:eastAsiaTheme="minorHAnsi" w:hAnsi="Times New Roman" w:cs="Times New Roman"/>
          <w:bCs/>
          <w:szCs w:val="24"/>
          <w:lang w:eastAsia="en-US"/>
        </w:rPr>
        <w:t>ublicznych</w:t>
      </w:r>
      <w:r w:rsidR="00EA1900">
        <w:rPr>
          <w:rFonts w:ascii="Times New Roman" w:eastAsiaTheme="minorHAnsi" w:hAnsi="Times New Roman" w:cs="Times New Roman"/>
          <w:bCs/>
          <w:szCs w:val="24"/>
          <w:lang w:eastAsia="en-US"/>
        </w:rPr>
        <w:t xml:space="preserve"> w </w:t>
      </w:r>
      <w:r w:rsidRPr="0024375B">
        <w:rPr>
          <w:rFonts w:ascii="Times New Roman" w:eastAsiaTheme="minorHAnsi" w:hAnsi="Times New Roman" w:cs="Times New Roman"/>
          <w:bCs/>
          <w:szCs w:val="24"/>
          <w:lang w:eastAsia="en-US"/>
        </w:rPr>
        <w:t>brzmieniu nadanym niniejszą ustawą</w:t>
      </w:r>
      <w:r w:rsidR="003D1451" w:rsidRPr="0024375B">
        <w:rPr>
          <w:rFonts w:ascii="Times New Roman" w:eastAsiaTheme="minorHAnsi" w:hAnsi="Times New Roman" w:cs="Times New Roman"/>
          <w:bCs/>
          <w:szCs w:val="24"/>
          <w:lang w:eastAsia="en-US"/>
        </w:rPr>
        <w:t>, jeżeli zostały one wszczęte przed dniem wejścia</w:t>
      </w:r>
      <w:r w:rsidR="00EA1900">
        <w:rPr>
          <w:rFonts w:ascii="Times New Roman" w:eastAsiaTheme="minorHAnsi" w:hAnsi="Times New Roman" w:cs="Times New Roman"/>
          <w:bCs/>
          <w:szCs w:val="24"/>
          <w:lang w:eastAsia="en-US"/>
        </w:rPr>
        <w:t xml:space="preserve"> w </w:t>
      </w:r>
      <w:r w:rsidR="003D1451" w:rsidRPr="0024375B">
        <w:rPr>
          <w:rFonts w:ascii="Times New Roman" w:eastAsiaTheme="minorHAnsi" w:hAnsi="Times New Roman" w:cs="Times New Roman"/>
          <w:bCs/>
          <w:szCs w:val="24"/>
          <w:lang w:eastAsia="en-US"/>
        </w:rPr>
        <w:t>życie niniejszej ustawy,</w:t>
      </w:r>
      <w:r w:rsidR="002161FE">
        <w:rPr>
          <w:rFonts w:ascii="Times New Roman" w:eastAsiaTheme="minorHAnsi" w:hAnsi="Times New Roman" w:cs="Times New Roman"/>
          <w:bCs/>
          <w:szCs w:val="24"/>
          <w:lang w:eastAsia="en-US"/>
        </w:rPr>
        <w:t xml:space="preserve"> a </w:t>
      </w:r>
      <w:r w:rsidR="003D1451" w:rsidRPr="0024375B">
        <w:rPr>
          <w:rFonts w:ascii="Times New Roman" w:eastAsiaTheme="minorHAnsi" w:hAnsi="Times New Roman" w:cs="Times New Roman"/>
          <w:bCs/>
          <w:szCs w:val="24"/>
          <w:lang w:eastAsia="en-US"/>
        </w:rPr>
        <w:t>jednocześnie nie zakończyły się wyborem wykonawcy albo unieważnieniem postępowania przed dniem opublikowania informacji</w:t>
      </w:r>
      <w:r w:rsidR="0077165A">
        <w:rPr>
          <w:rFonts w:ascii="Times New Roman" w:eastAsiaTheme="minorHAnsi" w:hAnsi="Times New Roman" w:cs="Times New Roman"/>
          <w:bCs/>
          <w:szCs w:val="24"/>
          <w:lang w:eastAsia="en-US"/>
        </w:rPr>
        <w:t xml:space="preserve"> o </w:t>
      </w:r>
      <w:r w:rsidR="003D1451" w:rsidRPr="0024375B">
        <w:rPr>
          <w:rFonts w:ascii="Times New Roman" w:eastAsiaTheme="minorHAnsi" w:hAnsi="Times New Roman" w:cs="Times New Roman"/>
          <w:bCs/>
          <w:szCs w:val="24"/>
          <w:lang w:eastAsia="en-US"/>
        </w:rPr>
        <w:t>wydaniu decyzji</w:t>
      </w:r>
      <w:r w:rsidR="0077165A">
        <w:rPr>
          <w:rFonts w:ascii="Times New Roman" w:eastAsiaTheme="minorHAnsi" w:hAnsi="Times New Roman" w:cs="Times New Roman"/>
          <w:bCs/>
          <w:szCs w:val="24"/>
          <w:lang w:eastAsia="en-US"/>
        </w:rPr>
        <w:t xml:space="preserve"> o </w:t>
      </w:r>
      <w:r w:rsidR="003D1451" w:rsidRPr="0024375B">
        <w:rPr>
          <w:rFonts w:ascii="Times New Roman" w:eastAsiaTheme="minorHAnsi" w:hAnsi="Times New Roman" w:cs="Times New Roman"/>
          <w:bCs/>
          <w:szCs w:val="24"/>
          <w:lang w:eastAsia="en-US"/>
        </w:rPr>
        <w:t>uznaniu dostawcy sprzętu lub oprogramowania za dostawcę wysokiego ryzyka</w:t>
      </w:r>
      <w:r w:rsidR="00680CB1" w:rsidRPr="0024375B">
        <w:rPr>
          <w:rFonts w:ascii="Times New Roman" w:eastAsiaTheme="minorHAnsi" w:hAnsi="Times New Roman" w:cs="Times New Roman"/>
          <w:bCs/>
          <w:szCs w:val="24"/>
          <w:lang w:eastAsia="en-US"/>
        </w:rPr>
        <w:t>, przy czym relewantną datą jest data publikacji</w:t>
      </w:r>
      <w:r w:rsidR="00EA1900">
        <w:rPr>
          <w:rFonts w:ascii="Times New Roman" w:eastAsiaTheme="minorHAnsi" w:hAnsi="Times New Roman" w:cs="Times New Roman"/>
          <w:bCs/>
          <w:szCs w:val="24"/>
          <w:lang w:eastAsia="en-US"/>
        </w:rPr>
        <w:t xml:space="preserve"> w </w:t>
      </w:r>
      <w:r w:rsidR="00680CB1" w:rsidRPr="0024375B">
        <w:t>Dzienniku Urzędowym Rzeczypospolitej Polskiej „Monitor Polski”.</w:t>
      </w:r>
    </w:p>
    <w:p w14:paraId="12ADBE52" w14:textId="46219500" w:rsidR="003941B3" w:rsidRDefault="003941B3" w:rsidP="00DC1575">
      <w:pPr>
        <w:pStyle w:val="Nagwek4"/>
      </w:pPr>
      <w:r>
        <w:t xml:space="preserve">Art. </w:t>
      </w:r>
      <w:r w:rsidR="00A522D9">
        <w:t xml:space="preserve">5 </w:t>
      </w:r>
    </w:p>
    <w:p w14:paraId="2E6B0404" w14:textId="77777777" w:rsidR="003941B3" w:rsidRDefault="003941B3" w:rsidP="00C405E1">
      <w:pPr>
        <w:pStyle w:val="NIEARTTEKSTtekstnieartykuowanynppodstprawnarozplubpreambua"/>
      </w:pPr>
      <w:r>
        <w:t xml:space="preserve">Artykuł ten </w:t>
      </w:r>
      <w:r w:rsidRPr="0024375B">
        <w:t>reguluje funkcjonowanie niektórych umów</w:t>
      </w:r>
      <w:r>
        <w:t xml:space="preserve"> w </w:t>
      </w:r>
      <w:r w:rsidRPr="0024375B">
        <w:t>związku ze zmianami jakie zostały wprowadzone do</w:t>
      </w:r>
      <w:r>
        <w:t xml:space="preserve"> art. </w:t>
      </w:r>
      <w:r w:rsidRPr="0024375B">
        <w:t>33 ustawy</w:t>
      </w:r>
      <w:r>
        <w:t xml:space="preserve"> o </w:t>
      </w:r>
      <w:r w:rsidRPr="0024375B">
        <w:t xml:space="preserve">krajowym systemie cyberbezpieczeństwa. </w:t>
      </w:r>
      <w:r>
        <w:t>Ponadto wskazuje, że dotychczasowe porozumienia dot. korzystania z systemu teleinformatycznego, o którym mowa w art. 46 ustawy o ksc zachowują ważność.</w:t>
      </w:r>
    </w:p>
    <w:p w14:paraId="5A85D815" w14:textId="0CDE4B85" w:rsidR="003941B3" w:rsidRDefault="003941B3" w:rsidP="00DC1575">
      <w:pPr>
        <w:pStyle w:val="Nagwek4"/>
      </w:pPr>
      <w:r>
        <w:t xml:space="preserve">Art. </w:t>
      </w:r>
      <w:r w:rsidR="00A522D9">
        <w:t>6</w:t>
      </w:r>
    </w:p>
    <w:p w14:paraId="5BBF742B" w14:textId="13550DA3" w:rsidR="003941B3" w:rsidRDefault="003941B3" w:rsidP="00C405E1">
      <w:pPr>
        <w:pStyle w:val="NIEARTTEKSTtekstnieartykuowanynppodstprawnarozplubpreambua"/>
      </w:pPr>
      <w:r w:rsidRPr="0024375B">
        <w:t xml:space="preserve">Art. </w:t>
      </w:r>
      <w:r w:rsidR="00A522D9">
        <w:t>6</w:t>
      </w:r>
      <w:r w:rsidR="00A522D9" w:rsidRPr="0024375B">
        <w:t xml:space="preserve"> </w:t>
      </w:r>
      <w:r w:rsidRPr="0024375B">
        <w:t>reguluje kwestię utrzymania</w:t>
      </w:r>
      <w:r>
        <w:t xml:space="preserve"> w </w:t>
      </w:r>
      <w:r w:rsidRPr="0024375B">
        <w:t>mocy aktów wykonawczych do ustawy</w:t>
      </w:r>
      <w:r>
        <w:t xml:space="preserve"> o </w:t>
      </w:r>
      <w:r w:rsidRPr="0024375B">
        <w:t>krajowym systemie cyberbezpieczeństwa. Jest to niezbędne dla zapewnienia ciągłości działania</w:t>
      </w:r>
      <w:r>
        <w:t xml:space="preserve"> w </w:t>
      </w:r>
      <w:r w:rsidRPr="0024375B">
        <w:t>ramach krajowego systemu cyberbezpieczeństwa.</w:t>
      </w:r>
    </w:p>
    <w:p w14:paraId="5AD88DF4" w14:textId="77777777" w:rsidR="003941B3" w:rsidRPr="0024375B" w:rsidRDefault="003941B3" w:rsidP="00C405E1">
      <w:pPr>
        <w:pStyle w:val="NIEARTTEKSTtekstnieartykuowanynppodstprawnarozplubpreambua"/>
        <w:rPr>
          <w:rFonts w:ascii="Times New Roman" w:hAnsi="Times New Roman"/>
        </w:rPr>
      </w:pPr>
      <w:r w:rsidRPr="0024375B">
        <w:rPr>
          <w:rFonts w:ascii="Times New Roman" w:hAnsi="Times New Roman"/>
        </w:rPr>
        <w:t>Utrzymane</w:t>
      </w:r>
      <w:r>
        <w:rPr>
          <w:rFonts w:ascii="Times New Roman" w:hAnsi="Times New Roman"/>
        </w:rPr>
        <w:t xml:space="preserve"> w </w:t>
      </w:r>
      <w:r w:rsidRPr="0024375B">
        <w:rPr>
          <w:rFonts w:ascii="Times New Roman" w:hAnsi="Times New Roman"/>
        </w:rPr>
        <w:t>mocy zostaną następujące rozporządzenia:</w:t>
      </w:r>
    </w:p>
    <w:p w14:paraId="40CABEE7" w14:textId="77777777" w:rsidR="003941B3" w:rsidRPr="0024375B" w:rsidRDefault="003941B3" w:rsidP="003941B3">
      <w:pPr>
        <w:pStyle w:val="ARTartustawynprozporzdzenia"/>
        <w:numPr>
          <w:ilvl w:val="0"/>
          <w:numId w:val="63"/>
        </w:numPr>
        <w:rPr>
          <w:rFonts w:ascii="Times New Roman" w:hAnsi="Times New Roman" w:cs="Times New Roman"/>
        </w:rPr>
      </w:pPr>
      <w:r w:rsidRPr="0024375B">
        <w:rPr>
          <w:rFonts w:ascii="Times New Roman" w:hAnsi="Times New Roman" w:cs="Times New Roman"/>
        </w:rPr>
        <w:t>Rozporządzenie Rady Ministrów</w:t>
      </w:r>
      <w:r>
        <w:rPr>
          <w:rFonts w:ascii="Times New Roman" w:hAnsi="Times New Roman" w:cs="Times New Roman"/>
        </w:rPr>
        <w:t xml:space="preserve"> z </w:t>
      </w:r>
      <w:r w:rsidRPr="0024375B">
        <w:rPr>
          <w:rFonts w:ascii="Times New Roman" w:hAnsi="Times New Roman" w:cs="Times New Roman"/>
        </w:rPr>
        <w:t>dnia 16 października 2018 r.</w:t>
      </w:r>
      <w:r>
        <w:rPr>
          <w:rFonts w:ascii="Times New Roman" w:hAnsi="Times New Roman" w:cs="Times New Roman"/>
        </w:rPr>
        <w:t xml:space="preserve"> w </w:t>
      </w:r>
      <w:r w:rsidRPr="0024375B">
        <w:rPr>
          <w:rFonts w:ascii="Times New Roman" w:hAnsi="Times New Roman" w:cs="Times New Roman"/>
          <w:i/>
          <w:iCs/>
        </w:rPr>
        <w:t>sprawie rodzajów dokumentacji dotyczącej cyberbezpieczeństwa systemu informacyjnego wykorzystywanego do świadczenia usługi kluczowej</w:t>
      </w:r>
      <w:r w:rsidRPr="0024375B">
        <w:rPr>
          <w:rStyle w:val="Odwoanieprzypisudolnego"/>
          <w:rFonts w:ascii="Times New Roman" w:hAnsi="Times New Roman"/>
        </w:rPr>
        <w:footnoteReference w:id="73"/>
      </w:r>
      <w:r>
        <w:rPr>
          <w:rFonts w:ascii="Times New Roman" w:hAnsi="Times New Roman" w:cs="Times New Roman"/>
          <w:i/>
          <w:iCs/>
          <w:vertAlign w:val="superscript"/>
        </w:rPr>
        <w:t>)</w:t>
      </w:r>
      <w:r w:rsidRPr="0024375B">
        <w:rPr>
          <w:rFonts w:ascii="Times New Roman" w:hAnsi="Times New Roman" w:cs="Times New Roman"/>
        </w:rPr>
        <w:t xml:space="preserve"> - do czasu wydania rozporządzenia</w:t>
      </w:r>
      <w:r>
        <w:rPr>
          <w:rFonts w:ascii="Times New Roman" w:hAnsi="Times New Roman" w:cs="Times New Roman"/>
        </w:rPr>
        <w:t xml:space="preserve"> z art. </w:t>
      </w:r>
      <w:r w:rsidRPr="0024375B">
        <w:rPr>
          <w:rFonts w:ascii="Times New Roman" w:hAnsi="Times New Roman" w:cs="Times New Roman"/>
        </w:rPr>
        <w:t xml:space="preserve">10 </w:t>
      </w:r>
      <w:r>
        <w:rPr>
          <w:rFonts w:ascii="Times New Roman" w:hAnsi="Times New Roman" w:cs="Times New Roman"/>
        </w:rPr>
        <w:t>ust. </w:t>
      </w:r>
      <w:r w:rsidRPr="0024375B">
        <w:rPr>
          <w:rFonts w:ascii="Times New Roman" w:hAnsi="Times New Roman" w:cs="Times New Roman"/>
        </w:rPr>
        <w:t>5 znowelizowanej ustawy</w:t>
      </w:r>
      <w:r>
        <w:rPr>
          <w:rFonts w:ascii="Times New Roman" w:hAnsi="Times New Roman" w:cs="Times New Roman"/>
        </w:rPr>
        <w:t xml:space="preserve"> o </w:t>
      </w:r>
      <w:r w:rsidRPr="0024375B">
        <w:rPr>
          <w:rFonts w:ascii="Times New Roman" w:hAnsi="Times New Roman" w:cs="Times New Roman"/>
        </w:rPr>
        <w:t>krajowym systemie cyberbezpieczeństwa</w:t>
      </w:r>
      <w:r>
        <w:rPr>
          <w:rFonts w:ascii="Times New Roman" w:hAnsi="Times New Roman" w:cs="Times New Roman"/>
        </w:rPr>
        <w:t xml:space="preserve">, </w:t>
      </w:r>
      <w:r>
        <w:t>jednak nie dłużej niż 36 miesięcy od dnia wejścia w życie niniejszej ustawy</w:t>
      </w:r>
      <w:r w:rsidRPr="0024375B">
        <w:rPr>
          <w:rFonts w:ascii="Times New Roman" w:hAnsi="Times New Roman" w:cs="Times New Roman"/>
        </w:rPr>
        <w:t>;</w:t>
      </w:r>
    </w:p>
    <w:p w14:paraId="3D0A8806" w14:textId="77777777" w:rsidR="003941B3" w:rsidRPr="002F0DD4" w:rsidRDefault="003941B3" w:rsidP="002F0DD4">
      <w:pPr>
        <w:pStyle w:val="ARTartustawynprozporzdzenia"/>
        <w:numPr>
          <w:ilvl w:val="0"/>
          <w:numId w:val="63"/>
        </w:numPr>
        <w:rPr>
          <w:rFonts w:ascii="Times New Roman" w:hAnsi="Times New Roman" w:cs="Times New Roman"/>
        </w:rPr>
      </w:pPr>
      <w:r w:rsidRPr="0024375B">
        <w:rPr>
          <w:rFonts w:ascii="Times New Roman" w:hAnsi="Times New Roman" w:cs="Times New Roman"/>
        </w:rPr>
        <w:lastRenderedPageBreak/>
        <w:t>Rozporządzenie Rady Ministrów</w:t>
      </w:r>
      <w:r>
        <w:rPr>
          <w:rFonts w:ascii="Times New Roman" w:hAnsi="Times New Roman" w:cs="Times New Roman"/>
        </w:rPr>
        <w:t xml:space="preserve"> z </w:t>
      </w:r>
      <w:r w:rsidRPr="0024375B">
        <w:rPr>
          <w:rFonts w:ascii="Times New Roman" w:hAnsi="Times New Roman" w:cs="Times New Roman"/>
        </w:rPr>
        <w:t>dnia 2 października 2018 r.</w:t>
      </w:r>
      <w:r>
        <w:rPr>
          <w:rFonts w:ascii="Times New Roman" w:hAnsi="Times New Roman" w:cs="Times New Roman"/>
        </w:rPr>
        <w:t xml:space="preserve"> w </w:t>
      </w:r>
      <w:r w:rsidRPr="0024375B">
        <w:rPr>
          <w:rFonts w:ascii="Times New Roman" w:hAnsi="Times New Roman" w:cs="Times New Roman"/>
          <w:i/>
          <w:iCs/>
        </w:rPr>
        <w:t>sprawie zakresu działania oraz trybu pracy Kolegium do Spraw Cyberbezpieczeństwa</w:t>
      </w:r>
      <w:r w:rsidRPr="0024375B">
        <w:rPr>
          <w:rStyle w:val="Odwoanieprzypisudolnego"/>
          <w:rFonts w:ascii="Times New Roman" w:hAnsi="Times New Roman"/>
        </w:rPr>
        <w:footnoteReference w:id="74"/>
      </w:r>
      <w:r>
        <w:rPr>
          <w:rFonts w:ascii="Times New Roman" w:hAnsi="Times New Roman" w:cs="Times New Roman"/>
          <w:i/>
          <w:iCs/>
          <w:vertAlign w:val="superscript"/>
        </w:rPr>
        <w:t>)</w:t>
      </w:r>
      <w:r w:rsidRPr="0024375B">
        <w:rPr>
          <w:rFonts w:ascii="Times New Roman" w:hAnsi="Times New Roman" w:cs="Times New Roman"/>
        </w:rPr>
        <w:t xml:space="preserve"> - do czasu wydania rozporządzenia</w:t>
      </w:r>
      <w:r>
        <w:rPr>
          <w:rFonts w:ascii="Times New Roman" w:hAnsi="Times New Roman" w:cs="Times New Roman"/>
        </w:rPr>
        <w:t xml:space="preserve"> z art. </w:t>
      </w:r>
      <w:r w:rsidRPr="0024375B">
        <w:t xml:space="preserve">66 </w:t>
      </w:r>
      <w:r>
        <w:t>ust. </w:t>
      </w:r>
      <w:r w:rsidRPr="0024375B">
        <w:t xml:space="preserve">9 </w:t>
      </w:r>
      <w:r w:rsidRPr="0024375B">
        <w:rPr>
          <w:rFonts w:ascii="Times New Roman" w:hAnsi="Times New Roman" w:cs="Times New Roman"/>
        </w:rPr>
        <w:t>znowelizowanej ustawy</w:t>
      </w:r>
      <w:r>
        <w:rPr>
          <w:rFonts w:ascii="Times New Roman" w:hAnsi="Times New Roman" w:cs="Times New Roman"/>
        </w:rPr>
        <w:t xml:space="preserve"> o </w:t>
      </w:r>
      <w:r w:rsidRPr="0024375B">
        <w:rPr>
          <w:rFonts w:ascii="Times New Roman" w:hAnsi="Times New Roman" w:cs="Times New Roman"/>
        </w:rPr>
        <w:t>krajowym systemie cyberbezpieczeństwa</w:t>
      </w:r>
      <w:r>
        <w:rPr>
          <w:rFonts w:ascii="Times New Roman" w:hAnsi="Times New Roman" w:cs="Times New Roman"/>
        </w:rPr>
        <w:t xml:space="preserve">, </w:t>
      </w:r>
      <w:r>
        <w:t>jednak nie dłużej niż 36 miesięcy od dnia wejścia w życie niniejszej ustawy</w:t>
      </w:r>
      <w:r>
        <w:rPr>
          <w:rFonts w:ascii="Times New Roman" w:hAnsi="Times New Roman" w:cs="Times New Roman"/>
        </w:rPr>
        <w:t>.</w:t>
      </w:r>
      <w:r>
        <w:tab/>
      </w:r>
    </w:p>
    <w:p w14:paraId="58111B6E" w14:textId="1C668D08" w:rsidR="003941B3" w:rsidRDefault="00116933" w:rsidP="00DC1575">
      <w:pPr>
        <w:pStyle w:val="Nagwek4"/>
        <w:rPr>
          <w:rFonts w:eastAsia="Times New Roman"/>
        </w:rPr>
      </w:pPr>
      <w:r>
        <w:rPr>
          <w:rFonts w:eastAsia="Times New Roman"/>
        </w:rPr>
        <w:t xml:space="preserve">Art. </w:t>
      </w:r>
      <w:r w:rsidR="00A522D9">
        <w:rPr>
          <w:rFonts w:eastAsia="Times New Roman"/>
        </w:rPr>
        <w:t>7</w:t>
      </w:r>
    </w:p>
    <w:p w14:paraId="23562F38" w14:textId="193B5B17" w:rsidR="003941B3" w:rsidRPr="002F0DD4" w:rsidRDefault="003941B3" w:rsidP="002F0DD4">
      <w:pPr>
        <w:pStyle w:val="NIEARTTEKSTtekstnieartykuowanynppodstprawnarozplubpreambua"/>
        <w:rPr>
          <w:rFonts w:eastAsia="Times New Roman"/>
        </w:rPr>
      </w:pPr>
      <w:r>
        <w:rPr>
          <w:rFonts w:eastAsia="Times New Roman"/>
        </w:rPr>
        <w:t xml:space="preserve">Zgodnie z tym artykułem operator usługi kluczowej wyznaczy 2 osoby do kontaktów z podmiotami krajowego systemu cyberbezpieczeństwa w terminie 14 dni od dnia wejścia w życie ustawy. Ponadto wskazuje się, że do czasu wydania </w:t>
      </w:r>
      <w:r w:rsidRPr="003941B3">
        <w:rPr>
          <w:rFonts w:eastAsia="Times New Roman"/>
        </w:rPr>
        <w:t>komunikatu o osiągnięciu zdolności operacyjnej przez właściwy CSIRT sektorowy operatorzy usług kluczowych zgłaszają incydenty poważne do właściwego CSIRT MON, CSIRT NASK lub CSIRT GOV</w:t>
      </w:r>
      <w:r>
        <w:rPr>
          <w:rFonts w:eastAsia="Times New Roman"/>
        </w:rPr>
        <w:t>. Po dniu wydania komunikatu operator usługi kluczowej będzie zgłaszał incydenty do CSIRT sektorowego.</w:t>
      </w:r>
      <w:r w:rsidRPr="003941B3" w:rsidDel="003941B3">
        <w:rPr>
          <w:rFonts w:eastAsia="Times New Roman"/>
        </w:rPr>
        <w:t xml:space="preserve"> </w:t>
      </w:r>
    </w:p>
    <w:p w14:paraId="3C5E2C2B" w14:textId="6B05BA89" w:rsidR="003941B3" w:rsidRDefault="003941B3" w:rsidP="00DC1575">
      <w:pPr>
        <w:pStyle w:val="Nagwek4"/>
      </w:pPr>
      <w:r>
        <w:t xml:space="preserve">Art. </w:t>
      </w:r>
      <w:r w:rsidR="00A522D9">
        <w:t>8</w:t>
      </w:r>
    </w:p>
    <w:p w14:paraId="03D149A3" w14:textId="55D2189F" w:rsidR="003941B3" w:rsidRDefault="003941B3" w:rsidP="003941B3">
      <w:pPr>
        <w:pStyle w:val="NIEARTTEKSTtekstnieartykuowanynppodstprawnarozplubpreambua"/>
        <w:rPr>
          <w:lang w:eastAsia="en-US"/>
        </w:rPr>
      </w:pPr>
      <w:r>
        <w:rPr>
          <w:lang w:eastAsia="en-US"/>
        </w:rPr>
        <w:t>Zgodnie z tym przepisem z dniem wejścia w życie ustawy</w:t>
      </w:r>
      <w:r w:rsidR="00A522D9">
        <w:rPr>
          <w:lang w:eastAsia="en-US"/>
        </w:rPr>
        <w:t>:</w:t>
      </w:r>
    </w:p>
    <w:p w14:paraId="0F02A7CB" w14:textId="77777777" w:rsidR="003941B3" w:rsidRPr="0024375B" w:rsidRDefault="003941B3" w:rsidP="003941B3">
      <w:pPr>
        <w:pStyle w:val="NIEARTTEKSTtekstnieartykuowanynppodstprawnarozplubpreambua"/>
        <w:rPr>
          <w:rFonts w:ascii="Times New Roman" w:hAnsi="Times New Roman" w:cs="Times New Roman"/>
        </w:rPr>
      </w:pPr>
      <w:r>
        <w:rPr>
          <w:lang w:eastAsia="en-US"/>
        </w:rPr>
        <w:t xml:space="preserve"> </w:t>
      </w:r>
      <w:r w:rsidRPr="0024375B">
        <w:rPr>
          <w:rFonts w:ascii="Times New Roman" w:hAnsi="Times New Roman" w:cs="Times New Roman"/>
        </w:rPr>
        <w:t>1) dotychczas powołane</w:t>
      </w:r>
      <w:r>
        <w:rPr>
          <w:rFonts w:ascii="Times New Roman" w:hAnsi="Times New Roman" w:cs="Times New Roman"/>
        </w:rPr>
        <w:t xml:space="preserve"> w </w:t>
      </w:r>
      <w:r w:rsidRPr="0024375B">
        <w:rPr>
          <w:rFonts w:ascii="Times New Roman" w:hAnsi="Times New Roman" w:cs="Times New Roman"/>
        </w:rPr>
        <w:t>ramach operatora usługi kluczowej wewnętrzne struktury odpowiedzialne za cyberbezpieczeństwo stają się SOC wewnętrznymi;</w:t>
      </w:r>
    </w:p>
    <w:p w14:paraId="73EBC559" w14:textId="152237AE" w:rsidR="003941B3" w:rsidRPr="0024375B" w:rsidRDefault="003941B3" w:rsidP="003941B3">
      <w:pPr>
        <w:pStyle w:val="NIEARTTEKSTtekstnieartykuowanynppodstprawnarozplubpreambua"/>
        <w:rPr>
          <w:rFonts w:ascii="Times New Roman" w:hAnsi="Times New Roman" w:cs="Times New Roman"/>
        </w:rPr>
      </w:pPr>
      <w:r w:rsidRPr="0024375B">
        <w:rPr>
          <w:rFonts w:ascii="Times New Roman" w:hAnsi="Times New Roman" w:cs="Times New Roman"/>
        </w:rPr>
        <w:t>2) podmioty świadczące usługi</w:t>
      </w:r>
      <w:r>
        <w:rPr>
          <w:rFonts w:ascii="Times New Roman" w:hAnsi="Times New Roman" w:cs="Times New Roman"/>
        </w:rPr>
        <w:t xml:space="preserve"> z </w:t>
      </w:r>
      <w:r w:rsidRPr="0024375B">
        <w:rPr>
          <w:rFonts w:ascii="Times New Roman" w:hAnsi="Times New Roman" w:cs="Times New Roman"/>
        </w:rPr>
        <w:t>zakresu cyberbezpieczeństwa,</w:t>
      </w:r>
      <w:r>
        <w:rPr>
          <w:rFonts w:ascii="Times New Roman" w:hAnsi="Times New Roman" w:cs="Times New Roman"/>
        </w:rPr>
        <w:t xml:space="preserve"> z </w:t>
      </w:r>
      <w:r w:rsidRPr="0024375B">
        <w:rPr>
          <w:rFonts w:ascii="Times New Roman" w:hAnsi="Times New Roman" w:cs="Times New Roman"/>
        </w:rPr>
        <w:t>którym dotychczas operator usługi kluczowej zawarł umowę stają się podmiotami prowadzącymi SOC zewnętrzn</w:t>
      </w:r>
      <w:r w:rsidR="00FA2511">
        <w:rPr>
          <w:rFonts w:ascii="Times New Roman" w:hAnsi="Times New Roman" w:cs="Times New Roman"/>
        </w:rPr>
        <w:t>e</w:t>
      </w:r>
      <w:r>
        <w:rPr>
          <w:rFonts w:ascii="Times New Roman" w:hAnsi="Times New Roman" w:cs="Times New Roman"/>
        </w:rPr>
        <w:t>.</w:t>
      </w:r>
    </w:p>
    <w:p w14:paraId="36FEE6C9" w14:textId="77777777" w:rsidR="003941B3" w:rsidRPr="00C405E1" w:rsidRDefault="003941B3" w:rsidP="00C405E1">
      <w:pPr>
        <w:rPr>
          <w:lang w:eastAsia="en-US"/>
        </w:rPr>
      </w:pPr>
    </w:p>
    <w:p w14:paraId="6BE885CF" w14:textId="0C086581" w:rsidR="003941B3" w:rsidRDefault="003941B3" w:rsidP="00DC1575">
      <w:pPr>
        <w:pStyle w:val="Nagwek4"/>
      </w:pPr>
      <w:r>
        <w:t>Art.</w:t>
      </w:r>
      <w:r w:rsidR="00A522D9">
        <w:t xml:space="preserve"> 9</w:t>
      </w:r>
      <w:r>
        <w:t xml:space="preserve"> </w:t>
      </w:r>
    </w:p>
    <w:p w14:paraId="52623967" w14:textId="77777777" w:rsidR="00305742" w:rsidRDefault="003941B3" w:rsidP="00C405E1">
      <w:pPr>
        <w:pStyle w:val="NIEARTTEKSTtekstnieartykuowanynppodstprawnarozplubpreambua"/>
        <w:rPr>
          <w:lang w:eastAsia="en-US"/>
        </w:rPr>
      </w:pPr>
      <w:r>
        <w:rPr>
          <w:lang w:eastAsia="en-US"/>
        </w:rPr>
        <w:t xml:space="preserve">Przepis ten stanowi, że przedsiębiorca komunikacji elektronicznej zgłasza incydenty telekomunikacyjne do CSIRT </w:t>
      </w:r>
      <w:r w:rsidR="00305742">
        <w:rPr>
          <w:lang w:eastAsia="en-US"/>
        </w:rPr>
        <w:t>poziomu krajowego do czasu ogłoszenia komunikatu o osiągnięciu zdolności operacyjnej przez CSIRT Telco.</w:t>
      </w:r>
    </w:p>
    <w:p w14:paraId="1D411124" w14:textId="2EB043F4" w:rsidR="00305742" w:rsidRDefault="00305742" w:rsidP="00DC1575">
      <w:pPr>
        <w:pStyle w:val="Nagwek4"/>
      </w:pPr>
      <w:r>
        <w:t>Art. 1</w:t>
      </w:r>
      <w:r w:rsidR="00A522D9">
        <w:t>0</w:t>
      </w:r>
    </w:p>
    <w:p w14:paraId="643B5B0E" w14:textId="77777777" w:rsidR="00305742" w:rsidRDefault="00305742" w:rsidP="00C405E1">
      <w:pPr>
        <w:pStyle w:val="NIEARTTEKSTtekstnieartykuowanynppodstprawnarozplubpreambua"/>
      </w:pPr>
      <w:r>
        <w:t>Przepis ten zobowiązuje CSIRT poziomu krajowego do dostosowania porozumień ws. przeniesienia właściwości CSIRT do zmian w art. 26.</w:t>
      </w:r>
    </w:p>
    <w:p w14:paraId="54212524" w14:textId="3ED93507" w:rsidR="00305742" w:rsidRDefault="00305742" w:rsidP="00DC1575">
      <w:pPr>
        <w:pStyle w:val="Nagwek4"/>
      </w:pPr>
      <w:r>
        <w:t>Art. 1</w:t>
      </w:r>
      <w:r w:rsidR="00A522D9">
        <w:t>1</w:t>
      </w:r>
      <w:r>
        <w:t xml:space="preserve"> </w:t>
      </w:r>
    </w:p>
    <w:p w14:paraId="169AB5FD" w14:textId="77777777" w:rsidR="00305742" w:rsidRDefault="00305742" w:rsidP="00C405E1">
      <w:pPr>
        <w:pStyle w:val="NIEARTTEKSTtekstnieartykuowanynppodstprawnarozplubpreambua"/>
        <w:rPr>
          <w:lang w:eastAsia="en-US"/>
        </w:rPr>
      </w:pPr>
      <w:r>
        <w:rPr>
          <w:lang w:eastAsia="en-US"/>
        </w:rPr>
        <w:t>Podmioty publiczne będą musiały wyznaczyć 2 osoby do kontaktu z podmiotami krajowego systemu cyberbezpieczeństwa w terminie 3 miesięcy od dnia wejścia w życie ustawy.</w:t>
      </w:r>
    </w:p>
    <w:p w14:paraId="48447191" w14:textId="4BA867F1" w:rsidR="00305742" w:rsidRDefault="00305742" w:rsidP="00DC1575">
      <w:pPr>
        <w:pStyle w:val="Nagwek4"/>
      </w:pPr>
      <w:r>
        <w:lastRenderedPageBreak/>
        <w:t>Art. 1</w:t>
      </w:r>
      <w:r w:rsidR="00A522D9">
        <w:t>2</w:t>
      </w:r>
    </w:p>
    <w:p w14:paraId="04C5AC88" w14:textId="77777777" w:rsidR="00305742" w:rsidRDefault="00305742" w:rsidP="00C405E1">
      <w:pPr>
        <w:pStyle w:val="NIEARTTEKSTtekstnieartykuowanynppodstprawnarozplubpreambua"/>
        <w:rPr>
          <w:lang w:eastAsia="en-US"/>
        </w:rPr>
      </w:pPr>
      <w:r w:rsidRPr="00305742">
        <w:rPr>
          <w:lang w:eastAsia="en-US"/>
        </w:rPr>
        <w:t>Zgodnie z tym przepisem Pełnomocnik Rządu do spraw Cyberbezpieczeństwa oraz Przewodniczący Kolegium będą mogli złożyć zlecić badanie sprzętu lub oprogramowania, o którym mowa w art. 33 nie wcześniej niż 3 miesiące od wejścia w życie ustawy.</w:t>
      </w:r>
    </w:p>
    <w:p w14:paraId="2E78A39E" w14:textId="3C0F23DE" w:rsidR="00305742" w:rsidRDefault="00305742" w:rsidP="00DC1575">
      <w:pPr>
        <w:pStyle w:val="Nagwek4"/>
      </w:pPr>
      <w:r>
        <w:t>Art. 1</w:t>
      </w:r>
      <w:r w:rsidR="00A522D9">
        <w:t>3</w:t>
      </w:r>
    </w:p>
    <w:p w14:paraId="65299F71" w14:textId="77777777" w:rsidR="00305742" w:rsidRDefault="00305742" w:rsidP="00C405E1">
      <w:pPr>
        <w:pStyle w:val="NIEARTTEKSTtekstnieartykuowanynppodstprawnarozplubpreambua"/>
        <w:rPr>
          <w:lang w:eastAsia="en-US"/>
        </w:rPr>
      </w:pPr>
      <w:r>
        <w:rPr>
          <w:lang w:eastAsia="en-US"/>
        </w:rPr>
        <w:t>CSIRT Telco nie będzie brał udziału w uzgodnieniach sposobu zgłaszania incydentów telekomunikacyjnych do czasu wydania komunikatu o zdolności operacyjnej.</w:t>
      </w:r>
    </w:p>
    <w:p w14:paraId="08D690FD" w14:textId="4AD78A1D" w:rsidR="00305742" w:rsidRDefault="00305742" w:rsidP="00DC1575">
      <w:pPr>
        <w:pStyle w:val="Nagwek4"/>
      </w:pPr>
      <w:r>
        <w:t>Art. 1</w:t>
      </w:r>
      <w:r w:rsidR="00A522D9">
        <w:t>4</w:t>
      </w:r>
    </w:p>
    <w:p w14:paraId="2A84F2B5" w14:textId="59255698" w:rsidR="00305742" w:rsidRDefault="00305742" w:rsidP="00C405E1">
      <w:pPr>
        <w:pStyle w:val="NIEARTTEKSTtekstnieartykuowanynppodstprawnarozplubpreambua"/>
        <w:rPr>
          <w:lang w:eastAsia="en-US"/>
        </w:rPr>
      </w:pPr>
      <w:r>
        <w:rPr>
          <w:lang w:eastAsia="en-US"/>
        </w:rPr>
        <w:t xml:space="preserve">Art. </w:t>
      </w:r>
      <w:r w:rsidR="00A522D9">
        <w:rPr>
          <w:lang w:eastAsia="en-US"/>
        </w:rPr>
        <w:t xml:space="preserve">14 </w:t>
      </w:r>
      <w:r>
        <w:rPr>
          <w:lang w:eastAsia="en-US"/>
        </w:rPr>
        <w:t>reguluje moment zgłaszania incydentów przez jednostki podległe MSZ do CSIRT INT.</w:t>
      </w:r>
    </w:p>
    <w:p w14:paraId="495FD774" w14:textId="11A33B05" w:rsidR="00305742" w:rsidRDefault="00305742" w:rsidP="00DC1575">
      <w:pPr>
        <w:pStyle w:val="Nagwek4"/>
      </w:pPr>
      <w:r>
        <w:t>Art. 1</w:t>
      </w:r>
      <w:r w:rsidR="00A522D9">
        <w:t>5</w:t>
      </w:r>
      <w:r>
        <w:t xml:space="preserve"> </w:t>
      </w:r>
    </w:p>
    <w:p w14:paraId="7CD964D7" w14:textId="77777777" w:rsidR="00305742" w:rsidRPr="0024375B" w:rsidRDefault="00305742" w:rsidP="00C405E1">
      <w:pPr>
        <w:pStyle w:val="NIEARTTEKSTtekstnieartykuowanynppodstprawnarozplubpreambua"/>
      </w:pPr>
      <w:r w:rsidRPr="0024375B">
        <w:t>Przewidziano termin 18 miesięcy od dnia wejścia</w:t>
      </w:r>
      <w:r>
        <w:t xml:space="preserve"> w </w:t>
      </w:r>
      <w:r w:rsidRPr="0024375B">
        <w:t xml:space="preserve">życie ustawy na powołanie przez organy właściwe do spraw cyberbezpieczeństwa CSIRT sektorowych. </w:t>
      </w:r>
    </w:p>
    <w:p w14:paraId="3AFE74EE" w14:textId="77777777" w:rsidR="00305742" w:rsidRPr="0024375B" w:rsidRDefault="00305742" w:rsidP="00C405E1">
      <w:pPr>
        <w:pStyle w:val="NIEARTTEKSTtekstnieartykuowanynppodstprawnarozplubpreambua"/>
      </w:pPr>
      <w:r w:rsidRPr="0024375B">
        <w:t>Powyższy przepis przejściowy jest niezbędny na przeprowadzenie organizacji tych zespołów,</w:t>
      </w:r>
      <w:r>
        <w:t xml:space="preserve"> w </w:t>
      </w:r>
      <w:r w:rsidRPr="0024375B">
        <w:t>tym na zapewnienie środków</w:t>
      </w:r>
      <w:r>
        <w:t xml:space="preserve"> w </w:t>
      </w:r>
      <w:r w:rsidRPr="0024375B">
        <w:t>nowej ustawie budżetowej, jak również przygotowanie niezbędnych składników materialnych</w:t>
      </w:r>
      <w:r>
        <w:t xml:space="preserve"> i </w:t>
      </w:r>
      <w:r w:rsidRPr="0024375B">
        <w:t>pozyskanie wysoko kwalifikowanej kadry ekspertów.</w:t>
      </w:r>
    </w:p>
    <w:p w14:paraId="4ED8ACCC" w14:textId="211000F6" w:rsidR="00305742" w:rsidRDefault="00305742" w:rsidP="002F0DD4">
      <w:pPr>
        <w:pStyle w:val="NIEARTTEKSTtekstnieartykuowanynppodstprawnarozplubpreambua"/>
        <w:rPr>
          <w:lang w:eastAsia="en-US"/>
        </w:rPr>
      </w:pPr>
      <w:r>
        <w:rPr>
          <w:lang w:eastAsia="en-US"/>
        </w:rPr>
        <w:t xml:space="preserve">Gdy CSIRT sektorowy zostanie utworzony, organ właściwy do spraw cyberbezpieczeństwa ogłosi komunikat o osiągnięciu przez CSIRT zdolności operacyjnej w </w:t>
      </w:r>
      <w:r w:rsidR="00FA2511">
        <w:rPr>
          <w:lang w:eastAsia="en-US"/>
        </w:rPr>
        <w:t xml:space="preserve">Dzienniku Urzędowym Rzeczypospolitej Polskiej </w:t>
      </w:r>
      <w:r>
        <w:rPr>
          <w:lang w:eastAsia="en-US"/>
        </w:rPr>
        <w:t>„Monitor Polski”.</w:t>
      </w:r>
    </w:p>
    <w:p w14:paraId="6969DBE2" w14:textId="57F1AC2D" w:rsidR="00305742" w:rsidRDefault="00305742" w:rsidP="00DC1575">
      <w:pPr>
        <w:pStyle w:val="Nagwek4"/>
      </w:pPr>
      <w:r>
        <w:t xml:space="preserve">Art. </w:t>
      </w:r>
      <w:r w:rsidR="00A522D9">
        <w:t>16</w:t>
      </w:r>
    </w:p>
    <w:p w14:paraId="1D255BC6" w14:textId="77777777" w:rsidR="00305742" w:rsidRDefault="00305742" w:rsidP="00C405E1">
      <w:pPr>
        <w:pStyle w:val="NIEARTTEKSTtekstnieartykuowanynppodstprawnarozplubpreambua"/>
        <w:rPr>
          <w:lang w:eastAsia="en-US"/>
        </w:rPr>
      </w:pPr>
      <w:r>
        <w:rPr>
          <w:lang w:eastAsia="en-US"/>
        </w:rPr>
        <w:t>Artykuł ten reguluje kwestie dot. pierwszego sprawozdania organu właściwego do spraw cyberbezpieczeństwa z działalności CSIRT sektorowego.</w:t>
      </w:r>
    </w:p>
    <w:p w14:paraId="3D3E7945" w14:textId="77777777" w:rsidR="00305742" w:rsidRDefault="00305742" w:rsidP="00C405E1">
      <w:pPr>
        <w:rPr>
          <w:lang w:eastAsia="en-US"/>
        </w:rPr>
      </w:pPr>
    </w:p>
    <w:p w14:paraId="20BF2AB4" w14:textId="69EFF85B" w:rsidR="00305742" w:rsidRDefault="00305742" w:rsidP="00DC1575">
      <w:pPr>
        <w:pStyle w:val="Nagwek4"/>
      </w:pPr>
      <w:r>
        <w:t>Art. 1</w:t>
      </w:r>
      <w:r w:rsidR="00A522D9">
        <w:t>7</w:t>
      </w:r>
      <w:r>
        <w:t xml:space="preserve"> </w:t>
      </w:r>
    </w:p>
    <w:p w14:paraId="60D5FEAD" w14:textId="77777777" w:rsidR="00305742" w:rsidRPr="002F0DD4" w:rsidRDefault="00305742" w:rsidP="002F0DD4">
      <w:pPr>
        <w:pStyle w:val="NIEARTTEKSTtekstnieartykuowanynppodstprawnarozplubpreambua"/>
      </w:pPr>
      <w:r>
        <w:rPr>
          <w:lang w:eastAsia="en-US"/>
        </w:rPr>
        <w:t xml:space="preserve">Zgodnie z tym artykułem </w:t>
      </w:r>
      <w:r w:rsidRPr="0024375B">
        <w:t>dotychczas powołany sektorowy zespół cyberbezpieczeństwa (CSIRT KNF) staje się CSIRT sektorowym.</w:t>
      </w:r>
    </w:p>
    <w:p w14:paraId="0C981109" w14:textId="3755AC2A" w:rsidR="00305742" w:rsidRDefault="00305742" w:rsidP="00DC1575">
      <w:pPr>
        <w:pStyle w:val="Nagwek4"/>
      </w:pPr>
      <w:r>
        <w:t>Art. 1</w:t>
      </w:r>
      <w:r w:rsidR="00A522D9">
        <w:t>8</w:t>
      </w:r>
      <w:r>
        <w:t>-</w:t>
      </w:r>
      <w:r w:rsidR="00A522D9">
        <w:t>19</w:t>
      </w:r>
    </w:p>
    <w:p w14:paraId="40D2461C" w14:textId="77777777" w:rsidR="00305742" w:rsidRDefault="00305742" w:rsidP="00C405E1">
      <w:pPr>
        <w:pStyle w:val="NIEARTTEKSTtekstnieartykuowanynppodstprawnarozplubpreambua"/>
      </w:pPr>
      <w:r>
        <w:t>Przepisy te zawierają analogiczne regulacje dostosowujące co do utworzenia CSIRT Telco jak przy CSIRT sektorowym</w:t>
      </w:r>
    </w:p>
    <w:p w14:paraId="5DD870B8" w14:textId="16D024DE" w:rsidR="00305742" w:rsidRDefault="00305742" w:rsidP="00DC1575">
      <w:pPr>
        <w:pStyle w:val="Nagwek4"/>
      </w:pPr>
      <w:r>
        <w:t>Art. 2</w:t>
      </w:r>
      <w:r w:rsidR="00A522D9">
        <w:t>0</w:t>
      </w:r>
    </w:p>
    <w:p w14:paraId="536926CC" w14:textId="7E019376" w:rsidR="00305742" w:rsidRDefault="00305742" w:rsidP="002F0DD4">
      <w:pPr>
        <w:pStyle w:val="NIEARTTEKSTtekstnieartykuowanynppodstprawnarozplubpreambua"/>
      </w:pPr>
      <w:r>
        <w:rPr>
          <w:rFonts w:ascii="Times New Roman" w:hAnsi="Times New Roman"/>
        </w:rPr>
        <w:t xml:space="preserve">Zgodnie z przepisem art. </w:t>
      </w:r>
      <w:r w:rsidR="00835A14">
        <w:rPr>
          <w:rFonts w:ascii="Times New Roman" w:hAnsi="Times New Roman"/>
        </w:rPr>
        <w:t>20</w:t>
      </w:r>
      <w:r>
        <w:rPr>
          <w:rFonts w:ascii="Times New Roman" w:hAnsi="Times New Roman"/>
        </w:rPr>
        <w:t xml:space="preserve"> Prezes Rady Ministrów wyznaczy OSSB </w:t>
      </w:r>
      <w:r w:rsidRPr="0024375B">
        <w:t>w terminie do 30 dni od wejścia</w:t>
      </w:r>
      <w:r>
        <w:t xml:space="preserve"> w </w:t>
      </w:r>
      <w:r w:rsidRPr="0024375B">
        <w:t>życie ustawy</w:t>
      </w:r>
      <w:r>
        <w:t xml:space="preserve">. Termin zawarty w tym przepisie ma charakter instrukcyjny. Ponadto </w:t>
      </w:r>
      <w:r w:rsidRPr="00305742">
        <w:t xml:space="preserve">wskazuje, że Prezes Rady Ministrów podaje do publicznej wiadomości informacje o osiągnięciu pełnej zdolności operacyjnej do </w:t>
      </w:r>
      <w:r w:rsidRPr="00305742">
        <w:lastRenderedPageBreak/>
        <w:t>świadczenia usług przez Operatora strategicznej sieci bezpieczeństwa. Pozwoli to precyzyjnie ustalić moment od kiedy podmioty wskazane w art. 76g ust. 2 mają obowiązek zawarcia umowy z OSSB.</w:t>
      </w:r>
    </w:p>
    <w:p w14:paraId="040245CB" w14:textId="5DA1F6FB" w:rsidR="005A102C" w:rsidRDefault="005A102C" w:rsidP="00DC1575">
      <w:pPr>
        <w:pStyle w:val="Nagwek4"/>
      </w:pPr>
      <w:r>
        <w:t xml:space="preserve">Art. </w:t>
      </w:r>
      <w:r w:rsidR="00305742">
        <w:t>2</w:t>
      </w:r>
      <w:r w:rsidR="00A522D9">
        <w:t>1</w:t>
      </w:r>
      <w:r>
        <w:t xml:space="preserve"> </w:t>
      </w:r>
    </w:p>
    <w:p w14:paraId="663C1C84" w14:textId="77777777" w:rsidR="005A102C" w:rsidRPr="001C5AF2" w:rsidRDefault="00305742" w:rsidP="002F0DD4">
      <w:pPr>
        <w:ind w:firstLine="567"/>
        <w:jc w:val="both"/>
        <w:rPr>
          <w:lang w:eastAsia="en-US"/>
        </w:rPr>
      </w:pPr>
      <w:r>
        <w:rPr>
          <w:lang w:eastAsia="en-US"/>
        </w:rPr>
        <w:t>Przepis o</w:t>
      </w:r>
      <w:r w:rsidR="005A102C" w:rsidRPr="005A102C">
        <w:rPr>
          <w:lang w:eastAsia="en-US"/>
        </w:rPr>
        <w:t xml:space="preserve">kreśla maksymalne limity wydatków dla poszczególnych części budżetu państwa w związku z wejściem w życie niniejszej ustawy. </w:t>
      </w:r>
    </w:p>
    <w:p w14:paraId="2B1ECE65" w14:textId="4D7D8BED" w:rsidR="00116933" w:rsidRPr="0024375B" w:rsidRDefault="00116933" w:rsidP="00DC1575">
      <w:pPr>
        <w:pStyle w:val="Nagwek4"/>
      </w:pPr>
      <w:r>
        <w:t xml:space="preserve">Art. </w:t>
      </w:r>
      <w:r w:rsidR="00305742">
        <w:t>2</w:t>
      </w:r>
      <w:r w:rsidR="00A522D9">
        <w:t>2</w:t>
      </w:r>
    </w:p>
    <w:p w14:paraId="57E0B562" w14:textId="77E821EA" w:rsidR="00F6749E" w:rsidRPr="0024375B" w:rsidRDefault="00327CB0" w:rsidP="00835A14">
      <w:pPr>
        <w:pStyle w:val="NIEARTTEKSTtekstnieartykuowanynppodstprawnarozplubpreambua"/>
        <w:rPr>
          <w:rFonts w:ascii="Times New Roman" w:hAnsi="Times New Roman" w:cs="Times New Roman"/>
        </w:rPr>
      </w:pPr>
      <w:r>
        <w:rPr>
          <w:rFonts w:ascii="Times New Roman" w:hAnsi="Times New Roman" w:cs="Times New Roman"/>
        </w:rPr>
        <w:t>Ustawa wejdzie w życie w terminie</w:t>
      </w:r>
      <w:r w:rsidR="00F6749E" w:rsidRPr="0024375B">
        <w:rPr>
          <w:rFonts w:ascii="Times New Roman" w:hAnsi="Times New Roman" w:cs="Times New Roman"/>
        </w:rPr>
        <w:t xml:space="preserve"> </w:t>
      </w:r>
      <w:r w:rsidR="00A03BA5" w:rsidRPr="00A03BA5">
        <w:rPr>
          <w:rFonts w:ascii="Times New Roman" w:hAnsi="Times New Roman" w:cs="Times New Roman"/>
        </w:rPr>
        <w:t xml:space="preserve">6 miesięcy </w:t>
      </w:r>
      <w:r w:rsidR="00F6749E" w:rsidRPr="0024375B">
        <w:rPr>
          <w:rFonts w:ascii="Times New Roman" w:hAnsi="Times New Roman" w:cs="Times New Roman"/>
        </w:rPr>
        <w:t>od dnia ogłoszenia</w:t>
      </w:r>
      <w:r w:rsidR="00466131" w:rsidRPr="0024375B">
        <w:rPr>
          <w:rFonts w:ascii="Times New Roman" w:hAnsi="Times New Roman" w:cs="Times New Roman"/>
        </w:rPr>
        <w:t>.</w:t>
      </w:r>
      <w:r w:rsidR="007D713E">
        <w:rPr>
          <w:rFonts w:ascii="Times New Roman" w:hAnsi="Times New Roman" w:cs="Times New Roman"/>
        </w:rPr>
        <w:t xml:space="preserve"> Ze względu na związki treściowe niniejsza ustawa powinna wejść w życie w tym samym dniu co ustawa</w:t>
      </w:r>
      <w:r w:rsidR="00835A14">
        <w:rPr>
          <w:rFonts w:ascii="Times New Roman" w:hAnsi="Times New Roman" w:cs="Times New Roman"/>
        </w:rPr>
        <w:t xml:space="preserve"> – </w:t>
      </w:r>
      <w:r w:rsidR="007D713E">
        <w:rPr>
          <w:rFonts w:ascii="Times New Roman" w:hAnsi="Times New Roman" w:cs="Times New Roman"/>
        </w:rPr>
        <w:t xml:space="preserve"> Prawo komunikacji elektronicznej.</w:t>
      </w:r>
    </w:p>
    <w:p w14:paraId="629B4F62" w14:textId="77777777" w:rsidR="00F6749E" w:rsidRPr="0024375B" w:rsidRDefault="1F0A690A" w:rsidP="0024375B">
      <w:pPr>
        <w:pStyle w:val="Nagwek1"/>
      </w:pPr>
      <w:bookmarkStart w:id="89" w:name="_Toc136511066"/>
      <w:r w:rsidRPr="0024375B">
        <w:t>Pozostałe informacje</w:t>
      </w:r>
      <w:bookmarkEnd w:id="89"/>
    </w:p>
    <w:p w14:paraId="7B415A2F"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Wpływ projektu na działalność mikroprzedsiębiorców oraz małych</w:t>
      </w:r>
      <w:r w:rsidR="002161FE">
        <w:rPr>
          <w:rFonts w:ascii="Times New Roman" w:hAnsi="Times New Roman" w:cs="Times New Roman"/>
        </w:rPr>
        <w:t xml:space="preserve"> i </w:t>
      </w:r>
      <w:r w:rsidRPr="0024375B">
        <w:rPr>
          <w:rFonts w:ascii="Times New Roman" w:hAnsi="Times New Roman" w:cs="Times New Roman"/>
        </w:rPr>
        <w:t>średnich przedsiębiorców</w:t>
      </w:r>
      <w:r w:rsidR="00901ADD" w:rsidRPr="0024375B">
        <w:rPr>
          <w:rFonts w:ascii="Times New Roman" w:hAnsi="Times New Roman" w:cs="Times New Roman"/>
        </w:rPr>
        <w:t xml:space="preserve"> został omówiony</w:t>
      </w:r>
      <w:r w:rsidR="00EA1900">
        <w:rPr>
          <w:rFonts w:ascii="Times New Roman" w:hAnsi="Times New Roman" w:cs="Times New Roman"/>
        </w:rPr>
        <w:t xml:space="preserve"> w </w:t>
      </w:r>
      <w:r w:rsidR="00901ADD" w:rsidRPr="0024375B">
        <w:rPr>
          <w:rFonts w:ascii="Times New Roman" w:hAnsi="Times New Roman" w:cs="Times New Roman"/>
        </w:rPr>
        <w:t>ocenie skutków regulacji.</w:t>
      </w:r>
    </w:p>
    <w:p w14:paraId="152DB962"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Projekt ustawy jest zgodny</w:t>
      </w:r>
      <w:r w:rsidR="002161FE">
        <w:rPr>
          <w:rFonts w:ascii="Times New Roman" w:hAnsi="Times New Roman" w:cs="Times New Roman"/>
        </w:rPr>
        <w:t xml:space="preserve"> z </w:t>
      </w:r>
      <w:r w:rsidRPr="0024375B">
        <w:rPr>
          <w:rFonts w:ascii="Times New Roman" w:hAnsi="Times New Roman" w:cs="Times New Roman"/>
        </w:rPr>
        <w:t>prawem Unii Europejskiej.</w:t>
      </w:r>
    </w:p>
    <w:p w14:paraId="162DA544"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Projektowana ustawa nie wymaga przedstawiania organom</w:t>
      </w:r>
      <w:r w:rsidR="002161FE">
        <w:rPr>
          <w:rFonts w:ascii="Times New Roman" w:hAnsi="Times New Roman" w:cs="Times New Roman"/>
        </w:rPr>
        <w:t xml:space="preserve"> i </w:t>
      </w:r>
      <w:r w:rsidRPr="0024375B">
        <w:rPr>
          <w:rFonts w:ascii="Times New Roman" w:hAnsi="Times New Roman" w:cs="Times New Roman"/>
        </w:rPr>
        <w:t>instytucjom Unii Europejskiej</w:t>
      </w:r>
      <w:r w:rsidR="004372BA">
        <w:rPr>
          <w:rFonts w:ascii="Times New Roman" w:hAnsi="Times New Roman" w:cs="Times New Roman"/>
        </w:rPr>
        <w:t xml:space="preserve">, </w:t>
      </w:r>
      <w:r w:rsidR="004372BA" w:rsidRPr="004372BA">
        <w:rPr>
          <w:rFonts w:ascii="Times New Roman" w:hAnsi="Times New Roman" w:cs="Times New Roman"/>
        </w:rPr>
        <w:t>w tym Europejskiemu Bankowi Centralnemu</w:t>
      </w:r>
      <w:r w:rsidR="004372BA">
        <w:rPr>
          <w:rFonts w:ascii="Times New Roman" w:hAnsi="Times New Roman" w:cs="Times New Roman"/>
        </w:rPr>
        <w:t>,</w:t>
      </w:r>
      <w:r w:rsidR="00EA1900">
        <w:rPr>
          <w:rFonts w:ascii="Times New Roman" w:hAnsi="Times New Roman" w:cs="Times New Roman"/>
        </w:rPr>
        <w:t xml:space="preserve"> w </w:t>
      </w:r>
      <w:r w:rsidRPr="0024375B">
        <w:rPr>
          <w:rFonts w:ascii="Times New Roman" w:hAnsi="Times New Roman" w:cs="Times New Roman"/>
        </w:rPr>
        <w:t>celu uzyskania opinii, dokonania powiadomienia, konsultacji albo uzgodnienia.</w:t>
      </w:r>
    </w:p>
    <w:p w14:paraId="7029F22C"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Stosownie do</w:t>
      </w:r>
      <w:r w:rsidR="00EA1900">
        <w:rPr>
          <w:rFonts w:ascii="Times New Roman" w:hAnsi="Times New Roman" w:cs="Times New Roman"/>
        </w:rPr>
        <w:t xml:space="preserve"> art. </w:t>
      </w:r>
      <w:r w:rsidRPr="0024375B">
        <w:rPr>
          <w:rFonts w:ascii="Times New Roman" w:hAnsi="Times New Roman" w:cs="Times New Roman"/>
        </w:rPr>
        <w:t>4 ustawy</w:t>
      </w:r>
      <w:r w:rsidR="002161FE">
        <w:rPr>
          <w:rFonts w:ascii="Times New Roman" w:hAnsi="Times New Roman" w:cs="Times New Roman"/>
        </w:rPr>
        <w:t xml:space="preserve"> z </w:t>
      </w:r>
      <w:r w:rsidRPr="0024375B">
        <w:rPr>
          <w:rFonts w:ascii="Times New Roman" w:hAnsi="Times New Roman" w:cs="Times New Roman"/>
        </w:rPr>
        <w:t>dnia 7 lipca 2005 r.</w:t>
      </w:r>
      <w:r w:rsidR="0077165A">
        <w:rPr>
          <w:rFonts w:ascii="Times New Roman" w:hAnsi="Times New Roman" w:cs="Times New Roman"/>
        </w:rPr>
        <w:t xml:space="preserve"> o </w:t>
      </w:r>
      <w:r w:rsidRPr="0024375B">
        <w:rPr>
          <w:rFonts w:ascii="Times New Roman" w:hAnsi="Times New Roman" w:cs="Times New Roman"/>
        </w:rPr>
        <w:t>działalności lobbingowej</w:t>
      </w:r>
      <w:r w:rsidR="00EA1900">
        <w:rPr>
          <w:rFonts w:ascii="Times New Roman" w:hAnsi="Times New Roman" w:cs="Times New Roman"/>
        </w:rPr>
        <w:t xml:space="preserve"> w </w:t>
      </w:r>
      <w:r w:rsidRPr="0024375B">
        <w:rPr>
          <w:rFonts w:ascii="Times New Roman" w:hAnsi="Times New Roman" w:cs="Times New Roman"/>
        </w:rPr>
        <w:t>procesie stanowienia prawa</w:t>
      </w:r>
      <w:r w:rsidR="00035719" w:rsidRPr="0024375B">
        <w:rPr>
          <w:rStyle w:val="Odwoanieprzypisudolnego"/>
          <w:rFonts w:ascii="Times New Roman" w:hAnsi="Times New Roman"/>
        </w:rPr>
        <w:footnoteReference w:id="75"/>
      </w:r>
      <w:r w:rsidR="006A75AF" w:rsidRPr="0024375B">
        <w:rPr>
          <w:rFonts w:ascii="Times New Roman" w:hAnsi="Times New Roman" w:cs="Times New Roman"/>
          <w:vertAlign w:val="superscript"/>
        </w:rPr>
        <w:t>)</w:t>
      </w:r>
      <w:r w:rsidRPr="0024375B">
        <w:rPr>
          <w:rFonts w:ascii="Times New Roman" w:hAnsi="Times New Roman" w:cs="Times New Roman"/>
        </w:rPr>
        <w:t xml:space="preserve"> projekt został zamieszczony</w:t>
      </w:r>
      <w:r w:rsidR="00EA1900">
        <w:rPr>
          <w:rFonts w:ascii="Times New Roman" w:hAnsi="Times New Roman" w:cs="Times New Roman"/>
        </w:rPr>
        <w:t xml:space="preserve"> w </w:t>
      </w:r>
      <w:r w:rsidRPr="0024375B">
        <w:rPr>
          <w:rFonts w:ascii="Times New Roman" w:hAnsi="Times New Roman" w:cs="Times New Roman"/>
        </w:rPr>
        <w:t xml:space="preserve">wykazie prac legislacyjnych. </w:t>
      </w:r>
    </w:p>
    <w:p w14:paraId="143C8556" w14:textId="77777777" w:rsidR="00F6749E" w:rsidRPr="0024375B" w:rsidRDefault="00F6749E" w:rsidP="0024375B">
      <w:pPr>
        <w:pStyle w:val="NIEARTTEKSTtekstnieartykuowanynppodstprawnarozplubpreambua"/>
        <w:rPr>
          <w:rFonts w:ascii="Times New Roman" w:hAnsi="Times New Roman" w:cs="Times New Roman"/>
        </w:rPr>
      </w:pPr>
      <w:r w:rsidRPr="0024375B">
        <w:rPr>
          <w:rFonts w:ascii="Times New Roman" w:hAnsi="Times New Roman" w:cs="Times New Roman"/>
        </w:rPr>
        <w:t>Zgodnie</w:t>
      </w:r>
      <w:r w:rsidR="002161FE">
        <w:rPr>
          <w:rFonts w:ascii="Times New Roman" w:hAnsi="Times New Roman" w:cs="Times New Roman"/>
        </w:rPr>
        <w:t xml:space="preserve"> z</w:t>
      </w:r>
      <w:r w:rsidR="00EA1900">
        <w:rPr>
          <w:rFonts w:ascii="Times New Roman" w:hAnsi="Times New Roman" w:cs="Times New Roman"/>
        </w:rPr>
        <w:t xml:space="preserve"> art. </w:t>
      </w:r>
      <w:r w:rsidRPr="0024375B">
        <w:rPr>
          <w:rFonts w:ascii="Times New Roman" w:hAnsi="Times New Roman" w:cs="Times New Roman"/>
        </w:rPr>
        <w:t>5 ustawy</w:t>
      </w:r>
      <w:r w:rsidR="002161FE">
        <w:rPr>
          <w:rFonts w:ascii="Times New Roman" w:hAnsi="Times New Roman" w:cs="Times New Roman"/>
        </w:rPr>
        <w:t xml:space="preserve"> z </w:t>
      </w:r>
      <w:r w:rsidRPr="0024375B">
        <w:rPr>
          <w:rFonts w:ascii="Times New Roman" w:hAnsi="Times New Roman" w:cs="Times New Roman"/>
        </w:rPr>
        <w:t>dnia 7 lipca 2005 r.</w:t>
      </w:r>
      <w:r w:rsidR="0077165A">
        <w:rPr>
          <w:rFonts w:ascii="Times New Roman" w:hAnsi="Times New Roman" w:cs="Times New Roman"/>
        </w:rPr>
        <w:t xml:space="preserve"> o </w:t>
      </w:r>
      <w:r w:rsidRPr="0024375B">
        <w:rPr>
          <w:rFonts w:ascii="Times New Roman" w:hAnsi="Times New Roman" w:cs="Times New Roman"/>
        </w:rPr>
        <w:t>działalności lobbingowej</w:t>
      </w:r>
      <w:r w:rsidR="00EA1900">
        <w:rPr>
          <w:rFonts w:ascii="Times New Roman" w:hAnsi="Times New Roman" w:cs="Times New Roman"/>
        </w:rPr>
        <w:t xml:space="preserve"> w </w:t>
      </w:r>
      <w:r w:rsidRPr="0024375B">
        <w:rPr>
          <w:rFonts w:ascii="Times New Roman" w:hAnsi="Times New Roman" w:cs="Times New Roman"/>
        </w:rPr>
        <w:t>procesie stanowienia prawa oraz uchwał</w:t>
      </w:r>
      <w:r w:rsidR="001F251C">
        <w:rPr>
          <w:rFonts w:ascii="Times New Roman" w:hAnsi="Times New Roman" w:cs="Times New Roman"/>
        </w:rPr>
        <w:t>ą</w:t>
      </w:r>
      <w:r w:rsidRPr="0024375B">
        <w:rPr>
          <w:rFonts w:ascii="Times New Roman" w:hAnsi="Times New Roman" w:cs="Times New Roman"/>
        </w:rPr>
        <w:t xml:space="preserve"> nr 190 Rady Ministrów</w:t>
      </w:r>
      <w:r w:rsidR="002161FE">
        <w:rPr>
          <w:rFonts w:ascii="Times New Roman" w:hAnsi="Times New Roman" w:cs="Times New Roman"/>
        </w:rPr>
        <w:t xml:space="preserve"> z </w:t>
      </w:r>
      <w:r w:rsidRPr="0024375B">
        <w:rPr>
          <w:rFonts w:ascii="Times New Roman" w:hAnsi="Times New Roman" w:cs="Times New Roman"/>
        </w:rPr>
        <w:t>dnia 29 października 2013 r. – Regulamin pracy Rady Ministrów</w:t>
      </w:r>
      <w:r w:rsidR="00841F40" w:rsidRPr="0024375B">
        <w:rPr>
          <w:rStyle w:val="Odwoanieprzypisudolnego"/>
          <w:rFonts w:ascii="Times New Roman" w:hAnsi="Times New Roman"/>
        </w:rPr>
        <w:footnoteReference w:id="76"/>
      </w:r>
      <w:r w:rsidR="006A75AF" w:rsidRPr="0024375B">
        <w:rPr>
          <w:rFonts w:ascii="Times New Roman" w:hAnsi="Times New Roman" w:cs="Times New Roman"/>
          <w:vertAlign w:val="superscript"/>
        </w:rPr>
        <w:t>)</w:t>
      </w:r>
      <w:r w:rsidRPr="0024375B">
        <w:rPr>
          <w:rFonts w:ascii="Times New Roman" w:hAnsi="Times New Roman" w:cs="Times New Roman"/>
        </w:rPr>
        <w:t xml:space="preserve"> projekt ustawy został udostępniony</w:t>
      </w:r>
      <w:r w:rsidR="00EA1900">
        <w:rPr>
          <w:rFonts w:ascii="Times New Roman" w:hAnsi="Times New Roman" w:cs="Times New Roman"/>
        </w:rPr>
        <w:t xml:space="preserve"> w </w:t>
      </w:r>
      <w:r w:rsidRPr="0024375B">
        <w:rPr>
          <w:rFonts w:ascii="Times New Roman" w:hAnsi="Times New Roman" w:cs="Times New Roman"/>
        </w:rPr>
        <w:t>Biuletynie Informacji Publicznej na stronie podmiotowej Rządowego Centrum Legislacji</w:t>
      </w:r>
      <w:r w:rsidR="00EA1900">
        <w:rPr>
          <w:rFonts w:ascii="Times New Roman" w:hAnsi="Times New Roman" w:cs="Times New Roman"/>
        </w:rPr>
        <w:t xml:space="preserve"> w </w:t>
      </w:r>
      <w:r w:rsidRPr="0024375B">
        <w:rPr>
          <w:rFonts w:ascii="Times New Roman" w:hAnsi="Times New Roman" w:cs="Times New Roman"/>
        </w:rPr>
        <w:t>serwisie Rządowy Proces Legislacyjny.</w:t>
      </w:r>
    </w:p>
    <w:p w14:paraId="0191F117" w14:textId="6393353E" w:rsidR="00E553FD" w:rsidRPr="00E553FD" w:rsidRDefault="00F6749E" w:rsidP="00752578">
      <w:pPr>
        <w:pStyle w:val="NIEARTTEKSTtekstnieartykuowanynppodstprawnarozplubpreambua"/>
        <w:spacing w:before="0"/>
        <w:rPr>
          <w:rFonts w:ascii="Times New Roman" w:hAnsi="Times New Roman" w:cs="Times New Roman"/>
        </w:rPr>
      </w:pPr>
      <w:r w:rsidRPr="0024375B">
        <w:rPr>
          <w:rFonts w:ascii="Times New Roman" w:hAnsi="Times New Roman" w:cs="Times New Roman"/>
        </w:rPr>
        <w:t xml:space="preserve">Projektowana regulacja </w:t>
      </w:r>
      <w:r w:rsidR="00ED297B">
        <w:rPr>
          <w:rFonts w:ascii="Times New Roman" w:hAnsi="Times New Roman" w:cs="Times New Roman"/>
        </w:rPr>
        <w:t xml:space="preserve">nie podlega </w:t>
      </w:r>
      <w:r w:rsidR="007B3B5B" w:rsidRPr="0024375B">
        <w:rPr>
          <w:rFonts w:ascii="Times New Roman" w:hAnsi="Times New Roman" w:cs="Times New Roman"/>
        </w:rPr>
        <w:t>notyfikacji technicznej</w:t>
      </w:r>
      <w:r w:rsidR="00EA1900">
        <w:rPr>
          <w:rFonts w:ascii="Times New Roman" w:hAnsi="Times New Roman" w:cs="Times New Roman"/>
        </w:rPr>
        <w:t xml:space="preserve"> w </w:t>
      </w:r>
      <w:r w:rsidR="007B3B5B" w:rsidRPr="0024375B">
        <w:rPr>
          <w:rFonts w:ascii="Times New Roman" w:hAnsi="Times New Roman" w:cs="Times New Roman"/>
        </w:rPr>
        <w:t xml:space="preserve">rozumieniu przepisów </w:t>
      </w:r>
      <w:r w:rsidRPr="0024375B">
        <w:rPr>
          <w:rFonts w:ascii="Times New Roman" w:hAnsi="Times New Roman" w:cs="Times New Roman"/>
        </w:rPr>
        <w:t>rozporządzenia Rady Ministrów</w:t>
      </w:r>
      <w:r w:rsidR="002161FE">
        <w:rPr>
          <w:rFonts w:ascii="Times New Roman" w:hAnsi="Times New Roman" w:cs="Times New Roman"/>
        </w:rPr>
        <w:t xml:space="preserve"> z </w:t>
      </w:r>
      <w:r w:rsidRPr="0024375B">
        <w:rPr>
          <w:rFonts w:ascii="Times New Roman" w:hAnsi="Times New Roman" w:cs="Times New Roman"/>
        </w:rPr>
        <w:t>dnia 23 grudnia 2002 r.</w:t>
      </w:r>
      <w:r w:rsidR="00EA1900">
        <w:rPr>
          <w:rFonts w:ascii="Times New Roman" w:hAnsi="Times New Roman" w:cs="Times New Roman"/>
        </w:rPr>
        <w:t xml:space="preserve"> w </w:t>
      </w:r>
      <w:r w:rsidRPr="0024375B">
        <w:rPr>
          <w:rFonts w:ascii="Times New Roman" w:hAnsi="Times New Roman" w:cs="Times New Roman"/>
        </w:rPr>
        <w:t>sprawie sposobu funkcjonowania krajowego systemu notyfikacji norm</w:t>
      </w:r>
      <w:r w:rsidR="002161FE">
        <w:rPr>
          <w:rFonts w:ascii="Times New Roman" w:hAnsi="Times New Roman" w:cs="Times New Roman"/>
        </w:rPr>
        <w:t xml:space="preserve"> i </w:t>
      </w:r>
      <w:r w:rsidRPr="0024375B">
        <w:rPr>
          <w:rFonts w:ascii="Times New Roman" w:hAnsi="Times New Roman" w:cs="Times New Roman"/>
        </w:rPr>
        <w:t>aktów prawnych</w:t>
      </w:r>
      <w:r w:rsidR="00E96F6D" w:rsidRPr="0024375B">
        <w:rPr>
          <w:rStyle w:val="Odwoanieprzypisudolnego"/>
          <w:rFonts w:ascii="Times New Roman" w:hAnsi="Times New Roman"/>
        </w:rPr>
        <w:footnoteReference w:id="77"/>
      </w:r>
      <w:r w:rsidR="006A75AF" w:rsidRPr="0024375B">
        <w:rPr>
          <w:rFonts w:ascii="Times New Roman" w:hAnsi="Times New Roman" w:cs="Times New Roman"/>
          <w:vertAlign w:val="superscript"/>
        </w:rPr>
        <w:t>)</w:t>
      </w:r>
      <w:r w:rsidR="00E553FD">
        <w:rPr>
          <w:rFonts w:ascii="Times New Roman" w:hAnsi="Times New Roman" w:cs="Times New Roman"/>
        </w:rPr>
        <w:t xml:space="preserve">, </w:t>
      </w:r>
      <w:r w:rsidR="00E553FD" w:rsidRPr="00E553FD">
        <w:rPr>
          <w:rFonts w:ascii="Times New Roman" w:hAnsi="Times New Roman" w:cs="Times New Roman"/>
        </w:rPr>
        <w:t>które wdraża postanowienia dyrektywy (UE) 2015/1535 Parlamentu Europejskiego i Rady z</w:t>
      </w:r>
      <w:r w:rsidR="00E553FD">
        <w:rPr>
          <w:rFonts w:ascii="Times New Roman" w:hAnsi="Times New Roman" w:cs="Times New Roman"/>
        </w:rPr>
        <w:t xml:space="preserve"> </w:t>
      </w:r>
      <w:r w:rsidR="00E553FD" w:rsidRPr="00E553FD">
        <w:rPr>
          <w:rFonts w:ascii="Times New Roman" w:hAnsi="Times New Roman" w:cs="Times New Roman"/>
        </w:rPr>
        <w:t>dnia 9 września 2015 r. ustanawiającej procedurę udzielania informacji w dziedzinie</w:t>
      </w:r>
    </w:p>
    <w:p w14:paraId="61956086" w14:textId="04827B0E" w:rsidR="00E553FD" w:rsidRDefault="00E553FD" w:rsidP="00100088">
      <w:pPr>
        <w:pStyle w:val="NIEARTTEKSTtekstnieartykuowanynppodstprawnarozplubpreambua"/>
        <w:spacing w:before="0"/>
        <w:ind w:firstLine="0"/>
        <w:rPr>
          <w:rFonts w:ascii="Times New Roman" w:hAnsi="Times New Roman" w:cs="Times New Roman"/>
        </w:rPr>
      </w:pPr>
      <w:r>
        <w:rPr>
          <w:rFonts w:ascii="Times New Roman" w:hAnsi="Times New Roman" w:cs="Times New Roman"/>
        </w:rPr>
        <w:t xml:space="preserve"> </w:t>
      </w:r>
      <w:r w:rsidRPr="00E553FD">
        <w:rPr>
          <w:rFonts w:ascii="Times New Roman" w:hAnsi="Times New Roman" w:cs="Times New Roman"/>
        </w:rPr>
        <w:t>przepisów technicznych oraz zasad dotyczących usług społeczeństwa informacyjnego</w:t>
      </w:r>
      <w:r w:rsidR="00C540AE">
        <w:rPr>
          <w:rFonts w:ascii="Times New Roman" w:hAnsi="Times New Roman" w:cs="Times New Roman"/>
        </w:rPr>
        <w:t>, zwanej dalej „dyrektywą 2015/1535”</w:t>
      </w:r>
      <w:r w:rsidRPr="00E553FD">
        <w:rPr>
          <w:rFonts w:ascii="Times New Roman" w:hAnsi="Times New Roman" w:cs="Times New Roman"/>
        </w:rPr>
        <w:t>. Wiel</w:t>
      </w:r>
      <w:r w:rsidR="0034702A">
        <w:rPr>
          <w:rFonts w:ascii="Times New Roman" w:hAnsi="Times New Roman" w:cs="Times New Roman"/>
        </w:rPr>
        <w:t>e</w:t>
      </w:r>
      <w:r>
        <w:rPr>
          <w:rFonts w:ascii="Times New Roman" w:hAnsi="Times New Roman" w:cs="Times New Roman"/>
        </w:rPr>
        <w:t xml:space="preserve"> </w:t>
      </w:r>
      <w:r w:rsidRPr="00E553FD">
        <w:rPr>
          <w:rFonts w:ascii="Times New Roman" w:hAnsi="Times New Roman" w:cs="Times New Roman"/>
        </w:rPr>
        <w:t xml:space="preserve">przepisów zawartych w tym projekcie stanowi implementację prawa Unii </w:t>
      </w:r>
      <w:r w:rsidRPr="00E553FD">
        <w:rPr>
          <w:rFonts w:ascii="Times New Roman" w:hAnsi="Times New Roman" w:cs="Times New Roman"/>
        </w:rPr>
        <w:lastRenderedPageBreak/>
        <w:t>Europejskiej.</w:t>
      </w:r>
      <w:r>
        <w:rPr>
          <w:rFonts w:ascii="Times New Roman" w:hAnsi="Times New Roman" w:cs="Times New Roman"/>
        </w:rPr>
        <w:t xml:space="preserve"> </w:t>
      </w:r>
      <w:r w:rsidRPr="00E553FD">
        <w:rPr>
          <w:rFonts w:ascii="Times New Roman" w:hAnsi="Times New Roman" w:cs="Times New Roman"/>
        </w:rPr>
        <w:t>Ponadto wskazać należy, że dyrektywa 2015/1535 w art. 1 ust. 3 wprost wskazuje, że nie ma</w:t>
      </w:r>
      <w:r>
        <w:rPr>
          <w:rFonts w:ascii="Times New Roman" w:hAnsi="Times New Roman" w:cs="Times New Roman"/>
        </w:rPr>
        <w:t xml:space="preserve"> </w:t>
      </w:r>
      <w:r w:rsidRPr="00E553FD">
        <w:rPr>
          <w:rFonts w:ascii="Times New Roman" w:hAnsi="Times New Roman" w:cs="Times New Roman"/>
        </w:rPr>
        <w:t>zastosowania do zasad odnoszących się do zagadnień objętych przepisami Unii w dziedzinie</w:t>
      </w:r>
      <w:r>
        <w:rPr>
          <w:rFonts w:ascii="Times New Roman" w:hAnsi="Times New Roman" w:cs="Times New Roman"/>
        </w:rPr>
        <w:t xml:space="preserve"> </w:t>
      </w:r>
      <w:r w:rsidRPr="00E553FD">
        <w:rPr>
          <w:rFonts w:ascii="Times New Roman" w:hAnsi="Times New Roman" w:cs="Times New Roman"/>
        </w:rPr>
        <w:t>usług telekomunikacyjnych. Taki charakter mają przepisy rozdziału 4a dotyczące</w:t>
      </w:r>
      <w:r>
        <w:rPr>
          <w:rFonts w:ascii="Times New Roman" w:hAnsi="Times New Roman" w:cs="Times New Roman"/>
        </w:rPr>
        <w:t xml:space="preserve"> </w:t>
      </w:r>
      <w:r w:rsidRPr="00E553FD">
        <w:rPr>
          <w:rFonts w:ascii="Times New Roman" w:hAnsi="Times New Roman" w:cs="Times New Roman"/>
        </w:rPr>
        <w:t>telekomunikacji, które stanowią implementację art. 40 i 41 Europejskiego Kodeksu Łączności</w:t>
      </w:r>
      <w:r>
        <w:rPr>
          <w:rFonts w:ascii="Times New Roman" w:hAnsi="Times New Roman" w:cs="Times New Roman"/>
        </w:rPr>
        <w:t xml:space="preserve"> </w:t>
      </w:r>
      <w:r w:rsidRPr="00E553FD">
        <w:rPr>
          <w:rFonts w:ascii="Times New Roman" w:hAnsi="Times New Roman" w:cs="Times New Roman"/>
        </w:rPr>
        <w:t>Elektronicznej</w:t>
      </w:r>
      <w:r w:rsidR="0034702A">
        <w:rPr>
          <w:rStyle w:val="Odwoanieprzypisudolnego"/>
          <w:rFonts w:ascii="Times New Roman" w:hAnsi="Times New Roman"/>
        </w:rPr>
        <w:footnoteReference w:id="78"/>
      </w:r>
      <w:r w:rsidRPr="00E553FD">
        <w:rPr>
          <w:rFonts w:ascii="Times New Roman" w:hAnsi="Times New Roman" w:cs="Times New Roman"/>
        </w:rPr>
        <w:t>. Projektowane przepisy art. 66a i art. 66b ustawy o krajowym systemie</w:t>
      </w:r>
      <w:r>
        <w:rPr>
          <w:rFonts w:ascii="Times New Roman" w:hAnsi="Times New Roman" w:cs="Times New Roman"/>
        </w:rPr>
        <w:t xml:space="preserve"> </w:t>
      </w:r>
      <w:r w:rsidRPr="00E553FD">
        <w:rPr>
          <w:rFonts w:ascii="Times New Roman" w:hAnsi="Times New Roman" w:cs="Times New Roman"/>
        </w:rPr>
        <w:t>cyberbezpieczeństwa mają na celu wdrożenie postanowień Unijnego zestawu narzędzi</w:t>
      </w:r>
      <w:r>
        <w:rPr>
          <w:rFonts w:ascii="Times New Roman" w:hAnsi="Times New Roman" w:cs="Times New Roman"/>
        </w:rPr>
        <w:t xml:space="preserve"> </w:t>
      </w:r>
      <w:r w:rsidRPr="00E553FD">
        <w:rPr>
          <w:rFonts w:ascii="Times New Roman" w:hAnsi="Times New Roman" w:cs="Times New Roman"/>
        </w:rPr>
        <w:t>cyberbezpieczeństwa sieci 5G tzw. Toolbox 5G</w:t>
      </w:r>
      <w:r w:rsidR="0034702A">
        <w:rPr>
          <w:rStyle w:val="Odwoanieprzypisudolnego"/>
          <w:rFonts w:ascii="Times New Roman" w:hAnsi="Times New Roman"/>
        </w:rPr>
        <w:footnoteReference w:id="79"/>
      </w:r>
      <w:r w:rsidRPr="00E553FD">
        <w:rPr>
          <w:rFonts w:ascii="Times New Roman" w:hAnsi="Times New Roman" w:cs="Times New Roman"/>
        </w:rPr>
        <w:t>. W swoim komunikacie z dnia 15 czerwca</w:t>
      </w:r>
      <w:r>
        <w:rPr>
          <w:rFonts w:ascii="Times New Roman" w:hAnsi="Times New Roman" w:cs="Times New Roman"/>
        </w:rPr>
        <w:t xml:space="preserve"> </w:t>
      </w:r>
      <w:r w:rsidRPr="00E553FD">
        <w:rPr>
          <w:rFonts w:ascii="Times New Roman" w:hAnsi="Times New Roman" w:cs="Times New Roman"/>
        </w:rPr>
        <w:t>2023 r. C</w:t>
      </w:r>
      <w:r>
        <w:rPr>
          <w:rFonts w:ascii="Times New Roman" w:hAnsi="Times New Roman" w:cs="Times New Roman"/>
        </w:rPr>
        <w:t xml:space="preserve"> </w:t>
      </w:r>
      <w:r w:rsidRPr="00E553FD">
        <w:rPr>
          <w:rFonts w:ascii="Times New Roman" w:hAnsi="Times New Roman" w:cs="Times New Roman"/>
        </w:rPr>
        <w:t>(2023) 4049</w:t>
      </w:r>
      <w:r w:rsidR="00F54466">
        <w:rPr>
          <w:rStyle w:val="Odwoanieprzypisudolnego"/>
          <w:rFonts w:ascii="Times New Roman" w:hAnsi="Times New Roman"/>
        </w:rPr>
        <w:footnoteReference w:id="80"/>
      </w:r>
      <w:r w:rsidRPr="00E553FD">
        <w:rPr>
          <w:rFonts w:ascii="Times New Roman" w:hAnsi="Times New Roman" w:cs="Times New Roman"/>
        </w:rPr>
        <w:t xml:space="preserve"> dotyczącym wdrożenia Toolbox 5G Komisja Europejska wskazała, że</w:t>
      </w:r>
      <w:r>
        <w:rPr>
          <w:rFonts w:ascii="Times New Roman" w:hAnsi="Times New Roman" w:cs="Times New Roman"/>
        </w:rPr>
        <w:t xml:space="preserve"> </w:t>
      </w:r>
      <w:r w:rsidRPr="00E553FD">
        <w:rPr>
          <w:rFonts w:ascii="Times New Roman" w:hAnsi="Times New Roman" w:cs="Times New Roman"/>
        </w:rPr>
        <w:t>wdrożenie Toolbox 5G mieści się w ramach wdrożenia art. 40 dyrektywy Parlamentu</w:t>
      </w:r>
      <w:r>
        <w:rPr>
          <w:rFonts w:ascii="Times New Roman" w:hAnsi="Times New Roman" w:cs="Times New Roman"/>
        </w:rPr>
        <w:t xml:space="preserve"> </w:t>
      </w:r>
      <w:r w:rsidRPr="00E553FD">
        <w:rPr>
          <w:rFonts w:ascii="Times New Roman" w:hAnsi="Times New Roman" w:cs="Times New Roman"/>
        </w:rPr>
        <w:t>Europejskiego i Rady (UE) 2018/1972 z dnia 11 grudnia 2018 r. ustanawiającej Europejski</w:t>
      </w:r>
      <w:r>
        <w:rPr>
          <w:rFonts w:ascii="Times New Roman" w:hAnsi="Times New Roman" w:cs="Times New Roman"/>
        </w:rPr>
        <w:t xml:space="preserve"> </w:t>
      </w:r>
      <w:r w:rsidRPr="00E553FD">
        <w:rPr>
          <w:rFonts w:ascii="Times New Roman" w:hAnsi="Times New Roman" w:cs="Times New Roman"/>
        </w:rPr>
        <w:t>kodeks łączności elektronicznej. Zgodnie ze wspomnianym przepisem art. 40 EKŁE państwa</w:t>
      </w:r>
      <w:r>
        <w:rPr>
          <w:rFonts w:ascii="Times New Roman" w:hAnsi="Times New Roman" w:cs="Times New Roman"/>
        </w:rPr>
        <w:t xml:space="preserve"> </w:t>
      </w:r>
      <w:r w:rsidRPr="00E553FD">
        <w:rPr>
          <w:rFonts w:ascii="Times New Roman" w:hAnsi="Times New Roman" w:cs="Times New Roman"/>
        </w:rPr>
        <w:t>członkowskie zapewniają, aby dostawcy udostępniający publiczne sieci łączności</w:t>
      </w:r>
      <w:r>
        <w:rPr>
          <w:rFonts w:ascii="Times New Roman" w:hAnsi="Times New Roman" w:cs="Times New Roman"/>
        </w:rPr>
        <w:t xml:space="preserve"> </w:t>
      </w:r>
      <w:r w:rsidRPr="00E553FD">
        <w:rPr>
          <w:rFonts w:ascii="Times New Roman" w:hAnsi="Times New Roman" w:cs="Times New Roman"/>
        </w:rPr>
        <w:t>elektronicznej lub świadczące publicznie dostępne usługi łączności elektronicznej</w:t>
      </w:r>
      <w:r>
        <w:rPr>
          <w:rFonts w:ascii="Times New Roman" w:hAnsi="Times New Roman" w:cs="Times New Roman"/>
        </w:rPr>
        <w:t xml:space="preserve"> </w:t>
      </w:r>
      <w:r w:rsidRPr="00E553FD">
        <w:rPr>
          <w:rFonts w:ascii="Times New Roman" w:hAnsi="Times New Roman" w:cs="Times New Roman"/>
        </w:rPr>
        <w:t>podejmowali właściwe i proporcjonalne środki techniczne i organizacyjne, które to środki</w:t>
      </w:r>
      <w:r>
        <w:rPr>
          <w:rFonts w:ascii="Times New Roman" w:hAnsi="Times New Roman" w:cs="Times New Roman"/>
        </w:rPr>
        <w:t xml:space="preserve"> </w:t>
      </w:r>
      <w:r w:rsidRPr="00E553FD">
        <w:rPr>
          <w:rFonts w:ascii="Times New Roman" w:hAnsi="Times New Roman" w:cs="Times New Roman"/>
        </w:rPr>
        <w:t>mają zapewniać poziom bezpieczeństwa proporcjonalny do istniejącego ryzyka. Wycofanie</w:t>
      </w:r>
      <w:r>
        <w:rPr>
          <w:rFonts w:ascii="Times New Roman" w:hAnsi="Times New Roman" w:cs="Times New Roman"/>
        </w:rPr>
        <w:t xml:space="preserve"> </w:t>
      </w:r>
      <w:r w:rsidRPr="00E553FD">
        <w:rPr>
          <w:rFonts w:ascii="Times New Roman" w:hAnsi="Times New Roman" w:cs="Times New Roman"/>
        </w:rPr>
        <w:t>sprzętu lub oprogramowania od dostawcy wysokiego ryzyka jest środkiem mitygującym</w:t>
      </w:r>
      <w:r>
        <w:rPr>
          <w:rFonts w:ascii="Times New Roman" w:hAnsi="Times New Roman" w:cs="Times New Roman"/>
        </w:rPr>
        <w:t xml:space="preserve"> </w:t>
      </w:r>
      <w:r w:rsidRPr="00E553FD">
        <w:rPr>
          <w:rFonts w:ascii="Times New Roman" w:hAnsi="Times New Roman" w:cs="Times New Roman"/>
        </w:rPr>
        <w:t>ryzyko związane z wykorzystywaniem tego sprzętu lub oprogramowania przez</w:t>
      </w:r>
      <w:r>
        <w:rPr>
          <w:rFonts w:ascii="Times New Roman" w:hAnsi="Times New Roman" w:cs="Times New Roman"/>
        </w:rPr>
        <w:t xml:space="preserve"> </w:t>
      </w:r>
      <w:r w:rsidRPr="00E553FD">
        <w:rPr>
          <w:rFonts w:ascii="Times New Roman" w:hAnsi="Times New Roman" w:cs="Times New Roman"/>
        </w:rPr>
        <w:t>przedsiębiorców telekomunikacyjnych. W konsekwencji należy uznać, że proponowane art.</w:t>
      </w:r>
      <w:r>
        <w:rPr>
          <w:rFonts w:ascii="Times New Roman" w:hAnsi="Times New Roman" w:cs="Times New Roman"/>
        </w:rPr>
        <w:t xml:space="preserve"> </w:t>
      </w:r>
      <w:r w:rsidRPr="00E553FD">
        <w:rPr>
          <w:rFonts w:ascii="Times New Roman" w:hAnsi="Times New Roman" w:cs="Times New Roman"/>
        </w:rPr>
        <w:t>66a i art. 66b wdrażają zarówno Toolbox 5G jak i art. 40 dyrektywy 2018/1972. Dzięki temu</w:t>
      </w:r>
      <w:r>
        <w:rPr>
          <w:rFonts w:ascii="Times New Roman" w:hAnsi="Times New Roman" w:cs="Times New Roman"/>
        </w:rPr>
        <w:t xml:space="preserve"> </w:t>
      </w:r>
      <w:r w:rsidRPr="00E553FD">
        <w:rPr>
          <w:rFonts w:ascii="Times New Roman" w:hAnsi="Times New Roman" w:cs="Times New Roman"/>
        </w:rPr>
        <w:t>korzystają ze zwolnienia, o którym mowa w art. 1 ust. 3 dyrektywy 2015/1535.</w:t>
      </w:r>
      <w:r>
        <w:rPr>
          <w:rFonts w:ascii="Times New Roman" w:hAnsi="Times New Roman" w:cs="Times New Roman"/>
        </w:rPr>
        <w:t xml:space="preserve"> </w:t>
      </w:r>
    </w:p>
    <w:p w14:paraId="70D3F7C0" w14:textId="49C738B7" w:rsidR="00F6749E" w:rsidRPr="007509B5" w:rsidRDefault="00E553FD" w:rsidP="00752578">
      <w:pPr>
        <w:pStyle w:val="NIEARTTEKSTtekstnieartykuowanynppodstprawnarozplubpreambua"/>
        <w:spacing w:before="0"/>
        <w:ind w:firstLine="0"/>
        <w:rPr>
          <w:rFonts w:ascii="Times New Roman" w:hAnsi="Times New Roman" w:cs="Times New Roman"/>
        </w:rPr>
      </w:pPr>
      <w:r w:rsidRPr="00E553FD">
        <w:rPr>
          <w:rFonts w:ascii="Times New Roman" w:hAnsi="Times New Roman" w:cs="Times New Roman"/>
        </w:rPr>
        <w:t>Z kolei przepisy rozdziału 11a, tworzące krajowy system certyfikacji cyberbezpieczeństwa,</w:t>
      </w:r>
      <w:r>
        <w:rPr>
          <w:rFonts w:ascii="Times New Roman" w:hAnsi="Times New Roman" w:cs="Times New Roman"/>
        </w:rPr>
        <w:t xml:space="preserve"> </w:t>
      </w:r>
      <w:r w:rsidRPr="00E553FD">
        <w:rPr>
          <w:rFonts w:ascii="Times New Roman" w:hAnsi="Times New Roman" w:cs="Times New Roman"/>
        </w:rPr>
        <w:t>służą wykonaniu rozporządzenia Parlamentu Europejskiego i Rady (UE) 2019/881 z dnia 17</w:t>
      </w:r>
      <w:r>
        <w:rPr>
          <w:rFonts w:ascii="Times New Roman" w:hAnsi="Times New Roman" w:cs="Times New Roman"/>
        </w:rPr>
        <w:t xml:space="preserve"> </w:t>
      </w:r>
      <w:r w:rsidRPr="00E553FD">
        <w:rPr>
          <w:rFonts w:ascii="Times New Roman" w:hAnsi="Times New Roman" w:cs="Times New Roman"/>
        </w:rPr>
        <w:t>kwietnia 2019 r. w sprawie ENISA (Agencji Unii Europejskiej ds. Cyberbezpieczeństwa) oraz</w:t>
      </w:r>
      <w:r>
        <w:rPr>
          <w:rFonts w:ascii="Times New Roman" w:hAnsi="Times New Roman" w:cs="Times New Roman"/>
        </w:rPr>
        <w:t xml:space="preserve"> </w:t>
      </w:r>
      <w:r w:rsidRPr="00E553FD">
        <w:rPr>
          <w:rFonts w:ascii="Times New Roman" w:hAnsi="Times New Roman" w:cs="Times New Roman"/>
        </w:rPr>
        <w:t>certyfikacji cyberbezpieczeństwa w zakresie technologii informacyjno-komunikacyjnych oraz</w:t>
      </w:r>
      <w:r>
        <w:rPr>
          <w:rFonts w:ascii="Times New Roman" w:hAnsi="Times New Roman" w:cs="Times New Roman"/>
        </w:rPr>
        <w:t xml:space="preserve"> </w:t>
      </w:r>
      <w:r w:rsidRPr="00E553FD">
        <w:rPr>
          <w:rFonts w:ascii="Times New Roman" w:hAnsi="Times New Roman" w:cs="Times New Roman"/>
        </w:rPr>
        <w:t>uchylenia rozporządzenia (UE) nr 526/2013 (akt o cyberbezpieczeństwie)</w:t>
      </w:r>
      <w:r w:rsidR="00850EE9">
        <w:rPr>
          <w:rStyle w:val="Odwoanieprzypisudolnego"/>
          <w:rFonts w:ascii="Times New Roman" w:hAnsi="Times New Roman"/>
        </w:rPr>
        <w:footnoteReference w:id="81"/>
      </w:r>
      <w:r w:rsidRPr="00E553FD">
        <w:rPr>
          <w:rFonts w:ascii="Times New Roman" w:hAnsi="Times New Roman" w:cs="Times New Roman"/>
        </w:rPr>
        <w:t>. Przepisy te</w:t>
      </w:r>
      <w:r>
        <w:rPr>
          <w:rFonts w:ascii="Times New Roman" w:hAnsi="Times New Roman" w:cs="Times New Roman"/>
        </w:rPr>
        <w:t xml:space="preserve"> </w:t>
      </w:r>
      <w:r w:rsidRPr="00E553FD">
        <w:rPr>
          <w:rFonts w:ascii="Times New Roman" w:hAnsi="Times New Roman" w:cs="Times New Roman"/>
        </w:rPr>
        <w:t>korzystają ze zwolnienia z obowiązku notyfikacji, o którym mowa w art. 7 ust. 1 lit. a</w:t>
      </w:r>
      <w:r>
        <w:rPr>
          <w:rFonts w:ascii="Times New Roman" w:hAnsi="Times New Roman" w:cs="Times New Roman"/>
        </w:rPr>
        <w:t xml:space="preserve"> </w:t>
      </w:r>
      <w:r w:rsidRPr="00E553FD">
        <w:rPr>
          <w:rFonts w:ascii="Times New Roman" w:hAnsi="Times New Roman" w:cs="Times New Roman"/>
        </w:rPr>
        <w:t>dyrektywy 2015/1535.</w:t>
      </w:r>
    </w:p>
    <w:sectPr w:rsidR="00F6749E" w:rsidRPr="007509B5" w:rsidSect="008E2D5D">
      <w:footerReference w:type="default" r:id="rId9"/>
      <w:footnotePr>
        <w:numRestart w:val="eachSect"/>
      </w:footnotePr>
      <w:pgSz w:w="11906" w:h="16838"/>
      <w:pgMar w:top="720" w:right="720" w:bottom="720" w:left="720"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827B3" w14:textId="77777777" w:rsidR="00BB2494" w:rsidRDefault="00BB2494">
      <w:r>
        <w:separator/>
      </w:r>
    </w:p>
  </w:endnote>
  <w:endnote w:type="continuationSeparator" w:id="0">
    <w:p w14:paraId="12E322EA" w14:textId="77777777" w:rsidR="00BB2494" w:rsidRDefault="00BB2494">
      <w:r>
        <w:continuationSeparator/>
      </w:r>
    </w:p>
  </w:endnote>
  <w:endnote w:type="continuationNotice" w:id="1">
    <w:p w14:paraId="75D04367" w14:textId="77777777" w:rsidR="00BB2494" w:rsidRDefault="00BB24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oto Sans">
    <w:altName w:val="Arial"/>
    <w:charset w:val="00"/>
    <w:family w:val="swiss"/>
    <w:pitch w:val="variable"/>
    <w:sig w:usb0="E00082FF" w:usb1="400078FF" w:usb2="00000021"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523184"/>
      <w:docPartObj>
        <w:docPartGallery w:val="Page Numbers (Bottom of Page)"/>
        <w:docPartUnique/>
      </w:docPartObj>
    </w:sdtPr>
    <w:sdtEndPr/>
    <w:sdtContent>
      <w:p w14:paraId="26EBA394" w14:textId="1BDC6AA4" w:rsidR="00377FC0" w:rsidRDefault="00377FC0">
        <w:pPr>
          <w:pStyle w:val="Stopka"/>
          <w:jc w:val="center"/>
        </w:pPr>
        <w:r>
          <w:fldChar w:fldCharType="begin"/>
        </w:r>
        <w:r>
          <w:instrText>PAGE   \* MERGEFORMAT</w:instrText>
        </w:r>
        <w:r>
          <w:fldChar w:fldCharType="separate"/>
        </w:r>
        <w:r w:rsidR="00FD68F8">
          <w:rPr>
            <w:noProof/>
          </w:rPr>
          <w:t>18</w:t>
        </w:r>
        <w:r>
          <w:fldChar w:fldCharType="end"/>
        </w:r>
      </w:p>
    </w:sdtContent>
  </w:sdt>
  <w:p w14:paraId="4B338F4C" w14:textId="77777777" w:rsidR="00ED297B" w:rsidRDefault="00ED297B" w:rsidP="00527C0C">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206B46" w14:textId="77777777" w:rsidR="00BB2494" w:rsidRDefault="00BB2494">
      <w:r>
        <w:separator/>
      </w:r>
    </w:p>
  </w:footnote>
  <w:footnote w:type="continuationSeparator" w:id="0">
    <w:p w14:paraId="2AFBF599" w14:textId="77777777" w:rsidR="00BB2494" w:rsidRDefault="00BB2494">
      <w:r>
        <w:continuationSeparator/>
      </w:r>
    </w:p>
  </w:footnote>
  <w:footnote w:type="continuationNotice" w:id="1">
    <w:p w14:paraId="53B13C0C" w14:textId="77777777" w:rsidR="00BB2494" w:rsidRDefault="00BB2494">
      <w:pPr>
        <w:spacing w:line="240" w:lineRule="auto"/>
      </w:pPr>
    </w:p>
  </w:footnote>
  <w:footnote w:id="2">
    <w:p w14:paraId="1A281C6C" w14:textId="7AD7A6C8" w:rsidR="00ED297B" w:rsidRPr="00BD1A3C" w:rsidRDefault="00ED297B" w:rsidP="00D830D6">
      <w:pPr>
        <w:pStyle w:val="Tekstprzypisudolnego"/>
        <w:spacing w:after="60" w:line="240" w:lineRule="auto"/>
        <w:jc w:val="both"/>
        <w:rPr>
          <w:rFonts w:ascii="Times New Roman" w:hAnsi="Times New Roman"/>
          <w:sz w:val="22"/>
          <w:szCs w:val="22"/>
          <w:lang w:val="en-GB"/>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Dyrektywa Parlamentu Europejskiego i Rady (UE) 2016/1148 z dnia 6 lipca 2016 r.</w:t>
      </w:r>
      <w:r>
        <w:rPr>
          <w:rFonts w:ascii="Times New Roman" w:hAnsi="Times New Roman"/>
          <w:sz w:val="22"/>
          <w:szCs w:val="22"/>
        </w:rPr>
        <w:t xml:space="preserve"> w </w:t>
      </w:r>
      <w:r w:rsidRPr="00BD1A3C">
        <w:rPr>
          <w:rFonts w:ascii="Times New Roman" w:hAnsi="Times New Roman"/>
          <w:sz w:val="22"/>
          <w:szCs w:val="22"/>
        </w:rPr>
        <w:t xml:space="preserve">sprawie środków na rzecz wysokiego wspólnego poziomu bezpieczeństwa sieci i systemów informatycznych na terytorium Unii (Dz. Urz. UE. </w:t>
      </w:r>
      <w:r w:rsidRPr="00BD1A3C">
        <w:rPr>
          <w:rFonts w:ascii="Times New Roman" w:hAnsi="Times New Roman"/>
          <w:sz w:val="22"/>
          <w:szCs w:val="22"/>
          <w:lang w:val="en-GB"/>
        </w:rPr>
        <w:t xml:space="preserve">L </w:t>
      </w:r>
      <w:r w:rsidR="0061308E">
        <w:rPr>
          <w:rFonts w:ascii="Times New Roman" w:hAnsi="Times New Roman"/>
          <w:sz w:val="22"/>
          <w:szCs w:val="22"/>
          <w:lang w:val="en-GB"/>
        </w:rPr>
        <w:t xml:space="preserve"> z 19.07.</w:t>
      </w:r>
      <w:r w:rsidRPr="00BD1A3C">
        <w:rPr>
          <w:rFonts w:ascii="Times New Roman" w:hAnsi="Times New Roman"/>
          <w:sz w:val="22"/>
          <w:szCs w:val="22"/>
          <w:lang w:val="en-GB"/>
        </w:rPr>
        <w:t>2016 , str. 1).</w:t>
      </w:r>
    </w:p>
  </w:footnote>
  <w:footnote w:id="3">
    <w:p w14:paraId="0FD70918" w14:textId="76499FCA" w:rsidR="00ED297B" w:rsidRPr="00BD1A3C" w:rsidRDefault="00ED297B" w:rsidP="00D830D6">
      <w:pPr>
        <w:pStyle w:val="Tekstprzypisudolnego"/>
        <w:spacing w:after="60" w:line="240" w:lineRule="auto"/>
        <w:rPr>
          <w:rFonts w:ascii="Times New Roman" w:hAnsi="Times New Roman"/>
          <w:sz w:val="22"/>
          <w:szCs w:val="22"/>
          <w:lang w:val="en-GB"/>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lang w:val="en-GB"/>
        </w:rPr>
        <w:t>)</w:t>
      </w:r>
      <w:r w:rsidRPr="00BD1A3C">
        <w:rPr>
          <w:rFonts w:ascii="Times New Roman" w:hAnsi="Times New Roman"/>
          <w:sz w:val="22"/>
          <w:szCs w:val="22"/>
          <w:lang w:val="en-GB"/>
        </w:rPr>
        <w:t xml:space="preserve"> </w:t>
      </w:r>
      <w:r w:rsidRPr="00377FC0">
        <w:rPr>
          <w:rFonts w:ascii="Times New Roman" w:hAnsi="Times New Roman"/>
          <w:sz w:val="22"/>
          <w:szCs w:val="22"/>
          <w:lang w:val="en-GB"/>
        </w:rPr>
        <w:t>https://www.knf.gov.pl/dla_rynku/CSIRT_KNF</w:t>
      </w:r>
      <w:r w:rsidRPr="00BD1A3C">
        <w:rPr>
          <w:rStyle w:val="Hipercze"/>
          <w:rFonts w:ascii="Times New Roman" w:hAnsi="Times New Roman"/>
          <w:color w:val="auto"/>
          <w:sz w:val="22"/>
          <w:szCs w:val="22"/>
          <w:u w:val="none"/>
          <w:lang w:val="en-GB"/>
        </w:rPr>
        <w:t>.</w:t>
      </w:r>
      <w:r w:rsidRPr="00BD1A3C">
        <w:rPr>
          <w:rFonts w:ascii="Times New Roman" w:hAnsi="Times New Roman"/>
          <w:sz w:val="22"/>
          <w:szCs w:val="22"/>
          <w:lang w:val="en-GB"/>
        </w:rPr>
        <w:t xml:space="preserve"> </w:t>
      </w:r>
    </w:p>
  </w:footnote>
  <w:footnote w:id="4">
    <w:p w14:paraId="4784977D" w14:textId="77777777" w:rsidR="00ED297B" w:rsidRPr="00BD1A3C" w:rsidRDefault="00ED297B" w:rsidP="00D830D6">
      <w:pPr>
        <w:spacing w:after="60" w:line="240" w:lineRule="auto"/>
        <w:rPr>
          <w:rFonts w:cs="Times New Roman"/>
          <w:sz w:val="22"/>
          <w:szCs w:val="22"/>
        </w:rPr>
      </w:pPr>
      <w:r w:rsidRPr="00603DA8">
        <w:rPr>
          <w:rFonts w:cs="Times New Roman"/>
          <w:sz w:val="22"/>
          <w:szCs w:val="22"/>
          <w:vertAlign w:val="superscript"/>
        </w:rPr>
        <w:footnoteRef/>
      </w:r>
      <w:r w:rsidRPr="00603DA8">
        <w:rPr>
          <w:rFonts w:cs="Times New Roman"/>
          <w:sz w:val="22"/>
          <w:szCs w:val="22"/>
          <w:vertAlign w:val="superscript"/>
        </w:rPr>
        <w:t>)</w:t>
      </w:r>
      <w:r w:rsidRPr="00BD1A3C">
        <w:rPr>
          <w:rFonts w:cs="Times New Roman"/>
          <w:sz w:val="22"/>
          <w:szCs w:val="22"/>
        </w:rPr>
        <w:t xml:space="preserve"> Najwyższa Izba Kontroli, </w:t>
      </w:r>
      <w:r w:rsidRPr="00BD1A3C">
        <w:rPr>
          <w:rFonts w:cs="Times New Roman"/>
          <w:i/>
          <w:iCs/>
          <w:sz w:val="22"/>
          <w:szCs w:val="22"/>
        </w:rPr>
        <w:t>Informacja o wynikach kontroli, Zarządzanie bezpieczeństwem informacji</w:t>
      </w:r>
      <w:r>
        <w:rPr>
          <w:rFonts w:cs="Times New Roman"/>
          <w:i/>
          <w:iCs/>
          <w:sz w:val="22"/>
          <w:szCs w:val="22"/>
        </w:rPr>
        <w:t xml:space="preserve"> w </w:t>
      </w:r>
      <w:r w:rsidRPr="00BD1A3C">
        <w:rPr>
          <w:rFonts w:cs="Times New Roman"/>
          <w:i/>
          <w:iCs/>
          <w:sz w:val="22"/>
          <w:szCs w:val="22"/>
        </w:rPr>
        <w:t>jednostkach samorządu terytorialnego</w:t>
      </w:r>
      <w:r w:rsidRPr="00BD1A3C">
        <w:rPr>
          <w:rFonts w:cs="Times New Roman"/>
          <w:sz w:val="22"/>
          <w:szCs w:val="22"/>
        </w:rPr>
        <w:t>, Warszawa 2019 r., s. 7.</w:t>
      </w:r>
    </w:p>
  </w:footnote>
  <w:footnote w:id="5">
    <w:p w14:paraId="44B471F9" w14:textId="027B2216"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w:t>
      </w:r>
      <w:r w:rsidRPr="00377FC0">
        <w:rPr>
          <w:rFonts w:ascii="Times New Roman" w:hAnsi="Times New Roman"/>
          <w:sz w:val="22"/>
          <w:szCs w:val="22"/>
        </w:rPr>
        <w:t>https://www.ee-isac.eu/</w:t>
      </w:r>
      <w:r w:rsidRPr="00BD1A3C">
        <w:rPr>
          <w:rFonts w:ascii="Times New Roman" w:hAnsi="Times New Roman"/>
          <w:sz w:val="22"/>
          <w:szCs w:val="22"/>
        </w:rPr>
        <w:t xml:space="preserve">. </w:t>
      </w:r>
    </w:p>
  </w:footnote>
  <w:footnote w:id="6">
    <w:p w14:paraId="598535F2" w14:textId="57E659CF"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w:t>
      </w:r>
      <w:r w:rsidRPr="00377FC0">
        <w:rPr>
          <w:rFonts w:ascii="Times New Roman" w:hAnsi="Times New Roman"/>
          <w:sz w:val="22"/>
          <w:szCs w:val="22"/>
        </w:rPr>
        <w:t>https://www.fsisac.com/</w:t>
      </w:r>
      <w:r w:rsidRPr="00BD1A3C">
        <w:rPr>
          <w:rFonts w:ascii="Times New Roman" w:hAnsi="Times New Roman"/>
          <w:sz w:val="22"/>
          <w:szCs w:val="22"/>
        </w:rPr>
        <w:t xml:space="preserve">. </w:t>
      </w:r>
    </w:p>
  </w:footnote>
  <w:footnote w:id="7">
    <w:p w14:paraId="6673729B" w14:textId="244DF513" w:rsidR="00ED297B" w:rsidRPr="00BD1A3C" w:rsidRDefault="00ED297B" w:rsidP="00D830D6">
      <w:pPr>
        <w:pStyle w:val="Tekstprzypisudolnego"/>
        <w:spacing w:after="60" w:line="240" w:lineRule="auto"/>
        <w:jc w:val="both"/>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Agencja Unii Europejskiej do spraw Cyberbezpieczeństwa, </w:t>
      </w:r>
      <w:r w:rsidRPr="00BD1A3C">
        <w:rPr>
          <w:rFonts w:ascii="Times New Roman" w:hAnsi="Times New Roman"/>
          <w:i/>
          <w:iCs/>
          <w:sz w:val="22"/>
          <w:szCs w:val="22"/>
        </w:rPr>
        <w:t>Information Sharing and Analysis Center (ISACs) – Cooperative models</w:t>
      </w:r>
      <w:r w:rsidRPr="00BD1A3C">
        <w:rPr>
          <w:rFonts w:ascii="Times New Roman" w:hAnsi="Times New Roman"/>
          <w:sz w:val="22"/>
          <w:szCs w:val="22"/>
        </w:rPr>
        <w:t xml:space="preserve">, </w:t>
      </w:r>
      <w:r w:rsidRPr="00377FC0">
        <w:rPr>
          <w:rFonts w:ascii="Times New Roman" w:hAnsi="Times New Roman"/>
          <w:sz w:val="22"/>
          <w:szCs w:val="22"/>
        </w:rPr>
        <w:t>https://www.enisa.europa.eu/publications/information-sharing-and-analysis-center-isacs-cooperative-models</w:t>
      </w:r>
      <w:r w:rsidRPr="00BD1A3C">
        <w:rPr>
          <w:rFonts w:ascii="Times New Roman" w:hAnsi="Times New Roman"/>
          <w:sz w:val="22"/>
          <w:szCs w:val="22"/>
        </w:rPr>
        <w:t>, str. 7.</w:t>
      </w:r>
    </w:p>
  </w:footnote>
  <w:footnote w:id="8">
    <w:p w14:paraId="7600A183"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Dz. Urz. UE L 151 z 07.06.2019, str. 15.</w:t>
      </w:r>
    </w:p>
  </w:footnote>
  <w:footnote w:id="9">
    <w:p w14:paraId="11410C70" w14:textId="2991565B" w:rsidR="00ED297B" w:rsidRPr="00BD1A3C" w:rsidRDefault="00ED297B" w:rsidP="00D830D6">
      <w:pPr>
        <w:pStyle w:val="Tekstprzypisudolnego"/>
        <w:spacing w:after="60" w:line="240" w:lineRule="auto"/>
        <w:jc w:val="both"/>
        <w:rPr>
          <w:rFonts w:ascii="Times New Roman" w:hAnsi="Times New Roman"/>
          <w:sz w:val="22"/>
          <w:szCs w:val="22"/>
          <w:lang w:val="en-GB"/>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Motyw 29 Rozporządzenia Parlamentu Europejskiego i Rady (UE) 2019/881 z dnia 17 kwietnia 2019 r.</w:t>
      </w:r>
      <w:r>
        <w:rPr>
          <w:rFonts w:ascii="Times New Roman" w:hAnsi="Times New Roman"/>
          <w:sz w:val="22"/>
          <w:szCs w:val="22"/>
        </w:rPr>
        <w:t xml:space="preserve"> w </w:t>
      </w:r>
      <w:r w:rsidRPr="00BD1A3C">
        <w:rPr>
          <w:rFonts w:ascii="Times New Roman" w:hAnsi="Times New Roman"/>
          <w:sz w:val="22"/>
          <w:szCs w:val="22"/>
        </w:rPr>
        <w:t>sprawie ENISA (Agencji Unii Europejskiej ds. Cyberbezpieczeństwa) oraz certyfikacji cyberbezpieczeństwa</w:t>
      </w:r>
      <w:r>
        <w:rPr>
          <w:rFonts w:ascii="Times New Roman" w:hAnsi="Times New Roman"/>
          <w:sz w:val="22"/>
          <w:szCs w:val="22"/>
        </w:rPr>
        <w:t xml:space="preserve"> w </w:t>
      </w:r>
      <w:r w:rsidRPr="00BD1A3C">
        <w:rPr>
          <w:rFonts w:ascii="Times New Roman" w:hAnsi="Times New Roman"/>
          <w:sz w:val="22"/>
          <w:szCs w:val="22"/>
        </w:rPr>
        <w:t xml:space="preserve">zakresie technologii informacyjno-komunikacyjnych oraz uchylenia rozporządzenia (UE) nr 526/2013 (akt o cyberbezpieczeństwie), </w:t>
      </w:r>
      <w:r w:rsidR="00E176E2">
        <w:rPr>
          <w:rFonts w:ascii="Times New Roman" w:hAnsi="Times New Roman"/>
          <w:sz w:val="22"/>
          <w:szCs w:val="22"/>
        </w:rPr>
        <w:t>(</w:t>
      </w:r>
      <w:r w:rsidRPr="00BD1A3C">
        <w:rPr>
          <w:rFonts w:ascii="Times New Roman" w:hAnsi="Times New Roman"/>
          <w:sz w:val="22"/>
          <w:szCs w:val="22"/>
        </w:rPr>
        <w:t xml:space="preserve">Dz. Urz. </w:t>
      </w:r>
      <w:r w:rsidRPr="00BD1A3C">
        <w:rPr>
          <w:rFonts w:ascii="Times New Roman" w:hAnsi="Times New Roman"/>
          <w:sz w:val="22"/>
          <w:szCs w:val="22"/>
          <w:lang w:val="en-GB"/>
        </w:rPr>
        <w:t>UE L 151 z 07.06.2019, str. 15</w:t>
      </w:r>
      <w:r w:rsidR="00E176E2">
        <w:rPr>
          <w:rFonts w:ascii="Times New Roman" w:hAnsi="Times New Roman"/>
          <w:sz w:val="22"/>
          <w:szCs w:val="22"/>
          <w:lang w:val="en-GB"/>
        </w:rPr>
        <w:t>)</w:t>
      </w:r>
      <w:r w:rsidRPr="00BD1A3C">
        <w:rPr>
          <w:rFonts w:ascii="Times New Roman" w:hAnsi="Times New Roman"/>
          <w:sz w:val="22"/>
          <w:szCs w:val="22"/>
          <w:lang w:val="en-GB"/>
        </w:rPr>
        <w:t>.</w:t>
      </w:r>
    </w:p>
  </w:footnote>
  <w:footnote w:id="10">
    <w:p w14:paraId="0786E342" w14:textId="7DBFB585" w:rsidR="00ED297B" w:rsidRPr="00BD1A3C" w:rsidRDefault="00ED297B" w:rsidP="00D830D6">
      <w:pPr>
        <w:pStyle w:val="Tekstprzypisudolnego"/>
        <w:spacing w:after="60" w:line="240" w:lineRule="auto"/>
        <w:rPr>
          <w:rFonts w:ascii="Times New Roman" w:hAnsi="Times New Roman"/>
          <w:sz w:val="22"/>
          <w:szCs w:val="22"/>
          <w:lang w:val="en-GB"/>
        </w:rPr>
      </w:pPr>
      <w:r w:rsidRPr="00BD1A3C">
        <w:rPr>
          <w:rStyle w:val="Odwoanieprzypisudolnego"/>
          <w:rFonts w:ascii="Times New Roman" w:eastAsiaTheme="minorEastAsia" w:hAnsi="Times New Roman"/>
          <w:sz w:val="22"/>
          <w:szCs w:val="22"/>
        </w:rPr>
        <w:footnoteRef/>
      </w:r>
      <w:r w:rsidRPr="00BD1A3C">
        <w:rPr>
          <w:rFonts w:ascii="Times New Roman" w:hAnsi="Times New Roman"/>
          <w:sz w:val="22"/>
          <w:szCs w:val="22"/>
          <w:vertAlign w:val="superscript"/>
          <w:lang w:val="en-GB"/>
        </w:rPr>
        <w:t>)</w:t>
      </w:r>
      <w:r w:rsidRPr="00BD1A3C">
        <w:rPr>
          <w:rFonts w:ascii="Times New Roman" w:hAnsi="Times New Roman"/>
          <w:sz w:val="22"/>
          <w:szCs w:val="22"/>
          <w:lang w:val="en-GB"/>
        </w:rPr>
        <w:t xml:space="preserve"> </w:t>
      </w:r>
      <w:r w:rsidRPr="00BD1A3C">
        <w:rPr>
          <w:rFonts w:ascii="Times New Roman" w:hAnsi="Times New Roman"/>
          <w:i/>
          <w:sz w:val="22"/>
          <w:szCs w:val="22"/>
          <w:lang w:val="en-GB"/>
        </w:rPr>
        <w:t>Cybersecurity of 5G networks. EU Toolbox of risk mitigating measures,</w:t>
      </w:r>
      <w:r w:rsidRPr="00BD1A3C">
        <w:rPr>
          <w:rFonts w:ascii="Times New Roman" w:hAnsi="Times New Roman"/>
          <w:sz w:val="22"/>
          <w:szCs w:val="22"/>
          <w:lang w:val="en-GB"/>
        </w:rPr>
        <w:t xml:space="preserve"> </w:t>
      </w:r>
      <w:r w:rsidRPr="00377FC0">
        <w:rPr>
          <w:rFonts w:ascii="Times New Roman" w:hAnsi="Times New Roman"/>
          <w:sz w:val="22"/>
          <w:szCs w:val="22"/>
          <w:lang w:val="en-GB"/>
        </w:rPr>
        <w:t>https://digital-strategy.ec.europa.eu/en/library/cybersecurity-5g-networks-eu-toolbox-risk-mitigating-measures</w:t>
      </w:r>
      <w:r w:rsidRPr="00BD1A3C">
        <w:rPr>
          <w:rFonts w:ascii="Times New Roman" w:hAnsi="Times New Roman"/>
          <w:sz w:val="22"/>
          <w:szCs w:val="22"/>
          <w:lang w:val="en-GB"/>
        </w:rPr>
        <w:t>.</w:t>
      </w:r>
    </w:p>
  </w:footnote>
  <w:footnote w:id="11">
    <w:p w14:paraId="5CC901CA" w14:textId="40BA8210"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Dyrektywa Parlamentu Europejskiego i Rady (UE) 2018/1972 z dnia 11 grudnia 2018 r. ustanawiająca Europejski kodeks łączności elektronicznej (wersja przekształcona), Dz. Urz. UE.</w:t>
      </w:r>
      <w:r w:rsidR="0050095C">
        <w:rPr>
          <w:rFonts w:ascii="Times New Roman" w:hAnsi="Times New Roman"/>
          <w:sz w:val="22"/>
          <w:szCs w:val="22"/>
        </w:rPr>
        <w:t xml:space="preserve"> </w:t>
      </w:r>
      <w:r w:rsidRPr="00BD1A3C">
        <w:rPr>
          <w:rFonts w:ascii="Times New Roman" w:hAnsi="Times New Roman"/>
          <w:sz w:val="22"/>
          <w:szCs w:val="22"/>
        </w:rPr>
        <w:t>L 2018 Nr 321, str. 36</w:t>
      </w:r>
    </w:p>
  </w:footnote>
  <w:footnote w:id="12">
    <w:p w14:paraId="26567FAC" w14:textId="665DD07F" w:rsidR="00ED297B" w:rsidRPr="00BD1A3C" w:rsidRDefault="00ED297B" w:rsidP="00D830D6">
      <w:pPr>
        <w:pStyle w:val="Tekstprzypisudolnego"/>
        <w:spacing w:after="60" w:line="240" w:lineRule="auto"/>
        <w:rPr>
          <w:rFonts w:ascii="Times New Roman" w:hAnsi="Times New Roman"/>
          <w:sz w:val="22"/>
          <w:szCs w:val="22"/>
          <w:lang w:val="en-GB"/>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lang w:val="en-GB"/>
        </w:rPr>
        <w:t>)</w:t>
      </w:r>
      <w:r w:rsidRPr="00BD1A3C">
        <w:rPr>
          <w:rFonts w:ascii="Times New Roman" w:hAnsi="Times New Roman"/>
          <w:sz w:val="22"/>
          <w:szCs w:val="22"/>
          <w:lang w:val="en-GB"/>
        </w:rPr>
        <w:t xml:space="preserve"> </w:t>
      </w:r>
      <w:r w:rsidRPr="00BD1A3C">
        <w:rPr>
          <w:rFonts w:ascii="Times New Roman" w:hAnsi="Times New Roman"/>
          <w:i/>
          <w:sz w:val="22"/>
          <w:szCs w:val="22"/>
          <w:lang w:val="en-GB"/>
        </w:rPr>
        <w:t>Synergies in Cybersecurity Incident Reporting</w:t>
      </w:r>
      <w:r w:rsidRPr="00BD1A3C">
        <w:rPr>
          <w:rFonts w:ascii="Times New Roman" w:hAnsi="Times New Roman"/>
          <w:sz w:val="22"/>
          <w:szCs w:val="22"/>
          <w:lang w:val="en-GB"/>
        </w:rPr>
        <w:t xml:space="preserve">, NIS Cooperation Group Publication 04/20 </w:t>
      </w:r>
      <w:r w:rsidRPr="00377FC0">
        <w:rPr>
          <w:rFonts w:ascii="Times New Roman" w:hAnsi="Times New Roman"/>
          <w:sz w:val="22"/>
          <w:szCs w:val="22"/>
          <w:lang w:val="en-GB"/>
        </w:rPr>
        <w:t>https://ec.europa.eu/newsroom/dae/document.cfm?doc_id=72147</w:t>
      </w:r>
      <w:r w:rsidRPr="00BD1A3C">
        <w:rPr>
          <w:rFonts w:ascii="Times New Roman" w:hAnsi="Times New Roman"/>
          <w:sz w:val="22"/>
          <w:szCs w:val="22"/>
          <w:lang w:val="en-GB"/>
        </w:rPr>
        <w:t xml:space="preserve"> </w:t>
      </w:r>
    </w:p>
  </w:footnote>
  <w:footnote w:id="13">
    <w:p w14:paraId="5F6CA26E"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Dz. U. 2021 r. poz. 1933</w:t>
      </w:r>
      <w:r>
        <w:rPr>
          <w:rFonts w:ascii="Times New Roman" w:hAnsi="Times New Roman"/>
          <w:sz w:val="22"/>
          <w:szCs w:val="22"/>
        </w:rPr>
        <w:t xml:space="preserve"> z późn. zm</w:t>
      </w:r>
      <w:r w:rsidRPr="00BD1A3C">
        <w:rPr>
          <w:rFonts w:ascii="Times New Roman" w:hAnsi="Times New Roman"/>
          <w:sz w:val="22"/>
          <w:szCs w:val="22"/>
        </w:rPr>
        <w:t>.</w:t>
      </w:r>
    </w:p>
  </w:footnote>
  <w:footnote w:id="14">
    <w:p w14:paraId="65A03199" w14:textId="7A5BA9FB"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Dz. Urz. UE L 218 z 13.08.2008, str. 30</w:t>
      </w:r>
      <w:r w:rsidR="007236C7">
        <w:rPr>
          <w:rFonts w:ascii="Times New Roman" w:hAnsi="Times New Roman"/>
          <w:sz w:val="22"/>
          <w:szCs w:val="22"/>
        </w:rPr>
        <w:t xml:space="preserve"> oraz Dz. Urz. UE L 169 z 25.06.2019, str. 1</w:t>
      </w:r>
      <w:r w:rsidRPr="00BD1A3C">
        <w:rPr>
          <w:rFonts w:ascii="Times New Roman" w:hAnsi="Times New Roman"/>
          <w:sz w:val="22"/>
          <w:szCs w:val="22"/>
        </w:rPr>
        <w:t>..</w:t>
      </w:r>
    </w:p>
  </w:footnote>
  <w:footnote w:id="15">
    <w:p w14:paraId="4D9B9A0A" w14:textId="77777777" w:rsidR="00ED297B" w:rsidRPr="00BD1A3C" w:rsidRDefault="00ED297B" w:rsidP="00D830D6">
      <w:pPr>
        <w:pStyle w:val="ODNONIKtreodnonika"/>
        <w:spacing w:after="60"/>
        <w:rPr>
          <w:rFonts w:cs="Times New Roman"/>
          <w:sz w:val="22"/>
          <w:szCs w:val="22"/>
        </w:rPr>
      </w:pPr>
      <w:r w:rsidRPr="00BD1A3C">
        <w:rPr>
          <w:rStyle w:val="Odwoanieprzypisudolnego"/>
          <w:sz w:val="22"/>
          <w:szCs w:val="22"/>
        </w:rPr>
        <w:footnoteRef/>
      </w:r>
      <w:r w:rsidRPr="00BD1A3C">
        <w:rPr>
          <w:rStyle w:val="IGindeksgrny"/>
          <w:rFonts w:cs="Times New Roman"/>
          <w:sz w:val="22"/>
          <w:szCs w:val="22"/>
        </w:rPr>
        <w:t>)</w:t>
      </w:r>
      <w:r w:rsidRPr="00BD1A3C">
        <w:rPr>
          <w:rFonts w:cs="Times New Roman"/>
          <w:sz w:val="22"/>
          <w:szCs w:val="22"/>
        </w:rPr>
        <w:t xml:space="preserve"> Ustawa z dnia 9 listopada 2018 r. o zmianie niektórych ustaw</w:t>
      </w:r>
      <w:r>
        <w:rPr>
          <w:rFonts w:cs="Times New Roman"/>
          <w:sz w:val="22"/>
          <w:szCs w:val="22"/>
        </w:rPr>
        <w:t xml:space="preserve"> w </w:t>
      </w:r>
      <w:r w:rsidRPr="00BD1A3C">
        <w:rPr>
          <w:rFonts w:cs="Times New Roman"/>
          <w:sz w:val="22"/>
          <w:szCs w:val="22"/>
        </w:rPr>
        <w:t>związku ze wzmocnieniem nadzoru nad rynkiem finansowym oraz ochrony inwestorów na tym rynku (Dz. U. poz. 2243 oraz z 2019 r. poz. 875 i 2217).</w:t>
      </w:r>
    </w:p>
  </w:footnote>
  <w:footnote w:id="16">
    <w:p w14:paraId="65715B34"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G. Szpor, A. Gryszczyńska, K. Czaplicki (red.), Ustawa o krajowym systemie cyberbezpieczeństwa: komentarz, Warszawa 2019., str. 113.</w:t>
      </w:r>
    </w:p>
  </w:footnote>
  <w:footnote w:id="17">
    <w:p w14:paraId="48C4D778"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Dz. U. 202</w:t>
      </w:r>
      <w:r>
        <w:rPr>
          <w:rFonts w:ascii="Times New Roman" w:hAnsi="Times New Roman"/>
          <w:sz w:val="22"/>
          <w:szCs w:val="22"/>
        </w:rPr>
        <w:t>2</w:t>
      </w:r>
      <w:r w:rsidRPr="00BD1A3C">
        <w:rPr>
          <w:rFonts w:ascii="Times New Roman" w:hAnsi="Times New Roman"/>
          <w:sz w:val="22"/>
          <w:szCs w:val="22"/>
        </w:rPr>
        <w:t xml:space="preserve"> r. poz. </w:t>
      </w:r>
      <w:r>
        <w:rPr>
          <w:rFonts w:ascii="Times New Roman" w:hAnsi="Times New Roman"/>
          <w:sz w:val="22"/>
          <w:szCs w:val="22"/>
        </w:rPr>
        <w:t>671</w:t>
      </w:r>
      <w:r w:rsidRPr="00BD1A3C">
        <w:rPr>
          <w:rFonts w:ascii="Times New Roman" w:hAnsi="Times New Roman"/>
          <w:sz w:val="22"/>
          <w:szCs w:val="22"/>
        </w:rPr>
        <w:t>.</w:t>
      </w:r>
    </w:p>
  </w:footnote>
  <w:footnote w:id="18">
    <w:p w14:paraId="428B00EB"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Art. 12d </w:t>
      </w:r>
      <w:r>
        <w:rPr>
          <w:rFonts w:ascii="Times New Roman" w:hAnsi="Times New Roman"/>
          <w:sz w:val="22"/>
          <w:szCs w:val="22"/>
        </w:rPr>
        <w:t>u</w:t>
      </w:r>
      <w:r w:rsidRPr="00BD1A3C">
        <w:rPr>
          <w:rFonts w:ascii="Times New Roman" w:hAnsi="Times New Roman"/>
          <w:sz w:val="22"/>
          <w:szCs w:val="22"/>
        </w:rPr>
        <w:t xml:space="preserve">stawy z dnia 6 sierpnia 2010 r. o dowodach osobistych </w:t>
      </w:r>
      <w:r>
        <w:rPr>
          <w:rFonts w:ascii="Times New Roman" w:hAnsi="Times New Roman"/>
          <w:sz w:val="22"/>
          <w:szCs w:val="22"/>
        </w:rPr>
        <w:t>(</w:t>
      </w:r>
      <w:r w:rsidRPr="00BD1A3C">
        <w:rPr>
          <w:rFonts w:ascii="Times New Roman" w:hAnsi="Times New Roman"/>
          <w:sz w:val="22"/>
          <w:szCs w:val="22"/>
        </w:rPr>
        <w:t>Dz. U. 202</w:t>
      </w:r>
      <w:r>
        <w:rPr>
          <w:rFonts w:ascii="Times New Roman" w:hAnsi="Times New Roman"/>
          <w:sz w:val="22"/>
          <w:szCs w:val="22"/>
        </w:rPr>
        <w:t>2</w:t>
      </w:r>
      <w:r w:rsidRPr="00BD1A3C">
        <w:rPr>
          <w:rFonts w:ascii="Times New Roman" w:hAnsi="Times New Roman"/>
          <w:sz w:val="22"/>
          <w:szCs w:val="22"/>
        </w:rPr>
        <w:t xml:space="preserve"> r. poz. </w:t>
      </w:r>
      <w:r>
        <w:rPr>
          <w:rFonts w:ascii="Times New Roman" w:hAnsi="Times New Roman"/>
          <w:sz w:val="22"/>
          <w:szCs w:val="22"/>
        </w:rPr>
        <w:t>671)</w:t>
      </w:r>
      <w:r w:rsidRPr="00BD1A3C">
        <w:rPr>
          <w:rFonts w:ascii="Times New Roman" w:hAnsi="Times New Roman"/>
          <w:sz w:val="22"/>
          <w:szCs w:val="22"/>
        </w:rPr>
        <w:t>.</w:t>
      </w:r>
    </w:p>
  </w:footnote>
  <w:footnote w:id="19">
    <w:p w14:paraId="69AF078B"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Dz. U. z 2019 r. poz. 2479.</w:t>
      </w:r>
    </w:p>
  </w:footnote>
  <w:footnote w:id="20">
    <w:p w14:paraId="7AC146F8" w14:textId="22FDDF9F"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w:t>
      </w:r>
      <w:r w:rsidRPr="00377FC0">
        <w:rPr>
          <w:rFonts w:ascii="Times New Roman" w:hAnsi="Times New Roman"/>
          <w:sz w:val="22"/>
          <w:szCs w:val="22"/>
        </w:rPr>
        <w:t>https://datatracker.ietf.org/doc/html/rfc2350</w:t>
      </w:r>
      <w:r w:rsidRPr="00BD1A3C">
        <w:rPr>
          <w:rFonts w:ascii="Times New Roman" w:hAnsi="Times New Roman"/>
          <w:sz w:val="22"/>
          <w:szCs w:val="22"/>
        </w:rPr>
        <w:t xml:space="preserve"> . </w:t>
      </w:r>
      <w:r w:rsidRPr="00BD1A3C">
        <w:rPr>
          <w:rFonts w:ascii="Times New Roman" w:hAnsi="Times New Roman"/>
          <w:sz w:val="22"/>
          <w:szCs w:val="22"/>
        </w:rPr>
        <w:br/>
        <w:t>Jako przykłady praktyki można wskazać:</w:t>
      </w:r>
    </w:p>
    <w:p w14:paraId="63CC9260" w14:textId="37B65242" w:rsidR="00ED297B" w:rsidRPr="00BD1A3C" w:rsidRDefault="00ED297B" w:rsidP="00D830D6">
      <w:pPr>
        <w:pStyle w:val="Tekstprzypisudolnego"/>
        <w:spacing w:after="60" w:line="240" w:lineRule="auto"/>
        <w:rPr>
          <w:rFonts w:ascii="Times New Roman" w:hAnsi="Times New Roman"/>
          <w:sz w:val="22"/>
          <w:szCs w:val="22"/>
        </w:rPr>
      </w:pPr>
      <w:r w:rsidRPr="00377FC0">
        <w:rPr>
          <w:rFonts w:ascii="Times New Roman" w:hAnsi="Times New Roman"/>
          <w:sz w:val="22"/>
          <w:szCs w:val="22"/>
        </w:rPr>
        <w:t>https://www.knf.gov.pl/knf/pl/komponenty/img/RFC2350.pdf</w:t>
      </w:r>
      <w:r w:rsidRPr="00BD1A3C">
        <w:rPr>
          <w:rFonts w:ascii="Times New Roman" w:hAnsi="Times New Roman"/>
          <w:sz w:val="22"/>
          <w:szCs w:val="22"/>
        </w:rPr>
        <w:t xml:space="preserve"> </w:t>
      </w:r>
    </w:p>
    <w:p w14:paraId="3A185780" w14:textId="5F9011F3" w:rsidR="00ED297B" w:rsidRPr="00BD1A3C" w:rsidRDefault="00ED297B" w:rsidP="00D830D6">
      <w:pPr>
        <w:pStyle w:val="Tekstprzypisudolnego"/>
        <w:spacing w:after="60" w:line="240" w:lineRule="auto"/>
        <w:rPr>
          <w:rFonts w:ascii="Times New Roman" w:hAnsi="Times New Roman"/>
          <w:sz w:val="22"/>
          <w:szCs w:val="22"/>
        </w:rPr>
      </w:pPr>
      <w:r w:rsidRPr="00377FC0">
        <w:rPr>
          <w:rFonts w:ascii="Times New Roman" w:hAnsi="Times New Roman"/>
          <w:sz w:val="22"/>
          <w:szCs w:val="22"/>
        </w:rPr>
        <w:t>https://www.csirt.gov.sk/csirt-sk-description-document-according-to-rfc-2350.html</w:t>
      </w:r>
      <w:r w:rsidRPr="00BD1A3C">
        <w:rPr>
          <w:rFonts w:ascii="Times New Roman" w:hAnsi="Times New Roman"/>
          <w:sz w:val="22"/>
          <w:szCs w:val="22"/>
        </w:rPr>
        <w:t xml:space="preserve"> </w:t>
      </w:r>
    </w:p>
    <w:p w14:paraId="52E18F2F" w14:textId="6219C5FD" w:rsidR="00ED297B" w:rsidRPr="00BD1A3C" w:rsidRDefault="00ED297B" w:rsidP="00D830D6">
      <w:pPr>
        <w:pStyle w:val="Tekstprzypisudolnego"/>
        <w:spacing w:after="60" w:line="240" w:lineRule="auto"/>
        <w:rPr>
          <w:rFonts w:ascii="Times New Roman" w:hAnsi="Times New Roman"/>
          <w:sz w:val="22"/>
          <w:szCs w:val="22"/>
        </w:rPr>
      </w:pPr>
      <w:r w:rsidRPr="00377FC0">
        <w:rPr>
          <w:rFonts w:ascii="Times New Roman" w:hAnsi="Times New Roman"/>
          <w:sz w:val="22"/>
          <w:szCs w:val="22"/>
        </w:rPr>
        <w:t>https://www.ncsc.gov.ie/pdfs/RFC2350%20NCSC-IE.txt</w:t>
      </w:r>
      <w:r w:rsidRPr="00BD1A3C">
        <w:rPr>
          <w:rFonts w:ascii="Times New Roman" w:hAnsi="Times New Roman"/>
          <w:sz w:val="22"/>
          <w:szCs w:val="22"/>
        </w:rPr>
        <w:t>.</w:t>
      </w:r>
    </w:p>
  </w:footnote>
  <w:footnote w:id="21">
    <w:p w14:paraId="323ED511" w14:textId="77777777" w:rsidR="00ED297B" w:rsidRPr="00BD1A3C" w:rsidRDefault="00ED297B" w:rsidP="00D830D6">
      <w:pPr>
        <w:pStyle w:val="Tekstprzypisudolnego"/>
        <w:spacing w:after="60" w:line="240" w:lineRule="auto"/>
        <w:rPr>
          <w:rFonts w:ascii="Times New Roman" w:hAnsi="Times New Roman"/>
          <w:sz w:val="22"/>
          <w:szCs w:val="22"/>
          <w:lang w:val="en-GB"/>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lang w:val="en-GB"/>
        </w:rPr>
        <w:t>)</w:t>
      </w:r>
      <w:r w:rsidRPr="00BD1A3C">
        <w:rPr>
          <w:rFonts w:ascii="Times New Roman" w:hAnsi="Times New Roman"/>
          <w:sz w:val="22"/>
          <w:szCs w:val="22"/>
          <w:lang w:val="en-GB"/>
        </w:rPr>
        <w:t xml:space="preserve"> Dz.</w:t>
      </w:r>
      <w:r>
        <w:rPr>
          <w:rFonts w:ascii="Times New Roman" w:hAnsi="Times New Roman"/>
          <w:sz w:val="22"/>
          <w:szCs w:val="22"/>
          <w:lang w:val="en-GB"/>
        </w:rPr>
        <w:t xml:space="preserve"> </w:t>
      </w:r>
      <w:r w:rsidRPr="00BD1A3C">
        <w:rPr>
          <w:rFonts w:ascii="Times New Roman" w:hAnsi="Times New Roman"/>
          <w:sz w:val="22"/>
          <w:szCs w:val="22"/>
          <w:lang w:val="en-GB"/>
        </w:rPr>
        <w:t>U. z 2019 r. poz. 2479.</w:t>
      </w:r>
    </w:p>
  </w:footnote>
  <w:footnote w:id="22">
    <w:p w14:paraId="2F80C298" w14:textId="13AE4BC4"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lang w:val="en-GB"/>
        </w:rPr>
        <w:t>)</w:t>
      </w:r>
      <w:r w:rsidRPr="00BD1A3C">
        <w:rPr>
          <w:rFonts w:ascii="Times New Roman" w:hAnsi="Times New Roman"/>
          <w:sz w:val="22"/>
          <w:szCs w:val="22"/>
          <w:lang w:val="en-GB"/>
        </w:rPr>
        <w:t xml:space="preserve"> Środki wskazano za: E. Vytogianni, M. Dekker, </w:t>
      </w:r>
      <w:r w:rsidRPr="00BD1A3C">
        <w:rPr>
          <w:rFonts w:ascii="Times New Roman" w:hAnsi="Times New Roman"/>
          <w:i/>
          <w:sz w:val="22"/>
          <w:szCs w:val="22"/>
          <w:lang w:val="en-GB"/>
        </w:rPr>
        <w:t>Security Supervision under the EECC</w:t>
      </w:r>
      <w:r w:rsidRPr="00BD1A3C">
        <w:rPr>
          <w:rFonts w:ascii="Times New Roman" w:hAnsi="Times New Roman"/>
          <w:sz w:val="22"/>
          <w:szCs w:val="22"/>
          <w:lang w:val="en-GB"/>
        </w:rPr>
        <w:t>, str. 15</w:t>
      </w:r>
      <w:r>
        <w:rPr>
          <w:rFonts w:ascii="Times New Roman" w:hAnsi="Times New Roman"/>
          <w:sz w:val="22"/>
          <w:szCs w:val="22"/>
          <w:lang w:val="en-GB"/>
        </w:rPr>
        <w:t>–</w:t>
      </w:r>
      <w:r w:rsidRPr="00BD1A3C">
        <w:rPr>
          <w:rFonts w:ascii="Times New Roman" w:hAnsi="Times New Roman"/>
          <w:sz w:val="22"/>
          <w:szCs w:val="22"/>
          <w:lang w:val="en-GB"/>
        </w:rPr>
        <w:t xml:space="preserve">16 European Union Agency for Cybersecurity (ENISA), </w:t>
      </w:r>
      <w:r w:rsidRPr="00377FC0">
        <w:rPr>
          <w:rFonts w:ascii="Times New Roman" w:hAnsi="Times New Roman"/>
          <w:sz w:val="22"/>
          <w:szCs w:val="22"/>
          <w:lang w:val="en-GB"/>
        </w:rPr>
        <w:t>https://www.enisa.europa.eu/publications/supporting-the-implementation-of-the-european-electronic-commmunications-code-eecc</w:t>
      </w:r>
      <w:r w:rsidRPr="00BD1A3C">
        <w:rPr>
          <w:rFonts w:ascii="Times New Roman" w:hAnsi="Times New Roman"/>
          <w:sz w:val="22"/>
          <w:szCs w:val="22"/>
          <w:lang w:val="en-GB"/>
        </w:rPr>
        <w:t xml:space="preserve">. </w:t>
      </w:r>
      <w:r w:rsidRPr="00BD1A3C">
        <w:rPr>
          <w:rFonts w:ascii="Times New Roman" w:hAnsi="Times New Roman"/>
          <w:sz w:val="22"/>
          <w:szCs w:val="22"/>
        </w:rPr>
        <w:t>Należy podkreślić, że nie jest to wyczerpująca lista, lecz jedynie przykładowe wskazanie.</w:t>
      </w:r>
    </w:p>
  </w:footnote>
  <w:footnote w:id="23">
    <w:p w14:paraId="79B61DC1"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Celowo</w:t>
      </w:r>
      <w:r>
        <w:rPr>
          <w:rFonts w:ascii="Times New Roman" w:hAnsi="Times New Roman"/>
          <w:sz w:val="22"/>
          <w:szCs w:val="22"/>
        </w:rPr>
        <w:t xml:space="preserve"> w </w:t>
      </w:r>
      <w:r w:rsidRPr="00BD1A3C">
        <w:rPr>
          <w:rFonts w:ascii="Times New Roman" w:hAnsi="Times New Roman"/>
          <w:sz w:val="22"/>
          <w:szCs w:val="22"/>
        </w:rPr>
        <w:t>tym przepisie użyto funktora „lub”, ponieważ zależnie od konkretnej sytuacji u przedsiębiorcy komunikacji elektronicznej może zaistnieć potrzeba nakazania uzupełnienia tylko środka technicznego, tylko środka organizacyjnego albo i jednego i drugiego.</w:t>
      </w:r>
    </w:p>
  </w:footnote>
  <w:footnote w:id="24">
    <w:p w14:paraId="5AA05B77" w14:textId="1196446D" w:rsidR="00ED297B" w:rsidRPr="001C5AF2" w:rsidRDefault="00ED297B">
      <w:pPr>
        <w:pStyle w:val="Tekstprzypisudolnego"/>
        <w:rPr>
          <w:lang w:val="en-GB"/>
        </w:rPr>
      </w:pPr>
      <w:r>
        <w:rPr>
          <w:rStyle w:val="Odwoanieprzypisudolnego"/>
        </w:rPr>
        <w:footnoteRef/>
      </w:r>
      <w:r>
        <w:rPr>
          <w:vertAlign w:val="superscript"/>
          <w:lang w:val="en-GB"/>
        </w:rPr>
        <w:t>)</w:t>
      </w:r>
      <w:r w:rsidRPr="001C5AF2">
        <w:rPr>
          <w:lang w:val="en-GB"/>
        </w:rPr>
        <w:t xml:space="preserve"> </w:t>
      </w:r>
      <w:r w:rsidRPr="005447AC">
        <w:rPr>
          <w:rFonts w:ascii="Times New Roman" w:hAnsi="Times New Roman"/>
          <w:sz w:val="22"/>
          <w:szCs w:val="22"/>
          <w:lang w:val="en-GB"/>
        </w:rPr>
        <w:t>Cybersecurity of 5G networks - EU Toolbox of risk mitigating measures</w:t>
      </w:r>
      <w:r>
        <w:rPr>
          <w:rFonts w:ascii="Times New Roman" w:hAnsi="Times New Roman"/>
          <w:sz w:val="22"/>
          <w:szCs w:val="22"/>
          <w:lang w:val="en-GB"/>
        </w:rPr>
        <w:t>, str. 43</w:t>
      </w:r>
      <w:r w:rsidRPr="005447AC">
        <w:rPr>
          <w:rFonts w:ascii="Times New Roman" w:hAnsi="Times New Roman"/>
          <w:sz w:val="22"/>
          <w:szCs w:val="22"/>
          <w:lang w:val="en-GB"/>
        </w:rPr>
        <w:t xml:space="preserve"> </w:t>
      </w:r>
      <w:r w:rsidRPr="00377FC0">
        <w:rPr>
          <w:rFonts w:ascii="Times New Roman" w:hAnsi="Times New Roman"/>
          <w:sz w:val="22"/>
          <w:szCs w:val="22"/>
          <w:lang w:val="en-GB"/>
        </w:rPr>
        <w:t>https://digital-strategy.ec.europa.eu/en/library/cybersecurity-5g-networks-eu-toolbox-risk-mitigating-measures</w:t>
      </w:r>
    </w:p>
  </w:footnote>
  <w:footnote w:id="25">
    <w:p w14:paraId="54E1C2DD" w14:textId="3069FCB9" w:rsidR="00ED297B" w:rsidRPr="00BD1A3C" w:rsidRDefault="00ED297B" w:rsidP="00443C0E">
      <w:pPr>
        <w:pStyle w:val="Tekstprzypisudolnego"/>
        <w:spacing w:after="60" w:line="240" w:lineRule="auto"/>
        <w:rPr>
          <w:rFonts w:ascii="Times New Roman" w:hAnsi="Times New Roman"/>
          <w:sz w:val="22"/>
          <w:szCs w:val="22"/>
          <w:lang w:val="en-GB"/>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Jako szczególne zagrożenie należy uznać takie, które nie jest typowym lub generalnie występującym zagrożeniem. Jako znaczne zagrożenie należy uznać takie, które stwarza ryzyka dla użytkownika. </w:t>
      </w:r>
      <w:r w:rsidRPr="00BD1A3C">
        <w:rPr>
          <w:rFonts w:ascii="Times New Roman" w:hAnsi="Times New Roman"/>
          <w:sz w:val="22"/>
          <w:szCs w:val="22"/>
          <w:lang w:val="en-GB"/>
        </w:rPr>
        <w:t xml:space="preserve">Por. European Union Agency for Cybersecurity, </w:t>
      </w:r>
      <w:r w:rsidRPr="00BD1A3C">
        <w:rPr>
          <w:rFonts w:ascii="Times New Roman" w:hAnsi="Times New Roman"/>
          <w:i/>
          <w:sz w:val="22"/>
          <w:szCs w:val="22"/>
          <w:lang w:val="en-GB"/>
        </w:rPr>
        <w:t>Cyber threats outreach in telecom: guidelines for national authorities and telecom providers on outreach to users about cyber threats.</w:t>
      </w:r>
      <w:r w:rsidRPr="00BD1A3C">
        <w:rPr>
          <w:rFonts w:ascii="Times New Roman" w:hAnsi="Times New Roman"/>
          <w:sz w:val="22"/>
          <w:szCs w:val="22"/>
          <w:lang w:val="en-GB"/>
        </w:rPr>
        <w:t xml:space="preserve">, 2022, s. 21. </w:t>
      </w:r>
      <w:r w:rsidRPr="00377FC0">
        <w:rPr>
          <w:rFonts w:ascii="Times New Roman" w:hAnsi="Times New Roman"/>
          <w:sz w:val="22"/>
          <w:szCs w:val="22"/>
          <w:lang w:val="en-GB"/>
        </w:rPr>
        <w:t>https://www.enisa.europa.eu/publications/cyber-threats-outreach-in-telecom</w:t>
      </w:r>
      <w:r w:rsidRPr="00BD1A3C">
        <w:rPr>
          <w:rFonts w:ascii="Times New Roman" w:hAnsi="Times New Roman"/>
          <w:sz w:val="22"/>
          <w:szCs w:val="22"/>
          <w:lang w:val="en-GB"/>
        </w:rPr>
        <w:t xml:space="preserve">. </w:t>
      </w:r>
    </w:p>
  </w:footnote>
  <w:footnote w:id="26">
    <w:p w14:paraId="73FD81EE" w14:textId="18BDC16F" w:rsidR="00ED297B" w:rsidRPr="00BD1A3C" w:rsidRDefault="00ED297B" w:rsidP="00D830D6">
      <w:pPr>
        <w:pStyle w:val="Tekstprzypisudolnego"/>
        <w:spacing w:after="60" w:line="240" w:lineRule="auto"/>
        <w:rPr>
          <w:rFonts w:ascii="Times New Roman" w:hAnsi="Times New Roman"/>
          <w:sz w:val="22"/>
          <w:szCs w:val="22"/>
          <w:lang w:val="en-GB"/>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lang w:val="en-GB"/>
        </w:rPr>
        <w:t>)</w:t>
      </w:r>
      <w:r w:rsidRPr="00BD1A3C">
        <w:rPr>
          <w:rFonts w:ascii="Times New Roman" w:hAnsi="Times New Roman"/>
          <w:sz w:val="22"/>
          <w:szCs w:val="22"/>
          <w:lang w:val="en-GB"/>
        </w:rPr>
        <w:t xml:space="preserve"> </w:t>
      </w:r>
      <w:r w:rsidRPr="00377FC0">
        <w:rPr>
          <w:rFonts w:ascii="Times New Roman" w:hAnsi="Times New Roman"/>
          <w:sz w:val="22"/>
          <w:szCs w:val="22"/>
          <w:lang w:val="en-GB"/>
        </w:rPr>
        <w:t>https://www.enisa.europa.eu/publications/cyber-threats-outreach-in-telecom</w:t>
      </w:r>
      <w:r w:rsidRPr="00BD1A3C">
        <w:rPr>
          <w:rFonts w:ascii="Times New Roman" w:hAnsi="Times New Roman"/>
          <w:sz w:val="22"/>
          <w:szCs w:val="22"/>
          <w:lang w:val="en-GB"/>
        </w:rPr>
        <w:t xml:space="preserve">. </w:t>
      </w:r>
    </w:p>
  </w:footnote>
  <w:footnote w:id="27">
    <w:p w14:paraId="5F6E8C02"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Dane o osobie reprezentującej ISAC wpisanego do wykazu są niezbędne dla ministra właściwego do spraw informatyzacji celem skontaktowania się np. przy okazji kontroli ISAC.</w:t>
      </w:r>
    </w:p>
  </w:footnote>
  <w:footnote w:id="28">
    <w:p w14:paraId="2EFE0F01" w14:textId="77777777" w:rsidR="00ED297B" w:rsidRPr="001C5AF2" w:rsidRDefault="00ED297B">
      <w:pPr>
        <w:pStyle w:val="Tekstprzypisudolnego"/>
        <w:rPr>
          <w:rFonts w:ascii="Times New Roman" w:hAnsi="Times New Roman"/>
          <w:sz w:val="22"/>
          <w:szCs w:val="22"/>
        </w:rPr>
      </w:pPr>
      <w:r w:rsidRPr="001C5AF2">
        <w:rPr>
          <w:rStyle w:val="Odwoanieprzypisudolnego"/>
          <w:rFonts w:ascii="Times New Roman" w:hAnsi="Times New Roman"/>
          <w:sz w:val="22"/>
          <w:szCs w:val="22"/>
        </w:rPr>
        <w:footnoteRef/>
      </w:r>
      <w:r>
        <w:rPr>
          <w:rFonts w:ascii="Times New Roman" w:hAnsi="Times New Roman"/>
          <w:sz w:val="22"/>
          <w:szCs w:val="22"/>
          <w:vertAlign w:val="superscript"/>
        </w:rPr>
        <w:t>)</w:t>
      </w:r>
      <w:r w:rsidRPr="001C5AF2">
        <w:rPr>
          <w:rFonts w:ascii="Times New Roman" w:hAnsi="Times New Roman"/>
          <w:sz w:val="22"/>
          <w:szCs w:val="22"/>
        </w:rPr>
        <w:t xml:space="preserve"> Przewiduje się obowiązkową elektronizację tych wniosków.</w:t>
      </w:r>
    </w:p>
  </w:footnote>
  <w:footnote w:id="29">
    <w:p w14:paraId="639270E1" w14:textId="4535E2D8" w:rsidR="00ED297B" w:rsidRDefault="00ED297B">
      <w:pPr>
        <w:pStyle w:val="Tekstprzypisudolnego"/>
      </w:pPr>
      <w:r>
        <w:rPr>
          <w:rStyle w:val="Odwoanieprzypisudolnego"/>
        </w:rPr>
        <w:footnoteRef/>
      </w:r>
      <w:r>
        <w:t xml:space="preserve"> Chodzi o umożliwienie takich działań jak np. ARTEMIS - </w:t>
      </w:r>
      <w:r w:rsidRPr="00377FC0">
        <w:t>https://www.nask.pl/pl/aktualnosci/5137,Artemis-CERT-Polska-bada-bezpieczenstwo-polskiego-internetu.html</w:t>
      </w:r>
      <w:r>
        <w:t>.</w:t>
      </w:r>
    </w:p>
  </w:footnote>
  <w:footnote w:id="30">
    <w:p w14:paraId="04014793" w14:textId="77777777" w:rsidR="00ED297B" w:rsidRPr="00BD1A3C" w:rsidRDefault="00ED297B" w:rsidP="00D830D6">
      <w:pPr>
        <w:pStyle w:val="Tekstprzypisudolnego"/>
        <w:spacing w:after="60" w:line="240" w:lineRule="auto"/>
        <w:rPr>
          <w:rFonts w:ascii="Times New Roman" w:hAnsi="Times New Roman"/>
          <w:sz w:val="22"/>
          <w:szCs w:val="22"/>
        </w:rPr>
      </w:pPr>
      <w:r w:rsidRPr="00603DA8">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Dz.</w:t>
      </w:r>
      <w:r>
        <w:rPr>
          <w:rFonts w:ascii="Times New Roman" w:hAnsi="Times New Roman"/>
          <w:sz w:val="22"/>
          <w:szCs w:val="22"/>
        </w:rPr>
        <w:t xml:space="preserve"> </w:t>
      </w:r>
      <w:r w:rsidRPr="00BD1A3C">
        <w:rPr>
          <w:rFonts w:ascii="Times New Roman" w:hAnsi="Times New Roman"/>
          <w:sz w:val="22"/>
          <w:szCs w:val="22"/>
        </w:rPr>
        <w:t>U. 202</w:t>
      </w:r>
      <w:r>
        <w:rPr>
          <w:rFonts w:ascii="Times New Roman" w:hAnsi="Times New Roman"/>
          <w:sz w:val="22"/>
          <w:szCs w:val="22"/>
        </w:rPr>
        <w:t>2</w:t>
      </w:r>
      <w:r w:rsidRPr="00BD1A3C">
        <w:rPr>
          <w:rFonts w:ascii="Times New Roman" w:hAnsi="Times New Roman"/>
          <w:sz w:val="22"/>
          <w:szCs w:val="22"/>
        </w:rPr>
        <w:t xml:space="preserve"> r. poz. </w:t>
      </w:r>
      <w:r>
        <w:rPr>
          <w:rFonts w:ascii="Times New Roman" w:hAnsi="Times New Roman"/>
          <w:sz w:val="22"/>
          <w:szCs w:val="22"/>
        </w:rPr>
        <w:t>2512</w:t>
      </w:r>
      <w:r w:rsidRPr="00BD1A3C">
        <w:rPr>
          <w:rFonts w:ascii="Times New Roman" w:hAnsi="Times New Roman"/>
          <w:sz w:val="22"/>
          <w:szCs w:val="22"/>
        </w:rPr>
        <w:t>.</w:t>
      </w:r>
    </w:p>
  </w:footnote>
  <w:footnote w:id="31">
    <w:p w14:paraId="40239217" w14:textId="578D7DD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Dz.</w:t>
      </w:r>
      <w:r>
        <w:rPr>
          <w:rFonts w:ascii="Times New Roman" w:hAnsi="Times New Roman"/>
          <w:sz w:val="22"/>
          <w:szCs w:val="22"/>
        </w:rPr>
        <w:t xml:space="preserve"> </w:t>
      </w:r>
      <w:r w:rsidRPr="00BD1A3C">
        <w:rPr>
          <w:rFonts w:ascii="Times New Roman" w:hAnsi="Times New Roman"/>
          <w:sz w:val="22"/>
          <w:szCs w:val="22"/>
        </w:rPr>
        <w:t>U. 202</w:t>
      </w:r>
      <w:r w:rsidR="004440E0">
        <w:rPr>
          <w:rFonts w:ascii="Times New Roman" w:hAnsi="Times New Roman"/>
          <w:sz w:val="22"/>
          <w:szCs w:val="22"/>
        </w:rPr>
        <w:t>3</w:t>
      </w:r>
      <w:r w:rsidRPr="00BD1A3C">
        <w:rPr>
          <w:rFonts w:ascii="Times New Roman" w:hAnsi="Times New Roman"/>
          <w:sz w:val="22"/>
          <w:szCs w:val="22"/>
        </w:rPr>
        <w:t xml:space="preserve"> r. poz. </w:t>
      </w:r>
      <w:r w:rsidR="004440E0">
        <w:rPr>
          <w:rFonts w:ascii="Times New Roman" w:hAnsi="Times New Roman"/>
          <w:sz w:val="22"/>
          <w:szCs w:val="22"/>
        </w:rPr>
        <w:t>1136.</w:t>
      </w:r>
    </w:p>
    <w:p w14:paraId="2FA86555" w14:textId="665F2A7D" w:rsidR="00ED297B" w:rsidRPr="00BD1A3C" w:rsidRDefault="00ED297B" w:rsidP="00D830D6">
      <w:pPr>
        <w:pStyle w:val="Tekstprzypisudolnego"/>
        <w:spacing w:after="60" w:line="240" w:lineRule="auto"/>
        <w:rPr>
          <w:rFonts w:ascii="Times New Roman" w:hAnsi="Times New Roman"/>
          <w:sz w:val="22"/>
          <w:szCs w:val="22"/>
        </w:rPr>
      </w:pPr>
      <w:r w:rsidRPr="00BD1A3C">
        <w:rPr>
          <w:rFonts w:ascii="Times New Roman" w:hAnsi="Times New Roman"/>
          <w:sz w:val="22"/>
          <w:szCs w:val="22"/>
        </w:rPr>
        <w:t>Syntetyczne podsumowanie ocen bezpieczeństwa wykonywanych przez Agencję Bezpieczeństwa Wewnętrznego znajduje się</w:t>
      </w:r>
      <w:r>
        <w:rPr>
          <w:rFonts w:ascii="Times New Roman" w:hAnsi="Times New Roman"/>
          <w:sz w:val="22"/>
          <w:szCs w:val="22"/>
        </w:rPr>
        <w:t xml:space="preserve"> w </w:t>
      </w:r>
      <w:r w:rsidRPr="00BD1A3C">
        <w:rPr>
          <w:rFonts w:ascii="Times New Roman" w:hAnsi="Times New Roman"/>
          <w:i/>
          <w:sz w:val="22"/>
          <w:szCs w:val="22"/>
        </w:rPr>
        <w:t>Raporcie o stanie bezpieczeństwa cyberprzestrzeni RP</w:t>
      </w:r>
      <w:r>
        <w:rPr>
          <w:rFonts w:ascii="Times New Roman" w:hAnsi="Times New Roman"/>
          <w:i/>
          <w:sz w:val="22"/>
          <w:szCs w:val="22"/>
        </w:rPr>
        <w:t xml:space="preserve"> w </w:t>
      </w:r>
      <w:r w:rsidRPr="00BD1A3C">
        <w:rPr>
          <w:rFonts w:ascii="Times New Roman" w:hAnsi="Times New Roman"/>
          <w:i/>
          <w:sz w:val="22"/>
          <w:szCs w:val="22"/>
        </w:rPr>
        <w:t>2021 roku</w:t>
      </w:r>
      <w:r w:rsidRPr="00BD1A3C">
        <w:rPr>
          <w:rFonts w:ascii="Times New Roman" w:hAnsi="Times New Roman"/>
          <w:sz w:val="22"/>
          <w:szCs w:val="22"/>
        </w:rPr>
        <w:t xml:space="preserve"> str. 43</w:t>
      </w:r>
      <w:r>
        <w:rPr>
          <w:rFonts w:ascii="Times New Roman" w:hAnsi="Times New Roman"/>
          <w:sz w:val="22"/>
          <w:szCs w:val="22"/>
        </w:rPr>
        <w:t>–</w:t>
      </w:r>
      <w:r w:rsidRPr="00BD1A3C">
        <w:rPr>
          <w:rFonts w:ascii="Times New Roman" w:hAnsi="Times New Roman"/>
          <w:sz w:val="22"/>
          <w:szCs w:val="22"/>
        </w:rPr>
        <w:t xml:space="preserve">52 </w:t>
      </w:r>
      <w:r w:rsidRPr="00377FC0">
        <w:rPr>
          <w:rFonts w:ascii="Times New Roman" w:hAnsi="Times New Roman"/>
          <w:sz w:val="22"/>
          <w:szCs w:val="22"/>
        </w:rPr>
        <w:t>https://csirt.gov.pl/cer/publikacje/raporty-o-stanie-bezpi/977,Raport-o-stanie-bezpieczenstwa-cyberprzestrzeni-RP-w-2021-roku.html</w:t>
      </w:r>
      <w:r w:rsidRPr="00BD1A3C">
        <w:rPr>
          <w:rFonts w:ascii="Times New Roman" w:hAnsi="Times New Roman"/>
          <w:sz w:val="22"/>
          <w:szCs w:val="22"/>
        </w:rPr>
        <w:t xml:space="preserve">. </w:t>
      </w:r>
    </w:p>
  </w:footnote>
  <w:footnote w:id="32">
    <w:p w14:paraId="6A4433B6"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Przestępstwo polegające na sprowadzeniu niebezpieczeństwa dla życia lub zdrowia wielu osób albo dla mienia</w:t>
      </w:r>
      <w:r>
        <w:rPr>
          <w:rFonts w:ascii="Times New Roman" w:hAnsi="Times New Roman"/>
          <w:sz w:val="22"/>
          <w:szCs w:val="22"/>
        </w:rPr>
        <w:t xml:space="preserve"> w </w:t>
      </w:r>
      <w:r w:rsidRPr="00BD1A3C">
        <w:rPr>
          <w:rFonts w:ascii="Times New Roman" w:hAnsi="Times New Roman"/>
          <w:sz w:val="22"/>
          <w:szCs w:val="22"/>
        </w:rPr>
        <w:t>wielkich rozmiarach</w:t>
      </w:r>
      <w:r>
        <w:rPr>
          <w:rFonts w:ascii="Times New Roman" w:hAnsi="Times New Roman"/>
          <w:sz w:val="22"/>
          <w:szCs w:val="22"/>
        </w:rPr>
        <w:t xml:space="preserve"> w </w:t>
      </w:r>
      <w:r w:rsidRPr="00BD1A3C">
        <w:rPr>
          <w:rFonts w:ascii="Times New Roman" w:hAnsi="Times New Roman"/>
          <w:sz w:val="22"/>
          <w:szCs w:val="22"/>
        </w:rPr>
        <w:t>ramach którego sprawca zakłóca, uniemożliwia lub</w:t>
      </w:r>
      <w:r>
        <w:rPr>
          <w:rFonts w:ascii="Times New Roman" w:hAnsi="Times New Roman"/>
          <w:sz w:val="22"/>
          <w:szCs w:val="22"/>
        </w:rPr>
        <w:t xml:space="preserve"> w </w:t>
      </w:r>
      <w:r w:rsidRPr="00BD1A3C">
        <w:rPr>
          <w:rFonts w:ascii="Times New Roman" w:hAnsi="Times New Roman"/>
          <w:sz w:val="22"/>
          <w:szCs w:val="22"/>
        </w:rPr>
        <w:t>inny sposób wpływaj na automatyczne przetwarzanie, gromadzenie lub przekazywanie danych informatycznych.</w:t>
      </w:r>
    </w:p>
  </w:footnote>
  <w:footnote w:id="33">
    <w:p w14:paraId="5580B20B"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Przestępstwo</w:t>
      </w:r>
      <w:r>
        <w:rPr>
          <w:rFonts w:ascii="Times New Roman" w:hAnsi="Times New Roman"/>
          <w:sz w:val="22"/>
          <w:szCs w:val="22"/>
        </w:rPr>
        <w:t xml:space="preserve"> w </w:t>
      </w:r>
      <w:r w:rsidRPr="00BD1A3C">
        <w:rPr>
          <w:rFonts w:ascii="Times New Roman" w:hAnsi="Times New Roman"/>
          <w:sz w:val="22"/>
          <w:szCs w:val="22"/>
        </w:rPr>
        <w:t>którym sprawca</w:t>
      </w:r>
      <w:r>
        <w:rPr>
          <w:rFonts w:ascii="Times New Roman" w:hAnsi="Times New Roman"/>
          <w:sz w:val="22"/>
          <w:szCs w:val="22"/>
        </w:rPr>
        <w:t xml:space="preserve"> w </w:t>
      </w:r>
      <w:r w:rsidRPr="00BD1A3C">
        <w:rPr>
          <w:rFonts w:ascii="Times New Roman" w:hAnsi="Times New Roman"/>
          <w:sz w:val="22"/>
          <w:szCs w:val="22"/>
        </w:rPr>
        <w:t>celu uzyskania informacji, do której nie jest uprawniony, zakłada lub posługuje się urządzeniem podsłuchowym, wizualnym albo innym urządzeniem lub oprogramowaniem.</w:t>
      </w:r>
    </w:p>
  </w:footnote>
  <w:footnote w:id="34">
    <w:p w14:paraId="453B4389"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Przestępstwo,</w:t>
      </w:r>
      <w:r>
        <w:rPr>
          <w:rFonts w:ascii="Times New Roman" w:hAnsi="Times New Roman"/>
          <w:sz w:val="22"/>
          <w:szCs w:val="22"/>
        </w:rPr>
        <w:t xml:space="preserve"> w </w:t>
      </w:r>
      <w:r w:rsidRPr="00BD1A3C">
        <w:rPr>
          <w:rFonts w:ascii="Times New Roman" w:hAnsi="Times New Roman"/>
          <w:sz w:val="22"/>
          <w:szCs w:val="22"/>
        </w:rPr>
        <w:t>którym sprawca nie będąc do tego uprawnionym, niszczy, uszkadza, usuwa, zmienia lub utrudnia dostęp do danych informatycznych albo</w:t>
      </w:r>
      <w:r>
        <w:rPr>
          <w:rFonts w:ascii="Times New Roman" w:hAnsi="Times New Roman"/>
          <w:sz w:val="22"/>
          <w:szCs w:val="22"/>
        </w:rPr>
        <w:t xml:space="preserve"> w </w:t>
      </w:r>
      <w:r w:rsidRPr="00BD1A3C">
        <w:rPr>
          <w:rFonts w:ascii="Times New Roman" w:hAnsi="Times New Roman"/>
          <w:sz w:val="22"/>
          <w:szCs w:val="22"/>
        </w:rPr>
        <w:t>istotnym stopniu zakłóca lub uniemożliwia automatyczne przetwarzanie, gromadzenie lub przekazywanie takich danych.</w:t>
      </w:r>
    </w:p>
  </w:footnote>
  <w:footnote w:id="35">
    <w:p w14:paraId="0D9ABC0F"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Przestępstwo</w:t>
      </w:r>
      <w:r>
        <w:rPr>
          <w:rFonts w:ascii="Times New Roman" w:hAnsi="Times New Roman"/>
          <w:sz w:val="22"/>
          <w:szCs w:val="22"/>
        </w:rPr>
        <w:t xml:space="preserve"> w </w:t>
      </w:r>
      <w:r w:rsidRPr="00BD1A3C">
        <w:rPr>
          <w:rFonts w:ascii="Times New Roman" w:hAnsi="Times New Roman"/>
          <w:sz w:val="22"/>
          <w:szCs w:val="22"/>
        </w:rPr>
        <w:t>którym sprawca niszczy, uszkadza, usuwa lub zmienia dane informatyczne o szczególnym znaczeniu dla obronności kraju, bezpieczeństwa</w:t>
      </w:r>
      <w:r>
        <w:rPr>
          <w:rFonts w:ascii="Times New Roman" w:hAnsi="Times New Roman"/>
          <w:sz w:val="22"/>
          <w:szCs w:val="22"/>
        </w:rPr>
        <w:t xml:space="preserve"> w </w:t>
      </w:r>
      <w:r w:rsidRPr="00BD1A3C">
        <w:rPr>
          <w:rFonts w:ascii="Times New Roman" w:hAnsi="Times New Roman"/>
          <w:sz w:val="22"/>
          <w:szCs w:val="22"/>
        </w:rPr>
        <w:t>komunikacji, funkcjonowania administracji rządowej, innego organu państwowego lub instytucji państwowej albo samorządu terytorialnego albo zakłóca lub uniemożliwia automatyczne przetwarzanie, gromadzenie lub przekazywanie takich danych.</w:t>
      </w:r>
    </w:p>
  </w:footnote>
  <w:footnote w:id="36">
    <w:p w14:paraId="042D4466"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Przestępstwo,</w:t>
      </w:r>
      <w:r>
        <w:rPr>
          <w:rFonts w:ascii="Times New Roman" w:hAnsi="Times New Roman"/>
          <w:sz w:val="22"/>
          <w:szCs w:val="22"/>
        </w:rPr>
        <w:t xml:space="preserve"> w </w:t>
      </w:r>
      <w:r w:rsidRPr="00BD1A3C">
        <w:rPr>
          <w:rFonts w:ascii="Times New Roman" w:hAnsi="Times New Roman"/>
          <w:sz w:val="22"/>
          <w:szCs w:val="22"/>
        </w:rPr>
        <w:t>którym sprawca nie będąc do tego uprawnionym, przez transmisję, zniszczenie, usunięcie, uszkodzenie, utrudnienie dostępu lub zmianę danych informatycznych,</w:t>
      </w:r>
      <w:r>
        <w:rPr>
          <w:rFonts w:ascii="Times New Roman" w:hAnsi="Times New Roman"/>
          <w:sz w:val="22"/>
          <w:szCs w:val="22"/>
        </w:rPr>
        <w:t xml:space="preserve"> w </w:t>
      </w:r>
      <w:r w:rsidRPr="00BD1A3C">
        <w:rPr>
          <w:rFonts w:ascii="Times New Roman" w:hAnsi="Times New Roman"/>
          <w:sz w:val="22"/>
          <w:szCs w:val="22"/>
        </w:rPr>
        <w:t>istotnym stopniu zakłóca pracę systemu informatycznego, systemu teleinformatycznego lub sieci teleinformatycznej.</w:t>
      </w:r>
    </w:p>
  </w:footnote>
  <w:footnote w:id="37">
    <w:p w14:paraId="57A5B254"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Art. 12a ustawy z dnia 4 września 1997 r. o działach administracji rządowej </w:t>
      </w:r>
      <w:r>
        <w:rPr>
          <w:rFonts w:ascii="Times New Roman" w:hAnsi="Times New Roman"/>
          <w:sz w:val="22"/>
          <w:szCs w:val="22"/>
        </w:rPr>
        <w:t>(</w:t>
      </w:r>
      <w:r w:rsidRPr="00BD1A3C">
        <w:rPr>
          <w:rFonts w:ascii="Times New Roman" w:hAnsi="Times New Roman"/>
          <w:sz w:val="22"/>
          <w:szCs w:val="22"/>
        </w:rPr>
        <w:t>Dz.</w:t>
      </w:r>
      <w:r>
        <w:rPr>
          <w:rFonts w:ascii="Times New Roman" w:hAnsi="Times New Roman"/>
          <w:sz w:val="22"/>
          <w:szCs w:val="22"/>
        </w:rPr>
        <w:t xml:space="preserve"> </w:t>
      </w:r>
      <w:r w:rsidRPr="00BD1A3C">
        <w:rPr>
          <w:rFonts w:ascii="Times New Roman" w:hAnsi="Times New Roman"/>
          <w:sz w:val="22"/>
          <w:szCs w:val="22"/>
        </w:rPr>
        <w:t>U. 202</w:t>
      </w:r>
      <w:r>
        <w:rPr>
          <w:rFonts w:ascii="Times New Roman" w:hAnsi="Times New Roman"/>
          <w:sz w:val="22"/>
          <w:szCs w:val="22"/>
        </w:rPr>
        <w:t>2</w:t>
      </w:r>
      <w:r w:rsidRPr="00BD1A3C">
        <w:rPr>
          <w:rFonts w:ascii="Times New Roman" w:hAnsi="Times New Roman"/>
          <w:sz w:val="22"/>
          <w:szCs w:val="22"/>
        </w:rPr>
        <w:t xml:space="preserve"> r. poz. </w:t>
      </w:r>
      <w:r>
        <w:rPr>
          <w:rFonts w:ascii="Times New Roman" w:hAnsi="Times New Roman"/>
          <w:sz w:val="22"/>
          <w:szCs w:val="22"/>
        </w:rPr>
        <w:t>2512)</w:t>
      </w:r>
      <w:r w:rsidRPr="00BD1A3C">
        <w:rPr>
          <w:rFonts w:ascii="Times New Roman" w:hAnsi="Times New Roman"/>
          <w:sz w:val="22"/>
          <w:szCs w:val="22"/>
        </w:rPr>
        <w:t>.</w:t>
      </w:r>
    </w:p>
  </w:footnote>
  <w:footnote w:id="38">
    <w:p w14:paraId="0AB71FFA"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Dz.</w:t>
      </w:r>
      <w:r>
        <w:rPr>
          <w:rFonts w:ascii="Times New Roman" w:hAnsi="Times New Roman"/>
          <w:sz w:val="22"/>
          <w:szCs w:val="22"/>
        </w:rPr>
        <w:t xml:space="preserve"> </w:t>
      </w:r>
      <w:r w:rsidRPr="00BD1A3C">
        <w:rPr>
          <w:rFonts w:ascii="Times New Roman" w:hAnsi="Times New Roman"/>
          <w:sz w:val="22"/>
          <w:szCs w:val="22"/>
        </w:rPr>
        <w:t>U. 2021 r. poz. 1641</w:t>
      </w:r>
      <w:r>
        <w:rPr>
          <w:rFonts w:ascii="Times New Roman" w:hAnsi="Times New Roman"/>
          <w:sz w:val="22"/>
          <w:szCs w:val="22"/>
        </w:rPr>
        <w:t xml:space="preserve"> oraz z 2022 r. poz. 1700</w:t>
      </w:r>
      <w:r w:rsidRPr="00BD1A3C">
        <w:rPr>
          <w:rFonts w:ascii="Times New Roman" w:hAnsi="Times New Roman"/>
          <w:sz w:val="22"/>
          <w:szCs w:val="22"/>
        </w:rPr>
        <w:t>.</w:t>
      </w:r>
    </w:p>
  </w:footnote>
  <w:footnote w:id="39">
    <w:p w14:paraId="2E527D08"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Dyrektywa Parlamentu Europejskiego i Rady (UE) 2019/1024 z dnia 20 czerwca 2019 r.</w:t>
      </w:r>
      <w:r>
        <w:rPr>
          <w:rFonts w:ascii="Times New Roman" w:hAnsi="Times New Roman"/>
          <w:sz w:val="22"/>
          <w:szCs w:val="22"/>
        </w:rPr>
        <w:t xml:space="preserve"> w </w:t>
      </w:r>
      <w:r w:rsidRPr="00BD1A3C">
        <w:rPr>
          <w:rFonts w:ascii="Times New Roman" w:hAnsi="Times New Roman"/>
          <w:sz w:val="22"/>
          <w:szCs w:val="22"/>
        </w:rPr>
        <w:t>sprawie otwartych danych i ponownego wykorzystywania informacji sektora publicznego.</w:t>
      </w:r>
    </w:p>
  </w:footnote>
  <w:footnote w:id="40">
    <w:p w14:paraId="2D937320" w14:textId="77777777" w:rsidR="00ED297B" w:rsidRPr="00FC6B8C" w:rsidRDefault="00ED297B">
      <w:pPr>
        <w:pStyle w:val="Tekstprzypisudolnego"/>
        <w:rPr>
          <w:lang w:val="en-GB"/>
        </w:rPr>
      </w:pPr>
      <w:r>
        <w:rPr>
          <w:rStyle w:val="Odwoanieprzypisudolnego"/>
        </w:rPr>
        <w:footnoteRef/>
      </w:r>
      <w:r>
        <w:rPr>
          <w:vertAlign w:val="superscript"/>
          <w:lang w:val="en-GB"/>
        </w:rPr>
        <w:t>)</w:t>
      </w:r>
      <w:r w:rsidRPr="00FC6B8C">
        <w:rPr>
          <w:lang w:val="en-GB"/>
        </w:rPr>
        <w:t xml:space="preserve"> Por. Martijn van der Heide</w:t>
      </w:r>
      <w:r>
        <w:rPr>
          <w:lang w:val="en-GB"/>
        </w:rPr>
        <w:t xml:space="preserve">, </w:t>
      </w:r>
      <w:r w:rsidRPr="00FC6B8C">
        <w:rPr>
          <w:i/>
          <w:lang w:val="en-GB"/>
        </w:rPr>
        <w:t>Establishing a CSIRT</w:t>
      </w:r>
      <w:r>
        <w:rPr>
          <w:lang w:val="en-GB"/>
        </w:rPr>
        <w:t>,</w:t>
      </w:r>
      <w:r w:rsidRPr="00FC6B8C">
        <w:rPr>
          <w:lang w:val="en-GB"/>
        </w:rPr>
        <w:t xml:space="preserve"> str. 25</w:t>
      </w:r>
      <w:r>
        <w:rPr>
          <w:lang w:val="en-GB"/>
        </w:rPr>
        <w:t>.</w:t>
      </w:r>
      <w:r w:rsidRPr="00FC6B8C">
        <w:rPr>
          <w:lang w:val="en-GB"/>
        </w:rPr>
        <w:t xml:space="preserve"> https://www.first.org/resources/guides/Establishing-CSIRT-v1.2.pdf</w:t>
      </w:r>
    </w:p>
  </w:footnote>
  <w:footnote w:id="41">
    <w:p w14:paraId="0CB45697" w14:textId="77777777" w:rsidR="00ED297B" w:rsidRPr="00FC6B8C" w:rsidRDefault="00ED297B">
      <w:pPr>
        <w:pStyle w:val="Tekstprzypisudolnego"/>
        <w:rPr>
          <w:i/>
        </w:rPr>
      </w:pPr>
      <w:r>
        <w:rPr>
          <w:rStyle w:val="Odwoanieprzypisudolnego"/>
        </w:rPr>
        <w:footnoteRef/>
      </w:r>
      <w:r>
        <w:rPr>
          <w:vertAlign w:val="superscript"/>
        </w:rPr>
        <w:t>)</w:t>
      </w:r>
      <w:r>
        <w:t xml:space="preserve"> </w:t>
      </w:r>
      <w:r>
        <w:rPr>
          <w:i/>
        </w:rPr>
        <w:t>Ibidem.</w:t>
      </w:r>
    </w:p>
  </w:footnote>
  <w:footnote w:id="42">
    <w:p w14:paraId="7D6A88A9" w14:textId="4591BA4F" w:rsidR="00ED297B" w:rsidRDefault="00ED297B">
      <w:pPr>
        <w:pStyle w:val="Tekstprzypisudolnego"/>
      </w:pPr>
      <w:r>
        <w:rPr>
          <w:rStyle w:val="Odwoanieprzypisudolnego"/>
        </w:rPr>
        <w:footnoteRef/>
      </w:r>
      <w:r>
        <w:rPr>
          <w:vertAlign w:val="superscript"/>
        </w:rPr>
        <w:t>)</w:t>
      </w:r>
      <w:r>
        <w:t xml:space="preserve"> </w:t>
      </w:r>
      <w:r w:rsidRPr="00BD27F8">
        <w:t xml:space="preserve">Sprawozdanie z działalności Urzędu Komisji Nadzoru Finansowego oraz Komisji Nadzoru Finansowego w 2021 roku, str. </w:t>
      </w:r>
      <w:r>
        <w:t xml:space="preserve">151–154, </w:t>
      </w:r>
      <w:r w:rsidRPr="00377FC0">
        <w:t>https://www.knf.gov.pl/knf/pl/komponenty/img/Sprawozdanie_z_dzialalnosci_UKNF_oraz_KNF_w_2021_roku_78361.pdf</w:t>
      </w:r>
      <w:r>
        <w:t>.</w:t>
      </w:r>
    </w:p>
  </w:footnote>
  <w:footnote w:id="43">
    <w:p w14:paraId="7B09C93B" w14:textId="728960B2" w:rsidR="00ED297B" w:rsidRDefault="00ED297B">
      <w:pPr>
        <w:pStyle w:val="Tekstprzypisudolnego"/>
      </w:pPr>
      <w:r>
        <w:rPr>
          <w:rStyle w:val="Odwoanieprzypisudolnego"/>
        </w:rPr>
        <w:footnoteRef/>
      </w:r>
      <w:r>
        <w:rPr>
          <w:vertAlign w:val="superscript"/>
        </w:rPr>
        <w:t>)</w:t>
      </w:r>
      <w:r>
        <w:t xml:space="preserve"> Źródło </w:t>
      </w:r>
      <w:r w:rsidRPr="00377FC0">
        <w:t>https://dane.gov.pl/pl/dataset/1992,statystyki-zespolu-cert-polska/resource/35639/table</w:t>
      </w:r>
      <w:r>
        <w:t>.</w:t>
      </w:r>
    </w:p>
  </w:footnote>
  <w:footnote w:id="44">
    <w:p w14:paraId="4179D6CB" w14:textId="5709C444" w:rsidR="00ED297B" w:rsidRDefault="00ED297B">
      <w:pPr>
        <w:pStyle w:val="Tekstprzypisudolnego"/>
      </w:pPr>
      <w:r>
        <w:rPr>
          <w:rStyle w:val="Odwoanieprzypisudolnego"/>
        </w:rPr>
        <w:footnoteRef/>
      </w:r>
      <w:r>
        <w:rPr>
          <w:vertAlign w:val="superscript"/>
        </w:rPr>
        <w:t>)</w:t>
      </w:r>
      <w:r>
        <w:t xml:space="preserve"> Źródło </w:t>
      </w:r>
      <w:r w:rsidRPr="00377FC0">
        <w:t>https://dane.gov.pl/pl/dataset/1992,statystyki-zespolu-cert-polska/resource/43252/table</w:t>
      </w:r>
      <w:r>
        <w:t xml:space="preserve">. </w:t>
      </w:r>
    </w:p>
  </w:footnote>
  <w:footnote w:id="45">
    <w:p w14:paraId="7A31F50C" w14:textId="7A6298FE"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Należy przy tym podkreślić, że chodzi tutaj o jednostki organizacyjne, o których mowa w</w:t>
      </w:r>
      <w:r>
        <w:rPr>
          <w:rFonts w:ascii="Times New Roman" w:hAnsi="Times New Roman"/>
          <w:sz w:val="22"/>
          <w:szCs w:val="22"/>
        </w:rPr>
        <w:t xml:space="preserve"> art. </w:t>
      </w:r>
      <w:r w:rsidRPr="00BD1A3C">
        <w:rPr>
          <w:rFonts w:ascii="Times New Roman" w:hAnsi="Times New Roman"/>
          <w:sz w:val="22"/>
          <w:szCs w:val="22"/>
        </w:rPr>
        <w:t xml:space="preserve">33 ust. 1d ustawy z dnia 8 sierpnia 1996 r. o Radzie Ministrów </w:t>
      </w:r>
      <w:r>
        <w:rPr>
          <w:rFonts w:ascii="Times New Roman" w:hAnsi="Times New Roman"/>
          <w:sz w:val="22"/>
          <w:szCs w:val="22"/>
        </w:rPr>
        <w:t>(</w:t>
      </w:r>
      <w:r w:rsidRPr="00BD1A3C">
        <w:rPr>
          <w:rFonts w:ascii="Times New Roman" w:hAnsi="Times New Roman"/>
          <w:sz w:val="22"/>
          <w:szCs w:val="22"/>
        </w:rPr>
        <w:t>Dz.</w:t>
      </w:r>
      <w:r>
        <w:rPr>
          <w:rFonts w:ascii="Times New Roman" w:hAnsi="Times New Roman"/>
          <w:sz w:val="22"/>
          <w:szCs w:val="22"/>
        </w:rPr>
        <w:t xml:space="preserve"> </w:t>
      </w:r>
      <w:r w:rsidRPr="00BD1A3C">
        <w:rPr>
          <w:rFonts w:ascii="Times New Roman" w:hAnsi="Times New Roman"/>
          <w:sz w:val="22"/>
          <w:szCs w:val="22"/>
        </w:rPr>
        <w:t xml:space="preserve">U. </w:t>
      </w:r>
      <w:r w:rsidR="00F626AD">
        <w:rPr>
          <w:rFonts w:ascii="Times New Roman" w:hAnsi="Times New Roman"/>
          <w:sz w:val="22"/>
          <w:szCs w:val="22"/>
        </w:rPr>
        <w:t xml:space="preserve">z </w:t>
      </w:r>
      <w:r w:rsidRPr="00BD1A3C">
        <w:rPr>
          <w:rFonts w:ascii="Times New Roman" w:hAnsi="Times New Roman"/>
          <w:sz w:val="22"/>
          <w:szCs w:val="22"/>
        </w:rPr>
        <w:t>2022 r. poz. 1188</w:t>
      </w:r>
      <w:r>
        <w:rPr>
          <w:rFonts w:ascii="Times New Roman" w:hAnsi="Times New Roman"/>
          <w:sz w:val="22"/>
          <w:szCs w:val="22"/>
        </w:rPr>
        <w:t>)</w:t>
      </w:r>
      <w:r w:rsidRPr="00BD1A3C">
        <w:rPr>
          <w:rFonts w:ascii="Times New Roman" w:hAnsi="Times New Roman"/>
          <w:sz w:val="22"/>
          <w:szCs w:val="22"/>
        </w:rPr>
        <w:t>.</w:t>
      </w:r>
    </w:p>
  </w:footnote>
  <w:footnote w:id="46">
    <w:p w14:paraId="6992BC40" w14:textId="769AF83E" w:rsidR="00ED297B" w:rsidRDefault="00ED297B" w:rsidP="00752578">
      <w:pPr>
        <w:pStyle w:val="Tekstprzypisudolnego"/>
        <w:spacing w:line="240" w:lineRule="auto"/>
      </w:pPr>
      <w:r>
        <w:rPr>
          <w:rStyle w:val="Odwoanieprzypisudolnego"/>
        </w:rPr>
        <w:footnoteRef/>
      </w:r>
      <w:r>
        <w:rPr>
          <w:vertAlign w:val="superscript"/>
        </w:rPr>
        <w:t>)</w:t>
      </w:r>
      <w:r>
        <w:t xml:space="preserve"> Zgodnie z r</w:t>
      </w:r>
      <w:r w:rsidRPr="007115FB">
        <w:t>ozporządzenie</w:t>
      </w:r>
      <w:r>
        <w:t>m</w:t>
      </w:r>
      <w:r w:rsidRPr="007115FB">
        <w:t xml:space="preserve"> Ministra Finansów z dnia 15 stycznia 2014 r. w sprawie szczegółowego sposobu wykonywania budżetu państwa</w:t>
      </w:r>
      <w:r>
        <w:t xml:space="preserve"> </w:t>
      </w:r>
      <w:r w:rsidR="00001C0F">
        <w:t>(</w:t>
      </w:r>
      <w:r>
        <w:t>Dz. U. z 2021 r. poz. 259 z późn. zm.</w:t>
      </w:r>
      <w:r w:rsidR="00001C0F">
        <w:t>)</w:t>
      </w:r>
    </w:p>
  </w:footnote>
  <w:footnote w:id="47">
    <w:p w14:paraId="3D4CDCDC"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Dz.</w:t>
      </w:r>
      <w:r>
        <w:rPr>
          <w:rFonts w:ascii="Times New Roman" w:hAnsi="Times New Roman"/>
          <w:sz w:val="22"/>
          <w:szCs w:val="22"/>
        </w:rPr>
        <w:t xml:space="preserve"> </w:t>
      </w:r>
      <w:r w:rsidRPr="00BD1A3C">
        <w:rPr>
          <w:rFonts w:ascii="Times New Roman" w:hAnsi="Times New Roman"/>
          <w:sz w:val="22"/>
          <w:szCs w:val="22"/>
        </w:rPr>
        <w:t xml:space="preserve">U. 2022 r. poz. </w:t>
      </w:r>
      <w:r>
        <w:rPr>
          <w:rFonts w:ascii="Times New Roman" w:hAnsi="Times New Roman"/>
          <w:sz w:val="22"/>
          <w:szCs w:val="22"/>
        </w:rPr>
        <w:t>2305 oraz z 2023 r. poz. 347 i 641.</w:t>
      </w:r>
    </w:p>
  </w:footnote>
  <w:footnote w:id="48">
    <w:p w14:paraId="48C1B631" w14:textId="4E96F469" w:rsidR="00ED297B" w:rsidRPr="00BD1A3C" w:rsidRDefault="00ED297B" w:rsidP="00D830D6">
      <w:pPr>
        <w:pStyle w:val="Tekstprzypisudolnego"/>
        <w:spacing w:after="60" w:line="240" w:lineRule="auto"/>
        <w:jc w:val="both"/>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Konstytucja Rzeczypospolitej Polskiej z dnia 2 kwietnia 1997 r. (Dz. U. z 1997</w:t>
      </w:r>
      <w:r w:rsidR="004C3DDA">
        <w:rPr>
          <w:rFonts w:ascii="Times New Roman" w:hAnsi="Times New Roman"/>
          <w:sz w:val="22"/>
          <w:szCs w:val="22"/>
        </w:rPr>
        <w:t xml:space="preserve"> r.</w:t>
      </w:r>
      <w:r w:rsidRPr="00BD1A3C">
        <w:rPr>
          <w:rFonts w:ascii="Times New Roman" w:hAnsi="Times New Roman"/>
          <w:sz w:val="22"/>
          <w:szCs w:val="22"/>
        </w:rPr>
        <w:t xml:space="preserve"> poz. 483, z 2001 r. poz. 319, z 2006 r. poz. 1471</w:t>
      </w:r>
      <w:r>
        <w:rPr>
          <w:rFonts w:ascii="Times New Roman" w:hAnsi="Times New Roman"/>
          <w:sz w:val="22"/>
          <w:szCs w:val="22"/>
        </w:rPr>
        <w:t xml:space="preserve"> oraz</w:t>
      </w:r>
      <w:r w:rsidRPr="00BD1A3C">
        <w:rPr>
          <w:rFonts w:ascii="Times New Roman" w:hAnsi="Times New Roman"/>
          <w:sz w:val="22"/>
          <w:szCs w:val="22"/>
        </w:rPr>
        <w:t xml:space="preserve"> z 2009 r. poz. 946).</w:t>
      </w:r>
    </w:p>
  </w:footnote>
  <w:footnote w:id="49">
    <w:p w14:paraId="4A776093" w14:textId="77777777" w:rsidR="00ED297B" w:rsidRPr="00BD1A3C" w:rsidRDefault="00ED297B" w:rsidP="00D830D6">
      <w:pPr>
        <w:pStyle w:val="ODNONIKtreodnonika"/>
        <w:spacing w:after="60"/>
        <w:rPr>
          <w:rFonts w:cs="Times New Roman"/>
          <w:sz w:val="22"/>
          <w:szCs w:val="22"/>
        </w:rPr>
      </w:pPr>
      <w:r w:rsidRPr="00BD1A3C">
        <w:rPr>
          <w:rStyle w:val="Odwoanieprzypisudolnego"/>
          <w:sz w:val="22"/>
          <w:szCs w:val="22"/>
        </w:rPr>
        <w:footnoteRef/>
      </w:r>
      <w:r w:rsidRPr="00BD1A3C">
        <w:rPr>
          <w:rStyle w:val="IGindeksgrny"/>
          <w:rFonts w:cs="Times New Roman"/>
          <w:sz w:val="22"/>
          <w:szCs w:val="22"/>
        </w:rPr>
        <w:t>)</w:t>
      </w:r>
      <w:r w:rsidRPr="00BD1A3C">
        <w:rPr>
          <w:rFonts w:cs="Times New Roman"/>
          <w:sz w:val="22"/>
          <w:szCs w:val="22"/>
        </w:rPr>
        <w:t xml:space="preserve"> Wyrok Trybunału Konstytucyjnego z dnia 8 kwietnia 1998 r., sygn. K 10/97. </w:t>
      </w:r>
    </w:p>
  </w:footnote>
  <w:footnote w:id="50">
    <w:p w14:paraId="60C0BB05" w14:textId="77777777" w:rsidR="00ED297B" w:rsidRPr="00BD1A3C" w:rsidRDefault="00ED297B" w:rsidP="00D830D6">
      <w:pPr>
        <w:pStyle w:val="ODNONIKtreodnonika"/>
        <w:spacing w:after="60"/>
        <w:rPr>
          <w:rFonts w:cs="Times New Roman"/>
          <w:sz w:val="22"/>
          <w:szCs w:val="22"/>
        </w:rPr>
      </w:pPr>
      <w:r w:rsidRPr="00BD1A3C">
        <w:rPr>
          <w:rStyle w:val="Odwoanieprzypisudolnego"/>
          <w:sz w:val="22"/>
          <w:szCs w:val="22"/>
        </w:rPr>
        <w:footnoteRef/>
      </w:r>
      <w:r w:rsidRPr="00BD1A3C">
        <w:rPr>
          <w:rStyle w:val="IGindeksgrny"/>
          <w:rFonts w:cs="Times New Roman"/>
          <w:sz w:val="22"/>
          <w:szCs w:val="22"/>
        </w:rPr>
        <w:t>)</w:t>
      </w:r>
      <w:r w:rsidRPr="00BD1A3C">
        <w:rPr>
          <w:rFonts w:cs="Times New Roman"/>
          <w:sz w:val="22"/>
          <w:szCs w:val="22"/>
        </w:rPr>
        <w:t xml:space="preserve"> Ibidem.</w:t>
      </w:r>
    </w:p>
  </w:footnote>
  <w:footnote w:id="51">
    <w:p w14:paraId="5CD3A3EE" w14:textId="77777777" w:rsidR="00ED297B" w:rsidRPr="001C5AF2" w:rsidRDefault="00ED297B" w:rsidP="00D830D6">
      <w:pPr>
        <w:pStyle w:val="ODNONIKtreodnonika"/>
        <w:spacing w:after="60"/>
        <w:rPr>
          <w:rFonts w:cs="Times New Roman"/>
          <w:sz w:val="22"/>
          <w:szCs w:val="22"/>
        </w:rPr>
      </w:pPr>
      <w:r w:rsidRPr="00BD1A3C">
        <w:rPr>
          <w:rStyle w:val="Odwoanieprzypisudolnego"/>
          <w:sz w:val="22"/>
          <w:szCs w:val="22"/>
        </w:rPr>
        <w:footnoteRef/>
      </w:r>
      <w:r w:rsidRPr="00BD1A3C">
        <w:rPr>
          <w:rStyle w:val="IGindeksgrny"/>
          <w:rFonts w:cs="Times New Roman"/>
          <w:sz w:val="22"/>
          <w:szCs w:val="22"/>
        </w:rPr>
        <w:t>)</w:t>
      </w:r>
      <w:r w:rsidRPr="00BD1A3C">
        <w:rPr>
          <w:rFonts w:cs="Times New Roman"/>
          <w:sz w:val="22"/>
          <w:szCs w:val="22"/>
        </w:rPr>
        <w:t xml:space="preserve"> Wyrok Trybunału Konstytucyjnego z dnia 10 października 2001 r., sygn. </w:t>
      </w:r>
      <w:r w:rsidRPr="001C5AF2">
        <w:rPr>
          <w:rFonts w:cs="Times New Roman"/>
          <w:sz w:val="22"/>
          <w:szCs w:val="22"/>
        </w:rPr>
        <w:t>K 28/01.</w:t>
      </w:r>
    </w:p>
  </w:footnote>
  <w:footnote w:id="52">
    <w:p w14:paraId="3E44B7A1" w14:textId="5F84F23B" w:rsidR="00ED297B" w:rsidRPr="001C5AF2" w:rsidRDefault="00ED297B" w:rsidP="00F70239">
      <w:pPr>
        <w:pStyle w:val="Tekstprzypisudolnego"/>
        <w:rPr>
          <w:rFonts w:ascii="Times New Roman" w:hAnsi="Times New Roman"/>
          <w:sz w:val="22"/>
          <w:szCs w:val="22"/>
          <w:lang w:val="en-GB"/>
        </w:rPr>
      </w:pPr>
      <w:r w:rsidRPr="001C5AF2">
        <w:rPr>
          <w:rStyle w:val="Odwoanieprzypisudolnego"/>
          <w:rFonts w:ascii="Times New Roman" w:hAnsi="Times New Roman"/>
          <w:sz w:val="22"/>
          <w:szCs w:val="22"/>
        </w:rPr>
        <w:footnoteRef/>
      </w:r>
      <w:r>
        <w:rPr>
          <w:rFonts w:ascii="Times New Roman" w:hAnsi="Times New Roman"/>
          <w:sz w:val="22"/>
          <w:szCs w:val="22"/>
          <w:vertAlign w:val="superscript"/>
        </w:rPr>
        <w:t>)</w:t>
      </w:r>
      <w:r w:rsidRPr="001C5AF2">
        <w:rPr>
          <w:rFonts w:ascii="Times New Roman" w:hAnsi="Times New Roman"/>
          <w:sz w:val="22"/>
          <w:szCs w:val="22"/>
        </w:rPr>
        <w:t xml:space="preserve"> Jako sieci 5G Komisja Europejska zdefiniowała: </w:t>
      </w:r>
      <w:r w:rsidRPr="001C5AF2">
        <w:rPr>
          <w:rFonts w:ascii="Times New Roman" w:hAnsi="Times New Roman"/>
          <w:i/>
          <w:color w:val="000000"/>
          <w:sz w:val="22"/>
          <w:szCs w:val="22"/>
          <w:shd w:val="clear" w:color="auto" w:fill="FFFFFF"/>
        </w:rPr>
        <w:t>zbiór wszystkich istotnych elementów infrastruktury sieciowej z zakresu technologii łączności ruchomej i bezprzewodowej, wykorzystywanej na potrzeby łączności i usług o wartości dodanej, o zaawansowanych parametrach eksploatacyjnych, takich jak bardzo wysoka prędkość przesyłu danych i przepustowość łączy, łączność charakteryzująca się niskim opóźnieniem, ekstremalnie wysoka niezawodność bądź zdolność obsługi dużej liczby podłączonych urządzeń. Mogą one obejmować elementy dotychczasowych sieci wykorzystujących technologię łączności ruchomej i bezprzewodowej poprzednich generacji, takich jak 4G lub 3G. Sieci 5G należy rozumieć jako obejmujące wszystkie istotne części sieci</w:t>
      </w:r>
      <w:r w:rsidRPr="001C5AF2">
        <w:rPr>
          <w:rFonts w:ascii="Times New Roman" w:hAnsi="Times New Roman"/>
          <w:color w:val="000000"/>
          <w:sz w:val="22"/>
          <w:szCs w:val="22"/>
          <w:shd w:val="clear" w:color="auto" w:fill="FFFFFF"/>
        </w:rPr>
        <w:t>.</w:t>
      </w:r>
      <w:r w:rsidRPr="001C5AF2">
        <w:rPr>
          <w:rFonts w:ascii="Times New Roman" w:hAnsi="Times New Roman"/>
          <w:sz w:val="22"/>
          <w:szCs w:val="22"/>
        </w:rPr>
        <w:t xml:space="preserve"> Pkt II.2.a </w:t>
      </w:r>
      <w:r w:rsidRPr="001C5AF2">
        <w:rPr>
          <w:rFonts w:ascii="Times New Roman" w:hAnsi="Times New Roman"/>
          <w:color w:val="000000"/>
          <w:sz w:val="22"/>
          <w:szCs w:val="22"/>
          <w:shd w:val="clear" w:color="auto" w:fill="FFFFFF"/>
        </w:rPr>
        <w:t xml:space="preserve">Zalecenie Komisji (UE) 2019/534 z dnia 26 marca 2019 r. Cyberbezpieczeństwo sieci 5G </w:t>
      </w:r>
      <w:r w:rsidR="006510A9">
        <w:rPr>
          <w:rFonts w:ascii="Times New Roman" w:hAnsi="Times New Roman"/>
          <w:color w:val="000000"/>
          <w:sz w:val="22"/>
          <w:szCs w:val="22"/>
          <w:shd w:val="clear" w:color="auto" w:fill="FFFFFF"/>
        </w:rPr>
        <w:t>(</w:t>
      </w:r>
      <w:r w:rsidRPr="001C5AF2">
        <w:rPr>
          <w:rFonts w:ascii="Times New Roman" w:hAnsi="Times New Roman"/>
          <w:color w:val="000000"/>
          <w:sz w:val="22"/>
          <w:szCs w:val="22"/>
          <w:shd w:val="clear" w:color="auto" w:fill="FFFFFF"/>
        </w:rPr>
        <w:t xml:space="preserve">Dz. Urz. </w:t>
      </w:r>
      <w:r w:rsidRPr="001C5AF2">
        <w:rPr>
          <w:rFonts w:ascii="Times New Roman" w:hAnsi="Times New Roman"/>
          <w:color w:val="000000"/>
          <w:sz w:val="22"/>
          <w:szCs w:val="22"/>
          <w:shd w:val="clear" w:color="auto" w:fill="FFFFFF"/>
          <w:lang w:val="en-GB"/>
        </w:rPr>
        <w:t>UE L 88 z 29.3.2019, s. 42.</w:t>
      </w:r>
      <w:r w:rsidR="006510A9">
        <w:rPr>
          <w:rFonts w:ascii="Times New Roman" w:hAnsi="Times New Roman"/>
          <w:color w:val="000000"/>
          <w:sz w:val="22"/>
          <w:szCs w:val="22"/>
          <w:shd w:val="clear" w:color="auto" w:fill="FFFFFF"/>
          <w:lang w:val="en-GB"/>
        </w:rPr>
        <w:t>)</w:t>
      </w:r>
    </w:p>
  </w:footnote>
  <w:footnote w:id="53">
    <w:p w14:paraId="6D4570FB" w14:textId="510795EA" w:rsidR="00ED297B" w:rsidRPr="001C5AF2" w:rsidRDefault="00ED297B">
      <w:pPr>
        <w:pStyle w:val="Tekstprzypisudolnego"/>
        <w:rPr>
          <w:rFonts w:ascii="Times New Roman" w:hAnsi="Times New Roman"/>
          <w:sz w:val="22"/>
          <w:szCs w:val="22"/>
          <w:lang w:val="en-GB"/>
        </w:rPr>
      </w:pPr>
      <w:r w:rsidRPr="001C5AF2">
        <w:rPr>
          <w:rStyle w:val="Odwoanieprzypisudolnego"/>
          <w:rFonts w:ascii="Times New Roman" w:hAnsi="Times New Roman"/>
          <w:sz w:val="22"/>
          <w:szCs w:val="22"/>
        </w:rPr>
        <w:footnoteRef/>
      </w:r>
      <w:r>
        <w:rPr>
          <w:rFonts w:ascii="Times New Roman" w:hAnsi="Times New Roman"/>
          <w:sz w:val="22"/>
          <w:szCs w:val="22"/>
          <w:vertAlign w:val="superscript"/>
          <w:lang w:val="en-GB"/>
        </w:rPr>
        <w:t>)</w:t>
      </w:r>
      <w:r w:rsidRPr="001C5AF2">
        <w:rPr>
          <w:rFonts w:ascii="Times New Roman" w:hAnsi="Times New Roman"/>
          <w:sz w:val="22"/>
          <w:szCs w:val="22"/>
          <w:lang w:val="en-GB"/>
        </w:rPr>
        <w:t xml:space="preserve"> Report on the EU coordinated risk assessment on cybersecurity in Fifth Generation (5G) networks </w:t>
      </w:r>
      <w:r w:rsidRPr="00377FC0">
        <w:rPr>
          <w:rFonts w:ascii="Times New Roman" w:hAnsi="Times New Roman"/>
          <w:sz w:val="22"/>
          <w:szCs w:val="22"/>
          <w:lang w:val="en-GB"/>
        </w:rPr>
        <w:t>https://ec.europa.eu/commission/presscorner/detail/en/IP_19_6049</w:t>
      </w:r>
      <w:r w:rsidRPr="001C5AF2">
        <w:rPr>
          <w:rFonts w:ascii="Times New Roman" w:hAnsi="Times New Roman"/>
          <w:sz w:val="22"/>
          <w:szCs w:val="22"/>
          <w:lang w:val="en-GB"/>
        </w:rPr>
        <w:t xml:space="preserve"> , zwana dalej Unijną oceną cyberbezpieczeństwa sieci 5G”.</w:t>
      </w:r>
    </w:p>
  </w:footnote>
  <w:footnote w:id="54">
    <w:p w14:paraId="1C0C30B1" w14:textId="42AAAF4B" w:rsidR="00ED297B" w:rsidRPr="001C5AF2" w:rsidRDefault="00ED297B">
      <w:pPr>
        <w:pStyle w:val="Tekstprzypisudolnego"/>
        <w:rPr>
          <w:rFonts w:ascii="Times New Roman" w:hAnsi="Times New Roman"/>
          <w:sz w:val="22"/>
          <w:szCs w:val="22"/>
          <w:lang w:val="en-GB"/>
        </w:rPr>
      </w:pPr>
      <w:r w:rsidRPr="001C5AF2">
        <w:rPr>
          <w:rStyle w:val="Odwoanieprzypisudolnego"/>
          <w:rFonts w:ascii="Times New Roman" w:hAnsi="Times New Roman"/>
          <w:sz w:val="22"/>
          <w:szCs w:val="22"/>
        </w:rPr>
        <w:footnoteRef/>
      </w:r>
      <w:r>
        <w:rPr>
          <w:rFonts w:ascii="Times New Roman" w:hAnsi="Times New Roman"/>
          <w:sz w:val="22"/>
          <w:szCs w:val="22"/>
          <w:vertAlign w:val="superscript"/>
          <w:lang w:val="en-GB"/>
        </w:rPr>
        <w:t>)</w:t>
      </w:r>
      <w:r w:rsidRPr="001C5AF2">
        <w:rPr>
          <w:rFonts w:ascii="Times New Roman" w:hAnsi="Times New Roman"/>
          <w:sz w:val="22"/>
          <w:szCs w:val="22"/>
          <w:lang w:val="en-GB"/>
        </w:rPr>
        <w:t xml:space="preserve"> Cybersecurity of 5G networks - EU Toolbox of risk mitigating measures </w:t>
      </w:r>
      <w:r w:rsidRPr="00377FC0">
        <w:rPr>
          <w:rFonts w:ascii="Times New Roman" w:hAnsi="Times New Roman"/>
          <w:sz w:val="22"/>
          <w:szCs w:val="22"/>
          <w:lang w:val="en-GB"/>
        </w:rPr>
        <w:t>https://digital-strategy.ec.europa.eu/en/library/cybersecurity-5g-networks-eu-toolbox-risk-mitigating-measures</w:t>
      </w:r>
      <w:r w:rsidRPr="001C5AF2">
        <w:rPr>
          <w:rFonts w:ascii="Times New Roman" w:hAnsi="Times New Roman"/>
          <w:sz w:val="22"/>
          <w:szCs w:val="22"/>
          <w:lang w:val="en-GB"/>
        </w:rPr>
        <w:t xml:space="preserve">. </w:t>
      </w:r>
    </w:p>
  </w:footnote>
  <w:footnote w:id="55">
    <w:p w14:paraId="1AB4B22C" w14:textId="77777777" w:rsidR="00ED297B" w:rsidRPr="001C5AF2" w:rsidRDefault="00ED297B">
      <w:pPr>
        <w:pStyle w:val="Tekstprzypisudolnego"/>
        <w:rPr>
          <w:rFonts w:ascii="Times New Roman" w:hAnsi="Times New Roman"/>
          <w:sz w:val="22"/>
          <w:szCs w:val="22"/>
        </w:rPr>
      </w:pPr>
      <w:r w:rsidRPr="001C5AF2">
        <w:rPr>
          <w:rStyle w:val="Odwoanieprzypisudolnego"/>
          <w:rFonts w:ascii="Times New Roman" w:hAnsi="Times New Roman"/>
          <w:sz w:val="22"/>
          <w:szCs w:val="22"/>
        </w:rPr>
        <w:footnoteRef/>
      </w:r>
      <w:r>
        <w:rPr>
          <w:rFonts w:ascii="Times New Roman" w:hAnsi="Times New Roman"/>
          <w:sz w:val="22"/>
          <w:szCs w:val="22"/>
          <w:vertAlign w:val="superscript"/>
        </w:rPr>
        <w:t>)</w:t>
      </w:r>
      <w:r w:rsidRPr="001C5AF2">
        <w:rPr>
          <w:rFonts w:ascii="Times New Roman" w:hAnsi="Times New Roman"/>
          <w:sz w:val="22"/>
          <w:szCs w:val="22"/>
        </w:rPr>
        <w:t xml:space="preserve"> Unijna ocena cyberbezpieczeństwa sieci 5G str. 22, przypis 14 i 15, str. 27; Toolbox str. 43 i 44.</w:t>
      </w:r>
    </w:p>
  </w:footnote>
  <w:footnote w:id="56">
    <w:p w14:paraId="2123FA7C" w14:textId="77777777" w:rsidR="00ED297B" w:rsidRPr="001C5AF2" w:rsidRDefault="00ED297B">
      <w:pPr>
        <w:pStyle w:val="Tekstprzypisudolnego"/>
        <w:rPr>
          <w:rFonts w:ascii="Times New Roman" w:hAnsi="Times New Roman"/>
          <w:sz w:val="22"/>
          <w:szCs w:val="22"/>
        </w:rPr>
      </w:pPr>
      <w:r w:rsidRPr="001C5AF2">
        <w:rPr>
          <w:rStyle w:val="Odwoanieprzypisudolnego"/>
          <w:rFonts w:ascii="Times New Roman" w:hAnsi="Times New Roman"/>
          <w:sz w:val="22"/>
          <w:szCs w:val="22"/>
        </w:rPr>
        <w:footnoteRef/>
      </w:r>
      <w:r>
        <w:rPr>
          <w:rFonts w:ascii="Times New Roman" w:hAnsi="Times New Roman"/>
          <w:sz w:val="22"/>
          <w:szCs w:val="22"/>
          <w:vertAlign w:val="superscript"/>
        </w:rPr>
        <w:t>)</w:t>
      </w:r>
      <w:r w:rsidRPr="001C5AF2">
        <w:rPr>
          <w:rFonts w:ascii="Times New Roman" w:hAnsi="Times New Roman"/>
          <w:sz w:val="22"/>
          <w:szCs w:val="22"/>
        </w:rPr>
        <w:t xml:space="preserve"> Unijna ocena cyberbezpieczeństwa sieci 5G</w:t>
      </w:r>
      <w:r w:rsidRPr="001C5AF2" w:rsidDel="002930AA">
        <w:rPr>
          <w:rFonts w:ascii="Times New Roman" w:hAnsi="Times New Roman"/>
          <w:sz w:val="22"/>
          <w:szCs w:val="22"/>
        </w:rPr>
        <w:t xml:space="preserve"> </w:t>
      </w:r>
      <w:r w:rsidRPr="001C5AF2">
        <w:rPr>
          <w:rFonts w:ascii="Times New Roman" w:hAnsi="Times New Roman"/>
          <w:sz w:val="22"/>
          <w:szCs w:val="22"/>
        </w:rPr>
        <w:t>pkt 2.51, Toolbox 5G str. 43.</w:t>
      </w:r>
    </w:p>
  </w:footnote>
  <w:footnote w:id="57">
    <w:p w14:paraId="7C4D18DF" w14:textId="5C95BBD0" w:rsidR="00ED297B" w:rsidRDefault="00ED297B">
      <w:pPr>
        <w:pStyle w:val="Tekstprzypisudolnego"/>
      </w:pPr>
      <w:r>
        <w:rPr>
          <w:rStyle w:val="Odwoanieprzypisudolnego"/>
        </w:rPr>
        <w:footnoteRef/>
      </w:r>
      <w:r>
        <w:rPr>
          <w:vertAlign w:val="superscript"/>
        </w:rPr>
        <w:t>)</w:t>
      </w:r>
      <w:r>
        <w:t xml:space="preserve"> </w:t>
      </w:r>
      <w:r w:rsidRPr="00377FC0">
        <w:t>https://eur-lex.europa.eu/legal-content/PL/TXT/?uri=COM:2020:0050:FIN&amp;_sm_au_=iVVZRW54FHZ10n2PVkFHNKt0jRsMJ</w:t>
      </w:r>
      <w:r>
        <w:t xml:space="preserve"> </w:t>
      </w:r>
    </w:p>
  </w:footnote>
  <w:footnote w:id="58">
    <w:p w14:paraId="34C01B33" w14:textId="77777777" w:rsidR="00ED297B" w:rsidRPr="001C5AF2" w:rsidRDefault="00ED297B" w:rsidP="00BD1A3C">
      <w:pPr>
        <w:pStyle w:val="Tekstprzypisudolnego"/>
        <w:rPr>
          <w:sz w:val="22"/>
          <w:szCs w:val="22"/>
        </w:rPr>
      </w:pPr>
      <w:r w:rsidRPr="001C5AF2">
        <w:rPr>
          <w:rStyle w:val="Odwoanieprzypisudolnego"/>
          <w:sz w:val="22"/>
          <w:szCs w:val="22"/>
        </w:rPr>
        <w:footnoteRef/>
      </w:r>
      <w:r>
        <w:rPr>
          <w:sz w:val="22"/>
          <w:szCs w:val="22"/>
          <w:vertAlign w:val="superscript"/>
        </w:rPr>
        <w:t>)</w:t>
      </w:r>
      <w:r w:rsidRPr="001C5AF2">
        <w:rPr>
          <w:sz w:val="22"/>
          <w:szCs w:val="22"/>
        </w:rPr>
        <w:t xml:space="preserve"> Dla przypomnienia: produktem ICT jest element lub grupę elementów systemu informacyjnego, usługą ICT jest usługa polegającą</w:t>
      </w:r>
      <w:r>
        <w:rPr>
          <w:sz w:val="22"/>
          <w:szCs w:val="22"/>
        </w:rPr>
        <w:t xml:space="preserve"> w </w:t>
      </w:r>
      <w:r w:rsidRPr="001C5AF2">
        <w:rPr>
          <w:sz w:val="22"/>
          <w:szCs w:val="22"/>
        </w:rPr>
        <w:t>pełni lub głównie na przekazywaniu, przechowywaniu, pobieraniu lub przetwarzaniu informacji za pośrednictwem systemów informacyjnych, procesem ICT jest zestaw czynności wykonywanych</w:t>
      </w:r>
      <w:r>
        <w:rPr>
          <w:sz w:val="22"/>
          <w:szCs w:val="22"/>
        </w:rPr>
        <w:t xml:space="preserve"> w </w:t>
      </w:r>
      <w:r w:rsidRPr="001C5AF2">
        <w:rPr>
          <w:sz w:val="22"/>
          <w:szCs w:val="22"/>
        </w:rPr>
        <w:t>celu projektowania, budowy, rozwijania, dostarczania lub utrzymywania produktów ICT lub usług ICT.</w:t>
      </w:r>
    </w:p>
    <w:p w14:paraId="48E0347D" w14:textId="77777777" w:rsidR="00ED297B" w:rsidRPr="001C5AF2" w:rsidRDefault="00ED297B" w:rsidP="00BD1A3C">
      <w:pPr>
        <w:pStyle w:val="Tekstprzypisudolnego"/>
        <w:rPr>
          <w:sz w:val="22"/>
          <w:szCs w:val="22"/>
        </w:rPr>
      </w:pPr>
      <w:r w:rsidRPr="001C5AF2">
        <w:rPr>
          <w:sz w:val="22"/>
          <w:szCs w:val="22"/>
        </w:rPr>
        <w:t>Zauważyć przy tym należy, że definicja systemu informacyjnego obejmuje także sieć telekomunikacyjną - por. Sejm RP VIII kadencji, druk nr 2505, Rządowy projekt ustawy o krajowym systemie cyberbezpieczeństwa, uzasadnienie str. 18-19. https://sejm.gov.pl/Sejm8.nsf/druk.xsp?nr=2505</w:t>
      </w:r>
      <w:r>
        <w:rPr>
          <w:sz w:val="22"/>
          <w:szCs w:val="22"/>
        </w:rPr>
        <w:t>.</w:t>
      </w:r>
    </w:p>
  </w:footnote>
  <w:footnote w:id="59">
    <w:p w14:paraId="5C4A8BC1" w14:textId="443887DE" w:rsidR="00ED297B" w:rsidRPr="00BD1A3C" w:rsidRDefault="00ED297B" w:rsidP="00D830D6">
      <w:pPr>
        <w:pStyle w:val="ODNONIKtreodnonika"/>
        <w:spacing w:after="60"/>
        <w:rPr>
          <w:rFonts w:cs="Times New Roman"/>
          <w:sz w:val="22"/>
          <w:szCs w:val="22"/>
          <w:lang w:val="en-GB"/>
        </w:rPr>
      </w:pPr>
      <w:r w:rsidRPr="00603DA8">
        <w:rPr>
          <w:rStyle w:val="Odwoanieprzypisudolnego"/>
          <w:sz w:val="22"/>
          <w:szCs w:val="22"/>
        </w:rPr>
        <w:footnoteRef/>
      </w:r>
      <w:r w:rsidRPr="00BD1A3C">
        <w:rPr>
          <w:rStyle w:val="IGindeksgrny"/>
          <w:rFonts w:cs="Times New Roman"/>
          <w:sz w:val="22"/>
          <w:szCs w:val="22"/>
          <w:lang w:val="en-GB"/>
        </w:rPr>
        <w:t>)</w:t>
      </w:r>
      <w:r w:rsidRPr="00BD1A3C">
        <w:rPr>
          <w:rFonts w:cs="Times New Roman"/>
          <w:sz w:val="22"/>
          <w:szCs w:val="22"/>
          <w:lang w:val="en-GB"/>
        </w:rPr>
        <w:t xml:space="preserve"> </w:t>
      </w:r>
      <w:r w:rsidRPr="00BD1A3C">
        <w:rPr>
          <w:rFonts w:cs="Times New Roman"/>
          <w:i/>
          <w:sz w:val="22"/>
          <w:szCs w:val="22"/>
          <w:lang w:val="en-GB"/>
        </w:rPr>
        <w:t>Report on the EU coordinated risk assessment on cybersecurity in Fifth Generation (5G) networks</w:t>
      </w:r>
      <w:r w:rsidRPr="00BD1A3C">
        <w:rPr>
          <w:rFonts w:cs="Times New Roman"/>
          <w:sz w:val="22"/>
          <w:szCs w:val="22"/>
          <w:lang w:val="en-GB"/>
        </w:rPr>
        <w:t xml:space="preserve"> </w:t>
      </w:r>
      <w:r w:rsidRPr="00377FC0">
        <w:rPr>
          <w:rFonts w:cs="Times New Roman"/>
          <w:sz w:val="22"/>
          <w:szCs w:val="22"/>
          <w:lang w:val="en-GB"/>
        </w:rPr>
        <w:t>https://ec.europa.eu/commission/presscorner/detail/en/IP_19_6049</w:t>
      </w:r>
      <w:r w:rsidRPr="00BD1A3C">
        <w:rPr>
          <w:rStyle w:val="Hipercze"/>
          <w:rFonts w:cs="Times New Roman"/>
          <w:sz w:val="22"/>
          <w:szCs w:val="22"/>
          <w:lang w:val="en-GB"/>
        </w:rPr>
        <w:t>.</w:t>
      </w:r>
      <w:r w:rsidRPr="00BD1A3C">
        <w:rPr>
          <w:rFonts w:cs="Times New Roman"/>
          <w:sz w:val="22"/>
          <w:szCs w:val="22"/>
          <w:lang w:val="en-GB"/>
        </w:rPr>
        <w:t xml:space="preserve"> </w:t>
      </w:r>
    </w:p>
  </w:footnote>
  <w:footnote w:id="60">
    <w:p w14:paraId="32E05DFB" w14:textId="77777777" w:rsidR="00ED297B" w:rsidRDefault="00ED297B">
      <w:pPr>
        <w:pStyle w:val="Tekstprzypisudolnego"/>
      </w:pPr>
      <w:r>
        <w:rPr>
          <w:rStyle w:val="Odwoanieprzypisudolnego"/>
        </w:rPr>
        <w:footnoteRef/>
      </w:r>
      <w:r>
        <w:rPr>
          <w:vertAlign w:val="superscript"/>
        </w:rPr>
        <w:t>)</w:t>
      </w:r>
      <w:r>
        <w:t xml:space="preserve"> Np. cyberterroryzm w postaci ataków na infrastrukturę krytyczną państwa.</w:t>
      </w:r>
    </w:p>
  </w:footnote>
  <w:footnote w:id="61">
    <w:p w14:paraId="64822B1E" w14:textId="77777777" w:rsidR="00ED297B" w:rsidRPr="00BD1A3C" w:rsidRDefault="00ED297B" w:rsidP="00D830D6">
      <w:pPr>
        <w:pStyle w:val="ODNONIKtreodnonika"/>
        <w:tabs>
          <w:tab w:val="left" w:pos="7167"/>
        </w:tabs>
        <w:spacing w:after="60"/>
        <w:rPr>
          <w:rFonts w:cs="Times New Roman"/>
          <w:sz w:val="22"/>
          <w:szCs w:val="22"/>
        </w:rPr>
      </w:pPr>
      <w:r w:rsidRPr="00BD1A3C">
        <w:rPr>
          <w:rStyle w:val="Odwoanieprzypisudolnego"/>
          <w:sz w:val="22"/>
          <w:szCs w:val="22"/>
        </w:rPr>
        <w:footnoteRef/>
      </w:r>
      <w:r w:rsidRPr="00BD1A3C">
        <w:rPr>
          <w:rStyle w:val="IGindeksgrny"/>
          <w:rFonts w:cs="Times New Roman"/>
          <w:sz w:val="22"/>
          <w:szCs w:val="22"/>
        </w:rPr>
        <w:t>)</w:t>
      </w:r>
      <w:r w:rsidRPr="00BD1A3C">
        <w:rPr>
          <w:rFonts w:cs="Times New Roman"/>
          <w:sz w:val="22"/>
          <w:szCs w:val="22"/>
        </w:rPr>
        <w:t xml:space="preserve"> Wyrok Trybunału Konstytucyjnego z dnia 23 maja 2018 r. sygn. akt SK 8/14.</w:t>
      </w:r>
    </w:p>
  </w:footnote>
  <w:footnote w:id="62">
    <w:p w14:paraId="70BCFBEE" w14:textId="152B0608"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w:t>
      </w:r>
      <w:r w:rsidRPr="00377FC0">
        <w:rPr>
          <w:rFonts w:ascii="Times New Roman" w:hAnsi="Times New Roman"/>
          <w:sz w:val="22"/>
          <w:szCs w:val="22"/>
        </w:rPr>
        <w:t>https://www.crowdstrike.com/blog/overwatch-exposes-aquatic-panda-in-possession-of-log-4-shell-exploit-tools/</w:t>
      </w:r>
      <w:r w:rsidRPr="00BD1A3C">
        <w:rPr>
          <w:rFonts w:ascii="Times New Roman" w:hAnsi="Times New Roman"/>
          <w:sz w:val="22"/>
          <w:szCs w:val="22"/>
        </w:rPr>
        <w:t xml:space="preserve"> </w:t>
      </w:r>
    </w:p>
  </w:footnote>
  <w:footnote w:id="63">
    <w:p w14:paraId="1D19D818"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H. Kisilowska, G. Zieliński, </w:t>
      </w:r>
      <w:r w:rsidRPr="00BD1A3C">
        <w:rPr>
          <w:rFonts w:ascii="Times New Roman" w:hAnsi="Times New Roman"/>
          <w:i/>
          <w:sz w:val="22"/>
          <w:szCs w:val="22"/>
        </w:rPr>
        <w:t>Administracyjne kary pieniężne – funkcja prewencyjna i represyjna</w:t>
      </w:r>
      <w:r w:rsidRPr="00BD1A3C">
        <w:rPr>
          <w:rFonts w:ascii="Times New Roman" w:hAnsi="Times New Roman"/>
          <w:sz w:val="22"/>
          <w:szCs w:val="22"/>
        </w:rPr>
        <w:t>, Prawo</w:t>
      </w:r>
      <w:r>
        <w:rPr>
          <w:rFonts w:ascii="Times New Roman" w:hAnsi="Times New Roman"/>
          <w:sz w:val="22"/>
          <w:szCs w:val="22"/>
        </w:rPr>
        <w:t xml:space="preserve"> w </w:t>
      </w:r>
      <w:r w:rsidRPr="00BD1A3C">
        <w:rPr>
          <w:rFonts w:ascii="Times New Roman" w:hAnsi="Times New Roman"/>
          <w:sz w:val="22"/>
          <w:szCs w:val="22"/>
        </w:rPr>
        <w:t>działaniu, Sprawy Karne, 43/2020, s. 160.</w:t>
      </w:r>
    </w:p>
  </w:footnote>
  <w:footnote w:id="64">
    <w:p w14:paraId="0383C34D"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M. Czyżak, </w:t>
      </w:r>
      <w:r w:rsidRPr="00BD1A3C">
        <w:rPr>
          <w:rFonts w:ascii="Times New Roman" w:hAnsi="Times New Roman"/>
          <w:i/>
          <w:sz w:val="22"/>
          <w:szCs w:val="22"/>
        </w:rPr>
        <w:t>Fakultatywna odpowiedzialność karnoadministracyjna</w:t>
      </w:r>
      <w:r>
        <w:rPr>
          <w:rFonts w:ascii="Times New Roman" w:hAnsi="Times New Roman"/>
          <w:i/>
          <w:sz w:val="22"/>
          <w:szCs w:val="22"/>
        </w:rPr>
        <w:t xml:space="preserve"> w </w:t>
      </w:r>
      <w:r w:rsidRPr="00BD1A3C">
        <w:rPr>
          <w:rFonts w:ascii="Times New Roman" w:hAnsi="Times New Roman"/>
          <w:i/>
          <w:sz w:val="22"/>
          <w:szCs w:val="22"/>
        </w:rPr>
        <w:t>świetle nowelizacji prawa telekomunikacyjnego z 10 maja 2018 r,</w:t>
      </w:r>
      <w:r w:rsidRPr="00BD1A3C">
        <w:rPr>
          <w:rFonts w:ascii="Times New Roman" w:hAnsi="Times New Roman"/>
          <w:sz w:val="22"/>
          <w:szCs w:val="22"/>
        </w:rPr>
        <w:t xml:space="preserve"> internetowy Kwartalnik Antymonopolowy i Regulacyjny, nr 3(8), 2019, s. 69-70.</w:t>
      </w:r>
    </w:p>
  </w:footnote>
  <w:footnote w:id="65">
    <w:p w14:paraId="70E80563"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Ibidem, s. 70.</w:t>
      </w:r>
    </w:p>
  </w:footnote>
  <w:footnote w:id="66">
    <w:p w14:paraId="10238B72" w14:textId="77777777" w:rsidR="00ED297B" w:rsidRPr="00BD1A3C" w:rsidRDefault="00ED297B" w:rsidP="00D830D6">
      <w:pPr>
        <w:pStyle w:val="Tekstprzypisudolnego"/>
        <w:spacing w:after="60" w:line="240" w:lineRule="auto"/>
        <w:jc w:val="both"/>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Decyzja Nr 676/2002/WE Parlamentu Europejskiego i Rady Z dnia 7 marca 2002 r.</w:t>
      </w:r>
      <w:r>
        <w:rPr>
          <w:rFonts w:ascii="Times New Roman" w:hAnsi="Times New Roman"/>
          <w:sz w:val="22"/>
          <w:szCs w:val="22"/>
        </w:rPr>
        <w:t xml:space="preserve"> w </w:t>
      </w:r>
      <w:r w:rsidRPr="00BD1A3C">
        <w:rPr>
          <w:rFonts w:ascii="Times New Roman" w:hAnsi="Times New Roman"/>
          <w:sz w:val="22"/>
          <w:szCs w:val="22"/>
        </w:rPr>
        <w:t xml:space="preserve">sprawie ram regulacyjnych dotyczących polityki spektrum radiowego we Wspólnocie Europejskiej. </w:t>
      </w:r>
    </w:p>
  </w:footnote>
  <w:footnote w:id="67">
    <w:p w14:paraId="3EA95E38" w14:textId="77777777" w:rsidR="00ED297B" w:rsidRPr="00BD1A3C" w:rsidRDefault="00ED297B" w:rsidP="00D830D6">
      <w:pPr>
        <w:pStyle w:val="Tekstprzypisudolnego"/>
        <w:spacing w:after="60" w:line="240" w:lineRule="auto"/>
        <w:jc w:val="both"/>
        <w:rPr>
          <w:rFonts w:ascii="Times New Roman" w:hAnsi="Times New Roman"/>
          <w:sz w:val="22"/>
          <w:szCs w:val="22"/>
          <w:lang w:val="en-US"/>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lang w:val="en-US"/>
        </w:rPr>
        <w:t>)</w:t>
      </w:r>
      <w:r w:rsidRPr="00BD1A3C">
        <w:rPr>
          <w:rFonts w:ascii="Times New Roman" w:hAnsi="Times New Roman"/>
          <w:sz w:val="22"/>
          <w:szCs w:val="22"/>
          <w:lang w:val="en-US"/>
        </w:rPr>
        <w:t xml:space="preserve"> </w:t>
      </w:r>
      <w:r w:rsidRPr="00BD1A3C">
        <w:rPr>
          <w:rFonts w:ascii="Times New Roman" w:hAnsi="Times New Roman"/>
          <w:i/>
          <w:sz w:val="22"/>
          <w:szCs w:val="22"/>
          <w:lang w:val="en-US"/>
        </w:rPr>
        <w:t>Report A from CEPT to the European Commission in response to the Mandate. To develop harmonised technical conditions for the 694-790 MHz ('700 MHz') frequency band in the EU for the provision of wireless broadband and other uses in support of EU spectrum policy objectives. Report approved on 28 November 2014 by the ECC</w:t>
      </w:r>
      <w:r w:rsidRPr="00BD1A3C">
        <w:rPr>
          <w:rFonts w:ascii="Times New Roman" w:hAnsi="Times New Roman"/>
          <w:sz w:val="22"/>
          <w:szCs w:val="22"/>
          <w:lang w:val="en-US"/>
        </w:rPr>
        <w:t>.</w:t>
      </w:r>
    </w:p>
  </w:footnote>
  <w:footnote w:id="68">
    <w:p w14:paraId="029060F7" w14:textId="77777777" w:rsidR="00ED297B" w:rsidRPr="00BD1A3C" w:rsidRDefault="00ED297B" w:rsidP="00D830D6">
      <w:pPr>
        <w:pStyle w:val="Tekstprzypisudolnego"/>
        <w:spacing w:after="60" w:line="240" w:lineRule="auto"/>
        <w:jc w:val="both"/>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lang w:val="en-US"/>
        </w:rPr>
        <w:t>)</w:t>
      </w:r>
      <w:r w:rsidRPr="00BD1A3C">
        <w:rPr>
          <w:rFonts w:ascii="Times New Roman" w:hAnsi="Times New Roman"/>
          <w:sz w:val="22"/>
          <w:szCs w:val="22"/>
          <w:lang w:val="en-US"/>
        </w:rPr>
        <w:t xml:space="preserve"> </w:t>
      </w:r>
      <w:r w:rsidRPr="00BD1A3C">
        <w:rPr>
          <w:rFonts w:ascii="Times New Roman" w:hAnsi="Times New Roman"/>
          <w:i/>
          <w:sz w:val="22"/>
          <w:szCs w:val="22"/>
          <w:lang w:val="en-US"/>
        </w:rPr>
        <w:t xml:space="preserve">Report B from CEPT to the European Commission in response to the Mandate. To develop harmonised technical conditions for the 694-790 MHz ('700 MHz') frequency band in the EU for the provision of wireless broadband and other uses in support of EU spectrum policy objectives. </w:t>
      </w:r>
      <w:r w:rsidRPr="00BD1A3C">
        <w:rPr>
          <w:rFonts w:ascii="Times New Roman" w:hAnsi="Times New Roman"/>
          <w:i/>
          <w:sz w:val="22"/>
          <w:szCs w:val="22"/>
        </w:rPr>
        <w:t>Report approved on 01 March 2016 by the ECC</w:t>
      </w:r>
      <w:r w:rsidRPr="00BD1A3C">
        <w:rPr>
          <w:rFonts w:ascii="Times New Roman" w:hAnsi="Times New Roman"/>
          <w:sz w:val="22"/>
          <w:szCs w:val="22"/>
        </w:rPr>
        <w:t>.</w:t>
      </w:r>
    </w:p>
  </w:footnote>
  <w:footnote w:id="69">
    <w:p w14:paraId="77E4964E" w14:textId="77777777" w:rsidR="00ED297B" w:rsidRPr="00BD1A3C" w:rsidRDefault="00ED297B" w:rsidP="00D830D6">
      <w:pPr>
        <w:pStyle w:val="Tekstprzypisudolnego"/>
        <w:spacing w:after="60" w:line="240" w:lineRule="auto"/>
        <w:jc w:val="both"/>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Komunikat Komisji do Parlamentu Europejskiego, Rady, Europejskiego Komitetu Ekonomiczno-Społecznego i Komitetu Regionów. Strategia jednolitego rynku cyfrowego dla Europy z dnia 6 maja 2015 r. (COM(2015) 192 final).</w:t>
      </w:r>
    </w:p>
  </w:footnote>
  <w:footnote w:id="70">
    <w:p w14:paraId="17671F7C" w14:textId="77777777" w:rsidR="00ED297B" w:rsidRPr="00BD1A3C" w:rsidRDefault="00ED297B" w:rsidP="00D830D6">
      <w:pPr>
        <w:pStyle w:val="Tekstprzypisudolnego"/>
        <w:spacing w:after="60" w:line="240" w:lineRule="auto"/>
        <w:jc w:val="both"/>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Decyzja Wykonawcza Komisji (UE) 2016/687 z dnia 28 kwietnia 2016 r.</w:t>
      </w:r>
      <w:r>
        <w:rPr>
          <w:rFonts w:ascii="Times New Roman" w:hAnsi="Times New Roman"/>
          <w:sz w:val="22"/>
          <w:szCs w:val="22"/>
        </w:rPr>
        <w:t xml:space="preserve"> w </w:t>
      </w:r>
      <w:r w:rsidRPr="00BD1A3C">
        <w:rPr>
          <w:rFonts w:ascii="Times New Roman" w:hAnsi="Times New Roman"/>
          <w:sz w:val="22"/>
          <w:szCs w:val="22"/>
        </w:rPr>
        <w:t>sprawie harmonizacji zakresu częstotliwości 694</w:t>
      </w:r>
      <w:r>
        <w:rPr>
          <w:rFonts w:ascii="Times New Roman" w:hAnsi="Times New Roman"/>
          <w:sz w:val="22"/>
          <w:szCs w:val="22"/>
        </w:rPr>
        <w:t>–</w:t>
      </w:r>
      <w:r w:rsidRPr="00BD1A3C">
        <w:rPr>
          <w:rFonts w:ascii="Times New Roman" w:hAnsi="Times New Roman"/>
          <w:sz w:val="22"/>
          <w:szCs w:val="22"/>
        </w:rPr>
        <w:t>790 MHz na potrzeby systemów naziemnych zapewniających bezprzewodowe szerokopasmowe usługi łączności elektronicznej oraz na potrzeby elastycznego użytkowania na poziomie krajowym</w:t>
      </w:r>
      <w:r>
        <w:rPr>
          <w:rFonts w:ascii="Times New Roman" w:hAnsi="Times New Roman"/>
          <w:sz w:val="22"/>
          <w:szCs w:val="22"/>
        </w:rPr>
        <w:t xml:space="preserve"> w </w:t>
      </w:r>
      <w:r w:rsidRPr="00BD1A3C">
        <w:rPr>
          <w:rFonts w:ascii="Times New Roman" w:hAnsi="Times New Roman"/>
          <w:sz w:val="22"/>
          <w:szCs w:val="22"/>
        </w:rPr>
        <w:t>Unii (notyfikowana jako dokument nr C(2016) 2268).</w:t>
      </w:r>
    </w:p>
  </w:footnote>
  <w:footnote w:id="71">
    <w:p w14:paraId="6A2F86E0"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Pr>
          <w:rFonts w:ascii="Times New Roman" w:hAnsi="Times New Roman"/>
          <w:sz w:val="22"/>
          <w:szCs w:val="22"/>
          <w:vertAlign w:val="superscript"/>
        </w:rPr>
        <w:t>)</w:t>
      </w:r>
      <w:r w:rsidRPr="00BD1A3C">
        <w:rPr>
          <w:rFonts w:ascii="Times New Roman" w:hAnsi="Times New Roman"/>
          <w:sz w:val="22"/>
          <w:szCs w:val="22"/>
        </w:rPr>
        <w:t xml:space="preserve"> Decyzja Parlamentu Europejskiego i Rady (UE) 2017/899 z dnia 17 maja 2017 r.</w:t>
      </w:r>
      <w:r>
        <w:rPr>
          <w:rFonts w:ascii="Times New Roman" w:hAnsi="Times New Roman"/>
          <w:sz w:val="22"/>
          <w:szCs w:val="22"/>
        </w:rPr>
        <w:t xml:space="preserve"> w </w:t>
      </w:r>
      <w:r w:rsidRPr="00BD1A3C">
        <w:rPr>
          <w:rFonts w:ascii="Times New Roman" w:hAnsi="Times New Roman"/>
          <w:sz w:val="22"/>
          <w:szCs w:val="22"/>
        </w:rPr>
        <w:t>sprawie wykorzystywania zakresu częstotliwości 470–790 MHz</w:t>
      </w:r>
      <w:r>
        <w:rPr>
          <w:rFonts w:ascii="Times New Roman" w:hAnsi="Times New Roman"/>
          <w:sz w:val="22"/>
          <w:szCs w:val="22"/>
        </w:rPr>
        <w:t xml:space="preserve"> w </w:t>
      </w:r>
      <w:r w:rsidRPr="00BD1A3C">
        <w:rPr>
          <w:rFonts w:ascii="Times New Roman" w:hAnsi="Times New Roman"/>
          <w:sz w:val="22"/>
          <w:szCs w:val="22"/>
        </w:rPr>
        <w:t>Unii.</w:t>
      </w:r>
    </w:p>
  </w:footnote>
  <w:footnote w:id="72">
    <w:p w14:paraId="3C562D5F" w14:textId="77777777" w:rsidR="00ED297B" w:rsidRDefault="00ED297B" w:rsidP="00882E1B">
      <w:pPr>
        <w:pStyle w:val="Tekstprzypisudolnego"/>
      </w:pPr>
      <w:r>
        <w:rPr>
          <w:rStyle w:val="Odwoanieprzypisudolnego"/>
          <w:rFonts w:eastAsiaTheme="minorEastAsia"/>
        </w:rPr>
        <w:footnoteRef/>
      </w:r>
      <w:r>
        <w:t xml:space="preserve"> </w:t>
      </w:r>
      <w:r w:rsidRPr="00D47992">
        <w:t>Dz.</w:t>
      </w:r>
      <w:r>
        <w:t xml:space="preserve"> </w:t>
      </w:r>
      <w:r w:rsidRPr="00D47992">
        <w:t>U. z 202</w:t>
      </w:r>
      <w:r>
        <w:t>3</w:t>
      </w:r>
      <w:r w:rsidRPr="00D47992">
        <w:t xml:space="preserve"> r. poz. </w:t>
      </w:r>
      <w:r>
        <w:t>753 i 825</w:t>
      </w:r>
    </w:p>
  </w:footnote>
  <w:footnote w:id="73">
    <w:p w14:paraId="511761DD" w14:textId="77777777" w:rsidR="00ED297B" w:rsidRPr="00BD1A3C" w:rsidRDefault="00ED297B" w:rsidP="003941B3">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Dz. U. z 2018 r. poz. 2080.</w:t>
      </w:r>
    </w:p>
  </w:footnote>
  <w:footnote w:id="74">
    <w:p w14:paraId="091238A6" w14:textId="77777777" w:rsidR="00ED297B" w:rsidRPr="00BD1A3C" w:rsidRDefault="00ED297B" w:rsidP="003941B3">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Dz. U. z 2018 r. poz. 1952.</w:t>
      </w:r>
    </w:p>
  </w:footnote>
  <w:footnote w:id="75">
    <w:p w14:paraId="1B13F839"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Dz. U. z 2017 r. poz. 248.</w:t>
      </w:r>
    </w:p>
  </w:footnote>
  <w:footnote w:id="76">
    <w:p w14:paraId="682653DC" w14:textId="77777777" w:rsidR="00ED297B" w:rsidRPr="00BD1A3C" w:rsidRDefault="00ED297B" w:rsidP="00D830D6">
      <w:pPr>
        <w:pStyle w:val="Tekstprzypisudolnego"/>
        <w:spacing w:after="60" w:line="240" w:lineRule="auto"/>
        <w:jc w:val="both"/>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Uchwała Nr 190 Rady Ministrów z dnia 29 października 2013 r. – Regulamin pracy Rady Ministrów M.P. z 2022 r. poz. 348.</w:t>
      </w:r>
    </w:p>
  </w:footnote>
  <w:footnote w:id="77">
    <w:p w14:paraId="216BFEC2" w14:textId="77777777" w:rsidR="00ED297B" w:rsidRPr="00BD1A3C" w:rsidRDefault="00ED297B" w:rsidP="00D830D6">
      <w:pPr>
        <w:pStyle w:val="Tekstprzypisudolnego"/>
        <w:spacing w:after="60" w:line="240" w:lineRule="auto"/>
        <w:rPr>
          <w:rFonts w:ascii="Times New Roman" w:hAnsi="Times New Roman"/>
          <w:sz w:val="22"/>
          <w:szCs w:val="22"/>
        </w:rPr>
      </w:pPr>
      <w:r w:rsidRPr="00BD1A3C">
        <w:rPr>
          <w:rStyle w:val="Odwoanieprzypisudolnego"/>
          <w:rFonts w:ascii="Times New Roman" w:hAnsi="Times New Roman"/>
          <w:sz w:val="22"/>
          <w:szCs w:val="22"/>
        </w:rPr>
        <w:footnoteRef/>
      </w:r>
      <w:r w:rsidRPr="00BD1A3C">
        <w:rPr>
          <w:rFonts w:ascii="Times New Roman" w:hAnsi="Times New Roman"/>
          <w:sz w:val="22"/>
          <w:szCs w:val="22"/>
          <w:vertAlign w:val="superscript"/>
        </w:rPr>
        <w:t>)</w:t>
      </w:r>
      <w:r w:rsidRPr="00BD1A3C">
        <w:rPr>
          <w:rFonts w:ascii="Times New Roman" w:hAnsi="Times New Roman"/>
          <w:sz w:val="22"/>
          <w:szCs w:val="22"/>
        </w:rPr>
        <w:t xml:space="preserve"> Dz. U. poz. 2039</w:t>
      </w:r>
      <w:r>
        <w:rPr>
          <w:rFonts w:ascii="Times New Roman" w:hAnsi="Times New Roman"/>
          <w:sz w:val="22"/>
          <w:szCs w:val="22"/>
        </w:rPr>
        <w:t xml:space="preserve"> oraz z 2004 r.  poz. 597</w:t>
      </w:r>
      <w:r w:rsidRPr="00BD1A3C">
        <w:rPr>
          <w:rFonts w:ascii="Times New Roman" w:hAnsi="Times New Roman"/>
          <w:sz w:val="22"/>
          <w:szCs w:val="22"/>
        </w:rPr>
        <w:t>.</w:t>
      </w:r>
    </w:p>
  </w:footnote>
  <w:footnote w:id="78">
    <w:p w14:paraId="213EB00C" w14:textId="6DAF29EB" w:rsidR="0034702A" w:rsidRDefault="0034702A">
      <w:pPr>
        <w:pStyle w:val="Tekstprzypisudolnego"/>
      </w:pPr>
      <w:r>
        <w:rPr>
          <w:rStyle w:val="Odwoanieprzypisudolnego"/>
        </w:rPr>
        <w:footnoteRef/>
      </w:r>
      <w:r>
        <w:t xml:space="preserve"> </w:t>
      </w:r>
      <w:r>
        <w:rPr>
          <w:rFonts w:ascii="TimesNewRomanPSMT" w:hAnsi="TimesNewRomanPSMT" w:cs="TimesNewRomanPSMT"/>
          <w:sz w:val="20"/>
        </w:rPr>
        <w:t>Dz. Urz. UE L 321/36 z 17.12.2018, str. 1.</w:t>
      </w:r>
    </w:p>
  </w:footnote>
  <w:footnote w:id="79">
    <w:p w14:paraId="5FA5FFC8" w14:textId="48B582EE" w:rsidR="00850EE9" w:rsidRPr="00752578" w:rsidRDefault="0034702A" w:rsidP="00752578">
      <w:pPr>
        <w:widowControl/>
        <w:spacing w:line="240" w:lineRule="auto"/>
        <w:rPr>
          <w:rFonts w:ascii="TimesNewRomanPSMT" w:hAnsi="TimesNewRomanPSMT" w:cs="TimesNewRomanPSMT"/>
          <w:sz w:val="20"/>
        </w:rPr>
      </w:pPr>
      <w:r>
        <w:rPr>
          <w:rStyle w:val="Odwoanieprzypisudolnego"/>
        </w:rPr>
        <w:footnoteRef/>
      </w:r>
      <w:r>
        <w:t xml:space="preserve"> </w:t>
      </w:r>
      <w:r w:rsidR="00850EE9">
        <w:rPr>
          <w:rFonts w:ascii="TimesNewRomanPSMT" w:eastAsia="Times New Roman" w:hAnsi="TimesNewRomanPSMT" w:cs="TimesNewRomanPSMT"/>
          <w:sz w:val="20"/>
        </w:rPr>
        <w:t>Cybersecurity of 5G networks - EU Toolbox of risk mitigating measures, Cooperation Group on Network and Information Security, https://digital-strategy.ec.europa.eu/en/library/cybersecurity- 5g-networks-eu-toolbox-risk-mitigating-measures.</w:t>
      </w:r>
    </w:p>
  </w:footnote>
  <w:footnote w:id="80">
    <w:p w14:paraId="22D33BAA" w14:textId="77777777" w:rsidR="00F54466" w:rsidRPr="00377FC0" w:rsidRDefault="00F54466" w:rsidP="00F54466">
      <w:pPr>
        <w:widowControl/>
        <w:spacing w:line="240" w:lineRule="auto"/>
        <w:rPr>
          <w:rFonts w:ascii="TimesNewRomanPSMT" w:eastAsia="Times New Roman" w:hAnsi="TimesNewRomanPSMT" w:cs="TimesNewRomanPSMT"/>
          <w:color w:val="000000" w:themeColor="text1"/>
          <w:sz w:val="20"/>
        </w:rPr>
      </w:pPr>
      <w:r w:rsidRPr="00377FC0">
        <w:rPr>
          <w:rStyle w:val="Odwoanieprzypisudolnego"/>
          <w:color w:val="000000" w:themeColor="text1"/>
        </w:rPr>
        <w:footnoteRef/>
      </w:r>
      <w:r w:rsidRPr="00377FC0">
        <w:rPr>
          <w:color w:val="000000" w:themeColor="text1"/>
        </w:rPr>
        <w:t xml:space="preserve"> </w:t>
      </w:r>
      <w:r w:rsidRPr="00377FC0">
        <w:rPr>
          <w:rFonts w:ascii="TimesNewRomanPSMT" w:eastAsia="Times New Roman" w:hAnsi="TimesNewRomanPSMT" w:cs="TimesNewRomanPSMT"/>
          <w:color w:val="000000" w:themeColor="text1"/>
          <w:sz w:val="20"/>
        </w:rPr>
        <w:t>https://digital-strategy.ec.europa.eu/en/library/communication-commission-implementation-5gcybersecurity-</w:t>
      </w:r>
    </w:p>
    <w:p w14:paraId="488B4439" w14:textId="1CA4B796" w:rsidR="00F54466" w:rsidRDefault="00F54466" w:rsidP="00F54466">
      <w:pPr>
        <w:pStyle w:val="Tekstprzypisudolnego"/>
      </w:pPr>
      <w:r w:rsidRPr="00377FC0">
        <w:rPr>
          <w:rFonts w:ascii="TimesNewRomanPSMT" w:hAnsi="TimesNewRomanPSMT" w:cs="TimesNewRomanPSMT"/>
          <w:color w:val="000000" w:themeColor="text1"/>
          <w:sz w:val="20"/>
        </w:rPr>
        <w:t>toolbox.</w:t>
      </w:r>
    </w:p>
  </w:footnote>
  <w:footnote w:id="81">
    <w:p w14:paraId="3F0E4154" w14:textId="1883D2A3" w:rsidR="00850EE9" w:rsidRDefault="00850EE9">
      <w:pPr>
        <w:pStyle w:val="Tekstprzypisudolnego"/>
      </w:pPr>
      <w:r>
        <w:rPr>
          <w:rStyle w:val="Odwoanieprzypisudolnego"/>
        </w:rPr>
        <w:footnoteRef/>
      </w:r>
      <w:r>
        <w:t xml:space="preserve"> </w:t>
      </w:r>
      <w:r>
        <w:rPr>
          <w:rFonts w:ascii="TimesNewRomanPSMT" w:hAnsi="TimesNewRomanPSMT" w:cs="TimesNewRomanPSMT"/>
          <w:sz w:val="20"/>
        </w:rPr>
        <w:t>Dz. Urz. L 151/15 z 7.6.2019</w:t>
      </w:r>
      <w:r w:rsidR="00D810D0">
        <w:rPr>
          <w:rFonts w:ascii="TimesNewRomanPSMT" w:hAnsi="TimesNewRomanPSMT" w:cs="TimesNewRomanPSMT"/>
          <w:sz w:val="20"/>
        </w:rPr>
        <w:t>, str. 15</w:t>
      </w:r>
      <w:r>
        <w:rPr>
          <w:rFonts w:ascii="TimesNewRomanPSMT" w:hAnsi="TimesNewRomanPSMT" w:cs="TimesNewRomanPSMT"/>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D022370"/>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7FC8786"/>
    <w:lvl w:ilvl="0" w:tplc="7F14B3CC">
      <w:start w:val="1"/>
      <w:numFmt w:val="decimal"/>
      <w:lvlText w:val="%1."/>
      <w:lvlJc w:val="left"/>
      <w:pPr>
        <w:tabs>
          <w:tab w:val="num" w:pos="1209"/>
        </w:tabs>
        <w:ind w:left="1209" w:hanging="360"/>
      </w:pPr>
    </w:lvl>
    <w:lvl w:ilvl="1" w:tplc="115C606E">
      <w:numFmt w:val="decimal"/>
      <w:lvlText w:val=""/>
      <w:lvlJc w:val="left"/>
    </w:lvl>
    <w:lvl w:ilvl="2" w:tplc="B40816B6">
      <w:numFmt w:val="decimal"/>
      <w:lvlText w:val=""/>
      <w:lvlJc w:val="left"/>
    </w:lvl>
    <w:lvl w:ilvl="3" w:tplc="CCDA50DA">
      <w:numFmt w:val="decimal"/>
      <w:lvlText w:val=""/>
      <w:lvlJc w:val="left"/>
    </w:lvl>
    <w:lvl w:ilvl="4" w:tplc="0E82F258">
      <w:numFmt w:val="decimal"/>
      <w:lvlText w:val=""/>
      <w:lvlJc w:val="left"/>
    </w:lvl>
    <w:lvl w:ilvl="5" w:tplc="BB5E7452">
      <w:numFmt w:val="decimal"/>
      <w:lvlText w:val=""/>
      <w:lvlJc w:val="left"/>
    </w:lvl>
    <w:lvl w:ilvl="6" w:tplc="CAFC9BE6">
      <w:numFmt w:val="decimal"/>
      <w:lvlText w:val=""/>
      <w:lvlJc w:val="left"/>
    </w:lvl>
    <w:lvl w:ilvl="7" w:tplc="68F868B2">
      <w:numFmt w:val="decimal"/>
      <w:lvlText w:val=""/>
      <w:lvlJc w:val="left"/>
    </w:lvl>
    <w:lvl w:ilvl="8" w:tplc="EB082F8E">
      <w:numFmt w:val="decimal"/>
      <w:lvlText w:val=""/>
      <w:lvlJc w:val="left"/>
    </w:lvl>
  </w:abstractNum>
  <w:abstractNum w:abstractNumId="2" w15:restartNumberingAfterBreak="0">
    <w:nsid w:val="FFFFFF7E"/>
    <w:multiLevelType w:val="hybridMultilevel"/>
    <w:tmpl w:val="6EE4BB2A"/>
    <w:lvl w:ilvl="0" w:tplc="915C1A82">
      <w:start w:val="1"/>
      <w:numFmt w:val="decimal"/>
      <w:lvlText w:val="%1."/>
      <w:lvlJc w:val="left"/>
      <w:pPr>
        <w:tabs>
          <w:tab w:val="num" w:pos="926"/>
        </w:tabs>
        <w:ind w:left="926" w:hanging="360"/>
      </w:pPr>
    </w:lvl>
    <w:lvl w:ilvl="1" w:tplc="3698ADE8">
      <w:numFmt w:val="decimal"/>
      <w:lvlText w:val=""/>
      <w:lvlJc w:val="left"/>
    </w:lvl>
    <w:lvl w:ilvl="2" w:tplc="5136088A">
      <w:numFmt w:val="decimal"/>
      <w:lvlText w:val=""/>
      <w:lvlJc w:val="left"/>
    </w:lvl>
    <w:lvl w:ilvl="3" w:tplc="F12E090A">
      <w:numFmt w:val="decimal"/>
      <w:lvlText w:val=""/>
      <w:lvlJc w:val="left"/>
    </w:lvl>
    <w:lvl w:ilvl="4" w:tplc="1CC8913C">
      <w:numFmt w:val="decimal"/>
      <w:lvlText w:val=""/>
      <w:lvlJc w:val="left"/>
    </w:lvl>
    <w:lvl w:ilvl="5" w:tplc="53F2038E">
      <w:numFmt w:val="decimal"/>
      <w:lvlText w:val=""/>
      <w:lvlJc w:val="left"/>
    </w:lvl>
    <w:lvl w:ilvl="6" w:tplc="9F5CFD80">
      <w:numFmt w:val="decimal"/>
      <w:lvlText w:val=""/>
      <w:lvlJc w:val="left"/>
    </w:lvl>
    <w:lvl w:ilvl="7" w:tplc="A02EA89E">
      <w:numFmt w:val="decimal"/>
      <w:lvlText w:val=""/>
      <w:lvlJc w:val="left"/>
    </w:lvl>
    <w:lvl w:ilvl="8" w:tplc="4B2E878E">
      <w:numFmt w:val="decimal"/>
      <w:lvlText w:val=""/>
      <w:lvlJc w:val="left"/>
    </w:lvl>
  </w:abstractNum>
  <w:abstractNum w:abstractNumId="3" w15:restartNumberingAfterBreak="0">
    <w:nsid w:val="FFFFFF7F"/>
    <w:multiLevelType w:val="hybridMultilevel"/>
    <w:tmpl w:val="3F54C962"/>
    <w:lvl w:ilvl="0" w:tplc="35EC20B0">
      <w:start w:val="1"/>
      <w:numFmt w:val="decimal"/>
      <w:lvlText w:val="%1."/>
      <w:lvlJc w:val="left"/>
      <w:pPr>
        <w:tabs>
          <w:tab w:val="num" w:pos="643"/>
        </w:tabs>
        <w:ind w:left="643" w:hanging="360"/>
      </w:pPr>
    </w:lvl>
    <w:lvl w:ilvl="1" w:tplc="762004C2">
      <w:numFmt w:val="decimal"/>
      <w:lvlText w:val=""/>
      <w:lvlJc w:val="left"/>
    </w:lvl>
    <w:lvl w:ilvl="2" w:tplc="C194D012">
      <w:numFmt w:val="decimal"/>
      <w:lvlText w:val=""/>
      <w:lvlJc w:val="left"/>
    </w:lvl>
    <w:lvl w:ilvl="3" w:tplc="F10277BC">
      <w:numFmt w:val="decimal"/>
      <w:lvlText w:val=""/>
      <w:lvlJc w:val="left"/>
    </w:lvl>
    <w:lvl w:ilvl="4" w:tplc="CC9E5AA0">
      <w:numFmt w:val="decimal"/>
      <w:lvlText w:val=""/>
      <w:lvlJc w:val="left"/>
    </w:lvl>
    <w:lvl w:ilvl="5" w:tplc="3A3C7F54">
      <w:numFmt w:val="decimal"/>
      <w:lvlText w:val=""/>
      <w:lvlJc w:val="left"/>
    </w:lvl>
    <w:lvl w:ilvl="6" w:tplc="4E429B98">
      <w:numFmt w:val="decimal"/>
      <w:lvlText w:val=""/>
      <w:lvlJc w:val="left"/>
    </w:lvl>
    <w:lvl w:ilvl="7" w:tplc="936873B0">
      <w:numFmt w:val="decimal"/>
      <w:lvlText w:val=""/>
      <w:lvlJc w:val="left"/>
    </w:lvl>
    <w:lvl w:ilvl="8" w:tplc="AF665F2C">
      <w:numFmt w:val="decimal"/>
      <w:lvlText w:val=""/>
      <w:lvlJc w:val="left"/>
    </w:lvl>
  </w:abstractNum>
  <w:abstractNum w:abstractNumId="4" w15:restartNumberingAfterBreak="0">
    <w:nsid w:val="FFFFFF80"/>
    <w:multiLevelType w:val="hybridMultilevel"/>
    <w:tmpl w:val="66B6D5EA"/>
    <w:lvl w:ilvl="0" w:tplc="02F490FA">
      <w:start w:val="1"/>
      <w:numFmt w:val="bullet"/>
      <w:lvlText w:val=""/>
      <w:lvlJc w:val="left"/>
      <w:pPr>
        <w:tabs>
          <w:tab w:val="num" w:pos="1492"/>
        </w:tabs>
        <w:ind w:left="1492" w:hanging="360"/>
      </w:pPr>
      <w:rPr>
        <w:rFonts w:ascii="Symbol" w:hAnsi="Symbol" w:hint="default"/>
      </w:rPr>
    </w:lvl>
    <w:lvl w:ilvl="1" w:tplc="2888507E">
      <w:numFmt w:val="decimal"/>
      <w:lvlText w:val=""/>
      <w:lvlJc w:val="left"/>
    </w:lvl>
    <w:lvl w:ilvl="2" w:tplc="653C0AA2">
      <w:numFmt w:val="decimal"/>
      <w:lvlText w:val=""/>
      <w:lvlJc w:val="left"/>
    </w:lvl>
    <w:lvl w:ilvl="3" w:tplc="527CD9E6">
      <w:numFmt w:val="decimal"/>
      <w:lvlText w:val=""/>
      <w:lvlJc w:val="left"/>
    </w:lvl>
    <w:lvl w:ilvl="4" w:tplc="D160C5E4">
      <w:numFmt w:val="decimal"/>
      <w:lvlText w:val=""/>
      <w:lvlJc w:val="left"/>
    </w:lvl>
    <w:lvl w:ilvl="5" w:tplc="5EF44FE6">
      <w:numFmt w:val="decimal"/>
      <w:lvlText w:val=""/>
      <w:lvlJc w:val="left"/>
    </w:lvl>
    <w:lvl w:ilvl="6" w:tplc="BFFA7A3E">
      <w:numFmt w:val="decimal"/>
      <w:lvlText w:val=""/>
      <w:lvlJc w:val="left"/>
    </w:lvl>
    <w:lvl w:ilvl="7" w:tplc="30C6729C">
      <w:numFmt w:val="decimal"/>
      <w:lvlText w:val=""/>
      <w:lvlJc w:val="left"/>
    </w:lvl>
    <w:lvl w:ilvl="8" w:tplc="29D8C93A">
      <w:numFmt w:val="decimal"/>
      <w:lvlText w:val=""/>
      <w:lvlJc w:val="left"/>
    </w:lvl>
  </w:abstractNum>
  <w:abstractNum w:abstractNumId="5" w15:restartNumberingAfterBreak="0">
    <w:nsid w:val="FFFFFF81"/>
    <w:multiLevelType w:val="hybridMultilevel"/>
    <w:tmpl w:val="39062178"/>
    <w:lvl w:ilvl="0" w:tplc="D8DAC08A">
      <w:start w:val="1"/>
      <w:numFmt w:val="bullet"/>
      <w:lvlText w:val=""/>
      <w:lvlJc w:val="left"/>
      <w:pPr>
        <w:tabs>
          <w:tab w:val="num" w:pos="1209"/>
        </w:tabs>
        <w:ind w:left="1209" w:hanging="360"/>
      </w:pPr>
      <w:rPr>
        <w:rFonts w:ascii="Symbol" w:hAnsi="Symbol" w:hint="default"/>
      </w:rPr>
    </w:lvl>
    <w:lvl w:ilvl="1" w:tplc="EC34071A">
      <w:numFmt w:val="decimal"/>
      <w:lvlText w:val=""/>
      <w:lvlJc w:val="left"/>
    </w:lvl>
    <w:lvl w:ilvl="2" w:tplc="D2CC5B32">
      <w:numFmt w:val="decimal"/>
      <w:lvlText w:val=""/>
      <w:lvlJc w:val="left"/>
    </w:lvl>
    <w:lvl w:ilvl="3" w:tplc="0AE2D33C">
      <w:numFmt w:val="decimal"/>
      <w:lvlText w:val=""/>
      <w:lvlJc w:val="left"/>
    </w:lvl>
    <w:lvl w:ilvl="4" w:tplc="4ECAFE24">
      <w:numFmt w:val="decimal"/>
      <w:lvlText w:val=""/>
      <w:lvlJc w:val="left"/>
    </w:lvl>
    <w:lvl w:ilvl="5" w:tplc="631CADF6">
      <w:numFmt w:val="decimal"/>
      <w:lvlText w:val=""/>
      <w:lvlJc w:val="left"/>
    </w:lvl>
    <w:lvl w:ilvl="6" w:tplc="3E2A1E64">
      <w:numFmt w:val="decimal"/>
      <w:lvlText w:val=""/>
      <w:lvlJc w:val="left"/>
    </w:lvl>
    <w:lvl w:ilvl="7" w:tplc="50F2B89A">
      <w:numFmt w:val="decimal"/>
      <w:lvlText w:val=""/>
      <w:lvlJc w:val="left"/>
    </w:lvl>
    <w:lvl w:ilvl="8" w:tplc="6276E2FA">
      <w:numFmt w:val="decimal"/>
      <w:lvlText w:val=""/>
      <w:lvlJc w:val="left"/>
    </w:lvl>
  </w:abstractNum>
  <w:abstractNum w:abstractNumId="6" w15:restartNumberingAfterBreak="0">
    <w:nsid w:val="FFFFFF82"/>
    <w:multiLevelType w:val="hybridMultilevel"/>
    <w:tmpl w:val="0F161104"/>
    <w:lvl w:ilvl="0" w:tplc="73C492EA">
      <w:start w:val="1"/>
      <w:numFmt w:val="bullet"/>
      <w:lvlText w:val=""/>
      <w:lvlJc w:val="left"/>
      <w:pPr>
        <w:tabs>
          <w:tab w:val="num" w:pos="926"/>
        </w:tabs>
        <w:ind w:left="926" w:hanging="360"/>
      </w:pPr>
      <w:rPr>
        <w:rFonts w:ascii="Symbol" w:hAnsi="Symbol" w:hint="default"/>
      </w:rPr>
    </w:lvl>
    <w:lvl w:ilvl="1" w:tplc="C2BC571A">
      <w:numFmt w:val="decimal"/>
      <w:lvlText w:val=""/>
      <w:lvlJc w:val="left"/>
    </w:lvl>
    <w:lvl w:ilvl="2" w:tplc="F7E001E2">
      <w:numFmt w:val="decimal"/>
      <w:lvlText w:val=""/>
      <w:lvlJc w:val="left"/>
    </w:lvl>
    <w:lvl w:ilvl="3" w:tplc="9F26E81E">
      <w:numFmt w:val="decimal"/>
      <w:lvlText w:val=""/>
      <w:lvlJc w:val="left"/>
    </w:lvl>
    <w:lvl w:ilvl="4" w:tplc="429CCDA2">
      <w:numFmt w:val="decimal"/>
      <w:lvlText w:val=""/>
      <w:lvlJc w:val="left"/>
    </w:lvl>
    <w:lvl w:ilvl="5" w:tplc="6910E8CA">
      <w:numFmt w:val="decimal"/>
      <w:lvlText w:val=""/>
      <w:lvlJc w:val="left"/>
    </w:lvl>
    <w:lvl w:ilvl="6" w:tplc="388A4F60">
      <w:numFmt w:val="decimal"/>
      <w:lvlText w:val=""/>
      <w:lvlJc w:val="left"/>
    </w:lvl>
    <w:lvl w:ilvl="7" w:tplc="96581DB6">
      <w:numFmt w:val="decimal"/>
      <w:lvlText w:val=""/>
      <w:lvlJc w:val="left"/>
    </w:lvl>
    <w:lvl w:ilvl="8" w:tplc="3A4A741E">
      <w:numFmt w:val="decimal"/>
      <w:lvlText w:val=""/>
      <w:lvlJc w:val="left"/>
    </w:lvl>
  </w:abstractNum>
  <w:abstractNum w:abstractNumId="7" w15:restartNumberingAfterBreak="0">
    <w:nsid w:val="FFFFFF83"/>
    <w:multiLevelType w:val="hybridMultilevel"/>
    <w:tmpl w:val="9ACC2D38"/>
    <w:lvl w:ilvl="0" w:tplc="D9D0AE18">
      <w:start w:val="1"/>
      <w:numFmt w:val="bullet"/>
      <w:lvlText w:val=""/>
      <w:lvlJc w:val="left"/>
      <w:pPr>
        <w:tabs>
          <w:tab w:val="num" w:pos="643"/>
        </w:tabs>
        <w:ind w:left="643" w:hanging="360"/>
      </w:pPr>
      <w:rPr>
        <w:rFonts w:ascii="Symbol" w:hAnsi="Symbol" w:hint="default"/>
      </w:rPr>
    </w:lvl>
    <w:lvl w:ilvl="1" w:tplc="63121588">
      <w:numFmt w:val="decimal"/>
      <w:lvlText w:val=""/>
      <w:lvlJc w:val="left"/>
    </w:lvl>
    <w:lvl w:ilvl="2" w:tplc="84B0B8B6">
      <w:numFmt w:val="decimal"/>
      <w:lvlText w:val=""/>
      <w:lvlJc w:val="left"/>
    </w:lvl>
    <w:lvl w:ilvl="3" w:tplc="AB1A8274">
      <w:numFmt w:val="decimal"/>
      <w:lvlText w:val=""/>
      <w:lvlJc w:val="left"/>
    </w:lvl>
    <w:lvl w:ilvl="4" w:tplc="080C0E42">
      <w:numFmt w:val="decimal"/>
      <w:lvlText w:val=""/>
      <w:lvlJc w:val="left"/>
    </w:lvl>
    <w:lvl w:ilvl="5" w:tplc="39E20342">
      <w:numFmt w:val="decimal"/>
      <w:lvlText w:val=""/>
      <w:lvlJc w:val="left"/>
    </w:lvl>
    <w:lvl w:ilvl="6" w:tplc="3F18027A">
      <w:numFmt w:val="decimal"/>
      <w:lvlText w:val=""/>
      <w:lvlJc w:val="left"/>
    </w:lvl>
    <w:lvl w:ilvl="7" w:tplc="4114052E">
      <w:numFmt w:val="decimal"/>
      <w:lvlText w:val=""/>
      <w:lvlJc w:val="left"/>
    </w:lvl>
    <w:lvl w:ilvl="8" w:tplc="2F483616">
      <w:numFmt w:val="decimal"/>
      <w:lvlText w:val=""/>
      <w:lvlJc w:val="left"/>
    </w:lvl>
  </w:abstractNum>
  <w:abstractNum w:abstractNumId="8" w15:restartNumberingAfterBreak="0">
    <w:nsid w:val="FFFFFF88"/>
    <w:multiLevelType w:val="hybridMultilevel"/>
    <w:tmpl w:val="23B2B6B8"/>
    <w:lvl w:ilvl="0" w:tplc="49BC2FD8">
      <w:start w:val="1"/>
      <w:numFmt w:val="decimal"/>
      <w:lvlText w:val="%1."/>
      <w:lvlJc w:val="left"/>
      <w:pPr>
        <w:tabs>
          <w:tab w:val="num" w:pos="360"/>
        </w:tabs>
        <w:ind w:left="360" w:hanging="360"/>
      </w:pPr>
    </w:lvl>
    <w:lvl w:ilvl="1" w:tplc="D7963EE8">
      <w:numFmt w:val="decimal"/>
      <w:lvlText w:val=""/>
      <w:lvlJc w:val="left"/>
    </w:lvl>
    <w:lvl w:ilvl="2" w:tplc="97843AFC">
      <w:numFmt w:val="decimal"/>
      <w:lvlText w:val=""/>
      <w:lvlJc w:val="left"/>
    </w:lvl>
    <w:lvl w:ilvl="3" w:tplc="443E63AE">
      <w:numFmt w:val="decimal"/>
      <w:lvlText w:val=""/>
      <w:lvlJc w:val="left"/>
    </w:lvl>
    <w:lvl w:ilvl="4" w:tplc="9BEC4348">
      <w:numFmt w:val="decimal"/>
      <w:lvlText w:val=""/>
      <w:lvlJc w:val="left"/>
    </w:lvl>
    <w:lvl w:ilvl="5" w:tplc="9E00D46C">
      <w:numFmt w:val="decimal"/>
      <w:lvlText w:val=""/>
      <w:lvlJc w:val="left"/>
    </w:lvl>
    <w:lvl w:ilvl="6" w:tplc="EC60E21C">
      <w:numFmt w:val="decimal"/>
      <w:lvlText w:val=""/>
      <w:lvlJc w:val="left"/>
    </w:lvl>
    <w:lvl w:ilvl="7" w:tplc="E76A9220">
      <w:numFmt w:val="decimal"/>
      <w:lvlText w:val=""/>
      <w:lvlJc w:val="left"/>
    </w:lvl>
    <w:lvl w:ilvl="8" w:tplc="659EE004">
      <w:numFmt w:val="decimal"/>
      <w:lvlText w:val=""/>
      <w:lvlJc w:val="left"/>
    </w:lvl>
  </w:abstractNum>
  <w:abstractNum w:abstractNumId="9" w15:restartNumberingAfterBreak="0">
    <w:nsid w:val="FFFFFF89"/>
    <w:multiLevelType w:val="hybridMultilevel"/>
    <w:tmpl w:val="D0584BA6"/>
    <w:lvl w:ilvl="0" w:tplc="378EC3C6">
      <w:start w:val="1"/>
      <w:numFmt w:val="bullet"/>
      <w:lvlText w:val=""/>
      <w:lvlJc w:val="left"/>
      <w:pPr>
        <w:tabs>
          <w:tab w:val="num" w:pos="360"/>
        </w:tabs>
        <w:ind w:left="360" w:hanging="360"/>
      </w:pPr>
      <w:rPr>
        <w:rFonts w:ascii="Symbol" w:hAnsi="Symbol" w:hint="default"/>
      </w:rPr>
    </w:lvl>
    <w:lvl w:ilvl="1" w:tplc="26E6D010">
      <w:numFmt w:val="decimal"/>
      <w:lvlText w:val=""/>
      <w:lvlJc w:val="left"/>
    </w:lvl>
    <w:lvl w:ilvl="2" w:tplc="856E5ECA">
      <w:numFmt w:val="decimal"/>
      <w:lvlText w:val=""/>
      <w:lvlJc w:val="left"/>
    </w:lvl>
    <w:lvl w:ilvl="3" w:tplc="EBE65B82">
      <w:numFmt w:val="decimal"/>
      <w:lvlText w:val=""/>
      <w:lvlJc w:val="left"/>
    </w:lvl>
    <w:lvl w:ilvl="4" w:tplc="DBD6388C">
      <w:numFmt w:val="decimal"/>
      <w:lvlText w:val=""/>
      <w:lvlJc w:val="left"/>
    </w:lvl>
    <w:lvl w:ilvl="5" w:tplc="AA5C2FEC">
      <w:numFmt w:val="decimal"/>
      <w:lvlText w:val=""/>
      <w:lvlJc w:val="left"/>
    </w:lvl>
    <w:lvl w:ilvl="6" w:tplc="CD247AB2">
      <w:numFmt w:val="decimal"/>
      <w:lvlText w:val=""/>
      <w:lvlJc w:val="left"/>
    </w:lvl>
    <w:lvl w:ilvl="7" w:tplc="5B400B44">
      <w:numFmt w:val="decimal"/>
      <w:lvlText w:val=""/>
      <w:lvlJc w:val="left"/>
    </w:lvl>
    <w:lvl w:ilvl="8" w:tplc="A386BB20">
      <w:numFmt w:val="decimal"/>
      <w:lvlText w:val=""/>
      <w:lvlJc w:val="left"/>
    </w:lvl>
  </w:abstractNum>
  <w:abstractNum w:abstractNumId="10" w15:restartNumberingAfterBreak="0">
    <w:nsid w:val="02274817"/>
    <w:multiLevelType w:val="hybridMultilevel"/>
    <w:tmpl w:val="98744094"/>
    <w:lvl w:ilvl="0" w:tplc="EFD6714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02B75DB5"/>
    <w:multiLevelType w:val="hybridMultilevel"/>
    <w:tmpl w:val="7A4C3C8A"/>
    <w:lvl w:ilvl="0" w:tplc="DDDCD2C2">
      <w:start w:val="1"/>
      <w:numFmt w:val="decimal"/>
      <w:lvlText w:val="%1)"/>
      <w:lvlJc w:val="left"/>
      <w:pPr>
        <w:ind w:left="1380" w:hanging="360"/>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2" w15:restartNumberingAfterBreak="0">
    <w:nsid w:val="03254837"/>
    <w:multiLevelType w:val="hybridMultilevel"/>
    <w:tmpl w:val="5308BAE8"/>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3" w15:restartNumberingAfterBreak="0">
    <w:nsid w:val="041C4653"/>
    <w:multiLevelType w:val="hybridMultilevel"/>
    <w:tmpl w:val="A662A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4AD7FB4"/>
    <w:multiLevelType w:val="hybridMultilevel"/>
    <w:tmpl w:val="D1146822"/>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5" w15:restartNumberingAfterBreak="0">
    <w:nsid w:val="07B00D0D"/>
    <w:multiLevelType w:val="hybridMultilevel"/>
    <w:tmpl w:val="DE6ED068"/>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6" w15:restartNumberingAfterBreak="0">
    <w:nsid w:val="08194FE7"/>
    <w:multiLevelType w:val="hybridMultilevel"/>
    <w:tmpl w:val="258E1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A9F1C81"/>
    <w:multiLevelType w:val="multilevel"/>
    <w:tmpl w:val="72F8F6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CE4DA5"/>
    <w:multiLevelType w:val="hybridMultilevel"/>
    <w:tmpl w:val="2BACBADE"/>
    <w:lvl w:ilvl="0" w:tplc="C20A6D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96554E"/>
    <w:multiLevelType w:val="hybridMultilevel"/>
    <w:tmpl w:val="9E0006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F525D43"/>
    <w:multiLevelType w:val="hybridMultilevel"/>
    <w:tmpl w:val="5FD26D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7E08FC"/>
    <w:multiLevelType w:val="hybridMultilevel"/>
    <w:tmpl w:val="4EE8A1AA"/>
    <w:lvl w:ilvl="0" w:tplc="AEA8061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2" w15:restartNumberingAfterBreak="0">
    <w:nsid w:val="10D313DB"/>
    <w:multiLevelType w:val="hybridMultilevel"/>
    <w:tmpl w:val="EACAE58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3" w15:restartNumberingAfterBreak="0">
    <w:nsid w:val="11576670"/>
    <w:multiLevelType w:val="hybridMultilevel"/>
    <w:tmpl w:val="27AC3D58"/>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24" w15:restartNumberingAfterBreak="0">
    <w:nsid w:val="135D0E14"/>
    <w:multiLevelType w:val="hybridMultilevel"/>
    <w:tmpl w:val="07746D28"/>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25" w15:restartNumberingAfterBreak="0">
    <w:nsid w:val="136007B0"/>
    <w:multiLevelType w:val="hybridMultilevel"/>
    <w:tmpl w:val="18D29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3612C53"/>
    <w:multiLevelType w:val="hybridMultilevel"/>
    <w:tmpl w:val="338CE62E"/>
    <w:lvl w:ilvl="0" w:tplc="817E6236">
      <w:start w:val="2"/>
      <w:numFmt w:val="decimal"/>
      <w:lvlText w:val="%1."/>
      <w:lvlJc w:val="left"/>
      <w:pPr>
        <w:ind w:left="530" w:hanging="360"/>
      </w:pPr>
      <w:rPr>
        <w:rFonts w:hint="default"/>
      </w:rPr>
    </w:lvl>
    <w:lvl w:ilvl="1" w:tplc="04150019" w:tentative="1">
      <w:start w:val="1"/>
      <w:numFmt w:val="lowerLetter"/>
      <w:lvlText w:val="%2."/>
      <w:lvlJc w:val="left"/>
      <w:pPr>
        <w:ind w:left="1250" w:hanging="360"/>
      </w:pPr>
    </w:lvl>
    <w:lvl w:ilvl="2" w:tplc="0415001B" w:tentative="1">
      <w:start w:val="1"/>
      <w:numFmt w:val="lowerRoman"/>
      <w:lvlText w:val="%3."/>
      <w:lvlJc w:val="right"/>
      <w:pPr>
        <w:ind w:left="1970" w:hanging="180"/>
      </w:pPr>
    </w:lvl>
    <w:lvl w:ilvl="3" w:tplc="0415000F" w:tentative="1">
      <w:start w:val="1"/>
      <w:numFmt w:val="decimal"/>
      <w:lvlText w:val="%4."/>
      <w:lvlJc w:val="left"/>
      <w:pPr>
        <w:ind w:left="2690" w:hanging="360"/>
      </w:pPr>
    </w:lvl>
    <w:lvl w:ilvl="4" w:tplc="04150019" w:tentative="1">
      <w:start w:val="1"/>
      <w:numFmt w:val="lowerLetter"/>
      <w:lvlText w:val="%5."/>
      <w:lvlJc w:val="left"/>
      <w:pPr>
        <w:ind w:left="3410" w:hanging="360"/>
      </w:pPr>
    </w:lvl>
    <w:lvl w:ilvl="5" w:tplc="0415001B" w:tentative="1">
      <w:start w:val="1"/>
      <w:numFmt w:val="lowerRoman"/>
      <w:lvlText w:val="%6."/>
      <w:lvlJc w:val="right"/>
      <w:pPr>
        <w:ind w:left="4130" w:hanging="180"/>
      </w:pPr>
    </w:lvl>
    <w:lvl w:ilvl="6" w:tplc="0415000F" w:tentative="1">
      <w:start w:val="1"/>
      <w:numFmt w:val="decimal"/>
      <w:lvlText w:val="%7."/>
      <w:lvlJc w:val="left"/>
      <w:pPr>
        <w:ind w:left="4850" w:hanging="360"/>
      </w:pPr>
    </w:lvl>
    <w:lvl w:ilvl="7" w:tplc="04150019" w:tentative="1">
      <w:start w:val="1"/>
      <w:numFmt w:val="lowerLetter"/>
      <w:lvlText w:val="%8."/>
      <w:lvlJc w:val="left"/>
      <w:pPr>
        <w:ind w:left="5570" w:hanging="360"/>
      </w:pPr>
    </w:lvl>
    <w:lvl w:ilvl="8" w:tplc="0415001B" w:tentative="1">
      <w:start w:val="1"/>
      <w:numFmt w:val="lowerRoman"/>
      <w:lvlText w:val="%9."/>
      <w:lvlJc w:val="right"/>
      <w:pPr>
        <w:ind w:left="6290" w:hanging="180"/>
      </w:pPr>
    </w:lvl>
  </w:abstractNum>
  <w:abstractNum w:abstractNumId="27" w15:restartNumberingAfterBreak="0">
    <w:nsid w:val="13B548DC"/>
    <w:multiLevelType w:val="hybridMultilevel"/>
    <w:tmpl w:val="6F2453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3201D6"/>
    <w:multiLevelType w:val="hybridMultilevel"/>
    <w:tmpl w:val="4CF821DA"/>
    <w:lvl w:ilvl="0" w:tplc="0AE2D56C">
      <w:start w:val="11"/>
      <w:numFmt w:val="decimal"/>
      <w:lvlText w:val="%1."/>
      <w:lvlJc w:val="left"/>
      <w:pPr>
        <w:ind w:left="7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D13904"/>
    <w:multiLevelType w:val="hybridMultilevel"/>
    <w:tmpl w:val="48DEF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50F028C"/>
    <w:multiLevelType w:val="hybridMultilevel"/>
    <w:tmpl w:val="E28C94B2"/>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1" w15:restartNumberingAfterBreak="0">
    <w:nsid w:val="15A05C26"/>
    <w:multiLevelType w:val="hybridMultilevel"/>
    <w:tmpl w:val="D2AA529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2" w15:restartNumberingAfterBreak="0">
    <w:nsid w:val="15D1399A"/>
    <w:multiLevelType w:val="hybridMultilevel"/>
    <w:tmpl w:val="147AE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113AB4"/>
    <w:multiLevelType w:val="multilevel"/>
    <w:tmpl w:val="7820EF7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6765314"/>
    <w:multiLevelType w:val="hybridMultilevel"/>
    <w:tmpl w:val="010CA0B4"/>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5" w15:restartNumberingAfterBreak="0">
    <w:nsid w:val="17263B42"/>
    <w:multiLevelType w:val="hybridMultilevel"/>
    <w:tmpl w:val="49A23B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173E529B"/>
    <w:multiLevelType w:val="hybridMultilevel"/>
    <w:tmpl w:val="C870F22E"/>
    <w:lvl w:ilvl="0" w:tplc="114035B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7" w15:restartNumberingAfterBreak="0">
    <w:nsid w:val="182B6958"/>
    <w:multiLevelType w:val="hybridMultilevel"/>
    <w:tmpl w:val="2E9A35DC"/>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8" w15:restartNumberingAfterBreak="0">
    <w:nsid w:val="1BB401BB"/>
    <w:multiLevelType w:val="hybridMultilevel"/>
    <w:tmpl w:val="42CE4A84"/>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39" w15:restartNumberingAfterBreak="0">
    <w:nsid w:val="1C9F2970"/>
    <w:multiLevelType w:val="multilevel"/>
    <w:tmpl w:val="FAECC1E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0" w15:restartNumberingAfterBreak="0">
    <w:nsid w:val="1FE2528B"/>
    <w:multiLevelType w:val="hybridMultilevel"/>
    <w:tmpl w:val="7FF2D768"/>
    <w:lvl w:ilvl="0" w:tplc="ABD215F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04C2FF7"/>
    <w:multiLevelType w:val="hybridMultilevel"/>
    <w:tmpl w:val="8E409C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1225725"/>
    <w:multiLevelType w:val="hybridMultilevel"/>
    <w:tmpl w:val="F51CD2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37E511C"/>
    <w:multiLevelType w:val="hybridMultilevel"/>
    <w:tmpl w:val="DD1ADF06"/>
    <w:lvl w:ilvl="0" w:tplc="DDDCD2C2">
      <w:start w:val="1"/>
      <w:numFmt w:val="decimal"/>
      <w:lvlText w:val="%1)"/>
      <w:lvlJc w:val="left"/>
      <w:pPr>
        <w:ind w:left="870" w:hanging="360"/>
      </w:pPr>
      <w:rPr>
        <w:rFonts w:hint="default"/>
      </w:rPr>
    </w:lvl>
    <w:lvl w:ilvl="1" w:tplc="04150019">
      <w:start w:val="1"/>
      <w:numFmt w:val="lowerLetter"/>
      <w:lvlText w:val="%2."/>
      <w:lvlJc w:val="left"/>
      <w:pPr>
        <w:ind w:left="1590" w:hanging="360"/>
      </w:pPr>
    </w:lvl>
    <w:lvl w:ilvl="2" w:tplc="04150001">
      <w:start w:val="1"/>
      <w:numFmt w:val="bullet"/>
      <w:lvlText w:val=""/>
      <w:lvlJc w:val="left"/>
      <w:pPr>
        <w:ind w:left="2310" w:hanging="180"/>
      </w:pPr>
      <w:rPr>
        <w:rFonts w:ascii="Symbol" w:hAnsi="Symbol" w:hint="default"/>
      </w:r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4" w15:restartNumberingAfterBreak="0">
    <w:nsid w:val="24B85A25"/>
    <w:multiLevelType w:val="hybridMultilevel"/>
    <w:tmpl w:val="9B50D5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597385B"/>
    <w:multiLevelType w:val="hybridMultilevel"/>
    <w:tmpl w:val="78BEB088"/>
    <w:lvl w:ilvl="0" w:tplc="6DE6AC3A">
      <w:start w:val="2"/>
      <w:numFmt w:val="decimal"/>
      <w:lvlText w:val="%1."/>
      <w:lvlJc w:val="left"/>
      <w:pPr>
        <w:tabs>
          <w:tab w:val="num" w:pos="720"/>
        </w:tabs>
        <w:ind w:left="720" w:hanging="360"/>
      </w:pPr>
    </w:lvl>
    <w:lvl w:ilvl="1" w:tplc="D23A7A02" w:tentative="1">
      <w:start w:val="1"/>
      <w:numFmt w:val="decimal"/>
      <w:lvlText w:val="%2."/>
      <w:lvlJc w:val="left"/>
      <w:pPr>
        <w:tabs>
          <w:tab w:val="num" w:pos="1440"/>
        </w:tabs>
        <w:ind w:left="1440" w:hanging="360"/>
      </w:pPr>
    </w:lvl>
    <w:lvl w:ilvl="2" w:tplc="275EA192" w:tentative="1">
      <w:start w:val="1"/>
      <w:numFmt w:val="decimal"/>
      <w:lvlText w:val="%3."/>
      <w:lvlJc w:val="left"/>
      <w:pPr>
        <w:tabs>
          <w:tab w:val="num" w:pos="2160"/>
        </w:tabs>
        <w:ind w:left="2160" w:hanging="360"/>
      </w:pPr>
    </w:lvl>
    <w:lvl w:ilvl="3" w:tplc="FF2CE344" w:tentative="1">
      <w:start w:val="1"/>
      <w:numFmt w:val="decimal"/>
      <w:lvlText w:val="%4."/>
      <w:lvlJc w:val="left"/>
      <w:pPr>
        <w:tabs>
          <w:tab w:val="num" w:pos="2880"/>
        </w:tabs>
        <w:ind w:left="2880" w:hanging="360"/>
      </w:pPr>
    </w:lvl>
    <w:lvl w:ilvl="4" w:tplc="53708928" w:tentative="1">
      <w:start w:val="1"/>
      <w:numFmt w:val="decimal"/>
      <w:lvlText w:val="%5."/>
      <w:lvlJc w:val="left"/>
      <w:pPr>
        <w:tabs>
          <w:tab w:val="num" w:pos="3600"/>
        </w:tabs>
        <w:ind w:left="3600" w:hanging="360"/>
      </w:pPr>
    </w:lvl>
    <w:lvl w:ilvl="5" w:tplc="5E9C1586" w:tentative="1">
      <w:start w:val="1"/>
      <w:numFmt w:val="decimal"/>
      <w:lvlText w:val="%6."/>
      <w:lvlJc w:val="left"/>
      <w:pPr>
        <w:tabs>
          <w:tab w:val="num" w:pos="4320"/>
        </w:tabs>
        <w:ind w:left="4320" w:hanging="360"/>
      </w:pPr>
    </w:lvl>
    <w:lvl w:ilvl="6" w:tplc="1248D25C" w:tentative="1">
      <w:start w:val="1"/>
      <w:numFmt w:val="decimal"/>
      <w:lvlText w:val="%7."/>
      <w:lvlJc w:val="left"/>
      <w:pPr>
        <w:tabs>
          <w:tab w:val="num" w:pos="5040"/>
        </w:tabs>
        <w:ind w:left="5040" w:hanging="360"/>
      </w:pPr>
    </w:lvl>
    <w:lvl w:ilvl="7" w:tplc="B5C266F6" w:tentative="1">
      <w:start w:val="1"/>
      <w:numFmt w:val="decimal"/>
      <w:lvlText w:val="%8."/>
      <w:lvlJc w:val="left"/>
      <w:pPr>
        <w:tabs>
          <w:tab w:val="num" w:pos="5760"/>
        </w:tabs>
        <w:ind w:left="5760" w:hanging="360"/>
      </w:pPr>
    </w:lvl>
    <w:lvl w:ilvl="8" w:tplc="43D6ECE8" w:tentative="1">
      <w:start w:val="1"/>
      <w:numFmt w:val="decimal"/>
      <w:lvlText w:val="%9."/>
      <w:lvlJc w:val="left"/>
      <w:pPr>
        <w:tabs>
          <w:tab w:val="num" w:pos="6480"/>
        </w:tabs>
        <w:ind w:left="6480" w:hanging="360"/>
      </w:pPr>
    </w:lvl>
  </w:abstractNum>
  <w:abstractNum w:abstractNumId="46" w15:restartNumberingAfterBreak="0">
    <w:nsid w:val="26CE56DB"/>
    <w:multiLevelType w:val="hybridMultilevel"/>
    <w:tmpl w:val="01C068DC"/>
    <w:lvl w:ilvl="0" w:tplc="BAE8D618">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47" w15:restartNumberingAfterBreak="0">
    <w:nsid w:val="28533325"/>
    <w:multiLevelType w:val="hybridMultilevel"/>
    <w:tmpl w:val="00225298"/>
    <w:lvl w:ilvl="0" w:tplc="1B3898F2">
      <w:start w:val="1"/>
      <w:numFmt w:val="decimal"/>
      <w:lvlText w:val="%1)"/>
      <w:lvlJc w:val="left"/>
      <w:pPr>
        <w:ind w:left="945" w:hanging="435"/>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8" w15:restartNumberingAfterBreak="0">
    <w:nsid w:val="286269BC"/>
    <w:multiLevelType w:val="hybridMultilevel"/>
    <w:tmpl w:val="39D87B22"/>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9" w15:restartNumberingAfterBreak="0">
    <w:nsid w:val="28EA6498"/>
    <w:multiLevelType w:val="hybridMultilevel"/>
    <w:tmpl w:val="B3BA747A"/>
    <w:lvl w:ilvl="0" w:tplc="114035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9B949E3"/>
    <w:multiLevelType w:val="hybridMultilevel"/>
    <w:tmpl w:val="3940C046"/>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1" w15:restartNumberingAfterBreak="0">
    <w:nsid w:val="2A74524F"/>
    <w:multiLevelType w:val="hybridMultilevel"/>
    <w:tmpl w:val="ABF0C2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D2C2595"/>
    <w:multiLevelType w:val="hybridMultilevel"/>
    <w:tmpl w:val="0988EC6A"/>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3" w15:restartNumberingAfterBreak="0">
    <w:nsid w:val="2DD91777"/>
    <w:multiLevelType w:val="hybridMultilevel"/>
    <w:tmpl w:val="C35E7C7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4" w15:restartNumberingAfterBreak="0">
    <w:nsid w:val="33272520"/>
    <w:multiLevelType w:val="hybridMultilevel"/>
    <w:tmpl w:val="DB92FF2A"/>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5" w15:restartNumberingAfterBreak="0">
    <w:nsid w:val="3430413B"/>
    <w:multiLevelType w:val="hybridMultilevel"/>
    <w:tmpl w:val="49FEEF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34431D55"/>
    <w:multiLevelType w:val="hybridMultilevel"/>
    <w:tmpl w:val="1006279C"/>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57" w15:restartNumberingAfterBreak="0">
    <w:nsid w:val="347F2B86"/>
    <w:multiLevelType w:val="hybridMultilevel"/>
    <w:tmpl w:val="D4D8FCA0"/>
    <w:lvl w:ilvl="0" w:tplc="54E66608">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8" w15:restartNumberingAfterBreak="0">
    <w:nsid w:val="356B1107"/>
    <w:multiLevelType w:val="hybridMultilevel"/>
    <w:tmpl w:val="DA2EC38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60B76D1"/>
    <w:multiLevelType w:val="hybridMultilevel"/>
    <w:tmpl w:val="08B8C22C"/>
    <w:lvl w:ilvl="0" w:tplc="7D742F86">
      <w:start w:val="12"/>
      <w:numFmt w:val="decimal"/>
      <w:lvlText w:val="%1."/>
      <w:lvlJc w:val="left"/>
      <w:pPr>
        <w:ind w:left="7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6EB1033"/>
    <w:multiLevelType w:val="hybridMultilevel"/>
    <w:tmpl w:val="3B78B42E"/>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72957FA"/>
    <w:multiLevelType w:val="hybridMultilevel"/>
    <w:tmpl w:val="5C9087AE"/>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62" w15:restartNumberingAfterBreak="0">
    <w:nsid w:val="3735292F"/>
    <w:multiLevelType w:val="hybridMultilevel"/>
    <w:tmpl w:val="669C0E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78D5011"/>
    <w:multiLevelType w:val="hybridMultilevel"/>
    <w:tmpl w:val="AE80D6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9D73B21"/>
    <w:multiLevelType w:val="hybridMultilevel"/>
    <w:tmpl w:val="32D6AD8A"/>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65" w15:restartNumberingAfterBreak="0">
    <w:nsid w:val="3B323235"/>
    <w:multiLevelType w:val="hybridMultilevel"/>
    <w:tmpl w:val="8B3CE0DE"/>
    <w:lvl w:ilvl="0" w:tplc="A574C2FA">
      <w:start w:val="8"/>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DB32ED9"/>
    <w:multiLevelType w:val="hybridMultilevel"/>
    <w:tmpl w:val="CEC26CC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40287F8E"/>
    <w:multiLevelType w:val="hybridMultilevel"/>
    <w:tmpl w:val="9650FAC6"/>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8" w15:restartNumberingAfterBreak="0">
    <w:nsid w:val="404B4F30"/>
    <w:multiLevelType w:val="hybridMultilevel"/>
    <w:tmpl w:val="711CB72E"/>
    <w:lvl w:ilvl="0" w:tplc="1B3898F2">
      <w:start w:val="1"/>
      <w:numFmt w:val="decimal"/>
      <w:lvlText w:val="%1)"/>
      <w:lvlJc w:val="left"/>
      <w:pPr>
        <w:ind w:left="1455" w:hanging="435"/>
      </w:pPr>
      <w:rPr>
        <w:rFonts w:hint="default"/>
      </w:r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69" w15:restartNumberingAfterBreak="0">
    <w:nsid w:val="411B64FF"/>
    <w:multiLevelType w:val="hybridMultilevel"/>
    <w:tmpl w:val="92FA2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1261EF2"/>
    <w:multiLevelType w:val="hybridMultilevel"/>
    <w:tmpl w:val="A3A463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2F02FC9"/>
    <w:multiLevelType w:val="hybridMultilevel"/>
    <w:tmpl w:val="FCB43554"/>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72" w15:restartNumberingAfterBreak="0">
    <w:nsid w:val="43C46995"/>
    <w:multiLevelType w:val="hybridMultilevel"/>
    <w:tmpl w:val="7E8EA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8AB07D4"/>
    <w:multiLevelType w:val="hybridMultilevel"/>
    <w:tmpl w:val="A0461CF8"/>
    <w:lvl w:ilvl="0" w:tplc="DDDCD2C2">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74" w15:restartNumberingAfterBreak="0">
    <w:nsid w:val="494364AC"/>
    <w:multiLevelType w:val="hybridMultilevel"/>
    <w:tmpl w:val="F5EC27BE"/>
    <w:lvl w:ilvl="0" w:tplc="BAE8D6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96B5548"/>
    <w:multiLevelType w:val="hybridMultilevel"/>
    <w:tmpl w:val="0A828328"/>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76" w15:restartNumberingAfterBreak="0">
    <w:nsid w:val="4C5757F9"/>
    <w:multiLevelType w:val="hybridMultilevel"/>
    <w:tmpl w:val="349218E2"/>
    <w:lvl w:ilvl="0" w:tplc="7F46FE4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4C5936F2"/>
    <w:multiLevelType w:val="hybridMultilevel"/>
    <w:tmpl w:val="E1B8D57C"/>
    <w:lvl w:ilvl="0" w:tplc="0415000F">
      <w:start w:val="1"/>
      <w:numFmt w:val="decimal"/>
      <w:lvlText w:val="%1."/>
      <w:lvlJc w:val="left"/>
      <w:pPr>
        <w:ind w:left="754" w:hanging="360"/>
      </w:pPr>
    </w:lvl>
    <w:lvl w:ilvl="1" w:tplc="04150019" w:tentative="1">
      <w:start w:val="1"/>
      <w:numFmt w:val="lowerLetter"/>
      <w:lvlText w:val="%2."/>
      <w:lvlJc w:val="left"/>
      <w:pPr>
        <w:ind w:left="1474" w:hanging="360"/>
      </w:pPr>
    </w:lvl>
    <w:lvl w:ilvl="2" w:tplc="0415001B" w:tentative="1">
      <w:start w:val="1"/>
      <w:numFmt w:val="lowerRoman"/>
      <w:lvlText w:val="%3."/>
      <w:lvlJc w:val="right"/>
      <w:pPr>
        <w:ind w:left="2194" w:hanging="180"/>
      </w:pPr>
    </w:lvl>
    <w:lvl w:ilvl="3" w:tplc="0415000F" w:tentative="1">
      <w:start w:val="1"/>
      <w:numFmt w:val="decimal"/>
      <w:lvlText w:val="%4."/>
      <w:lvlJc w:val="left"/>
      <w:pPr>
        <w:ind w:left="2914" w:hanging="360"/>
      </w:pPr>
    </w:lvl>
    <w:lvl w:ilvl="4" w:tplc="04150019" w:tentative="1">
      <w:start w:val="1"/>
      <w:numFmt w:val="lowerLetter"/>
      <w:lvlText w:val="%5."/>
      <w:lvlJc w:val="left"/>
      <w:pPr>
        <w:ind w:left="3634" w:hanging="360"/>
      </w:pPr>
    </w:lvl>
    <w:lvl w:ilvl="5" w:tplc="0415001B" w:tentative="1">
      <w:start w:val="1"/>
      <w:numFmt w:val="lowerRoman"/>
      <w:lvlText w:val="%6."/>
      <w:lvlJc w:val="right"/>
      <w:pPr>
        <w:ind w:left="4354" w:hanging="180"/>
      </w:pPr>
    </w:lvl>
    <w:lvl w:ilvl="6" w:tplc="0415000F" w:tentative="1">
      <w:start w:val="1"/>
      <w:numFmt w:val="decimal"/>
      <w:lvlText w:val="%7."/>
      <w:lvlJc w:val="left"/>
      <w:pPr>
        <w:ind w:left="5074" w:hanging="360"/>
      </w:pPr>
    </w:lvl>
    <w:lvl w:ilvl="7" w:tplc="04150019" w:tentative="1">
      <w:start w:val="1"/>
      <w:numFmt w:val="lowerLetter"/>
      <w:lvlText w:val="%8."/>
      <w:lvlJc w:val="left"/>
      <w:pPr>
        <w:ind w:left="5794" w:hanging="360"/>
      </w:pPr>
    </w:lvl>
    <w:lvl w:ilvl="8" w:tplc="0415001B" w:tentative="1">
      <w:start w:val="1"/>
      <w:numFmt w:val="lowerRoman"/>
      <w:lvlText w:val="%9."/>
      <w:lvlJc w:val="right"/>
      <w:pPr>
        <w:ind w:left="6514" w:hanging="180"/>
      </w:pPr>
    </w:lvl>
  </w:abstractNum>
  <w:abstractNum w:abstractNumId="78" w15:restartNumberingAfterBreak="0">
    <w:nsid w:val="4D532DF8"/>
    <w:multiLevelType w:val="hybridMultilevel"/>
    <w:tmpl w:val="85A6A2BA"/>
    <w:lvl w:ilvl="0" w:tplc="3E12945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DFE5719"/>
    <w:multiLevelType w:val="hybridMultilevel"/>
    <w:tmpl w:val="203616EE"/>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80" w15:restartNumberingAfterBreak="0">
    <w:nsid w:val="507B51A4"/>
    <w:multiLevelType w:val="hybridMultilevel"/>
    <w:tmpl w:val="E230028E"/>
    <w:lvl w:ilvl="0" w:tplc="35B4B804">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1" w15:restartNumberingAfterBreak="0">
    <w:nsid w:val="519B5D94"/>
    <w:multiLevelType w:val="hybridMultilevel"/>
    <w:tmpl w:val="EDE88888"/>
    <w:lvl w:ilvl="0" w:tplc="BAE8D6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3F6550C"/>
    <w:multiLevelType w:val="hybridMultilevel"/>
    <w:tmpl w:val="0DBC3742"/>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83" w15:restartNumberingAfterBreak="0">
    <w:nsid w:val="54824B5C"/>
    <w:multiLevelType w:val="hybridMultilevel"/>
    <w:tmpl w:val="B35C70E6"/>
    <w:lvl w:ilvl="0" w:tplc="114035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55BE28EE"/>
    <w:multiLevelType w:val="hybridMultilevel"/>
    <w:tmpl w:val="17DCD01E"/>
    <w:lvl w:ilvl="0" w:tplc="8E48DBD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8807BEF"/>
    <w:multiLevelType w:val="hybridMultilevel"/>
    <w:tmpl w:val="B3402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B384B78"/>
    <w:multiLevelType w:val="hybridMultilevel"/>
    <w:tmpl w:val="F636F638"/>
    <w:lvl w:ilvl="0" w:tplc="4088F192">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7" w15:restartNumberingAfterBreak="0">
    <w:nsid w:val="5C5A21CF"/>
    <w:multiLevelType w:val="hybridMultilevel"/>
    <w:tmpl w:val="F514AF64"/>
    <w:lvl w:ilvl="0" w:tplc="1E2CD2F0">
      <w:start w:val="2"/>
      <w:numFmt w:val="decimal"/>
      <w:lvlText w:val="%1."/>
      <w:lvlJc w:val="left"/>
      <w:pPr>
        <w:ind w:left="1210" w:hanging="360"/>
      </w:pPr>
      <w:rPr>
        <w:rFonts w:ascii="Times New Roman" w:eastAsiaTheme="minorEastAsia" w:hAnsi="Times New Roman" w:cs="Arial" w:hint="default"/>
        <w:sz w:val="24"/>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8" w15:restartNumberingAfterBreak="0">
    <w:nsid w:val="5DB813AB"/>
    <w:multiLevelType w:val="hybridMultilevel"/>
    <w:tmpl w:val="CCD4842C"/>
    <w:lvl w:ilvl="0" w:tplc="BAE8D618">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89" w15:restartNumberingAfterBreak="0">
    <w:nsid w:val="5E5B198C"/>
    <w:multiLevelType w:val="hybridMultilevel"/>
    <w:tmpl w:val="67AA654E"/>
    <w:lvl w:ilvl="0" w:tplc="114035B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0" w15:restartNumberingAfterBreak="0">
    <w:nsid w:val="60DC2FED"/>
    <w:multiLevelType w:val="hybridMultilevel"/>
    <w:tmpl w:val="A74EC5AC"/>
    <w:lvl w:ilvl="0" w:tplc="480E97E4">
      <w:start w:val="1"/>
      <w:numFmt w:val="lowerLetter"/>
      <w:lvlText w:val="%1)"/>
      <w:lvlJc w:val="left"/>
      <w:pPr>
        <w:ind w:left="930" w:hanging="42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1" w15:restartNumberingAfterBreak="0">
    <w:nsid w:val="611B1454"/>
    <w:multiLevelType w:val="hybridMultilevel"/>
    <w:tmpl w:val="4394D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61204303"/>
    <w:multiLevelType w:val="hybridMultilevel"/>
    <w:tmpl w:val="D734937C"/>
    <w:lvl w:ilvl="0" w:tplc="DDDCD2C2">
      <w:start w:val="1"/>
      <w:numFmt w:val="decimal"/>
      <w:lvlText w:val="%1)"/>
      <w:lvlJc w:val="left"/>
      <w:pPr>
        <w:ind w:left="870" w:hanging="360"/>
      </w:pPr>
      <w:rPr>
        <w:rFonts w:hint="default"/>
      </w:rPr>
    </w:lvl>
    <w:lvl w:ilvl="1" w:tplc="04150019">
      <w:start w:val="1"/>
      <w:numFmt w:val="lowerLetter"/>
      <w:lvlText w:val="%2."/>
      <w:lvlJc w:val="left"/>
      <w:pPr>
        <w:ind w:left="1590" w:hanging="360"/>
      </w:pPr>
    </w:lvl>
    <w:lvl w:ilvl="2" w:tplc="0415001B">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93" w15:restartNumberingAfterBreak="0">
    <w:nsid w:val="61AE2034"/>
    <w:multiLevelType w:val="hybridMultilevel"/>
    <w:tmpl w:val="48065EC8"/>
    <w:lvl w:ilvl="0" w:tplc="CD6AFDC2">
      <w:start w:val="6"/>
      <w:numFmt w:val="decimal"/>
      <w:lvlText w:val="%1."/>
      <w:lvlJc w:val="left"/>
      <w:pPr>
        <w:ind w:left="7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6AE7112"/>
    <w:multiLevelType w:val="hybridMultilevel"/>
    <w:tmpl w:val="AA8E98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7991A63"/>
    <w:multiLevelType w:val="hybridMultilevel"/>
    <w:tmpl w:val="DA9629A0"/>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96" w15:restartNumberingAfterBreak="0">
    <w:nsid w:val="683F7F0B"/>
    <w:multiLevelType w:val="hybridMultilevel"/>
    <w:tmpl w:val="E6B2D762"/>
    <w:lvl w:ilvl="0" w:tplc="F426134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7" w15:restartNumberingAfterBreak="0">
    <w:nsid w:val="6940794F"/>
    <w:multiLevelType w:val="hybridMultilevel"/>
    <w:tmpl w:val="3698D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9C21359"/>
    <w:multiLevelType w:val="hybridMultilevel"/>
    <w:tmpl w:val="F5EA960C"/>
    <w:lvl w:ilvl="0" w:tplc="0415000F">
      <w:start w:val="1"/>
      <w:numFmt w:val="decimal"/>
      <w:lvlText w:val="%1."/>
      <w:lvlJc w:val="left"/>
      <w:pPr>
        <w:ind w:left="1230" w:hanging="360"/>
      </w:pPr>
    </w:lvl>
    <w:lvl w:ilvl="1" w:tplc="04150019">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99" w15:restartNumberingAfterBreak="0">
    <w:nsid w:val="6AFA4EF4"/>
    <w:multiLevelType w:val="hybridMultilevel"/>
    <w:tmpl w:val="4EE2C8FC"/>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00" w15:restartNumberingAfterBreak="0">
    <w:nsid w:val="6B0D2137"/>
    <w:multiLevelType w:val="hybridMultilevel"/>
    <w:tmpl w:val="EA706836"/>
    <w:lvl w:ilvl="0" w:tplc="04150001">
      <w:start w:val="1"/>
      <w:numFmt w:val="bullet"/>
      <w:lvlText w:val=""/>
      <w:lvlJc w:val="left"/>
      <w:pPr>
        <w:ind w:left="1230" w:hanging="360"/>
      </w:pPr>
      <w:rPr>
        <w:rFonts w:ascii="Symbol" w:hAnsi="Symbol" w:hint="default"/>
      </w:rPr>
    </w:lvl>
    <w:lvl w:ilvl="1" w:tplc="04150003">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01" w15:restartNumberingAfterBreak="0">
    <w:nsid w:val="6BD64589"/>
    <w:multiLevelType w:val="hybridMultilevel"/>
    <w:tmpl w:val="B6D815D6"/>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02" w15:restartNumberingAfterBreak="0">
    <w:nsid w:val="6C234A13"/>
    <w:multiLevelType w:val="hybridMultilevel"/>
    <w:tmpl w:val="12EC439E"/>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03" w15:restartNumberingAfterBreak="0">
    <w:nsid w:val="6D3379F1"/>
    <w:multiLevelType w:val="hybridMultilevel"/>
    <w:tmpl w:val="7FB8284A"/>
    <w:lvl w:ilvl="0" w:tplc="071C31EC">
      <w:start w:val="1"/>
      <w:numFmt w:val="decimal"/>
      <w:lvlText w:val="%1)"/>
      <w:lvlJc w:val="left"/>
      <w:pPr>
        <w:ind w:left="1005" w:hanging="495"/>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04" w15:restartNumberingAfterBreak="0">
    <w:nsid w:val="6F3E65CF"/>
    <w:multiLevelType w:val="hybridMultilevel"/>
    <w:tmpl w:val="25B4D144"/>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05" w15:restartNumberingAfterBreak="0">
    <w:nsid w:val="6F8813C1"/>
    <w:multiLevelType w:val="hybridMultilevel"/>
    <w:tmpl w:val="1C10E4DA"/>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06" w15:restartNumberingAfterBreak="0">
    <w:nsid w:val="72590459"/>
    <w:multiLevelType w:val="hybridMultilevel"/>
    <w:tmpl w:val="E7D09EE8"/>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07" w15:restartNumberingAfterBreak="0">
    <w:nsid w:val="75465EB3"/>
    <w:multiLevelType w:val="hybridMultilevel"/>
    <w:tmpl w:val="92B23F94"/>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08" w15:restartNumberingAfterBreak="0">
    <w:nsid w:val="75A209AA"/>
    <w:multiLevelType w:val="hybridMultilevel"/>
    <w:tmpl w:val="D8F01FC8"/>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09" w15:restartNumberingAfterBreak="0">
    <w:nsid w:val="76643AC4"/>
    <w:multiLevelType w:val="hybridMultilevel"/>
    <w:tmpl w:val="48B6D7EA"/>
    <w:lvl w:ilvl="0" w:tplc="0415000F">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110" w15:restartNumberingAfterBreak="0">
    <w:nsid w:val="78CC019C"/>
    <w:multiLevelType w:val="hybridMultilevel"/>
    <w:tmpl w:val="38CEC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A9D2C59"/>
    <w:multiLevelType w:val="multilevel"/>
    <w:tmpl w:val="E47CE57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2" w15:restartNumberingAfterBreak="0">
    <w:nsid w:val="7BC6239C"/>
    <w:multiLevelType w:val="hybridMultilevel"/>
    <w:tmpl w:val="81D2F4C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113" w15:restartNumberingAfterBreak="0">
    <w:nsid w:val="7CA637F1"/>
    <w:multiLevelType w:val="hybridMultilevel"/>
    <w:tmpl w:val="BD423F86"/>
    <w:lvl w:ilvl="0" w:tplc="7744F7FE">
      <w:start w:val="1"/>
      <w:numFmt w:val="decimal"/>
      <w:lvlText w:val="%1."/>
      <w:lvlJc w:val="left"/>
      <w:pPr>
        <w:tabs>
          <w:tab w:val="num" w:pos="720"/>
        </w:tabs>
        <w:ind w:left="720" w:hanging="360"/>
      </w:pPr>
    </w:lvl>
    <w:lvl w:ilvl="1" w:tplc="5F4688A0">
      <w:start w:val="1"/>
      <w:numFmt w:val="decimal"/>
      <w:lvlText w:val="%2."/>
      <w:lvlJc w:val="left"/>
      <w:pPr>
        <w:tabs>
          <w:tab w:val="num" w:pos="1440"/>
        </w:tabs>
        <w:ind w:left="1440" w:hanging="360"/>
      </w:pPr>
    </w:lvl>
    <w:lvl w:ilvl="2" w:tplc="03E272B8" w:tentative="1">
      <w:start w:val="1"/>
      <w:numFmt w:val="decimal"/>
      <w:lvlText w:val="%3."/>
      <w:lvlJc w:val="left"/>
      <w:pPr>
        <w:tabs>
          <w:tab w:val="num" w:pos="2160"/>
        </w:tabs>
        <w:ind w:left="2160" w:hanging="360"/>
      </w:pPr>
    </w:lvl>
    <w:lvl w:ilvl="3" w:tplc="7908864A" w:tentative="1">
      <w:start w:val="1"/>
      <w:numFmt w:val="decimal"/>
      <w:lvlText w:val="%4."/>
      <w:lvlJc w:val="left"/>
      <w:pPr>
        <w:tabs>
          <w:tab w:val="num" w:pos="2880"/>
        </w:tabs>
        <w:ind w:left="2880" w:hanging="360"/>
      </w:pPr>
    </w:lvl>
    <w:lvl w:ilvl="4" w:tplc="35DEF004" w:tentative="1">
      <w:start w:val="1"/>
      <w:numFmt w:val="decimal"/>
      <w:lvlText w:val="%5."/>
      <w:lvlJc w:val="left"/>
      <w:pPr>
        <w:tabs>
          <w:tab w:val="num" w:pos="3600"/>
        </w:tabs>
        <w:ind w:left="3600" w:hanging="360"/>
      </w:pPr>
    </w:lvl>
    <w:lvl w:ilvl="5" w:tplc="67EAEA3A" w:tentative="1">
      <w:start w:val="1"/>
      <w:numFmt w:val="decimal"/>
      <w:lvlText w:val="%6."/>
      <w:lvlJc w:val="left"/>
      <w:pPr>
        <w:tabs>
          <w:tab w:val="num" w:pos="4320"/>
        </w:tabs>
        <w:ind w:left="4320" w:hanging="360"/>
      </w:pPr>
    </w:lvl>
    <w:lvl w:ilvl="6" w:tplc="364A3BD0" w:tentative="1">
      <w:start w:val="1"/>
      <w:numFmt w:val="decimal"/>
      <w:lvlText w:val="%7."/>
      <w:lvlJc w:val="left"/>
      <w:pPr>
        <w:tabs>
          <w:tab w:val="num" w:pos="5040"/>
        </w:tabs>
        <w:ind w:left="5040" w:hanging="360"/>
      </w:pPr>
    </w:lvl>
    <w:lvl w:ilvl="7" w:tplc="269CB3EE" w:tentative="1">
      <w:start w:val="1"/>
      <w:numFmt w:val="decimal"/>
      <w:lvlText w:val="%8."/>
      <w:lvlJc w:val="left"/>
      <w:pPr>
        <w:tabs>
          <w:tab w:val="num" w:pos="5760"/>
        </w:tabs>
        <w:ind w:left="5760" w:hanging="360"/>
      </w:pPr>
    </w:lvl>
    <w:lvl w:ilvl="8" w:tplc="49F6DACE" w:tentative="1">
      <w:start w:val="1"/>
      <w:numFmt w:val="decimal"/>
      <w:lvlText w:val="%9."/>
      <w:lvlJc w:val="left"/>
      <w:pPr>
        <w:tabs>
          <w:tab w:val="num" w:pos="6480"/>
        </w:tabs>
        <w:ind w:left="6480" w:hanging="360"/>
      </w:pPr>
    </w:lvl>
  </w:abstractNum>
  <w:abstractNum w:abstractNumId="114" w15:restartNumberingAfterBreak="0">
    <w:nsid w:val="7DEC2B71"/>
    <w:multiLevelType w:val="hybridMultilevel"/>
    <w:tmpl w:val="A25A05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5" w15:restartNumberingAfterBreak="0">
    <w:nsid w:val="7E4E4CE8"/>
    <w:multiLevelType w:val="hybridMultilevel"/>
    <w:tmpl w:val="4BC08460"/>
    <w:lvl w:ilvl="0" w:tplc="6406B47E">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15:restartNumberingAfterBreak="0">
    <w:nsid w:val="7F217C27"/>
    <w:multiLevelType w:val="hybridMultilevel"/>
    <w:tmpl w:val="49D49B78"/>
    <w:lvl w:ilvl="0" w:tplc="D91233CC">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FA71048"/>
    <w:multiLevelType w:val="hybridMultilevel"/>
    <w:tmpl w:val="9DC662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7FBB6C54"/>
    <w:multiLevelType w:val="hybridMultilevel"/>
    <w:tmpl w:val="05BEB6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40"/>
  </w:num>
  <w:num w:numId="3">
    <w:abstractNumId w:val="77"/>
  </w:num>
  <w:num w:numId="4">
    <w:abstractNumId w:val="74"/>
  </w:num>
  <w:num w:numId="5">
    <w:abstractNumId w:val="29"/>
  </w:num>
  <w:num w:numId="6">
    <w:abstractNumId w:val="55"/>
  </w:num>
  <w:num w:numId="7">
    <w:abstractNumId w:val="44"/>
  </w:num>
  <w:num w:numId="8">
    <w:abstractNumId w:val="110"/>
  </w:num>
  <w:num w:numId="9">
    <w:abstractNumId w:val="61"/>
  </w:num>
  <w:num w:numId="10">
    <w:abstractNumId w:val="13"/>
  </w:num>
  <w:num w:numId="11">
    <w:abstractNumId w:val="118"/>
  </w:num>
  <w:num w:numId="12">
    <w:abstractNumId w:val="69"/>
  </w:num>
  <w:num w:numId="13">
    <w:abstractNumId w:val="24"/>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20"/>
  </w:num>
  <w:num w:numId="2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3"/>
  </w:num>
  <w:num w:numId="27">
    <w:abstractNumId w:val="87"/>
  </w:num>
  <w:num w:numId="28">
    <w:abstractNumId w:val="28"/>
  </w:num>
  <w:num w:numId="29">
    <w:abstractNumId w:val="101"/>
  </w:num>
  <w:num w:numId="30">
    <w:abstractNumId w:val="117"/>
  </w:num>
  <w:num w:numId="31">
    <w:abstractNumId w:val="59"/>
  </w:num>
  <w:num w:numId="32">
    <w:abstractNumId w:val="45"/>
  </w:num>
  <w:num w:numId="33">
    <w:abstractNumId w:val="16"/>
  </w:num>
  <w:num w:numId="34">
    <w:abstractNumId w:val="116"/>
  </w:num>
  <w:num w:numId="35">
    <w:abstractNumId w:val="19"/>
  </w:num>
  <w:num w:numId="36">
    <w:abstractNumId w:val="42"/>
  </w:num>
  <w:num w:numId="37">
    <w:abstractNumId w:val="25"/>
  </w:num>
  <w:num w:numId="38">
    <w:abstractNumId w:val="94"/>
  </w:num>
  <w:num w:numId="39">
    <w:abstractNumId w:val="62"/>
  </w:num>
  <w:num w:numId="40">
    <w:abstractNumId w:val="65"/>
  </w:num>
  <w:num w:numId="41">
    <w:abstractNumId w:val="93"/>
  </w:num>
  <w:num w:numId="42">
    <w:abstractNumId w:val="41"/>
  </w:num>
  <w:num w:numId="43">
    <w:abstractNumId w:val="66"/>
  </w:num>
  <w:num w:numId="44">
    <w:abstractNumId w:val="60"/>
  </w:num>
  <w:num w:numId="45">
    <w:abstractNumId w:val="35"/>
  </w:num>
  <w:num w:numId="46">
    <w:abstractNumId w:val="46"/>
  </w:num>
  <w:num w:numId="47">
    <w:abstractNumId w:val="34"/>
  </w:num>
  <w:num w:numId="48">
    <w:abstractNumId w:val="64"/>
  </w:num>
  <w:num w:numId="49">
    <w:abstractNumId w:val="75"/>
  </w:num>
  <w:num w:numId="50">
    <w:abstractNumId w:val="80"/>
  </w:num>
  <w:num w:numId="51">
    <w:abstractNumId w:val="83"/>
  </w:num>
  <w:num w:numId="52">
    <w:abstractNumId w:val="36"/>
  </w:num>
  <w:num w:numId="53">
    <w:abstractNumId w:val="89"/>
  </w:num>
  <w:num w:numId="54">
    <w:abstractNumId w:val="49"/>
  </w:num>
  <w:num w:numId="55">
    <w:abstractNumId w:val="54"/>
  </w:num>
  <w:num w:numId="56">
    <w:abstractNumId w:val="91"/>
  </w:num>
  <w:num w:numId="57">
    <w:abstractNumId w:val="33"/>
  </w:num>
  <w:num w:numId="58">
    <w:abstractNumId w:val="114"/>
  </w:num>
  <w:num w:numId="59">
    <w:abstractNumId w:val="85"/>
  </w:num>
  <w:num w:numId="60">
    <w:abstractNumId w:val="10"/>
  </w:num>
  <w:num w:numId="61">
    <w:abstractNumId w:val="50"/>
  </w:num>
  <w:num w:numId="62">
    <w:abstractNumId w:val="30"/>
  </w:num>
  <w:num w:numId="63">
    <w:abstractNumId w:val="82"/>
  </w:num>
  <w:num w:numId="64">
    <w:abstractNumId w:val="88"/>
  </w:num>
  <w:num w:numId="65">
    <w:abstractNumId w:val="58"/>
  </w:num>
  <w:num w:numId="66">
    <w:abstractNumId w:val="51"/>
  </w:num>
  <w:num w:numId="67">
    <w:abstractNumId w:val="38"/>
  </w:num>
  <w:num w:numId="68">
    <w:abstractNumId w:val="48"/>
  </w:num>
  <w:num w:numId="69">
    <w:abstractNumId w:val="47"/>
  </w:num>
  <w:num w:numId="70">
    <w:abstractNumId w:val="68"/>
  </w:num>
  <w:num w:numId="71">
    <w:abstractNumId w:val="103"/>
  </w:num>
  <w:num w:numId="72">
    <w:abstractNumId w:val="84"/>
  </w:num>
  <w:num w:numId="73">
    <w:abstractNumId w:val="14"/>
  </w:num>
  <w:num w:numId="74">
    <w:abstractNumId w:val="99"/>
  </w:num>
  <w:num w:numId="75">
    <w:abstractNumId w:val="90"/>
  </w:num>
  <w:num w:numId="76">
    <w:abstractNumId w:val="81"/>
  </w:num>
  <w:num w:numId="77">
    <w:abstractNumId w:val="78"/>
  </w:num>
  <w:num w:numId="78">
    <w:abstractNumId w:val="112"/>
  </w:num>
  <w:num w:numId="79">
    <w:abstractNumId w:val="106"/>
  </w:num>
  <w:num w:numId="80">
    <w:abstractNumId w:val="105"/>
  </w:num>
  <w:num w:numId="81">
    <w:abstractNumId w:val="17"/>
  </w:num>
  <w:num w:numId="82">
    <w:abstractNumId w:val="12"/>
  </w:num>
  <w:num w:numId="83">
    <w:abstractNumId w:val="100"/>
  </w:num>
  <w:num w:numId="84">
    <w:abstractNumId w:val="111"/>
  </w:num>
  <w:num w:numId="85">
    <w:abstractNumId w:val="39"/>
  </w:num>
  <w:num w:numId="86">
    <w:abstractNumId w:val="70"/>
  </w:num>
  <w:num w:numId="87">
    <w:abstractNumId w:val="31"/>
  </w:num>
  <w:num w:numId="88">
    <w:abstractNumId w:val="72"/>
  </w:num>
  <w:num w:numId="89">
    <w:abstractNumId w:val="53"/>
  </w:num>
  <w:num w:numId="90">
    <w:abstractNumId w:val="22"/>
  </w:num>
  <w:num w:numId="91">
    <w:abstractNumId w:val="108"/>
  </w:num>
  <w:num w:numId="92">
    <w:abstractNumId w:val="98"/>
  </w:num>
  <w:num w:numId="93">
    <w:abstractNumId w:val="27"/>
  </w:num>
  <w:num w:numId="94">
    <w:abstractNumId w:val="26"/>
  </w:num>
  <w:num w:numId="95">
    <w:abstractNumId w:val="97"/>
  </w:num>
  <w:num w:numId="96">
    <w:abstractNumId w:val="96"/>
  </w:num>
  <w:num w:numId="97">
    <w:abstractNumId w:val="76"/>
  </w:num>
  <w:num w:numId="98">
    <w:abstractNumId w:val="63"/>
  </w:num>
  <w:num w:numId="99">
    <w:abstractNumId w:val="86"/>
  </w:num>
  <w:num w:numId="100">
    <w:abstractNumId w:val="102"/>
  </w:num>
  <w:num w:numId="101">
    <w:abstractNumId w:val="52"/>
  </w:num>
  <w:num w:numId="102">
    <w:abstractNumId w:val="71"/>
  </w:num>
  <w:num w:numId="103">
    <w:abstractNumId w:val="79"/>
  </w:num>
  <w:num w:numId="104">
    <w:abstractNumId w:val="107"/>
  </w:num>
  <w:num w:numId="105">
    <w:abstractNumId w:val="109"/>
  </w:num>
  <w:num w:numId="106">
    <w:abstractNumId w:val="92"/>
  </w:num>
  <w:num w:numId="107">
    <w:abstractNumId w:val="11"/>
  </w:num>
  <w:num w:numId="108">
    <w:abstractNumId w:val="73"/>
  </w:num>
  <w:num w:numId="109">
    <w:abstractNumId w:val="67"/>
  </w:num>
  <w:num w:numId="110">
    <w:abstractNumId w:val="57"/>
  </w:num>
  <w:num w:numId="111">
    <w:abstractNumId w:val="43"/>
  </w:num>
  <w:num w:numId="112">
    <w:abstractNumId w:val="37"/>
  </w:num>
  <w:num w:numId="113">
    <w:abstractNumId w:val="56"/>
  </w:num>
  <w:num w:numId="114">
    <w:abstractNumId w:val="21"/>
  </w:num>
  <w:num w:numId="115">
    <w:abstractNumId w:val="23"/>
  </w:num>
  <w:num w:numId="116">
    <w:abstractNumId w:val="104"/>
  </w:num>
  <w:num w:numId="117">
    <w:abstractNumId w:val="15"/>
  </w:num>
  <w:num w:numId="118">
    <w:abstractNumId w:val="32"/>
  </w:num>
  <w:num w:numId="119">
    <w:abstractNumId w:val="9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9E"/>
    <w:rsid w:val="0000076F"/>
    <w:rsid w:val="000012DA"/>
    <w:rsid w:val="00001C0F"/>
    <w:rsid w:val="0000202D"/>
    <w:rsid w:val="0000246E"/>
    <w:rsid w:val="00003862"/>
    <w:rsid w:val="000059B3"/>
    <w:rsid w:val="00005AAE"/>
    <w:rsid w:val="000064B5"/>
    <w:rsid w:val="00007CB9"/>
    <w:rsid w:val="0001151E"/>
    <w:rsid w:val="00011BFA"/>
    <w:rsid w:val="000125BC"/>
    <w:rsid w:val="00012A35"/>
    <w:rsid w:val="00012CDC"/>
    <w:rsid w:val="00013DF3"/>
    <w:rsid w:val="00014735"/>
    <w:rsid w:val="00014E70"/>
    <w:rsid w:val="00014FF6"/>
    <w:rsid w:val="0001550F"/>
    <w:rsid w:val="00015725"/>
    <w:rsid w:val="00016099"/>
    <w:rsid w:val="0001675A"/>
    <w:rsid w:val="000169A4"/>
    <w:rsid w:val="0001781F"/>
    <w:rsid w:val="00017DC2"/>
    <w:rsid w:val="000200F1"/>
    <w:rsid w:val="00020143"/>
    <w:rsid w:val="00021522"/>
    <w:rsid w:val="000216A8"/>
    <w:rsid w:val="00022023"/>
    <w:rsid w:val="00023471"/>
    <w:rsid w:val="00023A90"/>
    <w:rsid w:val="00023F13"/>
    <w:rsid w:val="00024384"/>
    <w:rsid w:val="000246F7"/>
    <w:rsid w:val="00025BDC"/>
    <w:rsid w:val="00026319"/>
    <w:rsid w:val="00026BA2"/>
    <w:rsid w:val="00026C24"/>
    <w:rsid w:val="00030634"/>
    <w:rsid w:val="000319C1"/>
    <w:rsid w:val="00031A8B"/>
    <w:rsid w:val="00031BCA"/>
    <w:rsid w:val="000330FA"/>
    <w:rsid w:val="0003362F"/>
    <w:rsid w:val="0003374A"/>
    <w:rsid w:val="000338C6"/>
    <w:rsid w:val="00035719"/>
    <w:rsid w:val="00035D67"/>
    <w:rsid w:val="00036248"/>
    <w:rsid w:val="00036B63"/>
    <w:rsid w:val="000372B7"/>
    <w:rsid w:val="00037E1A"/>
    <w:rsid w:val="0004085A"/>
    <w:rsid w:val="00041C1D"/>
    <w:rsid w:val="000422EC"/>
    <w:rsid w:val="000423AA"/>
    <w:rsid w:val="00043495"/>
    <w:rsid w:val="00043AF7"/>
    <w:rsid w:val="00044065"/>
    <w:rsid w:val="000466E9"/>
    <w:rsid w:val="00046A75"/>
    <w:rsid w:val="00047312"/>
    <w:rsid w:val="000477A4"/>
    <w:rsid w:val="000508BD"/>
    <w:rsid w:val="00050B19"/>
    <w:rsid w:val="000514C2"/>
    <w:rsid w:val="0005156A"/>
    <w:rsid w:val="000517AB"/>
    <w:rsid w:val="0005339C"/>
    <w:rsid w:val="00053595"/>
    <w:rsid w:val="0005571B"/>
    <w:rsid w:val="00055907"/>
    <w:rsid w:val="00055E57"/>
    <w:rsid w:val="0005636B"/>
    <w:rsid w:val="00056D18"/>
    <w:rsid w:val="00057A1E"/>
    <w:rsid w:val="00057AB3"/>
    <w:rsid w:val="00057EF8"/>
    <w:rsid w:val="00057FC4"/>
    <w:rsid w:val="00060076"/>
    <w:rsid w:val="00060432"/>
    <w:rsid w:val="00060D87"/>
    <w:rsid w:val="000615A5"/>
    <w:rsid w:val="0006288C"/>
    <w:rsid w:val="000641A3"/>
    <w:rsid w:val="00064A06"/>
    <w:rsid w:val="00064E4C"/>
    <w:rsid w:val="00066901"/>
    <w:rsid w:val="00066E17"/>
    <w:rsid w:val="00067F01"/>
    <w:rsid w:val="0007056C"/>
    <w:rsid w:val="000715F0"/>
    <w:rsid w:val="00071BD1"/>
    <w:rsid w:val="00071BEE"/>
    <w:rsid w:val="00072542"/>
    <w:rsid w:val="00072764"/>
    <w:rsid w:val="00072AC8"/>
    <w:rsid w:val="00072FF7"/>
    <w:rsid w:val="000736CD"/>
    <w:rsid w:val="00073777"/>
    <w:rsid w:val="0007396C"/>
    <w:rsid w:val="00073A44"/>
    <w:rsid w:val="000747D4"/>
    <w:rsid w:val="00074E09"/>
    <w:rsid w:val="0007533B"/>
    <w:rsid w:val="0007545D"/>
    <w:rsid w:val="00075B1C"/>
    <w:rsid w:val="000760BF"/>
    <w:rsid w:val="0007613E"/>
    <w:rsid w:val="00076BFC"/>
    <w:rsid w:val="00080F69"/>
    <w:rsid w:val="000814A7"/>
    <w:rsid w:val="00081917"/>
    <w:rsid w:val="0008312C"/>
    <w:rsid w:val="00084792"/>
    <w:rsid w:val="000851A6"/>
    <w:rsid w:val="0008557B"/>
    <w:rsid w:val="00085CE7"/>
    <w:rsid w:val="00085E93"/>
    <w:rsid w:val="000860E6"/>
    <w:rsid w:val="00086AA3"/>
    <w:rsid w:val="00086B6D"/>
    <w:rsid w:val="00087ACF"/>
    <w:rsid w:val="00090395"/>
    <w:rsid w:val="000906EE"/>
    <w:rsid w:val="00090B8D"/>
    <w:rsid w:val="00091BA2"/>
    <w:rsid w:val="00092210"/>
    <w:rsid w:val="00093447"/>
    <w:rsid w:val="000934B5"/>
    <w:rsid w:val="00093AC8"/>
    <w:rsid w:val="00094015"/>
    <w:rsid w:val="000944EF"/>
    <w:rsid w:val="00094696"/>
    <w:rsid w:val="00094FF2"/>
    <w:rsid w:val="000952BA"/>
    <w:rsid w:val="000954E4"/>
    <w:rsid w:val="0009732D"/>
    <w:rsid w:val="000973F0"/>
    <w:rsid w:val="0009CE45"/>
    <w:rsid w:val="000A01B8"/>
    <w:rsid w:val="000A065D"/>
    <w:rsid w:val="000A1296"/>
    <w:rsid w:val="000A1C27"/>
    <w:rsid w:val="000A1DAD"/>
    <w:rsid w:val="000A2649"/>
    <w:rsid w:val="000A26CD"/>
    <w:rsid w:val="000A291C"/>
    <w:rsid w:val="000A323B"/>
    <w:rsid w:val="000A42D3"/>
    <w:rsid w:val="000A45E8"/>
    <w:rsid w:val="000A7B65"/>
    <w:rsid w:val="000B0523"/>
    <w:rsid w:val="000B13B1"/>
    <w:rsid w:val="000B1F9F"/>
    <w:rsid w:val="000B298D"/>
    <w:rsid w:val="000B5B2D"/>
    <w:rsid w:val="000B5DCE"/>
    <w:rsid w:val="000B661B"/>
    <w:rsid w:val="000B6B1F"/>
    <w:rsid w:val="000B7020"/>
    <w:rsid w:val="000BA47C"/>
    <w:rsid w:val="000C05BA"/>
    <w:rsid w:val="000C0E8F"/>
    <w:rsid w:val="000C0F86"/>
    <w:rsid w:val="000C1CE4"/>
    <w:rsid w:val="000C265C"/>
    <w:rsid w:val="000C2F09"/>
    <w:rsid w:val="000C3552"/>
    <w:rsid w:val="000C4040"/>
    <w:rsid w:val="000C449A"/>
    <w:rsid w:val="000C4584"/>
    <w:rsid w:val="000C460C"/>
    <w:rsid w:val="000C4BC4"/>
    <w:rsid w:val="000C6A42"/>
    <w:rsid w:val="000D0110"/>
    <w:rsid w:val="000D08F6"/>
    <w:rsid w:val="000D08FA"/>
    <w:rsid w:val="000D1A9E"/>
    <w:rsid w:val="000D2468"/>
    <w:rsid w:val="000D25D8"/>
    <w:rsid w:val="000D2CC9"/>
    <w:rsid w:val="000D2FBD"/>
    <w:rsid w:val="000D318A"/>
    <w:rsid w:val="000D325A"/>
    <w:rsid w:val="000D34AB"/>
    <w:rsid w:val="000D3F3A"/>
    <w:rsid w:val="000D40C4"/>
    <w:rsid w:val="000D4265"/>
    <w:rsid w:val="000D51BD"/>
    <w:rsid w:val="000D5559"/>
    <w:rsid w:val="000D5FC6"/>
    <w:rsid w:val="000D6173"/>
    <w:rsid w:val="000D6F83"/>
    <w:rsid w:val="000D73D7"/>
    <w:rsid w:val="000D76CC"/>
    <w:rsid w:val="000D7F4F"/>
    <w:rsid w:val="000E00C2"/>
    <w:rsid w:val="000E0356"/>
    <w:rsid w:val="000E25CC"/>
    <w:rsid w:val="000E3622"/>
    <w:rsid w:val="000E3694"/>
    <w:rsid w:val="000E4894"/>
    <w:rsid w:val="000E490F"/>
    <w:rsid w:val="000E5324"/>
    <w:rsid w:val="000E5965"/>
    <w:rsid w:val="000E6241"/>
    <w:rsid w:val="000E65E5"/>
    <w:rsid w:val="000E693B"/>
    <w:rsid w:val="000E6AE4"/>
    <w:rsid w:val="000E75EE"/>
    <w:rsid w:val="000F1353"/>
    <w:rsid w:val="000F1B62"/>
    <w:rsid w:val="000F209C"/>
    <w:rsid w:val="000F24AC"/>
    <w:rsid w:val="000F27D7"/>
    <w:rsid w:val="000F2BE3"/>
    <w:rsid w:val="000F2C19"/>
    <w:rsid w:val="000F2C3D"/>
    <w:rsid w:val="000F2FF3"/>
    <w:rsid w:val="000F3D0D"/>
    <w:rsid w:val="000F3E7A"/>
    <w:rsid w:val="000F45F7"/>
    <w:rsid w:val="000F4FEC"/>
    <w:rsid w:val="000F627D"/>
    <w:rsid w:val="000F667F"/>
    <w:rsid w:val="000F6A17"/>
    <w:rsid w:val="000F6ED4"/>
    <w:rsid w:val="000F70C2"/>
    <w:rsid w:val="000F7A11"/>
    <w:rsid w:val="000F7A6E"/>
    <w:rsid w:val="000F7EEC"/>
    <w:rsid w:val="00100088"/>
    <w:rsid w:val="00100B94"/>
    <w:rsid w:val="0010216F"/>
    <w:rsid w:val="00102F4C"/>
    <w:rsid w:val="00103D53"/>
    <w:rsid w:val="001042BA"/>
    <w:rsid w:val="0010588A"/>
    <w:rsid w:val="00105BCE"/>
    <w:rsid w:val="00106D03"/>
    <w:rsid w:val="00107159"/>
    <w:rsid w:val="00107635"/>
    <w:rsid w:val="00110465"/>
    <w:rsid w:val="00110628"/>
    <w:rsid w:val="0011245A"/>
    <w:rsid w:val="00112AB8"/>
    <w:rsid w:val="00112B08"/>
    <w:rsid w:val="0011493E"/>
    <w:rsid w:val="00114B57"/>
    <w:rsid w:val="00115B72"/>
    <w:rsid w:val="001162D2"/>
    <w:rsid w:val="001167AA"/>
    <w:rsid w:val="00116933"/>
    <w:rsid w:val="00117848"/>
    <w:rsid w:val="001209EC"/>
    <w:rsid w:val="00120A9E"/>
    <w:rsid w:val="001211D5"/>
    <w:rsid w:val="001219F4"/>
    <w:rsid w:val="001225C5"/>
    <w:rsid w:val="00122C1C"/>
    <w:rsid w:val="00123DD4"/>
    <w:rsid w:val="00124B41"/>
    <w:rsid w:val="00124DF9"/>
    <w:rsid w:val="0012507F"/>
    <w:rsid w:val="001252EE"/>
    <w:rsid w:val="00125A9C"/>
    <w:rsid w:val="001270A2"/>
    <w:rsid w:val="0012720A"/>
    <w:rsid w:val="00130073"/>
    <w:rsid w:val="00130317"/>
    <w:rsid w:val="00131237"/>
    <w:rsid w:val="00131DE5"/>
    <w:rsid w:val="001329AC"/>
    <w:rsid w:val="00134066"/>
    <w:rsid w:val="00134999"/>
    <w:rsid w:val="00134AB5"/>
    <w:rsid w:val="00134CA0"/>
    <w:rsid w:val="00134CE6"/>
    <w:rsid w:val="001351CB"/>
    <w:rsid w:val="0013521B"/>
    <w:rsid w:val="00135E94"/>
    <w:rsid w:val="00136BC8"/>
    <w:rsid w:val="00137062"/>
    <w:rsid w:val="001372EC"/>
    <w:rsid w:val="001373CB"/>
    <w:rsid w:val="0014026F"/>
    <w:rsid w:val="00140B83"/>
    <w:rsid w:val="00141CBB"/>
    <w:rsid w:val="001438E7"/>
    <w:rsid w:val="001447C4"/>
    <w:rsid w:val="00144972"/>
    <w:rsid w:val="00145460"/>
    <w:rsid w:val="00145BA4"/>
    <w:rsid w:val="00145D1E"/>
    <w:rsid w:val="00146B76"/>
    <w:rsid w:val="00146D0F"/>
    <w:rsid w:val="00147A47"/>
    <w:rsid w:val="00147A4E"/>
    <w:rsid w:val="00147A89"/>
    <w:rsid w:val="00147AA1"/>
    <w:rsid w:val="0015053A"/>
    <w:rsid w:val="001520CF"/>
    <w:rsid w:val="00152F15"/>
    <w:rsid w:val="00153311"/>
    <w:rsid w:val="00154D91"/>
    <w:rsid w:val="001561A7"/>
    <w:rsid w:val="00156586"/>
    <w:rsid w:val="0015667C"/>
    <w:rsid w:val="00157110"/>
    <w:rsid w:val="0015742A"/>
    <w:rsid w:val="00157A10"/>
    <w:rsid w:val="00157B64"/>
    <w:rsid w:val="00157DA1"/>
    <w:rsid w:val="001603B8"/>
    <w:rsid w:val="001619F5"/>
    <w:rsid w:val="00163147"/>
    <w:rsid w:val="00164C57"/>
    <w:rsid w:val="00164C9D"/>
    <w:rsid w:val="00165907"/>
    <w:rsid w:val="00166FAB"/>
    <w:rsid w:val="00167D0B"/>
    <w:rsid w:val="00170579"/>
    <w:rsid w:val="00170E60"/>
    <w:rsid w:val="00171324"/>
    <w:rsid w:val="00171767"/>
    <w:rsid w:val="00171F58"/>
    <w:rsid w:val="001722F0"/>
    <w:rsid w:val="0017233B"/>
    <w:rsid w:val="00172F7A"/>
    <w:rsid w:val="0017301E"/>
    <w:rsid w:val="00173150"/>
    <w:rsid w:val="00173390"/>
    <w:rsid w:val="0017350A"/>
    <w:rsid w:val="001736F0"/>
    <w:rsid w:val="00173B0B"/>
    <w:rsid w:val="00173BB3"/>
    <w:rsid w:val="00173C42"/>
    <w:rsid w:val="001740D0"/>
    <w:rsid w:val="0017462D"/>
    <w:rsid w:val="001749E0"/>
    <w:rsid w:val="00174F2C"/>
    <w:rsid w:val="00175BA3"/>
    <w:rsid w:val="0017619A"/>
    <w:rsid w:val="00176953"/>
    <w:rsid w:val="00180991"/>
    <w:rsid w:val="00180CC6"/>
    <w:rsid w:val="00180F2A"/>
    <w:rsid w:val="00181CAE"/>
    <w:rsid w:val="001828CD"/>
    <w:rsid w:val="00184B91"/>
    <w:rsid w:val="00184D4A"/>
    <w:rsid w:val="001862F5"/>
    <w:rsid w:val="001869AE"/>
    <w:rsid w:val="00186E28"/>
    <w:rsid w:val="00186EC1"/>
    <w:rsid w:val="00187E0C"/>
    <w:rsid w:val="001916F9"/>
    <w:rsid w:val="00191E1F"/>
    <w:rsid w:val="0019328B"/>
    <w:rsid w:val="00194485"/>
    <w:rsid w:val="00194587"/>
    <w:rsid w:val="0019473B"/>
    <w:rsid w:val="0019516C"/>
    <w:rsid w:val="001952B1"/>
    <w:rsid w:val="001965B8"/>
    <w:rsid w:val="00196E39"/>
    <w:rsid w:val="00196E93"/>
    <w:rsid w:val="00197649"/>
    <w:rsid w:val="001976E9"/>
    <w:rsid w:val="00197E92"/>
    <w:rsid w:val="00197EBD"/>
    <w:rsid w:val="001A0099"/>
    <w:rsid w:val="001A00AB"/>
    <w:rsid w:val="001A01FB"/>
    <w:rsid w:val="001A0B08"/>
    <w:rsid w:val="001A10E9"/>
    <w:rsid w:val="001A183D"/>
    <w:rsid w:val="001A2B65"/>
    <w:rsid w:val="001A3CD3"/>
    <w:rsid w:val="001A4011"/>
    <w:rsid w:val="001A5BEF"/>
    <w:rsid w:val="001A5E68"/>
    <w:rsid w:val="001A6C2B"/>
    <w:rsid w:val="001A724B"/>
    <w:rsid w:val="001A7F15"/>
    <w:rsid w:val="001B03EC"/>
    <w:rsid w:val="001B0DCA"/>
    <w:rsid w:val="001B110A"/>
    <w:rsid w:val="001B1AC4"/>
    <w:rsid w:val="001B342E"/>
    <w:rsid w:val="001B47A3"/>
    <w:rsid w:val="001B4830"/>
    <w:rsid w:val="001B4B4A"/>
    <w:rsid w:val="001B5E9F"/>
    <w:rsid w:val="001B6691"/>
    <w:rsid w:val="001B71C8"/>
    <w:rsid w:val="001B72FD"/>
    <w:rsid w:val="001B7F13"/>
    <w:rsid w:val="001C08D1"/>
    <w:rsid w:val="001C1832"/>
    <w:rsid w:val="001C188C"/>
    <w:rsid w:val="001C1BC0"/>
    <w:rsid w:val="001C285C"/>
    <w:rsid w:val="001C33FD"/>
    <w:rsid w:val="001C4CBF"/>
    <w:rsid w:val="001C5AF2"/>
    <w:rsid w:val="001C5E1E"/>
    <w:rsid w:val="001C6654"/>
    <w:rsid w:val="001C6AFA"/>
    <w:rsid w:val="001D0A44"/>
    <w:rsid w:val="001D0CF7"/>
    <w:rsid w:val="001D1783"/>
    <w:rsid w:val="001D2A9A"/>
    <w:rsid w:val="001D3C94"/>
    <w:rsid w:val="001D48DF"/>
    <w:rsid w:val="001D53CD"/>
    <w:rsid w:val="001D55A3"/>
    <w:rsid w:val="001D5AF5"/>
    <w:rsid w:val="001D6035"/>
    <w:rsid w:val="001D68E0"/>
    <w:rsid w:val="001E1E73"/>
    <w:rsid w:val="001E244D"/>
    <w:rsid w:val="001E300D"/>
    <w:rsid w:val="001E4E0C"/>
    <w:rsid w:val="001E5159"/>
    <w:rsid w:val="001E526D"/>
    <w:rsid w:val="001E5461"/>
    <w:rsid w:val="001E5655"/>
    <w:rsid w:val="001E6FDB"/>
    <w:rsid w:val="001F132D"/>
    <w:rsid w:val="001F1832"/>
    <w:rsid w:val="001F220F"/>
    <w:rsid w:val="001F251C"/>
    <w:rsid w:val="001F25B3"/>
    <w:rsid w:val="001F277D"/>
    <w:rsid w:val="001F2B5E"/>
    <w:rsid w:val="001F325A"/>
    <w:rsid w:val="001F37AF"/>
    <w:rsid w:val="001F4179"/>
    <w:rsid w:val="001F4205"/>
    <w:rsid w:val="001F46CE"/>
    <w:rsid w:val="001F643E"/>
    <w:rsid w:val="001F6616"/>
    <w:rsid w:val="001F6F87"/>
    <w:rsid w:val="001F7154"/>
    <w:rsid w:val="001F7FD1"/>
    <w:rsid w:val="002002E5"/>
    <w:rsid w:val="00201907"/>
    <w:rsid w:val="00202BD4"/>
    <w:rsid w:val="002034F2"/>
    <w:rsid w:val="002035A6"/>
    <w:rsid w:val="0020440E"/>
    <w:rsid w:val="00204A97"/>
    <w:rsid w:val="002077C3"/>
    <w:rsid w:val="00210D3D"/>
    <w:rsid w:val="002114EF"/>
    <w:rsid w:val="00211A47"/>
    <w:rsid w:val="00212264"/>
    <w:rsid w:val="00212C13"/>
    <w:rsid w:val="00214394"/>
    <w:rsid w:val="00214557"/>
    <w:rsid w:val="00214BF7"/>
    <w:rsid w:val="0021506C"/>
    <w:rsid w:val="002153AE"/>
    <w:rsid w:val="0021618A"/>
    <w:rsid w:val="002161FE"/>
    <w:rsid w:val="002166AD"/>
    <w:rsid w:val="00217546"/>
    <w:rsid w:val="00217871"/>
    <w:rsid w:val="00217BBA"/>
    <w:rsid w:val="00217E71"/>
    <w:rsid w:val="00220975"/>
    <w:rsid w:val="00220AD5"/>
    <w:rsid w:val="002210FA"/>
    <w:rsid w:val="002214B1"/>
    <w:rsid w:val="00221ED3"/>
    <w:rsid w:val="00221ED8"/>
    <w:rsid w:val="002231EA"/>
    <w:rsid w:val="00223E48"/>
    <w:rsid w:val="00223FDF"/>
    <w:rsid w:val="00225542"/>
    <w:rsid w:val="002256AA"/>
    <w:rsid w:val="002272C2"/>
    <w:rsid w:val="002279C0"/>
    <w:rsid w:val="00227C29"/>
    <w:rsid w:val="00230B53"/>
    <w:rsid w:val="00231B5C"/>
    <w:rsid w:val="00234C8C"/>
    <w:rsid w:val="002355A3"/>
    <w:rsid w:val="00236F8D"/>
    <w:rsid w:val="0023727E"/>
    <w:rsid w:val="00240219"/>
    <w:rsid w:val="0024070B"/>
    <w:rsid w:val="00240C10"/>
    <w:rsid w:val="00242081"/>
    <w:rsid w:val="00242FEC"/>
    <w:rsid w:val="0024355B"/>
    <w:rsid w:val="0024375B"/>
    <w:rsid w:val="00243777"/>
    <w:rsid w:val="00243A1D"/>
    <w:rsid w:val="002441CD"/>
    <w:rsid w:val="002442A7"/>
    <w:rsid w:val="00244900"/>
    <w:rsid w:val="00244E0A"/>
    <w:rsid w:val="00245599"/>
    <w:rsid w:val="00245D9A"/>
    <w:rsid w:val="002466B6"/>
    <w:rsid w:val="00246B45"/>
    <w:rsid w:val="00246F7E"/>
    <w:rsid w:val="00247105"/>
    <w:rsid w:val="00247854"/>
    <w:rsid w:val="00247FBC"/>
    <w:rsid w:val="002501A3"/>
    <w:rsid w:val="002503A8"/>
    <w:rsid w:val="0025086C"/>
    <w:rsid w:val="0025166C"/>
    <w:rsid w:val="002517E5"/>
    <w:rsid w:val="002530E7"/>
    <w:rsid w:val="00253190"/>
    <w:rsid w:val="002555D4"/>
    <w:rsid w:val="00256E08"/>
    <w:rsid w:val="00257615"/>
    <w:rsid w:val="0026040C"/>
    <w:rsid w:val="00260B78"/>
    <w:rsid w:val="00260E4C"/>
    <w:rsid w:val="00261283"/>
    <w:rsid w:val="00261551"/>
    <w:rsid w:val="002617DE"/>
    <w:rsid w:val="00261A16"/>
    <w:rsid w:val="002634BF"/>
    <w:rsid w:val="00263522"/>
    <w:rsid w:val="00264055"/>
    <w:rsid w:val="002641BE"/>
    <w:rsid w:val="00264266"/>
    <w:rsid w:val="0026487F"/>
    <w:rsid w:val="00264EC6"/>
    <w:rsid w:val="00267567"/>
    <w:rsid w:val="0026774B"/>
    <w:rsid w:val="00271013"/>
    <w:rsid w:val="002719F0"/>
    <w:rsid w:val="0027277C"/>
    <w:rsid w:val="0027292A"/>
    <w:rsid w:val="00273FE4"/>
    <w:rsid w:val="002746C8"/>
    <w:rsid w:val="0027478C"/>
    <w:rsid w:val="00275E46"/>
    <w:rsid w:val="002765B4"/>
    <w:rsid w:val="00276A94"/>
    <w:rsid w:val="0027792B"/>
    <w:rsid w:val="00280596"/>
    <w:rsid w:val="00281DB6"/>
    <w:rsid w:val="00281EAF"/>
    <w:rsid w:val="0028203F"/>
    <w:rsid w:val="002830D8"/>
    <w:rsid w:val="00283162"/>
    <w:rsid w:val="00283592"/>
    <w:rsid w:val="002837C0"/>
    <w:rsid w:val="0028385B"/>
    <w:rsid w:val="00283D51"/>
    <w:rsid w:val="00283EB2"/>
    <w:rsid w:val="002843FB"/>
    <w:rsid w:val="00284FCE"/>
    <w:rsid w:val="0028598A"/>
    <w:rsid w:val="00290CD3"/>
    <w:rsid w:val="00290E8F"/>
    <w:rsid w:val="00291A40"/>
    <w:rsid w:val="0029222D"/>
    <w:rsid w:val="00292C4D"/>
    <w:rsid w:val="002930AA"/>
    <w:rsid w:val="0029337D"/>
    <w:rsid w:val="00293CFA"/>
    <w:rsid w:val="0029405D"/>
    <w:rsid w:val="002940DF"/>
    <w:rsid w:val="002948BF"/>
    <w:rsid w:val="00294FA6"/>
    <w:rsid w:val="00295505"/>
    <w:rsid w:val="0029565D"/>
    <w:rsid w:val="00295A6F"/>
    <w:rsid w:val="00296163"/>
    <w:rsid w:val="0029656B"/>
    <w:rsid w:val="00297368"/>
    <w:rsid w:val="002A11C4"/>
    <w:rsid w:val="002A1B84"/>
    <w:rsid w:val="002A1F3B"/>
    <w:rsid w:val="002A20C4"/>
    <w:rsid w:val="002A2BF6"/>
    <w:rsid w:val="002A2FED"/>
    <w:rsid w:val="002A32C0"/>
    <w:rsid w:val="002A386E"/>
    <w:rsid w:val="002A50E6"/>
    <w:rsid w:val="002A570F"/>
    <w:rsid w:val="002A573B"/>
    <w:rsid w:val="002A7292"/>
    <w:rsid w:val="002A7358"/>
    <w:rsid w:val="002A752F"/>
    <w:rsid w:val="002A7611"/>
    <w:rsid w:val="002A7902"/>
    <w:rsid w:val="002A7E0A"/>
    <w:rsid w:val="002A7EF1"/>
    <w:rsid w:val="002B0EA4"/>
    <w:rsid w:val="002B0F6B"/>
    <w:rsid w:val="002B1678"/>
    <w:rsid w:val="002B23B8"/>
    <w:rsid w:val="002B2904"/>
    <w:rsid w:val="002B30A1"/>
    <w:rsid w:val="002B3CF3"/>
    <w:rsid w:val="002B4429"/>
    <w:rsid w:val="002B49F7"/>
    <w:rsid w:val="002B60F4"/>
    <w:rsid w:val="002B68A6"/>
    <w:rsid w:val="002B6955"/>
    <w:rsid w:val="002B7598"/>
    <w:rsid w:val="002B7D4A"/>
    <w:rsid w:val="002B7FAF"/>
    <w:rsid w:val="002C05E7"/>
    <w:rsid w:val="002C0D4B"/>
    <w:rsid w:val="002C18DC"/>
    <w:rsid w:val="002C3F12"/>
    <w:rsid w:val="002C4528"/>
    <w:rsid w:val="002C503C"/>
    <w:rsid w:val="002C57A3"/>
    <w:rsid w:val="002C5AE2"/>
    <w:rsid w:val="002C603F"/>
    <w:rsid w:val="002C74C7"/>
    <w:rsid w:val="002D0C4F"/>
    <w:rsid w:val="002D0D01"/>
    <w:rsid w:val="002D1364"/>
    <w:rsid w:val="002D456E"/>
    <w:rsid w:val="002D4698"/>
    <w:rsid w:val="002D4D30"/>
    <w:rsid w:val="002D5000"/>
    <w:rsid w:val="002D54FC"/>
    <w:rsid w:val="002D598D"/>
    <w:rsid w:val="002D6284"/>
    <w:rsid w:val="002D67A6"/>
    <w:rsid w:val="002D6EC2"/>
    <w:rsid w:val="002D7188"/>
    <w:rsid w:val="002E0152"/>
    <w:rsid w:val="002E02C5"/>
    <w:rsid w:val="002E06E8"/>
    <w:rsid w:val="002E0ED6"/>
    <w:rsid w:val="002E17CD"/>
    <w:rsid w:val="002E1DE3"/>
    <w:rsid w:val="002E1FA3"/>
    <w:rsid w:val="002E1FE5"/>
    <w:rsid w:val="002E25AA"/>
    <w:rsid w:val="002E2851"/>
    <w:rsid w:val="002E2AB6"/>
    <w:rsid w:val="002E3B51"/>
    <w:rsid w:val="002E3F34"/>
    <w:rsid w:val="002E4C5B"/>
    <w:rsid w:val="002E50CE"/>
    <w:rsid w:val="002E527B"/>
    <w:rsid w:val="002E5F79"/>
    <w:rsid w:val="002E60D6"/>
    <w:rsid w:val="002E64FA"/>
    <w:rsid w:val="002E6DCD"/>
    <w:rsid w:val="002F0004"/>
    <w:rsid w:val="002F0A00"/>
    <w:rsid w:val="002F0CFA"/>
    <w:rsid w:val="002F0D7A"/>
    <w:rsid w:val="002F0DD0"/>
    <w:rsid w:val="002F0DD4"/>
    <w:rsid w:val="002F27BF"/>
    <w:rsid w:val="002F63C9"/>
    <w:rsid w:val="002F669F"/>
    <w:rsid w:val="002F77A0"/>
    <w:rsid w:val="002F7D68"/>
    <w:rsid w:val="003004C1"/>
    <w:rsid w:val="00301907"/>
    <w:rsid w:val="003019EF"/>
    <w:rsid w:val="00301B2B"/>
    <w:rsid w:val="00301C97"/>
    <w:rsid w:val="00301F3C"/>
    <w:rsid w:val="00301FD0"/>
    <w:rsid w:val="00302E80"/>
    <w:rsid w:val="003031AC"/>
    <w:rsid w:val="00304837"/>
    <w:rsid w:val="00304BE4"/>
    <w:rsid w:val="00304C2F"/>
    <w:rsid w:val="00305742"/>
    <w:rsid w:val="003072B2"/>
    <w:rsid w:val="0031004C"/>
    <w:rsid w:val="003105F6"/>
    <w:rsid w:val="00311297"/>
    <w:rsid w:val="003113BE"/>
    <w:rsid w:val="003113F3"/>
    <w:rsid w:val="003119C1"/>
    <w:rsid w:val="003122CA"/>
    <w:rsid w:val="003126AD"/>
    <w:rsid w:val="003136AB"/>
    <w:rsid w:val="0031410D"/>
    <w:rsid w:val="003148FD"/>
    <w:rsid w:val="00315144"/>
    <w:rsid w:val="00315324"/>
    <w:rsid w:val="00315DFF"/>
    <w:rsid w:val="00317EA2"/>
    <w:rsid w:val="003200C7"/>
    <w:rsid w:val="00320A0E"/>
    <w:rsid w:val="00321080"/>
    <w:rsid w:val="00322104"/>
    <w:rsid w:val="00322D45"/>
    <w:rsid w:val="00323FEE"/>
    <w:rsid w:val="00324830"/>
    <w:rsid w:val="003253DB"/>
    <w:rsid w:val="0032569A"/>
    <w:rsid w:val="00325A1F"/>
    <w:rsid w:val="003268F9"/>
    <w:rsid w:val="00327CB0"/>
    <w:rsid w:val="00330BAF"/>
    <w:rsid w:val="00331519"/>
    <w:rsid w:val="003323EB"/>
    <w:rsid w:val="00332ED8"/>
    <w:rsid w:val="003349C8"/>
    <w:rsid w:val="00334E3A"/>
    <w:rsid w:val="003360DE"/>
    <w:rsid w:val="003361DD"/>
    <w:rsid w:val="003374D4"/>
    <w:rsid w:val="0034006F"/>
    <w:rsid w:val="003411C8"/>
    <w:rsid w:val="00341A6A"/>
    <w:rsid w:val="00341DF1"/>
    <w:rsid w:val="00342FD1"/>
    <w:rsid w:val="003448C3"/>
    <w:rsid w:val="003449F3"/>
    <w:rsid w:val="00345371"/>
    <w:rsid w:val="00345B9C"/>
    <w:rsid w:val="00346B1F"/>
    <w:rsid w:val="0034702A"/>
    <w:rsid w:val="003472A2"/>
    <w:rsid w:val="00347C5A"/>
    <w:rsid w:val="00347C6B"/>
    <w:rsid w:val="00347DBC"/>
    <w:rsid w:val="00347F6A"/>
    <w:rsid w:val="00347FDF"/>
    <w:rsid w:val="003507AC"/>
    <w:rsid w:val="00350C3C"/>
    <w:rsid w:val="00351971"/>
    <w:rsid w:val="00352DAE"/>
    <w:rsid w:val="00354EB9"/>
    <w:rsid w:val="00356F6A"/>
    <w:rsid w:val="003602AE"/>
    <w:rsid w:val="00360929"/>
    <w:rsid w:val="0036132C"/>
    <w:rsid w:val="0036247A"/>
    <w:rsid w:val="00362590"/>
    <w:rsid w:val="00363CB1"/>
    <w:rsid w:val="003642DF"/>
    <w:rsid w:val="003647D5"/>
    <w:rsid w:val="00364B25"/>
    <w:rsid w:val="0036542E"/>
    <w:rsid w:val="00365F8B"/>
    <w:rsid w:val="003674B0"/>
    <w:rsid w:val="00367922"/>
    <w:rsid w:val="00370B3E"/>
    <w:rsid w:val="0037137B"/>
    <w:rsid w:val="0037201C"/>
    <w:rsid w:val="00373186"/>
    <w:rsid w:val="0037325F"/>
    <w:rsid w:val="00374582"/>
    <w:rsid w:val="00374595"/>
    <w:rsid w:val="00374AD5"/>
    <w:rsid w:val="00374F63"/>
    <w:rsid w:val="00375939"/>
    <w:rsid w:val="00375B14"/>
    <w:rsid w:val="00376204"/>
    <w:rsid w:val="0037639F"/>
    <w:rsid w:val="0037727C"/>
    <w:rsid w:val="00377E70"/>
    <w:rsid w:val="00377F38"/>
    <w:rsid w:val="00377FC0"/>
    <w:rsid w:val="00380904"/>
    <w:rsid w:val="00380E64"/>
    <w:rsid w:val="003823EE"/>
    <w:rsid w:val="00382960"/>
    <w:rsid w:val="003844DB"/>
    <w:rsid w:val="003846F7"/>
    <w:rsid w:val="003851ED"/>
    <w:rsid w:val="003852D6"/>
    <w:rsid w:val="0038542B"/>
    <w:rsid w:val="00385B39"/>
    <w:rsid w:val="00386785"/>
    <w:rsid w:val="0038711A"/>
    <w:rsid w:val="003878DF"/>
    <w:rsid w:val="00390E89"/>
    <w:rsid w:val="00391766"/>
    <w:rsid w:val="00391B1A"/>
    <w:rsid w:val="003940EE"/>
    <w:rsid w:val="003941B3"/>
    <w:rsid w:val="00394423"/>
    <w:rsid w:val="00394749"/>
    <w:rsid w:val="003952D5"/>
    <w:rsid w:val="0039644B"/>
    <w:rsid w:val="00396942"/>
    <w:rsid w:val="00396ADC"/>
    <w:rsid w:val="00396B49"/>
    <w:rsid w:val="00396E3E"/>
    <w:rsid w:val="003972EE"/>
    <w:rsid w:val="00397581"/>
    <w:rsid w:val="0039795F"/>
    <w:rsid w:val="003A0D25"/>
    <w:rsid w:val="003A1315"/>
    <w:rsid w:val="003A2921"/>
    <w:rsid w:val="003A306E"/>
    <w:rsid w:val="003A3BB5"/>
    <w:rsid w:val="003A4DC2"/>
    <w:rsid w:val="003A60DC"/>
    <w:rsid w:val="003A6A46"/>
    <w:rsid w:val="003A6B3C"/>
    <w:rsid w:val="003A6DBF"/>
    <w:rsid w:val="003A7A63"/>
    <w:rsid w:val="003B000C"/>
    <w:rsid w:val="003B078E"/>
    <w:rsid w:val="003B0A7B"/>
    <w:rsid w:val="003B0B80"/>
    <w:rsid w:val="003B0BB3"/>
    <w:rsid w:val="003B0F1D"/>
    <w:rsid w:val="003B1554"/>
    <w:rsid w:val="003B36D0"/>
    <w:rsid w:val="003B40D1"/>
    <w:rsid w:val="003B4A57"/>
    <w:rsid w:val="003B563C"/>
    <w:rsid w:val="003B585E"/>
    <w:rsid w:val="003B5E7A"/>
    <w:rsid w:val="003B6B45"/>
    <w:rsid w:val="003B6EBF"/>
    <w:rsid w:val="003B737B"/>
    <w:rsid w:val="003C0417"/>
    <w:rsid w:val="003C0AD9"/>
    <w:rsid w:val="003C0ED0"/>
    <w:rsid w:val="003C19A8"/>
    <w:rsid w:val="003C1D49"/>
    <w:rsid w:val="003C2448"/>
    <w:rsid w:val="003C2DDC"/>
    <w:rsid w:val="003C2EDC"/>
    <w:rsid w:val="003C335B"/>
    <w:rsid w:val="003C35C4"/>
    <w:rsid w:val="003C4FEE"/>
    <w:rsid w:val="003C53CE"/>
    <w:rsid w:val="003C7EB2"/>
    <w:rsid w:val="003C7EF7"/>
    <w:rsid w:val="003D01C7"/>
    <w:rsid w:val="003D0677"/>
    <w:rsid w:val="003D0C76"/>
    <w:rsid w:val="003D12C2"/>
    <w:rsid w:val="003D13C0"/>
    <w:rsid w:val="003D1451"/>
    <w:rsid w:val="003D16BC"/>
    <w:rsid w:val="003D2163"/>
    <w:rsid w:val="003D25C1"/>
    <w:rsid w:val="003D31B9"/>
    <w:rsid w:val="003D3867"/>
    <w:rsid w:val="003D43F4"/>
    <w:rsid w:val="003D456E"/>
    <w:rsid w:val="003D5280"/>
    <w:rsid w:val="003D6828"/>
    <w:rsid w:val="003D79EB"/>
    <w:rsid w:val="003E004C"/>
    <w:rsid w:val="003E067E"/>
    <w:rsid w:val="003E0BA7"/>
    <w:rsid w:val="003E0D1A"/>
    <w:rsid w:val="003E2DA3"/>
    <w:rsid w:val="003E2E61"/>
    <w:rsid w:val="003E3154"/>
    <w:rsid w:val="003E4034"/>
    <w:rsid w:val="003E4D0F"/>
    <w:rsid w:val="003E66CF"/>
    <w:rsid w:val="003E6D52"/>
    <w:rsid w:val="003E724C"/>
    <w:rsid w:val="003F020D"/>
    <w:rsid w:val="003F031F"/>
    <w:rsid w:val="003F03D9"/>
    <w:rsid w:val="003F0692"/>
    <w:rsid w:val="003F1388"/>
    <w:rsid w:val="003F2FBE"/>
    <w:rsid w:val="003F318D"/>
    <w:rsid w:val="003F44CB"/>
    <w:rsid w:val="003F49C4"/>
    <w:rsid w:val="003F5BAE"/>
    <w:rsid w:val="003F5C73"/>
    <w:rsid w:val="003F6339"/>
    <w:rsid w:val="003F6ED7"/>
    <w:rsid w:val="00400811"/>
    <w:rsid w:val="00401C84"/>
    <w:rsid w:val="00403210"/>
    <w:rsid w:val="004035BB"/>
    <w:rsid w:val="004035EB"/>
    <w:rsid w:val="00403A74"/>
    <w:rsid w:val="00404191"/>
    <w:rsid w:val="00404B07"/>
    <w:rsid w:val="00404D8C"/>
    <w:rsid w:val="00406341"/>
    <w:rsid w:val="00407332"/>
    <w:rsid w:val="00407828"/>
    <w:rsid w:val="00407E74"/>
    <w:rsid w:val="00410150"/>
    <w:rsid w:val="004101B9"/>
    <w:rsid w:val="004106CD"/>
    <w:rsid w:val="00410A24"/>
    <w:rsid w:val="00411398"/>
    <w:rsid w:val="0041140B"/>
    <w:rsid w:val="0041156C"/>
    <w:rsid w:val="0041178E"/>
    <w:rsid w:val="004127FB"/>
    <w:rsid w:val="00412993"/>
    <w:rsid w:val="00412FB7"/>
    <w:rsid w:val="004134CE"/>
    <w:rsid w:val="00413D8E"/>
    <w:rsid w:val="00413FA7"/>
    <w:rsid w:val="004140F2"/>
    <w:rsid w:val="004141DC"/>
    <w:rsid w:val="00415A9C"/>
    <w:rsid w:val="00415E11"/>
    <w:rsid w:val="0041618B"/>
    <w:rsid w:val="004167DA"/>
    <w:rsid w:val="00417181"/>
    <w:rsid w:val="00417B22"/>
    <w:rsid w:val="004209C8"/>
    <w:rsid w:val="00420DD3"/>
    <w:rsid w:val="00421085"/>
    <w:rsid w:val="004211D9"/>
    <w:rsid w:val="00421B4D"/>
    <w:rsid w:val="00421E69"/>
    <w:rsid w:val="00422757"/>
    <w:rsid w:val="0042465E"/>
    <w:rsid w:val="00424DF7"/>
    <w:rsid w:val="00425C60"/>
    <w:rsid w:val="00426304"/>
    <w:rsid w:val="00430743"/>
    <w:rsid w:val="004315CE"/>
    <w:rsid w:val="004316EF"/>
    <w:rsid w:val="00431F1B"/>
    <w:rsid w:val="00432391"/>
    <w:rsid w:val="00432B76"/>
    <w:rsid w:val="00432E6E"/>
    <w:rsid w:val="00434006"/>
    <w:rsid w:val="00434D01"/>
    <w:rsid w:val="00435D26"/>
    <w:rsid w:val="004372BA"/>
    <w:rsid w:val="004402F3"/>
    <w:rsid w:val="004402F9"/>
    <w:rsid w:val="00440644"/>
    <w:rsid w:val="00440C99"/>
    <w:rsid w:val="0044175C"/>
    <w:rsid w:val="00442362"/>
    <w:rsid w:val="0044309E"/>
    <w:rsid w:val="00443160"/>
    <w:rsid w:val="00443C0E"/>
    <w:rsid w:val="00443E61"/>
    <w:rsid w:val="004440E0"/>
    <w:rsid w:val="0044472F"/>
    <w:rsid w:val="0044487A"/>
    <w:rsid w:val="00444BD7"/>
    <w:rsid w:val="00444DD1"/>
    <w:rsid w:val="00445C31"/>
    <w:rsid w:val="00445F4D"/>
    <w:rsid w:val="00447C94"/>
    <w:rsid w:val="00450373"/>
    <w:rsid w:val="004504C0"/>
    <w:rsid w:val="00450CA9"/>
    <w:rsid w:val="004511D8"/>
    <w:rsid w:val="00451E3B"/>
    <w:rsid w:val="004521D4"/>
    <w:rsid w:val="00452E30"/>
    <w:rsid w:val="004538F7"/>
    <w:rsid w:val="004550FB"/>
    <w:rsid w:val="004556D6"/>
    <w:rsid w:val="00457188"/>
    <w:rsid w:val="00457565"/>
    <w:rsid w:val="0046036F"/>
    <w:rsid w:val="0046038B"/>
    <w:rsid w:val="004605A3"/>
    <w:rsid w:val="0046111A"/>
    <w:rsid w:val="004622BB"/>
    <w:rsid w:val="00462946"/>
    <w:rsid w:val="00462A31"/>
    <w:rsid w:val="00463F43"/>
    <w:rsid w:val="004641D1"/>
    <w:rsid w:val="00464B94"/>
    <w:rsid w:val="00464E0B"/>
    <w:rsid w:val="004652A8"/>
    <w:rsid w:val="004653A8"/>
    <w:rsid w:val="00465A0B"/>
    <w:rsid w:val="00465EE3"/>
    <w:rsid w:val="00466131"/>
    <w:rsid w:val="00466F8D"/>
    <w:rsid w:val="00467208"/>
    <w:rsid w:val="00467786"/>
    <w:rsid w:val="00467B38"/>
    <w:rsid w:val="00467BAB"/>
    <w:rsid w:val="004701FD"/>
    <w:rsid w:val="0047077C"/>
    <w:rsid w:val="00470A32"/>
    <w:rsid w:val="00470B05"/>
    <w:rsid w:val="00471075"/>
    <w:rsid w:val="0047207C"/>
    <w:rsid w:val="00472CD6"/>
    <w:rsid w:val="00473604"/>
    <w:rsid w:val="004749B7"/>
    <w:rsid w:val="00474E3C"/>
    <w:rsid w:val="00480A58"/>
    <w:rsid w:val="00480B01"/>
    <w:rsid w:val="00481DA6"/>
    <w:rsid w:val="00482151"/>
    <w:rsid w:val="00482402"/>
    <w:rsid w:val="00483B17"/>
    <w:rsid w:val="004841D8"/>
    <w:rsid w:val="00484842"/>
    <w:rsid w:val="00485C5C"/>
    <w:rsid w:val="00485D3D"/>
    <w:rsid w:val="00485F85"/>
    <w:rsid w:val="00485FAD"/>
    <w:rsid w:val="0048660D"/>
    <w:rsid w:val="0048687E"/>
    <w:rsid w:val="00486A39"/>
    <w:rsid w:val="00486CDA"/>
    <w:rsid w:val="00487AED"/>
    <w:rsid w:val="00490546"/>
    <w:rsid w:val="004911FE"/>
    <w:rsid w:val="00491962"/>
    <w:rsid w:val="00491EDF"/>
    <w:rsid w:val="0049201F"/>
    <w:rsid w:val="00492A3F"/>
    <w:rsid w:val="00493AB4"/>
    <w:rsid w:val="00493AC7"/>
    <w:rsid w:val="00494486"/>
    <w:rsid w:val="00494F62"/>
    <w:rsid w:val="004961E6"/>
    <w:rsid w:val="0049648D"/>
    <w:rsid w:val="00497D8E"/>
    <w:rsid w:val="004A0B6C"/>
    <w:rsid w:val="004A2001"/>
    <w:rsid w:val="004A2006"/>
    <w:rsid w:val="004A2138"/>
    <w:rsid w:val="004A22BE"/>
    <w:rsid w:val="004A2BA4"/>
    <w:rsid w:val="004A2DBB"/>
    <w:rsid w:val="004A3590"/>
    <w:rsid w:val="004A3A0C"/>
    <w:rsid w:val="004A3FDE"/>
    <w:rsid w:val="004A4085"/>
    <w:rsid w:val="004A68E2"/>
    <w:rsid w:val="004A6C9B"/>
    <w:rsid w:val="004A6F07"/>
    <w:rsid w:val="004A7E91"/>
    <w:rsid w:val="004B00A7"/>
    <w:rsid w:val="004B1100"/>
    <w:rsid w:val="004B1E84"/>
    <w:rsid w:val="004B25E2"/>
    <w:rsid w:val="004B2959"/>
    <w:rsid w:val="004B2B49"/>
    <w:rsid w:val="004B33B2"/>
    <w:rsid w:val="004B34D7"/>
    <w:rsid w:val="004B404D"/>
    <w:rsid w:val="004B4051"/>
    <w:rsid w:val="004B5037"/>
    <w:rsid w:val="004B5B2F"/>
    <w:rsid w:val="004B626A"/>
    <w:rsid w:val="004B6434"/>
    <w:rsid w:val="004B660E"/>
    <w:rsid w:val="004B6F01"/>
    <w:rsid w:val="004B799B"/>
    <w:rsid w:val="004C05BD"/>
    <w:rsid w:val="004C1002"/>
    <w:rsid w:val="004C194B"/>
    <w:rsid w:val="004C1F86"/>
    <w:rsid w:val="004C2837"/>
    <w:rsid w:val="004C364B"/>
    <w:rsid w:val="004C3B06"/>
    <w:rsid w:val="004C3DDA"/>
    <w:rsid w:val="004C3F97"/>
    <w:rsid w:val="004C480D"/>
    <w:rsid w:val="004C4D2D"/>
    <w:rsid w:val="004C6527"/>
    <w:rsid w:val="004C7EE7"/>
    <w:rsid w:val="004D0E49"/>
    <w:rsid w:val="004D1034"/>
    <w:rsid w:val="004D1181"/>
    <w:rsid w:val="004D118A"/>
    <w:rsid w:val="004D1200"/>
    <w:rsid w:val="004D1284"/>
    <w:rsid w:val="004D1692"/>
    <w:rsid w:val="004D1B48"/>
    <w:rsid w:val="004D1FAE"/>
    <w:rsid w:val="004D2456"/>
    <w:rsid w:val="004D2DEE"/>
    <w:rsid w:val="004D2E04"/>
    <w:rsid w:val="004D2E1F"/>
    <w:rsid w:val="004D3645"/>
    <w:rsid w:val="004D38EF"/>
    <w:rsid w:val="004D4B9E"/>
    <w:rsid w:val="004D4F0F"/>
    <w:rsid w:val="004D5A6E"/>
    <w:rsid w:val="004D5B52"/>
    <w:rsid w:val="004D5E30"/>
    <w:rsid w:val="004D6376"/>
    <w:rsid w:val="004D754D"/>
    <w:rsid w:val="004D7709"/>
    <w:rsid w:val="004D7FD9"/>
    <w:rsid w:val="004E1206"/>
    <w:rsid w:val="004E1324"/>
    <w:rsid w:val="004E182D"/>
    <w:rsid w:val="004E19A5"/>
    <w:rsid w:val="004E2618"/>
    <w:rsid w:val="004E37E5"/>
    <w:rsid w:val="004E3DCF"/>
    <w:rsid w:val="004E3FDB"/>
    <w:rsid w:val="004E4F31"/>
    <w:rsid w:val="004E5838"/>
    <w:rsid w:val="004E70E3"/>
    <w:rsid w:val="004E78C9"/>
    <w:rsid w:val="004F0195"/>
    <w:rsid w:val="004F0A99"/>
    <w:rsid w:val="004F1DDA"/>
    <w:rsid w:val="004F1F4A"/>
    <w:rsid w:val="004F296D"/>
    <w:rsid w:val="004F3127"/>
    <w:rsid w:val="004F3500"/>
    <w:rsid w:val="004F3646"/>
    <w:rsid w:val="004F4324"/>
    <w:rsid w:val="004F454E"/>
    <w:rsid w:val="004F508B"/>
    <w:rsid w:val="004F695F"/>
    <w:rsid w:val="004F6C38"/>
    <w:rsid w:val="004F6CA4"/>
    <w:rsid w:val="004F6EFD"/>
    <w:rsid w:val="004F75C2"/>
    <w:rsid w:val="00500752"/>
    <w:rsid w:val="0050095C"/>
    <w:rsid w:val="00501A50"/>
    <w:rsid w:val="00501FAB"/>
    <w:rsid w:val="0050222D"/>
    <w:rsid w:val="00503AF3"/>
    <w:rsid w:val="005064AA"/>
    <w:rsid w:val="0050696D"/>
    <w:rsid w:val="00506A86"/>
    <w:rsid w:val="005074D6"/>
    <w:rsid w:val="0050757E"/>
    <w:rsid w:val="005079C4"/>
    <w:rsid w:val="00507D52"/>
    <w:rsid w:val="005103B7"/>
    <w:rsid w:val="0051094B"/>
    <w:rsid w:val="005110D7"/>
    <w:rsid w:val="00511D99"/>
    <w:rsid w:val="00511E40"/>
    <w:rsid w:val="005128D3"/>
    <w:rsid w:val="0051382A"/>
    <w:rsid w:val="0051389A"/>
    <w:rsid w:val="005147E8"/>
    <w:rsid w:val="00514A00"/>
    <w:rsid w:val="0051505B"/>
    <w:rsid w:val="00515295"/>
    <w:rsid w:val="005153A2"/>
    <w:rsid w:val="0051583D"/>
    <w:rsid w:val="005158F2"/>
    <w:rsid w:val="005159CE"/>
    <w:rsid w:val="00515E32"/>
    <w:rsid w:val="00516043"/>
    <w:rsid w:val="00516189"/>
    <w:rsid w:val="005164FE"/>
    <w:rsid w:val="00517DA0"/>
    <w:rsid w:val="00521E7A"/>
    <w:rsid w:val="005222C8"/>
    <w:rsid w:val="00522515"/>
    <w:rsid w:val="0052339B"/>
    <w:rsid w:val="005254F6"/>
    <w:rsid w:val="00526DFC"/>
    <w:rsid w:val="00526F43"/>
    <w:rsid w:val="00527651"/>
    <w:rsid w:val="005278DD"/>
    <w:rsid w:val="00527C0C"/>
    <w:rsid w:val="00527D7F"/>
    <w:rsid w:val="00531621"/>
    <w:rsid w:val="00531ED0"/>
    <w:rsid w:val="00532931"/>
    <w:rsid w:val="005337BB"/>
    <w:rsid w:val="00535E14"/>
    <w:rsid w:val="005362D1"/>
    <w:rsid w:val="005363AB"/>
    <w:rsid w:val="005363DE"/>
    <w:rsid w:val="00536B54"/>
    <w:rsid w:val="00536D7B"/>
    <w:rsid w:val="0053739A"/>
    <w:rsid w:val="00537737"/>
    <w:rsid w:val="00537CC7"/>
    <w:rsid w:val="00540CFD"/>
    <w:rsid w:val="00540EF3"/>
    <w:rsid w:val="00542A20"/>
    <w:rsid w:val="005433C4"/>
    <w:rsid w:val="00544EF4"/>
    <w:rsid w:val="00545E53"/>
    <w:rsid w:val="00546BBB"/>
    <w:rsid w:val="005471BB"/>
    <w:rsid w:val="005479D9"/>
    <w:rsid w:val="00551DFC"/>
    <w:rsid w:val="00552A0D"/>
    <w:rsid w:val="005530C4"/>
    <w:rsid w:val="0055371D"/>
    <w:rsid w:val="00554250"/>
    <w:rsid w:val="005548C3"/>
    <w:rsid w:val="005551F2"/>
    <w:rsid w:val="005554F2"/>
    <w:rsid w:val="005569E7"/>
    <w:rsid w:val="005572BD"/>
    <w:rsid w:val="00557371"/>
    <w:rsid w:val="00557A12"/>
    <w:rsid w:val="00560AC7"/>
    <w:rsid w:val="00560C8D"/>
    <w:rsid w:val="00561A73"/>
    <w:rsid w:val="00561AFB"/>
    <w:rsid w:val="00561FA8"/>
    <w:rsid w:val="00562886"/>
    <w:rsid w:val="005635ED"/>
    <w:rsid w:val="005636C2"/>
    <w:rsid w:val="005637FB"/>
    <w:rsid w:val="00563F19"/>
    <w:rsid w:val="00565181"/>
    <w:rsid w:val="00565253"/>
    <w:rsid w:val="00566D4F"/>
    <w:rsid w:val="00567122"/>
    <w:rsid w:val="00570191"/>
    <w:rsid w:val="00570570"/>
    <w:rsid w:val="00571E66"/>
    <w:rsid w:val="00572512"/>
    <w:rsid w:val="00573EE6"/>
    <w:rsid w:val="00574B6A"/>
    <w:rsid w:val="0057547F"/>
    <w:rsid w:val="005754EE"/>
    <w:rsid w:val="00575590"/>
    <w:rsid w:val="0057617E"/>
    <w:rsid w:val="0057624C"/>
    <w:rsid w:val="00576497"/>
    <w:rsid w:val="005765B0"/>
    <w:rsid w:val="005779AC"/>
    <w:rsid w:val="00580928"/>
    <w:rsid w:val="005814F2"/>
    <w:rsid w:val="005818E3"/>
    <w:rsid w:val="00581F28"/>
    <w:rsid w:val="0058317A"/>
    <w:rsid w:val="005834CE"/>
    <w:rsid w:val="005835E7"/>
    <w:rsid w:val="0058397F"/>
    <w:rsid w:val="00583BF8"/>
    <w:rsid w:val="00583EC3"/>
    <w:rsid w:val="00585168"/>
    <w:rsid w:val="00585F33"/>
    <w:rsid w:val="00586C31"/>
    <w:rsid w:val="00586E11"/>
    <w:rsid w:val="0058783D"/>
    <w:rsid w:val="00587F29"/>
    <w:rsid w:val="005908A5"/>
    <w:rsid w:val="0059101C"/>
    <w:rsid w:val="00591124"/>
    <w:rsid w:val="00591A2C"/>
    <w:rsid w:val="00591C5C"/>
    <w:rsid w:val="00591D4D"/>
    <w:rsid w:val="005920E2"/>
    <w:rsid w:val="0059293E"/>
    <w:rsid w:val="00593AB8"/>
    <w:rsid w:val="00594C98"/>
    <w:rsid w:val="00595391"/>
    <w:rsid w:val="005954BF"/>
    <w:rsid w:val="005954DA"/>
    <w:rsid w:val="00595BD3"/>
    <w:rsid w:val="00597024"/>
    <w:rsid w:val="005A0274"/>
    <w:rsid w:val="005A095C"/>
    <w:rsid w:val="005A102C"/>
    <w:rsid w:val="005A2047"/>
    <w:rsid w:val="005A22B8"/>
    <w:rsid w:val="005A325E"/>
    <w:rsid w:val="005A32FB"/>
    <w:rsid w:val="005A49FF"/>
    <w:rsid w:val="005A669D"/>
    <w:rsid w:val="005A7254"/>
    <w:rsid w:val="005A75D8"/>
    <w:rsid w:val="005B002B"/>
    <w:rsid w:val="005B02D9"/>
    <w:rsid w:val="005B0930"/>
    <w:rsid w:val="005B0A8F"/>
    <w:rsid w:val="005B1285"/>
    <w:rsid w:val="005B1513"/>
    <w:rsid w:val="005B1D09"/>
    <w:rsid w:val="005B25F5"/>
    <w:rsid w:val="005B2E66"/>
    <w:rsid w:val="005B3A3F"/>
    <w:rsid w:val="005B3E76"/>
    <w:rsid w:val="005B42D7"/>
    <w:rsid w:val="005B44CB"/>
    <w:rsid w:val="005B4C26"/>
    <w:rsid w:val="005B560D"/>
    <w:rsid w:val="005B6461"/>
    <w:rsid w:val="005B681D"/>
    <w:rsid w:val="005B6AFE"/>
    <w:rsid w:val="005B70C9"/>
    <w:rsid w:val="005B713E"/>
    <w:rsid w:val="005C03B6"/>
    <w:rsid w:val="005C1523"/>
    <w:rsid w:val="005C1946"/>
    <w:rsid w:val="005C21E8"/>
    <w:rsid w:val="005C348E"/>
    <w:rsid w:val="005C3539"/>
    <w:rsid w:val="005C390F"/>
    <w:rsid w:val="005C3C3C"/>
    <w:rsid w:val="005C5580"/>
    <w:rsid w:val="005C61D5"/>
    <w:rsid w:val="005C68E1"/>
    <w:rsid w:val="005C6DA4"/>
    <w:rsid w:val="005C7474"/>
    <w:rsid w:val="005C7589"/>
    <w:rsid w:val="005C7742"/>
    <w:rsid w:val="005C786F"/>
    <w:rsid w:val="005D0801"/>
    <w:rsid w:val="005D21E6"/>
    <w:rsid w:val="005D22F8"/>
    <w:rsid w:val="005D2449"/>
    <w:rsid w:val="005D27E3"/>
    <w:rsid w:val="005D2860"/>
    <w:rsid w:val="005D3319"/>
    <w:rsid w:val="005D3763"/>
    <w:rsid w:val="005D55E1"/>
    <w:rsid w:val="005D5C07"/>
    <w:rsid w:val="005D5EBF"/>
    <w:rsid w:val="005D6814"/>
    <w:rsid w:val="005E058D"/>
    <w:rsid w:val="005E1028"/>
    <w:rsid w:val="005E1883"/>
    <w:rsid w:val="005E19F7"/>
    <w:rsid w:val="005E1C6D"/>
    <w:rsid w:val="005E2741"/>
    <w:rsid w:val="005E283A"/>
    <w:rsid w:val="005E2E38"/>
    <w:rsid w:val="005E35F1"/>
    <w:rsid w:val="005E4F04"/>
    <w:rsid w:val="005E56D3"/>
    <w:rsid w:val="005E5C0A"/>
    <w:rsid w:val="005E606F"/>
    <w:rsid w:val="005E62C2"/>
    <w:rsid w:val="005E6452"/>
    <w:rsid w:val="005E6C71"/>
    <w:rsid w:val="005E700B"/>
    <w:rsid w:val="005E7668"/>
    <w:rsid w:val="005E79E6"/>
    <w:rsid w:val="005F0963"/>
    <w:rsid w:val="005F12DC"/>
    <w:rsid w:val="005F239F"/>
    <w:rsid w:val="005F27A6"/>
    <w:rsid w:val="005F2824"/>
    <w:rsid w:val="005F2EBA"/>
    <w:rsid w:val="005F35ED"/>
    <w:rsid w:val="005F373C"/>
    <w:rsid w:val="005F482D"/>
    <w:rsid w:val="005F5A32"/>
    <w:rsid w:val="005F5BB4"/>
    <w:rsid w:val="005F650C"/>
    <w:rsid w:val="005F675C"/>
    <w:rsid w:val="005F7812"/>
    <w:rsid w:val="005F7A88"/>
    <w:rsid w:val="005F7CC2"/>
    <w:rsid w:val="0060233E"/>
    <w:rsid w:val="00603A1A"/>
    <w:rsid w:val="00603DA8"/>
    <w:rsid w:val="0060456A"/>
    <w:rsid w:val="006046D5"/>
    <w:rsid w:val="006046F3"/>
    <w:rsid w:val="00604734"/>
    <w:rsid w:val="00605747"/>
    <w:rsid w:val="006078B2"/>
    <w:rsid w:val="00607A93"/>
    <w:rsid w:val="0061054B"/>
    <w:rsid w:val="00610C08"/>
    <w:rsid w:val="00611169"/>
    <w:rsid w:val="006111F0"/>
    <w:rsid w:val="00611F74"/>
    <w:rsid w:val="00612539"/>
    <w:rsid w:val="0061308E"/>
    <w:rsid w:val="006131B0"/>
    <w:rsid w:val="00613B45"/>
    <w:rsid w:val="00614161"/>
    <w:rsid w:val="00615772"/>
    <w:rsid w:val="00615828"/>
    <w:rsid w:val="00616AC0"/>
    <w:rsid w:val="00616EC7"/>
    <w:rsid w:val="00617286"/>
    <w:rsid w:val="006209DF"/>
    <w:rsid w:val="00620D5C"/>
    <w:rsid w:val="00621256"/>
    <w:rsid w:val="00621421"/>
    <w:rsid w:val="00621CCF"/>
    <w:rsid w:val="00621FCC"/>
    <w:rsid w:val="00621FD3"/>
    <w:rsid w:val="00622038"/>
    <w:rsid w:val="00622B36"/>
    <w:rsid w:val="00622E4B"/>
    <w:rsid w:val="00623A9E"/>
    <w:rsid w:val="00624801"/>
    <w:rsid w:val="0062648F"/>
    <w:rsid w:val="006264E5"/>
    <w:rsid w:val="006277B3"/>
    <w:rsid w:val="00627F4A"/>
    <w:rsid w:val="00630AA7"/>
    <w:rsid w:val="00632D76"/>
    <w:rsid w:val="006332F7"/>
    <w:rsid w:val="006333DA"/>
    <w:rsid w:val="00633564"/>
    <w:rsid w:val="00634506"/>
    <w:rsid w:val="00634824"/>
    <w:rsid w:val="00635134"/>
    <w:rsid w:val="006352A9"/>
    <w:rsid w:val="006356E2"/>
    <w:rsid w:val="006359E0"/>
    <w:rsid w:val="00635EEF"/>
    <w:rsid w:val="0063793D"/>
    <w:rsid w:val="00637BF5"/>
    <w:rsid w:val="0064087C"/>
    <w:rsid w:val="00640B0A"/>
    <w:rsid w:val="00642371"/>
    <w:rsid w:val="00642A65"/>
    <w:rsid w:val="00645DCE"/>
    <w:rsid w:val="006465AC"/>
    <w:rsid w:val="006465BF"/>
    <w:rsid w:val="00646B2C"/>
    <w:rsid w:val="0064796A"/>
    <w:rsid w:val="00650D5C"/>
    <w:rsid w:val="00650EDF"/>
    <w:rsid w:val="006510A9"/>
    <w:rsid w:val="006526BE"/>
    <w:rsid w:val="00652B5C"/>
    <w:rsid w:val="006537E1"/>
    <w:rsid w:val="00653B22"/>
    <w:rsid w:val="00654304"/>
    <w:rsid w:val="00654ECC"/>
    <w:rsid w:val="0065581B"/>
    <w:rsid w:val="00656719"/>
    <w:rsid w:val="006567E3"/>
    <w:rsid w:val="00657BF4"/>
    <w:rsid w:val="006603FB"/>
    <w:rsid w:val="006608DF"/>
    <w:rsid w:val="006623AC"/>
    <w:rsid w:val="0066517B"/>
    <w:rsid w:val="0066523F"/>
    <w:rsid w:val="0066560A"/>
    <w:rsid w:val="00666D16"/>
    <w:rsid w:val="00667273"/>
    <w:rsid w:val="006678AF"/>
    <w:rsid w:val="006678EA"/>
    <w:rsid w:val="00667BCC"/>
    <w:rsid w:val="00667DDC"/>
    <w:rsid w:val="006701EF"/>
    <w:rsid w:val="00670F42"/>
    <w:rsid w:val="006726A7"/>
    <w:rsid w:val="00673BA5"/>
    <w:rsid w:val="00673D7E"/>
    <w:rsid w:val="00674024"/>
    <w:rsid w:val="00674A98"/>
    <w:rsid w:val="00675B42"/>
    <w:rsid w:val="00676488"/>
    <w:rsid w:val="00677F50"/>
    <w:rsid w:val="00680058"/>
    <w:rsid w:val="00680722"/>
    <w:rsid w:val="00680CB1"/>
    <w:rsid w:val="00681336"/>
    <w:rsid w:val="0068148D"/>
    <w:rsid w:val="006819F9"/>
    <w:rsid w:val="00681C7A"/>
    <w:rsid w:val="00681F9F"/>
    <w:rsid w:val="00682DCF"/>
    <w:rsid w:val="006840EA"/>
    <w:rsid w:val="006844E2"/>
    <w:rsid w:val="00685267"/>
    <w:rsid w:val="00685739"/>
    <w:rsid w:val="00686133"/>
    <w:rsid w:val="006872AE"/>
    <w:rsid w:val="00690082"/>
    <w:rsid w:val="00690252"/>
    <w:rsid w:val="00690B21"/>
    <w:rsid w:val="00691880"/>
    <w:rsid w:val="00691D64"/>
    <w:rsid w:val="006940CE"/>
    <w:rsid w:val="006946BB"/>
    <w:rsid w:val="00695300"/>
    <w:rsid w:val="006969FA"/>
    <w:rsid w:val="00696AC0"/>
    <w:rsid w:val="00697B6D"/>
    <w:rsid w:val="006A35D5"/>
    <w:rsid w:val="006A3D3C"/>
    <w:rsid w:val="006A47BA"/>
    <w:rsid w:val="006A4AAD"/>
    <w:rsid w:val="006A4AB7"/>
    <w:rsid w:val="006A5CD9"/>
    <w:rsid w:val="006A5F1F"/>
    <w:rsid w:val="006A65EC"/>
    <w:rsid w:val="006A669C"/>
    <w:rsid w:val="006A66AB"/>
    <w:rsid w:val="006A748A"/>
    <w:rsid w:val="006A75AF"/>
    <w:rsid w:val="006A78A3"/>
    <w:rsid w:val="006A7EC8"/>
    <w:rsid w:val="006B041E"/>
    <w:rsid w:val="006B051E"/>
    <w:rsid w:val="006B2942"/>
    <w:rsid w:val="006B331D"/>
    <w:rsid w:val="006B3593"/>
    <w:rsid w:val="006B51E4"/>
    <w:rsid w:val="006B56F2"/>
    <w:rsid w:val="006B5763"/>
    <w:rsid w:val="006B6656"/>
    <w:rsid w:val="006B7E46"/>
    <w:rsid w:val="006C0D51"/>
    <w:rsid w:val="006C1935"/>
    <w:rsid w:val="006C1FC1"/>
    <w:rsid w:val="006C2A83"/>
    <w:rsid w:val="006C310C"/>
    <w:rsid w:val="006C3B79"/>
    <w:rsid w:val="006C419E"/>
    <w:rsid w:val="006C4A31"/>
    <w:rsid w:val="006C5325"/>
    <w:rsid w:val="006C5869"/>
    <w:rsid w:val="006C5AC2"/>
    <w:rsid w:val="006C6AFB"/>
    <w:rsid w:val="006C748E"/>
    <w:rsid w:val="006C7BCD"/>
    <w:rsid w:val="006C7FD0"/>
    <w:rsid w:val="006CF9DE"/>
    <w:rsid w:val="006D0D8F"/>
    <w:rsid w:val="006D12FE"/>
    <w:rsid w:val="006D1407"/>
    <w:rsid w:val="006D1AD2"/>
    <w:rsid w:val="006D1FB3"/>
    <w:rsid w:val="006D1FBD"/>
    <w:rsid w:val="006D2735"/>
    <w:rsid w:val="006D2C9E"/>
    <w:rsid w:val="006D3794"/>
    <w:rsid w:val="006D393F"/>
    <w:rsid w:val="006D3C3D"/>
    <w:rsid w:val="006D45B2"/>
    <w:rsid w:val="006D4EEA"/>
    <w:rsid w:val="006D599B"/>
    <w:rsid w:val="006D78F6"/>
    <w:rsid w:val="006E0FC6"/>
    <w:rsid w:val="006E0FCC"/>
    <w:rsid w:val="006E1E96"/>
    <w:rsid w:val="006E2E4C"/>
    <w:rsid w:val="006E437A"/>
    <w:rsid w:val="006E45EE"/>
    <w:rsid w:val="006E55E6"/>
    <w:rsid w:val="006E5ACE"/>
    <w:rsid w:val="006E5E21"/>
    <w:rsid w:val="006E6DEF"/>
    <w:rsid w:val="006E79C7"/>
    <w:rsid w:val="006E7E7D"/>
    <w:rsid w:val="006F02F7"/>
    <w:rsid w:val="006F2648"/>
    <w:rsid w:val="006F2F10"/>
    <w:rsid w:val="006F321A"/>
    <w:rsid w:val="006F3443"/>
    <w:rsid w:val="006F3611"/>
    <w:rsid w:val="006F3D91"/>
    <w:rsid w:val="006F482B"/>
    <w:rsid w:val="006F49AA"/>
    <w:rsid w:val="006F5792"/>
    <w:rsid w:val="006F5BD4"/>
    <w:rsid w:val="006F5F05"/>
    <w:rsid w:val="006F6311"/>
    <w:rsid w:val="006F6584"/>
    <w:rsid w:val="00700B47"/>
    <w:rsid w:val="00700C8C"/>
    <w:rsid w:val="00701794"/>
    <w:rsid w:val="00701952"/>
    <w:rsid w:val="0070252C"/>
    <w:rsid w:val="00702556"/>
    <w:rsid w:val="0070277E"/>
    <w:rsid w:val="00702D4C"/>
    <w:rsid w:val="00703FAB"/>
    <w:rsid w:val="00704156"/>
    <w:rsid w:val="007050BA"/>
    <w:rsid w:val="00705F1E"/>
    <w:rsid w:val="007069FC"/>
    <w:rsid w:val="0070723B"/>
    <w:rsid w:val="0070762B"/>
    <w:rsid w:val="00707AA1"/>
    <w:rsid w:val="00707CB1"/>
    <w:rsid w:val="00711221"/>
    <w:rsid w:val="007115FB"/>
    <w:rsid w:val="0071170F"/>
    <w:rsid w:val="00712675"/>
    <w:rsid w:val="0071282A"/>
    <w:rsid w:val="0071358B"/>
    <w:rsid w:val="007135DA"/>
    <w:rsid w:val="00713808"/>
    <w:rsid w:val="00713BC3"/>
    <w:rsid w:val="00713E1C"/>
    <w:rsid w:val="0071485A"/>
    <w:rsid w:val="007151B6"/>
    <w:rsid w:val="0071520D"/>
    <w:rsid w:val="007157A6"/>
    <w:rsid w:val="00715EDB"/>
    <w:rsid w:val="007160D5"/>
    <w:rsid w:val="007163FB"/>
    <w:rsid w:val="00716C06"/>
    <w:rsid w:val="00716E49"/>
    <w:rsid w:val="00717C2E"/>
    <w:rsid w:val="00717F6E"/>
    <w:rsid w:val="0072005E"/>
    <w:rsid w:val="007204FA"/>
    <w:rsid w:val="00720C37"/>
    <w:rsid w:val="007213B3"/>
    <w:rsid w:val="007236C7"/>
    <w:rsid w:val="00724524"/>
    <w:rsid w:val="0072457F"/>
    <w:rsid w:val="00725406"/>
    <w:rsid w:val="007255F1"/>
    <w:rsid w:val="0072621B"/>
    <w:rsid w:val="00727C45"/>
    <w:rsid w:val="00727DF7"/>
    <w:rsid w:val="00730555"/>
    <w:rsid w:val="007312CC"/>
    <w:rsid w:val="00731BC4"/>
    <w:rsid w:val="00732D05"/>
    <w:rsid w:val="0073321B"/>
    <w:rsid w:val="007339F9"/>
    <w:rsid w:val="00735775"/>
    <w:rsid w:val="00735844"/>
    <w:rsid w:val="007361CA"/>
    <w:rsid w:val="007364E3"/>
    <w:rsid w:val="00736A64"/>
    <w:rsid w:val="00736F93"/>
    <w:rsid w:val="00737F1C"/>
    <w:rsid w:val="00737F6A"/>
    <w:rsid w:val="00737F89"/>
    <w:rsid w:val="00740100"/>
    <w:rsid w:val="007410B6"/>
    <w:rsid w:val="00742E73"/>
    <w:rsid w:val="00743326"/>
    <w:rsid w:val="00744461"/>
    <w:rsid w:val="00744C6F"/>
    <w:rsid w:val="00744E25"/>
    <w:rsid w:val="007457F6"/>
    <w:rsid w:val="00745870"/>
    <w:rsid w:val="00745ABB"/>
    <w:rsid w:val="00745F94"/>
    <w:rsid w:val="0074677C"/>
    <w:rsid w:val="00746999"/>
    <w:rsid w:val="00746E38"/>
    <w:rsid w:val="0074778C"/>
    <w:rsid w:val="00747CD5"/>
    <w:rsid w:val="00750191"/>
    <w:rsid w:val="0075049C"/>
    <w:rsid w:val="00750519"/>
    <w:rsid w:val="007509B5"/>
    <w:rsid w:val="00750A6F"/>
    <w:rsid w:val="00750E5E"/>
    <w:rsid w:val="00751030"/>
    <w:rsid w:val="007520BE"/>
    <w:rsid w:val="007523C9"/>
    <w:rsid w:val="00752578"/>
    <w:rsid w:val="00752B4C"/>
    <w:rsid w:val="00752DEA"/>
    <w:rsid w:val="0075357E"/>
    <w:rsid w:val="00753B51"/>
    <w:rsid w:val="007540D8"/>
    <w:rsid w:val="00754BF3"/>
    <w:rsid w:val="00756629"/>
    <w:rsid w:val="00756889"/>
    <w:rsid w:val="007568F2"/>
    <w:rsid w:val="007575D2"/>
    <w:rsid w:val="00757B4F"/>
    <w:rsid w:val="00757B6A"/>
    <w:rsid w:val="00757DF6"/>
    <w:rsid w:val="007610E0"/>
    <w:rsid w:val="007621AA"/>
    <w:rsid w:val="0076260A"/>
    <w:rsid w:val="00762C28"/>
    <w:rsid w:val="0076340E"/>
    <w:rsid w:val="00764A67"/>
    <w:rsid w:val="007653DC"/>
    <w:rsid w:val="00765638"/>
    <w:rsid w:val="007664F0"/>
    <w:rsid w:val="00766F76"/>
    <w:rsid w:val="00766F77"/>
    <w:rsid w:val="007703AA"/>
    <w:rsid w:val="00770F6B"/>
    <w:rsid w:val="0077165A"/>
    <w:rsid w:val="00771883"/>
    <w:rsid w:val="00772BF3"/>
    <w:rsid w:val="00773D38"/>
    <w:rsid w:val="007743EB"/>
    <w:rsid w:val="0077527A"/>
    <w:rsid w:val="007767BC"/>
    <w:rsid w:val="00776DC2"/>
    <w:rsid w:val="00780122"/>
    <w:rsid w:val="0078214B"/>
    <w:rsid w:val="007832A5"/>
    <w:rsid w:val="007846EE"/>
    <w:rsid w:val="0078498A"/>
    <w:rsid w:val="00785AE2"/>
    <w:rsid w:val="0078642F"/>
    <w:rsid w:val="007873A2"/>
    <w:rsid w:val="007878FE"/>
    <w:rsid w:val="007908E0"/>
    <w:rsid w:val="00790AB9"/>
    <w:rsid w:val="00792207"/>
    <w:rsid w:val="00792B64"/>
    <w:rsid w:val="00792C84"/>
    <w:rsid w:val="00792E29"/>
    <w:rsid w:val="0079379A"/>
    <w:rsid w:val="00794812"/>
    <w:rsid w:val="00794953"/>
    <w:rsid w:val="00794FF8"/>
    <w:rsid w:val="0079665C"/>
    <w:rsid w:val="00796731"/>
    <w:rsid w:val="00797B06"/>
    <w:rsid w:val="007A1F2F"/>
    <w:rsid w:val="007A229D"/>
    <w:rsid w:val="007A27F5"/>
    <w:rsid w:val="007A2A5C"/>
    <w:rsid w:val="007A4B64"/>
    <w:rsid w:val="007A5150"/>
    <w:rsid w:val="007A5373"/>
    <w:rsid w:val="007A6326"/>
    <w:rsid w:val="007A71FE"/>
    <w:rsid w:val="007A789F"/>
    <w:rsid w:val="007A7D92"/>
    <w:rsid w:val="007B1A5E"/>
    <w:rsid w:val="007B205B"/>
    <w:rsid w:val="007B2D0E"/>
    <w:rsid w:val="007B323F"/>
    <w:rsid w:val="007B3B5B"/>
    <w:rsid w:val="007B488E"/>
    <w:rsid w:val="007B66DB"/>
    <w:rsid w:val="007B75BC"/>
    <w:rsid w:val="007B79CA"/>
    <w:rsid w:val="007B7D27"/>
    <w:rsid w:val="007C0BD6"/>
    <w:rsid w:val="007C0CBF"/>
    <w:rsid w:val="007C0D76"/>
    <w:rsid w:val="007C10E0"/>
    <w:rsid w:val="007C2CE2"/>
    <w:rsid w:val="007C3806"/>
    <w:rsid w:val="007C3F40"/>
    <w:rsid w:val="007C497B"/>
    <w:rsid w:val="007C5505"/>
    <w:rsid w:val="007C5BB7"/>
    <w:rsid w:val="007C7883"/>
    <w:rsid w:val="007C7F11"/>
    <w:rsid w:val="007D07D5"/>
    <w:rsid w:val="007D1C64"/>
    <w:rsid w:val="007D1F6C"/>
    <w:rsid w:val="007D2825"/>
    <w:rsid w:val="007D2D43"/>
    <w:rsid w:val="007D32DD"/>
    <w:rsid w:val="007D3F20"/>
    <w:rsid w:val="007D419D"/>
    <w:rsid w:val="007D453A"/>
    <w:rsid w:val="007D5A7D"/>
    <w:rsid w:val="007D6462"/>
    <w:rsid w:val="007D6B77"/>
    <w:rsid w:val="007D6DCE"/>
    <w:rsid w:val="007D713E"/>
    <w:rsid w:val="007D72C4"/>
    <w:rsid w:val="007E116D"/>
    <w:rsid w:val="007E1ADA"/>
    <w:rsid w:val="007E2753"/>
    <w:rsid w:val="007E2CFE"/>
    <w:rsid w:val="007E33B6"/>
    <w:rsid w:val="007E3971"/>
    <w:rsid w:val="007E3BF4"/>
    <w:rsid w:val="007E59C9"/>
    <w:rsid w:val="007E612C"/>
    <w:rsid w:val="007F0072"/>
    <w:rsid w:val="007F2C6D"/>
    <w:rsid w:val="007F2EB6"/>
    <w:rsid w:val="007F37C6"/>
    <w:rsid w:val="007F416C"/>
    <w:rsid w:val="007F4D80"/>
    <w:rsid w:val="007F54C3"/>
    <w:rsid w:val="007F75A7"/>
    <w:rsid w:val="00800616"/>
    <w:rsid w:val="00802081"/>
    <w:rsid w:val="008027E3"/>
    <w:rsid w:val="00802949"/>
    <w:rsid w:val="00802F75"/>
    <w:rsid w:val="0080301E"/>
    <w:rsid w:val="0080365F"/>
    <w:rsid w:val="00804999"/>
    <w:rsid w:val="00804D04"/>
    <w:rsid w:val="00805114"/>
    <w:rsid w:val="00805408"/>
    <w:rsid w:val="00807671"/>
    <w:rsid w:val="00810BF7"/>
    <w:rsid w:val="0081106F"/>
    <w:rsid w:val="008118FE"/>
    <w:rsid w:val="00812BE5"/>
    <w:rsid w:val="00812DC5"/>
    <w:rsid w:val="008131F0"/>
    <w:rsid w:val="00814CE2"/>
    <w:rsid w:val="0081503C"/>
    <w:rsid w:val="00817429"/>
    <w:rsid w:val="008179FC"/>
    <w:rsid w:val="008203C4"/>
    <w:rsid w:val="00820977"/>
    <w:rsid w:val="00820BD9"/>
    <w:rsid w:val="00821514"/>
    <w:rsid w:val="00821E35"/>
    <w:rsid w:val="00822446"/>
    <w:rsid w:val="0082287A"/>
    <w:rsid w:val="00822C0A"/>
    <w:rsid w:val="00824591"/>
    <w:rsid w:val="00824AE8"/>
    <w:rsid w:val="00824AED"/>
    <w:rsid w:val="00826F1B"/>
    <w:rsid w:val="0082759F"/>
    <w:rsid w:val="00827820"/>
    <w:rsid w:val="00827B49"/>
    <w:rsid w:val="00827CC3"/>
    <w:rsid w:val="00827F14"/>
    <w:rsid w:val="0083043F"/>
    <w:rsid w:val="00830718"/>
    <w:rsid w:val="008319A6"/>
    <w:rsid w:val="00831AD5"/>
    <w:rsid w:val="00831B8B"/>
    <w:rsid w:val="00833299"/>
    <w:rsid w:val="00834036"/>
    <w:rsid w:val="0083405D"/>
    <w:rsid w:val="00834B49"/>
    <w:rsid w:val="00834D63"/>
    <w:rsid w:val="008352D4"/>
    <w:rsid w:val="00835A14"/>
    <w:rsid w:val="008360AD"/>
    <w:rsid w:val="00836DB9"/>
    <w:rsid w:val="00836E68"/>
    <w:rsid w:val="00837C67"/>
    <w:rsid w:val="0084038D"/>
    <w:rsid w:val="008415B0"/>
    <w:rsid w:val="00841F40"/>
    <w:rsid w:val="00842028"/>
    <w:rsid w:val="008436B8"/>
    <w:rsid w:val="00843BC1"/>
    <w:rsid w:val="00843F4F"/>
    <w:rsid w:val="008442FF"/>
    <w:rsid w:val="0084437B"/>
    <w:rsid w:val="00844FA7"/>
    <w:rsid w:val="00845954"/>
    <w:rsid w:val="00846067"/>
    <w:rsid w:val="008460B6"/>
    <w:rsid w:val="00847A43"/>
    <w:rsid w:val="00847ACE"/>
    <w:rsid w:val="00847C27"/>
    <w:rsid w:val="00847E65"/>
    <w:rsid w:val="00850352"/>
    <w:rsid w:val="00850C9D"/>
    <w:rsid w:val="00850DD8"/>
    <w:rsid w:val="00850EE9"/>
    <w:rsid w:val="0085264E"/>
    <w:rsid w:val="00852B59"/>
    <w:rsid w:val="008548DA"/>
    <w:rsid w:val="00856272"/>
    <w:rsid w:val="00856383"/>
    <w:rsid w:val="008563FF"/>
    <w:rsid w:val="008568C8"/>
    <w:rsid w:val="008573E1"/>
    <w:rsid w:val="0086018B"/>
    <w:rsid w:val="008601D9"/>
    <w:rsid w:val="008611DD"/>
    <w:rsid w:val="0086120C"/>
    <w:rsid w:val="008620DE"/>
    <w:rsid w:val="00862E68"/>
    <w:rsid w:val="00865337"/>
    <w:rsid w:val="008663A4"/>
    <w:rsid w:val="00866867"/>
    <w:rsid w:val="008668A2"/>
    <w:rsid w:val="0086692C"/>
    <w:rsid w:val="00866F85"/>
    <w:rsid w:val="008670D8"/>
    <w:rsid w:val="00867AF8"/>
    <w:rsid w:val="00870697"/>
    <w:rsid w:val="00870739"/>
    <w:rsid w:val="008707EA"/>
    <w:rsid w:val="0087130F"/>
    <w:rsid w:val="00871EBF"/>
    <w:rsid w:val="00872257"/>
    <w:rsid w:val="00873305"/>
    <w:rsid w:val="008734DE"/>
    <w:rsid w:val="00874056"/>
    <w:rsid w:val="008753E6"/>
    <w:rsid w:val="008755A3"/>
    <w:rsid w:val="0087738C"/>
    <w:rsid w:val="00877C14"/>
    <w:rsid w:val="00877E72"/>
    <w:rsid w:val="008802AF"/>
    <w:rsid w:val="00880FEA"/>
    <w:rsid w:val="00881926"/>
    <w:rsid w:val="00882E1B"/>
    <w:rsid w:val="0088318F"/>
    <w:rsid w:val="0088331D"/>
    <w:rsid w:val="00883488"/>
    <w:rsid w:val="00883B9B"/>
    <w:rsid w:val="008841B3"/>
    <w:rsid w:val="008848B7"/>
    <w:rsid w:val="008852B0"/>
    <w:rsid w:val="00885AE7"/>
    <w:rsid w:val="00886B60"/>
    <w:rsid w:val="00886FA3"/>
    <w:rsid w:val="00887889"/>
    <w:rsid w:val="00887C6B"/>
    <w:rsid w:val="00891AD1"/>
    <w:rsid w:val="008920FF"/>
    <w:rsid w:val="008926E8"/>
    <w:rsid w:val="008928BC"/>
    <w:rsid w:val="0089492D"/>
    <w:rsid w:val="00894C8C"/>
    <w:rsid w:val="00894F19"/>
    <w:rsid w:val="00896A10"/>
    <w:rsid w:val="008971B5"/>
    <w:rsid w:val="00897471"/>
    <w:rsid w:val="008A063E"/>
    <w:rsid w:val="008A2196"/>
    <w:rsid w:val="008A30FF"/>
    <w:rsid w:val="008A3ADD"/>
    <w:rsid w:val="008A4570"/>
    <w:rsid w:val="008A4AEA"/>
    <w:rsid w:val="008A4B70"/>
    <w:rsid w:val="008A5543"/>
    <w:rsid w:val="008A5D26"/>
    <w:rsid w:val="008A6600"/>
    <w:rsid w:val="008A6A1F"/>
    <w:rsid w:val="008A6B13"/>
    <w:rsid w:val="008A6ECB"/>
    <w:rsid w:val="008A7114"/>
    <w:rsid w:val="008A7327"/>
    <w:rsid w:val="008A7B1D"/>
    <w:rsid w:val="008A7B4A"/>
    <w:rsid w:val="008A7E1B"/>
    <w:rsid w:val="008B099E"/>
    <w:rsid w:val="008B0BF9"/>
    <w:rsid w:val="008B0DBF"/>
    <w:rsid w:val="008B1AD4"/>
    <w:rsid w:val="008B2866"/>
    <w:rsid w:val="008B2CF2"/>
    <w:rsid w:val="008B3859"/>
    <w:rsid w:val="008B412F"/>
    <w:rsid w:val="008B436D"/>
    <w:rsid w:val="008B49B6"/>
    <w:rsid w:val="008B4E49"/>
    <w:rsid w:val="008B76AA"/>
    <w:rsid w:val="008B7712"/>
    <w:rsid w:val="008B7B26"/>
    <w:rsid w:val="008C083B"/>
    <w:rsid w:val="008C0A75"/>
    <w:rsid w:val="008C3524"/>
    <w:rsid w:val="008C4061"/>
    <w:rsid w:val="008C4229"/>
    <w:rsid w:val="008C47EF"/>
    <w:rsid w:val="008C49B9"/>
    <w:rsid w:val="008C4A90"/>
    <w:rsid w:val="008C552B"/>
    <w:rsid w:val="008C5815"/>
    <w:rsid w:val="008C5BE0"/>
    <w:rsid w:val="008C6F6E"/>
    <w:rsid w:val="008C714C"/>
    <w:rsid w:val="008C7196"/>
    <w:rsid w:val="008C7233"/>
    <w:rsid w:val="008C7525"/>
    <w:rsid w:val="008C7851"/>
    <w:rsid w:val="008C7F3D"/>
    <w:rsid w:val="008D2233"/>
    <w:rsid w:val="008D2434"/>
    <w:rsid w:val="008D32CB"/>
    <w:rsid w:val="008D345E"/>
    <w:rsid w:val="008D5239"/>
    <w:rsid w:val="008D57A6"/>
    <w:rsid w:val="008D6199"/>
    <w:rsid w:val="008D6C51"/>
    <w:rsid w:val="008D77B9"/>
    <w:rsid w:val="008D78A0"/>
    <w:rsid w:val="008D7E1E"/>
    <w:rsid w:val="008E0E77"/>
    <w:rsid w:val="008E171D"/>
    <w:rsid w:val="008E2785"/>
    <w:rsid w:val="008E2D5D"/>
    <w:rsid w:val="008E2DCD"/>
    <w:rsid w:val="008E39BC"/>
    <w:rsid w:val="008E4280"/>
    <w:rsid w:val="008E61C6"/>
    <w:rsid w:val="008E78A3"/>
    <w:rsid w:val="008E78D0"/>
    <w:rsid w:val="008F03F4"/>
    <w:rsid w:val="008F0654"/>
    <w:rsid w:val="008F06CB"/>
    <w:rsid w:val="008F1014"/>
    <w:rsid w:val="008F2B57"/>
    <w:rsid w:val="008F2D23"/>
    <w:rsid w:val="008F2E83"/>
    <w:rsid w:val="008F3781"/>
    <w:rsid w:val="008F44AC"/>
    <w:rsid w:val="008F5933"/>
    <w:rsid w:val="008F5A5E"/>
    <w:rsid w:val="008F612A"/>
    <w:rsid w:val="008F71AE"/>
    <w:rsid w:val="008F7ED7"/>
    <w:rsid w:val="00900793"/>
    <w:rsid w:val="00900A8A"/>
    <w:rsid w:val="00901ADD"/>
    <w:rsid w:val="0090293D"/>
    <w:rsid w:val="009034DE"/>
    <w:rsid w:val="00903D55"/>
    <w:rsid w:val="00904309"/>
    <w:rsid w:val="00905396"/>
    <w:rsid w:val="009054DB"/>
    <w:rsid w:val="009055DD"/>
    <w:rsid w:val="00905885"/>
    <w:rsid w:val="0090605D"/>
    <w:rsid w:val="00906419"/>
    <w:rsid w:val="00906A47"/>
    <w:rsid w:val="00906DAB"/>
    <w:rsid w:val="0090708C"/>
    <w:rsid w:val="0090731B"/>
    <w:rsid w:val="00907810"/>
    <w:rsid w:val="009118EF"/>
    <w:rsid w:val="00911CAE"/>
    <w:rsid w:val="00912531"/>
    <w:rsid w:val="00912889"/>
    <w:rsid w:val="00912DE9"/>
    <w:rsid w:val="009130AC"/>
    <w:rsid w:val="009134C0"/>
    <w:rsid w:val="00913A42"/>
    <w:rsid w:val="00914167"/>
    <w:rsid w:val="009143DB"/>
    <w:rsid w:val="00915065"/>
    <w:rsid w:val="00915C86"/>
    <w:rsid w:val="00917CE5"/>
    <w:rsid w:val="009217C0"/>
    <w:rsid w:val="009217EA"/>
    <w:rsid w:val="00922E92"/>
    <w:rsid w:val="00923805"/>
    <w:rsid w:val="009247D6"/>
    <w:rsid w:val="00925241"/>
    <w:rsid w:val="00925CEC"/>
    <w:rsid w:val="00926A3F"/>
    <w:rsid w:val="00926C04"/>
    <w:rsid w:val="00927769"/>
    <w:rsid w:val="0092794E"/>
    <w:rsid w:val="00927C64"/>
    <w:rsid w:val="0093012C"/>
    <w:rsid w:val="009302CB"/>
    <w:rsid w:val="00930C66"/>
    <w:rsid w:val="00930D30"/>
    <w:rsid w:val="009326A1"/>
    <w:rsid w:val="009332A2"/>
    <w:rsid w:val="00933F35"/>
    <w:rsid w:val="009373E3"/>
    <w:rsid w:val="00937598"/>
    <w:rsid w:val="009377BD"/>
    <w:rsid w:val="0093790B"/>
    <w:rsid w:val="0094023B"/>
    <w:rsid w:val="00940B46"/>
    <w:rsid w:val="00940E73"/>
    <w:rsid w:val="009422FA"/>
    <w:rsid w:val="0094331C"/>
    <w:rsid w:val="00943751"/>
    <w:rsid w:val="00946DD0"/>
    <w:rsid w:val="009476BE"/>
    <w:rsid w:val="00947B44"/>
    <w:rsid w:val="0095076F"/>
    <w:rsid w:val="009509E6"/>
    <w:rsid w:val="00951DE8"/>
    <w:rsid w:val="00952018"/>
    <w:rsid w:val="00952800"/>
    <w:rsid w:val="00952A7F"/>
    <w:rsid w:val="00952D6D"/>
    <w:rsid w:val="00952E72"/>
    <w:rsid w:val="00952F53"/>
    <w:rsid w:val="0095300D"/>
    <w:rsid w:val="009532DC"/>
    <w:rsid w:val="00953558"/>
    <w:rsid w:val="00953984"/>
    <w:rsid w:val="00953C75"/>
    <w:rsid w:val="00954394"/>
    <w:rsid w:val="00954850"/>
    <w:rsid w:val="00954C8C"/>
    <w:rsid w:val="009554D1"/>
    <w:rsid w:val="00956170"/>
    <w:rsid w:val="009564A9"/>
    <w:rsid w:val="00956812"/>
    <w:rsid w:val="0095719A"/>
    <w:rsid w:val="00957F99"/>
    <w:rsid w:val="009607A0"/>
    <w:rsid w:val="00961B09"/>
    <w:rsid w:val="00962202"/>
    <w:rsid w:val="009623E9"/>
    <w:rsid w:val="00962C9E"/>
    <w:rsid w:val="00963E3F"/>
    <w:rsid w:val="00963EEB"/>
    <w:rsid w:val="0096410E"/>
    <w:rsid w:val="0096429D"/>
    <w:rsid w:val="009645A0"/>
    <w:rsid w:val="009648BC"/>
    <w:rsid w:val="00964C2F"/>
    <w:rsid w:val="00964C54"/>
    <w:rsid w:val="0096546B"/>
    <w:rsid w:val="00965F88"/>
    <w:rsid w:val="00966B08"/>
    <w:rsid w:val="0097055B"/>
    <w:rsid w:val="00970734"/>
    <w:rsid w:val="009733C9"/>
    <w:rsid w:val="0097425B"/>
    <w:rsid w:val="00975788"/>
    <w:rsid w:val="009765BC"/>
    <w:rsid w:val="00977121"/>
    <w:rsid w:val="00980919"/>
    <w:rsid w:val="00982575"/>
    <w:rsid w:val="00982C10"/>
    <w:rsid w:val="00983C3C"/>
    <w:rsid w:val="00984E03"/>
    <w:rsid w:val="009850AB"/>
    <w:rsid w:val="00985DCB"/>
    <w:rsid w:val="00985F23"/>
    <w:rsid w:val="009866F7"/>
    <w:rsid w:val="00986745"/>
    <w:rsid w:val="00986E72"/>
    <w:rsid w:val="009874A0"/>
    <w:rsid w:val="00987611"/>
    <w:rsid w:val="00987DCA"/>
    <w:rsid w:val="00987E85"/>
    <w:rsid w:val="009909EC"/>
    <w:rsid w:val="0099178B"/>
    <w:rsid w:val="00991AD5"/>
    <w:rsid w:val="00992459"/>
    <w:rsid w:val="00992539"/>
    <w:rsid w:val="0099290C"/>
    <w:rsid w:val="00992C27"/>
    <w:rsid w:val="0099313C"/>
    <w:rsid w:val="009950C0"/>
    <w:rsid w:val="009963CF"/>
    <w:rsid w:val="00996478"/>
    <w:rsid w:val="00997369"/>
    <w:rsid w:val="009A03D4"/>
    <w:rsid w:val="009A0A26"/>
    <w:rsid w:val="009A0D12"/>
    <w:rsid w:val="009A147D"/>
    <w:rsid w:val="009A1987"/>
    <w:rsid w:val="009A290C"/>
    <w:rsid w:val="009A2BEE"/>
    <w:rsid w:val="009A33D0"/>
    <w:rsid w:val="009A3BBF"/>
    <w:rsid w:val="009A4142"/>
    <w:rsid w:val="009A47DD"/>
    <w:rsid w:val="009A5289"/>
    <w:rsid w:val="009A60B5"/>
    <w:rsid w:val="009A6B72"/>
    <w:rsid w:val="009A6B96"/>
    <w:rsid w:val="009A6C89"/>
    <w:rsid w:val="009A6D9D"/>
    <w:rsid w:val="009A7A53"/>
    <w:rsid w:val="009A7F61"/>
    <w:rsid w:val="009A7FB0"/>
    <w:rsid w:val="009B0402"/>
    <w:rsid w:val="009B0B75"/>
    <w:rsid w:val="009B16DF"/>
    <w:rsid w:val="009B2A9D"/>
    <w:rsid w:val="009B312B"/>
    <w:rsid w:val="009B3A1D"/>
    <w:rsid w:val="009B4177"/>
    <w:rsid w:val="009B4BF7"/>
    <w:rsid w:val="009B4CB2"/>
    <w:rsid w:val="009B5218"/>
    <w:rsid w:val="009B573F"/>
    <w:rsid w:val="009B6017"/>
    <w:rsid w:val="009B642D"/>
    <w:rsid w:val="009B6701"/>
    <w:rsid w:val="009B6EF7"/>
    <w:rsid w:val="009B7000"/>
    <w:rsid w:val="009B739C"/>
    <w:rsid w:val="009C04EC"/>
    <w:rsid w:val="009C0A77"/>
    <w:rsid w:val="009C1025"/>
    <w:rsid w:val="009C1768"/>
    <w:rsid w:val="009C22A0"/>
    <w:rsid w:val="009C253C"/>
    <w:rsid w:val="009C2EB4"/>
    <w:rsid w:val="009C328C"/>
    <w:rsid w:val="009C3A93"/>
    <w:rsid w:val="009C4444"/>
    <w:rsid w:val="009C48D5"/>
    <w:rsid w:val="009C4AC7"/>
    <w:rsid w:val="009C635F"/>
    <w:rsid w:val="009C696D"/>
    <w:rsid w:val="009C79AD"/>
    <w:rsid w:val="009C7CA6"/>
    <w:rsid w:val="009D07A1"/>
    <w:rsid w:val="009D20CB"/>
    <w:rsid w:val="009D20CD"/>
    <w:rsid w:val="009D2115"/>
    <w:rsid w:val="009D282E"/>
    <w:rsid w:val="009D299C"/>
    <w:rsid w:val="009D2A52"/>
    <w:rsid w:val="009D2C67"/>
    <w:rsid w:val="009D2CF8"/>
    <w:rsid w:val="009D3316"/>
    <w:rsid w:val="009D3B91"/>
    <w:rsid w:val="009D3F38"/>
    <w:rsid w:val="009D55AA"/>
    <w:rsid w:val="009D6625"/>
    <w:rsid w:val="009D6D1B"/>
    <w:rsid w:val="009E1D71"/>
    <w:rsid w:val="009E3E77"/>
    <w:rsid w:val="009E3FAB"/>
    <w:rsid w:val="009E4C54"/>
    <w:rsid w:val="009E5682"/>
    <w:rsid w:val="009E5B3F"/>
    <w:rsid w:val="009E6485"/>
    <w:rsid w:val="009E7D90"/>
    <w:rsid w:val="009F1AB0"/>
    <w:rsid w:val="009F1CE8"/>
    <w:rsid w:val="009F1E6A"/>
    <w:rsid w:val="009F3A51"/>
    <w:rsid w:val="009F3E2F"/>
    <w:rsid w:val="009F44D3"/>
    <w:rsid w:val="009F4B33"/>
    <w:rsid w:val="009F501D"/>
    <w:rsid w:val="009F6B8E"/>
    <w:rsid w:val="009F7A4F"/>
    <w:rsid w:val="009F7C2A"/>
    <w:rsid w:val="00A019C6"/>
    <w:rsid w:val="00A031E3"/>
    <w:rsid w:val="00A03885"/>
    <w:rsid w:val="00A039D5"/>
    <w:rsid w:val="00A03BA5"/>
    <w:rsid w:val="00A046AD"/>
    <w:rsid w:val="00A05A45"/>
    <w:rsid w:val="00A06177"/>
    <w:rsid w:val="00A072E4"/>
    <w:rsid w:val="00A079C1"/>
    <w:rsid w:val="00A11E84"/>
    <w:rsid w:val="00A12520"/>
    <w:rsid w:val="00A130FD"/>
    <w:rsid w:val="00A13D6D"/>
    <w:rsid w:val="00A14431"/>
    <w:rsid w:val="00A14769"/>
    <w:rsid w:val="00A15CDC"/>
    <w:rsid w:val="00A16151"/>
    <w:rsid w:val="00A1618C"/>
    <w:rsid w:val="00A16EC6"/>
    <w:rsid w:val="00A17508"/>
    <w:rsid w:val="00A17574"/>
    <w:rsid w:val="00A17C06"/>
    <w:rsid w:val="00A2101C"/>
    <w:rsid w:val="00A2126E"/>
    <w:rsid w:val="00A21706"/>
    <w:rsid w:val="00A232D8"/>
    <w:rsid w:val="00A24AD1"/>
    <w:rsid w:val="00A24FCC"/>
    <w:rsid w:val="00A2500A"/>
    <w:rsid w:val="00A26A90"/>
    <w:rsid w:val="00A26B27"/>
    <w:rsid w:val="00A2706E"/>
    <w:rsid w:val="00A300ED"/>
    <w:rsid w:val="00A30E3A"/>
    <w:rsid w:val="00A30E4F"/>
    <w:rsid w:val="00A31AAD"/>
    <w:rsid w:val="00A32253"/>
    <w:rsid w:val="00A3310E"/>
    <w:rsid w:val="00A33389"/>
    <w:rsid w:val="00A333A0"/>
    <w:rsid w:val="00A334B9"/>
    <w:rsid w:val="00A3395F"/>
    <w:rsid w:val="00A33ADD"/>
    <w:rsid w:val="00A361F9"/>
    <w:rsid w:val="00A36504"/>
    <w:rsid w:val="00A3695B"/>
    <w:rsid w:val="00A37B78"/>
    <w:rsid w:val="00A37E70"/>
    <w:rsid w:val="00A42631"/>
    <w:rsid w:val="00A431E6"/>
    <w:rsid w:val="00A43448"/>
    <w:rsid w:val="00A437E1"/>
    <w:rsid w:val="00A43C32"/>
    <w:rsid w:val="00A4504E"/>
    <w:rsid w:val="00A4553F"/>
    <w:rsid w:val="00A4685E"/>
    <w:rsid w:val="00A4754D"/>
    <w:rsid w:val="00A4787E"/>
    <w:rsid w:val="00A502F5"/>
    <w:rsid w:val="00A50511"/>
    <w:rsid w:val="00A50CD4"/>
    <w:rsid w:val="00A51191"/>
    <w:rsid w:val="00A519D0"/>
    <w:rsid w:val="00A51C82"/>
    <w:rsid w:val="00A522D9"/>
    <w:rsid w:val="00A52B84"/>
    <w:rsid w:val="00A52FC2"/>
    <w:rsid w:val="00A5367C"/>
    <w:rsid w:val="00A53EF3"/>
    <w:rsid w:val="00A54C01"/>
    <w:rsid w:val="00A54E93"/>
    <w:rsid w:val="00A551EE"/>
    <w:rsid w:val="00A557B3"/>
    <w:rsid w:val="00A55E65"/>
    <w:rsid w:val="00A56D62"/>
    <w:rsid w:val="00A56F07"/>
    <w:rsid w:val="00A5762C"/>
    <w:rsid w:val="00A57B15"/>
    <w:rsid w:val="00A600FC"/>
    <w:rsid w:val="00A605FE"/>
    <w:rsid w:val="00A6098E"/>
    <w:rsid w:val="00A60BCA"/>
    <w:rsid w:val="00A61143"/>
    <w:rsid w:val="00A616D2"/>
    <w:rsid w:val="00A638DA"/>
    <w:rsid w:val="00A6455B"/>
    <w:rsid w:val="00A65B41"/>
    <w:rsid w:val="00A65E00"/>
    <w:rsid w:val="00A66A78"/>
    <w:rsid w:val="00A670A5"/>
    <w:rsid w:val="00A7008B"/>
    <w:rsid w:val="00A70377"/>
    <w:rsid w:val="00A70E7C"/>
    <w:rsid w:val="00A7126A"/>
    <w:rsid w:val="00A719B6"/>
    <w:rsid w:val="00A71C6F"/>
    <w:rsid w:val="00A735D5"/>
    <w:rsid w:val="00A740B7"/>
    <w:rsid w:val="00A7436E"/>
    <w:rsid w:val="00A7494C"/>
    <w:rsid w:val="00A74B71"/>
    <w:rsid w:val="00A74E96"/>
    <w:rsid w:val="00A759CA"/>
    <w:rsid w:val="00A75A8E"/>
    <w:rsid w:val="00A75F23"/>
    <w:rsid w:val="00A77A57"/>
    <w:rsid w:val="00A81BEB"/>
    <w:rsid w:val="00A824DD"/>
    <w:rsid w:val="00A831E2"/>
    <w:rsid w:val="00A83676"/>
    <w:rsid w:val="00A83B7B"/>
    <w:rsid w:val="00A84274"/>
    <w:rsid w:val="00A850F3"/>
    <w:rsid w:val="00A850FF"/>
    <w:rsid w:val="00A864AB"/>
    <w:rsid w:val="00A864E3"/>
    <w:rsid w:val="00A86A71"/>
    <w:rsid w:val="00A8760B"/>
    <w:rsid w:val="00A901DC"/>
    <w:rsid w:val="00A904E6"/>
    <w:rsid w:val="00A90F63"/>
    <w:rsid w:val="00A9222E"/>
    <w:rsid w:val="00A928C7"/>
    <w:rsid w:val="00A9346E"/>
    <w:rsid w:val="00A938DC"/>
    <w:rsid w:val="00A93D9C"/>
    <w:rsid w:val="00A93DCA"/>
    <w:rsid w:val="00A94574"/>
    <w:rsid w:val="00A949E8"/>
    <w:rsid w:val="00A95936"/>
    <w:rsid w:val="00A95B95"/>
    <w:rsid w:val="00A96265"/>
    <w:rsid w:val="00A96B9C"/>
    <w:rsid w:val="00A97084"/>
    <w:rsid w:val="00A97C35"/>
    <w:rsid w:val="00A97DE8"/>
    <w:rsid w:val="00A97EAC"/>
    <w:rsid w:val="00AA1C2C"/>
    <w:rsid w:val="00AA35F6"/>
    <w:rsid w:val="00AA427A"/>
    <w:rsid w:val="00AA44E2"/>
    <w:rsid w:val="00AA4F07"/>
    <w:rsid w:val="00AA56C1"/>
    <w:rsid w:val="00AA5D17"/>
    <w:rsid w:val="00AA643E"/>
    <w:rsid w:val="00AA667C"/>
    <w:rsid w:val="00AA6A90"/>
    <w:rsid w:val="00AA6E91"/>
    <w:rsid w:val="00AA71DA"/>
    <w:rsid w:val="00AA7439"/>
    <w:rsid w:val="00AA7F18"/>
    <w:rsid w:val="00AB014D"/>
    <w:rsid w:val="00AB047E"/>
    <w:rsid w:val="00AB08D3"/>
    <w:rsid w:val="00AB0B0A"/>
    <w:rsid w:val="00AB0BB7"/>
    <w:rsid w:val="00AB1458"/>
    <w:rsid w:val="00AB22C6"/>
    <w:rsid w:val="00AB2AD0"/>
    <w:rsid w:val="00AB34BE"/>
    <w:rsid w:val="00AB46C1"/>
    <w:rsid w:val="00AB5044"/>
    <w:rsid w:val="00AB56A0"/>
    <w:rsid w:val="00AB5D04"/>
    <w:rsid w:val="00AB5E84"/>
    <w:rsid w:val="00AB62B9"/>
    <w:rsid w:val="00AB67FC"/>
    <w:rsid w:val="00AB7EF2"/>
    <w:rsid w:val="00AC00F2"/>
    <w:rsid w:val="00AC0EDE"/>
    <w:rsid w:val="00AC1750"/>
    <w:rsid w:val="00AC19A7"/>
    <w:rsid w:val="00AC19E7"/>
    <w:rsid w:val="00AC2FAD"/>
    <w:rsid w:val="00AC3039"/>
    <w:rsid w:val="00AC31B5"/>
    <w:rsid w:val="00AC35E3"/>
    <w:rsid w:val="00AC3FFC"/>
    <w:rsid w:val="00AC4EA1"/>
    <w:rsid w:val="00AC4F43"/>
    <w:rsid w:val="00AC533F"/>
    <w:rsid w:val="00AC5381"/>
    <w:rsid w:val="00AC5920"/>
    <w:rsid w:val="00AC5EFA"/>
    <w:rsid w:val="00AC6361"/>
    <w:rsid w:val="00AC70B8"/>
    <w:rsid w:val="00AC7889"/>
    <w:rsid w:val="00AD0AE7"/>
    <w:rsid w:val="00AD0E65"/>
    <w:rsid w:val="00AD2BF2"/>
    <w:rsid w:val="00AD2DAE"/>
    <w:rsid w:val="00AD4000"/>
    <w:rsid w:val="00AD46D8"/>
    <w:rsid w:val="00AD4E90"/>
    <w:rsid w:val="00AD501E"/>
    <w:rsid w:val="00AD5422"/>
    <w:rsid w:val="00AD57A6"/>
    <w:rsid w:val="00AD59BB"/>
    <w:rsid w:val="00AD5EEF"/>
    <w:rsid w:val="00AD69FF"/>
    <w:rsid w:val="00AD6A8B"/>
    <w:rsid w:val="00AD6BD4"/>
    <w:rsid w:val="00AD7AA3"/>
    <w:rsid w:val="00AE11DC"/>
    <w:rsid w:val="00AE2103"/>
    <w:rsid w:val="00AE2242"/>
    <w:rsid w:val="00AE2CBE"/>
    <w:rsid w:val="00AE3771"/>
    <w:rsid w:val="00AE4179"/>
    <w:rsid w:val="00AE4312"/>
    <w:rsid w:val="00AE4425"/>
    <w:rsid w:val="00AE4D30"/>
    <w:rsid w:val="00AE4FBE"/>
    <w:rsid w:val="00AE5C3E"/>
    <w:rsid w:val="00AE61F1"/>
    <w:rsid w:val="00AE650F"/>
    <w:rsid w:val="00AE6555"/>
    <w:rsid w:val="00AE6C32"/>
    <w:rsid w:val="00AE7D16"/>
    <w:rsid w:val="00AF03E5"/>
    <w:rsid w:val="00AF194D"/>
    <w:rsid w:val="00AF36FD"/>
    <w:rsid w:val="00AF4CAA"/>
    <w:rsid w:val="00AF571A"/>
    <w:rsid w:val="00AF5939"/>
    <w:rsid w:val="00AF5B76"/>
    <w:rsid w:val="00AF60A0"/>
    <w:rsid w:val="00AF67FC"/>
    <w:rsid w:val="00AF76D1"/>
    <w:rsid w:val="00AF789D"/>
    <w:rsid w:val="00AF7DF5"/>
    <w:rsid w:val="00B000F8"/>
    <w:rsid w:val="00B006E5"/>
    <w:rsid w:val="00B009F1"/>
    <w:rsid w:val="00B00D1C"/>
    <w:rsid w:val="00B01E30"/>
    <w:rsid w:val="00B024C2"/>
    <w:rsid w:val="00B02E91"/>
    <w:rsid w:val="00B038AD"/>
    <w:rsid w:val="00B0396A"/>
    <w:rsid w:val="00B03E0A"/>
    <w:rsid w:val="00B04B0F"/>
    <w:rsid w:val="00B04F3E"/>
    <w:rsid w:val="00B05E39"/>
    <w:rsid w:val="00B061DA"/>
    <w:rsid w:val="00B06D4E"/>
    <w:rsid w:val="00B07700"/>
    <w:rsid w:val="00B07BA8"/>
    <w:rsid w:val="00B10014"/>
    <w:rsid w:val="00B101F3"/>
    <w:rsid w:val="00B10D1E"/>
    <w:rsid w:val="00B1155F"/>
    <w:rsid w:val="00B124AF"/>
    <w:rsid w:val="00B13921"/>
    <w:rsid w:val="00B1398E"/>
    <w:rsid w:val="00B1528C"/>
    <w:rsid w:val="00B15B5E"/>
    <w:rsid w:val="00B15D51"/>
    <w:rsid w:val="00B15FF4"/>
    <w:rsid w:val="00B16ACD"/>
    <w:rsid w:val="00B16EF4"/>
    <w:rsid w:val="00B17569"/>
    <w:rsid w:val="00B1785C"/>
    <w:rsid w:val="00B21477"/>
    <w:rsid w:val="00B21487"/>
    <w:rsid w:val="00B232D1"/>
    <w:rsid w:val="00B238FA"/>
    <w:rsid w:val="00B23D49"/>
    <w:rsid w:val="00B246DC"/>
    <w:rsid w:val="00B248D9"/>
    <w:rsid w:val="00B24DB5"/>
    <w:rsid w:val="00B2535D"/>
    <w:rsid w:val="00B2638E"/>
    <w:rsid w:val="00B26928"/>
    <w:rsid w:val="00B26EE4"/>
    <w:rsid w:val="00B30D4B"/>
    <w:rsid w:val="00B31F9E"/>
    <w:rsid w:val="00B3258D"/>
    <w:rsid w:val="00B3268F"/>
    <w:rsid w:val="00B32C2C"/>
    <w:rsid w:val="00B33A1A"/>
    <w:rsid w:val="00B33E6C"/>
    <w:rsid w:val="00B34539"/>
    <w:rsid w:val="00B34DDF"/>
    <w:rsid w:val="00B351E5"/>
    <w:rsid w:val="00B35413"/>
    <w:rsid w:val="00B35552"/>
    <w:rsid w:val="00B35C28"/>
    <w:rsid w:val="00B36EA3"/>
    <w:rsid w:val="00B36FD6"/>
    <w:rsid w:val="00B371CC"/>
    <w:rsid w:val="00B37B2F"/>
    <w:rsid w:val="00B40575"/>
    <w:rsid w:val="00B406D7"/>
    <w:rsid w:val="00B41682"/>
    <w:rsid w:val="00B41CD9"/>
    <w:rsid w:val="00B427E6"/>
    <w:rsid w:val="00B428A6"/>
    <w:rsid w:val="00B42F0D"/>
    <w:rsid w:val="00B432CF"/>
    <w:rsid w:val="00B43E1F"/>
    <w:rsid w:val="00B4416A"/>
    <w:rsid w:val="00B4481D"/>
    <w:rsid w:val="00B4494E"/>
    <w:rsid w:val="00B4538E"/>
    <w:rsid w:val="00B4582B"/>
    <w:rsid w:val="00B45D21"/>
    <w:rsid w:val="00B45FBC"/>
    <w:rsid w:val="00B46973"/>
    <w:rsid w:val="00B46FF3"/>
    <w:rsid w:val="00B50A11"/>
    <w:rsid w:val="00B50D12"/>
    <w:rsid w:val="00B516A6"/>
    <w:rsid w:val="00B51773"/>
    <w:rsid w:val="00B518DA"/>
    <w:rsid w:val="00B51A7D"/>
    <w:rsid w:val="00B5278F"/>
    <w:rsid w:val="00B52A8F"/>
    <w:rsid w:val="00B5337B"/>
    <w:rsid w:val="00B534FF"/>
    <w:rsid w:val="00B535C2"/>
    <w:rsid w:val="00B535C4"/>
    <w:rsid w:val="00B543C7"/>
    <w:rsid w:val="00B55544"/>
    <w:rsid w:val="00B5718B"/>
    <w:rsid w:val="00B5762C"/>
    <w:rsid w:val="00B60E0C"/>
    <w:rsid w:val="00B60F95"/>
    <w:rsid w:val="00B6102D"/>
    <w:rsid w:val="00B617CE"/>
    <w:rsid w:val="00B61AF6"/>
    <w:rsid w:val="00B635FB"/>
    <w:rsid w:val="00B642FC"/>
    <w:rsid w:val="00B64D26"/>
    <w:rsid w:val="00B64FBB"/>
    <w:rsid w:val="00B65507"/>
    <w:rsid w:val="00B65806"/>
    <w:rsid w:val="00B70048"/>
    <w:rsid w:val="00B70537"/>
    <w:rsid w:val="00B707BA"/>
    <w:rsid w:val="00B70E22"/>
    <w:rsid w:val="00B7197C"/>
    <w:rsid w:val="00B71DEE"/>
    <w:rsid w:val="00B72313"/>
    <w:rsid w:val="00B726BA"/>
    <w:rsid w:val="00B728A9"/>
    <w:rsid w:val="00B73591"/>
    <w:rsid w:val="00B73CA1"/>
    <w:rsid w:val="00B73CA2"/>
    <w:rsid w:val="00B740E4"/>
    <w:rsid w:val="00B74B23"/>
    <w:rsid w:val="00B74B94"/>
    <w:rsid w:val="00B74E8D"/>
    <w:rsid w:val="00B764F3"/>
    <w:rsid w:val="00B76559"/>
    <w:rsid w:val="00B7709D"/>
    <w:rsid w:val="00B774CB"/>
    <w:rsid w:val="00B80402"/>
    <w:rsid w:val="00B809E4"/>
    <w:rsid w:val="00B80B9A"/>
    <w:rsid w:val="00B830B7"/>
    <w:rsid w:val="00B847D6"/>
    <w:rsid w:val="00B848EA"/>
    <w:rsid w:val="00B84B2B"/>
    <w:rsid w:val="00B84C64"/>
    <w:rsid w:val="00B85A6F"/>
    <w:rsid w:val="00B86DE8"/>
    <w:rsid w:val="00B87858"/>
    <w:rsid w:val="00B90500"/>
    <w:rsid w:val="00B90A0C"/>
    <w:rsid w:val="00B9176C"/>
    <w:rsid w:val="00B920A3"/>
    <w:rsid w:val="00B935A4"/>
    <w:rsid w:val="00B9372F"/>
    <w:rsid w:val="00B93919"/>
    <w:rsid w:val="00B940BC"/>
    <w:rsid w:val="00B95437"/>
    <w:rsid w:val="00B9566E"/>
    <w:rsid w:val="00B9673E"/>
    <w:rsid w:val="00B96895"/>
    <w:rsid w:val="00B9726F"/>
    <w:rsid w:val="00BA0589"/>
    <w:rsid w:val="00BA1270"/>
    <w:rsid w:val="00BA1E33"/>
    <w:rsid w:val="00BA23C4"/>
    <w:rsid w:val="00BA3951"/>
    <w:rsid w:val="00BA561A"/>
    <w:rsid w:val="00BB032F"/>
    <w:rsid w:val="00BB085E"/>
    <w:rsid w:val="00BB0958"/>
    <w:rsid w:val="00BB0DC6"/>
    <w:rsid w:val="00BB15E4"/>
    <w:rsid w:val="00BB1BDC"/>
    <w:rsid w:val="00BB1D74"/>
    <w:rsid w:val="00BB1E19"/>
    <w:rsid w:val="00BB1F4C"/>
    <w:rsid w:val="00BB21D1"/>
    <w:rsid w:val="00BB2494"/>
    <w:rsid w:val="00BB32F2"/>
    <w:rsid w:val="00BB3412"/>
    <w:rsid w:val="00BB4338"/>
    <w:rsid w:val="00BB45D9"/>
    <w:rsid w:val="00BB4A21"/>
    <w:rsid w:val="00BB53FB"/>
    <w:rsid w:val="00BB6C0E"/>
    <w:rsid w:val="00BB7B38"/>
    <w:rsid w:val="00BC0362"/>
    <w:rsid w:val="00BC11E5"/>
    <w:rsid w:val="00BC188F"/>
    <w:rsid w:val="00BC26DF"/>
    <w:rsid w:val="00BC4BC6"/>
    <w:rsid w:val="00BC52FD"/>
    <w:rsid w:val="00BC5576"/>
    <w:rsid w:val="00BC5FDE"/>
    <w:rsid w:val="00BC6E62"/>
    <w:rsid w:val="00BC7443"/>
    <w:rsid w:val="00BC76FA"/>
    <w:rsid w:val="00BD0648"/>
    <w:rsid w:val="00BD0781"/>
    <w:rsid w:val="00BD1040"/>
    <w:rsid w:val="00BD1A25"/>
    <w:rsid w:val="00BD1A3C"/>
    <w:rsid w:val="00BD1FC3"/>
    <w:rsid w:val="00BD2A95"/>
    <w:rsid w:val="00BD30C1"/>
    <w:rsid w:val="00BD34AA"/>
    <w:rsid w:val="00BD3F17"/>
    <w:rsid w:val="00BD4BF7"/>
    <w:rsid w:val="00BD5888"/>
    <w:rsid w:val="00BD5EF8"/>
    <w:rsid w:val="00BD691A"/>
    <w:rsid w:val="00BD6A3D"/>
    <w:rsid w:val="00BD74C5"/>
    <w:rsid w:val="00BE0C44"/>
    <w:rsid w:val="00BE1B8B"/>
    <w:rsid w:val="00BE1DB0"/>
    <w:rsid w:val="00BE2A18"/>
    <w:rsid w:val="00BE2C01"/>
    <w:rsid w:val="00BE3121"/>
    <w:rsid w:val="00BE41EC"/>
    <w:rsid w:val="00BE51EA"/>
    <w:rsid w:val="00BE56FB"/>
    <w:rsid w:val="00BE5A91"/>
    <w:rsid w:val="00BE651F"/>
    <w:rsid w:val="00BF0BC1"/>
    <w:rsid w:val="00BF0CA6"/>
    <w:rsid w:val="00BF2FAA"/>
    <w:rsid w:val="00BF3261"/>
    <w:rsid w:val="00BF3DDE"/>
    <w:rsid w:val="00BF4E20"/>
    <w:rsid w:val="00BF542C"/>
    <w:rsid w:val="00BF5720"/>
    <w:rsid w:val="00BF6589"/>
    <w:rsid w:val="00BF6F7F"/>
    <w:rsid w:val="00BF771E"/>
    <w:rsid w:val="00C00647"/>
    <w:rsid w:val="00C01B4E"/>
    <w:rsid w:val="00C01E70"/>
    <w:rsid w:val="00C02732"/>
    <w:rsid w:val="00C02764"/>
    <w:rsid w:val="00C04306"/>
    <w:rsid w:val="00C047EE"/>
    <w:rsid w:val="00C04CEF"/>
    <w:rsid w:val="00C0662F"/>
    <w:rsid w:val="00C069F2"/>
    <w:rsid w:val="00C10AAD"/>
    <w:rsid w:val="00C10CDA"/>
    <w:rsid w:val="00C11091"/>
    <w:rsid w:val="00C113CB"/>
    <w:rsid w:val="00C1186F"/>
    <w:rsid w:val="00C11943"/>
    <w:rsid w:val="00C11B9B"/>
    <w:rsid w:val="00C121B8"/>
    <w:rsid w:val="00C125D1"/>
    <w:rsid w:val="00C12C1D"/>
    <w:rsid w:val="00C12E96"/>
    <w:rsid w:val="00C12EC9"/>
    <w:rsid w:val="00C12F8A"/>
    <w:rsid w:val="00C13A5A"/>
    <w:rsid w:val="00C14071"/>
    <w:rsid w:val="00C1435E"/>
    <w:rsid w:val="00C14763"/>
    <w:rsid w:val="00C1510B"/>
    <w:rsid w:val="00C16141"/>
    <w:rsid w:val="00C16A93"/>
    <w:rsid w:val="00C17B44"/>
    <w:rsid w:val="00C21717"/>
    <w:rsid w:val="00C21E22"/>
    <w:rsid w:val="00C22A87"/>
    <w:rsid w:val="00C2363F"/>
    <w:rsid w:val="00C236C8"/>
    <w:rsid w:val="00C24E32"/>
    <w:rsid w:val="00C2547C"/>
    <w:rsid w:val="00C2576D"/>
    <w:rsid w:val="00C25B8F"/>
    <w:rsid w:val="00C25C6F"/>
    <w:rsid w:val="00C260B1"/>
    <w:rsid w:val="00C2641F"/>
    <w:rsid w:val="00C264A9"/>
    <w:rsid w:val="00C26BB8"/>
    <w:rsid w:val="00C26E56"/>
    <w:rsid w:val="00C27444"/>
    <w:rsid w:val="00C3075D"/>
    <w:rsid w:val="00C31406"/>
    <w:rsid w:val="00C3264C"/>
    <w:rsid w:val="00C3377F"/>
    <w:rsid w:val="00C3443D"/>
    <w:rsid w:val="00C344A1"/>
    <w:rsid w:val="00C34745"/>
    <w:rsid w:val="00C35A3C"/>
    <w:rsid w:val="00C3690F"/>
    <w:rsid w:val="00C37194"/>
    <w:rsid w:val="00C405E1"/>
    <w:rsid w:val="00C40637"/>
    <w:rsid w:val="00C409BC"/>
    <w:rsid w:val="00C40F6C"/>
    <w:rsid w:val="00C41C98"/>
    <w:rsid w:val="00C41D0B"/>
    <w:rsid w:val="00C43185"/>
    <w:rsid w:val="00C43C6A"/>
    <w:rsid w:val="00C44322"/>
    <w:rsid w:val="00C44343"/>
    <w:rsid w:val="00C443B2"/>
    <w:rsid w:val="00C44426"/>
    <w:rsid w:val="00C445F3"/>
    <w:rsid w:val="00C44FF5"/>
    <w:rsid w:val="00C451F4"/>
    <w:rsid w:val="00C4581A"/>
    <w:rsid w:val="00C45EB1"/>
    <w:rsid w:val="00C46EB1"/>
    <w:rsid w:val="00C50917"/>
    <w:rsid w:val="00C5131C"/>
    <w:rsid w:val="00C51750"/>
    <w:rsid w:val="00C51BA3"/>
    <w:rsid w:val="00C51BDA"/>
    <w:rsid w:val="00C540AE"/>
    <w:rsid w:val="00C54A3A"/>
    <w:rsid w:val="00C54C17"/>
    <w:rsid w:val="00C55566"/>
    <w:rsid w:val="00C56448"/>
    <w:rsid w:val="00C5654C"/>
    <w:rsid w:val="00C56AAC"/>
    <w:rsid w:val="00C571ED"/>
    <w:rsid w:val="00C57571"/>
    <w:rsid w:val="00C57996"/>
    <w:rsid w:val="00C600FD"/>
    <w:rsid w:val="00C60CA4"/>
    <w:rsid w:val="00C61C93"/>
    <w:rsid w:val="00C63F12"/>
    <w:rsid w:val="00C65A36"/>
    <w:rsid w:val="00C66030"/>
    <w:rsid w:val="00C667BE"/>
    <w:rsid w:val="00C67463"/>
    <w:rsid w:val="00C6766B"/>
    <w:rsid w:val="00C70169"/>
    <w:rsid w:val="00C7016F"/>
    <w:rsid w:val="00C72223"/>
    <w:rsid w:val="00C73061"/>
    <w:rsid w:val="00C73DF4"/>
    <w:rsid w:val="00C75335"/>
    <w:rsid w:val="00C75BEA"/>
    <w:rsid w:val="00C75C35"/>
    <w:rsid w:val="00C76151"/>
    <w:rsid w:val="00C76417"/>
    <w:rsid w:val="00C76F90"/>
    <w:rsid w:val="00C77044"/>
    <w:rsid w:val="00C77143"/>
    <w:rsid w:val="00C7726F"/>
    <w:rsid w:val="00C807E7"/>
    <w:rsid w:val="00C80CCD"/>
    <w:rsid w:val="00C80D8F"/>
    <w:rsid w:val="00C81695"/>
    <w:rsid w:val="00C816D2"/>
    <w:rsid w:val="00C81E95"/>
    <w:rsid w:val="00C821CD"/>
    <w:rsid w:val="00C82323"/>
    <w:rsid w:val="00C823DA"/>
    <w:rsid w:val="00C8259F"/>
    <w:rsid w:val="00C82746"/>
    <w:rsid w:val="00C82AD2"/>
    <w:rsid w:val="00C8312F"/>
    <w:rsid w:val="00C83A81"/>
    <w:rsid w:val="00C842D6"/>
    <w:rsid w:val="00C84C47"/>
    <w:rsid w:val="00C84FE2"/>
    <w:rsid w:val="00C851C0"/>
    <w:rsid w:val="00C858A4"/>
    <w:rsid w:val="00C858B7"/>
    <w:rsid w:val="00C86AFA"/>
    <w:rsid w:val="00C8724C"/>
    <w:rsid w:val="00C87FE1"/>
    <w:rsid w:val="00C928D5"/>
    <w:rsid w:val="00C9309C"/>
    <w:rsid w:val="00C940A5"/>
    <w:rsid w:val="00C94209"/>
    <w:rsid w:val="00C94AA5"/>
    <w:rsid w:val="00C94DB5"/>
    <w:rsid w:val="00CA1034"/>
    <w:rsid w:val="00CA189F"/>
    <w:rsid w:val="00CA1F55"/>
    <w:rsid w:val="00CA4083"/>
    <w:rsid w:val="00CA478B"/>
    <w:rsid w:val="00CA523C"/>
    <w:rsid w:val="00CA5BF5"/>
    <w:rsid w:val="00CA6311"/>
    <w:rsid w:val="00CA6611"/>
    <w:rsid w:val="00CA6AEA"/>
    <w:rsid w:val="00CB00AA"/>
    <w:rsid w:val="00CB130F"/>
    <w:rsid w:val="00CB18D0"/>
    <w:rsid w:val="00CB1C8A"/>
    <w:rsid w:val="00CB24F5"/>
    <w:rsid w:val="00CB2663"/>
    <w:rsid w:val="00CB3BBE"/>
    <w:rsid w:val="00CB46EC"/>
    <w:rsid w:val="00CB5113"/>
    <w:rsid w:val="00CB59E9"/>
    <w:rsid w:val="00CB6824"/>
    <w:rsid w:val="00CB6C9C"/>
    <w:rsid w:val="00CB7582"/>
    <w:rsid w:val="00CB75EA"/>
    <w:rsid w:val="00CB7F81"/>
    <w:rsid w:val="00CC02F0"/>
    <w:rsid w:val="00CC07DD"/>
    <w:rsid w:val="00CC0D6A"/>
    <w:rsid w:val="00CC230E"/>
    <w:rsid w:val="00CC244C"/>
    <w:rsid w:val="00CC2815"/>
    <w:rsid w:val="00CC3037"/>
    <w:rsid w:val="00CC355E"/>
    <w:rsid w:val="00CC3831"/>
    <w:rsid w:val="00CC3E3D"/>
    <w:rsid w:val="00CC519B"/>
    <w:rsid w:val="00CC5E16"/>
    <w:rsid w:val="00CC65EF"/>
    <w:rsid w:val="00CC717B"/>
    <w:rsid w:val="00CC769D"/>
    <w:rsid w:val="00CC7950"/>
    <w:rsid w:val="00CD02FF"/>
    <w:rsid w:val="00CD12C1"/>
    <w:rsid w:val="00CD1ED8"/>
    <w:rsid w:val="00CD214E"/>
    <w:rsid w:val="00CD46FA"/>
    <w:rsid w:val="00CD4A89"/>
    <w:rsid w:val="00CD4C7F"/>
    <w:rsid w:val="00CD5973"/>
    <w:rsid w:val="00CD71FD"/>
    <w:rsid w:val="00CD72AC"/>
    <w:rsid w:val="00CD798E"/>
    <w:rsid w:val="00CE018D"/>
    <w:rsid w:val="00CE0CD4"/>
    <w:rsid w:val="00CE0F5D"/>
    <w:rsid w:val="00CE1139"/>
    <w:rsid w:val="00CE252A"/>
    <w:rsid w:val="00CE31A6"/>
    <w:rsid w:val="00CE3276"/>
    <w:rsid w:val="00CE33FF"/>
    <w:rsid w:val="00CE3487"/>
    <w:rsid w:val="00CE3E1E"/>
    <w:rsid w:val="00CE4722"/>
    <w:rsid w:val="00CE4EF7"/>
    <w:rsid w:val="00CE5314"/>
    <w:rsid w:val="00CE53C7"/>
    <w:rsid w:val="00CE610B"/>
    <w:rsid w:val="00CE6268"/>
    <w:rsid w:val="00CE62AA"/>
    <w:rsid w:val="00CE638E"/>
    <w:rsid w:val="00CE63C0"/>
    <w:rsid w:val="00CE69D5"/>
    <w:rsid w:val="00CE6C93"/>
    <w:rsid w:val="00CE719F"/>
    <w:rsid w:val="00CE77CA"/>
    <w:rsid w:val="00CF0222"/>
    <w:rsid w:val="00CF09AA"/>
    <w:rsid w:val="00CF2252"/>
    <w:rsid w:val="00CF23C4"/>
    <w:rsid w:val="00CF25F3"/>
    <w:rsid w:val="00CF27DD"/>
    <w:rsid w:val="00CF3321"/>
    <w:rsid w:val="00CF367F"/>
    <w:rsid w:val="00CF37F5"/>
    <w:rsid w:val="00CF3C9E"/>
    <w:rsid w:val="00CF4813"/>
    <w:rsid w:val="00CF4B19"/>
    <w:rsid w:val="00CF5233"/>
    <w:rsid w:val="00CF5609"/>
    <w:rsid w:val="00CF57C7"/>
    <w:rsid w:val="00CF612E"/>
    <w:rsid w:val="00CF6350"/>
    <w:rsid w:val="00CF72DA"/>
    <w:rsid w:val="00D0064F"/>
    <w:rsid w:val="00D006AF"/>
    <w:rsid w:val="00D00CB4"/>
    <w:rsid w:val="00D029B8"/>
    <w:rsid w:val="00D02D1D"/>
    <w:rsid w:val="00D02F60"/>
    <w:rsid w:val="00D03885"/>
    <w:rsid w:val="00D045EE"/>
    <w:rsid w:val="00D0464E"/>
    <w:rsid w:val="00D04A96"/>
    <w:rsid w:val="00D0684A"/>
    <w:rsid w:val="00D073E5"/>
    <w:rsid w:val="00D07A7B"/>
    <w:rsid w:val="00D103AC"/>
    <w:rsid w:val="00D10861"/>
    <w:rsid w:val="00D10CA1"/>
    <w:rsid w:val="00D10E06"/>
    <w:rsid w:val="00D11789"/>
    <w:rsid w:val="00D13EEA"/>
    <w:rsid w:val="00D15197"/>
    <w:rsid w:val="00D152BE"/>
    <w:rsid w:val="00D1532B"/>
    <w:rsid w:val="00D16820"/>
    <w:rsid w:val="00D1690D"/>
    <w:rsid w:val="00D169C8"/>
    <w:rsid w:val="00D1793F"/>
    <w:rsid w:val="00D179C0"/>
    <w:rsid w:val="00D20771"/>
    <w:rsid w:val="00D20F02"/>
    <w:rsid w:val="00D216DE"/>
    <w:rsid w:val="00D222E8"/>
    <w:rsid w:val="00D22AF5"/>
    <w:rsid w:val="00D230BD"/>
    <w:rsid w:val="00D235EA"/>
    <w:rsid w:val="00D23EA6"/>
    <w:rsid w:val="00D247A9"/>
    <w:rsid w:val="00D24C3F"/>
    <w:rsid w:val="00D263D5"/>
    <w:rsid w:val="00D26693"/>
    <w:rsid w:val="00D269FB"/>
    <w:rsid w:val="00D2775B"/>
    <w:rsid w:val="00D27DA1"/>
    <w:rsid w:val="00D300F8"/>
    <w:rsid w:val="00D3076D"/>
    <w:rsid w:val="00D30826"/>
    <w:rsid w:val="00D30D50"/>
    <w:rsid w:val="00D317C3"/>
    <w:rsid w:val="00D32721"/>
    <w:rsid w:val="00D328DC"/>
    <w:rsid w:val="00D32BDC"/>
    <w:rsid w:val="00D33387"/>
    <w:rsid w:val="00D33BAD"/>
    <w:rsid w:val="00D34253"/>
    <w:rsid w:val="00D36139"/>
    <w:rsid w:val="00D374E0"/>
    <w:rsid w:val="00D40127"/>
    <w:rsid w:val="00D402FB"/>
    <w:rsid w:val="00D408AF"/>
    <w:rsid w:val="00D408BE"/>
    <w:rsid w:val="00D40FFF"/>
    <w:rsid w:val="00D41FFB"/>
    <w:rsid w:val="00D448CE"/>
    <w:rsid w:val="00D4591F"/>
    <w:rsid w:val="00D45E0A"/>
    <w:rsid w:val="00D462F2"/>
    <w:rsid w:val="00D47D7A"/>
    <w:rsid w:val="00D50ABD"/>
    <w:rsid w:val="00D50C0D"/>
    <w:rsid w:val="00D53745"/>
    <w:rsid w:val="00D537F9"/>
    <w:rsid w:val="00D53B72"/>
    <w:rsid w:val="00D5476B"/>
    <w:rsid w:val="00D55290"/>
    <w:rsid w:val="00D561E9"/>
    <w:rsid w:val="00D57791"/>
    <w:rsid w:val="00D57B01"/>
    <w:rsid w:val="00D6046A"/>
    <w:rsid w:val="00D604BA"/>
    <w:rsid w:val="00D60E3B"/>
    <w:rsid w:val="00D61080"/>
    <w:rsid w:val="00D62870"/>
    <w:rsid w:val="00D62B05"/>
    <w:rsid w:val="00D63401"/>
    <w:rsid w:val="00D6493B"/>
    <w:rsid w:val="00D64F53"/>
    <w:rsid w:val="00D64F64"/>
    <w:rsid w:val="00D651B9"/>
    <w:rsid w:val="00D655D9"/>
    <w:rsid w:val="00D65872"/>
    <w:rsid w:val="00D6594E"/>
    <w:rsid w:val="00D66505"/>
    <w:rsid w:val="00D66635"/>
    <w:rsid w:val="00D6666D"/>
    <w:rsid w:val="00D66A30"/>
    <w:rsid w:val="00D676F3"/>
    <w:rsid w:val="00D70C39"/>
    <w:rsid w:val="00D70EF5"/>
    <w:rsid w:val="00D71024"/>
    <w:rsid w:val="00D71A25"/>
    <w:rsid w:val="00D71A90"/>
    <w:rsid w:val="00D71FCF"/>
    <w:rsid w:val="00D72A54"/>
    <w:rsid w:val="00D72CC1"/>
    <w:rsid w:val="00D745EA"/>
    <w:rsid w:val="00D74795"/>
    <w:rsid w:val="00D7588F"/>
    <w:rsid w:val="00D764B4"/>
    <w:rsid w:val="00D76DF2"/>
    <w:rsid w:val="00D76EC9"/>
    <w:rsid w:val="00D773CC"/>
    <w:rsid w:val="00D80E7D"/>
    <w:rsid w:val="00D810D0"/>
    <w:rsid w:val="00D81397"/>
    <w:rsid w:val="00D830D6"/>
    <w:rsid w:val="00D8461A"/>
    <w:rsid w:val="00D848B9"/>
    <w:rsid w:val="00D8601D"/>
    <w:rsid w:val="00D860C7"/>
    <w:rsid w:val="00D8655E"/>
    <w:rsid w:val="00D86746"/>
    <w:rsid w:val="00D86CAA"/>
    <w:rsid w:val="00D90CD9"/>
    <w:rsid w:val="00D90E69"/>
    <w:rsid w:val="00D90F39"/>
    <w:rsid w:val="00D91185"/>
    <w:rsid w:val="00D91368"/>
    <w:rsid w:val="00D91927"/>
    <w:rsid w:val="00D91A4C"/>
    <w:rsid w:val="00D91C92"/>
    <w:rsid w:val="00D91CAE"/>
    <w:rsid w:val="00D927AF"/>
    <w:rsid w:val="00D93106"/>
    <w:rsid w:val="00D933E1"/>
    <w:rsid w:val="00D933E9"/>
    <w:rsid w:val="00D9362E"/>
    <w:rsid w:val="00D9364C"/>
    <w:rsid w:val="00D9505D"/>
    <w:rsid w:val="00D953D0"/>
    <w:rsid w:val="00D959F5"/>
    <w:rsid w:val="00D96884"/>
    <w:rsid w:val="00D96E21"/>
    <w:rsid w:val="00DA02D7"/>
    <w:rsid w:val="00DA0551"/>
    <w:rsid w:val="00DA1439"/>
    <w:rsid w:val="00DA1ADF"/>
    <w:rsid w:val="00DA2F0D"/>
    <w:rsid w:val="00DA31F8"/>
    <w:rsid w:val="00DA3B02"/>
    <w:rsid w:val="00DA3F58"/>
    <w:rsid w:val="00DA3FDD"/>
    <w:rsid w:val="00DA4245"/>
    <w:rsid w:val="00DA4A08"/>
    <w:rsid w:val="00DA4CB1"/>
    <w:rsid w:val="00DA4F08"/>
    <w:rsid w:val="00DA5F23"/>
    <w:rsid w:val="00DA6217"/>
    <w:rsid w:val="00DA65F9"/>
    <w:rsid w:val="00DA69D2"/>
    <w:rsid w:val="00DA7017"/>
    <w:rsid w:val="00DA7028"/>
    <w:rsid w:val="00DA72FA"/>
    <w:rsid w:val="00DA7B15"/>
    <w:rsid w:val="00DA7B9D"/>
    <w:rsid w:val="00DB02D7"/>
    <w:rsid w:val="00DB0482"/>
    <w:rsid w:val="00DB1AD2"/>
    <w:rsid w:val="00DB2477"/>
    <w:rsid w:val="00DB254E"/>
    <w:rsid w:val="00DB2B58"/>
    <w:rsid w:val="00DB33A6"/>
    <w:rsid w:val="00DB3DC9"/>
    <w:rsid w:val="00DB425D"/>
    <w:rsid w:val="00DB44AE"/>
    <w:rsid w:val="00DB5206"/>
    <w:rsid w:val="00DB5C69"/>
    <w:rsid w:val="00DB5C84"/>
    <w:rsid w:val="00DB6276"/>
    <w:rsid w:val="00DB63F5"/>
    <w:rsid w:val="00DB6B3E"/>
    <w:rsid w:val="00DB7568"/>
    <w:rsid w:val="00DC052D"/>
    <w:rsid w:val="00DC1575"/>
    <w:rsid w:val="00DC1C14"/>
    <w:rsid w:val="00DC1C6B"/>
    <w:rsid w:val="00DC2C2E"/>
    <w:rsid w:val="00DC3F87"/>
    <w:rsid w:val="00DC4AF0"/>
    <w:rsid w:val="00DC534F"/>
    <w:rsid w:val="00DC61D0"/>
    <w:rsid w:val="00DC756B"/>
    <w:rsid w:val="00DC7576"/>
    <w:rsid w:val="00DC7886"/>
    <w:rsid w:val="00DC7FB3"/>
    <w:rsid w:val="00DD07E9"/>
    <w:rsid w:val="00DD0A08"/>
    <w:rsid w:val="00DD0C02"/>
    <w:rsid w:val="00DD0CF2"/>
    <w:rsid w:val="00DD10ED"/>
    <w:rsid w:val="00DD1EDF"/>
    <w:rsid w:val="00DD34D6"/>
    <w:rsid w:val="00DD4718"/>
    <w:rsid w:val="00DD5110"/>
    <w:rsid w:val="00DD5DC4"/>
    <w:rsid w:val="00DD607E"/>
    <w:rsid w:val="00DD7E3E"/>
    <w:rsid w:val="00DE0006"/>
    <w:rsid w:val="00DE0747"/>
    <w:rsid w:val="00DE1554"/>
    <w:rsid w:val="00DE2901"/>
    <w:rsid w:val="00DE3982"/>
    <w:rsid w:val="00DE4057"/>
    <w:rsid w:val="00DE590F"/>
    <w:rsid w:val="00DE59B6"/>
    <w:rsid w:val="00DE7C97"/>
    <w:rsid w:val="00DE7DC1"/>
    <w:rsid w:val="00DF0C18"/>
    <w:rsid w:val="00DF3F7E"/>
    <w:rsid w:val="00DF5AE7"/>
    <w:rsid w:val="00DF5DAD"/>
    <w:rsid w:val="00DF5DF8"/>
    <w:rsid w:val="00DF600B"/>
    <w:rsid w:val="00DF7648"/>
    <w:rsid w:val="00E00B88"/>
    <w:rsid w:val="00E00E29"/>
    <w:rsid w:val="00E0155D"/>
    <w:rsid w:val="00E02A03"/>
    <w:rsid w:val="00E02BAB"/>
    <w:rsid w:val="00E0358D"/>
    <w:rsid w:val="00E0440A"/>
    <w:rsid w:val="00E04CEB"/>
    <w:rsid w:val="00E05FE1"/>
    <w:rsid w:val="00E060BC"/>
    <w:rsid w:val="00E06884"/>
    <w:rsid w:val="00E06B26"/>
    <w:rsid w:val="00E077DF"/>
    <w:rsid w:val="00E10AD6"/>
    <w:rsid w:val="00E10E2A"/>
    <w:rsid w:val="00E11420"/>
    <w:rsid w:val="00E11F60"/>
    <w:rsid w:val="00E13235"/>
    <w:rsid w:val="00E132FB"/>
    <w:rsid w:val="00E13D8C"/>
    <w:rsid w:val="00E142C2"/>
    <w:rsid w:val="00E160B5"/>
    <w:rsid w:val="00E16122"/>
    <w:rsid w:val="00E16372"/>
    <w:rsid w:val="00E16779"/>
    <w:rsid w:val="00E16EED"/>
    <w:rsid w:val="00E170B7"/>
    <w:rsid w:val="00E172B4"/>
    <w:rsid w:val="00E17480"/>
    <w:rsid w:val="00E176E2"/>
    <w:rsid w:val="00E177DD"/>
    <w:rsid w:val="00E17F18"/>
    <w:rsid w:val="00E20900"/>
    <w:rsid w:val="00E20C7F"/>
    <w:rsid w:val="00E20D20"/>
    <w:rsid w:val="00E21379"/>
    <w:rsid w:val="00E232F1"/>
    <w:rsid w:val="00E23459"/>
    <w:rsid w:val="00E23549"/>
    <w:rsid w:val="00E23830"/>
    <w:rsid w:val="00E2396E"/>
    <w:rsid w:val="00E240D0"/>
    <w:rsid w:val="00E24728"/>
    <w:rsid w:val="00E24AC0"/>
    <w:rsid w:val="00E25038"/>
    <w:rsid w:val="00E2512B"/>
    <w:rsid w:val="00E265EE"/>
    <w:rsid w:val="00E276AC"/>
    <w:rsid w:val="00E27C55"/>
    <w:rsid w:val="00E31A9F"/>
    <w:rsid w:val="00E32E34"/>
    <w:rsid w:val="00E340CA"/>
    <w:rsid w:val="00E34156"/>
    <w:rsid w:val="00E344D5"/>
    <w:rsid w:val="00E34A35"/>
    <w:rsid w:val="00E3519E"/>
    <w:rsid w:val="00E352E9"/>
    <w:rsid w:val="00E356DB"/>
    <w:rsid w:val="00E35F3A"/>
    <w:rsid w:val="00E36B46"/>
    <w:rsid w:val="00E36F79"/>
    <w:rsid w:val="00E37C2F"/>
    <w:rsid w:val="00E4067E"/>
    <w:rsid w:val="00E41980"/>
    <w:rsid w:val="00E41C28"/>
    <w:rsid w:val="00E421B5"/>
    <w:rsid w:val="00E42415"/>
    <w:rsid w:val="00E42C65"/>
    <w:rsid w:val="00E43D3E"/>
    <w:rsid w:val="00E44240"/>
    <w:rsid w:val="00E44472"/>
    <w:rsid w:val="00E446FF"/>
    <w:rsid w:val="00E45A6B"/>
    <w:rsid w:val="00E46308"/>
    <w:rsid w:val="00E46367"/>
    <w:rsid w:val="00E46C2D"/>
    <w:rsid w:val="00E5133A"/>
    <w:rsid w:val="00E51E17"/>
    <w:rsid w:val="00E52312"/>
    <w:rsid w:val="00E524A5"/>
    <w:rsid w:val="00E52DAB"/>
    <w:rsid w:val="00E539B0"/>
    <w:rsid w:val="00E54B68"/>
    <w:rsid w:val="00E54B85"/>
    <w:rsid w:val="00E553FD"/>
    <w:rsid w:val="00E55994"/>
    <w:rsid w:val="00E55FB3"/>
    <w:rsid w:val="00E60606"/>
    <w:rsid w:val="00E606BD"/>
    <w:rsid w:val="00E60C66"/>
    <w:rsid w:val="00E6164D"/>
    <w:rsid w:val="00E618C9"/>
    <w:rsid w:val="00E62774"/>
    <w:rsid w:val="00E6307C"/>
    <w:rsid w:val="00E636FA"/>
    <w:rsid w:val="00E64FD6"/>
    <w:rsid w:val="00E65A58"/>
    <w:rsid w:val="00E66071"/>
    <w:rsid w:val="00E66C50"/>
    <w:rsid w:val="00E66D05"/>
    <w:rsid w:val="00E66F77"/>
    <w:rsid w:val="00E679D3"/>
    <w:rsid w:val="00E70604"/>
    <w:rsid w:val="00E70ABB"/>
    <w:rsid w:val="00E71037"/>
    <w:rsid w:val="00E71208"/>
    <w:rsid w:val="00E71444"/>
    <w:rsid w:val="00E71C91"/>
    <w:rsid w:val="00E720A1"/>
    <w:rsid w:val="00E72E21"/>
    <w:rsid w:val="00E7341A"/>
    <w:rsid w:val="00E751FA"/>
    <w:rsid w:val="00E75DDA"/>
    <w:rsid w:val="00E773E8"/>
    <w:rsid w:val="00E77C29"/>
    <w:rsid w:val="00E81185"/>
    <w:rsid w:val="00E82540"/>
    <w:rsid w:val="00E826FD"/>
    <w:rsid w:val="00E83ADD"/>
    <w:rsid w:val="00E84A5D"/>
    <w:rsid w:val="00E84F38"/>
    <w:rsid w:val="00E85326"/>
    <w:rsid w:val="00E85582"/>
    <w:rsid w:val="00E85623"/>
    <w:rsid w:val="00E85D37"/>
    <w:rsid w:val="00E8611E"/>
    <w:rsid w:val="00E866FB"/>
    <w:rsid w:val="00E86D9B"/>
    <w:rsid w:val="00E87441"/>
    <w:rsid w:val="00E9174D"/>
    <w:rsid w:val="00E91811"/>
    <w:rsid w:val="00E91FAE"/>
    <w:rsid w:val="00E927D9"/>
    <w:rsid w:val="00E93074"/>
    <w:rsid w:val="00E936DC"/>
    <w:rsid w:val="00E93C06"/>
    <w:rsid w:val="00E93C68"/>
    <w:rsid w:val="00E95086"/>
    <w:rsid w:val="00E9545F"/>
    <w:rsid w:val="00E95EB7"/>
    <w:rsid w:val="00E96568"/>
    <w:rsid w:val="00E968C8"/>
    <w:rsid w:val="00E96E3F"/>
    <w:rsid w:val="00E96F6D"/>
    <w:rsid w:val="00E975CD"/>
    <w:rsid w:val="00EA05E3"/>
    <w:rsid w:val="00EA09EB"/>
    <w:rsid w:val="00EA1900"/>
    <w:rsid w:val="00EA22A1"/>
    <w:rsid w:val="00EA270C"/>
    <w:rsid w:val="00EA312F"/>
    <w:rsid w:val="00EA4974"/>
    <w:rsid w:val="00EA4AEB"/>
    <w:rsid w:val="00EA532E"/>
    <w:rsid w:val="00EA5926"/>
    <w:rsid w:val="00EA5E9B"/>
    <w:rsid w:val="00EB06D9"/>
    <w:rsid w:val="00EB141C"/>
    <w:rsid w:val="00EB192B"/>
    <w:rsid w:val="00EB19ED"/>
    <w:rsid w:val="00EB1CAB"/>
    <w:rsid w:val="00EB470C"/>
    <w:rsid w:val="00EB49F5"/>
    <w:rsid w:val="00EB5CC7"/>
    <w:rsid w:val="00EB6D77"/>
    <w:rsid w:val="00EC001E"/>
    <w:rsid w:val="00EC0335"/>
    <w:rsid w:val="00EC0F5A"/>
    <w:rsid w:val="00EC233E"/>
    <w:rsid w:val="00EC27CF"/>
    <w:rsid w:val="00EC4265"/>
    <w:rsid w:val="00EC4B8B"/>
    <w:rsid w:val="00EC4CEB"/>
    <w:rsid w:val="00EC5E59"/>
    <w:rsid w:val="00EC659E"/>
    <w:rsid w:val="00EC6655"/>
    <w:rsid w:val="00EC674D"/>
    <w:rsid w:val="00EC72AE"/>
    <w:rsid w:val="00ED0D0B"/>
    <w:rsid w:val="00ED13D9"/>
    <w:rsid w:val="00ED2072"/>
    <w:rsid w:val="00ED297B"/>
    <w:rsid w:val="00ED2AE0"/>
    <w:rsid w:val="00ED38F0"/>
    <w:rsid w:val="00ED51BA"/>
    <w:rsid w:val="00ED5553"/>
    <w:rsid w:val="00ED57D0"/>
    <w:rsid w:val="00ED5E36"/>
    <w:rsid w:val="00ED6961"/>
    <w:rsid w:val="00ED6B43"/>
    <w:rsid w:val="00ED7724"/>
    <w:rsid w:val="00EE0ED1"/>
    <w:rsid w:val="00EE2757"/>
    <w:rsid w:val="00EE349A"/>
    <w:rsid w:val="00EE653D"/>
    <w:rsid w:val="00EE659B"/>
    <w:rsid w:val="00EF0AFA"/>
    <w:rsid w:val="00EF0B96"/>
    <w:rsid w:val="00EF17C9"/>
    <w:rsid w:val="00EF23B5"/>
    <w:rsid w:val="00EF255A"/>
    <w:rsid w:val="00EF2D4C"/>
    <w:rsid w:val="00EF2ED8"/>
    <w:rsid w:val="00EF3486"/>
    <w:rsid w:val="00EF38A2"/>
    <w:rsid w:val="00EF42DE"/>
    <w:rsid w:val="00EF47AF"/>
    <w:rsid w:val="00EF53B6"/>
    <w:rsid w:val="00EF5B97"/>
    <w:rsid w:val="00EF69E7"/>
    <w:rsid w:val="00EF747E"/>
    <w:rsid w:val="00F00768"/>
    <w:rsid w:val="00F00B73"/>
    <w:rsid w:val="00F00CC2"/>
    <w:rsid w:val="00F00D94"/>
    <w:rsid w:val="00F0254E"/>
    <w:rsid w:val="00F02E30"/>
    <w:rsid w:val="00F03478"/>
    <w:rsid w:val="00F04E81"/>
    <w:rsid w:val="00F05876"/>
    <w:rsid w:val="00F062E3"/>
    <w:rsid w:val="00F070BA"/>
    <w:rsid w:val="00F07251"/>
    <w:rsid w:val="00F100AB"/>
    <w:rsid w:val="00F104DF"/>
    <w:rsid w:val="00F1127A"/>
    <w:rsid w:val="00F115CA"/>
    <w:rsid w:val="00F13118"/>
    <w:rsid w:val="00F138D6"/>
    <w:rsid w:val="00F13D85"/>
    <w:rsid w:val="00F14817"/>
    <w:rsid w:val="00F14EBA"/>
    <w:rsid w:val="00F1510F"/>
    <w:rsid w:val="00F1533A"/>
    <w:rsid w:val="00F15797"/>
    <w:rsid w:val="00F15E5A"/>
    <w:rsid w:val="00F16E53"/>
    <w:rsid w:val="00F17F0A"/>
    <w:rsid w:val="00F20486"/>
    <w:rsid w:val="00F206A4"/>
    <w:rsid w:val="00F2239F"/>
    <w:rsid w:val="00F2304F"/>
    <w:rsid w:val="00F234EC"/>
    <w:rsid w:val="00F23900"/>
    <w:rsid w:val="00F2567A"/>
    <w:rsid w:val="00F262A6"/>
    <w:rsid w:val="00F26550"/>
    <w:rsid w:val="00F2668F"/>
    <w:rsid w:val="00F26C08"/>
    <w:rsid w:val="00F26DD4"/>
    <w:rsid w:val="00F2742F"/>
    <w:rsid w:val="00F2753B"/>
    <w:rsid w:val="00F27604"/>
    <w:rsid w:val="00F279D9"/>
    <w:rsid w:val="00F27CA2"/>
    <w:rsid w:val="00F307FD"/>
    <w:rsid w:val="00F3111B"/>
    <w:rsid w:val="00F31C42"/>
    <w:rsid w:val="00F3374B"/>
    <w:rsid w:val="00F33D2A"/>
    <w:rsid w:val="00F33F8B"/>
    <w:rsid w:val="00F340B2"/>
    <w:rsid w:val="00F342AF"/>
    <w:rsid w:val="00F369D8"/>
    <w:rsid w:val="00F408D0"/>
    <w:rsid w:val="00F41748"/>
    <w:rsid w:val="00F41872"/>
    <w:rsid w:val="00F41A04"/>
    <w:rsid w:val="00F430B6"/>
    <w:rsid w:val="00F43390"/>
    <w:rsid w:val="00F433C5"/>
    <w:rsid w:val="00F43CEA"/>
    <w:rsid w:val="00F443B2"/>
    <w:rsid w:val="00F44628"/>
    <w:rsid w:val="00F458D8"/>
    <w:rsid w:val="00F45BFD"/>
    <w:rsid w:val="00F46F75"/>
    <w:rsid w:val="00F46F92"/>
    <w:rsid w:val="00F50237"/>
    <w:rsid w:val="00F5084B"/>
    <w:rsid w:val="00F509BC"/>
    <w:rsid w:val="00F50FF2"/>
    <w:rsid w:val="00F50FFF"/>
    <w:rsid w:val="00F51507"/>
    <w:rsid w:val="00F5193A"/>
    <w:rsid w:val="00F526E0"/>
    <w:rsid w:val="00F52BD7"/>
    <w:rsid w:val="00F53596"/>
    <w:rsid w:val="00F54466"/>
    <w:rsid w:val="00F545C8"/>
    <w:rsid w:val="00F5483E"/>
    <w:rsid w:val="00F54AB2"/>
    <w:rsid w:val="00F55458"/>
    <w:rsid w:val="00F5546D"/>
    <w:rsid w:val="00F55BA8"/>
    <w:rsid w:val="00F55C37"/>
    <w:rsid w:val="00F55DB1"/>
    <w:rsid w:val="00F56116"/>
    <w:rsid w:val="00F563DC"/>
    <w:rsid w:val="00F56ACA"/>
    <w:rsid w:val="00F600FE"/>
    <w:rsid w:val="00F6048D"/>
    <w:rsid w:val="00F615E6"/>
    <w:rsid w:val="00F6204C"/>
    <w:rsid w:val="00F62292"/>
    <w:rsid w:val="00F626AD"/>
    <w:rsid w:val="00F62E4D"/>
    <w:rsid w:val="00F66252"/>
    <w:rsid w:val="00F665DD"/>
    <w:rsid w:val="00F66B34"/>
    <w:rsid w:val="00F671B4"/>
    <w:rsid w:val="00F67374"/>
    <w:rsid w:val="00F6749E"/>
    <w:rsid w:val="00F675B9"/>
    <w:rsid w:val="00F70239"/>
    <w:rsid w:val="00F70734"/>
    <w:rsid w:val="00F70CD6"/>
    <w:rsid w:val="00F711C9"/>
    <w:rsid w:val="00F71D64"/>
    <w:rsid w:val="00F71F25"/>
    <w:rsid w:val="00F723DD"/>
    <w:rsid w:val="00F731A3"/>
    <w:rsid w:val="00F746D2"/>
    <w:rsid w:val="00F74C59"/>
    <w:rsid w:val="00F752A5"/>
    <w:rsid w:val="00F758C2"/>
    <w:rsid w:val="00F75C3A"/>
    <w:rsid w:val="00F77701"/>
    <w:rsid w:val="00F77A73"/>
    <w:rsid w:val="00F82A63"/>
    <w:rsid w:val="00F82D6F"/>
    <w:rsid w:val="00F82E30"/>
    <w:rsid w:val="00F831CB"/>
    <w:rsid w:val="00F832E8"/>
    <w:rsid w:val="00F848A3"/>
    <w:rsid w:val="00F84ACF"/>
    <w:rsid w:val="00F84CB7"/>
    <w:rsid w:val="00F85742"/>
    <w:rsid w:val="00F857A4"/>
    <w:rsid w:val="00F85BF8"/>
    <w:rsid w:val="00F85EEE"/>
    <w:rsid w:val="00F85F5D"/>
    <w:rsid w:val="00F8608D"/>
    <w:rsid w:val="00F86AA6"/>
    <w:rsid w:val="00F86C73"/>
    <w:rsid w:val="00F871CE"/>
    <w:rsid w:val="00F87695"/>
    <w:rsid w:val="00F87802"/>
    <w:rsid w:val="00F90F03"/>
    <w:rsid w:val="00F91376"/>
    <w:rsid w:val="00F91419"/>
    <w:rsid w:val="00F91D9E"/>
    <w:rsid w:val="00F9233D"/>
    <w:rsid w:val="00F92C0A"/>
    <w:rsid w:val="00F93462"/>
    <w:rsid w:val="00F93D01"/>
    <w:rsid w:val="00F9415B"/>
    <w:rsid w:val="00F948AA"/>
    <w:rsid w:val="00F957D2"/>
    <w:rsid w:val="00F95D5D"/>
    <w:rsid w:val="00F96C97"/>
    <w:rsid w:val="00F974C2"/>
    <w:rsid w:val="00F97BAB"/>
    <w:rsid w:val="00FA02AD"/>
    <w:rsid w:val="00FA030A"/>
    <w:rsid w:val="00FA132C"/>
    <w:rsid w:val="00FA13C2"/>
    <w:rsid w:val="00FA1978"/>
    <w:rsid w:val="00FA2232"/>
    <w:rsid w:val="00FA2511"/>
    <w:rsid w:val="00FA3729"/>
    <w:rsid w:val="00FA38C2"/>
    <w:rsid w:val="00FA3D70"/>
    <w:rsid w:val="00FA4EBA"/>
    <w:rsid w:val="00FA5582"/>
    <w:rsid w:val="00FA55AF"/>
    <w:rsid w:val="00FA59D7"/>
    <w:rsid w:val="00FA608E"/>
    <w:rsid w:val="00FA667B"/>
    <w:rsid w:val="00FA6ECE"/>
    <w:rsid w:val="00FA706D"/>
    <w:rsid w:val="00FA7804"/>
    <w:rsid w:val="00FA7F91"/>
    <w:rsid w:val="00FB05CA"/>
    <w:rsid w:val="00FB07D9"/>
    <w:rsid w:val="00FB121C"/>
    <w:rsid w:val="00FB1CDD"/>
    <w:rsid w:val="00FB1FBF"/>
    <w:rsid w:val="00FB2C2F"/>
    <w:rsid w:val="00FB2F7F"/>
    <w:rsid w:val="00FB305C"/>
    <w:rsid w:val="00FB3318"/>
    <w:rsid w:val="00FB457A"/>
    <w:rsid w:val="00FB47A4"/>
    <w:rsid w:val="00FB5DAA"/>
    <w:rsid w:val="00FB68B8"/>
    <w:rsid w:val="00FB7B3A"/>
    <w:rsid w:val="00FB7CB9"/>
    <w:rsid w:val="00FC171C"/>
    <w:rsid w:val="00FC1723"/>
    <w:rsid w:val="00FC2E3D"/>
    <w:rsid w:val="00FC3AF5"/>
    <w:rsid w:val="00FC3BDE"/>
    <w:rsid w:val="00FC3CCC"/>
    <w:rsid w:val="00FC44E2"/>
    <w:rsid w:val="00FC5853"/>
    <w:rsid w:val="00FC61AD"/>
    <w:rsid w:val="00FC66F9"/>
    <w:rsid w:val="00FC6B8C"/>
    <w:rsid w:val="00FD08CC"/>
    <w:rsid w:val="00FD0CD6"/>
    <w:rsid w:val="00FD0F83"/>
    <w:rsid w:val="00FD1DBE"/>
    <w:rsid w:val="00FD25A7"/>
    <w:rsid w:val="00FD27B6"/>
    <w:rsid w:val="00FD296E"/>
    <w:rsid w:val="00FD32F5"/>
    <w:rsid w:val="00FD334A"/>
    <w:rsid w:val="00FD3689"/>
    <w:rsid w:val="00FD3B22"/>
    <w:rsid w:val="00FD3D45"/>
    <w:rsid w:val="00FD40FF"/>
    <w:rsid w:val="00FD42A3"/>
    <w:rsid w:val="00FD42C6"/>
    <w:rsid w:val="00FD54EE"/>
    <w:rsid w:val="00FD68F8"/>
    <w:rsid w:val="00FD7468"/>
    <w:rsid w:val="00FD7CAA"/>
    <w:rsid w:val="00FD7CE0"/>
    <w:rsid w:val="00FE0622"/>
    <w:rsid w:val="00FE0B3B"/>
    <w:rsid w:val="00FE0D2B"/>
    <w:rsid w:val="00FE0E0C"/>
    <w:rsid w:val="00FE125C"/>
    <w:rsid w:val="00FE1508"/>
    <w:rsid w:val="00FE1BE2"/>
    <w:rsid w:val="00FE1D87"/>
    <w:rsid w:val="00FE2089"/>
    <w:rsid w:val="00FE22F3"/>
    <w:rsid w:val="00FE42B8"/>
    <w:rsid w:val="00FE53CE"/>
    <w:rsid w:val="00FE6E6D"/>
    <w:rsid w:val="00FE730A"/>
    <w:rsid w:val="00FF04E3"/>
    <w:rsid w:val="00FF0A10"/>
    <w:rsid w:val="00FF1DD7"/>
    <w:rsid w:val="00FF23E9"/>
    <w:rsid w:val="00FF29D9"/>
    <w:rsid w:val="00FF2BFE"/>
    <w:rsid w:val="00FF2E66"/>
    <w:rsid w:val="00FF2FF6"/>
    <w:rsid w:val="00FF3CF0"/>
    <w:rsid w:val="00FF4453"/>
    <w:rsid w:val="00FF4871"/>
    <w:rsid w:val="00FF4D9B"/>
    <w:rsid w:val="00FF4F80"/>
    <w:rsid w:val="00FF5255"/>
    <w:rsid w:val="011E2075"/>
    <w:rsid w:val="0133741E"/>
    <w:rsid w:val="01339181"/>
    <w:rsid w:val="0169551D"/>
    <w:rsid w:val="01DC0D16"/>
    <w:rsid w:val="01F0AE5A"/>
    <w:rsid w:val="020FEC77"/>
    <w:rsid w:val="02149375"/>
    <w:rsid w:val="02150DED"/>
    <w:rsid w:val="021B9261"/>
    <w:rsid w:val="021FA5C3"/>
    <w:rsid w:val="02226EAC"/>
    <w:rsid w:val="023BAE8B"/>
    <w:rsid w:val="026980E6"/>
    <w:rsid w:val="026D5334"/>
    <w:rsid w:val="028B4E8A"/>
    <w:rsid w:val="02BC2EC0"/>
    <w:rsid w:val="02C13406"/>
    <w:rsid w:val="02E04EA3"/>
    <w:rsid w:val="03098F1C"/>
    <w:rsid w:val="03222759"/>
    <w:rsid w:val="03AE9AD0"/>
    <w:rsid w:val="03BD4A8D"/>
    <w:rsid w:val="03C83CC3"/>
    <w:rsid w:val="03EE9D91"/>
    <w:rsid w:val="0410C28D"/>
    <w:rsid w:val="04271EEB"/>
    <w:rsid w:val="042E1FA0"/>
    <w:rsid w:val="0437BE63"/>
    <w:rsid w:val="0446BECF"/>
    <w:rsid w:val="04473E07"/>
    <w:rsid w:val="04637043"/>
    <w:rsid w:val="04835641"/>
    <w:rsid w:val="04DA5841"/>
    <w:rsid w:val="04DAEE49"/>
    <w:rsid w:val="04E010D1"/>
    <w:rsid w:val="04E32759"/>
    <w:rsid w:val="04FE8669"/>
    <w:rsid w:val="050D9ACD"/>
    <w:rsid w:val="0531A071"/>
    <w:rsid w:val="057C51A4"/>
    <w:rsid w:val="05872263"/>
    <w:rsid w:val="058BF6D6"/>
    <w:rsid w:val="05BE6335"/>
    <w:rsid w:val="05D60FD2"/>
    <w:rsid w:val="05FEC8A5"/>
    <w:rsid w:val="0601589E"/>
    <w:rsid w:val="063249B2"/>
    <w:rsid w:val="0642EAA3"/>
    <w:rsid w:val="067FC716"/>
    <w:rsid w:val="0725C2BA"/>
    <w:rsid w:val="073FC7B8"/>
    <w:rsid w:val="074934F2"/>
    <w:rsid w:val="076C78AB"/>
    <w:rsid w:val="07702D0F"/>
    <w:rsid w:val="078B44FE"/>
    <w:rsid w:val="07CA36E4"/>
    <w:rsid w:val="07D0C786"/>
    <w:rsid w:val="07E3B584"/>
    <w:rsid w:val="07F1D209"/>
    <w:rsid w:val="0805AB49"/>
    <w:rsid w:val="08120633"/>
    <w:rsid w:val="083014BF"/>
    <w:rsid w:val="088D705D"/>
    <w:rsid w:val="0899AAD3"/>
    <w:rsid w:val="08B0CE99"/>
    <w:rsid w:val="08E1A3FA"/>
    <w:rsid w:val="09669FFC"/>
    <w:rsid w:val="09C92974"/>
    <w:rsid w:val="0A10383D"/>
    <w:rsid w:val="0A31B659"/>
    <w:rsid w:val="0A39EC21"/>
    <w:rsid w:val="0A3CAFE7"/>
    <w:rsid w:val="0A59CA38"/>
    <w:rsid w:val="0AAA0160"/>
    <w:rsid w:val="0ABA5EAB"/>
    <w:rsid w:val="0AEB053B"/>
    <w:rsid w:val="0B002DA1"/>
    <w:rsid w:val="0B0B118F"/>
    <w:rsid w:val="0B30615E"/>
    <w:rsid w:val="0B6C2ED7"/>
    <w:rsid w:val="0B700861"/>
    <w:rsid w:val="0B7C57F3"/>
    <w:rsid w:val="0B8CD9AB"/>
    <w:rsid w:val="0BC01690"/>
    <w:rsid w:val="0BE08817"/>
    <w:rsid w:val="0BF21E85"/>
    <w:rsid w:val="0BF3B0E5"/>
    <w:rsid w:val="0C2B19C0"/>
    <w:rsid w:val="0C2F89F4"/>
    <w:rsid w:val="0C35EA4D"/>
    <w:rsid w:val="0C43FDF6"/>
    <w:rsid w:val="0C46A7C0"/>
    <w:rsid w:val="0C4896A6"/>
    <w:rsid w:val="0C52BA75"/>
    <w:rsid w:val="0CB53F28"/>
    <w:rsid w:val="0CCF28F0"/>
    <w:rsid w:val="0CD110A6"/>
    <w:rsid w:val="0CD43667"/>
    <w:rsid w:val="0CD608B9"/>
    <w:rsid w:val="0D059E5F"/>
    <w:rsid w:val="0D1D88D0"/>
    <w:rsid w:val="0D43E2BD"/>
    <w:rsid w:val="0D5B0E86"/>
    <w:rsid w:val="0D916AFA"/>
    <w:rsid w:val="0D9A171A"/>
    <w:rsid w:val="0D9D9626"/>
    <w:rsid w:val="0DA06AE5"/>
    <w:rsid w:val="0DC7F310"/>
    <w:rsid w:val="0DEFB829"/>
    <w:rsid w:val="0DF7D56A"/>
    <w:rsid w:val="0E0676BA"/>
    <w:rsid w:val="0E260178"/>
    <w:rsid w:val="0E294029"/>
    <w:rsid w:val="0E4D911F"/>
    <w:rsid w:val="0E4EC001"/>
    <w:rsid w:val="0E7A12D7"/>
    <w:rsid w:val="0E7CB7AC"/>
    <w:rsid w:val="0E925901"/>
    <w:rsid w:val="0EB0E79E"/>
    <w:rsid w:val="0EB3CA38"/>
    <w:rsid w:val="0EBB06F8"/>
    <w:rsid w:val="0EDBD673"/>
    <w:rsid w:val="0F3BFCD1"/>
    <w:rsid w:val="0F50B2AD"/>
    <w:rsid w:val="0F5E74DD"/>
    <w:rsid w:val="0F992BA2"/>
    <w:rsid w:val="0F9A4791"/>
    <w:rsid w:val="0FA6BD35"/>
    <w:rsid w:val="0FB07226"/>
    <w:rsid w:val="0FF3FABE"/>
    <w:rsid w:val="104FD6B2"/>
    <w:rsid w:val="105067B9"/>
    <w:rsid w:val="105976A2"/>
    <w:rsid w:val="105DAEB4"/>
    <w:rsid w:val="1085DC1E"/>
    <w:rsid w:val="110B00B9"/>
    <w:rsid w:val="1122C52D"/>
    <w:rsid w:val="1153538B"/>
    <w:rsid w:val="115BEEA0"/>
    <w:rsid w:val="118AD327"/>
    <w:rsid w:val="118F6C27"/>
    <w:rsid w:val="11DB64F1"/>
    <w:rsid w:val="11F2B74F"/>
    <w:rsid w:val="1211986F"/>
    <w:rsid w:val="121AA7F3"/>
    <w:rsid w:val="122BF846"/>
    <w:rsid w:val="125B499B"/>
    <w:rsid w:val="127EDF05"/>
    <w:rsid w:val="12BEE73D"/>
    <w:rsid w:val="1304194A"/>
    <w:rsid w:val="133AEFCB"/>
    <w:rsid w:val="1343DEDC"/>
    <w:rsid w:val="134B6975"/>
    <w:rsid w:val="137B4305"/>
    <w:rsid w:val="13BD4EAB"/>
    <w:rsid w:val="13BF5DEB"/>
    <w:rsid w:val="13CA500A"/>
    <w:rsid w:val="142D3AEB"/>
    <w:rsid w:val="144B53F0"/>
    <w:rsid w:val="147353EF"/>
    <w:rsid w:val="149672D6"/>
    <w:rsid w:val="14F3E35A"/>
    <w:rsid w:val="15328695"/>
    <w:rsid w:val="1536DCF7"/>
    <w:rsid w:val="15476B7E"/>
    <w:rsid w:val="15A31981"/>
    <w:rsid w:val="15F1A7B7"/>
    <w:rsid w:val="16243FAE"/>
    <w:rsid w:val="16307C06"/>
    <w:rsid w:val="16317C74"/>
    <w:rsid w:val="1652430E"/>
    <w:rsid w:val="16579776"/>
    <w:rsid w:val="166929C3"/>
    <w:rsid w:val="166D5032"/>
    <w:rsid w:val="16B2E243"/>
    <w:rsid w:val="16C2AF42"/>
    <w:rsid w:val="174C5C65"/>
    <w:rsid w:val="1784B6EA"/>
    <w:rsid w:val="17BB97D0"/>
    <w:rsid w:val="183AD1A9"/>
    <w:rsid w:val="183FA242"/>
    <w:rsid w:val="18546162"/>
    <w:rsid w:val="1860CCCF"/>
    <w:rsid w:val="1865A17B"/>
    <w:rsid w:val="18702388"/>
    <w:rsid w:val="18ADAC51"/>
    <w:rsid w:val="18B6F584"/>
    <w:rsid w:val="18C8165D"/>
    <w:rsid w:val="18DFFF50"/>
    <w:rsid w:val="18F7162E"/>
    <w:rsid w:val="192BB121"/>
    <w:rsid w:val="19638B6E"/>
    <w:rsid w:val="19B7520A"/>
    <w:rsid w:val="19C92EF5"/>
    <w:rsid w:val="19CF5B26"/>
    <w:rsid w:val="19EB4E6E"/>
    <w:rsid w:val="1A04094F"/>
    <w:rsid w:val="1A115C6A"/>
    <w:rsid w:val="1A4DFEE3"/>
    <w:rsid w:val="1A5231F0"/>
    <w:rsid w:val="1A6FEE02"/>
    <w:rsid w:val="1A8A6882"/>
    <w:rsid w:val="1A8BD2AE"/>
    <w:rsid w:val="1AC29B38"/>
    <w:rsid w:val="1AC88C67"/>
    <w:rsid w:val="1ADC0AEF"/>
    <w:rsid w:val="1ADF38D3"/>
    <w:rsid w:val="1B1A1EFA"/>
    <w:rsid w:val="1B5C4008"/>
    <w:rsid w:val="1B641723"/>
    <w:rsid w:val="1BB0F7C4"/>
    <w:rsid w:val="1BE1E6BE"/>
    <w:rsid w:val="1BF29606"/>
    <w:rsid w:val="1BFB0CA3"/>
    <w:rsid w:val="1C51B596"/>
    <w:rsid w:val="1C851797"/>
    <w:rsid w:val="1CC895BD"/>
    <w:rsid w:val="1CCFC027"/>
    <w:rsid w:val="1CFA9779"/>
    <w:rsid w:val="1D0BF04E"/>
    <w:rsid w:val="1D0C4A8E"/>
    <w:rsid w:val="1D48EC71"/>
    <w:rsid w:val="1D4B9BC5"/>
    <w:rsid w:val="1D6F3C07"/>
    <w:rsid w:val="1D7204E9"/>
    <w:rsid w:val="1D927091"/>
    <w:rsid w:val="1D9F5562"/>
    <w:rsid w:val="1DC28AF2"/>
    <w:rsid w:val="1E0B6778"/>
    <w:rsid w:val="1E624E82"/>
    <w:rsid w:val="1E805658"/>
    <w:rsid w:val="1E9D6327"/>
    <w:rsid w:val="1EC06E98"/>
    <w:rsid w:val="1ED48531"/>
    <w:rsid w:val="1ED62040"/>
    <w:rsid w:val="1EFB10E0"/>
    <w:rsid w:val="1F0A690A"/>
    <w:rsid w:val="1F20C7E8"/>
    <w:rsid w:val="1F322607"/>
    <w:rsid w:val="1F6D7225"/>
    <w:rsid w:val="1F7350AD"/>
    <w:rsid w:val="1F924785"/>
    <w:rsid w:val="1F9CFC37"/>
    <w:rsid w:val="1FBDED0E"/>
    <w:rsid w:val="1FDD5165"/>
    <w:rsid w:val="2002FD66"/>
    <w:rsid w:val="200558E8"/>
    <w:rsid w:val="201ECFA8"/>
    <w:rsid w:val="203D72B6"/>
    <w:rsid w:val="20675F7B"/>
    <w:rsid w:val="20B72424"/>
    <w:rsid w:val="20DA277B"/>
    <w:rsid w:val="210F6E3B"/>
    <w:rsid w:val="21128E77"/>
    <w:rsid w:val="211B31C4"/>
    <w:rsid w:val="2131F770"/>
    <w:rsid w:val="21456A3B"/>
    <w:rsid w:val="215D46B3"/>
    <w:rsid w:val="215EA402"/>
    <w:rsid w:val="21911DCB"/>
    <w:rsid w:val="21A1128A"/>
    <w:rsid w:val="21A332DD"/>
    <w:rsid w:val="21A61885"/>
    <w:rsid w:val="21D53E4F"/>
    <w:rsid w:val="2261D78A"/>
    <w:rsid w:val="22737DAD"/>
    <w:rsid w:val="22796E8D"/>
    <w:rsid w:val="22DC6888"/>
    <w:rsid w:val="22F55646"/>
    <w:rsid w:val="235E9B0B"/>
    <w:rsid w:val="236D3FE6"/>
    <w:rsid w:val="2390CDD3"/>
    <w:rsid w:val="23AC9EFE"/>
    <w:rsid w:val="23D5B204"/>
    <w:rsid w:val="23FC04D4"/>
    <w:rsid w:val="242AE5FD"/>
    <w:rsid w:val="24A61BFB"/>
    <w:rsid w:val="24B32AE7"/>
    <w:rsid w:val="24C956FF"/>
    <w:rsid w:val="24E33414"/>
    <w:rsid w:val="24EE6661"/>
    <w:rsid w:val="24F639D2"/>
    <w:rsid w:val="2510E7BD"/>
    <w:rsid w:val="25392C9C"/>
    <w:rsid w:val="25410F23"/>
    <w:rsid w:val="25693C09"/>
    <w:rsid w:val="257F2043"/>
    <w:rsid w:val="257FD9AD"/>
    <w:rsid w:val="262F8FB0"/>
    <w:rsid w:val="264BFF03"/>
    <w:rsid w:val="266A3494"/>
    <w:rsid w:val="26989EA9"/>
    <w:rsid w:val="2699AA68"/>
    <w:rsid w:val="269DB3C9"/>
    <w:rsid w:val="26A0049A"/>
    <w:rsid w:val="271F7BEF"/>
    <w:rsid w:val="275D8AE3"/>
    <w:rsid w:val="278FBFA8"/>
    <w:rsid w:val="27A3A0A3"/>
    <w:rsid w:val="27BBB201"/>
    <w:rsid w:val="27D4BF91"/>
    <w:rsid w:val="27D92F41"/>
    <w:rsid w:val="27DAD721"/>
    <w:rsid w:val="27FB328A"/>
    <w:rsid w:val="2810F751"/>
    <w:rsid w:val="28135195"/>
    <w:rsid w:val="285DC667"/>
    <w:rsid w:val="286F4923"/>
    <w:rsid w:val="2887F7E7"/>
    <w:rsid w:val="28AD8A9F"/>
    <w:rsid w:val="297B370A"/>
    <w:rsid w:val="29839FC5"/>
    <w:rsid w:val="29EBAE17"/>
    <w:rsid w:val="29FC0B73"/>
    <w:rsid w:val="29FCE075"/>
    <w:rsid w:val="2A4F4BA0"/>
    <w:rsid w:val="2A5BA00D"/>
    <w:rsid w:val="2A7CBC14"/>
    <w:rsid w:val="2A8F15C8"/>
    <w:rsid w:val="2A9106DF"/>
    <w:rsid w:val="2AA1953E"/>
    <w:rsid w:val="2AB2BC6A"/>
    <w:rsid w:val="2AB941CD"/>
    <w:rsid w:val="2ABA6E59"/>
    <w:rsid w:val="2ACEF7E5"/>
    <w:rsid w:val="2AEC6C89"/>
    <w:rsid w:val="2B018AD5"/>
    <w:rsid w:val="2B3009B6"/>
    <w:rsid w:val="2B304B6E"/>
    <w:rsid w:val="2B6257A0"/>
    <w:rsid w:val="2B709EAB"/>
    <w:rsid w:val="2B98B0D6"/>
    <w:rsid w:val="2BAB83EF"/>
    <w:rsid w:val="2C03ABAA"/>
    <w:rsid w:val="2C3377F4"/>
    <w:rsid w:val="2C7C979D"/>
    <w:rsid w:val="2C9149B5"/>
    <w:rsid w:val="2CD82DBF"/>
    <w:rsid w:val="2CE04FE9"/>
    <w:rsid w:val="2D113381"/>
    <w:rsid w:val="2D158EF7"/>
    <w:rsid w:val="2D1B82C5"/>
    <w:rsid w:val="2D1CD7CE"/>
    <w:rsid w:val="2D3A6491"/>
    <w:rsid w:val="2D3B5219"/>
    <w:rsid w:val="2D44FB46"/>
    <w:rsid w:val="2DB54610"/>
    <w:rsid w:val="2DB9506A"/>
    <w:rsid w:val="2DBB392D"/>
    <w:rsid w:val="2E02C47D"/>
    <w:rsid w:val="2E29D8C9"/>
    <w:rsid w:val="2E56C9A1"/>
    <w:rsid w:val="2E642872"/>
    <w:rsid w:val="2E8F97C1"/>
    <w:rsid w:val="2EA5FE84"/>
    <w:rsid w:val="2F07D3F0"/>
    <w:rsid w:val="2F199A83"/>
    <w:rsid w:val="2F211E4E"/>
    <w:rsid w:val="2F4276AB"/>
    <w:rsid w:val="2F667DD9"/>
    <w:rsid w:val="2F74A5CF"/>
    <w:rsid w:val="2F77EF55"/>
    <w:rsid w:val="2FA2758E"/>
    <w:rsid w:val="2FBC2F2B"/>
    <w:rsid w:val="2FE18279"/>
    <w:rsid w:val="2FE5BDC5"/>
    <w:rsid w:val="2FECC681"/>
    <w:rsid w:val="30285D83"/>
    <w:rsid w:val="303AF311"/>
    <w:rsid w:val="3043BFB2"/>
    <w:rsid w:val="30509C88"/>
    <w:rsid w:val="30668DF0"/>
    <w:rsid w:val="306CAC11"/>
    <w:rsid w:val="306DFAAD"/>
    <w:rsid w:val="306EA477"/>
    <w:rsid w:val="308CFC6A"/>
    <w:rsid w:val="30A17109"/>
    <w:rsid w:val="30A4CAA8"/>
    <w:rsid w:val="30BA8466"/>
    <w:rsid w:val="30CD4748"/>
    <w:rsid w:val="31B1CD4D"/>
    <w:rsid w:val="31E9BF8E"/>
    <w:rsid w:val="31FA7D6F"/>
    <w:rsid w:val="32140191"/>
    <w:rsid w:val="32623E39"/>
    <w:rsid w:val="326FFA39"/>
    <w:rsid w:val="327B8A69"/>
    <w:rsid w:val="327E3ED5"/>
    <w:rsid w:val="327FE8DA"/>
    <w:rsid w:val="32905EAA"/>
    <w:rsid w:val="3291D52E"/>
    <w:rsid w:val="32DA1650"/>
    <w:rsid w:val="334F6FAE"/>
    <w:rsid w:val="33542F06"/>
    <w:rsid w:val="3386280A"/>
    <w:rsid w:val="33B86BC8"/>
    <w:rsid w:val="33DA7CFF"/>
    <w:rsid w:val="33E2D564"/>
    <w:rsid w:val="34018419"/>
    <w:rsid w:val="3490BABC"/>
    <w:rsid w:val="349B9FE5"/>
    <w:rsid w:val="34B57EAB"/>
    <w:rsid w:val="34C74F93"/>
    <w:rsid w:val="34ECCE40"/>
    <w:rsid w:val="34F2AE4E"/>
    <w:rsid w:val="34FE218A"/>
    <w:rsid w:val="352301F2"/>
    <w:rsid w:val="3529478E"/>
    <w:rsid w:val="3534820B"/>
    <w:rsid w:val="3555FCAC"/>
    <w:rsid w:val="3567E3A1"/>
    <w:rsid w:val="356D582F"/>
    <w:rsid w:val="3575EA9D"/>
    <w:rsid w:val="35BCD5CB"/>
    <w:rsid w:val="35FC1FBE"/>
    <w:rsid w:val="366BB407"/>
    <w:rsid w:val="366C015F"/>
    <w:rsid w:val="368A6682"/>
    <w:rsid w:val="36CC2BA9"/>
    <w:rsid w:val="36D618F4"/>
    <w:rsid w:val="36FB83B7"/>
    <w:rsid w:val="37211ACA"/>
    <w:rsid w:val="376FEB7B"/>
    <w:rsid w:val="378FE374"/>
    <w:rsid w:val="37959F08"/>
    <w:rsid w:val="37BFF575"/>
    <w:rsid w:val="37D64B68"/>
    <w:rsid w:val="3823382F"/>
    <w:rsid w:val="3829E259"/>
    <w:rsid w:val="384E513D"/>
    <w:rsid w:val="38561CDB"/>
    <w:rsid w:val="389572AD"/>
    <w:rsid w:val="3902B4E3"/>
    <w:rsid w:val="39099282"/>
    <w:rsid w:val="3941B3D3"/>
    <w:rsid w:val="3941F248"/>
    <w:rsid w:val="397A2E54"/>
    <w:rsid w:val="39B52BE3"/>
    <w:rsid w:val="39EDB668"/>
    <w:rsid w:val="3A3B1667"/>
    <w:rsid w:val="3A7B9F5A"/>
    <w:rsid w:val="3A9ECAFF"/>
    <w:rsid w:val="3AA52180"/>
    <w:rsid w:val="3ACE55EA"/>
    <w:rsid w:val="3ADB9F24"/>
    <w:rsid w:val="3B652706"/>
    <w:rsid w:val="3B7052CF"/>
    <w:rsid w:val="3B8130E9"/>
    <w:rsid w:val="3BC384F9"/>
    <w:rsid w:val="3BE089C0"/>
    <w:rsid w:val="3C5450A8"/>
    <w:rsid w:val="3CB5046E"/>
    <w:rsid w:val="3CB7D5EA"/>
    <w:rsid w:val="3D1EBA31"/>
    <w:rsid w:val="3D2C4D1E"/>
    <w:rsid w:val="3D4CBCEC"/>
    <w:rsid w:val="3D518C32"/>
    <w:rsid w:val="3D6331C4"/>
    <w:rsid w:val="3D67A4CB"/>
    <w:rsid w:val="3DF2DA36"/>
    <w:rsid w:val="3E0527C8"/>
    <w:rsid w:val="3E1DCEE9"/>
    <w:rsid w:val="3E483B08"/>
    <w:rsid w:val="3E59B8CD"/>
    <w:rsid w:val="3E5B67BE"/>
    <w:rsid w:val="3E800200"/>
    <w:rsid w:val="3EB4B46F"/>
    <w:rsid w:val="3EC06BD0"/>
    <w:rsid w:val="3ED876EB"/>
    <w:rsid w:val="3EDECBCB"/>
    <w:rsid w:val="3EED25A6"/>
    <w:rsid w:val="3EF2368F"/>
    <w:rsid w:val="3EF95CEB"/>
    <w:rsid w:val="3F06EFAB"/>
    <w:rsid w:val="3F246BB1"/>
    <w:rsid w:val="3F3317D7"/>
    <w:rsid w:val="3F433049"/>
    <w:rsid w:val="3F57465E"/>
    <w:rsid w:val="3F691551"/>
    <w:rsid w:val="3F7D9F93"/>
    <w:rsid w:val="3F919023"/>
    <w:rsid w:val="3FAEFD19"/>
    <w:rsid w:val="3FBCAEAC"/>
    <w:rsid w:val="3FC2B353"/>
    <w:rsid w:val="3FCBA531"/>
    <w:rsid w:val="3FCD0654"/>
    <w:rsid w:val="3FEA4FB8"/>
    <w:rsid w:val="3FF4DC6F"/>
    <w:rsid w:val="401C48F4"/>
    <w:rsid w:val="40CD61C8"/>
    <w:rsid w:val="40E62DFC"/>
    <w:rsid w:val="40F1142A"/>
    <w:rsid w:val="4101D53A"/>
    <w:rsid w:val="4149E5F1"/>
    <w:rsid w:val="417BF06B"/>
    <w:rsid w:val="41B9DA84"/>
    <w:rsid w:val="41C0E39F"/>
    <w:rsid w:val="41D303D7"/>
    <w:rsid w:val="41E3185B"/>
    <w:rsid w:val="422430D5"/>
    <w:rsid w:val="429F8069"/>
    <w:rsid w:val="42E69DDB"/>
    <w:rsid w:val="43059A68"/>
    <w:rsid w:val="433EFC02"/>
    <w:rsid w:val="434C5836"/>
    <w:rsid w:val="435B421B"/>
    <w:rsid w:val="43748F78"/>
    <w:rsid w:val="439FE062"/>
    <w:rsid w:val="43A66115"/>
    <w:rsid w:val="43C6CB3E"/>
    <w:rsid w:val="43CEF469"/>
    <w:rsid w:val="43D92F13"/>
    <w:rsid w:val="43FCF5DC"/>
    <w:rsid w:val="4407DD7B"/>
    <w:rsid w:val="44123582"/>
    <w:rsid w:val="44960AA1"/>
    <w:rsid w:val="450C779B"/>
    <w:rsid w:val="453465ED"/>
    <w:rsid w:val="45B28948"/>
    <w:rsid w:val="45D1B081"/>
    <w:rsid w:val="45F55B5F"/>
    <w:rsid w:val="45FF21DA"/>
    <w:rsid w:val="46045067"/>
    <w:rsid w:val="46054DA1"/>
    <w:rsid w:val="46442F50"/>
    <w:rsid w:val="467E0A04"/>
    <w:rsid w:val="4685CEA5"/>
    <w:rsid w:val="468FBD8F"/>
    <w:rsid w:val="469AD916"/>
    <w:rsid w:val="46B4B519"/>
    <w:rsid w:val="46C8DA92"/>
    <w:rsid w:val="46D839F2"/>
    <w:rsid w:val="46F55EB4"/>
    <w:rsid w:val="4784B845"/>
    <w:rsid w:val="47920A2D"/>
    <w:rsid w:val="47EFE6B9"/>
    <w:rsid w:val="480FF3AB"/>
    <w:rsid w:val="4813844E"/>
    <w:rsid w:val="48426E58"/>
    <w:rsid w:val="485441A6"/>
    <w:rsid w:val="486A09F2"/>
    <w:rsid w:val="487AD7B3"/>
    <w:rsid w:val="48D4E429"/>
    <w:rsid w:val="48DADC69"/>
    <w:rsid w:val="48F471A7"/>
    <w:rsid w:val="494FB36C"/>
    <w:rsid w:val="4978F454"/>
    <w:rsid w:val="49971ACA"/>
    <w:rsid w:val="49ABC40C"/>
    <w:rsid w:val="49C88AA3"/>
    <w:rsid w:val="4A0D197E"/>
    <w:rsid w:val="4A1FD0C2"/>
    <w:rsid w:val="4A5A434D"/>
    <w:rsid w:val="4A74BD47"/>
    <w:rsid w:val="4AB6631B"/>
    <w:rsid w:val="4AB72F79"/>
    <w:rsid w:val="4AE6EB4C"/>
    <w:rsid w:val="4AFE7816"/>
    <w:rsid w:val="4B18616E"/>
    <w:rsid w:val="4B9F7929"/>
    <w:rsid w:val="4BABAFD3"/>
    <w:rsid w:val="4BE2F870"/>
    <w:rsid w:val="4BE74865"/>
    <w:rsid w:val="4BF8C450"/>
    <w:rsid w:val="4C2084EA"/>
    <w:rsid w:val="4C3562E3"/>
    <w:rsid w:val="4C866AA3"/>
    <w:rsid w:val="4C927B11"/>
    <w:rsid w:val="4C9765E5"/>
    <w:rsid w:val="4C98DD46"/>
    <w:rsid w:val="4CD3BBD4"/>
    <w:rsid w:val="4CD6CFE3"/>
    <w:rsid w:val="4D178980"/>
    <w:rsid w:val="4D1C2A0F"/>
    <w:rsid w:val="4D64BE67"/>
    <w:rsid w:val="4D81023F"/>
    <w:rsid w:val="4D8FEAA0"/>
    <w:rsid w:val="4DC747DC"/>
    <w:rsid w:val="4DD32DC9"/>
    <w:rsid w:val="4E1B8B1E"/>
    <w:rsid w:val="4E53CEC0"/>
    <w:rsid w:val="4E838FFF"/>
    <w:rsid w:val="4EA089F7"/>
    <w:rsid w:val="4EBC845F"/>
    <w:rsid w:val="4ECEA73F"/>
    <w:rsid w:val="4F3610CE"/>
    <w:rsid w:val="4F38C8C9"/>
    <w:rsid w:val="4FCF20D6"/>
    <w:rsid w:val="4FFD40D8"/>
    <w:rsid w:val="500C8E41"/>
    <w:rsid w:val="50336FFA"/>
    <w:rsid w:val="504A5623"/>
    <w:rsid w:val="50D6FB01"/>
    <w:rsid w:val="50E1CE12"/>
    <w:rsid w:val="50E67316"/>
    <w:rsid w:val="513B6E4D"/>
    <w:rsid w:val="5147C8E7"/>
    <w:rsid w:val="514F3AC1"/>
    <w:rsid w:val="51A994CB"/>
    <w:rsid w:val="51AD8342"/>
    <w:rsid w:val="51E34FCA"/>
    <w:rsid w:val="51EAFAA3"/>
    <w:rsid w:val="51EE4FB2"/>
    <w:rsid w:val="52183E17"/>
    <w:rsid w:val="5228EC8D"/>
    <w:rsid w:val="527DFEFA"/>
    <w:rsid w:val="52A2BD53"/>
    <w:rsid w:val="52EFFA4A"/>
    <w:rsid w:val="52FBA027"/>
    <w:rsid w:val="5361989E"/>
    <w:rsid w:val="539AEB56"/>
    <w:rsid w:val="53B984EF"/>
    <w:rsid w:val="53E22082"/>
    <w:rsid w:val="5405DA4C"/>
    <w:rsid w:val="541B243A"/>
    <w:rsid w:val="5447157C"/>
    <w:rsid w:val="54781C10"/>
    <w:rsid w:val="549E0549"/>
    <w:rsid w:val="54A68443"/>
    <w:rsid w:val="54C3F3B7"/>
    <w:rsid w:val="54C808E9"/>
    <w:rsid w:val="54E52404"/>
    <w:rsid w:val="54E85EA8"/>
    <w:rsid w:val="5514BCB7"/>
    <w:rsid w:val="55196469"/>
    <w:rsid w:val="553C472A"/>
    <w:rsid w:val="55B9ACC8"/>
    <w:rsid w:val="55D5221C"/>
    <w:rsid w:val="55E1023E"/>
    <w:rsid w:val="55EE66AE"/>
    <w:rsid w:val="55F651EC"/>
    <w:rsid w:val="56101BCC"/>
    <w:rsid w:val="565B27FB"/>
    <w:rsid w:val="567298D0"/>
    <w:rsid w:val="56750EB3"/>
    <w:rsid w:val="568381A6"/>
    <w:rsid w:val="568FFCD8"/>
    <w:rsid w:val="569E912F"/>
    <w:rsid w:val="56B9FA27"/>
    <w:rsid w:val="57047B77"/>
    <w:rsid w:val="5705F7AD"/>
    <w:rsid w:val="57062878"/>
    <w:rsid w:val="5714052A"/>
    <w:rsid w:val="5716538E"/>
    <w:rsid w:val="5716D52B"/>
    <w:rsid w:val="5720E375"/>
    <w:rsid w:val="5731568E"/>
    <w:rsid w:val="5738C225"/>
    <w:rsid w:val="5752C4FC"/>
    <w:rsid w:val="5763FFD3"/>
    <w:rsid w:val="57642839"/>
    <w:rsid w:val="576692D6"/>
    <w:rsid w:val="577F3848"/>
    <w:rsid w:val="5784F291"/>
    <w:rsid w:val="579B636D"/>
    <w:rsid w:val="579FE7A3"/>
    <w:rsid w:val="57A35041"/>
    <w:rsid w:val="57B3C7D5"/>
    <w:rsid w:val="57BA16FE"/>
    <w:rsid w:val="57C5A0C9"/>
    <w:rsid w:val="57D1E6DF"/>
    <w:rsid w:val="57D97A80"/>
    <w:rsid w:val="5819A0DB"/>
    <w:rsid w:val="5828CC1B"/>
    <w:rsid w:val="5870E3C6"/>
    <w:rsid w:val="5878EE1C"/>
    <w:rsid w:val="58DC82E6"/>
    <w:rsid w:val="58EF64B9"/>
    <w:rsid w:val="58F01123"/>
    <w:rsid w:val="590CC2DE"/>
    <w:rsid w:val="5966F463"/>
    <w:rsid w:val="599EC775"/>
    <w:rsid w:val="59E3C572"/>
    <w:rsid w:val="5A0C375F"/>
    <w:rsid w:val="5A0E6514"/>
    <w:rsid w:val="5A626BFD"/>
    <w:rsid w:val="5A73E584"/>
    <w:rsid w:val="5ACA6D3E"/>
    <w:rsid w:val="5AD98C81"/>
    <w:rsid w:val="5AE4EF37"/>
    <w:rsid w:val="5B1F2304"/>
    <w:rsid w:val="5B2BC478"/>
    <w:rsid w:val="5B4EF51A"/>
    <w:rsid w:val="5B68C006"/>
    <w:rsid w:val="5B8CD4DE"/>
    <w:rsid w:val="5BDE9267"/>
    <w:rsid w:val="5C2BA9CF"/>
    <w:rsid w:val="5C3A53A1"/>
    <w:rsid w:val="5C619E1F"/>
    <w:rsid w:val="5CB2D09C"/>
    <w:rsid w:val="5CCFE5DE"/>
    <w:rsid w:val="5D049067"/>
    <w:rsid w:val="5D386A76"/>
    <w:rsid w:val="5D3B91FD"/>
    <w:rsid w:val="5D449ABB"/>
    <w:rsid w:val="5D520312"/>
    <w:rsid w:val="5D5D9ED2"/>
    <w:rsid w:val="5D6633E8"/>
    <w:rsid w:val="5D7A62C8"/>
    <w:rsid w:val="5D8C8E26"/>
    <w:rsid w:val="5DB2273F"/>
    <w:rsid w:val="5DD383BF"/>
    <w:rsid w:val="5DD6920B"/>
    <w:rsid w:val="5DE3F8DC"/>
    <w:rsid w:val="5DED4B8B"/>
    <w:rsid w:val="5DF0D51E"/>
    <w:rsid w:val="5DFBAD8B"/>
    <w:rsid w:val="5E1FED49"/>
    <w:rsid w:val="5E4126C4"/>
    <w:rsid w:val="5EA72323"/>
    <w:rsid w:val="5EBFFD9D"/>
    <w:rsid w:val="5EDED6BC"/>
    <w:rsid w:val="5EE95814"/>
    <w:rsid w:val="5EED70C4"/>
    <w:rsid w:val="5EF236AE"/>
    <w:rsid w:val="5F0895A5"/>
    <w:rsid w:val="5F654AC1"/>
    <w:rsid w:val="5F67F905"/>
    <w:rsid w:val="5F70D362"/>
    <w:rsid w:val="5F875BE8"/>
    <w:rsid w:val="5F891BEC"/>
    <w:rsid w:val="5FF7144E"/>
    <w:rsid w:val="600E9FE0"/>
    <w:rsid w:val="60231396"/>
    <w:rsid w:val="6060E811"/>
    <w:rsid w:val="606AD55F"/>
    <w:rsid w:val="607436E7"/>
    <w:rsid w:val="60899998"/>
    <w:rsid w:val="608FCB56"/>
    <w:rsid w:val="6094D6B7"/>
    <w:rsid w:val="6099EA37"/>
    <w:rsid w:val="60C70E37"/>
    <w:rsid w:val="60CA29DD"/>
    <w:rsid w:val="60F99F74"/>
    <w:rsid w:val="6114448B"/>
    <w:rsid w:val="6117AB27"/>
    <w:rsid w:val="611B999E"/>
    <w:rsid w:val="613E65AE"/>
    <w:rsid w:val="6150612C"/>
    <w:rsid w:val="6196FA76"/>
    <w:rsid w:val="61B73EE6"/>
    <w:rsid w:val="61CE7719"/>
    <w:rsid w:val="61EA572D"/>
    <w:rsid w:val="61EB29C1"/>
    <w:rsid w:val="61F1F3A6"/>
    <w:rsid w:val="62363CB3"/>
    <w:rsid w:val="624BCFEA"/>
    <w:rsid w:val="62A53E02"/>
    <w:rsid w:val="62A709EF"/>
    <w:rsid w:val="62C3F4C5"/>
    <w:rsid w:val="62EF2458"/>
    <w:rsid w:val="62F07423"/>
    <w:rsid w:val="630A642F"/>
    <w:rsid w:val="6336FF5A"/>
    <w:rsid w:val="63378A62"/>
    <w:rsid w:val="633B44F6"/>
    <w:rsid w:val="635D0CDC"/>
    <w:rsid w:val="6385B5D3"/>
    <w:rsid w:val="63CBCFE7"/>
    <w:rsid w:val="63D93BC9"/>
    <w:rsid w:val="63DB3744"/>
    <w:rsid w:val="63FFEE80"/>
    <w:rsid w:val="64077CA1"/>
    <w:rsid w:val="64228524"/>
    <w:rsid w:val="6424BEDE"/>
    <w:rsid w:val="646C2217"/>
    <w:rsid w:val="648C7ECC"/>
    <w:rsid w:val="64C413C2"/>
    <w:rsid w:val="64CB497F"/>
    <w:rsid w:val="64E08F6B"/>
    <w:rsid w:val="64F7A9E9"/>
    <w:rsid w:val="65019AB3"/>
    <w:rsid w:val="651F46A0"/>
    <w:rsid w:val="65A2EAA3"/>
    <w:rsid w:val="65A4DB19"/>
    <w:rsid w:val="65B73937"/>
    <w:rsid w:val="65C692AE"/>
    <w:rsid w:val="65C912A0"/>
    <w:rsid w:val="65D18B6C"/>
    <w:rsid w:val="660476C0"/>
    <w:rsid w:val="660858A1"/>
    <w:rsid w:val="66396380"/>
    <w:rsid w:val="663B2D0C"/>
    <w:rsid w:val="66CF875D"/>
    <w:rsid w:val="66DA32D3"/>
    <w:rsid w:val="66FE82FE"/>
    <w:rsid w:val="671A7B19"/>
    <w:rsid w:val="671B8A29"/>
    <w:rsid w:val="6726A186"/>
    <w:rsid w:val="672A5C42"/>
    <w:rsid w:val="676E8E18"/>
    <w:rsid w:val="6778CDB2"/>
    <w:rsid w:val="67952FBE"/>
    <w:rsid w:val="679F35A0"/>
    <w:rsid w:val="67AAFCEC"/>
    <w:rsid w:val="67B898D2"/>
    <w:rsid w:val="67EF3447"/>
    <w:rsid w:val="6801798B"/>
    <w:rsid w:val="6828C8A6"/>
    <w:rsid w:val="682D2C39"/>
    <w:rsid w:val="68572E70"/>
    <w:rsid w:val="687E3741"/>
    <w:rsid w:val="688358BD"/>
    <w:rsid w:val="68A1CEBB"/>
    <w:rsid w:val="68BA9282"/>
    <w:rsid w:val="68CAEEA2"/>
    <w:rsid w:val="68DA039D"/>
    <w:rsid w:val="68F1A6AB"/>
    <w:rsid w:val="69013A48"/>
    <w:rsid w:val="696A989A"/>
    <w:rsid w:val="697349C1"/>
    <w:rsid w:val="69988F7E"/>
    <w:rsid w:val="6A08A4C5"/>
    <w:rsid w:val="6A190A82"/>
    <w:rsid w:val="6A689A7B"/>
    <w:rsid w:val="6A7904F8"/>
    <w:rsid w:val="6A7D864C"/>
    <w:rsid w:val="6A89DDE3"/>
    <w:rsid w:val="6AB01987"/>
    <w:rsid w:val="6ABF0C62"/>
    <w:rsid w:val="6AFD79E4"/>
    <w:rsid w:val="6B0E538C"/>
    <w:rsid w:val="6B667D07"/>
    <w:rsid w:val="6B7AD5E5"/>
    <w:rsid w:val="6B7C90BA"/>
    <w:rsid w:val="6B8CAFA9"/>
    <w:rsid w:val="6BCE22F9"/>
    <w:rsid w:val="6BD8E3D6"/>
    <w:rsid w:val="6BDC26F7"/>
    <w:rsid w:val="6C139976"/>
    <w:rsid w:val="6C2D0197"/>
    <w:rsid w:val="6C478757"/>
    <w:rsid w:val="6C557D41"/>
    <w:rsid w:val="6C65A49B"/>
    <w:rsid w:val="6C7C3C47"/>
    <w:rsid w:val="6C7DBBBA"/>
    <w:rsid w:val="6C897C90"/>
    <w:rsid w:val="6C986300"/>
    <w:rsid w:val="6CB0C2A8"/>
    <w:rsid w:val="6CBE4BC2"/>
    <w:rsid w:val="6D037600"/>
    <w:rsid w:val="6D09E7EC"/>
    <w:rsid w:val="6D13A286"/>
    <w:rsid w:val="6D17E7FA"/>
    <w:rsid w:val="6D494539"/>
    <w:rsid w:val="6D4E4A5D"/>
    <w:rsid w:val="6D893930"/>
    <w:rsid w:val="6DDA3D55"/>
    <w:rsid w:val="6DFDDA2D"/>
    <w:rsid w:val="6E007F58"/>
    <w:rsid w:val="6E318892"/>
    <w:rsid w:val="6E512595"/>
    <w:rsid w:val="6E709C93"/>
    <w:rsid w:val="6E7C7D34"/>
    <w:rsid w:val="6E8D8761"/>
    <w:rsid w:val="6EDA4D89"/>
    <w:rsid w:val="6EEBE154"/>
    <w:rsid w:val="6EF869DA"/>
    <w:rsid w:val="6F0A5317"/>
    <w:rsid w:val="6F3BBA22"/>
    <w:rsid w:val="6F62A007"/>
    <w:rsid w:val="6F677BE8"/>
    <w:rsid w:val="6FD0E3AA"/>
    <w:rsid w:val="6FF36C81"/>
    <w:rsid w:val="6FFA8FB0"/>
    <w:rsid w:val="7023B4A9"/>
    <w:rsid w:val="704C4402"/>
    <w:rsid w:val="704EEF98"/>
    <w:rsid w:val="70688CFA"/>
    <w:rsid w:val="70892A5F"/>
    <w:rsid w:val="7091D224"/>
    <w:rsid w:val="70935111"/>
    <w:rsid w:val="70E7D2AE"/>
    <w:rsid w:val="70EB6368"/>
    <w:rsid w:val="710BC547"/>
    <w:rsid w:val="7144D212"/>
    <w:rsid w:val="719E08A8"/>
    <w:rsid w:val="71AB10AA"/>
    <w:rsid w:val="71B0DE7C"/>
    <w:rsid w:val="722298DE"/>
    <w:rsid w:val="7223D9ED"/>
    <w:rsid w:val="722B21BD"/>
    <w:rsid w:val="723AEC5A"/>
    <w:rsid w:val="723C88B1"/>
    <w:rsid w:val="72545125"/>
    <w:rsid w:val="72788701"/>
    <w:rsid w:val="72B0AA83"/>
    <w:rsid w:val="72DD4210"/>
    <w:rsid w:val="72EBB7B9"/>
    <w:rsid w:val="7343C1C6"/>
    <w:rsid w:val="73651D06"/>
    <w:rsid w:val="73A80581"/>
    <w:rsid w:val="73DE5357"/>
    <w:rsid w:val="73E61375"/>
    <w:rsid w:val="73F94D1F"/>
    <w:rsid w:val="7416B760"/>
    <w:rsid w:val="741ADAC0"/>
    <w:rsid w:val="742AB620"/>
    <w:rsid w:val="7485B47F"/>
    <w:rsid w:val="74943832"/>
    <w:rsid w:val="74A62E33"/>
    <w:rsid w:val="74B7F4FD"/>
    <w:rsid w:val="74F22A97"/>
    <w:rsid w:val="7524D68E"/>
    <w:rsid w:val="753E124E"/>
    <w:rsid w:val="7590700C"/>
    <w:rsid w:val="75B6AB21"/>
    <w:rsid w:val="75C04577"/>
    <w:rsid w:val="7607ADE7"/>
    <w:rsid w:val="7612315D"/>
    <w:rsid w:val="76247584"/>
    <w:rsid w:val="76316B15"/>
    <w:rsid w:val="764AAFE0"/>
    <w:rsid w:val="766B3EC5"/>
    <w:rsid w:val="76A9B20A"/>
    <w:rsid w:val="76D319A1"/>
    <w:rsid w:val="76FC1C10"/>
    <w:rsid w:val="7761EA71"/>
    <w:rsid w:val="7792ED4A"/>
    <w:rsid w:val="77B22324"/>
    <w:rsid w:val="77BD5D0D"/>
    <w:rsid w:val="77BFF4C8"/>
    <w:rsid w:val="77C6CF62"/>
    <w:rsid w:val="77E017BB"/>
    <w:rsid w:val="77F08E8D"/>
    <w:rsid w:val="77F88208"/>
    <w:rsid w:val="780D85FF"/>
    <w:rsid w:val="7818854B"/>
    <w:rsid w:val="7886B6F6"/>
    <w:rsid w:val="78A05E0C"/>
    <w:rsid w:val="78A181A2"/>
    <w:rsid w:val="78BD2246"/>
    <w:rsid w:val="78D14369"/>
    <w:rsid w:val="78E87611"/>
    <w:rsid w:val="78FC84DE"/>
    <w:rsid w:val="7942B83C"/>
    <w:rsid w:val="794F8CA8"/>
    <w:rsid w:val="795991A4"/>
    <w:rsid w:val="796788E3"/>
    <w:rsid w:val="79767762"/>
    <w:rsid w:val="799E5F60"/>
    <w:rsid w:val="79A074B1"/>
    <w:rsid w:val="79A1E7F9"/>
    <w:rsid w:val="79BBD3C1"/>
    <w:rsid w:val="79BC6CB5"/>
    <w:rsid w:val="79C34ABC"/>
    <w:rsid w:val="79E6F920"/>
    <w:rsid w:val="7A20BC92"/>
    <w:rsid w:val="7A7ADDF7"/>
    <w:rsid w:val="7AE7A5A7"/>
    <w:rsid w:val="7AF87D13"/>
    <w:rsid w:val="7B1DF4EA"/>
    <w:rsid w:val="7B26E731"/>
    <w:rsid w:val="7B2EE4FE"/>
    <w:rsid w:val="7B434154"/>
    <w:rsid w:val="7B5225F6"/>
    <w:rsid w:val="7B56CC03"/>
    <w:rsid w:val="7B70CC7F"/>
    <w:rsid w:val="7B761E8D"/>
    <w:rsid w:val="7B8277E7"/>
    <w:rsid w:val="7BB4DDC5"/>
    <w:rsid w:val="7BB9BDFC"/>
    <w:rsid w:val="7BD2A583"/>
    <w:rsid w:val="7BD5CB4C"/>
    <w:rsid w:val="7C55F526"/>
    <w:rsid w:val="7C581995"/>
    <w:rsid w:val="7C87A1AE"/>
    <w:rsid w:val="7D86F42F"/>
    <w:rsid w:val="7D90D5CE"/>
    <w:rsid w:val="7DB27EB9"/>
    <w:rsid w:val="7DDACBCB"/>
    <w:rsid w:val="7DDAE64A"/>
    <w:rsid w:val="7E30B2B5"/>
    <w:rsid w:val="7E6751F5"/>
    <w:rsid w:val="7E69ADBA"/>
    <w:rsid w:val="7EACA312"/>
    <w:rsid w:val="7ED242CC"/>
    <w:rsid w:val="7EE9D4A2"/>
    <w:rsid w:val="7EED1AF1"/>
    <w:rsid w:val="7F258389"/>
    <w:rsid w:val="7F351E4F"/>
    <w:rsid w:val="7F54ECD4"/>
    <w:rsid w:val="7F77D02F"/>
    <w:rsid w:val="7FCABC7B"/>
    <w:rsid w:val="7FFEAC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33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337B"/>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qFormat/>
    <w:rsid w:val="009F44D3"/>
    <w:pPr>
      <w:keepNext/>
      <w:keepLines/>
      <w:numPr>
        <w:numId w:val="85"/>
      </w:numPr>
      <w:suppressAutoHyphens/>
      <w:autoSpaceDE/>
      <w:autoSpaceDN/>
      <w:adjustRightInd/>
      <w:spacing w:before="480"/>
      <w:outlineLvl w:val="0"/>
    </w:pPr>
    <w:rPr>
      <w:rFonts w:eastAsiaTheme="majorEastAsia" w:cstheme="majorBidi"/>
      <w:b/>
      <w:bCs/>
      <w:kern w:val="1"/>
      <w:sz w:val="32"/>
      <w:szCs w:val="28"/>
      <w:lang w:eastAsia="ar-SA"/>
    </w:rPr>
  </w:style>
  <w:style w:type="paragraph" w:styleId="Nagwek2">
    <w:name w:val="heading 2"/>
    <w:basedOn w:val="Normalny"/>
    <w:next w:val="Normalny"/>
    <w:link w:val="Nagwek2Znak"/>
    <w:autoRedefine/>
    <w:uiPriority w:val="9"/>
    <w:qFormat/>
    <w:rsid w:val="009F44D3"/>
    <w:pPr>
      <w:keepNext/>
      <w:numPr>
        <w:ilvl w:val="1"/>
        <w:numId w:val="85"/>
      </w:numPr>
      <w:spacing w:line="240" w:lineRule="auto"/>
      <w:outlineLvl w:val="1"/>
    </w:pPr>
    <w:rPr>
      <w:rFonts w:eastAsia="Times New Roman" w:cs="Times New Roman"/>
      <w:b/>
      <w:sz w:val="28"/>
    </w:rPr>
  </w:style>
  <w:style w:type="paragraph" w:styleId="Nagwek3">
    <w:name w:val="heading 3"/>
    <w:basedOn w:val="Normalny"/>
    <w:next w:val="Normalny"/>
    <w:link w:val="Nagwek3Znak"/>
    <w:autoRedefine/>
    <w:unhideWhenUsed/>
    <w:qFormat/>
    <w:rsid w:val="00862E68"/>
    <w:pPr>
      <w:keepNext/>
      <w:keepLines/>
      <w:widowControl/>
      <w:numPr>
        <w:ilvl w:val="2"/>
        <w:numId w:val="85"/>
      </w:numPr>
      <w:autoSpaceDE/>
      <w:autoSpaceDN/>
      <w:adjustRightInd/>
      <w:spacing w:before="40" w:after="240" w:line="259" w:lineRule="auto"/>
      <w:jc w:val="both"/>
      <w:outlineLvl w:val="2"/>
    </w:pPr>
    <w:rPr>
      <w:rFonts w:eastAsiaTheme="majorEastAsia" w:cstheme="majorBidi"/>
      <w:b/>
      <w:szCs w:val="24"/>
      <w:lang w:eastAsia="en-US"/>
    </w:rPr>
  </w:style>
  <w:style w:type="paragraph" w:styleId="Nagwek4">
    <w:name w:val="heading 4"/>
    <w:basedOn w:val="Normalny"/>
    <w:next w:val="Normalny"/>
    <w:link w:val="Nagwek4Znak"/>
    <w:autoRedefine/>
    <w:uiPriority w:val="9"/>
    <w:unhideWhenUsed/>
    <w:qFormat/>
    <w:rsid w:val="00DC1575"/>
    <w:pPr>
      <w:keepNext/>
      <w:keepLines/>
      <w:widowControl/>
      <w:autoSpaceDE/>
      <w:autoSpaceDN/>
      <w:adjustRightInd/>
      <w:spacing w:before="120" w:line="259" w:lineRule="auto"/>
      <w:jc w:val="both"/>
      <w:outlineLvl w:val="3"/>
    </w:pPr>
    <w:rPr>
      <w:rFonts w:cstheme="majorBidi"/>
      <w:iCs/>
      <w:color w:val="000000"/>
      <w:shd w:val="clear" w:color="auto" w:fill="FFFFFF"/>
      <w:lang w:eastAsia="en-US"/>
    </w:rPr>
  </w:style>
  <w:style w:type="paragraph" w:styleId="Nagwek5">
    <w:name w:val="heading 5"/>
    <w:basedOn w:val="Normalny"/>
    <w:next w:val="Normalny"/>
    <w:link w:val="Nagwek5Znak"/>
    <w:uiPriority w:val="99"/>
    <w:semiHidden/>
    <w:unhideWhenUsed/>
    <w:qFormat/>
    <w:rsid w:val="001F4179"/>
    <w:pPr>
      <w:keepNext/>
      <w:keepLines/>
      <w:numPr>
        <w:ilvl w:val="4"/>
        <w:numId w:val="85"/>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9"/>
    <w:semiHidden/>
    <w:unhideWhenUsed/>
    <w:qFormat/>
    <w:rsid w:val="001F4179"/>
    <w:pPr>
      <w:keepNext/>
      <w:keepLines/>
      <w:numPr>
        <w:ilvl w:val="5"/>
        <w:numId w:val="85"/>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semiHidden/>
    <w:unhideWhenUsed/>
    <w:qFormat/>
    <w:rsid w:val="001F4179"/>
    <w:pPr>
      <w:keepNext/>
      <w:keepLines/>
      <w:numPr>
        <w:ilvl w:val="6"/>
        <w:numId w:val="85"/>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semiHidden/>
    <w:unhideWhenUsed/>
    <w:qFormat/>
    <w:rsid w:val="001F4179"/>
    <w:pPr>
      <w:keepNext/>
      <w:keepLines/>
      <w:numPr>
        <w:ilvl w:val="7"/>
        <w:numId w:val="85"/>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9"/>
    <w:semiHidden/>
    <w:unhideWhenUsed/>
    <w:qFormat/>
    <w:rsid w:val="001F4179"/>
    <w:pPr>
      <w:keepNext/>
      <w:keepLines/>
      <w:numPr>
        <w:ilvl w:val="8"/>
        <w:numId w:val="8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Footnote Reference Number,stylish Car Car,Footnote Refernece Car Car,BVI fnr Car Car,Fußnotenzeichen_Raxen Car Car,callout Car Car,Footnote Reference Number Car Car,Footnote Reference Superscript Car Car,Footnote symbol"/>
    <w:link w:val="stylishCar"/>
    <w:uiPriority w:val="99"/>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rsid w:val="009F44D3"/>
    <w:rPr>
      <w:rFonts w:ascii="Times New Roman" w:eastAsiaTheme="majorEastAsia" w:hAnsi="Times New Roman" w:cstheme="majorBidi"/>
      <w:b/>
      <w:bCs/>
      <w:kern w:val="1"/>
      <w:sz w:val="32"/>
      <w:szCs w:val="28"/>
      <w:lang w:eastAsia="ar-SA"/>
    </w:rPr>
  </w:style>
  <w:style w:type="paragraph" w:styleId="Bezodstpw">
    <w:name w:val="No Spacing"/>
    <w:link w:val="BezodstpwZnak"/>
    <w:uiPriority w:val="1"/>
    <w:qFormat/>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aliases w:val="Podrozdział,Podrozdział Znak,Podrozdział Znak Znak,Tekst przypisu,tekst przypisu,tekst przypisu1,tekst przypisu2,tekst przypisu3,tekst przypisu4,tekst przypisu5,tekst przypisu11,tekst przypisu21,tekst przypisu31,tekst przypisu41,o"/>
    <w:basedOn w:val="Normalny"/>
    <w:link w:val="TekstprzypisudolnegoZnak"/>
    <w:uiPriority w:val="99"/>
    <w:qFormat/>
    <w:locked/>
    <w:rsid w:val="00295A6F"/>
    <w:rPr>
      <w:rFonts w:ascii="Times" w:eastAsia="Times New Roman" w:hAnsi="Times" w:cs="Times New Roman"/>
      <w:szCs w:val="24"/>
    </w:rPr>
  </w:style>
  <w:style w:type="character" w:customStyle="1" w:styleId="TekstprzypisudolnegoZnak">
    <w:name w:val="Tekst przypisu dolnego Znak"/>
    <w:aliases w:val="Podrozdział Znak1,Podrozdział Znak Znak1,Podrozdział Znak Znak Znak,Tekst przypisu Znak,tekst przypisu Znak,tekst przypisu1 Znak,tekst przypisu2 Znak,tekst przypisu3 Znak,tekst przypisu4 Znak,tekst przypisu5 Znak,o Znak"/>
    <w:basedOn w:val="Domylnaczcionkaakapitu"/>
    <w:link w:val="Tekstprzypisudolnego"/>
    <w:uiPriority w:val="99"/>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qFormat/>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rsid w:val="009F44D3"/>
    <w:rPr>
      <w:rFonts w:ascii="Times New Roman" w:hAnsi="Times New Roman"/>
      <w:b/>
      <w:sz w:val="28"/>
      <w:szCs w:val="20"/>
    </w:rPr>
  </w:style>
  <w:style w:type="paragraph" w:styleId="Akapitzlist">
    <w:name w:val="List Paragraph"/>
    <w:aliases w:val="NS_Akapit z listą,List_Paragraph,Multilevel para_II,List Paragraph1,Akapit z listą BS,Bullet1,Bullets,List Paragraph 1,References,List Paragraph (numbered (a)),IBL List Paragraph,List Paragraph nowy,Numbered List Paragraph,Dot pt,2,3,L1"/>
    <w:basedOn w:val="Normalny"/>
    <w:link w:val="AkapitzlistZnak"/>
    <w:uiPriority w:val="34"/>
    <w:qFormat/>
    <w:rsid w:val="00F6749E"/>
    <w:pPr>
      <w:widowControl/>
      <w:autoSpaceDE/>
      <w:autoSpaceDN/>
      <w:adjustRightInd/>
      <w:spacing w:after="160" w:line="259" w:lineRule="auto"/>
      <w:ind w:left="720"/>
      <w:contextualSpacing/>
      <w:jc w:val="both"/>
    </w:pPr>
    <w:rPr>
      <w:rFonts w:eastAsiaTheme="minorHAnsi" w:cstheme="minorBidi"/>
      <w:szCs w:val="22"/>
      <w:lang w:eastAsia="en-US"/>
    </w:rPr>
  </w:style>
  <w:style w:type="character" w:customStyle="1" w:styleId="Nagwek3Znak">
    <w:name w:val="Nagłówek 3 Znak"/>
    <w:basedOn w:val="Domylnaczcionkaakapitu"/>
    <w:link w:val="Nagwek3"/>
    <w:rsid w:val="00862E68"/>
    <w:rPr>
      <w:rFonts w:ascii="Times New Roman" w:eastAsiaTheme="majorEastAsia" w:hAnsi="Times New Roman" w:cstheme="majorBidi"/>
      <w:b/>
      <w:lang w:eastAsia="en-US"/>
    </w:rPr>
  </w:style>
  <w:style w:type="character" w:customStyle="1" w:styleId="Nagwek4Znak">
    <w:name w:val="Nagłówek 4 Znak"/>
    <w:basedOn w:val="Domylnaczcionkaakapitu"/>
    <w:link w:val="Nagwek4"/>
    <w:uiPriority w:val="9"/>
    <w:rsid w:val="00DC1575"/>
    <w:rPr>
      <w:rFonts w:ascii="Times New Roman" w:eastAsiaTheme="minorEastAsia" w:hAnsi="Times New Roman" w:cstheme="majorBidi"/>
      <w:iCs/>
      <w:color w:val="000000"/>
      <w:szCs w:val="20"/>
      <w:lang w:eastAsia="en-US"/>
    </w:rPr>
  </w:style>
  <w:style w:type="character" w:styleId="Hipercze">
    <w:name w:val="Hyperlink"/>
    <w:basedOn w:val="Domylnaczcionkaakapitu"/>
    <w:uiPriority w:val="99"/>
    <w:unhideWhenUsed/>
    <w:rsid w:val="00F6749E"/>
    <w:rPr>
      <w:color w:val="0000FF" w:themeColor="hyperlink"/>
      <w:u w:val="single"/>
    </w:rPr>
  </w:style>
  <w:style w:type="paragraph" w:styleId="Poprawka">
    <w:name w:val="Revision"/>
    <w:hidden/>
    <w:uiPriority w:val="99"/>
    <w:semiHidden/>
    <w:rsid w:val="00F6749E"/>
    <w:pPr>
      <w:spacing w:line="240" w:lineRule="auto"/>
    </w:pPr>
    <w:rPr>
      <w:rFonts w:ascii="Times New Roman" w:eastAsiaTheme="minorHAnsi" w:hAnsi="Times New Roman" w:cstheme="minorBidi"/>
      <w:szCs w:val="22"/>
      <w:lang w:eastAsia="en-US"/>
    </w:rPr>
  </w:style>
  <w:style w:type="paragraph" w:styleId="Tekstprzypisukocowego">
    <w:name w:val="endnote text"/>
    <w:basedOn w:val="Normalny"/>
    <w:link w:val="TekstprzypisukocowegoZnak"/>
    <w:uiPriority w:val="99"/>
    <w:semiHidden/>
    <w:unhideWhenUsed/>
    <w:rsid w:val="00F6749E"/>
    <w:pPr>
      <w:widowControl/>
      <w:autoSpaceDE/>
      <w:autoSpaceDN/>
      <w:adjustRightInd/>
      <w:spacing w:line="240" w:lineRule="auto"/>
      <w:jc w:val="both"/>
    </w:pPr>
    <w:rPr>
      <w:rFonts w:eastAsiaTheme="minorHAnsi" w:cstheme="minorBidi"/>
      <w:sz w:val="20"/>
      <w:lang w:eastAsia="en-US"/>
    </w:rPr>
  </w:style>
  <w:style w:type="character" w:customStyle="1" w:styleId="TekstprzypisukocowegoZnak">
    <w:name w:val="Tekst przypisu końcowego Znak"/>
    <w:basedOn w:val="Domylnaczcionkaakapitu"/>
    <w:link w:val="Tekstprzypisukocowego"/>
    <w:uiPriority w:val="99"/>
    <w:semiHidden/>
    <w:rsid w:val="00F6749E"/>
    <w:rPr>
      <w:rFonts w:ascii="Times New Roman" w:eastAsiaTheme="minorHAnsi" w:hAnsi="Times New Roman" w:cstheme="minorBidi"/>
      <w:sz w:val="20"/>
      <w:szCs w:val="20"/>
      <w:lang w:eastAsia="en-US"/>
    </w:rPr>
  </w:style>
  <w:style w:type="character" w:styleId="Odwoanieprzypisukocowego">
    <w:name w:val="endnote reference"/>
    <w:basedOn w:val="Domylnaczcionkaakapitu"/>
    <w:uiPriority w:val="99"/>
    <w:semiHidden/>
    <w:unhideWhenUsed/>
    <w:rsid w:val="00F6749E"/>
    <w:rPr>
      <w:vertAlign w:val="superscript"/>
    </w:rPr>
  </w:style>
  <w:style w:type="numbering" w:customStyle="1" w:styleId="Bezlisty1">
    <w:name w:val="Bez listy1"/>
    <w:next w:val="Bezlisty"/>
    <w:uiPriority w:val="99"/>
    <w:semiHidden/>
    <w:unhideWhenUsed/>
    <w:rsid w:val="00F6749E"/>
  </w:style>
  <w:style w:type="table" w:customStyle="1" w:styleId="Tabela-Siatka1">
    <w:name w:val="Tabela - Siatka1"/>
    <w:basedOn w:val="Standardowy"/>
    <w:next w:val="Tabela-Siatka"/>
    <w:uiPriority w:val="99"/>
    <w:rsid w:val="00F6749E"/>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F6749E"/>
    <w:rPr>
      <w:color w:val="800080"/>
      <w:u w:val="single"/>
    </w:rPr>
  </w:style>
  <w:style w:type="numbering" w:customStyle="1" w:styleId="Bezlisty2">
    <w:name w:val="Bez listy2"/>
    <w:next w:val="Bezlisty"/>
    <w:uiPriority w:val="99"/>
    <w:semiHidden/>
    <w:unhideWhenUsed/>
    <w:rsid w:val="000F45F7"/>
  </w:style>
  <w:style w:type="table" w:customStyle="1" w:styleId="Tabela-Siatka2">
    <w:name w:val="Tabela - Siatka2"/>
    <w:basedOn w:val="Standardowy"/>
    <w:next w:val="Tabela-Siatka"/>
    <w:uiPriority w:val="99"/>
    <w:rsid w:val="000F45F7"/>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AA71DA"/>
  </w:style>
  <w:style w:type="character" w:customStyle="1" w:styleId="eop">
    <w:name w:val="eop"/>
    <w:basedOn w:val="Domylnaczcionkaakapitu"/>
    <w:rsid w:val="00C12C1D"/>
  </w:style>
  <w:style w:type="paragraph" w:customStyle="1" w:styleId="paragraph">
    <w:name w:val="paragraph"/>
    <w:basedOn w:val="Normalny"/>
    <w:rsid w:val="004D2E04"/>
    <w:pPr>
      <w:widowControl/>
      <w:autoSpaceDE/>
      <w:autoSpaceDN/>
      <w:adjustRightInd/>
      <w:spacing w:before="100" w:beforeAutospacing="1" w:after="100" w:afterAutospacing="1" w:line="240" w:lineRule="auto"/>
    </w:pPr>
    <w:rPr>
      <w:rFonts w:eastAsia="Times New Roman" w:cs="Times New Roman"/>
      <w:szCs w:val="24"/>
    </w:rPr>
  </w:style>
  <w:style w:type="character" w:customStyle="1" w:styleId="spellingerror">
    <w:name w:val="spellingerror"/>
    <w:basedOn w:val="Domylnaczcionkaakapitu"/>
    <w:rsid w:val="004D2E04"/>
  </w:style>
  <w:style w:type="table" w:styleId="Tabelasiatki5ciemnaakcent1">
    <w:name w:val="Grid Table 5 Dark Accent 1"/>
    <w:basedOn w:val="Standardowy"/>
    <w:uiPriority w:val="50"/>
    <w:rsid w:val="003323EB"/>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elasiatki4akcent5">
    <w:name w:val="Grid Table 4 Accent 5"/>
    <w:basedOn w:val="Standardowy"/>
    <w:uiPriority w:val="49"/>
    <w:rsid w:val="003323EB"/>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asiatki6kolorowaakcent6">
    <w:name w:val="Grid Table 6 Colorful Accent 6"/>
    <w:basedOn w:val="Standardowy"/>
    <w:uiPriority w:val="51"/>
    <w:rsid w:val="003323EB"/>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5ciemnaakcent6">
    <w:name w:val="Grid Table 5 Dark Accent 6"/>
    <w:basedOn w:val="Standardowy"/>
    <w:uiPriority w:val="50"/>
    <w:rsid w:val="003323EB"/>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elasiatki2akcent6">
    <w:name w:val="Grid Table 2 Accent 6"/>
    <w:basedOn w:val="Standardowy"/>
    <w:uiPriority w:val="47"/>
    <w:rsid w:val="003323EB"/>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siatki3akcent6">
    <w:name w:val="Grid Table 3 Accent 6"/>
    <w:basedOn w:val="Standardowy"/>
    <w:uiPriority w:val="48"/>
    <w:rsid w:val="003323EB"/>
    <w:pPr>
      <w:spacing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elasiatki7kolorowaakcent6">
    <w:name w:val="Grid Table 7 Colorful Accent 6"/>
    <w:basedOn w:val="Standardowy"/>
    <w:uiPriority w:val="52"/>
    <w:rsid w:val="003323EB"/>
    <w:pPr>
      <w:spacing w:line="240" w:lineRule="auto"/>
    </w:pPr>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Nagwekspisutreci">
    <w:name w:val="TOC Heading"/>
    <w:basedOn w:val="Nagwek1"/>
    <w:next w:val="Normalny"/>
    <w:uiPriority w:val="39"/>
    <w:unhideWhenUsed/>
    <w:qFormat/>
    <w:rsid w:val="003323EB"/>
    <w:pPr>
      <w:widowControl/>
      <w:suppressAutoHyphens w:val="0"/>
      <w:spacing w:before="240" w:line="259" w:lineRule="auto"/>
      <w:ind w:left="720" w:hanging="360"/>
      <w:outlineLvl w:val="9"/>
    </w:pPr>
    <w:rPr>
      <w:bCs w:val="0"/>
      <w:kern w:val="0"/>
      <w:szCs w:val="32"/>
      <w:lang w:eastAsia="pl-PL"/>
    </w:rPr>
  </w:style>
  <w:style w:type="paragraph" w:styleId="Spistreci1">
    <w:name w:val="toc 1"/>
    <w:basedOn w:val="Normalny"/>
    <w:next w:val="Normalny"/>
    <w:autoRedefine/>
    <w:uiPriority w:val="39"/>
    <w:unhideWhenUsed/>
    <w:rsid w:val="003323EB"/>
    <w:pPr>
      <w:spacing w:after="100"/>
    </w:pPr>
    <w:rPr>
      <w:b/>
    </w:rPr>
  </w:style>
  <w:style w:type="table" w:styleId="Tabelasiatki6kolorowaakcent3">
    <w:name w:val="Grid Table 6 Colorful Accent 3"/>
    <w:basedOn w:val="Standardowy"/>
    <w:uiPriority w:val="51"/>
    <w:rsid w:val="003323EB"/>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asiatki5ciemnaakcent3">
    <w:name w:val="Grid Table 5 Dark Accent 3"/>
    <w:basedOn w:val="Standardowy"/>
    <w:uiPriority w:val="50"/>
    <w:rsid w:val="007509B5"/>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alny"/>
    <w:link w:val="Odwoanieprzypisudolnego"/>
    <w:uiPriority w:val="99"/>
    <w:rsid w:val="000D2CC9"/>
    <w:pPr>
      <w:widowControl/>
      <w:autoSpaceDE/>
      <w:autoSpaceDN/>
      <w:adjustRightInd/>
      <w:spacing w:after="160" w:line="240" w:lineRule="exact"/>
    </w:pPr>
    <w:rPr>
      <w:rFonts w:ascii="Times" w:eastAsia="Times New Roman" w:hAnsi="Times" w:cs="Times New Roman"/>
      <w:szCs w:val="24"/>
      <w:vertAlign w:val="superscript"/>
    </w:rPr>
  </w:style>
  <w:style w:type="table" w:styleId="Tabelasiatki4akcent3">
    <w:name w:val="Grid Table 4 Accent 3"/>
    <w:basedOn w:val="Standardowy"/>
    <w:uiPriority w:val="49"/>
    <w:rsid w:val="009A03D4"/>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contextualspellingandgrammarerror">
    <w:name w:val="contextualspellingandgrammarerror"/>
    <w:basedOn w:val="Domylnaczcionkaakapitu"/>
    <w:rsid w:val="003B0A7B"/>
  </w:style>
  <w:style w:type="paragraph" w:styleId="NormalnyWeb">
    <w:name w:val="Normal (Web)"/>
    <w:basedOn w:val="Normalny"/>
    <w:uiPriority w:val="99"/>
    <w:semiHidden/>
    <w:unhideWhenUsed/>
    <w:rsid w:val="00A3695B"/>
    <w:pPr>
      <w:widowControl/>
      <w:autoSpaceDE/>
      <w:autoSpaceDN/>
      <w:adjustRightInd/>
      <w:spacing w:before="100" w:beforeAutospacing="1" w:after="100" w:afterAutospacing="1" w:line="240" w:lineRule="auto"/>
    </w:pPr>
    <w:rPr>
      <w:rFonts w:eastAsia="Times New Roman" w:cs="Times New Roman"/>
      <w:szCs w:val="24"/>
    </w:rPr>
  </w:style>
  <w:style w:type="paragraph" w:styleId="Spistreci2">
    <w:name w:val="toc 2"/>
    <w:basedOn w:val="Normalny"/>
    <w:next w:val="Normalny"/>
    <w:autoRedefine/>
    <w:uiPriority w:val="39"/>
    <w:unhideWhenUsed/>
    <w:rsid w:val="00E16372"/>
    <w:pPr>
      <w:spacing w:after="100"/>
      <w:ind w:left="240"/>
    </w:pPr>
  </w:style>
  <w:style w:type="paragraph" w:styleId="Spistreci3">
    <w:name w:val="toc 3"/>
    <w:basedOn w:val="Normalny"/>
    <w:next w:val="Normalny"/>
    <w:autoRedefine/>
    <w:uiPriority w:val="39"/>
    <w:unhideWhenUsed/>
    <w:rsid w:val="00E16372"/>
    <w:pPr>
      <w:spacing w:after="100"/>
      <w:ind w:left="480"/>
    </w:pPr>
  </w:style>
  <w:style w:type="character" w:customStyle="1" w:styleId="highlight">
    <w:name w:val="highlight"/>
    <w:basedOn w:val="Domylnaczcionkaakapitu"/>
    <w:rsid w:val="00883B9B"/>
  </w:style>
  <w:style w:type="character" w:customStyle="1" w:styleId="Nagwek5Znak">
    <w:name w:val="Nagłówek 5 Znak"/>
    <w:basedOn w:val="Domylnaczcionkaakapitu"/>
    <w:link w:val="Nagwek5"/>
    <w:uiPriority w:val="99"/>
    <w:semiHidden/>
    <w:rsid w:val="001F4179"/>
    <w:rPr>
      <w:rFonts w:asciiTheme="majorHAnsi" w:eastAsiaTheme="majorEastAsia" w:hAnsiTheme="majorHAnsi" w:cstheme="majorBidi"/>
      <w:color w:val="365F91" w:themeColor="accent1" w:themeShade="BF"/>
      <w:szCs w:val="20"/>
    </w:rPr>
  </w:style>
  <w:style w:type="character" w:customStyle="1" w:styleId="Nagwek6Znak">
    <w:name w:val="Nagłówek 6 Znak"/>
    <w:basedOn w:val="Domylnaczcionkaakapitu"/>
    <w:link w:val="Nagwek6"/>
    <w:uiPriority w:val="99"/>
    <w:semiHidden/>
    <w:rsid w:val="001F4179"/>
    <w:rPr>
      <w:rFonts w:asciiTheme="majorHAnsi" w:eastAsiaTheme="majorEastAsia" w:hAnsiTheme="majorHAnsi" w:cstheme="majorBidi"/>
      <w:color w:val="243F60" w:themeColor="accent1" w:themeShade="7F"/>
      <w:szCs w:val="20"/>
    </w:rPr>
  </w:style>
  <w:style w:type="character" w:customStyle="1" w:styleId="Nagwek7Znak">
    <w:name w:val="Nagłówek 7 Znak"/>
    <w:basedOn w:val="Domylnaczcionkaakapitu"/>
    <w:link w:val="Nagwek7"/>
    <w:uiPriority w:val="99"/>
    <w:semiHidden/>
    <w:rsid w:val="001F4179"/>
    <w:rPr>
      <w:rFonts w:asciiTheme="majorHAnsi" w:eastAsiaTheme="majorEastAsia" w:hAnsiTheme="majorHAnsi" w:cstheme="majorBidi"/>
      <w:i/>
      <w:iCs/>
      <w:color w:val="243F60" w:themeColor="accent1" w:themeShade="7F"/>
      <w:szCs w:val="20"/>
    </w:rPr>
  </w:style>
  <w:style w:type="character" w:customStyle="1" w:styleId="Nagwek8Znak">
    <w:name w:val="Nagłówek 8 Znak"/>
    <w:basedOn w:val="Domylnaczcionkaakapitu"/>
    <w:link w:val="Nagwek8"/>
    <w:uiPriority w:val="99"/>
    <w:semiHidden/>
    <w:rsid w:val="001F417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9"/>
    <w:semiHidden/>
    <w:rsid w:val="001F4179"/>
    <w:rPr>
      <w:rFonts w:asciiTheme="majorHAnsi" w:eastAsiaTheme="majorEastAsia" w:hAnsiTheme="majorHAnsi" w:cstheme="majorBidi"/>
      <w:i/>
      <w:iCs/>
      <w:color w:val="272727" w:themeColor="text1" w:themeTint="D8"/>
      <w:sz w:val="21"/>
      <w:szCs w:val="21"/>
    </w:rPr>
  </w:style>
  <w:style w:type="paragraph" w:styleId="Spistreci4">
    <w:name w:val="toc 4"/>
    <w:basedOn w:val="Normalny"/>
    <w:next w:val="Normalny"/>
    <w:autoRedefine/>
    <w:uiPriority w:val="39"/>
    <w:unhideWhenUsed/>
    <w:rsid w:val="006C2A83"/>
    <w:pPr>
      <w:spacing w:after="100"/>
      <w:ind w:left="720"/>
    </w:pPr>
  </w:style>
  <w:style w:type="paragraph" w:styleId="Spistreci5">
    <w:name w:val="toc 5"/>
    <w:basedOn w:val="Normalny"/>
    <w:next w:val="Normalny"/>
    <w:autoRedefine/>
    <w:uiPriority w:val="39"/>
    <w:unhideWhenUsed/>
    <w:rsid w:val="006B7E46"/>
    <w:pPr>
      <w:widowControl/>
      <w:autoSpaceDE/>
      <w:autoSpaceDN/>
      <w:adjustRightInd/>
      <w:spacing w:after="100" w:line="259" w:lineRule="auto"/>
      <w:ind w:left="880"/>
    </w:pPr>
    <w:rPr>
      <w:rFonts w:asciiTheme="minorHAnsi" w:hAnsiTheme="minorHAnsi" w:cstheme="minorBidi"/>
      <w:sz w:val="22"/>
      <w:szCs w:val="22"/>
    </w:rPr>
  </w:style>
  <w:style w:type="paragraph" w:styleId="Spistreci6">
    <w:name w:val="toc 6"/>
    <w:basedOn w:val="Normalny"/>
    <w:next w:val="Normalny"/>
    <w:autoRedefine/>
    <w:uiPriority w:val="39"/>
    <w:unhideWhenUsed/>
    <w:rsid w:val="006B7E46"/>
    <w:pPr>
      <w:widowControl/>
      <w:autoSpaceDE/>
      <w:autoSpaceDN/>
      <w:adjustRightInd/>
      <w:spacing w:after="100" w:line="259" w:lineRule="auto"/>
      <w:ind w:left="1100"/>
    </w:pPr>
    <w:rPr>
      <w:rFonts w:asciiTheme="minorHAnsi" w:hAnsiTheme="minorHAnsi" w:cstheme="minorBidi"/>
      <w:sz w:val="22"/>
      <w:szCs w:val="22"/>
    </w:rPr>
  </w:style>
  <w:style w:type="paragraph" w:styleId="Spistreci7">
    <w:name w:val="toc 7"/>
    <w:basedOn w:val="Normalny"/>
    <w:next w:val="Normalny"/>
    <w:autoRedefine/>
    <w:uiPriority w:val="39"/>
    <w:unhideWhenUsed/>
    <w:rsid w:val="006B7E46"/>
    <w:pPr>
      <w:widowControl/>
      <w:autoSpaceDE/>
      <w:autoSpaceDN/>
      <w:adjustRightInd/>
      <w:spacing w:after="100" w:line="259" w:lineRule="auto"/>
      <w:ind w:left="1320"/>
    </w:pPr>
    <w:rPr>
      <w:rFonts w:asciiTheme="minorHAnsi" w:hAnsiTheme="minorHAnsi" w:cstheme="minorBidi"/>
      <w:sz w:val="22"/>
      <w:szCs w:val="22"/>
    </w:rPr>
  </w:style>
  <w:style w:type="paragraph" w:styleId="Spistreci8">
    <w:name w:val="toc 8"/>
    <w:basedOn w:val="Normalny"/>
    <w:next w:val="Normalny"/>
    <w:autoRedefine/>
    <w:uiPriority w:val="39"/>
    <w:unhideWhenUsed/>
    <w:rsid w:val="006B7E46"/>
    <w:pPr>
      <w:widowControl/>
      <w:autoSpaceDE/>
      <w:autoSpaceDN/>
      <w:adjustRightInd/>
      <w:spacing w:after="100" w:line="259" w:lineRule="auto"/>
      <w:ind w:left="1540"/>
    </w:pPr>
    <w:rPr>
      <w:rFonts w:asciiTheme="minorHAnsi" w:hAnsiTheme="minorHAnsi" w:cstheme="minorBidi"/>
      <w:sz w:val="22"/>
      <w:szCs w:val="22"/>
    </w:rPr>
  </w:style>
  <w:style w:type="paragraph" w:styleId="Spistreci9">
    <w:name w:val="toc 9"/>
    <w:basedOn w:val="Normalny"/>
    <w:next w:val="Normalny"/>
    <w:autoRedefine/>
    <w:uiPriority w:val="39"/>
    <w:unhideWhenUsed/>
    <w:rsid w:val="006B7E46"/>
    <w:pPr>
      <w:widowControl/>
      <w:autoSpaceDE/>
      <w:autoSpaceDN/>
      <w:adjustRightInd/>
      <w:spacing w:after="100" w:line="259" w:lineRule="auto"/>
      <w:ind w:left="1760"/>
    </w:pPr>
    <w:rPr>
      <w:rFonts w:asciiTheme="minorHAnsi" w:hAnsiTheme="minorHAnsi" w:cstheme="minorBidi"/>
      <w:sz w:val="22"/>
      <w:szCs w:val="22"/>
    </w:rPr>
  </w:style>
  <w:style w:type="character" w:customStyle="1" w:styleId="BezodstpwZnak">
    <w:name w:val="Bez odstępów Znak"/>
    <w:basedOn w:val="Domylnaczcionkaakapitu"/>
    <w:link w:val="Bezodstpw"/>
    <w:uiPriority w:val="1"/>
    <w:rsid w:val="00DE3982"/>
    <w:rPr>
      <w:kern w:val="1"/>
      <w:lang w:eastAsia="ar-SA"/>
    </w:rPr>
  </w:style>
  <w:style w:type="character" w:customStyle="1" w:styleId="AkapitzlistZnak">
    <w:name w:val="Akapit z listą Znak"/>
    <w:aliases w:val="NS_Akapit z listą Znak,List_Paragraph Znak,Multilevel para_II Znak,List Paragraph1 Znak,Akapit z listą BS Znak,Bullet1 Znak,Bullets Znak,List Paragraph 1 Znak,References Znak,List Paragraph (numbered (a)) Znak,IBL List Paragraph Znak"/>
    <w:basedOn w:val="Domylnaczcionkaakapitu"/>
    <w:link w:val="Akapitzlist"/>
    <w:uiPriority w:val="34"/>
    <w:qFormat/>
    <w:rsid w:val="004F3500"/>
    <w:rPr>
      <w:rFonts w:ascii="Times New Roman" w:eastAsiaTheme="minorHAnsi" w:hAnsi="Times New Roman" w:cstheme="minorBidi"/>
      <w:szCs w:val="22"/>
      <w:lang w:eastAsia="en-US"/>
    </w:rPr>
  </w:style>
  <w:style w:type="character" w:customStyle="1" w:styleId="Nierozpoznanawzmianka1">
    <w:name w:val="Nierozpoznana wzmianka1"/>
    <w:basedOn w:val="Domylnaczcionkaakapitu"/>
    <w:uiPriority w:val="99"/>
    <w:semiHidden/>
    <w:unhideWhenUsed/>
    <w:rsid w:val="00850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8956">
      <w:bodyDiv w:val="1"/>
      <w:marLeft w:val="0"/>
      <w:marRight w:val="0"/>
      <w:marTop w:val="0"/>
      <w:marBottom w:val="0"/>
      <w:divBdr>
        <w:top w:val="none" w:sz="0" w:space="0" w:color="auto"/>
        <w:left w:val="none" w:sz="0" w:space="0" w:color="auto"/>
        <w:bottom w:val="none" w:sz="0" w:space="0" w:color="auto"/>
        <w:right w:val="none" w:sz="0" w:space="0" w:color="auto"/>
      </w:divBdr>
      <w:divsChild>
        <w:div w:id="1255360010">
          <w:marLeft w:val="0"/>
          <w:marRight w:val="0"/>
          <w:marTop w:val="0"/>
          <w:marBottom w:val="0"/>
          <w:divBdr>
            <w:top w:val="none" w:sz="0" w:space="0" w:color="auto"/>
            <w:left w:val="none" w:sz="0" w:space="0" w:color="auto"/>
            <w:bottom w:val="none" w:sz="0" w:space="0" w:color="auto"/>
            <w:right w:val="none" w:sz="0" w:space="0" w:color="auto"/>
          </w:divBdr>
        </w:div>
      </w:divsChild>
    </w:div>
    <w:div w:id="83382964">
      <w:bodyDiv w:val="1"/>
      <w:marLeft w:val="0"/>
      <w:marRight w:val="0"/>
      <w:marTop w:val="0"/>
      <w:marBottom w:val="0"/>
      <w:divBdr>
        <w:top w:val="none" w:sz="0" w:space="0" w:color="auto"/>
        <w:left w:val="none" w:sz="0" w:space="0" w:color="auto"/>
        <w:bottom w:val="none" w:sz="0" w:space="0" w:color="auto"/>
        <w:right w:val="none" w:sz="0" w:space="0" w:color="auto"/>
      </w:divBdr>
      <w:divsChild>
        <w:div w:id="1377122595">
          <w:marLeft w:val="0"/>
          <w:marRight w:val="0"/>
          <w:marTop w:val="0"/>
          <w:marBottom w:val="0"/>
          <w:divBdr>
            <w:top w:val="none" w:sz="0" w:space="0" w:color="auto"/>
            <w:left w:val="none" w:sz="0" w:space="0" w:color="auto"/>
            <w:bottom w:val="none" w:sz="0" w:space="0" w:color="auto"/>
            <w:right w:val="none" w:sz="0" w:space="0" w:color="auto"/>
          </w:divBdr>
        </w:div>
      </w:divsChild>
    </w:div>
    <w:div w:id="213741141">
      <w:bodyDiv w:val="1"/>
      <w:marLeft w:val="0"/>
      <w:marRight w:val="0"/>
      <w:marTop w:val="0"/>
      <w:marBottom w:val="0"/>
      <w:divBdr>
        <w:top w:val="none" w:sz="0" w:space="0" w:color="auto"/>
        <w:left w:val="none" w:sz="0" w:space="0" w:color="auto"/>
        <w:bottom w:val="none" w:sz="0" w:space="0" w:color="auto"/>
        <w:right w:val="none" w:sz="0" w:space="0" w:color="auto"/>
      </w:divBdr>
    </w:div>
    <w:div w:id="218833687">
      <w:bodyDiv w:val="1"/>
      <w:marLeft w:val="0"/>
      <w:marRight w:val="0"/>
      <w:marTop w:val="0"/>
      <w:marBottom w:val="0"/>
      <w:divBdr>
        <w:top w:val="none" w:sz="0" w:space="0" w:color="auto"/>
        <w:left w:val="none" w:sz="0" w:space="0" w:color="auto"/>
        <w:bottom w:val="none" w:sz="0" w:space="0" w:color="auto"/>
        <w:right w:val="none" w:sz="0" w:space="0" w:color="auto"/>
      </w:divBdr>
    </w:div>
    <w:div w:id="274866402">
      <w:bodyDiv w:val="1"/>
      <w:marLeft w:val="0"/>
      <w:marRight w:val="0"/>
      <w:marTop w:val="0"/>
      <w:marBottom w:val="0"/>
      <w:divBdr>
        <w:top w:val="none" w:sz="0" w:space="0" w:color="auto"/>
        <w:left w:val="none" w:sz="0" w:space="0" w:color="auto"/>
        <w:bottom w:val="none" w:sz="0" w:space="0" w:color="auto"/>
        <w:right w:val="none" w:sz="0" w:space="0" w:color="auto"/>
      </w:divBdr>
      <w:divsChild>
        <w:div w:id="673191564">
          <w:marLeft w:val="0"/>
          <w:marRight w:val="0"/>
          <w:marTop w:val="0"/>
          <w:marBottom w:val="0"/>
          <w:divBdr>
            <w:top w:val="none" w:sz="0" w:space="0" w:color="auto"/>
            <w:left w:val="none" w:sz="0" w:space="0" w:color="auto"/>
            <w:bottom w:val="none" w:sz="0" w:space="0" w:color="auto"/>
            <w:right w:val="none" w:sz="0" w:space="0" w:color="auto"/>
          </w:divBdr>
        </w:div>
        <w:div w:id="1612203985">
          <w:marLeft w:val="0"/>
          <w:marRight w:val="0"/>
          <w:marTop w:val="0"/>
          <w:marBottom w:val="0"/>
          <w:divBdr>
            <w:top w:val="none" w:sz="0" w:space="0" w:color="auto"/>
            <w:left w:val="none" w:sz="0" w:space="0" w:color="auto"/>
            <w:bottom w:val="none" w:sz="0" w:space="0" w:color="auto"/>
            <w:right w:val="none" w:sz="0" w:space="0" w:color="auto"/>
          </w:divBdr>
        </w:div>
      </w:divsChild>
    </w:div>
    <w:div w:id="303201691">
      <w:bodyDiv w:val="1"/>
      <w:marLeft w:val="0"/>
      <w:marRight w:val="0"/>
      <w:marTop w:val="0"/>
      <w:marBottom w:val="0"/>
      <w:divBdr>
        <w:top w:val="none" w:sz="0" w:space="0" w:color="auto"/>
        <w:left w:val="none" w:sz="0" w:space="0" w:color="auto"/>
        <w:bottom w:val="none" w:sz="0" w:space="0" w:color="auto"/>
        <w:right w:val="none" w:sz="0" w:space="0" w:color="auto"/>
      </w:divBdr>
      <w:divsChild>
        <w:div w:id="327944707">
          <w:marLeft w:val="300"/>
          <w:marRight w:val="0"/>
          <w:marTop w:val="0"/>
          <w:marBottom w:val="0"/>
          <w:divBdr>
            <w:top w:val="none" w:sz="0" w:space="0" w:color="auto"/>
            <w:left w:val="none" w:sz="0" w:space="0" w:color="auto"/>
            <w:bottom w:val="none" w:sz="0" w:space="0" w:color="auto"/>
            <w:right w:val="none" w:sz="0" w:space="0" w:color="auto"/>
          </w:divBdr>
        </w:div>
        <w:div w:id="477452681">
          <w:marLeft w:val="300"/>
          <w:marRight w:val="0"/>
          <w:marTop w:val="0"/>
          <w:marBottom w:val="0"/>
          <w:divBdr>
            <w:top w:val="none" w:sz="0" w:space="0" w:color="auto"/>
            <w:left w:val="none" w:sz="0" w:space="0" w:color="auto"/>
            <w:bottom w:val="none" w:sz="0" w:space="0" w:color="auto"/>
            <w:right w:val="none" w:sz="0" w:space="0" w:color="auto"/>
          </w:divBdr>
        </w:div>
        <w:div w:id="672680099">
          <w:marLeft w:val="300"/>
          <w:marRight w:val="0"/>
          <w:marTop w:val="0"/>
          <w:marBottom w:val="0"/>
          <w:divBdr>
            <w:top w:val="none" w:sz="0" w:space="0" w:color="auto"/>
            <w:left w:val="none" w:sz="0" w:space="0" w:color="auto"/>
            <w:bottom w:val="none" w:sz="0" w:space="0" w:color="auto"/>
            <w:right w:val="none" w:sz="0" w:space="0" w:color="auto"/>
          </w:divBdr>
        </w:div>
        <w:div w:id="1163542571">
          <w:marLeft w:val="300"/>
          <w:marRight w:val="0"/>
          <w:marTop w:val="0"/>
          <w:marBottom w:val="0"/>
          <w:divBdr>
            <w:top w:val="none" w:sz="0" w:space="0" w:color="auto"/>
            <w:left w:val="none" w:sz="0" w:space="0" w:color="auto"/>
            <w:bottom w:val="none" w:sz="0" w:space="0" w:color="auto"/>
            <w:right w:val="none" w:sz="0" w:space="0" w:color="auto"/>
          </w:divBdr>
        </w:div>
        <w:div w:id="1288852239">
          <w:marLeft w:val="300"/>
          <w:marRight w:val="0"/>
          <w:marTop w:val="0"/>
          <w:marBottom w:val="0"/>
          <w:divBdr>
            <w:top w:val="none" w:sz="0" w:space="0" w:color="auto"/>
            <w:left w:val="none" w:sz="0" w:space="0" w:color="auto"/>
            <w:bottom w:val="none" w:sz="0" w:space="0" w:color="auto"/>
            <w:right w:val="none" w:sz="0" w:space="0" w:color="auto"/>
          </w:divBdr>
        </w:div>
        <w:div w:id="1374041764">
          <w:marLeft w:val="300"/>
          <w:marRight w:val="0"/>
          <w:marTop w:val="0"/>
          <w:marBottom w:val="0"/>
          <w:divBdr>
            <w:top w:val="none" w:sz="0" w:space="0" w:color="auto"/>
            <w:left w:val="none" w:sz="0" w:space="0" w:color="auto"/>
            <w:bottom w:val="none" w:sz="0" w:space="0" w:color="auto"/>
            <w:right w:val="none" w:sz="0" w:space="0" w:color="auto"/>
          </w:divBdr>
        </w:div>
        <w:div w:id="1900286438">
          <w:marLeft w:val="300"/>
          <w:marRight w:val="0"/>
          <w:marTop w:val="0"/>
          <w:marBottom w:val="0"/>
          <w:divBdr>
            <w:top w:val="none" w:sz="0" w:space="0" w:color="auto"/>
            <w:left w:val="none" w:sz="0" w:space="0" w:color="auto"/>
            <w:bottom w:val="none" w:sz="0" w:space="0" w:color="auto"/>
            <w:right w:val="none" w:sz="0" w:space="0" w:color="auto"/>
          </w:divBdr>
        </w:div>
      </w:divsChild>
    </w:div>
    <w:div w:id="344940833">
      <w:bodyDiv w:val="1"/>
      <w:marLeft w:val="0"/>
      <w:marRight w:val="0"/>
      <w:marTop w:val="0"/>
      <w:marBottom w:val="0"/>
      <w:divBdr>
        <w:top w:val="none" w:sz="0" w:space="0" w:color="auto"/>
        <w:left w:val="none" w:sz="0" w:space="0" w:color="auto"/>
        <w:bottom w:val="none" w:sz="0" w:space="0" w:color="auto"/>
        <w:right w:val="none" w:sz="0" w:space="0" w:color="auto"/>
      </w:divBdr>
      <w:divsChild>
        <w:div w:id="847258900">
          <w:marLeft w:val="0"/>
          <w:marRight w:val="0"/>
          <w:marTop w:val="0"/>
          <w:marBottom w:val="0"/>
          <w:divBdr>
            <w:top w:val="none" w:sz="0" w:space="0" w:color="auto"/>
            <w:left w:val="none" w:sz="0" w:space="0" w:color="auto"/>
            <w:bottom w:val="none" w:sz="0" w:space="0" w:color="auto"/>
            <w:right w:val="none" w:sz="0" w:space="0" w:color="auto"/>
          </w:divBdr>
        </w:div>
        <w:div w:id="2103450249">
          <w:marLeft w:val="0"/>
          <w:marRight w:val="0"/>
          <w:marTop w:val="0"/>
          <w:marBottom w:val="0"/>
          <w:divBdr>
            <w:top w:val="none" w:sz="0" w:space="0" w:color="auto"/>
            <w:left w:val="none" w:sz="0" w:space="0" w:color="auto"/>
            <w:bottom w:val="none" w:sz="0" w:space="0" w:color="auto"/>
            <w:right w:val="none" w:sz="0" w:space="0" w:color="auto"/>
          </w:divBdr>
        </w:div>
      </w:divsChild>
    </w:div>
    <w:div w:id="401567150">
      <w:bodyDiv w:val="1"/>
      <w:marLeft w:val="0"/>
      <w:marRight w:val="0"/>
      <w:marTop w:val="0"/>
      <w:marBottom w:val="0"/>
      <w:divBdr>
        <w:top w:val="none" w:sz="0" w:space="0" w:color="auto"/>
        <w:left w:val="none" w:sz="0" w:space="0" w:color="auto"/>
        <w:bottom w:val="none" w:sz="0" w:space="0" w:color="auto"/>
        <w:right w:val="none" w:sz="0" w:space="0" w:color="auto"/>
      </w:divBdr>
      <w:divsChild>
        <w:div w:id="1379469570">
          <w:marLeft w:val="0"/>
          <w:marRight w:val="0"/>
          <w:marTop w:val="0"/>
          <w:marBottom w:val="0"/>
          <w:divBdr>
            <w:top w:val="none" w:sz="0" w:space="0" w:color="auto"/>
            <w:left w:val="none" w:sz="0" w:space="0" w:color="auto"/>
            <w:bottom w:val="none" w:sz="0" w:space="0" w:color="auto"/>
            <w:right w:val="none" w:sz="0" w:space="0" w:color="auto"/>
          </w:divBdr>
        </w:div>
      </w:divsChild>
    </w:div>
    <w:div w:id="418064211">
      <w:bodyDiv w:val="1"/>
      <w:marLeft w:val="0"/>
      <w:marRight w:val="0"/>
      <w:marTop w:val="0"/>
      <w:marBottom w:val="0"/>
      <w:divBdr>
        <w:top w:val="none" w:sz="0" w:space="0" w:color="auto"/>
        <w:left w:val="none" w:sz="0" w:space="0" w:color="auto"/>
        <w:bottom w:val="none" w:sz="0" w:space="0" w:color="auto"/>
        <w:right w:val="none" w:sz="0" w:space="0" w:color="auto"/>
      </w:divBdr>
    </w:div>
    <w:div w:id="503713214">
      <w:bodyDiv w:val="1"/>
      <w:marLeft w:val="0"/>
      <w:marRight w:val="0"/>
      <w:marTop w:val="0"/>
      <w:marBottom w:val="0"/>
      <w:divBdr>
        <w:top w:val="none" w:sz="0" w:space="0" w:color="auto"/>
        <w:left w:val="none" w:sz="0" w:space="0" w:color="auto"/>
        <w:bottom w:val="none" w:sz="0" w:space="0" w:color="auto"/>
        <w:right w:val="none" w:sz="0" w:space="0" w:color="auto"/>
      </w:divBdr>
      <w:divsChild>
        <w:div w:id="163400714">
          <w:marLeft w:val="0"/>
          <w:marRight w:val="0"/>
          <w:marTop w:val="0"/>
          <w:marBottom w:val="0"/>
          <w:divBdr>
            <w:top w:val="none" w:sz="0" w:space="0" w:color="auto"/>
            <w:left w:val="none" w:sz="0" w:space="0" w:color="auto"/>
            <w:bottom w:val="none" w:sz="0" w:space="0" w:color="auto"/>
            <w:right w:val="none" w:sz="0" w:space="0" w:color="auto"/>
          </w:divBdr>
        </w:div>
        <w:div w:id="880702296">
          <w:marLeft w:val="0"/>
          <w:marRight w:val="0"/>
          <w:marTop w:val="0"/>
          <w:marBottom w:val="0"/>
          <w:divBdr>
            <w:top w:val="none" w:sz="0" w:space="0" w:color="auto"/>
            <w:left w:val="none" w:sz="0" w:space="0" w:color="auto"/>
            <w:bottom w:val="none" w:sz="0" w:space="0" w:color="auto"/>
            <w:right w:val="none" w:sz="0" w:space="0" w:color="auto"/>
          </w:divBdr>
        </w:div>
        <w:div w:id="1203176404">
          <w:marLeft w:val="0"/>
          <w:marRight w:val="0"/>
          <w:marTop w:val="0"/>
          <w:marBottom w:val="0"/>
          <w:divBdr>
            <w:top w:val="none" w:sz="0" w:space="0" w:color="auto"/>
            <w:left w:val="none" w:sz="0" w:space="0" w:color="auto"/>
            <w:bottom w:val="none" w:sz="0" w:space="0" w:color="auto"/>
            <w:right w:val="none" w:sz="0" w:space="0" w:color="auto"/>
          </w:divBdr>
        </w:div>
        <w:div w:id="1968389211">
          <w:marLeft w:val="0"/>
          <w:marRight w:val="0"/>
          <w:marTop w:val="0"/>
          <w:marBottom w:val="0"/>
          <w:divBdr>
            <w:top w:val="none" w:sz="0" w:space="0" w:color="auto"/>
            <w:left w:val="none" w:sz="0" w:space="0" w:color="auto"/>
            <w:bottom w:val="none" w:sz="0" w:space="0" w:color="auto"/>
            <w:right w:val="none" w:sz="0" w:space="0" w:color="auto"/>
          </w:divBdr>
        </w:div>
      </w:divsChild>
    </w:div>
    <w:div w:id="526600446">
      <w:bodyDiv w:val="1"/>
      <w:marLeft w:val="0"/>
      <w:marRight w:val="0"/>
      <w:marTop w:val="0"/>
      <w:marBottom w:val="0"/>
      <w:divBdr>
        <w:top w:val="none" w:sz="0" w:space="0" w:color="auto"/>
        <w:left w:val="none" w:sz="0" w:space="0" w:color="auto"/>
        <w:bottom w:val="none" w:sz="0" w:space="0" w:color="auto"/>
        <w:right w:val="none" w:sz="0" w:space="0" w:color="auto"/>
      </w:divBdr>
      <w:divsChild>
        <w:div w:id="691613607">
          <w:marLeft w:val="0"/>
          <w:marRight w:val="0"/>
          <w:marTop w:val="0"/>
          <w:marBottom w:val="0"/>
          <w:divBdr>
            <w:top w:val="none" w:sz="0" w:space="0" w:color="auto"/>
            <w:left w:val="none" w:sz="0" w:space="0" w:color="auto"/>
            <w:bottom w:val="none" w:sz="0" w:space="0" w:color="auto"/>
            <w:right w:val="none" w:sz="0" w:space="0" w:color="auto"/>
          </w:divBdr>
        </w:div>
      </w:divsChild>
    </w:div>
    <w:div w:id="563420084">
      <w:bodyDiv w:val="1"/>
      <w:marLeft w:val="0"/>
      <w:marRight w:val="0"/>
      <w:marTop w:val="0"/>
      <w:marBottom w:val="0"/>
      <w:divBdr>
        <w:top w:val="none" w:sz="0" w:space="0" w:color="auto"/>
        <w:left w:val="none" w:sz="0" w:space="0" w:color="auto"/>
        <w:bottom w:val="none" w:sz="0" w:space="0" w:color="auto"/>
        <w:right w:val="none" w:sz="0" w:space="0" w:color="auto"/>
      </w:divBdr>
    </w:div>
    <w:div w:id="647563155">
      <w:bodyDiv w:val="1"/>
      <w:marLeft w:val="0"/>
      <w:marRight w:val="0"/>
      <w:marTop w:val="0"/>
      <w:marBottom w:val="0"/>
      <w:divBdr>
        <w:top w:val="none" w:sz="0" w:space="0" w:color="auto"/>
        <w:left w:val="none" w:sz="0" w:space="0" w:color="auto"/>
        <w:bottom w:val="none" w:sz="0" w:space="0" w:color="auto"/>
        <w:right w:val="none" w:sz="0" w:space="0" w:color="auto"/>
      </w:divBdr>
      <w:divsChild>
        <w:div w:id="578753475">
          <w:marLeft w:val="0"/>
          <w:marRight w:val="0"/>
          <w:marTop w:val="0"/>
          <w:marBottom w:val="0"/>
          <w:divBdr>
            <w:top w:val="none" w:sz="0" w:space="0" w:color="auto"/>
            <w:left w:val="none" w:sz="0" w:space="0" w:color="auto"/>
            <w:bottom w:val="none" w:sz="0" w:space="0" w:color="auto"/>
            <w:right w:val="none" w:sz="0" w:space="0" w:color="auto"/>
          </w:divBdr>
        </w:div>
        <w:div w:id="915671432">
          <w:marLeft w:val="0"/>
          <w:marRight w:val="0"/>
          <w:marTop w:val="0"/>
          <w:marBottom w:val="0"/>
          <w:divBdr>
            <w:top w:val="none" w:sz="0" w:space="0" w:color="auto"/>
            <w:left w:val="none" w:sz="0" w:space="0" w:color="auto"/>
            <w:bottom w:val="none" w:sz="0" w:space="0" w:color="auto"/>
            <w:right w:val="none" w:sz="0" w:space="0" w:color="auto"/>
          </w:divBdr>
        </w:div>
      </w:divsChild>
    </w:div>
    <w:div w:id="678848265">
      <w:bodyDiv w:val="1"/>
      <w:marLeft w:val="0"/>
      <w:marRight w:val="0"/>
      <w:marTop w:val="0"/>
      <w:marBottom w:val="0"/>
      <w:divBdr>
        <w:top w:val="none" w:sz="0" w:space="0" w:color="auto"/>
        <w:left w:val="none" w:sz="0" w:space="0" w:color="auto"/>
        <w:bottom w:val="none" w:sz="0" w:space="0" w:color="auto"/>
        <w:right w:val="none" w:sz="0" w:space="0" w:color="auto"/>
      </w:divBdr>
      <w:divsChild>
        <w:div w:id="382868251">
          <w:marLeft w:val="0"/>
          <w:marRight w:val="0"/>
          <w:marTop w:val="0"/>
          <w:marBottom w:val="0"/>
          <w:divBdr>
            <w:top w:val="none" w:sz="0" w:space="0" w:color="auto"/>
            <w:left w:val="none" w:sz="0" w:space="0" w:color="auto"/>
            <w:bottom w:val="none" w:sz="0" w:space="0" w:color="auto"/>
            <w:right w:val="none" w:sz="0" w:space="0" w:color="auto"/>
          </w:divBdr>
        </w:div>
        <w:div w:id="453982012">
          <w:marLeft w:val="0"/>
          <w:marRight w:val="0"/>
          <w:marTop w:val="0"/>
          <w:marBottom w:val="0"/>
          <w:divBdr>
            <w:top w:val="none" w:sz="0" w:space="0" w:color="auto"/>
            <w:left w:val="none" w:sz="0" w:space="0" w:color="auto"/>
            <w:bottom w:val="none" w:sz="0" w:space="0" w:color="auto"/>
            <w:right w:val="none" w:sz="0" w:space="0" w:color="auto"/>
          </w:divBdr>
        </w:div>
        <w:div w:id="700738657">
          <w:marLeft w:val="0"/>
          <w:marRight w:val="0"/>
          <w:marTop w:val="0"/>
          <w:marBottom w:val="0"/>
          <w:divBdr>
            <w:top w:val="none" w:sz="0" w:space="0" w:color="auto"/>
            <w:left w:val="none" w:sz="0" w:space="0" w:color="auto"/>
            <w:bottom w:val="none" w:sz="0" w:space="0" w:color="auto"/>
            <w:right w:val="none" w:sz="0" w:space="0" w:color="auto"/>
          </w:divBdr>
        </w:div>
        <w:div w:id="1785810737">
          <w:marLeft w:val="0"/>
          <w:marRight w:val="0"/>
          <w:marTop w:val="0"/>
          <w:marBottom w:val="0"/>
          <w:divBdr>
            <w:top w:val="none" w:sz="0" w:space="0" w:color="auto"/>
            <w:left w:val="none" w:sz="0" w:space="0" w:color="auto"/>
            <w:bottom w:val="none" w:sz="0" w:space="0" w:color="auto"/>
            <w:right w:val="none" w:sz="0" w:space="0" w:color="auto"/>
          </w:divBdr>
        </w:div>
        <w:div w:id="1985432472">
          <w:marLeft w:val="0"/>
          <w:marRight w:val="0"/>
          <w:marTop w:val="0"/>
          <w:marBottom w:val="0"/>
          <w:divBdr>
            <w:top w:val="none" w:sz="0" w:space="0" w:color="auto"/>
            <w:left w:val="none" w:sz="0" w:space="0" w:color="auto"/>
            <w:bottom w:val="none" w:sz="0" w:space="0" w:color="auto"/>
            <w:right w:val="none" w:sz="0" w:space="0" w:color="auto"/>
          </w:divBdr>
        </w:div>
        <w:div w:id="2043901985">
          <w:marLeft w:val="0"/>
          <w:marRight w:val="0"/>
          <w:marTop w:val="0"/>
          <w:marBottom w:val="0"/>
          <w:divBdr>
            <w:top w:val="none" w:sz="0" w:space="0" w:color="auto"/>
            <w:left w:val="none" w:sz="0" w:space="0" w:color="auto"/>
            <w:bottom w:val="none" w:sz="0" w:space="0" w:color="auto"/>
            <w:right w:val="none" w:sz="0" w:space="0" w:color="auto"/>
          </w:divBdr>
        </w:div>
        <w:div w:id="2100250008">
          <w:marLeft w:val="0"/>
          <w:marRight w:val="0"/>
          <w:marTop w:val="0"/>
          <w:marBottom w:val="0"/>
          <w:divBdr>
            <w:top w:val="none" w:sz="0" w:space="0" w:color="auto"/>
            <w:left w:val="none" w:sz="0" w:space="0" w:color="auto"/>
            <w:bottom w:val="none" w:sz="0" w:space="0" w:color="auto"/>
            <w:right w:val="none" w:sz="0" w:space="0" w:color="auto"/>
          </w:divBdr>
        </w:div>
      </w:divsChild>
    </w:div>
    <w:div w:id="710228773">
      <w:bodyDiv w:val="1"/>
      <w:marLeft w:val="0"/>
      <w:marRight w:val="0"/>
      <w:marTop w:val="0"/>
      <w:marBottom w:val="0"/>
      <w:divBdr>
        <w:top w:val="none" w:sz="0" w:space="0" w:color="auto"/>
        <w:left w:val="none" w:sz="0" w:space="0" w:color="auto"/>
        <w:bottom w:val="none" w:sz="0" w:space="0" w:color="auto"/>
        <w:right w:val="none" w:sz="0" w:space="0" w:color="auto"/>
      </w:divBdr>
      <w:divsChild>
        <w:div w:id="228658598">
          <w:marLeft w:val="0"/>
          <w:marRight w:val="0"/>
          <w:marTop w:val="0"/>
          <w:marBottom w:val="0"/>
          <w:divBdr>
            <w:top w:val="none" w:sz="0" w:space="0" w:color="auto"/>
            <w:left w:val="none" w:sz="0" w:space="0" w:color="auto"/>
            <w:bottom w:val="none" w:sz="0" w:space="0" w:color="auto"/>
            <w:right w:val="none" w:sz="0" w:space="0" w:color="auto"/>
          </w:divBdr>
        </w:div>
        <w:div w:id="274755058">
          <w:marLeft w:val="0"/>
          <w:marRight w:val="0"/>
          <w:marTop w:val="0"/>
          <w:marBottom w:val="0"/>
          <w:divBdr>
            <w:top w:val="none" w:sz="0" w:space="0" w:color="auto"/>
            <w:left w:val="none" w:sz="0" w:space="0" w:color="auto"/>
            <w:bottom w:val="none" w:sz="0" w:space="0" w:color="auto"/>
            <w:right w:val="none" w:sz="0" w:space="0" w:color="auto"/>
          </w:divBdr>
        </w:div>
      </w:divsChild>
    </w:div>
    <w:div w:id="792361473">
      <w:bodyDiv w:val="1"/>
      <w:marLeft w:val="0"/>
      <w:marRight w:val="0"/>
      <w:marTop w:val="0"/>
      <w:marBottom w:val="0"/>
      <w:divBdr>
        <w:top w:val="none" w:sz="0" w:space="0" w:color="auto"/>
        <w:left w:val="none" w:sz="0" w:space="0" w:color="auto"/>
        <w:bottom w:val="none" w:sz="0" w:space="0" w:color="auto"/>
        <w:right w:val="none" w:sz="0" w:space="0" w:color="auto"/>
      </w:divBdr>
      <w:divsChild>
        <w:div w:id="666596314">
          <w:marLeft w:val="0"/>
          <w:marRight w:val="0"/>
          <w:marTop w:val="0"/>
          <w:marBottom w:val="0"/>
          <w:divBdr>
            <w:top w:val="none" w:sz="0" w:space="0" w:color="auto"/>
            <w:left w:val="none" w:sz="0" w:space="0" w:color="auto"/>
            <w:bottom w:val="none" w:sz="0" w:space="0" w:color="auto"/>
            <w:right w:val="none" w:sz="0" w:space="0" w:color="auto"/>
          </w:divBdr>
        </w:div>
      </w:divsChild>
    </w:div>
    <w:div w:id="801308860">
      <w:bodyDiv w:val="1"/>
      <w:marLeft w:val="0"/>
      <w:marRight w:val="0"/>
      <w:marTop w:val="0"/>
      <w:marBottom w:val="0"/>
      <w:divBdr>
        <w:top w:val="none" w:sz="0" w:space="0" w:color="auto"/>
        <w:left w:val="none" w:sz="0" w:space="0" w:color="auto"/>
        <w:bottom w:val="none" w:sz="0" w:space="0" w:color="auto"/>
        <w:right w:val="none" w:sz="0" w:space="0" w:color="auto"/>
      </w:divBdr>
    </w:div>
    <w:div w:id="891697584">
      <w:bodyDiv w:val="1"/>
      <w:marLeft w:val="0"/>
      <w:marRight w:val="0"/>
      <w:marTop w:val="0"/>
      <w:marBottom w:val="0"/>
      <w:divBdr>
        <w:top w:val="none" w:sz="0" w:space="0" w:color="auto"/>
        <w:left w:val="none" w:sz="0" w:space="0" w:color="auto"/>
        <w:bottom w:val="none" w:sz="0" w:space="0" w:color="auto"/>
        <w:right w:val="none" w:sz="0" w:space="0" w:color="auto"/>
      </w:divBdr>
    </w:div>
    <w:div w:id="908465301">
      <w:bodyDiv w:val="1"/>
      <w:marLeft w:val="0"/>
      <w:marRight w:val="0"/>
      <w:marTop w:val="0"/>
      <w:marBottom w:val="0"/>
      <w:divBdr>
        <w:top w:val="none" w:sz="0" w:space="0" w:color="auto"/>
        <w:left w:val="none" w:sz="0" w:space="0" w:color="auto"/>
        <w:bottom w:val="none" w:sz="0" w:space="0" w:color="auto"/>
        <w:right w:val="none" w:sz="0" w:space="0" w:color="auto"/>
      </w:divBdr>
    </w:div>
    <w:div w:id="1009917072">
      <w:bodyDiv w:val="1"/>
      <w:marLeft w:val="0"/>
      <w:marRight w:val="0"/>
      <w:marTop w:val="0"/>
      <w:marBottom w:val="0"/>
      <w:divBdr>
        <w:top w:val="none" w:sz="0" w:space="0" w:color="auto"/>
        <w:left w:val="none" w:sz="0" w:space="0" w:color="auto"/>
        <w:bottom w:val="none" w:sz="0" w:space="0" w:color="auto"/>
        <w:right w:val="none" w:sz="0" w:space="0" w:color="auto"/>
      </w:divBdr>
    </w:div>
    <w:div w:id="1025710830">
      <w:bodyDiv w:val="1"/>
      <w:marLeft w:val="0"/>
      <w:marRight w:val="0"/>
      <w:marTop w:val="0"/>
      <w:marBottom w:val="0"/>
      <w:divBdr>
        <w:top w:val="none" w:sz="0" w:space="0" w:color="auto"/>
        <w:left w:val="none" w:sz="0" w:space="0" w:color="auto"/>
        <w:bottom w:val="none" w:sz="0" w:space="0" w:color="auto"/>
        <w:right w:val="none" w:sz="0" w:space="0" w:color="auto"/>
      </w:divBdr>
    </w:div>
    <w:div w:id="1038549349">
      <w:bodyDiv w:val="1"/>
      <w:marLeft w:val="0"/>
      <w:marRight w:val="0"/>
      <w:marTop w:val="0"/>
      <w:marBottom w:val="0"/>
      <w:divBdr>
        <w:top w:val="none" w:sz="0" w:space="0" w:color="auto"/>
        <w:left w:val="none" w:sz="0" w:space="0" w:color="auto"/>
        <w:bottom w:val="none" w:sz="0" w:space="0" w:color="auto"/>
        <w:right w:val="none" w:sz="0" w:space="0" w:color="auto"/>
      </w:divBdr>
    </w:div>
    <w:div w:id="1048576205">
      <w:bodyDiv w:val="1"/>
      <w:marLeft w:val="0"/>
      <w:marRight w:val="0"/>
      <w:marTop w:val="0"/>
      <w:marBottom w:val="0"/>
      <w:divBdr>
        <w:top w:val="none" w:sz="0" w:space="0" w:color="auto"/>
        <w:left w:val="none" w:sz="0" w:space="0" w:color="auto"/>
        <w:bottom w:val="none" w:sz="0" w:space="0" w:color="auto"/>
        <w:right w:val="none" w:sz="0" w:space="0" w:color="auto"/>
      </w:divBdr>
    </w:div>
    <w:div w:id="1131096891">
      <w:bodyDiv w:val="1"/>
      <w:marLeft w:val="0"/>
      <w:marRight w:val="0"/>
      <w:marTop w:val="0"/>
      <w:marBottom w:val="0"/>
      <w:divBdr>
        <w:top w:val="none" w:sz="0" w:space="0" w:color="auto"/>
        <w:left w:val="none" w:sz="0" w:space="0" w:color="auto"/>
        <w:bottom w:val="none" w:sz="0" w:space="0" w:color="auto"/>
        <w:right w:val="none" w:sz="0" w:space="0" w:color="auto"/>
      </w:divBdr>
    </w:div>
    <w:div w:id="1157263748">
      <w:bodyDiv w:val="1"/>
      <w:marLeft w:val="0"/>
      <w:marRight w:val="0"/>
      <w:marTop w:val="0"/>
      <w:marBottom w:val="0"/>
      <w:divBdr>
        <w:top w:val="none" w:sz="0" w:space="0" w:color="auto"/>
        <w:left w:val="none" w:sz="0" w:space="0" w:color="auto"/>
        <w:bottom w:val="none" w:sz="0" w:space="0" w:color="auto"/>
        <w:right w:val="none" w:sz="0" w:space="0" w:color="auto"/>
      </w:divBdr>
      <w:divsChild>
        <w:div w:id="901254223">
          <w:marLeft w:val="0"/>
          <w:marRight w:val="0"/>
          <w:marTop w:val="0"/>
          <w:marBottom w:val="0"/>
          <w:divBdr>
            <w:top w:val="none" w:sz="0" w:space="0" w:color="auto"/>
            <w:left w:val="none" w:sz="0" w:space="0" w:color="auto"/>
            <w:bottom w:val="none" w:sz="0" w:space="0" w:color="auto"/>
            <w:right w:val="none" w:sz="0" w:space="0" w:color="auto"/>
          </w:divBdr>
          <w:divsChild>
            <w:div w:id="1790585760">
              <w:marLeft w:val="255"/>
              <w:marRight w:val="0"/>
              <w:marTop w:val="0"/>
              <w:marBottom w:val="0"/>
              <w:divBdr>
                <w:top w:val="none" w:sz="0" w:space="0" w:color="auto"/>
                <w:left w:val="none" w:sz="0" w:space="0" w:color="auto"/>
                <w:bottom w:val="none" w:sz="0" w:space="0" w:color="auto"/>
                <w:right w:val="none" w:sz="0" w:space="0" w:color="auto"/>
              </w:divBdr>
            </w:div>
          </w:divsChild>
        </w:div>
        <w:div w:id="1826819502">
          <w:marLeft w:val="0"/>
          <w:marRight w:val="0"/>
          <w:marTop w:val="0"/>
          <w:marBottom w:val="0"/>
          <w:divBdr>
            <w:top w:val="none" w:sz="0" w:space="0" w:color="auto"/>
            <w:left w:val="none" w:sz="0" w:space="0" w:color="auto"/>
            <w:bottom w:val="none" w:sz="0" w:space="0" w:color="auto"/>
            <w:right w:val="none" w:sz="0" w:space="0" w:color="auto"/>
          </w:divBdr>
          <w:divsChild>
            <w:div w:id="403144192">
              <w:marLeft w:val="255"/>
              <w:marRight w:val="0"/>
              <w:marTop w:val="0"/>
              <w:marBottom w:val="0"/>
              <w:divBdr>
                <w:top w:val="none" w:sz="0" w:space="0" w:color="auto"/>
                <w:left w:val="none" w:sz="0" w:space="0" w:color="auto"/>
                <w:bottom w:val="none" w:sz="0" w:space="0" w:color="auto"/>
                <w:right w:val="none" w:sz="0" w:space="0" w:color="auto"/>
              </w:divBdr>
            </w:div>
          </w:divsChild>
        </w:div>
        <w:div w:id="1846093199">
          <w:marLeft w:val="0"/>
          <w:marRight w:val="0"/>
          <w:marTop w:val="0"/>
          <w:marBottom w:val="0"/>
          <w:divBdr>
            <w:top w:val="none" w:sz="0" w:space="0" w:color="auto"/>
            <w:left w:val="none" w:sz="0" w:space="0" w:color="auto"/>
            <w:bottom w:val="none" w:sz="0" w:space="0" w:color="auto"/>
            <w:right w:val="none" w:sz="0" w:space="0" w:color="auto"/>
          </w:divBdr>
          <w:divsChild>
            <w:div w:id="105007866">
              <w:marLeft w:val="255"/>
              <w:marRight w:val="0"/>
              <w:marTop w:val="0"/>
              <w:marBottom w:val="0"/>
              <w:divBdr>
                <w:top w:val="none" w:sz="0" w:space="0" w:color="auto"/>
                <w:left w:val="none" w:sz="0" w:space="0" w:color="auto"/>
                <w:bottom w:val="none" w:sz="0" w:space="0" w:color="auto"/>
                <w:right w:val="none" w:sz="0" w:space="0" w:color="auto"/>
              </w:divBdr>
            </w:div>
          </w:divsChild>
        </w:div>
        <w:div w:id="2114284135">
          <w:marLeft w:val="0"/>
          <w:marRight w:val="0"/>
          <w:marTop w:val="0"/>
          <w:marBottom w:val="0"/>
          <w:divBdr>
            <w:top w:val="none" w:sz="0" w:space="0" w:color="auto"/>
            <w:left w:val="none" w:sz="0" w:space="0" w:color="auto"/>
            <w:bottom w:val="none" w:sz="0" w:space="0" w:color="auto"/>
            <w:right w:val="none" w:sz="0" w:space="0" w:color="auto"/>
          </w:divBdr>
          <w:divsChild>
            <w:div w:id="1025180909">
              <w:marLeft w:val="255"/>
              <w:marRight w:val="0"/>
              <w:marTop w:val="0"/>
              <w:marBottom w:val="0"/>
              <w:divBdr>
                <w:top w:val="none" w:sz="0" w:space="0" w:color="auto"/>
                <w:left w:val="none" w:sz="0" w:space="0" w:color="auto"/>
                <w:bottom w:val="none" w:sz="0" w:space="0" w:color="auto"/>
                <w:right w:val="none" w:sz="0" w:space="0" w:color="auto"/>
              </w:divBdr>
            </w:div>
          </w:divsChild>
        </w:div>
        <w:div w:id="2127576469">
          <w:marLeft w:val="0"/>
          <w:marRight w:val="0"/>
          <w:marTop w:val="0"/>
          <w:marBottom w:val="0"/>
          <w:divBdr>
            <w:top w:val="none" w:sz="0" w:space="0" w:color="auto"/>
            <w:left w:val="none" w:sz="0" w:space="0" w:color="auto"/>
            <w:bottom w:val="none" w:sz="0" w:space="0" w:color="auto"/>
            <w:right w:val="none" w:sz="0" w:space="0" w:color="auto"/>
          </w:divBdr>
          <w:divsChild>
            <w:div w:id="348871556">
              <w:marLeft w:val="255"/>
              <w:marRight w:val="0"/>
              <w:marTop w:val="0"/>
              <w:marBottom w:val="0"/>
              <w:divBdr>
                <w:top w:val="none" w:sz="0" w:space="0" w:color="auto"/>
                <w:left w:val="none" w:sz="0" w:space="0" w:color="auto"/>
                <w:bottom w:val="none" w:sz="0" w:space="0" w:color="auto"/>
                <w:right w:val="none" w:sz="0" w:space="0" w:color="auto"/>
              </w:divBdr>
            </w:div>
          </w:divsChild>
        </w:div>
        <w:div w:id="2137484116">
          <w:marLeft w:val="0"/>
          <w:marRight w:val="0"/>
          <w:marTop w:val="0"/>
          <w:marBottom w:val="0"/>
          <w:divBdr>
            <w:top w:val="none" w:sz="0" w:space="0" w:color="auto"/>
            <w:left w:val="none" w:sz="0" w:space="0" w:color="auto"/>
            <w:bottom w:val="none" w:sz="0" w:space="0" w:color="auto"/>
            <w:right w:val="none" w:sz="0" w:space="0" w:color="auto"/>
          </w:divBdr>
          <w:divsChild>
            <w:div w:id="177952170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77110899">
      <w:bodyDiv w:val="1"/>
      <w:marLeft w:val="0"/>
      <w:marRight w:val="0"/>
      <w:marTop w:val="0"/>
      <w:marBottom w:val="0"/>
      <w:divBdr>
        <w:top w:val="none" w:sz="0" w:space="0" w:color="auto"/>
        <w:left w:val="none" w:sz="0" w:space="0" w:color="auto"/>
        <w:bottom w:val="none" w:sz="0" w:space="0" w:color="auto"/>
        <w:right w:val="none" w:sz="0" w:space="0" w:color="auto"/>
      </w:divBdr>
    </w:div>
    <w:div w:id="1180048154">
      <w:bodyDiv w:val="1"/>
      <w:marLeft w:val="0"/>
      <w:marRight w:val="0"/>
      <w:marTop w:val="0"/>
      <w:marBottom w:val="0"/>
      <w:divBdr>
        <w:top w:val="none" w:sz="0" w:space="0" w:color="auto"/>
        <w:left w:val="none" w:sz="0" w:space="0" w:color="auto"/>
        <w:bottom w:val="none" w:sz="0" w:space="0" w:color="auto"/>
        <w:right w:val="none" w:sz="0" w:space="0" w:color="auto"/>
      </w:divBdr>
    </w:div>
    <w:div w:id="1211502000">
      <w:bodyDiv w:val="1"/>
      <w:marLeft w:val="0"/>
      <w:marRight w:val="0"/>
      <w:marTop w:val="0"/>
      <w:marBottom w:val="0"/>
      <w:divBdr>
        <w:top w:val="none" w:sz="0" w:space="0" w:color="auto"/>
        <w:left w:val="none" w:sz="0" w:space="0" w:color="auto"/>
        <w:bottom w:val="none" w:sz="0" w:space="0" w:color="auto"/>
        <w:right w:val="none" w:sz="0" w:space="0" w:color="auto"/>
      </w:divBdr>
    </w:div>
    <w:div w:id="1221287402">
      <w:bodyDiv w:val="1"/>
      <w:marLeft w:val="0"/>
      <w:marRight w:val="0"/>
      <w:marTop w:val="0"/>
      <w:marBottom w:val="0"/>
      <w:divBdr>
        <w:top w:val="none" w:sz="0" w:space="0" w:color="auto"/>
        <w:left w:val="none" w:sz="0" w:space="0" w:color="auto"/>
        <w:bottom w:val="none" w:sz="0" w:space="0" w:color="auto"/>
        <w:right w:val="none" w:sz="0" w:space="0" w:color="auto"/>
      </w:divBdr>
      <w:divsChild>
        <w:div w:id="1324049917">
          <w:marLeft w:val="0"/>
          <w:marRight w:val="0"/>
          <w:marTop w:val="0"/>
          <w:marBottom w:val="0"/>
          <w:divBdr>
            <w:top w:val="none" w:sz="0" w:space="0" w:color="auto"/>
            <w:left w:val="none" w:sz="0" w:space="0" w:color="auto"/>
            <w:bottom w:val="none" w:sz="0" w:space="0" w:color="auto"/>
            <w:right w:val="none" w:sz="0" w:space="0" w:color="auto"/>
          </w:divBdr>
        </w:div>
      </w:divsChild>
    </w:div>
    <w:div w:id="1264149744">
      <w:bodyDiv w:val="1"/>
      <w:marLeft w:val="0"/>
      <w:marRight w:val="0"/>
      <w:marTop w:val="0"/>
      <w:marBottom w:val="0"/>
      <w:divBdr>
        <w:top w:val="none" w:sz="0" w:space="0" w:color="auto"/>
        <w:left w:val="none" w:sz="0" w:space="0" w:color="auto"/>
        <w:bottom w:val="none" w:sz="0" w:space="0" w:color="auto"/>
        <w:right w:val="none" w:sz="0" w:space="0" w:color="auto"/>
      </w:divBdr>
    </w:div>
    <w:div w:id="1341664402">
      <w:bodyDiv w:val="1"/>
      <w:marLeft w:val="0"/>
      <w:marRight w:val="0"/>
      <w:marTop w:val="0"/>
      <w:marBottom w:val="0"/>
      <w:divBdr>
        <w:top w:val="none" w:sz="0" w:space="0" w:color="auto"/>
        <w:left w:val="none" w:sz="0" w:space="0" w:color="auto"/>
        <w:bottom w:val="none" w:sz="0" w:space="0" w:color="auto"/>
        <w:right w:val="none" w:sz="0" w:space="0" w:color="auto"/>
      </w:divBdr>
    </w:div>
    <w:div w:id="1411848777">
      <w:bodyDiv w:val="1"/>
      <w:marLeft w:val="0"/>
      <w:marRight w:val="0"/>
      <w:marTop w:val="0"/>
      <w:marBottom w:val="0"/>
      <w:divBdr>
        <w:top w:val="none" w:sz="0" w:space="0" w:color="auto"/>
        <w:left w:val="none" w:sz="0" w:space="0" w:color="auto"/>
        <w:bottom w:val="none" w:sz="0" w:space="0" w:color="auto"/>
        <w:right w:val="none" w:sz="0" w:space="0" w:color="auto"/>
      </w:divBdr>
    </w:div>
    <w:div w:id="1428648506">
      <w:bodyDiv w:val="1"/>
      <w:marLeft w:val="0"/>
      <w:marRight w:val="0"/>
      <w:marTop w:val="0"/>
      <w:marBottom w:val="0"/>
      <w:divBdr>
        <w:top w:val="none" w:sz="0" w:space="0" w:color="auto"/>
        <w:left w:val="none" w:sz="0" w:space="0" w:color="auto"/>
        <w:bottom w:val="none" w:sz="0" w:space="0" w:color="auto"/>
        <w:right w:val="none" w:sz="0" w:space="0" w:color="auto"/>
      </w:divBdr>
      <w:divsChild>
        <w:div w:id="1591814125">
          <w:marLeft w:val="0"/>
          <w:marRight w:val="0"/>
          <w:marTop w:val="0"/>
          <w:marBottom w:val="0"/>
          <w:divBdr>
            <w:top w:val="none" w:sz="0" w:space="0" w:color="auto"/>
            <w:left w:val="none" w:sz="0" w:space="0" w:color="auto"/>
            <w:bottom w:val="none" w:sz="0" w:space="0" w:color="auto"/>
            <w:right w:val="none" w:sz="0" w:space="0" w:color="auto"/>
          </w:divBdr>
        </w:div>
      </w:divsChild>
    </w:div>
    <w:div w:id="1444182681">
      <w:bodyDiv w:val="1"/>
      <w:marLeft w:val="0"/>
      <w:marRight w:val="0"/>
      <w:marTop w:val="0"/>
      <w:marBottom w:val="0"/>
      <w:divBdr>
        <w:top w:val="none" w:sz="0" w:space="0" w:color="auto"/>
        <w:left w:val="none" w:sz="0" w:space="0" w:color="auto"/>
        <w:bottom w:val="none" w:sz="0" w:space="0" w:color="auto"/>
        <w:right w:val="none" w:sz="0" w:space="0" w:color="auto"/>
      </w:divBdr>
    </w:div>
    <w:div w:id="1542471130">
      <w:bodyDiv w:val="1"/>
      <w:marLeft w:val="0"/>
      <w:marRight w:val="0"/>
      <w:marTop w:val="0"/>
      <w:marBottom w:val="0"/>
      <w:divBdr>
        <w:top w:val="none" w:sz="0" w:space="0" w:color="auto"/>
        <w:left w:val="none" w:sz="0" w:space="0" w:color="auto"/>
        <w:bottom w:val="none" w:sz="0" w:space="0" w:color="auto"/>
        <w:right w:val="none" w:sz="0" w:space="0" w:color="auto"/>
      </w:divBdr>
    </w:div>
    <w:div w:id="1554341550">
      <w:bodyDiv w:val="1"/>
      <w:marLeft w:val="0"/>
      <w:marRight w:val="0"/>
      <w:marTop w:val="0"/>
      <w:marBottom w:val="0"/>
      <w:divBdr>
        <w:top w:val="none" w:sz="0" w:space="0" w:color="auto"/>
        <w:left w:val="none" w:sz="0" w:space="0" w:color="auto"/>
        <w:bottom w:val="none" w:sz="0" w:space="0" w:color="auto"/>
        <w:right w:val="none" w:sz="0" w:space="0" w:color="auto"/>
      </w:divBdr>
      <w:divsChild>
        <w:div w:id="634482557">
          <w:marLeft w:val="0"/>
          <w:marRight w:val="0"/>
          <w:marTop w:val="0"/>
          <w:marBottom w:val="0"/>
          <w:divBdr>
            <w:top w:val="none" w:sz="0" w:space="0" w:color="auto"/>
            <w:left w:val="none" w:sz="0" w:space="0" w:color="auto"/>
            <w:bottom w:val="none" w:sz="0" w:space="0" w:color="auto"/>
            <w:right w:val="none" w:sz="0" w:space="0" w:color="auto"/>
          </w:divBdr>
        </w:div>
        <w:div w:id="808984867">
          <w:marLeft w:val="0"/>
          <w:marRight w:val="0"/>
          <w:marTop w:val="0"/>
          <w:marBottom w:val="0"/>
          <w:divBdr>
            <w:top w:val="none" w:sz="0" w:space="0" w:color="auto"/>
            <w:left w:val="none" w:sz="0" w:space="0" w:color="auto"/>
            <w:bottom w:val="none" w:sz="0" w:space="0" w:color="auto"/>
            <w:right w:val="none" w:sz="0" w:space="0" w:color="auto"/>
          </w:divBdr>
        </w:div>
      </w:divsChild>
    </w:div>
    <w:div w:id="1582177794">
      <w:bodyDiv w:val="1"/>
      <w:marLeft w:val="0"/>
      <w:marRight w:val="0"/>
      <w:marTop w:val="0"/>
      <w:marBottom w:val="0"/>
      <w:divBdr>
        <w:top w:val="none" w:sz="0" w:space="0" w:color="auto"/>
        <w:left w:val="none" w:sz="0" w:space="0" w:color="auto"/>
        <w:bottom w:val="none" w:sz="0" w:space="0" w:color="auto"/>
        <w:right w:val="none" w:sz="0" w:space="0" w:color="auto"/>
      </w:divBdr>
      <w:divsChild>
        <w:div w:id="40785656">
          <w:marLeft w:val="0"/>
          <w:marRight w:val="0"/>
          <w:marTop w:val="0"/>
          <w:marBottom w:val="0"/>
          <w:divBdr>
            <w:top w:val="none" w:sz="0" w:space="0" w:color="auto"/>
            <w:left w:val="none" w:sz="0" w:space="0" w:color="auto"/>
            <w:bottom w:val="none" w:sz="0" w:space="0" w:color="auto"/>
            <w:right w:val="none" w:sz="0" w:space="0" w:color="auto"/>
          </w:divBdr>
        </w:div>
        <w:div w:id="71707836">
          <w:marLeft w:val="0"/>
          <w:marRight w:val="0"/>
          <w:marTop w:val="0"/>
          <w:marBottom w:val="0"/>
          <w:divBdr>
            <w:top w:val="none" w:sz="0" w:space="0" w:color="auto"/>
            <w:left w:val="none" w:sz="0" w:space="0" w:color="auto"/>
            <w:bottom w:val="none" w:sz="0" w:space="0" w:color="auto"/>
            <w:right w:val="none" w:sz="0" w:space="0" w:color="auto"/>
          </w:divBdr>
        </w:div>
        <w:div w:id="94324635">
          <w:marLeft w:val="0"/>
          <w:marRight w:val="0"/>
          <w:marTop w:val="0"/>
          <w:marBottom w:val="0"/>
          <w:divBdr>
            <w:top w:val="none" w:sz="0" w:space="0" w:color="auto"/>
            <w:left w:val="none" w:sz="0" w:space="0" w:color="auto"/>
            <w:bottom w:val="none" w:sz="0" w:space="0" w:color="auto"/>
            <w:right w:val="none" w:sz="0" w:space="0" w:color="auto"/>
          </w:divBdr>
        </w:div>
        <w:div w:id="100995364">
          <w:marLeft w:val="0"/>
          <w:marRight w:val="0"/>
          <w:marTop w:val="0"/>
          <w:marBottom w:val="0"/>
          <w:divBdr>
            <w:top w:val="none" w:sz="0" w:space="0" w:color="auto"/>
            <w:left w:val="none" w:sz="0" w:space="0" w:color="auto"/>
            <w:bottom w:val="none" w:sz="0" w:space="0" w:color="auto"/>
            <w:right w:val="none" w:sz="0" w:space="0" w:color="auto"/>
          </w:divBdr>
        </w:div>
        <w:div w:id="183062738">
          <w:marLeft w:val="0"/>
          <w:marRight w:val="0"/>
          <w:marTop w:val="0"/>
          <w:marBottom w:val="0"/>
          <w:divBdr>
            <w:top w:val="none" w:sz="0" w:space="0" w:color="auto"/>
            <w:left w:val="none" w:sz="0" w:space="0" w:color="auto"/>
            <w:bottom w:val="none" w:sz="0" w:space="0" w:color="auto"/>
            <w:right w:val="none" w:sz="0" w:space="0" w:color="auto"/>
          </w:divBdr>
        </w:div>
        <w:div w:id="330719590">
          <w:marLeft w:val="0"/>
          <w:marRight w:val="0"/>
          <w:marTop w:val="0"/>
          <w:marBottom w:val="0"/>
          <w:divBdr>
            <w:top w:val="none" w:sz="0" w:space="0" w:color="auto"/>
            <w:left w:val="none" w:sz="0" w:space="0" w:color="auto"/>
            <w:bottom w:val="none" w:sz="0" w:space="0" w:color="auto"/>
            <w:right w:val="none" w:sz="0" w:space="0" w:color="auto"/>
          </w:divBdr>
        </w:div>
        <w:div w:id="496310740">
          <w:marLeft w:val="0"/>
          <w:marRight w:val="0"/>
          <w:marTop w:val="0"/>
          <w:marBottom w:val="0"/>
          <w:divBdr>
            <w:top w:val="none" w:sz="0" w:space="0" w:color="auto"/>
            <w:left w:val="none" w:sz="0" w:space="0" w:color="auto"/>
            <w:bottom w:val="none" w:sz="0" w:space="0" w:color="auto"/>
            <w:right w:val="none" w:sz="0" w:space="0" w:color="auto"/>
          </w:divBdr>
        </w:div>
        <w:div w:id="498349053">
          <w:marLeft w:val="0"/>
          <w:marRight w:val="0"/>
          <w:marTop w:val="0"/>
          <w:marBottom w:val="0"/>
          <w:divBdr>
            <w:top w:val="none" w:sz="0" w:space="0" w:color="auto"/>
            <w:left w:val="none" w:sz="0" w:space="0" w:color="auto"/>
            <w:bottom w:val="none" w:sz="0" w:space="0" w:color="auto"/>
            <w:right w:val="none" w:sz="0" w:space="0" w:color="auto"/>
          </w:divBdr>
        </w:div>
        <w:div w:id="539636926">
          <w:marLeft w:val="0"/>
          <w:marRight w:val="0"/>
          <w:marTop w:val="0"/>
          <w:marBottom w:val="0"/>
          <w:divBdr>
            <w:top w:val="none" w:sz="0" w:space="0" w:color="auto"/>
            <w:left w:val="none" w:sz="0" w:space="0" w:color="auto"/>
            <w:bottom w:val="none" w:sz="0" w:space="0" w:color="auto"/>
            <w:right w:val="none" w:sz="0" w:space="0" w:color="auto"/>
          </w:divBdr>
        </w:div>
        <w:div w:id="649093745">
          <w:marLeft w:val="0"/>
          <w:marRight w:val="0"/>
          <w:marTop w:val="0"/>
          <w:marBottom w:val="0"/>
          <w:divBdr>
            <w:top w:val="none" w:sz="0" w:space="0" w:color="auto"/>
            <w:left w:val="none" w:sz="0" w:space="0" w:color="auto"/>
            <w:bottom w:val="none" w:sz="0" w:space="0" w:color="auto"/>
            <w:right w:val="none" w:sz="0" w:space="0" w:color="auto"/>
          </w:divBdr>
          <w:divsChild>
            <w:div w:id="30157191">
              <w:marLeft w:val="0"/>
              <w:marRight w:val="0"/>
              <w:marTop w:val="0"/>
              <w:marBottom w:val="0"/>
              <w:divBdr>
                <w:top w:val="none" w:sz="0" w:space="0" w:color="auto"/>
                <w:left w:val="none" w:sz="0" w:space="0" w:color="auto"/>
                <w:bottom w:val="none" w:sz="0" w:space="0" w:color="auto"/>
                <w:right w:val="none" w:sz="0" w:space="0" w:color="auto"/>
              </w:divBdr>
            </w:div>
            <w:div w:id="169225856">
              <w:marLeft w:val="0"/>
              <w:marRight w:val="0"/>
              <w:marTop w:val="0"/>
              <w:marBottom w:val="0"/>
              <w:divBdr>
                <w:top w:val="none" w:sz="0" w:space="0" w:color="auto"/>
                <w:left w:val="none" w:sz="0" w:space="0" w:color="auto"/>
                <w:bottom w:val="none" w:sz="0" w:space="0" w:color="auto"/>
                <w:right w:val="none" w:sz="0" w:space="0" w:color="auto"/>
              </w:divBdr>
            </w:div>
            <w:div w:id="885944208">
              <w:marLeft w:val="0"/>
              <w:marRight w:val="0"/>
              <w:marTop w:val="0"/>
              <w:marBottom w:val="0"/>
              <w:divBdr>
                <w:top w:val="none" w:sz="0" w:space="0" w:color="auto"/>
                <w:left w:val="none" w:sz="0" w:space="0" w:color="auto"/>
                <w:bottom w:val="none" w:sz="0" w:space="0" w:color="auto"/>
                <w:right w:val="none" w:sz="0" w:space="0" w:color="auto"/>
              </w:divBdr>
            </w:div>
            <w:div w:id="1768227588">
              <w:marLeft w:val="0"/>
              <w:marRight w:val="0"/>
              <w:marTop w:val="0"/>
              <w:marBottom w:val="0"/>
              <w:divBdr>
                <w:top w:val="none" w:sz="0" w:space="0" w:color="auto"/>
                <w:left w:val="none" w:sz="0" w:space="0" w:color="auto"/>
                <w:bottom w:val="none" w:sz="0" w:space="0" w:color="auto"/>
                <w:right w:val="none" w:sz="0" w:space="0" w:color="auto"/>
              </w:divBdr>
            </w:div>
            <w:div w:id="1905138854">
              <w:marLeft w:val="0"/>
              <w:marRight w:val="0"/>
              <w:marTop w:val="0"/>
              <w:marBottom w:val="0"/>
              <w:divBdr>
                <w:top w:val="none" w:sz="0" w:space="0" w:color="auto"/>
                <w:left w:val="none" w:sz="0" w:space="0" w:color="auto"/>
                <w:bottom w:val="none" w:sz="0" w:space="0" w:color="auto"/>
                <w:right w:val="none" w:sz="0" w:space="0" w:color="auto"/>
              </w:divBdr>
            </w:div>
          </w:divsChild>
        </w:div>
        <w:div w:id="650137989">
          <w:marLeft w:val="0"/>
          <w:marRight w:val="0"/>
          <w:marTop w:val="0"/>
          <w:marBottom w:val="0"/>
          <w:divBdr>
            <w:top w:val="none" w:sz="0" w:space="0" w:color="auto"/>
            <w:left w:val="none" w:sz="0" w:space="0" w:color="auto"/>
            <w:bottom w:val="none" w:sz="0" w:space="0" w:color="auto"/>
            <w:right w:val="none" w:sz="0" w:space="0" w:color="auto"/>
          </w:divBdr>
        </w:div>
        <w:div w:id="706760519">
          <w:marLeft w:val="0"/>
          <w:marRight w:val="0"/>
          <w:marTop w:val="0"/>
          <w:marBottom w:val="0"/>
          <w:divBdr>
            <w:top w:val="none" w:sz="0" w:space="0" w:color="auto"/>
            <w:left w:val="none" w:sz="0" w:space="0" w:color="auto"/>
            <w:bottom w:val="none" w:sz="0" w:space="0" w:color="auto"/>
            <w:right w:val="none" w:sz="0" w:space="0" w:color="auto"/>
          </w:divBdr>
        </w:div>
        <w:div w:id="755789507">
          <w:marLeft w:val="0"/>
          <w:marRight w:val="0"/>
          <w:marTop w:val="0"/>
          <w:marBottom w:val="0"/>
          <w:divBdr>
            <w:top w:val="none" w:sz="0" w:space="0" w:color="auto"/>
            <w:left w:val="none" w:sz="0" w:space="0" w:color="auto"/>
            <w:bottom w:val="none" w:sz="0" w:space="0" w:color="auto"/>
            <w:right w:val="none" w:sz="0" w:space="0" w:color="auto"/>
          </w:divBdr>
        </w:div>
        <w:div w:id="766386106">
          <w:marLeft w:val="0"/>
          <w:marRight w:val="0"/>
          <w:marTop w:val="0"/>
          <w:marBottom w:val="0"/>
          <w:divBdr>
            <w:top w:val="none" w:sz="0" w:space="0" w:color="auto"/>
            <w:left w:val="none" w:sz="0" w:space="0" w:color="auto"/>
            <w:bottom w:val="none" w:sz="0" w:space="0" w:color="auto"/>
            <w:right w:val="none" w:sz="0" w:space="0" w:color="auto"/>
          </w:divBdr>
        </w:div>
        <w:div w:id="880941934">
          <w:marLeft w:val="0"/>
          <w:marRight w:val="0"/>
          <w:marTop w:val="0"/>
          <w:marBottom w:val="0"/>
          <w:divBdr>
            <w:top w:val="none" w:sz="0" w:space="0" w:color="auto"/>
            <w:left w:val="none" w:sz="0" w:space="0" w:color="auto"/>
            <w:bottom w:val="none" w:sz="0" w:space="0" w:color="auto"/>
            <w:right w:val="none" w:sz="0" w:space="0" w:color="auto"/>
          </w:divBdr>
        </w:div>
        <w:div w:id="882671414">
          <w:marLeft w:val="0"/>
          <w:marRight w:val="0"/>
          <w:marTop w:val="0"/>
          <w:marBottom w:val="0"/>
          <w:divBdr>
            <w:top w:val="none" w:sz="0" w:space="0" w:color="auto"/>
            <w:left w:val="none" w:sz="0" w:space="0" w:color="auto"/>
            <w:bottom w:val="none" w:sz="0" w:space="0" w:color="auto"/>
            <w:right w:val="none" w:sz="0" w:space="0" w:color="auto"/>
          </w:divBdr>
        </w:div>
        <w:div w:id="964772393">
          <w:marLeft w:val="0"/>
          <w:marRight w:val="0"/>
          <w:marTop w:val="0"/>
          <w:marBottom w:val="0"/>
          <w:divBdr>
            <w:top w:val="none" w:sz="0" w:space="0" w:color="auto"/>
            <w:left w:val="none" w:sz="0" w:space="0" w:color="auto"/>
            <w:bottom w:val="none" w:sz="0" w:space="0" w:color="auto"/>
            <w:right w:val="none" w:sz="0" w:space="0" w:color="auto"/>
          </w:divBdr>
        </w:div>
        <w:div w:id="1153639058">
          <w:marLeft w:val="0"/>
          <w:marRight w:val="0"/>
          <w:marTop w:val="0"/>
          <w:marBottom w:val="0"/>
          <w:divBdr>
            <w:top w:val="none" w:sz="0" w:space="0" w:color="auto"/>
            <w:left w:val="none" w:sz="0" w:space="0" w:color="auto"/>
            <w:bottom w:val="none" w:sz="0" w:space="0" w:color="auto"/>
            <w:right w:val="none" w:sz="0" w:space="0" w:color="auto"/>
          </w:divBdr>
        </w:div>
        <w:div w:id="1224560472">
          <w:marLeft w:val="0"/>
          <w:marRight w:val="0"/>
          <w:marTop w:val="0"/>
          <w:marBottom w:val="0"/>
          <w:divBdr>
            <w:top w:val="none" w:sz="0" w:space="0" w:color="auto"/>
            <w:left w:val="none" w:sz="0" w:space="0" w:color="auto"/>
            <w:bottom w:val="none" w:sz="0" w:space="0" w:color="auto"/>
            <w:right w:val="none" w:sz="0" w:space="0" w:color="auto"/>
          </w:divBdr>
        </w:div>
        <w:div w:id="1333796416">
          <w:marLeft w:val="0"/>
          <w:marRight w:val="0"/>
          <w:marTop w:val="0"/>
          <w:marBottom w:val="0"/>
          <w:divBdr>
            <w:top w:val="none" w:sz="0" w:space="0" w:color="auto"/>
            <w:left w:val="none" w:sz="0" w:space="0" w:color="auto"/>
            <w:bottom w:val="none" w:sz="0" w:space="0" w:color="auto"/>
            <w:right w:val="none" w:sz="0" w:space="0" w:color="auto"/>
          </w:divBdr>
        </w:div>
        <w:div w:id="1354110186">
          <w:marLeft w:val="0"/>
          <w:marRight w:val="0"/>
          <w:marTop w:val="0"/>
          <w:marBottom w:val="0"/>
          <w:divBdr>
            <w:top w:val="none" w:sz="0" w:space="0" w:color="auto"/>
            <w:left w:val="none" w:sz="0" w:space="0" w:color="auto"/>
            <w:bottom w:val="none" w:sz="0" w:space="0" w:color="auto"/>
            <w:right w:val="none" w:sz="0" w:space="0" w:color="auto"/>
          </w:divBdr>
        </w:div>
        <w:div w:id="1408266544">
          <w:marLeft w:val="0"/>
          <w:marRight w:val="0"/>
          <w:marTop w:val="0"/>
          <w:marBottom w:val="0"/>
          <w:divBdr>
            <w:top w:val="none" w:sz="0" w:space="0" w:color="auto"/>
            <w:left w:val="none" w:sz="0" w:space="0" w:color="auto"/>
            <w:bottom w:val="none" w:sz="0" w:space="0" w:color="auto"/>
            <w:right w:val="none" w:sz="0" w:space="0" w:color="auto"/>
          </w:divBdr>
        </w:div>
        <w:div w:id="1526138038">
          <w:marLeft w:val="0"/>
          <w:marRight w:val="0"/>
          <w:marTop w:val="0"/>
          <w:marBottom w:val="0"/>
          <w:divBdr>
            <w:top w:val="none" w:sz="0" w:space="0" w:color="auto"/>
            <w:left w:val="none" w:sz="0" w:space="0" w:color="auto"/>
            <w:bottom w:val="none" w:sz="0" w:space="0" w:color="auto"/>
            <w:right w:val="none" w:sz="0" w:space="0" w:color="auto"/>
          </w:divBdr>
        </w:div>
        <w:div w:id="1544631604">
          <w:marLeft w:val="0"/>
          <w:marRight w:val="0"/>
          <w:marTop w:val="0"/>
          <w:marBottom w:val="0"/>
          <w:divBdr>
            <w:top w:val="none" w:sz="0" w:space="0" w:color="auto"/>
            <w:left w:val="none" w:sz="0" w:space="0" w:color="auto"/>
            <w:bottom w:val="none" w:sz="0" w:space="0" w:color="auto"/>
            <w:right w:val="none" w:sz="0" w:space="0" w:color="auto"/>
          </w:divBdr>
        </w:div>
        <w:div w:id="1598363745">
          <w:marLeft w:val="0"/>
          <w:marRight w:val="0"/>
          <w:marTop w:val="0"/>
          <w:marBottom w:val="0"/>
          <w:divBdr>
            <w:top w:val="none" w:sz="0" w:space="0" w:color="auto"/>
            <w:left w:val="none" w:sz="0" w:space="0" w:color="auto"/>
            <w:bottom w:val="none" w:sz="0" w:space="0" w:color="auto"/>
            <w:right w:val="none" w:sz="0" w:space="0" w:color="auto"/>
          </w:divBdr>
        </w:div>
        <w:div w:id="1656907649">
          <w:marLeft w:val="0"/>
          <w:marRight w:val="0"/>
          <w:marTop w:val="0"/>
          <w:marBottom w:val="0"/>
          <w:divBdr>
            <w:top w:val="none" w:sz="0" w:space="0" w:color="auto"/>
            <w:left w:val="none" w:sz="0" w:space="0" w:color="auto"/>
            <w:bottom w:val="none" w:sz="0" w:space="0" w:color="auto"/>
            <w:right w:val="none" w:sz="0" w:space="0" w:color="auto"/>
          </w:divBdr>
        </w:div>
        <w:div w:id="1772895398">
          <w:marLeft w:val="0"/>
          <w:marRight w:val="0"/>
          <w:marTop w:val="0"/>
          <w:marBottom w:val="0"/>
          <w:divBdr>
            <w:top w:val="none" w:sz="0" w:space="0" w:color="auto"/>
            <w:left w:val="none" w:sz="0" w:space="0" w:color="auto"/>
            <w:bottom w:val="none" w:sz="0" w:space="0" w:color="auto"/>
            <w:right w:val="none" w:sz="0" w:space="0" w:color="auto"/>
          </w:divBdr>
        </w:div>
        <w:div w:id="1834370139">
          <w:marLeft w:val="0"/>
          <w:marRight w:val="0"/>
          <w:marTop w:val="0"/>
          <w:marBottom w:val="0"/>
          <w:divBdr>
            <w:top w:val="none" w:sz="0" w:space="0" w:color="auto"/>
            <w:left w:val="none" w:sz="0" w:space="0" w:color="auto"/>
            <w:bottom w:val="none" w:sz="0" w:space="0" w:color="auto"/>
            <w:right w:val="none" w:sz="0" w:space="0" w:color="auto"/>
          </w:divBdr>
        </w:div>
        <w:div w:id="1854025293">
          <w:marLeft w:val="0"/>
          <w:marRight w:val="0"/>
          <w:marTop w:val="0"/>
          <w:marBottom w:val="0"/>
          <w:divBdr>
            <w:top w:val="none" w:sz="0" w:space="0" w:color="auto"/>
            <w:left w:val="none" w:sz="0" w:space="0" w:color="auto"/>
            <w:bottom w:val="none" w:sz="0" w:space="0" w:color="auto"/>
            <w:right w:val="none" w:sz="0" w:space="0" w:color="auto"/>
          </w:divBdr>
        </w:div>
        <w:div w:id="2081294280">
          <w:marLeft w:val="0"/>
          <w:marRight w:val="0"/>
          <w:marTop w:val="0"/>
          <w:marBottom w:val="0"/>
          <w:divBdr>
            <w:top w:val="none" w:sz="0" w:space="0" w:color="auto"/>
            <w:left w:val="none" w:sz="0" w:space="0" w:color="auto"/>
            <w:bottom w:val="none" w:sz="0" w:space="0" w:color="auto"/>
            <w:right w:val="none" w:sz="0" w:space="0" w:color="auto"/>
          </w:divBdr>
        </w:div>
      </w:divsChild>
    </w:div>
    <w:div w:id="1651472866">
      <w:bodyDiv w:val="1"/>
      <w:marLeft w:val="0"/>
      <w:marRight w:val="0"/>
      <w:marTop w:val="0"/>
      <w:marBottom w:val="0"/>
      <w:divBdr>
        <w:top w:val="none" w:sz="0" w:space="0" w:color="auto"/>
        <w:left w:val="none" w:sz="0" w:space="0" w:color="auto"/>
        <w:bottom w:val="none" w:sz="0" w:space="0" w:color="auto"/>
        <w:right w:val="none" w:sz="0" w:space="0" w:color="auto"/>
      </w:divBdr>
    </w:div>
    <w:div w:id="1710883427">
      <w:bodyDiv w:val="1"/>
      <w:marLeft w:val="0"/>
      <w:marRight w:val="0"/>
      <w:marTop w:val="0"/>
      <w:marBottom w:val="0"/>
      <w:divBdr>
        <w:top w:val="none" w:sz="0" w:space="0" w:color="auto"/>
        <w:left w:val="none" w:sz="0" w:space="0" w:color="auto"/>
        <w:bottom w:val="none" w:sz="0" w:space="0" w:color="auto"/>
        <w:right w:val="none" w:sz="0" w:space="0" w:color="auto"/>
      </w:divBdr>
    </w:div>
    <w:div w:id="1743409711">
      <w:bodyDiv w:val="1"/>
      <w:marLeft w:val="0"/>
      <w:marRight w:val="0"/>
      <w:marTop w:val="0"/>
      <w:marBottom w:val="0"/>
      <w:divBdr>
        <w:top w:val="none" w:sz="0" w:space="0" w:color="auto"/>
        <w:left w:val="none" w:sz="0" w:space="0" w:color="auto"/>
        <w:bottom w:val="none" w:sz="0" w:space="0" w:color="auto"/>
        <w:right w:val="none" w:sz="0" w:space="0" w:color="auto"/>
      </w:divBdr>
    </w:div>
    <w:div w:id="1824462649">
      <w:bodyDiv w:val="1"/>
      <w:marLeft w:val="0"/>
      <w:marRight w:val="0"/>
      <w:marTop w:val="0"/>
      <w:marBottom w:val="0"/>
      <w:divBdr>
        <w:top w:val="none" w:sz="0" w:space="0" w:color="auto"/>
        <w:left w:val="none" w:sz="0" w:space="0" w:color="auto"/>
        <w:bottom w:val="none" w:sz="0" w:space="0" w:color="auto"/>
        <w:right w:val="none" w:sz="0" w:space="0" w:color="auto"/>
      </w:divBdr>
    </w:div>
    <w:div w:id="1834297607">
      <w:bodyDiv w:val="1"/>
      <w:marLeft w:val="0"/>
      <w:marRight w:val="0"/>
      <w:marTop w:val="0"/>
      <w:marBottom w:val="0"/>
      <w:divBdr>
        <w:top w:val="none" w:sz="0" w:space="0" w:color="auto"/>
        <w:left w:val="none" w:sz="0" w:space="0" w:color="auto"/>
        <w:bottom w:val="none" w:sz="0" w:space="0" w:color="auto"/>
        <w:right w:val="none" w:sz="0" w:space="0" w:color="auto"/>
      </w:divBdr>
    </w:div>
    <w:div w:id="1856575560">
      <w:bodyDiv w:val="1"/>
      <w:marLeft w:val="0"/>
      <w:marRight w:val="0"/>
      <w:marTop w:val="0"/>
      <w:marBottom w:val="0"/>
      <w:divBdr>
        <w:top w:val="none" w:sz="0" w:space="0" w:color="auto"/>
        <w:left w:val="none" w:sz="0" w:space="0" w:color="auto"/>
        <w:bottom w:val="none" w:sz="0" w:space="0" w:color="auto"/>
        <w:right w:val="none" w:sz="0" w:space="0" w:color="auto"/>
      </w:divBdr>
      <w:divsChild>
        <w:div w:id="13191471">
          <w:marLeft w:val="0"/>
          <w:marRight w:val="0"/>
          <w:marTop w:val="0"/>
          <w:marBottom w:val="0"/>
          <w:divBdr>
            <w:top w:val="none" w:sz="0" w:space="0" w:color="auto"/>
            <w:left w:val="none" w:sz="0" w:space="0" w:color="auto"/>
            <w:bottom w:val="none" w:sz="0" w:space="0" w:color="auto"/>
            <w:right w:val="none" w:sz="0" w:space="0" w:color="auto"/>
          </w:divBdr>
        </w:div>
        <w:div w:id="578055999">
          <w:marLeft w:val="0"/>
          <w:marRight w:val="0"/>
          <w:marTop w:val="0"/>
          <w:marBottom w:val="0"/>
          <w:divBdr>
            <w:top w:val="none" w:sz="0" w:space="0" w:color="auto"/>
            <w:left w:val="none" w:sz="0" w:space="0" w:color="auto"/>
            <w:bottom w:val="none" w:sz="0" w:space="0" w:color="auto"/>
            <w:right w:val="none" w:sz="0" w:space="0" w:color="auto"/>
          </w:divBdr>
        </w:div>
      </w:divsChild>
    </w:div>
    <w:div w:id="1868711843">
      <w:bodyDiv w:val="1"/>
      <w:marLeft w:val="0"/>
      <w:marRight w:val="0"/>
      <w:marTop w:val="0"/>
      <w:marBottom w:val="0"/>
      <w:divBdr>
        <w:top w:val="none" w:sz="0" w:space="0" w:color="auto"/>
        <w:left w:val="none" w:sz="0" w:space="0" w:color="auto"/>
        <w:bottom w:val="none" w:sz="0" w:space="0" w:color="auto"/>
        <w:right w:val="none" w:sz="0" w:space="0" w:color="auto"/>
      </w:divBdr>
    </w:div>
    <w:div w:id="1906868029">
      <w:bodyDiv w:val="1"/>
      <w:marLeft w:val="0"/>
      <w:marRight w:val="0"/>
      <w:marTop w:val="0"/>
      <w:marBottom w:val="0"/>
      <w:divBdr>
        <w:top w:val="none" w:sz="0" w:space="0" w:color="auto"/>
        <w:left w:val="none" w:sz="0" w:space="0" w:color="auto"/>
        <w:bottom w:val="none" w:sz="0" w:space="0" w:color="auto"/>
        <w:right w:val="none" w:sz="0" w:space="0" w:color="auto"/>
      </w:divBdr>
      <w:divsChild>
        <w:div w:id="1046562000">
          <w:marLeft w:val="0"/>
          <w:marRight w:val="0"/>
          <w:marTop w:val="0"/>
          <w:marBottom w:val="0"/>
          <w:divBdr>
            <w:top w:val="none" w:sz="0" w:space="0" w:color="auto"/>
            <w:left w:val="none" w:sz="0" w:space="0" w:color="auto"/>
            <w:bottom w:val="none" w:sz="0" w:space="0" w:color="auto"/>
            <w:right w:val="none" w:sz="0" w:space="0" w:color="auto"/>
          </w:divBdr>
        </w:div>
        <w:div w:id="2009213698">
          <w:marLeft w:val="0"/>
          <w:marRight w:val="0"/>
          <w:marTop w:val="0"/>
          <w:marBottom w:val="0"/>
          <w:divBdr>
            <w:top w:val="none" w:sz="0" w:space="0" w:color="auto"/>
            <w:left w:val="none" w:sz="0" w:space="0" w:color="auto"/>
            <w:bottom w:val="none" w:sz="0" w:space="0" w:color="auto"/>
            <w:right w:val="none" w:sz="0" w:space="0" w:color="auto"/>
          </w:divBdr>
        </w:div>
      </w:divsChild>
    </w:div>
    <w:div w:id="1976371201">
      <w:bodyDiv w:val="1"/>
      <w:marLeft w:val="0"/>
      <w:marRight w:val="0"/>
      <w:marTop w:val="0"/>
      <w:marBottom w:val="0"/>
      <w:divBdr>
        <w:top w:val="none" w:sz="0" w:space="0" w:color="auto"/>
        <w:left w:val="none" w:sz="0" w:space="0" w:color="auto"/>
        <w:bottom w:val="none" w:sz="0" w:space="0" w:color="auto"/>
        <w:right w:val="none" w:sz="0" w:space="0" w:color="auto"/>
      </w:divBdr>
    </w:div>
    <w:div w:id="2053537637">
      <w:bodyDiv w:val="1"/>
      <w:marLeft w:val="0"/>
      <w:marRight w:val="0"/>
      <w:marTop w:val="0"/>
      <w:marBottom w:val="0"/>
      <w:divBdr>
        <w:top w:val="none" w:sz="0" w:space="0" w:color="auto"/>
        <w:left w:val="none" w:sz="0" w:space="0" w:color="auto"/>
        <w:bottom w:val="none" w:sz="0" w:space="0" w:color="auto"/>
        <w:right w:val="none" w:sz="0" w:space="0" w:color="auto"/>
      </w:divBdr>
      <w:divsChild>
        <w:div w:id="141889248">
          <w:marLeft w:val="0"/>
          <w:marRight w:val="0"/>
          <w:marTop w:val="0"/>
          <w:marBottom w:val="0"/>
          <w:divBdr>
            <w:top w:val="none" w:sz="0" w:space="0" w:color="auto"/>
            <w:left w:val="none" w:sz="0" w:space="0" w:color="auto"/>
            <w:bottom w:val="none" w:sz="0" w:space="0" w:color="auto"/>
            <w:right w:val="none" w:sz="0" w:space="0" w:color="auto"/>
          </w:divBdr>
        </w:div>
        <w:div w:id="462387941">
          <w:marLeft w:val="0"/>
          <w:marRight w:val="0"/>
          <w:marTop w:val="0"/>
          <w:marBottom w:val="0"/>
          <w:divBdr>
            <w:top w:val="none" w:sz="0" w:space="0" w:color="auto"/>
            <w:left w:val="none" w:sz="0" w:space="0" w:color="auto"/>
            <w:bottom w:val="none" w:sz="0" w:space="0" w:color="auto"/>
            <w:right w:val="none" w:sz="0" w:space="0" w:color="auto"/>
          </w:divBdr>
        </w:div>
        <w:div w:id="550658309">
          <w:marLeft w:val="0"/>
          <w:marRight w:val="0"/>
          <w:marTop w:val="0"/>
          <w:marBottom w:val="0"/>
          <w:divBdr>
            <w:top w:val="none" w:sz="0" w:space="0" w:color="auto"/>
            <w:left w:val="none" w:sz="0" w:space="0" w:color="auto"/>
            <w:bottom w:val="none" w:sz="0" w:space="0" w:color="auto"/>
            <w:right w:val="none" w:sz="0" w:space="0" w:color="auto"/>
          </w:divBdr>
        </w:div>
        <w:div w:id="553084414">
          <w:marLeft w:val="0"/>
          <w:marRight w:val="0"/>
          <w:marTop w:val="0"/>
          <w:marBottom w:val="0"/>
          <w:divBdr>
            <w:top w:val="none" w:sz="0" w:space="0" w:color="auto"/>
            <w:left w:val="none" w:sz="0" w:space="0" w:color="auto"/>
            <w:bottom w:val="none" w:sz="0" w:space="0" w:color="auto"/>
            <w:right w:val="none" w:sz="0" w:space="0" w:color="auto"/>
          </w:divBdr>
        </w:div>
        <w:div w:id="727874238">
          <w:marLeft w:val="0"/>
          <w:marRight w:val="0"/>
          <w:marTop w:val="0"/>
          <w:marBottom w:val="0"/>
          <w:divBdr>
            <w:top w:val="none" w:sz="0" w:space="0" w:color="auto"/>
            <w:left w:val="none" w:sz="0" w:space="0" w:color="auto"/>
            <w:bottom w:val="none" w:sz="0" w:space="0" w:color="auto"/>
            <w:right w:val="none" w:sz="0" w:space="0" w:color="auto"/>
          </w:divBdr>
        </w:div>
        <w:div w:id="1243643361">
          <w:marLeft w:val="0"/>
          <w:marRight w:val="0"/>
          <w:marTop w:val="0"/>
          <w:marBottom w:val="0"/>
          <w:divBdr>
            <w:top w:val="none" w:sz="0" w:space="0" w:color="auto"/>
            <w:left w:val="none" w:sz="0" w:space="0" w:color="auto"/>
            <w:bottom w:val="none" w:sz="0" w:space="0" w:color="auto"/>
            <w:right w:val="none" w:sz="0" w:space="0" w:color="auto"/>
          </w:divBdr>
        </w:div>
        <w:div w:id="1279533769">
          <w:marLeft w:val="0"/>
          <w:marRight w:val="0"/>
          <w:marTop w:val="0"/>
          <w:marBottom w:val="0"/>
          <w:divBdr>
            <w:top w:val="none" w:sz="0" w:space="0" w:color="auto"/>
            <w:left w:val="none" w:sz="0" w:space="0" w:color="auto"/>
            <w:bottom w:val="none" w:sz="0" w:space="0" w:color="auto"/>
            <w:right w:val="none" w:sz="0" w:space="0" w:color="auto"/>
          </w:divBdr>
        </w:div>
        <w:div w:id="1319532059">
          <w:marLeft w:val="0"/>
          <w:marRight w:val="0"/>
          <w:marTop w:val="0"/>
          <w:marBottom w:val="0"/>
          <w:divBdr>
            <w:top w:val="none" w:sz="0" w:space="0" w:color="auto"/>
            <w:left w:val="none" w:sz="0" w:space="0" w:color="auto"/>
            <w:bottom w:val="none" w:sz="0" w:space="0" w:color="auto"/>
            <w:right w:val="none" w:sz="0" w:space="0" w:color="auto"/>
          </w:divBdr>
        </w:div>
        <w:div w:id="1330324668">
          <w:marLeft w:val="0"/>
          <w:marRight w:val="0"/>
          <w:marTop w:val="0"/>
          <w:marBottom w:val="0"/>
          <w:divBdr>
            <w:top w:val="none" w:sz="0" w:space="0" w:color="auto"/>
            <w:left w:val="none" w:sz="0" w:space="0" w:color="auto"/>
            <w:bottom w:val="none" w:sz="0" w:space="0" w:color="auto"/>
            <w:right w:val="none" w:sz="0" w:space="0" w:color="auto"/>
          </w:divBdr>
        </w:div>
        <w:div w:id="1334532772">
          <w:marLeft w:val="0"/>
          <w:marRight w:val="0"/>
          <w:marTop w:val="0"/>
          <w:marBottom w:val="0"/>
          <w:divBdr>
            <w:top w:val="none" w:sz="0" w:space="0" w:color="auto"/>
            <w:left w:val="none" w:sz="0" w:space="0" w:color="auto"/>
            <w:bottom w:val="none" w:sz="0" w:space="0" w:color="auto"/>
            <w:right w:val="none" w:sz="0" w:space="0" w:color="auto"/>
          </w:divBdr>
        </w:div>
        <w:div w:id="1773892795">
          <w:marLeft w:val="0"/>
          <w:marRight w:val="0"/>
          <w:marTop w:val="0"/>
          <w:marBottom w:val="0"/>
          <w:divBdr>
            <w:top w:val="none" w:sz="0" w:space="0" w:color="auto"/>
            <w:left w:val="none" w:sz="0" w:space="0" w:color="auto"/>
            <w:bottom w:val="none" w:sz="0" w:space="0" w:color="auto"/>
            <w:right w:val="none" w:sz="0" w:space="0" w:color="auto"/>
          </w:divBdr>
        </w:div>
      </w:divsChild>
    </w:div>
    <w:div w:id="2090688969">
      <w:bodyDiv w:val="1"/>
      <w:marLeft w:val="0"/>
      <w:marRight w:val="0"/>
      <w:marTop w:val="0"/>
      <w:marBottom w:val="0"/>
      <w:divBdr>
        <w:top w:val="none" w:sz="0" w:space="0" w:color="auto"/>
        <w:left w:val="none" w:sz="0" w:space="0" w:color="auto"/>
        <w:bottom w:val="none" w:sz="0" w:space="0" w:color="auto"/>
        <w:right w:val="none" w:sz="0" w:space="0" w:color="auto"/>
      </w:divBdr>
    </w:div>
    <w:div w:id="210745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B7FA74-C52A-4040-BB15-45CE4DE7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44813</Words>
  <Characters>268881</Characters>
  <Application>Microsoft Office Word</Application>
  <DocSecurity>0</DocSecurity>
  <Lines>2240</Lines>
  <Paragraphs>626</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313068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2023-06-28T14:37:00Z</dcterms:created>
  <dcterms:modified xsi:type="dcterms:W3CDTF">2023-07-03T09:27:00Z</dcterms:modified>
  <cp:category/>
</cp:coreProperties>
</file>