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44F" w:rsidRPr="00413A3E" w:rsidRDefault="007C544F" w:rsidP="007C544F">
      <w:pPr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413A3E">
        <w:rPr>
          <w:rFonts w:ascii="Tahoma" w:hAnsi="Tahoma" w:cs="Tahoma"/>
          <w:sz w:val="24"/>
          <w:szCs w:val="24"/>
        </w:rPr>
        <w:t>UZASADNIENIE</w:t>
      </w:r>
    </w:p>
    <w:p w:rsidR="007C544F" w:rsidRPr="00413A3E" w:rsidRDefault="007C544F" w:rsidP="00413A3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413A3E" w:rsidRPr="00413A3E" w:rsidRDefault="007C544F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Celem projektowanej regulacji jest nowelizacja ustawy o funduszu sołeckim </w:t>
      </w:r>
      <w:r w:rsidR="00413A3E" w:rsidRPr="00413A3E">
        <w:rPr>
          <w:rFonts w:ascii="Tahoma" w:hAnsi="Tahoma" w:cs="Tahoma"/>
          <w:sz w:val="24"/>
          <w:szCs w:val="24"/>
        </w:rPr>
        <w:t xml:space="preserve">(Dz. U. </w:t>
      </w:r>
      <w:r w:rsidR="00413A3E">
        <w:rPr>
          <w:rFonts w:ascii="Tahoma" w:hAnsi="Tahoma" w:cs="Tahoma"/>
          <w:sz w:val="24"/>
          <w:szCs w:val="24"/>
        </w:rPr>
        <w:br/>
        <w:t xml:space="preserve">z 2014 r. </w:t>
      </w:r>
      <w:r w:rsidR="00413A3E" w:rsidRPr="00413A3E">
        <w:rPr>
          <w:rFonts w:ascii="Tahoma" w:hAnsi="Tahoma" w:cs="Tahoma"/>
          <w:sz w:val="24"/>
          <w:szCs w:val="24"/>
        </w:rPr>
        <w:t xml:space="preserve">poz. </w:t>
      </w:r>
      <w:r w:rsidR="00413A3E">
        <w:rPr>
          <w:rFonts w:ascii="Tahoma" w:hAnsi="Tahoma" w:cs="Tahoma"/>
          <w:sz w:val="24"/>
          <w:szCs w:val="24"/>
        </w:rPr>
        <w:t>301</w:t>
      </w:r>
      <w:r w:rsidR="00413A3E" w:rsidRPr="00413A3E">
        <w:rPr>
          <w:rFonts w:ascii="Tahoma" w:hAnsi="Tahoma" w:cs="Tahoma"/>
          <w:sz w:val="24"/>
          <w:szCs w:val="24"/>
        </w:rPr>
        <w:t xml:space="preserve">) </w:t>
      </w:r>
      <w:r w:rsidRPr="00413A3E">
        <w:rPr>
          <w:rFonts w:ascii="Tahoma" w:hAnsi="Tahoma" w:cs="Tahoma"/>
          <w:sz w:val="24"/>
          <w:szCs w:val="24"/>
        </w:rPr>
        <w:t>zwanej dalej „u</w:t>
      </w:r>
      <w:r w:rsidR="00230792" w:rsidRPr="00413A3E">
        <w:rPr>
          <w:rFonts w:ascii="Tahoma" w:hAnsi="Tahoma" w:cs="Tahoma"/>
          <w:sz w:val="24"/>
          <w:szCs w:val="24"/>
        </w:rPr>
        <w:t>fs</w:t>
      </w:r>
      <w:r w:rsidRPr="00413A3E">
        <w:rPr>
          <w:rFonts w:ascii="Tahoma" w:hAnsi="Tahoma" w:cs="Tahoma"/>
          <w:sz w:val="24"/>
          <w:szCs w:val="24"/>
        </w:rPr>
        <w:t>.”</w:t>
      </w:r>
      <w:r w:rsidR="00A0370E" w:rsidRPr="00413A3E">
        <w:rPr>
          <w:rFonts w:ascii="Tahoma" w:hAnsi="Tahoma" w:cs="Tahoma"/>
          <w:sz w:val="24"/>
          <w:szCs w:val="24"/>
        </w:rPr>
        <w:t xml:space="preserve"> powodująca, iż </w:t>
      </w:r>
      <w:r w:rsidR="00413A3E">
        <w:rPr>
          <w:rFonts w:ascii="Tahoma" w:hAnsi="Tahoma" w:cs="Tahoma"/>
          <w:sz w:val="24"/>
          <w:szCs w:val="24"/>
        </w:rPr>
        <w:t xml:space="preserve">urealnienie poziomu </w:t>
      </w:r>
      <w:r w:rsidR="00A0370E" w:rsidRPr="00413A3E">
        <w:rPr>
          <w:rFonts w:ascii="Tahoma" w:hAnsi="Tahoma" w:cs="Tahoma"/>
          <w:sz w:val="24"/>
          <w:szCs w:val="24"/>
        </w:rPr>
        <w:t>zwrot</w:t>
      </w:r>
      <w:r w:rsidR="00413A3E">
        <w:rPr>
          <w:rFonts w:ascii="Tahoma" w:hAnsi="Tahoma" w:cs="Tahoma"/>
          <w:sz w:val="24"/>
          <w:szCs w:val="24"/>
        </w:rPr>
        <w:t>u</w:t>
      </w:r>
      <w:r w:rsidR="00A0370E" w:rsidRPr="00413A3E">
        <w:rPr>
          <w:rFonts w:ascii="Tahoma" w:hAnsi="Tahoma" w:cs="Tahoma"/>
          <w:sz w:val="24"/>
          <w:szCs w:val="24"/>
        </w:rPr>
        <w:t xml:space="preserve"> </w:t>
      </w:r>
      <w:r w:rsidR="00413A3E">
        <w:rPr>
          <w:rFonts w:ascii="Tahoma" w:hAnsi="Tahoma" w:cs="Tahoma"/>
          <w:sz w:val="24"/>
          <w:szCs w:val="24"/>
        </w:rPr>
        <w:br/>
      </w:r>
      <w:r w:rsidR="00A0370E" w:rsidRPr="00413A3E">
        <w:rPr>
          <w:rFonts w:ascii="Tahoma" w:hAnsi="Tahoma" w:cs="Tahoma"/>
          <w:sz w:val="24"/>
          <w:szCs w:val="24"/>
        </w:rPr>
        <w:t>z budżetu państwa wydatków poniesionych przez gminy z funduszu sołeckiego</w:t>
      </w:r>
      <w:r w:rsidR="00A61DC2" w:rsidRPr="00413A3E">
        <w:rPr>
          <w:rFonts w:ascii="Tahoma" w:hAnsi="Tahoma" w:cs="Tahoma"/>
          <w:sz w:val="24"/>
          <w:szCs w:val="24"/>
        </w:rPr>
        <w:t>.</w:t>
      </w:r>
    </w:p>
    <w:p w:rsidR="00A61DC2" w:rsidRPr="00413A3E" w:rsidRDefault="00A61DC2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Gminom, w zależności od wysokości kwoty bazowej Kb, którą oblicza się dzieląc łączną kwotę wykonanych dochodów bieżących, o których mowa w przepisach </w:t>
      </w:r>
      <w:r w:rsidR="00413A3E">
        <w:rPr>
          <w:rFonts w:ascii="Tahoma" w:hAnsi="Tahoma" w:cs="Tahoma"/>
          <w:sz w:val="24"/>
          <w:szCs w:val="24"/>
        </w:rPr>
        <w:br/>
      </w:r>
      <w:r w:rsidRPr="00413A3E">
        <w:rPr>
          <w:rFonts w:ascii="Tahoma" w:hAnsi="Tahoma" w:cs="Tahoma"/>
          <w:sz w:val="24"/>
          <w:szCs w:val="24"/>
        </w:rPr>
        <w:t>o finansach publicznych, przez liczbę mieszkańców, przysługuje zwrot części wydatków poniesionych z funduszu sołeckiego, tj</w:t>
      </w:r>
      <w:r w:rsidR="00F5261E" w:rsidRPr="00413A3E">
        <w:rPr>
          <w:rFonts w:ascii="Tahoma" w:hAnsi="Tahoma" w:cs="Tahoma"/>
          <w:sz w:val="24"/>
          <w:szCs w:val="24"/>
        </w:rPr>
        <w:t>.</w:t>
      </w:r>
      <w:r w:rsidRPr="00413A3E">
        <w:rPr>
          <w:rFonts w:ascii="Tahoma" w:hAnsi="Tahoma" w:cs="Tahoma"/>
          <w:sz w:val="24"/>
          <w:szCs w:val="24"/>
        </w:rPr>
        <w:t>:</w:t>
      </w:r>
    </w:p>
    <w:p w:rsidR="00A61DC2" w:rsidRPr="00413A3E" w:rsidRDefault="00A61DC2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21766D" w:rsidRPr="00413A3E" w:rsidRDefault="00A61DC2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40%</w:t>
      </w:r>
      <w:r w:rsidR="0021766D" w:rsidRPr="00413A3E">
        <w:rPr>
          <w:rFonts w:ascii="Tahoma" w:hAnsi="Tahoma" w:cs="Tahoma"/>
          <w:sz w:val="24"/>
          <w:szCs w:val="24"/>
        </w:rPr>
        <w:t xml:space="preserve"> -</w:t>
      </w:r>
      <w:r w:rsidRPr="00413A3E">
        <w:rPr>
          <w:rFonts w:ascii="Tahoma" w:hAnsi="Tahoma" w:cs="Tahoma"/>
          <w:sz w:val="24"/>
          <w:szCs w:val="24"/>
        </w:rPr>
        <w:t xml:space="preserve"> gdy Kb gminy jest mniejsza od Kbk (kwoty bazowej dla kraju</w:t>
      </w:r>
      <w:r w:rsidR="0021766D" w:rsidRPr="00413A3E">
        <w:rPr>
          <w:rFonts w:ascii="Tahoma" w:hAnsi="Tahoma" w:cs="Tahoma"/>
          <w:sz w:val="24"/>
          <w:szCs w:val="24"/>
        </w:rPr>
        <w:t>)</w:t>
      </w:r>
    </w:p>
    <w:p w:rsidR="0021766D" w:rsidRPr="00413A3E" w:rsidRDefault="0021766D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30% - gdy Kb </w:t>
      </w:r>
      <w:r w:rsidR="00675E3A" w:rsidRPr="00413A3E">
        <w:rPr>
          <w:rFonts w:ascii="Tahoma" w:hAnsi="Tahoma" w:cs="Tahoma"/>
          <w:sz w:val="24"/>
          <w:szCs w:val="24"/>
        </w:rPr>
        <w:t xml:space="preserve">gminy </w:t>
      </w:r>
      <w:r w:rsidRPr="00413A3E">
        <w:rPr>
          <w:rFonts w:ascii="Tahoma" w:hAnsi="Tahoma" w:cs="Tahoma"/>
          <w:sz w:val="24"/>
          <w:szCs w:val="24"/>
        </w:rPr>
        <w:t>jest większa od 100% i  mniejsza od120% Kbk</w:t>
      </w:r>
    </w:p>
    <w:p w:rsidR="0021766D" w:rsidRPr="00413A3E" w:rsidRDefault="0021766D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20%, gdy Kb  </w:t>
      </w:r>
      <w:r w:rsidR="00675E3A" w:rsidRPr="00413A3E">
        <w:rPr>
          <w:rFonts w:ascii="Tahoma" w:hAnsi="Tahoma" w:cs="Tahoma"/>
          <w:sz w:val="24"/>
          <w:szCs w:val="24"/>
        </w:rPr>
        <w:t xml:space="preserve">gminy </w:t>
      </w:r>
      <w:r w:rsidRPr="00413A3E">
        <w:rPr>
          <w:rFonts w:ascii="Tahoma" w:hAnsi="Tahoma" w:cs="Tahoma"/>
          <w:sz w:val="24"/>
          <w:szCs w:val="24"/>
        </w:rPr>
        <w:t>jest większa od 120%</w:t>
      </w:r>
      <w:r w:rsidR="00675E3A" w:rsidRPr="00413A3E">
        <w:rPr>
          <w:rFonts w:ascii="Tahoma" w:hAnsi="Tahoma" w:cs="Tahoma"/>
          <w:sz w:val="24"/>
          <w:szCs w:val="24"/>
        </w:rPr>
        <w:t xml:space="preserve">, </w:t>
      </w:r>
      <w:r w:rsidRPr="00413A3E">
        <w:rPr>
          <w:rFonts w:ascii="Tahoma" w:hAnsi="Tahoma" w:cs="Tahoma"/>
          <w:sz w:val="24"/>
          <w:szCs w:val="24"/>
        </w:rPr>
        <w:t>a mniejsza od 200% Kbk</w:t>
      </w:r>
    </w:p>
    <w:p w:rsidR="00F5261E" w:rsidRPr="00413A3E" w:rsidRDefault="00F5261E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F5261E" w:rsidRPr="00413A3E" w:rsidRDefault="00F5261E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Poczynając od roku 2017 konieczne jest stosowanie mechanizmu korygującego, </w:t>
      </w:r>
      <w:r w:rsidR="00413A3E">
        <w:rPr>
          <w:rFonts w:ascii="Tahoma" w:hAnsi="Tahoma" w:cs="Tahoma"/>
          <w:sz w:val="24"/>
          <w:szCs w:val="24"/>
        </w:rPr>
        <w:br/>
      </w:r>
      <w:r w:rsidRPr="00413A3E">
        <w:rPr>
          <w:rFonts w:ascii="Tahoma" w:hAnsi="Tahoma" w:cs="Tahoma"/>
          <w:sz w:val="24"/>
          <w:szCs w:val="24"/>
        </w:rPr>
        <w:t>o którym mowa w art.12 ust</w:t>
      </w:r>
      <w:r w:rsidR="00413A3E">
        <w:rPr>
          <w:rFonts w:ascii="Tahoma" w:hAnsi="Tahoma" w:cs="Tahoma"/>
          <w:sz w:val="24"/>
          <w:szCs w:val="24"/>
        </w:rPr>
        <w:t>.</w:t>
      </w:r>
      <w:r w:rsidRPr="00413A3E">
        <w:rPr>
          <w:rFonts w:ascii="Tahoma" w:hAnsi="Tahoma" w:cs="Tahoma"/>
          <w:sz w:val="24"/>
          <w:szCs w:val="24"/>
        </w:rPr>
        <w:t xml:space="preserve"> 3 usf</w:t>
      </w:r>
      <w:r w:rsidR="00675E3A" w:rsidRPr="00413A3E">
        <w:rPr>
          <w:rFonts w:ascii="Tahoma" w:hAnsi="Tahoma" w:cs="Tahoma"/>
          <w:sz w:val="24"/>
          <w:szCs w:val="24"/>
        </w:rPr>
        <w:t>,</w:t>
      </w:r>
      <w:r w:rsidRPr="00413A3E">
        <w:rPr>
          <w:rFonts w:ascii="Tahoma" w:hAnsi="Tahoma" w:cs="Tahoma"/>
          <w:sz w:val="24"/>
          <w:szCs w:val="24"/>
        </w:rPr>
        <w:t xml:space="preserve"> polegając</w:t>
      </w:r>
      <w:r w:rsidR="00416598" w:rsidRPr="00413A3E">
        <w:rPr>
          <w:rFonts w:ascii="Tahoma" w:hAnsi="Tahoma" w:cs="Tahoma"/>
          <w:sz w:val="24"/>
          <w:szCs w:val="24"/>
        </w:rPr>
        <w:t>ego</w:t>
      </w:r>
      <w:r w:rsidRPr="00413A3E">
        <w:rPr>
          <w:rFonts w:ascii="Tahoma" w:hAnsi="Tahoma" w:cs="Tahoma"/>
          <w:sz w:val="24"/>
          <w:szCs w:val="24"/>
        </w:rPr>
        <w:t xml:space="preserve"> na obniżeniu wysokości zwrotu wydatków wykonanych w ramach funduszu, dla każdej z grup gmin o określonym Kb, o wskaźnik wynikający z różnicy między sumą należnych gminom środków, a </w:t>
      </w:r>
      <w:r w:rsidR="00675E3A" w:rsidRPr="00413A3E">
        <w:rPr>
          <w:rFonts w:ascii="Tahoma" w:hAnsi="Tahoma" w:cs="Tahoma"/>
          <w:sz w:val="24"/>
          <w:szCs w:val="24"/>
        </w:rPr>
        <w:t xml:space="preserve">limitem </w:t>
      </w:r>
      <w:r w:rsidRPr="00413A3E">
        <w:rPr>
          <w:rFonts w:ascii="Tahoma" w:hAnsi="Tahoma" w:cs="Tahoma"/>
          <w:sz w:val="24"/>
          <w:szCs w:val="24"/>
        </w:rPr>
        <w:t>określonym w art. 12. ust 1</w:t>
      </w:r>
      <w:r w:rsidR="00C20944" w:rsidRPr="00413A3E">
        <w:rPr>
          <w:rFonts w:ascii="Tahoma" w:hAnsi="Tahoma" w:cs="Tahoma"/>
          <w:sz w:val="24"/>
          <w:szCs w:val="24"/>
        </w:rPr>
        <w:t>:</w:t>
      </w:r>
    </w:p>
    <w:p w:rsidR="00F5261E" w:rsidRPr="00413A3E" w:rsidRDefault="00F5261E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2548"/>
        <w:gridCol w:w="2266"/>
      </w:tblGrid>
      <w:tr w:rsidR="00F5261E" w:rsidRPr="00413A3E" w:rsidTr="001A4188">
        <w:tc>
          <w:tcPr>
            <w:tcW w:w="1129" w:type="dxa"/>
          </w:tcPr>
          <w:p w:rsidR="00F5261E" w:rsidRPr="00413A3E" w:rsidRDefault="00F5261E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Rok</w:t>
            </w:r>
          </w:p>
        </w:tc>
        <w:tc>
          <w:tcPr>
            <w:tcW w:w="311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Zwrot należny gminom</w:t>
            </w:r>
            <w:r w:rsidR="00C20944" w:rsidRPr="00413A3E">
              <w:rPr>
                <w:rFonts w:ascii="Tahoma" w:hAnsi="Tahoma" w:cs="Tahoma"/>
                <w:sz w:val="24"/>
                <w:szCs w:val="24"/>
              </w:rPr>
              <w:t>*</w:t>
            </w:r>
          </w:p>
        </w:tc>
        <w:tc>
          <w:tcPr>
            <w:tcW w:w="2548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Limit</w:t>
            </w:r>
            <w:r w:rsidR="00C20944" w:rsidRPr="00413A3E">
              <w:rPr>
                <w:rFonts w:ascii="Tahoma" w:hAnsi="Tahoma" w:cs="Tahoma"/>
                <w:sz w:val="24"/>
                <w:szCs w:val="24"/>
              </w:rPr>
              <w:t xml:space="preserve"> (</w:t>
            </w:r>
            <w:r w:rsidR="007747CC" w:rsidRPr="00413A3E">
              <w:rPr>
                <w:rFonts w:ascii="Tahoma" w:hAnsi="Tahoma" w:cs="Tahoma"/>
                <w:sz w:val="24"/>
                <w:szCs w:val="24"/>
              </w:rPr>
              <w:t>art. 12 ust.1)</w:t>
            </w:r>
          </w:p>
        </w:tc>
        <w:tc>
          <w:tcPr>
            <w:tcW w:w="2266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różnica</w:t>
            </w:r>
          </w:p>
        </w:tc>
      </w:tr>
      <w:tr w:rsidR="00F5261E" w:rsidRPr="00413A3E" w:rsidTr="001A4188">
        <w:tc>
          <w:tcPr>
            <w:tcW w:w="112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2016</w:t>
            </w:r>
          </w:p>
        </w:tc>
        <w:tc>
          <w:tcPr>
            <w:tcW w:w="3119" w:type="dxa"/>
          </w:tcPr>
          <w:p w:rsidR="001A4188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128 284 149</w:t>
            </w:r>
          </w:p>
        </w:tc>
        <w:tc>
          <w:tcPr>
            <w:tcW w:w="2548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129 000 000</w:t>
            </w:r>
          </w:p>
        </w:tc>
        <w:tc>
          <w:tcPr>
            <w:tcW w:w="2266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 xml:space="preserve">  -715 851</w:t>
            </w:r>
          </w:p>
        </w:tc>
      </w:tr>
      <w:tr w:rsidR="00F5261E" w:rsidRPr="00413A3E" w:rsidTr="001A4188">
        <w:tc>
          <w:tcPr>
            <w:tcW w:w="112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2017</w:t>
            </w:r>
          </w:p>
        </w:tc>
        <w:tc>
          <w:tcPr>
            <w:tcW w:w="311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148 088 417</w:t>
            </w:r>
          </w:p>
        </w:tc>
        <w:tc>
          <w:tcPr>
            <w:tcW w:w="2548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132 000 000</w:t>
            </w:r>
          </w:p>
        </w:tc>
        <w:tc>
          <w:tcPr>
            <w:tcW w:w="2266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3A3E">
              <w:rPr>
                <w:rFonts w:ascii="Tahoma" w:hAnsi="Tahoma" w:cs="Tahoma"/>
                <w:b/>
                <w:bCs/>
                <w:sz w:val="24"/>
                <w:szCs w:val="24"/>
              </w:rPr>
              <w:t>16 088 417</w:t>
            </w:r>
          </w:p>
        </w:tc>
      </w:tr>
      <w:tr w:rsidR="00F5261E" w:rsidRPr="00413A3E" w:rsidTr="001A4188">
        <w:tc>
          <w:tcPr>
            <w:tcW w:w="112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2018</w:t>
            </w:r>
          </w:p>
        </w:tc>
        <w:tc>
          <w:tcPr>
            <w:tcW w:w="311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155 063 044</w:t>
            </w:r>
          </w:p>
        </w:tc>
        <w:tc>
          <w:tcPr>
            <w:tcW w:w="2548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135 500 000</w:t>
            </w:r>
          </w:p>
        </w:tc>
        <w:tc>
          <w:tcPr>
            <w:tcW w:w="2266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3A3E">
              <w:rPr>
                <w:rFonts w:ascii="Tahoma" w:hAnsi="Tahoma" w:cs="Tahoma"/>
                <w:b/>
                <w:bCs/>
                <w:sz w:val="24"/>
                <w:szCs w:val="24"/>
              </w:rPr>
              <w:t>19 563 044</w:t>
            </w:r>
          </w:p>
        </w:tc>
      </w:tr>
      <w:tr w:rsidR="00F5261E" w:rsidRPr="00413A3E" w:rsidTr="001A4188">
        <w:tc>
          <w:tcPr>
            <w:tcW w:w="112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2019</w:t>
            </w:r>
          </w:p>
        </w:tc>
        <w:tc>
          <w:tcPr>
            <w:tcW w:w="311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193 930 595</w:t>
            </w:r>
          </w:p>
        </w:tc>
        <w:tc>
          <w:tcPr>
            <w:tcW w:w="2548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138 500 000</w:t>
            </w:r>
          </w:p>
        </w:tc>
        <w:tc>
          <w:tcPr>
            <w:tcW w:w="2266" w:type="dxa"/>
          </w:tcPr>
          <w:p w:rsidR="00F5261E" w:rsidRPr="00413A3E" w:rsidRDefault="00C20944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3A3E">
              <w:rPr>
                <w:rFonts w:ascii="Tahoma" w:hAnsi="Tahoma" w:cs="Tahoma"/>
                <w:b/>
                <w:bCs/>
                <w:sz w:val="24"/>
                <w:szCs w:val="24"/>
              </w:rPr>
              <w:t>55 430 595</w:t>
            </w:r>
          </w:p>
        </w:tc>
      </w:tr>
      <w:tr w:rsidR="00F5261E" w:rsidRPr="00413A3E" w:rsidTr="001A4188">
        <w:tc>
          <w:tcPr>
            <w:tcW w:w="112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2020</w:t>
            </w:r>
          </w:p>
        </w:tc>
        <w:tc>
          <w:tcPr>
            <w:tcW w:w="311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216 564 720</w:t>
            </w:r>
          </w:p>
        </w:tc>
        <w:tc>
          <w:tcPr>
            <w:tcW w:w="2548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142 000 000</w:t>
            </w:r>
          </w:p>
        </w:tc>
        <w:tc>
          <w:tcPr>
            <w:tcW w:w="2266" w:type="dxa"/>
          </w:tcPr>
          <w:p w:rsidR="00F5261E" w:rsidRPr="00413A3E" w:rsidRDefault="00C20944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3A3E">
              <w:rPr>
                <w:rFonts w:ascii="Tahoma" w:hAnsi="Tahoma" w:cs="Tahoma"/>
                <w:b/>
                <w:bCs/>
                <w:sz w:val="24"/>
                <w:szCs w:val="24"/>
              </w:rPr>
              <w:t>74 564 720</w:t>
            </w:r>
          </w:p>
        </w:tc>
      </w:tr>
      <w:tr w:rsidR="00F5261E" w:rsidRPr="00413A3E" w:rsidTr="001A4188">
        <w:tc>
          <w:tcPr>
            <w:tcW w:w="112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2021</w:t>
            </w:r>
          </w:p>
        </w:tc>
        <w:tc>
          <w:tcPr>
            <w:tcW w:w="3119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229 576 571</w:t>
            </w:r>
          </w:p>
        </w:tc>
        <w:tc>
          <w:tcPr>
            <w:tcW w:w="2548" w:type="dxa"/>
          </w:tcPr>
          <w:p w:rsidR="00F5261E" w:rsidRPr="00413A3E" w:rsidRDefault="001A4188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145 500 000</w:t>
            </w:r>
          </w:p>
        </w:tc>
        <w:tc>
          <w:tcPr>
            <w:tcW w:w="2266" w:type="dxa"/>
          </w:tcPr>
          <w:p w:rsidR="00F5261E" w:rsidRPr="00413A3E" w:rsidRDefault="00C20944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3A3E">
              <w:rPr>
                <w:rFonts w:ascii="Tahoma" w:hAnsi="Tahoma" w:cs="Tahoma"/>
                <w:b/>
                <w:bCs/>
                <w:sz w:val="24"/>
                <w:szCs w:val="24"/>
              </w:rPr>
              <w:t>84 076 571</w:t>
            </w:r>
          </w:p>
        </w:tc>
      </w:tr>
    </w:tbl>
    <w:p w:rsidR="00F5261E" w:rsidRPr="00413A3E" w:rsidRDefault="00C20944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* suma kwot określonych we wnioskach gmin przekazanych wojewodom </w:t>
      </w:r>
    </w:p>
    <w:p w:rsidR="00C20944" w:rsidRPr="00413A3E" w:rsidRDefault="00C20944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C043C0" w:rsidRPr="00413A3E" w:rsidRDefault="00C20944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Z powyższego wynika, iż </w:t>
      </w:r>
      <w:r w:rsidR="005474E0" w:rsidRPr="00413A3E">
        <w:rPr>
          <w:rFonts w:ascii="Tahoma" w:hAnsi="Tahoma" w:cs="Tahoma"/>
          <w:sz w:val="24"/>
          <w:szCs w:val="24"/>
        </w:rPr>
        <w:t>za</w:t>
      </w:r>
      <w:r w:rsidRPr="00413A3E">
        <w:rPr>
          <w:rFonts w:ascii="Tahoma" w:hAnsi="Tahoma" w:cs="Tahoma"/>
          <w:sz w:val="24"/>
          <w:szCs w:val="24"/>
        </w:rPr>
        <w:t xml:space="preserve">  lat</w:t>
      </w:r>
      <w:r w:rsidR="005474E0" w:rsidRPr="00413A3E">
        <w:rPr>
          <w:rFonts w:ascii="Tahoma" w:hAnsi="Tahoma" w:cs="Tahoma"/>
          <w:sz w:val="24"/>
          <w:szCs w:val="24"/>
        </w:rPr>
        <w:t>a</w:t>
      </w:r>
      <w:r w:rsidRPr="00413A3E">
        <w:rPr>
          <w:rFonts w:ascii="Tahoma" w:hAnsi="Tahoma" w:cs="Tahoma"/>
          <w:sz w:val="24"/>
          <w:szCs w:val="24"/>
        </w:rPr>
        <w:t xml:space="preserve">  2017-2021, gminy otrzymają zwrot poniesionych wydatków </w:t>
      </w:r>
      <w:r w:rsidR="00675E3A" w:rsidRPr="00413A3E">
        <w:rPr>
          <w:rFonts w:ascii="Tahoma" w:hAnsi="Tahoma" w:cs="Tahoma"/>
          <w:sz w:val="24"/>
          <w:szCs w:val="24"/>
        </w:rPr>
        <w:t>zaniżony</w:t>
      </w:r>
      <w:r w:rsidRPr="00413A3E">
        <w:rPr>
          <w:rFonts w:ascii="Tahoma" w:hAnsi="Tahoma" w:cs="Tahoma"/>
          <w:sz w:val="24"/>
          <w:szCs w:val="24"/>
        </w:rPr>
        <w:t xml:space="preserve"> o kwotę 249 723 347 zł</w:t>
      </w:r>
      <w:r w:rsidR="00C043C0" w:rsidRPr="00413A3E">
        <w:rPr>
          <w:rFonts w:ascii="Tahoma" w:hAnsi="Tahoma" w:cs="Tahoma"/>
          <w:sz w:val="24"/>
          <w:szCs w:val="24"/>
        </w:rPr>
        <w:t xml:space="preserve">. Jednocześnie z roku na rok kwota </w:t>
      </w:r>
      <w:r w:rsidR="00675E3A" w:rsidRPr="00413A3E">
        <w:rPr>
          <w:rFonts w:ascii="Tahoma" w:hAnsi="Tahoma" w:cs="Tahoma"/>
          <w:sz w:val="24"/>
          <w:szCs w:val="24"/>
        </w:rPr>
        <w:t xml:space="preserve">tego </w:t>
      </w:r>
      <w:r w:rsidR="00675E3A" w:rsidRPr="00413A3E">
        <w:rPr>
          <w:rFonts w:ascii="Tahoma" w:hAnsi="Tahoma" w:cs="Tahoma"/>
          <w:sz w:val="24"/>
          <w:szCs w:val="24"/>
        </w:rPr>
        <w:lastRenderedPageBreak/>
        <w:t>uszczerbku</w:t>
      </w:r>
      <w:r w:rsidR="00C043C0" w:rsidRPr="00413A3E">
        <w:rPr>
          <w:rFonts w:ascii="Tahoma" w:hAnsi="Tahoma" w:cs="Tahoma"/>
          <w:sz w:val="24"/>
          <w:szCs w:val="24"/>
        </w:rPr>
        <w:t xml:space="preserve"> rośnie. Można założyć, że w roku 2023</w:t>
      </w:r>
      <w:r w:rsidR="000912AF" w:rsidRPr="00413A3E">
        <w:rPr>
          <w:rFonts w:ascii="Tahoma" w:hAnsi="Tahoma" w:cs="Tahoma"/>
          <w:sz w:val="24"/>
          <w:szCs w:val="24"/>
        </w:rPr>
        <w:t xml:space="preserve"> (</w:t>
      </w:r>
      <w:r w:rsidR="00C043C0" w:rsidRPr="00413A3E">
        <w:rPr>
          <w:rFonts w:ascii="Tahoma" w:hAnsi="Tahoma" w:cs="Tahoma"/>
          <w:sz w:val="24"/>
          <w:szCs w:val="24"/>
        </w:rPr>
        <w:t>ostatni</w:t>
      </w:r>
      <w:r w:rsidR="000912AF" w:rsidRPr="00413A3E">
        <w:rPr>
          <w:rFonts w:ascii="Tahoma" w:hAnsi="Tahoma" w:cs="Tahoma"/>
          <w:sz w:val="24"/>
          <w:szCs w:val="24"/>
        </w:rPr>
        <w:t>m</w:t>
      </w:r>
      <w:r w:rsidR="00C043C0" w:rsidRPr="00413A3E">
        <w:rPr>
          <w:rFonts w:ascii="Tahoma" w:hAnsi="Tahoma" w:cs="Tahoma"/>
          <w:sz w:val="24"/>
          <w:szCs w:val="24"/>
        </w:rPr>
        <w:t xml:space="preserve"> </w:t>
      </w:r>
      <w:r w:rsidR="000912AF" w:rsidRPr="00413A3E">
        <w:rPr>
          <w:rFonts w:ascii="Tahoma" w:hAnsi="Tahoma" w:cs="Tahoma"/>
          <w:sz w:val="24"/>
          <w:szCs w:val="24"/>
        </w:rPr>
        <w:t xml:space="preserve">w okresie regulowanym </w:t>
      </w:r>
      <w:r w:rsidR="00C043C0" w:rsidRPr="00413A3E">
        <w:rPr>
          <w:rFonts w:ascii="Tahoma" w:hAnsi="Tahoma" w:cs="Tahoma"/>
          <w:sz w:val="24"/>
          <w:szCs w:val="24"/>
        </w:rPr>
        <w:t>art. 12 ust.1  u</w:t>
      </w:r>
      <w:r w:rsidR="00230792" w:rsidRPr="00413A3E">
        <w:rPr>
          <w:rFonts w:ascii="Tahoma" w:hAnsi="Tahoma" w:cs="Tahoma"/>
          <w:sz w:val="24"/>
          <w:szCs w:val="24"/>
        </w:rPr>
        <w:t>fs</w:t>
      </w:r>
      <w:r w:rsidR="000912AF" w:rsidRPr="00413A3E">
        <w:rPr>
          <w:rFonts w:ascii="Tahoma" w:hAnsi="Tahoma" w:cs="Tahoma"/>
          <w:sz w:val="24"/>
          <w:szCs w:val="24"/>
        </w:rPr>
        <w:t>),</w:t>
      </w:r>
      <w:r w:rsidR="00C043C0" w:rsidRPr="00413A3E">
        <w:rPr>
          <w:rFonts w:ascii="Tahoma" w:hAnsi="Tahoma" w:cs="Tahoma"/>
          <w:sz w:val="24"/>
          <w:szCs w:val="24"/>
        </w:rPr>
        <w:t xml:space="preserve"> dla którego  limit wynosi 152 500 000 zł., gminy nie otrzymają ponad 100 mln zł. należnych im środków</w:t>
      </w:r>
      <w:r w:rsidR="000912AF" w:rsidRPr="00413A3E">
        <w:rPr>
          <w:rFonts w:ascii="Tahoma" w:hAnsi="Tahoma" w:cs="Tahoma"/>
          <w:sz w:val="24"/>
          <w:szCs w:val="24"/>
        </w:rPr>
        <w:t>. Jest to</w:t>
      </w:r>
      <w:r w:rsidR="00C043C0" w:rsidRPr="00413A3E">
        <w:rPr>
          <w:rFonts w:ascii="Tahoma" w:hAnsi="Tahoma" w:cs="Tahoma"/>
          <w:sz w:val="24"/>
          <w:szCs w:val="24"/>
        </w:rPr>
        <w:t xml:space="preserve"> rażąc</w:t>
      </w:r>
      <w:r w:rsidR="000912AF" w:rsidRPr="00413A3E">
        <w:rPr>
          <w:rFonts w:ascii="Tahoma" w:hAnsi="Tahoma" w:cs="Tahoma"/>
          <w:sz w:val="24"/>
          <w:szCs w:val="24"/>
        </w:rPr>
        <w:t>o</w:t>
      </w:r>
      <w:r w:rsidR="00C043C0" w:rsidRPr="00413A3E">
        <w:rPr>
          <w:rFonts w:ascii="Tahoma" w:hAnsi="Tahoma" w:cs="Tahoma"/>
          <w:sz w:val="24"/>
          <w:szCs w:val="24"/>
        </w:rPr>
        <w:t xml:space="preserve"> sprzeczne z intencją ustawy</w:t>
      </w:r>
      <w:r w:rsidR="000912AF" w:rsidRPr="00413A3E">
        <w:rPr>
          <w:rFonts w:ascii="Tahoma" w:hAnsi="Tahoma" w:cs="Tahoma"/>
          <w:sz w:val="24"/>
          <w:szCs w:val="24"/>
        </w:rPr>
        <w:t>, która ustala zwrot na poziomach znacząco odbiegających od zaistniałego trendu.</w:t>
      </w:r>
      <w:r w:rsidR="007747CC" w:rsidRPr="00413A3E">
        <w:rPr>
          <w:rFonts w:ascii="Tahoma" w:hAnsi="Tahoma" w:cs="Tahoma"/>
          <w:sz w:val="24"/>
          <w:szCs w:val="24"/>
        </w:rPr>
        <w:t xml:space="preserve"> </w:t>
      </w:r>
      <w:r w:rsidR="000912AF" w:rsidRPr="00413A3E">
        <w:rPr>
          <w:rFonts w:ascii="Tahoma" w:hAnsi="Tahoma" w:cs="Tahoma"/>
          <w:sz w:val="24"/>
          <w:szCs w:val="24"/>
        </w:rPr>
        <w:t>O</w:t>
      </w:r>
      <w:r w:rsidR="007747CC" w:rsidRPr="00413A3E">
        <w:rPr>
          <w:rFonts w:ascii="Tahoma" w:hAnsi="Tahoma" w:cs="Tahoma"/>
          <w:sz w:val="24"/>
          <w:szCs w:val="24"/>
        </w:rPr>
        <w:t>brazuj</w:t>
      </w:r>
      <w:r w:rsidR="005474E0" w:rsidRPr="00413A3E">
        <w:rPr>
          <w:rFonts w:ascii="Tahoma" w:hAnsi="Tahoma" w:cs="Tahoma"/>
          <w:sz w:val="24"/>
          <w:szCs w:val="24"/>
        </w:rPr>
        <w:t>e</w:t>
      </w:r>
      <w:r w:rsidR="007747CC" w:rsidRPr="00413A3E">
        <w:rPr>
          <w:rFonts w:ascii="Tahoma" w:hAnsi="Tahoma" w:cs="Tahoma"/>
          <w:sz w:val="24"/>
          <w:szCs w:val="24"/>
        </w:rPr>
        <w:t xml:space="preserve"> to </w:t>
      </w:r>
      <w:r w:rsidR="000912AF" w:rsidRPr="00413A3E">
        <w:rPr>
          <w:rFonts w:ascii="Tahoma" w:hAnsi="Tahoma" w:cs="Tahoma"/>
          <w:sz w:val="24"/>
          <w:szCs w:val="24"/>
        </w:rPr>
        <w:t xml:space="preserve">systematycznie malejąca </w:t>
      </w:r>
      <w:r w:rsidR="007747CC" w:rsidRPr="00413A3E">
        <w:rPr>
          <w:rFonts w:ascii="Tahoma" w:hAnsi="Tahoma" w:cs="Tahoma"/>
          <w:sz w:val="24"/>
          <w:szCs w:val="24"/>
        </w:rPr>
        <w:t>w</w:t>
      </w:r>
      <w:r w:rsidR="005474E0" w:rsidRPr="00413A3E">
        <w:rPr>
          <w:rFonts w:ascii="Tahoma" w:hAnsi="Tahoma" w:cs="Tahoma"/>
          <w:sz w:val="24"/>
          <w:szCs w:val="24"/>
        </w:rPr>
        <w:t>artość wskaźników korygujących:</w:t>
      </w:r>
      <w:r w:rsidR="007747CC" w:rsidRPr="00413A3E">
        <w:rPr>
          <w:rFonts w:ascii="Tahoma" w:hAnsi="Tahoma" w:cs="Tahoma"/>
          <w:sz w:val="24"/>
          <w:szCs w:val="24"/>
        </w:rPr>
        <w:t xml:space="preserve"> </w:t>
      </w:r>
    </w:p>
    <w:p w:rsidR="005474E0" w:rsidRPr="00413A3E" w:rsidRDefault="005474E0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2548"/>
        <w:gridCol w:w="2266"/>
      </w:tblGrid>
      <w:tr w:rsidR="005474E0" w:rsidRPr="00413A3E" w:rsidTr="006973E3">
        <w:tc>
          <w:tcPr>
            <w:tcW w:w="1696" w:type="dxa"/>
            <w:vMerge w:val="restart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 xml:space="preserve">Rok </w:t>
            </w:r>
          </w:p>
        </w:tc>
        <w:tc>
          <w:tcPr>
            <w:tcW w:w="7366" w:type="dxa"/>
            <w:gridSpan w:val="3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należny zwrot wg. grup gmin określonych w art.3 ust. 8 u</w:t>
            </w:r>
            <w:r w:rsidR="00230792" w:rsidRPr="00413A3E">
              <w:rPr>
                <w:rFonts w:ascii="Tahoma" w:hAnsi="Tahoma" w:cs="Tahoma"/>
                <w:sz w:val="24"/>
                <w:szCs w:val="24"/>
              </w:rPr>
              <w:t>fs</w:t>
            </w:r>
          </w:p>
        </w:tc>
      </w:tr>
      <w:tr w:rsidR="005474E0" w:rsidRPr="00413A3E" w:rsidTr="005474E0">
        <w:tc>
          <w:tcPr>
            <w:tcW w:w="1696" w:type="dxa"/>
            <w:vMerge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3A3E">
              <w:rPr>
                <w:rFonts w:ascii="Tahoma" w:hAnsi="Tahoma" w:cs="Tahoma"/>
                <w:b/>
                <w:bCs/>
                <w:sz w:val="24"/>
                <w:szCs w:val="24"/>
              </w:rPr>
              <w:t>40%</w:t>
            </w:r>
          </w:p>
        </w:tc>
        <w:tc>
          <w:tcPr>
            <w:tcW w:w="2548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3A3E">
              <w:rPr>
                <w:rFonts w:ascii="Tahoma" w:hAnsi="Tahoma" w:cs="Tahoma"/>
                <w:b/>
                <w:bCs/>
                <w:sz w:val="24"/>
                <w:szCs w:val="24"/>
              </w:rPr>
              <w:t>30%</w:t>
            </w:r>
          </w:p>
        </w:tc>
        <w:tc>
          <w:tcPr>
            <w:tcW w:w="2266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3A3E">
              <w:rPr>
                <w:rFonts w:ascii="Tahoma" w:hAnsi="Tahoma" w:cs="Tahoma"/>
                <w:b/>
                <w:bCs/>
                <w:sz w:val="24"/>
                <w:szCs w:val="24"/>
              </w:rPr>
              <w:t>20%</w:t>
            </w:r>
          </w:p>
        </w:tc>
      </w:tr>
      <w:tr w:rsidR="000912AF" w:rsidRPr="00413A3E" w:rsidTr="00FA3655">
        <w:tc>
          <w:tcPr>
            <w:tcW w:w="1696" w:type="dxa"/>
          </w:tcPr>
          <w:p w:rsidR="000912AF" w:rsidRPr="00413A3E" w:rsidRDefault="000912AF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366" w:type="dxa"/>
            <w:gridSpan w:val="3"/>
          </w:tcPr>
          <w:p w:rsidR="000912AF" w:rsidRPr="00413A3E" w:rsidRDefault="000912AF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wskaźniki korygujące</w:t>
            </w:r>
          </w:p>
        </w:tc>
      </w:tr>
      <w:tr w:rsidR="005474E0" w:rsidRPr="00413A3E" w:rsidTr="005474E0">
        <w:tc>
          <w:tcPr>
            <w:tcW w:w="1696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2017</w:t>
            </w:r>
          </w:p>
        </w:tc>
        <w:tc>
          <w:tcPr>
            <w:tcW w:w="2552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35,654%</w:t>
            </w:r>
          </w:p>
        </w:tc>
        <w:tc>
          <w:tcPr>
            <w:tcW w:w="2548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26,741%</w:t>
            </w:r>
          </w:p>
        </w:tc>
        <w:tc>
          <w:tcPr>
            <w:tcW w:w="2266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17,477%</w:t>
            </w:r>
          </w:p>
        </w:tc>
      </w:tr>
      <w:tr w:rsidR="005474E0" w:rsidRPr="00413A3E" w:rsidTr="005474E0">
        <w:tc>
          <w:tcPr>
            <w:tcW w:w="1696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2018</w:t>
            </w:r>
          </w:p>
        </w:tc>
        <w:tc>
          <w:tcPr>
            <w:tcW w:w="2552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34,954</w:t>
            </w:r>
            <w:r w:rsidR="000912AF" w:rsidRPr="00413A3E">
              <w:rPr>
                <w:rFonts w:ascii="Tahoma" w:hAnsi="Tahoma" w:cs="Tahoma"/>
                <w:sz w:val="24"/>
                <w:szCs w:val="24"/>
              </w:rPr>
              <w:t>%</w:t>
            </w:r>
          </w:p>
        </w:tc>
        <w:tc>
          <w:tcPr>
            <w:tcW w:w="2548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26,215</w:t>
            </w:r>
            <w:r w:rsidR="000912AF" w:rsidRPr="00413A3E">
              <w:rPr>
                <w:rFonts w:ascii="Tahoma" w:hAnsi="Tahoma" w:cs="Tahoma"/>
                <w:sz w:val="24"/>
                <w:szCs w:val="24"/>
              </w:rPr>
              <w:t>%</w:t>
            </w:r>
          </w:p>
        </w:tc>
        <w:tc>
          <w:tcPr>
            <w:tcW w:w="2266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17,477</w:t>
            </w:r>
            <w:r w:rsidR="000912AF" w:rsidRPr="00413A3E">
              <w:rPr>
                <w:rFonts w:ascii="Tahoma" w:hAnsi="Tahoma" w:cs="Tahoma"/>
                <w:sz w:val="24"/>
                <w:szCs w:val="24"/>
              </w:rPr>
              <w:t>%</w:t>
            </w:r>
          </w:p>
        </w:tc>
      </w:tr>
      <w:tr w:rsidR="005474E0" w:rsidRPr="00413A3E" w:rsidTr="005474E0">
        <w:tc>
          <w:tcPr>
            <w:tcW w:w="1696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2019</w:t>
            </w:r>
          </w:p>
        </w:tc>
        <w:tc>
          <w:tcPr>
            <w:tcW w:w="2552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28,567</w:t>
            </w:r>
            <w:r w:rsidR="000912AF" w:rsidRPr="00413A3E">
              <w:rPr>
                <w:rFonts w:ascii="Tahoma" w:hAnsi="Tahoma" w:cs="Tahoma"/>
                <w:sz w:val="24"/>
                <w:szCs w:val="24"/>
              </w:rPr>
              <w:t>%</w:t>
            </w:r>
          </w:p>
        </w:tc>
        <w:tc>
          <w:tcPr>
            <w:tcW w:w="2548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21,425</w:t>
            </w:r>
            <w:r w:rsidR="000912AF" w:rsidRPr="00413A3E">
              <w:rPr>
                <w:rFonts w:ascii="Tahoma" w:hAnsi="Tahoma" w:cs="Tahoma"/>
                <w:sz w:val="24"/>
                <w:szCs w:val="24"/>
              </w:rPr>
              <w:t>%</w:t>
            </w:r>
          </w:p>
        </w:tc>
        <w:tc>
          <w:tcPr>
            <w:tcW w:w="2266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14,283</w:t>
            </w:r>
            <w:r w:rsidR="000912AF" w:rsidRPr="00413A3E">
              <w:rPr>
                <w:rFonts w:ascii="Tahoma" w:hAnsi="Tahoma" w:cs="Tahoma"/>
                <w:sz w:val="24"/>
                <w:szCs w:val="24"/>
              </w:rPr>
              <w:t>%</w:t>
            </w:r>
          </w:p>
        </w:tc>
      </w:tr>
      <w:tr w:rsidR="005474E0" w:rsidRPr="00413A3E" w:rsidTr="005474E0">
        <w:tc>
          <w:tcPr>
            <w:tcW w:w="1696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2020</w:t>
            </w:r>
          </w:p>
        </w:tc>
        <w:tc>
          <w:tcPr>
            <w:tcW w:w="2552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26,204</w:t>
            </w:r>
            <w:r w:rsidR="000912AF" w:rsidRPr="00413A3E">
              <w:rPr>
                <w:rFonts w:ascii="Tahoma" w:hAnsi="Tahoma" w:cs="Tahoma"/>
                <w:sz w:val="24"/>
                <w:szCs w:val="24"/>
              </w:rPr>
              <w:t>%</w:t>
            </w:r>
          </w:p>
        </w:tc>
        <w:tc>
          <w:tcPr>
            <w:tcW w:w="2548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19,654</w:t>
            </w:r>
            <w:r w:rsidR="000912AF" w:rsidRPr="00413A3E">
              <w:rPr>
                <w:rFonts w:ascii="Tahoma" w:hAnsi="Tahoma" w:cs="Tahoma"/>
                <w:sz w:val="24"/>
                <w:szCs w:val="24"/>
              </w:rPr>
              <w:t>%</w:t>
            </w:r>
          </w:p>
        </w:tc>
        <w:tc>
          <w:tcPr>
            <w:tcW w:w="2266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13,102</w:t>
            </w:r>
            <w:r w:rsidR="000912AF" w:rsidRPr="00413A3E">
              <w:rPr>
                <w:rFonts w:ascii="Tahoma" w:hAnsi="Tahoma" w:cs="Tahoma"/>
                <w:sz w:val="24"/>
                <w:szCs w:val="24"/>
              </w:rPr>
              <w:t>%</w:t>
            </w:r>
          </w:p>
        </w:tc>
      </w:tr>
      <w:tr w:rsidR="005474E0" w:rsidRPr="00413A3E" w:rsidTr="005474E0">
        <w:tc>
          <w:tcPr>
            <w:tcW w:w="1696" w:type="dxa"/>
          </w:tcPr>
          <w:p w:rsidR="005474E0" w:rsidRPr="00413A3E" w:rsidRDefault="005474E0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2021</w:t>
            </w:r>
          </w:p>
        </w:tc>
        <w:tc>
          <w:tcPr>
            <w:tcW w:w="2552" w:type="dxa"/>
          </w:tcPr>
          <w:p w:rsidR="005474E0" w:rsidRPr="00413A3E" w:rsidRDefault="000912AF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25,351%</w:t>
            </w:r>
          </w:p>
        </w:tc>
        <w:tc>
          <w:tcPr>
            <w:tcW w:w="2548" w:type="dxa"/>
          </w:tcPr>
          <w:p w:rsidR="005474E0" w:rsidRPr="00413A3E" w:rsidRDefault="000912AF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19,013%</w:t>
            </w:r>
          </w:p>
        </w:tc>
        <w:tc>
          <w:tcPr>
            <w:tcW w:w="2266" w:type="dxa"/>
          </w:tcPr>
          <w:p w:rsidR="005474E0" w:rsidRPr="00413A3E" w:rsidRDefault="000912AF" w:rsidP="00413A3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13A3E">
              <w:rPr>
                <w:rFonts w:ascii="Tahoma" w:hAnsi="Tahoma" w:cs="Tahoma"/>
                <w:sz w:val="24"/>
                <w:szCs w:val="24"/>
              </w:rPr>
              <w:t>12,676%</w:t>
            </w:r>
          </w:p>
        </w:tc>
      </w:tr>
    </w:tbl>
    <w:p w:rsidR="005474E0" w:rsidRPr="00413A3E" w:rsidRDefault="005474E0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7747CC" w:rsidRPr="00413A3E" w:rsidRDefault="007747CC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416598" w:rsidRPr="00413A3E" w:rsidRDefault="00416598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W zaistniałej sytuacji  konieczna jest nowelizacja ufs w kierunku urealnienia poziomu należnego zwrotu, bądź</w:t>
      </w:r>
      <w:r w:rsidR="0008279C" w:rsidRPr="00413A3E">
        <w:rPr>
          <w:rFonts w:ascii="Tahoma" w:hAnsi="Tahoma" w:cs="Tahoma"/>
          <w:sz w:val="24"/>
          <w:szCs w:val="24"/>
        </w:rPr>
        <w:t xml:space="preserve"> - </w:t>
      </w:r>
      <w:r w:rsidRPr="00413A3E">
        <w:rPr>
          <w:rFonts w:ascii="Tahoma" w:hAnsi="Tahoma" w:cs="Tahoma"/>
          <w:sz w:val="24"/>
          <w:szCs w:val="24"/>
        </w:rPr>
        <w:t>zgodnie z pierwotną intencją</w:t>
      </w:r>
      <w:r w:rsidR="0008279C" w:rsidRPr="00413A3E">
        <w:rPr>
          <w:rFonts w:ascii="Tahoma" w:hAnsi="Tahoma" w:cs="Tahoma"/>
          <w:sz w:val="24"/>
          <w:szCs w:val="24"/>
        </w:rPr>
        <w:t>, którą</w:t>
      </w:r>
      <w:r w:rsidRPr="00413A3E">
        <w:rPr>
          <w:rFonts w:ascii="Tahoma" w:hAnsi="Tahoma" w:cs="Tahoma"/>
          <w:sz w:val="24"/>
          <w:szCs w:val="24"/>
        </w:rPr>
        <w:t xml:space="preserve"> był</w:t>
      </w:r>
      <w:r w:rsidR="0008279C" w:rsidRPr="00413A3E">
        <w:rPr>
          <w:rFonts w:ascii="Tahoma" w:hAnsi="Tahoma" w:cs="Tahoma"/>
          <w:sz w:val="24"/>
          <w:szCs w:val="24"/>
        </w:rPr>
        <w:t>a</w:t>
      </w:r>
      <w:r w:rsidRPr="00413A3E">
        <w:rPr>
          <w:rFonts w:ascii="Tahoma" w:hAnsi="Tahoma" w:cs="Tahoma"/>
          <w:sz w:val="24"/>
          <w:szCs w:val="24"/>
        </w:rPr>
        <w:t xml:space="preserve"> powszechność stosowania funduszu sołeckiego jako narzędzia aktywizacji społeczności lokalnej na rzecz poprawy warunków życia</w:t>
      </w:r>
      <w:r w:rsidR="0008279C" w:rsidRPr="00413A3E">
        <w:rPr>
          <w:rFonts w:ascii="Tahoma" w:hAnsi="Tahoma" w:cs="Tahoma"/>
          <w:sz w:val="24"/>
          <w:szCs w:val="24"/>
        </w:rPr>
        <w:t xml:space="preserve"> - należy</w:t>
      </w:r>
      <w:r w:rsidRPr="00413A3E">
        <w:rPr>
          <w:rFonts w:ascii="Tahoma" w:hAnsi="Tahoma" w:cs="Tahoma"/>
          <w:sz w:val="24"/>
          <w:szCs w:val="24"/>
        </w:rPr>
        <w:t xml:space="preserve"> zdecydowan</w:t>
      </w:r>
      <w:r w:rsidR="0008279C" w:rsidRPr="00413A3E">
        <w:rPr>
          <w:rFonts w:ascii="Tahoma" w:hAnsi="Tahoma" w:cs="Tahoma"/>
          <w:sz w:val="24"/>
          <w:szCs w:val="24"/>
        </w:rPr>
        <w:t>i</w:t>
      </w:r>
      <w:r w:rsidRPr="00413A3E">
        <w:rPr>
          <w:rFonts w:ascii="Tahoma" w:hAnsi="Tahoma" w:cs="Tahoma"/>
          <w:sz w:val="24"/>
          <w:szCs w:val="24"/>
        </w:rPr>
        <w:t>e zwiększ</w:t>
      </w:r>
      <w:r w:rsidR="0008279C" w:rsidRPr="00413A3E">
        <w:rPr>
          <w:rFonts w:ascii="Tahoma" w:hAnsi="Tahoma" w:cs="Tahoma"/>
          <w:sz w:val="24"/>
          <w:szCs w:val="24"/>
        </w:rPr>
        <w:t>yć</w:t>
      </w:r>
      <w:r w:rsidRPr="00413A3E">
        <w:rPr>
          <w:rFonts w:ascii="Tahoma" w:hAnsi="Tahoma" w:cs="Tahoma"/>
          <w:sz w:val="24"/>
          <w:szCs w:val="24"/>
        </w:rPr>
        <w:t xml:space="preserve"> określon</w:t>
      </w:r>
      <w:r w:rsidR="0008279C" w:rsidRPr="00413A3E">
        <w:rPr>
          <w:rFonts w:ascii="Tahoma" w:hAnsi="Tahoma" w:cs="Tahoma"/>
          <w:sz w:val="24"/>
          <w:szCs w:val="24"/>
        </w:rPr>
        <w:t>y</w:t>
      </w:r>
      <w:r w:rsidRPr="00413A3E">
        <w:rPr>
          <w:rFonts w:ascii="Tahoma" w:hAnsi="Tahoma" w:cs="Tahoma"/>
          <w:sz w:val="24"/>
          <w:szCs w:val="24"/>
        </w:rPr>
        <w:t xml:space="preserve"> w ustawie limitu</w:t>
      </w:r>
      <w:r w:rsidR="0008279C" w:rsidRPr="00413A3E">
        <w:rPr>
          <w:rFonts w:ascii="Tahoma" w:hAnsi="Tahoma" w:cs="Tahoma"/>
          <w:sz w:val="24"/>
          <w:szCs w:val="24"/>
        </w:rPr>
        <w:t xml:space="preserve"> zwrotu</w:t>
      </w:r>
      <w:r w:rsidRPr="00413A3E">
        <w:rPr>
          <w:rFonts w:ascii="Tahoma" w:hAnsi="Tahoma" w:cs="Tahoma"/>
          <w:sz w:val="24"/>
          <w:szCs w:val="24"/>
        </w:rPr>
        <w:t>. Niniejszy projekt przyjmuje właśnie to rozwiązanie.</w:t>
      </w:r>
    </w:p>
    <w:p w:rsidR="00416598" w:rsidRPr="00413A3E" w:rsidRDefault="00416598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ED387B" w:rsidRPr="00413A3E" w:rsidRDefault="00416598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Z przedstawionej przez Ministra Spaw Wewnętrznych i Administracji </w:t>
      </w:r>
      <w:r w:rsidRPr="00413A3E">
        <w:rPr>
          <w:rFonts w:ascii="Tahoma" w:hAnsi="Tahoma" w:cs="Tahoma"/>
          <w:b/>
          <w:bCs/>
          <w:sz w:val="24"/>
          <w:szCs w:val="24"/>
        </w:rPr>
        <w:t>Informacji dotyczącej wysokości zwrotu w 2021 r. z budżetu państwa części wydatków gmin wykonanych w ramach funduszu sołeckiego w 2020 r.</w:t>
      </w:r>
      <w:r w:rsidRPr="00413A3E">
        <w:rPr>
          <w:rFonts w:ascii="Tahoma" w:hAnsi="Tahoma" w:cs="Tahoma"/>
          <w:sz w:val="24"/>
          <w:szCs w:val="24"/>
        </w:rPr>
        <w:t xml:space="preserve"> wynika, że  łączna maksymalna kwota zwrotu części wydatków wykonanych </w:t>
      </w:r>
      <w:r w:rsidR="00413A3E">
        <w:rPr>
          <w:rFonts w:ascii="Tahoma" w:hAnsi="Tahoma" w:cs="Tahoma"/>
          <w:sz w:val="24"/>
          <w:szCs w:val="24"/>
        </w:rPr>
        <w:br/>
      </w:r>
      <w:r w:rsidRPr="00413A3E">
        <w:rPr>
          <w:rFonts w:ascii="Tahoma" w:hAnsi="Tahoma" w:cs="Tahoma"/>
          <w:sz w:val="24"/>
          <w:szCs w:val="24"/>
        </w:rPr>
        <w:t>w ramach funduszu sołeckiego w 2020 r. kształtuje się na poziomie 229 576 571 zł.</w:t>
      </w:r>
      <w:r w:rsidR="00ED387B" w:rsidRPr="00413A3E">
        <w:rPr>
          <w:rFonts w:ascii="Tahoma" w:hAnsi="Tahoma" w:cs="Tahoma"/>
          <w:sz w:val="24"/>
          <w:szCs w:val="24"/>
        </w:rPr>
        <w:t xml:space="preserve"> </w:t>
      </w:r>
    </w:p>
    <w:p w:rsidR="00230792" w:rsidRPr="00413A3E" w:rsidRDefault="00ED387B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Tę wartość przyjęto jako wyjściową do zmiany limitu wydatków z budżetu państwa w roku 2021. </w:t>
      </w:r>
      <w:r w:rsidR="003B4D31" w:rsidRPr="00413A3E">
        <w:rPr>
          <w:rFonts w:ascii="Tahoma" w:hAnsi="Tahoma" w:cs="Tahoma"/>
          <w:sz w:val="24"/>
          <w:szCs w:val="24"/>
        </w:rPr>
        <w:t xml:space="preserve">Założono, że po okresie dynamicznego przyrostu kwoty należnego gminom zwrotu, jaki miał miejsce w latach 2018 -2020  (odpowiednio 38 867 tys. zł. </w:t>
      </w:r>
      <w:r w:rsidR="002D3E08" w:rsidRPr="00413A3E">
        <w:rPr>
          <w:rFonts w:ascii="Tahoma" w:hAnsi="Tahoma" w:cs="Tahoma"/>
          <w:sz w:val="24"/>
          <w:szCs w:val="24"/>
        </w:rPr>
        <w:t>i</w:t>
      </w:r>
      <w:r w:rsidR="003B4D31" w:rsidRPr="00413A3E">
        <w:rPr>
          <w:rFonts w:ascii="Tahoma" w:hAnsi="Tahoma" w:cs="Tahoma"/>
          <w:sz w:val="24"/>
          <w:szCs w:val="24"/>
        </w:rPr>
        <w:t xml:space="preserve"> 22 834 tys. zł.), przyrost ten kształtować się będzie liniowo na poziomie</w:t>
      </w:r>
      <w:r w:rsidR="00413A3E">
        <w:rPr>
          <w:rFonts w:ascii="Tahoma" w:hAnsi="Tahoma" w:cs="Tahoma"/>
          <w:sz w:val="24"/>
          <w:szCs w:val="24"/>
        </w:rPr>
        <w:br/>
      </w:r>
      <w:r w:rsidR="003B4D31" w:rsidRPr="00413A3E">
        <w:rPr>
          <w:rFonts w:ascii="Tahoma" w:hAnsi="Tahoma" w:cs="Tahoma"/>
          <w:sz w:val="24"/>
          <w:szCs w:val="24"/>
        </w:rPr>
        <w:t xml:space="preserve"> </w:t>
      </w:r>
      <w:r w:rsidR="002D3E08" w:rsidRPr="00413A3E">
        <w:rPr>
          <w:rFonts w:ascii="Tahoma" w:hAnsi="Tahoma" w:cs="Tahoma"/>
          <w:sz w:val="24"/>
          <w:szCs w:val="24"/>
        </w:rPr>
        <w:t>ok. 12 000 tys. zł, tak  jak  pomiędzy rokiem 2020 a 2021. Zatem na</w:t>
      </w:r>
      <w:r w:rsidRPr="00413A3E">
        <w:rPr>
          <w:rFonts w:ascii="Tahoma" w:hAnsi="Tahoma" w:cs="Tahoma"/>
          <w:sz w:val="24"/>
          <w:szCs w:val="24"/>
        </w:rPr>
        <w:t xml:space="preserve"> lata  2022</w:t>
      </w:r>
      <w:r w:rsidR="0008279C" w:rsidRPr="00413A3E">
        <w:rPr>
          <w:rFonts w:ascii="Tahoma" w:hAnsi="Tahoma" w:cs="Tahoma"/>
          <w:sz w:val="24"/>
          <w:szCs w:val="24"/>
        </w:rPr>
        <w:t xml:space="preserve"> </w:t>
      </w:r>
      <w:r w:rsidRPr="00413A3E">
        <w:rPr>
          <w:rFonts w:ascii="Tahoma" w:hAnsi="Tahoma" w:cs="Tahoma"/>
          <w:sz w:val="24"/>
          <w:szCs w:val="24"/>
        </w:rPr>
        <w:t xml:space="preserve">- 2026 </w:t>
      </w:r>
      <w:r w:rsidRPr="00413A3E">
        <w:rPr>
          <w:rFonts w:ascii="Tahoma" w:hAnsi="Tahoma" w:cs="Tahoma"/>
          <w:sz w:val="24"/>
          <w:szCs w:val="24"/>
        </w:rPr>
        <w:lastRenderedPageBreak/>
        <w:t>założono roczny wzrost o 12 000 tys. zł</w:t>
      </w:r>
      <w:r w:rsidR="002D3E08" w:rsidRPr="00413A3E">
        <w:rPr>
          <w:rFonts w:ascii="Tahoma" w:hAnsi="Tahoma" w:cs="Tahoma"/>
          <w:sz w:val="24"/>
          <w:szCs w:val="24"/>
        </w:rPr>
        <w:t xml:space="preserve">, a w okresie późniejszym, </w:t>
      </w:r>
      <w:r w:rsidR="00230792" w:rsidRPr="00413A3E">
        <w:rPr>
          <w:rFonts w:ascii="Tahoma" w:hAnsi="Tahoma" w:cs="Tahoma"/>
          <w:sz w:val="24"/>
          <w:szCs w:val="24"/>
        </w:rPr>
        <w:t xml:space="preserve"> </w:t>
      </w:r>
      <w:r w:rsidR="002D3E08" w:rsidRPr="00413A3E">
        <w:rPr>
          <w:rFonts w:ascii="Tahoma" w:hAnsi="Tahoma" w:cs="Tahoma"/>
          <w:sz w:val="24"/>
          <w:szCs w:val="24"/>
        </w:rPr>
        <w:t>w</w:t>
      </w:r>
      <w:r w:rsidR="00230792" w:rsidRPr="00413A3E">
        <w:rPr>
          <w:rFonts w:ascii="Tahoma" w:hAnsi="Tahoma" w:cs="Tahoma"/>
          <w:sz w:val="24"/>
          <w:szCs w:val="24"/>
        </w:rPr>
        <w:t xml:space="preserve"> lata</w:t>
      </w:r>
      <w:r w:rsidR="002D3E08" w:rsidRPr="00413A3E">
        <w:rPr>
          <w:rFonts w:ascii="Tahoma" w:hAnsi="Tahoma" w:cs="Tahoma"/>
          <w:sz w:val="24"/>
          <w:szCs w:val="24"/>
        </w:rPr>
        <w:t>ch</w:t>
      </w:r>
      <w:r w:rsidR="00230792" w:rsidRPr="00413A3E">
        <w:rPr>
          <w:rFonts w:ascii="Tahoma" w:hAnsi="Tahoma" w:cs="Tahoma"/>
          <w:sz w:val="24"/>
          <w:szCs w:val="24"/>
        </w:rPr>
        <w:t xml:space="preserve"> 2027 -2030</w:t>
      </w:r>
      <w:r w:rsidR="002D3E08" w:rsidRPr="00413A3E">
        <w:rPr>
          <w:rFonts w:ascii="Tahoma" w:hAnsi="Tahoma" w:cs="Tahoma"/>
          <w:sz w:val="24"/>
          <w:szCs w:val="24"/>
        </w:rPr>
        <w:t>,</w:t>
      </w:r>
      <w:r w:rsidR="00230792" w:rsidRPr="00413A3E">
        <w:rPr>
          <w:rFonts w:ascii="Tahoma" w:hAnsi="Tahoma" w:cs="Tahoma"/>
          <w:sz w:val="24"/>
          <w:szCs w:val="24"/>
        </w:rPr>
        <w:t xml:space="preserve"> </w:t>
      </w:r>
      <w:r w:rsidR="00675E3A" w:rsidRPr="00413A3E">
        <w:rPr>
          <w:rFonts w:ascii="Tahoma" w:hAnsi="Tahoma" w:cs="Tahoma"/>
          <w:sz w:val="24"/>
          <w:szCs w:val="24"/>
        </w:rPr>
        <w:t xml:space="preserve">nieco mniejszy, tj. </w:t>
      </w:r>
      <w:r w:rsidR="00230792" w:rsidRPr="00413A3E">
        <w:rPr>
          <w:rFonts w:ascii="Tahoma" w:hAnsi="Tahoma" w:cs="Tahoma"/>
          <w:sz w:val="24"/>
          <w:szCs w:val="24"/>
        </w:rPr>
        <w:t>o 10 000 tys. zł.</w:t>
      </w:r>
    </w:p>
    <w:p w:rsidR="00230792" w:rsidRPr="00413A3E" w:rsidRDefault="00230792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230792" w:rsidRPr="00413A3E" w:rsidRDefault="00230792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W tak sformułowanej </w:t>
      </w:r>
      <w:r w:rsidR="0008279C" w:rsidRPr="00413A3E">
        <w:rPr>
          <w:rFonts w:ascii="Tahoma" w:hAnsi="Tahoma" w:cs="Tahoma"/>
          <w:sz w:val="24"/>
          <w:szCs w:val="24"/>
        </w:rPr>
        <w:t>propozycji wydatki budżetu państwa w latach 2021 -2023 wzrosną o kwotę 278 000 tys. zł.</w:t>
      </w:r>
      <w:r w:rsidR="002D3E08" w:rsidRPr="00413A3E">
        <w:rPr>
          <w:rFonts w:ascii="Tahoma" w:hAnsi="Tahoma" w:cs="Tahoma"/>
          <w:sz w:val="24"/>
          <w:szCs w:val="24"/>
        </w:rPr>
        <w:t xml:space="preserve"> W</w:t>
      </w:r>
      <w:r w:rsidR="0008279C" w:rsidRPr="00413A3E">
        <w:rPr>
          <w:rFonts w:ascii="Tahoma" w:hAnsi="Tahoma" w:cs="Tahoma"/>
          <w:sz w:val="24"/>
          <w:szCs w:val="24"/>
        </w:rPr>
        <w:t xml:space="preserve"> latach 2024 -2030, dla którego to okresu ufs nie określa limitu wydatków, wyniosą 2 094 000 tys. zł.</w:t>
      </w:r>
    </w:p>
    <w:p w:rsidR="00230792" w:rsidRDefault="00230792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413A3E" w:rsidRPr="00413A3E" w:rsidRDefault="00413A3E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Przedmiot projekt ustawy nie jest objęty prawem Unii Europejskiej. </w:t>
      </w:r>
    </w:p>
    <w:p w:rsidR="00C043C0" w:rsidRPr="00413A3E" w:rsidRDefault="00C043C0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F5261E" w:rsidRPr="00413A3E" w:rsidRDefault="00C20944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 </w:t>
      </w:r>
    </w:p>
    <w:p w:rsidR="0021766D" w:rsidRPr="00413A3E" w:rsidRDefault="00F5261E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 </w:t>
      </w:r>
    </w:p>
    <w:p w:rsidR="004B05CD" w:rsidRPr="00413A3E" w:rsidRDefault="00A61DC2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 xml:space="preserve">  </w:t>
      </w:r>
    </w:p>
    <w:p w:rsidR="00A61DC2" w:rsidRPr="00413A3E" w:rsidRDefault="00A61DC2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A61DC2" w:rsidRPr="00413A3E" w:rsidRDefault="00A61DC2" w:rsidP="00413A3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sectPr w:rsidR="00A61DC2" w:rsidRPr="00413A3E" w:rsidSect="00206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EE6" w:rsidRDefault="00C33EE6" w:rsidP="007F5C0D">
      <w:pPr>
        <w:spacing w:after="0" w:line="240" w:lineRule="auto"/>
      </w:pPr>
      <w:r>
        <w:separator/>
      </w:r>
    </w:p>
  </w:endnote>
  <w:endnote w:type="continuationSeparator" w:id="0">
    <w:p w:rsidR="00C33EE6" w:rsidRDefault="00C33EE6" w:rsidP="007F5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EE6" w:rsidRDefault="00C33EE6" w:rsidP="007F5C0D">
      <w:pPr>
        <w:spacing w:after="0" w:line="240" w:lineRule="auto"/>
      </w:pPr>
      <w:r>
        <w:separator/>
      </w:r>
    </w:p>
  </w:footnote>
  <w:footnote w:type="continuationSeparator" w:id="0">
    <w:p w:rsidR="00C33EE6" w:rsidRDefault="00C33EE6" w:rsidP="007F5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A1435"/>
    <w:multiLevelType w:val="hybridMultilevel"/>
    <w:tmpl w:val="E43EA3A6"/>
    <w:lvl w:ilvl="0" w:tplc="6F241ABC">
      <w:start w:val="8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NewRoman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A0D65"/>
    <w:multiLevelType w:val="hybridMultilevel"/>
    <w:tmpl w:val="DEF4D2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0D"/>
    <w:rsid w:val="00071B30"/>
    <w:rsid w:val="0008279C"/>
    <w:rsid w:val="000912AF"/>
    <w:rsid w:val="00111A9D"/>
    <w:rsid w:val="001A4188"/>
    <w:rsid w:val="00206248"/>
    <w:rsid w:val="0021766D"/>
    <w:rsid w:val="00230792"/>
    <w:rsid w:val="00237E08"/>
    <w:rsid w:val="002B38B7"/>
    <w:rsid w:val="002D3E08"/>
    <w:rsid w:val="00376092"/>
    <w:rsid w:val="003A0AF6"/>
    <w:rsid w:val="003B4D31"/>
    <w:rsid w:val="00413A3E"/>
    <w:rsid w:val="00416598"/>
    <w:rsid w:val="004B05CD"/>
    <w:rsid w:val="005474E0"/>
    <w:rsid w:val="005E0663"/>
    <w:rsid w:val="00643250"/>
    <w:rsid w:val="00675E3A"/>
    <w:rsid w:val="007747CC"/>
    <w:rsid w:val="007C544F"/>
    <w:rsid w:val="007F5C0D"/>
    <w:rsid w:val="008A136D"/>
    <w:rsid w:val="008C5B0F"/>
    <w:rsid w:val="00A0370E"/>
    <w:rsid w:val="00A61DC2"/>
    <w:rsid w:val="00A81D09"/>
    <w:rsid w:val="00B06D57"/>
    <w:rsid w:val="00BE1453"/>
    <w:rsid w:val="00C043C0"/>
    <w:rsid w:val="00C20944"/>
    <w:rsid w:val="00C33EE6"/>
    <w:rsid w:val="00E40049"/>
    <w:rsid w:val="00ED387B"/>
    <w:rsid w:val="00F51BAF"/>
    <w:rsid w:val="00F5261E"/>
    <w:rsid w:val="00F6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B74BFE-2AB8-4EDE-A962-21D0B97B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62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5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5C0D"/>
  </w:style>
  <w:style w:type="paragraph" w:styleId="Stopka">
    <w:name w:val="footer"/>
    <w:basedOn w:val="Normalny"/>
    <w:link w:val="StopkaZnak"/>
    <w:uiPriority w:val="99"/>
    <w:unhideWhenUsed/>
    <w:rsid w:val="007F5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5C0D"/>
  </w:style>
  <w:style w:type="paragraph" w:styleId="Akapitzlist">
    <w:name w:val="List Paragraph"/>
    <w:basedOn w:val="Normalny"/>
    <w:uiPriority w:val="34"/>
    <w:qFormat/>
    <w:rsid w:val="007F5C0D"/>
    <w:pPr>
      <w:ind w:left="720"/>
      <w:contextualSpacing/>
    </w:pPr>
  </w:style>
  <w:style w:type="table" w:styleId="Tabela-Siatka">
    <w:name w:val="Table Grid"/>
    <w:basedOn w:val="Standardowy"/>
    <w:uiPriority w:val="39"/>
    <w:rsid w:val="00F52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D3E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3E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3E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3E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3E0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3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Grażyna D. Grabowska</dc:creator>
  <cp:lastModifiedBy>Grzegorz Molesztak</cp:lastModifiedBy>
  <cp:revision>3</cp:revision>
  <dcterms:created xsi:type="dcterms:W3CDTF">2020-03-11T12:21:00Z</dcterms:created>
  <dcterms:modified xsi:type="dcterms:W3CDTF">2020-04-28T09:19:00Z</dcterms:modified>
</cp:coreProperties>
</file>