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CD8DB" w14:textId="21F8C2C6" w:rsidR="004E3550" w:rsidRPr="009C0876" w:rsidRDefault="004E3550" w:rsidP="00BA16CB">
      <w:pPr>
        <w:pStyle w:val="OZNRODZAKTUtznustawalubrozporzdzenieiorganwydajcy"/>
        <w:spacing w:after="0" w:line="240" w:lineRule="auto"/>
        <w:rPr>
          <w:rFonts w:ascii="Times New Roman" w:hAnsi="Times New Roman"/>
          <w:b w:val="0"/>
          <w:spacing w:val="20"/>
        </w:rPr>
      </w:pPr>
      <w:bookmarkStart w:id="0" w:name="_GoBack"/>
      <w:bookmarkEnd w:id="0"/>
      <w:r w:rsidRPr="009C0876">
        <w:rPr>
          <w:rFonts w:ascii="Times New Roman" w:hAnsi="Times New Roman"/>
          <w:b w:val="0"/>
          <w:spacing w:val="20"/>
        </w:rPr>
        <w:t>UZASADNIENIE</w:t>
      </w:r>
    </w:p>
    <w:p w14:paraId="013F980E" w14:textId="77777777" w:rsidR="00EB6012" w:rsidRPr="005A27D3" w:rsidRDefault="00EB6012" w:rsidP="00EB6012">
      <w:pPr>
        <w:rPr>
          <w:rFonts w:cs="Times New Roman"/>
          <w:szCs w:val="24"/>
        </w:rPr>
      </w:pPr>
    </w:p>
    <w:p w14:paraId="16347865" w14:textId="309FBDFA" w:rsidR="00EB6012" w:rsidRPr="005A27D3" w:rsidRDefault="00D619AC" w:rsidP="00D619AC">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 xml:space="preserve">1.1. </w:t>
      </w:r>
      <w:r w:rsidR="00EB6012" w:rsidRPr="005A27D3">
        <w:rPr>
          <w:rFonts w:ascii="Times New Roman" w:hAnsi="Times New Roman" w:cs="Times New Roman"/>
          <w:color w:val="auto"/>
          <w:sz w:val="24"/>
          <w:szCs w:val="24"/>
          <w:u w:val="single"/>
        </w:rPr>
        <w:t>Potrzeba i cel wydania aktu prawnego</w:t>
      </w:r>
      <w:r w:rsidR="004C12CE" w:rsidRPr="005A27D3">
        <w:rPr>
          <w:rFonts w:ascii="Times New Roman" w:hAnsi="Times New Roman" w:cs="Times New Roman"/>
          <w:color w:val="auto"/>
          <w:sz w:val="24"/>
          <w:szCs w:val="24"/>
          <w:u w:val="single"/>
        </w:rPr>
        <w:t>.</w:t>
      </w:r>
    </w:p>
    <w:p w14:paraId="13CFFF15" w14:textId="16797AF9" w:rsidR="00C24AB1" w:rsidRPr="005A27D3" w:rsidRDefault="008731A4" w:rsidP="00C24AB1">
      <w:pPr>
        <w:jc w:val="both"/>
        <w:rPr>
          <w:rFonts w:cs="Times New Roman"/>
          <w:szCs w:val="24"/>
        </w:rPr>
      </w:pPr>
      <w:r w:rsidRPr="00547510">
        <w:rPr>
          <w:color w:val="000000"/>
        </w:rPr>
        <w:t>Wzrost cen energii i paliw w Polsce był i jest spowodowany nałożeniem się szeregu niesprzyjających</w:t>
      </w:r>
      <w:r>
        <w:rPr>
          <w:color w:val="000000"/>
        </w:rPr>
        <w:t xml:space="preserve"> </w:t>
      </w:r>
      <w:r w:rsidRPr="00547510">
        <w:rPr>
          <w:color w:val="000000"/>
        </w:rPr>
        <w:t>okoliczności oraz regulacji, wynikających przede wszystkim z inwazji zbrojnej Rosji na Ukrainę, która</w:t>
      </w:r>
      <w:r>
        <w:rPr>
          <w:color w:val="000000"/>
        </w:rPr>
        <w:t xml:space="preserve"> </w:t>
      </w:r>
      <w:r w:rsidRPr="00547510">
        <w:rPr>
          <w:color w:val="000000"/>
        </w:rPr>
        <w:t>zachwiała bezpieczeństwem całej Europy. Dodatkowo zachodzi wzajemne uzależnienie i wzmocnienie</w:t>
      </w:r>
      <w:r>
        <w:rPr>
          <w:color w:val="000000"/>
        </w:rPr>
        <w:t xml:space="preserve"> </w:t>
      </w:r>
      <w:r w:rsidRPr="00547510">
        <w:rPr>
          <w:color w:val="000000"/>
        </w:rPr>
        <w:t>między kryzysem energetycznym a inflacją, która obecnie dotyka mieszkańców wszystkich państw UE,</w:t>
      </w:r>
      <w:r>
        <w:rPr>
          <w:color w:val="000000"/>
        </w:rPr>
        <w:t xml:space="preserve"> </w:t>
      </w:r>
      <w:r w:rsidRPr="00547510">
        <w:rPr>
          <w:color w:val="000000"/>
        </w:rPr>
        <w:t>która wpływa również na ceny surowców energetycznych na rynkach światowych. Nadal występuje presja</w:t>
      </w:r>
      <w:r>
        <w:rPr>
          <w:color w:val="000000"/>
        </w:rPr>
        <w:t xml:space="preserve"> </w:t>
      </w:r>
      <w:r w:rsidRPr="00547510">
        <w:rPr>
          <w:color w:val="000000"/>
        </w:rPr>
        <w:t>na cały sektor gazowy, paliwowy, energetyczny i ciepłowniczy, która bezpośrednio oddziałuje na</w:t>
      </w:r>
      <w:r>
        <w:rPr>
          <w:color w:val="000000"/>
        </w:rPr>
        <w:t xml:space="preserve"> </w:t>
      </w:r>
      <w:r w:rsidRPr="00547510">
        <w:rPr>
          <w:color w:val="000000"/>
        </w:rPr>
        <w:t>wszystkich obywateli oraz instytucje użyteczności publicznej, skutkuje koniecznością pokrywania</w:t>
      </w:r>
      <w:r>
        <w:rPr>
          <w:color w:val="000000"/>
        </w:rPr>
        <w:t xml:space="preserve"> </w:t>
      </w:r>
      <w:r w:rsidRPr="00547510">
        <w:rPr>
          <w:color w:val="000000"/>
        </w:rPr>
        <w:t>wyższych kosztów utrzymania, poniesienia kosztów inflacji – co pierwotnie wynikało m.in.: z zaprzestania</w:t>
      </w:r>
      <w:r>
        <w:rPr>
          <w:color w:val="000000"/>
        </w:rPr>
        <w:t xml:space="preserve"> </w:t>
      </w:r>
      <w:r w:rsidRPr="00547510">
        <w:rPr>
          <w:color w:val="000000"/>
        </w:rPr>
        <w:t>importu węgla, ropy i produktów ropopochodnych z Rosji, konieczności uniezależnienia się mieszkańców</w:t>
      </w:r>
      <w:r>
        <w:rPr>
          <w:color w:val="000000"/>
        </w:rPr>
        <w:t xml:space="preserve"> </w:t>
      </w:r>
      <w:r w:rsidRPr="00547510">
        <w:rPr>
          <w:color w:val="000000"/>
        </w:rPr>
        <w:t>państw unijnych od importu z Rosji, lecz pośrednio także ze wzmożonych procesów migracyjnych</w:t>
      </w:r>
      <w:r>
        <w:rPr>
          <w:color w:val="000000"/>
        </w:rPr>
        <w:t xml:space="preserve"> </w:t>
      </w:r>
      <w:r w:rsidRPr="00547510">
        <w:rPr>
          <w:color w:val="000000"/>
        </w:rPr>
        <w:t>wywołanych kryzysem.</w:t>
      </w:r>
      <w:r w:rsidR="00C24AB1" w:rsidRPr="005A27D3">
        <w:rPr>
          <w:rFonts w:cs="Times New Roman"/>
          <w:szCs w:val="24"/>
        </w:rPr>
        <w:t xml:space="preserve"> </w:t>
      </w:r>
      <w:r w:rsidR="006F7942" w:rsidRPr="005A27D3">
        <w:rPr>
          <w:rFonts w:cs="Times New Roman"/>
          <w:szCs w:val="24"/>
        </w:rPr>
        <w:tab/>
      </w:r>
      <w:r w:rsidR="00DB1065" w:rsidRPr="005A27D3">
        <w:rPr>
          <w:rFonts w:cs="Times New Roman"/>
          <w:szCs w:val="24"/>
        </w:rPr>
        <w:br/>
      </w:r>
      <w:r w:rsidR="00722209" w:rsidRPr="005A27D3">
        <w:rPr>
          <w:rFonts w:cs="Times New Roman"/>
          <w:szCs w:val="24"/>
        </w:rPr>
        <w:tab/>
      </w:r>
      <w:r w:rsidR="00722209" w:rsidRPr="005A27D3">
        <w:rPr>
          <w:rFonts w:cs="Times New Roman"/>
          <w:szCs w:val="24"/>
        </w:rPr>
        <w:br/>
      </w:r>
      <w:r w:rsidR="001230C1" w:rsidRPr="005A27D3">
        <w:rPr>
          <w:rFonts w:cs="Times New Roman"/>
          <w:szCs w:val="24"/>
        </w:rPr>
        <w:t xml:space="preserve">Celem projektu jest </w:t>
      </w:r>
      <w:r w:rsidR="003503CD">
        <w:rPr>
          <w:rFonts w:cs="Times New Roman"/>
          <w:szCs w:val="24"/>
        </w:rPr>
        <w:t xml:space="preserve">dalsze </w:t>
      </w:r>
      <w:r w:rsidR="00036FC7" w:rsidRPr="005A27D3">
        <w:rPr>
          <w:rFonts w:cs="Times New Roman"/>
          <w:szCs w:val="24"/>
        </w:rPr>
        <w:t xml:space="preserve">wsparcie procesu </w:t>
      </w:r>
      <w:r w:rsidR="001230C1" w:rsidRPr="005A27D3">
        <w:rPr>
          <w:rFonts w:cs="Times New Roman"/>
          <w:szCs w:val="24"/>
        </w:rPr>
        <w:t xml:space="preserve"> minimalizowani</w:t>
      </w:r>
      <w:r w:rsidR="00036FC7" w:rsidRPr="005A27D3">
        <w:rPr>
          <w:rFonts w:cs="Times New Roman"/>
          <w:szCs w:val="24"/>
        </w:rPr>
        <w:t>a</w:t>
      </w:r>
      <w:r w:rsidR="001230C1" w:rsidRPr="005A27D3">
        <w:rPr>
          <w:rFonts w:cs="Times New Roman"/>
          <w:szCs w:val="24"/>
        </w:rPr>
        <w:t xml:space="preserve"> podwyżek cen dla najbardziej wrażliwych odbiorców</w:t>
      </w:r>
      <w:r w:rsidR="003503CD">
        <w:rPr>
          <w:rFonts w:cs="Times New Roman"/>
          <w:szCs w:val="24"/>
        </w:rPr>
        <w:t xml:space="preserve"> oraz</w:t>
      </w:r>
      <w:r w:rsidR="001230C1" w:rsidRPr="005A27D3">
        <w:rPr>
          <w:rFonts w:cs="Times New Roman"/>
          <w:szCs w:val="24"/>
        </w:rPr>
        <w:t xml:space="preserve"> zwiększeni</w:t>
      </w:r>
      <w:r>
        <w:rPr>
          <w:rFonts w:cs="Times New Roman"/>
          <w:szCs w:val="24"/>
        </w:rPr>
        <w:t>e</w:t>
      </w:r>
      <w:r w:rsidR="001230C1" w:rsidRPr="005A27D3">
        <w:rPr>
          <w:rFonts w:cs="Times New Roman"/>
          <w:szCs w:val="24"/>
        </w:rPr>
        <w:t xml:space="preserve"> bezpieczeństwa energetycznego państwa poprzez utrzymani</w:t>
      </w:r>
      <w:r w:rsidR="003503CD">
        <w:rPr>
          <w:rFonts w:cs="Times New Roman"/>
          <w:szCs w:val="24"/>
        </w:rPr>
        <w:t>e</w:t>
      </w:r>
      <w:r w:rsidR="001230C1" w:rsidRPr="005A27D3">
        <w:rPr>
          <w:rFonts w:cs="Times New Roman"/>
          <w:szCs w:val="24"/>
        </w:rPr>
        <w:t xml:space="preserve"> rozwiązań osłonowych obowiązujących od 2022 r.</w:t>
      </w:r>
      <w:r>
        <w:rPr>
          <w:rFonts w:cs="Times New Roman"/>
          <w:szCs w:val="24"/>
        </w:rPr>
        <w:t>,</w:t>
      </w:r>
      <w:r w:rsidR="00036FC7" w:rsidRPr="005A27D3">
        <w:rPr>
          <w:rFonts w:cs="Times New Roman"/>
          <w:szCs w:val="24"/>
        </w:rPr>
        <w:t xml:space="preserve"> </w:t>
      </w:r>
      <w:r w:rsidR="003503CD">
        <w:rPr>
          <w:rFonts w:cs="Times New Roman"/>
          <w:szCs w:val="24"/>
        </w:rPr>
        <w:t>w tym przede wszystkim  maksymalnej ceny energii elektrycznej i maksymalnej ceny paliw gazowych</w:t>
      </w:r>
      <w:r w:rsidR="00DB1065" w:rsidRPr="005A27D3">
        <w:rPr>
          <w:rFonts w:cs="Times New Roman"/>
          <w:szCs w:val="24"/>
        </w:rPr>
        <w:t xml:space="preserve"> </w:t>
      </w:r>
      <w:r w:rsidR="003503CD">
        <w:rPr>
          <w:rFonts w:cs="Times New Roman"/>
          <w:szCs w:val="24"/>
        </w:rPr>
        <w:t xml:space="preserve">dla wskazanych grup odbiorców oraz </w:t>
      </w:r>
      <w:r w:rsidR="00DB1065" w:rsidRPr="005A27D3">
        <w:rPr>
          <w:rFonts w:cs="Times New Roman"/>
          <w:szCs w:val="24"/>
        </w:rPr>
        <w:t>zapewnieni</w:t>
      </w:r>
      <w:r>
        <w:rPr>
          <w:rFonts w:cs="Times New Roman"/>
          <w:szCs w:val="24"/>
        </w:rPr>
        <w:t>e</w:t>
      </w:r>
      <w:r w:rsidR="004E1AB2" w:rsidRPr="005A27D3">
        <w:rPr>
          <w:rFonts w:cs="Times New Roman"/>
          <w:szCs w:val="24"/>
        </w:rPr>
        <w:t xml:space="preserve"> środków na i</w:t>
      </w:r>
      <w:r w:rsidR="00DB1065" w:rsidRPr="005A27D3">
        <w:rPr>
          <w:rFonts w:cs="Times New Roman"/>
          <w:szCs w:val="24"/>
        </w:rPr>
        <w:t>ch funkcjonowani</w:t>
      </w:r>
      <w:r w:rsidR="004E1AB2" w:rsidRPr="005A27D3">
        <w:rPr>
          <w:rFonts w:cs="Times New Roman"/>
          <w:szCs w:val="24"/>
        </w:rPr>
        <w:t xml:space="preserve">e, </w:t>
      </w:r>
      <w:r w:rsidR="00DB1065" w:rsidRPr="005A27D3">
        <w:rPr>
          <w:rFonts w:cs="Times New Roman"/>
          <w:szCs w:val="24"/>
        </w:rPr>
        <w:t>t</w:t>
      </w:r>
      <w:r w:rsidR="004E1AB2" w:rsidRPr="005A27D3">
        <w:rPr>
          <w:rFonts w:cs="Times New Roman"/>
          <w:szCs w:val="24"/>
        </w:rPr>
        <w:t xml:space="preserve">akże </w:t>
      </w:r>
      <w:r w:rsidR="00DB1065" w:rsidRPr="005A27D3">
        <w:rPr>
          <w:rFonts w:cs="Times New Roman"/>
          <w:szCs w:val="24"/>
        </w:rPr>
        <w:t>w sezonie zimowym 2023/24.</w:t>
      </w:r>
    </w:p>
    <w:p w14:paraId="6695F091" w14:textId="77777777" w:rsidR="0057688D" w:rsidRPr="005A27D3" w:rsidRDefault="0057688D" w:rsidP="00C24AB1">
      <w:pPr>
        <w:jc w:val="both"/>
        <w:rPr>
          <w:rFonts w:cs="Times New Roman"/>
          <w:szCs w:val="24"/>
        </w:rPr>
      </w:pPr>
    </w:p>
    <w:p w14:paraId="26D271B4" w14:textId="1A655F55" w:rsidR="004C12CE" w:rsidRPr="005A27D3" w:rsidRDefault="00AE50A3" w:rsidP="009F2814">
      <w:pPr>
        <w:jc w:val="both"/>
        <w:rPr>
          <w:rFonts w:cs="Times New Roman"/>
          <w:szCs w:val="24"/>
        </w:rPr>
      </w:pPr>
      <w:r w:rsidRPr="005A27D3">
        <w:rPr>
          <w:rFonts w:cs="Times New Roman"/>
          <w:szCs w:val="24"/>
        </w:rPr>
        <w:t xml:space="preserve">Przedkładany projekt ustawy </w:t>
      </w:r>
      <w:r w:rsidR="008731A4">
        <w:rPr>
          <w:rFonts w:cs="Times New Roman"/>
          <w:szCs w:val="24"/>
        </w:rPr>
        <w:t xml:space="preserve">o </w:t>
      </w:r>
      <w:r w:rsidR="008731A4">
        <w:rPr>
          <w:rFonts w:ascii="TimesNewRomanPSMT" w:hAnsi="TimesNewRomanPSMT" w:cs="TimesNewRomanPSMT"/>
        </w:rPr>
        <w:t xml:space="preserve">zmianie ustawy </w:t>
      </w:r>
      <w:r w:rsidR="002F40CE" w:rsidRPr="005A27D3">
        <w:rPr>
          <w:rFonts w:cs="Times New Roman"/>
          <w:szCs w:val="24"/>
        </w:rPr>
        <w:t>o szczególnych rozwiązaniach służących ochronie odbiorców energii elektrycznej w 2023 roku w związku z sytuacją na rynku energii elektrycznej oraz niektórych innych ustaw</w:t>
      </w:r>
      <w:r w:rsidRPr="005A27D3">
        <w:rPr>
          <w:rFonts w:cs="Times New Roman"/>
          <w:szCs w:val="24"/>
        </w:rPr>
        <w:t xml:space="preserve"> (dalej: projekt regulacji) </w:t>
      </w:r>
      <w:r w:rsidR="003503CD">
        <w:rPr>
          <w:rFonts w:cs="Times New Roman"/>
          <w:szCs w:val="24"/>
        </w:rPr>
        <w:t xml:space="preserve">zakłada </w:t>
      </w:r>
      <w:r w:rsidRPr="005A27D3">
        <w:rPr>
          <w:rFonts w:cs="Times New Roman"/>
          <w:szCs w:val="24"/>
        </w:rPr>
        <w:t xml:space="preserve">zapewnienie stabilnego poziomu cen </w:t>
      </w:r>
      <w:r w:rsidR="004E54DF">
        <w:rPr>
          <w:rFonts w:cs="Times New Roman"/>
          <w:szCs w:val="24"/>
        </w:rPr>
        <w:t>energii elektrycznej i paliw gazowych</w:t>
      </w:r>
      <w:r w:rsidRPr="005A27D3">
        <w:rPr>
          <w:rFonts w:cs="Times New Roman"/>
          <w:szCs w:val="24"/>
        </w:rPr>
        <w:t xml:space="preserve"> </w:t>
      </w:r>
      <w:r w:rsidR="003503CD">
        <w:rPr>
          <w:rFonts w:cs="Times New Roman"/>
          <w:szCs w:val="24"/>
        </w:rPr>
        <w:t xml:space="preserve"> dla wybranych grup odbiorców, a przez to </w:t>
      </w:r>
      <w:r w:rsidRPr="005A27D3">
        <w:rPr>
          <w:rFonts w:cs="Times New Roman"/>
          <w:szCs w:val="24"/>
        </w:rPr>
        <w:t xml:space="preserve"> stanowi instrument służący zabezpieczeniu i utrzymaniu płynności finansowej przedsiębiorstw</w:t>
      </w:r>
      <w:r w:rsidR="004E54DF">
        <w:rPr>
          <w:rFonts w:cs="Times New Roman"/>
          <w:szCs w:val="24"/>
        </w:rPr>
        <w:t xml:space="preserve"> </w:t>
      </w:r>
      <w:r w:rsidR="003503CD">
        <w:rPr>
          <w:rFonts w:cs="Times New Roman"/>
          <w:szCs w:val="24"/>
        </w:rPr>
        <w:t>pełniących szczególną rolę społeczna i gospodarczą</w:t>
      </w:r>
      <w:r w:rsidRPr="005A27D3">
        <w:rPr>
          <w:rFonts w:cs="Times New Roman"/>
          <w:szCs w:val="24"/>
        </w:rPr>
        <w:t>, zapewnieniu stabilności energetycznej Polski, ochrony rozwoju gospodarki i wzrostu PKB</w:t>
      </w:r>
      <w:r w:rsidR="003503CD">
        <w:rPr>
          <w:rFonts w:cs="Times New Roman"/>
          <w:szCs w:val="24"/>
        </w:rPr>
        <w:t xml:space="preserve"> oraz </w:t>
      </w:r>
      <w:r w:rsidR="00FA6CE5" w:rsidRPr="005A27D3">
        <w:rPr>
          <w:rFonts w:cs="Times New Roman"/>
          <w:szCs w:val="24"/>
        </w:rPr>
        <w:t xml:space="preserve"> zabezpieczenia przed falą upadłości</w:t>
      </w:r>
      <w:r w:rsidRPr="005A27D3">
        <w:rPr>
          <w:rFonts w:cs="Times New Roman"/>
          <w:szCs w:val="24"/>
        </w:rPr>
        <w:t>. Szczególnej, przedłużonej ochronie poddani będą odbiorcy wrażliwi i ubodzy energetycznie, którzy są szczególnie narażeni na wzrost cen paliw i energii</w:t>
      </w:r>
      <w:r w:rsidR="008731A4">
        <w:rPr>
          <w:rFonts w:cs="Times New Roman"/>
          <w:szCs w:val="24"/>
        </w:rPr>
        <w:t>, m.in.</w:t>
      </w:r>
      <w:r w:rsidR="009F2814" w:rsidRPr="005A27D3">
        <w:rPr>
          <w:rFonts w:cs="Times New Roman"/>
          <w:szCs w:val="24"/>
        </w:rPr>
        <w:t xml:space="preserve"> podmioty użyteczności publicznej</w:t>
      </w:r>
      <w:r w:rsidR="008731A4">
        <w:rPr>
          <w:rFonts w:cs="Times New Roman"/>
          <w:szCs w:val="24"/>
        </w:rPr>
        <w:t xml:space="preserve"> i inne</w:t>
      </w:r>
      <w:r w:rsidR="009F2814" w:rsidRPr="005A27D3">
        <w:rPr>
          <w:rFonts w:cs="Times New Roman"/>
          <w:szCs w:val="24"/>
        </w:rPr>
        <w:t xml:space="preserve">. </w:t>
      </w:r>
    </w:p>
    <w:p w14:paraId="19F85F8B" w14:textId="77777777" w:rsidR="006F7942" w:rsidRPr="005A27D3" w:rsidRDefault="006F7942" w:rsidP="009F2814">
      <w:pPr>
        <w:jc w:val="both"/>
        <w:rPr>
          <w:rFonts w:cs="Times New Roman"/>
          <w:szCs w:val="24"/>
        </w:rPr>
      </w:pPr>
    </w:p>
    <w:p w14:paraId="00B78A36" w14:textId="10AEC73C" w:rsidR="00DB1065" w:rsidRPr="005A27D3" w:rsidRDefault="00DB1065" w:rsidP="009F2814">
      <w:pPr>
        <w:jc w:val="both"/>
        <w:rPr>
          <w:rFonts w:cs="Times New Roman"/>
          <w:szCs w:val="24"/>
        </w:rPr>
      </w:pPr>
      <w:r w:rsidRPr="005A27D3">
        <w:rPr>
          <w:rFonts w:cs="Times New Roman"/>
          <w:szCs w:val="24"/>
        </w:rPr>
        <w:lastRenderedPageBreak/>
        <w:t>Zaproponowan</w:t>
      </w:r>
      <w:r w:rsidR="004E54DF">
        <w:rPr>
          <w:rFonts w:cs="Times New Roman"/>
          <w:szCs w:val="24"/>
        </w:rPr>
        <w:t>e</w:t>
      </w:r>
      <w:r w:rsidRPr="005A27D3">
        <w:rPr>
          <w:rFonts w:cs="Times New Roman"/>
          <w:szCs w:val="24"/>
        </w:rPr>
        <w:t xml:space="preserve"> zmiany </w:t>
      </w:r>
      <w:r w:rsidR="003503CD">
        <w:rPr>
          <w:rFonts w:cs="Times New Roman"/>
          <w:szCs w:val="24"/>
        </w:rPr>
        <w:t xml:space="preserve">dotyczą w szczególności </w:t>
      </w:r>
      <w:r w:rsidRPr="005A27D3">
        <w:rPr>
          <w:rFonts w:cs="Times New Roman"/>
          <w:szCs w:val="24"/>
        </w:rPr>
        <w:t>przepisów ustawy z dnia 7 października 2022 r. o szczególnych rozwiązaniach służących ochronie odbiorców energii elektrycznej w 2023 roku w związku z sytuacją na rynku energii elektrycznej</w:t>
      </w:r>
      <w:r w:rsidR="004E1AB2" w:rsidRPr="005A27D3">
        <w:rPr>
          <w:rFonts w:cs="Times New Roman"/>
          <w:szCs w:val="24"/>
        </w:rPr>
        <w:t xml:space="preserve">, jak również </w:t>
      </w:r>
      <w:r w:rsidRPr="005A27D3">
        <w:rPr>
          <w:rFonts w:cs="Times New Roman"/>
          <w:szCs w:val="24"/>
        </w:rPr>
        <w:t>ustawy z dnia 27 października 2022 r. o środkach nadzwyczajnych mających na celu ograniczenie wysokości cen energii elektrycznej oraz wsparciu niektórych odbiorców w 2023 roku</w:t>
      </w:r>
      <w:r w:rsidR="003503CD">
        <w:rPr>
          <w:rFonts w:cs="Times New Roman"/>
          <w:szCs w:val="24"/>
        </w:rPr>
        <w:t>. Zmiany w</w:t>
      </w:r>
      <w:r w:rsidR="0048585F">
        <w:rPr>
          <w:rFonts w:cs="Times New Roman"/>
          <w:szCs w:val="24"/>
        </w:rPr>
        <w:t xml:space="preserve"> </w:t>
      </w:r>
      <w:r w:rsidR="003503CD">
        <w:rPr>
          <w:rFonts w:cs="Times New Roman"/>
          <w:szCs w:val="24"/>
        </w:rPr>
        <w:t xml:space="preserve">przepisach </w:t>
      </w:r>
      <w:r w:rsidR="0048585F">
        <w:rPr>
          <w:rFonts w:cs="Times New Roman"/>
          <w:szCs w:val="24"/>
        </w:rPr>
        <w:t>ww ustaw odnoszą się w szczególności do zakresu utrzymanego wsparcia, określają dodatkowe źródło środków finansowych na wspomniane wsparcie i zasady pozyskiwania tych środków</w:t>
      </w:r>
      <w:r w:rsidRPr="005A27D3">
        <w:rPr>
          <w:rFonts w:cs="Times New Roman"/>
          <w:szCs w:val="24"/>
        </w:rPr>
        <w:t>,</w:t>
      </w:r>
    </w:p>
    <w:p w14:paraId="1ECD8569" w14:textId="78D50275" w:rsidR="004E1AB2" w:rsidRDefault="004E1AB2" w:rsidP="0098454F">
      <w:pPr>
        <w:jc w:val="both"/>
        <w:rPr>
          <w:rFonts w:cs="Times New Roman"/>
          <w:szCs w:val="24"/>
        </w:rPr>
      </w:pPr>
      <w:r w:rsidRPr="005A27D3">
        <w:rPr>
          <w:rFonts w:cs="Times New Roman"/>
          <w:szCs w:val="24"/>
        </w:rPr>
        <w:t>Modyfikacj</w:t>
      </w:r>
      <w:r w:rsidR="0048585F">
        <w:rPr>
          <w:rFonts w:cs="Times New Roman"/>
          <w:szCs w:val="24"/>
        </w:rPr>
        <w:t>a</w:t>
      </w:r>
      <w:r w:rsidRPr="005A27D3">
        <w:rPr>
          <w:rFonts w:cs="Times New Roman"/>
          <w:szCs w:val="24"/>
        </w:rPr>
        <w:t xml:space="preserve"> przepisów ustawy z dnia 10 kwietnia 1997 r. – Prawo energetyczne, </w:t>
      </w:r>
      <w:r w:rsidR="006A7E0D" w:rsidRPr="005A27D3">
        <w:rPr>
          <w:rFonts w:cs="Times New Roman"/>
          <w:szCs w:val="24"/>
        </w:rPr>
        <w:t xml:space="preserve">wynika z konieczności zwiększenia kompetencji kontrolnych Prezesa URE, </w:t>
      </w:r>
      <w:r w:rsidR="0048585F">
        <w:rPr>
          <w:rFonts w:cs="Times New Roman"/>
          <w:szCs w:val="24"/>
        </w:rPr>
        <w:t xml:space="preserve">związanych </w:t>
      </w:r>
      <w:r w:rsidR="006A7E0D" w:rsidRPr="005A27D3">
        <w:rPr>
          <w:rFonts w:cs="Times New Roman"/>
          <w:szCs w:val="24"/>
        </w:rPr>
        <w:t xml:space="preserve"> z nakładan</w:t>
      </w:r>
      <w:r w:rsidR="0048585F">
        <w:rPr>
          <w:rFonts w:cs="Times New Roman"/>
          <w:szCs w:val="24"/>
        </w:rPr>
        <w:t>ymi</w:t>
      </w:r>
      <w:r w:rsidR="006A7E0D" w:rsidRPr="005A27D3">
        <w:rPr>
          <w:rFonts w:cs="Times New Roman"/>
          <w:szCs w:val="24"/>
        </w:rPr>
        <w:t xml:space="preserve"> na urząd dodatkow</w:t>
      </w:r>
      <w:r w:rsidR="0048585F">
        <w:rPr>
          <w:rFonts w:cs="Times New Roman"/>
          <w:szCs w:val="24"/>
        </w:rPr>
        <w:t xml:space="preserve">ymi </w:t>
      </w:r>
      <w:r w:rsidR="006A7E0D" w:rsidRPr="005A27D3">
        <w:rPr>
          <w:rFonts w:cs="Times New Roman"/>
          <w:szCs w:val="24"/>
        </w:rPr>
        <w:t xml:space="preserve"> obowiązk</w:t>
      </w:r>
      <w:r w:rsidR="0048585F">
        <w:rPr>
          <w:rFonts w:cs="Times New Roman"/>
          <w:szCs w:val="24"/>
        </w:rPr>
        <w:t>ami</w:t>
      </w:r>
      <w:r w:rsidR="006A7E0D" w:rsidRPr="005A27D3">
        <w:rPr>
          <w:rFonts w:cs="Times New Roman"/>
          <w:szCs w:val="24"/>
        </w:rPr>
        <w:t xml:space="preserve">. </w:t>
      </w:r>
      <w:r w:rsidR="007B5869">
        <w:rPr>
          <w:rFonts w:cs="Times New Roman"/>
          <w:szCs w:val="24"/>
        </w:rPr>
        <w:t>Z tego względu zasadne jest udostępnienie Prezesowi URE dostępu do tajemnicy skarbowej.</w:t>
      </w:r>
    </w:p>
    <w:p w14:paraId="0A370FC0" w14:textId="4CDA96F5" w:rsidR="00513453" w:rsidRPr="005A27D3" w:rsidRDefault="00513453" w:rsidP="0098454F">
      <w:pPr>
        <w:jc w:val="both"/>
        <w:rPr>
          <w:rFonts w:cs="Times New Roman"/>
          <w:szCs w:val="24"/>
        </w:rPr>
      </w:pPr>
    </w:p>
    <w:p w14:paraId="5B0F47CD" w14:textId="77777777" w:rsidR="0048585F" w:rsidRDefault="0048585F" w:rsidP="00C11555">
      <w:pPr>
        <w:jc w:val="both"/>
        <w:rPr>
          <w:rFonts w:cs="Times New Roman"/>
          <w:szCs w:val="24"/>
        </w:rPr>
      </w:pPr>
      <w:r>
        <w:rPr>
          <w:rFonts w:cs="Times New Roman"/>
          <w:szCs w:val="24"/>
        </w:rPr>
        <w:t>Ustawa zakłada także dokonanie zmian w ustawach:</w:t>
      </w:r>
    </w:p>
    <w:p w14:paraId="460C035A" w14:textId="12207FD9" w:rsidR="00CD4063" w:rsidRPr="00CD4063" w:rsidRDefault="00CD4063" w:rsidP="00FD65E3">
      <w:pPr>
        <w:pStyle w:val="Akapitzlist"/>
        <w:numPr>
          <w:ilvl w:val="0"/>
          <w:numId w:val="12"/>
        </w:numPr>
        <w:jc w:val="both"/>
        <w:rPr>
          <w:rFonts w:cs="Times New Roman"/>
          <w:szCs w:val="24"/>
        </w:rPr>
      </w:pPr>
      <w:r w:rsidRPr="00CD4063">
        <w:rPr>
          <w:rFonts w:cs="Times New Roman"/>
          <w:szCs w:val="24"/>
        </w:rPr>
        <w:t xml:space="preserve">ustawie z dnia 29 sierpnia 1997 r. – Ordynacja podatkowa, </w:t>
      </w:r>
    </w:p>
    <w:p w14:paraId="4E96F6AF" w14:textId="77777777" w:rsidR="00CD4063" w:rsidRPr="00CD4063" w:rsidRDefault="00CD4063" w:rsidP="00FD65E3">
      <w:pPr>
        <w:pStyle w:val="Akapitzlist"/>
        <w:numPr>
          <w:ilvl w:val="0"/>
          <w:numId w:val="12"/>
        </w:numPr>
        <w:jc w:val="both"/>
        <w:rPr>
          <w:rFonts w:cs="Times New Roman"/>
          <w:szCs w:val="24"/>
        </w:rPr>
      </w:pPr>
      <w:r w:rsidRPr="00CD4063">
        <w:rPr>
          <w:rFonts w:cs="Times New Roman"/>
          <w:szCs w:val="24"/>
        </w:rPr>
        <w:t xml:space="preserve">ustawie z dnia 18 grudnia 2018 r. o zmianie ustawy o podatku akcyzowym, </w:t>
      </w:r>
    </w:p>
    <w:p w14:paraId="4A2A1947" w14:textId="028161DB" w:rsidR="0048585F" w:rsidRPr="00CD4063" w:rsidRDefault="00CD4063" w:rsidP="00FD65E3">
      <w:pPr>
        <w:pStyle w:val="Akapitzlist"/>
        <w:numPr>
          <w:ilvl w:val="0"/>
          <w:numId w:val="12"/>
        </w:numPr>
        <w:jc w:val="both"/>
        <w:rPr>
          <w:rFonts w:cs="Times New Roman"/>
          <w:szCs w:val="24"/>
        </w:rPr>
      </w:pPr>
      <w:r w:rsidRPr="00CD4063">
        <w:rPr>
          <w:rFonts w:cs="Times New Roman"/>
          <w:szCs w:val="24"/>
        </w:rPr>
        <w:t>ustawie z dnia 31 marca 2020 r. o zmianie ustawy o szczególnych rozwiązaniach związanych z zapobieganiem, przeciwdziałaniem i zwalczaniem COVID-19 i innych chorób zakaźnych oraz wywołanych nimi sytuacji kryzysowych oraz niektórych innych ustaw,</w:t>
      </w:r>
    </w:p>
    <w:p w14:paraId="33BCB421" w14:textId="77777777" w:rsidR="00B31144" w:rsidRDefault="00B31144" w:rsidP="00B31144">
      <w:pPr>
        <w:pStyle w:val="Nagwek2"/>
        <w:rPr>
          <w:rFonts w:ascii="Times New Roman" w:hAnsi="Times New Roman" w:cs="Times New Roman"/>
          <w:color w:val="auto"/>
          <w:sz w:val="24"/>
          <w:szCs w:val="24"/>
        </w:rPr>
      </w:pPr>
      <w:bookmarkStart w:id="1" w:name="_Toc139491415"/>
      <w:r w:rsidRPr="00B31144">
        <w:rPr>
          <w:rFonts w:ascii="Times New Roman" w:hAnsi="Times New Roman" w:cs="Times New Roman"/>
          <w:color w:val="auto"/>
          <w:sz w:val="24"/>
          <w:szCs w:val="24"/>
        </w:rPr>
        <w:t>które mają charakter dostosowawczy względem zmian wprowadzonych w ustawach z dnia 7 października i 27 października 2022 r.</w:t>
      </w:r>
      <w:bookmarkEnd w:id="1"/>
      <w:r w:rsidRPr="00B31144">
        <w:rPr>
          <w:rFonts w:ascii="Times New Roman" w:hAnsi="Times New Roman" w:cs="Times New Roman"/>
          <w:color w:val="auto"/>
          <w:sz w:val="24"/>
          <w:szCs w:val="24"/>
        </w:rPr>
        <w:t xml:space="preserve"> </w:t>
      </w:r>
    </w:p>
    <w:p w14:paraId="24499A13" w14:textId="77777777" w:rsidR="00B31144" w:rsidRDefault="00B31144" w:rsidP="00D619AC">
      <w:pPr>
        <w:pStyle w:val="Nagwek2"/>
        <w:rPr>
          <w:rFonts w:ascii="Times New Roman" w:hAnsi="Times New Roman" w:cs="Times New Roman"/>
          <w:color w:val="auto"/>
          <w:sz w:val="24"/>
          <w:szCs w:val="24"/>
        </w:rPr>
      </w:pPr>
    </w:p>
    <w:p w14:paraId="69DDE9D9" w14:textId="17293E59" w:rsidR="004C12CE" w:rsidRPr="005A27D3" w:rsidRDefault="00D619AC" w:rsidP="00D619AC">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 xml:space="preserve">1.2. </w:t>
      </w:r>
      <w:r w:rsidR="004C12CE" w:rsidRPr="005A27D3">
        <w:rPr>
          <w:rFonts w:ascii="Times New Roman" w:hAnsi="Times New Roman" w:cs="Times New Roman"/>
          <w:color w:val="auto"/>
          <w:sz w:val="24"/>
          <w:szCs w:val="24"/>
          <w:u w:val="single"/>
        </w:rPr>
        <w:t>Aktualny stan prawny w dziedzinie</w:t>
      </w:r>
      <w:r w:rsidR="0066084B" w:rsidRPr="005A27D3">
        <w:rPr>
          <w:rFonts w:ascii="Times New Roman" w:hAnsi="Times New Roman" w:cs="Times New Roman"/>
          <w:color w:val="auto"/>
          <w:sz w:val="24"/>
          <w:szCs w:val="24"/>
          <w:u w:val="single"/>
        </w:rPr>
        <w:t xml:space="preserve"> oraz różnice wynikające z</w:t>
      </w:r>
      <w:r w:rsidR="004C12CE" w:rsidRPr="005A27D3">
        <w:rPr>
          <w:rFonts w:ascii="Times New Roman" w:hAnsi="Times New Roman" w:cs="Times New Roman"/>
          <w:color w:val="auto"/>
          <w:sz w:val="24"/>
          <w:szCs w:val="24"/>
          <w:u w:val="single"/>
        </w:rPr>
        <w:t xml:space="preserve"> projekt</w:t>
      </w:r>
      <w:r w:rsidR="0066084B" w:rsidRPr="005A27D3">
        <w:rPr>
          <w:rFonts w:ascii="Times New Roman" w:hAnsi="Times New Roman" w:cs="Times New Roman"/>
          <w:color w:val="auto"/>
          <w:sz w:val="24"/>
          <w:szCs w:val="24"/>
          <w:u w:val="single"/>
        </w:rPr>
        <w:t>u</w:t>
      </w:r>
      <w:r w:rsidR="004C12CE" w:rsidRPr="005A27D3">
        <w:rPr>
          <w:rFonts w:ascii="Times New Roman" w:hAnsi="Times New Roman" w:cs="Times New Roman"/>
          <w:color w:val="auto"/>
          <w:sz w:val="24"/>
          <w:szCs w:val="24"/>
          <w:u w:val="single"/>
        </w:rPr>
        <w:t xml:space="preserve"> ustawy.</w:t>
      </w:r>
    </w:p>
    <w:p w14:paraId="16C0CEAE" w14:textId="3F64858A" w:rsidR="008F10A0" w:rsidRPr="005A27D3" w:rsidRDefault="008F10A0" w:rsidP="008F10A0">
      <w:pPr>
        <w:jc w:val="both"/>
        <w:rPr>
          <w:rFonts w:cs="Times New Roman"/>
          <w:szCs w:val="24"/>
        </w:rPr>
      </w:pPr>
      <w:r w:rsidRPr="005A27D3">
        <w:rPr>
          <w:rFonts w:cs="Times New Roman"/>
          <w:szCs w:val="24"/>
        </w:rPr>
        <w:t xml:space="preserve">W obecnym stanie prawnym funkcjonują przepisy ustawy z dnia 7 października 2022 r. o szczególnych rozwiązaniach służących ochronie odbiorców energii elektrycznej w 2023 roku w związku z sytuacją na rynku energii elektrycznej oraz ustawy z dnia 27 października 2022 r. o środkach nadzwyczajnych mających na celu ograniczenie wysokości cen energii elektrycznej oraz wsparciu niektórych odbiorców w 2023 roku, które wprowadziły mechanizmy chroniące wybrane grupy odbiorców w zakresie ponoszonych kosztów energii elektrycznej. </w:t>
      </w:r>
    </w:p>
    <w:p w14:paraId="2A32A912" w14:textId="77777777" w:rsidR="005A27D3" w:rsidRPr="005A27D3" w:rsidRDefault="005A27D3" w:rsidP="008F10A0">
      <w:pPr>
        <w:jc w:val="both"/>
        <w:rPr>
          <w:rFonts w:cs="Times New Roman"/>
          <w:szCs w:val="24"/>
        </w:rPr>
      </w:pPr>
    </w:p>
    <w:p w14:paraId="2174347D" w14:textId="26E9813E" w:rsidR="008F10A0" w:rsidRPr="005A27D3" w:rsidRDefault="0057688D" w:rsidP="008F10A0">
      <w:pPr>
        <w:jc w:val="both"/>
        <w:rPr>
          <w:rFonts w:cs="Times New Roman"/>
          <w:szCs w:val="24"/>
        </w:rPr>
      </w:pPr>
      <w:r w:rsidRPr="005A27D3">
        <w:rPr>
          <w:rFonts w:cs="Times New Roman"/>
          <w:szCs w:val="24"/>
        </w:rPr>
        <w:t xml:space="preserve">Propozycja regulacji jest zapowiedzianą kontynuacją wdrożenia ustaw m.in.: o </w:t>
      </w:r>
      <w:r w:rsidR="00036FC7" w:rsidRPr="005A27D3">
        <w:rPr>
          <w:rFonts w:cs="Times New Roman"/>
          <w:szCs w:val="24"/>
        </w:rPr>
        <w:t xml:space="preserve">tymczasowych </w:t>
      </w:r>
      <w:r w:rsidRPr="005A27D3">
        <w:rPr>
          <w:rFonts w:cs="Times New Roman"/>
          <w:szCs w:val="24"/>
        </w:rPr>
        <w:t xml:space="preserve">środkach nadzwyczajnych mających na celu ograniczenie wysokości cen energii elektrycznej oraz wsparciu niektórych odbiorców w 2023 r. czy ustawy o szczególnej ochronie niektórych </w:t>
      </w:r>
      <w:r w:rsidRPr="005A27D3">
        <w:rPr>
          <w:rFonts w:cs="Times New Roman"/>
          <w:szCs w:val="24"/>
        </w:rPr>
        <w:lastRenderedPageBreak/>
        <w:t>odbiorców paliw gazowych w 2023 r. w związku z sytuacją na rynku gazu.</w:t>
      </w:r>
      <w:r w:rsidR="008F10A0" w:rsidRPr="005A27D3">
        <w:rPr>
          <w:rFonts w:cs="Times New Roman"/>
          <w:szCs w:val="24"/>
        </w:rPr>
        <w:t xml:space="preserve"> </w:t>
      </w:r>
      <w:r w:rsidR="0066084B" w:rsidRPr="00CD4063">
        <w:rPr>
          <w:rFonts w:cs="Times New Roman"/>
          <w:szCs w:val="24"/>
        </w:rPr>
        <w:t>Modyfikacje w zakresie ustawy z dnia 7 października 2022 r. oraz 27 października 2022 r. zwiększają stopień ochrony odbiorców energii elektrycznej objętych już mechanizmami osłonowymi wynikającymi z ww. ustaw.</w:t>
      </w:r>
      <w:r w:rsidR="0066084B" w:rsidRPr="005A27D3">
        <w:rPr>
          <w:rFonts w:cs="Times New Roman"/>
          <w:szCs w:val="24"/>
        </w:rPr>
        <w:t xml:space="preserve"> Doprecyzowano również przepisy dotyczące odpisu elektroenergetycznego służące optymalizacji funkcjonowania tego systemu</w:t>
      </w:r>
      <w:r w:rsidR="00CD4063">
        <w:rPr>
          <w:rFonts w:cs="Times New Roman"/>
          <w:szCs w:val="24"/>
        </w:rPr>
        <w:t>,</w:t>
      </w:r>
      <w:r w:rsidR="0066084B" w:rsidRPr="005A27D3">
        <w:rPr>
          <w:rFonts w:cs="Times New Roman"/>
          <w:szCs w:val="24"/>
        </w:rPr>
        <w:t xml:space="preserve"> tj. zwiększenia czytelności i jasności przepisów, w szczególności </w:t>
      </w:r>
      <w:r w:rsidR="008F1F8A">
        <w:rPr>
          <w:rFonts w:cs="Times New Roman"/>
          <w:szCs w:val="24"/>
        </w:rPr>
        <w:t>odnoszących się do</w:t>
      </w:r>
      <w:r w:rsidR="0066084B" w:rsidRPr="005A27D3">
        <w:rPr>
          <w:rFonts w:cs="Times New Roman"/>
          <w:szCs w:val="24"/>
        </w:rPr>
        <w:t xml:space="preserve"> sposobu obliczania odpisu na Fundusz</w:t>
      </w:r>
      <w:r w:rsidR="008F1F8A">
        <w:rPr>
          <w:rFonts w:cs="Times New Roman"/>
          <w:szCs w:val="24"/>
        </w:rPr>
        <w:t xml:space="preserve"> Wypłaty Różnicy Ceny</w:t>
      </w:r>
      <w:r w:rsidR="0066084B" w:rsidRPr="005A27D3">
        <w:rPr>
          <w:rFonts w:cs="Times New Roman"/>
          <w:szCs w:val="24"/>
        </w:rPr>
        <w:t>.</w:t>
      </w:r>
      <w:r w:rsidR="008F10A0" w:rsidRPr="005A27D3">
        <w:rPr>
          <w:rFonts w:cs="Times New Roman"/>
          <w:szCs w:val="24"/>
        </w:rPr>
        <w:t xml:space="preserve"> Modyfikacje oddziałują jedynie na wydatki, które zostaną poniesione w latach 2023- 2024 w zakresie wypłat rekompensat dla przedsiębiorstw energetycznych</w:t>
      </w:r>
      <w:r w:rsidR="008F1F8A">
        <w:rPr>
          <w:rFonts w:cs="Times New Roman"/>
          <w:szCs w:val="24"/>
        </w:rPr>
        <w:t>.</w:t>
      </w:r>
    </w:p>
    <w:p w14:paraId="651EA1CA" w14:textId="77777777" w:rsidR="008F10A0" w:rsidRPr="005A27D3" w:rsidRDefault="008F10A0" w:rsidP="008F10A0">
      <w:pPr>
        <w:jc w:val="both"/>
        <w:rPr>
          <w:rFonts w:cs="Times New Roman"/>
          <w:szCs w:val="24"/>
        </w:rPr>
      </w:pPr>
    </w:p>
    <w:p w14:paraId="77B1AAE7" w14:textId="670FFD64" w:rsidR="008F10A0" w:rsidRPr="005A27D3" w:rsidRDefault="0066084B" w:rsidP="008F10A0">
      <w:pPr>
        <w:jc w:val="both"/>
        <w:rPr>
          <w:rFonts w:cs="Times New Roman"/>
          <w:szCs w:val="24"/>
        </w:rPr>
      </w:pPr>
      <w:r w:rsidRPr="005A27D3">
        <w:rPr>
          <w:rFonts w:cs="Times New Roman"/>
          <w:szCs w:val="24"/>
        </w:rPr>
        <w:t xml:space="preserve">Zmiany proponowane </w:t>
      </w:r>
      <w:bookmarkStart w:id="2" w:name="_Hlk139468478"/>
      <w:r w:rsidRPr="005A27D3">
        <w:rPr>
          <w:rFonts w:cs="Times New Roman"/>
          <w:szCs w:val="24"/>
        </w:rPr>
        <w:t>do ustawy – Prawo energetyczne mają charakter doprecyzowujący</w:t>
      </w:r>
      <w:r w:rsidR="008F1F8A">
        <w:rPr>
          <w:rFonts w:cs="Times New Roman"/>
          <w:szCs w:val="24"/>
        </w:rPr>
        <w:t>. Ich</w:t>
      </w:r>
      <w:r w:rsidR="00CD4063">
        <w:rPr>
          <w:rFonts w:cs="Times New Roman"/>
          <w:szCs w:val="24"/>
        </w:rPr>
        <w:t xml:space="preserve"> </w:t>
      </w:r>
      <w:r w:rsidRPr="005A27D3">
        <w:rPr>
          <w:rFonts w:cs="Times New Roman"/>
          <w:szCs w:val="24"/>
        </w:rPr>
        <w:t>celem jest usprawnienie realizacji obowiązków kontrolnych przez Prezesa URE.</w:t>
      </w:r>
    </w:p>
    <w:bookmarkEnd w:id="2"/>
    <w:p w14:paraId="580502B3" w14:textId="3429C3C5" w:rsidR="00D619AC" w:rsidRPr="005A27D3" w:rsidRDefault="008F10A0" w:rsidP="00616921">
      <w:pPr>
        <w:jc w:val="both"/>
        <w:rPr>
          <w:rFonts w:cs="Times New Roman"/>
          <w:szCs w:val="24"/>
        </w:rPr>
      </w:pPr>
      <w:r w:rsidRPr="005A27D3">
        <w:rPr>
          <w:rFonts w:cs="Times New Roman"/>
          <w:szCs w:val="24"/>
        </w:rPr>
        <w:t xml:space="preserve"> </w:t>
      </w:r>
      <w:r w:rsidR="00036FC7" w:rsidRPr="005A27D3">
        <w:rPr>
          <w:rFonts w:cs="Times New Roman"/>
          <w:szCs w:val="24"/>
        </w:rPr>
        <w:br/>
        <w:t xml:space="preserve">Regulacja </w:t>
      </w:r>
      <w:r w:rsidR="0066084B" w:rsidRPr="005A27D3">
        <w:rPr>
          <w:rFonts w:cs="Times New Roman"/>
          <w:szCs w:val="24"/>
        </w:rPr>
        <w:t xml:space="preserve">w zakresie oskładkowania sektora węgla i koksu  </w:t>
      </w:r>
      <w:r w:rsidR="00036FC7" w:rsidRPr="005A27D3">
        <w:rPr>
          <w:rFonts w:cs="Times New Roman"/>
          <w:szCs w:val="24"/>
        </w:rPr>
        <w:t xml:space="preserve">wynika z przyjęcia przez Komisję Europejską rozporządzenia Rady UE 2022/1854 mającego na celu </w:t>
      </w:r>
      <w:r w:rsidR="00CD4063">
        <w:rPr>
          <w:rFonts w:cs="Times New Roman"/>
          <w:szCs w:val="24"/>
        </w:rPr>
        <w:t xml:space="preserve">m.in. obciążenie </w:t>
      </w:r>
      <w:r w:rsidR="00036FC7" w:rsidRPr="005A27D3">
        <w:rPr>
          <w:rFonts w:cs="Times New Roman"/>
          <w:szCs w:val="24"/>
        </w:rPr>
        <w:t>nadmiarowy</w:t>
      </w:r>
      <w:r w:rsidR="0066084B" w:rsidRPr="005A27D3">
        <w:rPr>
          <w:rFonts w:cs="Times New Roman"/>
          <w:szCs w:val="24"/>
        </w:rPr>
        <w:t>ch</w:t>
      </w:r>
      <w:r w:rsidR="00036FC7" w:rsidRPr="005A27D3">
        <w:rPr>
          <w:rFonts w:cs="Times New Roman"/>
          <w:szCs w:val="24"/>
        </w:rPr>
        <w:t xml:space="preserve"> </w:t>
      </w:r>
      <w:r w:rsidR="00CD4063">
        <w:rPr>
          <w:rFonts w:cs="Times New Roman"/>
          <w:szCs w:val="24"/>
        </w:rPr>
        <w:t>dochodów</w:t>
      </w:r>
      <w:r w:rsidR="00CD4063" w:rsidRPr="005A27D3">
        <w:rPr>
          <w:rFonts w:cs="Times New Roman"/>
          <w:szCs w:val="24"/>
        </w:rPr>
        <w:t xml:space="preserve"> </w:t>
      </w:r>
      <w:r w:rsidR="00036FC7" w:rsidRPr="005A27D3">
        <w:rPr>
          <w:rFonts w:cs="Times New Roman"/>
          <w:szCs w:val="24"/>
        </w:rPr>
        <w:t>firm</w:t>
      </w:r>
      <w:r w:rsidR="0089441E" w:rsidRPr="005A27D3">
        <w:rPr>
          <w:rFonts w:cs="Times New Roman"/>
          <w:szCs w:val="24"/>
        </w:rPr>
        <w:t xml:space="preserve"> z sektora</w:t>
      </w:r>
      <w:r w:rsidR="00036FC7" w:rsidRPr="005A27D3">
        <w:rPr>
          <w:rFonts w:cs="Times New Roman"/>
          <w:szCs w:val="24"/>
        </w:rPr>
        <w:t xml:space="preserve"> </w:t>
      </w:r>
      <w:r w:rsidR="00FA0B98" w:rsidRPr="005A27D3">
        <w:rPr>
          <w:rFonts w:cs="Times New Roman"/>
          <w:szCs w:val="24"/>
        </w:rPr>
        <w:t>węgla</w:t>
      </w:r>
      <w:r w:rsidR="00036FC7" w:rsidRPr="005A27D3">
        <w:rPr>
          <w:rFonts w:cs="Times New Roman"/>
          <w:szCs w:val="24"/>
        </w:rPr>
        <w:t>, do wdrożenia którego zostały zobowiązane państwa członkowskie UE</w:t>
      </w:r>
      <w:r w:rsidR="00CD4063">
        <w:rPr>
          <w:rFonts w:cs="Times New Roman"/>
          <w:szCs w:val="24"/>
        </w:rPr>
        <w:t>.</w:t>
      </w:r>
      <w:r w:rsidR="00036FC7" w:rsidRPr="005A27D3">
        <w:rPr>
          <w:rFonts w:cs="Times New Roman"/>
          <w:szCs w:val="24"/>
        </w:rPr>
        <w:t xml:space="preserve"> </w:t>
      </w:r>
      <w:r w:rsidR="00A50F59" w:rsidRPr="005A27D3">
        <w:rPr>
          <w:rFonts w:cs="Times New Roman"/>
          <w:szCs w:val="24"/>
        </w:rPr>
        <w:t>Proponowane rozwiązanie wykorzystuje mechanizm tzw. równoważnych środków</w:t>
      </w:r>
      <w:r w:rsidR="0089441E" w:rsidRPr="005A27D3">
        <w:rPr>
          <w:rFonts w:cs="Times New Roman"/>
          <w:szCs w:val="24"/>
        </w:rPr>
        <w:t xml:space="preserve"> krajowych</w:t>
      </w:r>
      <w:r w:rsidR="00A50F59" w:rsidRPr="005A27D3">
        <w:rPr>
          <w:rFonts w:cs="Times New Roman"/>
          <w:szCs w:val="24"/>
        </w:rPr>
        <w:t xml:space="preserve"> i odnosi się do działalności prowadzonej w 2022 r.</w:t>
      </w:r>
      <w:r w:rsidRPr="005A27D3">
        <w:rPr>
          <w:rFonts w:cs="Times New Roman"/>
          <w:szCs w:val="24"/>
        </w:rPr>
        <w:t xml:space="preserve">, </w:t>
      </w:r>
      <w:r w:rsidR="00EE5A47" w:rsidRPr="005A27D3">
        <w:rPr>
          <w:rFonts w:cs="Times New Roman"/>
          <w:szCs w:val="24"/>
        </w:rPr>
        <w:t>rozumianej jako rok podatkowy</w:t>
      </w:r>
      <w:r w:rsidR="002A00FA">
        <w:rPr>
          <w:rFonts w:cs="Times New Roman"/>
          <w:szCs w:val="24"/>
        </w:rPr>
        <w:t>, z którego dochody</w:t>
      </w:r>
      <w:r w:rsidR="00EE5A47" w:rsidRPr="005A27D3">
        <w:rPr>
          <w:rFonts w:cs="Times New Roman"/>
          <w:szCs w:val="24"/>
        </w:rPr>
        <w:t xml:space="preserve"> podlegają oskładkowaniu</w:t>
      </w:r>
      <w:r w:rsidR="002A00FA">
        <w:rPr>
          <w:rFonts w:cs="Times New Roman"/>
          <w:szCs w:val="24"/>
        </w:rPr>
        <w:t xml:space="preserve">. Podstawą </w:t>
      </w:r>
      <w:r w:rsidRPr="005A27D3">
        <w:rPr>
          <w:rFonts w:cs="Times New Roman"/>
          <w:szCs w:val="24"/>
        </w:rPr>
        <w:t xml:space="preserve">do wyliczenia składki </w:t>
      </w:r>
      <w:r w:rsidR="002A00FA">
        <w:rPr>
          <w:rFonts w:cs="Times New Roman"/>
          <w:szCs w:val="24"/>
        </w:rPr>
        <w:t>mają być</w:t>
      </w:r>
      <w:r w:rsidRPr="005A27D3">
        <w:rPr>
          <w:rFonts w:cs="Times New Roman"/>
          <w:szCs w:val="24"/>
        </w:rPr>
        <w:t xml:space="preserve"> złożone deklaracje podatkowe</w:t>
      </w:r>
      <w:r w:rsidR="00E93347" w:rsidRPr="005A27D3">
        <w:rPr>
          <w:rFonts w:cs="Times New Roman"/>
          <w:szCs w:val="24"/>
        </w:rPr>
        <w:t>.</w:t>
      </w:r>
      <w:r w:rsidR="00E21D6F" w:rsidRPr="005A27D3">
        <w:rPr>
          <w:rFonts w:cs="Times New Roman"/>
          <w:szCs w:val="24"/>
        </w:rPr>
        <w:t xml:space="preserve"> </w:t>
      </w:r>
      <w:r w:rsidR="008F1F8A">
        <w:rPr>
          <w:rFonts w:cs="Times New Roman"/>
          <w:szCs w:val="24"/>
        </w:rPr>
        <w:t>Jednocześnie w celu zapewnienia spójności z przepisami podatkowymi w proponowanych rozwiązaniach przyjęto zasady określenia roku podatkowego 2022, zgodne z przepisami podatkowymi</w:t>
      </w:r>
      <w:r w:rsidR="002A00FA">
        <w:rPr>
          <w:rFonts w:cs="Times New Roman"/>
          <w:szCs w:val="24"/>
        </w:rPr>
        <w:t>.</w:t>
      </w:r>
      <w:r w:rsidR="008F1F8A">
        <w:rPr>
          <w:rFonts w:cs="Times New Roman"/>
          <w:szCs w:val="24"/>
        </w:rPr>
        <w:t xml:space="preserve"> w</w:t>
      </w:r>
      <w:r w:rsidR="00E21D6F" w:rsidRPr="005A27D3">
        <w:rPr>
          <w:rFonts w:cs="Times New Roman"/>
          <w:szCs w:val="24"/>
        </w:rPr>
        <w:t xml:space="preserve"> </w:t>
      </w:r>
      <w:r w:rsidR="008F1F8A">
        <w:rPr>
          <w:rFonts w:cs="Times New Roman"/>
          <w:szCs w:val="24"/>
        </w:rPr>
        <w:t xml:space="preserve">Za rok podatkowy 2022, który stanowi bazę do </w:t>
      </w:r>
      <w:r w:rsidR="00D3181F">
        <w:rPr>
          <w:rFonts w:cs="Times New Roman"/>
          <w:szCs w:val="24"/>
        </w:rPr>
        <w:t>określenia</w:t>
      </w:r>
      <w:r w:rsidR="008F1F8A">
        <w:rPr>
          <w:rFonts w:cs="Times New Roman"/>
          <w:szCs w:val="24"/>
        </w:rPr>
        <w:t xml:space="preserve"> zobowiązań przedsiębiorców, przyjęto </w:t>
      </w:r>
      <w:r w:rsidR="008F1F8A">
        <w:t xml:space="preserve">rok, o którym mowa w art. 8 ustawy </w:t>
      </w:r>
      <w:r w:rsidR="008F1F8A" w:rsidRPr="00FD260E">
        <w:t xml:space="preserve">z dnia 15 lutego 1992 r. </w:t>
      </w:r>
      <w:r w:rsidR="008F1F8A">
        <w:t>o podatku dochodowym od osób prawnych</w:t>
      </w:r>
      <w:r w:rsidR="008F1F8A" w:rsidRPr="005937C4">
        <w:t xml:space="preserve"> albo rok kalendarzowy w przypadku, gdy przedsiębiorca jest podatnikiem podatku dochodowego od osób fizycznych na podstawie przepisów ustawy z dnia 26 lipca 1991 r. o podatku dochodowym od osób fizycznych; w przypadku, gdy przedsiębiorca nie jest podatnikiem podatku dochodowego od osób fizycznych ani podatku dochodowego od osób prawnych </w:t>
      </w:r>
      <w:r w:rsidR="002A00FA">
        <w:t>jako</w:t>
      </w:r>
      <w:r w:rsidR="008F1F8A" w:rsidRPr="005937C4">
        <w:t xml:space="preserve"> rok podatkowy </w:t>
      </w:r>
      <w:r w:rsidR="00D3181F">
        <w:t xml:space="preserve">przyjęto natomiast </w:t>
      </w:r>
      <w:r w:rsidR="008F1F8A" w:rsidRPr="005937C4">
        <w:t>rok obrotowy takiego przedsiębiorcy</w:t>
      </w:r>
      <w:r w:rsidR="00D3181F">
        <w:t xml:space="preserve">. Powyższe oznacza, iż rok podatkowy 2022 w niektórych przypadkach może kończyć się w roku 2023. Należy jednak wskazać, iż </w:t>
      </w:r>
      <w:r w:rsidR="00E93347" w:rsidRPr="005A27D3">
        <w:rPr>
          <w:rFonts w:cs="Times New Roman"/>
          <w:szCs w:val="24"/>
        </w:rPr>
        <w:t xml:space="preserve">Rozporządzenie UE uprawnia do oskładkowania </w:t>
      </w:r>
      <w:r w:rsidR="002A00FA">
        <w:rPr>
          <w:rFonts w:cs="Times New Roman"/>
          <w:szCs w:val="24"/>
        </w:rPr>
        <w:t xml:space="preserve">dochodów osiągniętych </w:t>
      </w:r>
      <w:r w:rsidR="00E93347" w:rsidRPr="005A27D3">
        <w:rPr>
          <w:rFonts w:cs="Times New Roman"/>
          <w:szCs w:val="24"/>
        </w:rPr>
        <w:t xml:space="preserve">zarówno </w:t>
      </w:r>
      <w:r w:rsidR="002A00FA">
        <w:rPr>
          <w:rFonts w:cs="Times New Roman"/>
          <w:szCs w:val="24"/>
        </w:rPr>
        <w:t xml:space="preserve">w </w:t>
      </w:r>
      <w:r w:rsidR="00E93347" w:rsidRPr="005A27D3">
        <w:rPr>
          <w:rFonts w:cs="Times New Roman"/>
          <w:szCs w:val="24"/>
        </w:rPr>
        <w:t>roku 2022</w:t>
      </w:r>
      <w:r w:rsidR="002A00FA">
        <w:rPr>
          <w:rFonts w:cs="Times New Roman"/>
          <w:szCs w:val="24"/>
        </w:rPr>
        <w:t>,</w:t>
      </w:r>
      <w:r w:rsidR="00E93347" w:rsidRPr="005A27D3">
        <w:rPr>
          <w:rFonts w:cs="Times New Roman"/>
          <w:szCs w:val="24"/>
        </w:rPr>
        <w:t xml:space="preserve"> jak i 2023</w:t>
      </w:r>
      <w:r w:rsidR="002A00FA">
        <w:rPr>
          <w:rFonts w:cs="Times New Roman"/>
          <w:szCs w:val="24"/>
        </w:rPr>
        <w:t xml:space="preserve"> r</w:t>
      </w:r>
      <w:r w:rsidR="00D3181F">
        <w:rPr>
          <w:rFonts w:cs="Times New Roman"/>
          <w:szCs w:val="24"/>
        </w:rPr>
        <w:t>.</w:t>
      </w:r>
      <w:r w:rsidR="00E93347" w:rsidRPr="005A27D3">
        <w:rPr>
          <w:rFonts w:cs="Times New Roman"/>
          <w:szCs w:val="24"/>
        </w:rPr>
        <w:t xml:space="preserve"> </w:t>
      </w:r>
    </w:p>
    <w:p w14:paraId="1883C6EE" w14:textId="77777777" w:rsidR="00036FC7" w:rsidRPr="005A27D3" w:rsidRDefault="00036FC7" w:rsidP="00616921">
      <w:pPr>
        <w:jc w:val="both"/>
        <w:rPr>
          <w:rFonts w:cs="Times New Roman"/>
          <w:szCs w:val="24"/>
        </w:rPr>
      </w:pPr>
    </w:p>
    <w:p w14:paraId="600A9180" w14:textId="573C6DE3" w:rsidR="00616921" w:rsidRPr="005A27D3" w:rsidRDefault="00616921" w:rsidP="00786C68">
      <w:pPr>
        <w:jc w:val="both"/>
        <w:rPr>
          <w:rFonts w:cs="Times New Roman"/>
          <w:szCs w:val="24"/>
        </w:rPr>
      </w:pPr>
      <w:r w:rsidRPr="005A27D3">
        <w:rPr>
          <w:rFonts w:cs="Times New Roman"/>
          <w:szCs w:val="24"/>
        </w:rPr>
        <w:t>Projekt ustawy nie generuje</w:t>
      </w:r>
      <w:r w:rsidR="00036FC7" w:rsidRPr="005A27D3">
        <w:rPr>
          <w:rFonts w:cs="Times New Roman"/>
          <w:szCs w:val="24"/>
        </w:rPr>
        <w:t xml:space="preserve"> negatywnych</w:t>
      </w:r>
      <w:r w:rsidRPr="005A27D3">
        <w:rPr>
          <w:rFonts w:cs="Times New Roman"/>
          <w:szCs w:val="24"/>
        </w:rPr>
        <w:t xml:space="preserve"> skutków finansowych dla budżetu państwa</w:t>
      </w:r>
      <w:r w:rsidR="00036FC7" w:rsidRPr="005A27D3">
        <w:rPr>
          <w:rFonts w:cs="Times New Roman"/>
          <w:szCs w:val="24"/>
        </w:rPr>
        <w:t>, n</w:t>
      </w:r>
      <w:r w:rsidRPr="005A27D3">
        <w:rPr>
          <w:rFonts w:cs="Times New Roman"/>
          <w:szCs w:val="24"/>
        </w:rPr>
        <w:t xml:space="preserve">ie powoduje </w:t>
      </w:r>
      <w:r w:rsidR="00036FC7" w:rsidRPr="005A27D3">
        <w:rPr>
          <w:rFonts w:cs="Times New Roman"/>
          <w:szCs w:val="24"/>
        </w:rPr>
        <w:t xml:space="preserve">też </w:t>
      </w:r>
      <w:r w:rsidRPr="005A27D3">
        <w:rPr>
          <w:rFonts w:cs="Times New Roman"/>
          <w:szCs w:val="24"/>
        </w:rPr>
        <w:t>negatywnych konsekwencji dla budżetów jednostek samorządu terytorialnego. Projekt nie wymaga wydania aktów wykonawczych.</w:t>
      </w:r>
    </w:p>
    <w:p w14:paraId="10C9BCF4" w14:textId="77777777" w:rsidR="006F7942" w:rsidRPr="005A27D3" w:rsidRDefault="006F7942" w:rsidP="00786C68">
      <w:pPr>
        <w:jc w:val="both"/>
        <w:rPr>
          <w:rFonts w:cs="Times New Roman"/>
          <w:szCs w:val="24"/>
        </w:rPr>
      </w:pPr>
    </w:p>
    <w:p w14:paraId="6EDF6347" w14:textId="246D0A03" w:rsidR="008D221A" w:rsidRPr="005A27D3" w:rsidRDefault="008D221A" w:rsidP="00786C68">
      <w:pPr>
        <w:jc w:val="both"/>
        <w:rPr>
          <w:rFonts w:cs="Times New Roman"/>
          <w:szCs w:val="24"/>
        </w:rPr>
      </w:pPr>
      <w:r w:rsidRPr="005A27D3">
        <w:rPr>
          <w:rFonts w:cs="Times New Roman"/>
          <w:szCs w:val="24"/>
        </w:rPr>
        <w:t xml:space="preserve">Źródła finansowania - środki na </w:t>
      </w:r>
      <w:r w:rsidR="00D3181F">
        <w:rPr>
          <w:rFonts w:cs="Times New Roman"/>
          <w:szCs w:val="24"/>
        </w:rPr>
        <w:t xml:space="preserve">określone w ustawie wsparcie, w tym </w:t>
      </w:r>
      <w:r w:rsidRPr="005A27D3">
        <w:rPr>
          <w:rFonts w:cs="Times New Roman"/>
          <w:szCs w:val="24"/>
        </w:rPr>
        <w:t xml:space="preserve">wypłatę rekompensat </w:t>
      </w:r>
      <w:r w:rsidR="002A00FA" w:rsidRPr="005A27D3">
        <w:rPr>
          <w:rFonts w:cs="Times New Roman"/>
          <w:szCs w:val="24"/>
        </w:rPr>
        <w:t xml:space="preserve">będą </w:t>
      </w:r>
      <w:r w:rsidRPr="005A27D3">
        <w:rPr>
          <w:rFonts w:cs="Times New Roman"/>
          <w:szCs w:val="24"/>
        </w:rPr>
        <w:t>pochodzić z Funduszu Wypłaty Różnicy Ceny, o którym mowa w art. 11 ust. 1 ustawy z dnia 28 grudnia 2018 r. o zmianie ustawy o podatku akcyzowym oraz niektórych innych ustaw (Dz. U. z 2018 r. poz. 2538, z późn. zm.)</w:t>
      </w:r>
      <w:r w:rsidR="002A00FA">
        <w:rPr>
          <w:rFonts w:cs="Times New Roman"/>
          <w:szCs w:val="24"/>
        </w:rPr>
        <w:t>,</w:t>
      </w:r>
      <w:r w:rsidRPr="005A27D3">
        <w:rPr>
          <w:rFonts w:cs="Times New Roman"/>
          <w:szCs w:val="24"/>
        </w:rPr>
        <w:t xml:space="preserve"> zasilanego wpłatami od nadmiernych </w:t>
      </w:r>
      <w:r w:rsidR="002A00FA">
        <w:rPr>
          <w:rFonts w:cs="Times New Roman"/>
          <w:szCs w:val="24"/>
        </w:rPr>
        <w:t>dochodów</w:t>
      </w:r>
      <w:r w:rsidR="002A00FA" w:rsidRPr="005A27D3">
        <w:rPr>
          <w:rFonts w:cs="Times New Roman"/>
          <w:szCs w:val="24"/>
        </w:rPr>
        <w:t xml:space="preserve"> </w:t>
      </w:r>
      <w:r w:rsidRPr="005A27D3">
        <w:rPr>
          <w:rFonts w:cs="Times New Roman"/>
          <w:szCs w:val="24"/>
        </w:rPr>
        <w:t xml:space="preserve">osiągniętych w roku podatkowym 2022 </w:t>
      </w:r>
      <w:r w:rsidR="00786C68" w:rsidRPr="005A27D3">
        <w:rPr>
          <w:rFonts w:cs="Times New Roman"/>
          <w:szCs w:val="24"/>
        </w:rPr>
        <w:t xml:space="preserve"> przez</w:t>
      </w:r>
      <w:r w:rsidRPr="005A27D3">
        <w:rPr>
          <w:rFonts w:cs="Times New Roman"/>
          <w:szCs w:val="24"/>
        </w:rPr>
        <w:t xml:space="preserve"> przedsiębiorców z sektora węgla i koksu, o których mowa w projektowanej regulacji.</w:t>
      </w:r>
      <w:r w:rsidR="00036FC7" w:rsidRPr="005A27D3">
        <w:rPr>
          <w:rFonts w:cs="Times New Roman"/>
          <w:szCs w:val="24"/>
        </w:rPr>
        <w:t xml:space="preserve"> </w:t>
      </w:r>
    </w:p>
    <w:p w14:paraId="18B0F943" w14:textId="74A89C08" w:rsidR="008D221A" w:rsidRDefault="00D3181F" w:rsidP="00616921">
      <w:pPr>
        <w:jc w:val="both"/>
        <w:rPr>
          <w:rFonts w:cs="Times New Roman"/>
          <w:szCs w:val="24"/>
        </w:rPr>
      </w:pPr>
      <w:r>
        <w:rPr>
          <w:rFonts w:cs="Times New Roman"/>
          <w:szCs w:val="24"/>
        </w:rPr>
        <w:t>Jednocześnie w celu elim</w:t>
      </w:r>
      <w:r w:rsidR="002A00FA">
        <w:rPr>
          <w:rFonts w:cs="Times New Roman"/>
          <w:szCs w:val="24"/>
        </w:rPr>
        <w:t>i</w:t>
      </w:r>
      <w:r>
        <w:rPr>
          <w:rFonts w:cs="Times New Roman"/>
          <w:szCs w:val="24"/>
        </w:rPr>
        <w:t xml:space="preserve">nacji oskładkowania środków pozyskanych przez niektórych przedsiębiorców w ramach pomocy </w:t>
      </w:r>
      <w:r w:rsidR="002A00FA">
        <w:rPr>
          <w:rFonts w:cs="Times New Roman"/>
          <w:szCs w:val="24"/>
        </w:rPr>
        <w:t>p</w:t>
      </w:r>
      <w:r w:rsidR="00036FC7" w:rsidRPr="005A27D3">
        <w:rPr>
          <w:rFonts w:cs="Times New Roman"/>
          <w:szCs w:val="24"/>
        </w:rPr>
        <w:t>rojektowane przepisy nie będą obejmowały przedsiębiorstw górniczych objętych systemem wsparcia, o którym mowa w art. 2 pkt 6 ustawy z dnia 7 września 2007 r. o funkcjonowaniu górnictwa węgla kamiennego (tj. Dz.U. 2022 poz. 1309) oraz podmiotów</w:t>
      </w:r>
      <w:r w:rsidR="002A00FA">
        <w:rPr>
          <w:rFonts w:cs="Times New Roman"/>
          <w:szCs w:val="24"/>
        </w:rPr>
        <w:t>,</w:t>
      </w:r>
      <w:r w:rsidR="00036FC7" w:rsidRPr="005A27D3">
        <w:rPr>
          <w:rFonts w:cs="Times New Roman"/>
          <w:szCs w:val="24"/>
        </w:rPr>
        <w:t xml:space="preserve"> dla których wskazane  działalności nie stanowią głównego zakresu działalności ogółem. </w:t>
      </w:r>
    </w:p>
    <w:p w14:paraId="3BD7F7AA" w14:textId="77777777" w:rsidR="008D221A" w:rsidRPr="005A27D3" w:rsidRDefault="008D221A" w:rsidP="00616921">
      <w:pPr>
        <w:jc w:val="both"/>
        <w:rPr>
          <w:rFonts w:cs="Times New Roman"/>
          <w:szCs w:val="24"/>
        </w:rPr>
      </w:pPr>
    </w:p>
    <w:p w14:paraId="2E882A11" w14:textId="0F88B799" w:rsidR="00EB6012" w:rsidRPr="005A27D3" w:rsidRDefault="00EB6012" w:rsidP="00916C62">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2.1. Opis najważniejszych rozwiązań projektu ustawy</w:t>
      </w:r>
      <w:r w:rsidR="004C12CE" w:rsidRPr="005A27D3">
        <w:rPr>
          <w:rFonts w:ascii="Times New Roman" w:hAnsi="Times New Roman" w:cs="Times New Roman"/>
          <w:color w:val="auto"/>
          <w:sz w:val="24"/>
          <w:szCs w:val="24"/>
          <w:u w:val="single"/>
        </w:rPr>
        <w:t>.</w:t>
      </w:r>
    </w:p>
    <w:p w14:paraId="0C8709FC" w14:textId="77777777" w:rsidR="00D3181F" w:rsidRDefault="00B56C75" w:rsidP="00B56C75">
      <w:pPr>
        <w:jc w:val="both"/>
        <w:rPr>
          <w:rFonts w:cs="Times New Roman"/>
          <w:szCs w:val="24"/>
        </w:rPr>
      </w:pPr>
      <w:r w:rsidRPr="005A27D3">
        <w:rPr>
          <w:rFonts w:cs="Times New Roman"/>
          <w:szCs w:val="24"/>
        </w:rPr>
        <w:t>Projekt regulacji zakłada</w:t>
      </w:r>
      <w:r w:rsidR="00D3181F">
        <w:rPr>
          <w:rFonts w:cs="Times New Roman"/>
          <w:szCs w:val="24"/>
        </w:rPr>
        <w:t>:</w:t>
      </w:r>
    </w:p>
    <w:p w14:paraId="4F642CC9" w14:textId="2D682BF0" w:rsidR="00B56C75" w:rsidRPr="005A27D3" w:rsidRDefault="00D3181F" w:rsidP="00B56C75">
      <w:pPr>
        <w:jc w:val="both"/>
        <w:rPr>
          <w:rFonts w:cs="Times New Roman"/>
          <w:szCs w:val="24"/>
        </w:rPr>
      </w:pPr>
      <w:r>
        <w:rPr>
          <w:rFonts w:cs="Times New Roman"/>
          <w:szCs w:val="24"/>
        </w:rPr>
        <w:t>1)</w:t>
      </w:r>
      <w:r w:rsidR="00B56C75" w:rsidRPr="005A27D3">
        <w:rPr>
          <w:rFonts w:cs="Times New Roman"/>
          <w:szCs w:val="24"/>
        </w:rPr>
        <w:t xml:space="preserve"> </w:t>
      </w:r>
      <w:r w:rsidR="00FA0B98" w:rsidRPr="005A27D3">
        <w:rPr>
          <w:rFonts w:cs="Times New Roman"/>
          <w:szCs w:val="24"/>
          <w:u w:val="single"/>
        </w:rPr>
        <w:t xml:space="preserve"> rozszerzenie </w:t>
      </w:r>
      <w:r w:rsidR="004E1AB2" w:rsidRPr="00FD65E3">
        <w:rPr>
          <w:rFonts w:cs="Times New Roman"/>
          <w:szCs w:val="24"/>
          <w:u w:val="single"/>
        </w:rPr>
        <w:t>wsparci</w:t>
      </w:r>
      <w:r w:rsidR="00FA0B98" w:rsidRPr="00FD65E3">
        <w:rPr>
          <w:rFonts w:cs="Times New Roman"/>
          <w:szCs w:val="24"/>
          <w:u w:val="single"/>
        </w:rPr>
        <w:t>a</w:t>
      </w:r>
      <w:r w:rsidR="004E1AB2" w:rsidRPr="00FD65E3">
        <w:rPr>
          <w:rFonts w:cs="Times New Roman"/>
          <w:szCs w:val="24"/>
          <w:u w:val="single"/>
        </w:rPr>
        <w:t xml:space="preserve"> użytkowników energii</w:t>
      </w:r>
      <w:r w:rsidR="00FA0B98" w:rsidRPr="005A27D3">
        <w:rPr>
          <w:rFonts w:cs="Times New Roman"/>
          <w:szCs w:val="24"/>
        </w:rPr>
        <w:t xml:space="preserve"> poprzez</w:t>
      </w:r>
      <w:r w:rsidR="004E1AB2" w:rsidRPr="005A27D3">
        <w:rPr>
          <w:rFonts w:cs="Times New Roman"/>
          <w:szCs w:val="24"/>
        </w:rPr>
        <w:t xml:space="preserve"> </w:t>
      </w:r>
      <w:r w:rsidR="00B56C75" w:rsidRPr="005A27D3">
        <w:rPr>
          <w:rFonts w:cs="Times New Roman"/>
          <w:szCs w:val="24"/>
        </w:rPr>
        <w:t>:</w:t>
      </w:r>
    </w:p>
    <w:p w14:paraId="47FD050A" w14:textId="0376D72C" w:rsidR="004E1AB2" w:rsidRPr="005A27D3" w:rsidRDefault="00FA0B98" w:rsidP="009B0F85">
      <w:pPr>
        <w:pStyle w:val="Akapitzlist"/>
        <w:numPr>
          <w:ilvl w:val="0"/>
          <w:numId w:val="9"/>
        </w:numPr>
        <w:jc w:val="both"/>
        <w:rPr>
          <w:rFonts w:cs="Times New Roman"/>
          <w:szCs w:val="24"/>
        </w:rPr>
      </w:pPr>
      <w:r w:rsidRPr="005A27D3">
        <w:rPr>
          <w:rFonts w:cs="Times New Roman"/>
          <w:szCs w:val="24"/>
        </w:rPr>
        <w:t>z</w:t>
      </w:r>
      <w:r w:rsidR="004E1AB2" w:rsidRPr="005A27D3">
        <w:rPr>
          <w:rFonts w:cs="Times New Roman"/>
          <w:szCs w:val="24"/>
        </w:rPr>
        <w:t>większenie podstawowego limitu zużycia energii objętego zamrożeniem cen na poziomie z 2022</w:t>
      </w:r>
      <w:r w:rsidRPr="005A27D3">
        <w:rPr>
          <w:rFonts w:cs="Times New Roman"/>
          <w:szCs w:val="24"/>
        </w:rPr>
        <w:t xml:space="preserve"> r., w tym dla gospodarstw domowych z osobami niepełnosprawnymi oraz </w:t>
      </w:r>
      <w:r w:rsidR="003C3E04">
        <w:rPr>
          <w:rFonts w:cs="Times New Roman"/>
          <w:szCs w:val="24"/>
        </w:rPr>
        <w:t>rodzin</w:t>
      </w:r>
      <w:r w:rsidR="003C3E04" w:rsidRPr="005A27D3">
        <w:rPr>
          <w:rFonts w:cs="Times New Roman"/>
          <w:szCs w:val="24"/>
        </w:rPr>
        <w:t xml:space="preserve"> </w:t>
      </w:r>
      <w:r w:rsidRPr="005A27D3">
        <w:rPr>
          <w:rFonts w:cs="Times New Roman"/>
          <w:szCs w:val="24"/>
        </w:rPr>
        <w:t xml:space="preserve">posiadających Kartę Dużej Rodziny; </w:t>
      </w:r>
    </w:p>
    <w:p w14:paraId="04D51E34" w14:textId="012954A2" w:rsidR="00FA0B98" w:rsidRPr="005A27D3" w:rsidRDefault="00FA0B98" w:rsidP="009B0F85">
      <w:pPr>
        <w:pStyle w:val="Akapitzlist"/>
        <w:numPr>
          <w:ilvl w:val="0"/>
          <w:numId w:val="9"/>
        </w:numPr>
        <w:jc w:val="both"/>
        <w:rPr>
          <w:rFonts w:cs="Times New Roman"/>
          <w:szCs w:val="24"/>
        </w:rPr>
      </w:pPr>
      <w:r w:rsidRPr="005A27D3">
        <w:rPr>
          <w:rFonts w:cs="Times New Roman"/>
          <w:szCs w:val="24"/>
        </w:rPr>
        <w:t>obniżenie ceny maksymalnej energii elektrycznej w kolejnych kwartałach 2023 r., co ma na celu dodatkowe wsparcie firm z sektora MŚP, samorządów, jednostek użyteczności publicznej i innych podmiotów wrażliwych</w:t>
      </w:r>
      <w:r w:rsidR="00D3181F">
        <w:rPr>
          <w:rFonts w:cs="Times New Roman"/>
          <w:szCs w:val="24"/>
        </w:rPr>
        <w:t>;</w:t>
      </w:r>
    </w:p>
    <w:p w14:paraId="4E88760B" w14:textId="77777777" w:rsidR="00FA0B98" w:rsidRPr="005A27D3" w:rsidRDefault="00FA0B98" w:rsidP="005A27D3">
      <w:pPr>
        <w:pStyle w:val="Akapitzlist"/>
        <w:ind w:left="360"/>
        <w:jc w:val="both"/>
        <w:rPr>
          <w:rFonts w:cs="Times New Roman"/>
          <w:szCs w:val="24"/>
        </w:rPr>
      </w:pPr>
    </w:p>
    <w:p w14:paraId="5A58D0E2" w14:textId="4248C2BB" w:rsidR="004E1AB2" w:rsidRPr="005A27D3" w:rsidRDefault="00D3181F" w:rsidP="005A27D3">
      <w:pPr>
        <w:jc w:val="both"/>
        <w:rPr>
          <w:rFonts w:cs="Times New Roman"/>
          <w:szCs w:val="24"/>
        </w:rPr>
      </w:pPr>
      <w:r>
        <w:rPr>
          <w:rFonts w:cs="Times New Roman"/>
          <w:szCs w:val="24"/>
        </w:rPr>
        <w:t xml:space="preserve">2) </w:t>
      </w:r>
      <w:r w:rsidR="004E1AB2" w:rsidRPr="00FD65E3">
        <w:rPr>
          <w:rFonts w:cs="Times New Roman"/>
          <w:szCs w:val="24"/>
          <w:u w:val="single"/>
        </w:rPr>
        <w:t xml:space="preserve">wprowadzenie w 2023 r. dla dużych podmiotów z </w:t>
      </w:r>
      <w:r w:rsidR="004E1AB2" w:rsidRPr="00B31144">
        <w:rPr>
          <w:rFonts w:cs="Times New Roman"/>
          <w:szCs w:val="24"/>
          <w:u w:val="single"/>
        </w:rPr>
        <w:t xml:space="preserve">sektora </w:t>
      </w:r>
      <w:r w:rsidR="00552045" w:rsidRPr="00B31144">
        <w:rPr>
          <w:rFonts w:cs="Times New Roman"/>
          <w:szCs w:val="24"/>
          <w:u w:val="single"/>
        </w:rPr>
        <w:t xml:space="preserve">wydobycia </w:t>
      </w:r>
      <w:r w:rsidR="004E1AB2" w:rsidRPr="00B31144">
        <w:rPr>
          <w:rFonts w:cs="Times New Roman"/>
          <w:szCs w:val="24"/>
          <w:u w:val="single"/>
        </w:rPr>
        <w:t>węgl</w:t>
      </w:r>
      <w:r w:rsidR="00552045" w:rsidRPr="00B31144">
        <w:rPr>
          <w:rFonts w:cs="Times New Roman"/>
          <w:szCs w:val="24"/>
          <w:u w:val="single"/>
        </w:rPr>
        <w:t>a i produkcji koksu</w:t>
      </w:r>
      <w:r w:rsidR="004E1AB2" w:rsidRPr="00B31144">
        <w:rPr>
          <w:rFonts w:cs="Times New Roman"/>
          <w:szCs w:val="24"/>
          <w:u w:val="single"/>
        </w:rPr>
        <w:t xml:space="preserve"> </w:t>
      </w:r>
      <w:r w:rsidR="004E1AB2" w:rsidRPr="005A27D3">
        <w:rPr>
          <w:rFonts w:cs="Times New Roman"/>
          <w:szCs w:val="24"/>
          <w:u w:val="single"/>
        </w:rPr>
        <w:t>mechanizmu polegającego na</w:t>
      </w:r>
      <w:r w:rsidR="004E1AB2" w:rsidRPr="005A27D3">
        <w:rPr>
          <w:rFonts w:cs="Times New Roman"/>
          <w:szCs w:val="24"/>
        </w:rPr>
        <w:t>:</w:t>
      </w:r>
    </w:p>
    <w:p w14:paraId="066413C9" w14:textId="4382AED3" w:rsidR="004E1AB2" w:rsidRPr="005A27D3" w:rsidRDefault="00FA0B98" w:rsidP="00FA0B98">
      <w:pPr>
        <w:pStyle w:val="Akapitzlist"/>
        <w:numPr>
          <w:ilvl w:val="0"/>
          <w:numId w:val="9"/>
        </w:numPr>
        <w:jc w:val="both"/>
        <w:rPr>
          <w:rFonts w:cs="Times New Roman"/>
          <w:szCs w:val="24"/>
        </w:rPr>
      </w:pPr>
      <w:r w:rsidRPr="005A27D3">
        <w:rPr>
          <w:rFonts w:cs="Times New Roman"/>
          <w:szCs w:val="24"/>
        </w:rPr>
        <w:t xml:space="preserve">wdrożeniu mechanizmu klasyfikacji dużych przedsiębiorców uzyskujących nadmierne </w:t>
      </w:r>
      <w:r w:rsidR="003C3E04">
        <w:rPr>
          <w:rFonts w:cs="Times New Roman"/>
          <w:szCs w:val="24"/>
        </w:rPr>
        <w:t>dochody</w:t>
      </w:r>
      <w:r w:rsidR="003C3E04" w:rsidRPr="005A27D3">
        <w:rPr>
          <w:rFonts w:cs="Times New Roman"/>
          <w:szCs w:val="24"/>
        </w:rPr>
        <w:t xml:space="preserve"> </w:t>
      </w:r>
      <w:r w:rsidRPr="005A27D3">
        <w:rPr>
          <w:rFonts w:cs="Times New Roman"/>
          <w:szCs w:val="24"/>
        </w:rPr>
        <w:t>zgodnie z propozycją klasyfikacji UE opisaną w rozporządzeniu 2022/1854;</w:t>
      </w:r>
    </w:p>
    <w:p w14:paraId="00215DAD" w14:textId="09C2CBCE" w:rsidR="00552045" w:rsidRDefault="00552045" w:rsidP="00552045">
      <w:pPr>
        <w:pStyle w:val="Akapitzlist"/>
        <w:numPr>
          <w:ilvl w:val="0"/>
          <w:numId w:val="9"/>
        </w:numPr>
        <w:jc w:val="both"/>
        <w:rPr>
          <w:rFonts w:cs="Times New Roman"/>
          <w:szCs w:val="24"/>
        </w:rPr>
      </w:pPr>
      <w:r>
        <w:rPr>
          <w:rFonts w:cs="Times New Roman"/>
          <w:szCs w:val="24"/>
        </w:rPr>
        <w:t xml:space="preserve">wprowadzeniu </w:t>
      </w:r>
      <w:r w:rsidR="00D3181F" w:rsidRPr="005A27D3">
        <w:rPr>
          <w:rFonts w:cs="Times New Roman"/>
          <w:szCs w:val="24"/>
        </w:rPr>
        <w:t xml:space="preserve">obowiązku odprowadzenia na rzecz Funduszu Wypłaty Różnicy Ceny nadmiarowych </w:t>
      </w:r>
      <w:r w:rsidR="003C3E04">
        <w:rPr>
          <w:rFonts w:cs="Times New Roman"/>
          <w:szCs w:val="24"/>
        </w:rPr>
        <w:t>dochodów</w:t>
      </w:r>
      <w:r w:rsidR="00D3181F" w:rsidRPr="005A27D3">
        <w:rPr>
          <w:rFonts w:cs="Times New Roman"/>
          <w:szCs w:val="24"/>
        </w:rPr>
        <w:t xml:space="preserve">, osiągniętych w 2022 r. w wyniku prowadzenia działalności  w sektorze </w:t>
      </w:r>
      <w:r w:rsidR="00D3181F">
        <w:rPr>
          <w:rFonts w:cs="Times New Roman"/>
          <w:szCs w:val="24"/>
        </w:rPr>
        <w:t xml:space="preserve">wydobycia </w:t>
      </w:r>
      <w:r w:rsidR="00D3181F" w:rsidRPr="005A27D3">
        <w:rPr>
          <w:rFonts w:cs="Times New Roman"/>
          <w:szCs w:val="24"/>
        </w:rPr>
        <w:t>węgla</w:t>
      </w:r>
      <w:r w:rsidR="00D3181F">
        <w:rPr>
          <w:rFonts w:cs="Times New Roman"/>
          <w:szCs w:val="24"/>
        </w:rPr>
        <w:t xml:space="preserve"> i wytwarzania koksu</w:t>
      </w:r>
      <w:r w:rsidR="003C3E04">
        <w:rPr>
          <w:rFonts w:cs="Times New Roman"/>
          <w:szCs w:val="24"/>
        </w:rPr>
        <w:t xml:space="preserve">, </w:t>
      </w:r>
      <w:r>
        <w:rPr>
          <w:rFonts w:cs="Times New Roman"/>
          <w:szCs w:val="24"/>
        </w:rPr>
        <w:t>w</w:t>
      </w:r>
      <w:r w:rsidR="00D3181F">
        <w:rPr>
          <w:rFonts w:cs="Times New Roman"/>
          <w:szCs w:val="24"/>
        </w:rPr>
        <w:t xml:space="preserve"> postaci składki solidarnościowej</w:t>
      </w:r>
      <w:r w:rsidR="00D3181F" w:rsidRPr="005A27D3">
        <w:rPr>
          <w:rFonts w:cs="Times New Roman"/>
          <w:szCs w:val="24"/>
        </w:rPr>
        <w:t>;</w:t>
      </w:r>
    </w:p>
    <w:p w14:paraId="40109DDB" w14:textId="6F368BCD" w:rsidR="00241B5B" w:rsidRDefault="00552045" w:rsidP="00552045">
      <w:pPr>
        <w:pStyle w:val="Akapitzlist"/>
        <w:numPr>
          <w:ilvl w:val="0"/>
          <w:numId w:val="9"/>
        </w:numPr>
        <w:jc w:val="both"/>
        <w:rPr>
          <w:rFonts w:cs="Times New Roman"/>
          <w:szCs w:val="24"/>
        </w:rPr>
      </w:pPr>
      <w:r>
        <w:rPr>
          <w:rFonts w:cs="Times New Roman"/>
          <w:szCs w:val="24"/>
        </w:rPr>
        <w:t xml:space="preserve">wyznaczeniu Zarządcy Rozliczeń </w:t>
      </w:r>
      <w:r w:rsidR="003C3E04">
        <w:rPr>
          <w:rFonts w:cs="Times New Roman"/>
          <w:szCs w:val="24"/>
        </w:rPr>
        <w:t xml:space="preserve">S.A. </w:t>
      </w:r>
      <w:r>
        <w:rPr>
          <w:rFonts w:cs="Times New Roman"/>
          <w:szCs w:val="24"/>
        </w:rPr>
        <w:t xml:space="preserve">jako podmiotu odpowiedzialnego za pobór </w:t>
      </w:r>
      <w:r w:rsidR="009A14EE" w:rsidRPr="00552045">
        <w:rPr>
          <w:rFonts w:cs="Times New Roman"/>
          <w:szCs w:val="24"/>
        </w:rPr>
        <w:t>należnej składki solidarnościowej</w:t>
      </w:r>
      <w:r w:rsidR="00241B5B" w:rsidRPr="00552045">
        <w:rPr>
          <w:rFonts w:cs="Times New Roman"/>
          <w:szCs w:val="24"/>
        </w:rPr>
        <w:t>;</w:t>
      </w:r>
    </w:p>
    <w:p w14:paraId="5D6557D8" w14:textId="5992CBF8" w:rsidR="00552045" w:rsidRDefault="00552045" w:rsidP="00552045">
      <w:pPr>
        <w:pStyle w:val="Akapitzlist"/>
        <w:numPr>
          <w:ilvl w:val="0"/>
          <w:numId w:val="9"/>
        </w:numPr>
        <w:jc w:val="both"/>
        <w:rPr>
          <w:rFonts w:cs="Times New Roman"/>
          <w:szCs w:val="24"/>
        </w:rPr>
      </w:pPr>
      <w:r>
        <w:rPr>
          <w:rFonts w:cs="Times New Roman"/>
          <w:szCs w:val="24"/>
        </w:rPr>
        <w:t>wyznaczeniu Prezesa Urzędu Regulacji Energetyki jako podmiotu odpowiedzialnego za sprawowanie kontroli nad realizacją ww. obowiązku przez wskazanych przedsiębiorców</w:t>
      </w:r>
      <w:r w:rsidR="002A6D73">
        <w:rPr>
          <w:rFonts w:cs="Times New Roman"/>
          <w:szCs w:val="24"/>
        </w:rPr>
        <w:t>;</w:t>
      </w:r>
    </w:p>
    <w:p w14:paraId="6C19F132" w14:textId="7A94275D" w:rsidR="002A6D73" w:rsidRPr="00552045" w:rsidRDefault="002A6D73" w:rsidP="00FD65E3">
      <w:pPr>
        <w:pStyle w:val="Akapitzlist"/>
        <w:numPr>
          <w:ilvl w:val="0"/>
          <w:numId w:val="9"/>
        </w:numPr>
        <w:jc w:val="both"/>
        <w:rPr>
          <w:rFonts w:cs="Times New Roman"/>
          <w:szCs w:val="24"/>
        </w:rPr>
      </w:pPr>
      <w:r>
        <w:rPr>
          <w:rFonts w:cs="Times New Roman"/>
          <w:szCs w:val="24"/>
        </w:rPr>
        <w:t>przeznaczenie wpływów ze wspomnianej składki solidarnościowej na rekompensaty dla podmiotów stosujących w rozliczenia</w:t>
      </w:r>
      <w:r w:rsidR="003C3E04">
        <w:rPr>
          <w:rFonts w:cs="Times New Roman"/>
          <w:szCs w:val="24"/>
        </w:rPr>
        <w:t>ch</w:t>
      </w:r>
      <w:r>
        <w:rPr>
          <w:rFonts w:cs="Times New Roman"/>
          <w:szCs w:val="24"/>
        </w:rPr>
        <w:t xml:space="preserve"> z odbiorcami ceny maksymalne energii elektrycznej lub gazu ziemnego. </w:t>
      </w:r>
    </w:p>
    <w:p w14:paraId="3D7C684F" w14:textId="77777777" w:rsidR="00FA0B98" w:rsidRPr="005A27D3" w:rsidRDefault="00FA0B98" w:rsidP="00EB6012">
      <w:pPr>
        <w:rPr>
          <w:rFonts w:cs="Times New Roman"/>
          <w:szCs w:val="24"/>
        </w:rPr>
      </w:pPr>
    </w:p>
    <w:p w14:paraId="7555F68D" w14:textId="30DAAC6D" w:rsidR="00EB6012" w:rsidRPr="005A27D3" w:rsidRDefault="00EB6012" w:rsidP="00916C62">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2.2. Szczegółowy opis zmian.</w:t>
      </w:r>
    </w:p>
    <w:p w14:paraId="73361AB0" w14:textId="4A531B80" w:rsidR="004E1AB2" w:rsidRPr="005A27D3" w:rsidRDefault="004E1AB2" w:rsidP="004E1AB2">
      <w:pPr>
        <w:jc w:val="both"/>
        <w:rPr>
          <w:rFonts w:cs="Times New Roman"/>
          <w:szCs w:val="24"/>
        </w:rPr>
      </w:pPr>
      <w:r w:rsidRPr="005A27D3">
        <w:rPr>
          <w:rFonts w:cs="Times New Roman"/>
          <w:szCs w:val="24"/>
        </w:rPr>
        <w:t>Zmiany projektu regulacji przewidują:</w:t>
      </w:r>
    </w:p>
    <w:p w14:paraId="7DAAC493" w14:textId="2E9632B0" w:rsidR="004E1AB2" w:rsidRDefault="004E1AB2" w:rsidP="004E1AB2">
      <w:pPr>
        <w:jc w:val="both"/>
        <w:rPr>
          <w:rFonts w:cs="Times New Roman"/>
          <w:szCs w:val="24"/>
        </w:rPr>
      </w:pPr>
      <w:r w:rsidRPr="005A27D3">
        <w:rPr>
          <w:rFonts w:cs="Times New Roman"/>
          <w:szCs w:val="24"/>
        </w:rPr>
        <w:t>a) Zwiększenie podstawowego limitu zużycia energii objętego zamrożeniem cen na poziomie z 2022 r. do 3 MWh dla ogółu odbiorców zużywających energię na potrzeby prowadzenia gospodarstw domowych. Podniesienie limitu odpowiada potrzebom odbiorców, którzy zużywają nieco większe ilości energii elektrycznej, ale wciąż mają ograniczone możliwości finansowe na pokrycie jej kosztów. Dzięki zwiększeniu progu zużycia obywatele będą mieli większą pewność co do ponoszonych kosztów energii elektrycznej, co pozytywnie wpłynie na ich budżety domowe i stabilność finansową.</w:t>
      </w:r>
      <w:r w:rsidR="005A27D3">
        <w:rPr>
          <w:rFonts w:cs="Times New Roman"/>
          <w:szCs w:val="24"/>
        </w:rPr>
        <w:t xml:space="preserve"> </w:t>
      </w:r>
    </w:p>
    <w:p w14:paraId="0F02831E" w14:textId="77777777" w:rsidR="005A27D3" w:rsidRPr="005A27D3" w:rsidRDefault="005A27D3" w:rsidP="004E1AB2">
      <w:pPr>
        <w:jc w:val="both"/>
        <w:rPr>
          <w:rFonts w:cs="Times New Roman"/>
          <w:szCs w:val="24"/>
        </w:rPr>
      </w:pPr>
    </w:p>
    <w:p w14:paraId="1B44384F" w14:textId="796B0AD5" w:rsidR="004E1AB2" w:rsidRPr="005A27D3" w:rsidRDefault="004E1AB2" w:rsidP="004E1AB2">
      <w:pPr>
        <w:jc w:val="both"/>
        <w:rPr>
          <w:rFonts w:cs="Times New Roman"/>
          <w:szCs w:val="24"/>
        </w:rPr>
      </w:pPr>
      <w:r w:rsidRPr="005A27D3">
        <w:rPr>
          <w:rFonts w:cs="Times New Roman"/>
          <w:szCs w:val="24"/>
        </w:rPr>
        <w:t>b) Zwiększenie limitów zużycia energii</w:t>
      </w:r>
      <w:r w:rsidR="003C3E04">
        <w:rPr>
          <w:rFonts w:cs="Times New Roman"/>
          <w:szCs w:val="24"/>
        </w:rPr>
        <w:t>,</w:t>
      </w:r>
      <w:r w:rsidRPr="005A27D3">
        <w:rPr>
          <w:rFonts w:cs="Times New Roman"/>
          <w:szCs w:val="24"/>
        </w:rPr>
        <w:t xml:space="preserve"> dla których obowiązuje zamrożenie cen dla gospodarstw domowych z osobami niepełnosprawnymi (do poziomu 3,6 MWh) oraz </w:t>
      </w:r>
      <w:r w:rsidR="003C3E04">
        <w:rPr>
          <w:rFonts w:cs="Times New Roman"/>
          <w:szCs w:val="24"/>
        </w:rPr>
        <w:t>rodzin</w:t>
      </w:r>
      <w:r w:rsidR="003C3E04" w:rsidRPr="005A27D3">
        <w:rPr>
          <w:rFonts w:cs="Times New Roman"/>
          <w:szCs w:val="24"/>
        </w:rPr>
        <w:t xml:space="preserve"> </w:t>
      </w:r>
      <w:r w:rsidRPr="005A27D3">
        <w:rPr>
          <w:rFonts w:cs="Times New Roman"/>
          <w:szCs w:val="24"/>
        </w:rPr>
        <w:t xml:space="preserve">posiadających Kartę Dużej Rodziny i gospodarstw domowych rolników (do poziomu 4 MWh). Wskazani odbiorcy charakteryzują się z jednej strony zwiększonym zapotrzebowaniem na energię, a z drugiej strony brakiem możliwości zredukowania jej zużycia, co </w:t>
      </w:r>
      <w:r w:rsidR="003C3E04" w:rsidRPr="005A27D3">
        <w:rPr>
          <w:rFonts w:cs="Times New Roman"/>
          <w:szCs w:val="24"/>
        </w:rPr>
        <w:t xml:space="preserve">jest </w:t>
      </w:r>
      <w:r w:rsidRPr="005A27D3">
        <w:rPr>
          <w:rFonts w:cs="Times New Roman"/>
          <w:szCs w:val="24"/>
        </w:rPr>
        <w:t>związane z ich potrzebami</w:t>
      </w:r>
      <w:r w:rsidR="003C3E04">
        <w:rPr>
          <w:rFonts w:cs="Times New Roman"/>
          <w:szCs w:val="24"/>
        </w:rPr>
        <w:t>,</w:t>
      </w:r>
      <w:r w:rsidRPr="005A27D3">
        <w:rPr>
          <w:rFonts w:cs="Times New Roman"/>
          <w:szCs w:val="24"/>
        </w:rPr>
        <w:t xml:space="preserve"> np. potrzebą zasilenia niektórych urządzeń związanych z działalnością rolną czy zasilenia aparatury niezbędnej do funkcjonowania osób niepełnosprawnych. </w:t>
      </w:r>
      <w:r w:rsidR="003C3E04">
        <w:rPr>
          <w:rFonts w:cs="Times New Roman"/>
          <w:szCs w:val="24"/>
        </w:rPr>
        <w:t>Zwiększenie</w:t>
      </w:r>
      <w:r w:rsidR="003C3E04" w:rsidRPr="005A27D3">
        <w:rPr>
          <w:rFonts w:cs="Times New Roman"/>
          <w:szCs w:val="24"/>
        </w:rPr>
        <w:t xml:space="preserve"> </w:t>
      </w:r>
      <w:r w:rsidRPr="005A27D3">
        <w:rPr>
          <w:rFonts w:cs="Times New Roman"/>
          <w:szCs w:val="24"/>
        </w:rPr>
        <w:t>limitu zwiększa bezpieczeństwo energetyczne tych grup odbiorców.</w:t>
      </w:r>
      <w:r w:rsidR="00FA0B98" w:rsidRPr="005A27D3">
        <w:rPr>
          <w:rFonts w:cs="Times New Roman"/>
          <w:szCs w:val="24"/>
        </w:rPr>
        <w:br/>
      </w:r>
    </w:p>
    <w:p w14:paraId="233100BF" w14:textId="623DDB1B" w:rsidR="004E1AB2" w:rsidRPr="005A27D3" w:rsidRDefault="004E1AB2" w:rsidP="004E1AB2">
      <w:pPr>
        <w:jc w:val="both"/>
        <w:rPr>
          <w:rFonts w:cs="Times New Roman"/>
          <w:szCs w:val="24"/>
        </w:rPr>
      </w:pPr>
      <w:r w:rsidRPr="005A27D3">
        <w:rPr>
          <w:rFonts w:cs="Times New Roman"/>
          <w:szCs w:val="24"/>
        </w:rPr>
        <w:t>c) </w:t>
      </w:r>
      <w:bookmarkStart w:id="3" w:name="_Hlk139468264"/>
      <w:r w:rsidRPr="005A27D3">
        <w:rPr>
          <w:rFonts w:cs="Times New Roman"/>
          <w:szCs w:val="24"/>
        </w:rPr>
        <w:t xml:space="preserve">Obniżenie ceny maksymalnej energii elektrycznej w IV kwartale 2023 r. z 785 zł/MWh do 693 zł/MWh. Ta zmiana ma na celu dodatkowe wsparcie firm z sektora MŚP, samorządów, jednostek użyteczności publicznej i innych podmiotów wrażliwych </w:t>
      </w:r>
      <w:bookmarkEnd w:id="3"/>
      <w:r w:rsidRPr="005A27D3">
        <w:rPr>
          <w:rFonts w:cs="Times New Roman"/>
          <w:szCs w:val="24"/>
        </w:rPr>
        <w:t>objętych do tej pory mechanizmem ceny maksymalnej w wysokości 785 zł/MWh. Zmiana odciąży te jednostki finansowo w zakresie ponoszonych kosztów energii elektrycznej i pozwoli na zwiększenie ich stabilności finansowej. Zmiana odpowiada także bieżącej sytuacji na rynkach hurtowych energii elektrycznej, na których od dłuższego czasu obserwowany jest trend spadku cen energii.</w:t>
      </w:r>
    </w:p>
    <w:p w14:paraId="1B4CC3B7" w14:textId="4E86BA03" w:rsidR="004E1AB2" w:rsidRPr="005A27D3" w:rsidRDefault="004E1AB2" w:rsidP="004E1AB2">
      <w:pPr>
        <w:jc w:val="both"/>
        <w:rPr>
          <w:rFonts w:cs="Times New Roman"/>
          <w:szCs w:val="24"/>
        </w:rPr>
      </w:pPr>
      <w:r w:rsidRPr="005A27D3">
        <w:rPr>
          <w:rFonts w:cs="Times New Roman"/>
          <w:szCs w:val="24"/>
        </w:rPr>
        <w:t>d) Doprecyzowanie przepisów dotyczących odpisu elektroenergetycznego służące optymalizacji funkcjonowania tego systemu</w:t>
      </w:r>
      <w:r w:rsidR="003C3E04">
        <w:rPr>
          <w:rFonts w:cs="Times New Roman"/>
          <w:szCs w:val="24"/>
        </w:rPr>
        <w:t>,</w:t>
      </w:r>
      <w:r w:rsidRPr="005A27D3">
        <w:rPr>
          <w:rFonts w:cs="Times New Roman"/>
          <w:szCs w:val="24"/>
        </w:rPr>
        <w:t xml:space="preserve"> tj. zwiększeni</w:t>
      </w:r>
      <w:r w:rsidR="003C3E04">
        <w:rPr>
          <w:rFonts w:cs="Times New Roman"/>
          <w:szCs w:val="24"/>
        </w:rPr>
        <w:t>u</w:t>
      </w:r>
      <w:r w:rsidRPr="005A27D3">
        <w:rPr>
          <w:rFonts w:cs="Times New Roman"/>
          <w:szCs w:val="24"/>
        </w:rPr>
        <w:t xml:space="preserve"> czytelności i jasności przepisów, w szczególności dot. sposobu obliczania odpisu na Fundusz</w:t>
      </w:r>
      <w:r w:rsidR="003C3E04">
        <w:rPr>
          <w:rFonts w:cs="Times New Roman"/>
          <w:szCs w:val="24"/>
        </w:rPr>
        <w:t>.</w:t>
      </w:r>
    </w:p>
    <w:p w14:paraId="35E3149D" w14:textId="77777777" w:rsidR="004E1AB2" w:rsidRPr="005A27D3" w:rsidRDefault="004E1AB2" w:rsidP="004E1AB2">
      <w:pPr>
        <w:jc w:val="both"/>
        <w:rPr>
          <w:rFonts w:cs="Times New Roman"/>
          <w:szCs w:val="24"/>
        </w:rPr>
      </w:pPr>
    </w:p>
    <w:p w14:paraId="25018E72" w14:textId="219AE7EC" w:rsidR="00FA0B98" w:rsidRPr="005A27D3" w:rsidRDefault="006F7942" w:rsidP="00FA0B98">
      <w:pPr>
        <w:jc w:val="both"/>
        <w:rPr>
          <w:rFonts w:cs="Times New Roman"/>
          <w:szCs w:val="24"/>
        </w:rPr>
      </w:pPr>
      <w:r w:rsidRPr="005A27D3">
        <w:rPr>
          <w:rFonts w:cs="Times New Roman"/>
          <w:szCs w:val="24"/>
        </w:rPr>
        <w:t xml:space="preserve">e) </w:t>
      </w:r>
      <w:r w:rsidR="00FA0B98" w:rsidRPr="005A27D3">
        <w:rPr>
          <w:rFonts w:cs="Times New Roman"/>
          <w:szCs w:val="24"/>
        </w:rPr>
        <w:t>Zmiany w ustawie  Prawo Energetyczne</w:t>
      </w:r>
      <w:r w:rsidR="003C3E04">
        <w:rPr>
          <w:rFonts w:cs="Times New Roman"/>
          <w:szCs w:val="24"/>
        </w:rPr>
        <w:t>.</w:t>
      </w:r>
      <w:r w:rsidR="00FA0B98" w:rsidRPr="005A27D3">
        <w:rPr>
          <w:rFonts w:cs="Times New Roman"/>
          <w:szCs w:val="24"/>
        </w:rPr>
        <w:t xml:space="preserve"> </w:t>
      </w:r>
      <w:r w:rsidR="003C3E04">
        <w:rPr>
          <w:rFonts w:cs="Times New Roman"/>
          <w:szCs w:val="24"/>
        </w:rPr>
        <w:t>Z</w:t>
      </w:r>
      <w:r w:rsidR="00FA0B98" w:rsidRPr="005A27D3">
        <w:rPr>
          <w:rFonts w:cs="Times New Roman"/>
          <w:szCs w:val="24"/>
        </w:rPr>
        <w:t xml:space="preserve">akładają </w:t>
      </w:r>
      <w:r w:rsidR="003C3E04">
        <w:rPr>
          <w:rFonts w:cs="Times New Roman"/>
          <w:szCs w:val="24"/>
        </w:rPr>
        <w:t xml:space="preserve">one </w:t>
      </w:r>
      <w:r w:rsidR="00FA0B98" w:rsidRPr="005A27D3">
        <w:rPr>
          <w:rFonts w:cs="Times New Roman"/>
          <w:szCs w:val="24"/>
        </w:rPr>
        <w:t>przyznanie Prezesowi URE podstawy prawnej do weryfikowania obowiązku wyposażenia lokali budynku wielolokalowego w przyrządy pomiarowe lub urządzenia umożliwiające rozliczanie kosztów ciepła według zużycia kosztów ogrzewania oraz zużycia ciepłej wody w takich lokalach budynku wielolokalowego lub stosowania rozliczania kosztów według zużycia albo wypełnienie obowiązków informacyjnych, o których mowa w art. 45a ust. 4a</w:t>
      </w:r>
      <w:r w:rsidR="003C3E04">
        <w:rPr>
          <w:rFonts w:cs="Times New Roman"/>
          <w:szCs w:val="24"/>
        </w:rPr>
        <w:t xml:space="preserve"> uPe</w:t>
      </w:r>
      <w:r w:rsidR="00FA0B98" w:rsidRPr="005A27D3">
        <w:rPr>
          <w:rFonts w:cs="Times New Roman"/>
          <w:szCs w:val="24"/>
        </w:rPr>
        <w:t>. Dodanie w art. 56 ust. 3a-3c pozwoli wyeliminować sytuacje, w których regulator nie mógł wymierzyć kary pieniężnej z powodu tego, że karany podmiot nie uzyskał przychodu w ogóle lub nie uzyskał przychodu w roku poprzedzającym rok wymierzenia kary.</w:t>
      </w:r>
    </w:p>
    <w:p w14:paraId="405EA588" w14:textId="77777777" w:rsidR="00FA0B98" w:rsidRPr="005A27D3" w:rsidRDefault="00FA0B98" w:rsidP="004E1AB2">
      <w:pPr>
        <w:jc w:val="both"/>
        <w:rPr>
          <w:rFonts w:cs="Times New Roman"/>
          <w:szCs w:val="24"/>
        </w:rPr>
      </w:pPr>
    </w:p>
    <w:p w14:paraId="495D5453" w14:textId="7E212EA7" w:rsidR="0041201D" w:rsidRDefault="0041201D" w:rsidP="00241B5B">
      <w:pPr>
        <w:jc w:val="both"/>
        <w:rPr>
          <w:rFonts w:cs="Times New Roman"/>
          <w:szCs w:val="24"/>
        </w:rPr>
      </w:pPr>
      <w:r>
        <w:rPr>
          <w:rFonts w:cs="Times New Roman"/>
          <w:szCs w:val="24"/>
        </w:rPr>
        <w:t xml:space="preserve">f) </w:t>
      </w:r>
      <w:r w:rsidR="002A6D73">
        <w:rPr>
          <w:rFonts w:cs="Times New Roman"/>
          <w:szCs w:val="24"/>
        </w:rPr>
        <w:t xml:space="preserve">Zmiany w ustawie z dnia 27 października 2022 r. </w:t>
      </w:r>
      <w:r w:rsidR="00B31144" w:rsidRPr="00B31144">
        <w:rPr>
          <w:rFonts w:cs="Times New Roman"/>
          <w:szCs w:val="24"/>
        </w:rPr>
        <w:t>o środkach nadzwyczajnych mających na celu ograniczenie wysokości cen energii elektrycznej oraz wsparciu niektórych odbiorców w 2023 roku</w:t>
      </w:r>
      <w:r w:rsidR="00241B5B" w:rsidRPr="005A27D3">
        <w:rPr>
          <w:rFonts w:cs="Times New Roman"/>
          <w:szCs w:val="24"/>
        </w:rPr>
        <w:t xml:space="preserve"> </w:t>
      </w:r>
      <w:r w:rsidR="003C3E04">
        <w:rPr>
          <w:rFonts w:cs="Times New Roman"/>
          <w:szCs w:val="24"/>
        </w:rPr>
        <w:t>określają</w:t>
      </w:r>
      <w:r>
        <w:rPr>
          <w:rFonts w:cs="Times New Roman"/>
          <w:szCs w:val="24"/>
        </w:rPr>
        <w:t>:</w:t>
      </w:r>
    </w:p>
    <w:p w14:paraId="57CAC8A4" w14:textId="7A0B814F" w:rsidR="00916C62" w:rsidRPr="0041201D" w:rsidRDefault="00241B5B" w:rsidP="00FD65E3">
      <w:pPr>
        <w:pStyle w:val="Akapitzlist"/>
        <w:numPr>
          <w:ilvl w:val="0"/>
          <w:numId w:val="11"/>
        </w:numPr>
        <w:jc w:val="both"/>
        <w:rPr>
          <w:rFonts w:cs="Times New Roman"/>
          <w:szCs w:val="24"/>
        </w:rPr>
      </w:pPr>
      <w:r w:rsidRPr="0041201D">
        <w:rPr>
          <w:rFonts w:cs="Times New Roman"/>
          <w:szCs w:val="24"/>
        </w:rPr>
        <w:t xml:space="preserve">definicje i zasady obliczania składki solidarnościowej, wraz z podaniem wzoru indywidualnego wyliczenia </w:t>
      </w:r>
      <w:r w:rsidR="002A6D73" w:rsidRPr="0041201D">
        <w:rPr>
          <w:rFonts w:cs="Times New Roman"/>
          <w:szCs w:val="24"/>
        </w:rPr>
        <w:t xml:space="preserve">tej </w:t>
      </w:r>
      <w:r w:rsidRPr="0041201D">
        <w:rPr>
          <w:rFonts w:cs="Times New Roman"/>
          <w:szCs w:val="24"/>
        </w:rPr>
        <w:t>składki</w:t>
      </w:r>
      <w:r w:rsidR="002A6D73" w:rsidRPr="0041201D">
        <w:rPr>
          <w:rFonts w:cs="Times New Roman"/>
          <w:szCs w:val="24"/>
        </w:rPr>
        <w:t>.</w:t>
      </w:r>
      <w:r w:rsidRPr="0041201D">
        <w:rPr>
          <w:rFonts w:cs="Times New Roman"/>
          <w:szCs w:val="24"/>
        </w:rPr>
        <w:t xml:space="preserve"> </w:t>
      </w:r>
    </w:p>
    <w:p w14:paraId="65494076" w14:textId="29E2122A" w:rsidR="00A50F59" w:rsidRPr="005A27D3" w:rsidRDefault="0041201D" w:rsidP="000373D3">
      <w:pPr>
        <w:jc w:val="both"/>
        <w:rPr>
          <w:rFonts w:cs="Times New Roman"/>
          <w:szCs w:val="24"/>
        </w:rPr>
      </w:pPr>
      <w:r>
        <w:rPr>
          <w:rFonts w:cs="Times New Roman"/>
          <w:szCs w:val="24"/>
        </w:rPr>
        <w:t xml:space="preserve">W regulacji przyjęto, iż </w:t>
      </w:r>
      <w:r w:rsidR="00A50F59" w:rsidRPr="005A27D3">
        <w:rPr>
          <w:rFonts w:cs="Times New Roman"/>
          <w:szCs w:val="24"/>
        </w:rPr>
        <w:t xml:space="preserve">składka </w:t>
      </w:r>
      <w:r w:rsidR="002A6D73">
        <w:rPr>
          <w:rFonts w:cs="Times New Roman"/>
          <w:szCs w:val="24"/>
        </w:rPr>
        <w:t xml:space="preserve">solidarnościowa </w:t>
      </w:r>
      <w:r>
        <w:rPr>
          <w:rFonts w:cs="Times New Roman"/>
          <w:szCs w:val="24"/>
        </w:rPr>
        <w:t xml:space="preserve"> będzie </w:t>
      </w:r>
      <w:r w:rsidR="00A50F59" w:rsidRPr="005A27D3">
        <w:rPr>
          <w:rFonts w:cs="Times New Roman"/>
          <w:szCs w:val="24"/>
        </w:rPr>
        <w:t xml:space="preserve">wyliczana od </w:t>
      </w:r>
      <w:r w:rsidR="002A6D73">
        <w:rPr>
          <w:rFonts w:cs="Times New Roman"/>
          <w:szCs w:val="24"/>
        </w:rPr>
        <w:t xml:space="preserve">nadmiarowych dochodów </w:t>
      </w:r>
      <w:r w:rsidR="00A50F59" w:rsidRPr="005A27D3">
        <w:rPr>
          <w:rFonts w:cs="Times New Roman"/>
          <w:szCs w:val="24"/>
        </w:rPr>
        <w:t xml:space="preserve"> przedsiębiorstwa </w:t>
      </w:r>
      <w:r w:rsidR="002A6D73">
        <w:rPr>
          <w:rFonts w:cs="Times New Roman"/>
          <w:szCs w:val="24"/>
        </w:rPr>
        <w:t>zobowiązanego, osiągnięt</w:t>
      </w:r>
      <w:r>
        <w:rPr>
          <w:rFonts w:cs="Times New Roman"/>
          <w:szCs w:val="24"/>
        </w:rPr>
        <w:t>ych</w:t>
      </w:r>
      <w:r w:rsidR="002A6D73">
        <w:rPr>
          <w:rFonts w:cs="Times New Roman"/>
          <w:szCs w:val="24"/>
        </w:rPr>
        <w:t xml:space="preserve"> w </w:t>
      </w:r>
      <w:r>
        <w:rPr>
          <w:rFonts w:cs="Times New Roman"/>
          <w:szCs w:val="24"/>
        </w:rPr>
        <w:t xml:space="preserve">roku podatkowym </w:t>
      </w:r>
      <w:r w:rsidR="002A6D73">
        <w:rPr>
          <w:rFonts w:cs="Times New Roman"/>
          <w:szCs w:val="24"/>
        </w:rPr>
        <w:t>2022 r. z</w:t>
      </w:r>
      <w:r>
        <w:rPr>
          <w:rFonts w:cs="Times New Roman"/>
          <w:szCs w:val="24"/>
        </w:rPr>
        <w:t>e wskazanej</w:t>
      </w:r>
      <w:r w:rsidR="00A50F59" w:rsidRPr="005A27D3">
        <w:rPr>
          <w:rFonts w:cs="Times New Roman"/>
          <w:szCs w:val="24"/>
        </w:rPr>
        <w:t xml:space="preserve"> działalności</w:t>
      </w:r>
      <w:r w:rsidR="002A6D73">
        <w:rPr>
          <w:rFonts w:cs="Times New Roman"/>
          <w:szCs w:val="24"/>
        </w:rPr>
        <w:t xml:space="preserve"> </w:t>
      </w:r>
      <w:r w:rsidR="00A50F59" w:rsidRPr="005A27D3">
        <w:rPr>
          <w:rFonts w:cs="Times New Roman"/>
          <w:szCs w:val="24"/>
        </w:rPr>
        <w:t xml:space="preserve">przy </w:t>
      </w:r>
      <w:r>
        <w:rPr>
          <w:rFonts w:cs="Times New Roman"/>
          <w:szCs w:val="24"/>
        </w:rPr>
        <w:t>czym za nadmiarowe dochody uważa się dochody przekraczające</w:t>
      </w:r>
      <w:r w:rsidR="00A50F59" w:rsidRPr="005A27D3">
        <w:rPr>
          <w:rFonts w:cs="Times New Roman"/>
          <w:szCs w:val="24"/>
        </w:rPr>
        <w:t xml:space="preserve"> </w:t>
      </w:r>
      <w:r>
        <w:rPr>
          <w:rFonts w:cs="Times New Roman"/>
          <w:szCs w:val="24"/>
        </w:rPr>
        <w:t>1</w:t>
      </w:r>
      <w:r w:rsidR="00A50F59" w:rsidRPr="005A27D3">
        <w:rPr>
          <w:rFonts w:cs="Times New Roman"/>
          <w:szCs w:val="24"/>
        </w:rPr>
        <w:t>20%  średni</w:t>
      </w:r>
      <w:r>
        <w:rPr>
          <w:rFonts w:cs="Times New Roman"/>
          <w:szCs w:val="24"/>
        </w:rPr>
        <w:t>ch dochodów</w:t>
      </w:r>
      <w:r w:rsidR="00A50F59" w:rsidRPr="005A27D3">
        <w:rPr>
          <w:rFonts w:cs="Times New Roman"/>
          <w:szCs w:val="24"/>
        </w:rPr>
        <w:t xml:space="preserve"> </w:t>
      </w:r>
      <w:r>
        <w:rPr>
          <w:rFonts w:cs="Times New Roman"/>
          <w:szCs w:val="24"/>
        </w:rPr>
        <w:t xml:space="preserve">osiągniętych w okresie </w:t>
      </w:r>
      <w:r w:rsidR="00A50F59" w:rsidRPr="005A27D3">
        <w:rPr>
          <w:rFonts w:cs="Times New Roman"/>
          <w:szCs w:val="24"/>
        </w:rPr>
        <w:t>wcześniejszych 4</w:t>
      </w:r>
      <w:r w:rsidR="001447B1">
        <w:rPr>
          <w:rFonts w:cs="Times New Roman"/>
          <w:szCs w:val="24"/>
        </w:rPr>
        <w:t xml:space="preserve"> lat</w:t>
      </w:r>
      <w:r w:rsidR="00A50F59" w:rsidRPr="005A27D3">
        <w:rPr>
          <w:rFonts w:cs="Times New Roman"/>
          <w:szCs w:val="24"/>
        </w:rPr>
        <w:t xml:space="preserve">. </w:t>
      </w:r>
      <w:r>
        <w:rPr>
          <w:rFonts w:cs="Times New Roman"/>
          <w:szCs w:val="24"/>
        </w:rPr>
        <w:t>Nadmiarowe dochody obciążone zostały składką w wysokości 33%.</w:t>
      </w:r>
      <w:r w:rsidR="000373D3" w:rsidRPr="005A27D3">
        <w:rPr>
          <w:rFonts w:cs="Times New Roman"/>
          <w:szCs w:val="24"/>
        </w:rPr>
        <w:tab/>
      </w:r>
      <w:r w:rsidR="000373D3" w:rsidRPr="005A27D3">
        <w:rPr>
          <w:rFonts w:cs="Times New Roman"/>
          <w:szCs w:val="24"/>
        </w:rPr>
        <w:br/>
        <w:t xml:space="preserve">W przypadku podmiotów nie posiadających historii działalności, które rozpoczęły działalność po 31 grudnia 2021 r. oraz w przypadku, gdy średni dochód  wynosi zero podstawę obliczenia składki solidarnościowej </w:t>
      </w:r>
      <w:r w:rsidR="001447B1">
        <w:rPr>
          <w:rFonts w:cs="Times New Roman"/>
          <w:szCs w:val="24"/>
        </w:rPr>
        <w:t xml:space="preserve">ma </w:t>
      </w:r>
      <w:r w:rsidR="000373D3" w:rsidRPr="005A27D3">
        <w:rPr>
          <w:rFonts w:cs="Times New Roman"/>
          <w:szCs w:val="24"/>
        </w:rPr>
        <w:t>stanowi</w:t>
      </w:r>
      <w:r w:rsidR="001447B1">
        <w:rPr>
          <w:rFonts w:cs="Times New Roman"/>
          <w:szCs w:val="24"/>
        </w:rPr>
        <w:t>ć</w:t>
      </w:r>
      <w:r w:rsidR="000373D3" w:rsidRPr="005A27D3">
        <w:rPr>
          <w:rFonts w:cs="Times New Roman"/>
          <w:szCs w:val="24"/>
        </w:rPr>
        <w:t xml:space="preserve"> dochód osiągnięty w roku podatkowym 2022 (rozpoczynający się z dniem 1 stycznia 2022 r. lub po tym dniu)</w:t>
      </w:r>
      <w:r w:rsidR="001447B1" w:rsidRPr="001447B1">
        <w:rPr>
          <w:rFonts w:cs="Times New Roman"/>
          <w:szCs w:val="24"/>
        </w:rPr>
        <w:t xml:space="preserve"> </w:t>
      </w:r>
      <w:r w:rsidR="001447B1" w:rsidRPr="005A27D3">
        <w:rPr>
          <w:rFonts w:cs="Times New Roman"/>
          <w:szCs w:val="24"/>
        </w:rPr>
        <w:t>pomniejszony o 20%</w:t>
      </w:r>
      <w:r w:rsidR="001447B1">
        <w:rPr>
          <w:rFonts w:cs="Times New Roman"/>
          <w:szCs w:val="24"/>
        </w:rPr>
        <w:t>.</w:t>
      </w:r>
    </w:p>
    <w:p w14:paraId="071551A3" w14:textId="77777777" w:rsidR="00A50F59" w:rsidRPr="005A27D3" w:rsidRDefault="00A50F59" w:rsidP="00241B5B">
      <w:pPr>
        <w:jc w:val="both"/>
        <w:rPr>
          <w:rFonts w:cs="Times New Roman"/>
          <w:szCs w:val="24"/>
        </w:rPr>
      </w:pPr>
    </w:p>
    <w:p w14:paraId="46D7CD97" w14:textId="22166CCE" w:rsidR="00241B5B" w:rsidRPr="00B31144" w:rsidRDefault="00241B5B" w:rsidP="00FD65E3">
      <w:pPr>
        <w:pStyle w:val="Akapitzlist"/>
        <w:numPr>
          <w:ilvl w:val="0"/>
          <w:numId w:val="11"/>
        </w:numPr>
        <w:jc w:val="both"/>
        <w:rPr>
          <w:rFonts w:cs="Times New Roman"/>
          <w:szCs w:val="24"/>
        </w:rPr>
      </w:pPr>
      <w:r w:rsidRPr="00B31144">
        <w:rPr>
          <w:rFonts w:cs="Times New Roman"/>
          <w:szCs w:val="24"/>
        </w:rPr>
        <w:t>zasady przekazywania składki solidarnościowej przez obowiązanego przedsiębiorcę</w:t>
      </w:r>
      <w:r w:rsidR="00B36638" w:rsidRPr="00B31144">
        <w:rPr>
          <w:rFonts w:cs="Times New Roman"/>
          <w:szCs w:val="24"/>
        </w:rPr>
        <w:t>.</w:t>
      </w:r>
      <w:r w:rsidR="00B36638">
        <w:rPr>
          <w:rFonts w:cs="Times New Roman"/>
          <w:szCs w:val="24"/>
        </w:rPr>
        <w:t xml:space="preserve"> W projekcie </w:t>
      </w:r>
      <w:r w:rsidR="0041201D">
        <w:rPr>
          <w:rFonts w:cs="Times New Roman"/>
          <w:szCs w:val="24"/>
        </w:rPr>
        <w:t xml:space="preserve">założono, iż obowiązany przedsiębiorca </w:t>
      </w:r>
      <w:r w:rsidR="001447B1">
        <w:rPr>
          <w:rFonts w:cs="Times New Roman"/>
          <w:szCs w:val="24"/>
        </w:rPr>
        <w:t xml:space="preserve">będzie </w:t>
      </w:r>
      <w:r w:rsidRPr="0041201D">
        <w:rPr>
          <w:rFonts w:cs="Times New Roman"/>
          <w:szCs w:val="24"/>
        </w:rPr>
        <w:t xml:space="preserve">samodzielnie  </w:t>
      </w:r>
      <w:r w:rsidR="00B36638">
        <w:rPr>
          <w:rFonts w:cs="Times New Roman"/>
          <w:szCs w:val="24"/>
        </w:rPr>
        <w:t>oblicz</w:t>
      </w:r>
      <w:r w:rsidR="001447B1">
        <w:rPr>
          <w:rFonts w:cs="Times New Roman"/>
          <w:szCs w:val="24"/>
        </w:rPr>
        <w:t>ał</w:t>
      </w:r>
      <w:r w:rsidR="00B36638">
        <w:rPr>
          <w:rFonts w:cs="Times New Roman"/>
          <w:szCs w:val="24"/>
        </w:rPr>
        <w:t xml:space="preserve"> </w:t>
      </w:r>
      <w:r w:rsidRPr="0041201D">
        <w:rPr>
          <w:rFonts w:cs="Times New Roman"/>
          <w:szCs w:val="24"/>
        </w:rPr>
        <w:t>wysokość składki solidarnościowej, a także w sprawozdaniu przekazywa</w:t>
      </w:r>
      <w:r w:rsidR="001447B1">
        <w:rPr>
          <w:rFonts w:cs="Times New Roman"/>
          <w:szCs w:val="24"/>
        </w:rPr>
        <w:t>ł</w:t>
      </w:r>
      <w:r w:rsidRPr="0041201D">
        <w:rPr>
          <w:rFonts w:cs="Times New Roman"/>
          <w:szCs w:val="24"/>
        </w:rPr>
        <w:t xml:space="preserve"> bezpośrednio do </w:t>
      </w:r>
      <w:r w:rsidR="001447B1">
        <w:rPr>
          <w:rFonts w:cs="Times New Roman"/>
          <w:szCs w:val="24"/>
        </w:rPr>
        <w:t>Z</w:t>
      </w:r>
      <w:r w:rsidRPr="0041201D">
        <w:rPr>
          <w:rFonts w:cs="Times New Roman"/>
          <w:szCs w:val="24"/>
        </w:rPr>
        <w:t xml:space="preserve">arządcy </w:t>
      </w:r>
      <w:r w:rsidR="001447B1">
        <w:rPr>
          <w:rFonts w:cs="Times New Roman"/>
          <w:szCs w:val="24"/>
        </w:rPr>
        <w:t>R</w:t>
      </w:r>
      <w:r w:rsidRPr="0041201D">
        <w:rPr>
          <w:rFonts w:cs="Times New Roman"/>
          <w:szCs w:val="24"/>
        </w:rPr>
        <w:t>ozliczeń dane dotyczące obliczenia składki solidarnościowej oraz jej wysokości.</w:t>
      </w:r>
      <w:r w:rsidR="00C162DF">
        <w:rPr>
          <w:rFonts w:cs="Times New Roman"/>
          <w:szCs w:val="24"/>
        </w:rPr>
        <w:t xml:space="preserve"> Zgodnie z regulacją obowiązani przedsiębiorcy uiszczają składkę poprzez wpłatę na wskazany rachunek Funduszu Wypłaty Różnicy Ceny. </w:t>
      </w:r>
    </w:p>
    <w:p w14:paraId="324F8184" w14:textId="7F89FD5A" w:rsidR="00241B5B" w:rsidRPr="00B36638" w:rsidRDefault="00A417D4" w:rsidP="00FD65E3">
      <w:pPr>
        <w:pStyle w:val="Akapitzlist"/>
        <w:numPr>
          <w:ilvl w:val="0"/>
          <w:numId w:val="11"/>
        </w:numPr>
        <w:jc w:val="both"/>
        <w:rPr>
          <w:rFonts w:cs="Times New Roman"/>
          <w:szCs w:val="24"/>
        </w:rPr>
      </w:pPr>
      <w:r w:rsidRPr="00B36638">
        <w:rPr>
          <w:rFonts w:cs="Times New Roman"/>
          <w:szCs w:val="24"/>
        </w:rPr>
        <w:t xml:space="preserve"> organy kontrolne dla realizacji obowiązku przekazywania składki solidarnościowej przez przedsiębiorców obowiązanych. </w:t>
      </w:r>
      <w:r w:rsidR="00B36638">
        <w:rPr>
          <w:rFonts w:cs="Times New Roman"/>
          <w:szCs w:val="24"/>
        </w:rPr>
        <w:t xml:space="preserve">W </w:t>
      </w:r>
      <w:r w:rsidR="00C162DF">
        <w:rPr>
          <w:rFonts w:cs="Times New Roman"/>
          <w:szCs w:val="24"/>
        </w:rPr>
        <w:t>r</w:t>
      </w:r>
      <w:r w:rsidR="00B36638">
        <w:rPr>
          <w:rFonts w:cs="Times New Roman"/>
          <w:szCs w:val="24"/>
        </w:rPr>
        <w:t xml:space="preserve">egulacji przyjęto, iż kluczowym organem odpowiedzialnym za kontrolę realizacji obowiązków dotyczących składki solidarnościowej jest Prezes Urzędu Regulacji Energetyki. W celu realizacji tych zadań Prezes URE został wyposażony w odpowiednie uprawnienia, m.in. do dokonania kontroli u przedsiębiorcy oraz żądania przedłożenia przez przedsiębiorcę odpowiednich dokumentów i złożenia wyjaśnień. Prezes URE w realizacji tych zadań współpracuje z </w:t>
      </w:r>
      <w:r w:rsidR="001447B1">
        <w:rPr>
          <w:rFonts w:cs="Times New Roman"/>
          <w:szCs w:val="24"/>
        </w:rPr>
        <w:t>Z</w:t>
      </w:r>
      <w:r w:rsidR="00B36638">
        <w:rPr>
          <w:rFonts w:cs="Times New Roman"/>
          <w:szCs w:val="24"/>
        </w:rPr>
        <w:t xml:space="preserve">arządcą </w:t>
      </w:r>
      <w:r w:rsidR="001447B1">
        <w:rPr>
          <w:rFonts w:cs="Times New Roman"/>
          <w:szCs w:val="24"/>
        </w:rPr>
        <w:t>R</w:t>
      </w:r>
      <w:r w:rsidR="00B36638">
        <w:rPr>
          <w:rFonts w:cs="Times New Roman"/>
          <w:szCs w:val="24"/>
        </w:rPr>
        <w:t xml:space="preserve">ozliczeń, ministrem właściwym ds. złóż kopalin i ministrem właściwym do spraw środowiska oraz KAS, którzy zostali zobowiązani do przedkładania </w:t>
      </w:r>
      <w:r w:rsidR="001447B1">
        <w:rPr>
          <w:rFonts w:cs="Times New Roman"/>
          <w:szCs w:val="24"/>
        </w:rPr>
        <w:t>P</w:t>
      </w:r>
      <w:r w:rsidR="00B36638">
        <w:rPr>
          <w:rFonts w:cs="Times New Roman"/>
          <w:szCs w:val="24"/>
        </w:rPr>
        <w:t xml:space="preserve">rezesowi URE niezbędnych informacji. </w:t>
      </w:r>
    </w:p>
    <w:p w14:paraId="34B42396" w14:textId="737E2FDB" w:rsidR="00A417D4" w:rsidRPr="001447B1" w:rsidRDefault="00A417D4" w:rsidP="00FD65E3">
      <w:pPr>
        <w:pStyle w:val="Akapitzlist"/>
        <w:numPr>
          <w:ilvl w:val="0"/>
          <w:numId w:val="11"/>
        </w:numPr>
        <w:jc w:val="both"/>
        <w:rPr>
          <w:rFonts w:cs="Times New Roman"/>
          <w:szCs w:val="24"/>
        </w:rPr>
      </w:pPr>
      <w:r w:rsidRPr="00B36638">
        <w:rPr>
          <w:rFonts w:cs="Times New Roman"/>
          <w:szCs w:val="24"/>
        </w:rPr>
        <w:t xml:space="preserve"> </w:t>
      </w:r>
      <w:r w:rsidR="00C162DF">
        <w:rPr>
          <w:rFonts w:cs="Times New Roman"/>
          <w:szCs w:val="24"/>
        </w:rPr>
        <w:t>cele</w:t>
      </w:r>
      <w:r w:rsidR="001447B1">
        <w:rPr>
          <w:rFonts w:cs="Times New Roman"/>
          <w:szCs w:val="24"/>
        </w:rPr>
        <w:t>,</w:t>
      </w:r>
      <w:r w:rsidR="00C162DF">
        <w:rPr>
          <w:rFonts w:cs="Times New Roman"/>
          <w:szCs w:val="24"/>
        </w:rPr>
        <w:t xml:space="preserve"> na które mogą być wykorzystane środki pozyskane ze składki solidarnościowej oraz </w:t>
      </w:r>
      <w:r w:rsidRPr="00B36638">
        <w:rPr>
          <w:rFonts w:cs="Times New Roman"/>
          <w:szCs w:val="24"/>
        </w:rPr>
        <w:t xml:space="preserve">zasady przekazywania środków na </w:t>
      </w:r>
      <w:r w:rsidR="00C162DF">
        <w:rPr>
          <w:rFonts w:cs="Times New Roman"/>
          <w:szCs w:val="24"/>
        </w:rPr>
        <w:t xml:space="preserve">te </w:t>
      </w:r>
      <w:r w:rsidRPr="00B36638">
        <w:rPr>
          <w:rFonts w:cs="Times New Roman"/>
          <w:szCs w:val="24"/>
        </w:rPr>
        <w:t xml:space="preserve">cele. </w:t>
      </w:r>
      <w:r w:rsidR="00C162DF">
        <w:rPr>
          <w:rFonts w:cs="Times New Roman"/>
          <w:szCs w:val="24"/>
        </w:rPr>
        <w:t xml:space="preserve">Zaproponowano, aby środki ze składki solidarnościowej mogły być wykorzystane na cele określone w przepisach ustaw: z </w:t>
      </w:r>
      <w:r w:rsidR="00C162DF" w:rsidRPr="001447B1">
        <w:rPr>
          <w:rFonts w:cs="Times New Roman"/>
          <w:szCs w:val="24"/>
        </w:rPr>
        <w:t>dnia 27 października 2022 r</w:t>
      </w:r>
      <w:r w:rsidR="001447B1">
        <w:rPr>
          <w:rFonts w:cs="Times New Roman"/>
          <w:szCs w:val="24"/>
        </w:rPr>
        <w:t xml:space="preserve">. </w:t>
      </w:r>
      <w:r w:rsidR="001447B1" w:rsidRPr="001447B1">
        <w:rPr>
          <w:rFonts w:cs="Times New Roman"/>
          <w:szCs w:val="24"/>
        </w:rPr>
        <w:t>o środkach nadzwyczajnych mających na celu ograniczenie wysokości cen energii elektrycznej oraz wsparciu niektórych odbiorców w 2023 roku</w:t>
      </w:r>
      <w:r w:rsidR="001447B1">
        <w:rPr>
          <w:rFonts w:cs="Times New Roman"/>
          <w:szCs w:val="24"/>
        </w:rPr>
        <w:t xml:space="preserve"> </w:t>
      </w:r>
      <w:r w:rsidR="00C162DF" w:rsidRPr="001447B1">
        <w:rPr>
          <w:rFonts w:cs="Times New Roman"/>
          <w:szCs w:val="24"/>
        </w:rPr>
        <w:t>oraz  z dnia</w:t>
      </w:r>
      <w:r w:rsidR="001447B1" w:rsidRPr="00FD65E3">
        <w:rPr>
          <w:rFonts w:cs="Times New Roman"/>
          <w:szCs w:val="24"/>
        </w:rPr>
        <w:t xml:space="preserve"> 15 grudnia 2022 r.</w:t>
      </w:r>
      <w:r w:rsidR="00C162DF" w:rsidRPr="001447B1">
        <w:rPr>
          <w:rFonts w:cs="Times New Roman"/>
          <w:szCs w:val="24"/>
        </w:rPr>
        <w:t xml:space="preserve"> </w:t>
      </w:r>
      <w:r w:rsidR="001447B1" w:rsidRPr="001447B1">
        <w:rPr>
          <w:rFonts w:cs="Times New Roman"/>
          <w:szCs w:val="24"/>
        </w:rPr>
        <w:t>o szczególnej ochronie niektórych odbiorców paliw gazowych w 2023 r.</w:t>
      </w:r>
      <w:r w:rsidR="001447B1">
        <w:rPr>
          <w:rFonts w:cs="Times New Roman"/>
          <w:szCs w:val="24"/>
        </w:rPr>
        <w:t xml:space="preserve"> </w:t>
      </w:r>
      <w:r w:rsidR="001447B1" w:rsidRPr="001447B1">
        <w:rPr>
          <w:rFonts w:cs="Times New Roman"/>
          <w:szCs w:val="24"/>
        </w:rPr>
        <w:t>w związku z sytuacją na rynku gazu</w:t>
      </w:r>
      <w:r w:rsidR="001447B1">
        <w:rPr>
          <w:rFonts w:cs="Times New Roman"/>
          <w:szCs w:val="24"/>
        </w:rPr>
        <w:t>.</w:t>
      </w:r>
    </w:p>
    <w:p w14:paraId="79768EA4" w14:textId="77AE762F" w:rsidR="00A417D4" w:rsidRPr="00C162DF" w:rsidRDefault="00A417D4" w:rsidP="00FD65E3">
      <w:pPr>
        <w:pStyle w:val="Akapitzlist"/>
        <w:numPr>
          <w:ilvl w:val="0"/>
          <w:numId w:val="11"/>
        </w:numPr>
        <w:jc w:val="both"/>
        <w:rPr>
          <w:rFonts w:cs="Times New Roman"/>
          <w:szCs w:val="24"/>
        </w:rPr>
      </w:pPr>
      <w:r w:rsidRPr="00C162DF">
        <w:rPr>
          <w:rFonts w:cs="Times New Roman"/>
          <w:szCs w:val="24"/>
        </w:rPr>
        <w:t xml:space="preserve"> administracyjne kary pieniężne, </w:t>
      </w:r>
      <w:r w:rsidR="001447B1">
        <w:rPr>
          <w:rFonts w:cs="Times New Roman"/>
          <w:szCs w:val="24"/>
        </w:rPr>
        <w:t>które można będzie zastosować w przypadku</w:t>
      </w:r>
      <w:r w:rsidRPr="00C162DF">
        <w:rPr>
          <w:rFonts w:cs="Times New Roman"/>
          <w:szCs w:val="24"/>
        </w:rPr>
        <w:t xml:space="preserve"> uchylania się przedsiębiorców od </w:t>
      </w:r>
      <w:r w:rsidR="00C162DF" w:rsidRPr="00C162DF">
        <w:rPr>
          <w:rFonts w:cs="Times New Roman"/>
          <w:szCs w:val="24"/>
        </w:rPr>
        <w:t>realizacji</w:t>
      </w:r>
      <w:r w:rsidRPr="00C162DF">
        <w:rPr>
          <w:rFonts w:cs="Times New Roman"/>
          <w:szCs w:val="24"/>
        </w:rPr>
        <w:t xml:space="preserve"> zobowiązań</w:t>
      </w:r>
      <w:r w:rsidR="00C162DF">
        <w:rPr>
          <w:rFonts w:cs="Times New Roman"/>
          <w:szCs w:val="24"/>
        </w:rPr>
        <w:t xml:space="preserve"> określonych w ustawie</w:t>
      </w:r>
      <w:r w:rsidRPr="00C162DF">
        <w:rPr>
          <w:rFonts w:cs="Times New Roman"/>
          <w:szCs w:val="24"/>
        </w:rPr>
        <w:t xml:space="preserve">, także  w odniesieniu do osób kierujących przedsiębiorstwem. </w:t>
      </w:r>
      <w:r w:rsidR="00C162DF">
        <w:rPr>
          <w:rFonts w:cs="Times New Roman"/>
          <w:szCs w:val="24"/>
        </w:rPr>
        <w:t xml:space="preserve">Przyjęto, iż </w:t>
      </w:r>
      <w:r w:rsidR="001447B1">
        <w:rPr>
          <w:rFonts w:cs="Times New Roman"/>
          <w:szCs w:val="24"/>
        </w:rPr>
        <w:t>o</w:t>
      </w:r>
      <w:r w:rsidR="00C162DF">
        <w:rPr>
          <w:rFonts w:cs="Times New Roman"/>
          <w:szCs w:val="24"/>
        </w:rPr>
        <w:t xml:space="preserve">rganem nakładającym kary będzie </w:t>
      </w:r>
      <w:r w:rsidRPr="00C162DF">
        <w:rPr>
          <w:rFonts w:cs="Times New Roman"/>
          <w:szCs w:val="24"/>
        </w:rPr>
        <w:t xml:space="preserve"> Prezes URE </w:t>
      </w:r>
      <w:r w:rsidR="00C162DF">
        <w:rPr>
          <w:rFonts w:cs="Times New Roman"/>
          <w:szCs w:val="24"/>
        </w:rPr>
        <w:t xml:space="preserve">oraz iż kary będą wymierzane w </w:t>
      </w:r>
      <w:r w:rsidRPr="00C162DF">
        <w:rPr>
          <w:rFonts w:cs="Times New Roman"/>
          <w:szCs w:val="24"/>
        </w:rPr>
        <w:t xml:space="preserve"> drodze decyzji administracyjnej. </w:t>
      </w:r>
    </w:p>
    <w:p w14:paraId="3F02EE04" w14:textId="77777777" w:rsidR="00737267" w:rsidRPr="005A27D3" w:rsidRDefault="00737267" w:rsidP="00EB6012">
      <w:pPr>
        <w:rPr>
          <w:rFonts w:cs="Times New Roman"/>
          <w:szCs w:val="24"/>
        </w:rPr>
      </w:pPr>
    </w:p>
    <w:p w14:paraId="41352616" w14:textId="65171184" w:rsidR="00EB6012" w:rsidRPr="005A27D3" w:rsidRDefault="00916C62" w:rsidP="00916C62">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 xml:space="preserve">3. </w:t>
      </w:r>
      <w:r w:rsidR="00EB6012" w:rsidRPr="005A27D3">
        <w:rPr>
          <w:rFonts w:ascii="Times New Roman" w:hAnsi="Times New Roman" w:cs="Times New Roman"/>
          <w:color w:val="auto"/>
          <w:sz w:val="24"/>
          <w:szCs w:val="24"/>
          <w:u w:val="single"/>
        </w:rPr>
        <w:t>Wejście w życie.</w:t>
      </w:r>
    </w:p>
    <w:p w14:paraId="3198D7F5" w14:textId="266CA01F" w:rsidR="00616921" w:rsidRPr="002F5B72" w:rsidRDefault="00C73200" w:rsidP="00FB6151">
      <w:pPr>
        <w:jc w:val="both"/>
        <w:rPr>
          <w:rFonts w:cs="Times New Roman"/>
          <w:szCs w:val="24"/>
        </w:rPr>
      </w:pPr>
      <w:r w:rsidRPr="005A27D3">
        <w:rPr>
          <w:rFonts w:cs="Times New Roman"/>
          <w:szCs w:val="24"/>
        </w:rPr>
        <w:t xml:space="preserve">Zgodnie z art. </w:t>
      </w:r>
      <w:r w:rsidR="00B31144">
        <w:rPr>
          <w:rFonts w:cs="Times New Roman"/>
          <w:szCs w:val="24"/>
        </w:rPr>
        <w:t>1</w:t>
      </w:r>
      <w:r w:rsidRPr="005A27D3">
        <w:rPr>
          <w:rFonts w:cs="Times New Roman"/>
          <w:szCs w:val="24"/>
        </w:rPr>
        <w:t xml:space="preserve">1 proponuje </w:t>
      </w:r>
      <w:r w:rsidR="00616921" w:rsidRPr="005A27D3">
        <w:rPr>
          <w:rFonts w:cs="Times New Roman"/>
          <w:szCs w:val="24"/>
        </w:rPr>
        <w:t>się, aby ustawa weszła w życie 14 dni po dniu ogłoszenia</w:t>
      </w:r>
      <w:r w:rsidRPr="005A27D3">
        <w:rPr>
          <w:rFonts w:cs="Times New Roman"/>
          <w:szCs w:val="24"/>
        </w:rPr>
        <w:t xml:space="preserve">, z wyjątkiem przepisów: </w:t>
      </w:r>
      <w:r w:rsidR="002F5B72">
        <w:t>art. 6 pkt 3-5, które wchodzą w życie w terminie 2 miesięcy od dnia ogłoszenia.</w:t>
      </w:r>
      <w:r w:rsidR="00616921" w:rsidRPr="002F5B72">
        <w:rPr>
          <w:rFonts w:cs="Times New Roman"/>
          <w:szCs w:val="24"/>
        </w:rPr>
        <w:t>.</w:t>
      </w:r>
      <w:r w:rsidRPr="002F5B72">
        <w:rPr>
          <w:rFonts w:cs="Times New Roman"/>
          <w:szCs w:val="24"/>
        </w:rPr>
        <w:t xml:space="preserve"> </w:t>
      </w:r>
      <w:r w:rsidR="00616921" w:rsidRPr="002F5B72">
        <w:rPr>
          <w:rFonts w:cs="Times New Roman"/>
          <w:szCs w:val="24"/>
        </w:rPr>
        <w:t xml:space="preserve">Szybkie wejście w życie ustawy, uzasadnione jest przede wszystkim potrzebą udzielenia dalszego  wsparcia obywateli, </w:t>
      </w:r>
      <w:r w:rsidR="00F355C0" w:rsidRPr="002F5B72">
        <w:rPr>
          <w:rFonts w:cs="Times New Roman"/>
          <w:szCs w:val="24"/>
        </w:rPr>
        <w:t xml:space="preserve">gospodarstw domowych, niektórych odbiorców wrażliwych </w:t>
      </w:r>
      <w:r w:rsidR="00616921" w:rsidRPr="002F5B72">
        <w:rPr>
          <w:rFonts w:cs="Times New Roman"/>
          <w:szCs w:val="24"/>
        </w:rPr>
        <w:t xml:space="preserve">w zakresie </w:t>
      </w:r>
      <w:r w:rsidR="00F355C0" w:rsidRPr="002F5B72">
        <w:rPr>
          <w:rFonts w:cs="Times New Roman"/>
          <w:szCs w:val="24"/>
        </w:rPr>
        <w:t xml:space="preserve">działania </w:t>
      </w:r>
      <w:r w:rsidR="00616921" w:rsidRPr="002F5B72">
        <w:rPr>
          <w:rFonts w:cs="Times New Roman"/>
          <w:szCs w:val="24"/>
        </w:rPr>
        <w:t>uregulowanym</w:t>
      </w:r>
      <w:r w:rsidR="00F355C0" w:rsidRPr="002F5B72">
        <w:rPr>
          <w:rFonts w:cs="Times New Roman"/>
          <w:szCs w:val="24"/>
        </w:rPr>
        <w:t xml:space="preserve"> dla działalności </w:t>
      </w:r>
      <w:r w:rsidR="00616921" w:rsidRPr="002F5B72">
        <w:rPr>
          <w:rFonts w:cs="Times New Roman"/>
          <w:szCs w:val="24"/>
        </w:rPr>
        <w:t>„</w:t>
      </w:r>
      <w:r w:rsidR="00F355C0" w:rsidRPr="002F5B72">
        <w:rPr>
          <w:rFonts w:cs="Times New Roman"/>
          <w:szCs w:val="24"/>
        </w:rPr>
        <w:t>Funduszu Przeciwdziałania COVID-19</w:t>
      </w:r>
      <w:r w:rsidR="00616921" w:rsidRPr="002F5B72">
        <w:rPr>
          <w:rFonts w:cs="Times New Roman"/>
          <w:szCs w:val="24"/>
        </w:rPr>
        <w:t>”</w:t>
      </w:r>
      <w:r w:rsidR="00F355C0" w:rsidRPr="002F5B72">
        <w:rPr>
          <w:rFonts w:cs="Times New Roman"/>
          <w:szCs w:val="24"/>
        </w:rPr>
        <w:t xml:space="preserve">. </w:t>
      </w:r>
    </w:p>
    <w:p w14:paraId="49805979" w14:textId="4590F9FB" w:rsidR="00916C62" w:rsidRPr="005A27D3" w:rsidRDefault="00616921" w:rsidP="00FB6151">
      <w:pPr>
        <w:jc w:val="both"/>
        <w:rPr>
          <w:rFonts w:cs="Times New Roman"/>
          <w:szCs w:val="24"/>
        </w:rPr>
      </w:pPr>
      <w:r w:rsidRPr="002F5B72">
        <w:rPr>
          <w:rFonts w:cs="Times New Roman"/>
          <w:szCs w:val="24"/>
        </w:rPr>
        <w:t>Termin wejścia w życie ustawy nie narusza zasad demokratycznego</w:t>
      </w:r>
      <w:r w:rsidRPr="005A27D3">
        <w:rPr>
          <w:rFonts w:cs="Times New Roman"/>
          <w:szCs w:val="24"/>
        </w:rPr>
        <w:t xml:space="preserve"> państwa prawnego i nie</w:t>
      </w:r>
      <w:r w:rsidR="000C3A19" w:rsidRPr="005A27D3">
        <w:rPr>
          <w:rFonts w:cs="Times New Roman"/>
          <w:szCs w:val="24"/>
        </w:rPr>
        <w:t xml:space="preserve"> </w:t>
      </w:r>
      <w:r w:rsidRPr="005A27D3">
        <w:rPr>
          <w:rFonts w:cs="Times New Roman"/>
          <w:szCs w:val="24"/>
        </w:rPr>
        <w:t>stoi w</w:t>
      </w:r>
      <w:r w:rsidR="000C3A19" w:rsidRPr="005A27D3">
        <w:rPr>
          <w:rFonts w:cs="Times New Roman"/>
          <w:szCs w:val="24"/>
        </w:rPr>
        <w:t> </w:t>
      </w:r>
      <w:r w:rsidRPr="005A27D3">
        <w:rPr>
          <w:rFonts w:cs="Times New Roman"/>
          <w:szCs w:val="24"/>
        </w:rPr>
        <w:t>sprzeczności z art. 4 ust. 2 ustawy z dnia 20 lipca 2000 r. o ogłaszaniu aktów</w:t>
      </w:r>
      <w:r w:rsidR="000C3A19" w:rsidRPr="005A27D3">
        <w:rPr>
          <w:rFonts w:cs="Times New Roman"/>
          <w:szCs w:val="24"/>
        </w:rPr>
        <w:t xml:space="preserve"> </w:t>
      </w:r>
      <w:r w:rsidRPr="005A27D3">
        <w:rPr>
          <w:rFonts w:cs="Times New Roman"/>
          <w:szCs w:val="24"/>
        </w:rPr>
        <w:t>normatywnych i</w:t>
      </w:r>
      <w:r w:rsidR="00FB6151" w:rsidRPr="005A27D3">
        <w:rPr>
          <w:rFonts w:cs="Times New Roman"/>
          <w:szCs w:val="24"/>
        </w:rPr>
        <w:t> </w:t>
      </w:r>
      <w:r w:rsidR="000C3A19" w:rsidRPr="005A27D3">
        <w:rPr>
          <w:rFonts w:cs="Times New Roman"/>
          <w:szCs w:val="24"/>
        </w:rPr>
        <w:t>n</w:t>
      </w:r>
      <w:r w:rsidRPr="005A27D3">
        <w:rPr>
          <w:rFonts w:cs="Times New Roman"/>
          <w:szCs w:val="24"/>
        </w:rPr>
        <w:t>iektórych innych aktów prawnych (Dz. U. z 2019 r. poz. 1461).</w:t>
      </w:r>
      <w:r w:rsidR="006970B0" w:rsidRPr="005A27D3">
        <w:rPr>
          <w:rFonts w:cs="Times New Roman"/>
          <w:szCs w:val="24"/>
        </w:rPr>
        <w:t xml:space="preserve"> Do prezentowania stanowiska Rządu w sprawie został upoważniony Minister Klimatu i Środowiska.</w:t>
      </w:r>
    </w:p>
    <w:p w14:paraId="49BD242E" w14:textId="77777777" w:rsidR="00937E13" w:rsidRPr="005A27D3" w:rsidRDefault="00937E13" w:rsidP="00616921">
      <w:pPr>
        <w:rPr>
          <w:rFonts w:cs="Times New Roman"/>
          <w:szCs w:val="24"/>
        </w:rPr>
      </w:pPr>
    </w:p>
    <w:p w14:paraId="22C81178" w14:textId="0A8C5155" w:rsidR="00916C62" w:rsidRPr="005A27D3" w:rsidRDefault="00916C62" w:rsidP="00916C62">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 xml:space="preserve">4. </w:t>
      </w:r>
      <w:r w:rsidR="00EB6012" w:rsidRPr="005A27D3">
        <w:rPr>
          <w:rFonts w:ascii="Times New Roman" w:hAnsi="Times New Roman" w:cs="Times New Roman"/>
          <w:color w:val="auto"/>
          <w:sz w:val="24"/>
          <w:szCs w:val="24"/>
          <w:u w:val="single"/>
        </w:rPr>
        <w:t>Zgodność z prawem Unii Europejskiej.</w:t>
      </w:r>
    </w:p>
    <w:p w14:paraId="2FA7D662" w14:textId="4081924F" w:rsidR="00916C62" w:rsidRPr="005A27D3" w:rsidRDefault="00737267" w:rsidP="00774696">
      <w:pPr>
        <w:jc w:val="both"/>
        <w:rPr>
          <w:rFonts w:cs="Times New Roman"/>
          <w:szCs w:val="24"/>
        </w:rPr>
      </w:pPr>
      <w:r w:rsidRPr="005A27D3">
        <w:rPr>
          <w:rFonts w:cs="Times New Roman"/>
          <w:szCs w:val="24"/>
        </w:rPr>
        <w:t>W ocenie projektodawców p</w:t>
      </w:r>
      <w:r w:rsidR="004D4E48" w:rsidRPr="005A27D3">
        <w:rPr>
          <w:rFonts w:cs="Times New Roman"/>
          <w:szCs w:val="24"/>
        </w:rPr>
        <w:t xml:space="preserve">rojekt </w:t>
      </w:r>
      <w:r w:rsidR="00616921" w:rsidRPr="005A27D3">
        <w:rPr>
          <w:rFonts w:cs="Times New Roman"/>
          <w:szCs w:val="24"/>
        </w:rPr>
        <w:t>projektowanej regulacji jest zgodny z prawem Unii Europejskiej</w:t>
      </w:r>
      <w:r w:rsidRPr="005A27D3">
        <w:rPr>
          <w:rFonts w:cs="Times New Roman"/>
          <w:szCs w:val="24"/>
        </w:rPr>
        <w:t xml:space="preserve">, służy ogólnemu interesowi gospodarczemu, jest niedyskryminacyjny, proporcjonalny oraz wprowadzany </w:t>
      </w:r>
      <w:r w:rsidR="00036BC5" w:rsidRPr="005A27D3">
        <w:rPr>
          <w:rFonts w:cs="Times New Roman"/>
          <w:szCs w:val="24"/>
        </w:rPr>
        <w:t xml:space="preserve">tymczasowo </w:t>
      </w:r>
      <w:r w:rsidRPr="005A27D3">
        <w:rPr>
          <w:rFonts w:cs="Times New Roman"/>
          <w:szCs w:val="24"/>
        </w:rPr>
        <w:t xml:space="preserve">na przejrzystych zasadach. Interwencja ma na celu dalszą ochronę </w:t>
      </w:r>
      <w:r w:rsidR="006F1311" w:rsidRPr="005A27D3">
        <w:rPr>
          <w:rFonts w:cs="Times New Roman"/>
          <w:szCs w:val="24"/>
        </w:rPr>
        <w:t xml:space="preserve">między innymi </w:t>
      </w:r>
      <w:r w:rsidRPr="005A27D3">
        <w:rPr>
          <w:rFonts w:cs="Times New Roman"/>
          <w:szCs w:val="24"/>
        </w:rPr>
        <w:t>gospodarstw domowych, które znalazły się w niekorzystnej sytuacji wobec przedłużającej się sytuacji powodowanej agresją Rosji na Ukrainę. Instrument ma charakter przejściow</w:t>
      </w:r>
      <w:r w:rsidR="006F1311" w:rsidRPr="005A27D3">
        <w:rPr>
          <w:rFonts w:cs="Times New Roman"/>
          <w:szCs w:val="24"/>
        </w:rPr>
        <w:t>ej</w:t>
      </w:r>
      <w:r w:rsidRPr="005A27D3">
        <w:rPr>
          <w:rFonts w:cs="Times New Roman"/>
          <w:szCs w:val="24"/>
        </w:rPr>
        <w:t xml:space="preserve"> </w:t>
      </w:r>
      <w:r w:rsidR="00774696" w:rsidRPr="005A27D3">
        <w:rPr>
          <w:rFonts w:cs="Times New Roman"/>
          <w:szCs w:val="24"/>
        </w:rPr>
        <w:t xml:space="preserve">interwencji publicznej </w:t>
      </w:r>
      <w:r w:rsidRPr="005A27D3">
        <w:rPr>
          <w:rFonts w:cs="Times New Roman"/>
          <w:szCs w:val="24"/>
        </w:rPr>
        <w:t xml:space="preserve">i ma </w:t>
      </w:r>
      <w:r w:rsidR="006F1311" w:rsidRPr="005A27D3">
        <w:rPr>
          <w:rFonts w:cs="Times New Roman"/>
          <w:szCs w:val="24"/>
        </w:rPr>
        <w:t xml:space="preserve">także </w:t>
      </w:r>
      <w:r w:rsidRPr="005A27D3">
        <w:rPr>
          <w:rFonts w:cs="Times New Roman"/>
          <w:szCs w:val="24"/>
        </w:rPr>
        <w:t>na celu</w:t>
      </w:r>
      <w:r w:rsidR="00C17A1F" w:rsidRPr="005A27D3">
        <w:rPr>
          <w:rFonts w:cs="Times New Roman"/>
          <w:szCs w:val="24"/>
        </w:rPr>
        <w:t xml:space="preserve"> </w:t>
      </w:r>
      <w:r w:rsidRPr="005A27D3">
        <w:rPr>
          <w:rFonts w:cs="Times New Roman"/>
          <w:szCs w:val="24"/>
        </w:rPr>
        <w:t xml:space="preserve">stabilizowanie sytuacji na rynku </w:t>
      </w:r>
      <w:r w:rsidR="006F1311" w:rsidRPr="005A27D3">
        <w:rPr>
          <w:rFonts w:cs="Times New Roman"/>
          <w:szCs w:val="24"/>
        </w:rPr>
        <w:t xml:space="preserve">gazu i </w:t>
      </w:r>
      <w:r w:rsidRPr="005A27D3">
        <w:rPr>
          <w:rFonts w:cs="Times New Roman"/>
          <w:szCs w:val="24"/>
        </w:rPr>
        <w:t>energii</w:t>
      </w:r>
      <w:r w:rsidR="00C17A1F" w:rsidRPr="005A27D3">
        <w:rPr>
          <w:rFonts w:cs="Times New Roman"/>
          <w:szCs w:val="24"/>
        </w:rPr>
        <w:t>,</w:t>
      </w:r>
      <w:r w:rsidR="006F1311" w:rsidRPr="005A27D3">
        <w:rPr>
          <w:rFonts w:cs="Times New Roman"/>
          <w:szCs w:val="24"/>
        </w:rPr>
        <w:t xml:space="preserve"> realizuj</w:t>
      </w:r>
      <w:r w:rsidR="00C73200" w:rsidRPr="005A27D3">
        <w:rPr>
          <w:rFonts w:cs="Times New Roman"/>
          <w:szCs w:val="24"/>
        </w:rPr>
        <w:t>ącą</w:t>
      </w:r>
      <w:r w:rsidR="006F1311" w:rsidRPr="005A27D3">
        <w:rPr>
          <w:rFonts w:cs="Times New Roman"/>
          <w:szCs w:val="24"/>
        </w:rPr>
        <w:t xml:space="preserve"> postanowienia i możliwości </w:t>
      </w:r>
      <w:r w:rsidR="00774696" w:rsidRPr="005A27D3">
        <w:rPr>
          <w:rFonts w:cs="Times New Roman"/>
          <w:szCs w:val="24"/>
        </w:rPr>
        <w:t>wynika</w:t>
      </w:r>
      <w:r w:rsidR="006F1311" w:rsidRPr="005A27D3">
        <w:rPr>
          <w:rFonts w:cs="Times New Roman"/>
          <w:szCs w:val="24"/>
        </w:rPr>
        <w:t>jące</w:t>
      </w:r>
      <w:r w:rsidR="00774696" w:rsidRPr="005A27D3">
        <w:rPr>
          <w:rFonts w:cs="Times New Roman"/>
          <w:szCs w:val="24"/>
        </w:rPr>
        <w:t xml:space="preserve"> z</w:t>
      </w:r>
      <w:r w:rsidR="006F1311" w:rsidRPr="005A27D3">
        <w:rPr>
          <w:rFonts w:cs="Times New Roman"/>
          <w:szCs w:val="24"/>
        </w:rPr>
        <w:t> </w:t>
      </w:r>
      <w:r w:rsidR="00774696" w:rsidRPr="005A27D3">
        <w:rPr>
          <w:rFonts w:cs="Times New Roman"/>
          <w:szCs w:val="24"/>
        </w:rPr>
        <w:t>rozporządzenia Rady (UE) 2022/1854 z dnia 6 października 2022 r. w</w:t>
      </w:r>
      <w:r w:rsidR="00C73200" w:rsidRPr="005A27D3">
        <w:rPr>
          <w:rFonts w:cs="Times New Roman"/>
          <w:szCs w:val="24"/>
        </w:rPr>
        <w:t> </w:t>
      </w:r>
      <w:r w:rsidR="00774696" w:rsidRPr="005A27D3">
        <w:rPr>
          <w:rFonts w:cs="Times New Roman"/>
          <w:szCs w:val="24"/>
        </w:rPr>
        <w:t>sprawie interwencji w sytuacji nadzwyczajnej w celu rozwiązania problemu wysokich cen</w:t>
      </w:r>
      <w:r w:rsidR="002F5B72">
        <w:rPr>
          <w:rFonts w:cs="Times New Roman"/>
          <w:szCs w:val="24"/>
        </w:rPr>
        <w:t xml:space="preserve"> energii</w:t>
      </w:r>
      <w:r w:rsidR="00774696" w:rsidRPr="005A27D3">
        <w:rPr>
          <w:rFonts w:cs="Times New Roman"/>
          <w:szCs w:val="24"/>
        </w:rPr>
        <w:t xml:space="preserve">. </w:t>
      </w:r>
    </w:p>
    <w:p w14:paraId="6D86A14D" w14:textId="77777777" w:rsidR="00C17A1F" w:rsidRPr="005A27D3" w:rsidRDefault="00C17A1F" w:rsidP="00C17A1F">
      <w:pPr>
        <w:jc w:val="both"/>
        <w:rPr>
          <w:rFonts w:cs="Times New Roman"/>
          <w:szCs w:val="24"/>
        </w:rPr>
      </w:pPr>
    </w:p>
    <w:p w14:paraId="7D4F69D6" w14:textId="77777777" w:rsidR="00EB6012" w:rsidRPr="005A27D3" w:rsidRDefault="00EB6012" w:rsidP="00916C62">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 xml:space="preserve">5. Notyfikacja. </w:t>
      </w:r>
    </w:p>
    <w:p w14:paraId="19E019B5" w14:textId="2E8BC34F" w:rsidR="00FF1F6B" w:rsidRPr="005A27D3" w:rsidRDefault="00FF1F6B" w:rsidP="00FF1F6B">
      <w:pPr>
        <w:jc w:val="both"/>
        <w:rPr>
          <w:rFonts w:cs="Times New Roman"/>
          <w:szCs w:val="24"/>
        </w:rPr>
      </w:pPr>
      <w:r w:rsidRPr="005A27D3">
        <w:rPr>
          <w:rFonts w:cs="Times New Roman"/>
          <w:szCs w:val="24"/>
        </w:rPr>
        <w:t>Projekt ustawy nie podlega procedurze notyfikacji aktów prawnych, określonej w przepisach rozporządzenia Rady Ministrów z dnia 23 grudnia 2002 r. w sprawie funkcjonowania krajowego systemu notyfikacji norm i aktów prawnych (Dz. U. poz. 2039, z późn. zm.).</w:t>
      </w:r>
    </w:p>
    <w:p w14:paraId="553263F1" w14:textId="4B2BD6EA" w:rsidR="00916C62" w:rsidRPr="005A27D3" w:rsidRDefault="00FF1F6B" w:rsidP="00FF1F6B">
      <w:pPr>
        <w:jc w:val="both"/>
        <w:rPr>
          <w:rFonts w:cs="Times New Roman"/>
          <w:szCs w:val="24"/>
        </w:rPr>
      </w:pPr>
      <w:r w:rsidRPr="005A27D3">
        <w:rPr>
          <w:rFonts w:cs="Times New Roman"/>
          <w:szCs w:val="24"/>
        </w:rPr>
        <w:t>Projekt ustawy nie wymaga przedstawienia właściwym instytucjom i organom Unii Europejskiej, w tym Europejskiemu Bankowi Centralnemu (EBC), celem uzyskania opinii, dokonania powiadomienia, konsultacji lub uzgodnienia projektu.</w:t>
      </w:r>
    </w:p>
    <w:p w14:paraId="4F04E7A2" w14:textId="77777777" w:rsidR="00FF1F6B" w:rsidRPr="005A27D3" w:rsidRDefault="00FF1F6B" w:rsidP="00FF1F6B">
      <w:pPr>
        <w:jc w:val="both"/>
        <w:rPr>
          <w:rFonts w:cs="Times New Roman"/>
          <w:szCs w:val="24"/>
        </w:rPr>
      </w:pPr>
    </w:p>
    <w:p w14:paraId="1C39B413" w14:textId="77777777" w:rsidR="00EB6012" w:rsidRPr="005A27D3" w:rsidRDefault="00EB6012" w:rsidP="00916C62">
      <w:pPr>
        <w:pStyle w:val="Nagwek2"/>
        <w:rPr>
          <w:rFonts w:ascii="Times New Roman" w:hAnsi="Times New Roman" w:cs="Times New Roman"/>
          <w:color w:val="auto"/>
          <w:sz w:val="24"/>
          <w:szCs w:val="24"/>
          <w:u w:val="single"/>
        </w:rPr>
      </w:pPr>
      <w:r w:rsidRPr="005A27D3">
        <w:rPr>
          <w:rFonts w:ascii="Times New Roman" w:hAnsi="Times New Roman" w:cs="Times New Roman"/>
          <w:color w:val="auto"/>
          <w:sz w:val="24"/>
          <w:szCs w:val="24"/>
          <w:u w:val="single"/>
        </w:rPr>
        <w:t>6. Wpływ na mikroprzedsiębiorców oraz małych i średnich przedsiębiorców.</w:t>
      </w:r>
    </w:p>
    <w:p w14:paraId="55C1B285" w14:textId="211E0BA1" w:rsidR="00916C62" w:rsidRPr="005A27D3" w:rsidRDefault="00D20C48" w:rsidP="004D4E48">
      <w:pPr>
        <w:jc w:val="both"/>
        <w:rPr>
          <w:rFonts w:cs="Times New Roman"/>
          <w:szCs w:val="24"/>
        </w:rPr>
      </w:pPr>
      <w:r w:rsidRPr="005A27D3">
        <w:rPr>
          <w:rFonts w:cs="Times New Roman"/>
          <w:szCs w:val="24"/>
        </w:rPr>
        <w:t xml:space="preserve">Projektowane zmiany w zakresie ustawy z dnia 27 października 2022 r. </w:t>
      </w:r>
      <w:r w:rsidR="00036BC5" w:rsidRPr="005A27D3">
        <w:rPr>
          <w:rFonts w:cs="Times New Roman"/>
          <w:szCs w:val="24"/>
        </w:rPr>
        <w:t xml:space="preserve">o środkach nadzwyczajnych mających na celu ograniczenie wysokości cen energii </w:t>
      </w:r>
      <w:r w:rsidRPr="005A27D3">
        <w:rPr>
          <w:rFonts w:cs="Times New Roman"/>
          <w:szCs w:val="24"/>
        </w:rPr>
        <w:t xml:space="preserve">pozytywnie wpłyną na mikroprzedsiębiorców oraz małych i średnich przedsiębiorców. Zmiany pozwolą na zapewnienie większej stabilności i bezpieczeństwa dostaw energii </w:t>
      </w:r>
      <w:r w:rsidR="00605ED2" w:rsidRPr="005A27D3">
        <w:rPr>
          <w:rFonts w:cs="Times New Roman"/>
          <w:szCs w:val="24"/>
        </w:rPr>
        <w:t xml:space="preserve">po akceptowalnych kosztach </w:t>
      </w:r>
      <w:r w:rsidRPr="005A27D3">
        <w:rPr>
          <w:rFonts w:cs="Times New Roman"/>
          <w:szCs w:val="24"/>
        </w:rPr>
        <w:t xml:space="preserve">dla wskazanych grup odbiorców. </w:t>
      </w:r>
      <w:r w:rsidRPr="005A27D3">
        <w:rPr>
          <w:rFonts w:cs="Times New Roman"/>
          <w:szCs w:val="24"/>
        </w:rPr>
        <w:tab/>
      </w:r>
      <w:r w:rsidRPr="005A27D3">
        <w:rPr>
          <w:rFonts w:cs="Times New Roman"/>
          <w:szCs w:val="24"/>
        </w:rPr>
        <w:br/>
        <w:t>Jednocześnie w</w:t>
      </w:r>
      <w:r w:rsidR="004D4E48" w:rsidRPr="005A27D3">
        <w:rPr>
          <w:rFonts w:cs="Times New Roman"/>
          <w:szCs w:val="24"/>
        </w:rPr>
        <w:t xml:space="preserve">ejście w życie projektu regulacji </w:t>
      </w:r>
      <w:r w:rsidR="00605ED2" w:rsidRPr="005A27D3">
        <w:rPr>
          <w:rFonts w:cs="Times New Roman"/>
          <w:szCs w:val="24"/>
        </w:rPr>
        <w:t xml:space="preserve">w zakresie składki </w:t>
      </w:r>
      <w:r w:rsidR="004D4E48" w:rsidRPr="005A27D3">
        <w:rPr>
          <w:rFonts w:cs="Times New Roman"/>
          <w:szCs w:val="24"/>
        </w:rPr>
        <w:t>nie dotyczy majątkowych praw i obowiązków przedsiębiorców lub praw i obowiązków przedsiębiorców wobec organów administracji publicznej</w:t>
      </w:r>
      <w:r w:rsidRPr="005A27D3">
        <w:rPr>
          <w:rFonts w:cs="Times New Roman"/>
          <w:szCs w:val="24"/>
        </w:rPr>
        <w:t xml:space="preserve">, innych niż </w:t>
      </w:r>
      <w:r w:rsidR="00605ED2" w:rsidRPr="005A27D3">
        <w:rPr>
          <w:rFonts w:cs="Times New Roman"/>
          <w:szCs w:val="24"/>
        </w:rPr>
        <w:t>wskazanych podmiotów z sektora węgla</w:t>
      </w:r>
      <w:r w:rsidR="004D4E48" w:rsidRPr="005A27D3">
        <w:rPr>
          <w:rFonts w:cs="Times New Roman"/>
          <w:szCs w:val="24"/>
        </w:rPr>
        <w:t>.</w:t>
      </w:r>
    </w:p>
    <w:p w14:paraId="4353D91A" w14:textId="77777777" w:rsidR="008D221A" w:rsidRPr="005A27D3" w:rsidRDefault="008D221A" w:rsidP="004D4E48">
      <w:pPr>
        <w:jc w:val="both"/>
        <w:rPr>
          <w:rFonts w:cs="Times New Roman"/>
          <w:szCs w:val="24"/>
        </w:rPr>
      </w:pPr>
    </w:p>
    <w:p w14:paraId="1927052F" w14:textId="241E10E8" w:rsidR="00EB6012" w:rsidRPr="00B31144" w:rsidRDefault="00EB6012" w:rsidP="00916C62">
      <w:pPr>
        <w:pStyle w:val="Nagwek2"/>
        <w:rPr>
          <w:rFonts w:ascii="Times New Roman" w:hAnsi="Times New Roman" w:cs="Times New Roman"/>
          <w:color w:val="auto"/>
          <w:sz w:val="24"/>
          <w:szCs w:val="24"/>
          <w:u w:val="single"/>
        </w:rPr>
      </w:pPr>
      <w:r w:rsidRPr="00B31144">
        <w:rPr>
          <w:rFonts w:ascii="Times New Roman" w:hAnsi="Times New Roman" w:cs="Times New Roman"/>
          <w:color w:val="auto"/>
          <w:sz w:val="24"/>
          <w:szCs w:val="24"/>
          <w:u w:val="single"/>
        </w:rPr>
        <w:t xml:space="preserve">7.  </w:t>
      </w:r>
    </w:p>
    <w:p w14:paraId="5E14E7E9" w14:textId="27731932" w:rsidR="005A27D3" w:rsidRDefault="00096864" w:rsidP="00096864">
      <w:pPr>
        <w:jc w:val="both"/>
        <w:rPr>
          <w:rFonts w:cs="Times New Roman"/>
          <w:szCs w:val="24"/>
        </w:rPr>
      </w:pPr>
      <w:r w:rsidRPr="005A27D3">
        <w:rPr>
          <w:rFonts w:cs="Times New Roman"/>
          <w:szCs w:val="24"/>
        </w:rPr>
        <w:t xml:space="preserve">Projekt przedmiotowej regulacji, zgodnie z wymogami określonymi w art. 5 ustawy z dnia 7 lipca 2005 r. o działalności lobbingowej w procesie stosowania prawa (Dz. U. z 2017 r. poz. 248), zostanie udostępniony w Biuletynie Informacji Publicznej na stronie podmiotowej Rządowego Centrum Legislacji, w serwisie „Rządowy Proces Legislacyjny”. </w:t>
      </w:r>
      <w:r w:rsidRPr="005A27D3">
        <w:rPr>
          <w:rFonts w:cs="Times New Roman"/>
          <w:szCs w:val="24"/>
        </w:rPr>
        <w:tab/>
      </w:r>
      <w:r w:rsidRPr="005A27D3">
        <w:rPr>
          <w:rFonts w:cs="Times New Roman"/>
          <w:szCs w:val="24"/>
        </w:rPr>
        <w:br/>
      </w:r>
    </w:p>
    <w:p w14:paraId="3EF5E8D2" w14:textId="463277B1" w:rsidR="00167404" w:rsidRPr="005A27D3" w:rsidRDefault="00096864" w:rsidP="00096864">
      <w:pPr>
        <w:jc w:val="both"/>
        <w:rPr>
          <w:rFonts w:cs="Times New Roman"/>
          <w:szCs w:val="24"/>
        </w:rPr>
      </w:pPr>
      <w:r w:rsidRPr="005A27D3">
        <w:rPr>
          <w:rFonts w:cs="Times New Roman"/>
          <w:szCs w:val="24"/>
        </w:rPr>
        <w:t xml:space="preserve">Pilne procedowanie oraz priorytetowe traktowanie projektowanej regulacji </w:t>
      </w:r>
      <w:r w:rsidR="00CE6A0A" w:rsidRPr="005A27D3">
        <w:rPr>
          <w:rFonts w:cs="Times New Roman"/>
          <w:szCs w:val="24"/>
        </w:rPr>
        <w:t xml:space="preserve">jest </w:t>
      </w:r>
      <w:r w:rsidRPr="005A27D3">
        <w:rPr>
          <w:rFonts w:cs="Times New Roman"/>
          <w:szCs w:val="24"/>
        </w:rPr>
        <w:t xml:space="preserve">uzasadnione </w:t>
      </w:r>
      <w:r w:rsidR="0078387C" w:rsidRPr="005A27D3">
        <w:rPr>
          <w:rFonts w:cs="Times New Roman"/>
          <w:szCs w:val="24"/>
        </w:rPr>
        <w:t xml:space="preserve">również </w:t>
      </w:r>
      <w:r w:rsidRPr="005A27D3">
        <w:rPr>
          <w:rFonts w:cs="Times New Roman"/>
          <w:szCs w:val="24"/>
        </w:rPr>
        <w:t xml:space="preserve">z uwagi na konieczność niezwłocznego </w:t>
      </w:r>
      <w:r w:rsidR="0078387C" w:rsidRPr="005A27D3">
        <w:rPr>
          <w:rFonts w:cs="Times New Roman"/>
          <w:szCs w:val="24"/>
        </w:rPr>
        <w:t xml:space="preserve">wsparcia wdrożonych </w:t>
      </w:r>
      <w:r w:rsidRPr="005A27D3">
        <w:rPr>
          <w:rFonts w:cs="Times New Roman"/>
          <w:szCs w:val="24"/>
        </w:rPr>
        <w:t xml:space="preserve">instrumentów </w:t>
      </w:r>
      <w:r w:rsidR="00167404" w:rsidRPr="005A27D3">
        <w:rPr>
          <w:rFonts w:cs="Times New Roman"/>
          <w:szCs w:val="24"/>
        </w:rPr>
        <w:t xml:space="preserve">ochrony </w:t>
      </w:r>
      <w:r w:rsidR="0078387C" w:rsidRPr="005A27D3">
        <w:rPr>
          <w:rFonts w:cs="Times New Roman"/>
          <w:szCs w:val="24"/>
        </w:rPr>
        <w:t xml:space="preserve">odbiorców wrażliwych.  </w:t>
      </w:r>
      <w:r w:rsidR="00167404" w:rsidRPr="005A27D3">
        <w:rPr>
          <w:rFonts w:cs="Times New Roman"/>
          <w:szCs w:val="24"/>
        </w:rPr>
        <w:t>Skrócenie procesu legislacyjnego do niezbędnego minimum jest istotne z punktu widzenia zapewnienia pewności co do przepisów, jakie będą kreowały sytuację prawną ww. odbiorców wrażliwych, zmniejszając tym samym niepewność po stronie przedsiębiorstw energetycznych dostarczających energi</w:t>
      </w:r>
      <w:r w:rsidR="002F5B72">
        <w:rPr>
          <w:rFonts w:cs="Times New Roman"/>
          <w:szCs w:val="24"/>
        </w:rPr>
        <w:t>ę</w:t>
      </w:r>
      <w:r w:rsidR="00167404" w:rsidRPr="005A27D3">
        <w:rPr>
          <w:rFonts w:cs="Times New Roman"/>
          <w:szCs w:val="24"/>
        </w:rPr>
        <w:t>, a także zapewniając odpowiedni czas Urzędowi Regulacji Energetyki, Zarządcy Rozliczeń S.A. oraz Krajowej Administracji Skarbowej na przygotowanie się do realizacji obowiązków wynikających z treści ustawy.</w:t>
      </w:r>
    </w:p>
    <w:p w14:paraId="5A5B10DD" w14:textId="72A2E75E" w:rsidR="009075ED" w:rsidRPr="005A27D3" w:rsidRDefault="009075ED" w:rsidP="00BA16CB">
      <w:pPr>
        <w:spacing w:line="240" w:lineRule="auto"/>
        <w:rPr>
          <w:rFonts w:cs="Times New Roman"/>
          <w:szCs w:val="24"/>
        </w:rPr>
      </w:pPr>
    </w:p>
    <w:p w14:paraId="6E92EF5E" w14:textId="77777777" w:rsidR="009075ED" w:rsidRPr="005A27D3" w:rsidRDefault="009075ED" w:rsidP="00BA16CB">
      <w:pPr>
        <w:spacing w:line="240" w:lineRule="auto"/>
        <w:rPr>
          <w:rFonts w:cs="Times New Roman"/>
          <w:szCs w:val="24"/>
        </w:rPr>
      </w:pPr>
    </w:p>
    <w:p w14:paraId="5906C738" w14:textId="7415A3B4" w:rsidR="00932214" w:rsidRPr="005A27D3" w:rsidRDefault="00932214" w:rsidP="00BA16CB">
      <w:pPr>
        <w:spacing w:line="240" w:lineRule="auto"/>
        <w:rPr>
          <w:rFonts w:cs="Times New Roman"/>
          <w:szCs w:val="24"/>
        </w:rPr>
      </w:pPr>
    </w:p>
    <w:p w14:paraId="7D3633F6" w14:textId="77777777" w:rsidR="00932214" w:rsidRPr="005A27D3" w:rsidRDefault="00932214" w:rsidP="00BA16CB">
      <w:pPr>
        <w:spacing w:line="240" w:lineRule="auto"/>
        <w:rPr>
          <w:rFonts w:cs="Times New Roman"/>
          <w:szCs w:val="24"/>
        </w:rPr>
      </w:pPr>
    </w:p>
    <w:sectPr w:rsidR="00932214" w:rsidRPr="005A27D3" w:rsidSect="009C087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350BC" w14:textId="77777777" w:rsidR="008C48DC" w:rsidRDefault="008C48DC" w:rsidP="00B31144">
      <w:pPr>
        <w:spacing w:line="240" w:lineRule="auto"/>
      </w:pPr>
      <w:r>
        <w:separator/>
      </w:r>
    </w:p>
  </w:endnote>
  <w:endnote w:type="continuationSeparator" w:id="0">
    <w:p w14:paraId="3E8AA6B3" w14:textId="77777777" w:rsidR="008C48DC" w:rsidRDefault="008C48DC" w:rsidP="00B311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4921774"/>
      <w:docPartObj>
        <w:docPartGallery w:val="Page Numbers (Bottom of Page)"/>
        <w:docPartUnique/>
      </w:docPartObj>
    </w:sdtPr>
    <w:sdtEndPr/>
    <w:sdtContent>
      <w:p w14:paraId="64642EC2" w14:textId="5B9901F0" w:rsidR="009C0876" w:rsidRDefault="009C0876">
        <w:pPr>
          <w:pStyle w:val="Stopka"/>
          <w:jc w:val="center"/>
        </w:pPr>
        <w:r>
          <w:fldChar w:fldCharType="begin"/>
        </w:r>
        <w:r>
          <w:instrText>PAGE   \* MERGEFORMAT</w:instrText>
        </w:r>
        <w:r>
          <w:fldChar w:fldCharType="separate"/>
        </w:r>
        <w:r w:rsidR="00871590">
          <w:rPr>
            <w:noProof/>
          </w:rPr>
          <w:t>9</w:t>
        </w:r>
        <w:r>
          <w:fldChar w:fldCharType="end"/>
        </w:r>
      </w:p>
    </w:sdtContent>
  </w:sdt>
  <w:p w14:paraId="1447B1FF" w14:textId="77777777" w:rsidR="009C0876" w:rsidRDefault="009C08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256CA" w14:textId="77777777" w:rsidR="008C48DC" w:rsidRDefault="008C48DC" w:rsidP="00B31144">
      <w:pPr>
        <w:spacing w:line="240" w:lineRule="auto"/>
      </w:pPr>
      <w:r>
        <w:separator/>
      </w:r>
    </w:p>
  </w:footnote>
  <w:footnote w:type="continuationSeparator" w:id="0">
    <w:p w14:paraId="427ADCD8" w14:textId="77777777" w:rsidR="008C48DC" w:rsidRDefault="008C48DC" w:rsidP="00B3114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006C"/>
    <w:multiLevelType w:val="hybridMultilevel"/>
    <w:tmpl w:val="544655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1A4B70"/>
    <w:multiLevelType w:val="hybridMultilevel"/>
    <w:tmpl w:val="7D1E817C"/>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ED3544"/>
    <w:multiLevelType w:val="hybridMultilevel"/>
    <w:tmpl w:val="50C4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C55C2F"/>
    <w:multiLevelType w:val="multilevel"/>
    <w:tmpl w:val="8646A9C0"/>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106C27"/>
    <w:multiLevelType w:val="hybridMultilevel"/>
    <w:tmpl w:val="B52C0FB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058547E"/>
    <w:multiLevelType w:val="hybridMultilevel"/>
    <w:tmpl w:val="9B5C7DA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 w15:restartNumberingAfterBreak="0">
    <w:nsid w:val="379B714C"/>
    <w:multiLevelType w:val="hybridMultilevel"/>
    <w:tmpl w:val="7EA052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2943D8E"/>
    <w:multiLevelType w:val="multilevel"/>
    <w:tmpl w:val="48348A98"/>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F83811"/>
    <w:multiLevelType w:val="hybridMultilevel"/>
    <w:tmpl w:val="3D6CCB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44912BC"/>
    <w:multiLevelType w:val="multilevel"/>
    <w:tmpl w:val="DE505EBE"/>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69531A"/>
    <w:multiLevelType w:val="hybridMultilevel"/>
    <w:tmpl w:val="17602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34E5978"/>
    <w:multiLevelType w:val="multilevel"/>
    <w:tmpl w:val="5060DED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0"/>
  </w:num>
  <w:num w:numId="3">
    <w:abstractNumId w:val="8"/>
  </w:num>
  <w:num w:numId="4">
    <w:abstractNumId w:val="10"/>
  </w:num>
  <w:num w:numId="5">
    <w:abstractNumId w:val="11"/>
  </w:num>
  <w:num w:numId="6">
    <w:abstractNumId w:val="9"/>
  </w:num>
  <w:num w:numId="7">
    <w:abstractNumId w:val="7"/>
  </w:num>
  <w:num w:numId="8">
    <w:abstractNumId w:val="3"/>
  </w:num>
  <w:num w:numId="9">
    <w:abstractNumId w:val="4"/>
  </w:num>
  <w:num w:numId="10">
    <w:abstractNumId w:val="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FF"/>
    <w:rsid w:val="00036BC5"/>
    <w:rsid w:val="00036FC7"/>
    <w:rsid w:val="000373D3"/>
    <w:rsid w:val="00057F27"/>
    <w:rsid w:val="00061BDC"/>
    <w:rsid w:val="00074904"/>
    <w:rsid w:val="000855C2"/>
    <w:rsid w:val="000964CB"/>
    <w:rsid w:val="00096864"/>
    <w:rsid w:val="000C3A19"/>
    <w:rsid w:val="000D4B5C"/>
    <w:rsid w:val="000D7EAA"/>
    <w:rsid w:val="000E4263"/>
    <w:rsid w:val="00110EC8"/>
    <w:rsid w:val="00116411"/>
    <w:rsid w:val="001230C1"/>
    <w:rsid w:val="0013787E"/>
    <w:rsid w:val="001447B1"/>
    <w:rsid w:val="00167404"/>
    <w:rsid w:val="00205476"/>
    <w:rsid w:val="00231B2C"/>
    <w:rsid w:val="00241B5B"/>
    <w:rsid w:val="00256A24"/>
    <w:rsid w:val="002A00FA"/>
    <w:rsid w:val="002A6D73"/>
    <w:rsid w:val="002F40CE"/>
    <w:rsid w:val="002F5B72"/>
    <w:rsid w:val="00344E2C"/>
    <w:rsid w:val="003503CD"/>
    <w:rsid w:val="00356F82"/>
    <w:rsid w:val="003A073E"/>
    <w:rsid w:val="003C3E04"/>
    <w:rsid w:val="003E563A"/>
    <w:rsid w:val="0041201D"/>
    <w:rsid w:val="00417ECE"/>
    <w:rsid w:val="00435527"/>
    <w:rsid w:val="00435EFF"/>
    <w:rsid w:val="004668A6"/>
    <w:rsid w:val="0048585F"/>
    <w:rsid w:val="004A4CD3"/>
    <w:rsid w:val="004B4C5E"/>
    <w:rsid w:val="004C12CE"/>
    <w:rsid w:val="004D4E48"/>
    <w:rsid w:val="004E1AB2"/>
    <w:rsid w:val="004E3550"/>
    <w:rsid w:val="004E54DF"/>
    <w:rsid w:val="00513453"/>
    <w:rsid w:val="005330DE"/>
    <w:rsid w:val="00552045"/>
    <w:rsid w:val="00554053"/>
    <w:rsid w:val="005724C1"/>
    <w:rsid w:val="0057688D"/>
    <w:rsid w:val="005909BD"/>
    <w:rsid w:val="005A27D3"/>
    <w:rsid w:val="005B19EE"/>
    <w:rsid w:val="005B65CD"/>
    <w:rsid w:val="00605DCF"/>
    <w:rsid w:val="00605ED2"/>
    <w:rsid w:val="006065C2"/>
    <w:rsid w:val="00616921"/>
    <w:rsid w:val="006234B2"/>
    <w:rsid w:val="00637A47"/>
    <w:rsid w:val="006418FE"/>
    <w:rsid w:val="0066084B"/>
    <w:rsid w:val="00660C17"/>
    <w:rsid w:val="006970B0"/>
    <w:rsid w:val="006A7E0D"/>
    <w:rsid w:val="006B6F94"/>
    <w:rsid w:val="006F1311"/>
    <w:rsid w:val="006F7942"/>
    <w:rsid w:val="007011A8"/>
    <w:rsid w:val="00711459"/>
    <w:rsid w:val="00715842"/>
    <w:rsid w:val="00722209"/>
    <w:rsid w:val="00737267"/>
    <w:rsid w:val="00750DFF"/>
    <w:rsid w:val="0076410B"/>
    <w:rsid w:val="00774696"/>
    <w:rsid w:val="0078387C"/>
    <w:rsid w:val="00786C68"/>
    <w:rsid w:val="007A1AA9"/>
    <w:rsid w:val="007A6FD0"/>
    <w:rsid w:val="007B5869"/>
    <w:rsid w:val="007C18D4"/>
    <w:rsid w:val="00844E34"/>
    <w:rsid w:val="00871590"/>
    <w:rsid w:val="008731A4"/>
    <w:rsid w:val="0089441E"/>
    <w:rsid w:val="008C48DC"/>
    <w:rsid w:val="008D221A"/>
    <w:rsid w:val="008F10A0"/>
    <w:rsid w:val="008F1F8A"/>
    <w:rsid w:val="009075ED"/>
    <w:rsid w:val="00916C62"/>
    <w:rsid w:val="00932214"/>
    <w:rsid w:val="00937E13"/>
    <w:rsid w:val="00970EE5"/>
    <w:rsid w:val="00972AB6"/>
    <w:rsid w:val="0097707E"/>
    <w:rsid w:val="0098454F"/>
    <w:rsid w:val="009A14EE"/>
    <w:rsid w:val="009A2DF1"/>
    <w:rsid w:val="009B670F"/>
    <w:rsid w:val="009C0876"/>
    <w:rsid w:val="009F0C89"/>
    <w:rsid w:val="009F2814"/>
    <w:rsid w:val="00A417D4"/>
    <w:rsid w:val="00A50F59"/>
    <w:rsid w:val="00A53E7F"/>
    <w:rsid w:val="00A64B82"/>
    <w:rsid w:val="00A67376"/>
    <w:rsid w:val="00A86FAD"/>
    <w:rsid w:val="00A95AD7"/>
    <w:rsid w:val="00AE50A3"/>
    <w:rsid w:val="00B019E0"/>
    <w:rsid w:val="00B13013"/>
    <w:rsid w:val="00B31144"/>
    <w:rsid w:val="00B36638"/>
    <w:rsid w:val="00B56C75"/>
    <w:rsid w:val="00B82662"/>
    <w:rsid w:val="00B83FEC"/>
    <w:rsid w:val="00B95278"/>
    <w:rsid w:val="00BA16CB"/>
    <w:rsid w:val="00BA3777"/>
    <w:rsid w:val="00C007CA"/>
    <w:rsid w:val="00C11555"/>
    <w:rsid w:val="00C162DF"/>
    <w:rsid w:val="00C17A1F"/>
    <w:rsid w:val="00C20F7B"/>
    <w:rsid w:val="00C24AB1"/>
    <w:rsid w:val="00C73200"/>
    <w:rsid w:val="00CA6702"/>
    <w:rsid w:val="00CB0E2F"/>
    <w:rsid w:val="00CD153A"/>
    <w:rsid w:val="00CD4063"/>
    <w:rsid w:val="00CE6A0A"/>
    <w:rsid w:val="00CF62DB"/>
    <w:rsid w:val="00D06C79"/>
    <w:rsid w:val="00D109DD"/>
    <w:rsid w:val="00D2049A"/>
    <w:rsid w:val="00D20C48"/>
    <w:rsid w:val="00D3181F"/>
    <w:rsid w:val="00D531F9"/>
    <w:rsid w:val="00D619AC"/>
    <w:rsid w:val="00DB1065"/>
    <w:rsid w:val="00DC576B"/>
    <w:rsid w:val="00DD22D6"/>
    <w:rsid w:val="00DF398C"/>
    <w:rsid w:val="00E21D6F"/>
    <w:rsid w:val="00E2467E"/>
    <w:rsid w:val="00E93347"/>
    <w:rsid w:val="00EA03B8"/>
    <w:rsid w:val="00EB0E7D"/>
    <w:rsid w:val="00EB6012"/>
    <w:rsid w:val="00ED6DBB"/>
    <w:rsid w:val="00EE5A47"/>
    <w:rsid w:val="00EF2206"/>
    <w:rsid w:val="00F33754"/>
    <w:rsid w:val="00F355C0"/>
    <w:rsid w:val="00F57A5A"/>
    <w:rsid w:val="00FA0B98"/>
    <w:rsid w:val="00FA6CE5"/>
    <w:rsid w:val="00FB4E68"/>
    <w:rsid w:val="00FB6151"/>
    <w:rsid w:val="00FD65E3"/>
    <w:rsid w:val="00FF1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DB94"/>
  <w15:chartTrackingRefBased/>
  <w15:docId w15:val="{B92FC878-63E4-4C3E-BAA6-D6FFC572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B4E68"/>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
    <w:qFormat/>
    <w:rsid w:val="0009686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16C6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E355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E3550"/>
    <w:rPr>
      <w:rFonts w:ascii="Segoe UI" w:hAnsi="Segoe UI" w:cs="Segoe UI"/>
      <w:sz w:val="18"/>
      <w:szCs w:val="18"/>
    </w:rPr>
  </w:style>
  <w:style w:type="paragraph" w:customStyle="1" w:styleId="ARTartustawynprozporzdzenia">
    <w:name w:val="ART(§) – art. ustawy (§ np. rozporządzenia)"/>
    <w:uiPriority w:val="11"/>
    <w:qFormat/>
    <w:rsid w:val="004E355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E3550"/>
    <w:rPr>
      <w:bCs/>
    </w:rPr>
  </w:style>
  <w:style w:type="paragraph" w:customStyle="1" w:styleId="OZNRODZAKTUtznustawalubrozporzdzenieiorganwydajcy">
    <w:name w:val="OZN_RODZ_AKTU – tzn. ustawa lub rozporządzenie i organ wydający"/>
    <w:next w:val="Normalny"/>
    <w:uiPriority w:val="5"/>
    <w:qFormat/>
    <w:rsid w:val="004E355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styleId="Odwoaniedokomentarza">
    <w:name w:val="annotation reference"/>
    <w:basedOn w:val="Domylnaczcionkaakapitu"/>
    <w:uiPriority w:val="99"/>
    <w:semiHidden/>
    <w:rsid w:val="004E3550"/>
    <w:rPr>
      <w:sz w:val="16"/>
      <w:szCs w:val="16"/>
    </w:rPr>
  </w:style>
  <w:style w:type="paragraph" w:styleId="Tekstkomentarza">
    <w:name w:val="annotation text"/>
    <w:basedOn w:val="Normalny"/>
    <w:link w:val="TekstkomentarzaZnak"/>
    <w:uiPriority w:val="99"/>
    <w:semiHidden/>
    <w:rsid w:val="004E3550"/>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E3550"/>
    <w:rPr>
      <w:rFonts w:ascii="Times" w:eastAsia="Times New Roman" w:hAnsi="Times" w:cs="Times New Roman"/>
      <w:sz w:val="24"/>
      <w:szCs w:val="24"/>
      <w:lang w:eastAsia="pl-PL"/>
    </w:rPr>
  </w:style>
  <w:style w:type="paragraph" w:styleId="Akapitzlist">
    <w:name w:val="List Paragraph"/>
    <w:basedOn w:val="Normalny"/>
    <w:uiPriority w:val="34"/>
    <w:qFormat/>
    <w:rsid w:val="009075ED"/>
    <w:pPr>
      <w:ind w:left="720"/>
      <w:contextualSpacing/>
    </w:pPr>
  </w:style>
  <w:style w:type="paragraph" w:styleId="Tematkomentarza">
    <w:name w:val="annotation subject"/>
    <w:basedOn w:val="Tekstkomentarza"/>
    <w:next w:val="Tekstkomentarza"/>
    <w:link w:val="TematkomentarzaZnak"/>
    <w:uiPriority w:val="99"/>
    <w:semiHidden/>
    <w:unhideWhenUsed/>
    <w:rsid w:val="009075ED"/>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9075ED"/>
    <w:rPr>
      <w:rFonts w:ascii="Times New Roman" w:eastAsiaTheme="minorEastAsia" w:hAnsi="Times New Roman" w:cs="Arial"/>
      <w:b/>
      <w:bCs/>
      <w:sz w:val="20"/>
      <w:szCs w:val="20"/>
      <w:lang w:eastAsia="pl-PL"/>
    </w:rPr>
  </w:style>
  <w:style w:type="character" w:customStyle="1" w:styleId="articletitle">
    <w:name w:val="articletitle"/>
    <w:basedOn w:val="Domylnaczcionkaakapitu"/>
    <w:rsid w:val="009075ED"/>
  </w:style>
  <w:style w:type="character" w:customStyle="1" w:styleId="highlight">
    <w:name w:val="highlight"/>
    <w:basedOn w:val="Domylnaczcionkaakapitu"/>
    <w:rsid w:val="00932214"/>
  </w:style>
  <w:style w:type="character" w:styleId="Hipercze">
    <w:name w:val="Hyperlink"/>
    <w:uiPriority w:val="99"/>
    <w:unhideWhenUsed/>
    <w:rsid w:val="003E563A"/>
    <w:rPr>
      <w:color w:val="0000FF"/>
      <w:u w:val="single"/>
    </w:rPr>
  </w:style>
  <w:style w:type="character" w:customStyle="1" w:styleId="Nagwek2Znak">
    <w:name w:val="Nagłówek 2 Znak"/>
    <w:basedOn w:val="Domylnaczcionkaakapitu"/>
    <w:link w:val="Nagwek2"/>
    <w:uiPriority w:val="9"/>
    <w:rsid w:val="00916C62"/>
    <w:rPr>
      <w:rFonts w:asciiTheme="majorHAnsi" w:eastAsiaTheme="majorEastAsia" w:hAnsiTheme="majorHAnsi" w:cstheme="majorBidi"/>
      <w:color w:val="2F5496" w:themeColor="accent1" w:themeShade="BF"/>
      <w:sz w:val="26"/>
      <w:szCs w:val="26"/>
      <w:lang w:eastAsia="pl-PL"/>
    </w:rPr>
  </w:style>
  <w:style w:type="character" w:customStyle="1" w:styleId="Nagwek1Znak">
    <w:name w:val="Nagłówek 1 Znak"/>
    <w:basedOn w:val="Domylnaczcionkaakapitu"/>
    <w:link w:val="Nagwek1"/>
    <w:uiPriority w:val="9"/>
    <w:rsid w:val="00096864"/>
    <w:rPr>
      <w:rFonts w:asciiTheme="majorHAnsi" w:eastAsiaTheme="majorEastAsia" w:hAnsiTheme="majorHAnsi" w:cstheme="majorBidi"/>
      <w:color w:val="2F5496" w:themeColor="accent1" w:themeShade="BF"/>
      <w:sz w:val="32"/>
      <w:szCs w:val="32"/>
      <w:lang w:eastAsia="pl-PL"/>
    </w:rPr>
  </w:style>
  <w:style w:type="paragraph" w:styleId="Nagwekspisutreci">
    <w:name w:val="TOC Heading"/>
    <w:basedOn w:val="Nagwek1"/>
    <w:next w:val="Normalny"/>
    <w:uiPriority w:val="39"/>
    <w:unhideWhenUsed/>
    <w:qFormat/>
    <w:rsid w:val="00096864"/>
    <w:pPr>
      <w:widowControl/>
      <w:autoSpaceDE/>
      <w:autoSpaceDN/>
      <w:adjustRightInd/>
      <w:spacing w:line="259" w:lineRule="auto"/>
      <w:outlineLvl w:val="9"/>
    </w:pPr>
  </w:style>
  <w:style w:type="paragraph" w:styleId="Spistreci2">
    <w:name w:val="toc 2"/>
    <w:basedOn w:val="Normalny"/>
    <w:next w:val="Normalny"/>
    <w:autoRedefine/>
    <w:uiPriority w:val="39"/>
    <w:unhideWhenUsed/>
    <w:rsid w:val="00D619AC"/>
    <w:pPr>
      <w:tabs>
        <w:tab w:val="right" w:leader="dot" w:pos="9062"/>
      </w:tabs>
      <w:spacing w:after="100" w:line="240" w:lineRule="auto"/>
      <w:ind w:left="240"/>
    </w:pPr>
  </w:style>
  <w:style w:type="paragraph" w:styleId="Poprawka">
    <w:name w:val="Revision"/>
    <w:hidden/>
    <w:uiPriority w:val="99"/>
    <w:semiHidden/>
    <w:rsid w:val="00036FC7"/>
    <w:pPr>
      <w:spacing w:after="0" w:line="240" w:lineRule="auto"/>
    </w:pPr>
    <w:rPr>
      <w:rFonts w:ascii="Times New Roman" w:eastAsiaTheme="minorEastAsia" w:hAnsi="Times New Roman" w:cs="Arial"/>
      <w:sz w:val="24"/>
      <w:szCs w:val="20"/>
      <w:lang w:eastAsia="pl-PL"/>
    </w:rPr>
  </w:style>
  <w:style w:type="paragraph" w:styleId="Nagwek">
    <w:name w:val="header"/>
    <w:basedOn w:val="Normalny"/>
    <w:link w:val="NagwekZnak"/>
    <w:uiPriority w:val="99"/>
    <w:unhideWhenUsed/>
    <w:rsid w:val="00B31144"/>
    <w:pPr>
      <w:tabs>
        <w:tab w:val="center" w:pos="4536"/>
        <w:tab w:val="right" w:pos="9072"/>
      </w:tabs>
      <w:spacing w:line="240" w:lineRule="auto"/>
    </w:pPr>
  </w:style>
  <w:style w:type="character" w:customStyle="1" w:styleId="NagwekZnak">
    <w:name w:val="Nagłówek Znak"/>
    <w:basedOn w:val="Domylnaczcionkaakapitu"/>
    <w:link w:val="Nagwek"/>
    <w:uiPriority w:val="99"/>
    <w:rsid w:val="00B31144"/>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B31144"/>
    <w:pPr>
      <w:tabs>
        <w:tab w:val="center" w:pos="4536"/>
        <w:tab w:val="right" w:pos="9072"/>
      </w:tabs>
      <w:spacing w:line="240" w:lineRule="auto"/>
    </w:pPr>
  </w:style>
  <w:style w:type="character" w:customStyle="1" w:styleId="StopkaZnak">
    <w:name w:val="Stopka Znak"/>
    <w:basedOn w:val="Domylnaczcionkaakapitu"/>
    <w:link w:val="Stopka"/>
    <w:uiPriority w:val="99"/>
    <w:rsid w:val="00B31144"/>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844595">
      <w:bodyDiv w:val="1"/>
      <w:marLeft w:val="0"/>
      <w:marRight w:val="0"/>
      <w:marTop w:val="0"/>
      <w:marBottom w:val="0"/>
      <w:divBdr>
        <w:top w:val="none" w:sz="0" w:space="0" w:color="auto"/>
        <w:left w:val="none" w:sz="0" w:space="0" w:color="auto"/>
        <w:bottom w:val="none" w:sz="0" w:space="0" w:color="auto"/>
        <w:right w:val="none" w:sz="0" w:space="0" w:color="auto"/>
      </w:divBdr>
    </w:div>
    <w:div w:id="664356482">
      <w:bodyDiv w:val="1"/>
      <w:marLeft w:val="0"/>
      <w:marRight w:val="0"/>
      <w:marTop w:val="0"/>
      <w:marBottom w:val="0"/>
      <w:divBdr>
        <w:top w:val="none" w:sz="0" w:space="0" w:color="auto"/>
        <w:left w:val="none" w:sz="0" w:space="0" w:color="auto"/>
        <w:bottom w:val="none" w:sz="0" w:space="0" w:color="auto"/>
        <w:right w:val="none" w:sz="0" w:space="0" w:color="auto"/>
      </w:divBdr>
      <w:divsChild>
        <w:div w:id="1603338933">
          <w:marLeft w:val="0"/>
          <w:marRight w:val="0"/>
          <w:marTop w:val="0"/>
          <w:marBottom w:val="0"/>
          <w:divBdr>
            <w:top w:val="none" w:sz="0" w:space="0" w:color="auto"/>
            <w:left w:val="none" w:sz="0" w:space="0" w:color="auto"/>
            <w:bottom w:val="none" w:sz="0" w:space="0" w:color="auto"/>
            <w:right w:val="none" w:sz="0" w:space="0" w:color="auto"/>
          </w:divBdr>
        </w:div>
        <w:div w:id="835220038">
          <w:marLeft w:val="0"/>
          <w:marRight w:val="0"/>
          <w:marTop w:val="0"/>
          <w:marBottom w:val="0"/>
          <w:divBdr>
            <w:top w:val="none" w:sz="0" w:space="0" w:color="auto"/>
            <w:left w:val="none" w:sz="0" w:space="0" w:color="auto"/>
            <w:bottom w:val="none" w:sz="0" w:space="0" w:color="auto"/>
            <w:right w:val="none" w:sz="0" w:space="0" w:color="auto"/>
          </w:divBdr>
          <w:divsChild>
            <w:div w:id="1394231396">
              <w:marLeft w:val="0"/>
              <w:marRight w:val="0"/>
              <w:marTop w:val="0"/>
              <w:marBottom w:val="0"/>
              <w:divBdr>
                <w:top w:val="none" w:sz="0" w:space="0" w:color="auto"/>
                <w:left w:val="none" w:sz="0" w:space="0" w:color="auto"/>
                <w:bottom w:val="none" w:sz="0" w:space="0" w:color="auto"/>
                <w:right w:val="none" w:sz="0" w:space="0" w:color="auto"/>
              </w:divBdr>
            </w:div>
          </w:divsChild>
        </w:div>
        <w:div w:id="101075635">
          <w:marLeft w:val="0"/>
          <w:marRight w:val="0"/>
          <w:marTop w:val="0"/>
          <w:marBottom w:val="0"/>
          <w:divBdr>
            <w:top w:val="none" w:sz="0" w:space="0" w:color="auto"/>
            <w:left w:val="none" w:sz="0" w:space="0" w:color="auto"/>
            <w:bottom w:val="none" w:sz="0" w:space="0" w:color="auto"/>
            <w:right w:val="none" w:sz="0" w:space="0" w:color="auto"/>
          </w:divBdr>
          <w:divsChild>
            <w:div w:id="49499975">
              <w:marLeft w:val="0"/>
              <w:marRight w:val="0"/>
              <w:marTop w:val="0"/>
              <w:marBottom w:val="0"/>
              <w:divBdr>
                <w:top w:val="none" w:sz="0" w:space="0" w:color="auto"/>
                <w:left w:val="none" w:sz="0" w:space="0" w:color="auto"/>
                <w:bottom w:val="none" w:sz="0" w:space="0" w:color="auto"/>
                <w:right w:val="none" w:sz="0" w:space="0" w:color="auto"/>
              </w:divBdr>
            </w:div>
          </w:divsChild>
        </w:div>
        <w:div w:id="836118267">
          <w:marLeft w:val="0"/>
          <w:marRight w:val="0"/>
          <w:marTop w:val="0"/>
          <w:marBottom w:val="0"/>
          <w:divBdr>
            <w:top w:val="none" w:sz="0" w:space="0" w:color="auto"/>
            <w:left w:val="none" w:sz="0" w:space="0" w:color="auto"/>
            <w:bottom w:val="none" w:sz="0" w:space="0" w:color="auto"/>
            <w:right w:val="none" w:sz="0" w:space="0" w:color="auto"/>
          </w:divBdr>
          <w:divsChild>
            <w:div w:id="1246961403">
              <w:marLeft w:val="0"/>
              <w:marRight w:val="0"/>
              <w:marTop w:val="0"/>
              <w:marBottom w:val="0"/>
              <w:divBdr>
                <w:top w:val="none" w:sz="0" w:space="0" w:color="auto"/>
                <w:left w:val="none" w:sz="0" w:space="0" w:color="auto"/>
                <w:bottom w:val="none" w:sz="0" w:space="0" w:color="auto"/>
                <w:right w:val="none" w:sz="0" w:space="0" w:color="auto"/>
              </w:divBdr>
            </w:div>
            <w:div w:id="707029454">
              <w:marLeft w:val="0"/>
              <w:marRight w:val="0"/>
              <w:marTop w:val="0"/>
              <w:marBottom w:val="0"/>
              <w:divBdr>
                <w:top w:val="none" w:sz="0" w:space="0" w:color="auto"/>
                <w:left w:val="none" w:sz="0" w:space="0" w:color="auto"/>
                <w:bottom w:val="none" w:sz="0" w:space="0" w:color="auto"/>
                <w:right w:val="none" w:sz="0" w:space="0" w:color="auto"/>
              </w:divBdr>
              <w:divsChild>
                <w:div w:id="509878732">
                  <w:marLeft w:val="0"/>
                  <w:marRight w:val="0"/>
                  <w:marTop w:val="0"/>
                  <w:marBottom w:val="0"/>
                  <w:divBdr>
                    <w:top w:val="none" w:sz="0" w:space="0" w:color="auto"/>
                    <w:left w:val="none" w:sz="0" w:space="0" w:color="auto"/>
                    <w:bottom w:val="none" w:sz="0" w:space="0" w:color="auto"/>
                    <w:right w:val="none" w:sz="0" w:space="0" w:color="auto"/>
                  </w:divBdr>
                  <w:divsChild>
                    <w:div w:id="1947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139">
              <w:marLeft w:val="0"/>
              <w:marRight w:val="0"/>
              <w:marTop w:val="0"/>
              <w:marBottom w:val="0"/>
              <w:divBdr>
                <w:top w:val="none" w:sz="0" w:space="0" w:color="auto"/>
                <w:left w:val="none" w:sz="0" w:space="0" w:color="auto"/>
                <w:bottom w:val="none" w:sz="0" w:space="0" w:color="auto"/>
                <w:right w:val="none" w:sz="0" w:space="0" w:color="auto"/>
              </w:divBdr>
              <w:divsChild>
                <w:div w:id="685257562">
                  <w:marLeft w:val="0"/>
                  <w:marRight w:val="0"/>
                  <w:marTop w:val="0"/>
                  <w:marBottom w:val="0"/>
                  <w:divBdr>
                    <w:top w:val="none" w:sz="0" w:space="0" w:color="auto"/>
                    <w:left w:val="none" w:sz="0" w:space="0" w:color="auto"/>
                    <w:bottom w:val="none" w:sz="0" w:space="0" w:color="auto"/>
                    <w:right w:val="none" w:sz="0" w:space="0" w:color="auto"/>
                  </w:divBdr>
                  <w:divsChild>
                    <w:div w:id="81279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7355">
              <w:marLeft w:val="0"/>
              <w:marRight w:val="0"/>
              <w:marTop w:val="0"/>
              <w:marBottom w:val="0"/>
              <w:divBdr>
                <w:top w:val="none" w:sz="0" w:space="0" w:color="auto"/>
                <w:left w:val="none" w:sz="0" w:space="0" w:color="auto"/>
                <w:bottom w:val="none" w:sz="0" w:space="0" w:color="auto"/>
                <w:right w:val="none" w:sz="0" w:space="0" w:color="auto"/>
              </w:divBdr>
              <w:divsChild>
                <w:div w:id="793599316">
                  <w:marLeft w:val="0"/>
                  <w:marRight w:val="0"/>
                  <w:marTop w:val="0"/>
                  <w:marBottom w:val="0"/>
                  <w:divBdr>
                    <w:top w:val="none" w:sz="0" w:space="0" w:color="auto"/>
                    <w:left w:val="none" w:sz="0" w:space="0" w:color="auto"/>
                    <w:bottom w:val="none" w:sz="0" w:space="0" w:color="auto"/>
                    <w:right w:val="none" w:sz="0" w:space="0" w:color="auto"/>
                  </w:divBdr>
                  <w:divsChild>
                    <w:div w:id="8439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095089">
              <w:marLeft w:val="0"/>
              <w:marRight w:val="0"/>
              <w:marTop w:val="0"/>
              <w:marBottom w:val="0"/>
              <w:divBdr>
                <w:top w:val="none" w:sz="0" w:space="0" w:color="auto"/>
                <w:left w:val="none" w:sz="0" w:space="0" w:color="auto"/>
                <w:bottom w:val="none" w:sz="0" w:space="0" w:color="auto"/>
                <w:right w:val="none" w:sz="0" w:space="0" w:color="auto"/>
              </w:divBdr>
              <w:divsChild>
                <w:div w:id="476727307">
                  <w:marLeft w:val="0"/>
                  <w:marRight w:val="0"/>
                  <w:marTop w:val="0"/>
                  <w:marBottom w:val="0"/>
                  <w:divBdr>
                    <w:top w:val="none" w:sz="0" w:space="0" w:color="auto"/>
                    <w:left w:val="none" w:sz="0" w:space="0" w:color="auto"/>
                    <w:bottom w:val="none" w:sz="0" w:space="0" w:color="auto"/>
                    <w:right w:val="none" w:sz="0" w:space="0" w:color="auto"/>
                  </w:divBdr>
                  <w:divsChild>
                    <w:div w:id="1014959899">
                      <w:marLeft w:val="0"/>
                      <w:marRight w:val="0"/>
                      <w:marTop w:val="0"/>
                      <w:marBottom w:val="0"/>
                      <w:divBdr>
                        <w:top w:val="none" w:sz="0" w:space="0" w:color="auto"/>
                        <w:left w:val="none" w:sz="0" w:space="0" w:color="auto"/>
                        <w:bottom w:val="none" w:sz="0" w:space="0" w:color="auto"/>
                        <w:right w:val="none" w:sz="0" w:space="0" w:color="auto"/>
                      </w:divBdr>
                    </w:div>
                    <w:div w:id="1880241137">
                      <w:marLeft w:val="0"/>
                      <w:marRight w:val="0"/>
                      <w:marTop w:val="0"/>
                      <w:marBottom w:val="0"/>
                      <w:divBdr>
                        <w:top w:val="none" w:sz="0" w:space="0" w:color="auto"/>
                        <w:left w:val="none" w:sz="0" w:space="0" w:color="auto"/>
                        <w:bottom w:val="none" w:sz="0" w:space="0" w:color="auto"/>
                        <w:right w:val="none" w:sz="0" w:space="0" w:color="auto"/>
                      </w:divBdr>
                      <w:divsChild>
                        <w:div w:id="493379343">
                          <w:marLeft w:val="0"/>
                          <w:marRight w:val="0"/>
                          <w:marTop w:val="0"/>
                          <w:marBottom w:val="0"/>
                          <w:divBdr>
                            <w:top w:val="none" w:sz="0" w:space="0" w:color="auto"/>
                            <w:left w:val="none" w:sz="0" w:space="0" w:color="auto"/>
                            <w:bottom w:val="none" w:sz="0" w:space="0" w:color="auto"/>
                            <w:right w:val="none" w:sz="0" w:space="0" w:color="auto"/>
                          </w:divBdr>
                        </w:div>
                      </w:divsChild>
                    </w:div>
                    <w:div w:id="833112567">
                      <w:marLeft w:val="0"/>
                      <w:marRight w:val="0"/>
                      <w:marTop w:val="0"/>
                      <w:marBottom w:val="0"/>
                      <w:divBdr>
                        <w:top w:val="none" w:sz="0" w:space="0" w:color="auto"/>
                        <w:left w:val="none" w:sz="0" w:space="0" w:color="auto"/>
                        <w:bottom w:val="none" w:sz="0" w:space="0" w:color="auto"/>
                        <w:right w:val="none" w:sz="0" w:space="0" w:color="auto"/>
                      </w:divBdr>
                      <w:divsChild>
                        <w:div w:id="12509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52064">
          <w:marLeft w:val="0"/>
          <w:marRight w:val="0"/>
          <w:marTop w:val="0"/>
          <w:marBottom w:val="0"/>
          <w:divBdr>
            <w:top w:val="none" w:sz="0" w:space="0" w:color="auto"/>
            <w:left w:val="none" w:sz="0" w:space="0" w:color="auto"/>
            <w:bottom w:val="none" w:sz="0" w:space="0" w:color="auto"/>
            <w:right w:val="none" w:sz="0" w:space="0" w:color="auto"/>
          </w:divBdr>
          <w:divsChild>
            <w:div w:id="2413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74311">
      <w:bodyDiv w:val="1"/>
      <w:marLeft w:val="0"/>
      <w:marRight w:val="0"/>
      <w:marTop w:val="0"/>
      <w:marBottom w:val="0"/>
      <w:divBdr>
        <w:top w:val="none" w:sz="0" w:space="0" w:color="auto"/>
        <w:left w:val="none" w:sz="0" w:space="0" w:color="auto"/>
        <w:bottom w:val="none" w:sz="0" w:space="0" w:color="auto"/>
        <w:right w:val="none" w:sz="0" w:space="0" w:color="auto"/>
      </w:divBdr>
    </w:div>
    <w:div w:id="1246957167">
      <w:bodyDiv w:val="1"/>
      <w:marLeft w:val="0"/>
      <w:marRight w:val="0"/>
      <w:marTop w:val="0"/>
      <w:marBottom w:val="0"/>
      <w:divBdr>
        <w:top w:val="none" w:sz="0" w:space="0" w:color="auto"/>
        <w:left w:val="none" w:sz="0" w:space="0" w:color="auto"/>
        <w:bottom w:val="none" w:sz="0" w:space="0" w:color="auto"/>
        <w:right w:val="none" w:sz="0" w:space="0" w:color="auto"/>
      </w:divBdr>
    </w:div>
    <w:div w:id="1646274677">
      <w:bodyDiv w:val="1"/>
      <w:marLeft w:val="0"/>
      <w:marRight w:val="0"/>
      <w:marTop w:val="0"/>
      <w:marBottom w:val="0"/>
      <w:divBdr>
        <w:top w:val="none" w:sz="0" w:space="0" w:color="auto"/>
        <w:left w:val="none" w:sz="0" w:space="0" w:color="auto"/>
        <w:bottom w:val="none" w:sz="0" w:space="0" w:color="auto"/>
        <w:right w:val="none" w:sz="0" w:space="0" w:color="auto"/>
      </w:divBdr>
      <w:divsChild>
        <w:div w:id="1379671921">
          <w:marLeft w:val="0"/>
          <w:marRight w:val="0"/>
          <w:marTop w:val="0"/>
          <w:marBottom w:val="0"/>
          <w:divBdr>
            <w:top w:val="none" w:sz="0" w:space="0" w:color="auto"/>
            <w:left w:val="none" w:sz="0" w:space="0" w:color="auto"/>
            <w:bottom w:val="none" w:sz="0" w:space="0" w:color="auto"/>
            <w:right w:val="none" w:sz="0" w:space="0" w:color="auto"/>
          </w:divBdr>
        </w:div>
        <w:div w:id="1793665138">
          <w:marLeft w:val="0"/>
          <w:marRight w:val="0"/>
          <w:marTop w:val="0"/>
          <w:marBottom w:val="0"/>
          <w:divBdr>
            <w:top w:val="none" w:sz="0" w:space="0" w:color="auto"/>
            <w:left w:val="none" w:sz="0" w:space="0" w:color="auto"/>
            <w:bottom w:val="none" w:sz="0" w:space="0" w:color="auto"/>
            <w:right w:val="none" w:sz="0" w:space="0" w:color="auto"/>
          </w:divBdr>
          <w:divsChild>
            <w:div w:id="1064992366">
              <w:marLeft w:val="0"/>
              <w:marRight w:val="0"/>
              <w:marTop w:val="0"/>
              <w:marBottom w:val="0"/>
              <w:divBdr>
                <w:top w:val="none" w:sz="0" w:space="0" w:color="auto"/>
                <w:left w:val="none" w:sz="0" w:space="0" w:color="auto"/>
                <w:bottom w:val="none" w:sz="0" w:space="0" w:color="auto"/>
                <w:right w:val="none" w:sz="0" w:space="0" w:color="auto"/>
              </w:divBdr>
            </w:div>
          </w:divsChild>
        </w:div>
        <w:div w:id="126246011">
          <w:marLeft w:val="0"/>
          <w:marRight w:val="0"/>
          <w:marTop w:val="0"/>
          <w:marBottom w:val="0"/>
          <w:divBdr>
            <w:top w:val="none" w:sz="0" w:space="0" w:color="auto"/>
            <w:left w:val="none" w:sz="0" w:space="0" w:color="auto"/>
            <w:bottom w:val="none" w:sz="0" w:space="0" w:color="auto"/>
            <w:right w:val="none" w:sz="0" w:space="0" w:color="auto"/>
          </w:divBdr>
          <w:divsChild>
            <w:div w:id="817570528">
              <w:marLeft w:val="0"/>
              <w:marRight w:val="0"/>
              <w:marTop w:val="0"/>
              <w:marBottom w:val="0"/>
              <w:divBdr>
                <w:top w:val="none" w:sz="0" w:space="0" w:color="auto"/>
                <w:left w:val="none" w:sz="0" w:space="0" w:color="auto"/>
                <w:bottom w:val="none" w:sz="0" w:space="0" w:color="auto"/>
                <w:right w:val="none" w:sz="0" w:space="0" w:color="auto"/>
              </w:divBdr>
            </w:div>
          </w:divsChild>
        </w:div>
        <w:div w:id="1771272413">
          <w:marLeft w:val="0"/>
          <w:marRight w:val="0"/>
          <w:marTop w:val="0"/>
          <w:marBottom w:val="0"/>
          <w:divBdr>
            <w:top w:val="none" w:sz="0" w:space="0" w:color="auto"/>
            <w:left w:val="none" w:sz="0" w:space="0" w:color="auto"/>
            <w:bottom w:val="none" w:sz="0" w:space="0" w:color="auto"/>
            <w:right w:val="none" w:sz="0" w:space="0" w:color="auto"/>
          </w:divBdr>
          <w:divsChild>
            <w:div w:id="207298237">
              <w:marLeft w:val="0"/>
              <w:marRight w:val="0"/>
              <w:marTop w:val="0"/>
              <w:marBottom w:val="0"/>
              <w:divBdr>
                <w:top w:val="none" w:sz="0" w:space="0" w:color="auto"/>
                <w:left w:val="none" w:sz="0" w:space="0" w:color="auto"/>
                <w:bottom w:val="none" w:sz="0" w:space="0" w:color="auto"/>
                <w:right w:val="none" w:sz="0" w:space="0" w:color="auto"/>
              </w:divBdr>
            </w:div>
            <w:div w:id="374815256">
              <w:marLeft w:val="0"/>
              <w:marRight w:val="0"/>
              <w:marTop w:val="0"/>
              <w:marBottom w:val="0"/>
              <w:divBdr>
                <w:top w:val="none" w:sz="0" w:space="0" w:color="auto"/>
                <w:left w:val="none" w:sz="0" w:space="0" w:color="auto"/>
                <w:bottom w:val="none" w:sz="0" w:space="0" w:color="auto"/>
                <w:right w:val="none" w:sz="0" w:space="0" w:color="auto"/>
              </w:divBdr>
              <w:divsChild>
                <w:div w:id="1796677851">
                  <w:marLeft w:val="0"/>
                  <w:marRight w:val="0"/>
                  <w:marTop w:val="0"/>
                  <w:marBottom w:val="0"/>
                  <w:divBdr>
                    <w:top w:val="none" w:sz="0" w:space="0" w:color="auto"/>
                    <w:left w:val="none" w:sz="0" w:space="0" w:color="auto"/>
                    <w:bottom w:val="none" w:sz="0" w:space="0" w:color="auto"/>
                    <w:right w:val="none" w:sz="0" w:space="0" w:color="auto"/>
                  </w:divBdr>
                  <w:divsChild>
                    <w:div w:id="102841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557499">
              <w:marLeft w:val="0"/>
              <w:marRight w:val="0"/>
              <w:marTop w:val="0"/>
              <w:marBottom w:val="0"/>
              <w:divBdr>
                <w:top w:val="none" w:sz="0" w:space="0" w:color="auto"/>
                <w:left w:val="none" w:sz="0" w:space="0" w:color="auto"/>
                <w:bottom w:val="none" w:sz="0" w:space="0" w:color="auto"/>
                <w:right w:val="none" w:sz="0" w:space="0" w:color="auto"/>
              </w:divBdr>
              <w:divsChild>
                <w:div w:id="1514102072">
                  <w:marLeft w:val="0"/>
                  <w:marRight w:val="0"/>
                  <w:marTop w:val="0"/>
                  <w:marBottom w:val="0"/>
                  <w:divBdr>
                    <w:top w:val="none" w:sz="0" w:space="0" w:color="auto"/>
                    <w:left w:val="none" w:sz="0" w:space="0" w:color="auto"/>
                    <w:bottom w:val="none" w:sz="0" w:space="0" w:color="auto"/>
                    <w:right w:val="none" w:sz="0" w:space="0" w:color="auto"/>
                  </w:divBdr>
                  <w:divsChild>
                    <w:div w:id="9157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57567">
              <w:marLeft w:val="0"/>
              <w:marRight w:val="0"/>
              <w:marTop w:val="0"/>
              <w:marBottom w:val="0"/>
              <w:divBdr>
                <w:top w:val="none" w:sz="0" w:space="0" w:color="auto"/>
                <w:left w:val="none" w:sz="0" w:space="0" w:color="auto"/>
                <w:bottom w:val="none" w:sz="0" w:space="0" w:color="auto"/>
                <w:right w:val="none" w:sz="0" w:space="0" w:color="auto"/>
              </w:divBdr>
              <w:divsChild>
                <w:div w:id="431823349">
                  <w:marLeft w:val="0"/>
                  <w:marRight w:val="0"/>
                  <w:marTop w:val="0"/>
                  <w:marBottom w:val="0"/>
                  <w:divBdr>
                    <w:top w:val="none" w:sz="0" w:space="0" w:color="auto"/>
                    <w:left w:val="none" w:sz="0" w:space="0" w:color="auto"/>
                    <w:bottom w:val="none" w:sz="0" w:space="0" w:color="auto"/>
                    <w:right w:val="none" w:sz="0" w:space="0" w:color="auto"/>
                  </w:divBdr>
                  <w:divsChild>
                    <w:div w:id="94885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9433">
              <w:marLeft w:val="0"/>
              <w:marRight w:val="0"/>
              <w:marTop w:val="0"/>
              <w:marBottom w:val="0"/>
              <w:divBdr>
                <w:top w:val="none" w:sz="0" w:space="0" w:color="auto"/>
                <w:left w:val="none" w:sz="0" w:space="0" w:color="auto"/>
                <w:bottom w:val="none" w:sz="0" w:space="0" w:color="auto"/>
                <w:right w:val="none" w:sz="0" w:space="0" w:color="auto"/>
              </w:divBdr>
              <w:divsChild>
                <w:div w:id="1241596198">
                  <w:marLeft w:val="0"/>
                  <w:marRight w:val="0"/>
                  <w:marTop w:val="0"/>
                  <w:marBottom w:val="0"/>
                  <w:divBdr>
                    <w:top w:val="none" w:sz="0" w:space="0" w:color="auto"/>
                    <w:left w:val="none" w:sz="0" w:space="0" w:color="auto"/>
                    <w:bottom w:val="none" w:sz="0" w:space="0" w:color="auto"/>
                    <w:right w:val="none" w:sz="0" w:space="0" w:color="auto"/>
                  </w:divBdr>
                  <w:divsChild>
                    <w:div w:id="449711956">
                      <w:marLeft w:val="0"/>
                      <w:marRight w:val="0"/>
                      <w:marTop w:val="0"/>
                      <w:marBottom w:val="0"/>
                      <w:divBdr>
                        <w:top w:val="none" w:sz="0" w:space="0" w:color="auto"/>
                        <w:left w:val="none" w:sz="0" w:space="0" w:color="auto"/>
                        <w:bottom w:val="none" w:sz="0" w:space="0" w:color="auto"/>
                        <w:right w:val="none" w:sz="0" w:space="0" w:color="auto"/>
                      </w:divBdr>
                    </w:div>
                    <w:div w:id="1179001140">
                      <w:marLeft w:val="0"/>
                      <w:marRight w:val="0"/>
                      <w:marTop w:val="0"/>
                      <w:marBottom w:val="0"/>
                      <w:divBdr>
                        <w:top w:val="none" w:sz="0" w:space="0" w:color="auto"/>
                        <w:left w:val="none" w:sz="0" w:space="0" w:color="auto"/>
                        <w:bottom w:val="none" w:sz="0" w:space="0" w:color="auto"/>
                        <w:right w:val="none" w:sz="0" w:space="0" w:color="auto"/>
                      </w:divBdr>
                      <w:divsChild>
                        <w:div w:id="219100089">
                          <w:marLeft w:val="0"/>
                          <w:marRight w:val="0"/>
                          <w:marTop w:val="0"/>
                          <w:marBottom w:val="0"/>
                          <w:divBdr>
                            <w:top w:val="none" w:sz="0" w:space="0" w:color="auto"/>
                            <w:left w:val="none" w:sz="0" w:space="0" w:color="auto"/>
                            <w:bottom w:val="none" w:sz="0" w:space="0" w:color="auto"/>
                            <w:right w:val="none" w:sz="0" w:space="0" w:color="auto"/>
                          </w:divBdr>
                        </w:div>
                      </w:divsChild>
                    </w:div>
                    <w:div w:id="1165630458">
                      <w:marLeft w:val="0"/>
                      <w:marRight w:val="0"/>
                      <w:marTop w:val="0"/>
                      <w:marBottom w:val="0"/>
                      <w:divBdr>
                        <w:top w:val="none" w:sz="0" w:space="0" w:color="auto"/>
                        <w:left w:val="none" w:sz="0" w:space="0" w:color="auto"/>
                        <w:bottom w:val="none" w:sz="0" w:space="0" w:color="auto"/>
                        <w:right w:val="none" w:sz="0" w:space="0" w:color="auto"/>
                      </w:divBdr>
                      <w:divsChild>
                        <w:div w:id="131081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897383">
          <w:marLeft w:val="0"/>
          <w:marRight w:val="0"/>
          <w:marTop w:val="0"/>
          <w:marBottom w:val="0"/>
          <w:divBdr>
            <w:top w:val="none" w:sz="0" w:space="0" w:color="auto"/>
            <w:left w:val="none" w:sz="0" w:space="0" w:color="auto"/>
            <w:bottom w:val="none" w:sz="0" w:space="0" w:color="auto"/>
            <w:right w:val="none" w:sz="0" w:space="0" w:color="auto"/>
          </w:divBdr>
          <w:divsChild>
            <w:div w:id="17485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18996">
      <w:bodyDiv w:val="1"/>
      <w:marLeft w:val="0"/>
      <w:marRight w:val="0"/>
      <w:marTop w:val="0"/>
      <w:marBottom w:val="0"/>
      <w:divBdr>
        <w:top w:val="none" w:sz="0" w:space="0" w:color="auto"/>
        <w:left w:val="none" w:sz="0" w:space="0" w:color="auto"/>
        <w:bottom w:val="none" w:sz="0" w:space="0" w:color="auto"/>
        <w:right w:val="none" w:sz="0" w:space="0" w:color="auto"/>
      </w:divBdr>
      <w:divsChild>
        <w:div w:id="1608998571">
          <w:marLeft w:val="0"/>
          <w:marRight w:val="0"/>
          <w:marTop w:val="0"/>
          <w:marBottom w:val="0"/>
          <w:divBdr>
            <w:top w:val="none" w:sz="0" w:space="0" w:color="auto"/>
            <w:left w:val="none" w:sz="0" w:space="0" w:color="auto"/>
            <w:bottom w:val="none" w:sz="0" w:space="0" w:color="auto"/>
            <w:right w:val="none" w:sz="0" w:space="0" w:color="auto"/>
          </w:divBdr>
        </w:div>
        <w:div w:id="626277554">
          <w:marLeft w:val="0"/>
          <w:marRight w:val="0"/>
          <w:marTop w:val="0"/>
          <w:marBottom w:val="0"/>
          <w:divBdr>
            <w:top w:val="none" w:sz="0" w:space="0" w:color="auto"/>
            <w:left w:val="none" w:sz="0" w:space="0" w:color="auto"/>
            <w:bottom w:val="none" w:sz="0" w:space="0" w:color="auto"/>
            <w:right w:val="none" w:sz="0" w:space="0" w:color="auto"/>
          </w:divBdr>
          <w:divsChild>
            <w:div w:id="1892382167">
              <w:marLeft w:val="0"/>
              <w:marRight w:val="0"/>
              <w:marTop w:val="0"/>
              <w:marBottom w:val="0"/>
              <w:divBdr>
                <w:top w:val="none" w:sz="0" w:space="0" w:color="auto"/>
                <w:left w:val="none" w:sz="0" w:space="0" w:color="auto"/>
                <w:bottom w:val="none" w:sz="0" w:space="0" w:color="auto"/>
                <w:right w:val="none" w:sz="0" w:space="0" w:color="auto"/>
              </w:divBdr>
            </w:div>
            <w:div w:id="60177533">
              <w:marLeft w:val="0"/>
              <w:marRight w:val="0"/>
              <w:marTop w:val="0"/>
              <w:marBottom w:val="0"/>
              <w:divBdr>
                <w:top w:val="none" w:sz="0" w:space="0" w:color="auto"/>
                <w:left w:val="none" w:sz="0" w:space="0" w:color="auto"/>
                <w:bottom w:val="none" w:sz="0" w:space="0" w:color="auto"/>
                <w:right w:val="none" w:sz="0" w:space="0" w:color="auto"/>
              </w:divBdr>
              <w:divsChild>
                <w:div w:id="1710299191">
                  <w:marLeft w:val="0"/>
                  <w:marRight w:val="0"/>
                  <w:marTop w:val="0"/>
                  <w:marBottom w:val="0"/>
                  <w:divBdr>
                    <w:top w:val="none" w:sz="0" w:space="0" w:color="auto"/>
                    <w:left w:val="none" w:sz="0" w:space="0" w:color="auto"/>
                    <w:bottom w:val="none" w:sz="0" w:space="0" w:color="auto"/>
                    <w:right w:val="none" w:sz="0" w:space="0" w:color="auto"/>
                  </w:divBdr>
                  <w:divsChild>
                    <w:div w:id="1988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33009">
              <w:marLeft w:val="0"/>
              <w:marRight w:val="0"/>
              <w:marTop w:val="0"/>
              <w:marBottom w:val="0"/>
              <w:divBdr>
                <w:top w:val="none" w:sz="0" w:space="0" w:color="auto"/>
                <w:left w:val="none" w:sz="0" w:space="0" w:color="auto"/>
                <w:bottom w:val="none" w:sz="0" w:space="0" w:color="auto"/>
                <w:right w:val="none" w:sz="0" w:space="0" w:color="auto"/>
              </w:divBdr>
              <w:divsChild>
                <w:div w:id="623116581">
                  <w:marLeft w:val="0"/>
                  <w:marRight w:val="0"/>
                  <w:marTop w:val="0"/>
                  <w:marBottom w:val="0"/>
                  <w:divBdr>
                    <w:top w:val="none" w:sz="0" w:space="0" w:color="auto"/>
                    <w:left w:val="none" w:sz="0" w:space="0" w:color="auto"/>
                    <w:bottom w:val="none" w:sz="0" w:space="0" w:color="auto"/>
                    <w:right w:val="none" w:sz="0" w:space="0" w:color="auto"/>
                  </w:divBdr>
                  <w:divsChild>
                    <w:div w:id="51145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154670">
          <w:marLeft w:val="0"/>
          <w:marRight w:val="0"/>
          <w:marTop w:val="0"/>
          <w:marBottom w:val="0"/>
          <w:divBdr>
            <w:top w:val="none" w:sz="0" w:space="0" w:color="auto"/>
            <w:left w:val="none" w:sz="0" w:space="0" w:color="auto"/>
            <w:bottom w:val="none" w:sz="0" w:space="0" w:color="auto"/>
            <w:right w:val="none" w:sz="0" w:space="0" w:color="auto"/>
          </w:divBdr>
          <w:divsChild>
            <w:div w:id="49784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A148E-36BD-4BF0-9B45-A1B3D11C3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2816</Words>
  <Characters>16901</Characters>
  <Application>Microsoft Office Word</Application>
  <DocSecurity>4</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dc:description/>
  <cp:lastModifiedBy>Kołakowska Iwona</cp:lastModifiedBy>
  <cp:revision>2</cp:revision>
  <dcterms:created xsi:type="dcterms:W3CDTF">2023-07-10T19:02:00Z</dcterms:created>
  <dcterms:modified xsi:type="dcterms:W3CDTF">2023-07-10T19:02:00Z</dcterms:modified>
</cp:coreProperties>
</file>