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8AD" w:rsidRPr="00097D72" w:rsidRDefault="004878AD" w:rsidP="004878AD">
      <w:pPr>
        <w:spacing w:after="0" w:line="360" w:lineRule="auto"/>
        <w:jc w:val="center"/>
        <w:rPr>
          <w:rFonts w:ascii="Tahoma" w:eastAsia="Times New Roman" w:hAnsi="Tahoma" w:cs="Tahoma"/>
          <w:sz w:val="24"/>
          <w:szCs w:val="24"/>
          <w:lang w:eastAsia="pl-PL"/>
        </w:rPr>
      </w:pPr>
      <w:r w:rsidRPr="00097D72">
        <w:rPr>
          <w:rFonts w:ascii="Tahoma" w:eastAsia="Times New Roman" w:hAnsi="Tahoma" w:cs="Tahoma"/>
          <w:b/>
          <w:bCs/>
          <w:color w:val="000000"/>
          <w:sz w:val="24"/>
          <w:szCs w:val="24"/>
          <w:lang w:eastAsia="pl-PL"/>
        </w:rPr>
        <w:t>AUTOPOPRAWKA</w:t>
      </w:r>
      <w:r w:rsidRPr="00097D72">
        <w:rPr>
          <w:rFonts w:ascii="Tahoma" w:eastAsia="Times New Roman" w:hAnsi="Tahoma" w:cs="Tahoma"/>
          <w:b/>
          <w:bCs/>
          <w:color w:val="000000"/>
          <w:sz w:val="24"/>
          <w:szCs w:val="24"/>
          <w:lang w:eastAsia="pl-PL"/>
        </w:rPr>
        <w:br/>
      </w:r>
      <w:r w:rsidRPr="00097D72">
        <w:rPr>
          <w:rFonts w:ascii="Tahoma" w:eastAsia="Times New Roman" w:hAnsi="Tahoma" w:cs="Tahoma"/>
          <w:b/>
          <w:bCs/>
          <w:color w:val="000000"/>
          <w:sz w:val="24"/>
          <w:szCs w:val="24"/>
          <w:lang w:eastAsia="pl-PL"/>
        </w:rPr>
        <w:br/>
        <w:t>do poselskiego projektu ustawy o świadczeniu kryzysowym</w:t>
      </w:r>
    </w:p>
    <w:p w:rsidR="004878AD" w:rsidRPr="00097D72" w:rsidRDefault="004878AD" w:rsidP="004878AD">
      <w:pPr>
        <w:spacing w:after="0" w:line="360" w:lineRule="auto"/>
        <w:rPr>
          <w:rFonts w:ascii="Tahoma" w:eastAsia="Times New Roman" w:hAnsi="Tahoma" w:cs="Tahoma"/>
          <w:sz w:val="24"/>
          <w:szCs w:val="24"/>
          <w:lang w:eastAsia="pl-PL"/>
        </w:rPr>
      </w:pPr>
    </w:p>
    <w:p w:rsidR="004878AD" w:rsidRPr="00097D72" w:rsidRDefault="004878AD" w:rsidP="004878AD">
      <w:pPr>
        <w:spacing w:after="0" w:line="360" w:lineRule="auto"/>
        <w:jc w:val="both"/>
        <w:rPr>
          <w:rFonts w:ascii="Tahoma" w:eastAsia="Times New Roman" w:hAnsi="Tahoma" w:cs="Tahoma"/>
          <w:sz w:val="24"/>
          <w:szCs w:val="24"/>
          <w:lang w:eastAsia="pl-PL"/>
        </w:rPr>
      </w:pPr>
      <w:r w:rsidRPr="00097D72">
        <w:rPr>
          <w:rFonts w:ascii="Tahoma" w:eastAsia="Times New Roman" w:hAnsi="Tahoma" w:cs="Tahoma"/>
          <w:color w:val="000000"/>
          <w:sz w:val="24"/>
          <w:szCs w:val="24"/>
          <w:lang w:eastAsia="pl-PL"/>
        </w:rPr>
        <w:t xml:space="preserve">W projekcie ustawy o świadczeniu kryzysowym </w:t>
      </w:r>
      <w:r>
        <w:rPr>
          <w:rFonts w:ascii="Tahoma" w:eastAsia="Times New Roman" w:hAnsi="Tahoma" w:cs="Tahoma"/>
          <w:color w:val="000000"/>
          <w:sz w:val="24"/>
          <w:szCs w:val="24"/>
          <w:lang w:eastAsia="pl-PL"/>
        </w:rPr>
        <w:t xml:space="preserve">wykreśla się poprzednie uzasadnienie oraz </w:t>
      </w:r>
      <w:r w:rsidRPr="00097D72">
        <w:rPr>
          <w:rFonts w:ascii="Tahoma" w:eastAsia="Times New Roman" w:hAnsi="Tahoma" w:cs="Tahoma"/>
          <w:color w:val="000000"/>
          <w:sz w:val="24"/>
          <w:szCs w:val="24"/>
          <w:lang w:eastAsia="pl-PL"/>
        </w:rPr>
        <w:t>wprowadza się nowe uzasadnienie o treści:</w:t>
      </w:r>
    </w:p>
    <w:p w:rsidR="004878AD" w:rsidRPr="00097D72" w:rsidRDefault="004878AD" w:rsidP="004878AD">
      <w:pPr>
        <w:spacing w:after="0" w:line="360" w:lineRule="auto"/>
        <w:rPr>
          <w:rFonts w:ascii="Tahoma" w:eastAsia="Times New Roman" w:hAnsi="Tahoma" w:cs="Tahoma"/>
          <w:sz w:val="24"/>
          <w:szCs w:val="24"/>
          <w:lang w:eastAsia="pl-PL"/>
        </w:rPr>
      </w:pPr>
    </w:p>
    <w:p w:rsidR="004878AD" w:rsidRPr="00097D72" w:rsidRDefault="004878AD" w:rsidP="004878AD">
      <w:pPr>
        <w:spacing w:line="360" w:lineRule="auto"/>
        <w:jc w:val="center"/>
        <w:rPr>
          <w:rFonts w:ascii="Tahoma" w:hAnsi="Tahoma" w:cs="Tahoma"/>
          <w:b/>
          <w:sz w:val="24"/>
          <w:szCs w:val="24"/>
        </w:rPr>
      </w:pPr>
    </w:p>
    <w:p w:rsidR="004878AD" w:rsidRPr="00097D72" w:rsidRDefault="004878AD" w:rsidP="004878AD">
      <w:pPr>
        <w:spacing w:line="360" w:lineRule="auto"/>
        <w:ind w:firstLine="720"/>
        <w:jc w:val="both"/>
        <w:rPr>
          <w:rFonts w:ascii="Tahoma" w:hAnsi="Tahoma" w:cs="Tahoma"/>
          <w:b/>
          <w:sz w:val="24"/>
          <w:szCs w:val="24"/>
        </w:rPr>
      </w:pPr>
      <w:r w:rsidRPr="00097D72">
        <w:rPr>
          <w:rFonts w:ascii="Tahoma" w:hAnsi="Tahoma" w:cs="Tahoma"/>
          <w:b/>
          <w:sz w:val="24"/>
          <w:szCs w:val="24"/>
        </w:rPr>
        <w:t>1. Potrzeba i cel uchwalenia ustawy</w:t>
      </w:r>
    </w:p>
    <w:p w:rsidR="004878AD" w:rsidRPr="00097D72" w:rsidRDefault="004878AD" w:rsidP="004878AD">
      <w:pPr>
        <w:spacing w:line="360" w:lineRule="auto"/>
        <w:ind w:firstLine="720"/>
        <w:jc w:val="both"/>
        <w:rPr>
          <w:rFonts w:ascii="Tahoma" w:hAnsi="Tahoma" w:cs="Tahoma"/>
          <w:b/>
          <w:sz w:val="24"/>
          <w:szCs w:val="24"/>
        </w:rPr>
      </w:pP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 xml:space="preserve"> Pandemia choroby COVID-19 wywoływanej przez </w:t>
      </w:r>
      <w:proofErr w:type="spellStart"/>
      <w:r w:rsidRPr="00097D72">
        <w:rPr>
          <w:rFonts w:ascii="Tahoma" w:hAnsi="Tahoma" w:cs="Tahoma"/>
          <w:sz w:val="24"/>
          <w:szCs w:val="24"/>
        </w:rPr>
        <w:t>koronawirusa</w:t>
      </w:r>
      <w:proofErr w:type="spellEnd"/>
      <w:r w:rsidRPr="00097D72">
        <w:rPr>
          <w:rFonts w:ascii="Tahoma" w:hAnsi="Tahoma" w:cs="Tahoma"/>
          <w:sz w:val="24"/>
          <w:szCs w:val="24"/>
        </w:rPr>
        <w:t xml:space="preserve"> SARS-CoV-2 oraz podejmowane przez władze publiczne dotkniętych nią krajów działania prewencyjne, ograniczające rozprzestrzenianie się wirusa, niosą za sobą poważne skutki społeczno-gospodarcze. Jednym z nich jest wzrost stopy bezrobocia, która, według różnych szacunków, wzrośnie do końca 2020 roku o od kilku do kilkunastu punktów procentowych. Jednocześnie w obowiązującym stanie prawnym zasiłki dla bezrobotnych oraz zasiłki okresowe są bardzo niskie, dostęp do nich jest ograniczony (w końcu IV kwartału 2019 r. prawa do zasiłku dla bezrobotnych nie posiadało 83,6% zarejestrowanych bezrobotnych) i przysługują relatywnie krótko.</w:t>
      </w: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Projektodawcy stoją na stanowisku, że system świadczeń pieniężnych dla bezrobotnych od wielu lat wymaga przebudowy – tak by świadczenia te zaczęły pełnić funkcję kompensacyjną i w bardziej zadowalającym stopniu realizowały funkcję alimentacyjną, a dostęp do nich był szerszy niż dotychczas. Pandemia COVID-19 uwidocznia tę konieczność w sposób szczególny. W obliczu kryzysu epidemicznego i wywołanego nim kryzysu gospodarczego nie można dopuścić do radykalnego ubożenia polskich gospodarstw domowych.</w:t>
      </w:r>
    </w:p>
    <w:p w:rsidR="004878AD" w:rsidRPr="00097D72" w:rsidRDefault="004878AD" w:rsidP="004878AD">
      <w:pPr>
        <w:spacing w:line="360" w:lineRule="auto"/>
        <w:ind w:firstLine="720"/>
        <w:jc w:val="both"/>
        <w:rPr>
          <w:rFonts w:ascii="Tahoma" w:hAnsi="Tahoma" w:cs="Tahoma"/>
          <w:sz w:val="24"/>
          <w:szCs w:val="24"/>
        </w:rPr>
      </w:pPr>
    </w:p>
    <w:p w:rsidR="004878AD" w:rsidRPr="00097D72" w:rsidRDefault="004878AD" w:rsidP="004878AD">
      <w:pPr>
        <w:spacing w:line="360" w:lineRule="auto"/>
        <w:ind w:firstLine="720"/>
        <w:jc w:val="both"/>
        <w:rPr>
          <w:rFonts w:ascii="Tahoma" w:hAnsi="Tahoma" w:cs="Tahoma"/>
          <w:b/>
          <w:sz w:val="24"/>
          <w:szCs w:val="24"/>
        </w:rPr>
      </w:pPr>
      <w:r w:rsidRPr="00097D72">
        <w:rPr>
          <w:rFonts w:ascii="Tahoma" w:hAnsi="Tahoma" w:cs="Tahoma"/>
          <w:b/>
          <w:sz w:val="24"/>
          <w:szCs w:val="24"/>
        </w:rPr>
        <w:t>2. Projektowane rozwiązania</w:t>
      </w:r>
    </w:p>
    <w:p w:rsidR="004878AD" w:rsidRPr="00097D72" w:rsidRDefault="004878AD" w:rsidP="004878AD">
      <w:pPr>
        <w:spacing w:line="360" w:lineRule="auto"/>
        <w:jc w:val="both"/>
        <w:rPr>
          <w:rFonts w:ascii="Tahoma" w:hAnsi="Tahoma" w:cs="Tahoma"/>
          <w:b/>
          <w:sz w:val="24"/>
          <w:szCs w:val="24"/>
        </w:rPr>
      </w:pP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 xml:space="preserve">Świadczenia pieniężne dla bezrobotnych mogą pełnić zróżnicowane funkcje: alimentacyjną, motywacyjną i kompensacyjną. W obowiązującym stanie prawnym </w:t>
      </w:r>
      <w:r w:rsidRPr="00097D72">
        <w:rPr>
          <w:rFonts w:ascii="Tahoma" w:hAnsi="Tahoma" w:cs="Tahoma"/>
          <w:sz w:val="24"/>
          <w:szCs w:val="24"/>
        </w:rPr>
        <w:lastRenderedPageBreak/>
        <w:t>zasiłki dla bezrobotnych oraz zasiłki okresowe, o które mogą się oni ubiegać, realizują funkcję alimentacyjną oraz motywacyjną. W założeniu bowiem służą one dostarczeniu bezrobotnym środków utrzymania na minimalnym poziomie oraz zachęcają bezrobotnego do aktywnego poszukiwania pracy. Zasiłek dla bezrobotnych i zasiłek okresowy są bardzo niskie, ich wysokości nie powiązano z uprzednio otrzymywanym wynagrodzeniem, a czas, przez który przysługuje zasiłek dla bezrobotnych, jest relatywnie krótki. Taka konstrukcja świadczeń pieniężnych nie wywoływała poważnych problemów społecznych w okresach koniunktury, w których wskaźnik bezrobocia zbliża się do tzw. bezrobocia naturalnego. W takiej sytuacji ekonomicznej można bowiem przyjmować, że bezrobocie jest stanem krótkotrwałym (choć, według danych GUS, w IV kwartale 2019 r. 14,7% zarejestrowanych bezrobotnych pozostawało bez pracy przez od 12 do 24 miesięcy, a aż 23,2% – powyżej 24 miesięcy), a przeciętny bezrobotny ma możliwości szybkiej poprawy swojej sytuacji ekonomicznej przez podjęcie zatrudnienia.</w:t>
      </w: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Założeń tych z pewnością nie da się utrzymać w warunkach kryzysu ekonomicznego, wywołanego przez czynnik zewnętrzny, niezależny od aktorów rynku pracy, o trudnej do przewidzenia długości i skali, którego charakter eliminuje możliwość rzeczywistego poszukiwania zatrudnienia na otwartym rynku pracy. Z taką sytuacją mamy do czynienia w wyniku wprowadzenia stanów nadzwyczajnych oraz zbliżonych do nich stanów prawnych: zagrożenia epidemicznego i epidemii. Z tych powodów niezbędna jest zmiana konstrukcji świadczeń pieniężnych dla bezrobotnych. W warunkach, w których poszukiwanie i znalezienie zatrudnienia jest z przyczyn prawnych, zdrowotnych i ekonomicznych daleko utrudnione lub niemożliwe, świadczenia te nie mogą pełnić funkcji motywacyjnej, a powinny być skoncentrowane na funkcji kompensacyjnej, czyli prowadzić do zastąpienia utraconego przez bezrobotnego dochodu przez cały okres, w którym poszukiwanie pracy nie jest możliwe lub jest bardzo utrudnione. Projektowane rozwiązania podporządkowane są tak sformułowanej koncepcji regulacyjnej. Jednocześnie, z uwagi na potrzebę objęcia wsparciem możliwie szerokiej grupy osób pozbawionych pracy, proponuje się wprowadzić dodatkowe świadczenie pieniężne na czas początkowej fazy kryzysu – świadczenie kryzysowe.</w:t>
      </w: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 xml:space="preserve">Proponuje się, aby konstrukcja świadczenia kryzysowego była maksymalnie uproszczona: osoba spełniająca jeden z warunków, o których mowa w art. 3 ust. 1 </w:t>
      </w:r>
      <w:r w:rsidRPr="00097D72">
        <w:rPr>
          <w:rFonts w:ascii="Tahoma" w:hAnsi="Tahoma" w:cs="Tahoma"/>
          <w:sz w:val="24"/>
          <w:szCs w:val="24"/>
        </w:rPr>
        <w:lastRenderedPageBreak/>
        <w:t>projektu ustawy nabywa prawo do świadczenia kryzysowego w wysokości 80% minimalnego wynagrodzenia za pracę. Organ administracji publicznej – w tym przypadku starosta – nie przeprowadza według przedstawionej konstrukcji postępowania w celu wydawania decyzji, lecz postępowanie sprawdzające, które może skutkować odebraniem prawa do świadczenia. Szczególne rozwiązania są konieczne ze względu na niespotykaną wcześniej sytuację społeczno-gospodarczą.</w:t>
      </w: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Projekt przewiduje, że dotychczasowe świadczenia pieniężne dla bezrobotnych: zasiłek dla bezrobotnych oraz zasiłek okresowy będą nosić odpowiednio nazwy „świadczenie gwarantowane” oraz „okresowe świadczenie gwarantowane”. Słowo „zasiłek” ma bowiem negatywne, stygmatyzujące zabarwienie znaczeniowe i jego używanie może powodować po stronie osób uprawnionych do tych świadczeń niechęć do korzystania z nich i poczucie wstydu. Tymczasem nazwy „świadczenie gwarantowane” i „okresowe świadczenie gwarantowane” mają neutralny kontekst znaczeniowy, a jednocześnie bardziej odpowiadają przyjętej w projektowanej ustawie funkcji kompensacyjnej świadczeń pieniężnych dla bezrobotnych.</w:t>
      </w: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 xml:space="preserve">Projekt zakłada istotne podwyższenie wysokości świadczeń pieniężnych dla bezrobotnych i rozluźnienie uprawniających do nich kryteriów. Umożliwi to realizację ich funkcji kompensacyjnej, tj. zastąpienia utraconego przez bezrobotnego dochodu z pracy. W świetle projektu wysokość świadczenia gwarantowanego wynosi 50% ostatnio pobieranego wynagrodzenia, przy czym nie może być ona niższa niż 70% minimalnego wynagrodzenia za pracę obowiązującego na dzień wypłaty świadczenia gwarantowanego i wyższa niż 50% przeciętnego wynagrodzenia w kwartale poprzedzającym tę datę. Powiązanie wysokości świadczenia pieniężnego dla bezrobotnych z wysokością ostatniego wynagrodzenia jest rozwiązaniem występującym w wielu krajach. Może ono być więc traktowane jako modelowe. Wprowadzenie maksymalnej i minimalnej wysokości świadczenia gwarantowanego zabezpiecza jego funkcję alimentacyjną i racjonalizuje wydatki ze środków publicznych przeznaczone na finansowanie tego świadczenia. Dodatkowo, projekt przewiduje szczególne rozwiązania dotyczące wysokości okresowego świadczenia gwarantowanego w stanie zagrożenia epidemicznego, stanie epidemii, stanie klęski żywiołowej, stanie wyjątkowym i stanie wojennym. W obowiązującym stanie prawnym zasiłek okresowy jest bardzo niski (od 20 do kilkuset złotych). Projekt zakłada, że bezrobotni, którzy są uprawnieni do okresowego świadczenia gwarantowanego, </w:t>
      </w:r>
      <w:r w:rsidRPr="00097D72">
        <w:rPr>
          <w:rFonts w:ascii="Tahoma" w:hAnsi="Tahoma" w:cs="Tahoma"/>
          <w:sz w:val="24"/>
          <w:szCs w:val="24"/>
        </w:rPr>
        <w:lastRenderedPageBreak/>
        <w:t xml:space="preserve">otrzymają je w wysokości 75% świadczenia gwarantowanego, ustalonego na właściwych dla niego zasadach. Taka, niższa w stosunku do świadczenia gwarantowanego, wysokość okresowego świadczenia gwarantowanego wynika z faktu, że przysługuje ono bezrobotnym długotrwale lub takim, których uprzednie zatrudnienie nie wiązało się z obowiązkiem odprowadzania składek na Fundusz Pracy, czyli brał udziału w gromadzeniu środków na świadczenia dla bezrobotnych. </w:t>
      </w: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Projekt zakłada ponadto rozszerzenie w stanie zagrożenia epidemicznego, stanie epidemii, stanie klęski żywiołowej, stanie wyjątkowym i stanie wojennym kręgu osób uprawnionych do świadczeń pieniężnych dla bezrobotnych. W świetle projektu okresowe świadczenie gwarantowane przysługuje także bezrobotnemu bez prawa do świadczenia gwarantowanego, który albo utracił je w jednym z wymienionych stanów z powodu upływu terminu, w którym ono przysługiwało, albo nie nabył do niego prawa z powodu charakteru działalności zarobkowej, którą wykonywał przed zarejestrowaniem się.</w:t>
      </w:r>
      <w:r w:rsidRPr="00097D72">
        <w:rPr>
          <w:rFonts w:ascii="Tahoma" w:hAnsi="Tahoma" w:cs="Tahoma"/>
          <w:sz w:val="24"/>
          <w:szCs w:val="24"/>
        </w:rPr>
        <w:br/>
      </w:r>
      <w:r w:rsidRPr="00097D72">
        <w:rPr>
          <w:rFonts w:ascii="Tahoma" w:hAnsi="Tahoma" w:cs="Tahoma"/>
          <w:sz w:val="24"/>
          <w:szCs w:val="24"/>
        </w:rPr>
        <w:tab/>
        <w:t xml:space="preserve">Projektowana ustawa przewiduje wzrost stypendium przysługującemu bezrobotnym w okresie odbywania stażu. W założeniu projektodawcy stypendium będzie przysługiwało w wysokości 75% minimalnego wynagrodzenia za pracę obowiązującego w dniu wypłaty stypendium. Obecnie stypendium to wynosi 120% zasiłku dla bezrobotnych i jest to kwota, która nie pozwala na samodzielne utrzymanie się, a w konsekwencji – nie odpowiada charakterowi stypendium jako świadczenia zastępującego wynagrodzenie za wykonywaną pracę o wartości ekonomicznej. </w:t>
      </w: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 xml:space="preserve">Projekt przewiduje szczególny, ograniczony do stanu zagrożenia epidemicznego, stanu epidemii, stanu klęski żywiołowej, stanu wyjątkowego i stanu wojennego instrument umożliwiający bezrobotnym kontynuowanie płatnego kształcenia, które – z powodu pogorszenia sytuacji ekonomicznej – mogliby przerwać. Zgodnie z projektowaną ustawą w tych okresach bezrobotni mogą otrzymać na podstawie decyzji administracyjnej dofinansowanie kształcenia do kwoty 75% opłaty z tytułu kształcenia należnej za okres posiadania statusu bezrobotnego, jednak nie więcej niż 300% przeciętnego wynagrodzenia i nie dłużej niż do planowanego terminu ukończenia kształcenia. Świadczenie to ma służyć zwiększeniu możliwości znalezienia zatrudnienia przez bezrobotnych, którzy podjęli wcześniej starania o podwyższenie swoich kwalifikacji formalnych przez stworzenie finansowej możliwości ich uzyskania. </w:t>
      </w: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lastRenderedPageBreak/>
        <w:t>Projektowana ustawa przewiduje dodatkowe instrumenty wsparcia dla osób, które znalazły się w trudnej sytuacji ekonomicznej w związku z wprowadzeniem stanu zagrożenia epidemicznego, stanu epidemii, stanu klęski żywiołowej, stanu wyjątkowego lub stanu wojennego oraz klęską żywiołową lub ekologiczną, epidemią, izolacją i kwarantanną. Temu służy rozszerzenie przesłanek uzasadniających przyznanie zasiłku celowego oraz specjalnego zasiłku celowego. Ten stan rzeczy może powodować znaczący wzrost wydatków jednostek samorządu terytorialnego na zadania własne z zakresu pomocy społecznej. Z tego powodu projektowana ustawa przewiduje, że w przypadku, gdy wzrosną one w sposób istotny, jednostka samorządu terytorialnego otrzymuje dotację celową z budżetu państwa na dofinansowanie zadań własnych z zakresu pomocy społecznej.</w:t>
      </w:r>
      <w:r w:rsidRPr="00097D72">
        <w:rPr>
          <w:rFonts w:ascii="Tahoma" w:hAnsi="Tahoma" w:cs="Tahoma"/>
          <w:sz w:val="24"/>
          <w:szCs w:val="24"/>
        </w:rPr>
        <w:br/>
      </w:r>
    </w:p>
    <w:p w:rsidR="004878AD" w:rsidRPr="00097D72" w:rsidRDefault="004878AD" w:rsidP="004878AD">
      <w:pPr>
        <w:spacing w:line="360" w:lineRule="auto"/>
        <w:ind w:firstLine="720"/>
        <w:jc w:val="both"/>
        <w:rPr>
          <w:rFonts w:ascii="Tahoma" w:hAnsi="Tahoma" w:cs="Tahoma"/>
          <w:b/>
          <w:sz w:val="24"/>
          <w:szCs w:val="24"/>
        </w:rPr>
      </w:pPr>
      <w:r w:rsidRPr="00097D72">
        <w:rPr>
          <w:rFonts w:ascii="Tahoma" w:hAnsi="Tahoma" w:cs="Tahoma"/>
          <w:b/>
          <w:sz w:val="24"/>
          <w:szCs w:val="24"/>
        </w:rPr>
        <w:t>3. Źródła finansowania</w:t>
      </w:r>
    </w:p>
    <w:p w:rsidR="004878AD" w:rsidRPr="00097D72" w:rsidRDefault="004878AD" w:rsidP="004878AD">
      <w:pPr>
        <w:spacing w:line="360" w:lineRule="auto"/>
        <w:ind w:firstLine="720"/>
        <w:jc w:val="both"/>
        <w:rPr>
          <w:rFonts w:ascii="Tahoma" w:hAnsi="Tahoma" w:cs="Tahoma"/>
          <w:sz w:val="24"/>
          <w:szCs w:val="24"/>
        </w:rPr>
      </w:pP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Projektowane rozwiązania finansowane będą głównie z Funduszu Pracy po otrzymaniu odpowiedniej dotacji z budżetu państwa. Dodatkowo, przewidziane w projektowanej ustawie świadczenia z pomocy społecznej, a także składki na ubezpieczenie zdrowotne osób korzystających z świadczenia kryzysowego, będą finansowane z budżetów jednostek samorządu terytorialnego, w niektórych przypadkach po otrzymaniu odpowiedniej dotacji celowej z budżetu państwa.</w:t>
      </w: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Koszt proponowanych zmian jest uzależniony od rozmiarów kryzysu gospodarczego wywołanego przez COVID-19. Tak jak w przypadku rozwiązań obecnie obowiązujących i propozycji rządowych zawartych w tzw. Tarczy Antykryzysowej, trudno wskazać maksymalną kwotę wydatków budżetowych w tym zakresie.</w:t>
      </w: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 xml:space="preserve">W marcu 2020 r. (stan na koniec miesiąca) w Polsce było 909,4 tys. bezrobotnych. Przyjmując, że łączna liczba osób spełniających wskazane w projekcie ustawy warunki wyniosłaby 2 000 tys., z czego 85% złożyłoby wniosek, o którym mowa w art. 4, i w przypadku żadnego z wniosków nie </w:t>
      </w:r>
      <w:proofErr w:type="spellStart"/>
      <w:r w:rsidRPr="00097D72">
        <w:rPr>
          <w:rFonts w:ascii="Tahoma" w:hAnsi="Tahoma" w:cs="Tahoma"/>
          <w:sz w:val="24"/>
          <w:szCs w:val="24"/>
        </w:rPr>
        <w:t>podjętoby</w:t>
      </w:r>
      <w:proofErr w:type="spellEnd"/>
      <w:r w:rsidRPr="00097D72">
        <w:rPr>
          <w:rFonts w:ascii="Tahoma" w:hAnsi="Tahoma" w:cs="Tahoma"/>
          <w:sz w:val="24"/>
          <w:szCs w:val="24"/>
        </w:rPr>
        <w:t xml:space="preserve"> decyzji o odebraniu prawa do świadczenia kryzysowego, a koszt obsługi wypłaty świadczenia wyniósłby 2%, miesięczne wydatki z Funduszu Pracy na wypłatę świadczeń wniosłyby ok. 3,6 mld złotych. Koszt trzymiesięcznego świadczenia wyniósłby wtedy dla Funduszu Pracy ok. 10,8 mld złotych. Należy jednak raz jeszcze podkreślić, że łączny koszt świadczenia </w:t>
      </w:r>
      <w:r w:rsidRPr="00097D72">
        <w:rPr>
          <w:rFonts w:ascii="Tahoma" w:hAnsi="Tahoma" w:cs="Tahoma"/>
          <w:sz w:val="24"/>
          <w:szCs w:val="24"/>
        </w:rPr>
        <w:lastRenderedPageBreak/>
        <w:t>może być zarówno dużo niższy jak i wyższy,  ponieważ nie sposób dziś jednoznacznie określić, jak w najbliższych miesiącach będzie się kształtowała sytuacja na rynku pracy – zależeć to będzie w dużej mierze od sytuacji epidemicznej w Polsce i na świecie.</w:t>
      </w:r>
    </w:p>
    <w:p w:rsidR="004878AD" w:rsidRPr="00097D72" w:rsidRDefault="004878AD" w:rsidP="004878AD">
      <w:pPr>
        <w:spacing w:line="360" w:lineRule="auto"/>
        <w:ind w:firstLine="720"/>
        <w:jc w:val="both"/>
        <w:rPr>
          <w:rFonts w:ascii="Tahoma" w:hAnsi="Tahoma" w:cs="Tahoma"/>
          <w:sz w:val="24"/>
          <w:szCs w:val="24"/>
        </w:rPr>
      </w:pPr>
    </w:p>
    <w:p w:rsidR="004878AD" w:rsidRPr="00097D72" w:rsidRDefault="004878AD" w:rsidP="004878AD">
      <w:pPr>
        <w:spacing w:line="360" w:lineRule="auto"/>
        <w:ind w:firstLine="720"/>
        <w:jc w:val="both"/>
        <w:rPr>
          <w:rFonts w:ascii="Tahoma" w:hAnsi="Tahoma" w:cs="Tahoma"/>
          <w:b/>
          <w:sz w:val="24"/>
          <w:szCs w:val="24"/>
        </w:rPr>
      </w:pPr>
      <w:r w:rsidRPr="00097D72">
        <w:rPr>
          <w:rFonts w:ascii="Tahoma" w:hAnsi="Tahoma" w:cs="Tahoma"/>
          <w:b/>
          <w:sz w:val="24"/>
          <w:szCs w:val="24"/>
        </w:rPr>
        <w:t>4. Oświadczenie o zgodności projektu ustawy z prawem Unii Europejskiej i braku obowiązku przedstawienia projektu instytucjom Unii Europejskiej</w:t>
      </w:r>
    </w:p>
    <w:p w:rsidR="004878AD" w:rsidRPr="00097D72" w:rsidRDefault="004878AD" w:rsidP="004878AD">
      <w:pPr>
        <w:spacing w:line="360" w:lineRule="auto"/>
        <w:jc w:val="both"/>
        <w:rPr>
          <w:rFonts w:ascii="Tahoma" w:hAnsi="Tahoma" w:cs="Tahoma"/>
          <w:sz w:val="24"/>
          <w:szCs w:val="24"/>
        </w:rPr>
      </w:pP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W ocenie projektodawców przedmiot projektowanej regulacji nie jest objęty prawem Unii Europejskiej i nie podlega procedurze notyfikacji w rozumieniu przepisów dotyczących notyfikacji norm i aktów prawnych.</w:t>
      </w:r>
    </w:p>
    <w:p w:rsidR="004878AD" w:rsidRPr="00097D72" w:rsidRDefault="004878AD" w:rsidP="004878AD">
      <w:pPr>
        <w:spacing w:line="360" w:lineRule="auto"/>
        <w:jc w:val="both"/>
        <w:rPr>
          <w:rFonts w:ascii="Tahoma" w:hAnsi="Tahoma" w:cs="Tahoma"/>
          <w:sz w:val="24"/>
          <w:szCs w:val="24"/>
        </w:rPr>
      </w:pPr>
    </w:p>
    <w:p w:rsidR="004878AD" w:rsidRPr="00097D72" w:rsidRDefault="004878AD" w:rsidP="004878AD">
      <w:pPr>
        <w:spacing w:line="360" w:lineRule="auto"/>
        <w:jc w:val="both"/>
        <w:rPr>
          <w:rFonts w:ascii="Tahoma" w:hAnsi="Tahoma" w:cs="Tahoma"/>
          <w:b/>
          <w:sz w:val="24"/>
          <w:szCs w:val="24"/>
        </w:rPr>
      </w:pPr>
      <w:r w:rsidRPr="00097D72">
        <w:rPr>
          <w:rFonts w:ascii="Tahoma" w:hAnsi="Tahoma" w:cs="Tahoma"/>
          <w:b/>
          <w:sz w:val="24"/>
          <w:szCs w:val="24"/>
        </w:rPr>
        <w:t>5. Brak obowiązku notyfikacji zgodnie z przepisami dotyczącymi funkcjonowania krajowego systemu notyfikacji norm i aktów prawnych</w:t>
      </w:r>
    </w:p>
    <w:p w:rsidR="004878AD" w:rsidRPr="00097D72" w:rsidRDefault="004878AD" w:rsidP="004878AD">
      <w:pPr>
        <w:spacing w:line="360" w:lineRule="auto"/>
        <w:jc w:val="both"/>
        <w:rPr>
          <w:rFonts w:ascii="Tahoma" w:hAnsi="Tahoma" w:cs="Tahoma"/>
          <w:b/>
          <w:sz w:val="24"/>
          <w:szCs w:val="24"/>
        </w:rPr>
      </w:pP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Projekt ustawy nie wymaga przedstawienia właściwym organom i instytucjom Unii Europejskiej, w tym Europejskiemu Bankowi Centralnemu, w celu uzyskania opinii, dokonania powiadomienia, konsultacji lub uzgodnienia.</w:t>
      </w:r>
    </w:p>
    <w:p w:rsidR="004878AD" w:rsidRPr="00097D72" w:rsidRDefault="004878AD" w:rsidP="004878AD">
      <w:pPr>
        <w:spacing w:line="360" w:lineRule="auto"/>
        <w:ind w:firstLine="720"/>
        <w:jc w:val="both"/>
        <w:rPr>
          <w:rFonts w:ascii="Tahoma" w:hAnsi="Tahoma" w:cs="Tahoma"/>
          <w:sz w:val="24"/>
          <w:szCs w:val="24"/>
        </w:rPr>
      </w:pPr>
    </w:p>
    <w:p w:rsidR="004878AD" w:rsidRPr="00097D72" w:rsidRDefault="004878AD" w:rsidP="004878AD">
      <w:pPr>
        <w:spacing w:line="360" w:lineRule="auto"/>
        <w:jc w:val="both"/>
        <w:rPr>
          <w:rFonts w:ascii="Tahoma" w:hAnsi="Tahoma" w:cs="Tahoma"/>
          <w:b/>
          <w:sz w:val="24"/>
          <w:szCs w:val="24"/>
        </w:rPr>
      </w:pPr>
      <w:r w:rsidRPr="00097D72">
        <w:rPr>
          <w:rFonts w:ascii="Tahoma" w:hAnsi="Tahoma" w:cs="Tahoma"/>
          <w:b/>
          <w:sz w:val="24"/>
          <w:szCs w:val="24"/>
        </w:rPr>
        <w:t xml:space="preserve">6. Wpływ na działalność </w:t>
      </w:r>
      <w:proofErr w:type="spellStart"/>
      <w:r w:rsidRPr="00097D72">
        <w:rPr>
          <w:rFonts w:ascii="Tahoma" w:hAnsi="Tahoma" w:cs="Tahoma"/>
          <w:b/>
          <w:sz w:val="24"/>
          <w:szCs w:val="24"/>
        </w:rPr>
        <w:t>mikroprzedsiębiorców</w:t>
      </w:r>
      <w:proofErr w:type="spellEnd"/>
      <w:r w:rsidRPr="00097D72">
        <w:rPr>
          <w:rFonts w:ascii="Tahoma" w:hAnsi="Tahoma" w:cs="Tahoma"/>
          <w:b/>
          <w:sz w:val="24"/>
          <w:szCs w:val="24"/>
        </w:rPr>
        <w:t xml:space="preserve"> oraz małych i średnich przedsiębiorstw</w:t>
      </w:r>
    </w:p>
    <w:p w:rsidR="004878AD" w:rsidRPr="00097D72" w:rsidRDefault="004878AD" w:rsidP="004878AD">
      <w:pPr>
        <w:spacing w:line="360" w:lineRule="auto"/>
        <w:jc w:val="both"/>
        <w:rPr>
          <w:rFonts w:ascii="Tahoma" w:hAnsi="Tahoma" w:cs="Tahoma"/>
          <w:b/>
          <w:sz w:val="24"/>
          <w:szCs w:val="24"/>
        </w:rPr>
      </w:pPr>
    </w:p>
    <w:p w:rsidR="004878AD" w:rsidRPr="00097D72" w:rsidRDefault="004878AD" w:rsidP="004878AD">
      <w:pPr>
        <w:spacing w:line="360" w:lineRule="auto"/>
        <w:ind w:right="-15" w:firstLine="720"/>
        <w:jc w:val="both"/>
        <w:rPr>
          <w:rFonts w:ascii="Tahoma" w:hAnsi="Tahoma" w:cs="Tahoma"/>
          <w:b/>
          <w:sz w:val="24"/>
          <w:szCs w:val="24"/>
        </w:rPr>
      </w:pPr>
      <w:r w:rsidRPr="00097D72">
        <w:rPr>
          <w:rFonts w:ascii="Tahoma" w:hAnsi="Tahoma" w:cs="Tahoma"/>
          <w:sz w:val="24"/>
          <w:szCs w:val="24"/>
        </w:rPr>
        <w:t>Zmiany proponowane w projekcie dotyczą wszystkich ubezpieczonych. W związku z tym nie zachodzi zjawisko dyskryminacji określonej grupy przedsiębiorców.</w:t>
      </w:r>
    </w:p>
    <w:p w:rsidR="004878AD" w:rsidRPr="00097D72" w:rsidRDefault="004878AD" w:rsidP="004878AD">
      <w:pPr>
        <w:spacing w:line="360" w:lineRule="auto"/>
        <w:jc w:val="both"/>
        <w:rPr>
          <w:rFonts w:ascii="Tahoma" w:hAnsi="Tahoma" w:cs="Tahoma"/>
          <w:b/>
          <w:sz w:val="24"/>
          <w:szCs w:val="24"/>
        </w:rPr>
      </w:pPr>
    </w:p>
    <w:p w:rsidR="004878AD" w:rsidRPr="00097D72" w:rsidRDefault="004878AD" w:rsidP="004878AD">
      <w:pPr>
        <w:spacing w:line="360" w:lineRule="auto"/>
        <w:jc w:val="both"/>
        <w:rPr>
          <w:rFonts w:ascii="Tahoma" w:hAnsi="Tahoma" w:cs="Tahoma"/>
          <w:b/>
          <w:sz w:val="24"/>
          <w:szCs w:val="24"/>
        </w:rPr>
      </w:pPr>
      <w:r w:rsidRPr="00097D72">
        <w:rPr>
          <w:rFonts w:ascii="Tahoma" w:hAnsi="Tahoma" w:cs="Tahoma"/>
          <w:b/>
          <w:sz w:val="24"/>
          <w:szCs w:val="24"/>
        </w:rPr>
        <w:t>7. Konsultacje społeczne</w:t>
      </w:r>
    </w:p>
    <w:p w:rsidR="004878AD" w:rsidRPr="00097D72" w:rsidRDefault="004878AD" w:rsidP="004878AD">
      <w:pPr>
        <w:spacing w:line="360" w:lineRule="auto"/>
        <w:jc w:val="both"/>
        <w:rPr>
          <w:rFonts w:ascii="Tahoma" w:hAnsi="Tahoma" w:cs="Tahoma"/>
          <w:b/>
          <w:sz w:val="24"/>
          <w:szCs w:val="24"/>
        </w:rPr>
      </w:pPr>
    </w:p>
    <w:p w:rsidR="004878AD" w:rsidRPr="00097D72" w:rsidRDefault="004878AD" w:rsidP="004878AD">
      <w:pPr>
        <w:spacing w:line="360" w:lineRule="auto"/>
        <w:ind w:right="-15" w:firstLine="720"/>
        <w:jc w:val="both"/>
        <w:rPr>
          <w:rFonts w:ascii="Tahoma" w:hAnsi="Tahoma" w:cs="Tahoma"/>
          <w:sz w:val="24"/>
          <w:szCs w:val="24"/>
        </w:rPr>
      </w:pPr>
      <w:r w:rsidRPr="00097D72">
        <w:rPr>
          <w:rFonts w:ascii="Tahoma" w:hAnsi="Tahoma" w:cs="Tahoma"/>
          <w:sz w:val="24"/>
          <w:szCs w:val="24"/>
        </w:rPr>
        <w:t>Proponowany projekt nie był poddany formalnym konsultacjom społecznym.</w:t>
      </w:r>
    </w:p>
    <w:p w:rsidR="004878AD" w:rsidRPr="00097D72" w:rsidRDefault="004878AD" w:rsidP="004878AD">
      <w:pPr>
        <w:spacing w:line="360" w:lineRule="auto"/>
        <w:ind w:right="-15" w:firstLine="720"/>
        <w:jc w:val="both"/>
        <w:rPr>
          <w:rFonts w:ascii="Tahoma" w:hAnsi="Tahoma" w:cs="Tahoma"/>
          <w:sz w:val="24"/>
          <w:szCs w:val="24"/>
        </w:rPr>
      </w:pPr>
    </w:p>
    <w:p w:rsidR="004878AD" w:rsidRPr="00097D72" w:rsidRDefault="004878AD" w:rsidP="004878AD">
      <w:pPr>
        <w:spacing w:line="360" w:lineRule="auto"/>
        <w:jc w:val="both"/>
        <w:rPr>
          <w:rFonts w:ascii="Tahoma" w:hAnsi="Tahoma" w:cs="Tahoma"/>
          <w:b/>
          <w:sz w:val="24"/>
          <w:szCs w:val="24"/>
        </w:rPr>
      </w:pPr>
      <w:r w:rsidRPr="00097D72">
        <w:rPr>
          <w:rFonts w:ascii="Tahoma" w:hAnsi="Tahoma" w:cs="Tahoma"/>
          <w:b/>
          <w:sz w:val="24"/>
          <w:szCs w:val="24"/>
        </w:rPr>
        <w:t xml:space="preserve">8. Zgodność z Konstytucją RP. </w:t>
      </w:r>
    </w:p>
    <w:p w:rsidR="004878AD" w:rsidRPr="00097D72" w:rsidRDefault="004878AD" w:rsidP="004878AD">
      <w:pPr>
        <w:spacing w:line="360" w:lineRule="auto"/>
        <w:ind w:right="-15"/>
        <w:jc w:val="both"/>
        <w:rPr>
          <w:rFonts w:ascii="Tahoma" w:hAnsi="Tahoma" w:cs="Tahoma"/>
          <w:b/>
          <w:sz w:val="24"/>
          <w:szCs w:val="24"/>
        </w:rPr>
      </w:pPr>
    </w:p>
    <w:p w:rsidR="004878AD" w:rsidRPr="00097D72" w:rsidRDefault="004878AD" w:rsidP="004878AD">
      <w:pPr>
        <w:spacing w:line="360" w:lineRule="auto"/>
        <w:ind w:right="-15" w:firstLine="720"/>
        <w:jc w:val="both"/>
        <w:rPr>
          <w:rFonts w:ascii="Tahoma" w:hAnsi="Tahoma" w:cs="Tahoma"/>
          <w:sz w:val="24"/>
          <w:szCs w:val="24"/>
        </w:rPr>
      </w:pPr>
      <w:r w:rsidRPr="00097D72">
        <w:rPr>
          <w:rFonts w:ascii="Tahoma" w:hAnsi="Tahoma" w:cs="Tahoma"/>
          <w:sz w:val="24"/>
          <w:szCs w:val="24"/>
        </w:rPr>
        <w:t>W ocenie projektodawcy przedstawiony projekt ustawy jest zgodny z Konstytucją RP.</w:t>
      </w:r>
    </w:p>
    <w:p w:rsidR="004878AD" w:rsidRPr="00097D72" w:rsidRDefault="004878AD" w:rsidP="004878AD">
      <w:pPr>
        <w:spacing w:line="360" w:lineRule="auto"/>
        <w:ind w:right="-15"/>
        <w:jc w:val="both"/>
        <w:rPr>
          <w:rFonts w:ascii="Tahoma" w:hAnsi="Tahoma" w:cs="Tahoma"/>
          <w:sz w:val="24"/>
          <w:szCs w:val="24"/>
        </w:rPr>
      </w:pPr>
    </w:p>
    <w:p w:rsidR="004878AD" w:rsidRPr="00097D72" w:rsidRDefault="004878AD" w:rsidP="004878AD">
      <w:pPr>
        <w:spacing w:line="360" w:lineRule="auto"/>
        <w:jc w:val="both"/>
        <w:rPr>
          <w:rFonts w:ascii="Tahoma" w:hAnsi="Tahoma" w:cs="Tahoma"/>
          <w:sz w:val="24"/>
          <w:szCs w:val="24"/>
        </w:rPr>
      </w:pPr>
      <w:r w:rsidRPr="00097D72">
        <w:rPr>
          <w:rFonts w:ascii="Tahoma" w:hAnsi="Tahoma" w:cs="Tahoma"/>
          <w:b/>
          <w:sz w:val="24"/>
          <w:szCs w:val="24"/>
        </w:rPr>
        <w:t>9. Założenia projektów podstawowych aktów wykonawczych</w:t>
      </w:r>
      <w:r w:rsidRPr="00097D72">
        <w:rPr>
          <w:rFonts w:ascii="Tahoma" w:hAnsi="Tahoma" w:cs="Tahoma"/>
          <w:sz w:val="24"/>
          <w:szCs w:val="24"/>
        </w:rPr>
        <w:t xml:space="preserve"> </w:t>
      </w:r>
    </w:p>
    <w:p w:rsidR="004878AD" w:rsidRPr="00097D72" w:rsidRDefault="004878AD" w:rsidP="004878AD">
      <w:pPr>
        <w:spacing w:line="360" w:lineRule="auto"/>
        <w:jc w:val="both"/>
        <w:rPr>
          <w:rFonts w:ascii="Tahoma" w:hAnsi="Tahoma" w:cs="Tahoma"/>
          <w:sz w:val="24"/>
          <w:szCs w:val="24"/>
        </w:rPr>
      </w:pPr>
      <w:r w:rsidRPr="00097D72">
        <w:rPr>
          <w:rFonts w:ascii="Tahoma" w:hAnsi="Tahoma" w:cs="Tahoma"/>
          <w:sz w:val="24"/>
          <w:szCs w:val="24"/>
        </w:rPr>
        <w:tab/>
      </w:r>
    </w:p>
    <w:p w:rsidR="004878AD" w:rsidRPr="00097D72" w:rsidRDefault="004878AD" w:rsidP="004878AD">
      <w:pPr>
        <w:spacing w:line="360" w:lineRule="auto"/>
        <w:ind w:left="720"/>
        <w:jc w:val="both"/>
        <w:rPr>
          <w:rFonts w:ascii="Tahoma" w:hAnsi="Tahoma" w:cs="Tahoma"/>
          <w:b/>
          <w:sz w:val="24"/>
          <w:szCs w:val="24"/>
        </w:rPr>
      </w:pPr>
      <w:r w:rsidRPr="00097D72">
        <w:rPr>
          <w:rFonts w:ascii="Tahoma" w:hAnsi="Tahoma" w:cs="Tahoma"/>
          <w:b/>
          <w:sz w:val="24"/>
          <w:szCs w:val="24"/>
        </w:rPr>
        <w:t>Rozporządzenie Ministra Rodziny, Pracy i Polityki Społecznej w sprawie wzoru wniosku o świadczenie kryzysowe</w:t>
      </w: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Minister właściwy do spraw pracy określi, w drodze rozporządzenia, wzór wniosku o świadczenie kryzysowe oraz dokumenty niezbędne do ustalenia prawa do świadczenia kryzysowego, mając na względzie maksymalne uproszczenie formularza. Wzór wniosku powinien zawierać w szczególności:</w:t>
      </w:r>
    </w:p>
    <w:p w:rsidR="004878AD" w:rsidRPr="00097D72" w:rsidRDefault="004878AD" w:rsidP="004878AD">
      <w:pPr>
        <w:numPr>
          <w:ilvl w:val="0"/>
          <w:numId w:val="2"/>
        </w:numPr>
        <w:spacing w:after="0" w:line="360" w:lineRule="auto"/>
        <w:jc w:val="both"/>
        <w:rPr>
          <w:rFonts w:ascii="Tahoma" w:hAnsi="Tahoma" w:cs="Tahoma"/>
          <w:sz w:val="24"/>
          <w:szCs w:val="24"/>
        </w:rPr>
      </w:pPr>
      <w:r w:rsidRPr="00097D72">
        <w:rPr>
          <w:rFonts w:ascii="Tahoma" w:hAnsi="Tahoma" w:cs="Tahoma"/>
          <w:sz w:val="24"/>
          <w:szCs w:val="24"/>
        </w:rPr>
        <w:t>imię i nazwisko, numer PESEL oraz datę urodzenia wnioskodawcy;</w:t>
      </w:r>
    </w:p>
    <w:p w:rsidR="004878AD" w:rsidRPr="00097D72" w:rsidRDefault="004878AD" w:rsidP="004878AD">
      <w:pPr>
        <w:numPr>
          <w:ilvl w:val="0"/>
          <w:numId w:val="2"/>
        </w:numPr>
        <w:spacing w:after="0" w:line="360" w:lineRule="auto"/>
        <w:jc w:val="both"/>
        <w:rPr>
          <w:rFonts w:ascii="Tahoma" w:hAnsi="Tahoma" w:cs="Tahoma"/>
          <w:sz w:val="24"/>
          <w:szCs w:val="24"/>
        </w:rPr>
      </w:pPr>
      <w:r w:rsidRPr="00097D72">
        <w:rPr>
          <w:rFonts w:ascii="Tahoma" w:hAnsi="Tahoma" w:cs="Tahoma"/>
          <w:sz w:val="24"/>
          <w:szCs w:val="24"/>
        </w:rPr>
        <w:t>adres zamieszkania (jeśli dotyczy);</w:t>
      </w:r>
    </w:p>
    <w:p w:rsidR="004878AD" w:rsidRPr="00097D72" w:rsidRDefault="004878AD" w:rsidP="004878AD">
      <w:pPr>
        <w:numPr>
          <w:ilvl w:val="0"/>
          <w:numId w:val="2"/>
        </w:numPr>
        <w:spacing w:after="0" w:line="360" w:lineRule="auto"/>
        <w:jc w:val="both"/>
        <w:rPr>
          <w:rFonts w:ascii="Tahoma" w:hAnsi="Tahoma" w:cs="Tahoma"/>
          <w:sz w:val="24"/>
          <w:szCs w:val="24"/>
        </w:rPr>
      </w:pPr>
      <w:r w:rsidRPr="00097D72">
        <w:rPr>
          <w:rFonts w:ascii="Tahoma" w:hAnsi="Tahoma" w:cs="Tahoma"/>
          <w:sz w:val="24"/>
          <w:szCs w:val="24"/>
        </w:rPr>
        <w:t>adres poczty elektronicznej (jeśli dotyczy);</w:t>
      </w:r>
    </w:p>
    <w:p w:rsidR="004878AD" w:rsidRPr="00097D72" w:rsidRDefault="004878AD" w:rsidP="004878AD">
      <w:pPr>
        <w:numPr>
          <w:ilvl w:val="0"/>
          <w:numId w:val="2"/>
        </w:numPr>
        <w:spacing w:after="0" w:line="360" w:lineRule="auto"/>
        <w:jc w:val="both"/>
        <w:rPr>
          <w:rFonts w:ascii="Tahoma" w:hAnsi="Tahoma" w:cs="Tahoma"/>
          <w:sz w:val="24"/>
          <w:szCs w:val="24"/>
        </w:rPr>
      </w:pPr>
      <w:r w:rsidRPr="00097D72">
        <w:rPr>
          <w:rFonts w:ascii="Tahoma" w:hAnsi="Tahoma" w:cs="Tahoma"/>
          <w:sz w:val="24"/>
          <w:szCs w:val="24"/>
        </w:rPr>
        <w:t>numer rachunku bankowego wnioskodawcy;</w:t>
      </w:r>
    </w:p>
    <w:p w:rsidR="004878AD" w:rsidRPr="00097D72" w:rsidRDefault="004878AD" w:rsidP="004878AD">
      <w:pPr>
        <w:numPr>
          <w:ilvl w:val="0"/>
          <w:numId w:val="2"/>
        </w:numPr>
        <w:spacing w:after="0" w:line="360" w:lineRule="auto"/>
        <w:jc w:val="both"/>
        <w:rPr>
          <w:rFonts w:ascii="Tahoma" w:hAnsi="Tahoma" w:cs="Tahoma"/>
          <w:sz w:val="24"/>
          <w:szCs w:val="24"/>
        </w:rPr>
      </w:pPr>
      <w:r w:rsidRPr="00097D72">
        <w:rPr>
          <w:rFonts w:ascii="Tahoma" w:hAnsi="Tahoma" w:cs="Tahoma"/>
          <w:sz w:val="24"/>
          <w:szCs w:val="24"/>
        </w:rPr>
        <w:t>oświadczenie potwierdzające spełnienie warunków, o których mowa w art. 3 projektu ustawy; oświadczenie zawierać musi klauzulę, o której mowa w art. 4 ust. 5, o treści: „Jestem świadomy odpowiedzialności karnej za złożenie fałszywego oświadczenia”.</w:t>
      </w:r>
    </w:p>
    <w:p w:rsidR="004878AD" w:rsidRPr="00097D72" w:rsidRDefault="004878AD" w:rsidP="004878AD">
      <w:pPr>
        <w:spacing w:line="360" w:lineRule="auto"/>
        <w:ind w:firstLine="720"/>
        <w:jc w:val="both"/>
        <w:rPr>
          <w:rFonts w:ascii="Tahoma" w:hAnsi="Tahoma" w:cs="Tahoma"/>
          <w:sz w:val="24"/>
          <w:szCs w:val="24"/>
        </w:rPr>
      </w:pPr>
    </w:p>
    <w:p w:rsidR="004878AD" w:rsidRPr="00097D72" w:rsidRDefault="004878AD" w:rsidP="004878AD">
      <w:pPr>
        <w:spacing w:line="360" w:lineRule="auto"/>
        <w:ind w:left="720"/>
        <w:jc w:val="both"/>
        <w:rPr>
          <w:rFonts w:ascii="Tahoma" w:hAnsi="Tahoma" w:cs="Tahoma"/>
          <w:b/>
          <w:sz w:val="24"/>
          <w:szCs w:val="24"/>
        </w:rPr>
      </w:pPr>
      <w:r w:rsidRPr="00097D72">
        <w:rPr>
          <w:rFonts w:ascii="Tahoma" w:hAnsi="Tahoma" w:cs="Tahoma"/>
          <w:b/>
          <w:sz w:val="24"/>
          <w:szCs w:val="24"/>
        </w:rPr>
        <w:t>Rozporządzenie Ministra Finansów w sprawie szczegółowych warunków przyznania dotacji dla Funduszu Pracy na finansowanie zadań wynikających z ustawy o świadczeniu kryzysowym</w:t>
      </w: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 xml:space="preserve">Minister właściwy do spraw finansów publicznych określi, w drodze rozporządzenia, szczegółowe warunki przyznania dotacji do Funduszu Pracy na finansowanie zadań wynikających z przepisów tej ustawy, mając na względzie pełne pokrycie kosztów związanych z wykonaniem niniejszej ustawy. Rozporządzenie </w:t>
      </w:r>
      <w:r w:rsidRPr="00097D72">
        <w:rPr>
          <w:rFonts w:ascii="Tahoma" w:hAnsi="Tahoma" w:cs="Tahoma"/>
          <w:sz w:val="24"/>
          <w:szCs w:val="24"/>
        </w:rPr>
        <w:lastRenderedPageBreak/>
        <w:t>powinno określać w szczególności tryb ustalenia wysokości dotacji w oparciu o przekazane przez starostów informacje dot. łącznych kosztów wypłaty świadczenia kryzysowego w danym powiecie.</w:t>
      </w:r>
    </w:p>
    <w:p w:rsidR="004878AD" w:rsidRPr="00097D72" w:rsidRDefault="004878AD" w:rsidP="004878AD">
      <w:pPr>
        <w:spacing w:line="360" w:lineRule="auto"/>
        <w:ind w:firstLine="720"/>
        <w:jc w:val="both"/>
        <w:rPr>
          <w:rFonts w:ascii="Tahoma" w:hAnsi="Tahoma" w:cs="Tahoma"/>
          <w:sz w:val="24"/>
          <w:szCs w:val="24"/>
        </w:rPr>
      </w:pPr>
    </w:p>
    <w:p w:rsidR="004878AD" w:rsidRPr="00097D72" w:rsidRDefault="004878AD" w:rsidP="004878AD">
      <w:pPr>
        <w:spacing w:line="360" w:lineRule="auto"/>
        <w:ind w:firstLine="720"/>
        <w:jc w:val="both"/>
        <w:rPr>
          <w:rFonts w:ascii="Tahoma" w:hAnsi="Tahoma" w:cs="Tahoma"/>
          <w:b/>
          <w:sz w:val="24"/>
          <w:szCs w:val="24"/>
        </w:rPr>
      </w:pPr>
      <w:r w:rsidRPr="00097D72">
        <w:rPr>
          <w:rFonts w:ascii="Tahoma" w:hAnsi="Tahoma" w:cs="Tahoma"/>
          <w:b/>
          <w:sz w:val="24"/>
          <w:szCs w:val="24"/>
        </w:rPr>
        <w:t>Rozporządzenie Ministra Rodziny, Pracy i Polityki Społecznej w sprawie  zasad i trybu postępowania w sprawie ustalenia prawa do świadczenia kryzysowego</w:t>
      </w:r>
    </w:p>
    <w:p w:rsidR="004878AD" w:rsidRPr="00097D72" w:rsidRDefault="004878AD" w:rsidP="004878AD">
      <w:pPr>
        <w:spacing w:line="360" w:lineRule="auto"/>
        <w:ind w:firstLine="720"/>
        <w:jc w:val="both"/>
        <w:rPr>
          <w:rFonts w:ascii="Tahoma" w:hAnsi="Tahoma" w:cs="Tahoma"/>
          <w:sz w:val="24"/>
          <w:szCs w:val="24"/>
        </w:rPr>
      </w:pPr>
      <w:r w:rsidRPr="00097D72">
        <w:rPr>
          <w:rFonts w:ascii="Tahoma" w:hAnsi="Tahoma" w:cs="Tahoma"/>
          <w:sz w:val="24"/>
          <w:szCs w:val="24"/>
        </w:rPr>
        <w:t>Minister właściwy do spraw pracy określi szczegóły trybu postępowania w sprawie ustalenia prawa do świadczenia kryzysowego, w którym organem właściwym będzie starosta właściwy ze względu na miejsce zamieszkania wnioskodawcy. W rozporządzeniu minister będzie miał na względzie zasadę wnikliwości, szybkości i prostoty postępowania. Rozporządzenie powinno określać w szczególności:</w:t>
      </w:r>
    </w:p>
    <w:p w:rsidR="004878AD" w:rsidRPr="00097D72" w:rsidRDefault="004878AD" w:rsidP="004878AD">
      <w:pPr>
        <w:numPr>
          <w:ilvl w:val="0"/>
          <w:numId w:val="1"/>
        </w:numPr>
        <w:spacing w:after="0" w:line="360" w:lineRule="auto"/>
        <w:jc w:val="both"/>
        <w:rPr>
          <w:rFonts w:ascii="Tahoma" w:hAnsi="Tahoma" w:cs="Tahoma"/>
          <w:sz w:val="24"/>
          <w:szCs w:val="24"/>
        </w:rPr>
      </w:pPr>
      <w:r w:rsidRPr="00097D72">
        <w:rPr>
          <w:rFonts w:ascii="Tahoma" w:hAnsi="Tahoma" w:cs="Tahoma"/>
          <w:sz w:val="24"/>
          <w:szCs w:val="24"/>
        </w:rPr>
        <w:t>zasady wymiany informacji między starostą a podmiotami odpowiedzialnymi za wypłatę świadczeń, o których mowa w art. 12 ust. 1 pkt 1-3;</w:t>
      </w:r>
    </w:p>
    <w:p w:rsidR="004878AD" w:rsidRPr="00097D72" w:rsidRDefault="004878AD" w:rsidP="004878AD">
      <w:pPr>
        <w:numPr>
          <w:ilvl w:val="0"/>
          <w:numId w:val="1"/>
        </w:numPr>
        <w:spacing w:after="0" w:line="360" w:lineRule="auto"/>
        <w:jc w:val="both"/>
        <w:rPr>
          <w:rFonts w:ascii="Tahoma" w:hAnsi="Tahoma" w:cs="Tahoma"/>
          <w:sz w:val="24"/>
          <w:szCs w:val="24"/>
        </w:rPr>
      </w:pPr>
      <w:r w:rsidRPr="00097D72">
        <w:rPr>
          <w:rFonts w:ascii="Tahoma" w:hAnsi="Tahoma" w:cs="Tahoma"/>
          <w:sz w:val="24"/>
          <w:szCs w:val="24"/>
        </w:rPr>
        <w:t>tryb postępowania w sprawie o przyznanie świadczenia kryzysowego na wniosek osoby, która nie ma miejsca zamieszkania – należy wskazać, że prowadzi je starosta właściwy ze względu na miejsce czasowego pobytu wnioskodawcy;</w:t>
      </w:r>
    </w:p>
    <w:p w:rsidR="004878AD" w:rsidRPr="00097D72" w:rsidRDefault="004878AD" w:rsidP="004878AD">
      <w:pPr>
        <w:numPr>
          <w:ilvl w:val="0"/>
          <w:numId w:val="1"/>
        </w:numPr>
        <w:spacing w:after="0" w:line="360" w:lineRule="auto"/>
        <w:jc w:val="both"/>
        <w:rPr>
          <w:rFonts w:ascii="Tahoma" w:hAnsi="Tahoma" w:cs="Tahoma"/>
          <w:sz w:val="24"/>
          <w:szCs w:val="24"/>
        </w:rPr>
      </w:pPr>
      <w:r w:rsidRPr="00097D72">
        <w:rPr>
          <w:rFonts w:ascii="Tahoma" w:hAnsi="Tahoma" w:cs="Tahoma"/>
          <w:sz w:val="24"/>
          <w:szCs w:val="24"/>
        </w:rPr>
        <w:t>tryb powiadomienia wnioskodawcy o powzięciu wątpliwości co do spełnienia warunków, o których mowa w art. 3 – należy wskazać, że starosta powiadamia wnioskodawcę przy pomocy poczty elektronicznej o konieczności przedstawienia dodatkowych dokumentów.</w:t>
      </w:r>
    </w:p>
    <w:p w:rsidR="004878AD" w:rsidRPr="00097D72" w:rsidRDefault="004878AD" w:rsidP="004878AD">
      <w:pPr>
        <w:spacing w:after="0" w:line="360" w:lineRule="auto"/>
        <w:rPr>
          <w:rFonts w:ascii="Tahoma" w:eastAsia="Times New Roman" w:hAnsi="Tahoma" w:cs="Tahoma"/>
          <w:sz w:val="24"/>
          <w:szCs w:val="24"/>
          <w:lang w:eastAsia="pl-PL"/>
        </w:rPr>
      </w:pPr>
    </w:p>
    <w:p w:rsidR="004878AD" w:rsidRDefault="004878AD" w:rsidP="004878AD">
      <w:pPr>
        <w:spacing w:after="0" w:line="360" w:lineRule="auto"/>
        <w:jc w:val="center"/>
        <w:rPr>
          <w:rFonts w:ascii="Tahoma" w:eastAsia="Times New Roman" w:hAnsi="Tahoma" w:cs="Tahoma"/>
          <w:b/>
          <w:bCs/>
          <w:color w:val="000000"/>
          <w:sz w:val="24"/>
          <w:szCs w:val="24"/>
          <w:lang w:eastAsia="pl-PL"/>
        </w:rPr>
      </w:pPr>
    </w:p>
    <w:p w:rsidR="004878AD" w:rsidRDefault="004878AD" w:rsidP="004878AD">
      <w:pPr>
        <w:spacing w:after="0" w:line="360" w:lineRule="auto"/>
        <w:jc w:val="center"/>
        <w:rPr>
          <w:rFonts w:ascii="Tahoma" w:eastAsia="Times New Roman" w:hAnsi="Tahoma" w:cs="Tahoma"/>
          <w:b/>
          <w:bCs/>
          <w:color w:val="000000"/>
          <w:sz w:val="24"/>
          <w:szCs w:val="24"/>
          <w:lang w:eastAsia="pl-PL"/>
        </w:rPr>
      </w:pPr>
    </w:p>
    <w:p w:rsidR="004878AD" w:rsidRDefault="004878AD" w:rsidP="004878AD">
      <w:pPr>
        <w:spacing w:after="0" w:line="360" w:lineRule="auto"/>
        <w:jc w:val="center"/>
        <w:rPr>
          <w:rFonts w:ascii="Tahoma" w:eastAsia="Times New Roman" w:hAnsi="Tahoma" w:cs="Tahoma"/>
          <w:b/>
          <w:bCs/>
          <w:color w:val="000000"/>
          <w:sz w:val="24"/>
          <w:szCs w:val="24"/>
          <w:lang w:eastAsia="pl-PL"/>
        </w:rPr>
      </w:pPr>
    </w:p>
    <w:p w:rsidR="004878AD" w:rsidRDefault="004878AD" w:rsidP="004878AD">
      <w:pPr>
        <w:spacing w:after="0" w:line="360" w:lineRule="auto"/>
        <w:jc w:val="center"/>
        <w:rPr>
          <w:rFonts w:ascii="Tahoma" w:eastAsia="Times New Roman" w:hAnsi="Tahoma" w:cs="Tahoma"/>
          <w:b/>
          <w:bCs/>
          <w:color w:val="000000"/>
          <w:sz w:val="24"/>
          <w:szCs w:val="24"/>
          <w:lang w:eastAsia="pl-PL"/>
        </w:rPr>
      </w:pPr>
    </w:p>
    <w:p w:rsidR="004878AD" w:rsidRDefault="004878AD" w:rsidP="004878AD">
      <w:pPr>
        <w:spacing w:after="0" w:line="360" w:lineRule="auto"/>
        <w:jc w:val="center"/>
        <w:rPr>
          <w:rFonts w:ascii="Tahoma" w:eastAsia="Times New Roman" w:hAnsi="Tahoma" w:cs="Tahoma"/>
          <w:b/>
          <w:bCs/>
          <w:color w:val="000000"/>
          <w:sz w:val="24"/>
          <w:szCs w:val="24"/>
          <w:lang w:eastAsia="pl-PL"/>
        </w:rPr>
      </w:pPr>
    </w:p>
    <w:p w:rsidR="004878AD" w:rsidRDefault="004878AD" w:rsidP="004878AD">
      <w:pPr>
        <w:spacing w:after="0" w:line="360" w:lineRule="auto"/>
        <w:jc w:val="center"/>
        <w:rPr>
          <w:rFonts w:ascii="Tahoma" w:eastAsia="Times New Roman" w:hAnsi="Tahoma" w:cs="Tahoma"/>
          <w:b/>
          <w:bCs/>
          <w:color w:val="000000"/>
          <w:sz w:val="24"/>
          <w:szCs w:val="24"/>
          <w:lang w:eastAsia="pl-PL"/>
        </w:rPr>
      </w:pPr>
    </w:p>
    <w:p w:rsidR="004878AD" w:rsidRDefault="004878AD" w:rsidP="004878AD">
      <w:pPr>
        <w:spacing w:after="0" w:line="360" w:lineRule="auto"/>
        <w:jc w:val="center"/>
        <w:rPr>
          <w:rFonts w:ascii="Tahoma" w:eastAsia="Times New Roman" w:hAnsi="Tahoma" w:cs="Tahoma"/>
          <w:b/>
          <w:bCs/>
          <w:color w:val="000000"/>
          <w:sz w:val="24"/>
          <w:szCs w:val="24"/>
          <w:lang w:eastAsia="pl-PL"/>
        </w:rPr>
      </w:pPr>
    </w:p>
    <w:p w:rsidR="004878AD" w:rsidRDefault="004878AD" w:rsidP="004878AD">
      <w:pPr>
        <w:spacing w:after="0" w:line="360" w:lineRule="auto"/>
        <w:jc w:val="center"/>
        <w:rPr>
          <w:rFonts w:ascii="Tahoma" w:eastAsia="Times New Roman" w:hAnsi="Tahoma" w:cs="Tahoma"/>
          <w:b/>
          <w:bCs/>
          <w:color w:val="000000"/>
          <w:sz w:val="24"/>
          <w:szCs w:val="24"/>
          <w:lang w:eastAsia="pl-PL"/>
        </w:rPr>
      </w:pPr>
    </w:p>
    <w:p w:rsidR="004878AD" w:rsidRDefault="004878AD" w:rsidP="004878AD">
      <w:pPr>
        <w:spacing w:after="0" w:line="360" w:lineRule="auto"/>
        <w:jc w:val="center"/>
        <w:rPr>
          <w:rFonts w:ascii="Tahoma" w:eastAsia="Times New Roman" w:hAnsi="Tahoma" w:cs="Tahoma"/>
          <w:b/>
          <w:bCs/>
          <w:color w:val="000000"/>
          <w:sz w:val="24"/>
          <w:szCs w:val="24"/>
          <w:lang w:eastAsia="pl-PL"/>
        </w:rPr>
      </w:pPr>
    </w:p>
    <w:p w:rsidR="004878AD" w:rsidRPr="00097D72" w:rsidRDefault="004878AD" w:rsidP="004878AD">
      <w:pPr>
        <w:spacing w:after="0" w:line="360" w:lineRule="auto"/>
        <w:jc w:val="center"/>
        <w:rPr>
          <w:rFonts w:ascii="Tahoma" w:eastAsia="Times New Roman" w:hAnsi="Tahoma" w:cs="Tahoma"/>
          <w:sz w:val="24"/>
          <w:szCs w:val="24"/>
          <w:lang w:eastAsia="pl-PL"/>
        </w:rPr>
      </w:pPr>
      <w:r w:rsidRPr="00097D72">
        <w:rPr>
          <w:rFonts w:ascii="Tahoma" w:eastAsia="Times New Roman" w:hAnsi="Tahoma" w:cs="Tahoma"/>
          <w:b/>
          <w:bCs/>
          <w:color w:val="000000"/>
          <w:sz w:val="24"/>
          <w:szCs w:val="24"/>
          <w:lang w:eastAsia="pl-PL"/>
        </w:rPr>
        <w:lastRenderedPageBreak/>
        <w:t>UZASADNIENIE</w:t>
      </w:r>
    </w:p>
    <w:p w:rsidR="004878AD" w:rsidRPr="00097D72" w:rsidRDefault="004878AD" w:rsidP="004878AD">
      <w:pPr>
        <w:spacing w:after="0" w:line="360" w:lineRule="auto"/>
        <w:rPr>
          <w:rFonts w:ascii="Tahoma" w:eastAsia="Times New Roman" w:hAnsi="Tahoma" w:cs="Tahoma"/>
          <w:sz w:val="24"/>
          <w:szCs w:val="24"/>
          <w:lang w:eastAsia="pl-PL"/>
        </w:rPr>
      </w:pPr>
    </w:p>
    <w:p w:rsidR="004878AD" w:rsidRPr="00097D72" w:rsidRDefault="004878AD" w:rsidP="004878AD">
      <w:pPr>
        <w:spacing w:after="0" w:line="360" w:lineRule="auto"/>
        <w:ind w:firstLine="720"/>
        <w:jc w:val="both"/>
        <w:rPr>
          <w:rFonts w:ascii="Tahoma" w:eastAsia="Times New Roman" w:hAnsi="Tahoma" w:cs="Tahoma"/>
          <w:sz w:val="24"/>
          <w:szCs w:val="24"/>
          <w:lang w:eastAsia="pl-PL"/>
        </w:rPr>
      </w:pPr>
      <w:r w:rsidRPr="00097D72">
        <w:rPr>
          <w:rFonts w:ascii="Tahoma" w:eastAsia="Times New Roman" w:hAnsi="Tahoma" w:cs="Tahoma"/>
          <w:color w:val="000000"/>
          <w:sz w:val="24"/>
          <w:szCs w:val="24"/>
          <w:lang w:eastAsia="pl-PL"/>
        </w:rPr>
        <w:t xml:space="preserve">Niniejsza autopoprawka wprowadza zmiany w poselskim projekcie ustawy o </w:t>
      </w:r>
      <w:r>
        <w:rPr>
          <w:rFonts w:ascii="Tahoma" w:eastAsia="Times New Roman" w:hAnsi="Tahoma" w:cs="Tahoma"/>
          <w:color w:val="000000"/>
          <w:sz w:val="24"/>
          <w:szCs w:val="24"/>
          <w:lang w:eastAsia="pl-PL"/>
        </w:rPr>
        <w:t xml:space="preserve">świadczeniu kryzysowym, w związku z wezwaniem do uzupełnienia go o wymogi określone w art. 34 ust. 2 pkt 4 i 6 regulaminu Sejmu, art. 118 ust. 3 Konstytucji oraz o założenia projektów podstawowych aktów wykonawczych, których obowiązek wydania przewidziano w art. 4 ust. 3, art. 5 ust. 4 i art. 13 ust. 2 projektowanej regulacji. </w:t>
      </w:r>
    </w:p>
    <w:p w:rsidR="004878AD" w:rsidRPr="00097D72" w:rsidRDefault="004878AD" w:rsidP="004878AD">
      <w:pPr>
        <w:spacing w:line="360" w:lineRule="auto"/>
        <w:rPr>
          <w:rFonts w:ascii="Tahoma" w:hAnsi="Tahoma" w:cs="Tahoma"/>
        </w:rPr>
      </w:pPr>
    </w:p>
    <w:p w:rsidR="000061E2" w:rsidRDefault="004878AD">
      <w:bookmarkStart w:id="0" w:name="_GoBack"/>
      <w:bookmarkEnd w:id="0"/>
    </w:p>
    <w:sectPr w:rsidR="000061E2" w:rsidSect="000A49EC">
      <w:pgSz w:w="11906" w:h="16838"/>
      <w:pgMar w:top="1135"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B612D8"/>
    <w:multiLevelType w:val="multilevel"/>
    <w:tmpl w:val="24261C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F2E5B74"/>
    <w:multiLevelType w:val="multilevel"/>
    <w:tmpl w:val="880CD2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8AD"/>
    <w:rsid w:val="00034936"/>
    <w:rsid w:val="004878AD"/>
    <w:rsid w:val="006A22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3A84BC-4E22-4559-B5B1-172071849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878A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2248</Words>
  <Characters>13488</Characters>
  <Application>Microsoft Office Word</Application>
  <DocSecurity>0</DocSecurity>
  <Lines>112</Lines>
  <Paragraphs>31</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15705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Wiktoria Barańska</dc:creator>
  <cp:keywords/>
  <dc:description/>
  <cp:lastModifiedBy>Wiktoria Barańska</cp:lastModifiedBy>
  <cp:revision>1</cp:revision>
  <dcterms:created xsi:type="dcterms:W3CDTF">2020-05-12T15:09:00Z</dcterms:created>
  <dcterms:modified xsi:type="dcterms:W3CDTF">2020-05-12T15:09:00Z</dcterms:modified>
</cp:coreProperties>
</file>