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8A" w14:textId="77777777" w:rsidR="00874A4E" w:rsidRPr="00BE320B" w:rsidRDefault="00247673">
      <w:pPr>
        <w:spacing w:line="360" w:lineRule="auto"/>
        <w:jc w:val="center"/>
        <w:rPr>
          <w:rFonts w:ascii="Tahoma" w:hAnsi="Tahoma" w:cs="Tahoma"/>
          <w:b/>
          <w:sz w:val="24"/>
          <w:szCs w:val="24"/>
        </w:rPr>
      </w:pPr>
      <w:bookmarkStart w:id="0" w:name="_GoBack"/>
      <w:bookmarkEnd w:id="0"/>
      <w:r w:rsidRPr="00BE320B">
        <w:rPr>
          <w:rFonts w:ascii="Tahoma" w:hAnsi="Tahoma" w:cs="Tahoma"/>
          <w:b/>
          <w:sz w:val="24"/>
          <w:szCs w:val="24"/>
        </w:rPr>
        <w:t>Uzasadnienie</w:t>
      </w:r>
    </w:p>
    <w:p w14:paraId="0000008B" w14:textId="77777777" w:rsidR="00874A4E" w:rsidRPr="00BE320B" w:rsidRDefault="00874A4E">
      <w:pPr>
        <w:spacing w:line="360" w:lineRule="auto"/>
        <w:jc w:val="center"/>
        <w:rPr>
          <w:rFonts w:ascii="Tahoma" w:hAnsi="Tahoma" w:cs="Tahoma"/>
          <w:b/>
          <w:sz w:val="24"/>
          <w:szCs w:val="24"/>
        </w:rPr>
      </w:pPr>
    </w:p>
    <w:p w14:paraId="0000008C" w14:textId="77777777" w:rsidR="00874A4E" w:rsidRPr="00BE320B" w:rsidRDefault="00247673">
      <w:pPr>
        <w:spacing w:line="360" w:lineRule="auto"/>
        <w:ind w:firstLine="720"/>
        <w:jc w:val="both"/>
        <w:rPr>
          <w:rFonts w:ascii="Tahoma" w:hAnsi="Tahoma" w:cs="Tahoma"/>
          <w:b/>
          <w:sz w:val="24"/>
          <w:szCs w:val="24"/>
        </w:rPr>
      </w:pPr>
      <w:r w:rsidRPr="00BE320B">
        <w:rPr>
          <w:rFonts w:ascii="Tahoma" w:hAnsi="Tahoma" w:cs="Tahoma"/>
          <w:b/>
          <w:sz w:val="24"/>
          <w:szCs w:val="24"/>
        </w:rPr>
        <w:t>1. Potrzeba i cel uchwalenia ustawy</w:t>
      </w:r>
    </w:p>
    <w:p w14:paraId="0000008D" w14:textId="77777777" w:rsidR="00874A4E" w:rsidRPr="00BE320B" w:rsidRDefault="00874A4E">
      <w:pPr>
        <w:spacing w:line="360" w:lineRule="auto"/>
        <w:ind w:firstLine="720"/>
        <w:jc w:val="both"/>
        <w:rPr>
          <w:rFonts w:ascii="Tahoma" w:hAnsi="Tahoma" w:cs="Tahoma"/>
          <w:b/>
          <w:sz w:val="24"/>
          <w:szCs w:val="24"/>
        </w:rPr>
      </w:pPr>
    </w:p>
    <w:p w14:paraId="0000008E"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 Pandemia choroby COVID-19 wywoływanej przez koronawirusa SARS-CoV-2 oraz podejmowane przez władze publiczne dotkniętych nią krajów działania prewencyjne, ograniczające rozprzestrzenianie się wirusa, niosą za sobą poważne skutki społeczno-gospodarcze. Jednym z nich jest wzrost stopy bezrobocia, która, według różnych szacunków, wzrośnie do końca 2020 roku o od kilku do kilkunastu punktów procentowych. Jednocześnie w obowiązującym stanie prawnym zasiłki dla bezrobotnych oraz zasiłki okresowe są bardzo niskie, dostęp do nich jest ograniczony (w końcu IV kwartału 2019 r. prawa do zasiłku dla bezrobotnych nie posiadało 83,6% zarejestrowanych bezrobotnych) i przysługują relatywnie krótko.</w:t>
      </w:r>
    </w:p>
    <w:p w14:paraId="0000008F"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Projektodawcy stoją na stanowisku, że system świadczeń pieniężnych dla bezrobotnych od wielu lat wymaga przebudowy – tak by świadczenia te zaczęły pełnić funkcję kompensacyjną i w bardziej zadowalającym stopniu realizowały funkcję alimentacyjną, a dostęp do nich był szerszy niż dotychczas. Pandemia COVID-19 uwidocznia tę konieczność w sposób szczególny. W obliczu kryzysu epidemicznego i wywołanego nim kryzysu gospodarczego nie można dopuścić do radykalnego ubożenia polskich gospodarstw domowych.</w:t>
      </w:r>
    </w:p>
    <w:p w14:paraId="00000090" w14:textId="77777777" w:rsidR="00874A4E" w:rsidRPr="00BE320B" w:rsidRDefault="00874A4E">
      <w:pPr>
        <w:spacing w:line="360" w:lineRule="auto"/>
        <w:ind w:firstLine="720"/>
        <w:jc w:val="both"/>
        <w:rPr>
          <w:rFonts w:ascii="Tahoma" w:hAnsi="Tahoma" w:cs="Tahoma"/>
          <w:sz w:val="24"/>
          <w:szCs w:val="24"/>
        </w:rPr>
      </w:pPr>
    </w:p>
    <w:p w14:paraId="00000091" w14:textId="77777777" w:rsidR="00874A4E" w:rsidRPr="00BE320B" w:rsidRDefault="00247673">
      <w:pPr>
        <w:spacing w:line="360" w:lineRule="auto"/>
        <w:ind w:firstLine="720"/>
        <w:jc w:val="both"/>
        <w:rPr>
          <w:rFonts w:ascii="Tahoma" w:hAnsi="Tahoma" w:cs="Tahoma"/>
          <w:b/>
          <w:sz w:val="24"/>
          <w:szCs w:val="24"/>
        </w:rPr>
      </w:pPr>
      <w:r w:rsidRPr="00BE320B">
        <w:rPr>
          <w:rFonts w:ascii="Tahoma" w:hAnsi="Tahoma" w:cs="Tahoma"/>
          <w:b/>
          <w:sz w:val="24"/>
          <w:szCs w:val="24"/>
        </w:rPr>
        <w:t>2. Projektowane rozwiązania</w:t>
      </w:r>
    </w:p>
    <w:p w14:paraId="00000092" w14:textId="77777777" w:rsidR="00874A4E" w:rsidRPr="00BE320B" w:rsidRDefault="00874A4E">
      <w:pPr>
        <w:spacing w:line="360" w:lineRule="auto"/>
        <w:jc w:val="both"/>
        <w:rPr>
          <w:rFonts w:ascii="Tahoma" w:hAnsi="Tahoma" w:cs="Tahoma"/>
          <w:b/>
          <w:sz w:val="24"/>
          <w:szCs w:val="24"/>
        </w:rPr>
      </w:pPr>
    </w:p>
    <w:p w14:paraId="00000093"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Świadczenia pieniężne dla bezrobotnych mogą pełnić zróżnicowane funkcje: alimentacyjną, motywacyjną i kompensacyjną. W obowiązującym stanie prawnym zasiłki dla bezrobotnych oraz zasiłki okresowe, o które mogą się oni ubiegać, realizują funkcję alimentacyjną oraz motywacyjną. W założeniu bowiem służą one dostarczeniu bezrobotnym środków utrzymania na minimalnym poziomie oraz zachęcają bezrobotnego do aktywnego poszukiwania pracy. Zasiłek dla bezrobotnych i zasiłek okresowy są bardzo niskie, ich wysokości nie powiązano z uprzednio otrzymywanym wynagrodzeniem, a czas, przez który przysługuje zasiłek dla bezrobotnych, jest relatywnie krótki. Taka konstrukcja świadczeń pieniężnych nie wywoływała poważnych </w:t>
      </w:r>
      <w:r w:rsidRPr="00BE320B">
        <w:rPr>
          <w:rFonts w:ascii="Tahoma" w:hAnsi="Tahoma" w:cs="Tahoma"/>
          <w:sz w:val="24"/>
          <w:szCs w:val="24"/>
        </w:rPr>
        <w:lastRenderedPageBreak/>
        <w:t>problemów społecznych w okresach koniunktury, w których wskaźnik bezrobocia zbliża się do tzw. bezrobocia naturalnego. W takiej sytuacji ekonomicznej można bowiem przyjmować, że bezrobocie jest stanem krótkotrwałym (choć, według danych GUS, w IV kwartale 2019 r. 14,7% zarejestrowanych bezrobotnych pozostawało bez pracy przez od 12 do 24 miesięcy, a aż 23,2% – powyżej 24 miesięcy), a przeciętny bezrobotny ma możliwości szybkiej poprawy swojej sytuacji ekonomicznej przez podjęcie zatrudnienia.</w:t>
      </w:r>
    </w:p>
    <w:p w14:paraId="00000094"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Założeń tych z pewnością nie da się utrzymać w warunkach kryzysu ekonomicznego, wywołanego przez czynnik zewnętrzny, niezależny od aktorów rynku pracy, o trudnej do przewidzenia długości i skali, którego charakter eliminuje możliwość rzeczywistego poszukiwania zatrudnienia na otwartym rynku pracy. Z taką sytuacją mamy do czynienia w wyniku wprowadzenia stanów nadzwyczajnych oraz zbliżonych do nich stanów prawnych: zagrożenia epidemicznego i epidemii. Z tych powodów niezbędna jest zmiana konstrukcji świadczeń pieniężnych dla bezrobotnych. W warunkach, w których poszukiwanie i znalezienie zatrudnienia jest z przyczyn prawnych, zdrowotnych i ekonomicznych daleko utrudnione lub niemożliwe, świadczenia te nie mogą pełnić funkcji motywacyjnej, a powinny być skoncentrowane na funkcji kompensacyjnej, czyli prowadzić do zastąpienia utraconego przez bezrobotnego dochodu przez cały okres, w którym poszukiwanie pracy nie jest możliwe lub jest bardzo utrudnione. Projektowane rozwiązania podporządkowane są tak sformułowanej koncepcji regulacyjnej. Jednocześnie, z uwagi na potrzebę objęcia wsparciem możliwie szerokiej grupy osób pozbawionych pracy, proponuje się wprowadzić dodatkowe świadczenie pieniężne na czas początkowej fazy kryzysu – świadczenie kryzysowe.</w:t>
      </w:r>
    </w:p>
    <w:p w14:paraId="00000095"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Proponuje się, aby konstrukcja świadczenia kryzysowego była maksymalnie uproszczona: osoba spełniająca jeden z warunków, o których mowa w art. 3 ust. 1 projektu ustawy nabywa prawo do świadczenia kryzysowego w wysokości 80% minimalnego wynagrodzenia za pracę. Organ administracji publicznej – w tym przypadku starosta – nie przeprowadza według przedstawionej konstrukcji postępowania w celu wydawania decyzji, lecz postępowanie sprawdzające, które może skutkować odebraniem prawa do świadczenia. Szczególne rozwiązania są konieczne ze względu na niespotykaną wcześniej sytuację społeczno-gospodarczą.</w:t>
      </w:r>
    </w:p>
    <w:p w14:paraId="00000096"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lastRenderedPageBreak/>
        <w:t>Projekt przewiduje, że dotychczasowe świadczenia pieniężne dla bezrobotnych: zasiłek dla bezrobotnych oraz zasiłek okresowy będą nosić odpowiednio nazwy „świadczenie gwarantowane” oraz „okresowe świadczenie gwarantowane”. Słowo „zasiłek” ma bowiem negatywne, stygmatyzujące zabarwienie znaczeniowe i jego używanie może powodować po stronie osób uprawnionych do tych świadczeń niechęć do korzystania z nich i poczucie wstydu. Tymczasem nazwy „świadczenie gwarantowane” i „okresowe świadczenie gwarantowane” mają neutralny kontekst znaczeniowy, a jednocześnie bardziej odpowiadają przyjętej w projektowanej ustawie funkcji kompensacyjnej świadczeń pieniężnych dla bezrobotnych.</w:t>
      </w:r>
    </w:p>
    <w:p w14:paraId="00000097"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Projekt zakłada istotne podwyższenie wysokości świadczeń pieniężnych dla bezrobotnych i rozluźnienie uprawniających do nich kryteriów. Umożliwi to realizację ich funkcji kompensacyjnej, tj. zastąpienia utraconego przez bezrobotnego dochodu z pracy. W świetle projektu wysokość świadczenia gwarantowanego wynosi 50% ostatnio pobieranego wynagrodzenia, przy czym nie może być ona niższa niż 70% minimalnego wynagrodzenia za pracę obowiązującego na dzień wypłaty świadczenia gwarantowanego i wyższa niż 50% przeciętnego wynagrodzenia w kwartale poprzedzającym tę datę. Powiązanie wysokości świadczenia pieniężnego dla bezrobotnych z wysokością ostatniego wynagrodzenia jest rozwiązaniem występującym w wielu krajach. Może ono być więc traktowane jako modelowe. Wprowadzenie maksymalnej i minimalnej wysokości świadczenia gwarantowanego zabezpiecza jego funkcję alimentacyjną i racjonalizuje wydatki ze środków publicznych przeznaczone na finansowanie tego świadczenia. Dodatkowo, projekt przewiduje szczególne rozwiązania dotyczące wysokości okresowego świadczenia gwarantowanego w stanie zagrożenia epidemicznego, stanie epidemii, stanie klęski żywiołowej, stanie wyjątkowym i stanie wojennym. W obowiązującym stanie prawnym zasiłek okresowy jest bardzo niski (od 20 do kilkuset złotych). Projekt zakłada, że bezrobotni, którzy są uprawnieni do okresowego świadczenia gwarantowanego, otrzymają je w wysokości 75% świadczenia gwarantowanego, ustalonego na właściwych dla niego zasadach. Taka, niższa w stosunku do świadczenia gwarantowanego, wysokość okresowego świadczenia gwarantowanego wynika z faktu, że przysługuje ono bezrobotnym długotrwale lub takim, których uprzednie </w:t>
      </w:r>
      <w:r w:rsidRPr="00BE320B">
        <w:rPr>
          <w:rFonts w:ascii="Tahoma" w:hAnsi="Tahoma" w:cs="Tahoma"/>
          <w:sz w:val="24"/>
          <w:szCs w:val="24"/>
        </w:rPr>
        <w:lastRenderedPageBreak/>
        <w:t xml:space="preserve">zatrudnienie nie wiązało się z obowiązkiem odprowadzania składek na Fundusz Pracy, czyli brał udziału w gromadzeniu środków na świadczenia dla bezrobotnych. </w:t>
      </w:r>
    </w:p>
    <w:p w14:paraId="00000098"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Projekt zakłada ponadto rozszerzenie w stanie zagrożenia epidemicznego, stanie epidemii, stanie klęski żywiołowej, stanie wyjątkowym i stanie wojennym kręgu osób uprawnionych do świadczeń pieniężnych dla bezrobotnych. W świetle projektu okresowe świadczenie gwarantowane przysługuje także bezrobotnemu bez prawa do świadczenia gwarantowanego, który albo utracił je w jednym z wymienionych stanów z powodu upływu terminu, w którym ono przysługiwało, albo nie nabył do niego prawa z powodu charakteru działalności zarobkowej, którą wykonywał przed zarejestrowaniem się.</w:t>
      </w:r>
      <w:r w:rsidRPr="00BE320B">
        <w:rPr>
          <w:rFonts w:ascii="Tahoma" w:hAnsi="Tahoma" w:cs="Tahoma"/>
          <w:sz w:val="24"/>
          <w:szCs w:val="24"/>
        </w:rPr>
        <w:br/>
      </w:r>
      <w:r w:rsidRPr="00BE320B">
        <w:rPr>
          <w:rFonts w:ascii="Tahoma" w:hAnsi="Tahoma" w:cs="Tahoma"/>
          <w:sz w:val="24"/>
          <w:szCs w:val="24"/>
        </w:rPr>
        <w:tab/>
        <w:t xml:space="preserve">Projektowana ustawa przewiduje wzrost stypendium przysługującemu bezrobotnym w okresie odbywania stażu. W założeniu projektodawcy stypendium będzie przysługiwało w wysokości 75% minimalnego wynagrodzenia za pracę obowiązującego w dniu wypłaty stypendium. Obecnie stypendium to wynosi 120% zasiłku dla bezrobotnych i jest to kwota, która nie pozwala na samodzielne utrzymanie się, a w konsekwencji – nie odpowiada charakterowi stypendium jako świadczenia zastępującego wynagrodzenie za wykonywaną pracę o wartości ekonomicznej. </w:t>
      </w:r>
    </w:p>
    <w:p w14:paraId="00000099"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Projekt przewiduje szczególny, ograniczony do stanu zagrożenia epidemicznego, stanu epidemii, stanu klęski żywiołowej, stanu wyjątkowego i stanu wojennego instrument umożliwiający bezrobotnym kontynuowanie płatnego kształcenia, które – z powodu pogorszenia sytuacji ekonomicznej – mogliby przerwać. Zgodnie z projektowaną ustawą w tych okresach bezrobotni mogą otrzymać na podstawie decyzji administracyjnej dofinansowanie kształcenia do kwoty 75% opłaty z tytułu kształcenia należnej za okres posiadania statusu bezrobotnego, jednak nie więcej niż 300% przeciętnego wynagrodzenia i nie dłużej niż do planowanego terminu ukończenia kształcenia. Świadczenie to ma służyć zwiększeniu możliwości znalezienia zatrudnienia przez bezrobotnych, którzy podjęli wcześniej starania o podwyższenie swoich kwalifikacji formalnych przez stworzenie finansowej możliwości ich uzyskania. </w:t>
      </w:r>
    </w:p>
    <w:p w14:paraId="0000009A"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Projektowana ustawa przewiduje dodatkowe instrumenty wsparcia dla osób, które znalazły się w trudnej sytuacji ekonomicznej w związku z wprowadzeniem stanu zagrożenia epidemicznego, stanu epidemii, stanu klęski żywiołowej, stanu wyjątkowego lub stanu wojennego oraz klęską żywiołową lub ekologiczną, epidemią, </w:t>
      </w:r>
      <w:r w:rsidRPr="00BE320B">
        <w:rPr>
          <w:rFonts w:ascii="Tahoma" w:hAnsi="Tahoma" w:cs="Tahoma"/>
          <w:sz w:val="24"/>
          <w:szCs w:val="24"/>
        </w:rPr>
        <w:lastRenderedPageBreak/>
        <w:t>izolacją i kwarantanną. Temu służy rozszerzenie przesłanek uzasadniających przyznanie zasiłku celowego oraz specjalnego zasiłku celowego. Ten stan rzeczy może powodować znaczący wzrost wydatków jednostek samorządu terytorialnego na zadania własne z zakresu pomocy społecznej. Z tego powodu projektowana ustawa przewiduje, że w przypadku, gdy wzrosną one w sposób istotny, jednostka samorządu terytorialnego otrzymuje dotację celową z budżetu państwa na dofinansowanie zadań własnych z zakresu pomocy społecznej.</w:t>
      </w:r>
      <w:r w:rsidRPr="00BE320B">
        <w:rPr>
          <w:rFonts w:ascii="Tahoma" w:hAnsi="Tahoma" w:cs="Tahoma"/>
          <w:sz w:val="24"/>
          <w:szCs w:val="24"/>
        </w:rPr>
        <w:br/>
      </w:r>
    </w:p>
    <w:p w14:paraId="0000009B" w14:textId="77777777" w:rsidR="00874A4E" w:rsidRPr="00BE320B" w:rsidRDefault="00247673">
      <w:pPr>
        <w:spacing w:line="360" w:lineRule="auto"/>
        <w:ind w:firstLine="720"/>
        <w:jc w:val="both"/>
        <w:rPr>
          <w:rFonts w:ascii="Tahoma" w:hAnsi="Tahoma" w:cs="Tahoma"/>
          <w:b/>
          <w:sz w:val="24"/>
          <w:szCs w:val="24"/>
        </w:rPr>
      </w:pPr>
      <w:r w:rsidRPr="00BE320B">
        <w:rPr>
          <w:rFonts w:ascii="Tahoma" w:hAnsi="Tahoma" w:cs="Tahoma"/>
          <w:b/>
          <w:sz w:val="24"/>
          <w:szCs w:val="24"/>
        </w:rPr>
        <w:t>3. Źródła finansowania</w:t>
      </w:r>
    </w:p>
    <w:p w14:paraId="0000009C" w14:textId="77777777" w:rsidR="00874A4E" w:rsidRPr="00BE320B" w:rsidRDefault="00874A4E">
      <w:pPr>
        <w:spacing w:line="360" w:lineRule="auto"/>
        <w:ind w:firstLine="720"/>
        <w:jc w:val="both"/>
        <w:rPr>
          <w:rFonts w:ascii="Tahoma" w:hAnsi="Tahoma" w:cs="Tahoma"/>
          <w:sz w:val="24"/>
          <w:szCs w:val="24"/>
        </w:rPr>
      </w:pPr>
    </w:p>
    <w:p w14:paraId="0000009D"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Projektowane rozwiązania finansowane będą z Funduszu Pracy po otrzymaniu odpowiedniej dotacji z budżetu państwa. Dodatkowo, przewidziane w projektowanej ustawie świadczenia z pomocy społecznej będą finansowane z budżetów jednostek samorządu terytorialnego, w niektórych przypadkach po otrzymaniu odpowiedniej dotacji celowej z budżetu państwa. Koszt proponowanych zmian jest uzależniony od rozmiarów kryzysu gospodarczego wywołanego przez COVID-19. Tak jak w przypadku rozwiązań obecnie obowiązujących i propozycji rządowych zawartych w tzw. Tarczy Antykryzysowej, trudno wskazać maksymalną kwotę wydatków budżetowych w tym zakresie.</w:t>
      </w:r>
    </w:p>
    <w:p w14:paraId="0000009E" w14:textId="77777777" w:rsidR="00874A4E" w:rsidRPr="00BE320B" w:rsidRDefault="00874A4E">
      <w:pPr>
        <w:spacing w:line="360" w:lineRule="auto"/>
        <w:jc w:val="both"/>
        <w:rPr>
          <w:rFonts w:ascii="Tahoma" w:hAnsi="Tahoma" w:cs="Tahoma"/>
          <w:b/>
          <w:sz w:val="24"/>
          <w:szCs w:val="24"/>
        </w:rPr>
      </w:pPr>
    </w:p>
    <w:p w14:paraId="0000009F" w14:textId="77777777" w:rsidR="00874A4E" w:rsidRPr="00BE320B" w:rsidRDefault="00247673">
      <w:pPr>
        <w:spacing w:line="360" w:lineRule="auto"/>
        <w:ind w:firstLine="720"/>
        <w:jc w:val="both"/>
        <w:rPr>
          <w:rFonts w:ascii="Tahoma" w:hAnsi="Tahoma" w:cs="Tahoma"/>
          <w:b/>
          <w:sz w:val="24"/>
          <w:szCs w:val="24"/>
        </w:rPr>
      </w:pPr>
      <w:r w:rsidRPr="00BE320B">
        <w:rPr>
          <w:rFonts w:ascii="Tahoma" w:hAnsi="Tahoma" w:cs="Tahoma"/>
          <w:b/>
          <w:sz w:val="24"/>
          <w:szCs w:val="24"/>
        </w:rPr>
        <w:t>4. Oświadczenie o zgodności projektu ustawy z prawem Unii Europejskiej i braku obowiązku przedstawienia projektu instytucjom Unii Europejskiej</w:t>
      </w:r>
    </w:p>
    <w:p w14:paraId="000000A0" w14:textId="77777777" w:rsidR="00874A4E" w:rsidRPr="00BE320B" w:rsidRDefault="00874A4E">
      <w:pPr>
        <w:spacing w:line="360" w:lineRule="auto"/>
        <w:jc w:val="both"/>
        <w:rPr>
          <w:rFonts w:ascii="Tahoma" w:hAnsi="Tahoma" w:cs="Tahoma"/>
          <w:sz w:val="24"/>
          <w:szCs w:val="24"/>
        </w:rPr>
      </w:pPr>
    </w:p>
    <w:p w14:paraId="000000A1"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W ocenie projektodawców przedmiot projektowanej regulacji nie jest objęty prawem Unii Europejskiej i nie podlega procedurze notyfikacji w rozumieniu przepisów dotyczących notyfikacji norm i aktów prawnych.</w:t>
      </w:r>
    </w:p>
    <w:p w14:paraId="000000A2" w14:textId="77777777" w:rsidR="00874A4E" w:rsidRPr="00BE320B" w:rsidRDefault="00874A4E">
      <w:pPr>
        <w:spacing w:line="360" w:lineRule="auto"/>
        <w:jc w:val="both"/>
        <w:rPr>
          <w:rFonts w:ascii="Tahoma" w:hAnsi="Tahoma" w:cs="Tahoma"/>
          <w:sz w:val="24"/>
          <w:szCs w:val="24"/>
        </w:rPr>
      </w:pPr>
    </w:p>
    <w:p w14:paraId="000000A3" w14:textId="77777777" w:rsidR="00874A4E" w:rsidRPr="00BE320B" w:rsidRDefault="00247673">
      <w:pPr>
        <w:spacing w:line="360" w:lineRule="auto"/>
        <w:jc w:val="both"/>
        <w:rPr>
          <w:rFonts w:ascii="Tahoma" w:hAnsi="Tahoma" w:cs="Tahoma"/>
          <w:b/>
          <w:sz w:val="24"/>
          <w:szCs w:val="24"/>
        </w:rPr>
      </w:pPr>
      <w:r w:rsidRPr="00BE320B">
        <w:rPr>
          <w:rFonts w:ascii="Tahoma" w:hAnsi="Tahoma" w:cs="Tahoma"/>
          <w:b/>
          <w:sz w:val="24"/>
          <w:szCs w:val="24"/>
        </w:rPr>
        <w:t>5. Brak obowiązku notyfikacji zgodnie z przepisami dotyczącymi funkcjonowania krajowego systemu notyfikacji norm i aktów prawnych</w:t>
      </w:r>
    </w:p>
    <w:p w14:paraId="000000A4" w14:textId="77777777" w:rsidR="00874A4E" w:rsidRPr="00BE320B" w:rsidRDefault="00874A4E">
      <w:pPr>
        <w:spacing w:line="360" w:lineRule="auto"/>
        <w:jc w:val="both"/>
        <w:rPr>
          <w:rFonts w:ascii="Tahoma" w:hAnsi="Tahoma" w:cs="Tahoma"/>
          <w:b/>
          <w:sz w:val="24"/>
          <w:szCs w:val="24"/>
        </w:rPr>
      </w:pPr>
    </w:p>
    <w:p w14:paraId="000000A5"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lastRenderedPageBreak/>
        <w:t>Projekt ustawy nie wymaga przedstawienia właściwym organom i instytucjom Unii Europejskiej, w tym Europejskiemu Bankowi Centralnemu, w celu uzyskania opinii, dokonania powiadomienia, konsultacji lub uzgodnienia.</w:t>
      </w:r>
    </w:p>
    <w:p w14:paraId="000000A6" w14:textId="77777777" w:rsidR="00874A4E" w:rsidRPr="00BE320B" w:rsidRDefault="00874A4E">
      <w:pPr>
        <w:spacing w:line="360" w:lineRule="auto"/>
        <w:ind w:firstLine="720"/>
        <w:jc w:val="both"/>
        <w:rPr>
          <w:rFonts w:ascii="Tahoma" w:hAnsi="Tahoma" w:cs="Tahoma"/>
          <w:sz w:val="24"/>
          <w:szCs w:val="24"/>
        </w:rPr>
      </w:pPr>
    </w:p>
    <w:p w14:paraId="000000A7" w14:textId="77777777" w:rsidR="00874A4E" w:rsidRPr="00BE320B" w:rsidRDefault="00247673">
      <w:pPr>
        <w:spacing w:line="360" w:lineRule="auto"/>
        <w:jc w:val="both"/>
        <w:rPr>
          <w:rFonts w:ascii="Tahoma" w:hAnsi="Tahoma" w:cs="Tahoma"/>
          <w:b/>
          <w:sz w:val="24"/>
          <w:szCs w:val="24"/>
        </w:rPr>
      </w:pPr>
      <w:r w:rsidRPr="00BE320B">
        <w:rPr>
          <w:rFonts w:ascii="Tahoma" w:hAnsi="Tahoma" w:cs="Tahoma"/>
          <w:b/>
          <w:sz w:val="24"/>
          <w:szCs w:val="24"/>
        </w:rPr>
        <w:t>6. Wpływ na działalność mikroprzedsiębiorców oraz małych i średnich przedsiębiorstw</w:t>
      </w:r>
    </w:p>
    <w:p w14:paraId="000000A8" w14:textId="77777777" w:rsidR="00874A4E" w:rsidRPr="00BE320B" w:rsidRDefault="00874A4E">
      <w:pPr>
        <w:spacing w:line="360" w:lineRule="auto"/>
        <w:jc w:val="both"/>
        <w:rPr>
          <w:rFonts w:ascii="Tahoma" w:hAnsi="Tahoma" w:cs="Tahoma"/>
          <w:b/>
          <w:sz w:val="24"/>
          <w:szCs w:val="24"/>
        </w:rPr>
      </w:pPr>
    </w:p>
    <w:p w14:paraId="000000A9" w14:textId="77777777" w:rsidR="00874A4E" w:rsidRPr="00BE320B" w:rsidRDefault="00247673">
      <w:pPr>
        <w:spacing w:line="360" w:lineRule="auto"/>
        <w:ind w:right="-15" w:firstLine="720"/>
        <w:jc w:val="both"/>
        <w:rPr>
          <w:rFonts w:ascii="Tahoma" w:hAnsi="Tahoma" w:cs="Tahoma"/>
          <w:b/>
          <w:sz w:val="24"/>
          <w:szCs w:val="24"/>
        </w:rPr>
      </w:pPr>
      <w:r w:rsidRPr="00BE320B">
        <w:rPr>
          <w:rFonts w:ascii="Tahoma" w:hAnsi="Tahoma" w:cs="Tahoma"/>
          <w:sz w:val="24"/>
          <w:szCs w:val="24"/>
        </w:rPr>
        <w:t>Zmiany proponowane w projekcie dotyczą wszystkich ubezpieczonych. W związku z tym nie zachodzi zjawisko dyskryminacji określonej grupy przedsiębiorców.</w:t>
      </w:r>
    </w:p>
    <w:p w14:paraId="000000AA" w14:textId="77777777" w:rsidR="00874A4E" w:rsidRPr="00BE320B" w:rsidRDefault="00874A4E">
      <w:pPr>
        <w:spacing w:line="360" w:lineRule="auto"/>
        <w:jc w:val="both"/>
        <w:rPr>
          <w:rFonts w:ascii="Tahoma" w:hAnsi="Tahoma" w:cs="Tahoma"/>
          <w:b/>
          <w:sz w:val="24"/>
          <w:szCs w:val="24"/>
        </w:rPr>
      </w:pPr>
    </w:p>
    <w:p w14:paraId="000000AB" w14:textId="77777777" w:rsidR="00874A4E" w:rsidRPr="00BE320B" w:rsidRDefault="00247673">
      <w:pPr>
        <w:spacing w:line="360" w:lineRule="auto"/>
        <w:jc w:val="both"/>
        <w:rPr>
          <w:rFonts w:ascii="Tahoma" w:hAnsi="Tahoma" w:cs="Tahoma"/>
          <w:b/>
          <w:sz w:val="24"/>
          <w:szCs w:val="24"/>
        </w:rPr>
      </w:pPr>
      <w:r w:rsidRPr="00BE320B">
        <w:rPr>
          <w:rFonts w:ascii="Tahoma" w:hAnsi="Tahoma" w:cs="Tahoma"/>
          <w:b/>
          <w:sz w:val="24"/>
          <w:szCs w:val="24"/>
        </w:rPr>
        <w:t>7. Konsultacje społeczne</w:t>
      </w:r>
    </w:p>
    <w:p w14:paraId="000000AC" w14:textId="77777777" w:rsidR="00874A4E" w:rsidRPr="00BE320B" w:rsidRDefault="00874A4E">
      <w:pPr>
        <w:spacing w:line="360" w:lineRule="auto"/>
        <w:jc w:val="both"/>
        <w:rPr>
          <w:rFonts w:ascii="Tahoma" w:hAnsi="Tahoma" w:cs="Tahoma"/>
          <w:b/>
          <w:sz w:val="24"/>
          <w:szCs w:val="24"/>
        </w:rPr>
      </w:pPr>
    </w:p>
    <w:p w14:paraId="000000AD" w14:textId="77777777" w:rsidR="00874A4E" w:rsidRPr="00BE320B" w:rsidRDefault="00247673">
      <w:pPr>
        <w:spacing w:line="360" w:lineRule="auto"/>
        <w:ind w:right="-15" w:firstLine="720"/>
        <w:jc w:val="both"/>
        <w:rPr>
          <w:rFonts w:ascii="Tahoma" w:hAnsi="Tahoma" w:cs="Tahoma"/>
          <w:sz w:val="24"/>
          <w:szCs w:val="24"/>
        </w:rPr>
      </w:pPr>
      <w:r w:rsidRPr="00BE320B">
        <w:rPr>
          <w:rFonts w:ascii="Tahoma" w:hAnsi="Tahoma" w:cs="Tahoma"/>
          <w:sz w:val="24"/>
          <w:szCs w:val="24"/>
        </w:rPr>
        <w:t>Proponowany projekt nie był poddany formalnym konsultacjom społecznym.</w:t>
      </w:r>
    </w:p>
    <w:p w14:paraId="000000AE" w14:textId="77777777" w:rsidR="00874A4E" w:rsidRPr="00BE320B" w:rsidRDefault="00874A4E">
      <w:pPr>
        <w:spacing w:line="360" w:lineRule="auto"/>
        <w:ind w:right="-15" w:firstLine="720"/>
        <w:jc w:val="both"/>
        <w:rPr>
          <w:rFonts w:ascii="Tahoma" w:hAnsi="Tahoma" w:cs="Tahoma"/>
          <w:sz w:val="24"/>
          <w:szCs w:val="24"/>
        </w:rPr>
      </w:pPr>
    </w:p>
    <w:p w14:paraId="000000AF" w14:textId="77777777" w:rsidR="00874A4E" w:rsidRPr="00BE320B" w:rsidRDefault="00247673">
      <w:pPr>
        <w:spacing w:line="360" w:lineRule="auto"/>
        <w:jc w:val="both"/>
        <w:rPr>
          <w:rFonts w:ascii="Tahoma" w:hAnsi="Tahoma" w:cs="Tahoma"/>
          <w:b/>
          <w:sz w:val="24"/>
          <w:szCs w:val="24"/>
        </w:rPr>
      </w:pPr>
      <w:r w:rsidRPr="00BE320B">
        <w:rPr>
          <w:rFonts w:ascii="Tahoma" w:hAnsi="Tahoma" w:cs="Tahoma"/>
          <w:b/>
          <w:sz w:val="24"/>
          <w:szCs w:val="24"/>
        </w:rPr>
        <w:t xml:space="preserve">8. Zgodność z Konstytucją RP. </w:t>
      </w:r>
    </w:p>
    <w:p w14:paraId="000000B0" w14:textId="77777777" w:rsidR="00874A4E" w:rsidRPr="00BE320B" w:rsidRDefault="00874A4E">
      <w:pPr>
        <w:spacing w:line="360" w:lineRule="auto"/>
        <w:ind w:right="-15"/>
        <w:jc w:val="both"/>
        <w:rPr>
          <w:rFonts w:ascii="Tahoma" w:hAnsi="Tahoma" w:cs="Tahoma"/>
          <w:b/>
          <w:sz w:val="24"/>
          <w:szCs w:val="24"/>
        </w:rPr>
      </w:pPr>
    </w:p>
    <w:p w14:paraId="000000B1" w14:textId="77777777" w:rsidR="00874A4E" w:rsidRPr="00BE320B" w:rsidRDefault="00247673">
      <w:pPr>
        <w:spacing w:line="360" w:lineRule="auto"/>
        <w:ind w:right="-15" w:firstLine="720"/>
        <w:jc w:val="both"/>
        <w:rPr>
          <w:rFonts w:ascii="Tahoma" w:hAnsi="Tahoma" w:cs="Tahoma"/>
          <w:sz w:val="24"/>
          <w:szCs w:val="24"/>
        </w:rPr>
      </w:pPr>
      <w:r w:rsidRPr="00BE320B">
        <w:rPr>
          <w:rFonts w:ascii="Tahoma" w:hAnsi="Tahoma" w:cs="Tahoma"/>
          <w:sz w:val="24"/>
          <w:szCs w:val="24"/>
        </w:rPr>
        <w:t>W ocenie projektodawcy przedstawiony projekt ustawy jest zgodny z Konstytucją RP.</w:t>
      </w:r>
    </w:p>
    <w:p w14:paraId="000000B2" w14:textId="77777777" w:rsidR="00874A4E" w:rsidRPr="00BE320B" w:rsidRDefault="00874A4E">
      <w:pPr>
        <w:spacing w:line="360" w:lineRule="auto"/>
        <w:ind w:right="-15"/>
        <w:jc w:val="both"/>
        <w:rPr>
          <w:rFonts w:ascii="Tahoma" w:hAnsi="Tahoma" w:cs="Tahoma"/>
          <w:sz w:val="24"/>
          <w:szCs w:val="24"/>
        </w:rPr>
      </w:pPr>
    </w:p>
    <w:p w14:paraId="000000B3" w14:textId="77777777" w:rsidR="00874A4E" w:rsidRPr="00BE320B" w:rsidRDefault="00247673">
      <w:pPr>
        <w:spacing w:line="360" w:lineRule="auto"/>
        <w:jc w:val="both"/>
        <w:rPr>
          <w:rFonts w:ascii="Tahoma" w:hAnsi="Tahoma" w:cs="Tahoma"/>
          <w:sz w:val="24"/>
          <w:szCs w:val="24"/>
        </w:rPr>
      </w:pPr>
      <w:r w:rsidRPr="00BE320B">
        <w:rPr>
          <w:rFonts w:ascii="Tahoma" w:hAnsi="Tahoma" w:cs="Tahoma"/>
          <w:b/>
          <w:sz w:val="24"/>
          <w:szCs w:val="24"/>
        </w:rPr>
        <w:t>9. Założenia projektów podstawowych aktów wykonawczych</w:t>
      </w:r>
      <w:r w:rsidRPr="00BE320B">
        <w:rPr>
          <w:rFonts w:ascii="Tahoma" w:hAnsi="Tahoma" w:cs="Tahoma"/>
          <w:sz w:val="24"/>
          <w:szCs w:val="24"/>
        </w:rPr>
        <w:t xml:space="preserve"> </w:t>
      </w:r>
    </w:p>
    <w:p w14:paraId="000000B4" w14:textId="77777777" w:rsidR="00874A4E" w:rsidRPr="00BE320B" w:rsidRDefault="00247673">
      <w:pPr>
        <w:spacing w:line="360" w:lineRule="auto"/>
        <w:jc w:val="both"/>
        <w:rPr>
          <w:rFonts w:ascii="Tahoma" w:hAnsi="Tahoma" w:cs="Tahoma"/>
          <w:sz w:val="24"/>
          <w:szCs w:val="24"/>
        </w:rPr>
      </w:pPr>
      <w:r w:rsidRPr="00BE320B">
        <w:rPr>
          <w:rFonts w:ascii="Tahoma" w:hAnsi="Tahoma" w:cs="Tahoma"/>
          <w:sz w:val="24"/>
          <w:szCs w:val="24"/>
        </w:rPr>
        <w:tab/>
      </w:r>
    </w:p>
    <w:p w14:paraId="000000B5" w14:textId="77777777" w:rsidR="00874A4E" w:rsidRPr="00BE320B" w:rsidRDefault="00247673">
      <w:pPr>
        <w:spacing w:line="360" w:lineRule="auto"/>
        <w:ind w:left="720"/>
        <w:jc w:val="both"/>
        <w:rPr>
          <w:rFonts w:ascii="Tahoma" w:hAnsi="Tahoma" w:cs="Tahoma"/>
          <w:b/>
          <w:sz w:val="24"/>
          <w:szCs w:val="24"/>
        </w:rPr>
      </w:pPr>
      <w:r w:rsidRPr="00BE320B">
        <w:rPr>
          <w:rFonts w:ascii="Tahoma" w:hAnsi="Tahoma" w:cs="Tahoma"/>
          <w:b/>
          <w:sz w:val="24"/>
          <w:szCs w:val="24"/>
        </w:rPr>
        <w:t>Rozporządzenie Ministra Rodziny, Pracy i Polityki Społecznej w sprawie wzoru wniosku o świadczenie kryzysowe</w:t>
      </w:r>
    </w:p>
    <w:p w14:paraId="000000B6"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Minister właściwy do spraw pracy określi, w drodze rozporządzenia, wzór wniosku o świadczenie kryzysowe oraz dokumenty niezbędne do ustalenia prawa do świadczenia kryzysowego. </w:t>
      </w:r>
    </w:p>
    <w:p w14:paraId="000000B7" w14:textId="77777777" w:rsidR="00874A4E" w:rsidRPr="00BE320B" w:rsidRDefault="00874A4E">
      <w:pPr>
        <w:spacing w:line="360" w:lineRule="auto"/>
        <w:ind w:firstLine="720"/>
        <w:jc w:val="both"/>
        <w:rPr>
          <w:rFonts w:ascii="Tahoma" w:hAnsi="Tahoma" w:cs="Tahoma"/>
          <w:sz w:val="24"/>
          <w:szCs w:val="24"/>
        </w:rPr>
      </w:pPr>
    </w:p>
    <w:p w14:paraId="000000B8" w14:textId="77777777" w:rsidR="00874A4E" w:rsidRPr="00BE320B" w:rsidRDefault="00247673">
      <w:pPr>
        <w:spacing w:line="360" w:lineRule="auto"/>
        <w:ind w:left="720"/>
        <w:jc w:val="both"/>
        <w:rPr>
          <w:rFonts w:ascii="Tahoma" w:hAnsi="Tahoma" w:cs="Tahoma"/>
          <w:b/>
          <w:sz w:val="24"/>
          <w:szCs w:val="24"/>
        </w:rPr>
      </w:pPr>
      <w:r w:rsidRPr="00BE320B">
        <w:rPr>
          <w:rFonts w:ascii="Tahoma" w:hAnsi="Tahoma" w:cs="Tahoma"/>
          <w:b/>
          <w:sz w:val="24"/>
          <w:szCs w:val="24"/>
        </w:rPr>
        <w:t>Rozporządzenie Ministra Finansów w sprawie szczegółowych warunków przyznania dotacji dla Funduszu Pracy na finansowanie zadań wynikających z ustawy o świadczeniu kryzysowym</w:t>
      </w:r>
    </w:p>
    <w:p w14:paraId="000000B9"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 xml:space="preserve">Minister właściwy do spraw finansów publicznych określi, w drodze rozporządzenia, szczegółowe warunki przyznania dotacji do Funduszu Pracy na </w:t>
      </w:r>
      <w:r w:rsidRPr="00BE320B">
        <w:rPr>
          <w:rFonts w:ascii="Tahoma" w:hAnsi="Tahoma" w:cs="Tahoma"/>
          <w:sz w:val="24"/>
          <w:szCs w:val="24"/>
        </w:rPr>
        <w:lastRenderedPageBreak/>
        <w:t>finansowanie zadań wynikających z przepisów tej ustawy, mając na względzie pełne pokrycie kosztów związanych z wykonaniem niniejszej ustawy.</w:t>
      </w:r>
    </w:p>
    <w:p w14:paraId="000000BA" w14:textId="77777777" w:rsidR="00874A4E" w:rsidRPr="00BE320B" w:rsidRDefault="00874A4E">
      <w:pPr>
        <w:spacing w:line="360" w:lineRule="auto"/>
        <w:ind w:firstLine="720"/>
        <w:jc w:val="both"/>
        <w:rPr>
          <w:rFonts w:ascii="Tahoma" w:hAnsi="Tahoma" w:cs="Tahoma"/>
          <w:sz w:val="24"/>
          <w:szCs w:val="24"/>
        </w:rPr>
      </w:pPr>
    </w:p>
    <w:p w14:paraId="000000BB" w14:textId="77777777" w:rsidR="00874A4E" w:rsidRPr="00BE320B" w:rsidRDefault="00247673">
      <w:pPr>
        <w:spacing w:line="360" w:lineRule="auto"/>
        <w:ind w:firstLine="720"/>
        <w:jc w:val="both"/>
        <w:rPr>
          <w:rFonts w:ascii="Tahoma" w:hAnsi="Tahoma" w:cs="Tahoma"/>
          <w:b/>
          <w:sz w:val="24"/>
          <w:szCs w:val="24"/>
        </w:rPr>
      </w:pPr>
      <w:r w:rsidRPr="00BE320B">
        <w:rPr>
          <w:rFonts w:ascii="Tahoma" w:hAnsi="Tahoma" w:cs="Tahoma"/>
          <w:b/>
          <w:sz w:val="24"/>
          <w:szCs w:val="24"/>
        </w:rPr>
        <w:t>Rozporządzenie Ministra Rodziny, Pracy i Polityki Społecznej w sprawie  zasad i trybu postępowania w sprawie ustalenia prawa do świadczenia kryzysowego</w:t>
      </w:r>
    </w:p>
    <w:p w14:paraId="000000BC" w14:textId="77777777" w:rsidR="00874A4E" w:rsidRPr="00BE320B" w:rsidRDefault="00247673">
      <w:pPr>
        <w:spacing w:line="360" w:lineRule="auto"/>
        <w:ind w:firstLine="720"/>
        <w:jc w:val="both"/>
        <w:rPr>
          <w:rFonts w:ascii="Tahoma" w:hAnsi="Tahoma" w:cs="Tahoma"/>
          <w:sz w:val="24"/>
          <w:szCs w:val="24"/>
        </w:rPr>
      </w:pPr>
      <w:r w:rsidRPr="00BE320B">
        <w:rPr>
          <w:rFonts w:ascii="Tahoma" w:hAnsi="Tahoma" w:cs="Tahoma"/>
          <w:sz w:val="24"/>
          <w:szCs w:val="24"/>
        </w:rPr>
        <w:t>Minister właściwy do spraw pracy określi szczegóły trybu postępowania w sprawie ustalenia prawa do świadczenia kryzysowego, w którym organem właściwym będzie starosta właściwy ze względu na miejsce zamieszkania wnioskodawcy. W rozporządzeniu minister będzie miał na względzie zasadę wnikliwości, szybkości i prostoty postępowania</w:t>
      </w:r>
    </w:p>
    <w:p w14:paraId="000000BD" w14:textId="77777777" w:rsidR="00874A4E" w:rsidRPr="00BE320B" w:rsidRDefault="00874A4E">
      <w:pPr>
        <w:spacing w:line="360" w:lineRule="auto"/>
        <w:ind w:firstLine="720"/>
        <w:jc w:val="both"/>
        <w:rPr>
          <w:rFonts w:ascii="Tahoma" w:hAnsi="Tahoma" w:cs="Tahoma"/>
          <w:sz w:val="24"/>
          <w:szCs w:val="24"/>
        </w:rPr>
      </w:pPr>
    </w:p>
    <w:p w14:paraId="000000BE" w14:textId="77777777" w:rsidR="00874A4E" w:rsidRPr="00BE320B" w:rsidRDefault="00874A4E">
      <w:pPr>
        <w:spacing w:line="360" w:lineRule="auto"/>
        <w:ind w:firstLine="720"/>
        <w:jc w:val="both"/>
        <w:rPr>
          <w:rFonts w:ascii="Tahoma" w:hAnsi="Tahoma" w:cs="Tahoma"/>
          <w:sz w:val="24"/>
          <w:szCs w:val="24"/>
        </w:rPr>
      </w:pPr>
    </w:p>
    <w:p w14:paraId="000000BF" w14:textId="77777777" w:rsidR="00874A4E" w:rsidRPr="00BE320B" w:rsidRDefault="00874A4E">
      <w:pPr>
        <w:spacing w:line="360" w:lineRule="auto"/>
        <w:jc w:val="both"/>
        <w:rPr>
          <w:rFonts w:ascii="Tahoma" w:hAnsi="Tahoma" w:cs="Tahoma"/>
          <w:sz w:val="24"/>
          <w:szCs w:val="24"/>
        </w:rPr>
      </w:pPr>
    </w:p>
    <w:p w14:paraId="000000C0" w14:textId="77777777" w:rsidR="00874A4E" w:rsidRPr="00BE320B" w:rsidRDefault="00874A4E">
      <w:pPr>
        <w:spacing w:line="360" w:lineRule="auto"/>
        <w:jc w:val="center"/>
        <w:rPr>
          <w:rFonts w:ascii="Tahoma" w:hAnsi="Tahoma" w:cs="Tahoma"/>
          <w:b/>
          <w:sz w:val="24"/>
          <w:szCs w:val="24"/>
        </w:rPr>
      </w:pPr>
    </w:p>
    <w:sectPr w:rsidR="00874A4E" w:rsidRPr="00BE320B">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3ECE8" w14:textId="77777777" w:rsidR="00AB40F3" w:rsidRDefault="00AB40F3">
      <w:pPr>
        <w:spacing w:line="240" w:lineRule="auto"/>
      </w:pPr>
      <w:r>
        <w:separator/>
      </w:r>
    </w:p>
  </w:endnote>
  <w:endnote w:type="continuationSeparator" w:id="0">
    <w:p w14:paraId="6BFC0C2B" w14:textId="77777777" w:rsidR="00AB40F3" w:rsidRDefault="00AB4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772988" w14:textId="77777777" w:rsidR="00AB40F3" w:rsidRDefault="00AB40F3">
      <w:pPr>
        <w:spacing w:line="240" w:lineRule="auto"/>
      </w:pPr>
      <w:r>
        <w:separator/>
      </w:r>
    </w:p>
  </w:footnote>
  <w:footnote w:type="continuationSeparator" w:id="0">
    <w:p w14:paraId="6B67CD09" w14:textId="77777777" w:rsidR="00AB40F3" w:rsidRDefault="00AB40F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850076"/>
    <w:multiLevelType w:val="multilevel"/>
    <w:tmpl w:val="A91E5F1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1622E2"/>
    <w:multiLevelType w:val="multilevel"/>
    <w:tmpl w:val="D9EE329C"/>
    <w:lvl w:ilvl="0">
      <w:start w:val="1"/>
      <w:numFmt w:val="decimal"/>
      <w:lvlText w:val="%1)"/>
      <w:lvlJc w:val="left"/>
      <w:pPr>
        <w:ind w:left="72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26FF3853"/>
    <w:multiLevelType w:val="multilevel"/>
    <w:tmpl w:val="3272BEC6"/>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F92770D"/>
    <w:multiLevelType w:val="multilevel"/>
    <w:tmpl w:val="0864288E"/>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AF53CA0"/>
    <w:multiLevelType w:val="multilevel"/>
    <w:tmpl w:val="EA1495B8"/>
    <w:lvl w:ilvl="0">
      <w:start w:val="1"/>
      <w:numFmt w:val="decimal"/>
      <w:lvlText w:val="%1)"/>
      <w:lvlJc w:val="left"/>
      <w:pPr>
        <w:ind w:left="720" w:hanging="72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6A0332B4"/>
    <w:multiLevelType w:val="multilevel"/>
    <w:tmpl w:val="A2D8C6F6"/>
    <w:lvl w:ilvl="0">
      <w:start w:val="1"/>
      <w:numFmt w:val="decimal"/>
      <w:lvlText w:val="%1)"/>
      <w:lvlJc w:val="left"/>
      <w:pPr>
        <w:ind w:left="720" w:hanging="72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E972ACE"/>
    <w:multiLevelType w:val="multilevel"/>
    <w:tmpl w:val="AB3CBF0C"/>
    <w:lvl w:ilvl="0">
      <w:start w:val="1"/>
      <w:numFmt w:val="decimal"/>
      <w:lvlText w:val="%1)"/>
      <w:lvlJc w:val="left"/>
      <w:pPr>
        <w:ind w:left="720" w:hanging="720"/>
      </w:pPr>
      <w:rPr>
        <w:u w:val="none"/>
      </w:rPr>
    </w:lvl>
    <w:lvl w:ilvl="1">
      <w:start w:val="1"/>
      <w:numFmt w:val="lowerLetter"/>
      <w:lvlText w:val="%2)"/>
      <w:lvlJc w:val="left"/>
      <w:pPr>
        <w:ind w:left="1440" w:hanging="720"/>
      </w:pPr>
      <w:rPr>
        <w:u w:val="none"/>
      </w:rPr>
    </w:lvl>
    <w:lvl w:ilvl="2">
      <w:start w:val="1"/>
      <w:numFmt w:val="bullet"/>
      <w:lvlText w:val="‒"/>
      <w:lvlJc w:val="left"/>
      <w:pPr>
        <w:ind w:left="2160" w:hanging="72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EFC5C6C"/>
    <w:multiLevelType w:val="multilevel"/>
    <w:tmpl w:val="D66CA28A"/>
    <w:lvl w:ilvl="0">
      <w:start w:val="1"/>
      <w:numFmt w:val="decimal"/>
      <w:lvlText w:val="%1)"/>
      <w:lvlJc w:val="left"/>
      <w:pPr>
        <w:ind w:left="72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6"/>
  </w:num>
  <w:num w:numId="2">
    <w:abstractNumId w:val="4"/>
  </w:num>
  <w:num w:numId="3">
    <w:abstractNumId w:val="2"/>
  </w:num>
  <w:num w:numId="4">
    <w:abstractNumId w:val="0"/>
  </w:num>
  <w:num w:numId="5">
    <w:abstractNumId w:val="5"/>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A4E"/>
    <w:rsid w:val="0004568A"/>
    <w:rsid w:val="00247673"/>
    <w:rsid w:val="0035128F"/>
    <w:rsid w:val="007209B4"/>
    <w:rsid w:val="00874A4E"/>
    <w:rsid w:val="00AB40F3"/>
    <w:rsid w:val="00BE32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80B54"/>
  <w15:docId w15:val="{0389208C-6B22-46F5-9524-04EF392C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BE320B"/>
    <w:pPr>
      <w:ind w:left="720"/>
      <w:contextualSpacing/>
    </w:pPr>
  </w:style>
  <w:style w:type="paragraph" w:styleId="Tekstprzypisudolnego">
    <w:name w:val="footnote text"/>
    <w:basedOn w:val="Normalny"/>
    <w:link w:val="TekstprzypisudolnegoZnak"/>
    <w:uiPriority w:val="99"/>
    <w:semiHidden/>
    <w:unhideWhenUsed/>
    <w:rsid w:val="00BE320B"/>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E320B"/>
    <w:rPr>
      <w:sz w:val="20"/>
      <w:szCs w:val="20"/>
    </w:rPr>
  </w:style>
  <w:style w:type="character" w:styleId="Odwoanieprzypisudolnego">
    <w:name w:val="footnote reference"/>
    <w:basedOn w:val="Domylnaczcionkaakapitu"/>
    <w:uiPriority w:val="99"/>
    <w:semiHidden/>
    <w:unhideWhenUsed/>
    <w:rsid w:val="00BE3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01FA0-93E9-4D38-8E12-8C630B40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1820</Words>
  <Characters>10922</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12717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dcterms:created xsi:type="dcterms:W3CDTF">2020-04-23T07:33:00Z</dcterms:created>
  <dcterms:modified xsi:type="dcterms:W3CDTF">2020-04-23T11:13:00Z</dcterms:modified>
</cp:coreProperties>
</file>