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5ECEB1" w14:textId="77777777" w:rsidR="00DF30B6" w:rsidRPr="00EB6B22" w:rsidRDefault="006204BC" w:rsidP="00A72ACC">
      <w:pPr>
        <w:tabs>
          <w:tab w:val="center" w:pos="4674"/>
          <w:tab w:val="left" w:pos="5820"/>
        </w:tabs>
        <w:spacing w:before="120" w:line="360" w:lineRule="auto"/>
        <w:jc w:val="center"/>
        <w:rPr>
          <w:rFonts w:ascii="Times New Roman" w:hAnsi="Times New Roman"/>
          <w:b/>
        </w:rPr>
      </w:pPr>
      <w:bookmarkStart w:id="0" w:name="_GoBack"/>
      <w:bookmarkEnd w:id="0"/>
      <w:r w:rsidRPr="00402F6C">
        <w:rPr>
          <w:rFonts w:ascii="Times New Roman" w:hAnsi="Times New Roman"/>
        </w:rPr>
        <w:t>UZASADNIENIE</w:t>
      </w:r>
    </w:p>
    <w:p w14:paraId="44703A5E" w14:textId="5C2BAC21" w:rsidR="006204BC" w:rsidRPr="00EB6B22" w:rsidRDefault="006204BC" w:rsidP="00A72ACC">
      <w:pPr>
        <w:suppressAutoHyphens/>
        <w:autoSpaceDE w:val="0"/>
        <w:autoSpaceDN w:val="0"/>
        <w:adjustRightInd w:val="0"/>
        <w:spacing w:before="120" w:line="360" w:lineRule="auto"/>
        <w:ind w:left="426" w:hanging="426"/>
        <w:jc w:val="both"/>
        <w:rPr>
          <w:rFonts w:ascii="Times New Roman" w:hAnsi="Times New Roman"/>
          <w:b/>
        </w:rPr>
      </w:pPr>
      <w:r w:rsidRPr="00EB6B22">
        <w:rPr>
          <w:rFonts w:ascii="Times New Roman" w:hAnsi="Times New Roman"/>
          <w:b/>
        </w:rPr>
        <w:t>I.</w:t>
      </w:r>
      <w:r w:rsidR="00402F6C">
        <w:rPr>
          <w:rFonts w:ascii="Times New Roman" w:hAnsi="Times New Roman"/>
          <w:b/>
        </w:rPr>
        <w:tab/>
      </w:r>
      <w:r w:rsidRPr="00EB6B22">
        <w:rPr>
          <w:rFonts w:ascii="Times New Roman" w:hAnsi="Times New Roman"/>
          <w:b/>
        </w:rPr>
        <w:t>Cel i potrzeba ustawy</w:t>
      </w:r>
    </w:p>
    <w:p w14:paraId="207C04D6" w14:textId="69C42F44" w:rsidR="009F0A4F" w:rsidRPr="00EB6B22" w:rsidRDefault="002B6A3D" w:rsidP="00EB6B22">
      <w:pPr>
        <w:spacing w:before="120" w:line="360" w:lineRule="auto"/>
        <w:jc w:val="both"/>
        <w:rPr>
          <w:rFonts w:ascii="Times New Roman" w:hAnsi="Times New Roman"/>
        </w:rPr>
      </w:pPr>
      <w:r w:rsidRPr="00402F6C">
        <w:rPr>
          <w:rFonts w:ascii="Times New Roman" w:hAnsi="Times New Roman"/>
        </w:rPr>
        <w:t xml:space="preserve">Zgodnie z dyrektywą </w:t>
      </w:r>
      <w:r w:rsidR="007C0B7B" w:rsidRPr="00402F6C">
        <w:rPr>
          <w:rFonts w:ascii="Times New Roman" w:hAnsi="Times New Roman"/>
        </w:rPr>
        <w:t xml:space="preserve">Rady 2011/85/UE z dnia 8 listopada 2011 r. </w:t>
      </w:r>
      <w:r w:rsidRPr="00402F6C">
        <w:rPr>
          <w:rFonts w:ascii="Times New Roman" w:hAnsi="Times New Roman"/>
        </w:rPr>
        <w:t xml:space="preserve">w sprawie wymogów dla ram budżetowych państw członkowskich </w:t>
      </w:r>
      <w:r w:rsidR="007C0B7B" w:rsidRPr="00402F6C">
        <w:rPr>
          <w:rFonts w:ascii="Times New Roman" w:hAnsi="Times New Roman"/>
        </w:rPr>
        <w:t xml:space="preserve">(Dz. Urz. UE L 306 z 23.11.2011, str. 41) </w:t>
      </w:r>
      <w:r w:rsidR="00510C93" w:rsidRPr="00402F6C">
        <w:rPr>
          <w:rFonts w:ascii="Times New Roman" w:hAnsi="Times New Roman"/>
        </w:rPr>
        <w:t xml:space="preserve">stabilizująca reguła wydatkowa (SRW) </w:t>
      </w:r>
      <w:r w:rsidRPr="00402F6C">
        <w:rPr>
          <w:rFonts w:ascii="Times New Roman" w:hAnsi="Times New Roman"/>
        </w:rPr>
        <w:t>powinna być stosowana</w:t>
      </w:r>
      <w:r w:rsidR="007F117B" w:rsidRPr="00402F6C">
        <w:rPr>
          <w:rFonts w:ascii="Times New Roman" w:hAnsi="Times New Roman"/>
        </w:rPr>
        <w:t xml:space="preserve"> w każdej ustawie budżetowej, z</w:t>
      </w:r>
      <w:r w:rsidR="00402F6C">
        <w:rPr>
          <w:rFonts w:ascii="Times New Roman" w:hAnsi="Times New Roman"/>
        </w:rPr>
        <w:t xml:space="preserve"> </w:t>
      </w:r>
      <w:r w:rsidRPr="00EB6B22">
        <w:rPr>
          <w:rFonts w:ascii="Times New Roman" w:hAnsi="Times New Roman"/>
        </w:rPr>
        <w:t>wyjątkiem sytuacji, gdy tymczasowe zastosowanie mają ściśle określone prawnie klauzule wyjścia</w:t>
      </w:r>
      <w:r w:rsidR="00510C93" w:rsidRPr="00EB6B22">
        <w:rPr>
          <w:rFonts w:ascii="Times New Roman" w:hAnsi="Times New Roman"/>
        </w:rPr>
        <w:t xml:space="preserve"> ze stosowania tej reguły</w:t>
      </w:r>
      <w:r w:rsidRPr="00EB6B22">
        <w:rPr>
          <w:rFonts w:ascii="Times New Roman" w:hAnsi="Times New Roman"/>
        </w:rPr>
        <w:t>. Jednak ich stosowanie musi być zawężone do o</w:t>
      </w:r>
      <w:r w:rsidR="007F117B" w:rsidRPr="00402F6C">
        <w:rPr>
          <w:rFonts w:ascii="Times New Roman" w:hAnsi="Times New Roman"/>
        </w:rPr>
        <w:t>graniczonej liczby przypadków i</w:t>
      </w:r>
      <w:r w:rsidR="00402F6C">
        <w:rPr>
          <w:rFonts w:ascii="Times New Roman" w:hAnsi="Times New Roman"/>
        </w:rPr>
        <w:t xml:space="preserve"> </w:t>
      </w:r>
      <w:r w:rsidRPr="00EB6B22">
        <w:rPr>
          <w:rFonts w:ascii="Times New Roman" w:hAnsi="Times New Roman"/>
        </w:rPr>
        <w:t xml:space="preserve">doprecyzowane. </w:t>
      </w:r>
    </w:p>
    <w:p w14:paraId="50D253AB" w14:textId="77777777" w:rsidR="009F0A4F" w:rsidRPr="00402F6C" w:rsidRDefault="009F0A4F">
      <w:pPr>
        <w:spacing w:before="120" w:line="360" w:lineRule="auto"/>
        <w:jc w:val="both"/>
        <w:rPr>
          <w:rFonts w:ascii="Times New Roman" w:hAnsi="Times New Roman"/>
        </w:rPr>
      </w:pPr>
      <w:r w:rsidRPr="00402F6C">
        <w:rPr>
          <w:rFonts w:ascii="Times New Roman" w:hAnsi="Times New Roman"/>
        </w:rPr>
        <w:t>Wprowadzona w Polsce stabilizująca reguła wydatkowa</w:t>
      </w:r>
      <w:r w:rsidR="002B6A3D" w:rsidRPr="00402F6C">
        <w:rPr>
          <w:rFonts w:ascii="Times New Roman" w:hAnsi="Times New Roman"/>
        </w:rPr>
        <w:t xml:space="preserve"> stanowi implementację </w:t>
      </w:r>
      <w:r w:rsidRPr="00402F6C">
        <w:rPr>
          <w:rFonts w:ascii="Times New Roman" w:hAnsi="Times New Roman"/>
        </w:rPr>
        <w:t xml:space="preserve">ww. </w:t>
      </w:r>
      <w:r w:rsidR="002B6A3D" w:rsidRPr="00402F6C">
        <w:rPr>
          <w:rFonts w:ascii="Times New Roman" w:hAnsi="Times New Roman"/>
        </w:rPr>
        <w:t>dyrektywy i nie wprowadza nowych ograniczeń w polityce fiskalnej, a jedynie operacjonalizuje wymagane w dyrektywie uspójnienie krajowych reguł z Paktem Stabilności i Wzrostu.</w:t>
      </w:r>
      <w:r w:rsidR="00AE5CCB" w:rsidRPr="00402F6C">
        <w:rPr>
          <w:rFonts w:ascii="Times New Roman" w:hAnsi="Times New Roman"/>
        </w:rPr>
        <w:t xml:space="preserve"> </w:t>
      </w:r>
    </w:p>
    <w:p w14:paraId="2FE09D5D" w14:textId="3B9FA634" w:rsidR="003D73A7" w:rsidRPr="00402F6C" w:rsidRDefault="002B6A3D">
      <w:pPr>
        <w:spacing w:before="120" w:line="360" w:lineRule="auto"/>
        <w:jc w:val="both"/>
        <w:rPr>
          <w:rFonts w:ascii="Times New Roman" w:hAnsi="Times New Roman"/>
        </w:rPr>
      </w:pPr>
      <w:r w:rsidRPr="00402F6C">
        <w:rPr>
          <w:rFonts w:ascii="Times New Roman" w:hAnsi="Times New Roman"/>
        </w:rPr>
        <w:t xml:space="preserve">Zaproponowana w marcu </w:t>
      </w:r>
      <w:r w:rsidR="0055122F" w:rsidRPr="00402F6C">
        <w:rPr>
          <w:rFonts w:ascii="Times New Roman" w:hAnsi="Times New Roman"/>
        </w:rPr>
        <w:t xml:space="preserve">2020 </w:t>
      </w:r>
      <w:r w:rsidRPr="00402F6C">
        <w:rPr>
          <w:rFonts w:ascii="Times New Roman" w:hAnsi="Times New Roman"/>
        </w:rPr>
        <w:t>r. przez Komisję Europejską i zaakceptowana przez Radę Ecofin</w:t>
      </w:r>
      <w:r w:rsidRPr="00EB6B22">
        <w:rPr>
          <w:rStyle w:val="Odwoanieprzypisudolnego"/>
          <w:rFonts w:ascii="Times New Roman" w:hAnsi="Times New Roman"/>
        </w:rPr>
        <w:footnoteReference w:id="1"/>
      </w:r>
      <w:r w:rsidR="00402F6C" w:rsidRPr="00A72ACC">
        <w:rPr>
          <w:rFonts w:ascii="Times New Roman" w:hAnsi="Times New Roman"/>
          <w:vertAlign w:val="superscript"/>
        </w:rPr>
        <w:t>)</w:t>
      </w:r>
      <w:r w:rsidRPr="00EB6B22">
        <w:rPr>
          <w:rFonts w:ascii="Times New Roman" w:hAnsi="Times New Roman"/>
        </w:rPr>
        <w:t xml:space="preserve"> generalna klauzula wyjścia, </w:t>
      </w:r>
      <w:r w:rsidRPr="00EB6B22">
        <w:rPr>
          <w:rFonts w:ascii="Times New Roman" w:hAnsi="Times New Roman"/>
          <w:bCs/>
        </w:rPr>
        <w:t>umocowana w unijnym Pakcie Stabilności i</w:t>
      </w:r>
      <w:r w:rsidR="00AA2C8A">
        <w:rPr>
          <w:rFonts w:ascii="Times New Roman" w:hAnsi="Times New Roman"/>
          <w:bCs/>
        </w:rPr>
        <w:t> </w:t>
      </w:r>
      <w:r w:rsidRPr="00EB6B22">
        <w:rPr>
          <w:rFonts w:ascii="Times New Roman" w:hAnsi="Times New Roman"/>
          <w:bCs/>
        </w:rPr>
        <w:t>Wzrostu,</w:t>
      </w:r>
      <w:r w:rsidRPr="00402F6C">
        <w:rPr>
          <w:rFonts w:ascii="Times New Roman" w:hAnsi="Times New Roman"/>
        </w:rPr>
        <w:t xml:space="preserve"> umożliwia tymczasowe odejście </w:t>
      </w:r>
      <w:r w:rsidRPr="00402F6C">
        <w:rPr>
          <w:rFonts w:ascii="Times New Roman" w:hAnsi="Times New Roman"/>
          <w:bCs/>
        </w:rPr>
        <w:t>od zaleceń Rady UE dotyczących polityki budżetowej.</w:t>
      </w:r>
      <w:r w:rsidRPr="00402F6C">
        <w:rPr>
          <w:rFonts w:ascii="Times New Roman" w:hAnsi="Times New Roman"/>
        </w:rPr>
        <w:t xml:space="preserve"> </w:t>
      </w:r>
      <w:r w:rsidR="003D73A7" w:rsidRPr="00402F6C">
        <w:rPr>
          <w:rFonts w:ascii="Times New Roman" w:hAnsi="Times New Roman"/>
        </w:rPr>
        <w:t>Generalna klauzula wyjścia ma pozwolić w b</w:t>
      </w:r>
      <w:r w:rsidR="008D0CF3" w:rsidRPr="00402F6C">
        <w:rPr>
          <w:rFonts w:ascii="Times New Roman" w:hAnsi="Times New Roman"/>
        </w:rPr>
        <w:t xml:space="preserve">ieżącym </w:t>
      </w:r>
      <w:r w:rsidR="003D73A7" w:rsidRPr="00402F6C">
        <w:rPr>
          <w:rFonts w:ascii="Times New Roman" w:hAnsi="Times New Roman"/>
        </w:rPr>
        <w:t>r</w:t>
      </w:r>
      <w:r w:rsidR="008D0CF3" w:rsidRPr="00402F6C">
        <w:rPr>
          <w:rFonts w:ascii="Times New Roman" w:hAnsi="Times New Roman"/>
        </w:rPr>
        <w:t>oku</w:t>
      </w:r>
      <w:r w:rsidR="003D73A7" w:rsidRPr="00402F6C">
        <w:rPr>
          <w:rFonts w:ascii="Times New Roman" w:hAnsi="Times New Roman"/>
        </w:rPr>
        <w:t xml:space="preserve"> na skoordynowany impuls fiskalny dla wsparcia gospodarki</w:t>
      </w:r>
      <w:r w:rsidR="003D73A7" w:rsidRPr="00402F6C">
        <w:rPr>
          <w:rFonts w:ascii="Times New Roman" w:hAnsi="Times New Roman"/>
          <w:bCs/>
        </w:rPr>
        <w:t>. W</w:t>
      </w:r>
      <w:r w:rsidR="003D73A7" w:rsidRPr="00402F6C">
        <w:rPr>
          <w:rFonts w:ascii="Times New Roman" w:hAnsi="Times New Roman"/>
        </w:rPr>
        <w:t xml:space="preserve">arunkiem jest brak zagrożenia dla stabilności finansów publicznych w średnim okresie. </w:t>
      </w:r>
    </w:p>
    <w:p w14:paraId="5701D53F" w14:textId="77777777" w:rsidR="002B6A3D" w:rsidRPr="00402F6C" w:rsidRDefault="002B6A3D">
      <w:pPr>
        <w:spacing w:before="120" w:line="360" w:lineRule="auto"/>
        <w:jc w:val="both"/>
        <w:rPr>
          <w:rFonts w:ascii="Times New Roman" w:hAnsi="Times New Roman"/>
        </w:rPr>
      </w:pPr>
      <w:r w:rsidRPr="00402F6C">
        <w:rPr>
          <w:rFonts w:ascii="Times New Roman" w:hAnsi="Times New Roman"/>
        </w:rPr>
        <w:t>Oznacza to bardziej elastyczne podejście UE, w obliczu ogólnounijnej recesji, do wzrostu wydatków niezbędnych w celu wsparcia systemów ochrony zdrowia, ochrony ludności oraz do chronienia gospodarki.</w:t>
      </w:r>
      <w:r w:rsidR="003D73A7" w:rsidRPr="00402F6C">
        <w:rPr>
          <w:rFonts w:ascii="Times New Roman" w:hAnsi="Times New Roman"/>
        </w:rPr>
        <w:t xml:space="preserve"> </w:t>
      </w:r>
      <w:r w:rsidRPr="00402F6C" w:rsidDel="003D73A7">
        <w:rPr>
          <w:rFonts w:ascii="Times New Roman" w:hAnsi="Times New Roman"/>
        </w:rPr>
        <w:t>Komisja Europejska w komunikacie poświęconym uruchomieniu generalnej klauzuli wyjścia koncentruje się na działaniach państw nakierowanych na</w:t>
      </w:r>
      <w:r w:rsidR="00345C89" w:rsidRPr="00402F6C">
        <w:rPr>
          <w:rFonts w:ascii="Times New Roman" w:hAnsi="Times New Roman"/>
        </w:rPr>
        <w:t xml:space="preserve"> </w:t>
      </w:r>
      <w:r w:rsidRPr="00402F6C" w:rsidDel="003D73A7">
        <w:rPr>
          <w:rFonts w:ascii="Times New Roman" w:hAnsi="Times New Roman"/>
        </w:rPr>
        <w:t>zwiększenie możliwości systemów opieki zdrowotnej, udzielanie pomocy tym obywatelom i sektorom, które są szczególnie dotknięte skutkami epidemii, wspierani</w:t>
      </w:r>
      <w:r w:rsidR="00345C89" w:rsidRPr="00402F6C">
        <w:rPr>
          <w:rFonts w:ascii="Times New Roman" w:hAnsi="Times New Roman"/>
        </w:rPr>
        <w:t>e</w:t>
      </w:r>
      <w:r w:rsidRPr="00402F6C" w:rsidDel="003D73A7">
        <w:rPr>
          <w:rFonts w:ascii="Times New Roman" w:hAnsi="Times New Roman"/>
        </w:rPr>
        <w:t xml:space="preserve"> płynności, a także innych gwarancjach. </w:t>
      </w:r>
    </w:p>
    <w:p w14:paraId="01B394B6" w14:textId="0B9CCCB6" w:rsidR="00F74D0E" w:rsidRPr="00402F6C" w:rsidRDefault="009F0A4F" w:rsidP="00A72ACC">
      <w:pPr>
        <w:pStyle w:val="tytakt"/>
        <w:spacing w:before="120" w:after="0" w:line="360" w:lineRule="auto"/>
        <w:jc w:val="both"/>
        <w:rPr>
          <w:b w:val="0"/>
          <w:color w:val="auto"/>
          <w:sz w:val="24"/>
          <w:szCs w:val="24"/>
        </w:rPr>
      </w:pPr>
      <w:r w:rsidRPr="00402F6C">
        <w:rPr>
          <w:b w:val="0"/>
          <w:color w:val="auto"/>
          <w:sz w:val="24"/>
          <w:szCs w:val="24"/>
        </w:rPr>
        <w:lastRenderedPageBreak/>
        <w:t>Mają</w:t>
      </w:r>
      <w:r w:rsidR="003D73A7" w:rsidRPr="00402F6C">
        <w:rPr>
          <w:b w:val="0"/>
          <w:color w:val="auto"/>
          <w:sz w:val="24"/>
          <w:szCs w:val="24"/>
        </w:rPr>
        <w:t>c</w:t>
      </w:r>
      <w:r w:rsidRPr="00402F6C">
        <w:rPr>
          <w:b w:val="0"/>
          <w:color w:val="auto"/>
          <w:sz w:val="24"/>
          <w:szCs w:val="24"/>
        </w:rPr>
        <w:t xml:space="preserve"> na uwadze powyższe, p</w:t>
      </w:r>
      <w:r w:rsidR="002B6A3D" w:rsidRPr="00402F6C">
        <w:rPr>
          <w:b w:val="0"/>
          <w:color w:val="auto"/>
          <w:sz w:val="24"/>
          <w:szCs w:val="24"/>
        </w:rPr>
        <w:t xml:space="preserve">roponowane </w:t>
      </w:r>
      <w:r w:rsidRPr="00402F6C">
        <w:rPr>
          <w:b w:val="0"/>
          <w:color w:val="auto"/>
          <w:sz w:val="24"/>
          <w:szCs w:val="24"/>
        </w:rPr>
        <w:t xml:space="preserve">w projekcie ustawy </w:t>
      </w:r>
      <w:r w:rsidR="002B6A3D" w:rsidRPr="00402F6C">
        <w:rPr>
          <w:b w:val="0"/>
          <w:color w:val="auto"/>
          <w:sz w:val="24"/>
          <w:szCs w:val="24"/>
        </w:rPr>
        <w:t xml:space="preserve">zmiany </w:t>
      </w:r>
      <w:r w:rsidR="009C5945" w:rsidRPr="00402F6C">
        <w:rPr>
          <w:b w:val="0"/>
          <w:color w:val="auto"/>
          <w:sz w:val="24"/>
          <w:szCs w:val="24"/>
        </w:rPr>
        <w:t>odpowiada</w:t>
      </w:r>
      <w:r w:rsidR="002B6A3D" w:rsidRPr="00402F6C">
        <w:rPr>
          <w:b w:val="0"/>
          <w:color w:val="auto"/>
          <w:sz w:val="24"/>
          <w:szCs w:val="24"/>
        </w:rPr>
        <w:t>ją</w:t>
      </w:r>
      <w:r w:rsidR="009C5945" w:rsidRPr="00402F6C">
        <w:rPr>
          <w:b w:val="0"/>
          <w:color w:val="auto"/>
          <w:sz w:val="24"/>
          <w:szCs w:val="24"/>
        </w:rPr>
        <w:t xml:space="preserve"> na potrzebę dostosowania ustawy </w:t>
      </w:r>
      <w:r w:rsidR="00510C93" w:rsidRPr="00402F6C">
        <w:rPr>
          <w:b w:val="0"/>
          <w:color w:val="auto"/>
          <w:sz w:val="24"/>
          <w:szCs w:val="24"/>
        </w:rPr>
        <w:t>z dnia 27 sierpnia 2009 r. o finansach publicznych (Dz. U. z 2019 r. poz. 869, z późn. zm.)</w:t>
      </w:r>
      <w:r w:rsidR="0055122F" w:rsidRPr="00402F6C">
        <w:rPr>
          <w:b w:val="0"/>
          <w:color w:val="auto"/>
          <w:sz w:val="24"/>
          <w:szCs w:val="24"/>
        </w:rPr>
        <w:t>, zwanej dalej „ustawą o finansach publicznych”,</w:t>
      </w:r>
      <w:r w:rsidR="009C5945" w:rsidRPr="00402F6C">
        <w:rPr>
          <w:b w:val="0"/>
          <w:color w:val="auto"/>
          <w:sz w:val="24"/>
          <w:szCs w:val="24"/>
        </w:rPr>
        <w:t xml:space="preserve"> w zakresie stosowania stabilizującej reguły wydatkowej do obecnej sytuacji związanej </w:t>
      </w:r>
      <w:r w:rsidR="00B855C8" w:rsidRPr="00402F6C">
        <w:rPr>
          <w:b w:val="0"/>
          <w:color w:val="auto"/>
          <w:sz w:val="24"/>
          <w:szCs w:val="24"/>
        </w:rPr>
        <w:t>z</w:t>
      </w:r>
      <w:r w:rsidR="003D73A7" w:rsidRPr="00402F6C">
        <w:rPr>
          <w:b w:val="0"/>
          <w:color w:val="auto"/>
          <w:sz w:val="24"/>
          <w:szCs w:val="24"/>
        </w:rPr>
        <w:t>e</w:t>
      </w:r>
      <w:r w:rsidR="00B855C8" w:rsidRPr="00402F6C">
        <w:rPr>
          <w:b w:val="0"/>
          <w:color w:val="auto"/>
          <w:sz w:val="24"/>
          <w:szCs w:val="24"/>
        </w:rPr>
        <w:t xml:space="preserve"> </w:t>
      </w:r>
      <w:r w:rsidR="003D73A7" w:rsidRPr="00402F6C">
        <w:rPr>
          <w:b w:val="0"/>
          <w:color w:val="auto"/>
          <w:sz w:val="24"/>
          <w:szCs w:val="24"/>
        </w:rPr>
        <w:t>st</w:t>
      </w:r>
      <w:r w:rsidR="00345C89" w:rsidRPr="00402F6C">
        <w:rPr>
          <w:b w:val="0"/>
          <w:color w:val="auto"/>
          <w:sz w:val="24"/>
          <w:szCs w:val="24"/>
        </w:rPr>
        <w:t>a</w:t>
      </w:r>
      <w:r w:rsidR="003D73A7" w:rsidRPr="00402F6C">
        <w:rPr>
          <w:b w:val="0"/>
          <w:color w:val="auto"/>
          <w:sz w:val="24"/>
          <w:szCs w:val="24"/>
        </w:rPr>
        <w:t xml:space="preserve">nem </w:t>
      </w:r>
      <w:r w:rsidR="00B606D0" w:rsidRPr="00402F6C">
        <w:rPr>
          <w:b w:val="0"/>
          <w:color w:val="auto"/>
          <w:sz w:val="24"/>
          <w:szCs w:val="24"/>
        </w:rPr>
        <w:t>epidemi</w:t>
      </w:r>
      <w:r w:rsidR="003D73A7" w:rsidRPr="00402F6C">
        <w:rPr>
          <w:b w:val="0"/>
          <w:color w:val="auto"/>
          <w:sz w:val="24"/>
          <w:szCs w:val="24"/>
        </w:rPr>
        <w:t>i</w:t>
      </w:r>
      <w:r w:rsidR="00B855C8" w:rsidRPr="00402F6C">
        <w:rPr>
          <w:b w:val="0"/>
          <w:color w:val="auto"/>
          <w:sz w:val="24"/>
          <w:szCs w:val="24"/>
        </w:rPr>
        <w:t xml:space="preserve"> </w:t>
      </w:r>
      <w:r w:rsidR="003D73A7" w:rsidRPr="00402F6C">
        <w:rPr>
          <w:b w:val="0"/>
          <w:color w:val="auto"/>
          <w:sz w:val="24"/>
          <w:szCs w:val="24"/>
        </w:rPr>
        <w:t xml:space="preserve">spowodowanym </w:t>
      </w:r>
      <w:r w:rsidR="009C5945" w:rsidRPr="00402F6C">
        <w:rPr>
          <w:b w:val="0"/>
          <w:color w:val="auto"/>
          <w:sz w:val="24"/>
          <w:szCs w:val="24"/>
        </w:rPr>
        <w:t>rozprzestrzeniani</w:t>
      </w:r>
      <w:r w:rsidR="00B855C8" w:rsidRPr="00402F6C">
        <w:rPr>
          <w:b w:val="0"/>
          <w:color w:val="auto"/>
          <w:sz w:val="24"/>
          <w:szCs w:val="24"/>
        </w:rPr>
        <w:t>em</w:t>
      </w:r>
      <w:r w:rsidR="009C5945" w:rsidRPr="00402F6C">
        <w:rPr>
          <w:b w:val="0"/>
          <w:color w:val="auto"/>
          <w:sz w:val="24"/>
          <w:szCs w:val="24"/>
        </w:rPr>
        <w:t xml:space="preserve"> się wirus</w:t>
      </w:r>
      <w:r w:rsidR="00B855C8" w:rsidRPr="00402F6C">
        <w:rPr>
          <w:b w:val="0"/>
          <w:color w:val="auto"/>
          <w:sz w:val="24"/>
          <w:szCs w:val="24"/>
        </w:rPr>
        <w:t>a</w:t>
      </w:r>
      <w:r w:rsidR="009C5945" w:rsidRPr="00402F6C">
        <w:rPr>
          <w:b w:val="0"/>
          <w:color w:val="auto"/>
          <w:sz w:val="24"/>
          <w:szCs w:val="24"/>
        </w:rPr>
        <w:t xml:space="preserve"> SARS</w:t>
      </w:r>
      <w:r w:rsidR="003F47D1">
        <w:rPr>
          <w:b w:val="0"/>
          <w:color w:val="auto"/>
          <w:sz w:val="24"/>
          <w:szCs w:val="24"/>
        </w:rPr>
        <w:t>-</w:t>
      </w:r>
      <w:r w:rsidR="009C5945" w:rsidRPr="00402F6C">
        <w:rPr>
          <w:b w:val="0"/>
          <w:color w:val="auto"/>
          <w:sz w:val="24"/>
          <w:szCs w:val="24"/>
        </w:rPr>
        <w:t>CoV-2</w:t>
      </w:r>
      <w:r w:rsidR="00B855C8" w:rsidRPr="00402F6C">
        <w:rPr>
          <w:b w:val="0"/>
          <w:color w:val="auto"/>
          <w:sz w:val="24"/>
          <w:szCs w:val="24"/>
        </w:rPr>
        <w:t xml:space="preserve"> wywołującego chorobę COVID-19</w:t>
      </w:r>
      <w:r w:rsidR="009C5945" w:rsidRPr="00402F6C">
        <w:rPr>
          <w:b w:val="0"/>
          <w:color w:val="auto"/>
          <w:sz w:val="24"/>
          <w:szCs w:val="24"/>
        </w:rPr>
        <w:t>. Art</w:t>
      </w:r>
      <w:r w:rsidR="0055122F" w:rsidRPr="00402F6C">
        <w:rPr>
          <w:b w:val="0"/>
          <w:color w:val="auto"/>
          <w:sz w:val="24"/>
          <w:szCs w:val="24"/>
        </w:rPr>
        <w:t>.</w:t>
      </w:r>
      <w:r w:rsidR="009C5945" w:rsidRPr="00402F6C">
        <w:rPr>
          <w:b w:val="0"/>
          <w:color w:val="auto"/>
          <w:sz w:val="24"/>
          <w:szCs w:val="24"/>
        </w:rPr>
        <w:t>112d ustawy</w:t>
      </w:r>
      <w:r w:rsidR="00510C93" w:rsidRPr="00402F6C">
        <w:rPr>
          <w:b w:val="0"/>
          <w:color w:val="auto"/>
          <w:sz w:val="24"/>
          <w:szCs w:val="24"/>
        </w:rPr>
        <w:t xml:space="preserve"> </w:t>
      </w:r>
      <w:r w:rsidR="009C5945" w:rsidRPr="00402F6C">
        <w:rPr>
          <w:b w:val="0"/>
          <w:color w:val="auto"/>
          <w:sz w:val="24"/>
          <w:szCs w:val="24"/>
        </w:rPr>
        <w:t xml:space="preserve">o finansach publicznych </w:t>
      </w:r>
      <w:r w:rsidR="003D73A7" w:rsidRPr="00402F6C">
        <w:rPr>
          <w:b w:val="0"/>
          <w:color w:val="auto"/>
          <w:sz w:val="24"/>
          <w:szCs w:val="24"/>
        </w:rPr>
        <w:t xml:space="preserve">w dotychczasowym brzmieniu </w:t>
      </w:r>
      <w:r w:rsidR="009C5945" w:rsidRPr="00402F6C">
        <w:rPr>
          <w:b w:val="0"/>
          <w:color w:val="auto"/>
          <w:sz w:val="24"/>
          <w:szCs w:val="24"/>
        </w:rPr>
        <w:t>umożliwia</w:t>
      </w:r>
      <w:r w:rsidR="00630D59" w:rsidRPr="00402F6C">
        <w:rPr>
          <w:b w:val="0"/>
          <w:color w:val="auto"/>
          <w:sz w:val="24"/>
          <w:szCs w:val="24"/>
        </w:rPr>
        <w:t xml:space="preserve"> </w:t>
      </w:r>
      <w:r w:rsidR="000556DF" w:rsidRPr="00402F6C">
        <w:rPr>
          <w:b w:val="0"/>
          <w:color w:val="auto"/>
          <w:sz w:val="24"/>
          <w:szCs w:val="24"/>
        </w:rPr>
        <w:t xml:space="preserve">wyłączenie </w:t>
      </w:r>
      <w:r w:rsidR="009C5945" w:rsidRPr="00402F6C">
        <w:rPr>
          <w:b w:val="0"/>
          <w:color w:val="auto"/>
          <w:sz w:val="24"/>
          <w:szCs w:val="24"/>
        </w:rPr>
        <w:t>stosowania stabilizującej reguły wydatkowej wyłącznie w sytuacji stanu wojennego</w:t>
      </w:r>
      <w:r w:rsidR="00001D43" w:rsidRPr="00402F6C">
        <w:rPr>
          <w:b w:val="0"/>
          <w:color w:val="auto"/>
          <w:sz w:val="24"/>
          <w:szCs w:val="24"/>
        </w:rPr>
        <w:t xml:space="preserve"> </w:t>
      </w:r>
      <w:r w:rsidR="0055122F" w:rsidRPr="00402F6C">
        <w:rPr>
          <w:b w:val="0"/>
          <w:color w:val="auto"/>
          <w:sz w:val="24"/>
          <w:szCs w:val="24"/>
        </w:rPr>
        <w:t>oraz</w:t>
      </w:r>
      <w:r w:rsidR="00001D43" w:rsidRPr="00402F6C">
        <w:rPr>
          <w:b w:val="0"/>
          <w:color w:val="auto"/>
          <w:sz w:val="24"/>
          <w:szCs w:val="24"/>
        </w:rPr>
        <w:t xml:space="preserve"> w sytuacji</w:t>
      </w:r>
      <w:r w:rsidR="009C5945" w:rsidRPr="00402F6C">
        <w:rPr>
          <w:b w:val="0"/>
          <w:color w:val="auto"/>
          <w:sz w:val="24"/>
          <w:szCs w:val="24"/>
        </w:rPr>
        <w:t xml:space="preserve"> stanu wyjątkowego lub stanu klęski żywiołowej na cał</w:t>
      </w:r>
      <w:r w:rsidR="0055122F" w:rsidRPr="00402F6C">
        <w:rPr>
          <w:b w:val="0"/>
          <w:color w:val="auto"/>
          <w:sz w:val="24"/>
          <w:szCs w:val="24"/>
        </w:rPr>
        <w:t>ym</w:t>
      </w:r>
      <w:r w:rsidR="009C5945" w:rsidRPr="00402F6C">
        <w:rPr>
          <w:b w:val="0"/>
          <w:color w:val="auto"/>
          <w:sz w:val="24"/>
          <w:szCs w:val="24"/>
        </w:rPr>
        <w:t xml:space="preserve"> terytorium Rzeczypospolitej Polskiej. </w:t>
      </w:r>
      <w:r w:rsidR="002B6A3D" w:rsidRPr="00402F6C">
        <w:rPr>
          <w:b w:val="0"/>
          <w:color w:val="auto"/>
          <w:sz w:val="24"/>
          <w:szCs w:val="24"/>
        </w:rPr>
        <w:t>Projekt ustawy proponuje</w:t>
      </w:r>
      <w:r w:rsidR="009C5945" w:rsidRPr="00402F6C">
        <w:rPr>
          <w:b w:val="0"/>
          <w:color w:val="auto"/>
          <w:sz w:val="24"/>
          <w:szCs w:val="24"/>
        </w:rPr>
        <w:t xml:space="preserve"> rozszerzenie</w:t>
      </w:r>
      <w:r w:rsidR="000556DF" w:rsidRPr="00402F6C">
        <w:rPr>
          <w:b w:val="0"/>
          <w:color w:val="auto"/>
          <w:sz w:val="24"/>
          <w:szCs w:val="24"/>
        </w:rPr>
        <w:t xml:space="preserve"> katalogu zdarzeń wyłączających stosowanie </w:t>
      </w:r>
      <w:r w:rsidR="00DA04E4" w:rsidRPr="00402F6C">
        <w:rPr>
          <w:b w:val="0"/>
          <w:color w:val="auto"/>
          <w:sz w:val="24"/>
          <w:szCs w:val="24"/>
        </w:rPr>
        <w:t xml:space="preserve">stabilizującej </w:t>
      </w:r>
      <w:r w:rsidR="000556DF" w:rsidRPr="00402F6C">
        <w:rPr>
          <w:b w:val="0"/>
          <w:color w:val="auto"/>
          <w:sz w:val="24"/>
          <w:szCs w:val="24"/>
        </w:rPr>
        <w:t xml:space="preserve">reguły wydatkowej o stan epidemii </w:t>
      </w:r>
      <w:r w:rsidR="00F74D0E" w:rsidRPr="00402F6C">
        <w:rPr>
          <w:b w:val="0"/>
          <w:color w:val="auto"/>
          <w:sz w:val="24"/>
          <w:szCs w:val="24"/>
        </w:rPr>
        <w:t xml:space="preserve">ogłoszony na całym </w:t>
      </w:r>
      <w:r w:rsidR="00B855C8" w:rsidRPr="00402F6C">
        <w:rPr>
          <w:b w:val="0"/>
          <w:color w:val="auto"/>
          <w:sz w:val="24"/>
          <w:szCs w:val="24"/>
        </w:rPr>
        <w:t>obs</w:t>
      </w:r>
      <w:r w:rsidR="006263CE" w:rsidRPr="00402F6C">
        <w:rPr>
          <w:b w:val="0"/>
          <w:color w:val="auto"/>
          <w:sz w:val="24"/>
          <w:szCs w:val="24"/>
        </w:rPr>
        <w:t>zarze Rzeczypospolitej Polskiej</w:t>
      </w:r>
      <w:r w:rsidR="00F74D0E" w:rsidRPr="00402F6C">
        <w:rPr>
          <w:b w:val="0"/>
          <w:color w:val="auto"/>
          <w:sz w:val="24"/>
          <w:szCs w:val="24"/>
        </w:rPr>
        <w:t xml:space="preserve"> zgodnie z przepisami ustawy z dnia 5 grudnia 2008 r. o zapobieganiu oraz zwalczaniu zakażeń i chorób zakaźnych u ludzi (D</w:t>
      </w:r>
      <w:r w:rsidR="00A152B1" w:rsidRPr="00402F6C">
        <w:rPr>
          <w:b w:val="0"/>
          <w:color w:val="auto"/>
          <w:sz w:val="24"/>
          <w:szCs w:val="24"/>
        </w:rPr>
        <w:t>z. U. z 2019 r. poz. 1239, z póź</w:t>
      </w:r>
      <w:r w:rsidR="00F74D0E" w:rsidRPr="00402F6C">
        <w:rPr>
          <w:b w:val="0"/>
          <w:color w:val="auto"/>
          <w:sz w:val="24"/>
          <w:szCs w:val="24"/>
        </w:rPr>
        <w:t>n. zm.)</w:t>
      </w:r>
      <w:r w:rsidR="00001D43" w:rsidRPr="00402F6C">
        <w:rPr>
          <w:b w:val="0"/>
          <w:color w:val="auto"/>
          <w:sz w:val="24"/>
          <w:szCs w:val="24"/>
        </w:rPr>
        <w:t>.</w:t>
      </w:r>
    </w:p>
    <w:p w14:paraId="708D153C" w14:textId="77539CB7" w:rsidR="006263CE" w:rsidRPr="00402F6C" w:rsidRDefault="003D73A7" w:rsidP="00EB6B22">
      <w:pPr>
        <w:spacing w:before="120" w:line="360" w:lineRule="auto"/>
        <w:jc w:val="both"/>
        <w:rPr>
          <w:rFonts w:ascii="Times New Roman" w:hAnsi="Times New Roman"/>
        </w:rPr>
      </w:pPr>
      <w:r w:rsidRPr="00402F6C">
        <w:rPr>
          <w:rFonts w:ascii="Times New Roman" w:hAnsi="Times New Roman"/>
        </w:rPr>
        <w:t>W efekcie</w:t>
      </w:r>
      <w:r w:rsidR="006263CE" w:rsidRPr="00402F6C">
        <w:rPr>
          <w:rFonts w:ascii="Times New Roman" w:hAnsi="Times New Roman"/>
        </w:rPr>
        <w:t xml:space="preserve"> </w:t>
      </w:r>
      <w:r w:rsidRPr="00402F6C">
        <w:rPr>
          <w:rFonts w:ascii="Times New Roman" w:hAnsi="Times New Roman"/>
        </w:rPr>
        <w:t>stabilizująca reguła wydatkowa będzie zawieszana</w:t>
      </w:r>
      <w:r w:rsidR="003F47D1">
        <w:rPr>
          <w:rFonts w:ascii="Times New Roman" w:hAnsi="Times New Roman"/>
        </w:rPr>
        <w:t>,</w:t>
      </w:r>
      <w:r w:rsidRPr="00402F6C">
        <w:rPr>
          <w:rFonts w:ascii="Times New Roman" w:hAnsi="Times New Roman"/>
        </w:rPr>
        <w:t xml:space="preserve"> jeżeli wprowadzony zostanie jeden ze stanów o</w:t>
      </w:r>
      <w:r w:rsidR="007F117B" w:rsidRPr="00402F6C">
        <w:rPr>
          <w:rFonts w:ascii="Times New Roman" w:hAnsi="Times New Roman"/>
        </w:rPr>
        <w:t>kreślonych w art. 112d ustawy</w:t>
      </w:r>
      <w:r w:rsidR="00510C93" w:rsidRPr="00402F6C">
        <w:rPr>
          <w:rFonts w:ascii="Times New Roman" w:hAnsi="Times New Roman"/>
          <w:color w:val="000000" w:themeColor="text1"/>
        </w:rPr>
        <w:t xml:space="preserve"> o finansach publicznych </w:t>
      </w:r>
      <w:r w:rsidR="006263CE" w:rsidRPr="00402F6C">
        <w:rPr>
          <w:rFonts w:ascii="Times New Roman" w:hAnsi="Times New Roman"/>
        </w:rPr>
        <w:t>oraz</w:t>
      </w:r>
      <w:r w:rsidR="00852BDD" w:rsidRPr="00402F6C">
        <w:rPr>
          <w:rFonts w:ascii="Times New Roman" w:hAnsi="Times New Roman"/>
        </w:rPr>
        <w:t xml:space="preserve"> jeżeli prognozowane w projekcie ustawy budżetowej na rok n przedłożonym Sejmowi lub w projekcie ustawy zmieniającej ustawę budżetową na rok n przedłożonym Sejmowi tempo wzrostu produktu krajowego brutto w cenach stałych jest mniejsze o więcej niż dwa punkty procentowe od średniego wzrostu produk</w:t>
      </w:r>
      <w:r w:rsidR="00D2093B" w:rsidRPr="00402F6C">
        <w:rPr>
          <w:rFonts w:ascii="Times New Roman" w:hAnsi="Times New Roman"/>
        </w:rPr>
        <w:t>tu krajowego brutto (obliczan</w:t>
      </w:r>
      <w:r w:rsidR="005A3C1A" w:rsidRPr="00402F6C">
        <w:rPr>
          <w:rFonts w:ascii="Times New Roman" w:hAnsi="Times New Roman"/>
        </w:rPr>
        <w:t>ego</w:t>
      </w:r>
      <w:r w:rsidR="00D2093B" w:rsidRPr="00402F6C">
        <w:rPr>
          <w:rFonts w:ascii="Times New Roman" w:hAnsi="Times New Roman"/>
        </w:rPr>
        <w:t xml:space="preserve"> przez Ministra Finansów również na potrzeby kwoty wydatków</w:t>
      </w:r>
      <w:r w:rsidR="00C83B85" w:rsidRPr="00402F6C">
        <w:rPr>
          <w:rFonts w:ascii="Times New Roman" w:hAnsi="Times New Roman"/>
        </w:rPr>
        <w:t>,</w:t>
      </w:r>
      <w:r w:rsidR="00D2093B" w:rsidRPr="00402F6C">
        <w:rPr>
          <w:rFonts w:ascii="Times New Roman" w:hAnsi="Times New Roman"/>
        </w:rPr>
        <w:t xml:space="preserve"> o której mowa w art.</w:t>
      </w:r>
      <w:r w:rsidR="00C83B85" w:rsidRPr="00402F6C">
        <w:rPr>
          <w:rFonts w:ascii="Times New Roman" w:hAnsi="Times New Roman"/>
        </w:rPr>
        <w:t xml:space="preserve"> </w:t>
      </w:r>
      <w:r w:rsidR="00D2093B" w:rsidRPr="00402F6C">
        <w:rPr>
          <w:rFonts w:ascii="Times New Roman" w:hAnsi="Times New Roman"/>
        </w:rPr>
        <w:t>112aa</w:t>
      </w:r>
      <w:r w:rsidR="004D3B5E" w:rsidRPr="00402F6C">
        <w:rPr>
          <w:rFonts w:ascii="Times New Roman" w:hAnsi="Times New Roman"/>
        </w:rPr>
        <w:t>,</w:t>
      </w:r>
      <w:r w:rsidR="007E2D7D" w:rsidRPr="00402F6C">
        <w:rPr>
          <w:rFonts w:ascii="Times New Roman" w:hAnsi="Times New Roman"/>
        </w:rPr>
        <w:t>)</w:t>
      </w:r>
      <w:r w:rsidR="00D2093B" w:rsidRPr="00402F6C">
        <w:rPr>
          <w:rFonts w:ascii="Times New Roman" w:hAnsi="Times New Roman"/>
        </w:rPr>
        <w:t xml:space="preserve"> </w:t>
      </w:r>
      <w:r w:rsidR="00852BDD" w:rsidRPr="00402F6C">
        <w:rPr>
          <w:rFonts w:ascii="Times New Roman" w:hAnsi="Times New Roman"/>
        </w:rPr>
        <w:t>na podstawie ogłoszonej przez Prezesa Głównego Urzędu Statystycznego łącznej dynamiki wartości produktu krajowego brutto, o której mowa w art.112aa ust. 1</w:t>
      </w:r>
      <w:r w:rsidR="00001D43" w:rsidRPr="00402F6C">
        <w:rPr>
          <w:rFonts w:ascii="Times New Roman" w:hAnsi="Times New Roman"/>
        </w:rPr>
        <w:t xml:space="preserve"> ustawy</w:t>
      </w:r>
      <w:r w:rsidR="00001D43" w:rsidRPr="00402F6C">
        <w:rPr>
          <w:rFonts w:ascii="Times New Roman" w:hAnsi="Times New Roman"/>
          <w:color w:val="000000" w:themeColor="text1"/>
        </w:rPr>
        <w:t xml:space="preserve"> o finansach publicznych</w:t>
      </w:r>
      <w:r w:rsidR="006263CE" w:rsidRPr="00402F6C">
        <w:rPr>
          <w:rFonts w:ascii="Times New Roman" w:hAnsi="Times New Roman"/>
        </w:rPr>
        <w:t>.</w:t>
      </w:r>
    </w:p>
    <w:p w14:paraId="6F7498DB" w14:textId="6B878BB3" w:rsidR="00A54769" w:rsidRPr="00402F6C" w:rsidRDefault="000556DF">
      <w:pPr>
        <w:spacing w:before="120" w:line="360" w:lineRule="auto"/>
        <w:jc w:val="both"/>
        <w:rPr>
          <w:rFonts w:ascii="Times New Roman" w:hAnsi="Times New Roman"/>
        </w:rPr>
      </w:pPr>
      <w:r w:rsidRPr="00402F6C">
        <w:rPr>
          <w:rFonts w:ascii="Times New Roman" w:hAnsi="Times New Roman"/>
        </w:rPr>
        <w:t xml:space="preserve">Zapobieganie, przeciwdziałanie i zwalczanie </w:t>
      </w:r>
      <w:r w:rsidR="00B606D0" w:rsidRPr="00402F6C">
        <w:rPr>
          <w:rFonts w:ascii="Times New Roman" w:hAnsi="Times New Roman"/>
        </w:rPr>
        <w:t>epidemii</w:t>
      </w:r>
      <w:r w:rsidR="00B855C8" w:rsidRPr="00402F6C">
        <w:rPr>
          <w:rFonts w:ascii="Times New Roman" w:hAnsi="Times New Roman"/>
        </w:rPr>
        <w:t xml:space="preserve"> COVID-19 </w:t>
      </w:r>
      <w:r w:rsidRPr="00402F6C">
        <w:rPr>
          <w:rFonts w:ascii="Times New Roman" w:hAnsi="Times New Roman"/>
        </w:rPr>
        <w:t xml:space="preserve">oraz następujących w </w:t>
      </w:r>
      <w:r w:rsidR="00B606D0" w:rsidRPr="00402F6C">
        <w:rPr>
          <w:rFonts w:ascii="Times New Roman" w:hAnsi="Times New Roman"/>
        </w:rPr>
        <w:t xml:space="preserve">jej </w:t>
      </w:r>
      <w:r w:rsidRPr="00402F6C">
        <w:rPr>
          <w:rFonts w:ascii="Times New Roman" w:hAnsi="Times New Roman"/>
        </w:rPr>
        <w:t>wyniku</w:t>
      </w:r>
      <w:r w:rsidR="00B855C8" w:rsidRPr="00402F6C">
        <w:rPr>
          <w:rFonts w:ascii="Times New Roman" w:hAnsi="Times New Roman"/>
        </w:rPr>
        <w:t xml:space="preserve"> </w:t>
      </w:r>
      <w:r w:rsidRPr="00402F6C">
        <w:rPr>
          <w:rFonts w:ascii="Times New Roman" w:hAnsi="Times New Roman"/>
        </w:rPr>
        <w:t xml:space="preserve">skutków gospodarczych wymaga uruchomienia dodatkowych środków budżetowych </w:t>
      </w:r>
      <w:r w:rsidR="00D65557" w:rsidRPr="00402F6C">
        <w:rPr>
          <w:rFonts w:ascii="Times New Roman" w:hAnsi="Times New Roman"/>
        </w:rPr>
        <w:t>w</w:t>
      </w:r>
      <w:r w:rsidR="00402F6C">
        <w:rPr>
          <w:rFonts w:ascii="Times New Roman" w:hAnsi="Times New Roman"/>
        </w:rPr>
        <w:t xml:space="preserve"> </w:t>
      </w:r>
      <w:r w:rsidR="00D65557" w:rsidRPr="00EB6B22">
        <w:rPr>
          <w:rFonts w:ascii="Times New Roman" w:hAnsi="Times New Roman"/>
        </w:rPr>
        <w:t xml:space="preserve">celu efektywnego zwalczania skutków wirusa </w:t>
      </w:r>
      <w:r w:rsidRPr="00402F6C">
        <w:rPr>
          <w:rFonts w:ascii="Times New Roman" w:hAnsi="Times New Roman"/>
        </w:rPr>
        <w:t xml:space="preserve">i </w:t>
      </w:r>
      <w:r w:rsidR="00D65557" w:rsidRPr="00402F6C">
        <w:rPr>
          <w:rFonts w:ascii="Times New Roman" w:hAnsi="Times New Roman"/>
        </w:rPr>
        <w:t xml:space="preserve">utrzymania </w:t>
      </w:r>
      <w:r w:rsidRPr="00402F6C">
        <w:rPr>
          <w:rFonts w:ascii="Times New Roman" w:hAnsi="Times New Roman"/>
        </w:rPr>
        <w:t xml:space="preserve">stabilności funkcjonowania państwa </w:t>
      </w:r>
      <w:r w:rsidR="00D65557" w:rsidRPr="00402F6C">
        <w:rPr>
          <w:rFonts w:ascii="Times New Roman" w:hAnsi="Times New Roman"/>
        </w:rPr>
        <w:t xml:space="preserve">w czasie </w:t>
      </w:r>
      <w:r w:rsidR="009022D5" w:rsidRPr="00402F6C">
        <w:rPr>
          <w:rFonts w:ascii="Times New Roman" w:hAnsi="Times New Roman"/>
        </w:rPr>
        <w:t xml:space="preserve">epidemii </w:t>
      </w:r>
      <w:r w:rsidR="00D65557" w:rsidRPr="00402F6C">
        <w:rPr>
          <w:rFonts w:ascii="Times New Roman" w:hAnsi="Times New Roman"/>
        </w:rPr>
        <w:t xml:space="preserve">oraz odbudowy gospodarki po jej zakończeniu. </w:t>
      </w:r>
      <w:r w:rsidR="009F0A4F" w:rsidRPr="00402F6C">
        <w:rPr>
          <w:rFonts w:ascii="Times New Roman" w:hAnsi="Times New Roman"/>
        </w:rPr>
        <w:t xml:space="preserve">Zatem </w:t>
      </w:r>
      <w:r w:rsidR="002B6A3D" w:rsidRPr="00402F6C">
        <w:rPr>
          <w:rFonts w:ascii="Times New Roman" w:hAnsi="Times New Roman"/>
        </w:rPr>
        <w:t xml:space="preserve">celowe </w:t>
      </w:r>
      <w:r w:rsidRPr="00402F6C">
        <w:rPr>
          <w:rFonts w:ascii="Times New Roman" w:hAnsi="Times New Roman"/>
        </w:rPr>
        <w:t xml:space="preserve">jest </w:t>
      </w:r>
      <w:r w:rsidR="009F0A4F" w:rsidRPr="00402F6C">
        <w:rPr>
          <w:rFonts w:ascii="Times New Roman" w:hAnsi="Times New Roman"/>
        </w:rPr>
        <w:t>wsparcie gospodarki</w:t>
      </w:r>
      <w:r w:rsidR="00B31C81" w:rsidRPr="00402F6C">
        <w:rPr>
          <w:rFonts w:ascii="Times New Roman" w:hAnsi="Times New Roman"/>
        </w:rPr>
        <w:t xml:space="preserve"> i bezpośrednio dotkniętych skutkami tej sytuacji podmiotów</w:t>
      </w:r>
      <w:r w:rsidR="009F0A4F" w:rsidRPr="00402F6C">
        <w:rPr>
          <w:rFonts w:ascii="Times New Roman" w:hAnsi="Times New Roman"/>
        </w:rPr>
        <w:t xml:space="preserve">, </w:t>
      </w:r>
      <w:r w:rsidR="00B31C81" w:rsidRPr="00402F6C">
        <w:rPr>
          <w:rFonts w:ascii="Times New Roman" w:hAnsi="Times New Roman"/>
        </w:rPr>
        <w:t>ponad</w:t>
      </w:r>
      <w:r w:rsidR="009F0A4F" w:rsidRPr="00402F6C">
        <w:rPr>
          <w:rFonts w:ascii="Times New Roman" w:hAnsi="Times New Roman"/>
        </w:rPr>
        <w:t xml:space="preserve"> </w:t>
      </w:r>
      <w:r w:rsidR="00D65557" w:rsidRPr="00402F6C">
        <w:rPr>
          <w:rFonts w:ascii="Times New Roman" w:hAnsi="Times New Roman"/>
        </w:rPr>
        <w:t>limit wydatkowy</w:t>
      </w:r>
      <w:r w:rsidR="00B31C81" w:rsidRPr="00402F6C">
        <w:rPr>
          <w:rFonts w:ascii="Times New Roman" w:hAnsi="Times New Roman"/>
        </w:rPr>
        <w:t xml:space="preserve"> wynikający z reguł fiskalnych, w szczególności stabilizującej reguły wydatkowej</w:t>
      </w:r>
      <w:r w:rsidR="00D65557" w:rsidRPr="00402F6C">
        <w:rPr>
          <w:rFonts w:ascii="Times New Roman" w:hAnsi="Times New Roman"/>
        </w:rPr>
        <w:t>.</w:t>
      </w:r>
      <w:r w:rsidR="00A54769" w:rsidRPr="00402F6C">
        <w:rPr>
          <w:rFonts w:ascii="Times New Roman" w:hAnsi="Times New Roman"/>
        </w:rPr>
        <w:t xml:space="preserve"> </w:t>
      </w:r>
    </w:p>
    <w:p w14:paraId="6718F647" w14:textId="7B7CC3B7" w:rsidR="006204BC" w:rsidRPr="00402F6C" w:rsidRDefault="009F0A4F">
      <w:pPr>
        <w:spacing w:before="120" w:line="360" w:lineRule="auto"/>
        <w:jc w:val="both"/>
        <w:rPr>
          <w:rFonts w:ascii="Times New Roman" w:hAnsi="Times New Roman"/>
        </w:rPr>
      </w:pPr>
      <w:r w:rsidRPr="00402F6C">
        <w:rPr>
          <w:rFonts w:ascii="Times New Roman" w:hAnsi="Times New Roman"/>
        </w:rPr>
        <w:lastRenderedPageBreak/>
        <w:t>Ponadto w</w:t>
      </w:r>
      <w:r w:rsidR="00A466F2" w:rsidRPr="00402F6C">
        <w:rPr>
          <w:rFonts w:ascii="Times New Roman" w:hAnsi="Times New Roman"/>
        </w:rPr>
        <w:t xml:space="preserve"> ustawie o finansach publicznych nie </w:t>
      </w:r>
      <w:r w:rsidR="006A242C" w:rsidRPr="00402F6C">
        <w:rPr>
          <w:rFonts w:ascii="Times New Roman" w:hAnsi="Times New Roman"/>
        </w:rPr>
        <w:t xml:space="preserve">określono </w:t>
      </w:r>
      <w:r w:rsidR="00A466F2" w:rsidRPr="00402F6C">
        <w:rPr>
          <w:rFonts w:ascii="Times New Roman" w:hAnsi="Times New Roman"/>
        </w:rPr>
        <w:t>sposobu powrotu do stosowania stabilizującej reguły wydatkowej po okresie jej wyłączenia</w:t>
      </w:r>
      <w:r w:rsidR="006A242C" w:rsidRPr="00402F6C">
        <w:rPr>
          <w:rFonts w:ascii="Times New Roman" w:hAnsi="Times New Roman"/>
        </w:rPr>
        <w:t xml:space="preserve"> na podstawie </w:t>
      </w:r>
      <w:r w:rsidR="00DA04E4" w:rsidRPr="00402F6C">
        <w:rPr>
          <w:rFonts w:ascii="Times New Roman" w:hAnsi="Times New Roman"/>
        </w:rPr>
        <w:t>przepisu</w:t>
      </w:r>
      <w:r w:rsidR="006A242C" w:rsidRPr="00402F6C">
        <w:rPr>
          <w:rFonts w:ascii="Times New Roman" w:hAnsi="Times New Roman"/>
        </w:rPr>
        <w:t xml:space="preserve"> art. 112d ust. 1</w:t>
      </w:r>
      <w:r w:rsidR="00A466F2" w:rsidRPr="00402F6C">
        <w:rPr>
          <w:rFonts w:ascii="Times New Roman" w:hAnsi="Times New Roman"/>
        </w:rPr>
        <w:t xml:space="preserve">. </w:t>
      </w:r>
      <w:r w:rsidR="00BC6E6A" w:rsidRPr="00402F6C">
        <w:rPr>
          <w:rFonts w:ascii="Times New Roman" w:hAnsi="Times New Roman"/>
        </w:rPr>
        <w:t>Określając ścieżkę fiskalną na kolejne lata</w:t>
      </w:r>
      <w:r w:rsidR="003F47D1">
        <w:rPr>
          <w:rFonts w:ascii="Times New Roman" w:hAnsi="Times New Roman"/>
        </w:rPr>
        <w:t>,</w:t>
      </w:r>
      <w:r w:rsidR="00BC6E6A" w:rsidRPr="00402F6C">
        <w:rPr>
          <w:rFonts w:ascii="Times New Roman" w:hAnsi="Times New Roman"/>
        </w:rPr>
        <w:t xml:space="preserve"> należy mieć na uwadze skalę i charakter kryzysu wywołanego jednym ze stanów z art. 112d</w:t>
      </w:r>
      <w:r w:rsidR="00001D43" w:rsidRPr="00402F6C">
        <w:rPr>
          <w:rFonts w:ascii="Times New Roman" w:hAnsi="Times New Roman"/>
        </w:rPr>
        <w:t xml:space="preserve"> ustawy</w:t>
      </w:r>
      <w:r w:rsidR="00001D43" w:rsidRPr="00402F6C">
        <w:rPr>
          <w:rFonts w:ascii="Times New Roman" w:hAnsi="Times New Roman"/>
          <w:color w:val="000000" w:themeColor="text1"/>
        </w:rPr>
        <w:t xml:space="preserve"> o finansach publicznych</w:t>
      </w:r>
      <w:r w:rsidR="00BC6E6A" w:rsidRPr="00402F6C">
        <w:rPr>
          <w:rFonts w:ascii="Times New Roman" w:hAnsi="Times New Roman"/>
        </w:rPr>
        <w:t xml:space="preserve">, jego wpływ na gospodarkę i finanse publiczne. Jeśli będzie on wykraczał poza rok bieżący, nie będzie możliwy automatyczny powrót na ścieżkę zakładaną przed kryzysem. </w:t>
      </w:r>
      <w:r w:rsidR="00C83B85" w:rsidRPr="00402F6C">
        <w:rPr>
          <w:rFonts w:ascii="Times New Roman" w:hAnsi="Times New Roman"/>
        </w:rPr>
        <w:t xml:space="preserve">Zgodnie z opublikowanym przez Komisję Europejską projektem </w:t>
      </w:r>
      <w:r w:rsidR="007E2D7D" w:rsidRPr="00402F6C">
        <w:rPr>
          <w:rFonts w:ascii="Times New Roman" w:hAnsi="Times New Roman"/>
        </w:rPr>
        <w:t>„</w:t>
      </w:r>
      <w:r w:rsidR="00C83B85" w:rsidRPr="00402F6C">
        <w:rPr>
          <w:rFonts w:ascii="Times New Roman" w:hAnsi="Times New Roman"/>
        </w:rPr>
        <w:t>Zalece</w:t>
      </w:r>
      <w:r w:rsidR="007E2D7D" w:rsidRPr="00402F6C">
        <w:rPr>
          <w:rFonts w:ascii="Times New Roman" w:hAnsi="Times New Roman"/>
        </w:rPr>
        <w:t>nia</w:t>
      </w:r>
      <w:r w:rsidR="00C83B85" w:rsidRPr="00402F6C">
        <w:rPr>
          <w:rFonts w:ascii="Times New Roman" w:hAnsi="Times New Roman"/>
        </w:rPr>
        <w:t xml:space="preserve"> R</w:t>
      </w:r>
      <w:r w:rsidR="00DA6319" w:rsidRPr="00402F6C">
        <w:rPr>
          <w:rFonts w:ascii="Times New Roman" w:hAnsi="Times New Roman"/>
        </w:rPr>
        <w:t>ady</w:t>
      </w:r>
      <w:r w:rsidR="00C83B85" w:rsidRPr="00402F6C">
        <w:rPr>
          <w:rFonts w:ascii="Times New Roman" w:hAnsi="Times New Roman"/>
        </w:rPr>
        <w:t xml:space="preserve"> w sprawie krajowego programu reform Polski na 2020 r. oraz zawierające opinię Rady na temat przedstawionego przez Polskę programu konwergencji na 2020 r.</w:t>
      </w:r>
      <w:r w:rsidR="007E2D7D" w:rsidRPr="00402F6C">
        <w:rPr>
          <w:rFonts w:ascii="Times New Roman" w:hAnsi="Times New Roman"/>
        </w:rPr>
        <w:t>”</w:t>
      </w:r>
      <w:r w:rsidR="00C83B85" w:rsidRPr="00402F6C">
        <w:rPr>
          <w:rFonts w:ascii="Times New Roman" w:hAnsi="Times New Roman"/>
        </w:rPr>
        <w:t xml:space="preserve"> wraz z poprawą sytuacji gospodarczej należy podjąć działania budżetowe ukierunkowane na poprawę sytuacji budżetowej przy jednoczesnym zwiększeniu inwestycji. </w:t>
      </w:r>
      <w:r w:rsidR="006A242C" w:rsidRPr="00402F6C">
        <w:rPr>
          <w:rFonts w:ascii="Times New Roman" w:hAnsi="Times New Roman"/>
        </w:rPr>
        <w:t xml:space="preserve">Z tego względu </w:t>
      </w:r>
      <w:r w:rsidR="00BC6E6A" w:rsidRPr="00402F6C">
        <w:rPr>
          <w:rFonts w:ascii="Times New Roman" w:hAnsi="Times New Roman"/>
        </w:rPr>
        <w:t>konieczne są zmiany w ustawie</w:t>
      </w:r>
      <w:r w:rsidR="00510C93" w:rsidRPr="00402F6C">
        <w:rPr>
          <w:rFonts w:ascii="Times New Roman" w:hAnsi="Times New Roman"/>
          <w:color w:val="000000" w:themeColor="text1"/>
        </w:rPr>
        <w:t xml:space="preserve"> </w:t>
      </w:r>
      <w:r w:rsidR="00BC6E6A" w:rsidRPr="00402F6C">
        <w:rPr>
          <w:rFonts w:ascii="Times New Roman" w:hAnsi="Times New Roman"/>
        </w:rPr>
        <w:t>o finansach publicznych polegające na zdefiniowaniu i określeniu w ustawie klauzuli powrotu</w:t>
      </w:r>
      <w:r w:rsidR="00630D59" w:rsidRPr="00402F6C">
        <w:rPr>
          <w:rFonts w:ascii="Times New Roman" w:hAnsi="Times New Roman"/>
        </w:rPr>
        <w:t xml:space="preserve"> do stosowania pierwotnej formuły </w:t>
      </w:r>
      <w:r w:rsidR="004B33F9" w:rsidRPr="00402F6C">
        <w:rPr>
          <w:rFonts w:ascii="Times New Roman" w:hAnsi="Times New Roman"/>
        </w:rPr>
        <w:t xml:space="preserve">stabilizującej </w:t>
      </w:r>
      <w:r w:rsidR="00630D59" w:rsidRPr="00402F6C">
        <w:rPr>
          <w:rFonts w:ascii="Times New Roman" w:hAnsi="Times New Roman"/>
        </w:rPr>
        <w:t>reguły wydatkowej</w:t>
      </w:r>
      <w:r w:rsidR="002B6A3D" w:rsidRPr="00402F6C">
        <w:rPr>
          <w:rFonts w:ascii="Times New Roman" w:hAnsi="Times New Roman"/>
        </w:rPr>
        <w:t xml:space="preserve"> zgodnie z art.112aa</w:t>
      </w:r>
      <w:r w:rsidR="00BC6E6A" w:rsidRPr="00402F6C">
        <w:rPr>
          <w:rFonts w:ascii="Times New Roman" w:hAnsi="Times New Roman"/>
        </w:rPr>
        <w:t xml:space="preserve">. </w:t>
      </w:r>
      <w:r w:rsidR="00225701" w:rsidRPr="00402F6C">
        <w:rPr>
          <w:rFonts w:ascii="Times New Roman" w:hAnsi="Times New Roman"/>
        </w:rPr>
        <w:t>Projekt</w:t>
      </w:r>
      <w:r w:rsidR="006204BC" w:rsidRPr="00402F6C">
        <w:rPr>
          <w:rFonts w:ascii="Times New Roman" w:hAnsi="Times New Roman"/>
        </w:rPr>
        <w:t xml:space="preserve"> ustawy</w:t>
      </w:r>
      <w:r w:rsidR="00225701" w:rsidRPr="00402F6C">
        <w:rPr>
          <w:rFonts w:ascii="Times New Roman" w:hAnsi="Times New Roman"/>
        </w:rPr>
        <w:t xml:space="preserve"> zawiera warunki</w:t>
      </w:r>
      <w:r w:rsidR="00DA04E4" w:rsidRPr="00402F6C">
        <w:rPr>
          <w:rFonts w:ascii="Times New Roman" w:hAnsi="Times New Roman"/>
        </w:rPr>
        <w:t>,</w:t>
      </w:r>
      <w:r w:rsidR="00225701" w:rsidRPr="00402F6C">
        <w:rPr>
          <w:rFonts w:ascii="Times New Roman" w:hAnsi="Times New Roman"/>
        </w:rPr>
        <w:t xml:space="preserve"> na podstawie których można określić długość ścieżki związanej z powrotem do pierwotnej stabilizującej kwoty wydatków, która określana jest na podstawie skali i charakter</w:t>
      </w:r>
      <w:r w:rsidR="00DA04E4" w:rsidRPr="00402F6C">
        <w:rPr>
          <w:rFonts w:ascii="Times New Roman" w:hAnsi="Times New Roman"/>
        </w:rPr>
        <w:t>u</w:t>
      </w:r>
      <w:r w:rsidR="00225701" w:rsidRPr="00402F6C">
        <w:rPr>
          <w:rFonts w:ascii="Times New Roman" w:hAnsi="Times New Roman"/>
        </w:rPr>
        <w:t xml:space="preserve"> kryzysu wywołanego jednym ze stanów z art. 112d</w:t>
      </w:r>
      <w:r w:rsidR="00715EB6" w:rsidRPr="00402F6C">
        <w:rPr>
          <w:rFonts w:ascii="Times New Roman" w:hAnsi="Times New Roman"/>
        </w:rPr>
        <w:t xml:space="preserve"> </w:t>
      </w:r>
      <w:r w:rsidR="008B344D" w:rsidRPr="00402F6C">
        <w:rPr>
          <w:rFonts w:ascii="Times New Roman" w:hAnsi="Times New Roman"/>
        </w:rPr>
        <w:t>ustawy</w:t>
      </w:r>
      <w:r w:rsidR="008B344D" w:rsidRPr="00402F6C">
        <w:rPr>
          <w:rFonts w:ascii="Times New Roman" w:hAnsi="Times New Roman"/>
          <w:color w:val="000000" w:themeColor="text1"/>
        </w:rPr>
        <w:t xml:space="preserve"> o finansach publicznych </w:t>
      </w:r>
      <w:r w:rsidR="00715EB6" w:rsidRPr="00402F6C">
        <w:rPr>
          <w:rFonts w:ascii="Times New Roman" w:hAnsi="Times New Roman"/>
        </w:rPr>
        <w:t>i</w:t>
      </w:r>
      <w:r w:rsidR="00225701" w:rsidRPr="00402F6C">
        <w:rPr>
          <w:rFonts w:ascii="Times New Roman" w:hAnsi="Times New Roman"/>
        </w:rPr>
        <w:t xml:space="preserve"> jego wpływu na gospodarkę. W szczególności proponuje się mechanizm stopniowego powracania do stosowania pierwotnej formuły stabilizującej reguły wydatkowej w ciągu dwóch, trzech </w:t>
      </w:r>
      <w:r w:rsidR="00DA04E4" w:rsidRPr="00402F6C">
        <w:rPr>
          <w:rFonts w:ascii="Times New Roman" w:hAnsi="Times New Roman"/>
        </w:rPr>
        <w:t>albo</w:t>
      </w:r>
      <w:r w:rsidR="00225701" w:rsidRPr="00402F6C">
        <w:rPr>
          <w:rFonts w:ascii="Times New Roman" w:hAnsi="Times New Roman"/>
        </w:rPr>
        <w:t xml:space="preserve"> czterech lat po jej wyłączeniu, w zależności od </w:t>
      </w:r>
      <w:r w:rsidR="006A242C" w:rsidRPr="00402F6C">
        <w:rPr>
          <w:rFonts w:ascii="Times New Roman" w:hAnsi="Times New Roman"/>
        </w:rPr>
        <w:t>sytuacji gospodarczej i tempa odbudowy PKB po zakończeniu stanu określonego w art. 112d ustawy o</w:t>
      </w:r>
      <w:r w:rsidR="00402F6C">
        <w:rPr>
          <w:rFonts w:ascii="Times New Roman" w:hAnsi="Times New Roman"/>
        </w:rPr>
        <w:t xml:space="preserve"> </w:t>
      </w:r>
      <w:r w:rsidR="006A242C" w:rsidRPr="00EB6B22">
        <w:rPr>
          <w:rFonts w:ascii="Times New Roman" w:hAnsi="Times New Roman"/>
        </w:rPr>
        <w:t>finansach publicznych</w:t>
      </w:r>
      <w:r w:rsidR="00DA04E4" w:rsidRPr="00402F6C">
        <w:rPr>
          <w:rFonts w:ascii="Times New Roman" w:hAnsi="Times New Roman"/>
        </w:rPr>
        <w:t>.</w:t>
      </w:r>
    </w:p>
    <w:p w14:paraId="43ACF136" w14:textId="637DB809" w:rsidR="00AE5CCB" w:rsidRPr="00402F6C" w:rsidRDefault="00AE5CCB">
      <w:pPr>
        <w:pStyle w:val="p"/>
        <w:spacing w:before="120" w:after="0" w:line="360" w:lineRule="auto"/>
        <w:rPr>
          <w:rFonts w:ascii="Times New Roman" w:hAnsi="Times New Roman" w:cs="Times New Roman"/>
          <w:sz w:val="24"/>
          <w:szCs w:val="24"/>
        </w:rPr>
      </w:pPr>
      <w:r w:rsidRPr="00402F6C">
        <w:rPr>
          <w:rFonts w:ascii="Times New Roman" w:hAnsi="Times New Roman" w:cs="Times New Roman"/>
          <w:sz w:val="24"/>
          <w:szCs w:val="24"/>
        </w:rPr>
        <w:t>Projekt ustawy zakłada, że nawet w przypadku zawieszenia stosowania stabilizującej reguły wydatkowej Minister Finansów oblicza kwotę wydatków, o</w:t>
      </w:r>
      <w:r w:rsidR="00402F6C">
        <w:rPr>
          <w:rFonts w:ascii="Times New Roman" w:hAnsi="Times New Roman" w:cs="Times New Roman"/>
          <w:sz w:val="24"/>
          <w:szCs w:val="24"/>
        </w:rPr>
        <w:t xml:space="preserve"> </w:t>
      </w:r>
      <w:r w:rsidRPr="00EB6B22">
        <w:rPr>
          <w:rFonts w:ascii="Times New Roman" w:hAnsi="Times New Roman" w:cs="Times New Roman"/>
          <w:sz w:val="24"/>
          <w:szCs w:val="24"/>
        </w:rPr>
        <w:t xml:space="preserve">której mowa w art. 112aa ust. 1, oraz sumę, o </w:t>
      </w:r>
      <w:r w:rsidR="009F0A4F" w:rsidRPr="00402F6C">
        <w:rPr>
          <w:rFonts w:ascii="Times New Roman" w:hAnsi="Times New Roman" w:cs="Times New Roman"/>
          <w:sz w:val="24"/>
          <w:szCs w:val="24"/>
        </w:rPr>
        <w:t>której mowa w art. 112aa ust. 5</w:t>
      </w:r>
      <w:r w:rsidR="008B344D" w:rsidRPr="00402F6C">
        <w:rPr>
          <w:rFonts w:ascii="Times New Roman" w:eastAsia="Cambria" w:hAnsi="Times New Roman" w:cs="Times New Roman"/>
          <w:color w:val="auto"/>
          <w:sz w:val="24"/>
          <w:szCs w:val="24"/>
          <w:lang w:eastAsia="en-US"/>
        </w:rPr>
        <w:t xml:space="preserve"> </w:t>
      </w:r>
      <w:r w:rsidR="008B344D" w:rsidRPr="00402F6C">
        <w:rPr>
          <w:rFonts w:ascii="Times New Roman" w:hAnsi="Times New Roman" w:cs="Times New Roman"/>
          <w:sz w:val="24"/>
          <w:szCs w:val="24"/>
        </w:rPr>
        <w:t>ustawy o finansach publicznych</w:t>
      </w:r>
      <w:r w:rsidR="006A242C" w:rsidRPr="00402F6C">
        <w:rPr>
          <w:rFonts w:ascii="Times New Roman" w:hAnsi="Times New Roman" w:cs="Times New Roman"/>
          <w:sz w:val="24"/>
          <w:szCs w:val="24"/>
        </w:rPr>
        <w:t>, co pozwoli na automatyczne zastosowanie proponowanej klauzuli powrotu do stabilizującej reguły wydatkowej, po ustaniu okoliczności określonych w art. 112d ust. 1</w:t>
      </w:r>
      <w:r w:rsidR="009F0A4F" w:rsidRPr="00402F6C">
        <w:rPr>
          <w:rFonts w:ascii="Times New Roman" w:hAnsi="Times New Roman" w:cs="Times New Roman"/>
          <w:sz w:val="24"/>
          <w:szCs w:val="24"/>
        </w:rPr>
        <w:t>.</w:t>
      </w:r>
      <w:r w:rsidR="00861900" w:rsidRPr="00402F6C">
        <w:rPr>
          <w:rFonts w:ascii="Times New Roman" w:hAnsi="Times New Roman" w:cs="Times New Roman"/>
          <w:sz w:val="24"/>
          <w:szCs w:val="24"/>
        </w:rPr>
        <w:t xml:space="preserve"> </w:t>
      </w:r>
      <w:r w:rsidR="005A3C1A" w:rsidRPr="00402F6C">
        <w:rPr>
          <w:rFonts w:ascii="Times New Roman" w:hAnsi="Times New Roman" w:cs="Times New Roman"/>
          <w:sz w:val="24"/>
          <w:szCs w:val="24"/>
        </w:rPr>
        <w:t>W</w:t>
      </w:r>
      <w:r w:rsidR="00861900" w:rsidRPr="00402F6C">
        <w:rPr>
          <w:rFonts w:ascii="Times New Roman" w:hAnsi="Times New Roman" w:cs="Times New Roman"/>
          <w:sz w:val="24"/>
          <w:szCs w:val="24"/>
        </w:rPr>
        <w:t xml:space="preserve"> sytuacji obliczania kwoty wydatków w zmodyfikowany sposób, czyli wynikający z art. 112d ust. 3, nieprzekraczalny limit wydatków był</w:t>
      </w:r>
      <w:r w:rsidR="005A3C1A" w:rsidRPr="00402F6C">
        <w:rPr>
          <w:rFonts w:ascii="Times New Roman" w:hAnsi="Times New Roman" w:cs="Times New Roman"/>
          <w:sz w:val="24"/>
          <w:szCs w:val="24"/>
        </w:rPr>
        <w:t>by</w:t>
      </w:r>
      <w:r w:rsidR="00861900" w:rsidRPr="00402F6C">
        <w:rPr>
          <w:rFonts w:ascii="Times New Roman" w:hAnsi="Times New Roman" w:cs="Times New Roman"/>
          <w:sz w:val="24"/>
          <w:szCs w:val="24"/>
        </w:rPr>
        <w:t xml:space="preserve"> obliczany w sposób analogiczny do 112aa ust. 3</w:t>
      </w:r>
      <w:r w:rsidR="008B344D" w:rsidRPr="00402F6C">
        <w:rPr>
          <w:rFonts w:ascii="Times New Roman" w:eastAsia="Cambria" w:hAnsi="Times New Roman" w:cs="Times New Roman"/>
          <w:color w:val="auto"/>
          <w:sz w:val="24"/>
          <w:szCs w:val="24"/>
          <w:lang w:eastAsia="en-US"/>
        </w:rPr>
        <w:t xml:space="preserve"> </w:t>
      </w:r>
      <w:r w:rsidR="008B344D" w:rsidRPr="00402F6C">
        <w:rPr>
          <w:rFonts w:ascii="Times New Roman" w:hAnsi="Times New Roman" w:cs="Times New Roman"/>
          <w:sz w:val="24"/>
          <w:szCs w:val="24"/>
        </w:rPr>
        <w:t>ustawy o finansach publicznych</w:t>
      </w:r>
      <w:r w:rsidR="00861900" w:rsidRPr="00402F6C">
        <w:rPr>
          <w:rFonts w:ascii="Times New Roman" w:hAnsi="Times New Roman" w:cs="Times New Roman"/>
          <w:sz w:val="24"/>
          <w:szCs w:val="24"/>
        </w:rPr>
        <w:t xml:space="preserve">, </w:t>
      </w:r>
      <w:r w:rsidR="005A3C1A" w:rsidRPr="00402F6C">
        <w:rPr>
          <w:rFonts w:ascii="Times New Roman" w:hAnsi="Times New Roman" w:cs="Times New Roman"/>
          <w:sz w:val="24"/>
          <w:szCs w:val="24"/>
        </w:rPr>
        <w:t>przy czym</w:t>
      </w:r>
      <w:r w:rsidR="00861900" w:rsidRPr="00402F6C">
        <w:rPr>
          <w:rFonts w:ascii="Times New Roman" w:hAnsi="Times New Roman" w:cs="Times New Roman"/>
          <w:sz w:val="24"/>
          <w:szCs w:val="24"/>
        </w:rPr>
        <w:t xml:space="preserve"> punktem wyjścia </w:t>
      </w:r>
      <w:r w:rsidR="005A3C1A" w:rsidRPr="00402F6C">
        <w:rPr>
          <w:rFonts w:ascii="Times New Roman" w:hAnsi="Times New Roman" w:cs="Times New Roman"/>
          <w:sz w:val="24"/>
          <w:szCs w:val="24"/>
        </w:rPr>
        <w:t xml:space="preserve">byłaby </w:t>
      </w:r>
      <w:r w:rsidR="00861900" w:rsidRPr="00402F6C">
        <w:rPr>
          <w:rFonts w:ascii="Times New Roman" w:hAnsi="Times New Roman" w:cs="Times New Roman"/>
          <w:sz w:val="24"/>
          <w:szCs w:val="24"/>
        </w:rPr>
        <w:t>kwota wydatków z art. 112d ust. 3.</w:t>
      </w:r>
    </w:p>
    <w:p w14:paraId="5CAE8247" w14:textId="6DD979F1" w:rsidR="001A6286" w:rsidRPr="00402F6C" w:rsidRDefault="00BC6E6A">
      <w:pPr>
        <w:spacing w:before="120" w:line="360" w:lineRule="auto"/>
        <w:jc w:val="both"/>
        <w:rPr>
          <w:rFonts w:ascii="Times New Roman" w:hAnsi="Times New Roman"/>
        </w:rPr>
      </w:pPr>
      <w:r w:rsidRPr="00402F6C">
        <w:rPr>
          <w:rFonts w:ascii="Times New Roman" w:hAnsi="Times New Roman"/>
        </w:rPr>
        <w:lastRenderedPageBreak/>
        <w:t xml:space="preserve">Odwołując się do doświadczeń z ostatniego kryzysu finansowego, należy zauważyć, że rekomendowany przez Radę Ecofin czas </w:t>
      </w:r>
      <w:r w:rsidR="006A242C" w:rsidRPr="00402F6C">
        <w:rPr>
          <w:rFonts w:ascii="Times New Roman" w:hAnsi="Times New Roman"/>
        </w:rPr>
        <w:t xml:space="preserve">korekty finansów publicznych </w:t>
      </w:r>
      <w:r w:rsidR="007F117B" w:rsidRPr="00402F6C">
        <w:rPr>
          <w:rFonts w:ascii="Times New Roman" w:hAnsi="Times New Roman"/>
        </w:rPr>
        <w:t>wynosił wtedy od 2 do 4</w:t>
      </w:r>
      <w:r w:rsidR="00402F6C">
        <w:rPr>
          <w:rFonts w:ascii="Times New Roman" w:hAnsi="Times New Roman"/>
        </w:rPr>
        <w:t xml:space="preserve"> </w:t>
      </w:r>
      <w:r w:rsidRPr="00EB6B22">
        <w:rPr>
          <w:rFonts w:ascii="Times New Roman" w:hAnsi="Times New Roman"/>
        </w:rPr>
        <w:t>lat, w zależności od sytuacji makro-fiskalnej kraju</w:t>
      </w:r>
      <w:r w:rsidR="00624FFB" w:rsidRPr="00402F6C">
        <w:rPr>
          <w:rFonts w:ascii="Times New Roman" w:hAnsi="Times New Roman"/>
        </w:rPr>
        <w:t>.</w:t>
      </w:r>
      <w:r w:rsidR="00605B50" w:rsidRPr="00402F6C">
        <w:rPr>
          <w:rFonts w:ascii="Times New Roman" w:hAnsi="Times New Roman"/>
        </w:rPr>
        <w:t xml:space="preserve"> </w:t>
      </w:r>
    </w:p>
    <w:p w14:paraId="2DC8B995" w14:textId="4823C062" w:rsidR="001A6286" w:rsidRPr="00402F6C" w:rsidRDefault="001A6286">
      <w:pPr>
        <w:spacing w:before="120" w:line="360" w:lineRule="auto"/>
        <w:jc w:val="both"/>
        <w:rPr>
          <w:rFonts w:ascii="Times New Roman" w:hAnsi="Times New Roman"/>
        </w:rPr>
      </w:pPr>
      <w:r w:rsidRPr="00402F6C">
        <w:rPr>
          <w:rFonts w:ascii="Times New Roman" w:hAnsi="Times New Roman"/>
        </w:rPr>
        <w:t>Również według ekspertów MFW</w:t>
      </w:r>
      <w:r w:rsidRPr="00EB6B22">
        <w:rPr>
          <w:rFonts w:ascii="Times New Roman" w:hAnsi="Times New Roman"/>
          <w:vertAlign w:val="superscript"/>
        </w:rPr>
        <w:footnoteReference w:id="2"/>
      </w:r>
      <w:r w:rsidR="00402F6C" w:rsidRPr="00A72ACC">
        <w:rPr>
          <w:rFonts w:ascii="Times New Roman" w:hAnsi="Times New Roman"/>
          <w:vertAlign w:val="superscript"/>
        </w:rPr>
        <w:t>)</w:t>
      </w:r>
      <w:r w:rsidRPr="00EB6B22">
        <w:rPr>
          <w:rFonts w:ascii="Times New Roman" w:hAnsi="Times New Roman"/>
        </w:rPr>
        <w:t>, zachowanie wiarygodności ram fiskalnych wymaga przejrzystego stosowania klauzul wyjścia. Wysoki stopień ni</w:t>
      </w:r>
      <w:r w:rsidRPr="00402F6C">
        <w:rPr>
          <w:rFonts w:ascii="Times New Roman" w:hAnsi="Times New Roman"/>
        </w:rPr>
        <w:t xml:space="preserve">epewności związany z kryzysem wywołanym pandemią uzasadnia bardziej elastyczne podejście do reguł budżetowych, nie powinno ono jednak przeradzać się w nadmierną uznaniowość władz ani zagrażać powrotowi do tych reguł w średnim okresie. Uruchomieniu klauzuli wyjścia powinno towarzyszyć m.in. określenie okresu zawieszenia reguły budżetowej. </w:t>
      </w:r>
    </w:p>
    <w:p w14:paraId="0884502A" w14:textId="0F05170B" w:rsidR="00435EE5" w:rsidRPr="00402F6C" w:rsidRDefault="00BF1BD2">
      <w:pPr>
        <w:spacing w:before="120" w:line="360" w:lineRule="auto"/>
        <w:jc w:val="both"/>
        <w:rPr>
          <w:rFonts w:ascii="Times New Roman" w:eastAsiaTheme="minorEastAsia" w:hAnsi="Times New Roman"/>
        </w:rPr>
      </w:pPr>
      <w:r w:rsidRPr="00402F6C">
        <w:rPr>
          <w:rFonts w:ascii="Times New Roman" w:eastAsiaTheme="minorEastAsia" w:hAnsi="Times New Roman"/>
        </w:rPr>
        <w:t>Mając na uwadze powyższe, f</w:t>
      </w:r>
      <w:r w:rsidR="00435EE5" w:rsidRPr="00402F6C">
        <w:rPr>
          <w:rFonts w:ascii="Times New Roman" w:eastAsiaTheme="minorEastAsia" w:hAnsi="Times New Roman"/>
        </w:rPr>
        <w:t xml:space="preserve">ormuła powrotu </w:t>
      </w:r>
      <w:r w:rsidR="00E75630" w:rsidRPr="00402F6C">
        <w:rPr>
          <w:rFonts w:ascii="Times New Roman" w:eastAsiaTheme="minorEastAsia" w:hAnsi="Times New Roman"/>
        </w:rPr>
        <w:t xml:space="preserve">do </w:t>
      </w:r>
      <w:r w:rsidR="00435EE5" w:rsidRPr="00402F6C">
        <w:rPr>
          <w:rFonts w:ascii="Times New Roman" w:eastAsiaTheme="minorEastAsia" w:hAnsi="Times New Roman"/>
        </w:rPr>
        <w:t>stabilizującej reguły wydatkowej</w:t>
      </w:r>
      <w:r w:rsidR="00715EB6" w:rsidRPr="00402F6C">
        <w:rPr>
          <w:rFonts w:ascii="Times New Roman" w:eastAsiaTheme="minorEastAsia" w:hAnsi="Times New Roman"/>
        </w:rPr>
        <w:t xml:space="preserve"> </w:t>
      </w:r>
      <w:r w:rsidR="00E75630" w:rsidRPr="00402F6C">
        <w:rPr>
          <w:rFonts w:ascii="Times New Roman" w:eastAsiaTheme="minorEastAsia" w:hAnsi="Times New Roman"/>
        </w:rPr>
        <w:t>po roku</w:t>
      </w:r>
      <w:r w:rsidR="00715EB6" w:rsidRPr="00402F6C">
        <w:rPr>
          <w:rFonts w:ascii="Times New Roman" w:eastAsiaTheme="minorEastAsia" w:hAnsi="Times New Roman"/>
        </w:rPr>
        <w:t>,</w:t>
      </w:r>
      <w:r w:rsidR="00E75630" w:rsidRPr="00402F6C">
        <w:rPr>
          <w:rFonts w:ascii="Times New Roman" w:eastAsiaTheme="minorEastAsia" w:hAnsi="Times New Roman"/>
        </w:rPr>
        <w:t xml:space="preserve"> w którym spełniono warunki niezbędne do uruchomienia </w:t>
      </w:r>
      <w:r w:rsidR="00715EB6" w:rsidRPr="00402F6C">
        <w:rPr>
          <w:rFonts w:ascii="Times New Roman" w:eastAsiaTheme="minorEastAsia" w:hAnsi="Times New Roman"/>
        </w:rPr>
        <w:t xml:space="preserve">określonej w art. 112d ust. 1 </w:t>
      </w:r>
      <w:r w:rsidR="0081375D" w:rsidRPr="00402F6C">
        <w:rPr>
          <w:rFonts w:ascii="Times New Roman" w:eastAsiaTheme="minorEastAsia" w:hAnsi="Times New Roman"/>
        </w:rPr>
        <w:t xml:space="preserve">ustawy o finansach publicznych </w:t>
      </w:r>
      <w:r w:rsidR="00715EB6" w:rsidRPr="00402F6C">
        <w:rPr>
          <w:rFonts w:ascii="Times New Roman" w:eastAsiaTheme="minorEastAsia" w:hAnsi="Times New Roman"/>
        </w:rPr>
        <w:t xml:space="preserve">klauzuli wyjścia </w:t>
      </w:r>
      <w:r w:rsidR="00435EE5" w:rsidRPr="00402F6C">
        <w:rPr>
          <w:rFonts w:ascii="Times New Roman" w:eastAsiaTheme="minorEastAsia" w:hAnsi="Times New Roman"/>
        </w:rPr>
        <w:t>została określona we wzorze:</w:t>
      </w:r>
    </w:p>
    <w:p w14:paraId="5704163A" w14:textId="77777777" w:rsidR="00435EE5" w:rsidRPr="00402F6C" w:rsidRDefault="00DC71BC">
      <w:pPr>
        <w:spacing w:before="120" w:line="360" w:lineRule="auto"/>
        <w:jc w:val="both"/>
        <w:rPr>
          <w:rFonts w:ascii="Times New Roman" w:eastAsiaTheme="minorEastAsia" w:hAnsi="Times New Roman"/>
        </w:rPr>
      </w:pPr>
      <m:oMathPara>
        <m:oMath>
          <m:sSubSup>
            <m:sSubSupPr>
              <m:ctrlPr>
                <w:rPr>
                  <w:rFonts w:ascii="Cambria Math" w:hAnsi="Cambria Math"/>
                  <w:i/>
                </w:rPr>
              </m:ctrlPr>
            </m:sSubSupPr>
            <m:e>
              <m:r>
                <w:rPr>
                  <w:rFonts w:ascii="Cambria Math" w:hAnsi="Cambria Math"/>
                </w:rPr>
                <m:t>WYD</m:t>
              </m:r>
            </m:e>
            <m:sub>
              <m:r>
                <w:rPr>
                  <w:rFonts w:ascii="Cambria Math" w:hAnsi="Cambria Math"/>
                </w:rPr>
                <m:t>s+i</m:t>
              </m:r>
            </m:sub>
            <m:sup>
              <m:r>
                <w:rPr>
                  <w:rFonts w:ascii="Cambria Math" w:hAnsi="Cambria Math"/>
                </w:rPr>
                <m:t>S</m:t>
              </m:r>
            </m:sup>
          </m:sSubSup>
          <m:r>
            <w:rPr>
              <w:rFonts w:ascii="Cambria Math" w:hAnsi="Cambria Math"/>
            </w:rPr>
            <m:t>=</m:t>
          </m:r>
          <m:sSub>
            <m:sSubPr>
              <m:ctrlPr>
                <w:rPr>
                  <w:rFonts w:ascii="Cambria Math" w:hAnsi="Cambria Math"/>
                  <w:i/>
                </w:rPr>
              </m:ctrlPr>
            </m:sSubPr>
            <m:e>
              <m:r>
                <w:rPr>
                  <w:rFonts w:ascii="Cambria Math" w:hAnsi="Cambria Math"/>
                </w:rPr>
                <m:t>WYD</m:t>
              </m:r>
            </m:e>
            <m:sub>
              <m:r>
                <w:rPr>
                  <w:rFonts w:ascii="Cambria Math" w:hAnsi="Cambria Math"/>
                </w:rPr>
                <m:t>n</m:t>
              </m:r>
            </m:sub>
          </m:sSub>
          <m:r>
            <w:rPr>
              <w:rFonts w:ascii="Cambria Math" w:hAnsi="Cambria Math"/>
            </w:rPr>
            <m:t>+</m:t>
          </m:r>
          <m:f>
            <m:fPr>
              <m:ctrlPr>
                <w:rPr>
                  <w:rFonts w:ascii="Cambria Math" w:hAnsi="Cambria Math"/>
                  <w:i/>
                </w:rPr>
              </m:ctrlPr>
            </m:fPr>
            <m:num>
              <m:r>
                <w:rPr>
                  <w:rFonts w:ascii="Cambria Math" w:hAnsi="Cambria Math"/>
                </w:rPr>
                <m:t>k-i</m:t>
              </m:r>
            </m:num>
            <m:den>
              <m:r>
                <w:rPr>
                  <w:rFonts w:ascii="Cambria Math" w:hAnsi="Cambria Math"/>
                </w:rPr>
                <m:t>k</m:t>
              </m:r>
            </m:den>
          </m:f>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s</m:t>
              </m:r>
            </m:sub>
          </m:sSub>
          <m:r>
            <w:rPr>
              <w:rFonts w:ascii="Cambria Math" w:hAnsi="Cambria Math"/>
            </w:rPr>
            <m:t>+</m:t>
          </m:r>
          <m:sSub>
            <m:sSubPr>
              <m:ctrlPr>
                <w:rPr>
                  <w:rFonts w:ascii="Cambria Math" w:hAnsi="Cambria Math"/>
                  <w:i/>
                </w:rPr>
              </m:ctrlPr>
            </m:sSubPr>
            <m:e>
              <m:sSup>
                <m:sSupPr>
                  <m:ctrlPr>
                    <w:rPr>
                      <w:rFonts w:ascii="Cambria Math" w:hAnsi="Cambria Math"/>
                      <w:i/>
                    </w:rPr>
                  </m:ctrlPr>
                </m:sSupPr>
                <m:e>
                  <m:r>
                    <w:rPr>
                      <w:rFonts w:ascii="Cambria Math" w:hAnsi="Cambria Math"/>
                    </w:rPr>
                    <m:t>S</m:t>
                  </m:r>
                </m:e>
                <m:sup>
                  <m:r>
                    <w:rPr>
                      <w:rFonts w:ascii="Cambria Math" w:hAnsi="Cambria Math"/>
                    </w:rPr>
                    <m:t>'</m:t>
                  </m:r>
                </m:sup>
              </m:sSup>
            </m:e>
            <m:sub>
              <m:r>
                <w:rPr>
                  <w:rFonts w:ascii="Cambria Math" w:hAnsi="Cambria Math"/>
                </w:rPr>
                <m:t>s</m:t>
              </m:r>
            </m:sub>
          </m:sSub>
          <m:r>
            <w:rPr>
              <w:rFonts w:ascii="Cambria Math" w:eastAsiaTheme="minorEastAsia" w:hAnsi="Cambria Math"/>
            </w:rPr>
            <m:t>)</m:t>
          </m:r>
        </m:oMath>
      </m:oMathPara>
    </w:p>
    <w:p w14:paraId="52D58709" w14:textId="77777777" w:rsidR="00435EE5" w:rsidRPr="00402F6C" w:rsidRDefault="00435EE5">
      <w:pPr>
        <w:spacing w:before="120" w:line="360" w:lineRule="auto"/>
        <w:jc w:val="both"/>
        <w:rPr>
          <w:rFonts w:ascii="Times New Roman" w:eastAsiaTheme="minorEastAsia" w:hAnsi="Times New Roman"/>
        </w:rPr>
      </w:pPr>
      <w:r w:rsidRPr="00402F6C">
        <w:rPr>
          <w:rFonts w:ascii="Times New Roman" w:eastAsiaTheme="minorEastAsia" w:hAnsi="Times New Roman"/>
        </w:rPr>
        <w:t>w którym poszczególne symbole oznaczają:</w:t>
      </w:r>
    </w:p>
    <w:p w14:paraId="64AA478C" w14:textId="27E4303A" w:rsidR="00AC4AE3" w:rsidRPr="00402F6C" w:rsidRDefault="00DC71BC" w:rsidP="00A72ACC">
      <w:pPr>
        <w:spacing w:before="120" w:line="360" w:lineRule="auto"/>
        <w:rPr>
          <w:rFonts w:ascii="Times New Roman" w:eastAsiaTheme="minorEastAsia" w:hAnsi="Times New Roman"/>
        </w:rPr>
      </w:pPr>
      <m:oMath>
        <m:sSubSup>
          <m:sSubSupPr>
            <m:ctrlPr>
              <w:rPr>
                <w:rFonts w:ascii="Cambria Math" w:hAnsi="Cambria Math"/>
                <w:i/>
              </w:rPr>
            </m:ctrlPr>
          </m:sSubSupPr>
          <m:e>
            <m:r>
              <w:rPr>
                <w:rFonts w:ascii="Cambria Math" w:hAnsi="Cambria Math"/>
              </w:rPr>
              <m:t>WYD</m:t>
            </m:r>
          </m:e>
          <m:sub>
            <m:r>
              <w:rPr>
                <w:rFonts w:ascii="Cambria Math" w:hAnsi="Cambria Math"/>
              </w:rPr>
              <m:t>s+i</m:t>
            </m:r>
          </m:sub>
          <m:sup>
            <m:r>
              <w:rPr>
                <w:rFonts w:ascii="Cambria Math" w:hAnsi="Cambria Math"/>
              </w:rPr>
              <m:t>S</m:t>
            </m:r>
          </m:sup>
        </m:sSubSup>
      </m:oMath>
      <w:r w:rsidR="00AC4AE3" w:rsidRPr="00EB6B22">
        <w:rPr>
          <w:rFonts w:ascii="Times New Roman" w:eastAsiaTheme="minorEastAsia" w:hAnsi="Times New Roman"/>
        </w:rPr>
        <w:t xml:space="preserve"> </w:t>
      </w:r>
      <w:r w:rsidR="00402F6C">
        <w:rPr>
          <w:rFonts w:ascii="Times New Roman" w:eastAsiaTheme="minorEastAsia" w:hAnsi="Times New Roman"/>
        </w:rPr>
        <w:t>–</w:t>
      </w:r>
      <w:r w:rsidR="00AC4AE3" w:rsidRPr="00EB6B22">
        <w:rPr>
          <w:rFonts w:ascii="Times New Roman" w:eastAsiaTheme="minorEastAsia" w:hAnsi="Times New Roman"/>
        </w:rPr>
        <w:t xml:space="preserve"> kwota wydatków</w:t>
      </w:r>
      <w:r w:rsidR="00AC4AE3" w:rsidRPr="00402F6C">
        <w:rPr>
          <w:rFonts w:ascii="Times New Roman" w:eastAsiaTheme="minorEastAsia" w:hAnsi="Times New Roman"/>
        </w:rPr>
        <w:t xml:space="preserve">, o której mowa w art. 112aa ust. 1, powiększona o </w:t>
      </w:r>
      <w:r w:rsidR="00852BDD" w:rsidRPr="00402F6C">
        <w:rPr>
          <w:rFonts w:ascii="Times New Roman" w:eastAsiaTheme="minorEastAsia" w:hAnsi="Times New Roman"/>
        </w:rPr>
        <w:t xml:space="preserve">skutki </w:t>
      </w:r>
      <w:r w:rsidR="00AC4AE3" w:rsidRPr="00402F6C">
        <w:rPr>
          <w:rFonts w:ascii="Times New Roman" w:eastAsiaTheme="minorEastAsia" w:hAnsi="Times New Roman"/>
        </w:rPr>
        <w:t>związane ze stan</w:t>
      </w:r>
      <w:r w:rsidR="00852BDD" w:rsidRPr="00402F6C">
        <w:rPr>
          <w:rFonts w:ascii="Times New Roman" w:eastAsiaTheme="minorEastAsia" w:hAnsi="Times New Roman"/>
        </w:rPr>
        <w:t>em</w:t>
      </w:r>
      <w:r w:rsidR="00AC4AE3" w:rsidRPr="00402F6C">
        <w:rPr>
          <w:rFonts w:ascii="Times New Roman" w:eastAsiaTheme="minorEastAsia" w:hAnsi="Times New Roman"/>
        </w:rPr>
        <w:t>, o którym mowa w ust. 1,</w:t>
      </w:r>
    </w:p>
    <w:p w14:paraId="7387B98C" w14:textId="266598CB" w:rsidR="00AC4AE3" w:rsidRPr="00402F6C" w:rsidRDefault="00DC71BC" w:rsidP="00A72ACC">
      <w:pPr>
        <w:spacing w:before="120" w:line="360" w:lineRule="auto"/>
        <w:rPr>
          <w:rFonts w:ascii="Times New Roman" w:eastAsiaTheme="minorEastAsia" w:hAnsi="Times New Roman"/>
        </w:rPr>
      </w:pPr>
      <m:oMath>
        <m:sSub>
          <m:sSubPr>
            <m:ctrlPr>
              <w:rPr>
                <w:rFonts w:ascii="Cambria Math" w:hAnsi="Cambria Math"/>
                <w:i/>
              </w:rPr>
            </m:ctrlPr>
          </m:sSubPr>
          <m:e>
            <m:r>
              <w:rPr>
                <w:rFonts w:ascii="Cambria Math" w:hAnsi="Cambria Math"/>
              </w:rPr>
              <m:t>WYD</m:t>
            </m:r>
          </m:e>
          <m:sub>
            <m:r>
              <w:rPr>
                <w:rFonts w:ascii="Cambria Math" w:hAnsi="Cambria Math"/>
              </w:rPr>
              <m:t>n</m:t>
            </m:r>
          </m:sub>
        </m:sSub>
      </m:oMath>
      <w:r w:rsidR="00AC4AE3" w:rsidRPr="00EB6B22">
        <w:rPr>
          <w:rFonts w:ascii="Times New Roman" w:eastAsiaTheme="minorEastAsia" w:hAnsi="Times New Roman"/>
        </w:rPr>
        <w:t xml:space="preserve"> </w:t>
      </w:r>
      <w:r w:rsidR="00402F6C">
        <w:rPr>
          <w:rFonts w:ascii="Times New Roman" w:eastAsiaTheme="minorEastAsia" w:hAnsi="Times New Roman"/>
        </w:rPr>
        <w:t>–</w:t>
      </w:r>
      <w:r w:rsidR="00AC4AE3" w:rsidRPr="00402F6C">
        <w:rPr>
          <w:rFonts w:ascii="Times New Roman" w:eastAsiaTheme="minorEastAsia" w:hAnsi="Times New Roman"/>
        </w:rPr>
        <w:t xml:space="preserve"> kwota wydatków, o której mowa w art. 112aa ust. 1,</w:t>
      </w:r>
      <w:r w:rsidR="00AC4AE3" w:rsidRPr="00402F6C">
        <w:rPr>
          <w:rFonts w:ascii="Times New Roman" w:hAnsi="Times New Roman"/>
          <w:lang w:eastAsia="pl-PL"/>
        </w:rPr>
        <w:t xml:space="preserve"> </w:t>
      </w:r>
    </w:p>
    <w:p w14:paraId="38E61B15" w14:textId="79276C5B" w:rsidR="00AC4AE3" w:rsidRPr="00402F6C" w:rsidRDefault="00AC4AE3" w:rsidP="00A72ACC">
      <w:pPr>
        <w:spacing w:before="120" w:line="360" w:lineRule="auto"/>
        <w:rPr>
          <w:rFonts w:ascii="Times New Roman" w:eastAsiaTheme="minorEastAsia" w:hAnsi="Times New Roman"/>
        </w:rPr>
      </w:pPr>
      <w:r w:rsidRPr="00402F6C">
        <w:rPr>
          <w:rFonts w:ascii="Times New Roman" w:eastAsiaTheme="minorEastAsia" w:hAnsi="Times New Roman"/>
        </w:rPr>
        <w:t xml:space="preserve">n </w:t>
      </w:r>
      <w:r w:rsidR="00402F6C">
        <w:rPr>
          <w:rFonts w:ascii="Times New Roman" w:eastAsiaTheme="minorEastAsia" w:hAnsi="Times New Roman"/>
        </w:rPr>
        <w:t>–</w:t>
      </w:r>
      <w:r w:rsidRPr="00402F6C">
        <w:rPr>
          <w:rFonts w:ascii="Times New Roman" w:eastAsiaTheme="minorEastAsia" w:hAnsi="Times New Roman"/>
        </w:rPr>
        <w:t xml:space="preserve"> rok, na który jest obliczana kwota wydatków, o której mowa w art. 112aa ust. 1,</w:t>
      </w:r>
      <w:r w:rsidRPr="00402F6C">
        <w:rPr>
          <w:rFonts w:ascii="Times New Roman" w:hAnsi="Times New Roman"/>
          <w:lang w:eastAsia="pl-PL"/>
        </w:rPr>
        <w:t xml:space="preserve"> </w:t>
      </w:r>
    </w:p>
    <w:p w14:paraId="6EA9CBC5" w14:textId="410D5374" w:rsidR="00AC4AE3" w:rsidRPr="00402F6C" w:rsidRDefault="00AC4AE3" w:rsidP="00A72ACC">
      <w:pPr>
        <w:spacing w:before="120" w:line="360" w:lineRule="auto"/>
        <w:rPr>
          <w:rFonts w:ascii="Times New Roman" w:eastAsiaTheme="minorEastAsia" w:hAnsi="Times New Roman"/>
        </w:rPr>
      </w:pPr>
      <w:r w:rsidRPr="00402F6C">
        <w:rPr>
          <w:rFonts w:ascii="Times New Roman" w:eastAsiaTheme="minorEastAsia" w:hAnsi="Times New Roman"/>
        </w:rPr>
        <w:t xml:space="preserve">s </w:t>
      </w:r>
      <w:r w:rsidR="00402F6C">
        <w:rPr>
          <w:rFonts w:ascii="Times New Roman" w:eastAsiaTheme="minorEastAsia" w:hAnsi="Times New Roman"/>
        </w:rPr>
        <w:t>–</w:t>
      </w:r>
      <w:r w:rsidRPr="00402F6C">
        <w:rPr>
          <w:rFonts w:ascii="Times New Roman" w:eastAsiaTheme="minorEastAsia" w:hAnsi="Times New Roman"/>
        </w:rPr>
        <w:t xml:space="preserve"> rok spełnienia warunków, o których mowa w ust. 1,</w:t>
      </w:r>
    </w:p>
    <w:p w14:paraId="78375D2D" w14:textId="7D5EFCFD" w:rsidR="00AC4AE3" w:rsidRPr="00402F6C" w:rsidRDefault="00AC4AE3" w:rsidP="00A72ACC">
      <w:pPr>
        <w:spacing w:before="120" w:line="360" w:lineRule="auto"/>
        <w:rPr>
          <w:rFonts w:ascii="Times New Roman" w:eastAsiaTheme="minorEastAsia" w:hAnsi="Times New Roman"/>
        </w:rPr>
      </w:pPr>
      <w:r w:rsidRPr="00402F6C">
        <w:rPr>
          <w:rFonts w:ascii="Times New Roman" w:eastAsiaTheme="minorEastAsia" w:hAnsi="Times New Roman"/>
        </w:rPr>
        <w:t xml:space="preserve">i </w:t>
      </w:r>
      <w:r w:rsidR="00402F6C">
        <w:rPr>
          <w:rFonts w:ascii="Times New Roman" w:eastAsiaTheme="minorEastAsia" w:hAnsi="Times New Roman"/>
        </w:rPr>
        <w:t>–</w:t>
      </w:r>
      <w:r w:rsidRPr="00402F6C">
        <w:rPr>
          <w:rFonts w:ascii="Times New Roman" w:eastAsiaTheme="minorEastAsia" w:hAnsi="Times New Roman"/>
        </w:rPr>
        <w:t xml:space="preserve"> kolejne lata </w:t>
      </w:r>
      <w:r w:rsidR="00715EB6" w:rsidRPr="00402F6C">
        <w:rPr>
          <w:rFonts w:ascii="Times New Roman" w:eastAsiaTheme="minorEastAsia" w:hAnsi="Times New Roman"/>
        </w:rPr>
        <w:t>po roku, w którym spełniono warunki</w:t>
      </w:r>
      <w:r w:rsidRPr="00402F6C">
        <w:rPr>
          <w:rFonts w:ascii="Times New Roman" w:eastAsiaTheme="minorEastAsia" w:hAnsi="Times New Roman"/>
        </w:rPr>
        <w:t>, o których mowa w ust. 1, i={1, 2, 3},</w:t>
      </w:r>
    </w:p>
    <w:p w14:paraId="7EFE7C62" w14:textId="1DDC0CCB" w:rsidR="00AC4AE3" w:rsidRPr="00402F6C" w:rsidRDefault="00AC4AE3" w:rsidP="00A72ACC">
      <w:pPr>
        <w:spacing w:before="120" w:line="360" w:lineRule="auto"/>
        <w:jc w:val="both"/>
        <w:rPr>
          <w:rFonts w:ascii="Times New Roman" w:eastAsiaTheme="minorEastAsia" w:hAnsi="Times New Roman"/>
        </w:rPr>
      </w:pPr>
      <w:r w:rsidRPr="00402F6C">
        <w:rPr>
          <w:rFonts w:ascii="Times New Roman" w:eastAsiaTheme="minorEastAsia" w:hAnsi="Times New Roman"/>
        </w:rPr>
        <w:t xml:space="preserve">k </w:t>
      </w:r>
      <w:r w:rsidR="00402F6C">
        <w:rPr>
          <w:rFonts w:ascii="Times New Roman" w:eastAsiaTheme="minorEastAsia" w:hAnsi="Times New Roman"/>
        </w:rPr>
        <w:t>–</w:t>
      </w:r>
      <w:r w:rsidRPr="00402F6C">
        <w:rPr>
          <w:rFonts w:ascii="Times New Roman" w:eastAsiaTheme="minorEastAsia" w:hAnsi="Times New Roman"/>
        </w:rPr>
        <w:t xml:space="preserve"> rok, w którym kwota wydatków będzie obliczona zgodnie z art.112aa ust.1, licząc od roku </w:t>
      </w:r>
      <w:r w:rsidR="00840B7C" w:rsidRPr="00402F6C">
        <w:rPr>
          <w:rFonts w:ascii="Times New Roman" w:eastAsiaTheme="minorEastAsia" w:hAnsi="Times New Roman"/>
        </w:rPr>
        <w:t xml:space="preserve">następującego po roku </w:t>
      </w:r>
      <w:r w:rsidRPr="00402F6C">
        <w:rPr>
          <w:rFonts w:ascii="Times New Roman" w:eastAsiaTheme="minorEastAsia" w:hAnsi="Times New Roman"/>
        </w:rPr>
        <w:t>spełnienia warunków, o których mowa w ust. 1</w:t>
      </w:r>
      <w:r w:rsidR="008D0CF3" w:rsidRPr="00402F6C">
        <w:rPr>
          <w:rFonts w:ascii="Times New Roman" w:eastAsiaTheme="minorEastAsia" w:hAnsi="Times New Roman"/>
        </w:rPr>
        <w:t>,</w:t>
      </w:r>
      <w:r w:rsidRPr="00402F6C">
        <w:rPr>
          <w:rFonts w:ascii="Times New Roman" w:eastAsiaTheme="minorEastAsia" w:hAnsi="Times New Roman"/>
        </w:rPr>
        <w:t xml:space="preserve"> k={2, 3, 4},</w:t>
      </w:r>
    </w:p>
    <w:p w14:paraId="6AC92243" w14:textId="5F6AC188" w:rsidR="00806FFF" w:rsidRPr="00402F6C" w:rsidRDefault="00DC71BC" w:rsidP="00A72ACC">
      <w:pPr>
        <w:spacing w:before="120" w:line="360" w:lineRule="auto"/>
        <w:jc w:val="both"/>
        <w:rPr>
          <w:rFonts w:ascii="Times New Roman" w:eastAsiaTheme="minorEastAsia" w:hAnsi="Times New Roman"/>
        </w:rPr>
      </w:pPr>
      <m:oMath>
        <m:sSub>
          <m:sSubPr>
            <m:ctrlPr>
              <w:rPr>
                <w:rFonts w:ascii="Cambria Math" w:eastAsiaTheme="minorEastAsia" w:hAnsi="Cambria Math"/>
              </w:rPr>
            </m:ctrlPr>
          </m:sSubPr>
          <m:e>
            <m:r>
              <w:rPr>
                <w:rFonts w:ascii="Cambria Math" w:eastAsiaTheme="minorEastAsia" w:hAnsi="Cambria Math"/>
              </w:rPr>
              <m:t>S</m:t>
            </m:r>
          </m:e>
          <m:sub>
            <m:r>
              <w:rPr>
                <w:rFonts w:ascii="Cambria Math" w:eastAsiaTheme="minorEastAsia" w:hAnsi="Cambria Math"/>
              </w:rPr>
              <m:t>s</m:t>
            </m:r>
          </m:sub>
        </m:sSub>
      </m:oMath>
      <w:r w:rsidR="00806FFF" w:rsidRPr="00EB6B22">
        <w:rPr>
          <w:rFonts w:ascii="Times New Roman" w:eastAsiaTheme="minorEastAsia" w:hAnsi="Times New Roman"/>
        </w:rPr>
        <w:t xml:space="preserve"> </w:t>
      </w:r>
      <w:r w:rsidR="00402F6C">
        <w:rPr>
          <w:rFonts w:ascii="Times New Roman" w:eastAsiaTheme="minorEastAsia" w:hAnsi="Times New Roman"/>
        </w:rPr>
        <w:t>–</w:t>
      </w:r>
      <w:r w:rsidR="00806FFF" w:rsidRPr="00402F6C">
        <w:rPr>
          <w:rFonts w:ascii="Times New Roman" w:eastAsiaTheme="minorEastAsia" w:hAnsi="Times New Roman"/>
        </w:rPr>
        <w:t xml:space="preserve"> suma prognozowanych w projekcie ustawy budżetowej na rok n przedłożonym Sejmowi lub w projekcie ustawy zmieniającej ustawę budżetową na rok n przedłożonym Sejmowi skutków finansowych po stronie dochodów i wydatków </w:t>
      </w:r>
      <w:r w:rsidR="00806FFF" w:rsidRPr="00402F6C">
        <w:rPr>
          <w:rFonts w:ascii="Times New Roman" w:eastAsiaTheme="minorEastAsia" w:hAnsi="Times New Roman"/>
        </w:rPr>
        <w:lastRenderedPageBreak/>
        <w:t>wynikających z działań dyskrecjonalnych bezpośrednio nakierowanych na powstrzymanie skutków stanu, o którym mowa w ust. 1</w:t>
      </w:r>
      <w:r w:rsidR="00B62C72" w:rsidRPr="00402F6C">
        <w:rPr>
          <w:rFonts w:ascii="Times New Roman" w:eastAsiaTheme="minorEastAsia" w:hAnsi="Times New Roman"/>
        </w:rPr>
        <w:t xml:space="preserve">, i walkę z tymi skutkami </w:t>
      </w:r>
      <w:r w:rsidR="00806FFF" w:rsidRPr="00402F6C">
        <w:rPr>
          <w:rFonts w:ascii="Times New Roman" w:eastAsiaTheme="minorEastAsia" w:hAnsi="Times New Roman"/>
        </w:rPr>
        <w:t>oraz na bezpośrednie wsparcie i odbudowę dotkniętych nim podmiotów,</w:t>
      </w:r>
    </w:p>
    <w:p w14:paraId="41346657" w14:textId="228D5179" w:rsidR="00806FFF" w:rsidRPr="00402F6C" w:rsidRDefault="00DC71BC" w:rsidP="00A72ACC">
      <w:pPr>
        <w:spacing w:before="120" w:line="360" w:lineRule="auto"/>
        <w:jc w:val="both"/>
        <w:rPr>
          <w:rFonts w:ascii="Times New Roman" w:eastAsiaTheme="minorEastAsia" w:hAnsi="Times New Roman"/>
        </w:rPr>
      </w:pPr>
      <m:oMath>
        <m:sSub>
          <m:sSubPr>
            <m:ctrlPr>
              <w:rPr>
                <w:rFonts w:ascii="Cambria Math" w:eastAsiaTheme="minorEastAsia" w:hAnsi="Cambria Math"/>
              </w:rPr>
            </m:ctrlPr>
          </m:sSubPr>
          <m:e>
            <m:r>
              <w:rPr>
                <w:rFonts w:ascii="Cambria Math" w:eastAsiaTheme="minorEastAsia" w:hAnsi="Cambria Math"/>
              </w:rPr>
              <m:t>S</m:t>
            </m:r>
            <m:r>
              <m:rPr>
                <m:sty m:val="p"/>
              </m:rPr>
              <w:rPr>
                <w:rFonts w:ascii="Cambria Math" w:eastAsiaTheme="minorEastAsia" w:hAnsi="Cambria Math"/>
              </w:rPr>
              <m:t>'</m:t>
            </m:r>
          </m:e>
          <m:sub>
            <m:r>
              <w:rPr>
                <w:rFonts w:ascii="Cambria Math" w:eastAsiaTheme="minorEastAsia" w:hAnsi="Cambria Math"/>
              </w:rPr>
              <m:t>s</m:t>
            </m:r>
          </m:sub>
        </m:sSub>
      </m:oMath>
      <w:r w:rsidR="00806FFF" w:rsidRPr="00EB6B22">
        <w:rPr>
          <w:rFonts w:ascii="Times New Roman" w:eastAsiaTheme="minorEastAsia" w:hAnsi="Times New Roman"/>
        </w:rPr>
        <w:t xml:space="preserve"> </w:t>
      </w:r>
      <w:r w:rsidR="00402F6C">
        <w:rPr>
          <w:rFonts w:ascii="Times New Roman" w:eastAsiaTheme="minorEastAsia" w:hAnsi="Times New Roman"/>
        </w:rPr>
        <w:t>–</w:t>
      </w:r>
      <w:r w:rsidR="00806FFF" w:rsidRPr="00402F6C">
        <w:rPr>
          <w:rFonts w:ascii="Times New Roman" w:eastAsiaTheme="minorEastAsia" w:hAnsi="Times New Roman"/>
        </w:rPr>
        <w:t xml:space="preserve"> korekta sumy skutków finansowych po stronie dochodów i wydatków poniesionych w roku s wynikających z działań dyskrecjonalnych bezpośrednio nakierowanych na powstrzymanie skutków stanu, o którym mowa w ust. 1</w:t>
      </w:r>
      <w:r w:rsidR="00B62C72" w:rsidRPr="00402F6C">
        <w:rPr>
          <w:rFonts w:ascii="Times New Roman" w:eastAsiaTheme="minorEastAsia" w:hAnsi="Times New Roman"/>
        </w:rPr>
        <w:t>, i walkę z tymi skutkami</w:t>
      </w:r>
      <w:r w:rsidR="00806FFF" w:rsidRPr="00402F6C">
        <w:rPr>
          <w:rFonts w:ascii="Times New Roman" w:eastAsiaTheme="minorEastAsia" w:hAnsi="Times New Roman"/>
        </w:rPr>
        <w:t xml:space="preserve"> oraz na bezpośrednie wsparcie i odbud</w:t>
      </w:r>
      <w:r w:rsidR="00B62C72" w:rsidRPr="00402F6C">
        <w:rPr>
          <w:rFonts w:ascii="Times New Roman" w:eastAsiaTheme="minorEastAsia" w:hAnsi="Times New Roman"/>
        </w:rPr>
        <w:t xml:space="preserve">owę dotkniętych nim podmiotów, </w:t>
      </w:r>
      <w:r w:rsidR="00806FFF" w:rsidRPr="00402F6C">
        <w:rPr>
          <w:rFonts w:ascii="Times New Roman" w:eastAsiaTheme="minorEastAsia" w:hAnsi="Times New Roman"/>
        </w:rPr>
        <w:t>wynikająca ze sprawozdania z wykonania ustawy budżetowej na rok s albo 0 w pozostałych przypadkach.</w:t>
      </w:r>
    </w:p>
    <w:p w14:paraId="4192A156" w14:textId="26D5FBAB" w:rsidR="00861900" w:rsidRPr="00402F6C" w:rsidRDefault="00D2093B" w:rsidP="00A72ACC">
      <w:pPr>
        <w:spacing w:before="120" w:line="360" w:lineRule="auto"/>
        <w:jc w:val="both"/>
        <w:rPr>
          <w:rFonts w:ascii="Times New Roman" w:eastAsiaTheme="minorEastAsia" w:hAnsi="Times New Roman"/>
        </w:rPr>
      </w:pPr>
      <w:r w:rsidRPr="00402F6C">
        <w:rPr>
          <w:rFonts w:ascii="Times New Roman" w:eastAsiaTheme="minorEastAsia" w:hAnsi="Times New Roman"/>
        </w:rPr>
        <w:t>Powyższe sumy</w:t>
      </w:r>
      <w:r w:rsidR="00861900" w:rsidRPr="00402F6C">
        <w:rPr>
          <w:rFonts w:ascii="Times New Roman" w:eastAsiaTheme="minorEastAsia" w:hAnsi="Times New Roman"/>
        </w:rPr>
        <w:t xml:space="preserve"> </w:t>
      </w:r>
      <w:r w:rsidR="00052586" w:rsidRPr="00402F6C">
        <w:rPr>
          <w:rFonts w:ascii="Times New Roman" w:eastAsiaTheme="minorEastAsia" w:hAnsi="Times New Roman"/>
        </w:rPr>
        <w:t>skutków</w:t>
      </w:r>
      <w:r w:rsidR="00861900" w:rsidRPr="00402F6C">
        <w:rPr>
          <w:rFonts w:ascii="Times New Roman" w:eastAsiaTheme="minorEastAsia" w:hAnsi="Times New Roman"/>
        </w:rPr>
        <w:t xml:space="preserve"> </w:t>
      </w:r>
      <w:r w:rsidR="00052586" w:rsidRPr="00402F6C">
        <w:rPr>
          <w:rFonts w:ascii="Times New Roman" w:eastAsiaTheme="minorEastAsia" w:hAnsi="Times New Roman"/>
        </w:rPr>
        <w:t>stanowi</w:t>
      </w:r>
      <w:r w:rsidRPr="00402F6C">
        <w:rPr>
          <w:rFonts w:ascii="Times New Roman" w:eastAsiaTheme="minorEastAsia" w:hAnsi="Times New Roman"/>
        </w:rPr>
        <w:t>ą</w:t>
      </w:r>
      <w:r w:rsidR="00052586" w:rsidRPr="00402F6C">
        <w:rPr>
          <w:rFonts w:ascii="Times New Roman" w:eastAsiaTheme="minorEastAsia" w:hAnsi="Times New Roman"/>
        </w:rPr>
        <w:t xml:space="preserve"> </w:t>
      </w:r>
      <w:r w:rsidR="00861900" w:rsidRPr="00402F6C">
        <w:rPr>
          <w:rFonts w:ascii="Times New Roman" w:eastAsiaTheme="minorEastAsia" w:hAnsi="Times New Roman"/>
        </w:rPr>
        <w:t xml:space="preserve">skonsolidowaną </w:t>
      </w:r>
      <w:r w:rsidR="00052586" w:rsidRPr="00402F6C">
        <w:rPr>
          <w:rFonts w:ascii="Times New Roman" w:eastAsiaTheme="minorEastAsia" w:hAnsi="Times New Roman"/>
        </w:rPr>
        <w:t>wartość działań po stronie dochodowej</w:t>
      </w:r>
      <w:r w:rsidR="00861900" w:rsidRPr="00402F6C">
        <w:rPr>
          <w:rFonts w:ascii="Times New Roman" w:eastAsiaTheme="minorEastAsia" w:hAnsi="Times New Roman"/>
        </w:rPr>
        <w:t xml:space="preserve"> </w:t>
      </w:r>
      <w:r w:rsidR="00145F5C" w:rsidRPr="00402F6C">
        <w:rPr>
          <w:rFonts w:ascii="Times New Roman" w:eastAsiaTheme="minorEastAsia" w:hAnsi="Times New Roman"/>
        </w:rPr>
        <w:t xml:space="preserve">(wartość bezwzględna w przypadku działań powodujących ubytek dochodów) </w:t>
      </w:r>
      <w:r w:rsidR="00861900" w:rsidRPr="00402F6C">
        <w:rPr>
          <w:rFonts w:ascii="Times New Roman" w:eastAsiaTheme="minorEastAsia" w:hAnsi="Times New Roman"/>
        </w:rPr>
        <w:t>i wydatkowej</w:t>
      </w:r>
      <w:r w:rsidR="00145F5C" w:rsidRPr="00402F6C">
        <w:rPr>
          <w:rFonts w:ascii="Times New Roman" w:eastAsiaTheme="minorEastAsia" w:hAnsi="Times New Roman"/>
        </w:rPr>
        <w:t xml:space="preserve"> nakierowanych na powstrzymanie i walkę ze skutkami ww. stanu</w:t>
      </w:r>
      <w:r w:rsidR="00861900" w:rsidRPr="00402F6C">
        <w:rPr>
          <w:rFonts w:ascii="Times New Roman" w:eastAsiaTheme="minorEastAsia" w:hAnsi="Times New Roman"/>
        </w:rPr>
        <w:t>. Jednocześnie</w:t>
      </w:r>
      <w:r w:rsidR="00531460">
        <w:rPr>
          <w:rFonts w:ascii="Times New Roman" w:eastAsiaTheme="minorEastAsia" w:hAnsi="Times New Roman"/>
        </w:rPr>
        <w:t>,</w:t>
      </w:r>
      <w:r w:rsidR="00861900" w:rsidRPr="00402F6C">
        <w:rPr>
          <w:rFonts w:ascii="Times New Roman" w:eastAsiaTheme="minorEastAsia" w:hAnsi="Times New Roman"/>
        </w:rPr>
        <w:t xml:space="preserve"> mając na uwadze komunikat K</w:t>
      </w:r>
      <w:r w:rsidR="00420E4F" w:rsidRPr="00402F6C">
        <w:rPr>
          <w:rFonts w:ascii="Times New Roman" w:eastAsiaTheme="minorEastAsia" w:hAnsi="Times New Roman"/>
        </w:rPr>
        <w:t xml:space="preserve">omisji </w:t>
      </w:r>
      <w:r w:rsidR="00861900" w:rsidRPr="00402F6C">
        <w:rPr>
          <w:rFonts w:ascii="Times New Roman" w:eastAsiaTheme="minorEastAsia" w:hAnsi="Times New Roman"/>
        </w:rPr>
        <w:t>E</w:t>
      </w:r>
      <w:r w:rsidR="00420E4F" w:rsidRPr="00402F6C">
        <w:rPr>
          <w:rFonts w:ascii="Times New Roman" w:eastAsiaTheme="minorEastAsia" w:hAnsi="Times New Roman"/>
        </w:rPr>
        <w:t>uropejskiej</w:t>
      </w:r>
      <w:r w:rsidR="00861900" w:rsidRPr="00402F6C">
        <w:rPr>
          <w:rFonts w:ascii="Times New Roman" w:eastAsiaTheme="minorEastAsia" w:hAnsi="Times New Roman"/>
        </w:rPr>
        <w:t xml:space="preserve"> dotyczący zastosowania generalnej klauzuli wyjścia</w:t>
      </w:r>
      <w:r w:rsidR="00531460">
        <w:rPr>
          <w:rFonts w:ascii="Times New Roman" w:eastAsiaTheme="minorEastAsia" w:hAnsi="Times New Roman"/>
        </w:rPr>
        <w:t>,</w:t>
      </w:r>
      <w:r w:rsidR="00861900" w:rsidRPr="00402F6C">
        <w:rPr>
          <w:rFonts w:ascii="Times New Roman" w:eastAsiaTheme="minorEastAsia" w:hAnsi="Times New Roman"/>
        </w:rPr>
        <w:t xml:space="preserve"> należy dodać, że</w:t>
      </w:r>
      <w:r w:rsidR="00052586" w:rsidRPr="00402F6C">
        <w:rPr>
          <w:rFonts w:ascii="Times New Roman" w:eastAsiaTheme="minorEastAsia" w:hAnsi="Times New Roman"/>
        </w:rPr>
        <w:t xml:space="preserve"> </w:t>
      </w:r>
      <w:r w:rsidR="00DA76F2" w:rsidRPr="00402F6C">
        <w:rPr>
          <w:rFonts w:ascii="Times New Roman" w:eastAsiaTheme="minorEastAsia" w:hAnsi="Times New Roman"/>
        </w:rPr>
        <w:t xml:space="preserve">ww. suma obejmuje </w:t>
      </w:r>
      <w:r w:rsidR="00715EB6" w:rsidRPr="00402F6C">
        <w:rPr>
          <w:rFonts w:ascii="Times New Roman" w:eastAsiaTheme="minorEastAsia" w:hAnsi="Times New Roman"/>
        </w:rPr>
        <w:t xml:space="preserve">w szczególności </w:t>
      </w:r>
      <w:r w:rsidR="00EA25B4" w:rsidRPr="00402F6C">
        <w:rPr>
          <w:rFonts w:ascii="Times New Roman" w:eastAsiaTheme="minorEastAsia" w:hAnsi="Times New Roman"/>
        </w:rPr>
        <w:t xml:space="preserve">działania związane </w:t>
      </w:r>
      <w:r w:rsidR="00420E4F" w:rsidRPr="00402F6C">
        <w:rPr>
          <w:rFonts w:ascii="Times New Roman" w:hAnsi="Times New Roman"/>
        </w:rPr>
        <w:t xml:space="preserve">ze </w:t>
      </w:r>
      <w:r w:rsidR="00EA25B4" w:rsidRPr="00402F6C" w:rsidDel="003D73A7">
        <w:rPr>
          <w:rFonts w:ascii="Times New Roman" w:hAnsi="Times New Roman"/>
        </w:rPr>
        <w:t>zwiększenie</w:t>
      </w:r>
      <w:r w:rsidR="00420E4F" w:rsidRPr="00402F6C">
        <w:rPr>
          <w:rFonts w:ascii="Times New Roman" w:hAnsi="Times New Roman"/>
        </w:rPr>
        <w:t>m</w:t>
      </w:r>
      <w:r w:rsidR="00EA25B4" w:rsidRPr="00402F6C" w:rsidDel="003D73A7">
        <w:rPr>
          <w:rFonts w:ascii="Times New Roman" w:hAnsi="Times New Roman"/>
        </w:rPr>
        <w:t xml:space="preserve"> możliwości systemów opieki zdrowotnej, udzielanie</w:t>
      </w:r>
      <w:r w:rsidR="00DA76F2" w:rsidRPr="00402F6C">
        <w:rPr>
          <w:rFonts w:ascii="Times New Roman" w:hAnsi="Times New Roman"/>
        </w:rPr>
        <w:t>m</w:t>
      </w:r>
      <w:r w:rsidR="00EA25B4" w:rsidRPr="00402F6C" w:rsidDel="003D73A7">
        <w:rPr>
          <w:rFonts w:ascii="Times New Roman" w:hAnsi="Times New Roman"/>
        </w:rPr>
        <w:t xml:space="preserve"> pomocy obywatelom</w:t>
      </w:r>
      <w:r w:rsidR="00EA25B4" w:rsidRPr="00402F6C">
        <w:rPr>
          <w:rFonts w:ascii="Times New Roman" w:hAnsi="Times New Roman"/>
        </w:rPr>
        <w:t>, przedsiębiorstwom działający</w:t>
      </w:r>
      <w:r w:rsidR="00420E4F" w:rsidRPr="00402F6C">
        <w:rPr>
          <w:rFonts w:ascii="Times New Roman" w:hAnsi="Times New Roman"/>
        </w:rPr>
        <w:t>m</w:t>
      </w:r>
      <w:r w:rsidR="00EA25B4" w:rsidRPr="00402F6C">
        <w:rPr>
          <w:rFonts w:ascii="Times New Roman" w:hAnsi="Times New Roman"/>
        </w:rPr>
        <w:t xml:space="preserve"> w poszczególnych</w:t>
      </w:r>
      <w:r w:rsidR="00EA25B4" w:rsidRPr="00402F6C" w:rsidDel="003D73A7">
        <w:rPr>
          <w:rFonts w:ascii="Times New Roman" w:hAnsi="Times New Roman"/>
        </w:rPr>
        <w:t xml:space="preserve"> sektor</w:t>
      </w:r>
      <w:r w:rsidR="00EA25B4" w:rsidRPr="00402F6C">
        <w:rPr>
          <w:rFonts w:ascii="Times New Roman" w:hAnsi="Times New Roman"/>
        </w:rPr>
        <w:t>ach,</w:t>
      </w:r>
      <w:r w:rsidR="00DA76F2" w:rsidRPr="00402F6C">
        <w:rPr>
          <w:rFonts w:ascii="Times New Roman" w:hAnsi="Times New Roman"/>
        </w:rPr>
        <w:t xml:space="preserve"> </w:t>
      </w:r>
      <w:r w:rsidR="00E950BB" w:rsidRPr="00402F6C">
        <w:rPr>
          <w:rFonts w:ascii="Times New Roman" w:hAnsi="Times New Roman"/>
        </w:rPr>
        <w:t>najsilniej</w:t>
      </w:r>
      <w:r w:rsidR="00EA25B4" w:rsidRPr="00402F6C">
        <w:rPr>
          <w:rFonts w:ascii="Times New Roman" w:hAnsi="Times New Roman"/>
        </w:rPr>
        <w:t xml:space="preserve"> </w:t>
      </w:r>
      <w:r w:rsidR="00EA25B4" w:rsidRPr="00402F6C" w:rsidDel="003D73A7">
        <w:rPr>
          <w:rFonts w:ascii="Times New Roman" w:hAnsi="Times New Roman"/>
        </w:rPr>
        <w:t>dotknięt</w:t>
      </w:r>
      <w:r w:rsidR="00E950BB" w:rsidRPr="00402F6C">
        <w:rPr>
          <w:rFonts w:ascii="Times New Roman" w:hAnsi="Times New Roman"/>
        </w:rPr>
        <w:t>y</w:t>
      </w:r>
      <w:r w:rsidR="00420E4F" w:rsidRPr="00402F6C">
        <w:rPr>
          <w:rFonts w:ascii="Times New Roman" w:hAnsi="Times New Roman"/>
        </w:rPr>
        <w:t>m</w:t>
      </w:r>
      <w:r w:rsidR="008B344D" w:rsidRPr="00402F6C">
        <w:rPr>
          <w:rFonts w:ascii="Times New Roman" w:hAnsi="Times New Roman"/>
        </w:rPr>
        <w:t xml:space="preserve"> </w:t>
      </w:r>
      <w:r w:rsidR="00EA25B4" w:rsidRPr="00402F6C" w:rsidDel="003D73A7">
        <w:rPr>
          <w:rFonts w:ascii="Times New Roman" w:hAnsi="Times New Roman"/>
        </w:rPr>
        <w:t>skutkami epidemii, wspierani</w:t>
      </w:r>
      <w:r w:rsidR="00EA25B4" w:rsidRPr="00402F6C">
        <w:rPr>
          <w:rFonts w:ascii="Times New Roman" w:hAnsi="Times New Roman"/>
        </w:rPr>
        <w:t>e</w:t>
      </w:r>
      <w:r w:rsidR="00420E4F" w:rsidRPr="00402F6C">
        <w:rPr>
          <w:rFonts w:ascii="Times New Roman" w:hAnsi="Times New Roman"/>
        </w:rPr>
        <w:t>m</w:t>
      </w:r>
      <w:r w:rsidR="00EA25B4" w:rsidRPr="00402F6C" w:rsidDel="003D73A7">
        <w:rPr>
          <w:rFonts w:ascii="Times New Roman" w:hAnsi="Times New Roman"/>
        </w:rPr>
        <w:t xml:space="preserve"> płynności, a także inny</w:t>
      </w:r>
      <w:r w:rsidR="00420E4F" w:rsidRPr="00402F6C">
        <w:rPr>
          <w:rFonts w:ascii="Times New Roman" w:hAnsi="Times New Roman"/>
        </w:rPr>
        <w:t>mi</w:t>
      </w:r>
      <w:r w:rsidR="00EA25B4" w:rsidRPr="00402F6C" w:rsidDel="003D73A7">
        <w:rPr>
          <w:rFonts w:ascii="Times New Roman" w:hAnsi="Times New Roman"/>
        </w:rPr>
        <w:t xml:space="preserve"> gwarancja</w:t>
      </w:r>
      <w:r w:rsidR="00420E4F" w:rsidRPr="00402F6C">
        <w:rPr>
          <w:rFonts w:ascii="Times New Roman" w:hAnsi="Times New Roman"/>
        </w:rPr>
        <w:t>mi</w:t>
      </w:r>
      <w:r w:rsidR="00EA25B4" w:rsidRPr="00402F6C" w:rsidDel="003D73A7">
        <w:rPr>
          <w:rFonts w:ascii="Times New Roman" w:hAnsi="Times New Roman"/>
        </w:rPr>
        <w:t xml:space="preserve"> </w:t>
      </w:r>
      <w:r w:rsidR="00861900" w:rsidRPr="00402F6C">
        <w:rPr>
          <w:rFonts w:ascii="Times New Roman" w:eastAsiaTheme="minorEastAsia" w:hAnsi="Times New Roman"/>
        </w:rPr>
        <w:t xml:space="preserve">oraz odnosi się do wydatków niezbędnych w celu wsparcia systemów ochrony zdrowia, ochrony ludności oraz do chronienia gospodarki. </w:t>
      </w:r>
    </w:p>
    <w:p w14:paraId="22AB7B56" w14:textId="20D56000" w:rsidR="009B280E" w:rsidRPr="00402F6C" w:rsidRDefault="00435EE5" w:rsidP="00EB6B22">
      <w:pPr>
        <w:spacing w:before="120" w:line="360" w:lineRule="auto"/>
        <w:jc w:val="both"/>
        <w:rPr>
          <w:rFonts w:ascii="Times New Roman" w:hAnsi="Times New Roman"/>
        </w:rPr>
      </w:pPr>
      <w:r w:rsidRPr="00402F6C">
        <w:rPr>
          <w:rFonts w:ascii="Times New Roman" w:hAnsi="Times New Roman"/>
        </w:rPr>
        <w:t xml:space="preserve">Przykład </w:t>
      </w:r>
      <w:r w:rsidR="00566182" w:rsidRPr="00402F6C">
        <w:rPr>
          <w:rFonts w:ascii="Times New Roman" w:hAnsi="Times New Roman"/>
        </w:rPr>
        <w:t xml:space="preserve">zastosowania wzoru </w:t>
      </w:r>
      <w:r w:rsidRPr="00402F6C">
        <w:rPr>
          <w:rFonts w:ascii="Times New Roman" w:hAnsi="Times New Roman"/>
        </w:rPr>
        <w:t xml:space="preserve">dla roku </w:t>
      </w:r>
      <w:r w:rsidR="00566182" w:rsidRPr="00402F6C">
        <w:rPr>
          <w:rFonts w:ascii="Times New Roman" w:hAnsi="Times New Roman"/>
        </w:rPr>
        <w:t>2020</w:t>
      </w:r>
      <w:r w:rsidR="009F0A4F" w:rsidRPr="00402F6C">
        <w:rPr>
          <w:rFonts w:ascii="Times New Roman" w:hAnsi="Times New Roman"/>
        </w:rPr>
        <w:t>, w którym jest</w:t>
      </w:r>
      <w:r w:rsidRPr="00402F6C">
        <w:rPr>
          <w:rFonts w:ascii="Times New Roman" w:hAnsi="Times New Roman"/>
        </w:rPr>
        <w:t xml:space="preserve"> ogłoszony stan epidemii</w:t>
      </w:r>
      <w:r w:rsidR="009B280E" w:rsidRPr="00402F6C">
        <w:rPr>
          <w:rFonts w:ascii="Times New Roman" w:hAnsi="Times New Roman"/>
        </w:rPr>
        <w:t xml:space="preserve"> </w:t>
      </w:r>
      <w:r w:rsidR="004D3B5E" w:rsidRPr="00402F6C">
        <w:rPr>
          <w:rFonts w:ascii="Times New Roman" w:hAnsi="Times New Roman"/>
        </w:rPr>
        <w:t>(czyli 2020 jest rokiem</w:t>
      </w:r>
      <w:r w:rsidR="009B280E" w:rsidRPr="00402F6C">
        <w:rPr>
          <w:rFonts w:ascii="Times New Roman" w:hAnsi="Times New Roman"/>
        </w:rPr>
        <w:t xml:space="preserve"> s</w:t>
      </w:r>
      <w:r w:rsidR="004D3B5E" w:rsidRPr="00402F6C">
        <w:rPr>
          <w:rFonts w:ascii="Times New Roman" w:hAnsi="Times New Roman"/>
        </w:rPr>
        <w:t>)</w:t>
      </w:r>
      <w:r w:rsidRPr="00402F6C">
        <w:rPr>
          <w:rFonts w:ascii="Times New Roman" w:hAnsi="Times New Roman"/>
        </w:rPr>
        <w:t xml:space="preserve">. </w:t>
      </w:r>
      <w:r w:rsidR="00BF1BD2" w:rsidRPr="00402F6C">
        <w:rPr>
          <w:rFonts w:ascii="Times New Roman" w:hAnsi="Times New Roman"/>
        </w:rPr>
        <w:t xml:space="preserve">Przyjmując parametry makro-fiskalne przedstawione </w:t>
      </w:r>
      <w:r w:rsidR="00566182" w:rsidRPr="00402F6C">
        <w:rPr>
          <w:rFonts w:ascii="Times New Roman" w:hAnsi="Times New Roman"/>
        </w:rPr>
        <w:t xml:space="preserve">w </w:t>
      </w:r>
      <w:r w:rsidR="00566182" w:rsidRPr="00402F6C">
        <w:rPr>
          <w:rFonts w:ascii="Times New Roman" w:hAnsi="Times New Roman"/>
          <w:i/>
        </w:rPr>
        <w:t>Program</w:t>
      </w:r>
      <w:r w:rsidR="00BF1BD2" w:rsidRPr="00402F6C">
        <w:rPr>
          <w:rFonts w:ascii="Times New Roman" w:hAnsi="Times New Roman"/>
          <w:i/>
        </w:rPr>
        <w:t>ie</w:t>
      </w:r>
      <w:r w:rsidR="00566182" w:rsidRPr="00402F6C">
        <w:rPr>
          <w:rFonts w:ascii="Times New Roman" w:hAnsi="Times New Roman"/>
          <w:i/>
        </w:rPr>
        <w:t xml:space="preserve"> Konwergencji</w:t>
      </w:r>
      <w:r w:rsidR="00BF1BD2" w:rsidRPr="00402F6C">
        <w:rPr>
          <w:rFonts w:ascii="Times New Roman" w:hAnsi="Times New Roman"/>
          <w:i/>
        </w:rPr>
        <w:t>. Aktualizacja 2020</w:t>
      </w:r>
      <w:r w:rsidRPr="00402F6C">
        <w:rPr>
          <w:rFonts w:ascii="Times New Roman" w:hAnsi="Times New Roman"/>
        </w:rPr>
        <w:t xml:space="preserve">: </w:t>
      </w:r>
    </w:p>
    <w:p w14:paraId="59639BE8" w14:textId="6B73DCA5" w:rsidR="009B280E" w:rsidRPr="00402F6C" w:rsidRDefault="00BF1BD2" w:rsidP="00A72ACC">
      <w:pPr>
        <w:pStyle w:val="Akapitzlist"/>
        <w:numPr>
          <w:ilvl w:val="0"/>
          <w:numId w:val="11"/>
        </w:numPr>
        <w:spacing w:before="120" w:line="360" w:lineRule="auto"/>
        <w:ind w:left="567" w:hanging="567"/>
        <w:jc w:val="both"/>
        <w:rPr>
          <w:rFonts w:ascii="Times New Roman" w:hAnsi="Times New Roman"/>
          <w:sz w:val="24"/>
          <w:szCs w:val="24"/>
        </w:rPr>
      </w:pPr>
      <w:r w:rsidRPr="00402F6C">
        <w:rPr>
          <w:rFonts w:ascii="Times New Roman" w:hAnsi="Times New Roman"/>
          <w:sz w:val="24"/>
          <w:szCs w:val="24"/>
        </w:rPr>
        <w:t xml:space="preserve">prognozowane </w:t>
      </w:r>
      <w:r w:rsidR="009B280E" w:rsidRPr="00402F6C">
        <w:rPr>
          <w:rFonts w:ascii="Times New Roman" w:hAnsi="Times New Roman"/>
          <w:sz w:val="24"/>
          <w:szCs w:val="24"/>
        </w:rPr>
        <w:t>tempo wzros</w:t>
      </w:r>
      <w:r w:rsidR="00566182" w:rsidRPr="00402F6C">
        <w:rPr>
          <w:rFonts w:ascii="Times New Roman" w:hAnsi="Times New Roman"/>
          <w:sz w:val="24"/>
          <w:szCs w:val="24"/>
        </w:rPr>
        <w:t xml:space="preserve">tu PKB </w:t>
      </w:r>
      <w:r w:rsidRPr="00402F6C">
        <w:rPr>
          <w:rFonts w:ascii="Times New Roman" w:hAnsi="Times New Roman"/>
          <w:sz w:val="24"/>
          <w:szCs w:val="24"/>
        </w:rPr>
        <w:t xml:space="preserve">w 2020 r.: </w:t>
      </w:r>
      <w:r w:rsidR="00566182" w:rsidRPr="00402F6C">
        <w:rPr>
          <w:rFonts w:ascii="Times New Roman" w:hAnsi="Times New Roman"/>
          <w:sz w:val="24"/>
          <w:szCs w:val="24"/>
        </w:rPr>
        <w:t>-3,4</w:t>
      </w:r>
      <w:r w:rsidR="009F0A4F" w:rsidRPr="00402F6C">
        <w:rPr>
          <w:rFonts w:ascii="Times New Roman" w:hAnsi="Times New Roman"/>
          <w:sz w:val="24"/>
          <w:szCs w:val="24"/>
        </w:rPr>
        <w:t>% PKB (recesja)</w:t>
      </w:r>
      <w:r w:rsidR="00420E4F" w:rsidRPr="00402F6C">
        <w:rPr>
          <w:rFonts w:ascii="Times New Roman" w:hAnsi="Times New Roman"/>
          <w:sz w:val="24"/>
          <w:szCs w:val="24"/>
        </w:rPr>
        <w:t>,</w:t>
      </w:r>
    </w:p>
    <w:p w14:paraId="5D6108B1" w14:textId="77777777" w:rsidR="00B105F8" w:rsidRPr="00402F6C" w:rsidRDefault="00B105F8" w:rsidP="00A72ACC">
      <w:pPr>
        <w:pStyle w:val="Akapitzlist"/>
        <w:numPr>
          <w:ilvl w:val="0"/>
          <w:numId w:val="11"/>
        </w:numPr>
        <w:spacing w:before="120" w:line="360" w:lineRule="auto"/>
        <w:ind w:left="567" w:hanging="567"/>
        <w:jc w:val="both"/>
        <w:rPr>
          <w:rFonts w:ascii="Times New Roman" w:hAnsi="Times New Roman"/>
          <w:sz w:val="24"/>
          <w:szCs w:val="24"/>
        </w:rPr>
      </w:pPr>
      <w:r w:rsidRPr="00402F6C">
        <w:rPr>
          <w:rFonts w:ascii="Times New Roman" w:hAnsi="Times New Roman"/>
          <w:sz w:val="24"/>
          <w:szCs w:val="24"/>
        </w:rPr>
        <w:t>łączna dynamika wartości produktu krajowego brutto w cenach stałych za lata 2014–2019 wyniosła 127,0.</w:t>
      </w:r>
    </w:p>
    <w:p w14:paraId="6E976057" w14:textId="09D0118B" w:rsidR="009B280E" w:rsidRPr="00402F6C" w:rsidRDefault="009B280E" w:rsidP="00EB6B22">
      <w:pPr>
        <w:spacing w:before="120" w:line="360" w:lineRule="auto"/>
        <w:jc w:val="both"/>
        <w:rPr>
          <w:rFonts w:ascii="Times New Roman" w:hAnsi="Times New Roman"/>
        </w:rPr>
      </w:pPr>
      <w:r w:rsidRPr="00402F6C">
        <w:rPr>
          <w:rFonts w:ascii="Times New Roman" w:hAnsi="Times New Roman"/>
        </w:rPr>
        <w:t xml:space="preserve">W związku z </w:t>
      </w:r>
      <w:r w:rsidR="00420E4F" w:rsidRPr="00402F6C">
        <w:rPr>
          <w:rFonts w:ascii="Times New Roman" w:hAnsi="Times New Roman"/>
        </w:rPr>
        <w:t>ogłoszonym</w:t>
      </w:r>
      <w:r w:rsidR="00EB4FDE" w:rsidRPr="00402F6C">
        <w:rPr>
          <w:rFonts w:ascii="Times New Roman" w:hAnsi="Times New Roman"/>
        </w:rPr>
        <w:t xml:space="preserve"> </w:t>
      </w:r>
      <w:r w:rsidR="00BF1BD2" w:rsidRPr="00402F6C">
        <w:rPr>
          <w:rFonts w:ascii="Times New Roman" w:hAnsi="Times New Roman"/>
        </w:rPr>
        <w:t xml:space="preserve">w marcu </w:t>
      </w:r>
      <w:r w:rsidR="00420E4F" w:rsidRPr="00402F6C">
        <w:rPr>
          <w:rFonts w:ascii="Times New Roman" w:hAnsi="Times New Roman"/>
        </w:rPr>
        <w:t xml:space="preserve">2020 r. </w:t>
      </w:r>
      <w:r w:rsidR="00BF1BD2" w:rsidRPr="00402F6C">
        <w:rPr>
          <w:rFonts w:ascii="Times New Roman" w:hAnsi="Times New Roman"/>
        </w:rPr>
        <w:t xml:space="preserve">stanem epidemii </w:t>
      </w:r>
      <w:r w:rsidRPr="00402F6C">
        <w:rPr>
          <w:rFonts w:ascii="Times New Roman" w:hAnsi="Times New Roman"/>
        </w:rPr>
        <w:t xml:space="preserve">spełnione </w:t>
      </w:r>
      <w:r w:rsidR="00BF1BD2" w:rsidRPr="00402F6C">
        <w:rPr>
          <w:rFonts w:ascii="Times New Roman" w:hAnsi="Times New Roman"/>
        </w:rPr>
        <w:t xml:space="preserve">są </w:t>
      </w:r>
      <w:r w:rsidR="00B105F8" w:rsidRPr="00402F6C">
        <w:rPr>
          <w:rFonts w:ascii="Times New Roman" w:hAnsi="Times New Roman"/>
        </w:rPr>
        <w:t>2</w:t>
      </w:r>
      <w:r w:rsidRPr="00402F6C">
        <w:rPr>
          <w:rFonts w:ascii="Times New Roman" w:hAnsi="Times New Roman"/>
        </w:rPr>
        <w:t xml:space="preserve"> przesłanki do zastosowania art.</w:t>
      </w:r>
      <w:r w:rsidR="00BF1BD2" w:rsidRPr="00402F6C">
        <w:rPr>
          <w:rFonts w:ascii="Times New Roman" w:hAnsi="Times New Roman"/>
        </w:rPr>
        <w:t xml:space="preserve"> </w:t>
      </w:r>
      <w:r w:rsidRPr="00402F6C">
        <w:rPr>
          <w:rFonts w:ascii="Times New Roman" w:hAnsi="Times New Roman"/>
        </w:rPr>
        <w:t xml:space="preserve">112d i </w:t>
      </w:r>
      <w:r w:rsidR="004D3B5E" w:rsidRPr="00402F6C">
        <w:rPr>
          <w:rFonts w:ascii="Times New Roman" w:hAnsi="Times New Roman"/>
        </w:rPr>
        <w:t xml:space="preserve">w 2020 r. </w:t>
      </w:r>
      <w:r w:rsidRPr="00402F6C">
        <w:rPr>
          <w:rFonts w:ascii="Times New Roman" w:hAnsi="Times New Roman"/>
        </w:rPr>
        <w:t>należ</w:t>
      </w:r>
      <w:r w:rsidR="00BF1BD2" w:rsidRPr="00402F6C">
        <w:rPr>
          <w:rFonts w:ascii="Times New Roman" w:hAnsi="Times New Roman"/>
        </w:rPr>
        <w:t>ałob</w:t>
      </w:r>
      <w:r w:rsidRPr="00402F6C">
        <w:rPr>
          <w:rFonts w:ascii="Times New Roman" w:hAnsi="Times New Roman"/>
        </w:rPr>
        <w:t xml:space="preserve">y </w:t>
      </w:r>
      <w:r w:rsidR="002B7D96" w:rsidRPr="00402F6C">
        <w:rPr>
          <w:rFonts w:ascii="Times New Roman" w:hAnsi="Times New Roman"/>
        </w:rPr>
        <w:t xml:space="preserve">uruchomić klauzulę wyjścia i czasowo wyłączyć </w:t>
      </w:r>
      <w:r w:rsidRPr="00402F6C">
        <w:rPr>
          <w:rFonts w:ascii="Times New Roman" w:hAnsi="Times New Roman"/>
        </w:rPr>
        <w:t>stosowanie art.</w:t>
      </w:r>
      <w:r w:rsidR="00BF1BD2" w:rsidRPr="00402F6C">
        <w:rPr>
          <w:rFonts w:ascii="Times New Roman" w:hAnsi="Times New Roman"/>
        </w:rPr>
        <w:t xml:space="preserve"> </w:t>
      </w:r>
      <w:r w:rsidRPr="00402F6C">
        <w:rPr>
          <w:rFonts w:ascii="Times New Roman" w:hAnsi="Times New Roman"/>
        </w:rPr>
        <w:t>112aa</w:t>
      </w:r>
      <w:r w:rsidR="00BF1BD2" w:rsidRPr="00402F6C">
        <w:rPr>
          <w:rFonts w:ascii="Times New Roman" w:hAnsi="Times New Roman"/>
        </w:rPr>
        <w:t xml:space="preserve"> ustawy o finansach publicznych</w:t>
      </w:r>
      <w:r w:rsidRPr="00402F6C">
        <w:rPr>
          <w:rFonts w:ascii="Times New Roman" w:hAnsi="Times New Roman"/>
        </w:rPr>
        <w:t>.</w:t>
      </w:r>
      <w:r w:rsidR="00566182" w:rsidRPr="00402F6C">
        <w:rPr>
          <w:rFonts w:ascii="Times New Roman" w:hAnsi="Times New Roman"/>
        </w:rPr>
        <w:t xml:space="preserve"> </w:t>
      </w:r>
      <w:r w:rsidR="004D3B5E" w:rsidRPr="00402F6C">
        <w:rPr>
          <w:rFonts w:ascii="Times New Roman" w:hAnsi="Times New Roman"/>
        </w:rPr>
        <w:t xml:space="preserve">Ewentualna nowelizacja ustawy </w:t>
      </w:r>
      <w:r w:rsidR="002B7D96" w:rsidRPr="00402F6C">
        <w:rPr>
          <w:rFonts w:ascii="Times New Roman" w:hAnsi="Times New Roman"/>
        </w:rPr>
        <w:t xml:space="preserve">budżetowej </w:t>
      </w:r>
      <w:r w:rsidR="004D3B5E" w:rsidRPr="00402F6C">
        <w:rPr>
          <w:rFonts w:ascii="Times New Roman" w:hAnsi="Times New Roman"/>
        </w:rPr>
        <w:t xml:space="preserve">w 2020 r. byłaby przygotowywana bez zastosowania SRW. </w:t>
      </w:r>
      <w:r w:rsidR="00084DE6" w:rsidRPr="00402F6C">
        <w:rPr>
          <w:rFonts w:ascii="Times New Roman" w:hAnsi="Times New Roman"/>
        </w:rPr>
        <w:t xml:space="preserve">Ścieżka powrotu do pierwotnej stabilizującej reguły wydatkowej będzie zaś </w:t>
      </w:r>
      <w:r w:rsidR="00084DE6" w:rsidRPr="00402F6C">
        <w:rPr>
          <w:rFonts w:ascii="Times New Roman" w:hAnsi="Times New Roman"/>
        </w:rPr>
        <w:lastRenderedPageBreak/>
        <w:t>u</w:t>
      </w:r>
      <w:r w:rsidR="00566182" w:rsidRPr="00402F6C">
        <w:rPr>
          <w:rFonts w:ascii="Times New Roman" w:hAnsi="Times New Roman"/>
        </w:rPr>
        <w:t>zależni</w:t>
      </w:r>
      <w:r w:rsidR="00084DE6" w:rsidRPr="00402F6C">
        <w:rPr>
          <w:rFonts w:ascii="Times New Roman" w:hAnsi="Times New Roman"/>
        </w:rPr>
        <w:t>ona</w:t>
      </w:r>
      <w:r w:rsidR="00566182" w:rsidRPr="00402F6C">
        <w:rPr>
          <w:rFonts w:ascii="Times New Roman" w:hAnsi="Times New Roman"/>
        </w:rPr>
        <w:t xml:space="preserve"> od prognozowanego tempa wzrostu PKB na 2021 r. </w:t>
      </w:r>
      <w:r w:rsidR="00084DE6" w:rsidRPr="00402F6C">
        <w:rPr>
          <w:rFonts w:ascii="Times New Roman" w:hAnsi="Times New Roman"/>
        </w:rPr>
        <w:t>P</w:t>
      </w:r>
      <w:r w:rsidR="009F0A4F" w:rsidRPr="00402F6C">
        <w:rPr>
          <w:rFonts w:ascii="Times New Roman" w:hAnsi="Times New Roman"/>
        </w:rPr>
        <w:t>rzykładowo</w:t>
      </w:r>
      <w:r w:rsidR="00531460">
        <w:rPr>
          <w:rFonts w:ascii="Times New Roman" w:hAnsi="Times New Roman"/>
        </w:rPr>
        <w:t>,</w:t>
      </w:r>
      <w:r w:rsidR="009F0A4F" w:rsidRPr="00402F6C">
        <w:rPr>
          <w:rFonts w:ascii="Times New Roman" w:hAnsi="Times New Roman"/>
        </w:rPr>
        <w:t xml:space="preserve"> </w:t>
      </w:r>
      <w:r w:rsidRPr="00402F6C">
        <w:rPr>
          <w:rFonts w:ascii="Times New Roman" w:hAnsi="Times New Roman"/>
        </w:rPr>
        <w:t xml:space="preserve">zakładając, że koszty walki z epidemią choroby COVID-19 poniesione przez podmioty objęte </w:t>
      </w:r>
      <w:r w:rsidR="00A8623F" w:rsidRPr="00402F6C">
        <w:rPr>
          <w:rFonts w:ascii="Times New Roman" w:hAnsi="Times New Roman"/>
        </w:rPr>
        <w:t>stabilizującą regułą wydatkową</w:t>
      </w:r>
      <w:r w:rsidRPr="00402F6C">
        <w:rPr>
          <w:rFonts w:ascii="Times New Roman" w:hAnsi="Times New Roman"/>
        </w:rPr>
        <w:t xml:space="preserve"> wyniosą w 2020 r. </w:t>
      </w:r>
      <w:r w:rsidR="00084DE6" w:rsidRPr="00402F6C">
        <w:rPr>
          <w:rFonts w:ascii="Times New Roman" w:hAnsi="Times New Roman"/>
        </w:rPr>
        <w:t xml:space="preserve">łącznie </w:t>
      </w:r>
      <w:r w:rsidRPr="00402F6C">
        <w:rPr>
          <w:rFonts w:ascii="Times New Roman" w:hAnsi="Times New Roman"/>
        </w:rPr>
        <w:t xml:space="preserve">100 mld zł, a powrót do pierwotnej ścieżki wydatków wyznaczonej przez regułę nastąpi w 2022 r., wówczas kwota wydatków SRW w </w:t>
      </w:r>
      <w:r w:rsidR="00715EB6" w:rsidRPr="00402F6C">
        <w:rPr>
          <w:rFonts w:ascii="Times New Roman" w:hAnsi="Times New Roman"/>
        </w:rPr>
        <w:t xml:space="preserve">projekcie </w:t>
      </w:r>
      <w:r w:rsidR="002B7D96" w:rsidRPr="00402F6C">
        <w:rPr>
          <w:rFonts w:ascii="Times New Roman" w:hAnsi="Times New Roman"/>
        </w:rPr>
        <w:t>ustaw</w:t>
      </w:r>
      <w:r w:rsidR="00715EB6" w:rsidRPr="00402F6C">
        <w:rPr>
          <w:rFonts w:ascii="Times New Roman" w:hAnsi="Times New Roman"/>
        </w:rPr>
        <w:t>y</w:t>
      </w:r>
      <w:r w:rsidR="002B7D96" w:rsidRPr="00402F6C">
        <w:rPr>
          <w:rFonts w:ascii="Times New Roman" w:hAnsi="Times New Roman"/>
        </w:rPr>
        <w:t xml:space="preserve"> budżetowej na </w:t>
      </w:r>
      <w:r w:rsidRPr="00402F6C">
        <w:rPr>
          <w:rFonts w:ascii="Times New Roman" w:hAnsi="Times New Roman"/>
        </w:rPr>
        <w:t xml:space="preserve">2021 r. </w:t>
      </w:r>
      <w:r w:rsidR="002B7D96" w:rsidRPr="00402F6C">
        <w:rPr>
          <w:rFonts w:ascii="Times New Roman" w:hAnsi="Times New Roman"/>
        </w:rPr>
        <w:t xml:space="preserve">byłaby liczona zgodnie z art.112d ust. 3 i </w:t>
      </w:r>
      <w:r w:rsidRPr="00402F6C">
        <w:rPr>
          <w:rFonts w:ascii="Times New Roman" w:hAnsi="Times New Roman"/>
        </w:rPr>
        <w:t xml:space="preserve">zostałaby powiększona o dodatkowe 50 mld zł, a w </w:t>
      </w:r>
      <w:r w:rsidR="00715EB6" w:rsidRPr="00402F6C">
        <w:rPr>
          <w:rFonts w:ascii="Times New Roman" w:hAnsi="Times New Roman"/>
        </w:rPr>
        <w:t xml:space="preserve">projekcie </w:t>
      </w:r>
      <w:r w:rsidR="002B7D96" w:rsidRPr="00402F6C">
        <w:rPr>
          <w:rFonts w:ascii="Times New Roman" w:hAnsi="Times New Roman"/>
        </w:rPr>
        <w:t>ustaw</w:t>
      </w:r>
      <w:r w:rsidR="00715EB6" w:rsidRPr="00402F6C">
        <w:rPr>
          <w:rFonts w:ascii="Times New Roman" w:hAnsi="Times New Roman"/>
        </w:rPr>
        <w:t>y</w:t>
      </w:r>
      <w:r w:rsidR="002B7D96" w:rsidRPr="00402F6C">
        <w:rPr>
          <w:rFonts w:ascii="Times New Roman" w:hAnsi="Times New Roman"/>
        </w:rPr>
        <w:t xml:space="preserve"> budżetowej na </w:t>
      </w:r>
      <w:r w:rsidRPr="00402F6C">
        <w:rPr>
          <w:rFonts w:ascii="Times New Roman" w:hAnsi="Times New Roman"/>
        </w:rPr>
        <w:t xml:space="preserve">2022 r. </w:t>
      </w:r>
      <w:r w:rsidR="002B7D96" w:rsidRPr="00402F6C">
        <w:rPr>
          <w:rFonts w:ascii="Times New Roman" w:hAnsi="Times New Roman"/>
        </w:rPr>
        <w:t>kwota wydatków liczona byłaby zgodnie z art. 112a</w:t>
      </w:r>
      <w:r w:rsidR="00715EB6" w:rsidRPr="00402F6C">
        <w:rPr>
          <w:rFonts w:ascii="Times New Roman" w:hAnsi="Times New Roman"/>
        </w:rPr>
        <w:t>a</w:t>
      </w:r>
      <w:r w:rsidR="002B7D96" w:rsidRPr="00402F6C">
        <w:rPr>
          <w:rFonts w:ascii="Times New Roman" w:hAnsi="Times New Roman"/>
        </w:rPr>
        <w:t xml:space="preserve"> i </w:t>
      </w:r>
      <w:r w:rsidRPr="00402F6C">
        <w:rPr>
          <w:rFonts w:ascii="Times New Roman" w:hAnsi="Times New Roman"/>
        </w:rPr>
        <w:t>nastąpiłby powrót do pierwotnej ścieżki SRW.</w:t>
      </w:r>
    </w:p>
    <w:p w14:paraId="4057D4FA" w14:textId="77BA6C4C" w:rsidR="00840B7C" w:rsidRPr="00402F6C" w:rsidRDefault="009B280E" w:rsidP="00EB6B22">
      <w:pPr>
        <w:spacing w:before="120" w:line="360" w:lineRule="auto"/>
        <w:jc w:val="both"/>
        <w:rPr>
          <w:rFonts w:ascii="Times New Roman" w:hAnsi="Times New Roman"/>
        </w:rPr>
      </w:pPr>
      <w:r w:rsidRPr="00402F6C">
        <w:rPr>
          <w:rFonts w:ascii="Times New Roman" w:hAnsi="Times New Roman"/>
        </w:rPr>
        <w:t>W przypadku większej skali załamania gospodarczego ścieżka</w:t>
      </w:r>
      <w:r w:rsidR="007F117B" w:rsidRPr="00402F6C">
        <w:rPr>
          <w:rFonts w:ascii="Times New Roman" w:hAnsi="Times New Roman"/>
        </w:rPr>
        <w:t xml:space="preserve"> powrotu może się wydłużyć do 3</w:t>
      </w:r>
      <w:r w:rsidR="00402F6C">
        <w:rPr>
          <w:rFonts w:ascii="Times New Roman" w:hAnsi="Times New Roman"/>
        </w:rPr>
        <w:t xml:space="preserve"> </w:t>
      </w:r>
      <w:r w:rsidR="00B64587" w:rsidRPr="00EB6B22">
        <w:rPr>
          <w:rFonts w:ascii="Times New Roman" w:hAnsi="Times New Roman"/>
        </w:rPr>
        <w:t>albo</w:t>
      </w:r>
      <w:r w:rsidRPr="00402F6C">
        <w:rPr>
          <w:rFonts w:ascii="Times New Roman" w:hAnsi="Times New Roman"/>
        </w:rPr>
        <w:t xml:space="preserve"> 4 lat. Wówczas, w wariancie trzyletnim</w:t>
      </w:r>
      <w:r w:rsidR="000F7979">
        <w:rPr>
          <w:rFonts w:ascii="Times New Roman" w:hAnsi="Times New Roman"/>
        </w:rPr>
        <w:t>,</w:t>
      </w:r>
      <w:r w:rsidRPr="00402F6C">
        <w:rPr>
          <w:rFonts w:ascii="Times New Roman" w:hAnsi="Times New Roman"/>
        </w:rPr>
        <w:t xml:space="preserve"> kwota wydatków</w:t>
      </w:r>
      <w:r w:rsidR="002B7D96" w:rsidRPr="00402F6C">
        <w:rPr>
          <w:rFonts w:ascii="Times New Roman" w:hAnsi="Times New Roman"/>
        </w:rPr>
        <w:t xml:space="preserve"> w </w:t>
      </w:r>
      <w:r w:rsidR="00715EB6" w:rsidRPr="00402F6C">
        <w:rPr>
          <w:rFonts w:ascii="Times New Roman" w:hAnsi="Times New Roman"/>
        </w:rPr>
        <w:t xml:space="preserve">projekcie </w:t>
      </w:r>
      <w:r w:rsidR="002B7D96" w:rsidRPr="00402F6C">
        <w:rPr>
          <w:rFonts w:ascii="Times New Roman" w:hAnsi="Times New Roman"/>
        </w:rPr>
        <w:t>ustaw</w:t>
      </w:r>
      <w:r w:rsidR="00715EB6" w:rsidRPr="00402F6C">
        <w:rPr>
          <w:rFonts w:ascii="Times New Roman" w:hAnsi="Times New Roman"/>
        </w:rPr>
        <w:t>y</w:t>
      </w:r>
      <w:r w:rsidR="002B7D96" w:rsidRPr="00402F6C">
        <w:rPr>
          <w:rFonts w:ascii="Times New Roman" w:hAnsi="Times New Roman"/>
        </w:rPr>
        <w:t xml:space="preserve"> budżetowej </w:t>
      </w:r>
      <w:r w:rsidR="00715EB6" w:rsidRPr="00402F6C">
        <w:rPr>
          <w:rFonts w:ascii="Times New Roman" w:hAnsi="Times New Roman"/>
        </w:rPr>
        <w:t xml:space="preserve">odpowiednio </w:t>
      </w:r>
      <w:r w:rsidR="002B7D96" w:rsidRPr="00402F6C">
        <w:rPr>
          <w:rFonts w:ascii="Times New Roman" w:hAnsi="Times New Roman"/>
        </w:rPr>
        <w:t xml:space="preserve">na rok </w:t>
      </w:r>
      <w:r w:rsidR="007F117B" w:rsidRPr="00402F6C">
        <w:rPr>
          <w:rFonts w:ascii="Times New Roman" w:hAnsi="Times New Roman"/>
        </w:rPr>
        <w:t>2021</w:t>
      </w:r>
      <w:r w:rsidR="002B7D96" w:rsidRPr="00402F6C">
        <w:rPr>
          <w:rFonts w:ascii="Times New Roman" w:hAnsi="Times New Roman"/>
        </w:rPr>
        <w:t xml:space="preserve"> i 2022</w:t>
      </w:r>
      <w:r w:rsidR="007F117B" w:rsidRPr="00402F6C">
        <w:rPr>
          <w:rFonts w:ascii="Times New Roman" w:hAnsi="Times New Roman"/>
        </w:rPr>
        <w:t xml:space="preserve"> zostałaby </w:t>
      </w:r>
      <w:r w:rsidR="002B7D96" w:rsidRPr="00402F6C">
        <w:rPr>
          <w:rFonts w:ascii="Times New Roman" w:hAnsi="Times New Roman"/>
        </w:rPr>
        <w:t xml:space="preserve">obliczona zgodnie z art. 112d ust. 3 i </w:t>
      </w:r>
      <w:r w:rsidR="007F117B" w:rsidRPr="00402F6C">
        <w:rPr>
          <w:rFonts w:ascii="Times New Roman" w:hAnsi="Times New Roman"/>
        </w:rPr>
        <w:t>powiększona o</w:t>
      </w:r>
      <w:r w:rsidR="00402F6C">
        <w:rPr>
          <w:rFonts w:ascii="Times New Roman" w:hAnsi="Times New Roman"/>
        </w:rPr>
        <w:t xml:space="preserve"> </w:t>
      </w:r>
      <w:r w:rsidRPr="00EB6B22">
        <w:rPr>
          <w:rFonts w:ascii="Times New Roman" w:hAnsi="Times New Roman"/>
        </w:rPr>
        <w:t>ok. 67 mld zł, a w 2022 r. o ok. 33 mld zł.</w:t>
      </w:r>
      <w:r w:rsidR="002B7D96" w:rsidRPr="00402F6C">
        <w:rPr>
          <w:rFonts w:ascii="Times New Roman" w:hAnsi="Times New Roman"/>
        </w:rPr>
        <w:t xml:space="preserve"> Natomiast w </w:t>
      </w:r>
      <w:r w:rsidR="00715EB6" w:rsidRPr="00402F6C">
        <w:rPr>
          <w:rFonts w:ascii="Times New Roman" w:hAnsi="Times New Roman"/>
        </w:rPr>
        <w:t xml:space="preserve">projekcie </w:t>
      </w:r>
      <w:r w:rsidR="002B7D96" w:rsidRPr="00402F6C">
        <w:rPr>
          <w:rFonts w:ascii="Times New Roman" w:hAnsi="Times New Roman"/>
        </w:rPr>
        <w:t>ustaw</w:t>
      </w:r>
      <w:r w:rsidR="00715EB6" w:rsidRPr="00402F6C">
        <w:rPr>
          <w:rFonts w:ascii="Times New Roman" w:hAnsi="Times New Roman"/>
        </w:rPr>
        <w:t>y</w:t>
      </w:r>
      <w:r w:rsidR="002B7D96" w:rsidRPr="00402F6C">
        <w:rPr>
          <w:rFonts w:ascii="Times New Roman" w:hAnsi="Times New Roman"/>
        </w:rPr>
        <w:t xml:space="preserve"> budżetowej na rok 2023 kwota byłaby liczona zgodnie z art.112aa ust. 1</w:t>
      </w:r>
      <w:r w:rsidR="00E9086E" w:rsidRPr="00402F6C">
        <w:rPr>
          <w:rFonts w:ascii="Times New Roman" w:hAnsi="Times New Roman"/>
        </w:rPr>
        <w:t xml:space="preserve"> ustawy o finansach publicznych</w:t>
      </w:r>
      <w:r w:rsidR="002B7D96" w:rsidRPr="00402F6C">
        <w:rPr>
          <w:rFonts w:ascii="Times New Roman" w:hAnsi="Times New Roman"/>
        </w:rPr>
        <w:t>.</w:t>
      </w:r>
      <w:r w:rsidRPr="00402F6C">
        <w:rPr>
          <w:rFonts w:ascii="Times New Roman" w:hAnsi="Times New Roman"/>
        </w:rPr>
        <w:t xml:space="preserve"> </w:t>
      </w:r>
      <w:r w:rsidR="002B7D96" w:rsidRPr="00402F6C">
        <w:rPr>
          <w:rFonts w:ascii="Times New Roman" w:hAnsi="Times New Roman"/>
        </w:rPr>
        <w:t>Podobnie w</w:t>
      </w:r>
      <w:r w:rsidR="00402F6C">
        <w:rPr>
          <w:rFonts w:ascii="Times New Roman" w:hAnsi="Times New Roman"/>
        </w:rPr>
        <w:t xml:space="preserve"> </w:t>
      </w:r>
      <w:r w:rsidRPr="00EB6B22">
        <w:rPr>
          <w:rFonts w:ascii="Times New Roman" w:hAnsi="Times New Roman"/>
        </w:rPr>
        <w:t>wariancie czteroletnim, zakładającym dodatkowo zł</w:t>
      </w:r>
      <w:r w:rsidR="00DA04E4" w:rsidRPr="00402F6C">
        <w:rPr>
          <w:rFonts w:ascii="Times New Roman" w:hAnsi="Times New Roman"/>
        </w:rPr>
        <w:t>ą</w:t>
      </w:r>
      <w:r w:rsidRPr="00402F6C">
        <w:rPr>
          <w:rFonts w:ascii="Times New Roman" w:hAnsi="Times New Roman"/>
        </w:rPr>
        <w:t xml:space="preserve"> sytuację makroekonomiczną w roku następującym po </w:t>
      </w:r>
      <w:r w:rsidR="002B7D96" w:rsidRPr="00402F6C">
        <w:rPr>
          <w:rFonts w:ascii="Times New Roman" w:hAnsi="Times New Roman"/>
        </w:rPr>
        <w:t>roku</w:t>
      </w:r>
      <w:r w:rsidR="001E1726">
        <w:rPr>
          <w:rFonts w:ascii="Times New Roman" w:hAnsi="Times New Roman"/>
        </w:rPr>
        <w:t>,</w:t>
      </w:r>
      <w:r w:rsidR="002B7D96" w:rsidRPr="00402F6C">
        <w:rPr>
          <w:rFonts w:ascii="Times New Roman" w:hAnsi="Times New Roman"/>
        </w:rPr>
        <w:t xml:space="preserve"> w którym ogłoszono </w:t>
      </w:r>
      <w:r w:rsidRPr="00402F6C">
        <w:rPr>
          <w:rFonts w:ascii="Times New Roman" w:hAnsi="Times New Roman"/>
        </w:rPr>
        <w:t xml:space="preserve">stan epidemii, </w:t>
      </w:r>
      <w:r w:rsidR="002B7D96" w:rsidRPr="00402F6C">
        <w:rPr>
          <w:rFonts w:ascii="Times New Roman" w:hAnsi="Times New Roman"/>
        </w:rPr>
        <w:t>kwota wydatków na lata 2021</w:t>
      </w:r>
      <w:r w:rsidR="00402F6C">
        <w:rPr>
          <w:rFonts w:ascii="Times New Roman" w:hAnsi="Times New Roman"/>
        </w:rPr>
        <w:t>–</w:t>
      </w:r>
      <w:r w:rsidR="002B7D96" w:rsidRPr="00402F6C">
        <w:rPr>
          <w:rFonts w:ascii="Times New Roman" w:hAnsi="Times New Roman"/>
        </w:rPr>
        <w:t xml:space="preserve">2023 byłaby liczona zgodnie z art. 112d ust. 3 i </w:t>
      </w:r>
      <w:r w:rsidRPr="00402F6C">
        <w:rPr>
          <w:rFonts w:ascii="Times New Roman" w:hAnsi="Times New Roman"/>
        </w:rPr>
        <w:t xml:space="preserve">powiększenia kwoty wydatków wynosiłyby: 75 mld zł w 2021 r., 50 mld zł w 2022 r. i 25 mld zł w 2023 r. </w:t>
      </w:r>
      <w:r w:rsidR="002B7D96" w:rsidRPr="00402F6C">
        <w:rPr>
          <w:rFonts w:ascii="Times New Roman" w:hAnsi="Times New Roman"/>
        </w:rPr>
        <w:t>Natomiast kwota wydatków na rok 2024 liczona byłaby zgodnie z art. 112aa ust. 1</w:t>
      </w:r>
      <w:r w:rsidR="00E9086E" w:rsidRPr="00402F6C">
        <w:rPr>
          <w:rFonts w:ascii="Times New Roman" w:hAnsi="Times New Roman"/>
        </w:rPr>
        <w:t xml:space="preserve"> ustawy o finansach publicznych</w:t>
      </w:r>
      <w:r w:rsidR="002B7D96" w:rsidRPr="00402F6C">
        <w:rPr>
          <w:rFonts w:ascii="Times New Roman" w:hAnsi="Times New Roman"/>
        </w:rPr>
        <w:t xml:space="preserve">. </w:t>
      </w:r>
    </w:p>
    <w:p w14:paraId="04925FE7" w14:textId="4A692E8F" w:rsidR="002B7D96" w:rsidRPr="00402F6C" w:rsidRDefault="002B7D96">
      <w:pPr>
        <w:spacing w:before="120" w:line="360" w:lineRule="auto"/>
        <w:jc w:val="both"/>
        <w:rPr>
          <w:rFonts w:ascii="Times New Roman" w:hAnsi="Times New Roman"/>
        </w:rPr>
      </w:pPr>
      <w:r w:rsidRPr="00402F6C">
        <w:rPr>
          <w:rFonts w:ascii="Times New Roman" w:hAnsi="Times New Roman"/>
        </w:rPr>
        <w:t xml:space="preserve">Należy przy tym zauważyć, że w przypadku gdy w kolejnym roku </w:t>
      </w:r>
      <w:r w:rsidR="008C0BBA" w:rsidRPr="00402F6C">
        <w:rPr>
          <w:rFonts w:ascii="Times New Roman" w:hAnsi="Times New Roman"/>
        </w:rPr>
        <w:t xml:space="preserve">(np. 2021) </w:t>
      </w:r>
      <w:r w:rsidRPr="00402F6C">
        <w:rPr>
          <w:rFonts w:ascii="Times New Roman" w:hAnsi="Times New Roman"/>
        </w:rPr>
        <w:t>również obowiązywałby stan, o którym mowa w art. 112d ust.</w:t>
      </w:r>
      <w:r w:rsidR="00402F6C">
        <w:rPr>
          <w:rFonts w:ascii="Times New Roman" w:hAnsi="Times New Roman"/>
        </w:rPr>
        <w:t xml:space="preserve"> </w:t>
      </w:r>
      <w:r w:rsidRPr="00EB6B22">
        <w:rPr>
          <w:rFonts w:ascii="Times New Roman" w:hAnsi="Times New Roman"/>
        </w:rPr>
        <w:t>1</w:t>
      </w:r>
      <w:r w:rsidR="00653794">
        <w:rPr>
          <w:rFonts w:ascii="Times New Roman" w:hAnsi="Times New Roman"/>
        </w:rPr>
        <w:t xml:space="preserve"> ustawy o finansach publicznych,</w:t>
      </w:r>
      <w:r w:rsidRPr="00EB6B22">
        <w:rPr>
          <w:rFonts w:ascii="Times New Roman" w:hAnsi="Times New Roman"/>
        </w:rPr>
        <w:t xml:space="preserve"> i</w:t>
      </w:r>
      <w:r w:rsidR="00402F6C">
        <w:rPr>
          <w:rFonts w:ascii="Times New Roman" w:hAnsi="Times New Roman"/>
        </w:rPr>
        <w:t xml:space="preserve"> </w:t>
      </w:r>
      <w:r w:rsidRPr="00EB6B22">
        <w:rPr>
          <w:rFonts w:ascii="Times New Roman" w:hAnsi="Times New Roman"/>
        </w:rPr>
        <w:t>b</w:t>
      </w:r>
      <w:r w:rsidRPr="00402F6C">
        <w:rPr>
          <w:rFonts w:ascii="Times New Roman" w:hAnsi="Times New Roman"/>
        </w:rPr>
        <w:t>yłaby spełniona przesłanka wskazana w art. 112d ust. 1</w:t>
      </w:r>
      <w:r w:rsidR="001E1726">
        <w:rPr>
          <w:rFonts w:ascii="Times New Roman" w:hAnsi="Times New Roman"/>
        </w:rPr>
        <w:t>,</w:t>
      </w:r>
      <w:r w:rsidR="00806FFF" w:rsidRPr="00402F6C">
        <w:rPr>
          <w:rFonts w:ascii="Times New Roman" w:hAnsi="Times New Roman"/>
        </w:rPr>
        <w:t xml:space="preserve"> czyli jeżeli prognozowane w projekcie ustawy budżetowej na rok n przedłożonym Sejmowi lub w projekcie ustawy zmieniającej ustawę budżetową na rok n przedłożonym Sejmowi tempo wzrostu produktu krajowego brutto w cenach stałych jest mniejsze o więcej niż dwa punkty procentowe od średniego wzrostu produktu krajowego brutto (obliczanego przez Ministra Finansów również na potrzeby kwoty wydatków, o której mowa w art. 112aa,) na podstawie ogłoszonej przez Prezesa Głównego Urzędu Statystycznego łącznej dynamiki wartości produktu krajowego brutto, o której mowa w art.112aa ust. 1 ustawy</w:t>
      </w:r>
      <w:r w:rsidR="00806FFF" w:rsidRPr="00402F6C">
        <w:rPr>
          <w:rFonts w:ascii="Times New Roman" w:hAnsi="Times New Roman"/>
          <w:color w:val="000000" w:themeColor="text1"/>
        </w:rPr>
        <w:t xml:space="preserve"> o finansach publicznych</w:t>
      </w:r>
      <w:r w:rsidRPr="00402F6C">
        <w:rPr>
          <w:rFonts w:ascii="Times New Roman" w:hAnsi="Times New Roman"/>
        </w:rPr>
        <w:t xml:space="preserve">, wówczas klauzula wyjścia </w:t>
      </w:r>
      <w:r w:rsidR="00AC7941" w:rsidRPr="00402F6C">
        <w:rPr>
          <w:rFonts w:ascii="Times New Roman" w:hAnsi="Times New Roman"/>
        </w:rPr>
        <w:t xml:space="preserve">określona w art. 112d ust. 1 </w:t>
      </w:r>
      <w:r w:rsidRPr="00402F6C">
        <w:rPr>
          <w:rFonts w:ascii="Times New Roman" w:hAnsi="Times New Roman"/>
        </w:rPr>
        <w:t xml:space="preserve">byłaby dalej stosowana, a ten rok </w:t>
      </w:r>
      <w:r w:rsidR="008C0BBA" w:rsidRPr="00402F6C">
        <w:rPr>
          <w:rFonts w:ascii="Times New Roman" w:hAnsi="Times New Roman"/>
        </w:rPr>
        <w:t xml:space="preserve">(czyli 2021) </w:t>
      </w:r>
      <w:r w:rsidRPr="00402F6C">
        <w:rPr>
          <w:rFonts w:ascii="Times New Roman" w:hAnsi="Times New Roman"/>
        </w:rPr>
        <w:t>stałby się rokiem s. Zgodnie z</w:t>
      </w:r>
      <w:r w:rsidR="00402F6C">
        <w:rPr>
          <w:rFonts w:ascii="Times New Roman" w:hAnsi="Times New Roman"/>
        </w:rPr>
        <w:t xml:space="preserve"> </w:t>
      </w:r>
      <w:r w:rsidRPr="00EB6B22">
        <w:rPr>
          <w:rFonts w:ascii="Times New Roman" w:hAnsi="Times New Roman"/>
        </w:rPr>
        <w:t xml:space="preserve">tym podejściem, następny rok </w:t>
      </w:r>
      <w:r w:rsidR="008C0BBA" w:rsidRPr="00402F6C">
        <w:rPr>
          <w:rFonts w:ascii="Times New Roman" w:hAnsi="Times New Roman"/>
        </w:rPr>
        <w:t xml:space="preserve">(czyli 2022) </w:t>
      </w:r>
      <w:r w:rsidRPr="00402F6C">
        <w:rPr>
          <w:rFonts w:ascii="Times New Roman" w:hAnsi="Times New Roman"/>
        </w:rPr>
        <w:t>stałby się nowym rokiem s+1</w:t>
      </w:r>
      <w:r w:rsidR="008C0BBA" w:rsidRPr="00402F6C">
        <w:rPr>
          <w:rFonts w:ascii="Times New Roman" w:hAnsi="Times New Roman"/>
        </w:rPr>
        <w:t xml:space="preserve">, na który kwota </w:t>
      </w:r>
      <w:r w:rsidR="008C0BBA" w:rsidRPr="00402F6C">
        <w:rPr>
          <w:rFonts w:ascii="Times New Roman" w:hAnsi="Times New Roman"/>
        </w:rPr>
        <w:lastRenderedPageBreak/>
        <w:t>wydatków byłaby liczona zgodnie z wzorem z art.112d ust. 3</w:t>
      </w:r>
      <w:r w:rsidR="00E9086E" w:rsidRPr="00402F6C">
        <w:rPr>
          <w:rFonts w:ascii="Times New Roman" w:hAnsi="Times New Roman"/>
        </w:rPr>
        <w:t xml:space="preserve"> ustawy o finansach publicznych</w:t>
      </w:r>
      <w:r w:rsidRPr="00402F6C">
        <w:rPr>
          <w:rFonts w:ascii="Times New Roman" w:hAnsi="Times New Roman"/>
        </w:rPr>
        <w:t xml:space="preserve">. </w:t>
      </w:r>
    </w:p>
    <w:p w14:paraId="7E75D5AA" w14:textId="6CF95692" w:rsidR="009B280E" w:rsidRPr="00402F6C" w:rsidRDefault="0049362D">
      <w:pPr>
        <w:spacing w:before="120" w:line="360" w:lineRule="auto"/>
        <w:jc w:val="both"/>
        <w:rPr>
          <w:rFonts w:ascii="Times New Roman" w:hAnsi="Times New Roman"/>
        </w:rPr>
      </w:pPr>
      <w:r w:rsidRPr="00402F6C">
        <w:rPr>
          <w:rFonts w:ascii="Times New Roman" w:hAnsi="Times New Roman"/>
        </w:rPr>
        <w:t>Należy przy tym zauważyć, że stabilizująca reguła wydatkowa określa maksymalną kwotę wydatków i stosuje się ją do planu wydatków (</w:t>
      </w:r>
      <w:r w:rsidRPr="007B5978">
        <w:rPr>
          <w:rFonts w:ascii="Times New Roman" w:hAnsi="Times New Roman"/>
          <w:i/>
        </w:rPr>
        <w:t>ex ante</w:t>
      </w:r>
      <w:r w:rsidRPr="00402F6C">
        <w:rPr>
          <w:rFonts w:ascii="Times New Roman" w:hAnsi="Times New Roman"/>
        </w:rPr>
        <w:t>). Na przestrzeń wydatkową w okresie zawieszenia SRW i w latach po n</w:t>
      </w:r>
      <w:r w:rsidR="00653794">
        <w:rPr>
          <w:rFonts w:ascii="Times New Roman" w:hAnsi="Times New Roman"/>
        </w:rPr>
        <w:t>im</w:t>
      </w:r>
      <w:r w:rsidRPr="00402F6C">
        <w:rPr>
          <w:rFonts w:ascii="Times New Roman" w:hAnsi="Times New Roman"/>
        </w:rPr>
        <w:t xml:space="preserve"> następujących wpływać będą pozostałe reguły fiskalne obowiązujące Polskę, w szczególności progi ostrożnościowe dot</w:t>
      </w:r>
      <w:r w:rsidR="00420E4F" w:rsidRPr="00402F6C">
        <w:rPr>
          <w:rFonts w:ascii="Times New Roman" w:hAnsi="Times New Roman"/>
        </w:rPr>
        <w:t>yczące</w:t>
      </w:r>
      <w:r w:rsidRPr="00402F6C">
        <w:rPr>
          <w:rFonts w:ascii="Times New Roman" w:hAnsi="Times New Roman"/>
        </w:rPr>
        <w:t xml:space="preserve"> państwowego długu publicznego, o których mowa w art. 86 u</w:t>
      </w:r>
      <w:r w:rsidR="00420E4F" w:rsidRPr="00402F6C">
        <w:rPr>
          <w:rFonts w:ascii="Times New Roman" w:hAnsi="Times New Roman"/>
        </w:rPr>
        <w:t xml:space="preserve">stawy </w:t>
      </w:r>
      <w:r w:rsidRPr="00402F6C">
        <w:rPr>
          <w:rFonts w:ascii="Times New Roman" w:hAnsi="Times New Roman"/>
        </w:rPr>
        <w:t>o</w:t>
      </w:r>
      <w:r w:rsidR="00420E4F" w:rsidRPr="00402F6C">
        <w:rPr>
          <w:rFonts w:ascii="Times New Roman" w:hAnsi="Times New Roman"/>
        </w:rPr>
        <w:t xml:space="preserve"> </w:t>
      </w:r>
      <w:r w:rsidRPr="00402F6C">
        <w:rPr>
          <w:rFonts w:ascii="Times New Roman" w:hAnsi="Times New Roman"/>
        </w:rPr>
        <w:t>f</w:t>
      </w:r>
      <w:r w:rsidR="00420E4F" w:rsidRPr="00402F6C">
        <w:rPr>
          <w:rFonts w:ascii="Times New Roman" w:hAnsi="Times New Roman"/>
        </w:rPr>
        <w:t xml:space="preserve">inansach </w:t>
      </w:r>
      <w:r w:rsidRPr="00402F6C">
        <w:rPr>
          <w:rFonts w:ascii="Times New Roman" w:hAnsi="Times New Roman"/>
        </w:rPr>
        <w:t>p</w:t>
      </w:r>
      <w:r w:rsidR="00420E4F" w:rsidRPr="00402F6C">
        <w:rPr>
          <w:rFonts w:ascii="Times New Roman" w:hAnsi="Times New Roman"/>
        </w:rPr>
        <w:t>ublicznych</w:t>
      </w:r>
      <w:r w:rsidRPr="00402F6C">
        <w:rPr>
          <w:rFonts w:ascii="Times New Roman" w:hAnsi="Times New Roman"/>
        </w:rPr>
        <w:t>.</w:t>
      </w:r>
    </w:p>
    <w:p w14:paraId="612EE964" w14:textId="17DF9151" w:rsidR="00435EE5" w:rsidRPr="00402F6C" w:rsidRDefault="00435EE5">
      <w:pPr>
        <w:spacing w:before="120" w:line="360" w:lineRule="auto"/>
        <w:jc w:val="both"/>
        <w:rPr>
          <w:rFonts w:ascii="Times New Roman" w:hAnsi="Times New Roman"/>
        </w:rPr>
      </w:pPr>
      <w:r w:rsidRPr="00402F6C">
        <w:rPr>
          <w:rFonts w:ascii="Times New Roman" w:hAnsi="Times New Roman"/>
        </w:rPr>
        <w:t xml:space="preserve">Schemat </w:t>
      </w:r>
      <w:r w:rsidR="00715EB6" w:rsidRPr="00402F6C">
        <w:rPr>
          <w:rFonts w:ascii="Times New Roman" w:hAnsi="Times New Roman"/>
        </w:rPr>
        <w:t>z</w:t>
      </w:r>
      <w:r w:rsidR="004D3B5E" w:rsidRPr="00402F6C">
        <w:rPr>
          <w:rFonts w:ascii="Times New Roman" w:hAnsi="Times New Roman"/>
        </w:rPr>
        <w:t>astosowania klauzuli wyjścia</w:t>
      </w:r>
      <w:r w:rsidRPr="00402F6C">
        <w:rPr>
          <w:rFonts w:ascii="Times New Roman" w:hAnsi="Times New Roman"/>
        </w:rPr>
        <w:t xml:space="preserve"> </w:t>
      </w:r>
      <w:r w:rsidR="004E247A" w:rsidRPr="00402F6C">
        <w:rPr>
          <w:rFonts w:ascii="Times New Roman" w:hAnsi="Times New Roman"/>
        </w:rPr>
        <w:t xml:space="preserve">i powrotu do </w:t>
      </w:r>
      <w:r w:rsidRPr="00402F6C">
        <w:rPr>
          <w:rFonts w:ascii="Times New Roman" w:hAnsi="Times New Roman"/>
        </w:rPr>
        <w:t>stosowania stabilizującej reguły wydatkowej</w:t>
      </w:r>
      <w:r w:rsidR="004E247A" w:rsidRPr="00402F6C">
        <w:rPr>
          <w:rFonts w:ascii="Times New Roman" w:hAnsi="Times New Roman"/>
        </w:rPr>
        <w:t xml:space="preserve"> zgodnie z art. 112aa</w:t>
      </w:r>
      <w:r w:rsidR="005002D7" w:rsidRPr="00402F6C">
        <w:rPr>
          <w:rFonts w:ascii="Times New Roman" w:hAnsi="Times New Roman"/>
        </w:rPr>
        <w:t xml:space="preserve"> ustawy</w:t>
      </w:r>
      <w:r w:rsidR="00510C93" w:rsidRPr="00402F6C">
        <w:rPr>
          <w:rFonts w:ascii="Times New Roman" w:hAnsi="Times New Roman"/>
          <w:color w:val="000000" w:themeColor="text1"/>
        </w:rPr>
        <w:t xml:space="preserve"> </w:t>
      </w:r>
      <w:r w:rsidR="005002D7" w:rsidRPr="00402F6C">
        <w:rPr>
          <w:rFonts w:ascii="Times New Roman" w:hAnsi="Times New Roman"/>
        </w:rPr>
        <w:t>o finansach publicznych</w:t>
      </w:r>
      <w:r w:rsidR="0000532F" w:rsidRPr="00402F6C">
        <w:rPr>
          <w:rFonts w:ascii="Times New Roman" w:hAnsi="Times New Roman"/>
        </w:rPr>
        <w:t>:</w:t>
      </w:r>
    </w:p>
    <w:p w14:paraId="5FBC7CE4" w14:textId="77777777" w:rsidR="00435EE5" w:rsidRPr="00EB6B22" w:rsidRDefault="00852BDD">
      <w:pPr>
        <w:spacing w:before="120" w:line="360" w:lineRule="auto"/>
        <w:jc w:val="both"/>
        <w:rPr>
          <w:rFonts w:ascii="Times New Roman" w:hAnsi="Times New Roman"/>
          <w:highlight w:val="yellow"/>
        </w:rPr>
      </w:pPr>
      <w:r w:rsidRPr="00A72ACC">
        <w:rPr>
          <w:rFonts w:ascii="Times New Roman" w:hAnsi="Times New Roman"/>
          <w:noProof/>
          <w:lang w:eastAsia="pl-PL"/>
        </w:rPr>
        <w:drawing>
          <wp:inline distT="0" distB="0" distL="0" distR="0" wp14:anchorId="44EF0089" wp14:editId="46E37881">
            <wp:extent cx="5419725" cy="2686050"/>
            <wp:effectExtent l="0" t="0" r="9525" b="0"/>
            <wp:docPr id="1" name="Obraz 1"/>
            <wp:cNvGraphicFramePr/>
            <a:graphic xmlns:a="http://schemas.openxmlformats.org/drawingml/2006/main">
              <a:graphicData uri="http://schemas.openxmlformats.org/drawingml/2006/picture">
                <pic:pic xmlns:pic="http://schemas.openxmlformats.org/drawingml/2006/picture">
                  <pic:nvPicPr>
                    <pic:cNvPr id="1" name="Obraz 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19725" cy="2686050"/>
                    </a:xfrm>
                    <a:prstGeom prst="rect">
                      <a:avLst/>
                    </a:prstGeom>
                    <a:noFill/>
                    <a:ln>
                      <a:noFill/>
                    </a:ln>
                  </pic:spPr>
                </pic:pic>
              </a:graphicData>
            </a:graphic>
          </wp:inline>
        </w:drawing>
      </w:r>
    </w:p>
    <w:p w14:paraId="4961701A" w14:textId="17D42D34" w:rsidR="00BD4EFD" w:rsidRPr="00EB6B22" w:rsidRDefault="00BD4EFD">
      <w:pPr>
        <w:spacing w:before="120" w:line="360" w:lineRule="auto"/>
        <w:jc w:val="both"/>
        <w:rPr>
          <w:rFonts w:ascii="Times New Roman" w:hAnsi="Times New Roman"/>
        </w:rPr>
      </w:pPr>
      <w:r w:rsidRPr="00402F6C">
        <w:rPr>
          <w:rFonts w:ascii="Times New Roman" w:hAnsi="Times New Roman"/>
        </w:rPr>
        <w:t xml:space="preserve">Ponadto projekt ustawy dostosowuje treść odpowiednich przepisów ustawy o finansach publicznych (m.in. </w:t>
      </w:r>
      <w:r w:rsidR="0000532F" w:rsidRPr="00402F6C">
        <w:rPr>
          <w:rFonts w:ascii="Times New Roman" w:hAnsi="Times New Roman"/>
        </w:rPr>
        <w:t xml:space="preserve">określających elementy </w:t>
      </w:r>
      <w:r w:rsidRPr="00402F6C">
        <w:rPr>
          <w:rFonts w:ascii="Times New Roman" w:hAnsi="Times New Roman"/>
        </w:rPr>
        <w:t xml:space="preserve">uzasadnienia do projektu ustawy budżetowej), w których mowa jest o kwocie planowanych wydatków, obliczonej zgodnie z art. 112aa ust. 1, dodając </w:t>
      </w:r>
      <w:r w:rsidR="00A152B1" w:rsidRPr="00402F6C">
        <w:rPr>
          <w:rFonts w:ascii="Times New Roman" w:hAnsi="Times New Roman"/>
        </w:rPr>
        <w:t>odesłanie</w:t>
      </w:r>
      <w:r w:rsidRPr="00402F6C">
        <w:rPr>
          <w:rFonts w:ascii="Times New Roman" w:hAnsi="Times New Roman"/>
        </w:rPr>
        <w:t xml:space="preserve"> również do kwoty wydatków obliczanej </w:t>
      </w:r>
      <w:r w:rsidR="00653794">
        <w:rPr>
          <w:rFonts w:ascii="Times New Roman" w:hAnsi="Times New Roman"/>
        </w:rPr>
        <w:t>zgodnie</w:t>
      </w:r>
      <w:r w:rsidRPr="00402F6C">
        <w:rPr>
          <w:rFonts w:ascii="Times New Roman" w:hAnsi="Times New Roman"/>
        </w:rPr>
        <w:t xml:space="preserve"> z</w:t>
      </w:r>
      <w:r w:rsidR="00402F6C">
        <w:rPr>
          <w:rFonts w:ascii="Times New Roman" w:hAnsi="Times New Roman"/>
        </w:rPr>
        <w:t xml:space="preserve"> </w:t>
      </w:r>
      <w:r w:rsidRPr="00EB6B22">
        <w:rPr>
          <w:rFonts w:ascii="Times New Roman" w:hAnsi="Times New Roman"/>
        </w:rPr>
        <w:t>art. 112d ust. 3.</w:t>
      </w:r>
    </w:p>
    <w:p w14:paraId="0CB792AA" w14:textId="525F72C4" w:rsidR="00B23EA5" w:rsidRPr="00402F6C" w:rsidRDefault="00B23EA5" w:rsidP="00A72ACC">
      <w:pPr>
        <w:suppressAutoHyphens/>
        <w:autoSpaceDE w:val="0"/>
        <w:autoSpaceDN w:val="0"/>
        <w:adjustRightInd w:val="0"/>
        <w:spacing w:before="120" w:line="360" w:lineRule="auto"/>
        <w:ind w:left="426" w:hanging="426"/>
        <w:jc w:val="both"/>
        <w:rPr>
          <w:rFonts w:ascii="Times New Roman" w:hAnsi="Times New Roman"/>
          <w:b/>
        </w:rPr>
      </w:pPr>
      <w:r w:rsidRPr="00402F6C">
        <w:rPr>
          <w:rFonts w:ascii="Times New Roman" w:hAnsi="Times New Roman"/>
          <w:b/>
        </w:rPr>
        <w:t>II.</w:t>
      </w:r>
      <w:r w:rsidR="00EB6B22">
        <w:rPr>
          <w:rFonts w:ascii="Times New Roman" w:hAnsi="Times New Roman"/>
          <w:b/>
        </w:rPr>
        <w:tab/>
      </w:r>
      <w:r w:rsidRPr="00402F6C">
        <w:rPr>
          <w:rFonts w:ascii="Times New Roman" w:hAnsi="Times New Roman"/>
          <w:b/>
        </w:rPr>
        <w:t>Skutki społeczno-gospodarcze</w:t>
      </w:r>
    </w:p>
    <w:p w14:paraId="798242FE" w14:textId="117D6531" w:rsidR="00B23EA5" w:rsidRPr="00EB6B22" w:rsidRDefault="00B23EA5" w:rsidP="00A72ACC">
      <w:pPr>
        <w:spacing w:before="120" w:line="360" w:lineRule="auto"/>
        <w:jc w:val="both"/>
        <w:rPr>
          <w:rFonts w:ascii="Times New Roman" w:hAnsi="Times New Roman"/>
        </w:rPr>
      </w:pPr>
      <w:r w:rsidRPr="00402F6C">
        <w:rPr>
          <w:rFonts w:ascii="Times New Roman" w:hAnsi="Times New Roman"/>
        </w:rPr>
        <w:t xml:space="preserve">Projektowane przepisy </w:t>
      </w:r>
      <w:r w:rsidR="00AE5CCB" w:rsidRPr="00402F6C">
        <w:rPr>
          <w:rFonts w:ascii="Times New Roman" w:hAnsi="Times New Roman"/>
        </w:rPr>
        <w:t xml:space="preserve">nie </w:t>
      </w:r>
      <w:r w:rsidRPr="00402F6C">
        <w:rPr>
          <w:rFonts w:ascii="Times New Roman" w:hAnsi="Times New Roman"/>
        </w:rPr>
        <w:t xml:space="preserve">będą miały </w:t>
      </w:r>
      <w:r w:rsidR="00136977" w:rsidRPr="00402F6C">
        <w:rPr>
          <w:rFonts w:ascii="Times New Roman" w:hAnsi="Times New Roman"/>
        </w:rPr>
        <w:t xml:space="preserve">bezpośredniego </w:t>
      </w:r>
      <w:r w:rsidRPr="00402F6C">
        <w:rPr>
          <w:rFonts w:ascii="Times New Roman" w:hAnsi="Times New Roman"/>
        </w:rPr>
        <w:t>wpływ</w:t>
      </w:r>
      <w:r w:rsidR="0000532F" w:rsidRPr="00402F6C">
        <w:rPr>
          <w:rFonts w:ascii="Times New Roman" w:hAnsi="Times New Roman"/>
        </w:rPr>
        <w:t>u</w:t>
      </w:r>
      <w:r w:rsidRPr="00402F6C">
        <w:rPr>
          <w:rFonts w:ascii="Times New Roman" w:hAnsi="Times New Roman"/>
        </w:rPr>
        <w:t xml:space="preserve"> na całość </w:t>
      </w:r>
      <w:r w:rsidR="007F117B" w:rsidRPr="00402F6C">
        <w:rPr>
          <w:rFonts w:ascii="Times New Roman" w:hAnsi="Times New Roman"/>
        </w:rPr>
        <w:t>życia społeczno-gospodarczego w</w:t>
      </w:r>
      <w:r w:rsidR="00402F6C">
        <w:rPr>
          <w:rFonts w:ascii="Times New Roman" w:hAnsi="Times New Roman"/>
        </w:rPr>
        <w:t xml:space="preserve"> </w:t>
      </w:r>
      <w:r w:rsidRPr="00EB6B22">
        <w:rPr>
          <w:rFonts w:ascii="Times New Roman" w:hAnsi="Times New Roman"/>
        </w:rPr>
        <w:t xml:space="preserve">Polsce. </w:t>
      </w:r>
      <w:r w:rsidR="00136977" w:rsidRPr="00EB6B22">
        <w:rPr>
          <w:rFonts w:ascii="Times New Roman" w:hAnsi="Times New Roman"/>
        </w:rPr>
        <w:t xml:space="preserve">Jednak niewprowadzenie proponowanych zmian uniemożliwia wsparcie gospodarki dodatkowymi środkami fiskalnymi w sytuacji ogłoszenia stanu epidemii na </w:t>
      </w:r>
      <w:r w:rsidR="00653794">
        <w:rPr>
          <w:rFonts w:ascii="Times New Roman" w:hAnsi="Times New Roman"/>
        </w:rPr>
        <w:t xml:space="preserve">całym </w:t>
      </w:r>
      <w:r w:rsidR="00136977" w:rsidRPr="00EB6B22">
        <w:rPr>
          <w:rFonts w:ascii="Times New Roman" w:hAnsi="Times New Roman"/>
        </w:rPr>
        <w:t xml:space="preserve">obszarze Rzeczypospolitej Polskiej. Bez wprowadzenia proponowanych zmian uruchomienie działań w ramach tarcz </w:t>
      </w:r>
      <w:r w:rsidR="00136977" w:rsidRPr="00EB6B22">
        <w:rPr>
          <w:rFonts w:ascii="Times New Roman" w:hAnsi="Times New Roman"/>
        </w:rPr>
        <w:lastRenderedPageBreak/>
        <w:t>antyk</w:t>
      </w:r>
      <w:r w:rsidR="00136977" w:rsidRPr="00402F6C">
        <w:rPr>
          <w:rFonts w:ascii="Times New Roman" w:hAnsi="Times New Roman"/>
        </w:rPr>
        <w:t>ryzysowych musiałoby zostać skompensowane ograniczeniem innych wydatków w</w:t>
      </w:r>
      <w:r w:rsidR="00402F6C">
        <w:rPr>
          <w:rFonts w:ascii="Times New Roman" w:hAnsi="Times New Roman"/>
        </w:rPr>
        <w:t xml:space="preserve"> </w:t>
      </w:r>
      <w:r w:rsidR="00136977" w:rsidRPr="00EB6B22">
        <w:rPr>
          <w:rFonts w:ascii="Times New Roman" w:hAnsi="Times New Roman"/>
        </w:rPr>
        <w:t>ramach podmiotów objętych stabilizującą regułą wydatkową lub podwyższeniem podatków i składek na ubezpieczenia społeczne</w:t>
      </w:r>
      <w:r w:rsidR="0000532F" w:rsidRPr="00EB6B22">
        <w:rPr>
          <w:rFonts w:ascii="Times New Roman" w:hAnsi="Times New Roman"/>
        </w:rPr>
        <w:t>.</w:t>
      </w:r>
    </w:p>
    <w:p w14:paraId="1551162B" w14:textId="0F5996A8" w:rsidR="00B23EA5" w:rsidRPr="00402F6C" w:rsidRDefault="00B23EA5" w:rsidP="00EB6B22">
      <w:pPr>
        <w:suppressAutoHyphens/>
        <w:autoSpaceDE w:val="0"/>
        <w:autoSpaceDN w:val="0"/>
        <w:adjustRightInd w:val="0"/>
        <w:spacing w:before="120" w:line="360" w:lineRule="auto"/>
        <w:ind w:left="426" w:hanging="440"/>
        <w:jc w:val="both"/>
        <w:rPr>
          <w:rFonts w:ascii="Times New Roman" w:hAnsi="Times New Roman"/>
          <w:b/>
        </w:rPr>
      </w:pPr>
      <w:r w:rsidRPr="00402F6C">
        <w:rPr>
          <w:rFonts w:ascii="Times New Roman" w:hAnsi="Times New Roman"/>
          <w:b/>
        </w:rPr>
        <w:t>I</w:t>
      </w:r>
      <w:r w:rsidR="000A3F40" w:rsidRPr="00402F6C">
        <w:rPr>
          <w:rFonts w:ascii="Times New Roman" w:hAnsi="Times New Roman"/>
          <w:b/>
        </w:rPr>
        <w:t>II</w:t>
      </w:r>
      <w:r w:rsidRPr="00402F6C">
        <w:rPr>
          <w:rFonts w:ascii="Times New Roman" w:hAnsi="Times New Roman"/>
          <w:b/>
        </w:rPr>
        <w:t>.</w:t>
      </w:r>
      <w:r w:rsidR="00EB6B22">
        <w:rPr>
          <w:rFonts w:ascii="Times New Roman" w:hAnsi="Times New Roman"/>
          <w:b/>
        </w:rPr>
        <w:tab/>
      </w:r>
      <w:r w:rsidRPr="00402F6C">
        <w:rPr>
          <w:rFonts w:ascii="Times New Roman" w:hAnsi="Times New Roman"/>
          <w:b/>
        </w:rPr>
        <w:t>Pozostałe kwestie</w:t>
      </w:r>
    </w:p>
    <w:p w14:paraId="770E1747" w14:textId="02DC15E1" w:rsidR="00806FFF" w:rsidRPr="00402F6C" w:rsidRDefault="00B539E7" w:rsidP="00A72ACC">
      <w:pPr>
        <w:pStyle w:val="Bezodstpw"/>
        <w:spacing w:before="120" w:line="360" w:lineRule="auto"/>
        <w:jc w:val="both"/>
        <w:rPr>
          <w:rFonts w:ascii="Times New Roman" w:hAnsi="Times New Roman" w:cs="Times New Roman"/>
          <w:sz w:val="24"/>
          <w:szCs w:val="24"/>
        </w:rPr>
      </w:pPr>
      <w:r w:rsidRPr="00A72ACC">
        <w:rPr>
          <w:rFonts w:ascii="Times New Roman" w:hAnsi="Times New Roman" w:cs="Times New Roman"/>
          <w:sz w:val="24"/>
          <w:szCs w:val="24"/>
        </w:rPr>
        <w:t>Ustawa wejdzie w życie z dniem</w:t>
      </w:r>
      <w:r w:rsidR="00B23EA5" w:rsidRPr="00A72ACC">
        <w:rPr>
          <w:rFonts w:ascii="Times New Roman" w:hAnsi="Times New Roman" w:cs="Times New Roman"/>
          <w:sz w:val="24"/>
          <w:szCs w:val="24"/>
        </w:rPr>
        <w:t xml:space="preserve"> następujący</w:t>
      </w:r>
      <w:r w:rsidRPr="00A72ACC">
        <w:rPr>
          <w:rFonts w:ascii="Times New Roman" w:hAnsi="Times New Roman" w:cs="Times New Roman"/>
          <w:sz w:val="24"/>
          <w:szCs w:val="24"/>
        </w:rPr>
        <w:t>m</w:t>
      </w:r>
      <w:r w:rsidR="00B23EA5" w:rsidRPr="00A72ACC">
        <w:rPr>
          <w:rFonts w:ascii="Times New Roman" w:hAnsi="Times New Roman" w:cs="Times New Roman"/>
          <w:sz w:val="24"/>
          <w:szCs w:val="24"/>
        </w:rPr>
        <w:t xml:space="preserve"> po </w:t>
      </w:r>
      <w:r w:rsidR="00B23EA5" w:rsidRPr="00402F6C">
        <w:rPr>
          <w:rFonts w:ascii="Times New Roman" w:hAnsi="Times New Roman" w:cs="Times New Roman"/>
          <w:sz w:val="24"/>
          <w:szCs w:val="24"/>
        </w:rPr>
        <w:t>dniu ogłoszenia</w:t>
      </w:r>
      <w:r w:rsidR="00806FFF" w:rsidRPr="00402F6C">
        <w:rPr>
          <w:rFonts w:ascii="Times New Roman" w:hAnsi="Times New Roman" w:cs="Times New Roman"/>
          <w:sz w:val="24"/>
          <w:szCs w:val="24"/>
        </w:rPr>
        <w:t xml:space="preserve"> </w:t>
      </w:r>
      <w:r w:rsidRPr="00402F6C">
        <w:rPr>
          <w:rFonts w:ascii="Times New Roman" w:hAnsi="Times New Roman" w:cs="Times New Roman"/>
          <w:sz w:val="24"/>
          <w:szCs w:val="24"/>
        </w:rPr>
        <w:t xml:space="preserve">czemu nie stoją </w:t>
      </w:r>
      <w:r w:rsidR="00806FFF" w:rsidRPr="00402F6C">
        <w:rPr>
          <w:rFonts w:ascii="Times New Roman" w:hAnsi="Times New Roman" w:cs="Times New Roman"/>
          <w:sz w:val="24"/>
          <w:szCs w:val="24"/>
        </w:rPr>
        <w:t xml:space="preserve">na </w:t>
      </w:r>
      <w:r w:rsidRPr="00402F6C">
        <w:rPr>
          <w:rFonts w:ascii="Times New Roman" w:hAnsi="Times New Roman" w:cs="Times New Roman"/>
          <w:sz w:val="24"/>
          <w:szCs w:val="24"/>
        </w:rPr>
        <w:t>przeszkodzie zasady demokratycznego państwa prawnego</w:t>
      </w:r>
      <w:r w:rsidR="00806FFF" w:rsidRPr="00402F6C">
        <w:rPr>
          <w:rFonts w:ascii="Times New Roman" w:hAnsi="Times New Roman" w:cs="Times New Roman"/>
          <w:sz w:val="24"/>
          <w:szCs w:val="24"/>
        </w:rPr>
        <w:t>.</w:t>
      </w:r>
    </w:p>
    <w:p w14:paraId="62CC27E4" w14:textId="7199787E" w:rsidR="00B23EA5" w:rsidRPr="00402F6C" w:rsidRDefault="00260D0B" w:rsidP="00A72ACC">
      <w:pPr>
        <w:pStyle w:val="Bezodstpw"/>
        <w:spacing w:before="120" w:line="360" w:lineRule="auto"/>
        <w:jc w:val="both"/>
        <w:rPr>
          <w:rFonts w:ascii="Times New Roman" w:hAnsi="Times New Roman" w:cs="Times New Roman"/>
          <w:bCs/>
          <w:sz w:val="24"/>
          <w:szCs w:val="24"/>
        </w:rPr>
      </w:pPr>
      <w:r w:rsidRPr="00402F6C">
        <w:rPr>
          <w:rFonts w:ascii="Times New Roman" w:hAnsi="Times New Roman" w:cs="Times New Roman"/>
          <w:sz w:val="24"/>
          <w:szCs w:val="24"/>
        </w:rPr>
        <w:t>Konieczność jak najszybszego wejścia w życie ustawy wynika z potrzeby nowelizacji</w:t>
      </w:r>
      <w:r w:rsidRPr="00A72ACC">
        <w:rPr>
          <w:rFonts w:ascii="Times New Roman" w:hAnsi="Times New Roman" w:cs="Times New Roman"/>
          <w:sz w:val="24"/>
          <w:szCs w:val="24"/>
        </w:rPr>
        <w:t xml:space="preserve"> ustawy budżetowej na rok 2020. Niewprowadzenie proponowanych zmian uniemożliwia wsparcie gospodarki dodatkowymi środkami fiskalnymi w sytuacji ogłoszenia stanu epidemii na </w:t>
      </w:r>
      <w:r w:rsidR="00EA1EE9">
        <w:rPr>
          <w:rFonts w:ascii="Times New Roman" w:hAnsi="Times New Roman" w:cs="Times New Roman"/>
          <w:sz w:val="24"/>
          <w:szCs w:val="24"/>
        </w:rPr>
        <w:t xml:space="preserve">całym </w:t>
      </w:r>
      <w:r w:rsidRPr="00A72ACC">
        <w:rPr>
          <w:rFonts w:ascii="Times New Roman" w:hAnsi="Times New Roman" w:cs="Times New Roman"/>
          <w:sz w:val="24"/>
          <w:szCs w:val="24"/>
        </w:rPr>
        <w:t xml:space="preserve">obszarze Rzeczypospolitej Polskiej. W efekcie bez wprowadzenia proponowanych zmian uruchomienie działań w ramach tarcz antykryzysowych musiałoby </w:t>
      </w:r>
      <w:r w:rsidRPr="00402F6C">
        <w:rPr>
          <w:rFonts w:ascii="Times New Roman" w:hAnsi="Times New Roman" w:cs="Times New Roman"/>
          <w:bCs/>
          <w:sz w:val="24"/>
          <w:szCs w:val="24"/>
        </w:rPr>
        <w:t>zostać skompensowane ograniczeniem innych wydatków w ramach podmiotów objętych stabilizującą regułą wydatkową lub podwyższeniem podatków i</w:t>
      </w:r>
      <w:r w:rsidR="00402F6C">
        <w:rPr>
          <w:rFonts w:ascii="Times New Roman" w:hAnsi="Times New Roman" w:cs="Times New Roman"/>
          <w:bCs/>
          <w:sz w:val="24"/>
          <w:szCs w:val="24"/>
        </w:rPr>
        <w:t xml:space="preserve"> </w:t>
      </w:r>
      <w:r w:rsidRPr="00EB6B22">
        <w:rPr>
          <w:rFonts w:ascii="Times New Roman" w:hAnsi="Times New Roman" w:cs="Times New Roman"/>
          <w:bCs/>
          <w:sz w:val="24"/>
          <w:szCs w:val="24"/>
        </w:rPr>
        <w:t>składek na ubezpieczenia społeczne.</w:t>
      </w:r>
    </w:p>
    <w:p w14:paraId="4D233F7A" w14:textId="37ECF8E6" w:rsidR="00840B7C" w:rsidRPr="00402F6C" w:rsidRDefault="00840B7C" w:rsidP="00A72ACC">
      <w:pPr>
        <w:pStyle w:val="Bezodstpw"/>
        <w:spacing w:before="120" w:line="360" w:lineRule="auto"/>
        <w:jc w:val="both"/>
        <w:rPr>
          <w:rFonts w:ascii="Times New Roman" w:hAnsi="Times New Roman" w:cs="Times New Roman"/>
          <w:bCs/>
          <w:sz w:val="24"/>
          <w:szCs w:val="24"/>
        </w:rPr>
      </w:pPr>
      <w:r w:rsidRPr="00402F6C">
        <w:rPr>
          <w:rFonts w:ascii="Times New Roman" w:hAnsi="Times New Roman" w:cs="Times New Roman"/>
          <w:bCs/>
          <w:sz w:val="24"/>
          <w:szCs w:val="24"/>
        </w:rPr>
        <w:t xml:space="preserve">Przepisy ustawy </w:t>
      </w:r>
      <w:r w:rsidR="00E9086E" w:rsidRPr="00402F6C">
        <w:rPr>
          <w:rFonts w:ascii="Times New Roman" w:hAnsi="Times New Roman" w:cs="Times New Roman"/>
          <w:bCs/>
          <w:sz w:val="24"/>
          <w:szCs w:val="24"/>
        </w:rPr>
        <w:t xml:space="preserve">o finansach publicznych </w:t>
      </w:r>
      <w:r w:rsidRPr="00402F6C">
        <w:rPr>
          <w:rFonts w:ascii="Times New Roman" w:hAnsi="Times New Roman" w:cs="Times New Roman"/>
          <w:bCs/>
          <w:sz w:val="24"/>
          <w:szCs w:val="24"/>
        </w:rPr>
        <w:t xml:space="preserve">w brzmieniu nadanym </w:t>
      </w:r>
      <w:r w:rsidR="00E9086E" w:rsidRPr="00402F6C">
        <w:rPr>
          <w:rFonts w:ascii="Times New Roman" w:hAnsi="Times New Roman" w:cs="Times New Roman"/>
          <w:bCs/>
          <w:sz w:val="24"/>
          <w:szCs w:val="24"/>
        </w:rPr>
        <w:t xml:space="preserve">projektowaną </w:t>
      </w:r>
      <w:r w:rsidRPr="00402F6C">
        <w:rPr>
          <w:rFonts w:ascii="Times New Roman" w:hAnsi="Times New Roman" w:cs="Times New Roman"/>
          <w:bCs/>
          <w:sz w:val="24"/>
          <w:szCs w:val="24"/>
        </w:rPr>
        <w:t xml:space="preserve">ustawą </w:t>
      </w:r>
      <w:r w:rsidR="00BE2D84" w:rsidRPr="00402F6C">
        <w:rPr>
          <w:rFonts w:ascii="Times New Roman" w:hAnsi="Times New Roman" w:cs="Times New Roman"/>
          <w:bCs/>
          <w:sz w:val="24"/>
          <w:szCs w:val="24"/>
        </w:rPr>
        <w:t xml:space="preserve">będą miały </w:t>
      </w:r>
      <w:r w:rsidRPr="00402F6C">
        <w:rPr>
          <w:rFonts w:ascii="Times New Roman" w:hAnsi="Times New Roman" w:cs="Times New Roman"/>
          <w:bCs/>
          <w:sz w:val="24"/>
          <w:szCs w:val="24"/>
        </w:rPr>
        <w:t>zastosowanie do projektu ustawy zmieniającej ustawę budżetową na rok 2020</w:t>
      </w:r>
      <w:r w:rsidR="00BE2D84" w:rsidRPr="00402F6C">
        <w:rPr>
          <w:rFonts w:ascii="Times New Roman" w:hAnsi="Times New Roman" w:cs="Times New Roman"/>
          <w:bCs/>
          <w:sz w:val="24"/>
          <w:szCs w:val="24"/>
        </w:rPr>
        <w:t>,</w:t>
      </w:r>
      <w:r w:rsidRPr="00402F6C">
        <w:rPr>
          <w:rFonts w:ascii="Times New Roman" w:hAnsi="Times New Roman" w:cs="Times New Roman"/>
          <w:bCs/>
          <w:sz w:val="24"/>
          <w:szCs w:val="24"/>
        </w:rPr>
        <w:t xml:space="preserve"> jeżeli tempo wzrostu produktu krajow</w:t>
      </w:r>
      <w:r w:rsidR="00BE2D84" w:rsidRPr="00402F6C">
        <w:rPr>
          <w:rFonts w:ascii="Times New Roman" w:hAnsi="Times New Roman" w:cs="Times New Roman"/>
          <w:bCs/>
          <w:sz w:val="24"/>
          <w:szCs w:val="24"/>
        </w:rPr>
        <w:t xml:space="preserve">ego brutto w cenach stałych będzie </w:t>
      </w:r>
      <w:r w:rsidRPr="00402F6C">
        <w:rPr>
          <w:rFonts w:ascii="Times New Roman" w:hAnsi="Times New Roman" w:cs="Times New Roman"/>
          <w:bCs/>
          <w:sz w:val="24"/>
          <w:szCs w:val="24"/>
        </w:rPr>
        <w:t xml:space="preserve">mniejsze o więcej niż dwa punkty procentowe od średniego wzrostu produktu krajowego brutto obliczonego na podstawie ogłoszonej przez Prezesa Głównego Urzędu Statystycznego łącznej dynamiki wartości produktu krajowego brutto, o której mowa w art.112aa ust. 1 ustawy </w:t>
      </w:r>
      <w:r w:rsidR="00BE2D84" w:rsidRPr="00402F6C">
        <w:rPr>
          <w:rFonts w:ascii="Times New Roman" w:hAnsi="Times New Roman" w:cs="Times New Roman"/>
          <w:bCs/>
          <w:sz w:val="24"/>
          <w:szCs w:val="24"/>
        </w:rPr>
        <w:t xml:space="preserve">o finansach publicznych. </w:t>
      </w:r>
    </w:p>
    <w:p w14:paraId="5C470981" w14:textId="46BB80DB" w:rsidR="005002D7" w:rsidRPr="00402F6C" w:rsidRDefault="005002D7" w:rsidP="00A72ACC">
      <w:pPr>
        <w:pStyle w:val="Bezodstpw"/>
        <w:spacing w:before="120" w:line="360" w:lineRule="auto"/>
        <w:jc w:val="both"/>
        <w:rPr>
          <w:rFonts w:ascii="Times New Roman" w:hAnsi="Times New Roman" w:cs="Times New Roman"/>
          <w:bCs/>
          <w:sz w:val="24"/>
          <w:szCs w:val="24"/>
        </w:rPr>
      </w:pPr>
      <w:r w:rsidRPr="00402F6C">
        <w:rPr>
          <w:rFonts w:ascii="Times New Roman" w:hAnsi="Times New Roman" w:cs="Times New Roman"/>
          <w:bCs/>
          <w:sz w:val="24"/>
          <w:szCs w:val="24"/>
        </w:rPr>
        <w:t>Zawarte w projekcie regulacje nie będą miały bezpośredniego wpływu na działalność mikroprzedsiębiorców, małych i średnich przedsiębiorców zgodnie z ustawą z</w:t>
      </w:r>
      <w:r w:rsidR="00402F6C">
        <w:rPr>
          <w:rFonts w:ascii="Times New Roman" w:hAnsi="Times New Roman" w:cs="Times New Roman"/>
          <w:bCs/>
          <w:sz w:val="24"/>
          <w:szCs w:val="24"/>
        </w:rPr>
        <w:t xml:space="preserve"> </w:t>
      </w:r>
      <w:r w:rsidRPr="00EB6B22">
        <w:rPr>
          <w:rFonts w:ascii="Times New Roman" w:hAnsi="Times New Roman" w:cs="Times New Roman"/>
          <w:bCs/>
          <w:sz w:val="24"/>
          <w:szCs w:val="24"/>
        </w:rPr>
        <w:t xml:space="preserve">dnia 6 marca 2018 r. – Prawo przedsiębiorców (Dz. U. z 2019 r. poz. </w:t>
      </w:r>
      <w:r w:rsidR="00667529" w:rsidRPr="00402F6C">
        <w:rPr>
          <w:rFonts w:ascii="Times New Roman" w:hAnsi="Times New Roman" w:cs="Times New Roman"/>
          <w:bCs/>
          <w:sz w:val="24"/>
          <w:szCs w:val="24"/>
        </w:rPr>
        <w:t>12</w:t>
      </w:r>
      <w:r w:rsidRPr="00402F6C">
        <w:rPr>
          <w:rFonts w:ascii="Times New Roman" w:hAnsi="Times New Roman" w:cs="Times New Roman"/>
          <w:bCs/>
          <w:sz w:val="24"/>
          <w:szCs w:val="24"/>
        </w:rPr>
        <w:t>92, z</w:t>
      </w:r>
      <w:r w:rsidR="00402F6C">
        <w:rPr>
          <w:rFonts w:ascii="Times New Roman" w:hAnsi="Times New Roman" w:cs="Times New Roman"/>
          <w:bCs/>
          <w:sz w:val="24"/>
          <w:szCs w:val="24"/>
        </w:rPr>
        <w:t xml:space="preserve"> </w:t>
      </w:r>
      <w:r w:rsidRPr="00EB6B22">
        <w:rPr>
          <w:rFonts w:ascii="Times New Roman" w:hAnsi="Times New Roman" w:cs="Times New Roman"/>
          <w:bCs/>
          <w:sz w:val="24"/>
          <w:szCs w:val="24"/>
        </w:rPr>
        <w:t xml:space="preserve">późn. zm.). </w:t>
      </w:r>
    </w:p>
    <w:p w14:paraId="2C448011" w14:textId="77777777" w:rsidR="00B23EA5" w:rsidRPr="00402F6C" w:rsidRDefault="00A8623F" w:rsidP="00A72ACC">
      <w:pPr>
        <w:spacing w:before="120" w:line="360" w:lineRule="auto"/>
        <w:jc w:val="both"/>
        <w:rPr>
          <w:rFonts w:ascii="Times New Roman" w:hAnsi="Times New Roman"/>
          <w:highlight w:val="lightGray"/>
        </w:rPr>
      </w:pPr>
      <w:r w:rsidRPr="00402F6C">
        <w:rPr>
          <w:rFonts w:ascii="Times New Roman" w:hAnsi="Times New Roman"/>
        </w:rPr>
        <w:t xml:space="preserve">Projekt ustawy jest zgodny z prawem Unii Europejskiej. </w:t>
      </w:r>
      <w:r w:rsidR="00EA1411" w:rsidRPr="00402F6C">
        <w:rPr>
          <w:rFonts w:ascii="Times New Roman" w:hAnsi="Times New Roman"/>
        </w:rPr>
        <w:t>Zaproponowane w projekcie ustawy działanie jest spójne z rozwiązaniem zastosowanym w Unii Europejskiej, gdzie została uruchomiona tzw. generalna klauzula wyjścia pozwalająca na przekroczenie limitów wynikających z reguł unijnych w zakresie zwalczania skutków związanych z epidemią COVID-19.</w:t>
      </w:r>
    </w:p>
    <w:p w14:paraId="5AF1DCB9" w14:textId="77777777" w:rsidR="00B23EA5" w:rsidRPr="00402F6C" w:rsidRDefault="00B23EA5" w:rsidP="00A72ACC">
      <w:pPr>
        <w:suppressAutoHyphens/>
        <w:spacing w:before="120" w:line="360" w:lineRule="auto"/>
        <w:jc w:val="both"/>
        <w:rPr>
          <w:rFonts w:ascii="Times New Roman" w:hAnsi="Times New Roman"/>
        </w:rPr>
      </w:pPr>
      <w:r w:rsidRPr="00402F6C">
        <w:rPr>
          <w:rFonts w:ascii="Times New Roman" w:hAnsi="Times New Roman"/>
        </w:rPr>
        <w:t xml:space="preserve">Projekt nie zawiera przepisów technicznych w rozumieniu rozporządzenia Rady Ministrów z dnia 23 grudnia 2002 r. w sprawie sposobu funkcjonowania krajowego </w:t>
      </w:r>
      <w:r w:rsidRPr="00402F6C">
        <w:rPr>
          <w:rFonts w:ascii="Times New Roman" w:hAnsi="Times New Roman"/>
        </w:rPr>
        <w:lastRenderedPageBreak/>
        <w:t>systemu notyfikacji norm i aktów prawnych (Dz. U. poz. 2039</w:t>
      </w:r>
      <w:r w:rsidR="005002D7" w:rsidRPr="00402F6C">
        <w:rPr>
          <w:rFonts w:ascii="Times New Roman" w:hAnsi="Times New Roman"/>
        </w:rPr>
        <w:t>, z późn. zm.)</w:t>
      </w:r>
      <w:r w:rsidRPr="00402F6C">
        <w:rPr>
          <w:rFonts w:ascii="Times New Roman" w:hAnsi="Times New Roman"/>
        </w:rPr>
        <w:t xml:space="preserve"> oraz nie podlega notyfikacji na zasadach przewidzianych w tym rozporządzeniu.</w:t>
      </w:r>
    </w:p>
    <w:p w14:paraId="0BAD892A" w14:textId="78991B60" w:rsidR="00B23EA5" w:rsidRPr="00402F6C" w:rsidRDefault="00B23EA5" w:rsidP="00A72ACC">
      <w:pPr>
        <w:suppressAutoHyphens/>
        <w:spacing w:before="120" w:line="360" w:lineRule="auto"/>
        <w:jc w:val="both"/>
        <w:rPr>
          <w:rFonts w:ascii="Times New Roman" w:hAnsi="Times New Roman"/>
        </w:rPr>
      </w:pPr>
      <w:r w:rsidRPr="00402F6C">
        <w:rPr>
          <w:rFonts w:ascii="Times New Roman" w:hAnsi="Times New Roman"/>
        </w:rPr>
        <w:t xml:space="preserve">Projekt ustawy nie wymaga uzyskania opinii, dokonania powiadomienia, konsultacji albo uzgodnienia z właściwym organami i instytucjami Unii Europejskiej, w tym z Europejskim Bankiem Centralnym, </w:t>
      </w:r>
      <w:r w:rsidR="005002D7" w:rsidRPr="00402F6C">
        <w:rPr>
          <w:rFonts w:ascii="Times New Roman" w:hAnsi="Times New Roman"/>
        </w:rPr>
        <w:t>zgodnie z</w:t>
      </w:r>
      <w:r w:rsidRPr="00402F6C">
        <w:rPr>
          <w:rFonts w:ascii="Times New Roman" w:hAnsi="Times New Roman"/>
        </w:rPr>
        <w:t xml:space="preserve"> § 39 uchwały nr 190 Rady Ministrów z dnia 29</w:t>
      </w:r>
      <w:r w:rsidR="00402F6C">
        <w:rPr>
          <w:rFonts w:ascii="Times New Roman" w:hAnsi="Times New Roman"/>
        </w:rPr>
        <w:t xml:space="preserve"> </w:t>
      </w:r>
      <w:r w:rsidRPr="00EB6B22">
        <w:rPr>
          <w:rFonts w:ascii="Times New Roman" w:hAnsi="Times New Roman"/>
        </w:rPr>
        <w:t>października 2013 r. – Regulamin pracy Rady Ministrów (M. P. z 2016 r. poz. 1006, z</w:t>
      </w:r>
      <w:r w:rsidR="00402F6C">
        <w:rPr>
          <w:rFonts w:ascii="Times New Roman" w:hAnsi="Times New Roman"/>
        </w:rPr>
        <w:t xml:space="preserve"> </w:t>
      </w:r>
      <w:r w:rsidRPr="00EB6B22">
        <w:rPr>
          <w:rFonts w:ascii="Times New Roman" w:hAnsi="Times New Roman"/>
        </w:rPr>
        <w:t>późn. zm.).</w:t>
      </w:r>
    </w:p>
    <w:p w14:paraId="1B73CF93" w14:textId="21930BB3" w:rsidR="00B23EA5" w:rsidRPr="00402F6C" w:rsidRDefault="003E2E7E" w:rsidP="00A72ACC">
      <w:pPr>
        <w:suppressAutoHyphens/>
        <w:spacing w:before="120" w:line="360" w:lineRule="auto"/>
        <w:jc w:val="both"/>
        <w:rPr>
          <w:rFonts w:ascii="Times New Roman" w:hAnsi="Times New Roman"/>
        </w:rPr>
      </w:pPr>
      <w:r w:rsidRPr="00402F6C">
        <w:rPr>
          <w:rFonts w:ascii="Times New Roman" w:hAnsi="Times New Roman"/>
        </w:rPr>
        <w:t xml:space="preserve">Wprowadzenie do polskiego systemu prawnego stabilizującej reguły wydatkowej stanowiło element transpozycji dyrektywy Rady 2011/85/UE </w:t>
      </w:r>
      <w:r w:rsidR="00C53A77" w:rsidRPr="00402F6C">
        <w:rPr>
          <w:rFonts w:ascii="Times New Roman" w:hAnsi="Times New Roman"/>
        </w:rPr>
        <w:t xml:space="preserve">z dnia 8 listopada 2011 r. </w:t>
      </w:r>
      <w:r w:rsidRPr="00402F6C">
        <w:rPr>
          <w:rFonts w:ascii="Times New Roman" w:hAnsi="Times New Roman"/>
        </w:rPr>
        <w:t>w sprawie wymogów dla ram budżetowych państw członkowskich. W związku z tym, po opublikowaniu ustawy w Dzienniku Ustaw</w:t>
      </w:r>
      <w:r w:rsidR="005002D7" w:rsidRPr="00402F6C">
        <w:rPr>
          <w:rFonts w:ascii="Times New Roman" w:hAnsi="Times New Roman"/>
        </w:rPr>
        <w:t>,</w:t>
      </w:r>
      <w:r w:rsidRPr="00402F6C">
        <w:rPr>
          <w:rFonts w:ascii="Times New Roman" w:hAnsi="Times New Roman"/>
        </w:rPr>
        <w:t xml:space="preserve"> wymagana będzie notyfikacja zmian do Komisji Europejskiej, która prowadzi proces oceny transpozycji dyrektyw do krajowych ram prawnych.</w:t>
      </w:r>
    </w:p>
    <w:sectPr w:rsidR="00B23EA5" w:rsidRPr="00402F6C" w:rsidSect="00A72ACC">
      <w:footerReference w:type="default" r:id="rId9"/>
      <w:pgSz w:w="11900" w:h="16840" w:code="9"/>
      <w:pgMar w:top="1588" w:right="1418" w:bottom="1418" w:left="1985" w:header="709" w:footer="709" w:gutter="0"/>
      <w:cols w:space="708"/>
      <w:titlePg/>
      <w:docGrid w:linePitch="326"/>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4032612" w16cid:durableId="2272794E"/>
  <w16cid:commentId w16cid:paraId="3CFCB943" w16cid:durableId="227277E0"/>
  <w16cid:commentId w16cid:paraId="3E90A246" w16cid:durableId="227277E1"/>
  <w16cid:commentId w16cid:paraId="4A8DC03E" w16cid:durableId="227280F3"/>
  <w16cid:commentId w16cid:paraId="2939F026" w16cid:durableId="22727E76"/>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3D930A" w14:textId="77777777" w:rsidR="00C1478A" w:rsidRDefault="00C1478A">
      <w:r>
        <w:separator/>
      </w:r>
    </w:p>
  </w:endnote>
  <w:endnote w:type="continuationSeparator" w:id="0">
    <w:p w14:paraId="483C332B" w14:textId="77777777" w:rsidR="00C1478A" w:rsidRDefault="00C147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Helvetica">
    <w:panose1 w:val="020B0504020202020204"/>
    <w:charset w:val="00"/>
    <w:family w:val="swiss"/>
    <w:notTrueType/>
    <w:pitch w:val="variable"/>
    <w:sig w:usb0="00000003" w:usb1="00000000" w:usb2="00000000" w:usb3="00000000" w:csb0="00000001" w:csb1="00000000"/>
  </w:font>
  <w:font w:name="Times">
    <w:panose1 w:val="02020603050405020304"/>
    <w:charset w:val="EE"/>
    <w:family w:val="roman"/>
    <w:pitch w:val="variable"/>
    <w:sig w:usb0="E0002EFF" w:usb1="C000785B"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4487135"/>
      <w:docPartObj>
        <w:docPartGallery w:val="Page Numbers (Bottom of Page)"/>
        <w:docPartUnique/>
      </w:docPartObj>
    </w:sdtPr>
    <w:sdtEndPr>
      <w:rPr>
        <w:rFonts w:ascii="Arial Narrow" w:hAnsi="Arial Narrow"/>
        <w:sz w:val="22"/>
        <w:szCs w:val="22"/>
      </w:rPr>
    </w:sdtEndPr>
    <w:sdtContent>
      <w:p w14:paraId="00B3333D" w14:textId="4E2A0FB0" w:rsidR="006C13FF" w:rsidRPr="003A17C8" w:rsidRDefault="0019101C" w:rsidP="003A17C8">
        <w:pPr>
          <w:pStyle w:val="Stopka"/>
          <w:jc w:val="center"/>
          <w:rPr>
            <w:rFonts w:ascii="Arial Narrow" w:hAnsi="Arial Narrow"/>
            <w:sz w:val="22"/>
            <w:szCs w:val="22"/>
          </w:rPr>
        </w:pPr>
        <w:r w:rsidRPr="00A72ACC">
          <w:rPr>
            <w:rFonts w:ascii="Times New Roman" w:hAnsi="Times New Roman"/>
          </w:rPr>
          <w:fldChar w:fldCharType="begin"/>
        </w:r>
        <w:r w:rsidRPr="00A72ACC">
          <w:rPr>
            <w:rFonts w:ascii="Times New Roman" w:hAnsi="Times New Roman"/>
          </w:rPr>
          <w:instrText>PAGE   \* MERGEFORMAT</w:instrText>
        </w:r>
        <w:r w:rsidRPr="00A72ACC">
          <w:rPr>
            <w:rFonts w:ascii="Times New Roman" w:hAnsi="Times New Roman"/>
          </w:rPr>
          <w:fldChar w:fldCharType="separate"/>
        </w:r>
        <w:r w:rsidR="00DC71BC">
          <w:rPr>
            <w:rFonts w:ascii="Times New Roman" w:hAnsi="Times New Roman"/>
            <w:noProof/>
          </w:rPr>
          <w:t>9</w:t>
        </w:r>
        <w:r w:rsidRPr="00A72ACC">
          <w:rPr>
            <w:rFonts w:ascii="Times New Roman" w:hAnsi="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276ECA" w14:textId="77777777" w:rsidR="00C1478A" w:rsidRDefault="00C1478A">
      <w:r>
        <w:separator/>
      </w:r>
    </w:p>
  </w:footnote>
  <w:footnote w:type="continuationSeparator" w:id="0">
    <w:p w14:paraId="1378FB5F" w14:textId="77777777" w:rsidR="00C1478A" w:rsidRDefault="00C1478A">
      <w:r>
        <w:continuationSeparator/>
      </w:r>
    </w:p>
  </w:footnote>
  <w:footnote w:id="1">
    <w:p w14:paraId="7A69DA70" w14:textId="07AA983D" w:rsidR="008F12AE" w:rsidRDefault="002B6A3D" w:rsidP="008F12AE">
      <w:pPr>
        <w:pStyle w:val="Tekstprzypisudolnego"/>
        <w:ind w:left="284" w:hanging="284"/>
        <w:jc w:val="both"/>
        <w:rPr>
          <w:rFonts w:ascii="Times New Roman" w:hAnsi="Times New Roman" w:cs="Times New Roman"/>
        </w:rPr>
      </w:pPr>
      <w:r w:rsidRPr="00A72ACC">
        <w:rPr>
          <w:rStyle w:val="Odwoanieprzypisudolnego"/>
          <w:rFonts w:ascii="Times New Roman" w:hAnsi="Times New Roman" w:cs="Times New Roman"/>
        </w:rPr>
        <w:footnoteRef/>
      </w:r>
      <w:r w:rsidR="00402F6C" w:rsidRPr="00A72ACC">
        <w:rPr>
          <w:rFonts w:ascii="Times New Roman" w:hAnsi="Times New Roman" w:cs="Times New Roman"/>
          <w:vertAlign w:val="superscript"/>
        </w:rPr>
        <w:t>)</w:t>
      </w:r>
      <w:r w:rsidR="00402F6C">
        <w:rPr>
          <w:rFonts w:ascii="Times New Roman" w:hAnsi="Times New Roman" w:cs="Times New Roman"/>
        </w:rPr>
        <w:tab/>
      </w:r>
      <w:r w:rsidRPr="00A72ACC">
        <w:rPr>
          <w:rFonts w:ascii="Times New Roman" w:hAnsi="Times New Roman" w:cs="Times New Roman"/>
        </w:rPr>
        <w:t>Komunikat Komisji Europejskiej z</w:t>
      </w:r>
      <w:r w:rsidR="00510C93" w:rsidRPr="00A72ACC">
        <w:rPr>
          <w:rFonts w:ascii="Times New Roman" w:hAnsi="Times New Roman" w:cs="Times New Roman"/>
        </w:rPr>
        <w:t xml:space="preserve"> dnia</w:t>
      </w:r>
      <w:r w:rsidRPr="00A72ACC">
        <w:rPr>
          <w:rFonts w:ascii="Times New Roman" w:hAnsi="Times New Roman" w:cs="Times New Roman"/>
        </w:rPr>
        <w:t xml:space="preserve"> 20 marca </w:t>
      </w:r>
      <w:r w:rsidR="00AA2C8A">
        <w:rPr>
          <w:rFonts w:ascii="Times New Roman" w:hAnsi="Times New Roman" w:cs="Times New Roman"/>
        </w:rPr>
        <w:t xml:space="preserve">2020 </w:t>
      </w:r>
      <w:r w:rsidRPr="00A72ACC">
        <w:rPr>
          <w:rFonts w:ascii="Times New Roman" w:hAnsi="Times New Roman" w:cs="Times New Roman"/>
        </w:rPr>
        <w:t xml:space="preserve">r. w sprawie uruchomienia generalnej klauzuli wyjścia w ramach </w:t>
      </w:r>
      <w:r w:rsidRPr="00A72ACC">
        <w:rPr>
          <w:rFonts w:ascii="Times New Roman" w:hAnsi="Times New Roman" w:cs="Times New Roman"/>
          <w:i/>
        </w:rPr>
        <w:t>Paktu Stabilności i Wzrostu</w:t>
      </w:r>
      <w:r w:rsidRPr="00A72ACC">
        <w:rPr>
          <w:rFonts w:ascii="Times New Roman" w:hAnsi="Times New Roman" w:cs="Times New Roman"/>
        </w:rPr>
        <w:t xml:space="preserve"> jest dostępny na stronie: </w:t>
      </w:r>
      <w:r w:rsidR="00402F6C" w:rsidRPr="00A72ACC">
        <w:rPr>
          <w:rFonts w:ascii="Times New Roman" w:hAnsi="Times New Roman" w:cs="Times New Roman"/>
        </w:rPr>
        <w:t>https://data.consilium.europa.eu/doc/document/ST-7102-2020-INIT/pl/pdf</w:t>
      </w:r>
      <w:r w:rsidRPr="00A72ACC">
        <w:rPr>
          <w:rFonts w:ascii="Times New Roman" w:hAnsi="Times New Roman" w:cs="Times New Roman"/>
        </w:rPr>
        <w:t xml:space="preserve"> Oświadczenie unijnych </w:t>
      </w:r>
      <w:r w:rsidR="00510C93" w:rsidRPr="00A72ACC">
        <w:rPr>
          <w:rFonts w:ascii="Times New Roman" w:hAnsi="Times New Roman" w:cs="Times New Roman"/>
        </w:rPr>
        <w:t>M</w:t>
      </w:r>
      <w:r w:rsidRPr="00A72ACC">
        <w:rPr>
          <w:rFonts w:ascii="Times New Roman" w:hAnsi="Times New Roman" w:cs="Times New Roman"/>
        </w:rPr>
        <w:t xml:space="preserve">inistrów </w:t>
      </w:r>
      <w:r w:rsidR="00510C93" w:rsidRPr="00A72ACC">
        <w:rPr>
          <w:rFonts w:ascii="Times New Roman" w:hAnsi="Times New Roman" w:cs="Times New Roman"/>
        </w:rPr>
        <w:t>F</w:t>
      </w:r>
      <w:r w:rsidRPr="00A72ACC">
        <w:rPr>
          <w:rFonts w:ascii="Times New Roman" w:hAnsi="Times New Roman" w:cs="Times New Roman"/>
        </w:rPr>
        <w:t xml:space="preserve">inansów z </w:t>
      </w:r>
      <w:r w:rsidR="00510C93" w:rsidRPr="00A72ACC">
        <w:rPr>
          <w:rFonts w:ascii="Times New Roman" w:hAnsi="Times New Roman" w:cs="Times New Roman"/>
        </w:rPr>
        <w:t xml:space="preserve">dnia </w:t>
      </w:r>
      <w:r w:rsidRPr="00A72ACC">
        <w:rPr>
          <w:rFonts w:ascii="Times New Roman" w:hAnsi="Times New Roman" w:cs="Times New Roman"/>
        </w:rPr>
        <w:t xml:space="preserve">23 marca </w:t>
      </w:r>
      <w:r w:rsidR="008F12AE">
        <w:rPr>
          <w:rFonts w:ascii="Times New Roman" w:hAnsi="Times New Roman" w:cs="Times New Roman"/>
        </w:rPr>
        <w:t xml:space="preserve">2020 </w:t>
      </w:r>
      <w:r w:rsidRPr="00A72ACC">
        <w:rPr>
          <w:rFonts w:ascii="Times New Roman" w:hAnsi="Times New Roman" w:cs="Times New Roman"/>
        </w:rPr>
        <w:t xml:space="preserve">r. o </w:t>
      </w:r>
      <w:r w:rsidRPr="00A72ACC">
        <w:rPr>
          <w:rFonts w:ascii="Times New Roman" w:hAnsi="Times New Roman" w:cs="Times New Roman"/>
          <w:i/>
        </w:rPr>
        <w:t>Pakcie Stabilności i Wzrostu</w:t>
      </w:r>
      <w:r w:rsidRPr="00A72ACC">
        <w:rPr>
          <w:rFonts w:ascii="Times New Roman" w:hAnsi="Times New Roman" w:cs="Times New Roman"/>
        </w:rPr>
        <w:t xml:space="preserve"> w kontekście kryzysu wywołanego COVID-19 jest dostępne na stronie: </w:t>
      </w:r>
    </w:p>
    <w:p w14:paraId="75E1BD6B" w14:textId="20410BAE" w:rsidR="002B6A3D" w:rsidRPr="008F12AE" w:rsidRDefault="00402F6C" w:rsidP="008F12AE">
      <w:pPr>
        <w:pStyle w:val="Tekstprzypisudolnego"/>
        <w:ind w:left="284"/>
        <w:jc w:val="both"/>
        <w:rPr>
          <w:rFonts w:ascii="Times New Roman" w:hAnsi="Times New Roman" w:cs="Times New Roman"/>
        </w:rPr>
      </w:pPr>
      <w:r w:rsidRPr="008F12AE">
        <w:rPr>
          <w:rFonts w:ascii="Times New Roman" w:hAnsi="Times New Roman" w:cs="Times New Roman"/>
        </w:rPr>
        <w:t>https://www.consilium.europa.eu/pl/press/press-releases/2020/03/23/statement-of-eu-ministers-of-finance-on-the-stability-and-growth-pact-in-light-of-the-c</w:t>
      </w:r>
      <w:r w:rsidR="008F12AE" w:rsidRPr="008F12AE">
        <w:rPr>
          <w:rFonts w:ascii="Times New Roman" w:hAnsi="Times New Roman" w:cs="Times New Roman"/>
        </w:rPr>
        <w:t>ovid-19-crisis/?utm_source=dsms-</w:t>
      </w:r>
      <w:r w:rsidRPr="008F12AE">
        <w:rPr>
          <w:rFonts w:ascii="Times New Roman" w:hAnsi="Times New Roman" w:cs="Times New Roman"/>
        </w:rPr>
        <w:t>auto&amp;utm_medium=email&amp;utm_campaign=Statement+of+EU+ministers+of+finance+on+the+Stability+and+Growth+Pact+in+light+of+the+COVID-19+crisis</w:t>
      </w:r>
    </w:p>
  </w:footnote>
  <w:footnote w:id="2">
    <w:p w14:paraId="702CA290" w14:textId="56D8F8F7" w:rsidR="001A6286" w:rsidRPr="00A72ACC" w:rsidRDefault="001A6286" w:rsidP="00402F6C">
      <w:pPr>
        <w:pStyle w:val="Tekstprzypisudolnego"/>
        <w:spacing w:after="120"/>
        <w:ind w:left="284" w:hanging="284"/>
        <w:jc w:val="both"/>
        <w:rPr>
          <w:rFonts w:ascii="Times New Roman" w:hAnsi="Times New Roman" w:cs="Times New Roman"/>
          <w:lang w:val="en-GB"/>
        </w:rPr>
      </w:pPr>
      <w:r w:rsidRPr="00A72ACC">
        <w:rPr>
          <w:rStyle w:val="Odwoanieprzypisudolnego"/>
          <w:rFonts w:ascii="Times New Roman" w:hAnsi="Times New Roman" w:cs="Times New Roman"/>
          <w:lang w:val="en-GB"/>
        </w:rPr>
        <w:footnoteRef/>
      </w:r>
      <w:r w:rsidR="00402F6C" w:rsidRPr="00A72ACC">
        <w:rPr>
          <w:rFonts w:ascii="Times New Roman" w:hAnsi="Times New Roman" w:cs="Times New Roman"/>
          <w:vertAlign w:val="superscript"/>
          <w:lang w:val="en-GB"/>
        </w:rPr>
        <w:t>)</w:t>
      </w:r>
      <w:r w:rsidR="00402F6C">
        <w:rPr>
          <w:rFonts w:ascii="Times New Roman" w:hAnsi="Times New Roman" w:cs="Times New Roman"/>
          <w:lang w:val="en-GB"/>
        </w:rPr>
        <w:tab/>
      </w:r>
      <w:r w:rsidRPr="00A72ACC">
        <w:rPr>
          <w:rFonts w:ascii="Times New Roman" w:hAnsi="Times New Roman" w:cs="Times New Roman"/>
          <w:lang w:val="en-GB"/>
        </w:rPr>
        <w:t xml:space="preserve">William Gbohoui, Paulo Medas, </w:t>
      </w:r>
      <w:r w:rsidRPr="00A72ACC">
        <w:rPr>
          <w:rFonts w:ascii="Times New Roman" w:hAnsi="Times New Roman" w:cs="Times New Roman"/>
          <w:i/>
          <w:lang w:val="en-GB"/>
        </w:rPr>
        <w:t>Fiscal Rules, Escape Clauses, and Large Shocks</w:t>
      </w:r>
      <w:r w:rsidRPr="00A72ACC">
        <w:rPr>
          <w:rFonts w:ascii="Times New Roman" w:hAnsi="Times New Roman" w:cs="Times New Roman"/>
          <w:lang w:val="en-GB"/>
        </w:rPr>
        <w:t xml:space="preserve">, Międzynarodowy Fundusz Walutowy, kwiecień 2020 r.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7C16BA36"/>
    <w:lvl w:ilvl="0">
      <w:numFmt w:val="bullet"/>
      <w:lvlText w:val="*"/>
      <w:lvlJc w:val="left"/>
    </w:lvl>
  </w:abstractNum>
  <w:abstractNum w:abstractNumId="1" w15:restartNumberingAfterBreak="0">
    <w:nsid w:val="03A04C29"/>
    <w:multiLevelType w:val="hybridMultilevel"/>
    <w:tmpl w:val="F5A20FA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C28124C"/>
    <w:multiLevelType w:val="hybridMultilevel"/>
    <w:tmpl w:val="C036489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4275AEA"/>
    <w:multiLevelType w:val="hybridMultilevel"/>
    <w:tmpl w:val="3434295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DFF7032"/>
    <w:multiLevelType w:val="hybridMultilevel"/>
    <w:tmpl w:val="4440CEF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979401B"/>
    <w:multiLevelType w:val="hybridMultilevel"/>
    <w:tmpl w:val="13D8C79E"/>
    <w:lvl w:ilvl="0" w:tplc="8160D0A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 w15:restartNumberingAfterBreak="0">
    <w:nsid w:val="341A1A11"/>
    <w:multiLevelType w:val="hybridMultilevel"/>
    <w:tmpl w:val="5C407C4E"/>
    <w:lvl w:ilvl="0" w:tplc="8160D0A2">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7" w15:restartNumberingAfterBreak="0">
    <w:nsid w:val="37643872"/>
    <w:multiLevelType w:val="hybridMultilevel"/>
    <w:tmpl w:val="F5A20FA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531B790C"/>
    <w:multiLevelType w:val="hybridMultilevel"/>
    <w:tmpl w:val="4100FED6"/>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558227F3"/>
    <w:multiLevelType w:val="hybridMultilevel"/>
    <w:tmpl w:val="93BE845C"/>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5ED4477A"/>
    <w:multiLevelType w:val="hybridMultilevel"/>
    <w:tmpl w:val="D19E358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5"/>
  </w:num>
  <w:num w:numId="2">
    <w:abstractNumId w:val="9"/>
  </w:num>
  <w:num w:numId="3">
    <w:abstractNumId w:val="6"/>
  </w:num>
  <w:num w:numId="4">
    <w:abstractNumId w:val="1"/>
  </w:num>
  <w:num w:numId="5">
    <w:abstractNumId w:val="0"/>
    <w:lvlOverride w:ilvl="0">
      <w:lvl w:ilvl="0">
        <w:numFmt w:val="bullet"/>
        <w:lvlText w:val="•"/>
        <w:legacy w:legacy="1" w:legacySpace="0" w:legacyIndent="0"/>
        <w:lvlJc w:val="left"/>
        <w:rPr>
          <w:rFonts w:ascii="Arial" w:hAnsi="Arial" w:cs="Arial" w:hint="default"/>
          <w:sz w:val="32"/>
        </w:rPr>
      </w:lvl>
    </w:lvlOverride>
  </w:num>
  <w:num w:numId="6">
    <w:abstractNumId w:val="7"/>
  </w:num>
  <w:num w:numId="7">
    <w:abstractNumId w:val="8"/>
  </w:num>
  <w:num w:numId="8">
    <w:abstractNumId w:val="2"/>
  </w:num>
  <w:num w:numId="9">
    <w:abstractNumId w:val="4"/>
  </w:num>
  <w:num w:numId="10">
    <w:abstractNumId w:val="3"/>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425"/>
  <w:drawingGridHorizontalSpacing w:val="120"/>
  <w:drawingGridVerticalSpacing w:val="360"/>
  <w:displayHorizontalDrawingGridEvery w:val="0"/>
  <w:displayVerticalDrawingGridEvery w:val="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385B"/>
    <w:rsid w:val="00001D43"/>
    <w:rsid w:val="0000532F"/>
    <w:rsid w:val="00005930"/>
    <w:rsid w:val="00052586"/>
    <w:rsid w:val="000556DF"/>
    <w:rsid w:val="00061644"/>
    <w:rsid w:val="00081FEB"/>
    <w:rsid w:val="00084DE6"/>
    <w:rsid w:val="000968FE"/>
    <w:rsid w:val="000A3F40"/>
    <w:rsid w:val="000F7979"/>
    <w:rsid w:val="00104B93"/>
    <w:rsid w:val="0012425A"/>
    <w:rsid w:val="00136977"/>
    <w:rsid w:val="00145F5C"/>
    <w:rsid w:val="00180963"/>
    <w:rsid w:val="0019101C"/>
    <w:rsid w:val="00192314"/>
    <w:rsid w:val="00195C18"/>
    <w:rsid w:val="001A6286"/>
    <w:rsid w:val="001C4980"/>
    <w:rsid w:val="001D7B99"/>
    <w:rsid w:val="001E1726"/>
    <w:rsid w:val="001E27B8"/>
    <w:rsid w:val="001E5DAC"/>
    <w:rsid w:val="00225701"/>
    <w:rsid w:val="0025129F"/>
    <w:rsid w:val="00260D0B"/>
    <w:rsid w:val="002716DF"/>
    <w:rsid w:val="00280D95"/>
    <w:rsid w:val="002860B5"/>
    <w:rsid w:val="00287D0E"/>
    <w:rsid w:val="00293973"/>
    <w:rsid w:val="002A07C8"/>
    <w:rsid w:val="002B6A3D"/>
    <w:rsid w:val="002B7D96"/>
    <w:rsid w:val="002C6759"/>
    <w:rsid w:val="003056D3"/>
    <w:rsid w:val="00307E25"/>
    <w:rsid w:val="0033329A"/>
    <w:rsid w:val="00340115"/>
    <w:rsid w:val="00343EA9"/>
    <w:rsid w:val="00345C89"/>
    <w:rsid w:val="003618FE"/>
    <w:rsid w:val="00365A63"/>
    <w:rsid w:val="00383596"/>
    <w:rsid w:val="00386B49"/>
    <w:rsid w:val="00387D85"/>
    <w:rsid w:val="003A17C8"/>
    <w:rsid w:val="003C5F37"/>
    <w:rsid w:val="003D73A7"/>
    <w:rsid w:val="003E2E7E"/>
    <w:rsid w:val="003F47D1"/>
    <w:rsid w:val="00402F6C"/>
    <w:rsid w:val="004049E9"/>
    <w:rsid w:val="00420E4F"/>
    <w:rsid w:val="00435EE5"/>
    <w:rsid w:val="00446B3C"/>
    <w:rsid w:val="00455B10"/>
    <w:rsid w:val="00471A89"/>
    <w:rsid w:val="004829A8"/>
    <w:rsid w:val="004908E8"/>
    <w:rsid w:val="00492855"/>
    <w:rsid w:val="0049362D"/>
    <w:rsid w:val="004B33F9"/>
    <w:rsid w:val="004C2463"/>
    <w:rsid w:val="004D3B5E"/>
    <w:rsid w:val="004E247A"/>
    <w:rsid w:val="004E701A"/>
    <w:rsid w:val="004F26FD"/>
    <w:rsid w:val="005002D7"/>
    <w:rsid w:val="00501085"/>
    <w:rsid w:val="00510C93"/>
    <w:rsid w:val="00531460"/>
    <w:rsid w:val="00537873"/>
    <w:rsid w:val="0055122F"/>
    <w:rsid w:val="00552B11"/>
    <w:rsid w:val="00566182"/>
    <w:rsid w:val="005826D4"/>
    <w:rsid w:val="005925F4"/>
    <w:rsid w:val="005952BC"/>
    <w:rsid w:val="005A227C"/>
    <w:rsid w:val="005A3C1A"/>
    <w:rsid w:val="005B6315"/>
    <w:rsid w:val="005C254D"/>
    <w:rsid w:val="005D1987"/>
    <w:rsid w:val="00604E9D"/>
    <w:rsid w:val="00605B50"/>
    <w:rsid w:val="006204BC"/>
    <w:rsid w:val="00624FFB"/>
    <w:rsid w:val="006263CE"/>
    <w:rsid w:val="00627406"/>
    <w:rsid w:val="00630D59"/>
    <w:rsid w:val="00653794"/>
    <w:rsid w:val="00665C43"/>
    <w:rsid w:val="00667529"/>
    <w:rsid w:val="00682969"/>
    <w:rsid w:val="006857FC"/>
    <w:rsid w:val="006978B3"/>
    <w:rsid w:val="006A242C"/>
    <w:rsid w:val="006B14E6"/>
    <w:rsid w:val="006B6318"/>
    <w:rsid w:val="006B72A6"/>
    <w:rsid w:val="006C7520"/>
    <w:rsid w:val="006D40FA"/>
    <w:rsid w:val="00715EB6"/>
    <w:rsid w:val="0071797B"/>
    <w:rsid w:val="00720760"/>
    <w:rsid w:val="00742C7E"/>
    <w:rsid w:val="007615FA"/>
    <w:rsid w:val="007B5978"/>
    <w:rsid w:val="007B74EF"/>
    <w:rsid w:val="007C0B7B"/>
    <w:rsid w:val="007C3E9A"/>
    <w:rsid w:val="007D7EDC"/>
    <w:rsid w:val="007E16E0"/>
    <w:rsid w:val="007E2D7D"/>
    <w:rsid w:val="007F117B"/>
    <w:rsid w:val="007F5811"/>
    <w:rsid w:val="008046C6"/>
    <w:rsid w:val="00806328"/>
    <w:rsid w:val="00806FFF"/>
    <w:rsid w:val="0081375D"/>
    <w:rsid w:val="00840B7C"/>
    <w:rsid w:val="00851406"/>
    <w:rsid w:val="00852BDD"/>
    <w:rsid w:val="00861900"/>
    <w:rsid w:val="00861AFB"/>
    <w:rsid w:val="0087130A"/>
    <w:rsid w:val="00881EC0"/>
    <w:rsid w:val="00885596"/>
    <w:rsid w:val="00892B69"/>
    <w:rsid w:val="008B2167"/>
    <w:rsid w:val="008B344D"/>
    <w:rsid w:val="008C0BBA"/>
    <w:rsid w:val="008D0CF3"/>
    <w:rsid w:val="008E0E8B"/>
    <w:rsid w:val="008E3561"/>
    <w:rsid w:val="008E443F"/>
    <w:rsid w:val="008F12AE"/>
    <w:rsid w:val="008F38E9"/>
    <w:rsid w:val="009022D5"/>
    <w:rsid w:val="009069F9"/>
    <w:rsid w:val="00923116"/>
    <w:rsid w:val="00956364"/>
    <w:rsid w:val="00963D78"/>
    <w:rsid w:val="00997EE4"/>
    <w:rsid w:val="009A7619"/>
    <w:rsid w:val="009B1670"/>
    <w:rsid w:val="009B280E"/>
    <w:rsid w:val="009B3D0A"/>
    <w:rsid w:val="009C4E6B"/>
    <w:rsid w:val="009C5945"/>
    <w:rsid w:val="009F0A4F"/>
    <w:rsid w:val="009F27D7"/>
    <w:rsid w:val="00A10793"/>
    <w:rsid w:val="00A152B1"/>
    <w:rsid w:val="00A1597A"/>
    <w:rsid w:val="00A25B05"/>
    <w:rsid w:val="00A466F2"/>
    <w:rsid w:val="00A54769"/>
    <w:rsid w:val="00A64103"/>
    <w:rsid w:val="00A65F4C"/>
    <w:rsid w:val="00A72ACC"/>
    <w:rsid w:val="00A8623F"/>
    <w:rsid w:val="00A86C9E"/>
    <w:rsid w:val="00AA2C8A"/>
    <w:rsid w:val="00AA4B81"/>
    <w:rsid w:val="00AB0B54"/>
    <w:rsid w:val="00AB6744"/>
    <w:rsid w:val="00AC4AE3"/>
    <w:rsid w:val="00AC7393"/>
    <w:rsid w:val="00AC7941"/>
    <w:rsid w:val="00AE3894"/>
    <w:rsid w:val="00AE5CCB"/>
    <w:rsid w:val="00B105F8"/>
    <w:rsid w:val="00B23EA5"/>
    <w:rsid w:val="00B30DB2"/>
    <w:rsid w:val="00B3141F"/>
    <w:rsid w:val="00B31C81"/>
    <w:rsid w:val="00B504A8"/>
    <w:rsid w:val="00B539E7"/>
    <w:rsid w:val="00B54747"/>
    <w:rsid w:val="00B606D0"/>
    <w:rsid w:val="00B62C72"/>
    <w:rsid w:val="00B64587"/>
    <w:rsid w:val="00B82B2F"/>
    <w:rsid w:val="00B855C8"/>
    <w:rsid w:val="00BA1CE7"/>
    <w:rsid w:val="00BC4668"/>
    <w:rsid w:val="00BC6E6A"/>
    <w:rsid w:val="00BD34B6"/>
    <w:rsid w:val="00BD36F8"/>
    <w:rsid w:val="00BD4EFD"/>
    <w:rsid w:val="00BD5546"/>
    <w:rsid w:val="00BD62EC"/>
    <w:rsid w:val="00BE2D84"/>
    <w:rsid w:val="00BF1BD2"/>
    <w:rsid w:val="00BF2422"/>
    <w:rsid w:val="00BF555F"/>
    <w:rsid w:val="00C1478A"/>
    <w:rsid w:val="00C2039C"/>
    <w:rsid w:val="00C2099C"/>
    <w:rsid w:val="00C2385B"/>
    <w:rsid w:val="00C24723"/>
    <w:rsid w:val="00C257D9"/>
    <w:rsid w:val="00C3735B"/>
    <w:rsid w:val="00C53A77"/>
    <w:rsid w:val="00C55D4E"/>
    <w:rsid w:val="00C565A5"/>
    <w:rsid w:val="00C61885"/>
    <w:rsid w:val="00C70624"/>
    <w:rsid w:val="00C83B85"/>
    <w:rsid w:val="00CC3244"/>
    <w:rsid w:val="00CE660F"/>
    <w:rsid w:val="00CF0D39"/>
    <w:rsid w:val="00CF4C83"/>
    <w:rsid w:val="00D05DE7"/>
    <w:rsid w:val="00D2093B"/>
    <w:rsid w:val="00D65557"/>
    <w:rsid w:val="00D77C89"/>
    <w:rsid w:val="00D929D2"/>
    <w:rsid w:val="00DA04E4"/>
    <w:rsid w:val="00DA62B0"/>
    <w:rsid w:val="00DA6319"/>
    <w:rsid w:val="00DA76F2"/>
    <w:rsid w:val="00DC4B21"/>
    <w:rsid w:val="00DC71BC"/>
    <w:rsid w:val="00DD72CC"/>
    <w:rsid w:val="00DF30B6"/>
    <w:rsid w:val="00DF6482"/>
    <w:rsid w:val="00E13104"/>
    <w:rsid w:val="00E32694"/>
    <w:rsid w:val="00E373D7"/>
    <w:rsid w:val="00E45627"/>
    <w:rsid w:val="00E62A00"/>
    <w:rsid w:val="00E75630"/>
    <w:rsid w:val="00E81807"/>
    <w:rsid w:val="00E9086E"/>
    <w:rsid w:val="00E944B4"/>
    <w:rsid w:val="00E950BB"/>
    <w:rsid w:val="00E973C2"/>
    <w:rsid w:val="00EA1411"/>
    <w:rsid w:val="00EA1EE9"/>
    <w:rsid w:val="00EA25B4"/>
    <w:rsid w:val="00EB4FDE"/>
    <w:rsid w:val="00EB6B22"/>
    <w:rsid w:val="00EF0456"/>
    <w:rsid w:val="00F1166E"/>
    <w:rsid w:val="00F13690"/>
    <w:rsid w:val="00F27908"/>
    <w:rsid w:val="00F47623"/>
    <w:rsid w:val="00F74D0E"/>
    <w:rsid w:val="00F77EA4"/>
    <w:rsid w:val="00F93931"/>
    <w:rsid w:val="00FA0191"/>
    <w:rsid w:val="00FA15AA"/>
    <w:rsid w:val="00FA3573"/>
    <w:rsid w:val="00FA6659"/>
    <w:rsid w:val="00FC5A2F"/>
    <w:rsid w:val="00FD1420"/>
    <w:rsid w:val="00FD3AFF"/>
    <w:rsid w:val="00FD6D99"/>
    <w:rsid w:val="00FD719F"/>
    <w:rsid w:val="00FE3C72"/>
  </w:rsids>
  <m:mathPr>
    <m:mathFont m:val="Cambria Math"/>
    <m:brkBin m:val="before"/>
    <m:brkBinSub m:val="--"/>
    <m:smallFrac m:val="0"/>
    <m:dispDef m:val="0"/>
    <m:lMargin m:val="0"/>
    <m:rMargin m:val="0"/>
    <m:defJc m:val="centerGroup"/>
    <m:wrapRight/>
    <m:intLim m:val="subSup"/>
    <m:naryLim m:val="subSup"/>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12293F1"/>
  <w15:docId w15:val="{34A7313A-5F67-4B96-B922-ABC01DA4E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Cambria" w:hAnsi="Cambria"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37296E"/>
    <w:rPr>
      <w:sz w:val="24"/>
      <w:szCs w:val="24"/>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203EC"/>
    <w:pPr>
      <w:tabs>
        <w:tab w:val="center" w:pos="4320"/>
        <w:tab w:val="right" w:pos="8640"/>
      </w:tabs>
    </w:pPr>
  </w:style>
  <w:style w:type="character" w:customStyle="1" w:styleId="NagwekZnak">
    <w:name w:val="Nagłówek Znak"/>
    <w:basedOn w:val="Domylnaczcionkaakapitu"/>
    <w:link w:val="Nagwek"/>
    <w:uiPriority w:val="99"/>
    <w:rsid w:val="00E203EC"/>
  </w:style>
  <w:style w:type="paragraph" w:styleId="Stopka">
    <w:name w:val="footer"/>
    <w:basedOn w:val="Normalny"/>
    <w:link w:val="StopkaZnak"/>
    <w:uiPriority w:val="99"/>
    <w:unhideWhenUsed/>
    <w:rsid w:val="00E203EC"/>
    <w:pPr>
      <w:tabs>
        <w:tab w:val="center" w:pos="4320"/>
        <w:tab w:val="right" w:pos="8640"/>
      </w:tabs>
    </w:pPr>
  </w:style>
  <w:style w:type="character" w:customStyle="1" w:styleId="StopkaZnak">
    <w:name w:val="Stopka Znak"/>
    <w:basedOn w:val="Domylnaczcionkaakapitu"/>
    <w:link w:val="Stopka"/>
    <w:uiPriority w:val="99"/>
    <w:rsid w:val="00E203EC"/>
  </w:style>
  <w:style w:type="paragraph" w:styleId="Tekstdymka">
    <w:name w:val="Balloon Text"/>
    <w:basedOn w:val="Normalny"/>
    <w:link w:val="TekstdymkaZnak"/>
    <w:uiPriority w:val="99"/>
    <w:semiHidden/>
    <w:unhideWhenUsed/>
    <w:rsid w:val="00FF097E"/>
    <w:rPr>
      <w:rFonts w:ascii="Tahoma" w:hAnsi="Tahoma" w:cs="Tahoma"/>
      <w:sz w:val="16"/>
      <w:szCs w:val="16"/>
    </w:rPr>
  </w:style>
  <w:style w:type="character" w:customStyle="1" w:styleId="TekstdymkaZnak">
    <w:name w:val="Tekst dymka Znak"/>
    <w:basedOn w:val="Domylnaczcionkaakapitu"/>
    <w:link w:val="Tekstdymka"/>
    <w:uiPriority w:val="99"/>
    <w:semiHidden/>
    <w:rsid w:val="00FF097E"/>
    <w:rPr>
      <w:rFonts w:ascii="Tahoma" w:hAnsi="Tahoma" w:cs="Tahoma"/>
      <w:sz w:val="16"/>
      <w:szCs w:val="16"/>
    </w:rPr>
  </w:style>
  <w:style w:type="character" w:styleId="Hipercze">
    <w:name w:val="Hyperlink"/>
    <w:basedOn w:val="Domylnaczcionkaakapitu"/>
    <w:uiPriority w:val="99"/>
    <w:unhideWhenUsed/>
    <w:rsid w:val="00EF3BAE"/>
    <w:rPr>
      <w:color w:val="0000FF"/>
      <w:u w:val="single"/>
    </w:rPr>
  </w:style>
  <w:style w:type="paragraph" w:styleId="Akapitzlist">
    <w:name w:val="List Paragraph"/>
    <w:aliases w:val="Numerowanie,List Paragraph"/>
    <w:basedOn w:val="Normalny"/>
    <w:link w:val="AkapitzlistZnak"/>
    <w:uiPriority w:val="34"/>
    <w:qFormat/>
    <w:rsid w:val="00D929D2"/>
    <w:pPr>
      <w:ind w:left="720"/>
    </w:pPr>
    <w:rPr>
      <w:rFonts w:ascii="Calibri" w:eastAsia="Calibri" w:hAnsi="Calibri"/>
      <w:sz w:val="22"/>
      <w:szCs w:val="22"/>
    </w:rPr>
  </w:style>
  <w:style w:type="paragraph" w:styleId="Tekstprzypisudolnego">
    <w:name w:val="footnote text"/>
    <w:aliases w:val="Footnote Text Char1,Footnote Text Char2 Char,Footnote Text Char1 Char1 Char,Footnote Text Char2 Char Char Char,Footnote Text Char1 Char1 Char Char Char,Footnote Text Char Char Char1 Char Char Char,Footnote Text Char2,Plonk,fn"/>
    <w:basedOn w:val="Normalny"/>
    <w:link w:val="TekstprzypisudolnegoZnak"/>
    <w:uiPriority w:val="99"/>
    <w:unhideWhenUsed/>
    <w:rsid w:val="00D929D2"/>
    <w:rPr>
      <w:rFonts w:asciiTheme="minorHAnsi" w:eastAsiaTheme="minorHAnsi" w:hAnsiTheme="minorHAnsi" w:cstheme="minorBidi"/>
      <w:sz w:val="20"/>
      <w:szCs w:val="20"/>
    </w:rPr>
  </w:style>
  <w:style w:type="character" w:customStyle="1" w:styleId="TekstprzypisudolnegoZnak">
    <w:name w:val="Tekst przypisu dolnego Znak"/>
    <w:aliases w:val="Footnote Text Char1 Znak,Footnote Text Char2 Char Znak,Footnote Text Char1 Char1 Char Znak,Footnote Text Char2 Char Char Char Znak,Footnote Text Char1 Char1 Char Char Char Znak,Footnote Text Char2 Znak,Plonk Znak,fn Znak"/>
    <w:basedOn w:val="Domylnaczcionkaakapitu"/>
    <w:link w:val="Tekstprzypisudolnego"/>
    <w:uiPriority w:val="99"/>
    <w:rsid w:val="00D929D2"/>
    <w:rPr>
      <w:rFonts w:asciiTheme="minorHAnsi" w:eastAsiaTheme="minorHAnsi" w:hAnsiTheme="minorHAnsi" w:cstheme="minorBidi"/>
      <w:lang w:eastAsia="en-US"/>
    </w:rPr>
  </w:style>
  <w:style w:type="character" w:styleId="Odwoanieprzypisudolnego">
    <w:name w:val="footnote reference"/>
    <w:aliases w:val="Footnote Reference Superscript,BVI fnr,Footnote symbol,16 Point,Superscript 6 Point,Footnote Reference Number,Footnote Reference_LVL6,Footnote Reference_LVL61,Footnote Reference_LVL62,Footnote Reference_LVL63,SUPERS,note TESI"/>
    <w:basedOn w:val="Domylnaczcionkaakapitu"/>
    <w:uiPriority w:val="99"/>
    <w:semiHidden/>
    <w:unhideWhenUsed/>
    <w:rsid w:val="00D929D2"/>
    <w:rPr>
      <w:vertAlign w:val="superscript"/>
    </w:rPr>
  </w:style>
  <w:style w:type="paragraph" w:customStyle="1" w:styleId="Akapit">
    <w:name w:val="Akapit"/>
    <w:basedOn w:val="Normalny"/>
    <w:rsid w:val="00D929D2"/>
    <w:pPr>
      <w:spacing w:before="60" w:line="360" w:lineRule="auto"/>
      <w:ind w:firstLine="709"/>
      <w:jc w:val="both"/>
    </w:pPr>
    <w:rPr>
      <w:rFonts w:ascii="Arial" w:eastAsia="Times New Roman" w:hAnsi="Arial" w:cs="Arial"/>
      <w:lang w:eastAsia="pl-PL"/>
    </w:rPr>
  </w:style>
  <w:style w:type="paragraph" w:customStyle="1" w:styleId="Default">
    <w:name w:val="Default"/>
    <w:rsid w:val="00D929D2"/>
    <w:pPr>
      <w:autoSpaceDE w:val="0"/>
      <w:autoSpaceDN w:val="0"/>
      <w:adjustRightInd w:val="0"/>
    </w:pPr>
    <w:rPr>
      <w:rFonts w:ascii="EUAlbertina" w:hAnsi="EUAlbertina" w:cs="EUAlbertina"/>
      <w:color w:val="000000"/>
      <w:sz w:val="24"/>
      <w:szCs w:val="24"/>
    </w:rPr>
  </w:style>
  <w:style w:type="table" w:styleId="Tabela-Siatka">
    <w:name w:val="Table Grid"/>
    <w:basedOn w:val="Standardowy"/>
    <w:uiPriority w:val="59"/>
    <w:rsid w:val="00CF4C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9022D5"/>
    <w:rPr>
      <w:sz w:val="16"/>
      <w:szCs w:val="16"/>
    </w:rPr>
  </w:style>
  <w:style w:type="paragraph" w:styleId="Tekstkomentarza">
    <w:name w:val="annotation text"/>
    <w:basedOn w:val="Normalny"/>
    <w:link w:val="TekstkomentarzaZnak"/>
    <w:uiPriority w:val="99"/>
    <w:semiHidden/>
    <w:unhideWhenUsed/>
    <w:rsid w:val="009022D5"/>
    <w:rPr>
      <w:sz w:val="20"/>
      <w:szCs w:val="20"/>
    </w:rPr>
  </w:style>
  <w:style w:type="character" w:customStyle="1" w:styleId="TekstkomentarzaZnak">
    <w:name w:val="Tekst komentarza Znak"/>
    <w:basedOn w:val="Domylnaczcionkaakapitu"/>
    <w:link w:val="Tekstkomentarza"/>
    <w:uiPriority w:val="99"/>
    <w:semiHidden/>
    <w:rsid w:val="009022D5"/>
    <w:rPr>
      <w:lang w:eastAsia="en-US"/>
    </w:rPr>
  </w:style>
  <w:style w:type="paragraph" w:styleId="Tematkomentarza">
    <w:name w:val="annotation subject"/>
    <w:basedOn w:val="Tekstkomentarza"/>
    <w:next w:val="Tekstkomentarza"/>
    <w:link w:val="TematkomentarzaZnak"/>
    <w:uiPriority w:val="99"/>
    <w:semiHidden/>
    <w:unhideWhenUsed/>
    <w:rsid w:val="009022D5"/>
    <w:rPr>
      <w:b/>
      <w:bCs/>
    </w:rPr>
  </w:style>
  <w:style w:type="character" w:customStyle="1" w:styleId="TematkomentarzaZnak">
    <w:name w:val="Temat komentarza Znak"/>
    <w:basedOn w:val="TekstkomentarzaZnak"/>
    <w:link w:val="Tematkomentarza"/>
    <w:uiPriority w:val="99"/>
    <w:semiHidden/>
    <w:rsid w:val="009022D5"/>
    <w:rPr>
      <w:b/>
      <w:bCs/>
      <w:lang w:eastAsia="en-US"/>
    </w:rPr>
  </w:style>
  <w:style w:type="paragraph" w:customStyle="1" w:styleId="p">
    <w:name w:val="p"/>
    <w:uiPriority w:val="99"/>
    <w:rsid w:val="00383596"/>
    <w:pPr>
      <w:widowControl w:val="0"/>
      <w:autoSpaceDE w:val="0"/>
      <w:autoSpaceDN w:val="0"/>
      <w:adjustRightInd w:val="0"/>
      <w:spacing w:before="20" w:after="40" w:line="40" w:lineRule="atLeast"/>
      <w:jc w:val="both"/>
    </w:pPr>
    <w:rPr>
      <w:rFonts w:ascii="Helvetica" w:eastAsiaTheme="minorEastAsia" w:hAnsi="Helvetica" w:cs="Helvetica"/>
      <w:color w:val="000000"/>
      <w:sz w:val="18"/>
      <w:szCs w:val="18"/>
    </w:rPr>
  </w:style>
  <w:style w:type="paragraph" w:customStyle="1" w:styleId="ARTartustawynprozporzdzenia">
    <w:name w:val="ART(§) – art. ustawy (§ np. rozporządzenia)"/>
    <w:link w:val="ARTartustawynprozporzdzeniaZnak"/>
    <w:uiPriority w:val="11"/>
    <w:qFormat/>
    <w:rsid w:val="00B23EA5"/>
    <w:pPr>
      <w:suppressAutoHyphens/>
      <w:autoSpaceDE w:val="0"/>
      <w:autoSpaceDN w:val="0"/>
      <w:adjustRightInd w:val="0"/>
      <w:spacing w:before="120"/>
      <w:ind w:firstLine="510"/>
      <w:jc w:val="both"/>
    </w:pPr>
    <w:rPr>
      <w:rFonts w:ascii="Calibri" w:eastAsia="Times New Roman" w:hAnsi="Calibri" w:cs="Arial"/>
      <w:lang w:eastAsia="en-US"/>
    </w:rPr>
  </w:style>
  <w:style w:type="character" w:customStyle="1" w:styleId="ARTartustawynprozporzdzeniaZnak">
    <w:name w:val="ART(§) – art. ustawy (§ np. rozporządzenia) Znak"/>
    <w:link w:val="ARTartustawynprozporzdzenia"/>
    <w:uiPriority w:val="11"/>
    <w:locked/>
    <w:rsid w:val="00B23EA5"/>
    <w:rPr>
      <w:rFonts w:ascii="Calibri" w:eastAsia="Times New Roman" w:hAnsi="Calibri" w:cs="Arial"/>
      <w:lang w:eastAsia="en-US"/>
    </w:rPr>
  </w:style>
  <w:style w:type="character" w:customStyle="1" w:styleId="AkapitzlistZnak">
    <w:name w:val="Akapit z listą Znak"/>
    <w:aliases w:val="Numerowanie Znak,List Paragraph Znak"/>
    <w:link w:val="Akapitzlist"/>
    <w:uiPriority w:val="34"/>
    <w:locked/>
    <w:rsid w:val="00B23EA5"/>
    <w:rPr>
      <w:rFonts w:ascii="Calibri" w:eastAsia="Calibri" w:hAnsi="Calibri"/>
      <w:sz w:val="22"/>
      <w:szCs w:val="22"/>
      <w:lang w:eastAsia="en-US"/>
    </w:rPr>
  </w:style>
  <w:style w:type="paragraph" w:styleId="Tekstprzypisukocowego">
    <w:name w:val="endnote text"/>
    <w:basedOn w:val="Normalny"/>
    <w:link w:val="TekstprzypisukocowegoZnak"/>
    <w:uiPriority w:val="99"/>
    <w:semiHidden/>
    <w:unhideWhenUsed/>
    <w:rsid w:val="003D73A7"/>
    <w:rPr>
      <w:sz w:val="20"/>
      <w:szCs w:val="20"/>
    </w:rPr>
  </w:style>
  <w:style w:type="character" w:customStyle="1" w:styleId="TekstprzypisukocowegoZnak">
    <w:name w:val="Tekst przypisu końcowego Znak"/>
    <w:basedOn w:val="Domylnaczcionkaakapitu"/>
    <w:link w:val="Tekstprzypisukocowego"/>
    <w:uiPriority w:val="99"/>
    <w:semiHidden/>
    <w:rsid w:val="003D73A7"/>
    <w:rPr>
      <w:lang w:eastAsia="en-US"/>
    </w:rPr>
  </w:style>
  <w:style w:type="character" w:styleId="Odwoanieprzypisukocowego">
    <w:name w:val="endnote reference"/>
    <w:basedOn w:val="Domylnaczcionkaakapitu"/>
    <w:uiPriority w:val="99"/>
    <w:semiHidden/>
    <w:unhideWhenUsed/>
    <w:rsid w:val="003D73A7"/>
    <w:rPr>
      <w:vertAlign w:val="superscript"/>
    </w:rPr>
  </w:style>
  <w:style w:type="paragraph" w:styleId="Poprawka">
    <w:name w:val="Revision"/>
    <w:hidden/>
    <w:uiPriority w:val="71"/>
    <w:rsid w:val="00A8623F"/>
    <w:rPr>
      <w:sz w:val="24"/>
      <w:szCs w:val="24"/>
      <w:lang w:eastAsia="en-US"/>
    </w:rPr>
  </w:style>
  <w:style w:type="paragraph" w:styleId="Bezodstpw">
    <w:name w:val="No Spacing"/>
    <w:uiPriority w:val="1"/>
    <w:qFormat/>
    <w:rsid w:val="005002D7"/>
    <w:rPr>
      <w:rFonts w:asciiTheme="minorHAnsi" w:eastAsiaTheme="minorHAnsi" w:hAnsiTheme="minorHAnsi" w:cstheme="minorBidi"/>
      <w:sz w:val="22"/>
      <w:szCs w:val="22"/>
      <w:lang w:eastAsia="en-US"/>
    </w:rPr>
  </w:style>
  <w:style w:type="paragraph" w:customStyle="1" w:styleId="ZARTzmartartykuempunktem">
    <w:name w:val="Z/ART(§) – zm. art. (§) artykułem (punktem)"/>
    <w:basedOn w:val="ARTartustawynprozporzdzenia"/>
    <w:uiPriority w:val="30"/>
    <w:qFormat/>
    <w:rsid w:val="00852BDD"/>
    <w:pPr>
      <w:spacing w:before="0" w:line="360" w:lineRule="auto"/>
      <w:ind w:left="510"/>
    </w:pPr>
    <w:rPr>
      <w:rFonts w:ascii="Times" w:eastAsiaTheme="minorEastAsia" w:hAnsi="Times"/>
      <w:sz w:val="24"/>
      <w:lang w:eastAsia="pl-PL"/>
    </w:rPr>
  </w:style>
  <w:style w:type="paragraph" w:customStyle="1" w:styleId="tytakt">
    <w:name w:val="tytakt"/>
    <w:basedOn w:val="Normalny"/>
    <w:rsid w:val="00F74D0E"/>
    <w:pPr>
      <w:spacing w:before="150" w:after="150"/>
      <w:jc w:val="center"/>
    </w:pPr>
    <w:rPr>
      <w:rFonts w:ascii="Times New Roman" w:eastAsia="Times New Roman" w:hAnsi="Times New Roman"/>
      <w:b/>
      <w:bCs/>
      <w:color w:val="150A59"/>
      <w:sz w:val="29"/>
      <w:szCs w:val="29"/>
      <w:lang w:eastAsia="pl-PL"/>
    </w:rPr>
  </w:style>
  <w:style w:type="paragraph" w:customStyle="1" w:styleId="pub">
    <w:name w:val="pub"/>
    <w:basedOn w:val="Normalny"/>
    <w:rsid w:val="00F74D0E"/>
    <w:pPr>
      <w:spacing w:before="150" w:after="150"/>
      <w:jc w:val="center"/>
    </w:pPr>
    <w:rPr>
      <w:rFonts w:ascii="Times New Roman" w:eastAsia="Times New Roman" w:hAnsi="Times New Roman"/>
      <w:b/>
      <w:bCs/>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0693762">
      <w:bodyDiv w:val="1"/>
      <w:marLeft w:val="0"/>
      <w:marRight w:val="0"/>
      <w:marTop w:val="0"/>
      <w:marBottom w:val="0"/>
      <w:divBdr>
        <w:top w:val="none" w:sz="0" w:space="0" w:color="auto"/>
        <w:left w:val="none" w:sz="0" w:space="0" w:color="auto"/>
        <w:bottom w:val="none" w:sz="0" w:space="0" w:color="auto"/>
        <w:right w:val="none" w:sz="0" w:space="0" w:color="auto"/>
      </w:divBdr>
    </w:div>
    <w:div w:id="1422411475">
      <w:bodyDiv w:val="1"/>
      <w:marLeft w:val="0"/>
      <w:marRight w:val="0"/>
      <w:marTop w:val="0"/>
      <w:marBottom w:val="0"/>
      <w:divBdr>
        <w:top w:val="none" w:sz="0" w:space="0" w:color="auto"/>
        <w:left w:val="none" w:sz="0" w:space="0" w:color="auto"/>
        <w:bottom w:val="none" w:sz="0" w:space="0" w:color="auto"/>
        <w:right w:val="none" w:sz="0" w:space="0" w:color="auto"/>
      </w:divBdr>
    </w:div>
    <w:div w:id="1528104679">
      <w:bodyDiv w:val="1"/>
      <w:marLeft w:val="0"/>
      <w:marRight w:val="0"/>
      <w:marTop w:val="0"/>
      <w:marBottom w:val="0"/>
      <w:divBdr>
        <w:top w:val="none" w:sz="0" w:space="0" w:color="auto"/>
        <w:left w:val="none" w:sz="0" w:space="0" w:color="auto"/>
        <w:bottom w:val="none" w:sz="0" w:space="0" w:color="auto"/>
        <w:right w:val="none" w:sz="0" w:space="0" w:color="auto"/>
      </w:divBdr>
    </w:div>
    <w:div w:id="1541431930">
      <w:bodyDiv w:val="1"/>
      <w:marLeft w:val="0"/>
      <w:marRight w:val="0"/>
      <w:marTop w:val="0"/>
      <w:marBottom w:val="0"/>
      <w:divBdr>
        <w:top w:val="none" w:sz="0" w:space="0" w:color="auto"/>
        <w:left w:val="none" w:sz="0" w:space="0" w:color="auto"/>
        <w:bottom w:val="none" w:sz="0" w:space="0" w:color="auto"/>
        <w:right w:val="none" w:sz="0" w:space="0" w:color="auto"/>
      </w:divBdr>
      <w:divsChild>
        <w:div w:id="151160688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microsoft.com/office/2016/09/relationships/commentsIds" Target="commentsIds.xml"/></Relationships>
</file>

<file path=word/_rels/settings.xml.rels><?xml version="1.0" encoding="UTF-8" standalone="yes"?>
<Relationships xmlns="http://schemas.openxmlformats.org/package/2006/relationships"><Relationship Id="rId1" Type="http://schemas.openxmlformats.org/officeDocument/2006/relationships/attachedTemplate" Target="file:///D:\AJAD\EZD%20TECH\szablony%20serwer\Nowe%20KAS\MF%20N2.dotx"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B2576E-3B78-455A-ACC4-31A8E2A8F0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MF N2.dotx</Template>
  <TotalTime>1</TotalTime>
  <Pages>9</Pages>
  <Words>2531</Words>
  <Characters>15192</Characters>
  <Application>Microsoft Office Word</Application>
  <DocSecurity>0</DocSecurity>
  <Lines>126</Lines>
  <Paragraphs>35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Plan B</Company>
  <LinksUpToDate>false</LinksUpToDate>
  <CharactersWithSpaces>17688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Dębski Jacek</dc:creator>
  <cp:lastModifiedBy>DJS</cp:lastModifiedBy>
  <cp:revision>5</cp:revision>
  <cp:lastPrinted>2020-03-13T09:16:00Z</cp:lastPrinted>
  <dcterms:created xsi:type="dcterms:W3CDTF">2020-05-25T14:17:00Z</dcterms:created>
  <dcterms:modified xsi:type="dcterms:W3CDTF">2020-05-25T14:46:00Z</dcterms:modified>
</cp:coreProperties>
</file>