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18A86" w14:textId="279359BE" w:rsidR="00697F11" w:rsidRPr="00CC2881" w:rsidRDefault="00697F11" w:rsidP="00697F11">
      <w:pPr>
        <w:pStyle w:val="TYTUAKTUprzedmiotregulacjiustawylubrozporzdzenia"/>
        <w:rPr>
          <w:rFonts w:ascii="Times New Roman" w:hAnsi="Times New Roman" w:cs="Times New Roman"/>
          <w:b w:val="0"/>
        </w:rPr>
      </w:pPr>
      <w:r w:rsidRPr="00CC2881">
        <w:rPr>
          <w:rFonts w:ascii="Times New Roman" w:hAnsi="Times New Roman" w:cs="Times New Roman"/>
          <w:b w:val="0"/>
        </w:rPr>
        <w:t>UZASADNIENIE</w:t>
      </w:r>
    </w:p>
    <w:p w14:paraId="443D7E49" w14:textId="392358F1" w:rsidR="00697F11" w:rsidRPr="00CC2881" w:rsidRDefault="00697F11" w:rsidP="00CC2881">
      <w:pPr>
        <w:pStyle w:val="USTustnpkodeksu"/>
        <w:spacing w:before="120"/>
        <w:ind w:firstLine="0"/>
        <w:rPr>
          <w:rFonts w:ascii="Times New Roman" w:hAnsi="Times New Roman" w:cs="Times New Roman"/>
          <w:szCs w:val="24"/>
        </w:rPr>
      </w:pPr>
      <w:r w:rsidRPr="00CC2881">
        <w:rPr>
          <w:rFonts w:ascii="Times New Roman" w:hAnsi="Times New Roman" w:cs="Times New Roman"/>
          <w:szCs w:val="24"/>
        </w:rPr>
        <w:t>Obecnie obowiązujące przepisy dotyczące systemu rejestracji pojazdów w Polsce opierają się na zasadach, delegacjach i wytycznych określonych w ustawie z dnia 20</w:t>
      </w:r>
      <w:r w:rsidR="00A9323B">
        <w:rPr>
          <w:rFonts w:ascii="Times New Roman" w:hAnsi="Times New Roman" w:cs="Times New Roman"/>
          <w:szCs w:val="24"/>
        </w:rPr>
        <w:t> </w:t>
      </w:r>
      <w:r w:rsidRPr="00CC2881">
        <w:rPr>
          <w:rFonts w:ascii="Times New Roman" w:hAnsi="Times New Roman" w:cs="Times New Roman"/>
          <w:szCs w:val="24"/>
        </w:rPr>
        <w:t xml:space="preserve">czerwca 1997 r. – Prawo o ruchu drogowym (Dz. U. z 2020 r. poz. 110, z </w:t>
      </w:r>
      <w:proofErr w:type="spellStart"/>
      <w:r w:rsidRPr="00CC2881">
        <w:rPr>
          <w:rFonts w:ascii="Times New Roman" w:hAnsi="Times New Roman" w:cs="Times New Roman"/>
          <w:szCs w:val="24"/>
        </w:rPr>
        <w:t>późn</w:t>
      </w:r>
      <w:proofErr w:type="spellEnd"/>
      <w:r w:rsidRPr="00CC2881">
        <w:rPr>
          <w:rFonts w:ascii="Times New Roman" w:hAnsi="Times New Roman" w:cs="Times New Roman"/>
          <w:szCs w:val="24"/>
        </w:rPr>
        <w:t xml:space="preserve">. zm.), zwanej dalej „Prawem o ruchu drogowym”, ze zmianami dokonywanymi w tej ustawie, w szczególności po przystąpieniu Polski do Unii Europejskiej w 2004 r. Kilkakrotne zmiany Prawa o ruchu drogowym w zakresie wymagań dotyczących rejestracji pojazdów związane były przede wszystkim ze zmianą przepisów podatkowych (akcyzy, podatku od towarów i usług), z wejściem w życie ustawy z dnia 20 stycznia 2005 r. o recyklingu pojazdów wycofanych z eksploatacji (Dz. U. z 2019 r. poz. 1610, z </w:t>
      </w:r>
      <w:proofErr w:type="spellStart"/>
      <w:r w:rsidRPr="00CC2881">
        <w:rPr>
          <w:rFonts w:ascii="Times New Roman" w:hAnsi="Times New Roman" w:cs="Times New Roman"/>
          <w:szCs w:val="24"/>
        </w:rPr>
        <w:t>późn</w:t>
      </w:r>
      <w:proofErr w:type="spellEnd"/>
      <w:r w:rsidRPr="00CC2881">
        <w:rPr>
          <w:rFonts w:ascii="Times New Roman" w:hAnsi="Times New Roman" w:cs="Times New Roman"/>
          <w:szCs w:val="24"/>
        </w:rPr>
        <w:t>. zm.), z</w:t>
      </w:r>
      <w:r w:rsidR="00C21784">
        <w:rPr>
          <w:rFonts w:ascii="Times New Roman" w:hAnsi="Times New Roman" w:cs="Times New Roman"/>
          <w:szCs w:val="24"/>
        </w:rPr>
        <w:t> </w:t>
      </w:r>
      <w:r w:rsidRPr="00CC2881">
        <w:rPr>
          <w:rFonts w:ascii="Times New Roman" w:hAnsi="Times New Roman" w:cs="Times New Roman"/>
          <w:szCs w:val="24"/>
        </w:rPr>
        <w:t xml:space="preserve">wdrożeniem projektu CEPIK 2.0 przez Ministerstwo Cyfryzacji, jak również </w:t>
      </w:r>
      <w:proofErr w:type="spellStart"/>
      <w:r w:rsidRPr="00CC2881">
        <w:rPr>
          <w:rFonts w:ascii="Times New Roman" w:hAnsi="Times New Roman" w:cs="Times New Roman"/>
          <w:szCs w:val="24"/>
        </w:rPr>
        <w:t>zwejściem</w:t>
      </w:r>
      <w:proofErr w:type="spellEnd"/>
      <w:r w:rsidRPr="00CC2881">
        <w:rPr>
          <w:rFonts w:ascii="Times New Roman" w:hAnsi="Times New Roman" w:cs="Times New Roman"/>
          <w:szCs w:val="24"/>
        </w:rPr>
        <w:t xml:space="preserve"> w życie ustawy z dnia 11 stycznia 2018 r. o </w:t>
      </w:r>
      <w:proofErr w:type="spellStart"/>
      <w:r w:rsidRPr="00CC2881">
        <w:rPr>
          <w:rFonts w:ascii="Times New Roman" w:hAnsi="Times New Roman" w:cs="Times New Roman"/>
          <w:szCs w:val="24"/>
        </w:rPr>
        <w:t>elektromobilności</w:t>
      </w:r>
      <w:proofErr w:type="spellEnd"/>
      <w:r w:rsidRPr="00CC2881">
        <w:rPr>
          <w:rFonts w:ascii="Times New Roman" w:hAnsi="Times New Roman" w:cs="Times New Roman"/>
          <w:szCs w:val="24"/>
        </w:rPr>
        <w:t xml:space="preserve"> i paliwach alternatywnych (Dz. U. z 2019 r. poz. 1124, z </w:t>
      </w:r>
      <w:proofErr w:type="spellStart"/>
      <w:r w:rsidRPr="00CC2881">
        <w:rPr>
          <w:rFonts w:ascii="Times New Roman" w:hAnsi="Times New Roman" w:cs="Times New Roman"/>
          <w:szCs w:val="24"/>
        </w:rPr>
        <w:t>późn</w:t>
      </w:r>
      <w:proofErr w:type="spellEnd"/>
      <w:r w:rsidRPr="00CC2881">
        <w:rPr>
          <w:rFonts w:ascii="Times New Roman" w:hAnsi="Times New Roman" w:cs="Times New Roman"/>
          <w:szCs w:val="24"/>
        </w:rPr>
        <w:t xml:space="preserve">. zm.). </w:t>
      </w:r>
    </w:p>
    <w:p w14:paraId="0622A172" w14:textId="77777777" w:rsidR="00697F11" w:rsidRPr="00CC2881" w:rsidRDefault="00697F11" w:rsidP="00CC2881">
      <w:pPr>
        <w:pStyle w:val="USTustnpkodeksu"/>
        <w:spacing w:before="120"/>
        <w:ind w:firstLine="0"/>
        <w:rPr>
          <w:rFonts w:ascii="Times New Roman" w:hAnsi="Times New Roman" w:cs="Times New Roman"/>
          <w:szCs w:val="24"/>
        </w:rPr>
      </w:pPr>
      <w:r w:rsidRPr="00CC2881">
        <w:rPr>
          <w:rFonts w:ascii="Times New Roman" w:hAnsi="Times New Roman" w:cs="Times New Roman"/>
          <w:szCs w:val="24"/>
        </w:rPr>
        <w:t xml:space="preserve">Na przestrzeni ostatnich lat wymagania ustawowe zmieniały się w kierunku uproszczenia warunków rejestracji pojazdów związanych z obowiązkami podatkowymi, doprowadzając do zniesienia: </w:t>
      </w:r>
    </w:p>
    <w:p w14:paraId="79984D9B" w14:textId="5715C194" w:rsidR="00697F11" w:rsidRPr="00CC2881" w:rsidRDefault="002C34E7" w:rsidP="00CC2881">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697F11" w:rsidRPr="00CC2881">
        <w:rPr>
          <w:rFonts w:ascii="Times New Roman" w:hAnsi="Times New Roman" w:cs="Times New Roman"/>
          <w:szCs w:val="24"/>
        </w:rPr>
        <w:t>obowiązku przedkładania zaświadczenia potwierdzającego uiszczenie podatku VAT albo brak takiego obowiązku z dniem 1 stycznia 2015 r., co nastąpiło ustawą z dnia 7 lutego 2014 r. o zmianie ustawy o podatku od towarów i usług oraz niektórych innych ustaw (Dz. U. poz. 312) uchylającą z tym dniem art. 72 ust. 1 pkt 8 i ust. 1a Prawa o ruchu drogowym</w:t>
      </w:r>
      <w:r w:rsidR="00D534A0">
        <w:rPr>
          <w:rFonts w:ascii="Times New Roman" w:hAnsi="Times New Roman" w:cs="Times New Roman"/>
          <w:szCs w:val="24"/>
        </w:rPr>
        <w:t>,</w:t>
      </w:r>
      <w:r w:rsidR="00697F11" w:rsidRPr="00CC2881">
        <w:rPr>
          <w:rFonts w:ascii="Times New Roman" w:hAnsi="Times New Roman" w:cs="Times New Roman"/>
          <w:szCs w:val="24"/>
        </w:rPr>
        <w:t xml:space="preserve"> oraz </w:t>
      </w:r>
    </w:p>
    <w:p w14:paraId="62E6202D" w14:textId="61AA7556" w:rsidR="00697F11" w:rsidRPr="00CC2881" w:rsidRDefault="002C34E7" w:rsidP="00CC2881">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697F11" w:rsidRPr="00CC2881">
        <w:rPr>
          <w:rFonts w:ascii="Times New Roman" w:hAnsi="Times New Roman" w:cs="Times New Roman"/>
          <w:szCs w:val="24"/>
        </w:rPr>
        <w:t>obowiązku przedkładania tzw. dowodu wpłaty opłaty recyklingowej z dniem 1</w:t>
      </w:r>
      <w:r w:rsidR="00C21784">
        <w:rPr>
          <w:rFonts w:ascii="Times New Roman" w:hAnsi="Times New Roman" w:cs="Times New Roman"/>
          <w:szCs w:val="24"/>
        </w:rPr>
        <w:t> </w:t>
      </w:r>
      <w:r w:rsidR="00697F11" w:rsidRPr="00CC2881">
        <w:rPr>
          <w:rFonts w:ascii="Times New Roman" w:hAnsi="Times New Roman" w:cs="Times New Roman"/>
          <w:szCs w:val="24"/>
        </w:rPr>
        <w:t>stycznia 2016 r., co nastąpiło ustawą z dnia 27 maja 2015 r. o zmianie ustawy o</w:t>
      </w:r>
      <w:r w:rsidR="00C21784">
        <w:rPr>
          <w:rFonts w:ascii="Times New Roman" w:hAnsi="Times New Roman" w:cs="Times New Roman"/>
          <w:szCs w:val="24"/>
        </w:rPr>
        <w:t> </w:t>
      </w:r>
      <w:r w:rsidR="00697F11" w:rsidRPr="00CC2881">
        <w:rPr>
          <w:rFonts w:ascii="Times New Roman" w:hAnsi="Times New Roman" w:cs="Times New Roman"/>
          <w:szCs w:val="24"/>
        </w:rPr>
        <w:t>recyklingu pojazdów wycofanych z eksploatacji oraz niektórych innych ustaw (Dz.</w:t>
      </w:r>
      <w:r w:rsidR="00C21784">
        <w:rPr>
          <w:rFonts w:ascii="Times New Roman" w:hAnsi="Times New Roman" w:cs="Times New Roman"/>
          <w:szCs w:val="24"/>
        </w:rPr>
        <w:t> </w:t>
      </w:r>
      <w:r w:rsidR="00697F11" w:rsidRPr="00CC2881">
        <w:rPr>
          <w:rFonts w:ascii="Times New Roman" w:hAnsi="Times New Roman" w:cs="Times New Roman"/>
          <w:szCs w:val="24"/>
        </w:rPr>
        <w:t xml:space="preserve">U. poz. 933, z </w:t>
      </w:r>
      <w:proofErr w:type="spellStart"/>
      <w:r w:rsidR="00697F11" w:rsidRPr="00CC2881">
        <w:rPr>
          <w:rFonts w:ascii="Times New Roman" w:hAnsi="Times New Roman" w:cs="Times New Roman"/>
          <w:szCs w:val="24"/>
        </w:rPr>
        <w:t>późn</w:t>
      </w:r>
      <w:proofErr w:type="spellEnd"/>
      <w:r w:rsidR="00697F11" w:rsidRPr="00CC2881">
        <w:rPr>
          <w:rFonts w:ascii="Times New Roman" w:hAnsi="Times New Roman" w:cs="Times New Roman"/>
          <w:szCs w:val="24"/>
        </w:rPr>
        <w:t>. zm.) uchylającą z tym dniem art. 72 ust. 1 pkt 9 i ust. 2 pkt</w:t>
      </w:r>
      <w:r w:rsidR="00C21784">
        <w:rPr>
          <w:rFonts w:ascii="Times New Roman" w:hAnsi="Times New Roman" w:cs="Times New Roman"/>
          <w:szCs w:val="24"/>
        </w:rPr>
        <w:t> </w:t>
      </w:r>
      <w:r w:rsidR="00697F11" w:rsidRPr="00CC2881">
        <w:rPr>
          <w:rFonts w:ascii="Times New Roman" w:hAnsi="Times New Roman" w:cs="Times New Roman"/>
          <w:szCs w:val="24"/>
        </w:rPr>
        <w:t xml:space="preserve">6 Prawa o ruchu drogowym. </w:t>
      </w:r>
    </w:p>
    <w:p w14:paraId="316D5BB4" w14:textId="77777777" w:rsidR="00697F11" w:rsidRPr="00CC2881" w:rsidRDefault="00697F11" w:rsidP="00CC2881">
      <w:pPr>
        <w:pStyle w:val="USTustnpkodeksu"/>
        <w:spacing w:before="120"/>
        <w:ind w:firstLine="0"/>
        <w:rPr>
          <w:rFonts w:ascii="Times New Roman" w:hAnsi="Times New Roman" w:cs="Times New Roman"/>
          <w:szCs w:val="24"/>
        </w:rPr>
      </w:pPr>
      <w:r w:rsidRPr="00CC2881">
        <w:rPr>
          <w:rFonts w:ascii="Times New Roman" w:hAnsi="Times New Roman" w:cs="Times New Roman"/>
          <w:szCs w:val="24"/>
        </w:rPr>
        <w:t xml:space="preserve">Obecnie uproszczenia te są niewystarczające w kontekście oczekiwań społecznych zmniejszenia kosztów i obciążeń administracyjnych dla posiadaczy pojazdów. </w:t>
      </w:r>
    </w:p>
    <w:p w14:paraId="4B63DDCF" w14:textId="1C6E6699" w:rsidR="00697F11" w:rsidRPr="00CC2881" w:rsidRDefault="00697F11" w:rsidP="00CC2881">
      <w:pPr>
        <w:pStyle w:val="USTustnpkodeksu"/>
        <w:spacing w:before="120"/>
        <w:ind w:firstLine="0"/>
        <w:rPr>
          <w:rFonts w:ascii="Times New Roman" w:hAnsi="Times New Roman" w:cs="Times New Roman"/>
          <w:szCs w:val="24"/>
        </w:rPr>
      </w:pPr>
      <w:r w:rsidRPr="00CC2881">
        <w:rPr>
          <w:rFonts w:ascii="Times New Roman" w:eastAsiaTheme="minorHAnsi" w:hAnsi="Times New Roman" w:cs="Times New Roman"/>
          <w:szCs w:val="24"/>
        </w:rPr>
        <w:t>Wpływające w ostatnich latach do ministerstwa właściwego do spraw transportu wnioski</w:t>
      </w:r>
      <w:r w:rsidR="009E5DAC">
        <w:rPr>
          <w:rFonts w:ascii="Times New Roman" w:eastAsiaTheme="minorHAnsi" w:hAnsi="Times New Roman" w:cs="Times New Roman"/>
          <w:szCs w:val="24"/>
        </w:rPr>
        <w:t>,</w:t>
      </w:r>
      <w:r w:rsidRPr="00CC2881">
        <w:rPr>
          <w:rFonts w:ascii="Times New Roman" w:eastAsiaTheme="minorHAnsi" w:hAnsi="Times New Roman" w:cs="Times New Roman"/>
          <w:szCs w:val="24"/>
        </w:rPr>
        <w:t xml:space="preserve"> przede wszystkim społeczne czy też wnioski ze współpracy z innymi resortami i</w:t>
      </w:r>
      <w:r w:rsidR="00C21784">
        <w:rPr>
          <w:rFonts w:ascii="Times New Roman" w:eastAsiaTheme="minorHAnsi" w:hAnsi="Times New Roman" w:cs="Times New Roman"/>
          <w:szCs w:val="24"/>
        </w:rPr>
        <w:t> </w:t>
      </w:r>
      <w:r w:rsidRPr="00CC2881">
        <w:rPr>
          <w:rFonts w:ascii="Times New Roman" w:eastAsiaTheme="minorHAnsi" w:hAnsi="Times New Roman" w:cs="Times New Roman"/>
          <w:szCs w:val="24"/>
        </w:rPr>
        <w:t xml:space="preserve">podmiotami, w szczególności z Ministerstwem Cyfryzacji, Ministerstwem Środowiska </w:t>
      </w:r>
      <w:r w:rsidRPr="00CC2881">
        <w:rPr>
          <w:rFonts w:ascii="Times New Roman" w:eastAsiaTheme="minorHAnsi" w:hAnsi="Times New Roman" w:cs="Times New Roman"/>
          <w:szCs w:val="24"/>
        </w:rPr>
        <w:lastRenderedPageBreak/>
        <w:t>i Rządowym Centrum Legislacji</w:t>
      </w:r>
      <w:r w:rsidRPr="00CC2881">
        <w:rPr>
          <w:rFonts w:ascii="Times New Roman" w:hAnsi="Times New Roman" w:cs="Times New Roman"/>
          <w:szCs w:val="24"/>
        </w:rPr>
        <w:t>,</w:t>
      </w:r>
      <w:r w:rsidRPr="00CC2881">
        <w:rPr>
          <w:rFonts w:ascii="Times New Roman" w:eastAsiaTheme="minorHAnsi" w:hAnsi="Times New Roman" w:cs="Times New Roman"/>
          <w:szCs w:val="24"/>
        </w:rPr>
        <w:t xml:space="preserve"> a także wnioski z otrzymywanych interpelacji i zapytań poselskich</w:t>
      </w:r>
      <w:r w:rsidR="009E5DAC">
        <w:rPr>
          <w:rFonts w:ascii="Times New Roman" w:eastAsiaTheme="minorHAnsi" w:hAnsi="Times New Roman" w:cs="Times New Roman"/>
          <w:szCs w:val="24"/>
        </w:rPr>
        <w:t>,</w:t>
      </w:r>
      <w:r w:rsidRPr="00CC2881">
        <w:rPr>
          <w:rFonts w:ascii="Times New Roman" w:eastAsiaTheme="minorHAnsi" w:hAnsi="Times New Roman" w:cs="Times New Roman"/>
          <w:szCs w:val="24"/>
        </w:rPr>
        <w:t xml:space="preserve"> powodowały, że monitowano te wnioski, dokonywano oceny stanu prawnego oraz możliwości wprowadzenia nowych rozwiązań w zakresie wydawanych dokumentów, tablic rejestracyjnych i oznaczeń dla pojazdów rejestrowanych w Polsce. Istotny dla realizacji tych wniosków i możliwości zaproponowania zmian w przepisach Prawa o ruchu drogowym jest fakt, że 13 listopada 2017 r. nastąpiło wdrożenie tzw. projektu CEPIK 2.0 kierowanego przez Ministerstwo Cyfryzacji, w wyniku którego funkcjonuje pełne powiązanie procesu rejestracji pojazdów z centralną ewidencją pojazdów i adekwatny do zadań dostęp organów rejestrujących pojazdy do danych i</w:t>
      </w:r>
      <w:r w:rsidR="00C21784">
        <w:rPr>
          <w:rFonts w:ascii="Times New Roman" w:eastAsiaTheme="minorHAnsi" w:hAnsi="Times New Roman" w:cs="Times New Roman"/>
          <w:szCs w:val="24"/>
        </w:rPr>
        <w:t> </w:t>
      </w:r>
      <w:r w:rsidRPr="00CC2881">
        <w:rPr>
          <w:rFonts w:ascii="Times New Roman" w:eastAsiaTheme="minorHAnsi" w:hAnsi="Times New Roman" w:cs="Times New Roman"/>
          <w:szCs w:val="24"/>
        </w:rPr>
        <w:t>informacji w centralnej ewidencji pojazdów, z zapewnieniem ich bezpiecznego gromadzenia. Do czasu wdrożenia tego projektu prowadzone były również zmiany przepisów Prawa o ruchu drogowym i przepisów wykonawczych dla wdrożenia tego projektu, nie było natomiast zasadne wprowadzanie zmian w procesie rejestracji pojazdów, aby nie powodować przesunięcia w czasie wdrożenia tego projektu. Obecnie wobec stanu stabilizacji nowych rozwiązań teleinformatycznych związanych z tym wdrożeniem możliwe jest zaproponowanie w przepisach Prawa o ruchu drogowym nowych rozwiązań dla procesu rejestracji pojazdów w Polsce, z zapewnieniem odpowiedniego czasu na rozpoczęcie ich stosowania powiązanego z przygotowaniem dodatkowych rozwiązań teleinformatycznych.</w:t>
      </w:r>
      <w:r w:rsidRPr="00CC2881">
        <w:rPr>
          <w:rFonts w:ascii="Times New Roman" w:hAnsi="Times New Roman" w:cs="Times New Roman"/>
          <w:szCs w:val="24"/>
        </w:rPr>
        <w:t xml:space="preserve"> </w:t>
      </w:r>
    </w:p>
    <w:p w14:paraId="51412ABC" w14:textId="288B8A63" w:rsidR="00697F11" w:rsidRPr="00CC2881" w:rsidRDefault="00697F11" w:rsidP="00CC2881">
      <w:pPr>
        <w:pStyle w:val="USTustnpkodeksu"/>
        <w:spacing w:before="120"/>
        <w:ind w:firstLine="0"/>
        <w:rPr>
          <w:rFonts w:ascii="Times New Roman" w:hAnsi="Times New Roman" w:cs="Times New Roman"/>
          <w:szCs w:val="24"/>
        </w:rPr>
      </w:pPr>
      <w:r w:rsidRPr="00CC2881">
        <w:rPr>
          <w:rFonts w:ascii="Times New Roman" w:hAnsi="Times New Roman" w:cs="Times New Roman"/>
          <w:szCs w:val="24"/>
        </w:rPr>
        <w:t>Mając na uwadze powyższe uwarunkowania</w:t>
      </w:r>
      <w:r w:rsidR="009E5DAC">
        <w:rPr>
          <w:rFonts w:ascii="Times New Roman" w:hAnsi="Times New Roman" w:cs="Times New Roman"/>
          <w:szCs w:val="24"/>
        </w:rPr>
        <w:t>,</w:t>
      </w:r>
      <w:r w:rsidRPr="00CC2881">
        <w:rPr>
          <w:rFonts w:ascii="Times New Roman" w:eastAsiaTheme="minorHAnsi" w:hAnsi="Times New Roman" w:cs="Times New Roman"/>
          <w:szCs w:val="24"/>
        </w:rPr>
        <w:t xml:space="preserve"> obecnie,</w:t>
      </w:r>
      <w:r w:rsidRPr="00CC2881">
        <w:rPr>
          <w:rFonts w:ascii="Times New Roman" w:hAnsi="Times New Roman" w:cs="Times New Roman"/>
          <w:szCs w:val="24"/>
        </w:rPr>
        <w:t xml:space="preserve"> n</w:t>
      </w:r>
      <w:r w:rsidRPr="00CC2881">
        <w:rPr>
          <w:rFonts w:ascii="Times New Roman" w:eastAsiaTheme="minorHAnsi" w:hAnsi="Times New Roman" w:cs="Times New Roman"/>
          <w:szCs w:val="24"/>
        </w:rPr>
        <w:t>a podstawie ww. wniosków i</w:t>
      </w:r>
      <w:r w:rsidR="00C21784">
        <w:rPr>
          <w:rFonts w:ascii="Times New Roman" w:eastAsiaTheme="minorHAnsi" w:hAnsi="Times New Roman" w:cs="Times New Roman"/>
          <w:szCs w:val="24"/>
        </w:rPr>
        <w:t> </w:t>
      </w:r>
      <w:r w:rsidRPr="00CC2881">
        <w:rPr>
          <w:rFonts w:ascii="Times New Roman" w:eastAsiaTheme="minorHAnsi" w:hAnsi="Times New Roman" w:cs="Times New Roman"/>
          <w:szCs w:val="24"/>
        </w:rPr>
        <w:t>dokonanej oceny identyfikującej zasadne zmiany wymagające uregulowania, powstała sytuacja umożliwiająca za</w:t>
      </w:r>
      <w:r w:rsidRPr="00CC2881">
        <w:rPr>
          <w:rFonts w:ascii="Times New Roman" w:hAnsi="Times New Roman" w:cs="Times New Roman"/>
          <w:szCs w:val="24"/>
        </w:rPr>
        <w:t>proponowanie w przedkładanym projekcie ustawy przepisów upraszczających proces rejestracji, czasowej rejestracji i wyrejestrowania pojazdów z</w:t>
      </w:r>
      <w:r w:rsidR="00C21784">
        <w:rPr>
          <w:rFonts w:ascii="Times New Roman" w:hAnsi="Times New Roman" w:cs="Times New Roman"/>
          <w:szCs w:val="24"/>
        </w:rPr>
        <w:t> </w:t>
      </w:r>
      <w:r w:rsidRPr="00CC2881">
        <w:rPr>
          <w:rFonts w:ascii="Times New Roman" w:hAnsi="Times New Roman" w:cs="Times New Roman"/>
          <w:szCs w:val="24"/>
        </w:rPr>
        <w:t xml:space="preserve">myślą o ułatwieniach dla obywateli (posiadaczy pojazdów), skutkujących również zmniejszeniem zadań i obciążeń administracyjnych dla organów samorządowych wykonujących zadanie rejestracji pojazdów. </w:t>
      </w:r>
    </w:p>
    <w:p w14:paraId="4C1154A6" w14:textId="19ABDCF0" w:rsidR="00CC2881" w:rsidRDefault="00697F11" w:rsidP="00CC2881">
      <w:pPr>
        <w:pStyle w:val="USTustnpkodeksu"/>
        <w:spacing w:before="120"/>
        <w:ind w:firstLine="0"/>
        <w:rPr>
          <w:rFonts w:ascii="Times New Roman" w:hAnsi="Times New Roman" w:cs="Times New Roman"/>
          <w:szCs w:val="24"/>
        </w:rPr>
      </w:pPr>
      <w:r w:rsidRPr="00CC2881">
        <w:rPr>
          <w:rFonts w:ascii="Times New Roman" w:hAnsi="Times New Roman" w:cs="Times New Roman"/>
          <w:szCs w:val="24"/>
        </w:rPr>
        <w:t xml:space="preserve">Istnieje duże oczekiwanie społeczne dokonania zmian w przepisach w powyższym zakresie uproszczających obecnie obowiązujące procedury i ten głos należy uznać za decydujący w kwestii zasadności proponowanych rozwiązań. </w:t>
      </w:r>
    </w:p>
    <w:p w14:paraId="4FE942CA" w14:textId="77777777" w:rsidR="00697F11" w:rsidRPr="00CC2881" w:rsidRDefault="00697F11" w:rsidP="00C8160E">
      <w:pPr>
        <w:pStyle w:val="USTustnpkodeksu"/>
        <w:keepNext/>
        <w:spacing w:before="120"/>
        <w:ind w:firstLine="0"/>
        <w:rPr>
          <w:rFonts w:ascii="Times New Roman" w:hAnsi="Times New Roman" w:cs="Times New Roman"/>
          <w:szCs w:val="24"/>
        </w:rPr>
      </w:pPr>
      <w:r w:rsidRPr="00CC2881">
        <w:rPr>
          <w:rFonts w:ascii="Times New Roman" w:hAnsi="Times New Roman" w:cs="Times New Roman"/>
          <w:szCs w:val="24"/>
        </w:rPr>
        <w:lastRenderedPageBreak/>
        <w:t xml:space="preserve">Projekt ustawy jest wynikiem również pakietu </w:t>
      </w:r>
      <w:proofErr w:type="spellStart"/>
      <w:r w:rsidRPr="00CC2881">
        <w:rPr>
          <w:rFonts w:ascii="Times New Roman" w:hAnsi="Times New Roman" w:cs="Times New Roman"/>
          <w:szCs w:val="24"/>
        </w:rPr>
        <w:t>deregulacyjnego</w:t>
      </w:r>
      <w:proofErr w:type="spellEnd"/>
      <w:r w:rsidRPr="00CC2881">
        <w:rPr>
          <w:rFonts w:ascii="Times New Roman" w:hAnsi="Times New Roman" w:cs="Times New Roman"/>
          <w:szCs w:val="24"/>
        </w:rPr>
        <w:t xml:space="preserve"> wnioskowanego przez Ministra Cyfryzacji, który jest inicjatorem i autorem propozycji w zakresie: </w:t>
      </w:r>
    </w:p>
    <w:p w14:paraId="42B41B18" w14:textId="691D41EF" w:rsidR="00697F11" w:rsidRPr="00C8160E" w:rsidRDefault="002C34E7" w:rsidP="00C8160E">
      <w:pPr>
        <w:pStyle w:val="USTustnpkodeksu"/>
        <w:keepNext/>
        <w:tabs>
          <w:tab w:val="left" w:pos="392"/>
        </w:tabs>
        <w:ind w:left="392" w:hanging="392"/>
        <w:rPr>
          <w:rFonts w:ascii="Times New Roman" w:hAnsi="Times New Roman" w:cs="Times New Roman"/>
          <w:szCs w:val="24"/>
        </w:rPr>
      </w:pPr>
      <w:r>
        <w:rPr>
          <w:rFonts w:ascii="Times New Roman" w:hAnsi="Times New Roman" w:cs="Times New Roman"/>
          <w:szCs w:val="24"/>
        </w:rPr>
        <w:t>–</w:t>
      </w:r>
      <w:r w:rsidR="00380129">
        <w:rPr>
          <w:rFonts w:ascii="Times New Roman" w:hAnsi="Times New Roman" w:cs="Times New Roman"/>
          <w:szCs w:val="24"/>
        </w:rPr>
        <w:tab/>
      </w:r>
      <w:r w:rsidR="00697F11" w:rsidRPr="00C8160E">
        <w:rPr>
          <w:rFonts w:ascii="Times New Roman" w:hAnsi="Times New Roman" w:cs="Times New Roman"/>
          <w:szCs w:val="24"/>
        </w:rPr>
        <w:t xml:space="preserve">zwolnienia z obowiązku posiadania przy sobie i okazywania na żądanie uprawnionego organu kontroli ruchu drogowego dokumentu prawa jazdy, </w:t>
      </w:r>
    </w:p>
    <w:p w14:paraId="12804E26" w14:textId="22485A06" w:rsidR="00697F11" w:rsidRPr="00C8160E" w:rsidRDefault="002C34E7" w:rsidP="00C8160E">
      <w:pPr>
        <w:pStyle w:val="USTustnpkodeksu"/>
        <w:keepNext/>
        <w:tabs>
          <w:tab w:val="left" w:pos="392"/>
        </w:tabs>
        <w:ind w:left="392" w:hanging="392"/>
        <w:rPr>
          <w:rFonts w:ascii="Times New Roman" w:hAnsi="Times New Roman" w:cs="Times New Roman"/>
          <w:szCs w:val="24"/>
        </w:rPr>
      </w:pPr>
      <w:r>
        <w:rPr>
          <w:rFonts w:ascii="Times New Roman" w:hAnsi="Times New Roman" w:cs="Times New Roman"/>
          <w:szCs w:val="24"/>
        </w:rPr>
        <w:t>–</w:t>
      </w:r>
      <w:r w:rsidR="00380129">
        <w:rPr>
          <w:rFonts w:ascii="Times New Roman" w:hAnsi="Times New Roman" w:cs="Times New Roman"/>
          <w:szCs w:val="24"/>
        </w:rPr>
        <w:tab/>
      </w:r>
      <w:r w:rsidR="00697F11" w:rsidRPr="00C8160E">
        <w:rPr>
          <w:rFonts w:ascii="Times New Roman" w:hAnsi="Times New Roman" w:cs="Times New Roman"/>
          <w:szCs w:val="24"/>
        </w:rPr>
        <w:t>rezygnacji z obowiązku posiadania nalepki kontrolnej,</w:t>
      </w:r>
    </w:p>
    <w:p w14:paraId="5F42C6E5" w14:textId="6687A0F1" w:rsidR="00697F11" w:rsidRPr="00C8160E" w:rsidRDefault="002C34E7" w:rsidP="00C8160E">
      <w:pPr>
        <w:pStyle w:val="USTustnpkodeksu"/>
        <w:keepNext/>
        <w:tabs>
          <w:tab w:val="left" w:pos="392"/>
        </w:tabs>
        <w:ind w:left="392" w:hanging="392"/>
        <w:rPr>
          <w:rFonts w:ascii="Times New Roman" w:hAnsi="Times New Roman" w:cs="Times New Roman"/>
          <w:szCs w:val="24"/>
        </w:rPr>
      </w:pPr>
      <w:r>
        <w:rPr>
          <w:rFonts w:ascii="Times New Roman" w:hAnsi="Times New Roman" w:cs="Times New Roman"/>
          <w:szCs w:val="24"/>
        </w:rPr>
        <w:t>–</w:t>
      </w:r>
      <w:r w:rsidR="00380129">
        <w:rPr>
          <w:rFonts w:ascii="Times New Roman" w:hAnsi="Times New Roman" w:cs="Times New Roman"/>
          <w:szCs w:val="24"/>
        </w:rPr>
        <w:tab/>
      </w:r>
      <w:r w:rsidR="00697F11" w:rsidRPr="00C8160E">
        <w:rPr>
          <w:rFonts w:ascii="Times New Roman" w:hAnsi="Times New Roman" w:cs="Times New Roman"/>
          <w:szCs w:val="24"/>
        </w:rPr>
        <w:t xml:space="preserve">nadania raportowi generowanemu z centralnej ewidencji pojazdów, z usługi „Mój Pojazd”, mocy dokumentu potwierdzającego dane zgromadzone w ewidencji, </w:t>
      </w:r>
    </w:p>
    <w:p w14:paraId="1FD516C9" w14:textId="12A844E1" w:rsidR="00697F11" w:rsidRPr="00C8160E" w:rsidRDefault="002C34E7" w:rsidP="00C8160E">
      <w:pPr>
        <w:pStyle w:val="USTustnpkodeksu"/>
        <w:keepNext/>
        <w:tabs>
          <w:tab w:val="left" w:pos="392"/>
        </w:tabs>
        <w:ind w:left="392" w:hanging="392"/>
        <w:rPr>
          <w:rFonts w:ascii="Times New Roman" w:hAnsi="Times New Roman" w:cs="Times New Roman"/>
          <w:szCs w:val="24"/>
        </w:rPr>
      </w:pPr>
      <w:r>
        <w:rPr>
          <w:rFonts w:ascii="Times New Roman" w:hAnsi="Times New Roman" w:cs="Times New Roman"/>
          <w:szCs w:val="24"/>
        </w:rPr>
        <w:t>–</w:t>
      </w:r>
      <w:r w:rsidR="00380129">
        <w:rPr>
          <w:rFonts w:ascii="Times New Roman" w:hAnsi="Times New Roman" w:cs="Times New Roman"/>
          <w:szCs w:val="24"/>
        </w:rPr>
        <w:tab/>
      </w:r>
      <w:r w:rsidR="00697F11" w:rsidRPr="00C8160E">
        <w:rPr>
          <w:rFonts w:ascii="Times New Roman" w:hAnsi="Times New Roman" w:cs="Times New Roman"/>
          <w:szCs w:val="24"/>
        </w:rPr>
        <w:t>wprowadzenia nowej usługi rejestracji online pojazdu zakupionego w salonie sprzedaży pojazdów samochodowych, która umożliwi rejestrację pojazdu nowego przez ten salon w imieniu kupującego,</w:t>
      </w:r>
    </w:p>
    <w:p w14:paraId="4CD7DD75" w14:textId="711FC5E8" w:rsidR="00697F11" w:rsidRPr="00C8160E" w:rsidRDefault="002C34E7" w:rsidP="00C8160E">
      <w:pPr>
        <w:pStyle w:val="USTustnpkodeksu"/>
        <w:tabs>
          <w:tab w:val="left" w:pos="392"/>
        </w:tabs>
        <w:ind w:left="392" w:hanging="392"/>
        <w:rPr>
          <w:rFonts w:ascii="Times New Roman" w:hAnsi="Times New Roman" w:cs="Times New Roman"/>
          <w:szCs w:val="24"/>
        </w:rPr>
      </w:pPr>
      <w:r>
        <w:rPr>
          <w:rFonts w:ascii="Times New Roman" w:hAnsi="Times New Roman" w:cs="Times New Roman"/>
          <w:szCs w:val="24"/>
        </w:rPr>
        <w:t>–</w:t>
      </w:r>
      <w:r w:rsidR="00380129">
        <w:rPr>
          <w:rFonts w:ascii="Times New Roman" w:hAnsi="Times New Roman" w:cs="Times New Roman"/>
          <w:szCs w:val="24"/>
        </w:rPr>
        <w:tab/>
      </w:r>
      <w:r w:rsidR="00697F11" w:rsidRPr="00C8160E">
        <w:rPr>
          <w:rFonts w:ascii="Times New Roman" w:hAnsi="Times New Roman" w:cs="Times New Roman"/>
          <w:szCs w:val="24"/>
        </w:rPr>
        <w:t>uproszczenia przepisów o recyklingu pojazdów wycofanych z eksploatacji w</w:t>
      </w:r>
      <w:r w:rsidR="00296902">
        <w:rPr>
          <w:rFonts w:ascii="Times New Roman" w:hAnsi="Times New Roman" w:cs="Times New Roman"/>
          <w:szCs w:val="24"/>
        </w:rPr>
        <w:t> </w:t>
      </w:r>
      <w:r w:rsidR="00697F11" w:rsidRPr="00C8160E">
        <w:rPr>
          <w:rFonts w:ascii="Times New Roman" w:hAnsi="Times New Roman" w:cs="Times New Roman"/>
          <w:szCs w:val="24"/>
        </w:rPr>
        <w:t>powiązaniu z systemem teleinformatycznym centralnej ewidencji pojazdów,</w:t>
      </w:r>
    </w:p>
    <w:p w14:paraId="1057B370" w14:textId="3D16E47F" w:rsidR="00697F11" w:rsidRPr="00C8160E" w:rsidRDefault="002C34E7" w:rsidP="00C8160E">
      <w:pPr>
        <w:pStyle w:val="USTustnpkodeksu"/>
        <w:tabs>
          <w:tab w:val="left" w:pos="392"/>
        </w:tabs>
        <w:ind w:left="392" w:hanging="392"/>
        <w:rPr>
          <w:rFonts w:ascii="Times New Roman" w:hAnsi="Times New Roman" w:cs="Times New Roman"/>
          <w:szCs w:val="24"/>
        </w:rPr>
      </w:pPr>
      <w:r>
        <w:rPr>
          <w:rFonts w:ascii="Times New Roman" w:hAnsi="Times New Roman" w:cs="Times New Roman"/>
          <w:szCs w:val="24"/>
        </w:rPr>
        <w:t>–</w:t>
      </w:r>
      <w:r w:rsidR="00380129">
        <w:rPr>
          <w:rFonts w:ascii="Times New Roman" w:hAnsi="Times New Roman" w:cs="Times New Roman"/>
          <w:szCs w:val="24"/>
        </w:rPr>
        <w:tab/>
      </w:r>
      <w:r w:rsidR="00697F11" w:rsidRPr="00C8160E">
        <w:rPr>
          <w:rFonts w:ascii="Times New Roman" w:hAnsi="Times New Roman" w:cs="Times New Roman"/>
          <w:szCs w:val="24"/>
        </w:rPr>
        <w:t>zmiany przepisów o informatyzacji działalności podmiotów realizujących zadania publiczne w celu dalszego rozwoju usług świadczonych obywatelom za pośrednictwem publicznej aplikacji mobilnej.</w:t>
      </w:r>
    </w:p>
    <w:p w14:paraId="0F8B92AD" w14:textId="77777777" w:rsidR="00697F11" w:rsidRPr="00C8160E" w:rsidRDefault="00697F11" w:rsidP="00C8160E">
      <w:pPr>
        <w:pStyle w:val="USTustnpkodeksu"/>
        <w:spacing w:before="120"/>
        <w:rPr>
          <w:rFonts w:ascii="Times New Roman" w:hAnsi="Times New Roman" w:cs="Times New Roman"/>
          <w:szCs w:val="24"/>
        </w:rPr>
      </w:pPr>
    </w:p>
    <w:p w14:paraId="7886B928" w14:textId="7DD1595A" w:rsidR="00697F11" w:rsidRPr="00C8160E" w:rsidRDefault="00697F11" w:rsidP="00C8160E">
      <w:pPr>
        <w:pStyle w:val="USTustnpkodeksu"/>
        <w:spacing w:before="120"/>
        <w:ind w:firstLine="0"/>
        <w:rPr>
          <w:rFonts w:ascii="Times New Roman" w:eastAsiaTheme="minorHAnsi" w:hAnsi="Times New Roman" w:cs="Times New Roman"/>
          <w:szCs w:val="24"/>
        </w:rPr>
      </w:pPr>
      <w:r w:rsidRPr="00C8160E">
        <w:rPr>
          <w:rFonts w:ascii="Times New Roman" w:hAnsi="Times New Roman" w:cs="Times New Roman"/>
          <w:szCs w:val="24"/>
        </w:rPr>
        <w:t>Mając to na uwadze</w:t>
      </w:r>
      <w:r w:rsidR="009C15AE">
        <w:rPr>
          <w:rFonts w:ascii="Times New Roman" w:hAnsi="Times New Roman" w:cs="Times New Roman"/>
          <w:szCs w:val="24"/>
        </w:rPr>
        <w:t>,</w:t>
      </w:r>
      <w:r w:rsidRPr="00C8160E">
        <w:rPr>
          <w:rFonts w:ascii="Times New Roman" w:hAnsi="Times New Roman" w:cs="Times New Roman"/>
          <w:szCs w:val="24"/>
        </w:rPr>
        <w:t xml:space="preserve"> w projekcie ustawy p</w:t>
      </w:r>
      <w:r w:rsidRPr="00C8160E">
        <w:rPr>
          <w:rFonts w:ascii="Times New Roman" w:eastAsiaTheme="minorHAnsi" w:hAnsi="Times New Roman" w:cs="Times New Roman"/>
          <w:szCs w:val="24"/>
        </w:rPr>
        <w:t>roponuje się wprowadzenie rozwiązań, które można pogrupować następująco:</w:t>
      </w:r>
      <w:r w:rsidRPr="00C8160E">
        <w:rPr>
          <w:rFonts w:ascii="Times New Roman" w:hAnsi="Times New Roman" w:cs="Times New Roman"/>
          <w:szCs w:val="24"/>
        </w:rPr>
        <w:t xml:space="preserve"> </w:t>
      </w:r>
    </w:p>
    <w:p w14:paraId="637A2A37" w14:textId="77777777" w:rsidR="00697F11" w:rsidRPr="00C8160E" w:rsidRDefault="00697F11" w:rsidP="00C8160E">
      <w:pPr>
        <w:pStyle w:val="USTustnpkodeksu"/>
        <w:spacing w:before="120"/>
        <w:ind w:firstLine="0"/>
        <w:rPr>
          <w:rFonts w:ascii="Times New Roman" w:eastAsiaTheme="minorHAnsi" w:hAnsi="Times New Roman" w:cs="Times New Roman"/>
          <w:szCs w:val="24"/>
        </w:rPr>
      </w:pPr>
      <w:r w:rsidRPr="00C8160E">
        <w:rPr>
          <w:rFonts w:ascii="Times New Roman" w:hAnsi="Times New Roman" w:cs="Times New Roman"/>
          <w:b/>
          <w:szCs w:val="24"/>
        </w:rPr>
        <w:t>I. U</w:t>
      </w:r>
      <w:r w:rsidRPr="00C8160E">
        <w:rPr>
          <w:rFonts w:ascii="Times New Roman" w:eastAsiaTheme="minorHAnsi" w:hAnsi="Times New Roman" w:cs="Times New Roman"/>
          <w:b/>
          <w:szCs w:val="24"/>
        </w:rPr>
        <w:t>łatwienia dla obywateli (właścicieli pojazdów, w tym przedsiębiorców) oraz zmniejszenie w związku z tym odpowiednio zadań i obciążeń administracyjnych dla organów samorządowych przez:</w:t>
      </w:r>
      <w:r w:rsidRPr="00C8160E">
        <w:rPr>
          <w:rFonts w:ascii="Times New Roman" w:hAnsi="Times New Roman" w:cs="Times New Roman"/>
          <w:b/>
          <w:szCs w:val="24"/>
        </w:rPr>
        <w:t xml:space="preserve"> </w:t>
      </w:r>
    </w:p>
    <w:p w14:paraId="60B27564" w14:textId="0E31C1F2"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eastAsiaTheme="minorHAnsi" w:hAnsi="Times New Roman" w:cs="Times New Roman"/>
          <w:szCs w:val="24"/>
        </w:rPr>
        <w:t>1) zniesienie obowiązku wydawania karty pojazdu w procesie pierwszej rejestracji pojazdu przez zmianę albo uchylenie w Prawie o ruchu drogowym przepisów dotyczących karty pojazdu; dotyczy to: art. 72 ust. 1 pkt 2 i ust. 2 pkt 2, art. 77, art. 78 ust. 1, 1a i 3, art. 78b pkt 2, art. 80, art. 80b ust. 1 pkt 8 lit. c oraz art. 80d ust. 4 pkt 2, ust.</w:t>
      </w:r>
      <w:r w:rsidR="00296902">
        <w:rPr>
          <w:rFonts w:ascii="Times New Roman" w:eastAsiaTheme="minorHAnsi" w:hAnsi="Times New Roman" w:cs="Times New Roman"/>
          <w:szCs w:val="24"/>
        </w:rPr>
        <w:t> </w:t>
      </w:r>
      <w:r w:rsidRPr="00C8160E">
        <w:rPr>
          <w:rFonts w:ascii="Times New Roman" w:eastAsiaTheme="minorHAnsi" w:hAnsi="Times New Roman" w:cs="Times New Roman"/>
          <w:szCs w:val="24"/>
        </w:rPr>
        <w:t xml:space="preserve">6 i ust. 7 pkt 1; zniesienie tego obowiązku wymagało również zmiany </w:t>
      </w:r>
      <w:r w:rsidRPr="00C8160E">
        <w:rPr>
          <w:rFonts w:ascii="Times New Roman" w:hAnsi="Times New Roman" w:cs="Times New Roman"/>
          <w:szCs w:val="24"/>
        </w:rPr>
        <w:t xml:space="preserve">art. 10, art. 19 pkt 2, </w:t>
      </w:r>
      <w:r w:rsidRPr="00C8160E">
        <w:rPr>
          <w:rFonts w:ascii="Times New Roman" w:eastAsiaTheme="minorHAnsi" w:hAnsi="Times New Roman" w:cs="Times New Roman"/>
          <w:szCs w:val="24"/>
        </w:rPr>
        <w:t xml:space="preserve">art. 24 ust. 1 pkt 1 i art. 27 pkt 1 w ustawie </w:t>
      </w:r>
      <w:r w:rsidRPr="00C8160E">
        <w:rPr>
          <w:rFonts w:ascii="Times New Roman" w:hAnsi="Times New Roman" w:cs="Times New Roman"/>
          <w:szCs w:val="24"/>
        </w:rPr>
        <w:t xml:space="preserve">z dnia 20 stycznia 2005 r. o recyklingu pojazdów wycofanych z eksploatacji; </w:t>
      </w:r>
      <w:r w:rsidRPr="00C8160E">
        <w:rPr>
          <w:rFonts w:ascii="Times New Roman" w:eastAsiaTheme="minorHAnsi" w:hAnsi="Times New Roman" w:cs="Times New Roman"/>
          <w:szCs w:val="24"/>
        </w:rPr>
        <w:t>po wdrożeniu przez Ministerstwo Cyfryzacji projektu CEPIK 2.0 przestały być aktualne przesłanki wydawania karty pojazdu jako dokumentu zwierającego informację o historii pojazdu przyjęte przy jej wprowadzeniu, tj. zapobieganie przestępczości samochodowej;</w:t>
      </w:r>
      <w:r w:rsidRPr="00C8160E">
        <w:rPr>
          <w:rFonts w:ascii="Times New Roman" w:hAnsi="Times New Roman" w:cs="Times New Roman"/>
          <w:szCs w:val="24"/>
        </w:rPr>
        <w:t xml:space="preserve"> obecnie historia pojazdu jest możliwa do sprawdzenia w centralnej ewidencji pojazdów nie tylko przez podmioty </w:t>
      </w:r>
      <w:r w:rsidRPr="00C8160E">
        <w:rPr>
          <w:rFonts w:ascii="Times New Roman" w:hAnsi="Times New Roman" w:cs="Times New Roman"/>
          <w:szCs w:val="24"/>
        </w:rPr>
        <w:lastRenderedPageBreak/>
        <w:t xml:space="preserve">uprawnione, np. organy rejestrujące pojazdy, organy podatkowe, zakłady ubezpieczeń i organy kontroli ruchu drogowego, ale również przez właścicieli pojazdów za pośrednictwem portalu obywatel.gov.pl; </w:t>
      </w:r>
    </w:p>
    <w:p w14:paraId="394E6F5F" w14:textId="320A5FC8"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2) wprowadzenie możliwości zachowania dotychczasowego numeru rejestracyjnego pojazdu przy przerejestrowaniu pojazdu, jeżeli pojazd był zarejestrowany na terytorium Rzeczypospolitej Polskiej i posiada tablice zgodne z przepisami wydanymi na podstawie art. 76 ust. 1 pkt 1 lit. a oraz utrzymane w należytym stanie i czytelne; w takim przypadku organ rejestrujący wydawałby właścicielowi pojazdu decyzję o rejestracji pojazdu i</w:t>
      </w:r>
      <w:r w:rsidR="00296902">
        <w:rPr>
          <w:rFonts w:ascii="Times New Roman" w:hAnsi="Times New Roman" w:cs="Times New Roman"/>
          <w:szCs w:val="24"/>
        </w:rPr>
        <w:t> </w:t>
      </w:r>
      <w:r w:rsidRPr="00C8160E">
        <w:rPr>
          <w:rFonts w:ascii="Times New Roman" w:hAnsi="Times New Roman" w:cs="Times New Roman"/>
          <w:szCs w:val="24"/>
        </w:rPr>
        <w:t xml:space="preserve">dowód rejestracyjny oraz dokonywał legalizacji dotychczasowych tablic rejestracyjnych, co obniżyłoby wysokość opłat ponoszonych przez właściciela pojazdu związanych z rejestracją pojazdu o 99,50 zł, tj. o opłatę za wydanie: tablicy rejestracyjnej (np. samochodowej) </w:t>
      </w:r>
      <w:r w:rsidR="002C34E7">
        <w:rPr>
          <w:rFonts w:ascii="Times New Roman" w:hAnsi="Times New Roman" w:cs="Times New Roman"/>
          <w:szCs w:val="24"/>
        </w:rPr>
        <w:t>–</w:t>
      </w:r>
      <w:r w:rsidRPr="00C8160E">
        <w:rPr>
          <w:rFonts w:ascii="Times New Roman" w:hAnsi="Times New Roman" w:cs="Times New Roman"/>
          <w:szCs w:val="24"/>
        </w:rPr>
        <w:t xml:space="preserve"> 80,00 zł, nalepki kontrolnej </w:t>
      </w:r>
      <w:r w:rsidR="002C34E7">
        <w:rPr>
          <w:rFonts w:ascii="Times New Roman" w:hAnsi="Times New Roman" w:cs="Times New Roman"/>
          <w:szCs w:val="24"/>
        </w:rPr>
        <w:t>–</w:t>
      </w:r>
      <w:r w:rsidRPr="00C8160E">
        <w:rPr>
          <w:rFonts w:ascii="Times New Roman" w:hAnsi="Times New Roman" w:cs="Times New Roman"/>
          <w:szCs w:val="24"/>
        </w:rPr>
        <w:t xml:space="preserve"> 18,50 zł i opłaty ewidencyjnej (łącznie 1,00 zł); w tym celu w projekcie ustawy proponuje się zmianę art. 73 Prawa o</w:t>
      </w:r>
      <w:r w:rsidR="00296902">
        <w:t> </w:t>
      </w:r>
      <w:r w:rsidRPr="00C8160E">
        <w:rPr>
          <w:rFonts w:ascii="Times New Roman" w:hAnsi="Times New Roman" w:cs="Times New Roman"/>
          <w:szCs w:val="24"/>
        </w:rPr>
        <w:t>ruchu drogowym; wprowadzenie takiego ułatwienia jest możliwe przy zapewnionej obecnie możliwości identyfikowania pojazdu i jego historii w centralnej ewidencji pojazdów przez organy rejestrujące pojazdy i organy kontroli ruchu drogowego oraz przy zapewnionym tym organom dostępie online do tej ewidencji; uwzględniając to, przy wprowadzaniu możliwości zachowania dotychczasowego numeru rejestracyjnego pojazdu nie zakłada się obecnie tworzenia nowego systemu nadawania numerów rejestracyjnych i produkcji tablic rejestracyjnych; zachowanie dotychczasowego systemu jest zasadnym rozwiązaniem niewymagającym dodatkowych kosztów i warunków dla podmiotów powiązanych z produkcją i wydawaniem tablic rejestracyjnych; uwzględniając, że w takim przypadku właściciel pojazdu posiada dowód rejestracyjny przekazany przez zbywcę na podstawie art. 78 ust. 1 Prawa o ruchu drogowym, zaproponowano w powiązaniu z tą zmianą również możliwość odstąpienia w takim przypadku od czasowej rejestracji pojazdu z urzędu na warunkach określonych w</w:t>
      </w:r>
      <w:r w:rsidR="00296902">
        <w:rPr>
          <w:rFonts w:ascii="Times New Roman" w:hAnsi="Times New Roman" w:cs="Times New Roman"/>
          <w:szCs w:val="24"/>
        </w:rPr>
        <w:t> </w:t>
      </w:r>
      <w:r w:rsidRPr="00C8160E">
        <w:rPr>
          <w:rFonts w:ascii="Times New Roman" w:hAnsi="Times New Roman" w:cs="Times New Roman"/>
          <w:szCs w:val="24"/>
        </w:rPr>
        <w:t xml:space="preserve">dodanym w art. 74 ust. 2d i 2e Prawa o ruchu drogowym; </w:t>
      </w:r>
    </w:p>
    <w:p w14:paraId="11135486" w14:textId="1EB89F4A"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 xml:space="preserve">3) wprowadzenie możliwości rejestracji pojazdu lub czasowej rejestracji pojazdu na wniosek właściciela pojazdu przez organ rejestrujący właściwy również ze względu na miejsce czasowego zamieszkania przez zmianę w art. 73 i art. 74 Prawa o ruchu drogowym; taka zmiana jest uzasadniona potrzebą wprowadzenia ułatwienia dla obywateli w sytuacji ich przemieszczania się ze względu na potrzeby zawodowe czy </w:t>
      </w:r>
      <w:r w:rsidRPr="00C8160E">
        <w:rPr>
          <w:rFonts w:ascii="Times New Roman" w:hAnsi="Times New Roman" w:cs="Times New Roman"/>
          <w:szCs w:val="24"/>
        </w:rPr>
        <w:lastRenderedPageBreak/>
        <w:t>osobiste; niejednokrotnie właściciele pojazdów przebywają czasowo w miejscu znacznie odległym od swojego stałego miejsca zamieszkania i brak możliwości zarejestrowania pojazdu w miejscu czasowego pobytu stanowi poważne utrudnienie, np. w związku z</w:t>
      </w:r>
      <w:r w:rsidR="00296902">
        <w:rPr>
          <w:rFonts w:ascii="Times New Roman" w:hAnsi="Times New Roman" w:cs="Times New Roman"/>
          <w:szCs w:val="24"/>
        </w:rPr>
        <w:t> </w:t>
      </w:r>
      <w:r w:rsidRPr="00C8160E">
        <w:rPr>
          <w:rFonts w:ascii="Times New Roman" w:hAnsi="Times New Roman" w:cs="Times New Roman"/>
          <w:szCs w:val="24"/>
        </w:rPr>
        <w:t xml:space="preserve">wykonywaną obecnie pracą; zasadne jest usuniecie więc takiej przeszkody administracyjnej i usankcjonowanie możliwości rejestracji pojazdu lub czasowej rejestracji pojazdu na wniosek właściciela pojazdu przez organ rejestrujący właściwy również ze względu na miejsce czasowego zamieszkania; </w:t>
      </w:r>
    </w:p>
    <w:p w14:paraId="2D9E5752" w14:textId="2792F716"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4) wprowadzenie możliwości czasowej rejestracji pojazdu również przez starostę właściwego dla miejsca zakupu lub odbioru pojazdu na terytorium Rzeczypospolitej Polskiej, przez zmianę art. 74 Prawa o ruchu drogowym; w tym przypadku także zasadne jest usunięcie przeszkody administracyjnej, powodującej niepotrzebne koszty związane z</w:t>
      </w:r>
      <w:r w:rsidR="00296902">
        <w:rPr>
          <w:rFonts w:ascii="Times New Roman" w:hAnsi="Times New Roman" w:cs="Times New Roman"/>
          <w:szCs w:val="24"/>
        </w:rPr>
        <w:t> </w:t>
      </w:r>
      <w:r w:rsidRPr="00C8160E">
        <w:rPr>
          <w:rFonts w:ascii="Times New Roman" w:hAnsi="Times New Roman" w:cs="Times New Roman"/>
          <w:szCs w:val="24"/>
        </w:rPr>
        <w:t xml:space="preserve">podróżą między miejscem rejestracji pojazdu (zamieszkania/siedziby) właściciela pojazdu a miejscem zakupu lub odbioru pojazdu, które mogą nie być tożsame; </w:t>
      </w:r>
    </w:p>
    <w:p w14:paraId="2E88B8EF" w14:textId="16390C50"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5) wprowadzenie powiązania czasowej rejestracji pojazdu w celu wywozu za granicę z</w:t>
      </w:r>
      <w:r w:rsidR="00296902">
        <w:rPr>
          <w:rFonts w:ascii="Times New Roman" w:hAnsi="Times New Roman" w:cs="Times New Roman"/>
          <w:szCs w:val="24"/>
        </w:rPr>
        <w:t> </w:t>
      </w:r>
      <w:r w:rsidRPr="00C8160E">
        <w:rPr>
          <w:rFonts w:ascii="Times New Roman" w:hAnsi="Times New Roman" w:cs="Times New Roman"/>
          <w:szCs w:val="24"/>
        </w:rPr>
        <w:t>czynnością wyrejestrowania pojazdu z urzędu, pod warunkiem złożenia oświadczenia przez właściciela pojazdu odbierającego pozwolenie czasowe, że pojazd zostanie wywieziony za granicę (nowy ust. 3b w art. 79 i nowy ust. 6 w art. 74 Prawa o ruchu drogowym); oświadczenie to właściciel pojazdu będzie składał pod rygorem odpowiedzialności karnej za składanie fałszywych oświadczeń; składający oświadczenie będzie obowiązany też do zawarcia w nim klauzuli, że jest świadomy odpowiedzialności karnej za złożenie fałszywego oświadczenia; klauzula ta zastąpi pouczenie organu o</w:t>
      </w:r>
      <w:r w:rsidR="00296902">
        <w:rPr>
          <w:rFonts w:ascii="Times New Roman" w:hAnsi="Times New Roman" w:cs="Times New Roman"/>
          <w:szCs w:val="24"/>
        </w:rPr>
        <w:t> </w:t>
      </w:r>
      <w:r w:rsidRPr="00C8160E">
        <w:rPr>
          <w:rFonts w:ascii="Times New Roman" w:hAnsi="Times New Roman" w:cs="Times New Roman"/>
          <w:szCs w:val="24"/>
        </w:rPr>
        <w:t xml:space="preserve">odpowiedzialności karnej za składanie fałszywych oświadczeń; zakłada się, że będzie to stanowić ułatwienie dla właściciela pojazdu, eliminując potrzebę składania oddzielnego wniosku o wyrejestrowanie pojazdu, a jednocześnie usprawni gromadzenie faktycznych danych o wyrejestrowanym pojeździe w centralnej ewidencji pojazdów; </w:t>
      </w:r>
    </w:p>
    <w:p w14:paraId="4E2B81FD" w14:textId="77777777"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 xml:space="preserve">6) zniesienie obowiązku zwrotu pozwolenia czasowego po upływie terminu czasowej rejestracji pojazdu przez zmianę ust. 5 w art. 74 Prawa o ruchu drogowym; w ramach zakładanego uproszczenia procesu czasowej rejestracji pojazdu oceniono, że jest możliwa rezygnacja ze zwrotu pozwolenia czasowego wobec ograniczonej w czasie ważności tego dokumentu oraz gromadzonej w centralnej ewidencji pojazdów </w:t>
      </w:r>
      <w:r w:rsidRPr="00C8160E">
        <w:rPr>
          <w:rFonts w:ascii="Times New Roman" w:hAnsi="Times New Roman" w:cs="Times New Roman"/>
          <w:szCs w:val="24"/>
        </w:rPr>
        <w:lastRenderedPageBreak/>
        <w:t xml:space="preserve">informacji o utracie jego ważności, dostępnej dla organów kontroli ruchu drogowego; uwzględniając natomiast potrzebę zachowania zasady legalności obrotu pojazdami utrzymano jednak obowiązek zwrotu tablic rejestracyjnych po upływie terminu czasowej rejestracji pojazdu; </w:t>
      </w:r>
    </w:p>
    <w:p w14:paraId="7626A697" w14:textId="5EB87A9A"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7) rozszerzenie katalogu pojazdów wycofywanych z ruchu, ale w niezbędnym zakresie; w projekcie w zmianie art. 78a Prawa o ruchu drogowym proponuje się wprowadzenie postulowanej możliwości czasowego wycofania z ruchu samochodu osobowego w</w:t>
      </w:r>
      <w:r w:rsidR="00296902">
        <w:rPr>
          <w:rFonts w:ascii="Times New Roman" w:hAnsi="Times New Roman" w:cs="Times New Roman"/>
          <w:szCs w:val="24"/>
        </w:rPr>
        <w:t> </w:t>
      </w:r>
      <w:r w:rsidRPr="00C8160E">
        <w:rPr>
          <w:rFonts w:ascii="Times New Roman" w:hAnsi="Times New Roman" w:cs="Times New Roman"/>
          <w:szCs w:val="24"/>
        </w:rPr>
        <w:t>związku z koniecznością wykonania naprawy pojazdu wynikającej z uszkodzenia zasadniczych elementów nośnych konstrukcji w przypadkach, o których mowa w art. 81 ust. 11 pkt 1 lit. b oraz pkt 6, lub w przypadku wystąpienia szkody istotnej, na okres od 3</w:t>
      </w:r>
      <w:r w:rsidR="00296902">
        <w:rPr>
          <w:rFonts w:ascii="Times New Roman" w:hAnsi="Times New Roman" w:cs="Times New Roman"/>
          <w:szCs w:val="24"/>
        </w:rPr>
        <w:t> </w:t>
      </w:r>
      <w:r w:rsidRPr="00C8160E">
        <w:rPr>
          <w:rFonts w:ascii="Times New Roman" w:hAnsi="Times New Roman" w:cs="Times New Roman"/>
          <w:szCs w:val="24"/>
        </w:rPr>
        <w:t xml:space="preserve">do 12 miesięcy, bez możliwości przedłużenia tego okresu i nie częściej niż po upływie 3 lat od dnia, w którym upłynął okres czasowego wycofania określony w ostatniej decyzji o czasowym wycofaniu pojazdu z ruchu; warunkiem dopuszczenia tego samochodu do ruchu po jego czasowym wycofaniu jest wykonanie dodatkowego badania technicznego pojazdu potwierdzone w centralnej ewidencji pojazdów; w przypadku braku w centralnej ewidencji pojazdów informacji o dodatkowym badaniu technicznym dopuszczenie do ruchu nastąpi na podstawie przedłożonego zaświadczenia o przeprowadzonym dodatkowym badaniu technicznym; wzięto przy tym pod uwagę, że w sprawie rozszerzenia również o samochody osobowe możliwości długotrwałego czasowego wycofania z ruchu w dniu 27 marca 2017 r. skierowano do Marszałka Sejmu RP poselski projekt (druk nr 1454), jak i wcześniejszy druk nr 1197 z dnia 25 października 2016 r. </w:t>
      </w:r>
      <w:r w:rsidR="002C34E7">
        <w:rPr>
          <w:rFonts w:ascii="Times New Roman" w:hAnsi="Times New Roman" w:cs="Times New Roman"/>
          <w:szCs w:val="24"/>
        </w:rPr>
        <w:t>–</w:t>
      </w:r>
      <w:r w:rsidRPr="00C8160E">
        <w:rPr>
          <w:rFonts w:ascii="Times New Roman" w:hAnsi="Times New Roman" w:cs="Times New Roman"/>
          <w:szCs w:val="24"/>
        </w:rPr>
        <w:t xml:space="preserve"> projekt ustawy o zmianie ustawy – Prawo o ruchu drogowym; projekty te zostały jednak odrzucone w I czytaniu na 36. posiedzeniu Sejmu RP oraz przez Sejmową Komisję Infrastruktury dnia 20 czerwca 2017 r.; wzięto również pod uwagę, że liczba zarejestrowanych samochodów osobowych (ok. 24 mln) jest niewspółmiernie większa niż tzw. samochodów użytkowych, a uwzględniając powiązanie czasowego wycofania z</w:t>
      </w:r>
      <w:r w:rsidR="00296902">
        <w:rPr>
          <w:rFonts w:ascii="Times New Roman" w:hAnsi="Times New Roman" w:cs="Times New Roman"/>
          <w:szCs w:val="24"/>
        </w:rPr>
        <w:t> </w:t>
      </w:r>
      <w:r w:rsidRPr="00C8160E">
        <w:rPr>
          <w:rFonts w:ascii="Times New Roman" w:hAnsi="Times New Roman" w:cs="Times New Roman"/>
          <w:szCs w:val="24"/>
        </w:rPr>
        <w:t xml:space="preserve">ruchu pojazdu z przepisami o ubezpieczeniach obowiązkowych będących we właściwości Ministra Finansów, 48-miesięczne czasowe wycofanie samochodów osobowych z ruchu, obecnie możliwe dla tzw. pojazdów użytkowych, w kontekście oceny ww. poprzednich odrzuconych projektów, miałoby negatywny wpływ na system ubezpieczeń obowiązkowych OC posiadaczy pojazdów (mogłyby godzić w interesy osób, które nie będą korzystać z czasowego wycofania z ruchu tych samochodów), przyczyniłoby się do powstawania odpadów z samochodów </w:t>
      </w:r>
      <w:r w:rsidRPr="00C8160E">
        <w:rPr>
          <w:rFonts w:ascii="Times New Roman" w:hAnsi="Times New Roman" w:cs="Times New Roman"/>
          <w:szCs w:val="24"/>
        </w:rPr>
        <w:lastRenderedPageBreak/>
        <w:t>osobowych wyłączonych z</w:t>
      </w:r>
      <w:r w:rsidR="00296902">
        <w:rPr>
          <w:rFonts w:ascii="Times New Roman" w:hAnsi="Times New Roman" w:cs="Times New Roman"/>
          <w:szCs w:val="24"/>
        </w:rPr>
        <w:t> </w:t>
      </w:r>
      <w:r w:rsidRPr="00C8160E">
        <w:rPr>
          <w:rFonts w:ascii="Times New Roman" w:hAnsi="Times New Roman" w:cs="Times New Roman"/>
          <w:szCs w:val="24"/>
        </w:rPr>
        <w:t xml:space="preserve">użytkowania na tak długi czas, jak również miałoby negatywny wpływ na system okresowych badań technicznych pojazdów i funkcjonowanie stacji kontroli pojazdów; stąd też zaproponowana na ww. warunkach możliwość czasowego wycofania samochodu osobowego z ruchu; </w:t>
      </w:r>
    </w:p>
    <w:p w14:paraId="43D1ED56" w14:textId="66443C1C"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 xml:space="preserve">8) zniesienie obowiązku przedkładania do rejestracji pojazdu dowodu własności, jeżeli od uprzedniej ostatniej rejestracji pojazdu nie nastąpiła zmiana w zakresie własności pojazdu </w:t>
      </w:r>
      <w:r w:rsidR="002C34E7">
        <w:rPr>
          <w:rFonts w:ascii="Times New Roman" w:hAnsi="Times New Roman" w:cs="Times New Roman"/>
          <w:szCs w:val="24"/>
        </w:rPr>
        <w:t>–</w:t>
      </w:r>
      <w:r w:rsidRPr="00C8160E">
        <w:rPr>
          <w:rFonts w:ascii="Times New Roman" w:hAnsi="Times New Roman" w:cs="Times New Roman"/>
          <w:szCs w:val="24"/>
        </w:rPr>
        <w:t xml:space="preserve"> zaproponowane w zmianie art. 72 Prawa o ruchu drogowym; dotyczyć to będzie przypadku przerejestrowania pojazdu dokonywanego na wniosek właściciela pojazdu w przypadku zmiany miejsca jego zamieszkania albo siedziby; w takiej sytuacji nie występuje przeniesienie prawa własności pojazdu i nie jest zasadne wymaganie ponownie dowodu własności pojazdu, który był już przedkładany wcześniej w związku z rejestracją pojazdu; </w:t>
      </w:r>
    </w:p>
    <w:p w14:paraId="678AC718" w14:textId="62C2FA07"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9) zniesienie obowiązku wydawania nalepki kontrolnej</w:t>
      </w:r>
      <w:r w:rsidRPr="00C8160E">
        <w:rPr>
          <w:rFonts w:ascii="Times New Roman" w:eastAsiaTheme="minorHAnsi" w:hAnsi="Times New Roman" w:cs="Times New Roman"/>
          <w:szCs w:val="24"/>
        </w:rPr>
        <w:t xml:space="preserve"> przez zmianę w Prawie o ruchu drogowym przepisów dotyczących tej nalepki; dotyczy to: art. 71 ust. 2, art. 73 ust. 1 i</w:t>
      </w:r>
      <w:r w:rsidR="00296902">
        <w:rPr>
          <w:rFonts w:ascii="Times New Roman" w:eastAsiaTheme="minorHAnsi" w:hAnsi="Times New Roman" w:cs="Times New Roman"/>
          <w:szCs w:val="24"/>
        </w:rPr>
        <w:t> </w:t>
      </w:r>
      <w:r w:rsidRPr="00C8160E">
        <w:rPr>
          <w:rFonts w:ascii="Times New Roman" w:eastAsiaTheme="minorHAnsi" w:hAnsi="Times New Roman" w:cs="Times New Roman"/>
          <w:szCs w:val="24"/>
        </w:rPr>
        <w:t>2b</w:t>
      </w:r>
      <w:r w:rsidR="002C34E7">
        <w:rPr>
          <w:rFonts w:ascii="Times New Roman" w:eastAsiaTheme="minorHAnsi" w:hAnsi="Times New Roman" w:cs="Times New Roman"/>
          <w:szCs w:val="24"/>
        </w:rPr>
        <w:t>–</w:t>
      </w:r>
      <w:r w:rsidRPr="00C8160E">
        <w:rPr>
          <w:rFonts w:ascii="Times New Roman" w:eastAsiaTheme="minorHAnsi" w:hAnsi="Times New Roman" w:cs="Times New Roman"/>
          <w:szCs w:val="24"/>
        </w:rPr>
        <w:t>3a, art. 75 ust. 2, art. 76 ust. 1 pkt 1 lit. a oraz b i pkt 2 oraz ust. 4 pkt 2, art. 78b pkt</w:t>
      </w:r>
      <w:r w:rsidR="00296902">
        <w:rPr>
          <w:rFonts w:ascii="Times New Roman" w:eastAsiaTheme="minorHAnsi" w:hAnsi="Times New Roman" w:cs="Times New Roman"/>
          <w:szCs w:val="24"/>
        </w:rPr>
        <w:t> </w:t>
      </w:r>
      <w:r w:rsidRPr="00C8160E">
        <w:rPr>
          <w:rFonts w:ascii="Times New Roman" w:eastAsiaTheme="minorHAnsi" w:hAnsi="Times New Roman" w:cs="Times New Roman"/>
          <w:szCs w:val="24"/>
        </w:rPr>
        <w:t>1, art. 79c oraz art. 80b ust. 1 pkt 9 Prawa o ruchu drogowym</w:t>
      </w:r>
      <w:r w:rsidRPr="00C8160E">
        <w:rPr>
          <w:rFonts w:ascii="Times New Roman" w:hAnsi="Times New Roman" w:cs="Times New Roman"/>
          <w:szCs w:val="24"/>
        </w:rPr>
        <w:t xml:space="preserve">; </w:t>
      </w:r>
    </w:p>
    <w:p w14:paraId="5204CF2A" w14:textId="77777777"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 xml:space="preserve">10) zaproponowane przez Ministra Cyfryzacji dodatkowe rozwiązania stosownie do pakietu określonego w pkt V niniejszego uzasadnienia. </w:t>
      </w:r>
    </w:p>
    <w:p w14:paraId="1D8C6A3B" w14:textId="6CFEC20C" w:rsidR="00697F11" w:rsidRPr="00C8160E" w:rsidRDefault="00697F11" w:rsidP="00C8160E">
      <w:pPr>
        <w:pStyle w:val="USTustnpkodeksu"/>
        <w:spacing w:before="240"/>
        <w:ind w:firstLine="0"/>
        <w:rPr>
          <w:rFonts w:ascii="Times New Roman" w:hAnsi="Times New Roman" w:cs="Times New Roman"/>
          <w:szCs w:val="24"/>
        </w:rPr>
      </w:pPr>
      <w:r w:rsidRPr="00C8160E">
        <w:rPr>
          <w:rFonts w:ascii="Times New Roman" w:hAnsi="Times New Roman" w:cs="Times New Roman"/>
          <w:b/>
          <w:szCs w:val="24"/>
        </w:rPr>
        <w:t xml:space="preserve">II. Poprawa warunków legalnego obrotu pojazdami i referencyjności danych gromadzonych w centralnej ewidencji pojazdów </w:t>
      </w:r>
    </w:p>
    <w:p w14:paraId="2ED42975" w14:textId="13F61778"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 xml:space="preserve">W projekcie ustawy wprowadza się rejestrowanie w centralnej ewidencji pojazdów informacji o przekroczeniach terminów wynikających z art. 71 ust. 7 i art. 78 ust. 2 pkt 1 (przez zmianę art. 80b ust. 1 Prawa o ruchu drogowym). W razie prowadzonego postępowania właściwe organy będą mogły korzystać z tych informacji udostępnianych im z ewidencji na podstawie Prawa o ruchu drogowym. </w:t>
      </w:r>
    </w:p>
    <w:p w14:paraId="1C47470C" w14:textId="796E090A" w:rsidR="00697F11" w:rsidRPr="00C8160E" w:rsidRDefault="00697F11" w:rsidP="00C8160E">
      <w:pPr>
        <w:pStyle w:val="USTustnpkodeksu"/>
        <w:spacing w:before="120"/>
        <w:ind w:firstLine="0"/>
        <w:rPr>
          <w:rFonts w:ascii="Times New Roman" w:hAnsi="Times New Roman" w:cs="Times New Roman"/>
          <w:szCs w:val="24"/>
        </w:rPr>
      </w:pPr>
      <w:r w:rsidRPr="00C8160E">
        <w:rPr>
          <w:rFonts w:ascii="Times New Roman" w:hAnsi="Times New Roman" w:cs="Times New Roman"/>
          <w:szCs w:val="24"/>
        </w:rPr>
        <w:t xml:space="preserve">Zakłada się, że taki instrument prawny przyczyni się również do poprawy przestrzegania przez właścicieli pojazdów ww. obowiązków w powiązaniu z sankcjami (karami pieniężnymi), które zostały określone w </w:t>
      </w:r>
      <w:r w:rsidR="007B7667">
        <w:rPr>
          <w:rFonts w:ascii="Times New Roman" w:hAnsi="Times New Roman" w:cs="Times New Roman"/>
          <w:szCs w:val="24"/>
        </w:rPr>
        <w:t xml:space="preserve">art. </w:t>
      </w:r>
      <w:r w:rsidRPr="00C8160E">
        <w:rPr>
          <w:rFonts w:ascii="Times New Roman" w:hAnsi="Times New Roman" w:cs="Times New Roman"/>
          <w:szCs w:val="24"/>
        </w:rPr>
        <w:t>140mb Prawa o ruchu drogowym i</w:t>
      </w:r>
      <w:r w:rsidR="00B62BC6">
        <w:rPr>
          <w:rFonts w:ascii="Times New Roman" w:hAnsi="Times New Roman" w:cs="Times New Roman"/>
          <w:szCs w:val="24"/>
        </w:rPr>
        <w:t> </w:t>
      </w:r>
      <w:r w:rsidRPr="00C8160E">
        <w:rPr>
          <w:rFonts w:ascii="Times New Roman" w:hAnsi="Times New Roman" w:cs="Times New Roman"/>
          <w:szCs w:val="24"/>
        </w:rPr>
        <w:t>wprowadzone ustawą z dnia 19 lipca 2019 r. o zmianie ustawy o utrzymaniu czystości i</w:t>
      </w:r>
      <w:r w:rsidR="00B62BC6">
        <w:rPr>
          <w:rFonts w:ascii="Times New Roman" w:hAnsi="Times New Roman" w:cs="Times New Roman"/>
          <w:szCs w:val="24"/>
        </w:rPr>
        <w:t> </w:t>
      </w:r>
      <w:r w:rsidRPr="00C8160E">
        <w:rPr>
          <w:rFonts w:ascii="Times New Roman" w:hAnsi="Times New Roman" w:cs="Times New Roman"/>
          <w:szCs w:val="24"/>
        </w:rPr>
        <w:t xml:space="preserve">porządku w gminach oraz niektórych innych ustaw (Dz. U. poz. 1579, z </w:t>
      </w:r>
      <w:proofErr w:type="spellStart"/>
      <w:r w:rsidRPr="00C8160E">
        <w:rPr>
          <w:rFonts w:ascii="Times New Roman" w:hAnsi="Times New Roman" w:cs="Times New Roman"/>
          <w:szCs w:val="24"/>
        </w:rPr>
        <w:t>późn</w:t>
      </w:r>
      <w:proofErr w:type="spellEnd"/>
      <w:r w:rsidRPr="00C8160E">
        <w:rPr>
          <w:rFonts w:ascii="Times New Roman" w:hAnsi="Times New Roman" w:cs="Times New Roman"/>
          <w:szCs w:val="24"/>
        </w:rPr>
        <w:t>. zm.). W</w:t>
      </w:r>
      <w:r w:rsidR="00B62BC6">
        <w:rPr>
          <w:rFonts w:ascii="Times New Roman" w:hAnsi="Times New Roman" w:cs="Times New Roman"/>
          <w:szCs w:val="24"/>
        </w:rPr>
        <w:t> </w:t>
      </w:r>
      <w:r w:rsidRPr="00C8160E">
        <w:rPr>
          <w:rFonts w:ascii="Times New Roman" w:hAnsi="Times New Roman" w:cs="Times New Roman"/>
          <w:szCs w:val="24"/>
        </w:rPr>
        <w:t xml:space="preserve">konsekwencji powinno to wpłynąć na poprawę warunków legalnego obrotu </w:t>
      </w:r>
      <w:r w:rsidRPr="00C8160E">
        <w:rPr>
          <w:rFonts w:ascii="Times New Roman" w:hAnsi="Times New Roman" w:cs="Times New Roman"/>
          <w:szCs w:val="24"/>
        </w:rPr>
        <w:lastRenderedPageBreak/>
        <w:t xml:space="preserve">pojazdami i na referencyjność danych gromadzonych w centralnej ewidencji pojazdów prowadzonej przez ministra właściwego do spraw informatyzacji. </w:t>
      </w:r>
    </w:p>
    <w:p w14:paraId="757D4D28" w14:textId="77777777" w:rsidR="00697F11" w:rsidRPr="00C8160E" w:rsidRDefault="00697F11" w:rsidP="00C8160E">
      <w:pPr>
        <w:pStyle w:val="USTustnpkodeksu"/>
        <w:keepNext/>
        <w:spacing w:before="240"/>
        <w:ind w:firstLine="0"/>
        <w:rPr>
          <w:rFonts w:ascii="Times New Roman" w:hAnsi="Times New Roman" w:cs="Times New Roman"/>
          <w:szCs w:val="24"/>
        </w:rPr>
      </w:pPr>
      <w:r w:rsidRPr="00C8160E">
        <w:rPr>
          <w:rFonts w:ascii="Times New Roman" w:hAnsi="Times New Roman" w:cs="Times New Roman"/>
          <w:b/>
          <w:szCs w:val="24"/>
        </w:rPr>
        <w:t>III. Wprowadzenie przepisów regulujących na poziomie ustawy obecne rozwiązania systemowe lub je modyfikujące</w:t>
      </w:r>
      <w:r w:rsidRPr="00C8160E">
        <w:rPr>
          <w:rFonts w:ascii="Times New Roman" w:hAnsi="Times New Roman" w:cs="Times New Roman"/>
          <w:szCs w:val="24"/>
        </w:rPr>
        <w:t>:</w:t>
      </w:r>
      <w:r w:rsidRPr="00C8160E">
        <w:rPr>
          <w:rFonts w:ascii="Times New Roman" w:hAnsi="Times New Roman" w:cs="Times New Roman"/>
          <w:b/>
          <w:szCs w:val="24"/>
        </w:rPr>
        <w:t xml:space="preserve"> </w:t>
      </w:r>
    </w:p>
    <w:p w14:paraId="6305E167" w14:textId="3170AF8B" w:rsidR="00697F11" w:rsidRPr="00C8160E" w:rsidRDefault="00697F11" w:rsidP="00C8160E">
      <w:pPr>
        <w:pStyle w:val="USTustnpkodeksu"/>
        <w:keepNext/>
        <w:spacing w:before="120"/>
        <w:ind w:firstLine="0"/>
        <w:rPr>
          <w:rFonts w:ascii="Times New Roman" w:hAnsi="Times New Roman" w:cs="Times New Roman"/>
          <w:szCs w:val="24"/>
        </w:rPr>
      </w:pPr>
      <w:r w:rsidRPr="00C8160E">
        <w:rPr>
          <w:rFonts w:ascii="Times New Roman" w:hAnsi="Times New Roman" w:cs="Times New Roman"/>
          <w:szCs w:val="24"/>
        </w:rPr>
        <w:t>1) dla realizacji powyższego w art. 75e Prawa o ruchu drogowym zaproponowano przepisy określające zapewnienie przez wytwórcę dowodów rejestracyjnych i</w:t>
      </w:r>
      <w:r w:rsidR="007838D4">
        <w:t> </w:t>
      </w:r>
      <w:r w:rsidRPr="00C8160E">
        <w:rPr>
          <w:rFonts w:ascii="Times New Roman" w:hAnsi="Times New Roman" w:cs="Times New Roman"/>
          <w:szCs w:val="24"/>
        </w:rPr>
        <w:t>funkcjonowanie systemu teleinformatycznego integralnie z systemem teleinformatycznym obsługującym centralną ewidencję pojazdów, umożliwiającego realizację zadań organów rejestrujących w zakresie rejestracji, czasowej rejestracji, czasowego wycofania z ruchu, wyrejestrowania i profesjonalnej rejestracji pojazdu, w</w:t>
      </w:r>
      <w:r w:rsidR="007838D4">
        <w:rPr>
          <w:rFonts w:ascii="Times New Roman" w:hAnsi="Times New Roman" w:cs="Times New Roman"/>
          <w:szCs w:val="24"/>
        </w:rPr>
        <w:t> </w:t>
      </w:r>
      <w:r w:rsidRPr="00C8160E">
        <w:rPr>
          <w:rFonts w:ascii="Times New Roman" w:hAnsi="Times New Roman" w:cs="Times New Roman"/>
          <w:szCs w:val="24"/>
        </w:rPr>
        <w:t>tym w zakresie procesu wytwarzania, personalizacji i dystrybucji dokumentów związanych z realizacją tych zadań; system teleinformatyczny ma zapewniać integralność powiązania procesu wytwarzania dokumentów związanych z realizacją tych zadań z</w:t>
      </w:r>
      <w:r w:rsidR="007838D4">
        <w:rPr>
          <w:rFonts w:ascii="Times New Roman" w:hAnsi="Times New Roman" w:cs="Times New Roman"/>
          <w:szCs w:val="24"/>
        </w:rPr>
        <w:t> </w:t>
      </w:r>
      <w:r w:rsidRPr="00C8160E">
        <w:rPr>
          <w:rFonts w:ascii="Times New Roman" w:hAnsi="Times New Roman" w:cs="Times New Roman"/>
          <w:szCs w:val="24"/>
        </w:rPr>
        <w:t>danymi gromadzonymi w centralnej ewidencji pojazdów, z uwzględnieniem referencyjności tych danych, zapewniając co najmniej funkcjonalności spójne z</w:t>
      </w:r>
      <w:r w:rsidR="007838D4">
        <w:rPr>
          <w:rFonts w:ascii="Times New Roman" w:hAnsi="Times New Roman" w:cs="Times New Roman"/>
          <w:szCs w:val="24"/>
        </w:rPr>
        <w:t> </w:t>
      </w:r>
      <w:r w:rsidRPr="00C8160E">
        <w:rPr>
          <w:rFonts w:ascii="Times New Roman" w:hAnsi="Times New Roman" w:cs="Times New Roman"/>
          <w:szCs w:val="24"/>
        </w:rPr>
        <w:t>systemem teleinformatycznym obsługującym centralną ewidencję pojazdów; projekt ustawy przyznaje kompetencje ministrowi właściwemu do spraw informatyzacji w</w:t>
      </w:r>
      <w:r w:rsidR="007838D4">
        <w:rPr>
          <w:rFonts w:ascii="Times New Roman" w:hAnsi="Times New Roman" w:cs="Times New Roman"/>
          <w:szCs w:val="24"/>
        </w:rPr>
        <w:t> </w:t>
      </w:r>
      <w:r w:rsidRPr="00C8160E">
        <w:rPr>
          <w:rFonts w:ascii="Times New Roman" w:hAnsi="Times New Roman" w:cs="Times New Roman"/>
          <w:szCs w:val="24"/>
        </w:rPr>
        <w:t xml:space="preserve">zakresie nadzoru interoperacyjności systemu teleinformatycznego z systemem teleinformatycznym obsługującym centralną ewidencję pojazdów; dla realizacji przyjętych rozwiązań minister właściwy do spraw informatyzacji zawrze z wytwórcą dowodów rejestracyjnych umowę regulującą zasady współpracy w zakresie określonym w art. 75e </w:t>
      </w:r>
      <w:r w:rsidR="001011B7" w:rsidRPr="00C8160E">
        <w:rPr>
          <w:rFonts w:ascii="Times New Roman" w:hAnsi="Times New Roman" w:cs="Times New Roman"/>
          <w:szCs w:val="24"/>
        </w:rPr>
        <w:t xml:space="preserve">ust. 5 </w:t>
      </w:r>
      <w:r w:rsidRPr="00C8160E">
        <w:rPr>
          <w:rFonts w:ascii="Times New Roman" w:hAnsi="Times New Roman" w:cs="Times New Roman"/>
          <w:szCs w:val="24"/>
        </w:rPr>
        <w:t>Prawa o ruchu drogowym; koszty związane z zawarciem i realizacją tej umowy będą finansowane ze środków Funduszu – Centralna Ewidencja Pojazdów i</w:t>
      </w:r>
      <w:r w:rsidR="007838D4">
        <w:rPr>
          <w:rFonts w:ascii="Times New Roman" w:hAnsi="Times New Roman" w:cs="Times New Roman"/>
          <w:szCs w:val="24"/>
        </w:rPr>
        <w:t> </w:t>
      </w:r>
      <w:r w:rsidRPr="00C8160E">
        <w:rPr>
          <w:rFonts w:ascii="Times New Roman" w:hAnsi="Times New Roman" w:cs="Times New Roman"/>
          <w:szCs w:val="24"/>
        </w:rPr>
        <w:t>Kierowców; jednocześnie w art. 75e ust. 7</w:t>
      </w:r>
      <w:r w:rsidR="002C34E7">
        <w:rPr>
          <w:rFonts w:ascii="Times New Roman" w:hAnsi="Times New Roman" w:cs="Times New Roman"/>
          <w:szCs w:val="24"/>
        </w:rPr>
        <w:t>–</w:t>
      </w:r>
      <w:r w:rsidRPr="00C8160E">
        <w:rPr>
          <w:rFonts w:ascii="Times New Roman" w:hAnsi="Times New Roman" w:cs="Times New Roman"/>
          <w:szCs w:val="24"/>
        </w:rPr>
        <w:t>9 Prawa o ruchu drogowym określono przepisy, na podstawie których wytwórca dowodu rejestracyjnego umożliwi odczyt danych zakodowanych w dowodzie rejestracyjnym, o ile są one niezbędne do realizacji ich ustawowych zadań podmiotom, o których mowa w art. 80c ust. 1 i 2a, na wniosek danego podmiotu, albo innym podmiotom za pośrednictwem ww. podmiotów, o których mowa w art. 80c ust. 1 i 2a; usprawni to realizację zadań ww. podmiotów;</w:t>
      </w:r>
    </w:p>
    <w:p w14:paraId="73A51F94" w14:textId="0804A6DE" w:rsidR="00697F11" w:rsidRPr="001153B5" w:rsidRDefault="00697F11" w:rsidP="001153B5">
      <w:pPr>
        <w:pStyle w:val="USTustnpkodeksu"/>
        <w:spacing w:before="120"/>
        <w:ind w:firstLine="0"/>
        <w:rPr>
          <w:rFonts w:ascii="Times New Roman" w:eastAsiaTheme="minorHAnsi" w:hAnsi="Times New Roman" w:cs="Times New Roman"/>
          <w:szCs w:val="24"/>
        </w:rPr>
      </w:pPr>
      <w:r w:rsidRPr="00C8160E">
        <w:rPr>
          <w:rFonts w:ascii="Times New Roman" w:hAnsi="Times New Roman" w:cs="Times New Roman"/>
          <w:szCs w:val="24"/>
        </w:rPr>
        <w:t xml:space="preserve">2) uregulowanie w Prawie o ruchu drogowym zasad dla wymiany informacji z państwami członkowskimi o pojazdach zarejestrowanych na terytorium Rzeczypospolitej Polskiej; dotychczas obowiązki w zakresie tej wymiany wynikające z </w:t>
      </w:r>
      <w:r w:rsidRPr="00C8160E">
        <w:rPr>
          <w:rFonts w:ascii="Times New Roman" w:hAnsi="Times New Roman" w:cs="Times New Roman"/>
          <w:szCs w:val="24"/>
        </w:rPr>
        <w:lastRenderedPageBreak/>
        <w:t xml:space="preserve">art. 5 dyrektywy Rady 1999/37/WE z dnia 29 kwietnia 1999 r. w sprawie dokumentów rejestracyjnych pojazdów (Dz. Urz. WE L 138 z 01.06.1999, str. 57, z </w:t>
      </w:r>
      <w:proofErr w:type="spellStart"/>
      <w:r w:rsidRPr="00C8160E">
        <w:rPr>
          <w:rFonts w:ascii="Times New Roman" w:hAnsi="Times New Roman" w:cs="Times New Roman"/>
          <w:szCs w:val="24"/>
        </w:rPr>
        <w:t>późn</w:t>
      </w:r>
      <w:proofErr w:type="spellEnd"/>
      <w:r w:rsidRPr="00C8160E">
        <w:rPr>
          <w:rFonts w:ascii="Times New Roman" w:hAnsi="Times New Roman" w:cs="Times New Roman"/>
          <w:szCs w:val="24"/>
        </w:rPr>
        <w:t xml:space="preserve">. zm. </w:t>
      </w:r>
      <w:r w:rsidR="002C34E7">
        <w:rPr>
          <w:rFonts w:ascii="Times New Roman" w:hAnsi="Times New Roman" w:cs="Times New Roman"/>
          <w:szCs w:val="24"/>
        </w:rPr>
        <w:t>–</w:t>
      </w:r>
      <w:r w:rsidRPr="001153B5">
        <w:rPr>
          <w:rFonts w:ascii="Times New Roman" w:hAnsi="Times New Roman" w:cs="Times New Roman"/>
          <w:szCs w:val="24"/>
        </w:rPr>
        <w:t xml:space="preserve"> Dz. Urz. UE Polskie wydanie specjalne, rozdz. 7, t. 4, str. 351) wykonywał minister właściwy do spraw transportu na podstawie rozporządzenia Ministra Infrastruktury i Budownictwa z dnia 11 grudnia 2017</w:t>
      </w:r>
      <w:r w:rsidR="00B55A3E">
        <w:rPr>
          <w:rFonts w:ascii="Times New Roman" w:hAnsi="Times New Roman" w:cs="Times New Roman"/>
          <w:szCs w:val="24"/>
        </w:rPr>
        <w:t> </w:t>
      </w:r>
      <w:r w:rsidRPr="001153B5">
        <w:rPr>
          <w:rFonts w:ascii="Times New Roman" w:hAnsi="Times New Roman" w:cs="Times New Roman"/>
          <w:szCs w:val="24"/>
        </w:rPr>
        <w:t xml:space="preserve">r. w sprawie rejestracji i oznaczania pojazdów oraz wymagań dla tablic rejestracyjnych (Dz. U. poz. 2355, z </w:t>
      </w:r>
      <w:proofErr w:type="spellStart"/>
      <w:r w:rsidRPr="001153B5">
        <w:rPr>
          <w:rFonts w:ascii="Times New Roman" w:hAnsi="Times New Roman" w:cs="Times New Roman"/>
          <w:szCs w:val="24"/>
        </w:rPr>
        <w:t>późn</w:t>
      </w:r>
      <w:proofErr w:type="spellEnd"/>
      <w:r w:rsidRPr="001153B5">
        <w:rPr>
          <w:rFonts w:ascii="Times New Roman" w:hAnsi="Times New Roman" w:cs="Times New Roman"/>
          <w:szCs w:val="24"/>
        </w:rPr>
        <w:t xml:space="preserve">. zm.); wymiana ta dotyczy wymiany informacji o pojazdach zarejestrowanych między państwami członkowskimi Unii Europejskiej lub Europejskiego Porozumienia o Wolnym Handlu (EFTA) </w:t>
      </w:r>
      <w:r w:rsidR="002C34E7">
        <w:rPr>
          <w:rFonts w:ascii="Times New Roman" w:hAnsi="Times New Roman" w:cs="Times New Roman"/>
          <w:szCs w:val="24"/>
        </w:rPr>
        <w:t>–</w:t>
      </w:r>
      <w:r w:rsidRPr="001153B5">
        <w:rPr>
          <w:rFonts w:ascii="Times New Roman" w:hAnsi="Times New Roman" w:cs="Times New Roman"/>
          <w:szCs w:val="24"/>
        </w:rPr>
        <w:t xml:space="preserve"> stron umowy o Europejskim Obszarze Gospodarczym;</w:t>
      </w:r>
      <w:r w:rsidRPr="001153B5">
        <w:rPr>
          <w:rFonts w:ascii="Times New Roman" w:eastAsiaTheme="minorHAnsi" w:hAnsi="Times New Roman" w:cs="Times New Roman"/>
          <w:szCs w:val="24"/>
        </w:rPr>
        <w:t xml:space="preserve"> zmiana zaproponowana w nowym art. 73b Prawa o ruchu drogowym jest uzasadniona uzyskaną stabilizacją wdrożonego projektu CEPIK 2.0, dzięki której funkcjonuje pełne powiązanie procesu rejestracji pojazdów z centralną ewidencją pojazdów;</w:t>
      </w:r>
      <w:r w:rsidRPr="001153B5">
        <w:rPr>
          <w:rFonts w:ascii="Times New Roman" w:hAnsi="Times New Roman" w:cs="Times New Roman"/>
          <w:szCs w:val="24"/>
        </w:rPr>
        <w:t xml:space="preserve"> </w:t>
      </w:r>
    </w:p>
    <w:p w14:paraId="20B977F0" w14:textId="61B6DE7F"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3) wprowadzenie regulacji (nowy art. 73d w Prawie o ruchu drogowym) ustanawiającej bazę punktów kontaktowych przedstawicieli producentów pojazdów na terytorium Rzeczypospolitej Polskiej dla organów rejestrujących pojazdy celem ułatwienia prowadzonych przez te organy postępowań w sprawach rejestracji pojazdów oraz obowiązek udostępniania tym organom przez Dyrektora Transportowego Dozoru Technicznego określanych w procesie homologacji wzorów podpisów na wydawanych świadectwach zgodności; stanowi to realizację wniosku ze spotkań warsztatowych w</w:t>
      </w:r>
      <w:r w:rsidR="00B55A3E">
        <w:rPr>
          <w:rFonts w:ascii="Times New Roman" w:hAnsi="Times New Roman" w:cs="Times New Roman"/>
          <w:szCs w:val="24"/>
        </w:rPr>
        <w:t> </w:t>
      </w:r>
      <w:r w:rsidRPr="001153B5">
        <w:rPr>
          <w:rFonts w:ascii="Times New Roman" w:hAnsi="Times New Roman" w:cs="Times New Roman"/>
          <w:szCs w:val="24"/>
        </w:rPr>
        <w:t xml:space="preserve">Ministerstwie Cyfryzacji z udziałem Polskiego Związku Przemysłu Motoryzacyjnego i Transportowego Dozoru Technicznego; </w:t>
      </w:r>
    </w:p>
    <w:p w14:paraId="063AFFBE" w14:textId="3582551C"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4) wprowadzenie zasady zwrotu przez organy rejestrujące do producenta tablic </w:t>
      </w:r>
      <w:r w:rsidR="002C34E7">
        <w:rPr>
          <w:rFonts w:ascii="Times New Roman" w:hAnsi="Times New Roman" w:cs="Times New Roman"/>
          <w:szCs w:val="24"/>
        </w:rPr>
        <w:t>–</w:t>
      </w:r>
      <w:r w:rsidRPr="001153B5">
        <w:rPr>
          <w:rFonts w:ascii="Times New Roman" w:hAnsi="Times New Roman" w:cs="Times New Roman"/>
          <w:szCs w:val="24"/>
        </w:rPr>
        <w:t xml:space="preserve"> tablic rejestracyjnych wycofanych z użytkowania i odbioru ich na własny koszt przez tego producenta (nowy art. 74b Prawa o ruchu drogowym); określenie takiej zasady było wcześniej konsultowane ze Związkiem Powiatów Polskich wobec wniosku w tej sprawie Ogólnopolskiego Stowarzyszenia Producentów Tablic Rejestracyjnych w celu uszczelnienia obrotu tablicami rejestracyjnymi i wyeliminowania ryzyka możliwego nielegalnego ich wykorzystywania;</w:t>
      </w:r>
    </w:p>
    <w:p w14:paraId="2071CF6D" w14:textId="1FC5F622"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5) wprowadzenie zmian w art. 80b ust. 1 pkt 6 Prawa o ruchu drogowym przez usunięcie lit. a</w:t>
      </w:r>
      <w:r w:rsidR="002C34E7">
        <w:rPr>
          <w:rFonts w:ascii="Times New Roman" w:hAnsi="Times New Roman" w:cs="Times New Roman"/>
          <w:szCs w:val="24"/>
        </w:rPr>
        <w:t>–</w:t>
      </w:r>
      <w:r w:rsidRPr="001153B5">
        <w:rPr>
          <w:rFonts w:ascii="Times New Roman" w:hAnsi="Times New Roman" w:cs="Times New Roman"/>
          <w:szCs w:val="24"/>
        </w:rPr>
        <w:t xml:space="preserve">d obejmujących dane posiadacza pojazdu zawarte na polisie; proponowana zmiana jest zgodna z zasadą referencyjności danych gromadzonych w centralnej ewidencji pojazdów; dane właściciela, posiadacza i użytkownika pojazdu są </w:t>
      </w:r>
      <w:r w:rsidRPr="001153B5">
        <w:rPr>
          <w:rFonts w:ascii="Times New Roman" w:hAnsi="Times New Roman" w:cs="Times New Roman"/>
          <w:szCs w:val="24"/>
        </w:rPr>
        <w:lastRenderedPageBreak/>
        <w:t>gromadzone w</w:t>
      </w:r>
      <w:r w:rsidR="00B55A3E">
        <w:rPr>
          <w:rFonts w:ascii="Times New Roman" w:hAnsi="Times New Roman" w:cs="Times New Roman"/>
          <w:szCs w:val="24"/>
        </w:rPr>
        <w:t> </w:t>
      </w:r>
      <w:r w:rsidRPr="001153B5">
        <w:rPr>
          <w:rFonts w:ascii="Times New Roman" w:hAnsi="Times New Roman" w:cs="Times New Roman"/>
          <w:szCs w:val="24"/>
        </w:rPr>
        <w:t>centralnej ewidencji pojazdów na podstawie art. 80b ust. 1 pkt 2</w:t>
      </w:r>
      <w:r w:rsidR="002C34E7">
        <w:rPr>
          <w:rFonts w:ascii="Times New Roman" w:hAnsi="Times New Roman" w:cs="Times New Roman"/>
          <w:szCs w:val="24"/>
        </w:rPr>
        <w:t>–</w:t>
      </w:r>
      <w:r w:rsidRPr="001153B5">
        <w:rPr>
          <w:rFonts w:ascii="Times New Roman" w:hAnsi="Times New Roman" w:cs="Times New Roman"/>
          <w:szCs w:val="24"/>
        </w:rPr>
        <w:t>4 ww. ustawy; dane ubezpieczonego figurujące w zawartych umowach ubezpieczenia OC/AC, na mocy przepisów ustawy z dnia 22 maja 2003 r. o ubezpieczeniach obowiązkowych, Ubezpieczeniowym Funduszu Gwarancyjnym i Polskim Biurze Ubezpieczycieli Komunikacyjnych (Dz. U. z 2019 r. poz. 2214)</w:t>
      </w:r>
      <w:r w:rsidR="001011B7">
        <w:rPr>
          <w:rFonts w:ascii="Times New Roman" w:hAnsi="Times New Roman" w:cs="Times New Roman"/>
          <w:szCs w:val="24"/>
        </w:rPr>
        <w:t>,</w:t>
      </w:r>
      <w:r w:rsidRPr="001153B5">
        <w:rPr>
          <w:rFonts w:ascii="Times New Roman" w:hAnsi="Times New Roman" w:cs="Times New Roman"/>
          <w:szCs w:val="24"/>
        </w:rPr>
        <w:t xml:space="preserve"> są gromadzone w Ośrodku Informacji Ubezpieczeniowego Funduszu Gwarancyjnego (OIUFG); dane o tych umowach ubezpieczenia są jednocześnie przekazywane na zasadach określonych przepisami do centralnej ewidencji kierowców w zakresie wynikającym z zakresu ewidencji, w</w:t>
      </w:r>
      <w:r w:rsidR="00B55A3E">
        <w:rPr>
          <w:rFonts w:ascii="Times New Roman" w:hAnsi="Times New Roman" w:cs="Times New Roman"/>
          <w:szCs w:val="24"/>
        </w:rPr>
        <w:t> </w:t>
      </w:r>
      <w:r w:rsidRPr="001153B5">
        <w:rPr>
          <w:rFonts w:ascii="Times New Roman" w:hAnsi="Times New Roman" w:cs="Times New Roman"/>
          <w:szCs w:val="24"/>
        </w:rPr>
        <w:t>szczególności w zakresie bezpieczeństwa ruchu drogowego; dane o już zawartych umowach ubezpieczenia co do zasady są wykorzystywane przede wszystki</w:t>
      </w:r>
      <w:r w:rsidR="001011B7">
        <w:rPr>
          <w:rFonts w:ascii="Times New Roman" w:hAnsi="Times New Roman" w:cs="Times New Roman"/>
          <w:szCs w:val="24"/>
        </w:rPr>
        <w:t>m</w:t>
      </w:r>
      <w:r w:rsidRPr="001153B5">
        <w:rPr>
          <w:rFonts w:ascii="Times New Roman" w:hAnsi="Times New Roman" w:cs="Times New Roman"/>
          <w:szCs w:val="24"/>
        </w:rPr>
        <w:t xml:space="preserve"> przez zakłady ubezpieczeń podczas zawierania następnej umowy i dostęp do nich jest już zapewniony w niezbędnym zakresie przez OIUFG; w związku z powyższym dane ubezpieczonych nie wymagają dodatkowego duplikowania po stronie centralnej ewidencji pojazdów; dla spójności przepisów analogiczne ograniczenie jest proponowane w zakresie danych zakładów ubezpieczeniowych; dane osobowe bardzo często są gromadzone w różnych rejestrach, co wpływa na ewentualne rozbieżności danych w tych rejestrach i ich różny poziom szczegółowości; ograniczenie rejestrów, w których gromadzone są dane, wpłynie pozytywnie na jakość danych zarówno centralnej ewidencji pojazdów, jak i OIUFG;</w:t>
      </w:r>
    </w:p>
    <w:p w14:paraId="492F534D" w14:textId="088042C8"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6) rozszerzenie katalogu podmiotów uprawnionych do dostępu do danych z centralnej ewidencji pojazdów oraz z centralnej ewidencji kierowców; uzupełniono przepis art. 80c ust. 1 Prawa o ruchu drogowym, dodając jako podmiot uprawniony Straż Leśną i Straż Parku do katalogu podmiotów, którym są udostępniane dane z centralnej ewidencji pojazdów; Straże Leśne i Straże Parków pełnią rolę organów kontroli ruchu drogowego w strefach lasów i parków; wobec zniesienia obowiązku posiadania przy sobie dowodu rejestracyjnego, w celu umożliwienia tym organom realizacji ich ustawowych zadań, zasadn</w:t>
      </w:r>
      <w:r w:rsidR="001011B7">
        <w:rPr>
          <w:rFonts w:ascii="Times New Roman" w:hAnsi="Times New Roman" w:cs="Times New Roman"/>
          <w:szCs w:val="24"/>
        </w:rPr>
        <w:t>e</w:t>
      </w:r>
      <w:r w:rsidRPr="001153B5">
        <w:rPr>
          <w:rFonts w:ascii="Times New Roman" w:hAnsi="Times New Roman" w:cs="Times New Roman"/>
          <w:szCs w:val="24"/>
        </w:rPr>
        <w:t xml:space="preserve"> jest zapewnienie tym organom dostępu do danych zgromadzonych w centralnej ewidencji pojazdów; w zmienianym art. 129 ust. 4aa Prawa o ruchu drogowym wyposażono te organy w uprawnienia do weryfikacji danych w centralnej ewidencji pojazdów w zakresie danych pojazdu oraz dokumentu rejestracyjnego; jednocześnie organy Inspekcji Ochrony Środowiska, obecnie uprawnione do sprawdzania dokumentów wymaganych do kierowania pojazdem, wyposażono w kompetencje do weryfikacji danych kierującego w zakresie dokumentu </w:t>
      </w:r>
      <w:r w:rsidRPr="001153B5">
        <w:rPr>
          <w:rFonts w:ascii="Times New Roman" w:hAnsi="Times New Roman" w:cs="Times New Roman"/>
          <w:szCs w:val="24"/>
        </w:rPr>
        <w:lastRenderedPageBreak/>
        <w:t xml:space="preserve">prawa jazdy i posiadanych uprawnień (przez dodanie pkt 2a w art. 129c ust. 3 Prawa o ruchu drogowym); w efekcie dodano organy Inspekcji Ochrony Środowiska do katalogu podmiotów uprawnionych do danych z centralnej ewidencji kierowców (przez zmianę art. 100ah ust. 1 Prawa o ruchu drogowym). </w:t>
      </w:r>
    </w:p>
    <w:p w14:paraId="379B8E7C" w14:textId="77777777" w:rsidR="00697F11" w:rsidRPr="001153B5" w:rsidRDefault="00697F11" w:rsidP="001153B5">
      <w:pPr>
        <w:pStyle w:val="USTustnpkodeksu"/>
        <w:spacing w:before="240"/>
        <w:ind w:firstLine="0"/>
        <w:rPr>
          <w:rFonts w:ascii="Times New Roman" w:hAnsi="Times New Roman" w:cs="Times New Roman"/>
          <w:szCs w:val="24"/>
        </w:rPr>
      </w:pPr>
      <w:r w:rsidRPr="001153B5">
        <w:rPr>
          <w:rFonts w:ascii="Times New Roman" w:eastAsiaTheme="minorHAnsi" w:hAnsi="Times New Roman" w:cs="Times New Roman"/>
          <w:b/>
          <w:szCs w:val="24"/>
        </w:rPr>
        <w:t xml:space="preserve">IV. Uwzględnienie na poziomie ustawy wniosków z rozpatrywania przepisów wykonawczych na wcześniejszych komisjach prawniczych w Rządowym Centrum Legislacji przez wprowadzenie </w:t>
      </w:r>
      <w:r w:rsidRPr="001153B5">
        <w:rPr>
          <w:rFonts w:ascii="Times New Roman" w:hAnsi="Times New Roman" w:cs="Times New Roman"/>
          <w:b/>
          <w:szCs w:val="24"/>
        </w:rPr>
        <w:t xml:space="preserve">odpowiednich przepisów materialnych dla spraw uregulowanych obecnie w przepisach wykonawczych przez: </w:t>
      </w:r>
    </w:p>
    <w:p w14:paraId="65B5F8E5" w14:textId="6C1AA5EA"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1) uzupełnienie delegacji do określania wzorów stosowanych formularzy związanych z</w:t>
      </w:r>
      <w:r w:rsidR="00B55A3E">
        <w:rPr>
          <w:rFonts w:ascii="Times New Roman" w:hAnsi="Times New Roman" w:cs="Times New Roman"/>
          <w:szCs w:val="24"/>
        </w:rPr>
        <w:t> </w:t>
      </w:r>
      <w:r w:rsidRPr="001153B5">
        <w:rPr>
          <w:rFonts w:ascii="Times New Roman" w:hAnsi="Times New Roman" w:cs="Times New Roman"/>
          <w:szCs w:val="24"/>
        </w:rPr>
        <w:t>rejestracją i czasową rejestracją pojazdów, w tym wzoru wniosku o rejestrację, czasową rejestrację, wyrejestrowanie pojazdu lub zawiadomienia o nabyciu lub zbyciu pojazdu i</w:t>
      </w:r>
      <w:r w:rsidR="00B55A3E">
        <w:rPr>
          <w:rFonts w:ascii="Times New Roman" w:hAnsi="Times New Roman" w:cs="Times New Roman"/>
          <w:szCs w:val="24"/>
        </w:rPr>
        <w:t> </w:t>
      </w:r>
      <w:r w:rsidRPr="001153B5">
        <w:rPr>
          <w:rFonts w:ascii="Times New Roman" w:hAnsi="Times New Roman" w:cs="Times New Roman"/>
          <w:szCs w:val="24"/>
        </w:rPr>
        <w:t>wzoru decyzji o rejestracji, czasowej rejestracji albo wyrejestrowaniu pojazdu, a także wzoru wniosku o wydanie wtórnika dowodu rejestracyjnego, wtórnika pozwolenia czasowego, nowego dowodu rejestracyjnego, wtórnika tablic (tablicy) rejestracyjnych oraz nowego dowodu rejestracyjnego i tablic (tablicy) rejestracyjnych z nowym numerem rejestracyjnym, wzoru wniosku o wydanie dodatkowej zalegalizowanej tablicy rejestracyjnej do oznaczenia bagażnika zakrywającego tylną tablicę rejestracyjną dla pojazdu zarejestrowanego na terytorium Rzeczypospolitej Polskiej oraz zaświadczenia potwierdzającego dane zawarte w utraconym dowodzie rejestracyjnym (zaproponowana zmiana delegacji art. 76 ust. 1 pkt 1 Prawa o ruchu drogowym); uzupełniono w związku z tym wytyczne dla ww. delegacji w art. 76 ust. 5 Prawa o ruchu drogowym, dodając „mając na uwadze potrzebę ujednolicenia dokumentów związanych z rejestracją pojazdu oraz sposobu oznaczania pojazdów</w:t>
      </w:r>
      <w:r w:rsidR="00066DCF">
        <w:rPr>
          <w:rFonts w:ascii="Times New Roman" w:hAnsi="Times New Roman" w:cs="Times New Roman"/>
          <w:szCs w:val="24"/>
        </w:rPr>
        <w:t>”</w:t>
      </w:r>
      <w:r w:rsidRPr="001153B5">
        <w:rPr>
          <w:rFonts w:ascii="Times New Roman" w:hAnsi="Times New Roman" w:cs="Times New Roman"/>
          <w:szCs w:val="24"/>
        </w:rPr>
        <w:t>; jednocześnie w związku z rezygnacją z wydawania nalepki kontrolnej należało nadać nowe brzmienie delegacji z art. 76 ust. 1 pkt 2 Prawa o</w:t>
      </w:r>
      <w:r w:rsidR="00B55A3E">
        <w:rPr>
          <w:rFonts w:ascii="Times New Roman" w:hAnsi="Times New Roman" w:cs="Times New Roman"/>
          <w:szCs w:val="24"/>
        </w:rPr>
        <w:t> </w:t>
      </w:r>
      <w:r w:rsidRPr="001153B5">
        <w:rPr>
          <w:rFonts w:ascii="Times New Roman" w:hAnsi="Times New Roman" w:cs="Times New Roman"/>
          <w:szCs w:val="24"/>
        </w:rPr>
        <w:t>ruchu drogowym, na podstawie której minister właściwy do spraw transportu określa wysokość opłat za wydanie dowodu rejestracyjnego, pozwolenia czasowego i</w:t>
      </w:r>
      <w:r w:rsidR="00B55A3E">
        <w:rPr>
          <w:rFonts w:ascii="Times New Roman" w:hAnsi="Times New Roman" w:cs="Times New Roman"/>
          <w:szCs w:val="24"/>
        </w:rPr>
        <w:t> </w:t>
      </w:r>
      <w:r w:rsidRPr="001153B5">
        <w:rPr>
          <w:rFonts w:ascii="Times New Roman" w:hAnsi="Times New Roman" w:cs="Times New Roman"/>
          <w:szCs w:val="24"/>
        </w:rPr>
        <w:t xml:space="preserve">zalegalizowanych tablic (tablicy) rejestracyjnych oraz ich wtórników </w:t>
      </w:r>
      <w:r w:rsidR="002C34E7">
        <w:rPr>
          <w:rFonts w:ascii="Times New Roman" w:hAnsi="Times New Roman" w:cs="Times New Roman"/>
          <w:szCs w:val="24"/>
        </w:rPr>
        <w:t>–</w:t>
      </w:r>
      <w:r w:rsidRPr="001153B5">
        <w:rPr>
          <w:rFonts w:ascii="Times New Roman" w:hAnsi="Times New Roman" w:cs="Times New Roman"/>
          <w:szCs w:val="24"/>
        </w:rPr>
        <w:t xml:space="preserve"> wobec konieczności niewskazywania w tym przepisie opłaty za wydanie ww. nalepki kontrolnej;</w:t>
      </w:r>
    </w:p>
    <w:p w14:paraId="111A5ED5" w14:textId="657E6F8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2) określenie zasady współpracy polskich organów rejestrujących z organami właściwymi w sprawach rejestracji pojazdów państw członkowskich Unii Europejskiej lub z wyznaczonymi punktami kontaktowymi tych państw (w nowym art. 73b Prawa </w:t>
      </w:r>
      <w:r w:rsidRPr="001153B5">
        <w:rPr>
          <w:rFonts w:ascii="Times New Roman" w:hAnsi="Times New Roman" w:cs="Times New Roman"/>
          <w:szCs w:val="24"/>
        </w:rPr>
        <w:lastRenderedPageBreak/>
        <w:t>o</w:t>
      </w:r>
      <w:r w:rsidR="00B55A3E">
        <w:rPr>
          <w:rFonts w:ascii="Times New Roman" w:hAnsi="Times New Roman" w:cs="Times New Roman"/>
          <w:szCs w:val="24"/>
        </w:rPr>
        <w:t> </w:t>
      </w:r>
      <w:r w:rsidRPr="001153B5">
        <w:rPr>
          <w:rFonts w:ascii="Times New Roman" w:hAnsi="Times New Roman" w:cs="Times New Roman"/>
          <w:szCs w:val="24"/>
        </w:rPr>
        <w:t>ruchu drogowym) dotychczas regulowanej w przepisach wykonawczych do Prawa o</w:t>
      </w:r>
      <w:r w:rsidR="00B55A3E">
        <w:rPr>
          <w:rFonts w:ascii="Times New Roman" w:hAnsi="Times New Roman" w:cs="Times New Roman"/>
          <w:szCs w:val="24"/>
        </w:rPr>
        <w:t> </w:t>
      </w:r>
      <w:r w:rsidRPr="001153B5">
        <w:rPr>
          <w:rFonts w:ascii="Times New Roman" w:hAnsi="Times New Roman" w:cs="Times New Roman"/>
          <w:szCs w:val="24"/>
        </w:rPr>
        <w:t xml:space="preserve">ruchu drogowym; </w:t>
      </w:r>
    </w:p>
    <w:p w14:paraId="3BB4CB99" w14:textId="4582E6BA"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3) określenie zasad wydawania wtórnika dowodu rejestracyjnego, pozwolenia czasowego, nowego dowodu rejestracyjnego oraz wtórników tablic rejestracyjnych (zaproponowany w projekcie nowy art. 74a Prawa o ruchu drogowym); wydanie tych dokumentów przez organ rejestrujący będzie oparte na weryfikacji danych zawartych w utraconym dokumencie w centralnej ewidencji pojazdów i pobraniu z tej ewidencji danych niezbędnych do wydania nowego dowodu rejestracyjnego, wtórnika dowodu rejestracyjnego albo wtórnika pozwolenia czasowego; w art. 74a zawarto również przepis uzależniający wyłącznie od woli właściciela pojazdu wnioskowanie o nowy dowód rejestracyjny, jeżeli diagnosta wypełnił wszystkie rubryki w dowodzie rejestracyjnym przeznaczone do wpisania terminu następnego badania technicznego; dla zachowania spójności przepisów powiązano to jednak ze zmianą art. 78 ust. 2 oraz art. 82 ust. 2 Prawa o ruchu drogowym; obecnie w dowodach rejestracyjnych, stosownie do wymagań ww. art. 82, termin następnego badania technicznego pojazdu jest wpisywany przez organ rejestrujący lub przez uprawnionego diagnostę; zgodnie z art. 82 ust. 2 Prawa o ruchu drogowym, jeżeli pojazd jest zarejestrowany, kolejny termin badania technicznego wpisuje do dowodu rejestracyjnego uprawniony diagnosta po stwierdzeniu pozytywnego wyniku badania technicznego; w konsekwencji tego przepisu w przypadku braku miejsca w dowodzie rejestracyjnym na wpisanie kolejnego terminu badania technicznego potrzebne jest obecnie wydanie nowego dowodu rejestracyjnego; intencją przepisu art.</w:t>
      </w:r>
      <w:r w:rsidR="00AE3876">
        <w:rPr>
          <w:rFonts w:ascii="Times New Roman" w:hAnsi="Times New Roman" w:cs="Times New Roman"/>
          <w:szCs w:val="24"/>
        </w:rPr>
        <w:t> </w:t>
      </w:r>
      <w:r w:rsidRPr="001153B5">
        <w:rPr>
          <w:rFonts w:ascii="Times New Roman" w:hAnsi="Times New Roman" w:cs="Times New Roman"/>
          <w:szCs w:val="24"/>
        </w:rPr>
        <w:t>74a i nowego brzmienia art. 82 ust. 2 w Prawie o ruchu drogowym jest rezygnacja z</w:t>
      </w:r>
      <w:r w:rsidR="00AE3876">
        <w:rPr>
          <w:rFonts w:ascii="Times New Roman" w:hAnsi="Times New Roman" w:cs="Times New Roman"/>
          <w:szCs w:val="24"/>
        </w:rPr>
        <w:t> </w:t>
      </w:r>
      <w:r w:rsidRPr="001153B5">
        <w:rPr>
          <w:rFonts w:ascii="Times New Roman" w:hAnsi="Times New Roman" w:cs="Times New Roman"/>
          <w:szCs w:val="24"/>
        </w:rPr>
        <w:t>wymiany dowodu rejestracyjnego pojazdu w sytuacji braku miejsca w dowodzie rejestracyjnym na wpisanie kolejnego terminu badania technicznego, który jest uciążliwy dla obywatela, chyba że właściciel pojazdu ma taką wolę; w konsekwencji, zgodnie z</w:t>
      </w:r>
      <w:r w:rsidR="00AE3876">
        <w:rPr>
          <w:rFonts w:ascii="Times New Roman" w:hAnsi="Times New Roman" w:cs="Times New Roman"/>
          <w:szCs w:val="24"/>
        </w:rPr>
        <w:t> </w:t>
      </w:r>
      <w:r w:rsidRPr="001153B5">
        <w:rPr>
          <w:rFonts w:ascii="Times New Roman" w:hAnsi="Times New Roman" w:cs="Times New Roman"/>
          <w:szCs w:val="24"/>
        </w:rPr>
        <w:t>ww. założeniem, uprawniony diagnosta po wykonaniu badania technicznego pojazdu wpisuje kolejny termin badania technicznego do dowodu rejestracyjnego w przypadku wolnego miejsca w odpowiedniej rubryce tego dowodu, po stwierdzeniu pozytywnego wyniku badania technicznego pojazdu; ponadto diagnosta wydaje zaświadczenie o</w:t>
      </w:r>
      <w:r w:rsidR="00AE3876">
        <w:rPr>
          <w:rFonts w:ascii="Times New Roman" w:hAnsi="Times New Roman" w:cs="Times New Roman"/>
          <w:szCs w:val="24"/>
        </w:rPr>
        <w:t> </w:t>
      </w:r>
      <w:r w:rsidRPr="001153B5">
        <w:rPr>
          <w:rFonts w:ascii="Times New Roman" w:hAnsi="Times New Roman" w:cs="Times New Roman"/>
          <w:szCs w:val="24"/>
        </w:rPr>
        <w:t xml:space="preserve">przeprowadzonym badaniu technicznym pojazdu; zasadne jest, aby kwestie te były uregulowane w art. 82 ust. 2 Prawa o ruchu drogowym, a nie tylko w przepisach wykonawczych w sprawie zakresu i sposobu przeprowadzania badań technicznych pojazdów oraz wzorów dokumentów stosowanych przy tych badaniach; </w:t>
      </w:r>
      <w:r w:rsidRPr="001153B5">
        <w:rPr>
          <w:rFonts w:ascii="Times New Roman" w:hAnsi="Times New Roman" w:cs="Times New Roman"/>
          <w:szCs w:val="24"/>
        </w:rPr>
        <w:lastRenderedPageBreak/>
        <w:t>uwzględniając te zmiany</w:t>
      </w:r>
      <w:r w:rsidR="002A1F0F">
        <w:rPr>
          <w:rFonts w:ascii="Times New Roman" w:hAnsi="Times New Roman" w:cs="Times New Roman"/>
          <w:szCs w:val="24"/>
        </w:rPr>
        <w:t>,</w:t>
      </w:r>
      <w:r w:rsidRPr="001153B5">
        <w:rPr>
          <w:rFonts w:ascii="Times New Roman" w:hAnsi="Times New Roman" w:cs="Times New Roman"/>
          <w:szCs w:val="24"/>
        </w:rPr>
        <w:t xml:space="preserve"> w art. 78 ust. 1 Prawa o ruchu drogowym wskazano, że w przypadku przeniesienia własności pojazdu dotychczasowy właściciel jest obowiązany przekazać nowemu właścicielowi zaświadczenie o przeprowadzonym badaniu technicznym, jeżeli w dowodzie rejestracyjnym nie jest określony aktualny termin ważności badania technicznego; wobec powiązania procesów dotyczących rejestracji pojazdu z centralną ewidencją pojazdów i posiadanego dostępu organów rejestrujących do tej ewidencji, w</w:t>
      </w:r>
      <w:r w:rsidR="00AE3876">
        <w:rPr>
          <w:rFonts w:ascii="Times New Roman" w:hAnsi="Times New Roman" w:cs="Times New Roman"/>
          <w:szCs w:val="24"/>
        </w:rPr>
        <w:t> </w:t>
      </w:r>
      <w:r w:rsidRPr="001153B5">
        <w:rPr>
          <w:rFonts w:ascii="Times New Roman" w:hAnsi="Times New Roman" w:cs="Times New Roman"/>
          <w:szCs w:val="24"/>
        </w:rPr>
        <w:t>przypadku utraty tych dokumentów nie będzie wymagane wydanie zaświadczenia potwierdzającego dane zawarte w utraconym dokumencie; wydanie takiego zaświadczenia przez organ rejestrujący pozostawiono tylko w sytuacji utraty dowodu rejestracyjnego pojazdu wywiezionego z kraju, uprzednio zarejestrowanego na terytorium Rzeczypospolitej Polskiej, na wniosek właściciela pojazdu; dokument taki może być przydatny właścicielowi pojazdu w obrocie tego pojazdu za granicą; w</w:t>
      </w:r>
      <w:r w:rsidR="00AE3876">
        <w:rPr>
          <w:rFonts w:ascii="Times New Roman" w:hAnsi="Times New Roman" w:cs="Times New Roman"/>
          <w:szCs w:val="24"/>
        </w:rPr>
        <w:t> </w:t>
      </w:r>
      <w:r w:rsidRPr="001153B5">
        <w:rPr>
          <w:rFonts w:ascii="Times New Roman" w:hAnsi="Times New Roman" w:cs="Times New Roman"/>
          <w:szCs w:val="24"/>
        </w:rPr>
        <w:t>przypadku wniosku, o którym mowa w ust. 2, 4, 5 i 8 ww. art. 74a, organ rejestrujący wydaje, jeżeli właściciel pojazdu albo podmiot, o którym mowa w art. 73 ust. 2 i 5 Prawa o ruchu drogowym, o to wnioskują, pozwolenie czasowe oraz zalegalizowane tablice (tablicę) rejestracyjne w dniu złożenia tego wniosku; pozwolenie czasowe oraz zalegalizowane tablice (tablic</w:t>
      </w:r>
      <w:r w:rsidR="002A1F0F">
        <w:rPr>
          <w:rFonts w:ascii="Times New Roman" w:hAnsi="Times New Roman" w:cs="Times New Roman"/>
          <w:szCs w:val="24"/>
        </w:rPr>
        <w:t>a</w:t>
      </w:r>
      <w:r w:rsidRPr="001153B5">
        <w:rPr>
          <w:rFonts w:ascii="Times New Roman" w:hAnsi="Times New Roman" w:cs="Times New Roman"/>
          <w:szCs w:val="24"/>
        </w:rPr>
        <w:t xml:space="preserve">) rejestracyjne są ważne w takim przypadku do czasu wydania nowego dowodu rejestracyjnego albo jego wtórnika oraz nowych tablic (tablicy) rejestracyjnych albo ich wtórnika; w przypadku utraty dowodu rejestracyjnego, pozwolenia czasowego albo tablic rejestracyjnych w zaproponowanym art. 74a uwarunkowano złożenie wniosku o wydanie ich wtórnika również złożeniem oświadczenia przez właściciela pojazdu albo posiadacza pojazdu, o którym mowa </w:t>
      </w:r>
      <w:r w:rsidR="00AE3876">
        <w:rPr>
          <w:rFonts w:ascii="Times New Roman" w:hAnsi="Times New Roman" w:cs="Times New Roman"/>
          <w:szCs w:val="24"/>
        </w:rPr>
        <w:br/>
      </w:r>
      <w:r w:rsidRPr="001153B5">
        <w:rPr>
          <w:rFonts w:ascii="Times New Roman" w:hAnsi="Times New Roman" w:cs="Times New Roman"/>
          <w:szCs w:val="24"/>
        </w:rPr>
        <w:t>w art. 73 ust. 2 i 5 Prawa o ruchu drogowym; oświadczenie to właściciel pojazdu albo posiadacz pojazdu będą składać pod rygorem odpowiedzialności karnej za składanie fałszywych oświadczeń; składający oświadczenie będzie też obowiązany do zawarcia w</w:t>
      </w:r>
      <w:r w:rsidR="00AE3876">
        <w:rPr>
          <w:rFonts w:ascii="Times New Roman" w:hAnsi="Times New Roman" w:cs="Times New Roman"/>
          <w:szCs w:val="24"/>
        </w:rPr>
        <w:t> </w:t>
      </w:r>
      <w:r w:rsidRPr="001153B5">
        <w:rPr>
          <w:rFonts w:ascii="Times New Roman" w:hAnsi="Times New Roman" w:cs="Times New Roman"/>
          <w:szCs w:val="24"/>
        </w:rPr>
        <w:t>nim klauzuli, że jest świadomy odpowiedzialności karnej za złożenie fałszywego oświadczenia; klauzula ta zastąpi pouczenie organu o odpowiedzialności karnej za składanie fałszywych oświadczeń;</w:t>
      </w:r>
    </w:p>
    <w:p w14:paraId="21F38B98" w14:textId="42F4A6A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4) określenie przepisu ustawowego dla wydawania tablicy dodatkowej, a także jej wtórnika, do oznaczenia bagażnika zakrywającego tylną tablicę rejestracyjną pojazdu samochodowego, jeżeli pojazd samochodowy posiada tablice rejestracyjne zgodne z</w:t>
      </w:r>
      <w:r w:rsidR="00AE3876">
        <w:rPr>
          <w:rFonts w:ascii="Times New Roman" w:hAnsi="Times New Roman" w:cs="Times New Roman"/>
          <w:szCs w:val="24"/>
        </w:rPr>
        <w:t> </w:t>
      </w:r>
      <w:r w:rsidRPr="001153B5">
        <w:rPr>
          <w:rFonts w:ascii="Times New Roman" w:hAnsi="Times New Roman" w:cs="Times New Roman"/>
          <w:szCs w:val="24"/>
        </w:rPr>
        <w:t xml:space="preserve">przepisami wydanymi na podstawie art. 76 ust. 1 pkt 1 lit. a Prawa o ruchu drogowym (zaproponowany w projekcie nowy ust. 1b w art. 73 oraz ust. 12 i 13 w art. 74a Prawa </w:t>
      </w:r>
      <w:r w:rsidRPr="001153B5">
        <w:rPr>
          <w:rFonts w:ascii="Times New Roman" w:hAnsi="Times New Roman" w:cs="Times New Roman"/>
          <w:szCs w:val="24"/>
        </w:rPr>
        <w:lastRenderedPageBreak/>
        <w:t>o</w:t>
      </w:r>
      <w:r w:rsidR="00AE3876">
        <w:rPr>
          <w:rFonts w:ascii="Times New Roman" w:hAnsi="Times New Roman" w:cs="Times New Roman"/>
          <w:szCs w:val="24"/>
        </w:rPr>
        <w:t> </w:t>
      </w:r>
      <w:r w:rsidRPr="001153B5">
        <w:rPr>
          <w:rFonts w:ascii="Times New Roman" w:hAnsi="Times New Roman" w:cs="Times New Roman"/>
          <w:szCs w:val="24"/>
        </w:rPr>
        <w:t>ruchu drogowym); w przypadku gdy pojazd samochodowy nie posiada tablic rejestracyjnych zgodnych z ww. przepisami</w:t>
      </w:r>
      <w:r w:rsidR="008B2047">
        <w:rPr>
          <w:rFonts w:ascii="Times New Roman" w:hAnsi="Times New Roman" w:cs="Times New Roman"/>
          <w:szCs w:val="24"/>
        </w:rPr>
        <w:t>,</w:t>
      </w:r>
      <w:r w:rsidRPr="001153B5">
        <w:rPr>
          <w:rFonts w:ascii="Times New Roman" w:hAnsi="Times New Roman" w:cs="Times New Roman"/>
          <w:szCs w:val="24"/>
        </w:rPr>
        <w:t xml:space="preserve"> organ rejestrujący wydaje dodatkową tablicę rejestracyjną, nową decyzję o rejestracji pojazdu z kompletem zalegalizowanych tablic rejestracyjnych z nowym numerem rejestracyjnym dla pojazdu samochodowego i nowym dowodem rejestracyjnym;</w:t>
      </w:r>
    </w:p>
    <w:p w14:paraId="173F05FC" w14:textId="7777777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5) określenie przypadków odmowy rejestracji pojazdu (zaproponowany w projekcie nowy ust. 1e w art. 73 Prawa o ruchu drogowym); </w:t>
      </w:r>
    </w:p>
    <w:p w14:paraId="67D55E20" w14:textId="7777777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6) określenie struktury numeru rejestracyjnego pojazdu (zaproponowany w projekcie nowy ust. 1d w art. 73 Prawa o ruchu drogowym); </w:t>
      </w:r>
    </w:p>
    <w:p w14:paraId="7F88D9B2" w14:textId="0F46B87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7) określenie miejsca umieszczania tablic rejestracyjnych i obowiązku utrzymywania tablic w należytym stanie przez kierującego pojazdem (zaproponowana w projekcie zmiana w art. 60 Prawa o ruchu drogowym); </w:t>
      </w:r>
    </w:p>
    <w:p w14:paraId="40148D55" w14:textId="6137958E"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8) określenie przepisu ustawowego dla prowadzenia przez właściwego miejscowo dla siedziby sejmiku województwa prezydenta miasta na prawach powiatu ewidencji tablic rejestracyjnych indywidualnych oraz wyznaczania w ramach województwa dla każdego organu rejestrującego pojemności rejestracyjnych dla tablic tymczasowych oraz samochodowych jednorzędowych zmniejszonych i tymczasowych, dla pojazdu posiadającego zmniejszone wymiary miejsca konstrukcyjnie przeznaczonego do umieszczenia tablicy rejestracyjnej; zaproponowany w projekcie nowy art. 73a Prawa o</w:t>
      </w:r>
      <w:r w:rsidR="00AE3876">
        <w:rPr>
          <w:rFonts w:ascii="Times New Roman" w:hAnsi="Times New Roman" w:cs="Times New Roman"/>
          <w:szCs w:val="24"/>
        </w:rPr>
        <w:t> </w:t>
      </w:r>
      <w:r w:rsidRPr="001153B5">
        <w:rPr>
          <w:rFonts w:ascii="Times New Roman" w:hAnsi="Times New Roman" w:cs="Times New Roman"/>
          <w:szCs w:val="24"/>
        </w:rPr>
        <w:t>ruchu drogowym sankcjonuje dotychczasowy stan prawny w tym zakresie określony w</w:t>
      </w:r>
      <w:r w:rsidR="00AE3876">
        <w:rPr>
          <w:rFonts w:ascii="Times New Roman" w:hAnsi="Times New Roman" w:cs="Times New Roman"/>
          <w:szCs w:val="24"/>
        </w:rPr>
        <w:t> </w:t>
      </w:r>
      <w:r w:rsidRPr="001153B5">
        <w:rPr>
          <w:rFonts w:ascii="Times New Roman" w:hAnsi="Times New Roman" w:cs="Times New Roman"/>
          <w:szCs w:val="24"/>
        </w:rPr>
        <w:t>przepisach wydanych na podstawie art. 76 ust. 1 pkt 1 lit. a oraz c Prawa o ruchu drogowym i zapewnia kontynuację prowadzenia dotychczasowej ewidencji oraz wyznaczania w ramach województwa dla każdego organu rejestrującego pojemności rejestracyjnych dla tablic tymczasowych oraz samochodowych jednorzędowych zmniejszonych i tymczasowych przez ten sam organ, tj. przez właściwego miejscowo dla siedziby sejmiku województwa prezydenta miasta na prawach;</w:t>
      </w:r>
    </w:p>
    <w:p w14:paraId="6F7EBF88" w14:textId="7777777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9) skreślenie w art. 58 w ust. 1 Prawa o ruchu drogowym wyrazu określającego kształt tablic jako kwadratowe do oznaczania pojazdu przeznaczonego konstrukcyjnie do przewozu osób niepełnosprawnych; zaproponowany przepis nieprecyzujący kształtu tych tablic będzie przepisem uniwersalnym, niezależnym od modyfikacji w przepisach europejskich. </w:t>
      </w:r>
    </w:p>
    <w:p w14:paraId="6C86B373" w14:textId="55BBBB46"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lastRenderedPageBreak/>
        <w:t xml:space="preserve">Ponadto dla zachowania spójności między przepisami w Prawie o ruchu drogowym </w:t>
      </w:r>
      <w:r w:rsidR="00C31E0D">
        <w:rPr>
          <w:rFonts w:ascii="Times New Roman" w:hAnsi="Times New Roman" w:cs="Times New Roman"/>
          <w:szCs w:val="24"/>
        </w:rPr>
        <w:br/>
      </w:r>
      <w:r w:rsidRPr="001153B5">
        <w:rPr>
          <w:rFonts w:ascii="Times New Roman" w:hAnsi="Times New Roman" w:cs="Times New Roman"/>
          <w:szCs w:val="24"/>
        </w:rPr>
        <w:t>w odpowiednich przepisach zastosowano sformułowanie „organ rejestrujący</w:t>
      </w:r>
      <w:r w:rsidR="00066DCF">
        <w:rPr>
          <w:rFonts w:ascii="Times New Roman" w:hAnsi="Times New Roman" w:cs="Times New Roman"/>
          <w:szCs w:val="24"/>
        </w:rPr>
        <w:t>”</w:t>
      </w:r>
      <w:r w:rsidRPr="001153B5">
        <w:rPr>
          <w:rFonts w:ascii="Times New Roman" w:hAnsi="Times New Roman" w:cs="Times New Roman"/>
          <w:szCs w:val="24"/>
        </w:rPr>
        <w:t>, uwzględniając, że określone zadania może wykonywać nie tylko starosta, ale również wojewoda</w:t>
      </w:r>
      <w:r w:rsidR="008B2047">
        <w:rPr>
          <w:rFonts w:ascii="Times New Roman" w:hAnsi="Times New Roman" w:cs="Times New Roman"/>
          <w:szCs w:val="24"/>
        </w:rPr>
        <w:t>,</w:t>
      </w:r>
      <w:r w:rsidRPr="001153B5">
        <w:rPr>
          <w:rFonts w:ascii="Times New Roman" w:hAnsi="Times New Roman" w:cs="Times New Roman"/>
          <w:szCs w:val="24"/>
        </w:rPr>
        <w:t xml:space="preserve"> oraz doprecyzowano w odpowiednich przepisach odesłania do art. 73 ust. 2 i</w:t>
      </w:r>
      <w:r w:rsidR="00AC2BFE">
        <w:rPr>
          <w:rFonts w:ascii="Times New Roman" w:hAnsi="Times New Roman" w:cs="Times New Roman"/>
          <w:szCs w:val="24"/>
        </w:rPr>
        <w:t> </w:t>
      </w:r>
      <w:r w:rsidRPr="001153B5">
        <w:rPr>
          <w:rFonts w:ascii="Times New Roman" w:hAnsi="Times New Roman" w:cs="Times New Roman"/>
          <w:szCs w:val="24"/>
        </w:rPr>
        <w:t>5 Prawa o ruchu drogowym, aby doprecyzować wskazanie podmiotów, które, poza właścicielem pojazdu, mogą również składać wnioski w sprawach określonych w</w:t>
      </w:r>
      <w:r w:rsidR="00AC2BFE">
        <w:rPr>
          <w:rFonts w:ascii="Times New Roman" w:hAnsi="Times New Roman" w:cs="Times New Roman"/>
          <w:szCs w:val="24"/>
        </w:rPr>
        <w:t> </w:t>
      </w:r>
      <w:r w:rsidRPr="001153B5">
        <w:rPr>
          <w:rFonts w:ascii="Times New Roman" w:hAnsi="Times New Roman" w:cs="Times New Roman"/>
          <w:szCs w:val="24"/>
        </w:rPr>
        <w:t>poszczególnych przepisach.</w:t>
      </w:r>
    </w:p>
    <w:p w14:paraId="069F241D" w14:textId="581BB4CC"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Dla zachowania ww. spójności zastosowano również w odpowiednich przepisach wyraz „wytwórca</w:t>
      </w:r>
      <w:r w:rsidR="00066DCF">
        <w:rPr>
          <w:rFonts w:ascii="Times New Roman" w:hAnsi="Times New Roman" w:cs="Times New Roman"/>
          <w:szCs w:val="24"/>
        </w:rPr>
        <w:t>”</w:t>
      </w:r>
      <w:r w:rsidRPr="001153B5">
        <w:rPr>
          <w:rFonts w:ascii="Times New Roman" w:hAnsi="Times New Roman" w:cs="Times New Roman"/>
          <w:szCs w:val="24"/>
        </w:rPr>
        <w:t xml:space="preserve"> zamiast „producent</w:t>
      </w:r>
      <w:r w:rsidR="00066DCF">
        <w:rPr>
          <w:rFonts w:ascii="Times New Roman" w:hAnsi="Times New Roman" w:cs="Times New Roman"/>
          <w:szCs w:val="24"/>
        </w:rPr>
        <w:t>”</w:t>
      </w:r>
      <w:r w:rsidRPr="001153B5">
        <w:rPr>
          <w:rFonts w:ascii="Times New Roman" w:hAnsi="Times New Roman" w:cs="Times New Roman"/>
          <w:szCs w:val="24"/>
        </w:rPr>
        <w:t>, uwzględniając, że w kontekście wymagań o</w:t>
      </w:r>
      <w:r w:rsidR="00AC2BFE">
        <w:rPr>
          <w:rFonts w:ascii="Times New Roman" w:hAnsi="Times New Roman" w:cs="Times New Roman"/>
          <w:szCs w:val="24"/>
        </w:rPr>
        <w:t> </w:t>
      </w:r>
      <w:r w:rsidRPr="001153B5">
        <w:rPr>
          <w:rFonts w:ascii="Times New Roman" w:hAnsi="Times New Roman" w:cs="Times New Roman"/>
          <w:szCs w:val="24"/>
        </w:rPr>
        <w:t>dokumentach publicznych mówimy o wytwórcy dokumentów, a nie o producencie.</w:t>
      </w:r>
    </w:p>
    <w:p w14:paraId="22391E37" w14:textId="29BD0167" w:rsidR="00697F11" w:rsidRPr="001153B5" w:rsidRDefault="00697F11" w:rsidP="001153B5">
      <w:pPr>
        <w:pStyle w:val="USTustnpkodeksu"/>
        <w:spacing w:before="240"/>
        <w:ind w:firstLine="0"/>
        <w:rPr>
          <w:rFonts w:ascii="Times New Roman" w:hAnsi="Times New Roman" w:cs="Times New Roman"/>
          <w:szCs w:val="24"/>
        </w:rPr>
      </w:pPr>
      <w:r w:rsidRPr="001153B5">
        <w:rPr>
          <w:rFonts w:ascii="Times New Roman" w:hAnsi="Times New Roman" w:cs="Times New Roman"/>
          <w:b/>
          <w:szCs w:val="24"/>
        </w:rPr>
        <w:t xml:space="preserve">V. Pakiet </w:t>
      </w:r>
      <w:proofErr w:type="spellStart"/>
      <w:r w:rsidRPr="001153B5">
        <w:rPr>
          <w:rFonts w:ascii="Times New Roman" w:hAnsi="Times New Roman" w:cs="Times New Roman"/>
          <w:b/>
          <w:szCs w:val="24"/>
        </w:rPr>
        <w:t>deregulacyjn</w:t>
      </w:r>
      <w:r w:rsidRPr="001153B5">
        <w:rPr>
          <w:rFonts w:ascii="Times New Roman" w:hAnsi="Times New Roman" w:cs="Times New Roman"/>
          <w:szCs w:val="24"/>
        </w:rPr>
        <w:t>y</w:t>
      </w:r>
      <w:proofErr w:type="spellEnd"/>
      <w:r w:rsidRPr="001153B5">
        <w:rPr>
          <w:rFonts w:ascii="Times New Roman" w:hAnsi="Times New Roman" w:cs="Times New Roman"/>
          <w:b/>
          <w:szCs w:val="24"/>
        </w:rPr>
        <w:t xml:space="preserve"> przepisów wnioskowan</w:t>
      </w:r>
      <w:r w:rsidRPr="001153B5">
        <w:rPr>
          <w:rFonts w:ascii="Times New Roman" w:hAnsi="Times New Roman" w:cs="Times New Roman"/>
          <w:szCs w:val="24"/>
        </w:rPr>
        <w:t>y</w:t>
      </w:r>
      <w:r w:rsidRPr="001153B5">
        <w:rPr>
          <w:rFonts w:ascii="Times New Roman" w:hAnsi="Times New Roman" w:cs="Times New Roman"/>
          <w:b/>
          <w:szCs w:val="24"/>
        </w:rPr>
        <w:t xml:space="preserve"> przez Ministra Cyfryzacji w</w:t>
      </w:r>
      <w:r w:rsidR="00887E37">
        <w:rPr>
          <w:rFonts w:ascii="Times New Roman" w:hAnsi="Times New Roman" w:cs="Times New Roman"/>
          <w:b/>
          <w:szCs w:val="24"/>
        </w:rPr>
        <w:t> </w:t>
      </w:r>
      <w:r w:rsidRPr="001153B5">
        <w:rPr>
          <w:rFonts w:ascii="Times New Roman" w:hAnsi="Times New Roman" w:cs="Times New Roman"/>
          <w:b/>
          <w:szCs w:val="24"/>
        </w:rPr>
        <w:t xml:space="preserve">zakresie: </w:t>
      </w:r>
    </w:p>
    <w:p w14:paraId="0448E7DF" w14:textId="39F3DE69"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b/>
          <w:szCs w:val="24"/>
        </w:rPr>
        <w:t xml:space="preserve">1) zwolnienia z obowiązku posiadania przy sobie i okazywania na żądanie uprawnionego organu kontroli ruchu drogowego dokumentu prawa jazdy </w:t>
      </w:r>
    </w:p>
    <w:p w14:paraId="7BF3F8DA" w14:textId="5BA835FD"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W Prawie o ruchu drogowym wprowadza się zmiany, które umożliwią osobom posiadającym nadane w Rzeczypospolitej Polskiej uprawnienia do kierowania pojazdami stwierdzone wydanym w kraju prawem jazdy lub pozwoleniem na kierowanie tramwajem poruszanie się po drogach bez konieczności posiadania przy sobie i okazywania na żądanie uprawnionego organu kontroli ruchu drogowego tych dokumentów. </w:t>
      </w:r>
    </w:p>
    <w:p w14:paraId="599EAECB" w14:textId="18DBBC3A"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Zmiana ta stanowi kolejne ułatwienie dla obywateli, obok wprowadzonej ustawą z dnia 9 maja 2018 r. o zmianie ustawy – Prawo o ruchu drogowym oraz niektórych innych ustaw (Dz. U. poz. 957, z </w:t>
      </w:r>
      <w:proofErr w:type="spellStart"/>
      <w:r w:rsidRPr="001153B5">
        <w:rPr>
          <w:rFonts w:ascii="Times New Roman" w:hAnsi="Times New Roman" w:cs="Times New Roman"/>
          <w:szCs w:val="24"/>
        </w:rPr>
        <w:t>późn</w:t>
      </w:r>
      <w:proofErr w:type="spellEnd"/>
      <w:r w:rsidRPr="001153B5">
        <w:rPr>
          <w:rFonts w:ascii="Times New Roman" w:hAnsi="Times New Roman" w:cs="Times New Roman"/>
          <w:szCs w:val="24"/>
        </w:rPr>
        <w:t xml:space="preserve">. zm.) możliwości nieposiadania przy sobie dowodu rejestracyjnego (pozwolenia czasowego). </w:t>
      </w:r>
    </w:p>
    <w:p w14:paraId="37A4754B" w14:textId="1231279B"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Wprowadzenie powyższej zmiany jest możliwe dzięki gromadzeniu informacji o</w:t>
      </w:r>
      <w:r w:rsidR="00E23118">
        <w:rPr>
          <w:rFonts w:ascii="Times New Roman" w:hAnsi="Times New Roman" w:cs="Times New Roman"/>
          <w:szCs w:val="24"/>
        </w:rPr>
        <w:t> </w:t>
      </w:r>
      <w:r w:rsidRPr="001153B5">
        <w:rPr>
          <w:rFonts w:ascii="Times New Roman" w:hAnsi="Times New Roman" w:cs="Times New Roman"/>
          <w:szCs w:val="24"/>
        </w:rPr>
        <w:t xml:space="preserve">nadanych uprawnieniach: wydanym w kraju prawie jazdy i pozwoleniu na kierowanie tramwajem, w centralnej ewidencji kierowców oraz dostępem do tej ewidencji dla organów kontroli ruchu drogowego oraz organów właściwych do wydawania dokumentów stwierdzających te uprawnienia. </w:t>
      </w:r>
    </w:p>
    <w:p w14:paraId="3B348607" w14:textId="7777777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W ramach systemu informatycznego obsługującego centralną ewidencję kierowców są jednocześnie dostępne rozwiązania techniczne umożliwiające organom kontroli ruchu </w:t>
      </w:r>
      <w:r w:rsidRPr="001153B5">
        <w:rPr>
          <w:rFonts w:ascii="Times New Roman" w:hAnsi="Times New Roman" w:cs="Times New Roman"/>
          <w:szCs w:val="24"/>
        </w:rPr>
        <w:lastRenderedPageBreak/>
        <w:t xml:space="preserve">drogowego, posiadającym własne systemy zintegrowane z systemem centralnej ewidencji kierowców, synchroniczne zasilanie centralnej ewidencji kierowców danymi, a także dostęp do danych z tej ewidencji. </w:t>
      </w:r>
    </w:p>
    <w:p w14:paraId="690694D4" w14:textId="0EAA65E6"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Podmiotom, które nie posiadają własnych systemów, np. strażom gminnym (miejskim), w ramach projektowanych zmian zostaną udostępnione rozwiązania zapewniające synchroniczny dostęp do danych z centralnej ewidencji kierowców. Dodatkowo przygotowane zostaną rozwiązania umożliwiające zasilanie centralnej ewidencji kierowców przez organy wydające krajowe prawa jazdy i pozwolenia na kierowanie tramwajem w sposób synchroniczny – danymi w zakresie aktualnego stanu dokumentu i</w:t>
      </w:r>
      <w:r w:rsidR="00E23118">
        <w:rPr>
          <w:rFonts w:ascii="Times New Roman" w:hAnsi="Times New Roman" w:cs="Times New Roman"/>
          <w:szCs w:val="24"/>
        </w:rPr>
        <w:t> </w:t>
      </w:r>
      <w:r w:rsidRPr="001153B5">
        <w:rPr>
          <w:rFonts w:ascii="Times New Roman" w:hAnsi="Times New Roman" w:cs="Times New Roman"/>
          <w:szCs w:val="24"/>
        </w:rPr>
        <w:t xml:space="preserve">uprawnienia. Organom tym udostępnione zostaną również interfejsy zapewniające dostęp do danych z centralnej ewidencji kierowców. </w:t>
      </w:r>
    </w:p>
    <w:p w14:paraId="3C88847F" w14:textId="7777777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Jednocześnie, w celu zapewnienia ustalenia tożsamości kierującego, organom kontroli ruchu drogowego będą udostępniane dane z Rejestru Dowodów Osobistych. Ustalenie tożsamości będzie możliwe na podstawie tych danych m.in. w zakresie wizerunku twarzy – fotografii gromadzonej w tym rejestrze. Podmioty, które nie posiadają własnych systemów, będą mogły otrzymywać informacje z Rejestru Dowodów Osobistych za pomocą gotowych rozwiązań udostępnianych przez ministra właściwego do spraw informatyzacji. </w:t>
      </w:r>
    </w:p>
    <w:p w14:paraId="5C4FE329" w14:textId="508D9FF6"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Projektowana regulacja, przy jednoczesnym wdrożeniu ww. rozwiązań teleinformatycznych, pozwoli wyeliminować istniejący obecnie obowiązek posiadania przy sobie i okazywania na żądanie organu kontroli ruchu drogowego wydanego w kraju prawa jazdy lub pozwolenia na </w:t>
      </w:r>
      <w:r w:rsidR="00685102">
        <w:rPr>
          <w:rFonts w:ascii="Times New Roman" w:hAnsi="Times New Roman" w:cs="Times New Roman"/>
          <w:szCs w:val="24"/>
        </w:rPr>
        <w:t xml:space="preserve">kierowanie </w:t>
      </w:r>
      <w:r w:rsidRPr="001153B5">
        <w:rPr>
          <w:rFonts w:ascii="Times New Roman" w:hAnsi="Times New Roman" w:cs="Times New Roman"/>
          <w:szCs w:val="24"/>
        </w:rPr>
        <w:t>tramwajem, a w konsekwencji wykluczy karanie kierujących mandatem za nieposiadanie w trakcie jazdy przy sobie tych dokumentów. Zwolnienie z ww. obowiązku obejmuje wyłącznie kierowców, którzy posiadają wydane w kraju prawo jazdy lub pozwolenie na kierowanie tramwajem, i</w:t>
      </w:r>
      <w:r w:rsidR="00960357">
        <w:rPr>
          <w:rFonts w:ascii="Times New Roman" w:hAnsi="Times New Roman" w:cs="Times New Roman"/>
          <w:szCs w:val="24"/>
        </w:rPr>
        <w:t> </w:t>
      </w:r>
      <w:r w:rsidRPr="001153B5">
        <w:rPr>
          <w:rFonts w:ascii="Times New Roman" w:hAnsi="Times New Roman" w:cs="Times New Roman"/>
          <w:szCs w:val="24"/>
        </w:rPr>
        <w:t>dotyczy wyłącznie kontroli ruchu drogowego. Oznacza to, że prawo jazdy lub pozwolenie na kierowanie tramwajem, zgodnie z obowiązującymi przepisami ustawy z</w:t>
      </w:r>
      <w:r w:rsidR="00960357">
        <w:rPr>
          <w:rFonts w:ascii="Times New Roman" w:hAnsi="Times New Roman" w:cs="Times New Roman"/>
          <w:szCs w:val="24"/>
        </w:rPr>
        <w:t> </w:t>
      </w:r>
      <w:r w:rsidRPr="001153B5">
        <w:rPr>
          <w:rFonts w:ascii="Times New Roman" w:hAnsi="Times New Roman" w:cs="Times New Roman"/>
          <w:szCs w:val="24"/>
        </w:rPr>
        <w:t xml:space="preserve">dnia 5 stycznia 2011 r. o kierujących pojazdami (Dz. U. z 2019 r. poz. 341, z </w:t>
      </w:r>
      <w:proofErr w:type="spellStart"/>
      <w:r w:rsidRPr="001153B5">
        <w:rPr>
          <w:rFonts w:ascii="Times New Roman" w:hAnsi="Times New Roman" w:cs="Times New Roman"/>
          <w:szCs w:val="24"/>
        </w:rPr>
        <w:t>późn</w:t>
      </w:r>
      <w:proofErr w:type="spellEnd"/>
      <w:r w:rsidRPr="001153B5">
        <w:rPr>
          <w:rFonts w:ascii="Times New Roman" w:hAnsi="Times New Roman" w:cs="Times New Roman"/>
          <w:szCs w:val="24"/>
        </w:rPr>
        <w:t xml:space="preserve">. zm.), pozostają dokumentami, których posiadanie jest wymagane i które stwierdzają uprawnienia do kierowania pojazdami. Osoba, której prawo jazdy nie zostało wydane przez organ właściwy do wydania prawa jazdy, będzie traktowana jak dotychczas, tj. jak osoba bez uprawnień do kierowania pojazdami. </w:t>
      </w:r>
    </w:p>
    <w:p w14:paraId="7FCA92BA" w14:textId="7777777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lastRenderedPageBreak/>
        <w:t xml:space="preserve">Zwolnienie z obowiązku posiadania przy sobie i okazywania wydanego w kraju prawa jazdy lub pozwolenia na kierowanie tramwajem podczas kontroli drogowej wymaga odpowiedniego dostosowania przepisów dotyczących zatrzymywania prawa jazdy i jego zwrotu, z uwzględnieniem procedury dotyczącej wydanego w kraju prawa jazdy i prawa jazdy wydanego przez państwo inne niż Rzeczpospolita Polska. </w:t>
      </w:r>
    </w:p>
    <w:p w14:paraId="196BECEC" w14:textId="33D1E9D9"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Zatrzymanie wydanego w kraju prawa jazdy lub pozwolenia na kierowanie tramwajem będzie następowało w przypadku wystąpienia określonych przesłanek do zatrzymania i</w:t>
      </w:r>
      <w:r w:rsidR="000870CA">
        <w:rPr>
          <w:rFonts w:ascii="Times New Roman" w:hAnsi="Times New Roman" w:cs="Times New Roman"/>
          <w:szCs w:val="24"/>
        </w:rPr>
        <w:t> </w:t>
      </w:r>
      <w:r w:rsidRPr="001153B5">
        <w:rPr>
          <w:rFonts w:ascii="Times New Roman" w:hAnsi="Times New Roman" w:cs="Times New Roman"/>
          <w:szCs w:val="24"/>
        </w:rPr>
        <w:t>będzie polegało na wprowadzeniu przez uprawniony organ kontroli ruchu drogowego informacji o zatrzymaniu do centralnej ewidencji kierowców. Kierujący, jak dotychczas, otrzyma pokwitowanie, które obowiązany będzie posiadać przy sobie w okresie jego ważności, o ile organ zezwolił na dalszą jazdę. Informacja o zatrzymaniu będzie przekazywana przez organ kontrolny do organu właściwego do rozpatrzenia sprawy. Jednocześnie, wobec faktu zniesienia konieczności posiadania podczas kontroli prawa jazdy, zakłada się wprowadzenie ogólnodostępnej usługi umożliwiającej sprawdzenie danych z dokumentu prawa jazdy oraz jego aktualnego statusu, w tym informacji, czy dokument został zatrzymany.</w:t>
      </w:r>
    </w:p>
    <w:p w14:paraId="5C6CDD3E" w14:textId="77777777"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Procedura związana z zatrzymaniem prawa jazdy wydanego przez państwo inne niż Rzeczpospolita Polska zostanie utrzymana na dotychczasowych zasadach. Dokument taki zostanie zatrzymany fizycznie. </w:t>
      </w:r>
    </w:p>
    <w:p w14:paraId="5770869D" w14:textId="5F2C0E90"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Projekt ustawy obejmuje w szczególności następujące zmiany</w:t>
      </w:r>
      <w:r w:rsidR="003E1F8F">
        <w:rPr>
          <w:rFonts w:ascii="Times New Roman" w:hAnsi="Times New Roman" w:cs="Times New Roman"/>
          <w:szCs w:val="24"/>
        </w:rPr>
        <w:t>:</w:t>
      </w:r>
    </w:p>
    <w:p w14:paraId="12E90EE1" w14:textId="40DCEED9" w:rsidR="00697F11" w:rsidRPr="001153B5" w:rsidRDefault="00697F11" w:rsidP="001153B5">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 xml:space="preserve">Zmiana art. 38 ma na celu wyłączenie wydanego w kraju prawa jazdy lub pozwolenia na kierowanie tramwajem z katalogu dokumentów, których okazanie i posiadanie przy sobie jest wymagane podczas kontroli drogowej. Jednocześnie obowiązek posiadania przy sobie prawa jazdy utrzymuje się dla osób, które nabyły uprawnienia poza Rzecząpospolitą Polską. W ust. 1 pkt 1 doprecyzowano, że wymaganym dokumentem jest dokument stwierdzający uprawnienie do kierowania inny niż wydane w kraju prawo jazdy. W dodawanym pkt 4b w ust. 1 wskazano na konieczność posiadania przy sobie pokwitowania zatrzymania: </w:t>
      </w:r>
    </w:p>
    <w:p w14:paraId="11EC790D" w14:textId="08273236" w:rsidR="00697F11" w:rsidRPr="001153B5" w:rsidRDefault="00697F11" w:rsidP="001153B5">
      <w:pPr>
        <w:pStyle w:val="USTustnpkodeksu"/>
        <w:tabs>
          <w:tab w:val="left" w:pos="426"/>
        </w:tabs>
        <w:ind w:firstLine="0"/>
        <w:rPr>
          <w:rFonts w:ascii="Times New Roman" w:hAnsi="Times New Roman" w:cs="Times New Roman"/>
          <w:szCs w:val="24"/>
        </w:rPr>
      </w:pPr>
      <w:r w:rsidRPr="001153B5">
        <w:rPr>
          <w:rFonts w:ascii="Times New Roman" w:hAnsi="Times New Roman" w:cs="Times New Roman"/>
          <w:szCs w:val="24"/>
        </w:rPr>
        <w:t>1)</w:t>
      </w:r>
      <w:r w:rsidR="00066DCF">
        <w:rPr>
          <w:rFonts w:ascii="Times New Roman" w:hAnsi="Times New Roman" w:cs="Times New Roman"/>
          <w:szCs w:val="24"/>
        </w:rPr>
        <w:tab/>
      </w:r>
      <w:r w:rsidRPr="001153B5">
        <w:rPr>
          <w:rFonts w:ascii="Times New Roman" w:hAnsi="Times New Roman" w:cs="Times New Roman"/>
          <w:szCs w:val="24"/>
        </w:rPr>
        <w:t xml:space="preserve">prawa jazdy albo pozwolenia na kierowanie tramwajem, </w:t>
      </w:r>
    </w:p>
    <w:p w14:paraId="37EC9AC0" w14:textId="61DB7B5A" w:rsidR="00697F11" w:rsidRPr="001153B5" w:rsidRDefault="00697F11" w:rsidP="001153B5">
      <w:pPr>
        <w:pStyle w:val="USTustnpkodeksu"/>
        <w:tabs>
          <w:tab w:val="left" w:pos="426"/>
        </w:tabs>
        <w:ind w:firstLine="0"/>
        <w:rPr>
          <w:rFonts w:ascii="Times New Roman" w:hAnsi="Times New Roman" w:cs="Times New Roman"/>
          <w:szCs w:val="24"/>
        </w:rPr>
      </w:pPr>
      <w:r w:rsidRPr="001153B5">
        <w:rPr>
          <w:rFonts w:ascii="Times New Roman" w:hAnsi="Times New Roman" w:cs="Times New Roman"/>
          <w:szCs w:val="24"/>
        </w:rPr>
        <w:t>2)</w:t>
      </w:r>
      <w:r w:rsidR="00066DCF">
        <w:rPr>
          <w:rFonts w:ascii="Times New Roman" w:hAnsi="Times New Roman" w:cs="Times New Roman"/>
          <w:szCs w:val="24"/>
        </w:rPr>
        <w:tab/>
      </w:r>
      <w:r w:rsidRPr="001153B5">
        <w:rPr>
          <w:rFonts w:ascii="Times New Roman" w:hAnsi="Times New Roman" w:cs="Times New Roman"/>
          <w:szCs w:val="24"/>
        </w:rPr>
        <w:t xml:space="preserve">dowodu rejestracyjnego albo pozwolenia czasowego, </w:t>
      </w:r>
    </w:p>
    <w:p w14:paraId="0AF985FB" w14:textId="356BF817" w:rsidR="00697F11" w:rsidRPr="001153B5" w:rsidRDefault="00697F11" w:rsidP="001153B5">
      <w:pPr>
        <w:pStyle w:val="USTustnpkodeksu"/>
        <w:tabs>
          <w:tab w:val="left" w:pos="426"/>
        </w:tabs>
        <w:ind w:firstLine="0"/>
        <w:rPr>
          <w:rFonts w:ascii="Times New Roman" w:hAnsi="Times New Roman" w:cs="Times New Roman"/>
          <w:szCs w:val="24"/>
        </w:rPr>
      </w:pPr>
      <w:r w:rsidRPr="001153B5">
        <w:rPr>
          <w:rFonts w:ascii="Times New Roman" w:hAnsi="Times New Roman" w:cs="Times New Roman"/>
          <w:szCs w:val="24"/>
        </w:rPr>
        <w:t>3)</w:t>
      </w:r>
      <w:r w:rsidR="00066DCF">
        <w:rPr>
          <w:rFonts w:ascii="Times New Roman" w:hAnsi="Times New Roman" w:cs="Times New Roman"/>
          <w:szCs w:val="24"/>
        </w:rPr>
        <w:tab/>
      </w:r>
      <w:r w:rsidRPr="001153B5">
        <w:rPr>
          <w:rFonts w:ascii="Times New Roman" w:hAnsi="Times New Roman" w:cs="Times New Roman"/>
          <w:szCs w:val="24"/>
        </w:rPr>
        <w:t xml:space="preserve">profesjonalnego dowodu rejestracyjnego </w:t>
      </w:r>
    </w:p>
    <w:p w14:paraId="21959393" w14:textId="38379A7B" w:rsidR="00697F11" w:rsidRPr="001153B5" w:rsidRDefault="002C34E7" w:rsidP="001153B5">
      <w:pPr>
        <w:pStyle w:val="USTustnpkodeksu"/>
        <w:ind w:firstLine="0"/>
        <w:rPr>
          <w:rFonts w:ascii="Times New Roman" w:hAnsi="Times New Roman" w:cs="Times New Roman"/>
          <w:szCs w:val="24"/>
        </w:rPr>
      </w:pPr>
      <w:r>
        <w:rPr>
          <w:rFonts w:ascii="Times New Roman" w:hAnsi="Times New Roman" w:cs="Times New Roman"/>
          <w:szCs w:val="24"/>
        </w:rPr>
        <w:t>–</w:t>
      </w:r>
      <w:r w:rsidR="00697F11" w:rsidRPr="001153B5">
        <w:rPr>
          <w:rFonts w:ascii="Times New Roman" w:hAnsi="Times New Roman" w:cs="Times New Roman"/>
          <w:szCs w:val="24"/>
        </w:rPr>
        <w:t xml:space="preserve"> jeżeli nastąpiło zatrzymanie tych dokumentów. </w:t>
      </w:r>
    </w:p>
    <w:p w14:paraId="024B3A62" w14:textId="641A4674" w:rsidR="00697F11" w:rsidRPr="001153B5" w:rsidRDefault="00697F11" w:rsidP="004B60CA">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lastRenderedPageBreak/>
        <w:t>Zmiana w przypadku dowodów rejestracyjnych i pozwoleń czasowych ma charakter uzupełniający obowiązujące przepisy i pozwala organowi kontroli ruchu drogowego sprawdzić, czy zatrzymując dokument</w:t>
      </w:r>
      <w:r w:rsidR="004F29FC">
        <w:rPr>
          <w:rFonts w:ascii="Times New Roman" w:hAnsi="Times New Roman" w:cs="Times New Roman"/>
          <w:szCs w:val="24"/>
        </w:rPr>
        <w:t>,</w:t>
      </w:r>
      <w:r w:rsidRPr="001153B5">
        <w:rPr>
          <w:rFonts w:ascii="Times New Roman" w:hAnsi="Times New Roman" w:cs="Times New Roman"/>
          <w:szCs w:val="24"/>
        </w:rPr>
        <w:t xml:space="preserve"> zezwolono na dalszą jazdę i do jakiego terminu można użytkować pojazd. Analogiczna regulacja odnosi się do obowiązku okazania pokwitowania zatrzymanego prawa jazdy. </w:t>
      </w:r>
    </w:p>
    <w:p w14:paraId="1B0B7C20" w14:textId="13137786" w:rsidR="00697F11" w:rsidRPr="001153B5" w:rsidRDefault="00697F11" w:rsidP="004B60CA">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Dodatkowo w art. 38 dodano ust. 2c oraz w art. 132 ust. 1aa, 1c i 5a, w celu zapewnienia organom kontroli ruchu drogowego możliwości skutecznego wykonywania kontroli ruchu drogowego wobec pojazdów, o których mowa w art. 73 ust. 3. Wprowadzone przepisy wyłączają kierujących pojazdami zarejestrowanymi w trybie art. 73 ust. 3 z</w:t>
      </w:r>
      <w:r w:rsidR="000870CA">
        <w:rPr>
          <w:rFonts w:ascii="Times New Roman" w:hAnsi="Times New Roman" w:cs="Times New Roman"/>
          <w:szCs w:val="24"/>
        </w:rPr>
        <w:t> </w:t>
      </w:r>
      <w:r w:rsidRPr="001153B5">
        <w:rPr>
          <w:rFonts w:ascii="Times New Roman" w:hAnsi="Times New Roman" w:cs="Times New Roman"/>
          <w:szCs w:val="24"/>
        </w:rPr>
        <w:t xml:space="preserve">braku obowiązku posiadania przy sobie dowodu rejestracyjnego albo pozwolenia czasowego. Z uwagi na brak technicznej możliwości sprawdzenia przez funkcjonariuszy i jednostki realizujące kontrolę ruchu drogowego danych online oraz przekazania online do centralnej ewidencji pojazdów informacji o zatrzymaniu dokumentu pojazdu zarejestrowanego w trybie art. 73 ust. 3 oraz o badaniu technicznym takiego pojazdu przez stację kontroli pojazdów wskazano w projektowanych zmianach konieczność posiadania przez kierujących tymi pojazdami przy sobie dowodu rejestracyjnego (pozwolenia czasowego) oraz dokumentu dopuszczającego ten pojazd do ruchu. Pojazdy rejestrowane w trybie art. 73 ust. 3 są pojazdami jawnymi, a nie operacyjnymi, stąd też przedmiotowe wyłączenie nie spowoduje przypadkowego ujawnienia pojazdów operacyjnych. </w:t>
      </w:r>
    </w:p>
    <w:p w14:paraId="22A585C9" w14:textId="50A57F7A" w:rsidR="00697F11" w:rsidRPr="001153B5" w:rsidRDefault="00697F11" w:rsidP="004B60CA">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Zmiana w art. 129 w zakresie dodawanego w ust. 2 pkt 1a ma na celu zapewnić Policji oraz organom kontroli ruchu drogowego posiadającym, na podstawie przepisów Prawa o</w:t>
      </w:r>
      <w:r w:rsidR="000870CA">
        <w:rPr>
          <w:rFonts w:ascii="Times New Roman" w:hAnsi="Times New Roman" w:cs="Times New Roman"/>
          <w:szCs w:val="24"/>
        </w:rPr>
        <w:t> </w:t>
      </w:r>
      <w:r w:rsidRPr="001153B5">
        <w:rPr>
          <w:rFonts w:ascii="Times New Roman" w:hAnsi="Times New Roman" w:cs="Times New Roman"/>
          <w:szCs w:val="24"/>
        </w:rPr>
        <w:t>ruchu drogowym, kompetencje takie jak Policja</w:t>
      </w:r>
      <w:r w:rsidR="004F29FC">
        <w:rPr>
          <w:rFonts w:ascii="Times New Roman" w:hAnsi="Times New Roman" w:cs="Times New Roman"/>
          <w:szCs w:val="24"/>
        </w:rPr>
        <w:t>,</w:t>
      </w:r>
      <w:r w:rsidRPr="001153B5">
        <w:rPr>
          <w:rFonts w:ascii="Times New Roman" w:hAnsi="Times New Roman" w:cs="Times New Roman"/>
          <w:szCs w:val="24"/>
        </w:rPr>
        <w:t xml:space="preserve"> określone w art. 129 ust. 2, możliwość ustalenia tożsamości kierującego na postawie danych z Rejestru Dowodów Osobistych – w szczególności intencją projektodawcy jest zapewnienie możliwości weryfikowania tożsamości na podstawie fotografii. </w:t>
      </w:r>
    </w:p>
    <w:p w14:paraId="430A364D" w14:textId="77777777" w:rsidR="00697F11" w:rsidRPr="001153B5" w:rsidRDefault="00697F11" w:rsidP="004B60CA">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Wprowadzany w art. 129 w ust. 2 pkt 2</w:t>
      </w:r>
      <w:r w:rsidRPr="001153B5">
        <w:rPr>
          <w:rStyle w:val="IGindeksgrny"/>
          <w:rFonts w:ascii="Times New Roman" w:hAnsi="Times New Roman" w:cs="Times New Roman"/>
          <w:szCs w:val="24"/>
        </w:rPr>
        <w:t>2</w:t>
      </w:r>
      <w:r w:rsidRPr="001153B5">
        <w:rPr>
          <w:rFonts w:ascii="Times New Roman" w:hAnsi="Times New Roman" w:cs="Times New Roman"/>
          <w:szCs w:val="24"/>
        </w:rPr>
        <w:t xml:space="preserve"> wyposaża Policję i organy posiadające analogiczne kompetencje w uprawnienie do weryfikacji danych w centralnej ewidencji kierowców. </w:t>
      </w:r>
    </w:p>
    <w:p w14:paraId="79D21058" w14:textId="3B411AB2" w:rsidR="00697F11" w:rsidRPr="001153B5" w:rsidRDefault="00697F11" w:rsidP="004B60CA">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W art. 129 w ust. 4aa dodaje się pkt 2</w:t>
      </w:r>
      <w:r w:rsidRPr="001153B5">
        <w:rPr>
          <w:rStyle w:val="IGindeksgrny"/>
          <w:rFonts w:ascii="Times New Roman" w:hAnsi="Times New Roman" w:cs="Times New Roman"/>
          <w:szCs w:val="24"/>
        </w:rPr>
        <w:t>2</w:t>
      </w:r>
      <w:r w:rsidRPr="001153B5">
        <w:rPr>
          <w:rFonts w:ascii="Times New Roman" w:hAnsi="Times New Roman" w:cs="Times New Roman"/>
          <w:szCs w:val="24"/>
        </w:rPr>
        <w:t>, przyznając uprawnienie do weryfikacji danych w</w:t>
      </w:r>
      <w:r w:rsidR="000870CA">
        <w:rPr>
          <w:rFonts w:ascii="Times New Roman" w:hAnsi="Times New Roman" w:cs="Times New Roman"/>
          <w:szCs w:val="24"/>
        </w:rPr>
        <w:t> </w:t>
      </w:r>
      <w:r w:rsidRPr="001153B5">
        <w:rPr>
          <w:rFonts w:ascii="Times New Roman" w:hAnsi="Times New Roman" w:cs="Times New Roman"/>
          <w:szCs w:val="24"/>
        </w:rPr>
        <w:t xml:space="preserve">centralnej ewidencji kierowców organom Inspekcji Ochrony Środowiska. W art. 129b w ust. 3 uzupełniono brzmienie pkt 2 o możliwość weryfikacji danych o </w:t>
      </w:r>
      <w:r w:rsidRPr="001153B5">
        <w:rPr>
          <w:rFonts w:ascii="Times New Roman" w:hAnsi="Times New Roman" w:cs="Times New Roman"/>
          <w:szCs w:val="24"/>
        </w:rPr>
        <w:lastRenderedPageBreak/>
        <w:t>kierującym przez strażników gminnych (miejskich) w centralnej ewidencji kierowców oraz wprowadzono pkt 8 zapewniający możliwość ustalenia tożsamości kierującego na podstawie danych z</w:t>
      </w:r>
      <w:r w:rsidR="000870CA">
        <w:rPr>
          <w:rFonts w:ascii="Times New Roman" w:hAnsi="Times New Roman" w:cs="Times New Roman"/>
          <w:szCs w:val="24"/>
        </w:rPr>
        <w:t> </w:t>
      </w:r>
      <w:r w:rsidRPr="001153B5">
        <w:rPr>
          <w:rFonts w:ascii="Times New Roman" w:hAnsi="Times New Roman" w:cs="Times New Roman"/>
          <w:szCs w:val="24"/>
        </w:rPr>
        <w:t>Rejestru Dowodów Osobistych podczas kontroli drogowej. Straże gminne (miejskie) posiadają obecnie kompetencje do legitymowania kierującego oraz sprawdzania wymaganych w art. 38 dokumentów. W związku z likwidacją obowiązku posiadania dokumentu prawa jazdy przy sobie konieczne jest zapewnienie możliwości skutecznej realizacji kontroli drogowej przez wprowadzenie ww. uprawnienia.</w:t>
      </w:r>
    </w:p>
    <w:p w14:paraId="0ACA0126" w14:textId="19CDE048" w:rsidR="00697F11" w:rsidRPr="001153B5" w:rsidRDefault="00697F11" w:rsidP="004B60CA">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W art. 130a w ust. 1 uzupełniono pkt 6, uwzględniając zmiany art. 135 i dodanie nowego art. 135a. W ust. 2 pkt 1 lit. b doprecyzowano brzmienie przepisów dotyczących usunięcia pojazdu z drogi przez dodanie przed wyrazem „dokumentów” wyrazu „wymaganych”. W aktualnym brzmieniu przepis pozwala na usunięcie pojazdu z drogi</w:t>
      </w:r>
      <w:r w:rsidR="004F29FC">
        <w:rPr>
          <w:rFonts w:ascii="Times New Roman" w:hAnsi="Times New Roman" w:cs="Times New Roman"/>
          <w:szCs w:val="24"/>
        </w:rPr>
        <w:t>,</w:t>
      </w:r>
      <w:r w:rsidRPr="001153B5">
        <w:rPr>
          <w:rFonts w:ascii="Times New Roman" w:hAnsi="Times New Roman" w:cs="Times New Roman"/>
          <w:szCs w:val="24"/>
        </w:rPr>
        <w:t xml:space="preserve"> w przypadku gdy osoba nie posiada przy sobie dokumentów uprawniających do kierowania lub używania pojazdu – a więc zarówno dowodu rejestracyjnego, jak i prawa jazdy. </w:t>
      </w:r>
    </w:p>
    <w:p w14:paraId="029AC7FB" w14:textId="559B51DB" w:rsidR="00697F11" w:rsidRPr="004B60CA" w:rsidRDefault="00697F11" w:rsidP="004B60CA">
      <w:pPr>
        <w:pStyle w:val="USTustnpkodeksu"/>
        <w:spacing w:before="120"/>
        <w:ind w:firstLine="0"/>
        <w:rPr>
          <w:rFonts w:ascii="Times New Roman" w:hAnsi="Times New Roman" w:cs="Times New Roman"/>
          <w:szCs w:val="24"/>
        </w:rPr>
      </w:pPr>
      <w:r w:rsidRPr="001153B5">
        <w:rPr>
          <w:rFonts w:ascii="Times New Roman" w:hAnsi="Times New Roman" w:cs="Times New Roman"/>
          <w:szCs w:val="24"/>
        </w:rPr>
        <w:t>Zmiana w art. 132 ma charakter uzupełniający i precyzuje przepisy o zwrocie dowodu rejestracyjnego (pozwolenia czasowego) po jego elektronicznym zatrzymaniu, wskazując</w:t>
      </w:r>
      <w:r w:rsidR="004F29FC">
        <w:rPr>
          <w:rFonts w:ascii="Times New Roman" w:hAnsi="Times New Roman" w:cs="Times New Roman"/>
          <w:szCs w:val="24"/>
        </w:rPr>
        <w:t>,</w:t>
      </w:r>
      <w:r w:rsidRPr="001153B5">
        <w:rPr>
          <w:rFonts w:ascii="Times New Roman" w:hAnsi="Times New Roman" w:cs="Times New Roman"/>
          <w:szCs w:val="24"/>
        </w:rPr>
        <w:t xml:space="preserve"> że aby organ mógł odnotować jego zwrot</w:t>
      </w:r>
      <w:r w:rsidR="004F29FC">
        <w:rPr>
          <w:rFonts w:ascii="Times New Roman" w:hAnsi="Times New Roman" w:cs="Times New Roman"/>
          <w:szCs w:val="24"/>
        </w:rPr>
        <w:t>,</w:t>
      </w:r>
      <w:r w:rsidRPr="001153B5">
        <w:rPr>
          <w:rFonts w:ascii="Times New Roman" w:hAnsi="Times New Roman" w:cs="Times New Roman"/>
          <w:szCs w:val="24"/>
        </w:rPr>
        <w:t xml:space="preserve"> konieczne jest okazanie pokwitowania.</w:t>
      </w:r>
      <w:r w:rsidRPr="004B60CA">
        <w:rPr>
          <w:rFonts w:ascii="Times New Roman" w:hAnsi="Times New Roman" w:cs="Times New Roman"/>
          <w:szCs w:val="24"/>
        </w:rPr>
        <w:t xml:space="preserve"> </w:t>
      </w:r>
    </w:p>
    <w:p w14:paraId="06F68C01" w14:textId="0D0F366E"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Dodatkowo w art. 132 dodano przepis ust. 6a umożliwiający stacjom kontroli pojazdów dokonanie elektronicznego zwrotu dowodu rejestracyjnego, w szczególności w</w:t>
      </w:r>
      <w:r w:rsidR="00931FC5">
        <w:rPr>
          <w:rFonts w:ascii="Times New Roman" w:hAnsi="Times New Roman" w:cs="Times New Roman"/>
          <w:szCs w:val="24"/>
        </w:rPr>
        <w:t> </w:t>
      </w:r>
      <w:r w:rsidRPr="004B60CA">
        <w:rPr>
          <w:rFonts w:ascii="Times New Roman" w:hAnsi="Times New Roman" w:cs="Times New Roman"/>
          <w:szCs w:val="24"/>
        </w:rPr>
        <w:t>przypadkach, gdy dowód został zatrzymany z powodu braku ważnego badania technicznego albo z przyczyn, które wymagają przeprowadzenia okresowego badania technicznego lub dodatkowego badania technicznego, po skierowaniu na to badanie przez organ kontroli ruchu drogowego. Umożliwienie zwrotu dowodu rejestracyjnego albo pozwolenia czasowego w tych przypadkach z jednej strony zaoszczędzi obywatelom czas niezbędny na ponowną wizytę w organie rejestrującym lub w jednostce, która zatrzymała dokument, a z drugiej strony odciąży te organy przy wykonywaniu tego obowiązku.</w:t>
      </w:r>
    </w:p>
    <w:p w14:paraId="3B65AF19" w14:textId="71767C83"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W projekcie uzupełniono art. 132a ust. 4 o wskazanie sposobu postępowania z</w:t>
      </w:r>
      <w:r w:rsidR="00931FC5">
        <w:rPr>
          <w:rFonts w:ascii="Times New Roman" w:hAnsi="Times New Roman" w:cs="Times New Roman"/>
          <w:szCs w:val="24"/>
        </w:rPr>
        <w:t> </w:t>
      </w:r>
      <w:r w:rsidRPr="004B60CA">
        <w:rPr>
          <w:rFonts w:ascii="Times New Roman" w:hAnsi="Times New Roman" w:cs="Times New Roman"/>
          <w:szCs w:val="24"/>
        </w:rPr>
        <w:t xml:space="preserve">profesjonalnym dowodem rejestracyjnym zatrzymanym na podstawie art. 132a ust. 2 pkt 1. W obowiązującym brzmieniu przepis określa jedynie sposób postępowania </w:t>
      </w:r>
      <w:r w:rsidRPr="004B60CA">
        <w:rPr>
          <w:rFonts w:ascii="Times New Roman" w:hAnsi="Times New Roman" w:cs="Times New Roman"/>
          <w:szCs w:val="24"/>
        </w:rPr>
        <w:lastRenderedPageBreak/>
        <w:t>z</w:t>
      </w:r>
      <w:r w:rsidR="00931FC5">
        <w:rPr>
          <w:rFonts w:ascii="Times New Roman" w:hAnsi="Times New Roman" w:cs="Times New Roman"/>
          <w:szCs w:val="24"/>
        </w:rPr>
        <w:t> </w:t>
      </w:r>
      <w:r w:rsidRPr="004B60CA">
        <w:rPr>
          <w:rFonts w:ascii="Times New Roman" w:hAnsi="Times New Roman" w:cs="Times New Roman"/>
          <w:szCs w:val="24"/>
        </w:rPr>
        <w:t xml:space="preserve">blankietem profesjonalnego dowodu rejestracyjnego i konieczne jest jego uzupełnienie. </w:t>
      </w:r>
    </w:p>
    <w:p w14:paraId="46FB2D69" w14:textId="45D5B3F2"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Zmiany dokonane w art. 135–139 i wprowadzone nowe art. 135a i art. 135b stanowią konsekwencję zniesienia obowiązku posiadania przy sobie i okazywania na żądanie organu kontroli ruchu drogowego wydanego w kraju prawa jazdy lub pozwolenia na kierowanie tramwajem i regulują zasady postępowania przy zatrzymaniu prawa jazdy w</w:t>
      </w:r>
      <w:r w:rsidR="00931FC5">
        <w:rPr>
          <w:rFonts w:ascii="Times New Roman" w:hAnsi="Times New Roman" w:cs="Times New Roman"/>
          <w:szCs w:val="24"/>
        </w:rPr>
        <w:t> </w:t>
      </w:r>
      <w:r w:rsidRPr="004B60CA">
        <w:rPr>
          <w:rFonts w:ascii="Times New Roman" w:hAnsi="Times New Roman" w:cs="Times New Roman"/>
          <w:szCs w:val="24"/>
        </w:rPr>
        <w:t xml:space="preserve">dwóch przypadkach: </w:t>
      </w:r>
    </w:p>
    <w:p w14:paraId="2D09EFCF" w14:textId="3466DFC8" w:rsidR="00697F11" w:rsidRPr="004B60CA" w:rsidRDefault="00697F11" w:rsidP="00AF2E54">
      <w:pPr>
        <w:pStyle w:val="USTustnpkodeksu"/>
        <w:tabs>
          <w:tab w:val="left" w:pos="284"/>
        </w:tabs>
        <w:ind w:left="284" w:hanging="284"/>
        <w:rPr>
          <w:rFonts w:ascii="Times New Roman" w:hAnsi="Times New Roman" w:cs="Times New Roman"/>
          <w:szCs w:val="24"/>
        </w:rPr>
      </w:pPr>
      <w:r w:rsidRPr="004B60CA">
        <w:rPr>
          <w:rFonts w:ascii="Times New Roman" w:hAnsi="Times New Roman" w:cs="Times New Roman"/>
          <w:szCs w:val="24"/>
        </w:rPr>
        <w:t>–</w:t>
      </w:r>
      <w:r w:rsidR="00456D32">
        <w:rPr>
          <w:rFonts w:ascii="Times New Roman" w:hAnsi="Times New Roman" w:cs="Times New Roman"/>
          <w:szCs w:val="24"/>
        </w:rPr>
        <w:tab/>
      </w:r>
      <w:r w:rsidRPr="004B60CA">
        <w:rPr>
          <w:rFonts w:ascii="Times New Roman" w:hAnsi="Times New Roman" w:cs="Times New Roman"/>
          <w:szCs w:val="24"/>
        </w:rPr>
        <w:t>w przypadku dokumentu wydanego w kraju, tj. na terytorium Rzeczypospolitej Polskiej,</w:t>
      </w:r>
    </w:p>
    <w:p w14:paraId="7141A9CB" w14:textId="2123568C" w:rsidR="00697F11" w:rsidRPr="004B60CA" w:rsidRDefault="00697F11" w:rsidP="004B60CA">
      <w:pPr>
        <w:pStyle w:val="USTustnpkodeksu"/>
        <w:tabs>
          <w:tab w:val="left" w:pos="284"/>
        </w:tabs>
        <w:ind w:firstLine="0"/>
        <w:rPr>
          <w:rFonts w:ascii="Times New Roman" w:hAnsi="Times New Roman" w:cs="Times New Roman"/>
          <w:szCs w:val="24"/>
        </w:rPr>
      </w:pPr>
      <w:r w:rsidRPr="004B60CA">
        <w:rPr>
          <w:rFonts w:ascii="Times New Roman" w:hAnsi="Times New Roman" w:cs="Times New Roman"/>
          <w:szCs w:val="24"/>
        </w:rPr>
        <w:t>–</w:t>
      </w:r>
      <w:r w:rsidR="00456D32">
        <w:rPr>
          <w:rFonts w:ascii="Times New Roman" w:hAnsi="Times New Roman" w:cs="Times New Roman"/>
          <w:szCs w:val="24"/>
        </w:rPr>
        <w:tab/>
      </w:r>
      <w:r w:rsidRPr="004B60CA">
        <w:rPr>
          <w:rFonts w:ascii="Times New Roman" w:hAnsi="Times New Roman" w:cs="Times New Roman"/>
          <w:szCs w:val="24"/>
        </w:rPr>
        <w:t xml:space="preserve">w przypadku dokumentu wydanego przez państwo inne niż Rzeczpospolita Polska. </w:t>
      </w:r>
    </w:p>
    <w:p w14:paraId="7F1BC987" w14:textId="7777777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Art. 135 w nowym brzmieniu reguluje przesłanki i kwestie związane z zatrzymaniem wydanego w kraju prawa jazdy. Artykuł ten jest również stosowany dla pozwolenia na kierowanie tramwajem. </w:t>
      </w:r>
    </w:p>
    <w:p w14:paraId="680F38C0" w14:textId="59F520B1"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Z dotychczasowego brzmienia przepisu wykluczono przesłanki do zatrzymania dokumentu dotyczące jego zniszczenia, podejrzenia podrobienia, wydanego postanowienia lub decyzji o zatrzymaniu prawa jazdy, a także orzeczonego zakazu lub wydanej decyzji o cofnięciu uprawnienia. Dostosowano odpowiednio przepisy dotyczące pokwitowania zatrzymania prawa jazdy. </w:t>
      </w:r>
    </w:p>
    <w:p w14:paraId="2B010F91" w14:textId="7777777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Wprowadzany art. 135a reguluje przesłanki i kwestie związane z zatrzymaniem prawa jazdy wydanego przez państwo inne niż Rzeczpospolita Polska. Przesłanki zatrzymania prawa jazdy zostały utrzymane w zakresie zgodnym z obowiązującym aktualnie art. 135. Dostosowano odpowiednio przepisy dotyczące pokwitowania zatrzymania prawa jazdy. </w:t>
      </w:r>
    </w:p>
    <w:p w14:paraId="62BF0424" w14:textId="300C5DEA"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Wprowadzany art. 135b określa sposób, w jaki dokonuje się zatrzymania – przyjęto </w:t>
      </w:r>
      <w:r w:rsidR="00AF2E54">
        <w:rPr>
          <w:rFonts w:ascii="Times New Roman" w:hAnsi="Times New Roman" w:cs="Times New Roman"/>
          <w:szCs w:val="24"/>
        </w:rPr>
        <w:t>prze</w:t>
      </w:r>
      <w:r w:rsidRPr="004B60CA">
        <w:rPr>
          <w:rFonts w:ascii="Times New Roman" w:hAnsi="Times New Roman" w:cs="Times New Roman"/>
          <w:szCs w:val="24"/>
        </w:rPr>
        <w:t>pis analogiczny i spójny z przepisami dotyczącymi zatrzymania dowodu rejestracyjnego (pozwolenia czasowego), co oznacza, że zatrzymanie wydanego w kraju prawa jazdy, zgodnie z art. 135b ust. 1, nastąpi przez wprowadzenie informacji o</w:t>
      </w:r>
      <w:r w:rsidR="00931FC5">
        <w:rPr>
          <w:rFonts w:ascii="Times New Roman" w:hAnsi="Times New Roman" w:cs="Times New Roman"/>
          <w:szCs w:val="24"/>
        </w:rPr>
        <w:t> </w:t>
      </w:r>
      <w:r w:rsidRPr="004B60CA">
        <w:rPr>
          <w:rFonts w:ascii="Times New Roman" w:hAnsi="Times New Roman" w:cs="Times New Roman"/>
          <w:szCs w:val="24"/>
        </w:rPr>
        <w:t xml:space="preserve">zatrzymaniu do centralnej ewidencji kierowców niezwłocznie po wystąpieniu przesłanek do zatrzymania określonych w art. 135. Przepis pozwala wyeliminować obecnie istniejącą sytuację, w której mimo zaistnienia przesłanek do zatrzymania </w:t>
      </w:r>
      <w:r w:rsidRPr="004B60CA">
        <w:rPr>
          <w:rFonts w:ascii="Times New Roman" w:hAnsi="Times New Roman" w:cs="Times New Roman"/>
          <w:szCs w:val="24"/>
        </w:rPr>
        <w:lastRenderedPageBreak/>
        <w:t xml:space="preserve">dokument nie jest zatrzymywany – w przypadku gdy kierowca nie ma dokumentu przy sobie. </w:t>
      </w:r>
    </w:p>
    <w:p w14:paraId="550ECA72" w14:textId="7777777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Zatrzymanie prawa jazdy wydanego przez państwo inne niż Rzeczpospolita Polska, zgodnie z art. 135b ust. 2, nastąpi przez zatrzymanie okazanego dokumentu. </w:t>
      </w:r>
    </w:p>
    <w:p w14:paraId="33794A70" w14:textId="7A413424"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Nowe brzmienie art. 136 określa procedurę postępowania organu kontroli ruchu drogowego z zatrzymanym dokumentem w rozróżnieniu na wydane w kraju prawo jazdy i prawo jazdy wydane przez państwo inne niż Rzeczpospolita Polska. Procedura postępowania z prawem jazdy wydanym przez państwo inne niż Rzeczpospolita Polska jest zgodna z obowiązującymi obecnie przepisami art. 136. W przypadku krajowego prawa jazdy dostosowano procedurę do elektronicznego zatrzymania dokumentu. Zamiast prawa jazdy Policja przekaże zgodnie z właściwością prokuratorowi, sądowi lub staroście informację o zatrzymaniu prawa jazdy. </w:t>
      </w:r>
    </w:p>
    <w:p w14:paraId="4F29680E" w14:textId="6934F5C0"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W przypadku przeprowadzenia badania krwi lub moczu dla oceny trzeźwości lub zawartości środka działającego podobnie do alkoholu, w przypadku elektronicznego zatrzymania dokumentu, przewiduje się przekazanie informacji o zatrzymaniu wraz z</w:t>
      </w:r>
      <w:r w:rsidR="00931FC5">
        <w:rPr>
          <w:rFonts w:ascii="Times New Roman" w:hAnsi="Times New Roman" w:cs="Times New Roman"/>
          <w:szCs w:val="24"/>
        </w:rPr>
        <w:t> </w:t>
      </w:r>
      <w:r w:rsidRPr="004B60CA">
        <w:rPr>
          <w:rFonts w:ascii="Times New Roman" w:hAnsi="Times New Roman" w:cs="Times New Roman"/>
          <w:szCs w:val="24"/>
        </w:rPr>
        <w:t xml:space="preserve">wynikiem badania. Jeżeli wynik ten nie został uzyskany w terminie 30 dni od zatrzymania, dokument podlega zwrotowi – organ wprowadza do centralnej ewidencji kierowców informację o zwrocie. </w:t>
      </w:r>
    </w:p>
    <w:p w14:paraId="0289B1DD" w14:textId="59FE81F0"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Zmiany w art. 137 w ust. 1 dostosowują przepisy dotyczące postanowień wydawanych przez prokuratora lub sąd do wprowadzonego art. 135a. Jednocześnie uzupełnia się art.</w:t>
      </w:r>
      <w:r w:rsidR="00931FC5">
        <w:rPr>
          <w:rFonts w:ascii="Times New Roman" w:hAnsi="Times New Roman" w:cs="Times New Roman"/>
          <w:szCs w:val="24"/>
        </w:rPr>
        <w:t> </w:t>
      </w:r>
      <w:r w:rsidRPr="004B60CA">
        <w:rPr>
          <w:rFonts w:ascii="Times New Roman" w:hAnsi="Times New Roman" w:cs="Times New Roman"/>
          <w:szCs w:val="24"/>
        </w:rPr>
        <w:t>137 o nowe regulacje w celu uszczelnienia aktualnego procesu zatrzymania prawa jazdy. Dodawany ust. 4 przewiduje wydawanie przez sąd lub prokuratora – według kompetencji – postanowienia o zwrocie zatrzymanego prawa jazdy – w przypadku gdy w</w:t>
      </w:r>
      <w:r w:rsidR="00931FC5">
        <w:rPr>
          <w:rFonts w:ascii="Times New Roman" w:hAnsi="Times New Roman" w:cs="Times New Roman"/>
          <w:szCs w:val="24"/>
        </w:rPr>
        <w:t> </w:t>
      </w:r>
      <w:r w:rsidRPr="004B60CA">
        <w:rPr>
          <w:rFonts w:ascii="Times New Roman" w:hAnsi="Times New Roman" w:cs="Times New Roman"/>
          <w:szCs w:val="24"/>
        </w:rPr>
        <w:t xml:space="preserve">postępowaniu nie dochodzi do wydania postanowienia o zatrzymaniu, a dokument jest zwracany właścicielowi tego dokumentu. O postanowieniu zawiadamia się organ, który wydał prawo jazdy, w przypadku prawa jazdy wydanego w kraju – gdy postanowienie wydaje sąd, albo organ, który zatrzymał prawo jazdy – gdy postanowienie wydaje prokurator. Postanowienie doręcza się właścicielowi tego dokumentu. Na podstawie postanowienia właściwy organ wprowadza do centralnej ewidencji kierowców informację o zwrocie prawa jazdy – jeżeli prawo jazdy zostało zatrzymane elektronicznie. </w:t>
      </w:r>
    </w:p>
    <w:p w14:paraId="7779176A" w14:textId="536D977F"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lastRenderedPageBreak/>
        <w:t>W obecnym stanie prawnym brak takiej regulacji powoduje rozbieżności w danych gromadzonych w centralnej ewidencji kierowców, ponieważ żaden z organów – ani starosta ani Policja</w:t>
      </w:r>
      <w:r w:rsidR="00AF2E54">
        <w:rPr>
          <w:rFonts w:ascii="Times New Roman" w:hAnsi="Times New Roman" w:cs="Times New Roman"/>
          <w:szCs w:val="24"/>
        </w:rPr>
        <w:t xml:space="preserve"> –</w:t>
      </w:r>
      <w:r w:rsidRPr="004B60CA">
        <w:rPr>
          <w:rFonts w:ascii="Times New Roman" w:hAnsi="Times New Roman" w:cs="Times New Roman"/>
          <w:szCs w:val="24"/>
        </w:rPr>
        <w:t xml:space="preserve"> nie mają podstawy do przekazania informacji o zwrocie do centralnej ewidencji kierowców</w:t>
      </w:r>
      <w:r w:rsidR="00AF2E54">
        <w:rPr>
          <w:rFonts w:ascii="Times New Roman" w:hAnsi="Times New Roman" w:cs="Times New Roman"/>
          <w:szCs w:val="24"/>
        </w:rPr>
        <w:t>,</w:t>
      </w:r>
      <w:r w:rsidRPr="004B60CA">
        <w:rPr>
          <w:rFonts w:ascii="Times New Roman" w:hAnsi="Times New Roman" w:cs="Times New Roman"/>
          <w:szCs w:val="24"/>
        </w:rPr>
        <w:t xml:space="preserve"> gdy to prokurator albo sąd faktycznie zwrócili ten dokument. Konsekwencją są występujące obecnie niedogodności w przypadku kierowcy, którego dokument posiada w ewidencji status zatrzymanego. </w:t>
      </w:r>
    </w:p>
    <w:p w14:paraId="7B843D2F" w14:textId="7777777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Zmiany w art. 139 stanowią dostosowanie do zmian dokonanych w art. 135–137. Do pozwolenia na kierowanie tramwajem będą stosowane te same przepisy, które dotyczą wydanego w kraju prawa jazdy. </w:t>
      </w:r>
    </w:p>
    <w:p w14:paraId="1B2C38C6" w14:textId="2E59D33B"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Zmiana ustawy z dnia 6 sierpnia 2010 r. o dowodach osobistych (Dz. U. z 2020 r. poz.</w:t>
      </w:r>
      <w:r w:rsidR="00672BA1">
        <w:rPr>
          <w:rFonts w:ascii="Times New Roman" w:hAnsi="Times New Roman" w:cs="Times New Roman"/>
          <w:szCs w:val="24"/>
        </w:rPr>
        <w:t> </w:t>
      </w:r>
      <w:r w:rsidRPr="004B60CA">
        <w:rPr>
          <w:rFonts w:ascii="Times New Roman" w:hAnsi="Times New Roman" w:cs="Times New Roman"/>
          <w:szCs w:val="24"/>
        </w:rPr>
        <w:t xml:space="preserve">332, z </w:t>
      </w:r>
      <w:proofErr w:type="spellStart"/>
      <w:r w:rsidRPr="004B60CA">
        <w:rPr>
          <w:rFonts w:ascii="Times New Roman" w:hAnsi="Times New Roman" w:cs="Times New Roman"/>
          <w:szCs w:val="24"/>
        </w:rPr>
        <w:t>późn</w:t>
      </w:r>
      <w:proofErr w:type="spellEnd"/>
      <w:r w:rsidRPr="004B60CA">
        <w:rPr>
          <w:rFonts w:ascii="Times New Roman" w:hAnsi="Times New Roman" w:cs="Times New Roman"/>
          <w:szCs w:val="24"/>
        </w:rPr>
        <w:t>. zm.) w zakresie dodawanego w art. 66 w ust. 3 pkt 15 ma na celu umożliwienie dostępu do danych gromadzonych w Rejestrze Dowodów Osobistych inspektorom Inspekcji Transportu Drogowego oraz strażnikom gminnym (miejskim) – w</w:t>
      </w:r>
      <w:r w:rsidR="00672BA1">
        <w:rPr>
          <w:rFonts w:ascii="Times New Roman" w:hAnsi="Times New Roman" w:cs="Times New Roman"/>
          <w:szCs w:val="24"/>
        </w:rPr>
        <w:t> </w:t>
      </w:r>
      <w:r w:rsidRPr="004B60CA">
        <w:rPr>
          <w:rFonts w:ascii="Times New Roman" w:hAnsi="Times New Roman" w:cs="Times New Roman"/>
          <w:szCs w:val="24"/>
        </w:rPr>
        <w:t>celu ustalenia tożsamości kierującego pojazdem. Potrzeba wprowadzenia tego przepisu stanowi konsekwencję likwidacji obowiązku posiadania przy sobie i okazywania na żądanie uprawnionego organu kontroli ruchu drogowego prawa jazdy i zapewnia inspektorom Inspekcji Transportu Drogowego oraz strażnikom gminnym (miejskim) podstawę do ustalenia tożsamości kierującego pojazdem, podczas kontroli drogowej, na postawie danych z Rejestru Dowodów Osobistych, w szczególności fotografii. Wskazane w przepisie organy są obecnie jedynymi organami kontroli ruchu drogowego, które posiadają uprawnienie do legitymowania kierującego i sprawdzania dokumentów wymaganych do kierowania pojazdem, wskazanych w art. 38a, które jednocześnie nie posiadają obecnie dostępu do danych z Rejestru Dowodów Osobistych, co w warunkach zniesienia obowiązku posiadania przy sobie podczas kontroli prawa jazdy i braku możliwości potwierdzenia tożsamości osoby może prowadzić do utrudnienia faktycznego wykonania obowiązku kontroli drogowej. Dlatego niezbędne jest zapewnienie wskazanym podmiotom dostępu do danych z Rejestru Dowodów Osobistych.</w:t>
      </w:r>
    </w:p>
    <w:p w14:paraId="0A8AD1C9" w14:textId="7777777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Pozostałe organy kontroli ruchu drogowego, które na podstawie przepisów określających ich kompetencje zostały wyposażone w uprawnienie do ustalenia tożsamości kierującego na podstawie danych z Rejestru Dowodów Osobistych – </w:t>
      </w:r>
      <w:r w:rsidRPr="004B60CA">
        <w:rPr>
          <w:rFonts w:ascii="Times New Roman" w:hAnsi="Times New Roman" w:cs="Times New Roman"/>
          <w:szCs w:val="24"/>
        </w:rPr>
        <w:lastRenderedPageBreak/>
        <w:t>Policja, Żandarmeria Wojskowa, Straż Graniczna i Służba Celno-Skarbowa, posiadają już dostęp na podstawie obowiązujących przepisów do Rejestru Dowodów Osobistych.</w:t>
      </w:r>
    </w:p>
    <w:p w14:paraId="0A9EB4EF" w14:textId="4A19319F"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Jednocześnie w związku z likwidacją obowiązku posiadania przy sobie prawa jazdy oraz wprowadzeniem przepisów, które przewidują odnotowanie informacji o zatrzymaniu prawa jazdy w centralnej ewidencji kierowców, a także z uwagi na to, że prawo jazdy nie będzie zatrzymywane fizycznie</w:t>
      </w:r>
      <w:r w:rsidR="00AF2E54">
        <w:rPr>
          <w:rFonts w:ascii="Times New Roman" w:hAnsi="Times New Roman" w:cs="Times New Roman"/>
          <w:szCs w:val="24"/>
        </w:rPr>
        <w:t>,</w:t>
      </w:r>
      <w:r w:rsidRPr="004B60CA">
        <w:rPr>
          <w:rFonts w:ascii="Times New Roman" w:hAnsi="Times New Roman" w:cs="Times New Roman"/>
          <w:szCs w:val="24"/>
        </w:rPr>
        <w:t xml:space="preserve"> zachodzi konieczność udostępnienia usługi, która pozwoli sprawdzić, że okazywany dokument prawa jazdy, który pozostanie w rękach posiadacza, nie został zatrzymany – np. przez zakłady ubezpieczeń. Dodawany w Prawie o ruchu drogowym art. 100ar wprowadza możliwość weryfikacji danych z dokumentu prawa jazdy na podstawie podanego numeru blankietu tego dokumentu oraz imienia i</w:t>
      </w:r>
      <w:r w:rsidR="00672BA1">
        <w:rPr>
          <w:rFonts w:ascii="Times New Roman" w:hAnsi="Times New Roman" w:cs="Times New Roman"/>
          <w:szCs w:val="24"/>
        </w:rPr>
        <w:t> </w:t>
      </w:r>
      <w:r w:rsidRPr="004B60CA">
        <w:rPr>
          <w:rFonts w:ascii="Times New Roman" w:hAnsi="Times New Roman" w:cs="Times New Roman"/>
          <w:szCs w:val="24"/>
        </w:rPr>
        <w:t>nazwiska jego posiadacza.</w:t>
      </w:r>
    </w:p>
    <w:p w14:paraId="058FEF0C" w14:textId="755521E6"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Zmiany w art. 102 ustawy z dnia 5 stycznia 2011 r. o kierujących pojazdami stanowią dostosowanie do rozwiązań przyjętych w zakresie postępowania z zatrzymanym prawem jazdy – w zakresie wyeliminowania obowiązku zwrotu dokumentu do organu, który go wydał, w przypadku gdy wydana została decyzja o zatrzymaniu prawa jazdy przez starostę. Czas zatrzymania prawa jazdy będzie liczony od dnia zatrzymania, tj. od daty fizycznego zatrzymania dokumentu przez Policję lub daty elektronicznego zatrzymania wprowadzonej do centralnej ewidencji kierowców. W przypadku gdy nie zatrzymano dokumentu</w:t>
      </w:r>
      <w:r w:rsidR="00E656EA">
        <w:rPr>
          <w:rFonts w:ascii="Times New Roman" w:hAnsi="Times New Roman" w:cs="Times New Roman"/>
          <w:szCs w:val="24"/>
        </w:rPr>
        <w:t>,</w:t>
      </w:r>
      <w:r w:rsidRPr="004B60CA">
        <w:rPr>
          <w:rFonts w:ascii="Times New Roman" w:hAnsi="Times New Roman" w:cs="Times New Roman"/>
          <w:szCs w:val="24"/>
        </w:rPr>
        <w:t xml:space="preserve"> okres zatrzymania liczony będzie od daty wydania decyzji o zatrzymaniu. </w:t>
      </w:r>
    </w:p>
    <w:p w14:paraId="7DD25800" w14:textId="7777777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Zmiana w art. 104a wynika z konieczności dostosowania tego przepisu i uzupełnienia go w konsekwencji zmian dokonanych w art. 135 Prawa o ruchu drogowym i wprowadzenia nowego art. 135a do tej ustawy.</w:t>
      </w:r>
    </w:p>
    <w:p w14:paraId="0987047F" w14:textId="5A8736AF"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W celu uzupełnienia przepisów o zatrzymaniu i zwrocie prawa jazdy w warunkach braku obowiązku zwrotu tego dokumentu do organu po zatrzymaniu wprowadzono zmianę w</w:t>
      </w:r>
      <w:r w:rsidR="00672BA1">
        <w:rPr>
          <w:rFonts w:ascii="Times New Roman" w:hAnsi="Times New Roman" w:cs="Times New Roman"/>
          <w:szCs w:val="24"/>
        </w:rPr>
        <w:t> </w:t>
      </w:r>
      <w:r w:rsidRPr="004B60CA">
        <w:rPr>
          <w:rFonts w:ascii="Times New Roman" w:hAnsi="Times New Roman" w:cs="Times New Roman"/>
          <w:szCs w:val="24"/>
        </w:rPr>
        <w:t>ustawie z dnia 7 września 2007 r. o pomocy osobom uprawnionym do alimentów (Dz.</w:t>
      </w:r>
      <w:r w:rsidR="00672BA1">
        <w:rPr>
          <w:rFonts w:ascii="Times New Roman" w:hAnsi="Times New Roman" w:cs="Times New Roman"/>
          <w:szCs w:val="24"/>
        </w:rPr>
        <w:t> </w:t>
      </w:r>
      <w:r w:rsidRPr="004B60CA">
        <w:rPr>
          <w:rFonts w:ascii="Times New Roman" w:hAnsi="Times New Roman" w:cs="Times New Roman"/>
          <w:szCs w:val="24"/>
        </w:rPr>
        <w:t xml:space="preserve">U. z 2020 r. poz. 808, z </w:t>
      </w:r>
      <w:proofErr w:type="spellStart"/>
      <w:r w:rsidRPr="004B60CA">
        <w:rPr>
          <w:rFonts w:ascii="Times New Roman" w:hAnsi="Times New Roman" w:cs="Times New Roman"/>
          <w:szCs w:val="24"/>
        </w:rPr>
        <w:t>późn</w:t>
      </w:r>
      <w:proofErr w:type="spellEnd"/>
      <w:r w:rsidRPr="004B60CA">
        <w:rPr>
          <w:rFonts w:ascii="Times New Roman" w:hAnsi="Times New Roman" w:cs="Times New Roman"/>
          <w:szCs w:val="24"/>
        </w:rPr>
        <w:t>. zm.) w zakresie zapewnienia przekazania przez starostę do centralnej ewidencji kierowców informacji o zwrocie prawa jazdy po uchyleniu decyzji o zatrzymaniu.</w:t>
      </w:r>
    </w:p>
    <w:p w14:paraId="1BC41F6E" w14:textId="4B0558B1"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Jednocześnie wprowadzono zmiany w art. 16a ustawy z dnia 5 stycznia 2011 r. o</w:t>
      </w:r>
      <w:r w:rsidR="00672BA1">
        <w:rPr>
          <w:rFonts w:ascii="Times New Roman" w:hAnsi="Times New Roman" w:cs="Times New Roman"/>
          <w:szCs w:val="24"/>
        </w:rPr>
        <w:t> </w:t>
      </w:r>
      <w:r w:rsidRPr="004B60CA">
        <w:rPr>
          <w:rFonts w:ascii="Times New Roman" w:hAnsi="Times New Roman" w:cs="Times New Roman"/>
          <w:szCs w:val="24"/>
        </w:rPr>
        <w:t xml:space="preserve">kierujących pojazdami, kierując się potrzebą </w:t>
      </w:r>
      <w:proofErr w:type="spellStart"/>
      <w:r w:rsidRPr="004B60CA">
        <w:rPr>
          <w:rFonts w:ascii="Times New Roman" w:hAnsi="Times New Roman" w:cs="Times New Roman"/>
          <w:szCs w:val="24"/>
        </w:rPr>
        <w:t>uspójnienia</w:t>
      </w:r>
      <w:proofErr w:type="spellEnd"/>
      <w:r w:rsidRPr="004B60CA">
        <w:rPr>
          <w:rFonts w:ascii="Times New Roman" w:hAnsi="Times New Roman" w:cs="Times New Roman"/>
          <w:szCs w:val="24"/>
        </w:rPr>
        <w:t xml:space="preserve"> rozwiązań </w:t>
      </w:r>
      <w:r w:rsidRPr="004B60CA">
        <w:rPr>
          <w:rFonts w:ascii="Times New Roman" w:hAnsi="Times New Roman" w:cs="Times New Roman"/>
          <w:szCs w:val="24"/>
        </w:rPr>
        <w:lastRenderedPageBreak/>
        <w:t>teleinformatycznych oraz zapewnieniem współpracy przy ich wdrażaniu – między systemem teleinformatycznym obsługującym zadania realizowane przez starostę w</w:t>
      </w:r>
      <w:r w:rsidR="00672BA1">
        <w:rPr>
          <w:rFonts w:ascii="Times New Roman" w:hAnsi="Times New Roman" w:cs="Times New Roman"/>
          <w:szCs w:val="24"/>
        </w:rPr>
        <w:t> </w:t>
      </w:r>
      <w:r w:rsidRPr="004B60CA">
        <w:rPr>
          <w:rFonts w:ascii="Times New Roman" w:hAnsi="Times New Roman" w:cs="Times New Roman"/>
          <w:szCs w:val="24"/>
        </w:rPr>
        <w:t>związku z procesami nadawania uprawnień i wydawania dokumentów stwierdzających te uprawnienia oraz funkcjonalnościami udostępnianymi przez system informatyczny obsługujący centralną ewidencję kierowców. Wprowadzany przepis stanowi odzwierciedlenie ust. 1</w:t>
      </w:r>
      <w:r w:rsidR="002C34E7">
        <w:rPr>
          <w:rFonts w:ascii="Times New Roman" w:hAnsi="Times New Roman" w:cs="Times New Roman"/>
          <w:szCs w:val="24"/>
        </w:rPr>
        <w:t>–</w:t>
      </w:r>
      <w:r w:rsidRPr="004B60CA">
        <w:rPr>
          <w:rFonts w:ascii="Times New Roman" w:hAnsi="Times New Roman" w:cs="Times New Roman"/>
          <w:szCs w:val="24"/>
        </w:rPr>
        <w:t>6 w art. 75e Prawa o ruchu drogowym, z tym że w przepisie art.</w:t>
      </w:r>
      <w:r w:rsidR="00672BA1">
        <w:rPr>
          <w:rFonts w:ascii="Times New Roman" w:hAnsi="Times New Roman" w:cs="Times New Roman"/>
          <w:szCs w:val="24"/>
        </w:rPr>
        <w:t> </w:t>
      </w:r>
      <w:r w:rsidRPr="004B60CA">
        <w:rPr>
          <w:rFonts w:ascii="Times New Roman" w:hAnsi="Times New Roman" w:cs="Times New Roman"/>
          <w:szCs w:val="24"/>
        </w:rPr>
        <w:t>16a ust. 1 ustawy z dnia 5 stycznia 2011 r. o kierujących pojazdami zastosowano odesłanie do zadań wskazanych w przepisie art. 122 ust. 1 tej ustawy, uwzględniając zadania realizowane przez starostę i marszałka województwa przy wykorzystaniu systemu teleinformatycznego. Mając na uwadze obszerność zadań związanych z</w:t>
      </w:r>
      <w:r w:rsidR="00672BA1">
        <w:rPr>
          <w:rFonts w:ascii="Times New Roman" w:hAnsi="Times New Roman" w:cs="Times New Roman"/>
          <w:szCs w:val="24"/>
        </w:rPr>
        <w:t> </w:t>
      </w:r>
      <w:r w:rsidRPr="004B60CA">
        <w:rPr>
          <w:rFonts w:ascii="Times New Roman" w:hAnsi="Times New Roman" w:cs="Times New Roman"/>
          <w:szCs w:val="24"/>
        </w:rPr>
        <w:t xml:space="preserve">wydawaniem uprawnień do kierowania, zarówno przez starostę, jak i marszałka województwa, wskazanych w tym przepisie i w konsekwencji czytelność projektowanego ww. przepisu art. 16a ust. 1 </w:t>
      </w:r>
      <w:r w:rsidR="002C34E7">
        <w:rPr>
          <w:rFonts w:ascii="Times New Roman" w:hAnsi="Times New Roman" w:cs="Times New Roman"/>
          <w:szCs w:val="24"/>
        </w:rPr>
        <w:t>–</w:t>
      </w:r>
      <w:r w:rsidRPr="004B60CA">
        <w:rPr>
          <w:rFonts w:ascii="Times New Roman" w:hAnsi="Times New Roman" w:cs="Times New Roman"/>
          <w:szCs w:val="24"/>
        </w:rPr>
        <w:t xml:space="preserve"> wymienianie wszystkich zadań starosty i marszałka województwa wskazanych w art. 122 ust. 1 ww. ustawy spowodowałaby nadmierne rozbudowanie tego przepisu i skomplikowało jego brzmienie. Odbiorcą przepisu skonstruowanego w ten sposób będą wyłącznie ww. organy oraz wykonawca systemu (wytwórca praw jazdy i pozwoleń na kierowanie tramwajem), jak również minister właściwy do spraw informatyzacji. Nie będzie to generować problemu z rozumieniem tego przepisu przez ww. podmioty.</w:t>
      </w:r>
    </w:p>
    <w:p w14:paraId="4DF687A4" w14:textId="272848B5"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Zmiana ustawy z dnia 6 czerwca 1997 r. </w:t>
      </w:r>
      <w:r w:rsidR="002C34E7">
        <w:rPr>
          <w:rFonts w:ascii="Times New Roman" w:hAnsi="Times New Roman" w:cs="Times New Roman"/>
          <w:szCs w:val="24"/>
        </w:rPr>
        <w:t>–</w:t>
      </w:r>
      <w:r w:rsidRPr="004B60CA">
        <w:rPr>
          <w:rFonts w:ascii="Times New Roman" w:hAnsi="Times New Roman" w:cs="Times New Roman"/>
          <w:szCs w:val="24"/>
        </w:rPr>
        <w:t xml:space="preserve"> Kodeks karny (Dz. U. z 2019 r. poz. 1950, z</w:t>
      </w:r>
      <w:r w:rsidR="00672BA1">
        <w:rPr>
          <w:rFonts w:ascii="Times New Roman" w:hAnsi="Times New Roman" w:cs="Times New Roman"/>
          <w:szCs w:val="24"/>
        </w:rPr>
        <w:t> </w:t>
      </w:r>
      <w:proofErr w:type="spellStart"/>
      <w:r w:rsidRPr="004B60CA">
        <w:rPr>
          <w:rFonts w:ascii="Times New Roman" w:hAnsi="Times New Roman" w:cs="Times New Roman"/>
          <w:szCs w:val="24"/>
        </w:rPr>
        <w:t>późn</w:t>
      </w:r>
      <w:proofErr w:type="spellEnd"/>
      <w:r w:rsidRPr="004B60CA">
        <w:rPr>
          <w:rFonts w:ascii="Times New Roman" w:hAnsi="Times New Roman" w:cs="Times New Roman"/>
          <w:szCs w:val="24"/>
        </w:rPr>
        <w:t xml:space="preserve">. zm.), polegająca na uchyleniu w art. 43 § 3, eliminuje obowiązek zwrotu prawa jazdy przez kierującego do organu w przypadku orzeczenia przez sąd zakazu prowadzenia pojazdów i zmienia podejście do sposobu liczenia biegu zakazu. Obecnie sąd, orzekając zakaz, zobowiązuje kierującego do zwrotu prawa jazdy do organu, który je wydał – jeżeli prawo jazdy nie zostało jeszcze zatrzymane. Do momentu zwrotu okres, na który orzeczono zakaz, nie biegnie. Nowe podejście upraszcza aktualną procedurę. Zakłada się, że zakaz będzie obowiązywał od uprawomocnienia się orzeczenia. Na poczet zakazu dalej naliczany będzie okres zatrzymania prawa jazdy – liczony od daty zatrzymania dokumentu rozumianej jako data fizycznego zatrzymania dokumentu albo data zatrzymania elektronicznego. </w:t>
      </w:r>
    </w:p>
    <w:p w14:paraId="05BE7FC4" w14:textId="4F7A0964"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Zmiana w ustawie z dnia 20 maja 1971 r. </w:t>
      </w:r>
      <w:r w:rsidR="002C34E7">
        <w:rPr>
          <w:rFonts w:ascii="Times New Roman" w:hAnsi="Times New Roman" w:cs="Times New Roman"/>
          <w:szCs w:val="24"/>
        </w:rPr>
        <w:t>–</w:t>
      </w:r>
      <w:r w:rsidRPr="004B60CA">
        <w:rPr>
          <w:rFonts w:ascii="Times New Roman" w:hAnsi="Times New Roman" w:cs="Times New Roman"/>
          <w:szCs w:val="24"/>
        </w:rPr>
        <w:t xml:space="preserve"> Kodeks wykroczeń (Dz. U. z 2019 r. poz.</w:t>
      </w:r>
      <w:r w:rsidR="002D4641">
        <w:rPr>
          <w:rFonts w:ascii="Times New Roman" w:hAnsi="Times New Roman" w:cs="Times New Roman"/>
          <w:szCs w:val="24"/>
        </w:rPr>
        <w:t> </w:t>
      </w:r>
      <w:r w:rsidRPr="004B60CA">
        <w:rPr>
          <w:rFonts w:ascii="Times New Roman" w:hAnsi="Times New Roman" w:cs="Times New Roman"/>
          <w:szCs w:val="24"/>
        </w:rPr>
        <w:t xml:space="preserve">821, z </w:t>
      </w:r>
      <w:proofErr w:type="spellStart"/>
      <w:r w:rsidRPr="004B60CA">
        <w:rPr>
          <w:rFonts w:ascii="Times New Roman" w:hAnsi="Times New Roman" w:cs="Times New Roman"/>
          <w:szCs w:val="24"/>
        </w:rPr>
        <w:t>późn</w:t>
      </w:r>
      <w:proofErr w:type="spellEnd"/>
      <w:r w:rsidRPr="004B60CA">
        <w:rPr>
          <w:rFonts w:ascii="Times New Roman" w:hAnsi="Times New Roman" w:cs="Times New Roman"/>
          <w:szCs w:val="24"/>
        </w:rPr>
        <w:t xml:space="preserve">. zm.), w art. 29 w § 3, jest zmianą analogiczną do zmiany ww. ustawy </w:t>
      </w:r>
      <w:r w:rsidRPr="004B60CA">
        <w:rPr>
          <w:rFonts w:ascii="Times New Roman" w:hAnsi="Times New Roman" w:cs="Times New Roman"/>
          <w:szCs w:val="24"/>
        </w:rPr>
        <w:lastRenderedPageBreak/>
        <w:t>z dnia 6</w:t>
      </w:r>
      <w:r w:rsidR="002D4641">
        <w:rPr>
          <w:rFonts w:ascii="Times New Roman" w:hAnsi="Times New Roman" w:cs="Times New Roman"/>
          <w:szCs w:val="24"/>
        </w:rPr>
        <w:t> </w:t>
      </w:r>
      <w:r w:rsidRPr="004B60CA">
        <w:rPr>
          <w:rFonts w:ascii="Times New Roman" w:hAnsi="Times New Roman" w:cs="Times New Roman"/>
          <w:szCs w:val="24"/>
        </w:rPr>
        <w:t xml:space="preserve">czerwca 1997 r. </w:t>
      </w:r>
      <w:r w:rsidR="002C34E7">
        <w:rPr>
          <w:rFonts w:ascii="Times New Roman" w:hAnsi="Times New Roman" w:cs="Times New Roman"/>
          <w:szCs w:val="24"/>
        </w:rPr>
        <w:t>–</w:t>
      </w:r>
      <w:r w:rsidRPr="004B60CA">
        <w:rPr>
          <w:rFonts w:ascii="Times New Roman" w:hAnsi="Times New Roman" w:cs="Times New Roman"/>
          <w:szCs w:val="24"/>
        </w:rPr>
        <w:t xml:space="preserve"> Kodeks karny i eliminuje obowiązek zwrotu prawa jazdy przez kierującego do organu w przypadku orzeczenia przez sąd zakazu prowadzenia pojazdów i zmienia podejście do sposobu liczenia biegu zakazu. </w:t>
      </w:r>
    </w:p>
    <w:p w14:paraId="783825DE" w14:textId="17C71FAA"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b/>
          <w:szCs w:val="24"/>
        </w:rPr>
        <w:t xml:space="preserve">2) rezygnacji z obowiązku posiadania nalepki kontrolnej </w:t>
      </w:r>
    </w:p>
    <w:p w14:paraId="1D11A12C" w14:textId="089E279C"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eastAsiaTheme="minorHAnsi" w:hAnsi="Times New Roman" w:cs="Times New Roman"/>
          <w:szCs w:val="24"/>
        </w:rPr>
        <w:t>W obecnych realiach funkcjonującego pełnego powiązania procesu rejestracji pojazdów z centralną ewidencją pojazdów oraz wobec zaproponowanej możliwości zachowania dotychczasowego numeru rejestracyjnego pojazdu wcześniej zarejestrowanego na terytorium Rzeczypospolitej Polskiej</w:t>
      </w:r>
      <w:r w:rsidRPr="004B60CA">
        <w:rPr>
          <w:rFonts w:ascii="Times New Roman" w:hAnsi="Times New Roman" w:cs="Times New Roman"/>
          <w:szCs w:val="24"/>
        </w:rPr>
        <w:t xml:space="preserve"> i zniesienia obowiązku wydawania nalepki kontrolnej jednakowo dla wszystkich właścicieli pojazdów </w:t>
      </w:r>
      <w:r w:rsidR="002C34E7">
        <w:rPr>
          <w:rFonts w:ascii="Times New Roman" w:hAnsi="Times New Roman" w:cs="Times New Roman"/>
          <w:szCs w:val="24"/>
        </w:rPr>
        <w:t>–</w:t>
      </w:r>
      <w:r w:rsidRPr="004B60CA">
        <w:rPr>
          <w:rFonts w:ascii="Times New Roman" w:hAnsi="Times New Roman" w:cs="Times New Roman"/>
          <w:szCs w:val="24"/>
        </w:rPr>
        <w:t xml:space="preserve"> </w:t>
      </w:r>
      <w:r w:rsidR="008343AE">
        <w:rPr>
          <w:rFonts w:ascii="Times New Roman" w:hAnsi="Times New Roman" w:cs="Times New Roman"/>
          <w:szCs w:val="24"/>
        </w:rPr>
        <w:t>uznano, że</w:t>
      </w:r>
      <w:r w:rsidRPr="004B60CA">
        <w:rPr>
          <w:rFonts w:ascii="Times New Roman" w:hAnsi="Times New Roman" w:cs="Times New Roman"/>
          <w:szCs w:val="24"/>
        </w:rPr>
        <w:t xml:space="preserve"> brak </w:t>
      </w:r>
      <w:r w:rsidR="008343AE">
        <w:rPr>
          <w:rFonts w:ascii="Times New Roman" w:hAnsi="Times New Roman" w:cs="Times New Roman"/>
          <w:szCs w:val="24"/>
        </w:rPr>
        <w:t xml:space="preserve">jest </w:t>
      </w:r>
      <w:r w:rsidRPr="004B60CA">
        <w:rPr>
          <w:rFonts w:ascii="Times New Roman" w:hAnsi="Times New Roman" w:cs="Times New Roman"/>
          <w:szCs w:val="24"/>
        </w:rPr>
        <w:t>zasadności oznaczania pojazdu nalepką kontrolną</w:t>
      </w:r>
      <w:r w:rsidRPr="004B60CA">
        <w:rPr>
          <w:rFonts w:ascii="Times New Roman" w:eastAsiaTheme="minorHAnsi" w:hAnsi="Times New Roman" w:cs="Times New Roman"/>
          <w:szCs w:val="24"/>
        </w:rPr>
        <w:t>.</w:t>
      </w:r>
      <w:r w:rsidRPr="004B60CA">
        <w:rPr>
          <w:rFonts w:ascii="Times New Roman" w:hAnsi="Times New Roman" w:cs="Times New Roman"/>
          <w:szCs w:val="24"/>
        </w:rPr>
        <w:t xml:space="preserve"> W związku z tym w projekcie ustawy zaproponowano zmianę art. 71 ust. 2, art. 73 ust. 1 i 2b</w:t>
      </w:r>
      <w:r w:rsidR="002C34E7">
        <w:rPr>
          <w:rFonts w:ascii="Times New Roman" w:hAnsi="Times New Roman" w:cs="Times New Roman"/>
          <w:szCs w:val="24"/>
        </w:rPr>
        <w:t>–</w:t>
      </w:r>
      <w:r w:rsidRPr="004B60CA">
        <w:rPr>
          <w:rFonts w:ascii="Times New Roman" w:hAnsi="Times New Roman" w:cs="Times New Roman"/>
          <w:szCs w:val="24"/>
        </w:rPr>
        <w:t>3a, art. 75 ust. 2, art. 76 ust. 1 pkt</w:t>
      </w:r>
      <w:r w:rsidR="002D4641">
        <w:rPr>
          <w:rFonts w:ascii="Times New Roman" w:hAnsi="Times New Roman" w:cs="Times New Roman"/>
          <w:szCs w:val="24"/>
        </w:rPr>
        <w:t> </w:t>
      </w:r>
      <w:r w:rsidRPr="004B60CA">
        <w:rPr>
          <w:rFonts w:ascii="Times New Roman" w:hAnsi="Times New Roman" w:cs="Times New Roman"/>
          <w:szCs w:val="24"/>
        </w:rPr>
        <w:t xml:space="preserve">1 lit. a oraz b i pkt 2 oraz ust. 4 pkt 2, art. 78b pkt 1, art. 79c i art. 80b ust. 1 pkt 9 Prawa o ruchu drogowym. </w:t>
      </w:r>
    </w:p>
    <w:p w14:paraId="4860E1A3" w14:textId="6268305E"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Utrzymywanie nadal obowiązku wydawania dodatkowo nalepki kontrolnej wydaje się niezasadne w stosunku do zakładanego celu przy jej wprowadzaniu przed laty w</w:t>
      </w:r>
      <w:r w:rsidR="002D4641">
        <w:t> </w:t>
      </w:r>
      <w:r w:rsidRPr="004B60CA">
        <w:rPr>
          <w:rFonts w:ascii="Times New Roman" w:hAnsi="Times New Roman" w:cs="Times New Roman"/>
          <w:szCs w:val="24"/>
        </w:rPr>
        <w:t xml:space="preserve">przepisach Prawa o ruchu drogowym. Dlatego też niniejszy projekt przewiduje zmiany w Prawie o ruchu drogowym, które likwidują obowiązek wydawania nalepki kontrolnej w procesie rejestracji pojazdu. </w:t>
      </w:r>
    </w:p>
    <w:p w14:paraId="47BCFD16" w14:textId="366243F2"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W konsekwencji zmiana wprowadzona w art. 80b ust. 1 pkt 9 Praw</w:t>
      </w:r>
      <w:r w:rsidR="00E656EA">
        <w:rPr>
          <w:rFonts w:ascii="Times New Roman" w:hAnsi="Times New Roman" w:cs="Times New Roman"/>
          <w:szCs w:val="24"/>
        </w:rPr>
        <w:t>a</w:t>
      </w:r>
      <w:r w:rsidRPr="004B60CA">
        <w:rPr>
          <w:rFonts w:ascii="Times New Roman" w:hAnsi="Times New Roman" w:cs="Times New Roman"/>
          <w:szCs w:val="24"/>
        </w:rPr>
        <w:t xml:space="preserve"> o ruchu drogowym przewiduje usunięcie nalepki kontrolnej z katalogu danych gromadzonych w centralnej ewidencji pojazdów. Od dnia wejścia niniejszych przepisów w życie nie będzie zatem wprowadzana do centralnej ewidencji pojazdów ani gromadzona w tej ewidencji informacja o nalepce kontrolnej. Dotychczas zgromadzone w ewidencji dane o nalepkach nie zostaną usunięte i będą dostępne dla podmiotów uprawnionych. </w:t>
      </w:r>
    </w:p>
    <w:p w14:paraId="38460AC9" w14:textId="72D55E32"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b/>
          <w:szCs w:val="24"/>
        </w:rPr>
        <w:t>3) nadania raportowi generowanemu z centralnej ewidencji pojazdów, z usługi „Mój Pojazd”</w:t>
      </w:r>
      <w:r w:rsidRPr="004B60CA">
        <w:rPr>
          <w:rFonts w:ascii="Times New Roman" w:hAnsi="Times New Roman" w:cs="Times New Roman"/>
          <w:szCs w:val="24"/>
        </w:rPr>
        <w:t>,</w:t>
      </w:r>
      <w:r w:rsidRPr="004B60CA">
        <w:rPr>
          <w:rFonts w:ascii="Times New Roman" w:hAnsi="Times New Roman" w:cs="Times New Roman"/>
          <w:b/>
          <w:szCs w:val="24"/>
        </w:rPr>
        <w:t xml:space="preserve"> mocy dokumentu potwierdzającego dane zgromadzone w ewidencji </w:t>
      </w:r>
    </w:p>
    <w:p w14:paraId="72189A08" w14:textId="7777777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Obecnie system CEPiK2.0 udostępnia usługi, które wymagają uwierzytelnienia. Usługa „Mój Pojazd” udostępnia możliwość wygenerowania w pliku pdf raportu o posiadanych pojazdach wraz z danymi tych pojazdów. Obecnie raport ten nie potwierdza formalnie danych zgormadzonych w centralnej ewidencji pojazdów. </w:t>
      </w:r>
    </w:p>
    <w:p w14:paraId="34DA1D04" w14:textId="1FDCE263"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lastRenderedPageBreak/>
        <w:t>Projekt ustawy, w celu wprowadzenia ułatwień dla obywateli, przewiduje nadanie raportowi z ww. usługi mocy dokumentu urzędowego. W tym zakresie wprowadzono zmianę w art. 80cb Prawa o ruchu drogowym wskazującą, że raport generowany z</w:t>
      </w:r>
      <w:r w:rsidR="00343BE2">
        <w:rPr>
          <w:rFonts w:ascii="Times New Roman" w:hAnsi="Times New Roman" w:cs="Times New Roman"/>
          <w:szCs w:val="24"/>
        </w:rPr>
        <w:t> </w:t>
      </w:r>
      <w:r w:rsidRPr="004B60CA">
        <w:rPr>
          <w:rFonts w:ascii="Times New Roman" w:hAnsi="Times New Roman" w:cs="Times New Roman"/>
          <w:szCs w:val="24"/>
        </w:rPr>
        <w:t xml:space="preserve">systemu teleinformatycznego potwierdza dane zgromadzone w ewidencji i nie wymaga podpisu ani pieczęci. Zmiana pozwoli obywatelowi uzyskać potwierdzenie danych dotyczących posiadanych pojazdów bez konieczności składania wniosku. </w:t>
      </w:r>
    </w:p>
    <w:p w14:paraId="2E9802E3" w14:textId="7E8BA8B5"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b/>
          <w:szCs w:val="24"/>
        </w:rPr>
        <w:t xml:space="preserve">4) wprowadzenia nowej usługi rejestracji online pojazdu zakupionego w salonie sprzedaży pojazdów samochodowych, która umożliwi rejestrację pojazdu nowego w imieniu kupującego przez ten salon </w:t>
      </w:r>
    </w:p>
    <w:p w14:paraId="18B38F8A" w14:textId="1513D79A"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Kolejnym wprowadzanym odciążeniem od obowiązków administracyjnych dla obywateli jest możliwość złożenia wniosku o rejestrację pojazdu oraz odbioru z urzędu obsługującego organ rejestrujący decyzji o czasowej rejestracji pojazdu, wraz z</w:t>
      </w:r>
      <w:r w:rsidR="00343BE2">
        <w:rPr>
          <w:rFonts w:ascii="Times New Roman" w:hAnsi="Times New Roman" w:cs="Times New Roman"/>
          <w:szCs w:val="24"/>
        </w:rPr>
        <w:t> </w:t>
      </w:r>
      <w:r w:rsidRPr="004B60CA">
        <w:rPr>
          <w:rFonts w:ascii="Times New Roman" w:hAnsi="Times New Roman" w:cs="Times New Roman"/>
          <w:szCs w:val="24"/>
        </w:rPr>
        <w:t xml:space="preserve">pozwoleniem czasowym i zalegalizowanymi tablicami (tablicą) rejestracyjnymi, przez salon sprzedaży pojazdów samochodowych (nowy art. 73c w Prawie o ruchu drogowym). Wniosek o rejestrację pojazdu będzie składał salon sprzedaży pojazdów samochodowych lub uprawniony przedstawiciel salonu przy użyciu formularza elektronicznego udostępnionego w systemie teleinformatycznym wskazanym na stronie podmiotowej Biuletynu Informacji Publicznej ministra właściwego do spraw informatyzacji. Wzór wniosku w formie dokumentu elektronicznego w rozumieniu ustawy z dnia 17 lutego 2005 r. o informatyzacji działalności podmiotów realizujących zadania publiczne (Dz. U. z 2020 r. poz. 346, z </w:t>
      </w:r>
      <w:proofErr w:type="spellStart"/>
      <w:r w:rsidRPr="004B60CA">
        <w:rPr>
          <w:rFonts w:ascii="Times New Roman" w:hAnsi="Times New Roman" w:cs="Times New Roman"/>
          <w:szCs w:val="24"/>
        </w:rPr>
        <w:t>późn</w:t>
      </w:r>
      <w:proofErr w:type="spellEnd"/>
      <w:r w:rsidRPr="004B60CA">
        <w:rPr>
          <w:rFonts w:ascii="Times New Roman" w:hAnsi="Times New Roman" w:cs="Times New Roman"/>
          <w:szCs w:val="24"/>
        </w:rPr>
        <w:t xml:space="preserve">. zm.) określi minister właściwy do spraw informatyzacji, po zasięgnięciu opinii ministra właściwego do spraw transportu. Upoważnienie do złożenia wniosku o rejestrację pojazdu musi zostać opatrzone odpowiednio podpisem własnoręcznym, kwalifikowanym podpisem elektronicznym, podpisem zaufanym albo podpisem osobistym, a sam wniosek złożony powinien zostać przez salon sprzedaży pojazdów niezwłocznie. </w:t>
      </w:r>
    </w:p>
    <w:p w14:paraId="3B966924" w14:textId="3DEADE48"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Wniosek musi zawierać: imię i nazwisko lub nazwę właściciela, jego adres, adres do doręczeń, numer PESEL lub numer identyfikacyjny REGON, a w przypadku cudzoziemca, który nie ma nadanego numeru PESEL </w:t>
      </w:r>
      <w:r w:rsidR="002C34E7">
        <w:rPr>
          <w:rFonts w:ascii="Times New Roman" w:hAnsi="Times New Roman" w:cs="Times New Roman"/>
          <w:szCs w:val="24"/>
        </w:rPr>
        <w:t>–</w:t>
      </w:r>
      <w:r w:rsidRPr="004B60CA">
        <w:rPr>
          <w:rFonts w:ascii="Times New Roman" w:hAnsi="Times New Roman" w:cs="Times New Roman"/>
          <w:szCs w:val="24"/>
        </w:rPr>
        <w:t xml:space="preserve"> seri</w:t>
      </w:r>
      <w:r w:rsidR="00E656EA">
        <w:rPr>
          <w:rFonts w:ascii="Times New Roman" w:hAnsi="Times New Roman" w:cs="Times New Roman"/>
          <w:szCs w:val="24"/>
        </w:rPr>
        <w:t>ę</w:t>
      </w:r>
      <w:r w:rsidRPr="004B60CA">
        <w:rPr>
          <w:rFonts w:ascii="Times New Roman" w:hAnsi="Times New Roman" w:cs="Times New Roman"/>
          <w:szCs w:val="24"/>
        </w:rPr>
        <w:t xml:space="preserve">, numer i nazwę dokumentu potwierdzającego jego tożsamość oraz nazwę państwa, które wydało ten dokument, datę i miejsce urodzenia właściciela pojazdu oraz określenie rodzaju pojazdu i jego </w:t>
      </w:r>
      <w:r w:rsidRPr="004B60CA">
        <w:rPr>
          <w:rFonts w:ascii="Times New Roman" w:hAnsi="Times New Roman" w:cs="Times New Roman"/>
          <w:szCs w:val="24"/>
        </w:rPr>
        <w:lastRenderedPageBreak/>
        <w:t xml:space="preserve">przeznaczenie, markę, typ, model pojazdu, rok jego produkcji, numer VIN albo numer nadwozia, podwozia lub ramy pojazdu. </w:t>
      </w:r>
    </w:p>
    <w:p w14:paraId="144C52E9" w14:textId="1BDDCCC5"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We wniosku zawiera się informację o sposobie odbioru przez właściciela pojazdu decyzji o rejestracji pojazdu i dowodu rejestracyjnego – w urzędzie obsługującym organ rejestrujący albo za pośrednictwem operatora pocztowego w rozumieniu ustawy z dnia 23 listopada 2012 r. – Prawo pocztowe (Dz. U. z 2018 r. poz. 2188, z </w:t>
      </w:r>
      <w:proofErr w:type="spellStart"/>
      <w:r w:rsidRPr="004B60CA">
        <w:rPr>
          <w:rFonts w:ascii="Times New Roman" w:hAnsi="Times New Roman" w:cs="Times New Roman"/>
          <w:szCs w:val="24"/>
        </w:rPr>
        <w:t>późn</w:t>
      </w:r>
      <w:proofErr w:type="spellEnd"/>
      <w:r w:rsidRPr="004B60CA">
        <w:rPr>
          <w:rFonts w:ascii="Times New Roman" w:hAnsi="Times New Roman" w:cs="Times New Roman"/>
          <w:szCs w:val="24"/>
        </w:rPr>
        <w:t>. zm.) na koszt odbiorcy. We wniosku są też informacje o sposobie odbioru decyzji o czasowej rejestracji pojazdu, pozwolenia czasowego i zalegalizowanych tablic (tablicy) rejestracyjnych – w</w:t>
      </w:r>
      <w:r w:rsidR="00343BE2">
        <w:rPr>
          <w:rFonts w:ascii="Times New Roman" w:hAnsi="Times New Roman" w:cs="Times New Roman"/>
          <w:szCs w:val="24"/>
        </w:rPr>
        <w:t> </w:t>
      </w:r>
      <w:r w:rsidRPr="004B60CA">
        <w:rPr>
          <w:rFonts w:ascii="Times New Roman" w:hAnsi="Times New Roman" w:cs="Times New Roman"/>
          <w:szCs w:val="24"/>
        </w:rPr>
        <w:t>urzędzie obsługującym organ rejestrujący przez salon sprzedaży pojazdów samochodowych lub jego uprawnionego przedstawiciela albo przez właściciela pojazdu, albo za pośrednictwem operatora pocztowego, po przesłaniu ich przez organ rejestrujący na adres salonu sprzedaży pojazdów samochodowych lub jego uprawnionego przedstawiciela albo na adres do doręczeń, wskazane we wniosku o rejestrację pojazdu.</w:t>
      </w:r>
    </w:p>
    <w:p w14:paraId="4F157D66" w14:textId="7777777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Do wniosku załącza się w postaci elektronicznej oryginał lub kopię upoważnienia, dowodu nabycia pojazdu, dokumenty, o których mowa w art. 72 ust. 1 pkt 3, 6 albo 6a lub ust. 1b, potwierdzenia dokonania wymaganej opłaty za wydanie pozwolenia czasowego, zalegalizowanych tablic (tablicy) rejestracyjnych i dowodu rejestracyjnego oraz potwierdzenia dokonania wymaganej opłaty ewidencyjnej i opłaty skarbowej za udzielone pełnomocnictwo. Opłaty będą stanowiły koszt właściciela pojazdu. Wniosek może zawierać wskazanie, że właściciel pojazdu wnosi o wydanie: indywidualnych tablic rejestracyjnych, tablic samochodowych zmniejszonych i dodatkowej tablicy rejestracyjnej do oznaczenia bagażnika zakrywającego tylną tablicę rejestracyjną. </w:t>
      </w:r>
    </w:p>
    <w:p w14:paraId="06789A35" w14:textId="1B4EA02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W projekcie określono także sposób przekazywania przez organ rejestrujący decyzji </w:t>
      </w:r>
      <w:r w:rsidRPr="004B60CA">
        <w:rPr>
          <w:rFonts w:ascii="Times New Roman" w:hAnsi="Times New Roman" w:cs="Times New Roman"/>
          <w:szCs w:val="24"/>
        </w:rPr>
        <w:br/>
        <w:t>o czasowej rejestracji pojazdu wraz z pozwoleniem czasowym i zalegalizowanymi tablicami (tablicą) rejestracyjnymi. Organ rejestrujący przekazuje je salonowi sprzedaży pojazdów samochodowych lub jego uprawnionemu przedstawicielowi albo przesyła na adres salonu sprzedaży pojazdów samochodowych lub adres jego uprawnionego przedstawiciela, wskazane we wniosku o rejestrację pojazdu, za pośrednictwem operatora pocztowego na koszt odbiorcy, albo przekazuje właścicielowi pojazdu, albo przesyła właścicielowi pojazdu na adres do doręczeń wskazany we wniosku o rejestrację pojazdu za pośrednictwem operatora pocztowego na koszt odbiorcy.</w:t>
      </w:r>
    </w:p>
    <w:p w14:paraId="5BC0A929" w14:textId="77777777" w:rsidR="00697F11" w:rsidRPr="004B60CA" w:rsidRDefault="00697F11" w:rsidP="004B60CA">
      <w:pPr>
        <w:pStyle w:val="ARTartustawynprozporzdzenia"/>
        <w:ind w:firstLine="0"/>
        <w:rPr>
          <w:rFonts w:ascii="Times New Roman" w:hAnsi="Times New Roman" w:cs="Times New Roman"/>
          <w:szCs w:val="24"/>
        </w:rPr>
      </w:pPr>
      <w:r w:rsidRPr="004B60CA">
        <w:rPr>
          <w:rFonts w:ascii="Times New Roman" w:hAnsi="Times New Roman" w:cs="Times New Roman"/>
          <w:szCs w:val="24"/>
        </w:rPr>
        <w:lastRenderedPageBreak/>
        <w:t>Natomiast decyzję o rejestracji pojazdu i dowód rejestracyjny właściciel pojazdu odbiera w urzędzie obsługującym organ rejestrujący albo organ rejestrujący przesyła te dokumenty na adres do doręczeń podany we wniosku o rejestrację pojazdu za pośrednictwem operatora pocztowego na koszt odbiorcy. Odbiór dokumentów odbywa się stosownie do zaprojektowanych przepisów za pośrednictwem operatora pocztowego w rozumieniu ustawy z dnia 23 listopada 2012 r. – Prawo pocztowe.</w:t>
      </w:r>
    </w:p>
    <w:p w14:paraId="092675CC" w14:textId="765E56F4" w:rsidR="00697F11" w:rsidRPr="004B60CA" w:rsidRDefault="00697F11" w:rsidP="004B60CA">
      <w:pPr>
        <w:pStyle w:val="USTustnpkodeksu"/>
        <w:spacing w:before="120"/>
        <w:ind w:firstLine="0"/>
        <w:rPr>
          <w:rStyle w:val="Ppogrubienie"/>
          <w:rFonts w:ascii="Times New Roman" w:hAnsi="Times New Roman" w:cs="Times New Roman"/>
          <w:szCs w:val="24"/>
        </w:rPr>
      </w:pPr>
      <w:r w:rsidRPr="004B60CA">
        <w:rPr>
          <w:rStyle w:val="Ppogrubienie"/>
          <w:rFonts w:ascii="Times New Roman" w:hAnsi="Times New Roman" w:cs="Times New Roman"/>
          <w:szCs w:val="24"/>
        </w:rPr>
        <w:t xml:space="preserve">5) zmiany ustawy z dnia 17 lutego 2005 r. o informatyzacji działalności podmiotów realizujących zadania publiczne </w:t>
      </w:r>
    </w:p>
    <w:p w14:paraId="2381B5CE" w14:textId="5E66224F" w:rsidR="00697F11" w:rsidRPr="004B60CA" w:rsidRDefault="00697F11" w:rsidP="004B60CA">
      <w:pPr>
        <w:pStyle w:val="USTustnpkodeksu"/>
        <w:spacing w:before="120"/>
        <w:ind w:firstLine="0"/>
        <w:rPr>
          <w:rFonts w:ascii="Times New Roman" w:hAnsi="Times New Roman" w:cs="Times New Roman"/>
          <w:szCs w:val="24"/>
          <w:lang w:bidi="pl-PL"/>
        </w:rPr>
      </w:pPr>
      <w:r w:rsidRPr="004B60CA">
        <w:rPr>
          <w:rFonts w:ascii="Times New Roman" w:hAnsi="Times New Roman" w:cs="Times New Roman"/>
          <w:szCs w:val="24"/>
        </w:rPr>
        <w:t xml:space="preserve">W projekcie zaproponowano dodanie w art. 19e ust. 2e oraz zmianę art. 19g w ww. ustawie. </w:t>
      </w:r>
      <w:r w:rsidRPr="004B60CA">
        <w:rPr>
          <w:rFonts w:ascii="Times New Roman" w:hAnsi="Times New Roman" w:cs="Times New Roman"/>
          <w:szCs w:val="24"/>
          <w:lang w:bidi="pl-PL"/>
        </w:rPr>
        <w:t>Zmian</w:t>
      </w:r>
      <w:r w:rsidRPr="004B60CA">
        <w:rPr>
          <w:rFonts w:ascii="Times New Roman" w:hAnsi="Times New Roman" w:cs="Times New Roman"/>
          <w:szCs w:val="24"/>
        </w:rPr>
        <w:t xml:space="preserve">y są </w:t>
      </w:r>
      <w:r w:rsidRPr="004B60CA">
        <w:rPr>
          <w:rFonts w:ascii="Times New Roman" w:hAnsi="Times New Roman" w:cs="Times New Roman"/>
          <w:szCs w:val="24"/>
          <w:lang w:bidi="pl-PL"/>
        </w:rPr>
        <w:t>związan</w:t>
      </w:r>
      <w:r w:rsidRPr="004B60CA">
        <w:rPr>
          <w:rFonts w:ascii="Times New Roman" w:hAnsi="Times New Roman" w:cs="Times New Roman"/>
          <w:szCs w:val="24"/>
        </w:rPr>
        <w:t>e</w:t>
      </w:r>
      <w:r w:rsidRPr="004B60CA">
        <w:rPr>
          <w:rFonts w:ascii="Times New Roman" w:hAnsi="Times New Roman" w:cs="Times New Roman"/>
          <w:szCs w:val="24"/>
          <w:lang w:bidi="pl-PL"/>
        </w:rPr>
        <w:t xml:space="preserve"> z pracami Ministra Cyfryzacji mającymi na celu dalszy rozwój usług świadczonych obywatelom za pośrednictwem publicznej aplikacji mobilnej. Dążeniem Ministra Cyfryzacji jest zapewnienie podstawy prawnej pozwalającej na świadczenie usługi operującej na danych dotyczących obywatela, jego sytuacji prawnej lub praw mu przysługujących, które pobrane zostaną z rejestru publicznego </w:t>
      </w:r>
      <w:r w:rsidRPr="004B60CA">
        <w:rPr>
          <w:rFonts w:ascii="Times New Roman" w:hAnsi="Times New Roman" w:cs="Times New Roman"/>
          <w:szCs w:val="24"/>
        </w:rPr>
        <w:t xml:space="preserve">prowadzonego </w:t>
      </w:r>
      <w:r w:rsidRPr="004B60CA">
        <w:rPr>
          <w:rFonts w:ascii="Times New Roman" w:hAnsi="Times New Roman" w:cs="Times New Roman"/>
          <w:szCs w:val="24"/>
          <w:lang w:bidi="pl-PL"/>
        </w:rPr>
        <w:t>lub z systemu teleinformatycznego</w:t>
      </w:r>
      <w:r w:rsidRPr="004B60CA">
        <w:rPr>
          <w:rFonts w:ascii="Times New Roman" w:hAnsi="Times New Roman" w:cs="Times New Roman"/>
          <w:szCs w:val="24"/>
        </w:rPr>
        <w:t xml:space="preserve"> wykorzystywanego</w:t>
      </w:r>
      <w:r w:rsidRPr="004B60CA">
        <w:rPr>
          <w:rFonts w:ascii="Times New Roman" w:hAnsi="Times New Roman" w:cs="Times New Roman"/>
          <w:szCs w:val="24"/>
          <w:lang w:bidi="pl-PL"/>
        </w:rPr>
        <w:t xml:space="preserve"> przez podmiot publiczny. Zgodnie z art. 51 ust. 3 Konstytucji R</w:t>
      </w:r>
      <w:r w:rsidRPr="004B60CA">
        <w:rPr>
          <w:rFonts w:ascii="Times New Roman" w:hAnsi="Times New Roman" w:cs="Times New Roman"/>
          <w:szCs w:val="24"/>
        </w:rPr>
        <w:t xml:space="preserve">zeczypospolitej </w:t>
      </w:r>
      <w:r w:rsidRPr="004B60CA">
        <w:rPr>
          <w:rFonts w:ascii="Times New Roman" w:hAnsi="Times New Roman" w:cs="Times New Roman"/>
          <w:szCs w:val="24"/>
          <w:lang w:bidi="pl-PL"/>
        </w:rPr>
        <w:t>P</w:t>
      </w:r>
      <w:r w:rsidRPr="004B60CA">
        <w:rPr>
          <w:rFonts w:ascii="Times New Roman" w:hAnsi="Times New Roman" w:cs="Times New Roman"/>
          <w:szCs w:val="24"/>
        </w:rPr>
        <w:t>olskiej</w:t>
      </w:r>
      <w:r w:rsidRPr="004B60CA">
        <w:rPr>
          <w:rFonts w:ascii="Times New Roman" w:hAnsi="Times New Roman" w:cs="Times New Roman"/>
          <w:szCs w:val="24"/>
          <w:lang w:bidi="pl-PL"/>
        </w:rPr>
        <w:t xml:space="preserve"> każdy ma prawo dostępu do dotyczących go urzędowych dokumentów i zbiorów danych, a</w:t>
      </w:r>
      <w:r w:rsidR="00293B00">
        <w:rPr>
          <w:rFonts w:ascii="Times New Roman" w:hAnsi="Times New Roman" w:cs="Times New Roman"/>
          <w:szCs w:val="24"/>
          <w:lang w:bidi="pl-PL"/>
        </w:rPr>
        <w:t> </w:t>
      </w:r>
      <w:r w:rsidRPr="004B60CA">
        <w:rPr>
          <w:rFonts w:ascii="Times New Roman" w:hAnsi="Times New Roman" w:cs="Times New Roman"/>
          <w:szCs w:val="24"/>
          <w:lang w:bidi="pl-PL"/>
        </w:rPr>
        <w:t xml:space="preserve">ograniczenie tego prawa może określić ustawa. Stosownie zaś do ust. 5 wyżej wspominanego artykułu Konstytucji, zasady i tryb gromadzenia oraz udostępniania informacji </w:t>
      </w:r>
      <w:r w:rsidRPr="004B60CA">
        <w:rPr>
          <w:rFonts w:ascii="Times New Roman" w:hAnsi="Times New Roman" w:cs="Times New Roman"/>
          <w:szCs w:val="24"/>
        </w:rPr>
        <w:t xml:space="preserve">są </w:t>
      </w:r>
      <w:r w:rsidRPr="004B60CA">
        <w:rPr>
          <w:rFonts w:ascii="Times New Roman" w:hAnsi="Times New Roman" w:cs="Times New Roman"/>
          <w:szCs w:val="24"/>
          <w:lang w:bidi="pl-PL"/>
        </w:rPr>
        <w:t>określane w ustawach. Mając powyższe na uwadze</w:t>
      </w:r>
      <w:r w:rsidR="00106A66">
        <w:rPr>
          <w:rFonts w:ascii="Times New Roman" w:hAnsi="Times New Roman" w:cs="Times New Roman"/>
          <w:szCs w:val="24"/>
          <w:lang w:bidi="pl-PL"/>
        </w:rPr>
        <w:t>,</w:t>
      </w:r>
      <w:r w:rsidRPr="004B60CA">
        <w:rPr>
          <w:rFonts w:ascii="Times New Roman" w:hAnsi="Times New Roman" w:cs="Times New Roman"/>
          <w:szCs w:val="24"/>
          <w:lang w:bidi="pl-PL"/>
        </w:rPr>
        <w:t xml:space="preserve"> przyjęto za dopuszczalne i zasadne dążenie do świadczenia, przy użyciu publicznej aplikacji mobilnej, usług wykorzys</w:t>
      </w:r>
      <w:r w:rsidRPr="004B60CA">
        <w:rPr>
          <w:rFonts w:ascii="Times New Roman" w:hAnsi="Times New Roman" w:cs="Times New Roman"/>
          <w:szCs w:val="24"/>
        </w:rPr>
        <w:t>t</w:t>
      </w:r>
      <w:r w:rsidRPr="004B60CA">
        <w:rPr>
          <w:rFonts w:ascii="Times New Roman" w:hAnsi="Times New Roman" w:cs="Times New Roman"/>
          <w:szCs w:val="24"/>
          <w:lang w:bidi="pl-PL"/>
        </w:rPr>
        <w:t>ujących dane, do których każdy obywatel powinien mieć zapewniony dostęp w ramach uprawnienia wynikającego wprost z ustawy zasadniczej.</w:t>
      </w:r>
    </w:p>
    <w:p w14:paraId="42285722" w14:textId="273F034A" w:rsidR="00697F11" w:rsidRPr="004B60CA" w:rsidRDefault="00697F11" w:rsidP="004B60CA">
      <w:pPr>
        <w:pStyle w:val="USTustnpkodeksu"/>
        <w:spacing w:before="120"/>
        <w:ind w:firstLine="0"/>
        <w:rPr>
          <w:rFonts w:ascii="Times New Roman" w:hAnsi="Times New Roman" w:cs="Times New Roman"/>
          <w:szCs w:val="24"/>
          <w:lang w:bidi="pl-PL"/>
        </w:rPr>
      </w:pPr>
      <w:r w:rsidRPr="004B60CA">
        <w:rPr>
          <w:rFonts w:ascii="Times New Roman" w:hAnsi="Times New Roman" w:cs="Times New Roman"/>
          <w:szCs w:val="24"/>
          <w:lang w:bidi="pl-PL"/>
        </w:rPr>
        <w:t>Możliwość świadczenia takiej usługi proponuje się uzależnić od łącznego spełnienia dwóch warunków</w:t>
      </w:r>
      <w:r w:rsidRPr="004B60CA">
        <w:rPr>
          <w:rFonts w:ascii="Times New Roman" w:hAnsi="Times New Roman" w:cs="Times New Roman"/>
          <w:szCs w:val="24"/>
        </w:rPr>
        <w:t xml:space="preserve"> w celu zwiększenia m.in. bezpieczeństwa przetwarzania danych</w:t>
      </w:r>
      <w:r w:rsidRPr="004B60CA">
        <w:rPr>
          <w:rFonts w:ascii="Times New Roman" w:hAnsi="Times New Roman" w:cs="Times New Roman"/>
          <w:szCs w:val="24"/>
          <w:lang w:bidi="pl-PL"/>
        </w:rPr>
        <w:t xml:space="preserve">. Pierwszy warunek to istnienie stanu prawnego, z którego wynika możliwość udostępnienia obywatelowi takich danych przy wykorzystaniu usługi online lub na wniosek, albo gdy przepisy prawa nie stoją na przeszkodzie udostępnieniu obywatelowi takich danych. Drugi warunek to dopuszczalność świadczenia takiej usługi tylko obywatelowi, który wyrazi taką wolę, a jego tożsamość zostanie uprzednio potwierdzona w drodze uwierzytelnienia w publicznej aplikacji mobilnej w sposób określony w art. 20a ust. 1 ustawy z dnia 17 lutego 2005 r. o informatyzacji działalności </w:t>
      </w:r>
      <w:r w:rsidRPr="004B60CA">
        <w:rPr>
          <w:rFonts w:ascii="Times New Roman" w:hAnsi="Times New Roman" w:cs="Times New Roman"/>
          <w:szCs w:val="24"/>
          <w:lang w:bidi="pl-PL"/>
        </w:rPr>
        <w:lastRenderedPageBreak/>
        <w:t>podmiotów realizujących zadania publiczne. Publiczna aplikacja mobilna przez wprowadzone zabezpieczenia zapewnia bezpieczeństwo</w:t>
      </w:r>
      <w:r w:rsidRPr="004B60CA">
        <w:rPr>
          <w:rFonts w:ascii="Times New Roman" w:hAnsi="Times New Roman" w:cs="Times New Roman"/>
          <w:szCs w:val="24"/>
        </w:rPr>
        <w:t xml:space="preserve"> wykonywanych operacji</w:t>
      </w:r>
      <w:r w:rsidRPr="004B60CA">
        <w:rPr>
          <w:rFonts w:ascii="Times New Roman" w:hAnsi="Times New Roman" w:cs="Times New Roman"/>
          <w:szCs w:val="24"/>
          <w:lang w:bidi="pl-PL"/>
        </w:rPr>
        <w:t>.</w:t>
      </w:r>
    </w:p>
    <w:p w14:paraId="20A38F24" w14:textId="25E33B86"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lang w:bidi="pl-PL"/>
        </w:rPr>
        <w:t>Realizacja usługi będzie wymagała współpracy Ministra Cyfryzacji z podmiotami</w:t>
      </w:r>
      <w:r w:rsidRPr="004B60CA">
        <w:rPr>
          <w:rFonts w:ascii="Times New Roman" w:hAnsi="Times New Roman" w:cs="Times New Roman"/>
          <w:szCs w:val="24"/>
        </w:rPr>
        <w:t>,</w:t>
      </w:r>
      <w:r w:rsidRPr="004B60CA">
        <w:rPr>
          <w:rFonts w:ascii="Times New Roman" w:hAnsi="Times New Roman" w:cs="Times New Roman"/>
          <w:szCs w:val="24"/>
          <w:lang w:bidi="pl-PL"/>
        </w:rPr>
        <w:t xml:space="preserve"> do właściwości których należy przetwarzanie danych wykorzystywanych w takiej usłudze. W związku z powyższym proponuje się uzupełnienie brzmienia art. 19g ust. 1 i 2 ustawy z dnia 17 lutego 2005 r. o informatyzacji działalności podmiotów realizujących zadania publiczne w sposób wskazujący na realizację takich usług na podstawie porozumienia zawartego między wspomnianymi wyżej podmiotami.</w:t>
      </w:r>
    </w:p>
    <w:p w14:paraId="3DB71F1C" w14:textId="77777777"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 xml:space="preserve">Ministerstwo Cyfryzacji, zmierzając konsekwentnie do rozwoju publicznej aplikacji mobilnej, bierze pod uwagę, że publiczna aplikacja mobilna jest oprogramowaniem coraz częściej wykorzystywanym przez Polaków. Sukces publicznej aplikacji mobilnej powoduje, że rośnie oczekiwanie obywateli, że będzie ona zawierała coraz więcej użytecznych dokumentów elektronicznych oraz funkcjonalności. </w:t>
      </w:r>
    </w:p>
    <w:p w14:paraId="35315681" w14:textId="18547840"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Rozwój funkcjonalności aplikacji mobilnej jest jednocześnie elementem zwiększającym innowacyjność sektora administracji publicznej. Jak pokazuje przykład m.in. e-recepty oraz usługi „Mój Pojazd</w:t>
      </w:r>
      <w:r w:rsidR="00FC69F9">
        <w:rPr>
          <w:rFonts w:ascii="Times New Roman" w:hAnsi="Times New Roman" w:cs="Times New Roman"/>
          <w:szCs w:val="24"/>
        </w:rPr>
        <w:t>”</w:t>
      </w:r>
      <w:r w:rsidRPr="004B60CA">
        <w:rPr>
          <w:rFonts w:ascii="Times New Roman" w:hAnsi="Times New Roman" w:cs="Times New Roman"/>
          <w:szCs w:val="24"/>
        </w:rPr>
        <w:t>, połączenie wymiany danych zawartych w systemach administracji publicznych przez wiele instytucji w celu obsługi obywatela bez konieczności wymagania dodatkowych zaświadczeń lub dokumentów papierowych, z</w:t>
      </w:r>
      <w:r w:rsidR="00F15931">
        <w:rPr>
          <w:rFonts w:ascii="Times New Roman" w:hAnsi="Times New Roman" w:cs="Times New Roman"/>
          <w:szCs w:val="24"/>
        </w:rPr>
        <w:t> </w:t>
      </w:r>
      <w:r w:rsidRPr="004B60CA">
        <w:rPr>
          <w:rFonts w:ascii="Times New Roman" w:hAnsi="Times New Roman" w:cs="Times New Roman"/>
          <w:szCs w:val="24"/>
        </w:rPr>
        <w:t xml:space="preserve">jednoczesną możliwością udostępnienia tych dokumentów w postaci elektronicznej za pomocą sprawnego i użytecznego narzędzia – którą daje publiczna aplikacja mobilna </w:t>
      </w:r>
      <w:r w:rsidR="002C34E7">
        <w:rPr>
          <w:rFonts w:ascii="Times New Roman" w:hAnsi="Times New Roman" w:cs="Times New Roman"/>
          <w:szCs w:val="24"/>
        </w:rPr>
        <w:t>–</w:t>
      </w:r>
      <w:r w:rsidRPr="004B60CA">
        <w:rPr>
          <w:rFonts w:ascii="Times New Roman" w:hAnsi="Times New Roman" w:cs="Times New Roman"/>
          <w:szCs w:val="24"/>
        </w:rPr>
        <w:t xml:space="preserve"> są gwarantem skuteczności cyfryzacji tak administracji, jak i społeczeństwa. </w:t>
      </w:r>
    </w:p>
    <w:p w14:paraId="40D06AD4" w14:textId="3B9A5156"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Nowe przepisy zawarte w dodanym ust. 2e w art. 19e ustawy z dnia 17 lutego 2005 r. o</w:t>
      </w:r>
      <w:r w:rsidR="00F15931">
        <w:rPr>
          <w:rFonts w:ascii="Times New Roman" w:hAnsi="Times New Roman" w:cs="Times New Roman"/>
          <w:szCs w:val="24"/>
        </w:rPr>
        <w:t> </w:t>
      </w:r>
      <w:r w:rsidRPr="004B60CA">
        <w:rPr>
          <w:rFonts w:ascii="Times New Roman" w:hAnsi="Times New Roman" w:cs="Times New Roman"/>
          <w:szCs w:val="24"/>
        </w:rPr>
        <w:t xml:space="preserve">informatyzacji działalności podmiotów realizujących zadania publiczne zwiększą możliwości dostarczenia obywatelom coraz to lepszych i użytecznych usług za pomocą publicznej aplikacji mobilnej. Przepisy mają charakter ramowy, pozwalający na dostosowanie funkcjonalności publicznej aplikacji mobilnej do konkretnych potrzeb. </w:t>
      </w:r>
    </w:p>
    <w:p w14:paraId="169F2A4C" w14:textId="0B62C3FE"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W wyniku konsultacji i uzgodnień niniejszego projektu dokonano zmiany w ustawie z</w:t>
      </w:r>
      <w:r w:rsidR="00F15931">
        <w:rPr>
          <w:rFonts w:ascii="Times New Roman" w:hAnsi="Times New Roman" w:cs="Times New Roman"/>
          <w:szCs w:val="24"/>
        </w:rPr>
        <w:t> </w:t>
      </w:r>
      <w:r w:rsidRPr="004B60CA">
        <w:rPr>
          <w:rFonts w:ascii="Times New Roman" w:hAnsi="Times New Roman" w:cs="Times New Roman"/>
          <w:szCs w:val="24"/>
        </w:rPr>
        <w:t>dnia 20 stycznia 2005 r. o recyklingu pojazdów wycofanych z eksploatacji, uwzględniając:</w:t>
      </w:r>
    </w:p>
    <w:p w14:paraId="732672EF" w14:textId="4DC2257D" w:rsidR="00697F11" w:rsidRPr="004B60CA" w:rsidRDefault="002C34E7" w:rsidP="004B60CA">
      <w:pPr>
        <w:pStyle w:val="USTustnpkodeksu"/>
        <w:tabs>
          <w:tab w:val="left" w:pos="280"/>
        </w:tabs>
        <w:ind w:firstLine="0"/>
        <w:rPr>
          <w:rFonts w:ascii="Times New Roman" w:hAnsi="Times New Roman" w:cs="Times New Roman"/>
          <w:szCs w:val="24"/>
        </w:rPr>
      </w:pPr>
      <w:r>
        <w:rPr>
          <w:rFonts w:ascii="Times New Roman" w:hAnsi="Times New Roman" w:cs="Times New Roman"/>
          <w:szCs w:val="24"/>
        </w:rPr>
        <w:t>–</w:t>
      </w:r>
      <w:r w:rsidR="00FC69F9">
        <w:rPr>
          <w:rFonts w:ascii="Times New Roman" w:hAnsi="Times New Roman" w:cs="Times New Roman"/>
          <w:szCs w:val="24"/>
        </w:rPr>
        <w:tab/>
      </w:r>
      <w:r w:rsidR="00697F11" w:rsidRPr="004B60CA">
        <w:rPr>
          <w:rFonts w:ascii="Times New Roman" w:hAnsi="Times New Roman" w:cs="Times New Roman"/>
          <w:szCs w:val="24"/>
        </w:rPr>
        <w:t>potrzebę zmiany, a nie uchylania art. 10 w tej ustawie,</w:t>
      </w:r>
    </w:p>
    <w:p w14:paraId="2514260C" w14:textId="00003B57" w:rsidR="00697F11" w:rsidRPr="004B60CA" w:rsidRDefault="002C34E7" w:rsidP="004B60CA">
      <w:pPr>
        <w:pStyle w:val="USTustnpkodeksu"/>
        <w:tabs>
          <w:tab w:val="left" w:pos="280"/>
        </w:tabs>
        <w:ind w:left="280" w:hanging="280"/>
        <w:rPr>
          <w:rFonts w:ascii="Times New Roman" w:hAnsi="Times New Roman" w:cs="Times New Roman"/>
          <w:szCs w:val="24"/>
        </w:rPr>
      </w:pPr>
      <w:r>
        <w:rPr>
          <w:rFonts w:ascii="Times New Roman" w:hAnsi="Times New Roman" w:cs="Times New Roman"/>
          <w:szCs w:val="24"/>
        </w:rPr>
        <w:lastRenderedPageBreak/>
        <w:t>–</w:t>
      </w:r>
      <w:r w:rsidR="00FC69F9">
        <w:rPr>
          <w:rFonts w:ascii="Times New Roman" w:hAnsi="Times New Roman" w:cs="Times New Roman"/>
          <w:szCs w:val="24"/>
        </w:rPr>
        <w:tab/>
      </w:r>
      <w:r w:rsidR="00697F11" w:rsidRPr="004B60CA">
        <w:rPr>
          <w:rFonts w:ascii="Times New Roman" w:hAnsi="Times New Roman" w:cs="Times New Roman"/>
          <w:szCs w:val="24"/>
        </w:rPr>
        <w:t>potrzebę zmiany przepisów tej ustawy w związku z rezygnacją z przepisów dotyczących karty pojazdu,</w:t>
      </w:r>
    </w:p>
    <w:p w14:paraId="11047181" w14:textId="74264864" w:rsidR="00697F11" w:rsidRPr="004B60CA" w:rsidRDefault="002C34E7" w:rsidP="004B60CA">
      <w:pPr>
        <w:pStyle w:val="USTustnpkodeksu"/>
        <w:tabs>
          <w:tab w:val="left" w:pos="280"/>
        </w:tabs>
        <w:ind w:left="280" w:hanging="280"/>
        <w:rPr>
          <w:rFonts w:ascii="Times New Roman" w:hAnsi="Times New Roman" w:cs="Times New Roman"/>
          <w:szCs w:val="24"/>
        </w:rPr>
      </w:pPr>
      <w:r>
        <w:rPr>
          <w:rFonts w:ascii="Times New Roman" w:hAnsi="Times New Roman" w:cs="Times New Roman"/>
          <w:szCs w:val="24"/>
        </w:rPr>
        <w:t>–</w:t>
      </w:r>
      <w:r w:rsidR="00FC69F9">
        <w:rPr>
          <w:rFonts w:ascii="Times New Roman" w:hAnsi="Times New Roman" w:cs="Times New Roman"/>
          <w:szCs w:val="24"/>
        </w:rPr>
        <w:tab/>
      </w:r>
      <w:r w:rsidR="00697F11" w:rsidRPr="004B60CA">
        <w:rPr>
          <w:rFonts w:ascii="Times New Roman" w:hAnsi="Times New Roman" w:cs="Times New Roman"/>
          <w:szCs w:val="24"/>
        </w:rPr>
        <w:t>unieważnianie przez przedsiębiorcę dowodu rejestracyjnego pojazdu wycofanego z</w:t>
      </w:r>
      <w:r w:rsidR="00F15931">
        <w:rPr>
          <w:rFonts w:ascii="Times New Roman" w:hAnsi="Times New Roman" w:cs="Times New Roman"/>
          <w:szCs w:val="24"/>
        </w:rPr>
        <w:t> </w:t>
      </w:r>
      <w:r w:rsidR="00697F11" w:rsidRPr="004B60CA">
        <w:rPr>
          <w:rFonts w:ascii="Times New Roman" w:hAnsi="Times New Roman" w:cs="Times New Roman"/>
          <w:szCs w:val="24"/>
        </w:rPr>
        <w:t>eksploatacji i jego zwrot właścicielowi pojazdu,</w:t>
      </w:r>
    </w:p>
    <w:p w14:paraId="72831EDA" w14:textId="150016D6" w:rsidR="00697F11" w:rsidRPr="004B60CA" w:rsidRDefault="002C34E7" w:rsidP="004B60CA">
      <w:pPr>
        <w:pStyle w:val="USTustnpkodeksu"/>
        <w:tabs>
          <w:tab w:val="left" w:pos="280"/>
        </w:tabs>
        <w:ind w:left="280" w:hanging="280"/>
        <w:rPr>
          <w:rFonts w:ascii="Times New Roman" w:hAnsi="Times New Roman" w:cs="Times New Roman"/>
          <w:szCs w:val="24"/>
        </w:rPr>
      </w:pPr>
      <w:r>
        <w:rPr>
          <w:rFonts w:ascii="Times New Roman" w:hAnsi="Times New Roman" w:cs="Times New Roman"/>
          <w:szCs w:val="24"/>
        </w:rPr>
        <w:t>–</w:t>
      </w:r>
      <w:r w:rsidR="00FC69F9">
        <w:rPr>
          <w:rFonts w:ascii="Times New Roman" w:hAnsi="Times New Roman" w:cs="Times New Roman"/>
          <w:szCs w:val="24"/>
        </w:rPr>
        <w:tab/>
      </w:r>
      <w:r w:rsidR="00697F11" w:rsidRPr="004B60CA">
        <w:rPr>
          <w:rFonts w:ascii="Times New Roman" w:hAnsi="Times New Roman" w:cs="Times New Roman"/>
          <w:szCs w:val="24"/>
        </w:rPr>
        <w:t>obowiązek dla przedsiębiorcy prowadzącego stację demontażu dokonywania zniszczenia tablic rejestracyjnych pojazdu wycofanego z eksploatacji i</w:t>
      </w:r>
      <w:r w:rsidR="00F15931">
        <w:rPr>
          <w:rFonts w:ascii="Times New Roman" w:hAnsi="Times New Roman" w:cs="Times New Roman"/>
          <w:szCs w:val="24"/>
        </w:rPr>
        <w:t> </w:t>
      </w:r>
      <w:r w:rsidR="00697F11" w:rsidRPr="004B60CA">
        <w:rPr>
          <w:rFonts w:ascii="Times New Roman" w:hAnsi="Times New Roman" w:cs="Times New Roman"/>
          <w:szCs w:val="24"/>
        </w:rPr>
        <w:t>zagospodarowania ich zgodnie z przepisami o odpadach,</w:t>
      </w:r>
    </w:p>
    <w:p w14:paraId="2B438BDB" w14:textId="0A9C6290" w:rsidR="00697F11" w:rsidRPr="004B60CA" w:rsidRDefault="002C34E7" w:rsidP="004B60CA">
      <w:pPr>
        <w:pStyle w:val="USTustnpkodeksu"/>
        <w:tabs>
          <w:tab w:val="left" w:pos="280"/>
        </w:tabs>
        <w:ind w:left="280" w:hanging="280"/>
        <w:rPr>
          <w:rFonts w:ascii="Times New Roman" w:hAnsi="Times New Roman" w:cs="Times New Roman"/>
          <w:szCs w:val="24"/>
        </w:rPr>
      </w:pPr>
      <w:r>
        <w:rPr>
          <w:rFonts w:ascii="Times New Roman" w:hAnsi="Times New Roman" w:cs="Times New Roman"/>
          <w:szCs w:val="24"/>
        </w:rPr>
        <w:t>–</w:t>
      </w:r>
      <w:r w:rsidR="00FC69F9">
        <w:rPr>
          <w:rFonts w:ascii="Times New Roman" w:hAnsi="Times New Roman" w:cs="Times New Roman"/>
          <w:szCs w:val="24"/>
        </w:rPr>
        <w:tab/>
      </w:r>
      <w:r w:rsidR="00697F11" w:rsidRPr="004B60CA">
        <w:rPr>
          <w:rFonts w:ascii="Times New Roman" w:hAnsi="Times New Roman" w:cs="Times New Roman"/>
          <w:szCs w:val="24"/>
        </w:rPr>
        <w:t>obowiązek zawarcia w zaświadczeniu o demontażu pojazdu oświadczenia przedsiębiorcy prowadzącego stację demontażu o unieważnieniu dowodu rejestracyjnego oraz zniszczeniu tablic rejestracyjnych przyjętego pojazdu wycofanego z eksploatacji i zagospodarowaniu ich z zgodnie z przepisami o odpadach,</w:t>
      </w:r>
    </w:p>
    <w:p w14:paraId="5959115F" w14:textId="13710F22" w:rsidR="00697F11" w:rsidRPr="004B60CA" w:rsidRDefault="002C34E7" w:rsidP="004B60CA">
      <w:pPr>
        <w:pStyle w:val="USTustnpkodeksu"/>
        <w:tabs>
          <w:tab w:val="left" w:pos="280"/>
        </w:tabs>
        <w:ind w:left="280" w:hanging="280"/>
        <w:rPr>
          <w:rFonts w:ascii="Times New Roman" w:hAnsi="Times New Roman" w:cs="Times New Roman"/>
          <w:szCs w:val="24"/>
        </w:rPr>
      </w:pPr>
      <w:r>
        <w:rPr>
          <w:rFonts w:ascii="Times New Roman" w:hAnsi="Times New Roman" w:cs="Times New Roman"/>
          <w:szCs w:val="24"/>
        </w:rPr>
        <w:t>–</w:t>
      </w:r>
      <w:r w:rsidR="00FC69F9">
        <w:rPr>
          <w:rFonts w:ascii="Times New Roman" w:hAnsi="Times New Roman" w:cs="Times New Roman"/>
          <w:szCs w:val="24"/>
        </w:rPr>
        <w:tab/>
      </w:r>
      <w:r w:rsidR="00697F11" w:rsidRPr="004B60CA">
        <w:rPr>
          <w:rFonts w:ascii="Times New Roman" w:hAnsi="Times New Roman" w:cs="Times New Roman"/>
          <w:szCs w:val="24"/>
        </w:rPr>
        <w:t>obowiązek dla przedsiębiorcy prowadzącego punkt zbierania pojazdów przekazywania przedsiębiorcy prowadzącemu stację demontażu wraz z</w:t>
      </w:r>
      <w:r w:rsidR="00F15931">
        <w:rPr>
          <w:rFonts w:ascii="Times New Roman" w:hAnsi="Times New Roman" w:cs="Times New Roman"/>
          <w:szCs w:val="24"/>
        </w:rPr>
        <w:t> </w:t>
      </w:r>
      <w:r w:rsidR="00697F11" w:rsidRPr="004B60CA">
        <w:rPr>
          <w:rFonts w:ascii="Times New Roman" w:hAnsi="Times New Roman" w:cs="Times New Roman"/>
          <w:szCs w:val="24"/>
        </w:rPr>
        <w:t xml:space="preserve">zaświadczeniami tablic rejestracyjnych przyjętego pojazdu wycofanego </w:t>
      </w:r>
      <w:r w:rsidR="00697F11" w:rsidRPr="00F15931">
        <w:t>z</w:t>
      </w:r>
      <w:r w:rsidR="00F15931">
        <w:t> </w:t>
      </w:r>
      <w:r w:rsidR="00697F11" w:rsidRPr="00F15931">
        <w:t>eksploatacji</w:t>
      </w:r>
      <w:r w:rsidR="00697F11" w:rsidRPr="004B60CA">
        <w:rPr>
          <w:rFonts w:ascii="Times New Roman" w:hAnsi="Times New Roman" w:cs="Times New Roman"/>
          <w:szCs w:val="24"/>
        </w:rPr>
        <w:t>,</w:t>
      </w:r>
    </w:p>
    <w:p w14:paraId="48FC47EC" w14:textId="1C398356" w:rsidR="00697F11" w:rsidRPr="004B60CA" w:rsidRDefault="002C34E7" w:rsidP="004B60CA">
      <w:pPr>
        <w:pStyle w:val="USTustnpkodeksu"/>
        <w:tabs>
          <w:tab w:val="left" w:pos="280"/>
        </w:tabs>
        <w:ind w:left="280" w:hanging="280"/>
        <w:rPr>
          <w:rFonts w:ascii="Times New Roman" w:hAnsi="Times New Roman" w:cs="Times New Roman"/>
          <w:szCs w:val="24"/>
        </w:rPr>
      </w:pPr>
      <w:r>
        <w:rPr>
          <w:rFonts w:ascii="Times New Roman" w:hAnsi="Times New Roman" w:cs="Times New Roman"/>
          <w:szCs w:val="24"/>
        </w:rPr>
        <w:t>–</w:t>
      </w:r>
      <w:r w:rsidR="00FC69F9">
        <w:rPr>
          <w:rFonts w:ascii="Times New Roman" w:hAnsi="Times New Roman" w:cs="Times New Roman"/>
          <w:szCs w:val="24"/>
        </w:rPr>
        <w:tab/>
      </w:r>
      <w:r w:rsidR="00697F11" w:rsidRPr="004B60CA">
        <w:rPr>
          <w:rFonts w:ascii="Times New Roman" w:hAnsi="Times New Roman" w:cs="Times New Roman"/>
          <w:szCs w:val="24"/>
        </w:rPr>
        <w:t>obowiązek zawarcia w zaświadczeniu o demontażu pojazdu albo w zaświadczeniu o</w:t>
      </w:r>
      <w:r w:rsidR="00F15931">
        <w:rPr>
          <w:rFonts w:ascii="Times New Roman" w:hAnsi="Times New Roman" w:cs="Times New Roman"/>
          <w:szCs w:val="24"/>
        </w:rPr>
        <w:t> </w:t>
      </w:r>
      <w:r w:rsidR="00697F11" w:rsidRPr="004B60CA">
        <w:rPr>
          <w:rFonts w:ascii="Times New Roman" w:hAnsi="Times New Roman" w:cs="Times New Roman"/>
          <w:szCs w:val="24"/>
        </w:rPr>
        <w:t>przyjęciu niekompletnego pojazdu, wydanych przez przedsiębiorcę prowadzącego punkt zbierania pojazdów, oświadczenia o unieważnieniu dowodu rejestracyjnego oraz o przekazaniu tablic rejestracyjnych przyjętego pojazdu wycofanego z</w:t>
      </w:r>
      <w:r w:rsidR="00F15931">
        <w:rPr>
          <w:rFonts w:ascii="Times New Roman" w:hAnsi="Times New Roman" w:cs="Times New Roman"/>
          <w:szCs w:val="24"/>
        </w:rPr>
        <w:t> </w:t>
      </w:r>
      <w:r w:rsidR="00697F11" w:rsidRPr="004B60CA">
        <w:rPr>
          <w:rFonts w:ascii="Times New Roman" w:hAnsi="Times New Roman" w:cs="Times New Roman"/>
          <w:szCs w:val="24"/>
        </w:rPr>
        <w:t>eksploatacji do przedsiębiorcy prowadzącego stację demontażu</w:t>
      </w:r>
      <w:bookmarkStart w:id="0" w:name="mip42216766"/>
      <w:bookmarkEnd w:id="0"/>
      <w:r w:rsidR="00697F11" w:rsidRPr="004B60CA">
        <w:rPr>
          <w:rFonts w:ascii="Times New Roman" w:hAnsi="Times New Roman" w:cs="Times New Roman"/>
          <w:szCs w:val="24"/>
        </w:rPr>
        <w:t>,</w:t>
      </w:r>
    </w:p>
    <w:p w14:paraId="115FFD7B" w14:textId="5CE1ADC5" w:rsidR="00697F11" w:rsidRPr="004B60CA" w:rsidRDefault="002C34E7" w:rsidP="004B60CA">
      <w:pPr>
        <w:pStyle w:val="USTustnpkodeksu"/>
        <w:tabs>
          <w:tab w:val="left" w:pos="280"/>
        </w:tabs>
        <w:ind w:left="280" w:hanging="280"/>
        <w:rPr>
          <w:rFonts w:ascii="Times New Roman" w:hAnsi="Times New Roman" w:cs="Times New Roman"/>
          <w:szCs w:val="24"/>
          <w:lang w:eastAsia="en-US"/>
        </w:rPr>
      </w:pPr>
      <w:r>
        <w:rPr>
          <w:rFonts w:ascii="Times New Roman" w:hAnsi="Times New Roman" w:cs="Times New Roman"/>
          <w:szCs w:val="24"/>
        </w:rPr>
        <w:t>–</w:t>
      </w:r>
      <w:r w:rsidR="00FC69F9">
        <w:rPr>
          <w:rFonts w:ascii="Times New Roman" w:hAnsi="Times New Roman" w:cs="Times New Roman"/>
          <w:szCs w:val="24"/>
        </w:rPr>
        <w:tab/>
      </w:r>
      <w:r w:rsidR="00697F11" w:rsidRPr="004B60CA">
        <w:rPr>
          <w:rFonts w:ascii="Times New Roman" w:hAnsi="Times New Roman" w:cs="Times New Roman"/>
          <w:szCs w:val="24"/>
        </w:rPr>
        <w:t>rezygnację w związku z powyższym z dotychczasowego przekazywania zaświadczenia o demontażu pojazdu i zaświadczenia o przyjęciu pojazdu niekompletnego do organu rejestrującego pojazd,</w:t>
      </w:r>
    </w:p>
    <w:p w14:paraId="2A8C1BDF" w14:textId="63254206" w:rsidR="00697F11" w:rsidRPr="004B60CA" w:rsidRDefault="002C34E7" w:rsidP="004B60CA">
      <w:pPr>
        <w:pStyle w:val="USTustnpkodeksu"/>
        <w:tabs>
          <w:tab w:val="left" w:pos="280"/>
        </w:tabs>
        <w:ind w:left="280" w:hanging="280"/>
        <w:rPr>
          <w:rFonts w:ascii="Times New Roman" w:hAnsi="Times New Roman" w:cs="Times New Roman"/>
          <w:szCs w:val="24"/>
        </w:rPr>
      </w:pPr>
      <w:r>
        <w:rPr>
          <w:rFonts w:ascii="Times New Roman" w:hAnsi="Times New Roman" w:cs="Times New Roman"/>
          <w:szCs w:val="24"/>
        </w:rPr>
        <w:t>–</w:t>
      </w:r>
      <w:r w:rsidR="00FC69F9">
        <w:rPr>
          <w:rFonts w:ascii="Times New Roman" w:hAnsi="Times New Roman" w:cs="Times New Roman"/>
          <w:szCs w:val="24"/>
        </w:rPr>
        <w:tab/>
      </w:r>
      <w:r w:rsidR="00697F11" w:rsidRPr="004B60CA">
        <w:rPr>
          <w:rFonts w:ascii="Times New Roman" w:hAnsi="Times New Roman" w:cs="Times New Roman"/>
          <w:szCs w:val="24"/>
        </w:rPr>
        <w:t>zmianę delegacji zawartej w art. 27 tej ustawy wynikającą z rezygnacji z karty pojazdu oraz z unieważniania tablic rejestracyjnych wobec wprowadzonego obowiązku niszczenia przez stację demontażu tablic rejestracyjnych zgodnie z przepisami o</w:t>
      </w:r>
      <w:r w:rsidR="00F15931">
        <w:rPr>
          <w:rFonts w:ascii="Times New Roman" w:hAnsi="Times New Roman" w:cs="Times New Roman"/>
          <w:szCs w:val="24"/>
        </w:rPr>
        <w:t> </w:t>
      </w:r>
      <w:r w:rsidR="00697F11" w:rsidRPr="004B60CA">
        <w:rPr>
          <w:rFonts w:ascii="Times New Roman" w:hAnsi="Times New Roman" w:cs="Times New Roman"/>
          <w:szCs w:val="24"/>
        </w:rPr>
        <w:t>odpadach, ale z zachowaniem w tej delegacji sposobu prowadzenia przez stację demontażu ewidencji zaświadczeń o demontażu pojazdu oraz zaświadczeń o przyjęciu niekompletnego pojazdu; w nowym rozporządzeniu, określając sposób prowadzenia ewidencji, zostaną uwzględnione rozwiązania przewidziane dla jej prowadzenia w</w:t>
      </w:r>
      <w:r w:rsidR="00F15931">
        <w:rPr>
          <w:rFonts w:ascii="Times New Roman" w:hAnsi="Times New Roman" w:cs="Times New Roman"/>
          <w:szCs w:val="24"/>
        </w:rPr>
        <w:t> </w:t>
      </w:r>
      <w:r w:rsidR="00697F11" w:rsidRPr="004B60CA">
        <w:rPr>
          <w:rFonts w:ascii="Times New Roman" w:hAnsi="Times New Roman" w:cs="Times New Roman"/>
          <w:szCs w:val="24"/>
        </w:rPr>
        <w:t>systemie teleinformatycznym obsługującym centralną ewidencję pojazdów.</w:t>
      </w:r>
    </w:p>
    <w:p w14:paraId="5C15F8BA" w14:textId="65B354DA"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lastRenderedPageBreak/>
        <w:t xml:space="preserve">Uwzględniając zaproponowane rozwiązania z wykorzystaniem systemu teleinformatycznego obsługującego centralną ewidencję pojazdów założono uproszczenia działalności przedsiębiorców prowadzących stacje demontażu pojazdów, ułatwienia dla właścicieli pojazdów wycofanych z eksploatacji i w konsekwencji również uproszczenia w czynnościach z tym związanych organów rejestrujących pojazdy. </w:t>
      </w:r>
    </w:p>
    <w:p w14:paraId="51F3D2AF" w14:textId="2134C451"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W wyniku uzgodnień, na wniosek Ministra Spraw Wewnętrznych i Administracji, dokonano również uzupełnienia zmian ustaw objętych niniejszym projektem, tj. art. 53 i</w:t>
      </w:r>
      <w:r w:rsidR="00F15931">
        <w:rPr>
          <w:rFonts w:ascii="Times New Roman" w:hAnsi="Times New Roman" w:cs="Times New Roman"/>
          <w:szCs w:val="24"/>
        </w:rPr>
        <w:t> </w:t>
      </w:r>
      <w:r w:rsidRPr="004B60CA">
        <w:rPr>
          <w:rFonts w:ascii="Times New Roman" w:hAnsi="Times New Roman" w:cs="Times New Roman"/>
          <w:szCs w:val="24"/>
        </w:rPr>
        <w:t xml:space="preserve">art. 66 Prawa ruchu drogowym oraz art. 106 i art. 109 ustawy z dnia 5 stycznia 2011 r. </w:t>
      </w:r>
      <w:r w:rsidRPr="004B60CA">
        <w:rPr>
          <w:rFonts w:ascii="Times New Roman" w:hAnsi="Times New Roman" w:cs="Times New Roman"/>
          <w:szCs w:val="24"/>
        </w:rPr>
        <w:br/>
        <w:t>o kierujących pojazdami w zakresie dotyczącym uprawnień dla pojazdów użytkowanych lub wykorzystywanych przez Biuro Nadzoru Wewnętrznego.</w:t>
      </w:r>
    </w:p>
    <w:p w14:paraId="11E6589F" w14:textId="054D0E89"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Przedstawiając uzasadnienie do niniejszego projektu, mając na uwadze dyskusję wynikającą z uzgodnień tego projektu, należy wyjaśnić charakter zadania</w:t>
      </w:r>
      <w:r w:rsidR="00106A66">
        <w:rPr>
          <w:rFonts w:ascii="Times New Roman" w:hAnsi="Times New Roman" w:cs="Times New Roman"/>
          <w:szCs w:val="24"/>
        </w:rPr>
        <w:t>,</w:t>
      </w:r>
      <w:r w:rsidRPr="004B60CA">
        <w:rPr>
          <w:rFonts w:ascii="Times New Roman" w:hAnsi="Times New Roman" w:cs="Times New Roman"/>
          <w:szCs w:val="24"/>
        </w:rPr>
        <w:t xml:space="preserve"> jakim jest rejestracja pojazdów. Przyjmuje się, że rejestracja pojazdów jest zadaniem własnym samorządu powiatowego, jak to wynika z wykładni przepisów ustrojowych ustawy z dnia 5 czerwca 1998 r. o samorządzie powiatowym (Dz. U. z 2019 r. poz. 511, z </w:t>
      </w:r>
      <w:proofErr w:type="spellStart"/>
      <w:r w:rsidRPr="004B60CA">
        <w:rPr>
          <w:rFonts w:ascii="Times New Roman" w:hAnsi="Times New Roman" w:cs="Times New Roman"/>
          <w:szCs w:val="24"/>
        </w:rPr>
        <w:t>późn</w:t>
      </w:r>
      <w:proofErr w:type="spellEnd"/>
      <w:r w:rsidRPr="004B60CA">
        <w:rPr>
          <w:rFonts w:ascii="Times New Roman" w:hAnsi="Times New Roman" w:cs="Times New Roman"/>
          <w:szCs w:val="24"/>
        </w:rPr>
        <w:t>. zm.), a</w:t>
      </w:r>
      <w:r w:rsidR="00F15931">
        <w:rPr>
          <w:rFonts w:ascii="Times New Roman" w:hAnsi="Times New Roman" w:cs="Times New Roman"/>
          <w:szCs w:val="24"/>
        </w:rPr>
        <w:t> </w:t>
      </w:r>
      <w:r w:rsidRPr="004B60CA">
        <w:rPr>
          <w:rFonts w:ascii="Times New Roman" w:hAnsi="Times New Roman" w:cs="Times New Roman"/>
          <w:szCs w:val="24"/>
        </w:rPr>
        <w:t xml:space="preserve">nie zadaniem zleconym samorządu powiatowego. Należy zauważyć, że zgodnie </w:t>
      </w:r>
      <w:r w:rsidR="00F15931">
        <w:rPr>
          <w:rFonts w:ascii="Times New Roman" w:hAnsi="Times New Roman" w:cs="Times New Roman"/>
          <w:szCs w:val="24"/>
        </w:rPr>
        <w:br/>
      </w:r>
      <w:r w:rsidRPr="004B60CA">
        <w:rPr>
          <w:rFonts w:ascii="Times New Roman" w:hAnsi="Times New Roman" w:cs="Times New Roman"/>
          <w:szCs w:val="24"/>
        </w:rPr>
        <w:t>z art. 166 Konstytucji Rzeczypospolitej Polskiej zadania publiczne służące zaspokajaniu potrzeb wspólnoty samorządowej są wykonywane przez jednostkę samorządu terytorialnego jako zadania własne.</w:t>
      </w:r>
    </w:p>
    <w:p w14:paraId="4CE28575" w14:textId="7DD78B51" w:rsidR="00697F11" w:rsidRPr="004B60CA" w:rsidRDefault="00697F11" w:rsidP="004B60CA">
      <w:pPr>
        <w:pStyle w:val="USTustnpkodeksu"/>
        <w:spacing w:before="120"/>
        <w:ind w:firstLine="0"/>
        <w:rPr>
          <w:rFonts w:ascii="Times New Roman" w:hAnsi="Times New Roman" w:cs="Times New Roman"/>
          <w:szCs w:val="24"/>
        </w:rPr>
      </w:pPr>
      <w:r w:rsidRPr="004B60CA">
        <w:rPr>
          <w:rFonts w:ascii="Times New Roman" w:hAnsi="Times New Roman" w:cs="Times New Roman"/>
          <w:szCs w:val="24"/>
        </w:rPr>
        <w:t>Ze zleconym (powierzonym) charakterem zadania mamy do czynienia, co do zasady, gdy tak wskazuje ustawa materialnego prawa administracyjnego i zapewnione zostały środki z budżetu państwa na ich wykonanie oraz system kontroli. W przypadku braku takiego określenia jest to zadanie własne. Rejestracja pojazdów nie jest więc zadaniem zleconym. Dochody jednostek samorządu terytorialnego z tego tytułu pochodzą z opłat ponoszonych przez właścicieli pojazdów za wydane dokumenty i oznaczenia dla pojazdu zarejestrowanego. Wysokość tych opłat jest określana w akcie wykonawczym. W</w:t>
      </w:r>
      <w:r w:rsidR="00CD47A3">
        <w:rPr>
          <w:rFonts w:ascii="Times New Roman" w:hAnsi="Times New Roman" w:cs="Times New Roman"/>
          <w:szCs w:val="24"/>
        </w:rPr>
        <w:t> </w:t>
      </w:r>
      <w:r w:rsidRPr="004B60CA">
        <w:rPr>
          <w:rFonts w:ascii="Times New Roman" w:hAnsi="Times New Roman" w:cs="Times New Roman"/>
          <w:szCs w:val="24"/>
        </w:rPr>
        <w:t>związku z powyższym zasadnie przyjmuje się, że rejestracja pojazdów jest zadaniem własnym samorządu powiatowego i nie występuje potrzeba określenia tego jako dodatkowej normy ustawowej.</w:t>
      </w:r>
    </w:p>
    <w:p w14:paraId="2926AE1A" w14:textId="77777777" w:rsidR="00697F11" w:rsidRPr="004B60CA" w:rsidRDefault="00697F11" w:rsidP="004B60CA">
      <w:pPr>
        <w:pStyle w:val="ARTartustawynprozporzdzenia"/>
        <w:ind w:firstLine="0"/>
        <w:rPr>
          <w:rFonts w:ascii="Times New Roman" w:hAnsi="Times New Roman" w:cs="Times New Roman"/>
          <w:szCs w:val="24"/>
        </w:rPr>
      </w:pPr>
      <w:r w:rsidRPr="004B60CA">
        <w:rPr>
          <w:rFonts w:ascii="Times New Roman" w:hAnsi="Times New Roman" w:cs="Times New Roman"/>
          <w:szCs w:val="24"/>
        </w:rPr>
        <w:t xml:space="preserve">W konsekwencji przepisów uchylających obowiązek wydawania nalepki kontrolnej </w:t>
      </w:r>
      <w:r w:rsidRPr="004B60CA">
        <w:rPr>
          <w:rFonts w:ascii="Times New Roman" w:hAnsi="Times New Roman" w:cs="Times New Roman"/>
          <w:szCs w:val="24"/>
        </w:rPr>
        <w:br/>
        <w:t>i karty pojazdu w projekcie ustawy w art. 12 określono, że:</w:t>
      </w:r>
    </w:p>
    <w:p w14:paraId="4BF1D1B1" w14:textId="2F8C7223" w:rsidR="00697F11" w:rsidRPr="004B60CA" w:rsidRDefault="002C34E7" w:rsidP="004B60CA">
      <w:pPr>
        <w:pStyle w:val="ARTartustawynprozporzdzenia"/>
        <w:tabs>
          <w:tab w:val="left" w:pos="426"/>
        </w:tabs>
        <w:spacing w:before="0"/>
        <w:ind w:left="426" w:hanging="426"/>
        <w:rPr>
          <w:rFonts w:ascii="Times New Roman" w:hAnsi="Times New Roman" w:cs="Times New Roman"/>
          <w:szCs w:val="24"/>
        </w:rPr>
      </w:pPr>
      <w:r>
        <w:rPr>
          <w:rFonts w:ascii="Times New Roman" w:hAnsi="Times New Roman" w:cs="Times New Roman"/>
          <w:szCs w:val="24"/>
        </w:rPr>
        <w:lastRenderedPageBreak/>
        <w:t>–</w:t>
      </w:r>
      <w:r w:rsidR="00FC69F9">
        <w:rPr>
          <w:rFonts w:ascii="Times New Roman" w:hAnsi="Times New Roman" w:cs="Times New Roman"/>
          <w:szCs w:val="24"/>
        </w:rPr>
        <w:tab/>
      </w:r>
      <w:r w:rsidR="00697F11" w:rsidRPr="004B60CA">
        <w:rPr>
          <w:rFonts w:ascii="Times New Roman" w:hAnsi="Times New Roman" w:cs="Times New Roman"/>
          <w:szCs w:val="24"/>
        </w:rPr>
        <w:t>nalepki kontrolne wydane na podstawie dotychczasowych przepisów tracą ważność, ale właściciel pojazdu może zachować na przedniej szybie pojazdu nalepkę kontrolną wydaną na podstawie dotychczasowych przepisów,</w:t>
      </w:r>
    </w:p>
    <w:p w14:paraId="170660A0" w14:textId="43F1EBC4" w:rsidR="00697F11" w:rsidRPr="004B60CA" w:rsidRDefault="002C34E7" w:rsidP="004B60CA">
      <w:pPr>
        <w:pStyle w:val="ARTartustawynprozporzdzenia"/>
        <w:tabs>
          <w:tab w:val="left" w:pos="426"/>
        </w:tabs>
        <w:spacing w:before="0"/>
        <w:ind w:left="426" w:hanging="426"/>
        <w:rPr>
          <w:rFonts w:ascii="Times New Roman" w:hAnsi="Times New Roman" w:cs="Times New Roman"/>
          <w:szCs w:val="24"/>
        </w:rPr>
      </w:pPr>
      <w:r>
        <w:rPr>
          <w:rFonts w:ascii="Times New Roman" w:hAnsi="Times New Roman" w:cs="Times New Roman"/>
          <w:szCs w:val="24"/>
        </w:rPr>
        <w:t>–</w:t>
      </w:r>
      <w:r w:rsidR="00FC69F9">
        <w:rPr>
          <w:rFonts w:ascii="Times New Roman" w:hAnsi="Times New Roman" w:cs="Times New Roman"/>
          <w:szCs w:val="24"/>
        </w:rPr>
        <w:tab/>
      </w:r>
      <w:r w:rsidR="00697F11" w:rsidRPr="004B60CA">
        <w:rPr>
          <w:rFonts w:ascii="Times New Roman" w:hAnsi="Times New Roman" w:cs="Times New Roman"/>
          <w:szCs w:val="24"/>
        </w:rPr>
        <w:t xml:space="preserve">karta pojazdu albo jej wtórnik wydane na podstawie dotychczasowych przepisów tracą ważność, a właściciel pojazdu, który posiada kartę pojazdu albo jej wtórnik, wydane na podstawie dotychczasowych przepisów, zachowuje tę kartę albo jej wtórnik albo może zwrócić tę kartę albo jej wtórnik do starosty. </w:t>
      </w:r>
    </w:p>
    <w:p w14:paraId="6AB58E1F" w14:textId="77777777" w:rsidR="00697F11" w:rsidRPr="004B60CA" w:rsidRDefault="00697F11" w:rsidP="00974FE2">
      <w:pPr>
        <w:pStyle w:val="ARTartustawynprozporzdzenia"/>
        <w:ind w:firstLine="0"/>
        <w:rPr>
          <w:rFonts w:ascii="Times New Roman" w:hAnsi="Times New Roman" w:cs="Times New Roman"/>
          <w:szCs w:val="24"/>
        </w:rPr>
      </w:pPr>
      <w:r w:rsidRPr="004B60CA">
        <w:rPr>
          <w:rFonts w:ascii="Times New Roman" w:hAnsi="Times New Roman" w:cs="Times New Roman"/>
          <w:szCs w:val="24"/>
        </w:rPr>
        <w:t xml:space="preserve">Wobec przepisów uchylających obowiązek wydawania nalepki kontrolnej i karty pojazdu dokonano również zmiany: </w:t>
      </w:r>
    </w:p>
    <w:p w14:paraId="521A3DB6" w14:textId="2B327E31" w:rsidR="00697F11" w:rsidRPr="00974FE2" w:rsidRDefault="002C34E7" w:rsidP="00974FE2">
      <w:pPr>
        <w:pStyle w:val="ARTartustawynprozporzdzenia"/>
        <w:tabs>
          <w:tab w:val="left" w:pos="426"/>
        </w:tabs>
        <w:spacing w:before="0"/>
        <w:ind w:left="426" w:hanging="426"/>
        <w:rPr>
          <w:rFonts w:ascii="Times New Roman" w:hAnsi="Times New Roman" w:cs="Times New Roman"/>
          <w:szCs w:val="24"/>
        </w:rPr>
      </w:pPr>
      <w:r>
        <w:rPr>
          <w:rStyle w:val="Ppogrubienie"/>
          <w:rFonts w:ascii="Times New Roman" w:hAnsi="Times New Roman" w:cs="Times New Roman"/>
          <w:szCs w:val="24"/>
        </w:rPr>
        <w:t>–</w:t>
      </w:r>
      <w:r w:rsidR="00FC69F9">
        <w:rPr>
          <w:rStyle w:val="Ppogrubienie"/>
          <w:rFonts w:ascii="Times New Roman" w:hAnsi="Times New Roman" w:cs="Times New Roman"/>
          <w:szCs w:val="24"/>
        </w:rPr>
        <w:tab/>
      </w:r>
      <w:r w:rsidR="00697F11" w:rsidRPr="00974FE2">
        <w:rPr>
          <w:rFonts w:ascii="Times New Roman" w:hAnsi="Times New Roman" w:cs="Times New Roman"/>
          <w:szCs w:val="24"/>
        </w:rPr>
        <w:t>ustawy z dnia 22 listopada 2018 r. o dokumentach publicznych (Dz. U. z 2020 r. poz.</w:t>
      </w:r>
      <w:r w:rsidR="00CD47A3">
        <w:rPr>
          <w:rFonts w:ascii="Times New Roman" w:hAnsi="Times New Roman" w:cs="Times New Roman"/>
          <w:szCs w:val="24"/>
        </w:rPr>
        <w:t> </w:t>
      </w:r>
      <w:r w:rsidR="00697F11" w:rsidRPr="00974FE2">
        <w:rPr>
          <w:rFonts w:ascii="Times New Roman" w:hAnsi="Times New Roman" w:cs="Times New Roman"/>
          <w:szCs w:val="24"/>
        </w:rPr>
        <w:t>725), w której w art. 5 w ust. 2 uchylono pkt 28 (art. 10 projektu),</w:t>
      </w:r>
    </w:p>
    <w:p w14:paraId="53BE5206" w14:textId="5C89F851" w:rsidR="00697F11" w:rsidRPr="00974FE2" w:rsidRDefault="002C34E7" w:rsidP="00974FE2">
      <w:pPr>
        <w:pStyle w:val="ARTartustawynprozporzdzenia"/>
        <w:tabs>
          <w:tab w:val="left" w:pos="426"/>
        </w:tabs>
        <w:spacing w:before="0"/>
        <w:ind w:left="426" w:hanging="426"/>
        <w:rPr>
          <w:rFonts w:ascii="Times New Roman" w:hAnsi="Times New Roman" w:cs="Times New Roman"/>
          <w:szCs w:val="24"/>
        </w:rPr>
      </w:pPr>
      <w:r>
        <w:rPr>
          <w:rFonts w:ascii="Times New Roman" w:hAnsi="Times New Roman" w:cs="Times New Roman"/>
          <w:szCs w:val="24"/>
        </w:rPr>
        <w:t>–</w:t>
      </w:r>
      <w:r w:rsidR="00FC69F9">
        <w:rPr>
          <w:rFonts w:ascii="Times New Roman" w:hAnsi="Times New Roman" w:cs="Times New Roman"/>
          <w:szCs w:val="24"/>
        </w:rPr>
        <w:tab/>
      </w:r>
      <w:r w:rsidR="00697F11" w:rsidRPr="00974FE2">
        <w:rPr>
          <w:rFonts w:ascii="Times New Roman" w:hAnsi="Times New Roman" w:cs="Times New Roman"/>
          <w:szCs w:val="24"/>
        </w:rPr>
        <w:t xml:space="preserve">ustawy z dnia 11 września 2019 r. – Prawo zamówień publicznych (Dz. U. poz. 2019, z </w:t>
      </w:r>
      <w:proofErr w:type="spellStart"/>
      <w:r w:rsidR="00697F11" w:rsidRPr="00974FE2">
        <w:rPr>
          <w:rFonts w:ascii="Times New Roman" w:hAnsi="Times New Roman" w:cs="Times New Roman"/>
          <w:szCs w:val="24"/>
        </w:rPr>
        <w:t>późn</w:t>
      </w:r>
      <w:proofErr w:type="spellEnd"/>
      <w:r w:rsidR="00697F11" w:rsidRPr="00974FE2">
        <w:rPr>
          <w:rFonts w:ascii="Times New Roman" w:hAnsi="Times New Roman" w:cs="Times New Roman"/>
          <w:szCs w:val="24"/>
        </w:rPr>
        <w:t>. zm.) w której w art. 11 w ust. 4 w pkt 3 skreślono wyrazy „i nalepek kontrolnych</w:t>
      </w:r>
      <w:r w:rsidR="00AD11AA">
        <w:rPr>
          <w:rFonts w:ascii="Times New Roman" w:hAnsi="Times New Roman" w:cs="Times New Roman"/>
          <w:szCs w:val="24"/>
        </w:rPr>
        <w:t>”</w:t>
      </w:r>
      <w:r w:rsidR="00697F11" w:rsidRPr="00974FE2">
        <w:rPr>
          <w:rFonts w:ascii="Times New Roman" w:hAnsi="Times New Roman" w:cs="Times New Roman"/>
          <w:szCs w:val="24"/>
        </w:rPr>
        <w:t xml:space="preserve"> (art. 11 projektu).</w:t>
      </w:r>
    </w:p>
    <w:p w14:paraId="475D8107" w14:textId="77777777" w:rsidR="00697F11" w:rsidRPr="00974FE2" w:rsidRDefault="00697F11" w:rsidP="00974FE2">
      <w:pPr>
        <w:pStyle w:val="USTustnpkodeksu"/>
        <w:spacing w:before="120"/>
        <w:ind w:firstLine="0"/>
        <w:rPr>
          <w:rFonts w:ascii="Times New Roman" w:hAnsi="Times New Roman" w:cs="Times New Roman"/>
          <w:szCs w:val="24"/>
        </w:rPr>
      </w:pPr>
      <w:r w:rsidRPr="00974FE2">
        <w:rPr>
          <w:rFonts w:ascii="Times New Roman" w:hAnsi="Times New Roman" w:cs="Times New Roman"/>
          <w:szCs w:val="24"/>
        </w:rPr>
        <w:t xml:space="preserve">Ponadto dokonano zmiany w ustawie z dnia 9 maja 2018 r. o zmianie ustawy – Prawo </w:t>
      </w:r>
      <w:r w:rsidRPr="00974FE2">
        <w:rPr>
          <w:rFonts w:ascii="Times New Roman" w:hAnsi="Times New Roman" w:cs="Times New Roman"/>
          <w:szCs w:val="24"/>
        </w:rPr>
        <w:br/>
        <w:t xml:space="preserve">o ruchu drogowym oraz niektórych innych ustaw (art. 9 projektu), polegającej na dostosowaniu brzmienia art. 16a ww. ustawy do zmian dotyczących poruszania się po drogach bez konieczności okazywania prawa jazdy, w celu umożliwienia organom kontroli ruchu drogowego zatrzymania prawa jazdy za przekroczenie dozwolonej liczby punktów otrzymanych za naruszenia w ruchu drogowym. Dostosowanie odesłań zawartych w art. 16a (do art. 135 i art. 136 Prawa o ruchu drogowym oraz wprowadzanych do tej ustawy nowych art. 135a i art. 135b) zapewni organom wykonywanie powyższego obowiązku na określonych w nim zasadach. </w:t>
      </w:r>
    </w:p>
    <w:p w14:paraId="692BC301" w14:textId="6AF2C7EA" w:rsidR="00697F11" w:rsidRPr="00974FE2" w:rsidRDefault="00697F11" w:rsidP="00974FE2">
      <w:pPr>
        <w:pStyle w:val="USTustnpkodeksu"/>
        <w:spacing w:before="120"/>
        <w:ind w:firstLine="0"/>
        <w:rPr>
          <w:rFonts w:ascii="Times New Roman" w:hAnsi="Times New Roman" w:cs="Times New Roman"/>
          <w:szCs w:val="24"/>
        </w:rPr>
      </w:pPr>
      <w:r w:rsidRPr="00974FE2">
        <w:rPr>
          <w:rFonts w:ascii="Times New Roman" w:hAnsi="Times New Roman" w:cs="Times New Roman"/>
          <w:szCs w:val="24"/>
        </w:rPr>
        <w:t>Przygotowując projekt ustawy</w:t>
      </w:r>
      <w:r w:rsidR="00D5191C">
        <w:rPr>
          <w:rFonts w:ascii="Times New Roman" w:hAnsi="Times New Roman" w:cs="Times New Roman"/>
          <w:szCs w:val="24"/>
        </w:rPr>
        <w:t>,</w:t>
      </w:r>
      <w:r w:rsidRPr="00974FE2">
        <w:rPr>
          <w:rFonts w:ascii="Times New Roman" w:hAnsi="Times New Roman" w:cs="Times New Roman"/>
          <w:szCs w:val="24"/>
        </w:rPr>
        <w:t xml:space="preserve"> uwzględniono odpowiednie przepisy dla stosowania: </w:t>
      </w:r>
    </w:p>
    <w:p w14:paraId="4EE4F8EB" w14:textId="7B95F887" w:rsidR="00697F11" w:rsidRPr="00AF348A" w:rsidRDefault="002C34E7" w:rsidP="00AF348A">
      <w:pPr>
        <w:pStyle w:val="USTustnpkodeksu"/>
        <w:tabs>
          <w:tab w:val="left" w:pos="426"/>
        </w:tabs>
        <w:ind w:firstLine="0"/>
        <w:rPr>
          <w:rFonts w:ascii="Times New Roman" w:hAnsi="Times New Roman" w:cs="Times New Roman"/>
          <w:szCs w:val="24"/>
        </w:rPr>
      </w:pPr>
      <w:r>
        <w:rPr>
          <w:rFonts w:ascii="Times New Roman" w:hAnsi="Times New Roman" w:cs="Times New Roman"/>
          <w:szCs w:val="24"/>
        </w:rPr>
        <w:t>–</w:t>
      </w:r>
      <w:r w:rsidR="00A356CB">
        <w:rPr>
          <w:rFonts w:ascii="Times New Roman" w:hAnsi="Times New Roman" w:cs="Times New Roman"/>
          <w:szCs w:val="24"/>
        </w:rPr>
        <w:tab/>
      </w:r>
      <w:r w:rsidR="00697F11" w:rsidRPr="00AF348A">
        <w:rPr>
          <w:rFonts w:ascii="Times New Roman" w:hAnsi="Times New Roman" w:cs="Times New Roman"/>
          <w:szCs w:val="24"/>
        </w:rPr>
        <w:t>dotychczasowych regulacji albo wymagań z nimi związanymi (art. 12</w:t>
      </w:r>
      <w:r>
        <w:rPr>
          <w:rFonts w:ascii="Times New Roman" w:hAnsi="Times New Roman" w:cs="Times New Roman"/>
          <w:szCs w:val="24"/>
        </w:rPr>
        <w:t>–</w:t>
      </w:r>
      <w:r w:rsidR="00697F11" w:rsidRPr="00AF348A">
        <w:rPr>
          <w:rFonts w:ascii="Times New Roman" w:hAnsi="Times New Roman" w:cs="Times New Roman"/>
          <w:szCs w:val="24"/>
        </w:rPr>
        <w:t xml:space="preserve">16 i art. 25), </w:t>
      </w:r>
    </w:p>
    <w:p w14:paraId="412E3D5E" w14:textId="20C10468" w:rsidR="00697F11" w:rsidRPr="00AF348A" w:rsidRDefault="002C34E7" w:rsidP="00AF348A">
      <w:pPr>
        <w:pStyle w:val="USTustnpkodeksu"/>
        <w:ind w:left="448" w:hanging="448"/>
        <w:rPr>
          <w:rFonts w:ascii="Times New Roman" w:hAnsi="Times New Roman" w:cs="Times New Roman"/>
          <w:szCs w:val="24"/>
        </w:rPr>
      </w:pPr>
      <w:r>
        <w:rPr>
          <w:rFonts w:ascii="Times New Roman" w:hAnsi="Times New Roman" w:cs="Times New Roman"/>
          <w:szCs w:val="24"/>
        </w:rPr>
        <w:t>–</w:t>
      </w:r>
      <w:r w:rsidR="00A356CB">
        <w:rPr>
          <w:rFonts w:ascii="Times New Roman" w:hAnsi="Times New Roman" w:cs="Times New Roman"/>
          <w:szCs w:val="24"/>
        </w:rPr>
        <w:tab/>
      </w:r>
      <w:r w:rsidR="00697F11" w:rsidRPr="00AF348A">
        <w:rPr>
          <w:rFonts w:ascii="Times New Roman" w:hAnsi="Times New Roman" w:cs="Times New Roman"/>
          <w:szCs w:val="24"/>
        </w:rPr>
        <w:t>nowych regulacji i rozwiązań technicznych, w szczególności w systemie teleinformatycznym obsługującym centralną ewidencję pojazdów i powiązanym z</w:t>
      </w:r>
      <w:r w:rsidR="00F06695">
        <w:rPr>
          <w:rFonts w:ascii="Times New Roman" w:hAnsi="Times New Roman" w:cs="Times New Roman"/>
          <w:szCs w:val="24"/>
        </w:rPr>
        <w:t> </w:t>
      </w:r>
      <w:r w:rsidR="00697F11" w:rsidRPr="00AF348A">
        <w:rPr>
          <w:rFonts w:ascii="Times New Roman" w:hAnsi="Times New Roman" w:cs="Times New Roman"/>
          <w:szCs w:val="24"/>
        </w:rPr>
        <w:t xml:space="preserve">nim systemie teleinformatycznym obsługującym zadania organów rejestrujących pojazdy, mając na uwadze również czas potrzebny na wydanie zmian przepisów wykonawczych wynikających ze zmienionych przepisów ustawowych; wszystkie te elementy wymagają harmonizacji terminów wejścia w życie odpowiednich przepisów projektowanej ustawy, uwzględniając powiązanie tych regulacji </w:t>
      </w:r>
      <w:r w:rsidR="00697F11" w:rsidRPr="00AF348A">
        <w:rPr>
          <w:rFonts w:ascii="Times New Roman" w:hAnsi="Times New Roman" w:cs="Times New Roman"/>
          <w:szCs w:val="24"/>
        </w:rPr>
        <w:lastRenderedPageBreak/>
        <w:t>z</w:t>
      </w:r>
      <w:r w:rsidR="00F06695">
        <w:rPr>
          <w:rFonts w:ascii="Times New Roman" w:hAnsi="Times New Roman" w:cs="Times New Roman"/>
          <w:szCs w:val="24"/>
        </w:rPr>
        <w:t> </w:t>
      </w:r>
      <w:r w:rsidR="00697F11" w:rsidRPr="00AF348A">
        <w:rPr>
          <w:rFonts w:ascii="Times New Roman" w:hAnsi="Times New Roman" w:cs="Times New Roman"/>
          <w:szCs w:val="24"/>
        </w:rPr>
        <w:t xml:space="preserve">kompetencjami ministra właściwego do spraw transportu i ministra właściwego do spraw informatyzacji. </w:t>
      </w:r>
    </w:p>
    <w:p w14:paraId="25F50B81" w14:textId="2A3354A5"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Uzupełniono również przepisy przejściowe</w:t>
      </w:r>
      <w:r w:rsidR="00831811">
        <w:rPr>
          <w:rFonts w:ascii="Times New Roman" w:hAnsi="Times New Roman" w:cs="Times New Roman"/>
          <w:szCs w:val="24"/>
        </w:rPr>
        <w:t>,</w:t>
      </w:r>
      <w:r w:rsidRPr="00AF348A">
        <w:rPr>
          <w:rFonts w:ascii="Times New Roman" w:hAnsi="Times New Roman" w:cs="Times New Roman"/>
          <w:szCs w:val="24"/>
        </w:rPr>
        <w:t xml:space="preserve"> określając, że:</w:t>
      </w:r>
    </w:p>
    <w:p w14:paraId="44C70ADC" w14:textId="2E57F10B" w:rsidR="00697F11" w:rsidRPr="00AF348A" w:rsidRDefault="002C34E7" w:rsidP="00AF348A">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sidR="00A356CB">
        <w:rPr>
          <w:rFonts w:ascii="Times New Roman" w:hAnsi="Times New Roman" w:cs="Times New Roman"/>
          <w:szCs w:val="24"/>
        </w:rPr>
        <w:tab/>
      </w:r>
      <w:r w:rsidR="00697F11" w:rsidRPr="00AF348A">
        <w:rPr>
          <w:rFonts w:ascii="Times New Roman" w:hAnsi="Times New Roman" w:cs="Times New Roman"/>
          <w:szCs w:val="24"/>
        </w:rPr>
        <w:t>dowody rejestracyjne, tablice (tablica) rejestracyjne oraz ich wtórniki wydane przed wejściem w życie projektowanej ustawy zachowują ważność,</w:t>
      </w:r>
    </w:p>
    <w:p w14:paraId="22F88033" w14:textId="5D981B5B" w:rsidR="00697F11" w:rsidRPr="00AF348A" w:rsidRDefault="002C34E7" w:rsidP="00AF348A">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sidR="00A356CB">
        <w:rPr>
          <w:rFonts w:ascii="Times New Roman" w:hAnsi="Times New Roman" w:cs="Times New Roman"/>
          <w:szCs w:val="24"/>
        </w:rPr>
        <w:tab/>
      </w:r>
      <w:r w:rsidR="00697F11" w:rsidRPr="00AF348A">
        <w:rPr>
          <w:rFonts w:ascii="Times New Roman" w:hAnsi="Times New Roman" w:cs="Times New Roman"/>
          <w:szCs w:val="24"/>
        </w:rPr>
        <w:t>pozwolenia czasowe oraz ich wtórniki wydane na podstawie dotychczasowych przepisów zachowują ważność przez okres, na jaki zostały wydane,</w:t>
      </w:r>
    </w:p>
    <w:p w14:paraId="325AFC0B" w14:textId="24C6489A" w:rsidR="00697F11" w:rsidRPr="00AF348A" w:rsidRDefault="002C34E7" w:rsidP="00AF348A">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sidR="00A356CB">
        <w:rPr>
          <w:rFonts w:ascii="Times New Roman" w:hAnsi="Times New Roman" w:cs="Times New Roman"/>
          <w:szCs w:val="24"/>
        </w:rPr>
        <w:tab/>
      </w:r>
      <w:r w:rsidR="00697F11" w:rsidRPr="00AF348A">
        <w:rPr>
          <w:rFonts w:ascii="Times New Roman" w:hAnsi="Times New Roman" w:cs="Times New Roman"/>
          <w:szCs w:val="24"/>
        </w:rPr>
        <w:t>zaświadczenia wystawione przez organ rejestrujący na podstawie art. 72 ust. 4 ustawy zmienianej w art. 1 w brzmieniu dotychczasowym zachowują ważność,</w:t>
      </w:r>
    </w:p>
    <w:p w14:paraId="678411D4" w14:textId="4A470F0D" w:rsidR="00697F11" w:rsidRPr="00AF348A" w:rsidRDefault="002C34E7" w:rsidP="00AF348A">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sidR="00A356CB">
        <w:rPr>
          <w:rFonts w:ascii="Times New Roman" w:hAnsi="Times New Roman" w:cs="Times New Roman"/>
          <w:szCs w:val="24"/>
        </w:rPr>
        <w:tab/>
      </w:r>
      <w:r w:rsidR="00697F11" w:rsidRPr="00AF348A">
        <w:rPr>
          <w:rFonts w:ascii="Times New Roman" w:hAnsi="Times New Roman" w:cs="Times New Roman"/>
          <w:szCs w:val="24"/>
        </w:rPr>
        <w:t>do postępowań w sprawie rejestracji, czasowej rejestracji i wyrejestrowania pojazdu albo odmowy rejestracji pojazdu, czasowej rejestracji pojazdu i wyrejestrowania pojazdu oraz o wydanie: wtórnika dowodu rejestracyjnego, wtórnika pozwolenia czasowego, wtórnika tablic rejestracyjnych oraz nowego dowodu rejestracyjnego i</w:t>
      </w:r>
      <w:r w:rsidR="00F06695">
        <w:rPr>
          <w:rFonts w:ascii="Times New Roman" w:hAnsi="Times New Roman" w:cs="Times New Roman"/>
          <w:szCs w:val="24"/>
        </w:rPr>
        <w:t> </w:t>
      </w:r>
      <w:r w:rsidR="00697F11" w:rsidRPr="00AF348A">
        <w:rPr>
          <w:rFonts w:ascii="Times New Roman" w:hAnsi="Times New Roman" w:cs="Times New Roman"/>
          <w:szCs w:val="24"/>
        </w:rPr>
        <w:t>tablic (tablicy) rejestracyjnych z nowym numerem rejestracyjnym, a także o</w:t>
      </w:r>
      <w:r w:rsidR="00F06695">
        <w:rPr>
          <w:rFonts w:ascii="Times New Roman" w:hAnsi="Times New Roman" w:cs="Times New Roman"/>
          <w:szCs w:val="24"/>
        </w:rPr>
        <w:t> </w:t>
      </w:r>
      <w:r w:rsidR="00697F11" w:rsidRPr="00AF348A">
        <w:rPr>
          <w:rFonts w:ascii="Times New Roman" w:hAnsi="Times New Roman" w:cs="Times New Roman"/>
          <w:szCs w:val="24"/>
        </w:rPr>
        <w:t>wydanie dodatkowej zalegalizowanej tablicy rejestracyjnej do oznaczenia bagażnika dla pojazdu zarejestrowanego na terytorium Rzeczypospolitej Polskiej, wszczętych i niezakończonych przed dniem wejścia w życie projektowanej ustawy będą stosowane przepisy dotychczasowe.</w:t>
      </w:r>
    </w:p>
    <w:p w14:paraId="50ACD811" w14:textId="436C459C" w:rsidR="00697F11" w:rsidRPr="00AF348A" w:rsidRDefault="00697F11" w:rsidP="00AF348A">
      <w:pPr>
        <w:pStyle w:val="ARTartustawynprozporzdzenia"/>
        <w:ind w:firstLine="0"/>
        <w:rPr>
          <w:rFonts w:ascii="Times New Roman" w:hAnsi="Times New Roman" w:cs="Times New Roman"/>
          <w:szCs w:val="24"/>
        </w:rPr>
      </w:pPr>
      <w:r w:rsidRPr="00AF348A">
        <w:rPr>
          <w:rFonts w:ascii="Times New Roman" w:hAnsi="Times New Roman" w:cs="Times New Roman"/>
          <w:szCs w:val="24"/>
        </w:rPr>
        <w:t xml:space="preserve">Przepisy dotychczasowe będą również stosowane do żądania właściwego organu państwa członkowskiego Unii Europejskiej lub Europejskiego Porozumienia o Wolnym Handlu (EFTA) </w:t>
      </w:r>
      <w:r w:rsidR="002C34E7">
        <w:rPr>
          <w:rFonts w:ascii="Times New Roman" w:hAnsi="Times New Roman" w:cs="Times New Roman"/>
          <w:szCs w:val="24"/>
        </w:rPr>
        <w:t>–</w:t>
      </w:r>
      <w:r w:rsidRPr="00AF348A">
        <w:rPr>
          <w:rFonts w:ascii="Times New Roman" w:hAnsi="Times New Roman" w:cs="Times New Roman"/>
          <w:szCs w:val="24"/>
        </w:rPr>
        <w:t xml:space="preserve"> strony umowy o Europejskim Obszarze Gospodarczym dotyczącego zwrotu dowodu rejestracyjnego zgłoszonego przed dniem wejścia w życie projektowanej ustawy (art. 16 projektu).</w:t>
      </w:r>
    </w:p>
    <w:p w14:paraId="11E9ED27" w14:textId="77777777"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Wobec uzupełnionych przepisów w ustawie z dnia 20 stycznia 2005 r. o recyklingu pojazdów wycofanych z eksploatacji (art. 4 projektu) oceniono za zasadne wprowadzenie przepisu przejściowego (art. 15 projektu) określającego, że zaświadczenia o demontażu pojazdu oraz zaświadczenia o przyjęciu niekompletnego pojazdu wydane przed dniem określonym w komunikacie, o którym mowa w art. 23 projektowanej ustawy, zachowują ważność.</w:t>
      </w:r>
    </w:p>
    <w:p w14:paraId="563BB700" w14:textId="77777777"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Zawarto również przepisy przejściowe w art. 16, art. 26 i art. 27 projektu ustawy potrzebne dla przypadków w nich opisanych, odpowiednio do ich treści.</w:t>
      </w:r>
    </w:p>
    <w:p w14:paraId="4BE85FEE" w14:textId="304C041C"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lastRenderedPageBreak/>
        <w:t>Przepisy art. 17</w:t>
      </w:r>
      <w:r w:rsidR="002C34E7">
        <w:rPr>
          <w:rFonts w:ascii="Times New Roman" w:hAnsi="Times New Roman" w:cs="Times New Roman"/>
          <w:szCs w:val="24"/>
        </w:rPr>
        <w:t>–</w:t>
      </w:r>
      <w:r w:rsidRPr="00AF348A">
        <w:rPr>
          <w:rFonts w:ascii="Times New Roman" w:hAnsi="Times New Roman" w:cs="Times New Roman"/>
          <w:szCs w:val="24"/>
        </w:rPr>
        <w:t>19 i art. 21</w:t>
      </w:r>
      <w:r w:rsidR="002C34E7">
        <w:rPr>
          <w:rFonts w:ascii="Times New Roman" w:hAnsi="Times New Roman" w:cs="Times New Roman"/>
          <w:szCs w:val="24"/>
        </w:rPr>
        <w:t>–</w:t>
      </w:r>
      <w:r w:rsidRPr="00AF348A">
        <w:rPr>
          <w:rFonts w:ascii="Times New Roman" w:hAnsi="Times New Roman" w:cs="Times New Roman"/>
          <w:szCs w:val="24"/>
        </w:rPr>
        <w:t>23 projektu ustawy są powiązane ze zmianami systemowymi warunkującymi dla poszczególnych rozwiązań wdrożenie rozwiązań technicznych w</w:t>
      </w:r>
      <w:r w:rsidR="0018127C">
        <w:rPr>
          <w:rFonts w:ascii="Times New Roman" w:hAnsi="Times New Roman" w:cs="Times New Roman"/>
          <w:szCs w:val="24"/>
        </w:rPr>
        <w:t> </w:t>
      </w:r>
      <w:r w:rsidRPr="00AF348A">
        <w:rPr>
          <w:rFonts w:ascii="Times New Roman" w:hAnsi="Times New Roman" w:cs="Times New Roman"/>
          <w:szCs w:val="24"/>
        </w:rPr>
        <w:t xml:space="preserve">zintegrowanym systemie teleinformatycznym obsługującym centralną ewidencję pojazdów z systemem teleinformatycznym rejestracji. W związku z tym minister właściwy do spraw informatyzacji, czasem w porozumieniu z ministrem właściwym do spraw transportu, ogłosi w Dzienniku Ustaw Rzeczypospolitej Polskiej oraz na stronie podmiotowej Biuletynu Informacji Publicznej ministra właściwego do spraw informatyzacji komunikat określający dzień wdrożenia rozwiązań technicznych umożliwiających: </w:t>
      </w:r>
    </w:p>
    <w:p w14:paraId="2CB4FAA3" w14:textId="325B9F7C" w:rsidR="00697F11" w:rsidRPr="00B33257" w:rsidRDefault="002C34E7" w:rsidP="00B33257">
      <w:pPr>
        <w:pStyle w:val="USTustnpkodeksu"/>
        <w:tabs>
          <w:tab w:val="left" w:pos="426"/>
        </w:tabs>
        <w:ind w:firstLine="0"/>
        <w:rPr>
          <w:rFonts w:ascii="Times New Roman" w:hAnsi="Times New Roman" w:cs="Times New Roman"/>
          <w:szCs w:val="24"/>
        </w:rPr>
      </w:pPr>
      <w:r>
        <w:rPr>
          <w:rFonts w:ascii="Times New Roman" w:hAnsi="Times New Roman" w:cs="Times New Roman"/>
          <w:szCs w:val="24"/>
        </w:rPr>
        <w:t>–</w:t>
      </w:r>
      <w:r w:rsidR="00AA4DA1">
        <w:rPr>
          <w:rFonts w:ascii="Times New Roman" w:hAnsi="Times New Roman" w:cs="Times New Roman"/>
          <w:szCs w:val="24"/>
        </w:rPr>
        <w:tab/>
      </w:r>
      <w:r w:rsidR="00697F11" w:rsidRPr="00B33257">
        <w:rPr>
          <w:rFonts w:ascii="Times New Roman" w:hAnsi="Times New Roman" w:cs="Times New Roman"/>
          <w:szCs w:val="24"/>
        </w:rPr>
        <w:t>czasowe wycofanie z ruchu samochodu osobowego (art. 17 projektu ustawy),</w:t>
      </w:r>
    </w:p>
    <w:p w14:paraId="36001C80" w14:textId="28C699BB" w:rsidR="00697F11" w:rsidRPr="00AF348A" w:rsidRDefault="002C34E7" w:rsidP="00AF348A">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sidR="00AA4DA1">
        <w:rPr>
          <w:rFonts w:ascii="Times New Roman" w:hAnsi="Times New Roman" w:cs="Times New Roman"/>
          <w:szCs w:val="24"/>
        </w:rPr>
        <w:tab/>
      </w:r>
      <w:r w:rsidR="00697F11" w:rsidRPr="00AF348A">
        <w:rPr>
          <w:rFonts w:ascii="Times New Roman" w:hAnsi="Times New Roman" w:cs="Times New Roman"/>
          <w:szCs w:val="24"/>
        </w:rPr>
        <w:t>zachowanie dotychczasowego numeru rejestracyjnego pojazdu (art. 18 projektu ustawy),</w:t>
      </w:r>
    </w:p>
    <w:p w14:paraId="3D5239CF" w14:textId="51713F16" w:rsidR="00697F11" w:rsidRPr="00AF348A" w:rsidRDefault="002C34E7" w:rsidP="00AF348A">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sidR="00AA4DA1">
        <w:rPr>
          <w:rFonts w:ascii="Times New Roman" w:hAnsi="Times New Roman" w:cs="Times New Roman"/>
          <w:szCs w:val="24"/>
        </w:rPr>
        <w:tab/>
      </w:r>
      <w:r w:rsidR="00697F11" w:rsidRPr="00AF348A">
        <w:rPr>
          <w:rFonts w:ascii="Times New Roman" w:hAnsi="Times New Roman" w:cs="Times New Roman"/>
          <w:szCs w:val="24"/>
        </w:rPr>
        <w:t>przekazywanie do centralnej ewidencji pojazdów i gromadzenie w tej ewidencji danych o przekroczeniach terminów, o których mowa w art. 71 ust. 7 i art. 78 ust. 2 pkt 1 Prawa o ruchu drogowym (art. 19 projektu ustawy),</w:t>
      </w:r>
    </w:p>
    <w:p w14:paraId="168095D7" w14:textId="66B8C53C" w:rsidR="00697F11" w:rsidRPr="00AF348A" w:rsidRDefault="002C34E7" w:rsidP="00AF348A">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sidR="00AA4DA1">
        <w:rPr>
          <w:rFonts w:ascii="Times New Roman" w:hAnsi="Times New Roman" w:cs="Times New Roman"/>
          <w:szCs w:val="24"/>
        </w:rPr>
        <w:tab/>
      </w:r>
      <w:r w:rsidR="00697F11" w:rsidRPr="00AF348A">
        <w:rPr>
          <w:rFonts w:ascii="Times New Roman" w:hAnsi="Times New Roman" w:cs="Times New Roman"/>
          <w:szCs w:val="24"/>
        </w:rPr>
        <w:t>generowanie z systemu teleinformatycznego obsługującego centralną ewidencję pojazdów raportu potwierdzającego dane gromadzone w tej ewidencji (art. 21 projektu ustawy),</w:t>
      </w:r>
    </w:p>
    <w:p w14:paraId="5E011233" w14:textId="173DF895" w:rsidR="00697F11" w:rsidRPr="00AF348A" w:rsidRDefault="002C34E7" w:rsidP="00AF348A">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sidR="00AA4DA1">
        <w:rPr>
          <w:rFonts w:ascii="Times New Roman" w:hAnsi="Times New Roman" w:cs="Times New Roman"/>
          <w:szCs w:val="24"/>
        </w:rPr>
        <w:tab/>
      </w:r>
      <w:r w:rsidR="00697F11" w:rsidRPr="00AF348A">
        <w:rPr>
          <w:rFonts w:ascii="Times New Roman" w:hAnsi="Times New Roman" w:cs="Times New Roman"/>
          <w:szCs w:val="24"/>
        </w:rPr>
        <w:t>weryfikację danych o kierującym i wprowadzanie do centralnej ewidencji kierowców informacji o zatrzymaniu wydanego w kraju prawa jazdy lub pozwolenia na kierowanie tramwajem oraz o ich zwrocie (art. 22 projektu ustawy),</w:t>
      </w:r>
    </w:p>
    <w:p w14:paraId="6A241819" w14:textId="5224EC0E" w:rsidR="00697F11" w:rsidRPr="00AF348A" w:rsidRDefault="002C34E7" w:rsidP="00AF348A">
      <w:pPr>
        <w:pStyle w:val="USTustnpkodeksu"/>
        <w:tabs>
          <w:tab w:val="left" w:pos="426"/>
        </w:tabs>
        <w:ind w:left="426" w:hanging="426"/>
        <w:rPr>
          <w:rFonts w:ascii="Times New Roman" w:hAnsi="Times New Roman" w:cs="Times New Roman"/>
          <w:szCs w:val="24"/>
        </w:rPr>
      </w:pPr>
      <w:r>
        <w:rPr>
          <w:rFonts w:ascii="Times New Roman" w:hAnsi="Times New Roman" w:cs="Times New Roman"/>
          <w:szCs w:val="24"/>
        </w:rPr>
        <w:t>–</w:t>
      </w:r>
      <w:r w:rsidR="00AA4DA1">
        <w:rPr>
          <w:rFonts w:ascii="Times New Roman" w:hAnsi="Times New Roman" w:cs="Times New Roman"/>
          <w:szCs w:val="24"/>
        </w:rPr>
        <w:tab/>
      </w:r>
      <w:r w:rsidR="00697F11" w:rsidRPr="00AF348A">
        <w:rPr>
          <w:rFonts w:ascii="Times New Roman" w:hAnsi="Times New Roman" w:cs="Times New Roman"/>
          <w:szCs w:val="24"/>
        </w:rPr>
        <w:t>przekazywanie przez przedsiębiorców prowadzących stacje demontażu pojazdów lub punkty zbierania pojazdów do centralnej ewidencji pojazdów danych o</w:t>
      </w:r>
      <w:r w:rsidR="0018127C">
        <w:rPr>
          <w:rFonts w:ascii="Times New Roman" w:hAnsi="Times New Roman" w:cs="Times New Roman"/>
          <w:szCs w:val="24"/>
        </w:rPr>
        <w:t> </w:t>
      </w:r>
      <w:r w:rsidR="00697F11" w:rsidRPr="00AF348A">
        <w:rPr>
          <w:rFonts w:ascii="Times New Roman" w:hAnsi="Times New Roman" w:cs="Times New Roman"/>
          <w:szCs w:val="24"/>
        </w:rPr>
        <w:t>demontażu pojazdu lub przyjęciu niekompletnego pojazdu (art. 23 projektu ustawy).</w:t>
      </w:r>
    </w:p>
    <w:p w14:paraId="05BD74AA" w14:textId="6F4678D1" w:rsidR="00697F11" w:rsidRPr="00AF348A" w:rsidRDefault="00697F11" w:rsidP="00AF348A">
      <w:pPr>
        <w:pStyle w:val="ARTartustawynprozporzdzenia"/>
        <w:ind w:firstLine="0"/>
        <w:rPr>
          <w:rFonts w:ascii="Times New Roman" w:hAnsi="Times New Roman" w:cs="Times New Roman"/>
          <w:szCs w:val="24"/>
        </w:rPr>
      </w:pPr>
      <w:r w:rsidRPr="00AF348A">
        <w:rPr>
          <w:rFonts w:ascii="Times New Roman" w:hAnsi="Times New Roman" w:cs="Times New Roman"/>
          <w:szCs w:val="24"/>
        </w:rPr>
        <w:t>Natomiast w art. 20 projektu ustawy wskazano, że każdy z komunikatów, o których mowa w art. 17</w:t>
      </w:r>
      <w:r w:rsidR="002C34E7">
        <w:rPr>
          <w:rFonts w:ascii="Times New Roman" w:hAnsi="Times New Roman" w:cs="Times New Roman"/>
          <w:szCs w:val="24"/>
        </w:rPr>
        <w:t>–</w:t>
      </w:r>
      <w:r w:rsidRPr="00AF348A">
        <w:rPr>
          <w:rFonts w:ascii="Times New Roman" w:hAnsi="Times New Roman" w:cs="Times New Roman"/>
          <w:szCs w:val="24"/>
        </w:rPr>
        <w:t>19 projektu ustawy, ogłasza się w terminie co najmniej 5 miesięcy przed dniem wdrożenia rozwiązania technicznego określonego w danym komunikacie. Komunikaty, o których mowa w art. 21 i art. 23 projektu ustawy, ogłasza się w terminie co najmniej 3</w:t>
      </w:r>
      <w:r w:rsidR="0018127C">
        <w:rPr>
          <w:rFonts w:ascii="Times New Roman" w:hAnsi="Times New Roman" w:cs="Times New Roman"/>
          <w:szCs w:val="24"/>
        </w:rPr>
        <w:t> </w:t>
      </w:r>
      <w:r w:rsidRPr="00AF348A">
        <w:rPr>
          <w:rFonts w:ascii="Times New Roman" w:hAnsi="Times New Roman" w:cs="Times New Roman"/>
          <w:szCs w:val="24"/>
        </w:rPr>
        <w:t>miesięcy przed dniem wdrożenia rozwiązania technicznego określonego w danym komunikacie. Również komunikat, o którym mowa w art. 22 projektu ustawy, określający dzień wdrożenia rozwiązań technicznych umożliwiających weryfikację danych o</w:t>
      </w:r>
      <w:r w:rsidR="0018127C">
        <w:rPr>
          <w:rFonts w:ascii="Times New Roman" w:hAnsi="Times New Roman" w:cs="Times New Roman"/>
          <w:szCs w:val="24"/>
        </w:rPr>
        <w:t> </w:t>
      </w:r>
      <w:r w:rsidRPr="00AF348A">
        <w:rPr>
          <w:rFonts w:ascii="Times New Roman" w:hAnsi="Times New Roman" w:cs="Times New Roman"/>
          <w:szCs w:val="24"/>
        </w:rPr>
        <w:t xml:space="preserve">kierującym i wprowadzanie do centralnej ewidencji kierowców informacji </w:t>
      </w:r>
      <w:r w:rsidRPr="00AF348A">
        <w:rPr>
          <w:rFonts w:ascii="Times New Roman" w:hAnsi="Times New Roman" w:cs="Times New Roman"/>
          <w:szCs w:val="24"/>
        </w:rPr>
        <w:lastRenderedPageBreak/>
        <w:t>o</w:t>
      </w:r>
      <w:r w:rsidR="0018127C">
        <w:rPr>
          <w:rFonts w:ascii="Times New Roman" w:hAnsi="Times New Roman" w:cs="Times New Roman"/>
          <w:szCs w:val="24"/>
        </w:rPr>
        <w:t> </w:t>
      </w:r>
      <w:r w:rsidRPr="00AF348A">
        <w:rPr>
          <w:rFonts w:ascii="Times New Roman" w:hAnsi="Times New Roman" w:cs="Times New Roman"/>
          <w:szCs w:val="24"/>
        </w:rPr>
        <w:t>zatrzymaniu wydanego w kraju prawa jazdy lub pozwolenia na kierowanie tramwajem oraz o ich zwrocie, ogłasza się w terminie co najmniej 3 miesięcy przed dniem wdrożenia rozwiązań technicznych określonym w tym komunikacie.</w:t>
      </w:r>
    </w:p>
    <w:p w14:paraId="503161B8" w14:textId="77777777"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 xml:space="preserve">Dla powyższego uwzględniono czas potrzebny na: </w:t>
      </w:r>
    </w:p>
    <w:p w14:paraId="117EA005" w14:textId="77BBC60E" w:rsidR="00697F11" w:rsidRPr="00AF348A" w:rsidRDefault="00697F11" w:rsidP="00AF348A">
      <w:pPr>
        <w:pStyle w:val="USTustnpkodeksu"/>
        <w:tabs>
          <w:tab w:val="left" w:pos="426"/>
        </w:tabs>
        <w:ind w:left="426" w:hanging="426"/>
        <w:rPr>
          <w:rFonts w:ascii="Times New Roman" w:hAnsi="Times New Roman" w:cs="Times New Roman"/>
          <w:szCs w:val="24"/>
        </w:rPr>
      </w:pPr>
      <w:r w:rsidRPr="00AF348A">
        <w:rPr>
          <w:rFonts w:ascii="Times New Roman" w:hAnsi="Times New Roman" w:cs="Times New Roman"/>
          <w:szCs w:val="24"/>
        </w:rPr>
        <w:t>1)</w:t>
      </w:r>
      <w:r w:rsidR="00542CCD">
        <w:rPr>
          <w:rFonts w:ascii="Times New Roman" w:hAnsi="Times New Roman" w:cs="Times New Roman"/>
          <w:szCs w:val="24"/>
        </w:rPr>
        <w:tab/>
      </w:r>
      <w:r w:rsidRPr="00AF348A">
        <w:rPr>
          <w:rFonts w:ascii="Times New Roman" w:hAnsi="Times New Roman" w:cs="Times New Roman"/>
          <w:szCs w:val="24"/>
        </w:rPr>
        <w:t xml:space="preserve">wdrożenie rozwiązań w systemach teleinformatycznych, o których mowa w art. 75e ust. 1 Prawa o ruchu drogowym; </w:t>
      </w:r>
    </w:p>
    <w:p w14:paraId="41CDA0EE" w14:textId="3E94B2E2" w:rsidR="00697F11" w:rsidRPr="00AF348A" w:rsidRDefault="00697F11" w:rsidP="00AF348A">
      <w:pPr>
        <w:pStyle w:val="USTustnpkodeksu"/>
        <w:tabs>
          <w:tab w:val="left" w:pos="426"/>
        </w:tabs>
        <w:ind w:left="426" w:hanging="426"/>
        <w:rPr>
          <w:rFonts w:ascii="Times New Roman" w:hAnsi="Times New Roman" w:cs="Times New Roman"/>
          <w:szCs w:val="24"/>
        </w:rPr>
      </w:pPr>
      <w:r w:rsidRPr="00AF348A">
        <w:rPr>
          <w:rFonts w:ascii="Times New Roman" w:hAnsi="Times New Roman" w:cs="Times New Roman"/>
          <w:szCs w:val="24"/>
        </w:rPr>
        <w:t>2)</w:t>
      </w:r>
      <w:r w:rsidR="00542CCD">
        <w:rPr>
          <w:rFonts w:ascii="Times New Roman" w:hAnsi="Times New Roman" w:cs="Times New Roman"/>
          <w:szCs w:val="24"/>
        </w:rPr>
        <w:tab/>
      </w:r>
      <w:r w:rsidRPr="00AF348A">
        <w:rPr>
          <w:rFonts w:ascii="Times New Roman" w:hAnsi="Times New Roman" w:cs="Times New Roman"/>
          <w:szCs w:val="24"/>
        </w:rPr>
        <w:t xml:space="preserve">zmianę przepisów odpowiednich rozporządzeń przez ministra właściwego do spraw transportu i ministra właściwego do spraw informatyzacji. </w:t>
      </w:r>
    </w:p>
    <w:p w14:paraId="08A39E62" w14:textId="1D04F4D2"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Wprowadzana konstrukcja komunikatu jest niezbędna z uwagi na konieczność zapewnienia możliwości elastycznego wdrażania poszczególnych rozwiązań teleinformatycznych w zakresie projektowanych zmian. W związku z szerokim zakresem projektu uruchamianie poszczególnych uproszczeń będzie następowało sukcesywnie, etapami – w celu zapewnienia niezakłóconego działania części centralnej systemu informatycznego obsługującego centralną ewidencję pojazdów i centralną ewidencję kierowców, jak i systemów dziedzinowych – w szczególności systemu teleinformatycznego rejestracji.</w:t>
      </w:r>
    </w:p>
    <w:p w14:paraId="07FFD9DD" w14:textId="7835916A"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Projektowana ustawa w zakresie rozwiązań dotyczących zniesienia obowiązku posiadania przy sobie i okazywania na żądanie uprawnionego organu kontroli ruchu drogowego wydanego w kraju prawa jazdy (art. 22 projektu) będzie stosowana od terminu określonego w komunikacie ministra właściwego do spraw informatyzacji ogłoszonego w Dzienniku Ustaw Rzeczypospolitej Polskiej oraz na stronie podmiotowej Biuletynu Informacji Publicznej ministra właściwego do spraw informatyzacji z co najmniej 3-miesięcznym wyprzedzeniem. Do czasu określonego w komunikacie stosowane będą przepisy dotychczasowe. Zakłada się, że systemy teleinformatyczne, z</w:t>
      </w:r>
      <w:r w:rsidR="0018127C">
        <w:rPr>
          <w:rFonts w:ascii="Times New Roman" w:hAnsi="Times New Roman" w:cs="Times New Roman"/>
          <w:szCs w:val="24"/>
        </w:rPr>
        <w:t> </w:t>
      </w:r>
      <w:r w:rsidRPr="00AF348A">
        <w:rPr>
          <w:rFonts w:ascii="Times New Roman" w:hAnsi="Times New Roman" w:cs="Times New Roman"/>
          <w:szCs w:val="24"/>
        </w:rPr>
        <w:t>wykorzystaniem których podmioty realizują swoje zadania związane z</w:t>
      </w:r>
      <w:r w:rsidR="0018127C">
        <w:t> </w:t>
      </w:r>
      <w:r w:rsidRPr="00AF348A">
        <w:rPr>
          <w:rFonts w:ascii="Times New Roman" w:hAnsi="Times New Roman" w:cs="Times New Roman"/>
          <w:szCs w:val="24"/>
        </w:rPr>
        <w:t xml:space="preserve">przekazywaniem danych do centralnej ewidencji kierowców, zostaną dostosowane do dnia określonego w ww. komunikacie do komunikacji z systemem obsługującym centralną ewidencję kierowców – w obszarze zasilania i udostępniania danych – w celu wdrożenia projektowanych rozwiązań. Podmioty, które obecnie nie posiadają własnych systemów, będą mogły skorzystać z rozwiązań aplikacyjnych udostępnianych przez ministra właściwego do spraw informatyzacji. Rozwiązania te obejmują udostępnianie danych z centralnej ewidencji kierowców. W zakresie </w:t>
      </w:r>
      <w:r w:rsidRPr="00AF348A">
        <w:rPr>
          <w:rFonts w:ascii="Times New Roman" w:hAnsi="Times New Roman" w:cs="Times New Roman"/>
          <w:szCs w:val="24"/>
        </w:rPr>
        <w:lastRenderedPageBreak/>
        <w:t xml:space="preserve">dostosowania systemów dziedzinowych do komunikacji z systemem obsługującym Rejestr Dowodów Osobistych organy kontroli ruchu drogowego, które zostały wyposażone w uprawnienia do ustalenia tożsamości kierującego na podstawie danych z Rejestru Dowodów Osobistych, będą obowiązane zapewnić rozwiązania organizacyjno-techniczne umożliwiające sprawdzenie danych w Rejestrze Dowodów Osobistych – w przypadku gdy zachodzi konieczność ustalenia na podstawie tych danych tożsamości kierującego podczas kontroli drogowej. </w:t>
      </w:r>
    </w:p>
    <w:p w14:paraId="7D55B8F7" w14:textId="0070C003"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Ponadto należy wskazać, że regulacje te wychodzą naprzeciw oczekiwaniom obywateli i</w:t>
      </w:r>
      <w:r w:rsidR="0018127C">
        <w:t> </w:t>
      </w:r>
      <w:r w:rsidRPr="00AF348A">
        <w:rPr>
          <w:rFonts w:ascii="Times New Roman" w:hAnsi="Times New Roman" w:cs="Times New Roman"/>
          <w:szCs w:val="24"/>
        </w:rPr>
        <w:t>są dla nich korzystne. Dodatkowo wprowadzenie powiązanych z tą możliwością zmian dotyczących procedury zatrzymywania wydanego w kraju prawa jazdy w konsekwencji niesie za sobą pożądane uszczelnienie systemu w tym zakresie – prawo jazdy będzie zatrzymywane niezależnie od posiadania przy sobie dokumentu</w:t>
      </w:r>
      <w:r w:rsidR="009C7DD1">
        <w:rPr>
          <w:rFonts w:ascii="Times New Roman" w:hAnsi="Times New Roman" w:cs="Times New Roman"/>
          <w:szCs w:val="24"/>
        </w:rPr>
        <w:t>,</w:t>
      </w:r>
      <w:r w:rsidRPr="00AF348A">
        <w:rPr>
          <w:rFonts w:ascii="Times New Roman" w:hAnsi="Times New Roman" w:cs="Times New Roman"/>
          <w:szCs w:val="24"/>
        </w:rPr>
        <w:t xml:space="preserve"> po wystąpieniu określonych w Prawie o ruchu drogowym przesłanek do zatrzymania. Obecnie osoba, która nie ma przy sobie dokumentu, dostaje mandat za brak dokumentu i mimo że występują przesłanki do jego zatrzymania – dokument ten nie jest zatrzymywany. W</w:t>
      </w:r>
      <w:r w:rsidR="0018127C">
        <w:rPr>
          <w:rFonts w:ascii="Times New Roman" w:hAnsi="Times New Roman" w:cs="Times New Roman"/>
          <w:szCs w:val="24"/>
        </w:rPr>
        <w:t> </w:t>
      </w:r>
      <w:r w:rsidRPr="00AF348A">
        <w:rPr>
          <w:rFonts w:ascii="Times New Roman" w:hAnsi="Times New Roman" w:cs="Times New Roman"/>
          <w:szCs w:val="24"/>
        </w:rPr>
        <w:t>takim przypadku nie jest również odnotowywana w systemie informacja o</w:t>
      </w:r>
      <w:r w:rsidR="0018127C">
        <w:rPr>
          <w:rFonts w:ascii="Times New Roman" w:hAnsi="Times New Roman" w:cs="Times New Roman"/>
          <w:szCs w:val="24"/>
        </w:rPr>
        <w:t> </w:t>
      </w:r>
      <w:r w:rsidRPr="00AF348A">
        <w:rPr>
          <w:rFonts w:ascii="Times New Roman" w:hAnsi="Times New Roman" w:cs="Times New Roman"/>
          <w:szCs w:val="24"/>
        </w:rPr>
        <w:t>zatrzymaniu tego dokumentu. Zmiana jest więc szczególnie pożądana w kontekście „szczelności” systemu i zapewnienia bezpieczeństwa ruchu drogowego.</w:t>
      </w:r>
    </w:p>
    <w:p w14:paraId="5CA5D916" w14:textId="3B357EEF"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W art. 24 projektu ustawy wprowadzono przepis umożliwiający migrację danych, zgromadzonych obecnie lokalnie przez organy właściwe do wydawania dokumentów stwierdzających uprawnienia do kierowania pojazdami, zawartych w profilu kandydata na kierowcę</w:t>
      </w:r>
      <w:r w:rsidR="009C7DD1">
        <w:rPr>
          <w:rFonts w:ascii="Times New Roman" w:hAnsi="Times New Roman" w:cs="Times New Roman"/>
          <w:szCs w:val="24"/>
        </w:rPr>
        <w:t>,</w:t>
      </w:r>
      <w:r w:rsidRPr="00AF348A">
        <w:rPr>
          <w:rFonts w:ascii="Times New Roman" w:hAnsi="Times New Roman" w:cs="Times New Roman"/>
          <w:szCs w:val="24"/>
        </w:rPr>
        <w:t xml:space="preserve"> do centralnej ewidencji kierowców. Przekazywanie danych rozpocznie się po upływie 3 miesięcy od dnia wejścia w życie projektowanej ustawy. </w:t>
      </w:r>
    </w:p>
    <w:p w14:paraId="6185F67C" w14:textId="5C503C10"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 xml:space="preserve">Podstawa prawna, która wcześniej regulowała tę kwestię, zawarta w art. 11 ustawy z dnia 24 lipca 2015 r. o zmianie ustawy – Prawo o ruchu drogowym (Dz. U. poz. 1273, z </w:t>
      </w:r>
      <w:proofErr w:type="spellStart"/>
      <w:r w:rsidRPr="00AF348A">
        <w:rPr>
          <w:rFonts w:ascii="Times New Roman" w:hAnsi="Times New Roman" w:cs="Times New Roman"/>
          <w:szCs w:val="24"/>
        </w:rPr>
        <w:t>późn</w:t>
      </w:r>
      <w:proofErr w:type="spellEnd"/>
      <w:r w:rsidRPr="00AF348A">
        <w:rPr>
          <w:rFonts w:ascii="Times New Roman" w:hAnsi="Times New Roman" w:cs="Times New Roman"/>
          <w:szCs w:val="24"/>
        </w:rPr>
        <w:t>. zm.)</w:t>
      </w:r>
      <w:r w:rsidR="009C7DD1">
        <w:rPr>
          <w:rFonts w:ascii="Times New Roman" w:hAnsi="Times New Roman" w:cs="Times New Roman"/>
          <w:szCs w:val="24"/>
        </w:rPr>
        <w:t>,</w:t>
      </w:r>
      <w:r w:rsidRPr="00AF348A">
        <w:rPr>
          <w:rFonts w:ascii="Times New Roman" w:hAnsi="Times New Roman" w:cs="Times New Roman"/>
          <w:szCs w:val="24"/>
        </w:rPr>
        <w:t xml:space="preserve"> wyekspirowała i konieczne jest wprowadzenie nowego przepisu w tym zakresie. Dodanie w art. 100aa Prawa o ruchu drogowym ust. 3a jest powiązane z art. 24 projektu i zapewnia podstawę do gromadzenia danych dotyczących profilu kandydata na kierowcę, które zostały wcześniej zgromadzone w lokalnych bazach prowadzonych przez starostów – w zakresie aktywnych profili, w celu umożliwienia przeniesienia obsługi profilu kandydata na kierowcę na poziom centralny – w systemie teleinformatycznym obsługującym centralną ewidencję kierowców.</w:t>
      </w:r>
    </w:p>
    <w:p w14:paraId="6B4DD68D" w14:textId="310B094B" w:rsidR="00697F11" w:rsidRPr="00AF348A" w:rsidRDefault="00697F11" w:rsidP="00AF348A">
      <w:pPr>
        <w:pStyle w:val="ARTartustawynprozporzdzenia"/>
        <w:ind w:firstLine="0"/>
        <w:rPr>
          <w:rFonts w:ascii="Times New Roman" w:hAnsi="Times New Roman" w:cs="Times New Roman"/>
          <w:szCs w:val="24"/>
        </w:rPr>
      </w:pPr>
      <w:r w:rsidRPr="00AF348A">
        <w:rPr>
          <w:rFonts w:ascii="Times New Roman" w:hAnsi="Times New Roman" w:cs="Times New Roman"/>
          <w:szCs w:val="24"/>
        </w:rPr>
        <w:lastRenderedPageBreak/>
        <w:t xml:space="preserve">W projekcie w art. 22 określono, że minister właściwy do spraw informatyzacji ogłosi </w:t>
      </w:r>
      <w:r w:rsidRPr="00AF348A">
        <w:rPr>
          <w:rFonts w:ascii="Times New Roman" w:hAnsi="Times New Roman" w:cs="Times New Roman"/>
          <w:szCs w:val="24"/>
        </w:rPr>
        <w:br/>
        <w:t>w Dzienniku Ustaw Rzeczypospolitej Polskiej oraz na stronie podmiotowej Biuletynu Informacji Publicznej ministra właściwego do spraw informatyzacji komunikat określający dzień wdrożenia rozwiązań technicznych umożliwiających weryfikację danych o kierującym i wprowadzanie do centralnej ewidencji kierowców informacji o</w:t>
      </w:r>
      <w:r w:rsidR="00D9777F">
        <w:rPr>
          <w:rFonts w:ascii="Times New Roman" w:hAnsi="Times New Roman" w:cs="Times New Roman"/>
          <w:szCs w:val="24"/>
        </w:rPr>
        <w:t> </w:t>
      </w:r>
      <w:r w:rsidRPr="00AF348A">
        <w:rPr>
          <w:rFonts w:ascii="Times New Roman" w:hAnsi="Times New Roman" w:cs="Times New Roman"/>
          <w:szCs w:val="24"/>
        </w:rPr>
        <w:t>zatrzymaniu wydanego w kraju prawa jazdy lub pozwolenia na kierowanie tramwajem oraz o ich zwrocie w terminie co najmniej 3 miesięcy przed dniem wdrożenia rozwiązań technicznych określonym w tym komunikacie.</w:t>
      </w:r>
    </w:p>
    <w:p w14:paraId="242CC175" w14:textId="0190B22A" w:rsidR="00697F11" w:rsidRPr="00AF348A" w:rsidRDefault="00697F11" w:rsidP="00AF348A">
      <w:pPr>
        <w:pStyle w:val="ARTartustawynprozporzdzenia"/>
        <w:ind w:firstLine="0"/>
        <w:rPr>
          <w:rFonts w:ascii="Times New Roman" w:hAnsi="Times New Roman" w:cs="Times New Roman"/>
          <w:szCs w:val="24"/>
        </w:rPr>
      </w:pPr>
      <w:r w:rsidRPr="00AF348A">
        <w:rPr>
          <w:rFonts w:ascii="Times New Roman" w:hAnsi="Times New Roman" w:cs="Times New Roman"/>
          <w:szCs w:val="24"/>
        </w:rPr>
        <w:t>W projekcie w art. 28 określono przepis zachowujący w mocy rozporządzenia wydawane na podstawie art. 76 ust. 2</w:t>
      </w:r>
      <w:r w:rsidR="002C34E7">
        <w:rPr>
          <w:rFonts w:ascii="Times New Roman" w:hAnsi="Times New Roman" w:cs="Times New Roman"/>
          <w:szCs w:val="24"/>
        </w:rPr>
        <w:t>–</w:t>
      </w:r>
      <w:r w:rsidRPr="00AF348A">
        <w:rPr>
          <w:rFonts w:ascii="Times New Roman" w:hAnsi="Times New Roman" w:cs="Times New Roman"/>
          <w:szCs w:val="24"/>
        </w:rPr>
        <w:t>3 Prawa o ruchu drogowym. Uwzględniono, że zmieniony projektem ust. 5 art. 76 Prawa o duchu drogowym określa zbiorcze wytyczne dla rozporządzeń wydawanych na podstawie art. 76 ust. 1</w:t>
      </w:r>
      <w:r w:rsidR="002C34E7">
        <w:rPr>
          <w:rFonts w:ascii="Times New Roman" w:hAnsi="Times New Roman" w:cs="Times New Roman"/>
          <w:szCs w:val="24"/>
        </w:rPr>
        <w:t>–</w:t>
      </w:r>
      <w:r w:rsidRPr="00AF348A">
        <w:rPr>
          <w:rFonts w:ascii="Times New Roman" w:hAnsi="Times New Roman" w:cs="Times New Roman"/>
          <w:szCs w:val="24"/>
        </w:rPr>
        <w:t>3, a intencją tej zmiany nie jest ani uchylenie</w:t>
      </w:r>
      <w:r w:rsidR="0075361B">
        <w:rPr>
          <w:rFonts w:ascii="Times New Roman" w:hAnsi="Times New Roman" w:cs="Times New Roman"/>
          <w:szCs w:val="24"/>
        </w:rPr>
        <w:t>,</w:t>
      </w:r>
      <w:r w:rsidRPr="00AF348A">
        <w:rPr>
          <w:rFonts w:ascii="Times New Roman" w:hAnsi="Times New Roman" w:cs="Times New Roman"/>
          <w:szCs w:val="24"/>
        </w:rPr>
        <w:t xml:space="preserve"> ani konieczność zmiany rozporządzeń wydanych na podstawie art. 76 ust.</w:t>
      </w:r>
      <w:r w:rsidR="00D9777F">
        <w:rPr>
          <w:rFonts w:ascii="Times New Roman" w:hAnsi="Times New Roman" w:cs="Times New Roman"/>
          <w:szCs w:val="24"/>
        </w:rPr>
        <w:t> </w:t>
      </w:r>
      <w:r w:rsidRPr="00AF348A">
        <w:rPr>
          <w:rFonts w:ascii="Times New Roman" w:hAnsi="Times New Roman" w:cs="Times New Roman"/>
          <w:szCs w:val="24"/>
        </w:rPr>
        <w:t>2</w:t>
      </w:r>
      <w:r w:rsidR="002C34E7">
        <w:rPr>
          <w:rFonts w:ascii="Times New Roman" w:hAnsi="Times New Roman" w:cs="Times New Roman"/>
          <w:szCs w:val="24"/>
        </w:rPr>
        <w:t>–</w:t>
      </w:r>
      <w:r w:rsidRPr="00AF348A">
        <w:rPr>
          <w:rFonts w:ascii="Times New Roman" w:hAnsi="Times New Roman" w:cs="Times New Roman"/>
          <w:szCs w:val="24"/>
        </w:rPr>
        <w:t xml:space="preserve">3 Prawa o ruchu drogowym. </w:t>
      </w:r>
    </w:p>
    <w:p w14:paraId="64065E13" w14:textId="77777777"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 xml:space="preserve">Zaprojektowano wejście w życie art. 1 pkt 32 i pkt 37 lit. e projektu po upływie miesiąca od dnia ogłoszenia ustawy. </w:t>
      </w:r>
    </w:p>
    <w:p w14:paraId="6353DE0F" w14:textId="77777777"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 xml:space="preserve">Zaprojektowano wejście w życie art. 1 pkt 9 lit. e </w:t>
      </w:r>
      <w:proofErr w:type="spellStart"/>
      <w:r w:rsidRPr="00AF348A">
        <w:rPr>
          <w:rFonts w:ascii="Times New Roman" w:hAnsi="Times New Roman" w:cs="Times New Roman"/>
          <w:szCs w:val="24"/>
        </w:rPr>
        <w:t>tiret</w:t>
      </w:r>
      <w:proofErr w:type="spellEnd"/>
      <w:r w:rsidRPr="00AF348A">
        <w:rPr>
          <w:rFonts w:ascii="Times New Roman" w:hAnsi="Times New Roman" w:cs="Times New Roman"/>
          <w:szCs w:val="24"/>
        </w:rPr>
        <w:t xml:space="preserve"> pierwsze oraz pkt 15, art. 7, art. 8 pkt 1 oraz art. 22 projektu w dniu następującym po dniu ogłoszenia ustawy.</w:t>
      </w:r>
    </w:p>
    <w:p w14:paraId="237AD984" w14:textId="270F9D0C"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 xml:space="preserve">Brzmienie art. 1 pkt 15 oraz art. 8 pkt 1 projektu umożliwi podjęcie działań Ministrowi Cyfryzacji mających na celu zawarcie umowy między ministrem właściwym do spraw informatyzacji a wytwórcą dokumentów oraz wpłynie korzystnie na realizację prac związanych z dostosowaniem systemu teleinformatycznego obsługującego zadania realizowane przez organy rejestrujące oraz organy właściwe do wydawania praw jazdy do zmian w systemie teleinformatycznym obsługującym centralną ewidencję pojazdów, w tym również do zmian objętych zakresem niniejszego projektu. Uregulowanie zasad współpracy jest kluczowe dla sprawnego wdrażania kolejnych funkcjonalności, a także dla sprawnej realizacji przez ministra właściwego do spraw informatyzacji nadzoru nad interoperacyjnością systemu teleinformatycznego dostarczanego przez wytwórcę dowodów rejestracyjnych oraz praw jazdy z systemem teleinformatycznym obsługującym centralną ewidencję pojazdów. Art. 7 umożliwi podmiotom, które obecnie nie są uprawnione do pozyskiwania danych w trybie teletransmisji z Rejestru Dowodów Osobistych, dostęp do tych danych. Inspekcja Transportu Drogowego będzie </w:t>
      </w:r>
      <w:r w:rsidRPr="00AF348A">
        <w:rPr>
          <w:rFonts w:ascii="Times New Roman" w:hAnsi="Times New Roman" w:cs="Times New Roman"/>
          <w:szCs w:val="24"/>
        </w:rPr>
        <w:lastRenderedPageBreak/>
        <w:t>mogła w</w:t>
      </w:r>
      <w:r w:rsidR="00D9777F">
        <w:rPr>
          <w:rFonts w:ascii="Times New Roman" w:hAnsi="Times New Roman" w:cs="Times New Roman"/>
          <w:szCs w:val="24"/>
        </w:rPr>
        <w:t> </w:t>
      </w:r>
      <w:r w:rsidRPr="00AF348A">
        <w:rPr>
          <w:rFonts w:ascii="Times New Roman" w:hAnsi="Times New Roman" w:cs="Times New Roman"/>
          <w:szCs w:val="24"/>
        </w:rPr>
        <w:t>związku z tym rozpocząć prace związane z integracją swoich rozwiązań technicznych z systemem obsługującym Rejestr Dowodów Osobistych. W szczególności z uwagi na wprowadzenie zmian umożliwiających poruszanie się po drogach bez obowiązku okazywania prawa jazdy, dostęp do tych danych umożliwi identyfikację tożsamości kierującego pojazdem. Przepis nie nakłada żadnych obowiązków na wskazane w nim organy, a jedynie przyznaje im niezbędne uprawnienia i zasadn</w:t>
      </w:r>
      <w:r w:rsidR="0075361B">
        <w:rPr>
          <w:rFonts w:ascii="Times New Roman" w:hAnsi="Times New Roman" w:cs="Times New Roman"/>
          <w:szCs w:val="24"/>
        </w:rPr>
        <w:t>e</w:t>
      </w:r>
      <w:r w:rsidRPr="00AF348A">
        <w:rPr>
          <w:rFonts w:ascii="Times New Roman" w:hAnsi="Times New Roman" w:cs="Times New Roman"/>
          <w:szCs w:val="24"/>
        </w:rPr>
        <w:t xml:space="preserve"> jest, żeby wszedł w życie z dniem następującym po dniu ogłoszenia projektowanej ustawy.</w:t>
      </w:r>
    </w:p>
    <w:p w14:paraId="3AF75E4B" w14:textId="1D089A26"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Art. 1 pkt 37 lit. e projektu, dotyczący zwrotu zatrzymanego dowodu rejestracyjnego przez diagnostę, wprowadza ułatwienie w realizowanej obecnie procedurze zwrotu wydanego w kraju dowodu rejestracyjnego lub pozwolenia czasowego po jego elektronicznym zatrzymaniu przez organ kontroli ruchu drogowego, umożliwiając odnotowanie zwrotu tego dokumentu również przez stację kontroli pojazdów. Obywatel, po przeprowadzeniu badania technicznego, nie będzie musiał zwracać się, jak obecnie, do organu, który wydał dokument</w:t>
      </w:r>
      <w:r w:rsidR="0075361B">
        <w:rPr>
          <w:rFonts w:ascii="Times New Roman" w:hAnsi="Times New Roman" w:cs="Times New Roman"/>
          <w:szCs w:val="24"/>
        </w:rPr>
        <w:t>,</w:t>
      </w:r>
      <w:r w:rsidRPr="00AF348A">
        <w:rPr>
          <w:rFonts w:ascii="Times New Roman" w:hAnsi="Times New Roman" w:cs="Times New Roman"/>
          <w:szCs w:val="24"/>
        </w:rPr>
        <w:t xml:space="preserve"> albo organu, który go zatrzymał</w:t>
      </w:r>
      <w:r w:rsidR="0075361B">
        <w:rPr>
          <w:rFonts w:ascii="Times New Roman" w:hAnsi="Times New Roman" w:cs="Times New Roman"/>
          <w:szCs w:val="24"/>
        </w:rPr>
        <w:t>,</w:t>
      </w:r>
      <w:r w:rsidRPr="00AF348A">
        <w:rPr>
          <w:rFonts w:ascii="Times New Roman" w:hAnsi="Times New Roman" w:cs="Times New Roman"/>
          <w:szCs w:val="24"/>
        </w:rPr>
        <w:t xml:space="preserve"> ponieważ diagnosta będzie mógł dokonać zwrotu w ramach przeprowadzonego badania. </w:t>
      </w:r>
    </w:p>
    <w:p w14:paraId="3EE925B5" w14:textId="5F0E8298"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Regulacje te wychodzą naprzeciw oczekiwaniom obywateli i są dla nich korzystne. Dodatkowo wprowadzenie powiązanych z tą możliwością zmian dotyczących procedury zatrzymywania wydanego w kraju prawa jazdy w konsekwencji niesie za sobą pożądane uszczelnienie systemu w tym zakresie – prawo jazdy będzie zatrzymywane niezależnie od posiadania przy sobie dokumentu</w:t>
      </w:r>
      <w:r w:rsidR="0075361B">
        <w:rPr>
          <w:rFonts w:ascii="Times New Roman" w:hAnsi="Times New Roman" w:cs="Times New Roman"/>
          <w:szCs w:val="24"/>
        </w:rPr>
        <w:t>,</w:t>
      </w:r>
      <w:r w:rsidRPr="00AF348A">
        <w:rPr>
          <w:rFonts w:ascii="Times New Roman" w:hAnsi="Times New Roman" w:cs="Times New Roman"/>
          <w:szCs w:val="24"/>
        </w:rPr>
        <w:t xml:space="preserve"> po wystąpieniu określonych w Prawie o ruchu drogowym przesłanek do zatrzymania. Obecnie osoba, która nie ma przy sobie dokumentu, dostaje mandat za brak dokumentu i</w:t>
      </w:r>
      <w:r w:rsidR="0075361B">
        <w:rPr>
          <w:rFonts w:ascii="Times New Roman" w:hAnsi="Times New Roman" w:cs="Times New Roman"/>
          <w:szCs w:val="24"/>
        </w:rPr>
        <w:t>,</w:t>
      </w:r>
      <w:r w:rsidRPr="00AF348A">
        <w:rPr>
          <w:rFonts w:ascii="Times New Roman" w:hAnsi="Times New Roman" w:cs="Times New Roman"/>
          <w:szCs w:val="24"/>
        </w:rPr>
        <w:t xml:space="preserve"> mimo że występują przesłanki do jego zatrzymania</w:t>
      </w:r>
      <w:r w:rsidR="0075361B">
        <w:rPr>
          <w:rFonts w:ascii="Times New Roman" w:hAnsi="Times New Roman" w:cs="Times New Roman"/>
          <w:szCs w:val="24"/>
        </w:rPr>
        <w:t>,</w:t>
      </w:r>
      <w:r w:rsidRPr="00AF348A">
        <w:rPr>
          <w:rFonts w:ascii="Times New Roman" w:hAnsi="Times New Roman" w:cs="Times New Roman"/>
          <w:szCs w:val="24"/>
        </w:rPr>
        <w:t xml:space="preserve"> dokument ten nie jest zatrzymywany. W takim przypadku nie jest również odnotowywana w systemie informacja o zatrzymaniu. Zmiana jest więc szczególnie pożądana w kontekście „szczelności” systemu i zapewnienia bezpieczeństwa ruchu drogowego.</w:t>
      </w:r>
    </w:p>
    <w:p w14:paraId="11586F04" w14:textId="4AB4EF10"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 xml:space="preserve">Wobec rezygnacji z obowiązku wydawania nalepki kontrolnej i karty pojazdu w terminie wskazanym w art. 29 pkt 6 projektu ustawy </w:t>
      </w:r>
      <w:r w:rsidR="002C34E7">
        <w:rPr>
          <w:rFonts w:ascii="Times New Roman" w:hAnsi="Times New Roman" w:cs="Times New Roman"/>
          <w:szCs w:val="24"/>
        </w:rPr>
        <w:t>–</w:t>
      </w:r>
      <w:r w:rsidRPr="00AF348A">
        <w:rPr>
          <w:rFonts w:ascii="Times New Roman" w:hAnsi="Times New Roman" w:cs="Times New Roman"/>
          <w:szCs w:val="24"/>
        </w:rPr>
        <w:t xml:space="preserve"> w art. 26 przewidziano, że w okresie od dnia wejścia nowego art. 73c Prawa o ruchu drogowym do upływu 24 miesięcy od dnia ogłoszenia projektowanej ustawy, salon sprzedaży pojazdów samochodowych lub uprawniony przedstawiciel tego salonu do wniosku o rejestrację </w:t>
      </w:r>
      <w:r w:rsidRPr="00AF348A">
        <w:rPr>
          <w:rFonts w:ascii="Times New Roman" w:hAnsi="Times New Roman" w:cs="Times New Roman"/>
          <w:szCs w:val="24"/>
        </w:rPr>
        <w:lastRenderedPageBreak/>
        <w:t>pojazdu dołączać będzie również w postaci elektronicznej oryginał lub kopię karty pojazdu oraz potwierdzenia dokonania opłaty za wydanie nalepki kontrolnej. Natomiast organ rejestrujący w tym czasie będzie wydawał także nalepkę kontrolną, jeżeli jest wymagana, a właściciel nowego pojazdu samochodowego nabytego w salonie sprzedaży pojazdów samochodowych będzie mógł upoważnić ten salon lub uprawnionego przedstawiciela tego salonu do odbioru także nalepki kontrolnej, jeżeli jest wymagana.</w:t>
      </w:r>
    </w:p>
    <w:p w14:paraId="08A7B344" w14:textId="77777777" w:rsidR="00697F11" w:rsidRPr="00AF348A" w:rsidRDefault="00697F11" w:rsidP="00AF348A">
      <w:pPr>
        <w:pStyle w:val="USTustnpkodeksu"/>
        <w:spacing w:before="120"/>
        <w:ind w:firstLine="0"/>
        <w:rPr>
          <w:rFonts w:ascii="Times New Roman" w:hAnsi="Times New Roman" w:cs="Times New Roman"/>
          <w:szCs w:val="24"/>
        </w:rPr>
      </w:pPr>
      <w:r w:rsidRPr="00AF348A">
        <w:rPr>
          <w:rFonts w:ascii="Times New Roman" w:hAnsi="Times New Roman" w:cs="Times New Roman"/>
          <w:szCs w:val="24"/>
        </w:rPr>
        <w:t xml:space="preserve">W art. 29 projektu określono wejście w życie projektowanej ustawy po upływie </w:t>
      </w:r>
      <w:r w:rsidRPr="00AF348A">
        <w:rPr>
          <w:rFonts w:ascii="Times New Roman" w:hAnsi="Times New Roman" w:cs="Times New Roman"/>
          <w:szCs w:val="24"/>
        </w:rPr>
        <w:br/>
        <w:t xml:space="preserve">3 miesięcy od dnia jej ogłoszenia, z wyjątkiem: </w:t>
      </w:r>
    </w:p>
    <w:p w14:paraId="2494DDC5" w14:textId="1F3D2B0B" w:rsidR="00697F11" w:rsidRPr="00AF348A" w:rsidRDefault="00697F11" w:rsidP="009B794B">
      <w:pPr>
        <w:pStyle w:val="PKTpunkt"/>
        <w:rPr>
          <w:rFonts w:ascii="Times New Roman" w:hAnsi="Times New Roman" w:cs="Times New Roman"/>
          <w:szCs w:val="24"/>
        </w:rPr>
      </w:pPr>
      <w:r w:rsidRPr="00AF348A">
        <w:rPr>
          <w:rFonts w:ascii="Times New Roman" w:hAnsi="Times New Roman" w:cs="Times New Roman"/>
          <w:szCs w:val="24"/>
        </w:rPr>
        <w:t>1)</w:t>
      </w:r>
      <w:r w:rsidRPr="00AF348A">
        <w:rPr>
          <w:rFonts w:ascii="Times New Roman" w:hAnsi="Times New Roman" w:cs="Times New Roman"/>
          <w:szCs w:val="24"/>
        </w:rPr>
        <w:tab/>
        <w:t>art. 1 pkt 1, pkt 10 w zakresie art. 73c, pkt 11 lit. c w zakresie art. 74 ust. 2c oraz pkt</w:t>
      </w:r>
      <w:r w:rsidR="00D9777F">
        <w:rPr>
          <w:rFonts w:ascii="Times New Roman" w:hAnsi="Times New Roman" w:cs="Times New Roman"/>
          <w:szCs w:val="24"/>
        </w:rPr>
        <w:t> </w:t>
      </w:r>
      <w:r w:rsidRPr="00AF348A">
        <w:rPr>
          <w:rFonts w:ascii="Times New Roman" w:hAnsi="Times New Roman" w:cs="Times New Roman"/>
          <w:szCs w:val="24"/>
        </w:rPr>
        <w:t>14, które wchodzą w życie po upływie 9 miesięcy od dnia ogłoszenia,</w:t>
      </w:r>
    </w:p>
    <w:p w14:paraId="7E0C8C87" w14:textId="77777777" w:rsidR="00697F11" w:rsidRPr="00AF348A" w:rsidRDefault="00697F11" w:rsidP="009B794B">
      <w:pPr>
        <w:pStyle w:val="PKTpunkt"/>
        <w:rPr>
          <w:rFonts w:ascii="Times New Roman" w:hAnsi="Times New Roman" w:cs="Times New Roman"/>
          <w:szCs w:val="24"/>
        </w:rPr>
      </w:pPr>
      <w:r w:rsidRPr="00AF348A">
        <w:rPr>
          <w:rFonts w:ascii="Times New Roman" w:hAnsi="Times New Roman" w:cs="Times New Roman"/>
          <w:szCs w:val="24"/>
        </w:rPr>
        <w:t>2)</w:t>
      </w:r>
      <w:r w:rsidRPr="00AF348A">
        <w:rPr>
          <w:rFonts w:ascii="Times New Roman" w:hAnsi="Times New Roman" w:cs="Times New Roman"/>
          <w:szCs w:val="24"/>
        </w:rPr>
        <w:tab/>
        <w:t>art. 1 pkt 10 w zakresie art. 73d, który wchodzi w życie po upływie 12 miesięcy od dnia ogłoszenia,</w:t>
      </w:r>
    </w:p>
    <w:p w14:paraId="42781F90" w14:textId="69C27CEB" w:rsidR="00697F11" w:rsidRPr="00AF348A" w:rsidRDefault="00697F11" w:rsidP="009B794B">
      <w:pPr>
        <w:pStyle w:val="PKTpunkt"/>
        <w:rPr>
          <w:rFonts w:ascii="Times New Roman" w:hAnsi="Times New Roman" w:cs="Times New Roman"/>
          <w:szCs w:val="24"/>
        </w:rPr>
      </w:pPr>
      <w:r w:rsidRPr="00AF348A">
        <w:rPr>
          <w:rFonts w:ascii="Times New Roman" w:hAnsi="Times New Roman" w:cs="Times New Roman"/>
          <w:szCs w:val="24"/>
        </w:rPr>
        <w:t>3)</w:t>
      </w:r>
      <w:r w:rsidRPr="00AF348A">
        <w:rPr>
          <w:rFonts w:ascii="Times New Roman" w:hAnsi="Times New Roman" w:cs="Times New Roman"/>
          <w:szCs w:val="24"/>
        </w:rPr>
        <w:tab/>
        <w:t>art. 1 pkt 12 w zakresie art. 74b, który wchodzi w życie z dniem 1 stycznia 2022 r.,</w:t>
      </w:r>
    </w:p>
    <w:p w14:paraId="155FAF5B" w14:textId="0EDA242C" w:rsidR="00697F11" w:rsidRPr="006E694F" w:rsidRDefault="00697F11" w:rsidP="009B794B">
      <w:pPr>
        <w:pStyle w:val="PKTpunkt"/>
        <w:rPr>
          <w:rFonts w:ascii="Times New Roman" w:hAnsi="Times New Roman" w:cs="Times New Roman"/>
          <w:szCs w:val="24"/>
        </w:rPr>
      </w:pPr>
      <w:r w:rsidRPr="00AF348A">
        <w:rPr>
          <w:rFonts w:ascii="Times New Roman" w:hAnsi="Times New Roman" w:cs="Times New Roman"/>
          <w:szCs w:val="24"/>
        </w:rPr>
        <w:t>4)</w:t>
      </w:r>
      <w:r w:rsidRPr="00AF348A">
        <w:rPr>
          <w:rFonts w:ascii="Times New Roman" w:hAnsi="Times New Roman" w:cs="Times New Roman"/>
          <w:szCs w:val="24"/>
        </w:rPr>
        <w:tab/>
        <w:t xml:space="preserve">art. 1 pkt 7, pkt 8 lit. a, lit. b </w:t>
      </w:r>
      <w:proofErr w:type="spellStart"/>
      <w:r w:rsidRPr="00AF348A">
        <w:rPr>
          <w:rFonts w:ascii="Times New Roman" w:hAnsi="Times New Roman" w:cs="Times New Roman"/>
          <w:szCs w:val="24"/>
        </w:rPr>
        <w:t>tiret</w:t>
      </w:r>
      <w:proofErr w:type="spellEnd"/>
      <w:r w:rsidRPr="00AF348A">
        <w:rPr>
          <w:rFonts w:ascii="Times New Roman" w:hAnsi="Times New Roman" w:cs="Times New Roman"/>
          <w:szCs w:val="24"/>
        </w:rPr>
        <w:t xml:space="preserve"> drugie i lit. c, pkt 9 lit. a, lit. c</w:t>
      </w:r>
      <w:bookmarkStart w:id="1" w:name="_GoBack"/>
      <w:bookmarkEnd w:id="1"/>
      <w:r w:rsidRPr="00AF348A">
        <w:rPr>
          <w:rFonts w:ascii="Times New Roman" w:hAnsi="Times New Roman" w:cs="Times New Roman"/>
          <w:szCs w:val="24"/>
        </w:rPr>
        <w:t>-</w:t>
      </w:r>
      <w:r w:rsidRPr="006E694F">
        <w:rPr>
          <w:rFonts w:ascii="Times New Roman" w:hAnsi="Times New Roman" w:cs="Times New Roman"/>
          <w:szCs w:val="24"/>
        </w:rPr>
        <w:t xml:space="preserve">d oraz lit. e </w:t>
      </w:r>
      <w:proofErr w:type="spellStart"/>
      <w:r w:rsidRPr="006E694F">
        <w:rPr>
          <w:rFonts w:ascii="Times New Roman" w:hAnsi="Times New Roman" w:cs="Times New Roman"/>
          <w:szCs w:val="24"/>
        </w:rPr>
        <w:t>tiret</w:t>
      </w:r>
      <w:proofErr w:type="spellEnd"/>
      <w:r w:rsidRPr="006E694F">
        <w:rPr>
          <w:rFonts w:ascii="Times New Roman" w:hAnsi="Times New Roman" w:cs="Times New Roman"/>
          <w:szCs w:val="24"/>
        </w:rPr>
        <w:t xml:space="preserve"> drugie, pkt 13 lit. b, pkt 16 i 17, pkt 18 lit. b oraz c, pkt 20 i 22, pkt 23 lit. a, pkt 24 lit. a </w:t>
      </w:r>
      <w:proofErr w:type="spellStart"/>
      <w:r w:rsidRPr="006E694F">
        <w:rPr>
          <w:rFonts w:ascii="Times New Roman" w:hAnsi="Times New Roman" w:cs="Times New Roman"/>
          <w:szCs w:val="24"/>
        </w:rPr>
        <w:t>tiret</w:t>
      </w:r>
      <w:proofErr w:type="spellEnd"/>
      <w:r w:rsidRPr="006E694F">
        <w:rPr>
          <w:rFonts w:ascii="Times New Roman" w:hAnsi="Times New Roman" w:cs="Times New Roman"/>
          <w:szCs w:val="24"/>
        </w:rPr>
        <w:t xml:space="preserve"> drugie i trzecie oraz pkt 28, art. 4 pkt 1 i 2, pkt 4 lit. a oraz pkt 6 lit. a, </w:t>
      </w:r>
      <w:r w:rsidR="0075361B">
        <w:rPr>
          <w:rFonts w:ascii="Times New Roman" w:hAnsi="Times New Roman" w:cs="Times New Roman"/>
          <w:szCs w:val="24"/>
        </w:rPr>
        <w:br/>
      </w:r>
      <w:r w:rsidRPr="006E694F">
        <w:rPr>
          <w:rFonts w:ascii="Times New Roman" w:hAnsi="Times New Roman" w:cs="Times New Roman"/>
          <w:szCs w:val="24"/>
        </w:rPr>
        <w:t>art. 10–12 oraz art. 28, które wchodzą w życie po upływie 24 miesięcy od dnia ogłoszenia</w:t>
      </w:r>
    </w:p>
    <w:p w14:paraId="12D6F9F2" w14:textId="42300F75" w:rsidR="00697F11" w:rsidRPr="006E694F" w:rsidRDefault="002C34E7" w:rsidP="009B794B">
      <w:pPr>
        <w:pStyle w:val="USTustnpkodeksu"/>
        <w:ind w:firstLine="0"/>
        <w:rPr>
          <w:rFonts w:ascii="Times New Roman" w:hAnsi="Times New Roman" w:cs="Times New Roman"/>
          <w:szCs w:val="24"/>
        </w:rPr>
      </w:pPr>
      <w:r>
        <w:rPr>
          <w:rFonts w:ascii="Times New Roman" w:hAnsi="Times New Roman" w:cs="Times New Roman"/>
          <w:szCs w:val="24"/>
        </w:rPr>
        <w:t>–</w:t>
      </w:r>
      <w:r w:rsidR="00697F11" w:rsidRPr="006E694F">
        <w:rPr>
          <w:rFonts w:ascii="Times New Roman" w:hAnsi="Times New Roman" w:cs="Times New Roman"/>
          <w:szCs w:val="24"/>
        </w:rPr>
        <w:t xml:space="preserve"> oraz z wyjątkami określonymi w pkt 7</w:t>
      </w:r>
      <w:r>
        <w:rPr>
          <w:rFonts w:ascii="Times New Roman" w:hAnsi="Times New Roman" w:cs="Times New Roman"/>
          <w:szCs w:val="24"/>
        </w:rPr>
        <w:t>–</w:t>
      </w:r>
      <w:r w:rsidR="00697F11" w:rsidRPr="006E694F">
        <w:rPr>
          <w:rFonts w:ascii="Times New Roman" w:hAnsi="Times New Roman" w:cs="Times New Roman"/>
          <w:szCs w:val="24"/>
        </w:rPr>
        <w:t xml:space="preserve">12 tego przepisu. </w:t>
      </w:r>
    </w:p>
    <w:p w14:paraId="5C3F821E" w14:textId="77777777" w:rsidR="00697F11" w:rsidRPr="006E694F" w:rsidRDefault="00697F11" w:rsidP="006E694F">
      <w:pPr>
        <w:pStyle w:val="USTustnpkodeksu"/>
        <w:spacing w:before="120"/>
        <w:ind w:firstLine="0"/>
        <w:rPr>
          <w:rFonts w:ascii="Times New Roman" w:hAnsi="Times New Roman" w:cs="Times New Roman"/>
          <w:szCs w:val="24"/>
        </w:rPr>
      </w:pPr>
      <w:r w:rsidRPr="006E694F">
        <w:rPr>
          <w:rFonts w:ascii="Times New Roman" w:hAnsi="Times New Roman" w:cs="Times New Roman"/>
          <w:szCs w:val="24"/>
        </w:rPr>
        <w:t xml:space="preserve">Założono, że 3 miesiące na wejście w życie przepisów, które faktycznie będą </w:t>
      </w:r>
      <w:r w:rsidRPr="006E694F">
        <w:rPr>
          <w:rFonts w:ascii="Times New Roman" w:hAnsi="Times New Roman" w:cs="Times New Roman"/>
          <w:szCs w:val="24"/>
        </w:rPr>
        <w:br/>
        <w:t xml:space="preserve">w szczególności dotyczyć regulacji opisanych w pkt IV niniejszego uzasadnienia, jest wystarczające, uwzględniając, że nie powoduje to zmian systemowych w stosunku do obecnie obowiązującego stanu prawnego w analogicznym zakresie. </w:t>
      </w:r>
    </w:p>
    <w:p w14:paraId="0B6FA480" w14:textId="48CDE108" w:rsidR="00697F11" w:rsidRPr="006E694F" w:rsidRDefault="00697F11" w:rsidP="006E694F">
      <w:pPr>
        <w:pStyle w:val="USTustnpkodeksu"/>
        <w:spacing w:before="120"/>
        <w:ind w:firstLine="0"/>
        <w:rPr>
          <w:rFonts w:ascii="Times New Roman" w:hAnsi="Times New Roman" w:cs="Times New Roman"/>
          <w:szCs w:val="24"/>
        </w:rPr>
      </w:pPr>
      <w:r w:rsidRPr="006E694F">
        <w:rPr>
          <w:rFonts w:ascii="Times New Roman" w:hAnsi="Times New Roman" w:cs="Times New Roman"/>
          <w:szCs w:val="24"/>
        </w:rPr>
        <w:t xml:space="preserve">Oceniono, że wejście w życie po upływie 12 miesięcy od dnia ogłoszenia projektowanej ustawy art. 1 pkt 10 projektu w zakresie art. 73d Prawa o ruchu drogowym zapewni odpowiedni czas na przygotowanie i wdrożenie przez Transportowy Dozór Techniczny bazy punktów kontaktowych przedstawicieli producentów pojazdów na terytorium Rzeczypospolitej Polskiej oraz wzorów podpisów na wydawanych świadectwach zgodności określanych w procesie homologacji </w:t>
      </w:r>
      <w:r w:rsidR="002C34E7">
        <w:rPr>
          <w:rFonts w:ascii="Times New Roman" w:hAnsi="Times New Roman" w:cs="Times New Roman"/>
          <w:szCs w:val="24"/>
        </w:rPr>
        <w:t>–</w:t>
      </w:r>
      <w:r w:rsidRPr="006E694F">
        <w:rPr>
          <w:rFonts w:ascii="Times New Roman" w:hAnsi="Times New Roman" w:cs="Times New Roman"/>
          <w:szCs w:val="24"/>
        </w:rPr>
        <w:t xml:space="preserve"> dla ułatwienia postępowań organów rejestrujących pojazdy w sprawach rejestracji pojazdów. Jednocześnie w terminie 3</w:t>
      </w:r>
      <w:r w:rsidR="00D9777F">
        <w:rPr>
          <w:rFonts w:ascii="Times New Roman" w:hAnsi="Times New Roman" w:cs="Times New Roman"/>
          <w:szCs w:val="24"/>
        </w:rPr>
        <w:t> </w:t>
      </w:r>
      <w:r w:rsidRPr="006E694F">
        <w:rPr>
          <w:rFonts w:ascii="Times New Roman" w:hAnsi="Times New Roman" w:cs="Times New Roman"/>
          <w:szCs w:val="24"/>
        </w:rPr>
        <w:t xml:space="preserve">miesięcy od dnia wejścia w życie tego przepisu przedstawiciele producentów </w:t>
      </w:r>
      <w:r w:rsidRPr="006E694F">
        <w:rPr>
          <w:rFonts w:ascii="Times New Roman" w:hAnsi="Times New Roman" w:cs="Times New Roman"/>
          <w:szCs w:val="24"/>
        </w:rPr>
        <w:lastRenderedPageBreak/>
        <w:t>pojazdów na terytorium Rzeczypospolitej Polskiej działający przed tym dniem przekażą do Dyrektora Transportowego Dozoru Technicznego dane swojego punktu kontaktowego.</w:t>
      </w:r>
    </w:p>
    <w:p w14:paraId="55066FAE" w14:textId="77777777" w:rsidR="00697F11" w:rsidRPr="006E694F" w:rsidRDefault="00697F11" w:rsidP="006E694F">
      <w:pPr>
        <w:pStyle w:val="USTustnpkodeksu"/>
        <w:spacing w:before="120"/>
        <w:ind w:firstLine="0"/>
        <w:rPr>
          <w:rFonts w:ascii="Times New Roman" w:hAnsi="Times New Roman" w:cs="Times New Roman"/>
          <w:szCs w:val="24"/>
        </w:rPr>
      </w:pPr>
      <w:r w:rsidRPr="006E694F">
        <w:rPr>
          <w:rFonts w:ascii="Times New Roman" w:hAnsi="Times New Roman" w:cs="Times New Roman"/>
          <w:szCs w:val="24"/>
        </w:rPr>
        <w:t xml:space="preserve">Nowa usługa rejestracji online pojazdu zakupionego w salonie sprzedaży pojazdów samochodowych umożliwi rejestrację pojazdu nowego w imieniu kupującego przez ten salon i wejdzie w życie po upływie 9 miesięcy od dnia ogłoszenia projektowanej ustawy. Jest to czas wystarczający na przygotowanie i obsługę tego rozwiązania. </w:t>
      </w:r>
    </w:p>
    <w:p w14:paraId="72F7545A" w14:textId="1FE113F5" w:rsidR="00697F11" w:rsidRPr="006E694F" w:rsidRDefault="00697F11" w:rsidP="006E694F">
      <w:pPr>
        <w:pStyle w:val="USTustnpkodeksu"/>
        <w:spacing w:before="120"/>
        <w:ind w:firstLine="0"/>
        <w:rPr>
          <w:rFonts w:ascii="Times New Roman" w:hAnsi="Times New Roman" w:cs="Times New Roman"/>
          <w:szCs w:val="24"/>
        </w:rPr>
      </w:pPr>
      <w:r w:rsidRPr="006E694F">
        <w:rPr>
          <w:rFonts w:ascii="Times New Roman" w:hAnsi="Times New Roman" w:cs="Times New Roman"/>
          <w:szCs w:val="24"/>
        </w:rPr>
        <w:t xml:space="preserve">Natomiast wejście w życie art. 1 pkt 12 projektu w zakresie art. 74b Prawa o ruchu drogowym z dniem 1 stycznia 2022 r. uwzględnia, że organy rejestrujące potrzebują czas na zaplanowanie działalności w zakresie przekazywania tablic rejestracyjnych wycofanych z użytkowania do producenta tablic. </w:t>
      </w:r>
    </w:p>
    <w:p w14:paraId="156C015A" w14:textId="7AE47437" w:rsidR="00697F11" w:rsidRPr="006E694F" w:rsidRDefault="00697F11" w:rsidP="006E694F">
      <w:pPr>
        <w:pStyle w:val="USTustnpkodeksu"/>
        <w:spacing w:before="120"/>
        <w:ind w:firstLine="0"/>
        <w:rPr>
          <w:rFonts w:ascii="Times New Roman" w:hAnsi="Times New Roman" w:cs="Times New Roman"/>
          <w:szCs w:val="24"/>
        </w:rPr>
      </w:pPr>
      <w:r w:rsidRPr="006E694F">
        <w:rPr>
          <w:rFonts w:ascii="Times New Roman" w:hAnsi="Times New Roman" w:cs="Times New Roman"/>
          <w:szCs w:val="24"/>
        </w:rPr>
        <w:t xml:space="preserve">Projekt ustawy wprowadza 24-miesięczne </w:t>
      </w:r>
      <w:r w:rsidRPr="00342A79">
        <w:rPr>
          <w:rFonts w:ascii="Times New Roman" w:hAnsi="Times New Roman" w:cs="Times New Roman"/>
          <w:i/>
          <w:szCs w:val="24"/>
        </w:rPr>
        <w:t>vacatio legis</w:t>
      </w:r>
      <w:r w:rsidRPr="006E694F">
        <w:rPr>
          <w:rFonts w:ascii="Times New Roman" w:hAnsi="Times New Roman" w:cs="Times New Roman"/>
          <w:szCs w:val="24"/>
        </w:rPr>
        <w:t xml:space="preserve"> na wejście w życie przepisów wskazanych w art. 29 pkt 6 projektu dotyczących zniesienia obowiązku wydawania karty pojazdu oraz nalepki kontrolnej. Uzasadnione to jest tym, że na tego typu zmianę systemową w oznaczeniu pojazdu nalepką kontrolną i w wydawaniu dokumentu</w:t>
      </w:r>
      <w:r w:rsidR="00DA1660">
        <w:rPr>
          <w:rFonts w:ascii="Times New Roman" w:hAnsi="Times New Roman" w:cs="Times New Roman"/>
          <w:szCs w:val="24"/>
        </w:rPr>
        <w:t>,</w:t>
      </w:r>
      <w:r w:rsidRPr="006E694F">
        <w:rPr>
          <w:rFonts w:ascii="Times New Roman" w:hAnsi="Times New Roman" w:cs="Times New Roman"/>
          <w:szCs w:val="24"/>
        </w:rPr>
        <w:t xml:space="preserve"> jakim jest karta pojazdu</w:t>
      </w:r>
      <w:r w:rsidR="00DA1660">
        <w:rPr>
          <w:rFonts w:ascii="Times New Roman" w:hAnsi="Times New Roman" w:cs="Times New Roman"/>
          <w:szCs w:val="24"/>
        </w:rPr>
        <w:t>,</w:t>
      </w:r>
      <w:r w:rsidRPr="006E694F">
        <w:rPr>
          <w:rFonts w:ascii="Times New Roman" w:hAnsi="Times New Roman" w:cs="Times New Roman"/>
          <w:szCs w:val="24"/>
        </w:rPr>
        <w:t xml:space="preserve"> konieczny jest odpowiedni czas (przyjęto 24 miesiące) na dokonanie odpowiednich zmian w systemie teleinformatycznym rejestracji oraz w systemie teleinformatycznym obsługującym centralną ewidencję pojazdów, a także na dokonanie zmiany technologicznej i organizacyjnej przez wytwórcę dokumentów. Istotne jest też zapewnienie spójności, tak aby ww. zmiany systemowe powiązać z wydaniem nowych przepisów wykonawczych, które powinny wejść w życie z dniem upływu 24 miesięcy od dnia ogłoszenia projektowanej ustawy.</w:t>
      </w:r>
    </w:p>
    <w:p w14:paraId="6B7C8886" w14:textId="0D838DEA" w:rsidR="00697F11" w:rsidRPr="00272E35" w:rsidRDefault="00697F11" w:rsidP="006E694F">
      <w:pPr>
        <w:pStyle w:val="USTustnpkodeksu"/>
        <w:spacing w:before="120"/>
        <w:ind w:firstLine="0"/>
        <w:rPr>
          <w:rFonts w:ascii="Times New Roman" w:hAnsi="Times New Roman" w:cs="Times New Roman"/>
          <w:szCs w:val="24"/>
        </w:rPr>
      </w:pPr>
      <w:r w:rsidRPr="006E694F">
        <w:rPr>
          <w:rFonts w:ascii="Times New Roman" w:hAnsi="Times New Roman" w:cs="Times New Roman"/>
          <w:szCs w:val="24"/>
        </w:rPr>
        <w:t>Ponadto w art. 29 pkt 7</w:t>
      </w:r>
      <w:r w:rsidR="002C34E7">
        <w:rPr>
          <w:rFonts w:ascii="Times New Roman" w:hAnsi="Times New Roman" w:cs="Times New Roman"/>
          <w:szCs w:val="24"/>
        </w:rPr>
        <w:t>–</w:t>
      </w:r>
      <w:r w:rsidRPr="006E694F">
        <w:rPr>
          <w:rFonts w:ascii="Times New Roman" w:hAnsi="Times New Roman" w:cs="Times New Roman"/>
          <w:szCs w:val="24"/>
        </w:rPr>
        <w:t>12 powiązano wejście w życie odpowiednich przepisów z dniem wdrożenia rozwiązań technicznych określonym w odpowiednim komunikacie ministra właściwego do spraw informatyzacji, o którym mowa w art. 17</w:t>
      </w:r>
      <w:r w:rsidR="002C34E7">
        <w:rPr>
          <w:rFonts w:ascii="Times New Roman" w:hAnsi="Times New Roman" w:cs="Times New Roman"/>
          <w:szCs w:val="24"/>
        </w:rPr>
        <w:t>–</w:t>
      </w:r>
      <w:r w:rsidRPr="006E694F">
        <w:rPr>
          <w:rFonts w:ascii="Times New Roman" w:hAnsi="Times New Roman" w:cs="Times New Roman"/>
          <w:szCs w:val="24"/>
        </w:rPr>
        <w:t>19 i art. 21</w:t>
      </w:r>
      <w:r w:rsidR="002C34E7">
        <w:rPr>
          <w:rFonts w:ascii="Times New Roman" w:hAnsi="Times New Roman" w:cs="Times New Roman"/>
          <w:szCs w:val="24"/>
        </w:rPr>
        <w:t>–</w:t>
      </w:r>
      <w:r w:rsidRPr="00272E35">
        <w:rPr>
          <w:rFonts w:ascii="Times New Roman" w:hAnsi="Times New Roman" w:cs="Times New Roman"/>
          <w:szCs w:val="24"/>
        </w:rPr>
        <w:t>23 projektu ustawy, w tym wejście w życie:</w:t>
      </w:r>
    </w:p>
    <w:p w14:paraId="238E6AAD" w14:textId="0239211C" w:rsidR="00697F11" w:rsidRPr="00272E35" w:rsidRDefault="002C34E7" w:rsidP="009B794B">
      <w:pPr>
        <w:pStyle w:val="PKTpunkt"/>
        <w:rPr>
          <w:rFonts w:ascii="Times New Roman" w:hAnsi="Times New Roman" w:cs="Times New Roman"/>
          <w:szCs w:val="24"/>
        </w:rPr>
      </w:pPr>
      <w:r>
        <w:rPr>
          <w:rFonts w:ascii="Times New Roman" w:hAnsi="Times New Roman" w:cs="Times New Roman"/>
          <w:szCs w:val="24"/>
        </w:rPr>
        <w:t>–</w:t>
      </w:r>
      <w:r w:rsidR="00542CCD">
        <w:rPr>
          <w:rFonts w:ascii="Times New Roman" w:hAnsi="Times New Roman" w:cs="Times New Roman"/>
          <w:szCs w:val="24"/>
        </w:rPr>
        <w:tab/>
      </w:r>
      <w:r w:rsidR="00697F11" w:rsidRPr="00272E35">
        <w:rPr>
          <w:rFonts w:ascii="Times New Roman" w:hAnsi="Times New Roman" w:cs="Times New Roman"/>
          <w:szCs w:val="24"/>
        </w:rPr>
        <w:t>art. 1 pkt 19 lit. b</w:t>
      </w:r>
      <w:r>
        <w:rPr>
          <w:rFonts w:ascii="Times New Roman" w:hAnsi="Times New Roman" w:cs="Times New Roman"/>
          <w:szCs w:val="24"/>
        </w:rPr>
        <w:t>–</w:t>
      </w:r>
      <w:r w:rsidR="00697F11" w:rsidRPr="00272E35">
        <w:rPr>
          <w:rFonts w:ascii="Times New Roman" w:hAnsi="Times New Roman" w:cs="Times New Roman"/>
          <w:szCs w:val="24"/>
        </w:rPr>
        <w:t xml:space="preserve">e, umożliwiających czasowe wycofania z ruchu samochodu osobowego </w:t>
      </w:r>
      <w:r>
        <w:rPr>
          <w:rFonts w:ascii="Times New Roman" w:hAnsi="Times New Roman" w:cs="Times New Roman"/>
          <w:szCs w:val="24"/>
        </w:rPr>
        <w:t>–</w:t>
      </w:r>
      <w:r w:rsidR="00697F11" w:rsidRPr="00272E35">
        <w:rPr>
          <w:rFonts w:ascii="Times New Roman" w:hAnsi="Times New Roman" w:cs="Times New Roman"/>
          <w:szCs w:val="24"/>
        </w:rPr>
        <w:t xml:space="preserve"> w dniu określonym w komunikacie z art. 17 projektu ustawy,</w:t>
      </w:r>
    </w:p>
    <w:p w14:paraId="299F3B34" w14:textId="64B7DCE0" w:rsidR="00697F11" w:rsidRPr="000727AE" w:rsidRDefault="002C34E7" w:rsidP="009B794B">
      <w:pPr>
        <w:pStyle w:val="PKTpunkt"/>
        <w:rPr>
          <w:rFonts w:ascii="Times New Roman" w:hAnsi="Times New Roman" w:cs="Times New Roman"/>
          <w:szCs w:val="24"/>
        </w:rPr>
      </w:pPr>
      <w:r>
        <w:rPr>
          <w:rFonts w:ascii="Times New Roman" w:hAnsi="Times New Roman" w:cs="Times New Roman"/>
          <w:szCs w:val="24"/>
        </w:rPr>
        <w:t>–</w:t>
      </w:r>
      <w:r w:rsidR="00542CCD">
        <w:rPr>
          <w:rFonts w:ascii="Times New Roman" w:hAnsi="Times New Roman" w:cs="Times New Roman"/>
          <w:szCs w:val="24"/>
        </w:rPr>
        <w:tab/>
      </w:r>
      <w:r w:rsidR="00697F11" w:rsidRPr="00272E35">
        <w:rPr>
          <w:rFonts w:ascii="Times New Roman" w:hAnsi="Times New Roman" w:cs="Times New Roman"/>
          <w:szCs w:val="24"/>
        </w:rPr>
        <w:t xml:space="preserve">art. 1 pkt 9 lit. b w zakresie art. 73 ust. 1a oraz pkt 11 lit. c w zakresie art. 74 ust. 2d i 2e, umożliwiających zachowanie dotychczasowego numeru rejestracyjnego pojazdu </w:t>
      </w:r>
      <w:r>
        <w:rPr>
          <w:rFonts w:ascii="Times New Roman" w:hAnsi="Times New Roman" w:cs="Times New Roman"/>
          <w:szCs w:val="24"/>
        </w:rPr>
        <w:t>–</w:t>
      </w:r>
      <w:r w:rsidR="00697F11" w:rsidRPr="000727AE">
        <w:rPr>
          <w:rFonts w:ascii="Times New Roman" w:hAnsi="Times New Roman" w:cs="Times New Roman"/>
          <w:szCs w:val="24"/>
        </w:rPr>
        <w:t xml:space="preserve"> w dniu określonym w komunikacie z art. 18 projektu ustawy,</w:t>
      </w:r>
    </w:p>
    <w:p w14:paraId="5CAEF0E3" w14:textId="7CA175EF" w:rsidR="00697F11" w:rsidRPr="00272E35" w:rsidRDefault="002C34E7" w:rsidP="009B794B">
      <w:pPr>
        <w:pStyle w:val="PKTpunkt"/>
        <w:rPr>
          <w:rFonts w:ascii="Times New Roman" w:hAnsi="Times New Roman" w:cs="Times New Roman"/>
          <w:szCs w:val="24"/>
        </w:rPr>
      </w:pPr>
      <w:r>
        <w:rPr>
          <w:rFonts w:ascii="Times New Roman" w:hAnsi="Times New Roman" w:cs="Times New Roman"/>
          <w:szCs w:val="24"/>
        </w:rPr>
        <w:lastRenderedPageBreak/>
        <w:t>–</w:t>
      </w:r>
      <w:r w:rsidR="00542CCD">
        <w:rPr>
          <w:rFonts w:ascii="Times New Roman" w:hAnsi="Times New Roman" w:cs="Times New Roman"/>
          <w:szCs w:val="24"/>
        </w:rPr>
        <w:tab/>
      </w:r>
      <w:r w:rsidR="00697F11" w:rsidRPr="00272E35">
        <w:rPr>
          <w:rFonts w:ascii="Times New Roman" w:hAnsi="Times New Roman" w:cs="Times New Roman"/>
          <w:szCs w:val="24"/>
        </w:rPr>
        <w:t xml:space="preserve">art. 1 pkt 24 lit. a </w:t>
      </w:r>
      <w:proofErr w:type="spellStart"/>
      <w:r w:rsidR="00697F11" w:rsidRPr="00272E35">
        <w:rPr>
          <w:rFonts w:ascii="Times New Roman" w:hAnsi="Times New Roman" w:cs="Times New Roman"/>
          <w:szCs w:val="24"/>
        </w:rPr>
        <w:t>tiret</w:t>
      </w:r>
      <w:proofErr w:type="spellEnd"/>
      <w:r w:rsidR="00697F11" w:rsidRPr="00272E35">
        <w:rPr>
          <w:rFonts w:ascii="Times New Roman" w:hAnsi="Times New Roman" w:cs="Times New Roman"/>
          <w:szCs w:val="24"/>
        </w:rPr>
        <w:t xml:space="preserve"> czwarte oraz lit. b i pkt 25 lit. a </w:t>
      </w:r>
      <w:proofErr w:type="spellStart"/>
      <w:r w:rsidR="00697F11" w:rsidRPr="00272E35">
        <w:rPr>
          <w:rFonts w:ascii="Times New Roman" w:hAnsi="Times New Roman" w:cs="Times New Roman"/>
          <w:szCs w:val="24"/>
        </w:rPr>
        <w:t>tiret</w:t>
      </w:r>
      <w:proofErr w:type="spellEnd"/>
      <w:r w:rsidR="00697F11" w:rsidRPr="00272E35">
        <w:rPr>
          <w:rFonts w:ascii="Times New Roman" w:hAnsi="Times New Roman" w:cs="Times New Roman"/>
          <w:szCs w:val="24"/>
        </w:rPr>
        <w:t xml:space="preserve"> pierwsze oraz lit. b, umożliwiających przekazywanie do centralnej ewidencji pojazdów i gromadzenie w tej ewidencji danych o przekroczeniach terminów, o których mowa w art. 71 ust.</w:t>
      </w:r>
      <w:r w:rsidR="00D9777F">
        <w:rPr>
          <w:rFonts w:ascii="Times New Roman" w:hAnsi="Times New Roman" w:cs="Times New Roman"/>
          <w:szCs w:val="24"/>
        </w:rPr>
        <w:t> </w:t>
      </w:r>
      <w:r w:rsidR="00697F11" w:rsidRPr="00272E35">
        <w:rPr>
          <w:rFonts w:ascii="Times New Roman" w:hAnsi="Times New Roman" w:cs="Times New Roman"/>
          <w:szCs w:val="24"/>
        </w:rPr>
        <w:t xml:space="preserve">7 i art. 78 ust. 2 pkt 1 ustawy zmienianej w art. 1 </w:t>
      </w:r>
      <w:r>
        <w:rPr>
          <w:rFonts w:ascii="Times New Roman" w:hAnsi="Times New Roman" w:cs="Times New Roman"/>
          <w:szCs w:val="24"/>
        </w:rPr>
        <w:t>–</w:t>
      </w:r>
      <w:r w:rsidR="00697F11" w:rsidRPr="00272E35">
        <w:rPr>
          <w:rFonts w:ascii="Times New Roman" w:hAnsi="Times New Roman" w:cs="Times New Roman"/>
          <w:szCs w:val="24"/>
        </w:rPr>
        <w:t xml:space="preserve"> w dniu określonym w komunikacie z art. 19 projektu ustawy,</w:t>
      </w:r>
    </w:p>
    <w:p w14:paraId="3E5C1ABE" w14:textId="59364CA1" w:rsidR="00697F11" w:rsidRPr="00272E35" w:rsidRDefault="002C34E7" w:rsidP="009B794B">
      <w:pPr>
        <w:pStyle w:val="PKTpunkt"/>
        <w:rPr>
          <w:rFonts w:ascii="Times New Roman" w:hAnsi="Times New Roman" w:cs="Times New Roman"/>
          <w:szCs w:val="24"/>
        </w:rPr>
      </w:pPr>
      <w:r>
        <w:rPr>
          <w:rFonts w:ascii="Times New Roman" w:hAnsi="Times New Roman" w:cs="Times New Roman"/>
          <w:szCs w:val="24"/>
        </w:rPr>
        <w:t>–</w:t>
      </w:r>
      <w:r w:rsidR="00542CCD">
        <w:rPr>
          <w:rFonts w:ascii="Times New Roman" w:hAnsi="Times New Roman" w:cs="Times New Roman"/>
          <w:szCs w:val="24"/>
        </w:rPr>
        <w:tab/>
      </w:r>
      <w:r w:rsidR="00697F11" w:rsidRPr="00272E35">
        <w:rPr>
          <w:rFonts w:ascii="Times New Roman" w:hAnsi="Times New Roman" w:cs="Times New Roman"/>
          <w:szCs w:val="24"/>
        </w:rPr>
        <w:t xml:space="preserve">art. 1 pkt 27, umożliwiającego generowanie z systemu teleinformatycznego obsługującego centralną ewidencję pojazdów raportu potwierdzającego dane zgromadzone w tej ewidencji </w:t>
      </w:r>
      <w:r>
        <w:rPr>
          <w:rFonts w:ascii="Times New Roman" w:hAnsi="Times New Roman" w:cs="Times New Roman"/>
          <w:szCs w:val="24"/>
        </w:rPr>
        <w:t>–</w:t>
      </w:r>
      <w:r w:rsidR="00697F11" w:rsidRPr="00272E35">
        <w:rPr>
          <w:rFonts w:ascii="Times New Roman" w:hAnsi="Times New Roman" w:cs="Times New Roman"/>
          <w:szCs w:val="24"/>
        </w:rPr>
        <w:t xml:space="preserve"> w dniu określonym w komunikacie z art. 21 projektu ustawy,</w:t>
      </w:r>
    </w:p>
    <w:p w14:paraId="6E7AC28A" w14:textId="74E72907" w:rsidR="00697F11" w:rsidRPr="00272E35" w:rsidRDefault="002C34E7" w:rsidP="009B794B">
      <w:pPr>
        <w:pStyle w:val="PKTpunkt"/>
        <w:rPr>
          <w:rFonts w:ascii="Times New Roman" w:hAnsi="Times New Roman" w:cs="Times New Roman"/>
          <w:szCs w:val="24"/>
        </w:rPr>
      </w:pPr>
      <w:r>
        <w:rPr>
          <w:rFonts w:ascii="Times New Roman" w:hAnsi="Times New Roman" w:cs="Times New Roman"/>
          <w:szCs w:val="24"/>
        </w:rPr>
        <w:t>–</w:t>
      </w:r>
      <w:r w:rsidR="00542CCD">
        <w:rPr>
          <w:rFonts w:ascii="Times New Roman" w:hAnsi="Times New Roman" w:cs="Times New Roman"/>
          <w:szCs w:val="24"/>
        </w:rPr>
        <w:tab/>
      </w:r>
      <w:r w:rsidR="00697F11" w:rsidRPr="00272E35">
        <w:rPr>
          <w:rFonts w:ascii="Times New Roman" w:hAnsi="Times New Roman" w:cs="Times New Roman"/>
          <w:szCs w:val="24"/>
        </w:rPr>
        <w:t xml:space="preserve">art. 1 pkt 2 lit. a </w:t>
      </w:r>
      <w:proofErr w:type="spellStart"/>
      <w:r w:rsidR="00697F11" w:rsidRPr="00272E35">
        <w:rPr>
          <w:rFonts w:ascii="Times New Roman" w:hAnsi="Times New Roman" w:cs="Times New Roman"/>
          <w:szCs w:val="24"/>
        </w:rPr>
        <w:t>tiret</w:t>
      </w:r>
      <w:proofErr w:type="spellEnd"/>
      <w:r w:rsidR="00697F11" w:rsidRPr="00272E35">
        <w:rPr>
          <w:rFonts w:ascii="Times New Roman" w:hAnsi="Times New Roman" w:cs="Times New Roman"/>
          <w:szCs w:val="24"/>
        </w:rPr>
        <w:t xml:space="preserve"> pierwsze, pkt 33, 34 i 36, pkt 37 lit. a</w:t>
      </w:r>
      <w:r>
        <w:rPr>
          <w:rFonts w:ascii="Times New Roman" w:hAnsi="Times New Roman" w:cs="Times New Roman"/>
          <w:szCs w:val="24"/>
        </w:rPr>
        <w:t>–</w:t>
      </w:r>
      <w:r w:rsidR="00697F11" w:rsidRPr="00272E35">
        <w:rPr>
          <w:rFonts w:ascii="Times New Roman" w:hAnsi="Times New Roman" w:cs="Times New Roman"/>
          <w:szCs w:val="24"/>
        </w:rPr>
        <w:t>d oraz pkt 39</w:t>
      </w:r>
      <w:r>
        <w:rPr>
          <w:rFonts w:ascii="Times New Roman" w:hAnsi="Times New Roman" w:cs="Times New Roman"/>
          <w:szCs w:val="24"/>
        </w:rPr>
        <w:t>–</w:t>
      </w:r>
      <w:r w:rsidR="00697F11" w:rsidRPr="00272E35">
        <w:rPr>
          <w:rFonts w:ascii="Times New Roman" w:hAnsi="Times New Roman" w:cs="Times New Roman"/>
          <w:szCs w:val="24"/>
        </w:rPr>
        <w:t xml:space="preserve">43, art. 2, art. 3, art. 6, art. 8 pkt 3 i 4, art. 9 oraz art. </w:t>
      </w:r>
      <w:r w:rsidR="00697F11" w:rsidRPr="00D9777F">
        <w:t>25, umożliwiających weryfikację danych o kierującym i wprowadzanie do centralnej ewidencji kierowców informacji o</w:t>
      </w:r>
      <w:r w:rsidR="00D9777F">
        <w:t> </w:t>
      </w:r>
      <w:r w:rsidR="00697F11" w:rsidRPr="00D9777F">
        <w:t xml:space="preserve">zatrzymaniu wydanego w kraju prawa jazdy lub pozwolenia na kierowanie tramwajem oraz o ich zwrocie </w:t>
      </w:r>
      <w:r w:rsidRPr="00D9777F">
        <w:t>–</w:t>
      </w:r>
      <w:r w:rsidR="00697F11" w:rsidRPr="00D9777F">
        <w:t xml:space="preserve"> w dniu określonym w komunikacie z art.</w:t>
      </w:r>
      <w:r w:rsidR="00697F11" w:rsidRPr="00272E35">
        <w:rPr>
          <w:rFonts w:ascii="Times New Roman" w:hAnsi="Times New Roman" w:cs="Times New Roman"/>
          <w:szCs w:val="24"/>
        </w:rPr>
        <w:t xml:space="preserve"> 22 ust. 1 projektu ustawy,</w:t>
      </w:r>
    </w:p>
    <w:p w14:paraId="768607F7" w14:textId="0A830F98" w:rsidR="00697F11" w:rsidRPr="00272E35" w:rsidRDefault="002C34E7" w:rsidP="009B794B">
      <w:pPr>
        <w:pStyle w:val="PKTpunkt"/>
        <w:rPr>
          <w:rFonts w:ascii="Times New Roman" w:hAnsi="Times New Roman" w:cs="Times New Roman"/>
          <w:szCs w:val="24"/>
        </w:rPr>
      </w:pPr>
      <w:r>
        <w:rPr>
          <w:rFonts w:ascii="Times New Roman" w:hAnsi="Times New Roman" w:cs="Times New Roman"/>
          <w:szCs w:val="24"/>
        </w:rPr>
        <w:t>–</w:t>
      </w:r>
      <w:r w:rsidR="00542CCD">
        <w:rPr>
          <w:rFonts w:ascii="Times New Roman" w:hAnsi="Times New Roman" w:cs="Times New Roman"/>
          <w:szCs w:val="24"/>
        </w:rPr>
        <w:tab/>
      </w:r>
      <w:r w:rsidR="00697F11" w:rsidRPr="00272E35">
        <w:rPr>
          <w:rFonts w:ascii="Times New Roman" w:hAnsi="Times New Roman" w:cs="Times New Roman"/>
          <w:szCs w:val="24"/>
        </w:rPr>
        <w:t>art. 1 pkt 21 lit. b oraz art. 4 pkt 3, pkt 4 lit. b</w:t>
      </w:r>
      <w:r>
        <w:rPr>
          <w:rFonts w:ascii="Times New Roman" w:hAnsi="Times New Roman" w:cs="Times New Roman"/>
          <w:szCs w:val="24"/>
        </w:rPr>
        <w:t>–</w:t>
      </w:r>
      <w:r w:rsidR="00697F11" w:rsidRPr="00272E35">
        <w:rPr>
          <w:rFonts w:ascii="Times New Roman" w:hAnsi="Times New Roman" w:cs="Times New Roman"/>
          <w:szCs w:val="24"/>
        </w:rPr>
        <w:t xml:space="preserve">e, pkt 5, pkt 6 lit. b oraz pkt 7 i 8, umożliwiających przekazywanie przez przedsiębiorców prowadzących stacje demontażu lub punkty zbierania pojazdów do centralnej ewidencji pojazdów danych o demontażu pojazdu lub przyjęciu niekompletnego pojazdu </w:t>
      </w:r>
      <w:r>
        <w:rPr>
          <w:rFonts w:ascii="Times New Roman" w:hAnsi="Times New Roman" w:cs="Times New Roman"/>
          <w:szCs w:val="24"/>
        </w:rPr>
        <w:t>–</w:t>
      </w:r>
      <w:r w:rsidR="00697F11" w:rsidRPr="00272E35">
        <w:rPr>
          <w:rFonts w:ascii="Times New Roman" w:hAnsi="Times New Roman" w:cs="Times New Roman"/>
          <w:szCs w:val="24"/>
        </w:rPr>
        <w:t xml:space="preserve"> w dniu określonym w komunikacie z art. 23 projektu ustawy.</w:t>
      </w:r>
    </w:p>
    <w:p w14:paraId="0EEC74DC" w14:textId="60F9F2B7" w:rsidR="00697F11" w:rsidRPr="00C63A99" w:rsidRDefault="00697F11" w:rsidP="00272E35">
      <w:pPr>
        <w:pStyle w:val="USTustnpkodeksu"/>
        <w:spacing w:before="120"/>
        <w:ind w:firstLine="0"/>
        <w:rPr>
          <w:rFonts w:ascii="Times New Roman" w:hAnsi="Times New Roman" w:cs="Times New Roman"/>
          <w:szCs w:val="24"/>
        </w:rPr>
      </w:pPr>
      <w:r w:rsidRPr="0014154E">
        <w:rPr>
          <w:rFonts w:ascii="Times New Roman" w:hAnsi="Times New Roman" w:cs="Times New Roman"/>
          <w:szCs w:val="24"/>
        </w:rPr>
        <w:t xml:space="preserve">Ocena oddziaływania projektu na działalność </w:t>
      </w:r>
      <w:proofErr w:type="spellStart"/>
      <w:r w:rsidRPr="0014154E">
        <w:rPr>
          <w:rFonts w:ascii="Times New Roman" w:hAnsi="Times New Roman" w:cs="Times New Roman"/>
          <w:szCs w:val="24"/>
        </w:rPr>
        <w:t>mikroprzedsiębiorców</w:t>
      </w:r>
      <w:proofErr w:type="spellEnd"/>
      <w:r w:rsidRPr="0014154E">
        <w:rPr>
          <w:rFonts w:ascii="Times New Roman" w:hAnsi="Times New Roman" w:cs="Times New Roman"/>
          <w:szCs w:val="24"/>
        </w:rPr>
        <w:t xml:space="preserve">, małych i średnich przedsiębiorców zgodnie z art. </w:t>
      </w:r>
      <w:r w:rsidRPr="00272E35">
        <w:rPr>
          <w:rFonts w:ascii="Times New Roman" w:hAnsi="Times New Roman" w:cs="Times New Roman"/>
          <w:szCs w:val="24"/>
        </w:rPr>
        <w:t xml:space="preserve">66 ust. 1 pkt 2 ustawy z dnia 6 marca 2018 r. </w:t>
      </w:r>
      <w:r w:rsidR="002C34E7">
        <w:rPr>
          <w:rFonts w:ascii="Times New Roman" w:hAnsi="Times New Roman" w:cs="Times New Roman"/>
          <w:szCs w:val="24"/>
        </w:rPr>
        <w:t>–</w:t>
      </w:r>
      <w:r w:rsidRPr="000727AE">
        <w:rPr>
          <w:rFonts w:ascii="Times New Roman" w:hAnsi="Times New Roman" w:cs="Times New Roman"/>
          <w:szCs w:val="24"/>
        </w:rPr>
        <w:t xml:space="preserve"> Prawo przedsiębiorców </w:t>
      </w:r>
      <w:r w:rsidRPr="0014154E">
        <w:rPr>
          <w:rFonts w:ascii="Times New Roman" w:hAnsi="Times New Roman" w:cs="Times New Roman"/>
          <w:szCs w:val="24"/>
        </w:rPr>
        <w:t>(Dz. U. z 201</w:t>
      </w:r>
      <w:r w:rsidRPr="00272E35">
        <w:rPr>
          <w:rFonts w:ascii="Times New Roman" w:hAnsi="Times New Roman" w:cs="Times New Roman"/>
          <w:szCs w:val="24"/>
        </w:rPr>
        <w:t>9</w:t>
      </w:r>
      <w:r w:rsidRPr="0014154E">
        <w:rPr>
          <w:rFonts w:ascii="Times New Roman" w:hAnsi="Times New Roman" w:cs="Times New Roman"/>
          <w:szCs w:val="24"/>
        </w:rPr>
        <w:t xml:space="preserve"> r. poz. </w:t>
      </w:r>
      <w:r w:rsidRPr="00272E35">
        <w:rPr>
          <w:rFonts w:ascii="Times New Roman" w:hAnsi="Times New Roman" w:cs="Times New Roman"/>
          <w:szCs w:val="24"/>
        </w:rPr>
        <w:t>1292</w:t>
      </w:r>
      <w:r w:rsidRPr="0014154E">
        <w:rPr>
          <w:rFonts w:ascii="Times New Roman" w:hAnsi="Times New Roman" w:cs="Times New Roman"/>
          <w:szCs w:val="24"/>
        </w:rPr>
        <w:t xml:space="preserve">, z </w:t>
      </w:r>
      <w:proofErr w:type="spellStart"/>
      <w:r w:rsidRPr="0014154E">
        <w:rPr>
          <w:rFonts w:ascii="Times New Roman" w:hAnsi="Times New Roman" w:cs="Times New Roman"/>
          <w:szCs w:val="24"/>
        </w:rPr>
        <w:t>późn</w:t>
      </w:r>
      <w:proofErr w:type="spellEnd"/>
      <w:r w:rsidRPr="0014154E">
        <w:rPr>
          <w:rFonts w:ascii="Times New Roman" w:hAnsi="Times New Roman" w:cs="Times New Roman"/>
          <w:szCs w:val="24"/>
        </w:rPr>
        <w:t>. zm.) jest</w:t>
      </w:r>
      <w:r w:rsidRPr="00272E35">
        <w:rPr>
          <w:rFonts w:ascii="Times New Roman" w:hAnsi="Times New Roman" w:cs="Times New Roman"/>
          <w:szCs w:val="24"/>
        </w:rPr>
        <w:t xml:space="preserve"> przedstawiona</w:t>
      </w:r>
      <w:r w:rsidRPr="0014154E">
        <w:rPr>
          <w:rFonts w:ascii="Times New Roman" w:hAnsi="Times New Roman" w:cs="Times New Roman"/>
          <w:szCs w:val="24"/>
        </w:rPr>
        <w:t xml:space="preserve"> w Ocenie Skutków Regulacji.</w:t>
      </w:r>
    </w:p>
    <w:p w14:paraId="204BE594" w14:textId="03BFD173" w:rsidR="00697F11" w:rsidRPr="00C63A99" w:rsidRDefault="00697F11" w:rsidP="00272E35">
      <w:pPr>
        <w:pStyle w:val="USTustnpkodeksu"/>
        <w:spacing w:before="120"/>
        <w:ind w:firstLine="0"/>
        <w:rPr>
          <w:rFonts w:ascii="Times New Roman" w:hAnsi="Times New Roman" w:cs="Times New Roman"/>
          <w:szCs w:val="24"/>
        </w:rPr>
      </w:pPr>
      <w:r w:rsidRPr="00C63A99">
        <w:rPr>
          <w:rFonts w:ascii="Times New Roman" w:hAnsi="Times New Roman" w:cs="Times New Roman"/>
          <w:szCs w:val="24"/>
        </w:rPr>
        <w:t xml:space="preserve">Projekt </w:t>
      </w:r>
      <w:r w:rsidRPr="00272E35">
        <w:rPr>
          <w:rFonts w:ascii="Times New Roman" w:hAnsi="Times New Roman" w:cs="Times New Roman"/>
          <w:szCs w:val="24"/>
        </w:rPr>
        <w:t xml:space="preserve">ustawy </w:t>
      </w:r>
      <w:r w:rsidRPr="0014154E">
        <w:rPr>
          <w:rFonts w:ascii="Times New Roman" w:hAnsi="Times New Roman" w:cs="Times New Roman"/>
          <w:szCs w:val="24"/>
        </w:rPr>
        <w:t>nie podlega notyfikacji Komisji Europejskiej zgodnie z przepisami rozporządzenia Rady Ministrów z dnia 23 grudnia 2002 r. w sprawie sposobu funkcjonowania krajowego systemu notyf</w:t>
      </w:r>
      <w:r w:rsidRPr="00C63A99">
        <w:rPr>
          <w:rFonts w:ascii="Times New Roman" w:hAnsi="Times New Roman" w:cs="Times New Roman"/>
          <w:szCs w:val="24"/>
        </w:rPr>
        <w:t>ikacji norm i aktów prawnych (Dz. U. poz.</w:t>
      </w:r>
      <w:r w:rsidR="00D9777F">
        <w:rPr>
          <w:rFonts w:ascii="Times New Roman" w:hAnsi="Times New Roman" w:cs="Times New Roman"/>
          <w:szCs w:val="24"/>
        </w:rPr>
        <w:t> </w:t>
      </w:r>
      <w:r w:rsidRPr="00C63A99">
        <w:rPr>
          <w:rFonts w:ascii="Times New Roman" w:hAnsi="Times New Roman" w:cs="Times New Roman"/>
          <w:szCs w:val="24"/>
        </w:rPr>
        <w:t xml:space="preserve">2039, z </w:t>
      </w:r>
      <w:proofErr w:type="spellStart"/>
      <w:r w:rsidRPr="00C63A99">
        <w:rPr>
          <w:rFonts w:ascii="Times New Roman" w:hAnsi="Times New Roman" w:cs="Times New Roman"/>
          <w:szCs w:val="24"/>
        </w:rPr>
        <w:t>późn</w:t>
      </w:r>
      <w:proofErr w:type="spellEnd"/>
      <w:r w:rsidRPr="00C63A99">
        <w:rPr>
          <w:rFonts w:ascii="Times New Roman" w:hAnsi="Times New Roman" w:cs="Times New Roman"/>
          <w:szCs w:val="24"/>
        </w:rPr>
        <w:t xml:space="preserve">. zm.). Projekt </w:t>
      </w:r>
      <w:r w:rsidRPr="00272E35">
        <w:rPr>
          <w:rFonts w:ascii="Times New Roman" w:hAnsi="Times New Roman" w:cs="Times New Roman"/>
          <w:szCs w:val="24"/>
        </w:rPr>
        <w:t>ustawy</w:t>
      </w:r>
      <w:r w:rsidRPr="0014154E">
        <w:rPr>
          <w:rFonts w:ascii="Times New Roman" w:hAnsi="Times New Roman" w:cs="Times New Roman"/>
          <w:szCs w:val="24"/>
        </w:rPr>
        <w:t xml:space="preserve"> nie podlega przedstawieniu właściwym instytucjom i organom Unii Europejskiej w myśl uchwały nr 190 Rady Ministrów z dnia 29 października 2013 r. – Regulamin pracy Rady Ministrów (</w:t>
      </w:r>
      <w:r w:rsidRPr="00C63A99">
        <w:rPr>
          <w:rFonts w:ascii="Times New Roman" w:hAnsi="Times New Roman" w:cs="Times New Roman"/>
          <w:szCs w:val="24"/>
        </w:rPr>
        <w:t>M.P. z 2016 r. poz. 1006, z</w:t>
      </w:r>
      <w:r w:rsidR="00ED7FFB">
        <w:rPr>
          <w:rFonts w:ascii="Times New Roman" w:hAnsi="Times New Roman" w:cs="Times New Roman"/>
          <w:szCs w:val="24"/>
        </w:rPr>
        <w:t> </w:t>
      </w:r>
      <w:proofErr w:type="spellStart"/>
      <w:r w:rsidRPr="00C63A99">
        <w:rPr>
          <w:rFonts w:ascii="Times New Roman" w:hAnsi="Times New Roman" w:cs="Times New Roman"/>
          <w:szCs w:val="24"/>
        </w:rPr>
        <w:t>późn</w:t>
      </w:r>
      <w:proofErr w:type="spellEnd"/>
      <w:r w:rsidRPr="00C63A99">
        <w:rPr>
          <w:rFonts w:ascii="Times New Roman" w:hAnsi="Times New Roman" w:cs="Times New Roman"/>
          <w:szCs w:val="24"/>
        </w:rPr>
        <w:t>. zm.).</w:t>
      </w:r>
    </w:p>
    <w:p w14:paraId="1AB32773" w14:textId="6FE12EAB" w:rsidR="00697F11" w:rsidRPr="00C63A99" w:rsidRDefault="00697F11" w:rsidP="00272E35">
      <w:pPr>
        <w:pStyle w:val="USTustnpkodeksu"/>
        <w:spacing w:before="120"/>
        <w:ind w:firstLine="0"/>
        <w:rPr>
          <w:rFonts w:ascii="Times New Roman" w:hAnsi="Times New Roman" w:cs="Times New Roman"/>
          <w:szCs w:val="24"/>
        </w:rPr>
      </w:pPr>
      <w:r w:rsidRPr="00C63A99">
        <w:rPr>
          <w:rFonts w:ascii="Times New Roman" w:hAnsi="Times New Roman" w:cs="Times New Roman"/>
          <w:szCs w:val="24"/>
        </w:rPr>
        <w:lastRenderedPageBreak/>
        <w:t xml:space="preserve">Stosownie do art. 5 ustawy z dnia 7 lipca 2005 r. o działalności lobbingowej w procesie stanowienia prawa (Dz. U. z 2017 r. poz. 248) projekt ustawy został udostępniony na stronach urzędowego informatora teleinformatycznego </w:t>
      </w:r>
      <w:r w:rsidR="002C34E7">
        <w:rPr>
          <w:rFonts w:ascii="Times New Roman" w:hAnsi="Times New Roman" w:cs="Times New Roman"/>
          <w:szCs w:val="24"/>
        </w:rPr>
        <w:t>–</w:t>
      </w:r>
      <w:r w:rsidRPr="00C63A99">
        <w:rPr>
          <w:rFonts w:ascii="Times New Roman" w:hAnsi="Times New Roman" w:cs="Times New Roman"/>
          <w:szCs w:val="24"/>
        </w:rPr>
        <w:t xml:space="preserve"> Biuletyn Informacji Publicznej. </w:t>
      </w:r>
    </w:p>
    <w:p w14:paraId="65FD2198" w14:textId="2CC84E4F" w:rsidR="00697F11" w:rsidRPr="00C63A99" w:rsidRDefault="00697F11" w:rsidP="00272E35">
      <w:pPr>
        <w:pStyle w:val="USTustnpkodeksu"/>
        <w:spacing w:before="120"/>
        <w:ind w:firstLine="0"/>
        <w:rPr>
          <w:rFonts w:ascii="Times New Roman" w:hAnsi="Times New Roman" w:cs="Times New Roman"/>
          <w:szCs w:val="24"/>
        </w:rPr>
      </w:pPr>
      <w:r w:rsidRPr="00C63A99">
        <w:rPr>
          <w:rFonts w:ascii="Times New Roman" w:hAnsi="Times New Roman" w:cs="Times New Roman"/>
          <w:szCs w:val="24"/>
        </w:rPr>
        <w:t xml:space="preserve">Stosownie do § 52 ust. 1 uchwały nr 190 Rady Ministrów z dnia 29 października 2013 r. </w:t>
      </w:r>
      <w:r w:rsidR="002C34E7">
        <w:rPr>
          <w:rFonts w:ascii="Times New Roman" w:hAnsi="Times New Roman" w:cs="Times New Roman"/>
          <w:szCs w:val="24"/>
        </w:rPr>
        <w:t>–</w:t>
      </w:r>
      <w:r w:rsidRPr="00C63A99">
        <w:rPr>
          <w:rFonts w:ascii="Times New Roman" w:hAnsi="Times New Roman" w:cs="Times New Roman"/>
          <w:szCs w:val="24"/>
        </w:rPr>
        <w:t xml:space="preserve"> Regulamin pracy Rady Ministrów projekt ustawy został udostępniony w Biuletynie Informacji Publicznej na stronie podmiotowej Rządowego Centrum Legislacji w serwisie Rządowy Proces Legislacyjny z dniem skierowania projektu do uzgodnień i konsultacji publicznych.</w:t>
      </w:r>
    </w:p>
    <w:p w14:paraId="5863B031" w14:textId="0B555545" w:rsidR="00A6317B" w:rsidRPr="000727AE" w:rsidRDefault="00697F11" w:rsidP="00272E35">
      <w:pPr>
        <w:pStyle w:val="USTustnpkodeksu"/>
        <w:spacing w:before="120"/>
        <w:ind w:firstLine="0"/>
        <w:rPr>
          <w:rFonts w:ascii="Times New Roman" w:hAnsi="Times New Roman" w:cs="Times New Roman"/>
          <w:szCs w:val="24"/>
        </w:rPr>
      </w:pPr>
      <w:r w:rsidRPr="00C63A99">
        <w:rPr>
          <w:rFonts w:ascii="Times New Roman" w:hAnsi="Times New Roman" w:cs="Times New Roman"/>
          <w:szCs w:val="24"/>
        </w:rPr>
        <w:t xml:space="preserve">Projekt </w:t>
      </w:r>
      <w:r w:rsidRPr="00272E35">
        <w:rPr>
          <w:rFonts w:ascii="Times New Roman" w:hAnsi="Times New Roman" w:cs="Times New Roman"/>
          <w:bCs w:val="0"/>
          <w:szCs w:val="24"/>
        </w:rPr>
        <w:t>ustawy</w:t>
      </w:r>
      <w:r w:rsidRPr="0014154E">
        <w:rPr>
          <w:rFonts w:ascii="Times New Roman" w:hAnsi="Times New Roman" w:cs="Times New Roman"/>
          <w:szCs w:val="24"/>
        </w:rPr>
        <w:t xml:space="preserve"> jest zgodny z prawem Unii Europejskiej.</w:t>
      </w:r>
      <w:r w:rsidRPr="00C63A99" w:rsidDel="008415F7">
        <w:rPr>
          <w:rFonts w:ascii="Times New Roman" w:hAnsi="Times New Roman" w:cs="Times New Roman"/>
          <w:szCs w:val="24"/>
        </w:rPr>
        <w:t xml:space="preserve"> </w:t>
      </w:r>
    </w:p>
    <w:sectPr w:rsidR="00A6317B" w:rsidRPr="000727AE" w:rsidSect="00CC2881">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5B22ED" w14:textId="77777777" w:rsidR="00E35CF8" w:rsidRDefault="00E35CF8">
      <w:pPr>
        <w:spacing w:after="0" w:line="240" w:lineRule="auto"/>
      </w:pPr>
      <w:r>
        <w:separator/>
      </w:r>
    </w:p>
  </w:endnote>
  <w:endnote w:type="continuationSeparator" w:id="0">
    <w:p w14:paraId="22B50EDF" w14:textId="77777777" w:rsidR="00E35CF8" w:rsidRDefault="00E35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rPr>
      <w:id w:val="-2038491418"/>
      <w:docPartObj>
        <w:docPartGallery w:val="Page Numbers (Bottom of Page)"/>
        <w:docPartUnique/>
      </w:docPartObj>
    </w:sdtPr>
    <w:sdtEndPr/>
    <w:sdtContent>
      <w:p w14:paraId="5576EF52" w14:textId="42DEF125" w:rsidR="002C34E7" w:rsidRPr="00C8160E" w:rsidRDefault="002C34E7">
        <w:pPr>
          <w:pStyle w:val="Stopka"/>
          <w:jc w:val="center"/>
          <w:rPr>
            <w:rFonts w:ascii="Times New Roman" w:hAnsi="Times New Roman"/>
            <w:sz w:val="24"/>
          </w:rPr>
        </w:pPr>
        <w:r w:rsidRPr="00C8160E">
          <w:rPr>
            <w:rFonts w:ascii="Times New Roman" w:hAnsi="Times New Roman"/>
            <w:sz w:val="24"/>
          </w:rPr>
          <w:fldChar w:fldCharType="begin"/>
        </w:r>
        <w:r w:rsidRPr="00C8160E">
          <w:rPr>
            <w:rFonts w:ascii="Times New Roman" w:hAnsi="Times New Roman"/>
            <w:sz w:val="24"/>
          </w:rPr>
          <w:instrText>PAGE   \* MERGEFORMAT</w:instrText>
        </w:r>
        <w:r w:rsidRPr="00C8160E">
          <w:rPr>
            <w:rFonts w:ascii="Times New Roman" w:hAnsi="Times New Roman"/>
            <w:sz w:val="24"/>
          </w:rPr>
          <w:fldChar w:fldCharType="separate"/>
        </w:r>
        <w:r w:rsidR="00342A79">
          <w:rPr>
            <w:rFonts w:ascii="Times New Roman" w:hAnsi="Times New Roman"/>
            <w:noProof/>
            <w:sz w:val="24"/>
          </w:rPr>
          <w:t>38</w:t>
        </w:r>
        <w:r w:rsidRPr="00C8160E">
          <w:rPr>
            <w:rFonts w:ascii="Times New Roman" w:hAnsi="Times New Roman"/>
            <w:sz w:val="24"/>
          </w:rPr>
          <w:fldChar w:fldCharType="end"/>
        </w:r>
      </w:p>
    </w:sdtContent>
  </w:sdt>
  <w:p w14:paraId="4EC7FFEB" w14:textId="77777777" w:rsidR="002C34E7" w:rsidRDefault="002C34E7" w:rsidP="009B794B">
    <w:pPr>
      <w:pStyle w:val="ZTIRwLITzmtirwlitartykuempunktem"/>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F59897" w14:textId="77777777" w:rsidR="00E35CF8" w:rsidRDefault="00E35CF8">
      <w:pPr>
        <w:spacing w:after="0" w:line="240" w:lineRule="auto"/>
      </w:pPr>
      <w:r>
        <w:separator/>
      </w:r>
    </w:p>
  </w:footnote>
  <w:footnote w:type="continuationSeparator" w:id="0">
    <w:p w14:paraId="4DB12044" w14:textId="77777777" w:rsidR="00E35CF8" w:rsidRDefault="00E35CF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30A64"/>
    <w:multiLevelType w:val="hybridMultilevel"/>
    <w:tmpl w:val="24ECF4D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DC450A0"/>
    <w:multiLevelType w:val="hybridMultilevel"/>
    <w:tmpl w:val="98EE91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zarnecka Grażyna">
    <w15:presenceInfo w15:providerId="AD" w15:userId="S-1-5-21-1346247845-3881836822-2677420573-1602"/>
  </w15:person>
  <w15:person w15:author="Ćwiek Katarzyna">
    <w15:presenceInfo w15:providerId="None" w15:userId="Ćwiek Katarzy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F11"/>
    <w:rsid w:val="00024E4F"/>
    <w:rsid w:val="0006034F"/>
    <w:rsid w:val="00066DCF"/>
    <w:rsid w:val="000727AE"/>
    <w:rsid w:val="00073F8B"/>
    <w:rsid w:val="000870CA"/>
    <w:rsid w:val="000B2FC7"/>
    <w:rsid w:val="001011B7"/>
    <w:rsid w:val="00106A66"/>
    <w:rsid w:val="001153B5"/>
    <w:rsid w:val="0014154E"/>
    <w:rsid w:val="0018127C"/>
    <w:rsid w:val="00272E35"/>
    <w:rsid w:val="00293B00"/>
    <w:rsid w:val="00296902"/>
    <w:rsid w:val="002A085A"/>
    <w:rsid w:val="002A1F0F"/>
    <w:rsid w:val="002C34E7"/>
    <w:rsid w:val="002D4641"/>
    <w:rsid w:val="00342A79"/>
    <w:rsid w:val="00343BE2"/>
    <w:rsid w:val="00380129"/>
    <w:rsid w:val="00382EB0"/>
    <w:rsid w:val="003E1F8F"/>
    <w:rsid w:val="00456D32"/>
    <w:rsid w:val="004A30A6"/>
    <w:rsid w:val="004A3655"/>
    <w:rsid w:val="004B60CA"/>
    <w:rsid w:val="004D1F8E"/>
    <w:rsid w:val="004F29FC"/>
    <w:rsid w:val="00542CCD"/>
    <w:rsid w:val="00571EA2"/>
    <w:rsid w:val="00672BA1"/>
    <w:rsid w:val="00685102"/>
    <w:rsid w:val="00697F11"/>
    <w:rsid w:val="006E284F"/>
    <w:rsid w:val="006E694F"/>
    <w:rsid w:val="007133A4"/>
    <w:rsid w:val="0074739F"/>
    <w:rsid w:val="0075361B"/>
    <w:rsid w:val="007838D4"/>
    <w:rsid w:val="00786F9D"/>
    <w:rsid w:val="007B4D54"/>
    <w:rsid w:val="007B7667"/>
    <w:rsid w:val="00831811"/>
    <w:rsid w:val="008343AE"/>
    <w:rsid w:val="00887E37"/>
    <w:rsid w:val="00891B92"/>
    <w:rsid w:val="008B2047"/>
    <w:rsid w:val="00931FC5"/>
    <w:rsid w:val="00933A90"/>
    <w:rsid w:val="00960357"/>
    <w:rsid w:val="00974FE2"/>
    <w:rsid w:val="009B794B"/>
    <w:rsid w:val="009C15AE"/>
    <w:rsid w:val="009C7DD1"/>
    <w:rsid w:val="009E5DAC"/>
    <w:rsid w:val="00A356CB"/>
    <w:rsid w:val="00A42DB2"/>
    <w:rsid w:val="00A517E8"/>
    <w:rsid w:val="00A6317B"/>
    <w:rsid w:val="00A9323B"/>
    <w:rsid w:val="00AA4DA1"/>
    <w:rsid w:val="00AC2BFE"/>
    <w:rsid w:val="00AD11AA"/>
    <w:rsid w:val="00AE3876"/>
    <w:rsid w:val="00AF1552"/>
    <w:rsid w:val="00AF2E54"/>
    <w:rsid w:val="00AF348A"/>
    <w:rsid w:val="00B33257"/>
    <w:rsid w:val="00B55A3E"/>
    <w:rsid w:val="00B62BC6"/>
    <w:rsid w:val="00BE21E7"/>
    <w:rsid w:val="00C21784"/>
    <w:rsid w:val="00C31E0D"/>
    <w:rsid w:val="00C33288"/>
    <w:rsid w:val="00C53EB4"/>
    <w:rsid w:val="00C63A99"/>
    <w:rsid w:val="00C8160E"/>
    <w:rsid w:val="00C95CC5"/>
    <w:rsid w:val="00CC2881"/>
    <w:rsid w:val="00CD47A3"/>
    <w:rsid w:val="00D5191C"/>
    <w:rsid w:val="00D534A0"/>
    <w:rsid w:val="00D9777F"/>
    <w:rsid w:val="00DA1660"/>
    <w:rsid w:val="00DE3B60"/>
    <w:rsid w:val="00E23118"/>
    <w:rsid w:val="00E35CF8"/>
    <w:rsid w:val="00E656EA"/>
    <w:rsid w:val="00E77AE5"/>
    <w:rsid w:val="00ED7FFB"/>
    <w:rsid w:val="00F06695"/>
    <w:rsid w:val="00F15931"/>
    <w:rsid w:val="00F649BA"/>
    <w:rsid w:val="00FC69F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34E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9"/>
    <w:rsid w:val="00697F11"/>
    <w:pPr>
      <w:keepNext/>
      <w:keepLines/>
      <w:suppressAutoHyphens/>
      <w:spacing w:before="480"/>
      <w:outlineLvl w:val="0"/>
    </w:pPr>
    <w:rPr>
      <w:rFonts w:ascii="Cambria"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697F11"/>
    <w:rPr>
      <w:rFonts w:ascii="Cambria" w:hAnsi="Cambria" w:cs="Times New Roman"/>
      <w:b/>
      <w:bCs/>
      <w:color w:val="365F91"/>
      <w:kern w:val="1"/>
      <w:sz w:val="28"/>
      <w:szCs w:val="28"/>
      <w:lang w:eastAsia="ar-SA"/>
    </w:rPr>
  </w:style>
  <w:style w:type="paragraph" w:customStyle="1" w:styleId="ZLITwPKTzmlitwpktartykuempunktem">
    <w:name w:val="Z/LIT_w_PKT – zm. lit. w pkt artykułem (punktem)"/>
    <w:basedOn w:val="LITlitera"/>
    <w:uiPriority w:val="32"/>
    <w:qFormat/>
    <w:rsid w:val="00697F11"/>
    <w:pPr>
      <w:ind w:left="1497"/>
    </w:pPr>
  </w:style>
  <w:style w:type="paragraph" w:customStyle="1" w:styleId="ZTIRwPKTzmtirwpktartykuempunktem">
    <w:name w:val="Z/TIR_w_PKT – zm. tir. w pkt artykułem (punktem)"/>
    <w:basedOn w:val="TIRtiret"/>
    <w:uiPriority w:val="33"/>
    <w:qFormat/>
    <w:rsid w:val="00697F1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97F11"/>
    <w:pPr>
      <w:ind w:left="1021"/>
    </w:pPr>
  </w:style>
  <w:style w:type="paragraph" w:customStyle="1" w:styleId="2TIRpodwjnytiret">
    <w:name w:val="2TIR – podwójny tiret"/>
    <w:basedOn w:val="TIRtiret"/>
    <w:uiPriority w:val="73"/>
    <w:qFormat/>
    <w:rsid w:val="00697F11"/>
    <w:pPr>
      <w:ind w:left="1780"/>
    </w:pPr>
  </w:style>
  <w:style w:type="character" w:styleId="Odwoanieprzypisudolnego">
    <w:name w:val="footnote reference"/>
    <w:uiPriority w:val="99"/>
    <w:semiHidden/>
    <w:rsid w:val="00697F11"/>
    <w:rPr>
      <w:rFonts w:cs="Times New Roman"/>
      <w:vertAlign w:val="superscript"/>
    </w:rPr>
  </w:style>
  <w:style w:type="paragraph" w:styleId="Nagwek">
    <w:name w:val="header"/>
    <w:basedOn w:val="Normalny"/>
    <w:link w:val="NagwekZnak"/>
    <w:uiPriority w:val="99"/>
    <w:semiHidden/>
    <w:rsid w:val="00697F11"/>
    <w:pPr>
      <w:tabs>
        <w:tab w:val="center" w:pos="4536"/>
        <w:tab w:val="right" w:pos="9072"/>
      </w:tabs>
      <w:suppressAutoHyphens/>
    </w:pPr>
    <w:rPr>
      <w:rFonts w:ascii="Times" w:hAnsi="Times" w:cs="Times New Roman"/>
      <w:kern w:val="1"/>
      <w:szCs w:val="24"/>
      <w:lang w:eastAsia="ar-SA"/>
    </w:rPr>
  </w:style>
  <w:style w:type="character" w:customStyle="1" w:styleId="NagwekZnak">
    <w:name w:val="Nagłówek Znak"/>
    <w:basedOn w:val="Domylnaczcionkaakapitu"/>
    <w:link w:val="Nagwek"/>
    <w:uiPriority w:val="99"/>
    <w:semiHidden/>
    <w:rsid w:val="00697F11"/>
    <w:rPr>
      <w:rFonts w:ascii="Times" w:hAnsi="Times" w:cs="Times New Roman"/>
      <w:kern w:val="1"/>
      <w:szCs w:val="24"/>
      <w:lang w:eastAsia="ar-SA"/>
    </w:rPr>
  </w:style>
  <w:style w:type="paragraph" w:styleId="Stopka">
    <w:name w:val="footer"/>
    <w:basedOn w:val="Normalny"/>
    <w:link w:val="StopkaZnak"/>
    <w:uiPriority w:val="99"/>
    <w:rsid w:val="00697F11"/>
    <w:pPr>
      <w:tabs>
        <w:tab w:val="center" w:pos="4536"/>
        <w:tab w:val="right" w:pos="9072"/>
      </w:tabs>
      <w:suppressAutoHyphens/>
    </w:pPr>
    <w:rPr>
      <w:rFonts w:ascii="Times" w:hAnsi="Times" w:cs="Times New Roman"/>
      <w:kern w:val="1"/>
      <w:szCs w:val="24"/>
      <w:lang w:eastAsia="ar-SA"/>
    </w:rPr>
  </w:style>
  <w:style w:type="character" w:customStyle="1" w:styleId="StopkaZnak">
    <w:name w:val="Stopka Znak"/>
    <w:basedOn w:val="Domylnaczcionkaakapitu"/>
    <w:link w:val="Stopka"/>
    <w:uiPriority w:val="99"/>
    <w:rsid w:val="00697F11"/>
    <w:rPr>
      <w:rFonts w:ascii="Times" w:hAnsi="Times" w:cs="Times New Roman"/>
      <w:kern w:val="1"/>
      <w:szCs w:val="24"/>
      <w:lang w:eastAsia="ar-SA"/>
    </w:rPr>
  </w:style>
  <w:style w:type="paragraph" w:styleId="Tekstdymka">
    <w:name w:val="Balloon Text"/>
    <w:basedOn w:val="Normalny"/>
    <w:link w:val="TekstdymkaZnak"/>
    <w:uiPriority w:val="99"/>
    <w:semiHidden/>
    <w:unhideWhenUsed/>
    <w:rsid w:val="00697F1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97F11"/>
    <w:rPr>
      <w:rFonts w:ascii="Segoe UI" w:hAnsi="Segoe UI" w:cs="Segoe UI"/>
      <w:sz w:val="18"/>
      <w:szCs w:val="18"/>
    </w:rPr>
  </w:style>
  <w:style w:type="paragraph" w:customStyle="1" w:styleId="ARTartustawynprozporzdzenia">
    <w:name w:val="ART(§) – art. ustawy (§ np. rozporządzenia)"/>
    <w:uiPriority w:val="11"/>
    <w:qFormat/>
    <w:rsid w:val="00697F11"/>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97F11"/>
    <w:pPr>
      <w:ind w:left="1497"/>
    </w:pPr>
  </w:style>
  <w:style w:type="paragraph" w:customStyle="1" w:styleId="ZTIRwLITzmtirwlitartykuempunktem">
    <w:name w:val="Z/TIR_w_LIT – zm. tir. w lit. artykułem (punktem)"/>
    <w:basedOn w:val="TIRtiret"/>
    <w:uiPriority w:val="33"/>
    <w:qFormat/>
    <w:rsid w:val="00697F1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97F11"/>
  </w:style>
  <w:style w:type="paragraph" w:styleId="Bezodstpw">
    <w:name w:val="No Spacing"/>
    <w:uiPriority w:val="99"/>
    <w:rsid w:val="00697F11"/>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697F11"/>
    <w:pPr>
      <w:ind w:left="1020"/>
    </w:pPr>
  </w:style>
  <w:style w:type="paragraph" w:customStyle="1" w:styleId="ZARTzmartartykuempunktem">
    <w:name w:val="Z/ART(§) – zm. art. (§) artykułem (punktem)"/>
    <w:basedOn w:val="ARTartustawynprozporzdzenia"/>
    <w:uiPriority w:val="30"/>
    <w:qFormat/>
    <w:rsid w:val="00697F1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97F11"/>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697F11"/>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697F11"/>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97F11"/>
    <w:rPr>
      <w:bCs/>
    </w:rPr>
  </w:style>
  <w:style w:type="paragraph" w:customStyle="1" w:styleId="OZNRODZAKTUtznustawalubrozporzdzenieiorganwydajcy">
    <w:name w:val="OZN_RODZ_AKTU – tzn. ustawa lub rozporządzenie i organ wydający"/>
    <w:next w:val="DATAAKTUdatauchwalenialubwydaniaaktu"/>
    <w:uiPriority w:val="5"/>
    <w:qFormat/>
    <w:rsid w:val="00697F11"/>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5"/>
    <w:qFormat/>
    <w:rsid w:val="00697F11"/>
    <w:pPr>
      <w:spacing w:before="0"/>
    </w:pPr>
    <w:rPr>
      <w:bCs/>
    </w:rPr>
  </w:style>
  <w:style w:type="paragraph" w:customStyle="1" w:styleId="PKTpunkt">
    <w:name w:val="PKT – punkt"/>
    <w:uiPriority w:val="13"/>
    <w:qFormat/>
    <w:rsid w:val="00697F11"/>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697F11"/>
    <w:pPr>
      <w:ind w:left="0" w:firstLine="0"/>
    </w:pPr>
  </w:style>
  <w:style w:type="paragraph" w:customStyle="1" w:styleId="LITlitera">
    <w:name w:val="LIT – litera"/>
    <w:basedOn w:val="PKTpunkt"/>
    <w:uiPriority w:val="14"/>
    <w:qFormat/>
    <w:rsid w:val="00697F11"/>
    <w:pPr>
      <w:ind w:left="986" w:hanging="476"/>
    </w:pPr>
  </w:style>
  <w:style w:type="paragraph" w:customStyle="1" w:styleId="CZWSPLITczwsplnaliter">
    <w:name w:val="CZ_WSP_LIT – część wspólna liter"/>
    <w:basedOn w:val="LITlitera"/>
    <w:next w:val="USTustnpkodeksu"/>
    <w:uiPriority w:val="17"/>
    <w:qFormat/>
    <w:rsid w:val="00697F11"/>
    <w:pPr>
      <w:ind w:left="510" w:firstLine="0"/>
    </w:pPr>
    <w:rPr>
      <w:szCs w:val="24"/>
    </w:rPr>
  </w:style>
  <w:style w:type="paragraph" w:customStyle="1" w:styleId="TIRtiret">
    <w:name w:val="TIR – tiret"/>
    <w:basedOn w:val="LITlitera"/>
    <w:uiPriority w:val="15"/>
    <w:qFormat/>
    <w:rsid w:val="00697F11"/>
    <w:pPr>
      <w:ind w:left="1384" w:hanging="397"/>
    </w:pPr>
  </w:style>
  <w:style w:type="paragraph" w:customStyle="1" w:styleId="CZWSPTIRczwsplnatiret">
    <w:name w:val="CZ_WSP_TIR – część wspólna tiret"/>
    <w:basedOn w:val="TIRtiret"/>
    <w:next w:val="USTustnpkodeksu"/>
    <w:uiPriority w:val="17"/>
    <w:qFormat/>
    <w:rsid w:val="00697F11"/>
    <w:pPr>
      <w:ind w:left="987" w:firstLine="0"/>
    </w:pPr>
  </w:style>
  <w:style w:type="paragraph" w:customStyle="1" w:styleId="CYTcytatnpprzysigi">
    <w:name w:val="CYT – cytat np. przysięgi"/>
    <w:basedOn w:val="USTustnpkodeksu"/>
    <w:next w:val="USTustnpkodeksu"/>
    <w:uiPriority w:val="18"/>
    <w:qFormat/>
    <w:rsid w:val="00697F1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97F11"/>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697F11"/>
  </w:style>
  <w:style w:type="paragraph" w:customStyle="1" w:styleId="ZLITCZWSPTIRwLITzmczciwsptirwlitliter">
    <w:name w:val="Z_LIT/CZ_WSP_TIR_w_LIT – zm. części wsp. tir. w lit. literą"/>
    <w:basedOn w:val="CZWSPTIRczwsplnatiret"/>
    <w:next w:val="LITlitera"/>
    <w:uiPriority w:val="51"/>
    <w:qFormat/>
    <w:rsid w:val="00697F11"/>
    <w:pPr>
      <w:ind w:left="1463"/>
    </w:pPr>
  </w:style>
  <w:style w:type="paragraph" w:customStyle="1" w:styleId="ZLITTIRwLITzmtirwlitliter">
    <w:name w:val="Z_LIT/TIR_w_LIT – zm. tir. w lit. literą"/>
    <w:basedOn w:val="TIRtiret"/>
    <w:uiPriority w:val="49"/>
    <w:qFormat/>
    <w:rsid w:val="00697F11"/>
    <w:pPr>
      <w:ind w:left="1860"/>
    </w:pPr>
  </w:style>
  <w:style w:type="paragraph" w:customStyle="1" w:styleId="TYTDZOZNoznaczenietytuulubdziau">
    <w:name w:val="TYT(DZ)_OZN – oznaczenie tytułu lub działu"/>
    <w:next w:val="Normalny"/>
    <w:uiPriority w:val="9"/>
    <w:qFormat/>
    <w:rsid w:val="00697F11"/>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697F1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97F1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97F11"/>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697F1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97F11"/>
    <w:pPr>
      <w:ind w:left="510"/>
    </w:pPr>
  </w:style>
  <w:style w:type="paragraph" w:customStyle="1" w:styleId="ZZLITzmianazmlit">
    <w:name w:val="ZZ/LIT – zmiana zm. lit."/>
    <w:basedOn w:val="ZZPKTzmianazmpkt"/>
    <w:uiPriority w:val="67"/>
    <w:qFormat/>
    <w:rsid w:val="00697F11"/>
    <w:pPr>
      <w:ind w:left="2370" w:hanging="476"/>
    </w:pPr>
  </w:style>
  <w:style w:type="paragraph" w:customStyle="1" w:styleId="ZZTIRzmianazmtir">
    <w:name w:val="ZZ/TIR – zmiana zm. tir."/>
    <w:basedOn w:val="ZZLITzmianazmlit"/>
    <w:uiPriority w:val="67"/>
    <w:qFormat/>
    <w:rsid w:val="00697F1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97F11"/>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697F11"/>
    <w:pPr>
      <w:ind w:left="987"/>
    </w:pPr>
  </w:style>
  <w:style w:type="paragraph" w:customStyle="1" w:styleId="ZLITPKTzmpktliter">
    <w:name w:val="Z_LIT/PKT – zm. pkt literą"/>
    <w:basedOn w:val="PKTpunkt"/>
    <w:uiPriority w:val="47"/>
    <w:qFormat/>
    <w:rsid w:val="00697F11"/>
    <w:pPr>
      <w:ind w:left="1497"/>
    </w:pPr>
  </w:style>
  <w:style w:type="paragraph" w:customStyle="1" w:styleId="ZZCZWSPPKTzmianazmczciwsppkt">
    <w:name w:val="ZZ/CZ_WSP_PKT – zmiana. zm. części wsp. pkt"/>
    <w:basedOn w:val="ZZARTzmianazmart"/>
    <w:next w:val="ZPKTzmpktartykuempunktem"/>
    <w:uiPriority w:val="68"/>
    <w:qFormat/>
    <w:rsid w:val="00697F11"/>
    <w:pPr>
      <w:ind w:firstLine="0"/>
    </w:pPr>
  </w:style>
  <w:style w:type="paragraph" w:customStyle="1" w:styleId="ZLITLITzmlitliter">
    <w:name w:val="Z_LIT/LIT – zm. lit. literą"/>
    <w:basedOn w:val="LITlitera"/>
    <w:uiPriority w:val="48"/>
    <w:qFormat/>
    <w:rsid w:val="00697F11"/>
    <w:pPr>
      <w:ind w:left="1463"/>
    </w:pPr>
  </w:style>
  <w:style w:type="paragraph" w:customStyle="1" w:styleId="ZLITCZWSPPKTzmczciwsppktliter">
    <w:name w:val="Z_LIT/CZ_WSP_PKT – zm. części wsp. pkt literą"/>
    <w:basedOn w:val="CZWSPLITczwsplnaliter"/>
    <w:next w:val="LITlitera"/>
    <w:uiPriority w:val="50"/>
    <w:qFormat/>
    <w:rsid w:val="00697F11"/>
    <w:pPr>
      <w:ind w:left="987"/>
    </w:pPr>
  </w:style>
  <w:style w:type="paragraph" w:customStyle="1" w:styleId="ZLITTIRzmtirliter">
    <w:name w:val="Z_LIT/TIR – zm. tir. literą"/>
    <w:basedOn w:val="TIRtiret"/>
    <w:uiPriority w:val="49"/>
    <w:qFormat/>
    <w:rsid w:val="00697F11"/>
  </w:style>
  <w:style w:type="paragraph" w:customStyle="1" w:styleId="ZZCZWSPLITwPKTzmianazmczciwsplitwpkt">
    <w:name w:val="ZZ/CZ_WSP_LIT_w_PKT – zmiana zm. części wsp. lit. w pkt"/>
    <w:basedOn w:val="ZZLITwPKTzmianazmlitwpkt"/>
    <w:uiPriority w:val="69"/>
    <w:qFormat/>
    <w:rsid w:val="00697F11"/>
    <w:pPr>
      <w:ind w:left="2404" w:firstLine="0"/>
    </w:pPr>
  </w:style>
  <w:style w:type="paragraph" w:customStyle="1" w:styleId="ZLITLITwPKTzmlitwpktliter">
    <w:name w:val="Z_LIT/LIT_w_PKT – zm. lit. w pkt literą"/>
    <w:basedOn w:val="LITlitera"/>
    <w:uiPriority w:val="48"/>
    <w:qFormat/>
    <w:rsid w:val="00697F11"/>
    <w:pPr>
      <w:ind w:left="1973"/>
    </w:pPr>
  </w:style>
  <w:style w:type="paragraph" w:customStyle="1" w:styleId="ZLITCZWSPLITwPKTzmczciwsplitwpktliter">
    <w:name w:val="Z_LIT/CZ_WSP_LIT_w_PKT – zm. części wsp. lit. w pkt literą"/>
    <w:basedOn w:val="CZWSPLITczwsplnaliter"/>
    <w:next w:val="LITlitera"/>
    <w:uiPriority w:val="51"/>
    <w:qFormat/>
    <w:rsid w:val="00697F11"/>
    <w:pPr>
      <w:ind w:left="1497"/>
    </w:pPr>
  </w:style>
  <w:style w:type="paragraph" w:customStyle="1" w:styleId="ZLITTIRwPKTzmtirwpktliter">
    <w:name w:val="Z_LIT/TIR_w_PKT – zm. tir. w pkt literą"/>
    <w:basedOn w:val="TIRtiret"/>
    <w:uiPriority w:val="49"/>
    <w:qFormat/>
    <w:rsid w:val="00697F11"/>
    <w:pPr>
      <w:ind w:left="2370"/>
    </w:pPr>
  </w:style>
  <w:style w:type="paragraph" w:customStyle="1" w:styleId="ZLITCZWSPTIRwPKTzmczciwsptirwpktliter">
    <w:name w:val="Z_LIT/CZ_WSP_TIR_w_PKT – zm. części wsp. tir. w pkt literą"/>
    <w:basedOn w:val="CZWSPTIRczwsplnatiret"/>
    <w:next w:val="LITlitera"/>
    <w:uiPriority w:val="51"/>
    <w:qFormat/>
    <w:rsid w:val="00697F11"/>
    <w:pPr>
      <w:ind w:left="1973"/>
    </w:pPr>
  </w:style>
  <w:style w:type="paragraph" w:styleId="Tekstprzypisudolnego">
    <w:name w:val="footnote text"/>
    <w:basedOn w:val="Normalny"/>
    <w:link w:val="TekstprzypisudolnegoZnak"/>
    <w:uiPriority w:val="99"/>
    <w:semiHidden/>
    <w:qFormat/>
    <w:rsid w:val="00697F11"/>
    <w:rPr>
      <w:rFonts w:ascii="Times" w:hAnsi="Times" w:cs="Times New Roman"/>
      <w:szCs w:val="24"/>
    </w:rPr>
  </w:style>
  <w:style w:type="character" w:customStyle="1" w:styleId="TekstprzypisudolnegoZnak">
    <w:name w:val="Tekst przypisu dolnego Znak"/>
    <w:basedOn w:val="Domylnaczcionkaakapitu"/>
    <w:link w:val="Tekstprzypisudolnego"/>
    <w:uiPriority w:val="99"/>
    <w:semiHidden/>
    <w:rsid w:val="00697F11"/>
    <w:rPr>
      <w:rFonts w:ascii="Times" w:hAnsi="Times" w:cs="Times New Roman"/>
      <w:szCs w:val="24"/>
    </w:rPr>
  </w:style>
  <w:style w:type="paragraph" w:customStyle="1" w:styleId="ZTIRLITzmlittiret">
    <w:name w:val="Z_TIR/LIT – zm. lit. tiret"/>
    <w:basedOn w:val="LITlitera"/>
    <w:uiPriority w:val="57"/>
    <w:qFormat/>
    <w:rsid w:val="00697F11"/>
    <w:pPr>
      <w:ind w:left="1859"/>
    </w:pPr>
  </w:style>
  <w:style w:type="paragraph" w:customStyle="1" w:styleId="ZTIRCZWSPPKTzmczciwsppkttiret">
    <w:name w:val="Z_TIR/CZ_WSP_PKT – zm. części wsp. pkt tiret"/>
    <w:basedOn w:val="CZWSPLITczwsplnaliter"/>
    <w:next w:val="TIRtiret"/>
    <w:uiPriority w:val="58"/>
    <w:qFormat/>
    <w:rsid w:val="00697F11"/>
    <w:pPr>
      <w:ind w:left="1383"/>
    </w:pPr>
  </w:style>
  <w:style w:type="paragraph" w:customStyle="1" w:styleId="ZTIRTIRzmtirtiret">
    <w:name w:val="Z_TIR/TIR – zm. tir. tiret"/>
    <w:basedOn w:val="TIRtiret"/>
    <w:uiPriority w:val="57"/>
    <w:qFormat/>
    <w:rsid w:val="00697F11"/>
    <w:pPr>
      <w:ind w:left="1780"/>
    </w:pPr>
  </w:style>
  <w:style w:type="paragraph" w:customStyle="1" w:styleId="ZZCZWSPTIRwPKTzmianazmczciwsptirwpkt">
    <w:name w:val="ZZ/CZ_WSP_TIR_w_PKT – zmiana zm. części wsp. tir. w pkt"/>
    <w:basedOn w:val="ZZTIRwPKTzmianazmtirwpkt"/>
    <w:uiPriority w:val="70"/>
    <w:qFormat/>
    <w:rsid w:val="00697F11"/>
    <w:pPr>
      <w:ind w:left="2880" w:firstLine="0"/>
    </w:pPr>
  </w:style>
  <w:style w:type="paragraph" w:customStyle="1" w:styleId="ZZTIRwLITzmianazmtirwlit">
    <w:name w:val="ZZ/TIR_w_LIT – zmiana zm. tir. w lit."/>
    <w:basedOn w:val="ZZTIRzmianazmtir"/>
    <w:uiPriority w:val="67"/>
    <w:qFormat/>
    <w:rsid w:val="00697F11"/>
    <w:pPr>
      <w:ind w:left="2767"/>
    </w:pPr>
  </w:style>
  <w:style w:type="paragraph" w:customStyle="1" w:styleId="ZTIRTIRwLITzmtirwlittiret">
    <w:name w:val="Z_TIR/TIR_w_LIT – zm. tir. w lit. tiret"/>
    <w:basedOn w:val="TIRtiret"/>
    <w:uiPriority w:val="57"/>
    <w:qFormat/>
    <w:rsid w:val="00697F11"/>
    <w:pPr>
      <w:ind w:left="2257"/>
    </w:pPr>
  </w:style>
  <w:style w:type="paragraph" w:customStyle="1" w:styleId="ZTIRCZWSPTIRwLITzmczciwsptirwlittiret">
    <w:name w:val="Z_TIR/CZ_WSP_TIR_w_LIT – zm. części wsp. tir. w lit. tiret"/>
    <w:basedOn w:val="CZWSPTIRczwsplnatiret"/>
    <w:next w:val="TIRtiret"/>
    <w:uiPriority w:val="60"/>
    <w:qFormat/>
    <w:rsid w:val="00697F11"/>
    <w:pPr>
      <w:ind w:left="1860"/>
    </w:pPr>
  </w:style>
  <w:style w:type="paragraph" w:customStyle="1" w:styleId="CZWSP2TIRczwsplnapodwjnychtiret">
    <w:name w:val="CZ_WSP_2TIR – część wspólna podwójnych tiret"/>
    <w:basedOn w:val="CZWSPTIRczwsplnatiret"/>
    <w:next w:val="TIRtiret"/>
    <w:uiPriority w:val="73"/>
    <w:qFormat/>
    <w:rsid w:val="00697F11"/>
    <w:pPr>
      <w:ind w:left="1780"/>
    </w:pPr>
  </w:style>
  <w:style w:type="paragraph" w:customStyle="1" w:styleId="Z2TIRzmpodwtirartykuempunktem">
    <w:name w:val="Z/2TIR – zm. podw. tir. artykułem (punktem)"/>
    <w:basedOn w:val="TIRtiret"/>
    <w:uiPriority w:val="73"/>
    <w:qFormat/>
    <w:rsid w:val="00697F11"/>
    <w:pPr>
      <w:ind w:left="907"/>
    </w:pPr>
  </w:style>
  <w:style w:type="paragraph" w:customStyle="1" w:styleId="ZZCZWSPTIRwLITzmianazmczciwsptirwlit">
    <w:name w:val="ZZ/CZ_WSP_TIR_w_LIT – zmiana zm. części wsp. tir. w lit."/>
    <w:basedOn w:val="ZZTIRwLITzmianazmtirwlit"/>
    <w:uiPriority w:val="70"/>
    <w:qFormat/>
    <w:rsid w:val="00697F11"/>
    <w:pPr>
      <w:ind w:left="2370" w:firstLine="0"/>
    </w:pPr>
  </w:style>
  <w:style w:type="paragraph" w:customStyle="1" w:styleId="ZLIT2TIRzmpodwtirliter">
    <w:name w:val="Z_LIT/2TIR – zm. podw. tir. literą"/>
    <w:basedOn w:val="TIRtiret"/>
    <w:uiPriority w:val="75"/>
    <w:qFormat/>
    <w:rsid w:val="00697F11"/>
  </w:style>
  <w:style w:type="paragraph" w:customStyle="1" w:styleId="ZTIR2TIRzmpodwtirtiret">
    <w:name w:val="Z_TIR/2TIR – zm. podw. tir. tiret"/>
    <w:basedOn w:val="TIRtiret"/>
    <w:uiPriority w:val="78"/>
    <w:qFormat/>
    <w:rsid w:val="00697F1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97F11"/>
    <w:pPr>
      <w:ind w:left="1780"/>
    </w:pPr>
  </w:style>
  <w:style w:type="paragraph" w:customStyle="1" w:styleId="Z2TIRwPKTzmpodwtirwpktartykuempunktem">
    <w:name w:val="Z/2TIR_w_PKT – zm. podw. tir. w pkt artykułem (punktem)"/>
    <w:basedOn w:val="TIRtiret"/>
    <w:next w:val="ZPKTzmpktartykuempunktem"/>
    <w:uiPriority w:val="74"/>
    <w:qFormat/>
    <w:rsid w:val="00697F11"/>
    <w:pPr>
      <w:ind w:left="2291"/>
    </w:pPr>
  </w:style>
  <w:style w:type="paragraph" w:customStyle="1" w:styleId="ZTIRPKTzmpkttiret">
    <w:name w:val="Z_TIR/PKT – zm. pkt tiret"/>
    <w:basedOn w:val="PKTpunkt"/>
    <w:uiPriority w:val="56"/>
    <w:qFormat/>
    <w:rsid w:val="00697F11"/>
    <w:pPr>
      <w:ind w:left="1893"/>
    </w:pPr>
  </w:style>
  <w:style w:type="paragraph" w:customStyle="1" w:styleId="ZTIRLITwPKTzmlitwpkttiret">
    <w:name w:val="Z_TIR/LIT_w_PKT – zm. lit. w pkt tiret"/>
    <w:basedOn w:val="LITlitera"/>
    <w:uiPriority w:val="57"/>
    <w:qFormat/>
    <w:rsid w:val="00697F11"/>
    <w:pPr>
      <w:ind w:left="2336"/>
    </w:pPr>
  </w:style>
  <w:style w:type="paragraph" w:customStyle="1" w:styleId="ZTIRCZWSPLITwPKTzmczciwsplitwpkttiret">
    <w:name w:val="Z_TIR/CZ_WSP_LIT_w_PKT – zm. części wsp. lit. w pkt tiret"/>
    <w:basedOn w:val="CZWSPLITczwsplnaliter"/>
    <w:uiPriority w:val="59"/>
    <w:qFormat/>
    <w:rsid w:val="00697F11"/>
    <w:pPr>
      <w:ind w:left="1860"/>
    </w:pPr>
  </w:style>
  <w:style w:type="paragraph" w:customStyle="1" w:styleId="ZTIR2TIRwLITzmpodwtirwlittiret">
    <w:name w:val="Z_TIR/2TIR_w_LIT – zm. podw. tir. w lit. tiret"/>
    <w:basedOn w:val="TIRtiret"/>
    <w:uiPriority w:val="79"/>
    <w:qFormat/>
    <w:rsid w:val="00697F1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97F11"/>
    <w:pPr>
      <w:ind w:left="2257"/>
    </w:pPr>
  </w:style>
  <w:style w:type="paragraph" w:customStyle="1" w:styleId="ZTIR2TIRwTIRzmpodwtirwtirtiret">
    <w:name w:val="Z_TIR/2TIR_w_TIR – zm. podw. tir. w tir. tiret"/>
    <w:basedOn w:val="TIRtiret"/>
    <w:uiPriority w:val="78"/>
    <w:qFormat/>
    <w:rsid w:val="00697F11"/>
    <w:pPr>
      <w:ind w:left="2177"/>
    </w:pPr>
  </w:style>
  <w:style w:type="paragraph" w:customStyle="1" w:styleId="ZTIRCZWSP2TIRwTIRzmczciwsppodwtirwtirtiret">
    <w:name w:val="Z_TIR/CZ_WSP_2TIR_w_TIR – zm. części wsp. podw. tir. w tir. tiret"/>
    <w:basedOn w:val="CZWSPTIRczwsplnatiret"/>
    <w:uiPriority w:val="79"/>
    <w:qFormat/>
    <w:rsid w:val="00697F11"/>
    <w:pPr>
      <w:ind w:left="1780"/>
    </w:pPr>
  </w:style>
  <w:style w:type="paragraph" w:customStyle="1" w:styleId="Z2TIRLITzmlitpodwjnymtiret">
    <w:name w:val="Z_2TIR/LIT – zm. lit. podwójnym tiret"/>
    <w:basedOn w:val="LITlitera"/>
    <w:uiPriority w:val="84"/>
    <w:qFormat/>
    <w:rsid w:val="00697F11"/>
    <w:pPr>
      <w:ind w:left="2256"/>
    </w:pPr>
  </w:style>
  <w:style w:type="paragraph" w:customStyle="1" w:styleId="ZZ2TIRwTIRzmianazmpodwtirwtir">
    <w:name w:val="ZZ/2TIR_w_TIR – zmiana zm. podw. tir. w tir."/>
    <w:basedOn w:val="ZZCZWSP2TIRzmianazmczciwsppodwtir"/>
    <w:uiPriority w:val="93"/>
    <w:qFormat/>
    <w:rsid w:val="00697F11"/>
    <w:pPr>
      <w:ind w:left="2688" w:hanging="397"/>
    </w:pPr>
  </w:style>
  <w:style w:type="paragraph" w:customStyle="1" w:styleId="ZZ2TIRwLITzmianazmpodwtirwlit">
    <w:name w:val="ZZ/2TIR_w_LIT – zmiana zm. podw. tir. w lit."/>
    <w:basedOn w:val="ZZ2TIRwTIRzmianazmpodwtirwtir"/>
    <w:uiPriority w:val="94"/>
    <w:qFormat/>
    <w:rsid w:val="00697F11"/>
    <w:pPr>
      <w:ind w:left="3164"/>
    </w:pPr>
  </w:style>
  <w:style w:type="paragraph" w:customStyle="1" w:styleId="Z2TIRTIRwLITzmtirwlitpodwjnymtiret">
    <w:name w:val="Z_2TIR/TIR_w_LIT – zm. tir. w lit. podwójnym tiret"/>
    <w:basedOn w:val="TIRtiret"/>
    <w:uiPriority w:val="84"/>
    <w:qFormat/>
    <w:rsid w:val="00697F1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97F11"/>
    <w:pPr>
      <w:ind w:left="2257"/>
    </w:pPr>
  </w:style>
  <w:style w:type="paragraph" w:customStyle="1" w:styleId="ZZ2TIRwPKTzmianazmpodwtirwpkt">
    <w:name w:val="ZZ/2TIR_w_PKT – zmiana zm. podw. tir. w pkt"/>
    <w:basedOn w:val="ZZ2TIRwLITzmianazmpodwtirwlit"/>
    <w:uiPriority w:val="94"/>
    <w:qFormat/>
    <w:rsid w:val="00697F11"/>
    <w:pPr>
      <w:ind w:left="3674"/>
    </w:pPr>
  </w:style>
  <w:style w:type="paragraph" w:customStyle="1" w:styleId="ZZCZWSP2TIRwTIRzmianazmczciwsppodwtirwtir">
    <w:name w:val="ZZ/CZ_WSP_2TIR_w_TIR – zmiana zm. części wsp. podw. tir. w tir."/>
    <w:basedOn w:val="ZZ2TIRwLITzmianazmpodwtirwlit"/>
    <w:uiPriority w:val="94"/>
    <w:qFormat/>
    <w:rsid w:val="00697F11"/>
    <w:pPr>
      <w:ind w:left="2291" w:firstLine="0"/>
    </w:pPr>
  </w:style>
  <w:style w:type="paragraph" w:customStyle="1" w:styleId="Z2TIR2TIRwTIRzmpodwtirwtirpodwjnymtiret">
    <w:name w:val="Z_2TIR/2TIR_w_TIR – zm. podw. tir. w tir. podwójnym tiret"/>
    <w:basedOn w:val="TIRtiret"/>
    <w:uiPriority w:val="85"/>
    <w:qFormat/>
    <w:rsid w:val="00697F1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97F11"/>
    <w:pPr>
      <w:ind w:left="2177"/>
    </w:pPr>
  </w:style>
  <w:style w:type="paragraph" w:customStyle="1" w:styleId="Z2TIR2TIRwLITzmpodwtirwlitpodwjnymtiret">
    <w:name w:val="Z_2TIR/2TIR_w_LIT – zm. podw. tir. w lit. podwójnym tiret"/>
    <w:basedOn w:val="TIRtiret"/>
    <w:uiPriority w:val="86"/>
    <w:qFormat/>
    <w:rsid w:val="00697F1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97F1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97F1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697F11"/>
    <w:pPr>
      <w:spacing w:after="120"/>
      <w:ind w:left="510"/>
    </w:pPr>
    <w:rPr>
      <w:b w:val="0"/>
    </w:rPr>
  </w:style>
  <w:style w:type="character" w:styleId="Odwoaniedokomentarza">
    <w:name w:val="annotation reference"/>
    <w:basedOn w:val="Domylnaczcionkaakapitu"/>
    <w:uiPriority w:val="99"/>
    <w:semiHidden/>
    <w:unhideWhenUsed/>
    <w:rsid w:val="00697F11"/>
    <w:rPr>
      <w:sz w:val="16"/>
      <w:szCs w:val="16"/>
    </w:rPr>
  </w:style>
  <w:style w:type="paragraph" w:styleId="Tekstkomentarza">
    <w:name w:val="annotation text"/>
    <w:basedOn w:val="Normalny"/>
    <w:link w:val="TekstkomentarzaZnak"/>
    <w:uiPriority w:val="99"/>
    <w:semiHidden/>
    <w:unhideWhenUsed/>
    <w:rsid w:val="00697F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97F11"/>
    <w:rPr>
      <w:sz w:val="20"/>
      <w:szCs w:val="20"/>
    </w:rPr>
  </w:style>
  <w:style w:type="paragraph" w:styleId="Tematkomentarza">
    <w:name w:val="annotation subject"/>
    <w:basedOn w:val="Tekstkomentarza"/>
    <w:next w:val="Tekstkomentarza"/>
    <w:link w:val="TematkomentarzaZnak"/>
    <w:uiPriority w:val="99"/>
    <w:semiHidden/>
    <w:unhideWhenUsed/>
    <w:rsid w:val="00697F11"/>
    <w:rPr>
      <w:b/>
      <w:bCs/>
    </w:rPr>
  </w:style>
  <w:style w:type="character" w:customStyle="1" w:styleId="TematkomentarzaZnak">
    <w:name w:val="Temat komentarza Znak"/>
    <w:basedOn w:val="TekstkomentarzaZnak"/>
    <w:link w:val="Tematkomentarza"/>
    <w:uiPriority w:val="99"/>
    <w:semiHidden/>
    <w:rsid w:val="00697F11"/>
    <w:rPr>
      <w:b/>
      <w:bCs/>
      <w:sz w:val="20"/>
      <w:szCs w:val="20"/>
    </w:rPr>
  </w:style>
  <w:style w:type="paragraph" w:customStyle="1" w:styleId="ZZARTzmianazmart">
    <w:name w:val="ZZ/ART(§) – zmiana zm. art. (§)"/>
    <w:basedOn w:val="ZARTzmartartykuempunktem"/>
    <w:uiPriority w:val="65"/>
    <w:qFormat/>
    <w:rsid w:val="00697F11"/>
    <w:pPr>
      <w:ind w:left="1894"/>
    </w:pPr>
  </w:style>
  <w:style w:type="paragraph" w:customStyle="1" w:styleId="ZZPKTzmianazmpkt">
    <w:name w:val="ZZ/PKT – zmiana zm. pkt"/>
    <w:basedOn w:val="ZPKTzmpktartykuempunktem"/>
    <w:uiPriority w:val="66"/>
    <w:qFormat/>
    <w:rsid w:val="00697F11"/>
    <w:pPr>
      <w:ind w:left="2404"/>
    </w:pPr>
  </w:style>
  <w:style w:type="paragraph" w:customStyle="1" w:styleId="ZZLITwPKTzmianazmlitwpkt">
    <w:name w:val="ZZ/LIT_w_PKT – zmiana zm. lit. w pkt"/>
    <w:basedOn w:val="ZLITwPKTzmlitwpktartykuempunktem"/>
    <w:uiPriority w:val="67"/>
    <w:qFormat/>
    <w:rsid w:val="00697F11"/>
    <w:pPr>
      <w:ind w:left="2880"/>
    </w:pPr>
  </w:style>
  <w:style w:type="paragraph" w:customStyle="1" w:styleId="ZZTIRwPKTzmianazmtirwpkt">
    <w:name w:val="ZZ/TIR_w_PKT – zmiana zm. tir. w pkt"/>
    <w:basedOn w:val="ZTIRwPKTzmtirwpktartykuempunktem"/>
    <w:uiPriority w:val="67"/>
    <w:qFormat/>
    <w:rsid w:val="00697F11"/>
    <w:pPr>
      <w:ind w:left="3277"/>
    </w:pPr>
  </w:style>
  <w:style w:type="paragraph" w:customStyle="1" w:styleId="ZZWMATFIZCHEMzmwzorumatfizlubchem">
    <w:name w:val="ZZ/W_MAT(FIZ|CHEM) – zm. wzoru mat. (fiz. lub chem.)"/>
    <w:basedOn w:val="ZWMATFIZCHEMzmwzorumatfizlubchemartykuempunktem"/>
    <w:uiPriority w:val="71"/>
    <w:qFormat/>
    <w:rsid w:val="00697F11"/>
    <w:pPr>
      <w:ind w:left="2404"/>
    </w:pPr>
  </w:style>
  <w:style w:type="paragraph" w:customStyle="1" w:styleId="ODNONIKtreodnonika">
    <w:name w:val="ODNOŚNIK – treść odnośnika"/>
    <w:uiPriority w:val="19"/>
    <w:qFormat/>
    <w:rsid w:val="00697F11"/>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697F1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97F1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97F11"/>
    <w:rPr>
      <w:rFonts w:ascii="Times New Roman" w:hAnsi="Times New Roman"/>
    </w:rPr>
  </w:style>
  <w:style w:type="paragraph" w:customStyle="1" w:styleId="ZTIRTIRwPKTzmtirwpkttiret">
    <w:name w:val="Z_TIR/TIR_w_PKT – zm. tir. w pkt tiret"/>
    <w:basedOn w:val="ZTIRTIRwLITzmtirwlittiret"/>
    <w:uiPriority w:val="57"/>
    <w:qFormat/>
    <w:rsid w:val="00697F11"/>
    <w:pPr>
      <w:ind w:left="2733"/>
    </w:pPr>
  </w:style>
  <w:style w:type="paragraph" w:customStyle="1" w:styleId="ZTIRCZWSPTIRwPKTzmczciwsptirtiret">
    <w:name w:val="Z_TIR/CZ_WSP_TIR_w_PKT – zm. części wsp. tir. tiret"/>
    <w:basedOn w:val="ZTIRTIRwPKTzmtirwpkttiret"/>
    <w:next w:val="TIRtiret"/>
    <w:uiPriority w:val="60"/>
    <w:qFormat/>
    <w:rsid w:val="00697F1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97F11"/>
    <w:pPr>
      <w:ind w:left="510" w:firstLine="0"/>
    </w:pPr>
  </w:style>
  <w:style w:type="paragraph" w:customStyle="1" w:styleId="ROZDZODDZOZNoznaczenierozdziauluboddziau">
    <w:name w:val="ROZDZ(ODDZ)_OZN – oznaczenie rozdziału lub oddziału"/>
    <w:next w:val="ARTartustawynprozporzdzenia"/>
    <w:uiPriority w:val="10"/>
    <w:qFormat/>
    <w:rsid w:val="00697F11"/>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697F11"/>
    <w:pPr>
      <w:ind w:left="2177"/>
    </w:pPr>
  </w:style>
  <w:style w:type="paragraph" w:customStyle="1" w:styleId="Z2TIRTIRzmtirpodwjnymtiret">
    <w:name w:val="Z_2TIR/TIR – zm. tir. podwójnym tiret"/>
    <w:basedOn w:val="TIRtiret"/>
    <w:uiPriority w:val="84"/>
    <w:qFormat/>
    <w:rsid w:val="00697F1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97F11"/>
    <w:pPr>
      <w:ind w:left="1021"/>
    </w:pPr>
  </w:style>
  <w:style w:type="paragraph" w:customStyle="1" w:styleId="ZLITSKARNzmsankcjikarnejliter">
    <w:name w:val="Z_LIT/S_KARN – zm. sankcji karnej literą"/>
    <w:basedOn w:val="ZSKARNzmsankcjikarnejwszczeglnociwKodeksiekarnym"/>
    <w:uiPriority w:val="53"/>
    <w:qFormat/>
    <w:rsid w:val="00697F1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97F1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97F11"/>
    <w:pPr>
      <w:ind w:left="1894" w:firstLine="0"/>
    </w:pPr>
  </w:style>
  <w:style w:type="paragraph" w:customStyle="1" w:styleId="Z2TIRwLITzmpodwtirwlitartykuempunktem">
    <w:name w:val="Z/2TIR_w_LIT – zm. podw. tir. w lit. artykułem (punktem)"/>
    <w:basedOn w:val="Z2TIRwPKTzmpodwtirwpktartykuempunktem"/>
    <w:uiPriority w:val="74"/>
    <w:qFormat/>
    <w:rsid w:val="00697F11"/>
    <w:pPr>
      <w:ind w:left="1780"/>
    </w:pPr>
  </w:style>
  <w:style w:type="paragraph" w:customStyle="1" w:styleId="Z2TIRwTIRzmpodwtirwtirartykuempunktem">
    <w:name w:val="Z/2TIR_w_TIR – zm. podw. tir. w tir. artykułem (punktem)"/>
    <w:basedOn w:val="Z2TIRwLITzmpodwtirwlitartykuempunktem"/>
    <w:uiPriority w:val="73"/>
    <w:qFormat/>
    <w:rsid w:val="00697F1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97F1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97F11"/>
    <w:pPr>
      <w:ind w:left="1383" w:firstLine="0"/>
    </w:pPr>
  </w:style>
  <w:style w:type="paragraph" w:customStyle="1" w:styleId="ZZCZWSP2TIRzmianazmczciwsppodwtir">
    <w:name w:val="ZZ/CZ_WSP_2TIR – zmiana zm. części wsp. podw. tir."/>
    <w:basedOn w:val="ZZTIRzmianazmtir"/>
    <w:next w:val="ZZUSTzmianazmust"/>
    <w:uiPriority w:val="94"/>
    <w:qFormat/>
    <w:rsid w:val="00697F11"/>
    <w:pPr>
      <w:ind w:left="1894" w:firstLine="0"/>
    </w:pPr>
  </w:style>
  <w:style w:type="paragraph" w:customStyle="1" w:styleId="PKTODNONIKApunktodnonika">
    <w:name w:val="PKT_ODNOŚNIKA – punkt odnośnika"/>
    <w:basedOn w:val="ODNONIKtreodnonika"/>
    <w:uiPriority w:val="19"/>
    <w:qFormat/>
    <w:rsid w:val="00697F11"/>
    <w:pPr>
      <w:ind w:left="568"/>
    </w:pPr>
  </w:style>
  <w:style w:type="paragraph" w:customStyle="1" w:styleId="ZODNONIKAzmtekstuodnonikaartykuempunktem">
    <w:name w:val="Z/ODNOŚNIKA – zm. tekstu odnośnika artykułem (punktem)"/>
    <w:basedOn w:val="ODNONIKtreodnonika"/>
    <w:uiPriority w:val="39"/>
    <w:qFormat/>
    <w:rsid w:val="00697F1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97F11"/>
    <w:pPr>
      <w:ind w:left="1304"/>
    </w:pPr>
  </w:style>
  <w:style w:type="paragraph" w:customStyle="1" w:styleId="ZPKTODNONIKAzmpktodnonikaartykuempunktem">
    <w:name w:val="Z/PKT_ODNOŚNIKA – zm. pkt odnośnika artykułem (punktem)"/>
    <w:basedOn w:val="ZODNONIKAzmtekstuodnonikaartykuempunktem"/>
    <w:uiPriority w:val="39"/>
    <w:qFormat/>
    <w:rsid w:val="00697F11"/>
  </w:style>
  <w:style w:type="paragraph" w:customStyle="1" w:styleId="ZLIT2TIRwTIRzmpodwtirwtirliter">
    <w:name w:val="Z_LIT/2TIR_w_TIR – zm. podw. tir. w tir. literą"/>
    <w:basedOn w:val="ZLIT2TIRzmpodwtirliter"/>
    <w:uiPriority w:val="75"/>
    <w:qFormat/>
    <w:rsid w:val="00697F11"/>
    <w:pPr>
      <w:ind w:left="1780"/>
    </w:pPr>
  </w:style>
  <w:style w:type="paragraph" w:customStyle="1" w:styleId="ZLIT2TIRwLITzmpodwtirwlitliter">
    <w:name w:val="Z_LIT/2TIR_w_LIT – zm. podw. tir. w lit. literą"/>
    <w:basedOn w:val="ZLIT2TIRwTIRzmpodwtirwtirliter"/>
    <w:uiPriority w:val="76"/>
    <w:qFormat/>
    <w:rsid w:val="00697F11"/>
    <w:pPr>
      <w:ind w:left="2257"/>
    </w:pPr>
  </w:style>
  <w:style w:type="paragraph" w:customStyle="1" w:styleId="ZLIT2TIRwPKTzmpodwtirwpktliter">
    <w:name w:val="Z_LIT/2TIR_w_PKT – zm. podw. tir. w pkt literą"/>
    <w:basedOn w:val="ZLIT2TIRwLITzmpodwtirwlitliter"/>
    <w:uiPriority w:val="76"/>
    <w:qFormat/>
    <w:rsid w:val="00697F1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97F1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97F1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97F11"/>
    <w:pPr>
      <w:ind w:left="2370" w:firstLine="0"/>
    </w:pPr>
  </w:style>
  <w:style w:type="paragraph" w:customStyle="1" w:styleId="ZTIR2TIRwPKTzmpodwtirwpkttiret">
    <w:name w:val="Z_TIR/2TIR_w_PKT – zm. podw. tir. w pkt tiret"/>
    <w:basedOn w:val="ZTIR2TIRwLITzmpodwtirwlittiret"/>
    <w:uiPriority w:val="79"/>
    <w:qFormat/>
    <w:rsid w:val="00697F1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97F1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97F11"/>
    <w:pPr>
      <w:ind w:left="2767"/>
    </w:pPr>
  </w:style>
  <w:style w:type="paragraph" w:customStyle="1" w:styleId="ZZCZWSP2TIRwPKTzmianazmczciwsppodwtirwpkt">
    <w:name w:val="ZZ/CZ_WSP_2TIR_w_PKT – zmiana zm. części wsp. podw. tir. w pkt"/>
    <w:basedOn w:val="ZZ2TIRwLITzmianazmpodwtirwlit"/>
    <w:uiPriority w:val="95"/>
    <w:qFormat/>
    <w:rsid w:val="00697F1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97F11"/>
  </w:style>
  <w:style w:type="paragraph" w:customStyle="1" w:styleId="ZLITCZWSP2TIRzmczciwsppodwtirliter">
    <w:name w:val="Z_LIT/CZ_WSP_2TIR – zm. części wsp. podw. tir. literą"/>
    <w:basedOn w:val="ZLITCZWSPPKTzmczciwsppktliter"/>
    <w:next w:val="LITlitera"/>
    <w:uiPriority w:val="76"/>
    <w:qFormat/>
    <w:rsid w:val="00697F11"/>
  </w:style>
  <w:style w:type="paragraph" w:customStyle="1" w:styleId="ZTIRCZWSP2TIRzmczciwsppodwtirtiret">
    <w:name w:val="Z_TIR/CZ_WSP_2TIR – zm. części wsp. podw. tir. tiret"/>
    <w:basedOn w:val="ZLITCZWSP2TIRzmczciwsppodwtirliter"/>
    <w:next w:val="TIRtiret"/>
    <w:uiPriority w:val="79"/>
    <w:qFormat/>
    <w:rsid w:val="00697F11"/>
  </w:style>
  <w:style w:type="paragraph" w:customStyle="1" w:styleId="ZZ2TIRzmianazmpodwtir">
    <w:name w:val="ZZ/2TIR – zmiana zm. podw. tir."/>
    <w:basedOn w:val="ZZCZWSP2TIRzmianazmczciwsppodwtir"/>
    <w:uiPriority w:val="93"/>
    <w:qFormat/>
    <w:rsid w:val="00697F1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97F11"/>
  </w:style>
  <w:style w:type="paragraph" w:customStyle="1" w:styleId="ZCZWSPTIRzmczciwsptirartykuempunktem">
    <w:name w:val="Z/CZ_WSP_TIR – zm. części wsp. tir. artykułem (punktem)"/>
    <w:basedOn w:val="ZCZWSPPKTzmczciwsppktartykuempunktem"/>
    <w:next w:val="PKTpunkt"/>
    <w:uiPriority w:val="35"/>
    <w:qFormat/>
    <w:rsid w:val="00697F11"/>
  </w:style>
  <w:style w:type="paragraph" w:customStyle="1" w:styleId="ZLITCZWSPLITzmczciwsplitliter">
    <w:name w:val="Z_LIT/CZ_WSP_LIT – zm. części wsp. lit. literą"/>
    <w:basedOn w:val="ZLITCZWSPPKTzmczciwsppktliter"/>
    <w:next w:val="LITlitera"/>
    <w:uiPriority w:val="51"/>
    <w:qFormat/>
    <w:rsid w:val="00697F11"/>
  </w:style>
  <w:style w:type="paragraph" w:customStyle="1" w:styleId="ZLITCZWSPTIRzmczciwsptirliter">
    <w:name w:val="Z_LIT/CZ_WSP_TIR – zm. części wsp. tir. literą"/>
    <w:basedOn w:val="ZLITCZWSPPKTzmczciwsppktliter"/>
    <w:next w:val="LITlitera"/>
    <w:uiPriority w:val="51"/>
    <w:qFormat/>
    <w:rsid w:val="00697F11"/>
  </w:style>
  <w:style w:type="paragraph" w:customStyle="1" w:styleId="ZTIRCZWSPLITzmczciwsplittiret">
    <w:name w:val="Z_TIR/CZ_WSP_LIT – zm. części wsp. lit. tiret"/>
    <w:basedOn w:val="ZTIRCZWSPPKTzmczciwsppkttiret"/>
    <w:next w:val="TIRtiret"/>
    <w:uiPriority w:val="59"/>
    <w:qFormat/>
    <w:rsid w:val="00697F11"/>
  </w:style>
  <w:style w:type="paragraph" w:customStyle="1" w:styleId="ZTIRCZWSPTIRzmczciwsptirtiret">
    <w:name w:val="Z_TIR/CZ_WSP_TIR – zm. części wsp. tir. tiret"/>
    <w:basedOn w:val="ZTIRCZWSPPKTzmczciwsppkttiret"/>
    <w:next w:val="TIRtiret"/>
    <w:uiPriority w:val="60"/>
    <w:qFormat/>
    <w:rsid w:val="00697F11"/>
  </w:style>
  <w:style w:type="paragraph" w:customStyle="1" w:styleId="ZZCZWSPLITzmianazmczciwsplit">
    <w:name w:val="ZZ/CZ_WSP_LIT – zmiana. zm. części wsp. lit."/>
    <w:basedOn w:val="ZZCZWSPPKTzmianazmczciwsppkt"/>
    <w:uiPriority w:val="69"/>
    <w:qFormat/>
    <w:rsid w:val="00697F11"/>
  </w:style>
  <w:style w:type="paragraph" w:customStyle="1" w:styleId="ZZCZWSPTIRzmianazmczciwsptir">
    <w:name w:val="ZZ/CZ_WSP_TIR – zmiana. zm. części wsp. tir."/>
    <w:basedOn w:val="ZZCZWSPPKTzmianazmczciwsppkt"/>
    <w:uiPriority w:val="69"/>
    <w:qFormat/>
    <w:rsid w:val="00697F11"/>
  </w:style>
  <w:style w:type="paragraph" w:customStyle="1" w:styleId="Z2TIRCZWSPTIRzmczciwsptirpodwjnymtiret">
    <w:name w:val="Z_2TIR/CZ_WSP_TIR – zm. części wsp. tir. podwójnym tiret"/>
    <w:basedOn w:val="Z2TIRCZWSPLITzmczciwsplitpodwjnymtiret"/>
    <w:next w:val="2TIRpodwjnytiret"/>
    <w:uiPriority w:val="87"/>
    <w:qFormat/>
    <w:rsid w:val="00697F1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97F11"/>
  </w:style>
  <w:style w:type="paragraph" w:customStyle="1" w:styleId="ZUSTzmustartykuempunktem">
    <w:name w:val="Z/UST(§) – zm. ust. (§) artykułem (punktem)"/>
    <w:basedOn w:val="ZARTzmartartykuempunktem"/>
    <w:uiPriority w:val="30"/>
    <w:qFormat/>
    <w:rsid w:val="00697F11"/>
  </w:style>
  <w:style w:type="paragraph" w:customStyle="1" w:styleId="ZZUSTzmianazmust">
    <w:name w:val="ZZ/UST(§) – zmiana zm. ust. (§)"/>
    <w:basedOn w:val="ZZARTzmianazmart"/>
    <w:uiPriority w:val="65"/>
    <w:qFormat/>
    <w:rsid w:val="00697F11"/>
  </w:style>
  <w:style w:type="paragraph" w:customStyle="1" w:styleId="TYTDZPRZEDMprzedmiotregulacjitytuulubdziau">
    <w:name w:val="TYT(DZ)_PRZEDM – przedmiot regulacji tytułu lub działu"/>
    <w:next w:val="ARTartustawynprozporzdzenia"/>
    <w:uiPriority w:val="9"/>
    <w:qFormat/>
    <w:rsid w:val="00697F11"/>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697F1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97F1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97F1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97F1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97F1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97F11"/>
    <w:pPr>
      <w:ind w:left="1894"/>
    </w:pPr>
  </w:style>
  <w:style w:type="paragraph" w:customStyle="1" w:styleId="P1wTABELIpoziom1numeracjiwtabeli">
    <w:name w:val="P1_w_TABELI – poziom 1 numeracji w tabeli"/>
    <w:basedOn w:val="PKTpunkt"/>
    <w:uiPriority w:val="24"/>
    <w:qFormat/>
    <w:rsid w:val="00697F1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97F11"/>
    <w:pPr>
      <w:ind w:left="0" w:firstLine="0"/>
    </w:pPr>
  </w:style>
  <w:style w:type="paragraph" w:customStyle="1" w:styleId="P2wTABELIpoziom2numeracjiwtabeli">
    <w:name w:val="P2_w_TABELI – poziom 2 numeracji w tabeli"/>
    <w:basedOn w:val="P1wTABELIpoziom1numeracjiwtabeli"/>
    <w:uiPriority w:val="24"/>
    <w:qFormat/>
    <w:rsid w:val="00697F11"/>
    <w:pPr>
      <w:ind w:left="794"/>
    </w:pPr>
  </w:style>
  <w:style w:type="paragraph" w:customStyle="1" w:styleId="P3wTABELIpoziom3numeracjiwtabeli">
    <w:name w:val="P3_w_TABELI – poziom 3 numeracji w tabeli"/>
    <w:basedOn w:val="P2wTABELIpoziom2numeracjiwtabeli"/>
    <w:uiPriority w:val="24"/>
    <w:qFormat/>
    <w:rsid w:val="00697F1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97F1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97F1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97F11"/>
    <w:pPr>
      <w:ind w:left="1191"/>
    </w:pPr>
  </w:style>
  <w:style w:type="paragraph" w:customStyle="1" w:styleId="P4wTABELIpoziom4numeracjiwtabeli">
    <w:name w:val="P4_w_TABELI – poziom 4 numeracji w tabeli"/>
    <w:basedOn w:val="P3wTABELIpoziom3numeracjiwtabeli"/>
    <w:uiPriority w:val="24"/>
    <w:qFormat/>
    <w:rsid w:val="00697F11"/>
    <w:pPr>
      <w:ind w:left="1588"/>
    </w:pPr>
  </w:style>
  <w:style w:type="paragraph" w:customStyle="1" w:styleId="TYTTABELItytutabeli">
    <w:name w:val="TYT_TABELI – tytuł tabeli"/>
    <w:basedOn w:val="TYTDZOZNoznaczenietytuulubdziau"/>
    <w:uiPriority w:val="22"/>
    <w:qFormat/>
    <w:rsid w:val="00697F11"/>
    <w:rPr>
      <w:b/>
    </w:rPr>
  </w:style>
  <w:style w:type="paragraph" w:customStyle="1" w:styleId="OZNPROJEKTUwskazaniedatylubwersjiprojektu">
    <w:name w:val="OZN_PROJEKTU – wskazanie daty lub wersji projektu"/>
    <w:next w:val="OZNRODZAKTUtznustawalubrozporzdzenieiorganwydajcy"/>
    <w:uiPriority w:val="5"/>
    <w:qFormat/>
    <w:rsid w:val="00697F11"/>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697F1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97F11"/>
    <w:pPr>
      <w:ind w:left="0" w:right="4820"/>
      <w:jc w:val="left"/>
    </w:pPr>
  </w:style>
  <w:style w:type="paragraph" w:customStyle="1" w:styleId="TEKSTwporozumieniu">
    <w:name w:val="TEKST&quot;w porozumieniu:&quot;"/>
    <w:next w:val="NAZORGWPOROZUMIENIUnazwaorganuwporozumieniuzktrymaktjestwydawany"/>
    <w:uiPriority w:val="27"/>
    <w:qFormat/>
    <w:rsid w:val="00697F11"/>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697F1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97F11"/>
    <w:pPr>
      <w:ind w:left="510" w:firstLine="0"/>
    </w:pPr>
  </w:style>
  <w:style w:type="paragraph" w:customStyle="1" w:styleId="NOTATKILEGISLATORA">
    <w:name w:val="NOTATKI_LEGISLATORA"/>
    <w:basedOn w:val="Normalny"/>
    <w:uiPriority w:val="5"/>
    <w:qFormat/>
    <w:rsid w:val="00697F11"/>
    <w:rPr>
      <w:b/>
      <w:i/>
    </w:rPr>
  </w:style>
  <w:style w:type="paragraph" w:customStyle="1" w:styleId="OZNZACZNIKAwskazanienrzacznika">
    <w:name w:val="OZN_ZAŁĄCZNIKA – wskazanie nr załącznika"/>
    <w:basedOn w:val="OZNPROJEKTUwskazaniedatylubwersjiprojektu"/>
    <w:uiPriority w:val="28"/>
    <w:qFormat/>
    <w:rsid w:val="00697F11"/>
    <w:pPr>
      <w:keepNext/>
    </w:pPr>
    <w:rPr>
      <w:b/>
      <w:u w:val="none"/>
    </w:rPr>
  </w:style>
  <w:style w:type="paragraph" w:customStyle="1" w:styleId="OZNPARAFYADNOTACJE">
    <w:name w:val="OZN_PARAFY(ADNOTACJE)"/>
    <w:basedOn w:val="ODNONIKtreodnonika"/>
    <w:uiPriority w:val="26"/>
    <w:qFormat/>
    <w:rsid w:val="00697F11"/>
  </w:style>
  <w:style w:type="paragraph" w:customStyle="1" w:styleId="TEKSTZacznikido">
    <w:name w:val="TEKST&quot;Załącznik(i) do ...&quot;"/>
    <w:uiPriority w:val="28"/>
    <w:qFormat/>
    <w:rsid w:val="00697F11"/>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697F11"/>
    <w:pPr>
      <w:ind w:left="851"/>
    </w:pPr>
  </w:style>
  <w:style w:type="paragraph" w:customStyle="1" w:styleId="CZWSPLITODNONIKAczwspliterodnonika">
    <w:name w:val="CZ_WSP_LIT_ODNOŚNIKA – część wsp. liter odnośnika"/>
    <w:basedOn w:val="LITODNONIKAliteraodnonika"/>
    <w:uiPriority w:val="22"/>
    <w:qFormat/>
    <w:rsid w:val="00697F11"/>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97F1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97F1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97F11"/>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697F11"/>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97F11"/>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97F1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97F11"/>
  </w:style>
  <w:style w:type="paragraph" w:customStyle="1" w:styleId="ZLITwPKTODNONIKAzmlitwpktodnonikaartykuempunktem">
    <w:name w:val="Z/LIT_w_PKT_ODNOŚNIKA – zm. lit. w pkt odnośnika artykułem (punktem)"/>
    <w:basedOn w:val="ZLITODNONIKAzmlitodnonikaartykuempunktem"/>
    <w:uiPriority w:val="40"/>
    <w:qFormat/>
    <w:rsid w:val="00697F1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97F1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97F1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97F1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97F1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97F1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97F11"/>
  </w:style>
  <w:style w:type="paragraph" w:customStyle="1" w:styleId="ZZFRAGzmianazmfragmentunpzdania">
    <w:name w:val="ZZ/FRAG – zmiana zm. fragmentu (np. zdania)"/>
    <w:basedOn w:val="ZZCZWSPPKTzmianazmczciwsppkt"/>
    <w:uiPriority w:val="70"/>
    <w:qFormat/>
    <w:rsid w:val="00697F11"/>
  </w:style>
  <w:style w:type="paragraph" w:customStyle="1" w:styleId="Z2TIRPKTzmpktpodwjnymtiret">
    <w:name w:val="Z_2TIR/PKT – zm. pkt podwójnym tiret"/>
    <w:basedOn w:val="Z2TIRLITzmlitpodwjnymtiret"/>
    <w:uiPriority w:val="83"/>
    <w:qFormat/>
    <w:rsid w:val="00697F1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97F1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97F1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97F1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97F11"/>
    <w:pPr>
      <w:ind w:left="1780" w:firstLine="510"/>
    </w:pPr>
  </w:style>
  <w:style w:type="paragraph" w:customStyle="1" w:styleId="Z2TIRUSTzmustpodwjnymtiret">
    <w:name w:val="Z_2TIR/UST(§) – zm. ust. (§) podwójnym tiret"/>
    <w:basedOn w:val="Z2TIRPKTzmpktpodwjnymtiret"/>
    <w:uiPriority w:val="82"/>
    <w:qFormat/>
    <w:rsid w:val="00697F1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97F11"/>
    <w:pPr>
      <w:ind w:left="3164" w:firstLine="0"/>
    </w:pPr>
  </w:style>
  <w:style w:type="paragraph" w:customStyle="1" w:styleId="Z2TIRCZWSPPKTzmczciwsppktpodwjnymtiret">
    <w:name w:val="Z_2TIR/CZ_WSP_PKT – zm. części wsp. pkt podwójnym tiret"/>
    <w:basedOn w:val="Z2TIRPKTzmpktpodwjnymtiret"/>
    <w:uiPriority w:val="86"/>
    <w:qFormat/>
    <w:rsid w:val="00697F1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97F1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97F11"/>
    <w:pPr>
      <w:ind w:left="2767" w:firstLine="0"/>
    </w:pPr>
  </w:style>
  <w:style w:type="paragraph" w:customStyle="1" w:styleId="ZLITARTzmartliter">
    <w:name w:val="Z_LIT/ART(§) – zm. art. (§) literą"/>
    <w:basedOn w:val="ZLITUSTzmustliter"/>
    <w:uiPriority w:val="46"/>
    <w:qFormat/>
    <w:rsid w:val="00697F11"/>
    <w:rPr>
      <w:rFonts w:ascii="Times New Roman" w:hAnsi="Times New Roman"/>
    </w:rPr>
  </w:style>
  <w:style w:type="paragraph" w:customStyle="1" w:styleId="ZTIRARTzmarttiret">
    <w:name w:val="Z_TIR/ART(§) – zm. art. (§) tiret"/>
    <w:basedOn w:val="ZTIRPKTzmpkttiret"/>
    <w:uiPriority w:val="55"/>
    <w:qFormat/>
    <w:rsid w:val="00697F11"/>
    <w:pPr>
      <w:ind w:left="1383" w:firstLine="510"/>
    </w:pPr>
    <w:rPr>
      <w:rFonts w:ascii="Times New Roman" w:hAnsi="Times New Roman"/>
    </w:rPr>
  </w:style>
  <w:style w:type="paragraph" w:customStyle="1" w:styleId="ZTIRUSTzmusttiret">
    <w:name w:val="Z_TIR/UST(§) – zm. ust. (§) tiret"/>
    <w:basedOn w:val="ZTIRARTzmarttiret"/>
    <w:uiPriority w:val="55"/>
    <w:qFormat/>
    <w:rsid w:val="00697F11"/>
  </w:style>
  <w:style w:type="paragraph" w:customStyle="1" w:styleId="ZLITKSIGIzmozniprzedmksigiliter">
    <w:name w:val="Z_LIT/KSIĘGI – zm. ozn. i przedm. księgi literą"/>
    <w:basedOn w:val="ZCZCIKSIGIzmozniprzedmczciksigiartykuempunktem"/>
    <w:uiPriority w:val="44"/>
    <w:qFormat/>
    <w:rsid w:val="00697F1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97F1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97F1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97F1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97F11"/>
    <w:pPr>
      <w:ind w:left="987"/>
    </w:pPr>
  </w:style>
  <w:style w:type="paragraph" w:customStyle="1" w:styleId="ZTIRDZOZNzmozndziautiret">
    <w:name w:val="Z_TIR/DZ_OZN – zm. ozn. działu tiret"/>
    <w:basedOn w:val="ZLITTYTDZOZNzmozntytuudziauliter"/>
    <w:next w:val="ZTIRDZPRZEDMzmprzedmdziautiret"/>
    <w:uiPriority w:val="54"/>
    <w:qFormat/>
    <w:rsid w:val="00697F11"/>
    <w:pPr>
      <w:ind w:left="1383"/>
    </w:pPr>
  </w:style>
  <w:style w:type="paragraph" w:customStyle="1" w:styleId="ZTIRDZPRZEDMzmprzedmdziautiret">
    <w:name w:val="Z_TIR/DZ_PRZEDM – zm. przedm. działu tiret"/>
    <w:basedOn w:val="ZLITTYTDZPRZEDMzmprzedmtytuudziauliter"/>
    <w:uiPriority w:val="54"/>
    <w:qFormat/>
    <w:rsid w:val="00697F1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97F11"/>
    <w:pPr>
      <w:ind w:left="1383"/>
    </w:pPr>
  </w:style>
  <w:style w:type="paragraph" w:customStyle="1" w:styleId="ZTIRROZDZODDZPRZEDMzmprzedmrozdzoddztiret">
    <w:name w:val="Z_TIR/ROZDZ(ODDZ)_PRZEDM – zm. przedm. rozdz. (oddz.) tiret"/>
    <w:basedOn w:val="ZLITROZDZODDZPRZEDMzmprzedmrozdzoddzliter"/>
    <w:uiPriority w:val="54"/>
    <w:qFormat/>
    <w:rsid w:val="00697F1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97F1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97F11"/>
    <w:pPr>
      <w:ind w:left="1780"/>
    </w:pPr>
  </w:style>
  <w:style w:type="character" w:customStyle="1" w:styleId="IGindeksgrny">
    <w:name w:val="_IG_ – indeks górny"/>
    <w:uiPriority w:val="2"/>
    <w:qFormat/>
    <w:rsid w:val="00697F11"/>
    <w:rPr>
      <w:b w:val="0"/>
      <w:i w:val="0"/>
      <w:vanish w:val="0"/>
      <w:spacing w:val="0"/>
      <w:vertAlign w:val="superscript"/>
    </w:rPr>
  </w:style>
  <w:style w:type="character" w:customStyle="1" w:styleId="IDindeksdolny">
    <w:name w:val="_ID_ – indeks dolny"/>
    <w:uiPriority w:val="3"/>
    <w:qFormat/>
    <w:rsid w:val="00697F11"/>
    <w:rPr>
      <w:b w:val="0"/>
      <w:i w:val="0"/>
      <w:vanish w:val="0"/>
      <w:spacing w:val="0"/>
      <w:vertAlign w:val="subscript"/>
    </w:rPr>
  </w:style>
  <w:style w:type="character" w:customStyle="1" w:styleId="IDPindeksdolnyipogrubienie">
    <w:name w:val="_ID_P_ – indeks dolny i pogrubienie"/>
    <w:uiPriority w:val="3"/>
    <w:qFormat/>
    <w:rsid w:val="00697F11"/>
    <w:rPr>
      <w:b/>
      <w:vanish w:val="0"/>
      <w:spacing w:val="0"/>
      <w:vertAlign w:val="subscript"/>
    </w:rPr>
  </w:style>
  <w:style w:type="character" w:customStyle="1" w:styleId="IDKindeksdolnyikursywa">
    <w:name w:val="_ID_K_ – indeks dolny i kursywa"/>
    <w:uiPriority w:val="3"/>
    <w:qFormat/>
    <w:rsid w:val="00697F11"/>
    <w:rPr>
      <w:i/>
      <w:vanish w:val="0"/>
      <w:spacing w:val="0"/>
      <w:vertAlign w:val="subscript"/>
    </w:rPr>
  </w:style>
  <w:style w:type="character" w:customStyle="1" w:styleId="IGPindeksgrnyipogrubienie">
    <w:name w:val="_IG_P_ – indeks górny i pogrubienie"/>
    <w:uiPriority w:val="2"/>
    <w:qFormat/>
    <w:rsid w:val="00697F11"/>
    <w:rPr>
      <w:b/>
      <w:vanish w:val="0"/>
      <w:spacing w:val="0"/>
      <w:vertAlign w:val="superscript"/>
    </w:rPr>
  </w:style>
  <w:style w:type="character" w:customStyle="1" w:styleId="IGKindeksgrnyikursywa">
    <w:name w:val="_IG_K_ – indeks górny i kursywa"/>
    <w:uiPriority w:val="2"/>
    <w:qFormat/>
    <w:rsid w:val="00697F11"/>
    <w:rPr>
      <w:i/>
      <w:vanish w:val="0"/>
      <w:spacing w:val="0"/>
      <w:vertAlign w:val="superscript"/>
    </w:rPr>
  </w:style>
  <w:style w:type="character" w:customStyle="1" w:styleId="IGPKindeksgrnyipogrubieniekursywa">
    <w:name w:val="_IG_P_K_ – indeks górny i pogrubienie kursywa"/>
    <w:uiPriority w:val="2"/>
    <w:qFormat/>
    <w:rsid w:val="00697F11"/>
    <w:rPr>
      <w:b/>
      <w:i/>
      <w:vanish w:val="0"/>
      <w:spacing w:val="0"/>
      <w:vertAlign w:val="superscript"/>
    </w:rPr>
  </w:style>
  <w:style w:type="character" w:customStyle="1" w:styleId="IDPKindeksdolnyipogrugieniekursywa">
    <w:name w:val="_ID_P_K_ – indeks dolny i pogrugienie kursywa"/>
    <w:uiPriority w:val="3"/>
    <w:qFormat/>
    <w:rsid w:val="00697F11"/>
    <w:rPr>
      <w:b/>
      <w:i/>
      <w:vanish w:val="0"/>
      <w:spacing w:val="0"/>
      <w:vertAlign w:val="subscript"/>
    </w:rPr>
  </w:style>
  <w:style w:type="character" w:customStyle="1" w:styleId="Ppogrubienie">
    <w:name w:val="_P_ – pogrubienie"/>
    <w:uiPriority w:val="1"/>
    <w:qFormat/>
    <w:rsid w:val="00697F11"/>
    <w:rPr>
      <w:b/>
    </w:rPr>
  </w:style>
  <w:style w:type="character" w:customStyle="1" w:styleId="Kkursywa">
    <w:name w:val="_K_ – kursywa"/>
    <w:uiPriority w:val="1"/>
    <w:qFormat/>
    <w:rsid w:val="00697F11"/>
    <w:rPr>
      <w:i/>
    </w:rPr>
  </w:style>
  <w:style w:type="character" w:customStyle="1" w:styleId="PKpogrubieniekursywa">
    <w:name w:val="_P_K_ – pogrubienie kursywa"/>
    <w:uiPriority w:val="1"/>
    <w:qFormat/>
    <w:rsid w:val="00697F11"/>
    <w:rPr>
      <w:b/>
      <w:i/>
    </w:rPr>
  </w:style>
  <w:style w:type="character" w:customStyle="1" w:styleId="TEKSTOZNACZONYWDOKUMENCIERDOWYMJAKOUKRYTY">
    <w:name w:val="_TEKST_OZNACZONY_W_DOKUMENCIE_ŹRÓDŁOWYM_JAKO_UKRYTY_"/>
    <w:uiPriority w:val="4"/>
    <w:unhideWhenUsed/>
    <w:qFormat/>
    <w:rsid w:val="00697F11"/>
    <w:rPr>
      <w:vanish w:val="0"/>
      <w:color w:val="FF0000"/>
      <w:u w:val="single" w:color="FF0000"/>
    </w:rPr>
  </w:style>
  <w:style w:type="character" w:customStyle="1" w:styleId="BEZWERSALIKW">
    <w:name w:val="_BEZ_WERSALIKÓW_"/>
    <w:uiPriority w:val="4"/>
    <w:qFormat/>
    <w:rsid w:val="00697F11"/>
    <w:rPr>
      <w:caps/>
    </w:rPr>
  </w:style>
  <w:style w:type="character" w:customStyle="1" w:styleId="IIGPindeksgrnyindeksugrnegoipogrubienie">
    <w:name w:val="_IIG_P_ – indeks górny indeksu górnego i pogrubienie"/>
    <w:uiPriority w:val="3"/>
    <w:qFormat/>
    <w:rsid w:val="00697F11"/>
    <w:rPr>
      <w:b/>
      <w:vanish w:val="0"/>
      <w:spacing w:val="0"/>
      <w:position w:val="6"/>
      <w:vertAlign w:val="superscript"/>
    </w:rPr>
  </w:style>
  <w:style w:type="character" w:customStyle="1" w:styleId="IIGindeksgrnyindeksugrnego">
    <w:name w:val="_IIG_ – indeks górny indeksu górnego"/>
    <w:uiPriority w:val="3"/>
    <w:qFormat/>
    <w:rsid w:val="00697F1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697F11"/>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697F11"/>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697F11"/>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697F11"/>
    <w:pPr>
      <w:ind w:left="1894"/>
    </w:pPr>
  </w:style>
  <w:style w:type="paragraph" w:customStyle="1" w:styleId="ZZSKARNzmianazmsankcjikarnej">
    <w:name w:val="ZZ/S_KARN – zmiana zm. sankcji karnej"/>
    <w:basedOn w:val="ZZFRAGzmianazmfragmentunpzdania"/>
    <w:uiPriority w:val="71"/>
    <w:qFormat/>
    <w:rsid w:val="00697F1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697F11"/>
    <w:pPr>
      <w:ind w:left="2291" w:firstLine="0"/>
    </w:pPr>
  </w:style>
  <w:style w:type="paragraph" w:customStyle="1" w:styleId="WMATFIZCHEMwzrmatfizlubchem">
    <w:name w:val="W_MAT(FIZ|CHEM) – wzór mat. (fiz. lub chem.)"/>
    <w:uiPriority w:val="18"/>
    <w:qFormat/>
    <w:rsid w:val="00697F11"/>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697F1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697F1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697F1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697F1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697F1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697F1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697F1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697F1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697F11"/>
    <w:pPr>
      <w:ind w:left="3085"/>
    </w:pPr>
  </w:style>
  <w:style w:type="paragraph" w:customStyle="1" w:styleId="ZLITCYTzmcytatunpprzysigiliter">
    <w:name w:val="Z_LIT/CYT – zm. cytatu np. przysięgi literą"/>
    <w:basedOn w:val="ZCYTzmcytatunpprzysigiartykuempunktem"/>
    <w:uiPriority w:val="53"/>
    <w:qFormat/>
    <w:rsid w:val="00697F11"/>
    <w:pPr>
      <w:ind w:left="1497"/>
    </w:pPr>
  </w:style>
  <w:style w:type="paragraph" w:customStyle="1" w:styleId="ZTIRCYTzmcytatunpprzysigitiret">
    <w:name w:val="Z_TIR/CYT – zm. cytatu np. przysięgi tiret"/>
    <w:basedOn w:val="ZLITCYTzmcytatunpprzysigiliter"/>
    <w:next w:val="ZTIRUSTzmusttiret"/>
    <w:uiPriority w:val="61"/>
    <w:qFormat/>
    <w:rsid w:val="00697F1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697F11"/>
    <w:pPr>
      <w:ind w:left="2291"/>
    </w:pPr>
  </w:style>
  <w:style w:type="paragraph" w:customStyle="1" w:styleId="ZZCYTzmianazmcytatunpprzysigi">
    <w:name w:val="ZZ/CYT – zmiana zm. cytatu np. przysięgi"/>
    <w:basedOn w:val="ZZFRAGzmianazmfragmentunpzdania"/>
    <w:next w:val="ZZUSTzmianazmust"/>
    <w:uiPriority w:val="71"/>
    <w:qFormat/>
    <w:rsid w:val="00697F1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697F11"/>
    <w:pPr>
      <w:ind w:left="1780"/>
    </w:pPr>
  </w:style>
  <w:style w:type="table" w:styleId="Tabela-Siatka">
    <w:name w:val="Table Grid"/>
    <w:basedOn w:val="Standardowy"/>
    <w:rsid w:val="00697F11"/>
    <w:pPr>
      <w:spacing w:after="0" w:line="240" w:lineRule="auto"/>
    </w:pPr>
    <w:rPr>
      <w:rFonts w:ascii="Times" w:eastAsia="Times New Roman" w:hAnsi="Times"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697F11"/>
    <w:pPr>
      <w:widowControl w:val="0"/>
      <w:autoSpaceDE w:val="0"/>
      <w:autoSpaceDN w:val="0"/>
      <w:adjustRightInd w:val="0"/>
      <w:spacing w:after="0" w:line="240" w:lineRule="auto"/>
      <w:jc w:val="both"/>
    </w:pPr>
    <w:rPr>
      <w:rFonts w:ascii="Times" w:eastAsia="Times New Roman" w:hAnsi="Times" w:cs="Times New Roman"/>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697F1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697F1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697F1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697F11"/>
    <w:rPr>
      <w:color w:val="808080"/>
    </w:rPr>
  </w:style>
  <w:style w:type="paragraph" w:styleId="Akapitzlist">
    <w:name w:val="List Paragraph"/>
    <w:basedOn w:val="Normalny"/>
    <w:uiPriority w:val="34"/>
    <w:qFormat/>
    <w:rsid w:val="00697F11"/>
    <w:pPr>
      <w:ind w:left="720"/>
      <w:contextualSpacing/>
    </w:pPr>
  </w:style>
  <w:style w:type="paragraph" w:styleId="Poprawka">
    <w:name w:val="Revision"/>
    <w:hidden/>
    <w:uiPriority w:val="99"/>
    <w:semiHidden/>
    <w:rsid w:val="00697F11"/>
    <w:pPr>
      <w:spacing w:after="0" w:line="240" w:lineRule="auto"/>
    </w:pPr>
  </w:style>
  <w:style w:type="paragraph" w:styleId="Zwykytekst">
    <w:name w:val="Plain Text"/>
    <w:basedOn w:val="Normalny"/>
    <w:link w:val="ZwykytekstZnak"/>
    <w:uiPriority w:val="99"/>
    <w:semiHidden/>
    <w:unhideWhenUsed/>
    <w:rsid w:val="00697F11"/>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697F11"/>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1">
    <w:name w:val="heading 1"/>
    <w:basedOn w:val="Normalny"/>
    <w:next w:val="Normalny"/>
    <w:link w:val="Nagwek1Znak"/>
    <w:uiPriority w:val="99"/>
    <w:rsid w:val="00697F11"/>
    <w:pPr>
      <w:keepNext/>
      <w:keepLines/>
      <w:suppressAutoHyphens/>
      <w:spacing w:before="480"/>
      <w:outlineLvl w:val="0"/>
    </w:pPr>
    <w:rPr>
      <w:rFonts w:ascii="Cambria" w:hAnsi="Cambria" w:cs="Times New Roman"/>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697F11"/>
    <w:rPr>
      <w:rFonts w:ascii="Cambria" w:hAnsi="Cambria" w:cs="Times New Roman"/>
      <w:b/>
      <w:bCs/>
      <w:color w:val="365F91"/>
      <w:kern w:val="1"/>
      <w:sz w:val="28"/>
      <w:szCs w:val="28"/>
      <w:lang w:eastAsia="ar-SA"/>
    </w:rPr>
  </w:style>
  <w:style w:type="paragraph" w:customStyle="1" w:styleId="ZLITwPKTzmlitwpktartykuempunktem">
    <w:name w:val="Z/LIT_w_PKT – zm. lit. w pkt artykułem (punktem)"/>
    <w:basedOn w:val="LITlitera"/>
    <w:uiPriority w:val="32"/>
    <w:qFormat/>
    <w:rsid w:val="00697F11"/>
    <w:pPr>
      <w:ind w:left="1497"/>
    </w:pPr>
  </w:style>
  <w:style w:type="paragraph" w:customStyle="1" w:styleId="ZTIRwPKTzmtirwpktartykuempunktem">
    <w:name w:val="Z/TIR_w_PKT – zm. tir. w pkt artykułem (punktem)"/>
    <w:basedOn w:val="TIRtiret"/>
    <w:uiPriority w:val="33"/>
    <w:qFormat/>
    <w:rsid w:val="00697F1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97F11"/>
    <w:pPr>
      <w:ind w:left="1021"/>
    </w:pPr>
  </w:style>
  <w:style w:type="paragraph" w:customStyle="1" w:styleId="2TIRpodwjnytiret">
    <w:name w:val="2TIR – podwójny tiret"/>
    <w:basedOn w:val="TIRtiret"/>
    <w:uiPriority w:val="73"/>
    <w:qFormat/>
    <w:rsid w:val="00697F11"/>
    <w:pPr>
      <w:ind w:left="1780"/>
    </w:pPr>
  </w:style>
  <w:style w:type="character" w:styleId="Odwoanieprzypisudolnego">
    <w:name w:val="footnote reference"/>
    <w:uiPriority w:val="99"/>
    <w:semiHidden/>
    <w:rsid w:val="00697F11"/>
    <w:rPr>
      <w:rFonts w:cs="Times New Roman"/>
      <w:vertAlign w:val="superscript"/>
    </w:rPr>
  </w:style>
  <w:style w:type="paragraph" w:styleId="Nagwek">
    <w:name w:val="header"/>
    <w:basedOn w:val="Normalny"/>
    <w:link w:val="NagwekZnak"/>
    <w:uiPriority w:val="99"/>
    <w:semiHidden/>
    <w:rsid w:val="00697F11"/>
    <w:pPr>
      <w:tabs>
        <w:tab w:val="center" w:pos="4536"/>
        <w:tab w:val="right" w:pos="9072"/>
      </w:tabs>
      <w:suppressAutoHyphens/>
    </w:pPr>
    <w:rPr>
      <w:rFonts w:ascii="Times" w:hAnsi="Times" w:cs="Times New Roman"/>
      <w:kern w:val="1"/>
      <w:szCs w:val="24"/>
      <w:lang w:eastAsia="ar-SA"/>
    </w:rPr>
  </w:style>
  <w:style w:type="character" w:customStyle="1" w:styleId="NagwekZnak">
    <w:name w:val="Nagłówek Znak"/>
    <w:basedOn w:val="Domylnaczcionkaakapitu"/>
    <w:link w:val="Nagwek"/>
    <w:uiPriority w:val="99"/>
    <w:semiHidden/>
    <w:rsid w:val="00697F11"/>
    <w:rPr>
      <w:rFonts w:ascii="Times" w:hAnsi="Times" w:cs="Times New Roman"/>
      <w:kern w:val="1"/>
      <w:szCs w:val="24"/>
      <w:lang w:eastAsia="ar-SA"/>
    </w:rPr>
  </w:style>
  <w:style w:type="paragraph" w:styleId="Stopka">
    <w:name w:val="footer"/>
    <w:basedOn w:val="Normalny"/>
    <w:link w:val="StopkaZnak"/>
    <w:uiPriority w:val="99"/>
    <w:rsid w:val="00697F11"/>
    <w:pPr>
      <w:tabs>
        <w:tab w:val="center" w:pos="4536"/>
        <w:tab w:val="right" w:pos="9072"/>
      </w:tabs>
      <w:suppressAutoHyphens/>
    </w:pPr>
    <w:rPr>
      <w:rFonts w:ascii="Times" w:hAnsi="Times" w:cs="Times New Roman"/>
      <w:kern w:val="1"/>
      <w:szCs w:val="24"/>
      <w:lang w:eastAsia="ar-SA"/>
    </w:rPr>
  </w:style>
  <w:style w:type="character" w:customStyle="1" w:styleId="StopkaZnak">
    <w:name w:val="Stopka Znak"/>
    <w:basedOn w:val="Domylnaczcionkaakapitu"/>
    <w:link w:val="Stopka"/>
    <w:uiPriority w:val="99"/>
    <w:rsid w:val="00697F11"/>
    <w:rPr>
      <w:rFonts w:ascii="Times" w:hAnsi="Times" w:cs="Times New Roman"/>
      <w:kern w:val="1"/>
      <w:szCs w:val="24"/>
      <w:lang w:eastAsia="ar-SA"/>
    </w:rPr>
  </w:style>
  <w:style w:type="paragraph" w:styleId="Tekstdymka">
    <w:name w:val="Balloon Text"/>
    <w:basedOn w:val="Normalny"/>
    <w:link w:val="TekstdymkaZnak"/>
    <w:uiPriority w:val="99"/>
    <w:semiHidden/>
    <w:unhideWhenUsed/>
    <w:rsid w:val="00697F1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697F11"/>
    <w:rPr>
      <w:rFonts w:ascii="Segoe UI" w:hAnsi="Segoe UI" w:cs="Segoe UI"/>
      <w:sz w:val="18"/>
      <w:szCs w:val="18"/>
    </w:rPr>
  </w:style>
  <w:style w:type="paragraph" w:customStyle="1" w:styleId="ARTartustawynprozporzdzenia">
    <w:name w:val="ART(§) – art. ustawy (§ np. rozporządzenia)"/>
    <w:uiPriority w:val="11"/>
    <w:qFormat/>
    <w:rsid w:val="00697F11"/>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97F11"/>
    <w:pPr>
      <w:ind w:left="1497"/>
    </w:pPr>
  </w:style>
  <w:style w:type="paragraph" w:customStyle="1" w:styleId="ZTIRwLITzmtirwlitartykuempunktem">
    <w:name w:val="Z/TIR_w_LIT – zm. tir. w lit. artykułem (punktem)"/>
    <w:basedOn w:val="TIRtiret"/>
    <w:uiPriority w:val="33"/>
    <w:qFormat/>
    <w:rsid w:val="00697F1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97F11"/>
  </w:style>
  <w:style w:type="paragraph" w:styleId="Bezodstpw">
    <w:name w:val="No Spacing"/>
    <w:uiPriority w:val="99"/>
    <w:rsid w:val="00697F11"/>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697F11"/>
    <w:pPr>
      <w:ind w:left="1020"/>
    </w:pPr>
  </w:style>
  <w:style w:type="paragraph" w:customStyle="1" w:styleId="ZARTzmartartykuempunktem">
    <w:name w:val="Z/ART(§) – zm. art. (§) artykułem (punktem)"/>
    <w:basedOn w:val="ARTartustawynprozporzdzenia"/>
    <w:uiPriority w:val="30"/>
    <w:qFormat/>
    <w:rsid w:val="00697F1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97F11"/>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697F11"/>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697F11"/>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97F11"/>
    <w:rPr>
      <w:bCs/>
    </w:rPr>
  </w:style>
  <w:style w:type="paragraph" w:customStyle="1" w:styleId="OZNRODZAKTUtznustawalubrozporzdzenieiorganwydajcy">
    <w:name w:val="OZN_RODZ_AKTU – tzn. ustawa lub rozporządzenie i organ wydający"/>
    <w:next w:val="DATAAKTUdatauchwalenialubwydaniaaktu"/>
    <w:uiPriority w:val="5"/>
    <w:qFormat/>
    <w:rsid w:val="00697F11"/>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5"/>
    <w:qFormat/>
    <w:rsid w:val="00697F11"/>
    <w:pPr>
      <w:spacing w:before="0"/>
    </w:pPr>
    <w:rPr>
      <w:bCs/>
    </w:rPr>
  </w:style>
  <w:style w:type="paragraph" w:customStyle="1" w:styleId="PKTpunkt">
    <w:name w:val="PKT – punkt"/>
    <w:uiPriority w:val="13"/>
    <w:qFormat/>
    <w:rsid w:val="00697F11"/>
    <w:pPr>
      <w:spacing w:after="0" w:line="360" w:lineRule="auto"/>
      <w:ind w:left="510" w:hanging="510"/>
      <w:jc w:val="both"/>
    </w:pPr>
    <w:rPr>
      <w:rFonts w:ascii="Times" w:eastAsia="Times New Roman"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697F11"/>
    <w:pPr>
      <w:ind w:left="0" w:firstLine="0"/>
    </w:pPr>
  </w:style>
  <w:style w:type="paragraph" w:customStyle="1" w:styleId="LITlitera">
    <w:name w:val="LIT – litera"/>
    <w:basedOn w:val="PKTpunkt"/>
    <w:uiPriority w:val="14"/>
    <w:qFormat/>
    <w:rsid w:val="00697F11"/>
    <w:pPr>
      <w:ind w:left="986" w:hanging="476"/>
    </w:pPr>
  </w:style>
  <w:style w:type="paragraph" w:customStyle="1" w:styleId="CZWSPLITczwsplnaliter">
    <w:name w:val="CZ_WSP_LIT – część wspólna liter"/>
    <w:basedOn w:val="LITlitera"/>
    <w:next w:val="USTustnpkodeksu"/>
    <w:uiPriority w:val="17"/>
    <w:qFormat/>
    <w:rsid w:val="00697F11"/>
    <w:pPr>
      <w:ind w:left="510" w:firstLine="0"/>
    </w:pPr>
    <w:rPr>
      <w:szCs w:val="24"/>
    </w:rPr>
  </w:style>
  <w:style w:type="paragraph" w:customStyle="1" w:styleId="TIRtiret">
    <w:name w:val="TIR – tiret"/>
    <w:basedOn w:val="LITlitera"/>
    <w:uiPriority w:val="15"/>
    <w:qFormat/>
    <w:rsid w:val="00697F11"/>
    <w:pPr>
      <w:ind w:left="1384" w:hanging="397"/>
    </w:pPr>
  </w:style>
  <w:style w:type="paragraph" w:customStyle="1" w:styleId="CZWSPTIRczwsplnatiret">
    <w:name w:val="CZ_WSP_TIR – część wspólna tiret"/>
    <w:basedOn w:val="TIRtiret"/>
    <w:next w:val="USTustnpkodeksu"/>
    <w:uiPriority w:val="17"/>
    <w:qFormat/>
    <w:rsid w:val="00697F11"/>
    <w:pPr>
      <w:ind w:left="987" w:firstLine="0"/>
    </w:pPr>
  </w:style>
  <w:style w:type="paragraph" w:customStyle="1" w:styleId="CYTcytatnpprzysigi">
    <w:name w:val="CYT – cytat np. przysięgi"/>
    <w:basedOn w:val="USTustnpkodeksu"/>
    <w:next w:val="USTustnpkodeksu"/>
    <w:uiPriority w:val="18"/>
    <w:qFormat/>
    <w:rsid w:val="00697F1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97F11"/>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zmlitartykuempunktem">
    <w:name w:val="Z/LIT – zm. lit. artykułem (punktem)"/>
    <w:basedOn w:val="LITlitera"/>
    <w:uiPriority w:val="32"/>
    <w:qFormat/>
    <w:rsid w:val="00697F11"/>
  </w:style>
  <w:style w:type="paragraph" w:customStyle="1" w:styleId="ZLITCZWSPTIRwLITzmczciwsptirwlitliter">
    <w:name w:val="Z_LIT/CZ_WSP_TIR_w_LIT – zm. części wsp. tir. w lit. literą"/>
    <w:basedOn w:val="CZWSPTIRczwsplnatiret"/>
    <w:next w:val="LITlitera"/>
    <w:uiPriority w:val="51"/>
    <w:qFormat/>
    <w:rsid w:val="00697F11"/>
    <w:pPr>
      <w:ind w:left="1463"/>
    </w:pPr>
  </w:style>
  <w:style w:type="paragraph" w:customStyle="1" w:styleId="ZLITTIRwLITzmtirwlitliter">
    <w:name w:val="Z_LIT/TIR_w_LIT – zm. tir. w lit. literą"/>
    <w:basedOn w:val="TIRtiret"/>
    <w:uiPriority w:val="49"/>
    <w:qFormat/>
    <w:rsid w:val="00697F11"/>
    <w:pPr>
      <w:ind w:left="1860"/>
    </w:pPr>
  </w:style>
  <w:style w:type="paragraph" w:customStyle="1" w:styleId="TYTDZOZNoznaczenietytuulubdziau">
    <w:name w:val="TYT(DZ)_OZN – oznaczenie tytułu lub działu"/>
    <w:next w:val="Normalny"/>
    <w:uiPriority w:val="9"/>
    <w:qFormat/>
    <w:rsid w:val="00697F11"/>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697F1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97F1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97F11"/>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697F1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97F11"/>
    <w:pPr>
      <w:ind w:left="510"/>
    </w:pPr>
  </w:style>
  <w:style w:type="paragraph" w:customStyle="1" w:styleId="ZZLITzmianazmlit">
    <w:name w:val="ZZ/LIT – zmiana zm. lit."/>
    <w:basedOn w:val="ZZPKTzmianazmpkt"/>
    <w:uiPriority w:val="67"/>
    <w:qFormat/>
    <w:rsid w:val="00697F11"/>
    <w:pPr>
      <w:ind w:left="2370" w:hanging="476"/>
    </w:pPr>
  </w:style>
  <w:style w:type="paragraph" w:customStyle="1" w:styleId="ZZTIRzmianazmtir">
    <w:name w:val="ZZ/TIR – zmiana zm. tir."/>
    <w:basedOn w:val="ZZLITzmianazmlit"/>
    <w:uiPriority w:val="67"/>
    <w:qFormat/>
    <w:rsid w:val="00697F1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97F11"/>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LITUSTzmustliter">
    <w:name w:val="Z_LIT/UST(§) – zm. ust. (§) literą"/>
    <w:basedOn w:val="USTustnpkodeksu"/>
    <w:uiPriority w:val="46"/>
    <w:qFormat/>
    <w:rsid w:val="00697F11"/>
    <w:pPr>
      <w:ind w:left="987"/>
    </w:pPr>
  </w:style>
  <w:style w:type="paragraph" w:customStyle="1" w:styleId="ZLITPKTzmpktliter">
    <w:name w:val="Z_LIT/PKT – zm. pkt literą"/>
    <w:basedOn w:val="PKTpunkt"/>
    <w:uiPriority w:val="47"/>
    <w:qFormat/>
    <w:rsid w:val="00697F11"/>
    <w:pPr>
      <w:ind w:left="1497"/>
    </w:pPr>
  </w:style>
  <w:style w:type="paragraph" w:customStyle="1" w:styleId="ZZCZWSPPKTzmianazmczciwsppkt">
    <w:name w:val="ZZ/CZ_WSP_PKT – zmiana. zm. części wsp. pkt"/>
    <w:basedOn w:val="ZZARTzmianazmart"/>
    <w:next w:val="ZPKTzmpktartykuempunktem"/>
    <w:uiPriority w:val="68"/>
    <w:qFormat/>
    <w:rsid w:val="00697F11"/>
    <w:pPr>
      <w:ind w:firstLine="0"/>
    </w:pPr>
  </w:style>
  <w:style w:type="paragraph" w:customStyle="1" w:styleId="ZLITLITzmlitliter">
    <w:name w:val="Z_LIT/LIT – zm. lit. literą"/>
    <w:basedOn w:val="LITlitera"/>
    <w:uiPriority w:val="48"/>
    <w:qFormat/>
    <w:rsid w:val="00697F11"/>
    <w:pPr>
      <w:ind w:left="1463"/>
    </w:pPr>
  </w:style>
  <w:style w:type="paragraph" w:customStyle="1" w:styleId="ZLITCZWSPPKTzmczciwsppktliter">
    <w:name w:val="Z_LIT/CZ_WSP_PKT – zm. części wsp. pkt literą"/>
    <w:basedOn w:val="CZWSPLITczwsplnaliter"/>
    <w:next w:val="LITlitera"/>
    <w:uiPriority w:val="50"/>
    <w:qFormat/>
    <w:rsid w:val="00697F11"/>
    <w:pPr>
      <w:ind w:left="987"/>
    </w:pPr>
  </w:style>
  <w:style w:type="paragraph" w:customStyle="1" w:styleId="ZLITTIRzmtirliter">
    <w:name w:val="Z_LIT/TIR – zm. tir. literą"/>
    <w:basedOn w:val="TIRtiret"/>
    <w:uiPriority w:val="49"/>
    <w:qFormat/>
    <w:rsid w:val="00697F11"/>
  </w:style>
  <w:style w:type="paragraph" w:customStyle="1" w:styleId="ZZCZWSPLITwPKTzmianazmczciwsplitwpkt">
    <w:name w:val="ZZ/CZ_WSP_LIT_w_PKT – zmiana zm. części wsp. lit. w pkt"/>
    <w:basedOn w:val="ZZLITwPKTzmianazmlitwpkt"/>
    <w:uiPriority w:val="69"/>
    <w:qFormat/>
    <w:rsid w:val="00697F11"/>
    <w:pPr>
      <w:ind w:left="2404" w:firstLine="0"/>
    </w:pPr>
  </w:style>
  <w:style w:type="paragraph" w:customStyle="1" w:styleId="ZLITLITwPKTzmlitwpktliter">
    <w:name w:val="Z_LIT/LIT_w_PKT – zm. lit. w pkt literą"/>
    <w:basedOn w:val="LITlitera"/>
    <w:uiPriority w:val="48"/>
    <w:qFormat/>
    <w:rsid w:val="00697F11"/>
    <w:pPr>
      <w:ind w:left="1973"/>
    </w:pPr>
  </w:style>
  <w:style w:type="paragraph" w:customStyle="1" w:styleId="ZLITCZWSPLITwPKTzmczciwsplitwpktliter">
    <w:name w:val="Z_LIT/CZ_WSP_LIT_w_PKT – zm. części wsp. lit. w pkt literą"/>
    <w:basedOn w:val="CZWSPLITczwsplnaliter"/>
    <w:next w:val="LITlitera"/>
    <w:uiPriority w:val="51"/>
    <w:qFormat/>
    <w:rsid w:val="00697F11"/>
    <w:pPr>
      <w:ind w:left="1497"/>
    </w:pPr>
  </w:style>
  <w:style w:type="paragraph" w:customStyle="1" w:styleId="ZLITTIRwPKTzmtirwpktliter">
    <w:name w:val="Z_LIT/TIR_w_PKT – zm. tir. w pkt literą"/>
    <w:basedOn w:val="TIRtiret"/>
    <w:uiPriority w:val="49"/>
    <w:qFormat/>
    <w:rsid w:val="00697F11"/>
    <w:pPr>
      <w:ind w:left="2370"/>
    </w:pPr>
  </w:style>
  <w:style w:type="paragraph" w:customStyle="1" w:styleId="ZLITCZWSPTIRwPKTzmczciwsptirwpktliter">
    <w:name w:val="Z_LIT/CZ_WSP_TIR_w_PKT – zm. części wsp. tir. w pkt literą"/>
    <w:basedOn w:val="CZWSPTIRczwsplnatiret"/>
    <w:next w:val="LITlitera"/>
    <w:uiPriority w:val="51"/>
    <w:qFormat/>
    <w:rsid w:val="00697F11"/>
    <w:pPr>
      <w:ind w:left="1973"/>
    </w:pPr>
  </w:style>
  <w:style w:type="paragraph" w:styleId="Tekstprzypisudolnego">
    <w:name w:val="footnote text"/>
    <w:basedOn w:val="Normalny"/>
    <w:link w:val="TekstprzypisudolnegoZnak"/>
    <w:uiPriority w:val="99"/>
    <w:semiHidden/>
    <w:qFormat/>
    <w:rsid w:val="00697F11"/>
    <w:rPr>
      <w:rFonts w:ascii="Times" w:hAnsi="Times" w:cs="Times New Roman"/>
      <w:szCs w:val="24"/>
    </w:rPr>
  </w:style>
  <w:style w:type="character" w:customStyle="1" w:styleId="TekstprzypisudolnegoZnak">
    <w:name w:val="Tekst przypisu dolnego Znak"/>
    <w:basedOn w:val="Domylnaczcionkaakapitu"/>
    <w:link w:val="Tekstprzypisudolnego"/>
    <w:uiPriority w:val="99"/>
    <w:semiHidden/>
    <w:rsid w:val="00697F11"/>
    <w:rPr>
      <w:rFonts w:ascii="Times" w:hAnsi="Times" w:cs="Times New Roman"/>
      <w:szCs w:val="24"/>
    </w:rPr>
  </w:style>
  <w:style w:type="paragraph" w:customStyle="1" w:styleId="ZTIRLITzmlittiret">
    <w:name w:val="Z_TIR/LIT – zm. lit. tiret"/>
    <w:basedOn w:val="LITlitera"/>
    <w:uiPriority w:val="57"/>
    <w:qFormat/>
    <w:rsid w:val="00697F11"/>
    <w:pPr>
      <w:ind w:left="1859"/>
    </w:pPr>
  </w:style>
  <w:style w:type="paragraph" w:customStyle="1" w:styleId="ZTIRCZWSPPKTzmczciwsppkttiret">
    <w:name w:val="Z_TIR/CZ_WSP_PKT – zm. części wsp. pkt tiret"/>
    <w:basedOn w:val="CZWSPLITczwsplnaliter"/>
    <w:next w:val="TIRtiret"/>
    <w:uiPriority w:val="58"/>
    <w:qFormat/>
    <w:rsid w:val="00697F11"/>
    <w:pPr>
      <w:ind w:left="1383"/>
    </w:pPr>
  </w:style>
  <w:style w:type="paragraph" w:customStyle="1" w:styleId="ZTIRTIRzmtirtiret">
    <w:name w:val="Z_TIR/TIR – zm. tir. tiret"/>
    <w:basedOn w:val="TIRtiret"/>
    <w:uiPriority w:val="57"/>
    <w:qFormat/>
    <w:rsid w:val="00697F11"/>
    <w:pPr>
      <w:ind w:left="1780"/>
    </w:pPr>
  </w:style>
  <w:style w:type="paragraph" w:customStyle="1" w:styleId="ZZCZWSPTIRwPKTzmianazmczciwsptirwpkt">
    <w:name w:val="ZZ/CZ_WSP_TIR_w_PKT – zmiana zm. części wsp. tir. w pkt"/>
    <w:basedOn w:val="ZZTIRwPKTzmianazmtirwpkt"/>
    <w:uiPriority w:val="70"/>
    <w:qFormat/>
    <w:rsid w:val="00697F11"/>
    <w:pPr>
      <w:ind w:left="2880" w:firstLine="0"/>
    </w:pPr>
  </w:style>
  <w:style w:type="paragraph" w:customStyle="1" w:styleId="ZZTIRwLITzmianazmtirwlit">
    <w:name w:val="ZZ/TIR_w_LIT – zmiana zm. tir. w lit."/>
    <w:basedOn w:val="ZZTIRzmianazmtir"/>
    <w:uiPriority w:val="67"/>
    <w:qFormat/>
    <w:rsid w:val="00697F11"/>
    <w:pPr>
      <w:ind w:left="2767"/>
    </w:pPr>
  </w:style>
  <w:style w:type="paragraph" w:customStyle="1" w:styleId="ZTIRTIRwLITzmtirwlittiret">
    <w:name w:val="Z_TIR/TIR_w_LIT – zm. tir. w lit. tiret"/>
    <w:basedOn w:val="TIRtiret"/>
    <w:uiPriority w:val="57"/>
    <w:qFormat/>
    <w:rsid w:val="00697F11"/>
    <w:pPr>
      <w:ind w:left="2257"/>
    </w:pPr>
  </w:style>
  <w:style w:type="paragraph" w:customStyle="1" w:styleId="ZTIRCZWSPTIRwLITzmczciwsptirwlittiret">
    <w:name w:val="Z_TIR/CZ_WSP_TIR_w_LIT – zm. części wsp. tir. w lit. tiret"/>
    <w:basedOn w:val="CZWSPTIRczwsplnatiret"/>
    <w:next w:val="TIRtiret"/>
    <w:uiPriority w:val="60"/>
    <w:qFormat/>
    <w:rsid w:val="00697F11"/>
    <w:pPr>
      <w:ind w:left="1860"/>
    </w:pPr>
  </w:style>
  <w:style w:type="paragraph" w:customStyle="1" w:styleId="CZWSP2TIRczwsplnapodwjnychtiret">
    <w:name w:val="CZ_WSP_2TIR – część wspólna podwójnych tiret"/>
    <w:basedOn w:val="CZWSPTIRczwsplnatiret"/>
    <w:next w:val="TIRtiret"/>
    <w:uiPriority w:val="73"/>
    <w:qFormat/>
    <w:rsid w:val="00697F11"/>
    <w:pPr>
      <w:ind w:left="1780"/>
    </w:pPr>
  </w:style>
  <w:style w:type="paragraph" w:customStyle="1" w:styleId="Z2TIRzmpodwtirartykuempunktem">
    <w:name w:val="Z/2TIR – zm. podw. tir. artykułem (punktem)"/>
    <w:basedOn w:val="TIRtiret"/>
    <w:uiPriority w:val="73"/>
    <w:qFormat/>
    <w:rsid w:val="00697F11"/>
    <w:pPr>
      <w:ind w:left="907"/>
    </w:pPr>
  </w:style>
  <w:style w:type="paragraph" w:customStyle="1" w:styleId="ZZCZWSPTIRwLITzmianazmczciwsptirwlit">
    <w:name w:val="ZZ/CZ_WSP_TIR_w_LIT – zmiana zm. części wsp. tir. w lit."/>
    <w:basedOn w:val="ZZTIRwLITzmianazmtirwlit"/>
    <w:uiPriority w:val="70"/>
    <w:qFormat/>
    <w:rsid w:val="00697F11"/>
    <w:pPr>
      <w:ind w:left="2370" w:firstLine="0"/>
    </w:pPr>
  </w:style>
  <w:style w:type="paragraph" w:customStyle="1" w:styleId="ZLIT2TIRzmpodwtirliter">
    <w:name w:val="Z_LIT/2TIR – zm. podw. tir. literą"/>
    <w:basedOn w:val="TIRtiret"/>
    <w:uiPriority w:val="75"/>
    <w:qFormat/>
    <w:rsid w:val="00697F11"/>
  </w:style>
  <w:style w:type="paragraph" w:customStyle="1" w:styleId="ZTIR2TIRzmpodwtirtiret">
    <w:name w:val="Z_TIR/2TIR – zm. podw. tir. tiret"/>
    <w:basedOn w:val="TIRtiret"/>
    <w:uiPriority w:val="78"/>
    <w:qFormat/>
    <w:rsid w:val="00697F1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97F11"/>
    <w:pPr>
      <w:ind w:left="1780"/>
    </w:pPr>
  </w:style>
  <w:style w:type="paragraph" w:customStyle="1" w:styleId="Z2TIRwPKTzmpodwtirwpktartykuempunktem">
    <w:name w:val="Z/2TIR_w_PKT – zm. podw. tir. w pkt artykułem (punktem)"/>
    <w:basedOn w:val="TIRtiret"/>
    <w:next w:val="ZPKTzmpktartykuempunktem"/>
    <w:uiPriority w:val="74"/>
    <w:qFormat/>
    <w:rsid w:val="00697F11"/>
    <w:pPr>
      <w:ind w:left="2291"/>
    </w:pPr>
  </w:style>
  <w:style w:type="paragraph" w:customStyle="1" w:styleId="ZTIRPKTzmpkttiret">
    <w:name w:val="Z_TIR/PKT – zm. pkt tiret"/>
    <w:basedOn w:val="PKTpunkt"/>
    <w:uiPriority w:val="56"/>
    <w:qFormat/>
    <w:rsid w:val="00697F11"/>
    <w:pPr>
      <w:ind w:left="1893"/>
    </w:pPr>
  </w:style>
  <w:style w:type="paragraph" w:customStyle="1" w:styleId="ZTIRLITwPKTzmlitwpkttiret">
    <w:name w:val="Z_TIR/LIT_w_PKT – zm. lit. w pkt tiret"/>
    <w:basedOn w:val="LITlitera"/>
    <w:uiPriority w:val="57"/>
    <w:qFormat/>
    <w:rsid w:val="00697F11"/>
    <w:pPr>
      <w:ind w:left="2336"/>
    </w:pPr>
  </w:style>
  <w:style w:type="paragraph" w:customStyle="1" w:styleId="ZTIRCZWSPLITwPKTzmczciwsplitwpkttiret">
    <w:name w:val="Z_TIR/CZ_WSP_LIT_w_PKT – zm. części wsp. lit. w pkt tiret"/>
    <w:basedOn w:val="CZWSPLITczwsplnaliter"/>
    <w:uiPriority w:val="59"/>
    <w:qFormat/>
    <w:rsid w:val="00697F11"/>
    <w:pPr>
      <w:ind w:left="1860"/>
    </w:pPr>
  </w:style>
  <w:style w:type="paragraph" w:customStyle="1" w:styleId="ZTIR2TIRwLITzmpodwtirwlittiret">
    <w:name w:val="Z_TIR/2TIR_w_LIT – zm. podw. tir. w lit. tiret"/>
    <w:basedOn w:val="TIRtiret"/>
    <w:uiPriority w:val="79"/>
    <w:qFormat/>
    <w:rsid w:val="00697F1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97F11"/>
    <w:pPr>
      <w:ind w:left="2257"/>
    </w:pPr>
  </w:style>
  <w:style w:type="paragraph" w:customStyle="1" w:styleId="ZTIR2TIRwTIRzmpodwtirwtirtiret">
    <w:name w:val="Z_TIR/2TIR_w_TIR – zm. podw. tir. w tir. tiret"/>
    <w:basedOn w:val="TIRtiret"/>
    <w:uiPriority w:val="78"/>
    <w:qFormat/>
    <w:rsid w:val="00697F11"/>
    <w:pPr>
      <w:ind w:left="2177"/>
    </w:pPr>
  </w:style>
  <w:style w:type="paragraph" w:customStyle="1" w:styleId="ZTIRCZWSP2TIRwTIRzmczciwsppodwtirwtirtiret">
    <w:name w:val="Z_TIR/CZ_WSP_2TIR_w_TIR – zm. części wsp. podw. tir. w tir. tiret"/>
    <w:basedOn w:val="CZWSPTIRczwsplnatiret"/>
    <w:uiPriority w:val="79"/>
    <w:qFormat/>
    <w:rsid w:val="00697F11"/>
    <w:pPr>
      <w:ind w:left="1780"/>
    </w:pPr>
  </w:style>
  <w:style w:type="paragraph" w:customStyle="1" w:styleId="Z2TIRLITzmlitpodwjnymtiret">
    <w:name w:val="Z_2TIR/LIT – zm. lit. podwójnym tiret"/>
    <w:basedOn w:val="LITlitera"/>
    <w:uiPriority w:val="84"/>
    <w:qFormat/>
    <w:rsid w:val="00697F11"/>
    <w:pPr>
      <w:ind w:left="2256"/>
    </w:pPr>
  </w:style>
  <w:style w:type="paragraph" w:customStyle="1" w:styleId="ZZ2TIRwTIRzmianazmpodwtirwtir">
    <w:name w:val="ZZ/2TIR_w_TIR – zmiana zm. podw. tir. w tir."/>
    <w:basedOn w:val="ZZCZWSP2TIRzmianazmczciwsppodwtir"/>
    <w:uiPriority w:val="93"/>
    <w:qFormat/>
    <w:rsid w:val="00697F11"/>
    <w:pPr>
      <w:ind w:left="2688" w:hanging="397"/>
    </w:pPr>
  </w:style>
  <w:style w:type="paragraph" w:customStyle="1" w:styleId="ZZ2TIRwLITzmianazmpodwtirwlit">
    <w:name w:val="ZZ/2TIR_w_LIT – zmiana zm. podw. tir. w lit."/>
    <w:basedOn w:val="ZZ2TIRwTIRzmianazmpodwtirwtir"/>
    <w:uiPriority w:val="94"/>
    <w:qFormat/>
    <w:rsid w:val="00697F11"/>
    <w:pPr>
      <w:ind w:left="3164"/>
    </w:pPr>
  </w:style>
  <w:style w:type="paragraph" w:customStyle="1" w:styleId="Z2TIRTIRwLITzmtirwlitpodwjnymtiret">
    <w:name w:val="Z_2TIR/TIR_w_LIT – zm. tir. w lit. podwójnym tiret"/>
    <w:basedOn w:val="TIRtiret"/>
    <w:uiPriority w:val="84"/>
    <w:qFormat/>
    <w:rsid w:val="00697F1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97F11"/>
    <w:pPr>
      <w:ind w:left="2257"/>
    </w:pPr>
  </w:style>
  <w:style w:type="paragraph" w:customStyle="1" w:styleId="ZZ2TIRwPKTzmianazmpodwtirwpkt">
    <w:name w:val="ZZ/2TIR_w_PKT – zmiana zm. podw. tir. w pkt"/>
    <w:basedOn w:val="ZZ2TIRwLITzmianazmpodwtirwlit"/>
    <w:uiPriority w:val="94"/>
    <w:qFormat/>
    <w:rsid w:val="00697F11"/>
    <w:pPr>
      <w:ind w:left="3674"/>
    </w:pPr>
  </w:style>
  <w:style w:type="paragraph" w:customStyle="1" w:styleId="ZZCZWSP2TIRwTIRzmianazmczciwsppodwtirwtir">
    <w:name w:val="ZZ/CZ_WSP_2TIR_w_TIR – zmiana zm. części wsp. podw. tir. w tir."/>
    <w:basedOn w:val="ZZ2TIRwLITzmianazmpodwtirwlit"/>
    <w:uiPriority w:val="94"/>
    <w:qFormat/>
    <w:rsid w:val="00697F11"/>
    <w:pPr>
      <w:ind w:left="2291" w:firstLine="0"/>
    </w:pPr>
  </w:style>
  <w:style w:type="paragraph" w:customStyle="1" w:styleId="Z2TIR2TIRwTIRzmpodwtirwtirpodwjnymtiret">
    <w:name w:val="Z_2TIR/2TIR_w_TIR – zm. podw. tir. w tir. podwójnym tiret"/>
    <w:basedOn w:val="TIRtiret"/>
    <w:uiPriority w:val="85"/>
    <w:qFormat/>
    <w:rsid w:val="00697F1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97F11"/>
    <w:pPr>
      <w:ind w:left="2177"/>
    </w:pPr>
  </w:style>
  <w:style w:type="paragraph" w:customStyle="1" w:styleId="Z2TIR2TIRwLITzmpodwtirwlitpodwjnymtiret">
    <w:name w:val="Z_2TIR/2TIR_w_LIT – zm. podw. tir. w lit. podwójnym tiret"/>
    <w:basedOn w:val="TIRtiret"/>
    <w:uiPriority w:val="86"/>
    <w:qFormat/>
    <w:rsid w:val="00697F1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97F1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97F1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697F11"/>
    <w:pPr>
      <w:spacing w:after="120"/>
      <w:ind w:left="510"/>
    </w:pPr>
    <w:rPr>
      <w:b w:val="0"/>
    </w:rPr>
  </w:style>
  <w:style w:type="character" w:styleId="Odwoaniedokomentarza">
    <w:name w:val="annotation reference"/>
    <w:basedOn w:val="Domylnaczcionkaakapitu"/>
    <w:uiPriority w:val="99"/>
    <w:semiHidden/>
    <w:unhideWhenUsed/>
    <w:rsid w:val="00697F11"/>
    <w:rPr>
      <w:sz w:val="16"/>
      <w:szCs w:val="16"/>
    </w:rPr>
  </w:style>
  <w:style w:type="paragraph" w:styleId="Tekstkomentarza">
    <w:name w:val="annotation text"/>
    <w:basedOn w:val="Normalny"/>
    <w:link w:val="TekstkomentarzaZnak"/>
    <w:uiPriority w:val="99"/>
    <w:semiHidden/>
    <w:unhideWhenUsed/>
    <w:rsid w:val="00697F11"/>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97F11"/>
    <w:rPr>
      <w:sz w:val="20"/>
      <w:szCs w:val="20"/>
    </w:rPr>
  </w:style>
  <w:style w:type="paragraph" w:styleId="Tematkomentarza">
    <w:name w:val="annotation subject"/>
    <w:basedOn w:val="Tekstkomentarza"/>
    <w:next w:val="Tekstkomentarza"/>
    <w:link w:val="TematkomentarzaZnak"/>
    <w:uiPriority w:val="99"/>
    <w:semiHidden/>
    <w:unhideWhenUsed/>
    <w:rsid w:val="00697F11"/>
    <w:rPr>
      <w:b/>
      <w:bCs/>
    </w:rPr>
  </w:style>
  <w:style w:type="character" w:customStyle="1" w:styleId="TematkomentarzaZnak">
    <w:name w:val="Temat komentarza Znak"/>
    <w:basedOn w:val="TekstkomentarzaZnak"/>
    <w:link w:val="Tematkomentarza"/>
    <w:uiPriority w:val="99"/>
    <w:semiHidden/>
    <w:rsid w:val="00697F11"/>
    <w:rPr>
      <w:b/>
      <w:bCs/>
      <w:sz w:val="20"/>
      <w:szCs w:val="20"/>
    </w:rPr>
  </w:style>
  <w:style w:type="paragraph" w:customStyle="1" w:styleId="ZZARTzmianazmart">
    <w:name w:val="ZZ/ART(§) – zmiana zm. art. (§)"/>
    <w:basedOn w:val="ZARTzmartartykuempunktem"/>
    <w:uiPriority w:val="65"/>
    <w:qFormat/>
    <w:rsid w:val="00697F11"/>
    <w:pPr>
      <w:ind w:left="1894"/>
    </w:pPr>
  </w:style>
  <w:style w:type="paragraph" w:customStyle="1" w:styleId="ZZPKTzmianazmpkt">
    <w:name w:val="ZZ/PKT – zmiana zm. pkt"/>
    <w:basedOn w:val="ZPKTzmpktartykuempunktem"/>
    <w:uiPriority w:val="66"/>
    <w:qFormat/>
    <w:rsid w:val="00697F11"/>
    <w:pPr>
      <w:ind w:left="2404"/>
    </w:pPr>
  </w:style>
  <w:style w:type="paragraph" w:customStyle="1" w:styleId="ZZLITwPKTzmianazmlitwpkt">
    <w:name w:val="ZZ/LIT_w_PKT – zmiana zm. lit. w pkt"/>
    <w:basedOn w:val="ZLITwPKTzmlitwpktartykuempunktem"/>
    <w:uiPriority w:val="67"/>
    <w:qFormat/>
    <w:rsid w:val="00697F11"/>
    <w:pPr>
      <w:ind w:left="2880"/>
    </w:pPr>
  </w:style>
  <w:style w:type="paragraph" w:customStyle="1" w:styleId="ZZTIRwPKTzmianazmtirwpkt">
    <w:name w:val="ZZ/TIR_w_PKT – zmiana zm. tir. w pkt"/>
    <w:basedOn w:val="ZTIRwPKTzmtirwpktartykuempunktem"/>
    <w:uiPriority w:val="67"/>
    <w:qFormat/>
    <w:rsid w:val="00697F11"/>
    <w:pPr>
      <w:ind w:left="3277"/>
    </w:pPr>
  </w:style>
  <w:style w:type="paragraph" w:customStyle="1" w:styleId="ZZWMATFIZCHEMzmwzorumatfizlubchem">
    <w:name w:val="ZZ/W_MAT(FIZ|CHEM) – zm. wzoru mat. (fiz. lub chem.)"/>
    <w:basedOn w:val="ZWMATFIZCHEMzmwzorumatfizlubchemartykuempunktem"/>
    <w:uiPriority w:val="71"/>
    <w:qFormat/>
    <w:rsid w:val="00697F11"/>
    <w:pPr>
      <w:ind w:left="2404"/>
    </w:pPr>
  </w:style>
  <w:style w:type="paragraph" w:customStyle="1" w:styleId="ODNONIKtreodnonika">
    <w:name w:val="ODNOŚNIK – treść odnośnika"/>
    <w:uiPriority w:val="19"/>
    <w:qFormat/>
    <w:rsid w:val="00697F11"/>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697F1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97F1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97F11"/>
    <w:rPr>
      <w:rFonts w:ascii="Times New Roman" w:hAnsi="Times New Roman"/>
    </w:rPr>
  </w:style>
  <w:style w:type="paragraph" w:customStyle="1" w:styleId="ZTIRTIRwPKTzmtirwpkttiret">
    <w:name w:val="Z_TIR/TIR_w_PKT – zm. tir. w pkt tiret"/>
    <w:basedOn w:val="ZTIRTIRwLITzmtirwlittiret"/>
    <w:uiPriority w:val="57"/>
    <w:qFormat/>
    <w:rsid w:val="00697F11"/>
    <w:pPr>
      <w:ind w:left="2733"/>
    </w:pPr>
  </w:style>
  <w:style w:type="paragraph" w:customStyle="1" w:styleId="ZTIRCZWSPTIRwPKTzmczciwsptirtiret">
    <w:name w:val="Z_TIR/CZ_WSP_TIR_w_PKT – zm. części wsp. tir. tiret"/>
    <w:basedOn w:val="ZTIRTIRwPKTzmtirwpkttiret"/>
    <w:next w:val="TIRtiret"/>
    <w:uiPriority w:val="60"/>
    <w:qFormat/>
    <w:rsid w:val="00697F1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97F11"/>
    <w:pPr>
      <w:ind w:left="510" w:firstLine="0"/>
    </w:pPr>
  </w:style>
  <w:style w:type="paragraph" w:customStyle="1" w:styleId="ROZDZODDZOZNoznaczenierozdziauluboddziau">
    <w:name w:val="ROZDZ(ODDZ)_OZN – oznaczenie rozdziału lub oddziału"/>
    <w:next w:val="ARTartustawynprozporzdzenia"/>
    <w:uiPriority w:val="10"/>
    <w:qFormat/>
    <w:rsid w:val="00697F11"/>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697F11"/>
    <w:pPr>
      <w:ind w:left="2177"/>
    </w:pPr>
  </w:style>
  <w:style w:type="paragraph" w:customStyle="1" w:styleId="Z2TIRTIRzmtirpodwjnymtiret">
    <w:name w:val="Z_2TIR/TIR – zm. tir. podwójnym tiret"/>
    <w:basedOn w:val="TIRtiret"/>
    <w:uiPriority w:val="84"/>
    <w:qFormat/>
    <w:rsid w:val="00697F1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97F11"/>
    <w:pPr>
      <w:ind w:left="1021"/>
    </w:pPr>
  </w:style>
  <w:style w:type="paragraph" w:customStyle="1" w:styleId="ZLITSKARNzmsankcjikarnejliter">
    <w:name w:val="Z_LIT/S_KARN – zm. sankcji karnej literą"/>
    <w:basedOn w:val="ZSKARNzmsankcjikarnejwszczeglnociwKodeksiekarnym"/>
    <w:uiPriority w:val="53"/>
    <w:qFormat/>
    <w:rsid w:val="00697F1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97F1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97F11"/>
    <w:pPr>
      <w:ind w:left="1894" w:firstLine="0"/>
    </w:pPr>
  </w:style>
  <w:style w:type="paragraph" w:customStyle="1" w:styleId="Z2TIRwLITzmpodwtirwlitartykuempunktem">
    <w:name w:val="Z/2TIR_w_LIT – zm. podw. tir. w lit. artykułem (punktem)"/>
    <w:basedOn w:val="Z2TIRwPKTzmpodwtirwpktartykuempunktem"/>
    <w:uiPriority w:val="74"/>
    <w:qFormat/>
    <w:rsid w:val="00697F11"/>
    <w:pPr>
      <w:ind w:left="1780"/>
    </w:pPr>
  </w:style>
  <w:style w:type="paragraph" w:customStyle="1" w:styleId="Z2TIRwTIRzmpodwtirwtirartykuempunktem">
    <w:name w:val="Z/2TIR_w_TIR – zm. podw. tir. w tir. artykułem (punktem)"/>
    <w:basedOn w:val="Z2TIRwLITzmpodwtirwlitartykuempunktem"/>
    <w:uiPriority w:val="73"/>
    <w:qFormat/>
    <w:rsid w:val="00697F1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97F1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97F11"/>
    <w:pPr>
      <w:ind w:left="1383" w:firstLine="0"/>
    </w:pPr>
  </w:style>
  <w:style w:type="paragraph" w:customStyle="1" w:styleId="ZZCZWSP2TIRzmianazmczciwsppodwtir">
    <w:name w:val="ZZ/CZ_WSP_2TIR – zmiana zm. części wsp. podw. tir."/>
    <w:basedOn w:val="ZZTIRzmianazmtir"/>
    <w:next w:val="ZZUSTzmianazmust"/>
    <w:uiPriority w:val="94"/>
    <w:qFormat/>
    <w:rsid w:val="00697F11"/>
    <w:pPr>
      <w:ind w:left="1894" w:firstLine="0"/>
    </w:pPr>
  </w:style>
  <w:style w:type="paragraph" w:customStyle="1" w:styleId="PKTODNONIKApunktodnonika">
    <w:name w:val="PKT_ODNOŚNIKA – punkt odnośnika"/>
    <w:basedOn w:val="ODNONIKtreodnonika"/>
    <w:uiPriority w:val="19"/>
    <w:qFormat/>
    <w:rsid w:val="00697F11"/>
    <w:pPr>
      <w:ind w:left="568"/>
    </w:pPr>
  </w:style>
  <w:style w:type="paragraph" w:customStyle="1" w:styleId="ZODNONIKAzmtekstuodnonikaartykuempunktem">
    <w:name w:val="Z/ODNOŚNIKA – zm. tekstu odnośnika artykułem (punktem)"/>
    <w:basedOn w:val="ODNONIKtreodnonika"/>
    <w:uiPriority w:val="39"/>
    <w:qFormat/>
    <w:rsid w:val="00697F1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97F11"/>
    <w:pPr>
      <w:ind w:left="1304"/>
    </w:pPr>
  </w:style>
  <w:style w:type="paragraph" w:customStyle="1" w:styleId="ZPKTODNONIKAzmpktodnonikaartykuempunktem">
    <w:name w:val="Z/PKT_ODNOŚNIKA – zm. pkt odnośnika artykułem (punktem)"/>
    <w:basedOn w:val="ZODNONIKAzmtekstuodnonikaartykuempunktem"/>
    <w:uiPriority w:val="39"/>
    <w:qFormat/>
    <w:rsid w:val="00697F11"/>
  </w:style>
  <w:style w:type="paragraph" w:customStyle="1" w:styleId="ZLIT2TIRwTIRzmpodwtirwtirliter">
    <w:name w:val="Z_LIT/2TIR_w_TIR – zm. podw. tir. w tir. literą"/>
    <w:basedOn w:val="ZLIT2TIRzmpodwtirliter"/>
    <w:uiPriority w:val="75"/>
    <w:qFormat/>
    <w:rsid w:val="00697F11"/>
    <w:pPr>
      <w:ind w:left="1780"/>
    </w:pPr>
  </w:style>
  <w:style w:type="paragraph" w:customStyle="1" w:styleId="ZLIT2TIRwLITzmpodwtirwlitliter">
    <w:name w:val="Z_LIT/2TIR_w_LIT – zm. podw. tir. w lit. literą"/>
    <w:basedOn w:val="ZLIT2TIRwTIRzmpodwtirwtirliter"/>
    <w:uiPriority w:val="76"/>
    <w:qFormat/>
    <w:rsid w:val="00697F11"/>
    <w:pPr>
      <w:ind w:left="2257"/>
    </w:pPr>
  </w:style>
  <w:style w:type="paragraph" w:customStyle="1" w:styleId="ZLIT2TIRwPKTzmpodwtirwpktliter">
    <w:name w:val="Z_LIT/2TIR_w_PKT – zm. podw. tir. w pkt literą"/>
    <w:basedOn w:val="ZLIT2TIRwLITzmpodwtirwlitliter"/>
    <w:uiPriority w:val="76"/>
    <w:qFormat/>
    <w:rsid w:val="00697F1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97F1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97F1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97F11"/>
    <w:pPr>
      <w:ind w:left="2370" w:firstLine="0"/>
    </w:pPr>
  </w:style>
  <w:style w:type="paragraph" w:customStyle="1" w:styleId="ZTIR2TIRwPKTzmpodwtirwpkttiret">
    <w:name w:val="Z_TIR/2TIR_w_PKT – zm. podw. tir. w pkt tiret"/>
    <w:basedOn w:val="ZTIR2TIRwLITzmpodwtirwlittiret"/>
    <w:uiPriority w:val="79"/>
    <w:qFormat/>
    <w:rsid w:val="00697F1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97F1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97F11"/>
    <w:pPr>
      <w:ind w:left="2767"/>
    </w:pPr>
  </w:style>
  <w:style w:type="paragraph" w:customStyle="1" w:styleId="ZZCZWSP2TIRwPKTzmianazmczciwsppodwtirwpkt">
    <w:name w:val="ZZ/CZ_WSP_2TIR_w_PKT – zmiana zm. części wsp. podw. tir. w pkt"/>
    <w:basedOn w:val="ZZ2TIRwLITzmianazmpodwtirwlit"/>
    <w:uiPriority w:val="95"/>
    <w:qFormat/>
    <w:rsid w:val="00697F1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97F11"/>
  </w:style>
  <w:style w:type="paragraph" w:customStyle="1" w:styleId="ZLITCZWSP2TIRzmczciwsppodwtirliter">
    <w:name w:val="Z_LIT/CZ_WSP_2TIR – zm. części wsp. podw. tir. literą"/>
    <w:basedOn w:val="ZLITCZWSPPKTzmczciwsppktliter"/>
    <w:next w:val="LITlitera"/>
    <w:uiPriority w:val="76"/>
    <w:qFormat/>
    <w:rsid w:val="00697F11"/>
  </w:style>
  <w:style w:type="paragraph" w:customStyle="1" w:styleId="ZTIRCZWSP2TIRzmczciwsppodwtirtiret">
    <w:name w:val="Z_TIR/CZ_WSP_2TIR – zm. części wsp. podw. tir. tiret"/>
    <w:basedOn w:val="ZLITCZWSP2TIRzmczciwsppodwtirliter"/>
    <w:next w:val="TIRtiret"/>
    <w:uiPriority w:val="79"/>
    <w:qFormat/>
    <w:rsid w:val="00697F11"/>
  </w:style>
  <w:style w:type="paragraph" w:customStyle="1" w:styleId="ZZ2TIRzmianazmpodwtir">
    <w:name w:val="ZZ/2TIR – zmiana zm. podw. tir."/>
    <w:basedOn w:val="ZZCZWSP2TIRzmianazmczciwsppodwtir"/>
    <w:uiPriority w:val="93"/>
    <w:qFormat/>
    <w:rsid w:val="00697F1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97F11"/>
  </w:style>
  <w:style w:type="paragraph" w:customStyle="1" w:styleId="ZCZWSPTIRzmczciwsptirartykuempunktem">
    <w:name w:val="Z/CZ_WSP_TIR – zm. części wsp. tir. artykułem (punktem)"/>
    <w:basedOn w:val="ZCZWSPPKTzmczciwsppktartykuempunktem"/>
    <w:next w:val="PKTpunkt"/>
    <w:uiPriority w:val="35"/>
    <w:qFormat/>
    <w:rsid w:val="00697F11"/>
  </w:style>
  <w:style w:type="paragraph" w:customStyle="1" w:styleId="ZLITCZWSPLITzmczciwsplitliter">
    <w:name w:val="Z_LIT/CZ_WSP_LIT – zm. części wsp. lit. literą"/>
    <w:basedOn w:val="ZLITCZWSPPKTzmczciwsppktliter"/>
    <w:next w:val="LITlitera"/>
    <w:uiPriority w:val="51"/>
    <w:qFormat/>
    <w:rsid w:val="00697F11"/>
  </w:style>
  <w:style w:type="paragraph" w:customStyle="1" w:styleId="ZLITCZWSPTIRzmczciwsptirliter">
    <w:name w:val="Z_LIT/CZ_WSP_TIR – zm. części wsp. tir. literą"/>
    <w:basedOn w:val="ZLITCZWSPPKTzmczciwsppktliter"/>
    <w:next w:val="LITlitera"/>
    <w:uiPriority w:val="51"/>
    <w:qFormat/>
    <w:rsid w:val="00697F11"/>
  </w:style>
  <w:style w:type="paragraph" w:customStyle="1" w:styleId="ZTIRCZWSPLITzmczciwsplittiret">
    <w:name w:val="Z_TIR/CZ_WSP_LIT – zm. części wsp. lit. tiret"/>
    <w:basedOn w:val="ZTIRCZWSPPKTzmczciwsppkttiret"/>
    <w:next w:val="TIRtiret"/>
    <w:uiPriority w:val="59"/>
    <w:qFormat/>
    <w:rsid w:val="00697F11"/>
  </w:style>
  <w:style w:type="paragraph" w:customStyle="1" w:styleId="ZTIRCZWSPTIRzmczciwsptirtiret">
    <w:name w:val="Z_TIR/CZ_WSP_TIR – zm. części wsp. tir. tiret"/>
    <w:basedOn w:val="ZTIRCZWSPPKTzmczciwsppkttiret"/>
    <w:next w:val="TIRtiret"/>
    <w:uiPriority w:val="60"/>
    <w:qFormat/>
    <w:rsid w:val="00697F11"/>
  </w:style>
  <w:style w:type="paragraph" w:customStyle="1" w:styleId="ZZCZWSPLITzmianazmczciwsplit">
    <w:name w:val="ZZ/CZ_WSP_LIT – zmiana. zm. części wsp. lit."/>
    <w:basedOn w:val="ZZCZWSPPKTzmianazmczciwsppkt"/>
    <w:uiPriority w:val="69"/>
    <w:qFormat/>
    <w:rsid w:val="00697F11"/>
  </w:style>
  <w:style w:type="paragraph" w:customStyle="1" w:styleId="ZZCZWSPTIRzmianazmczciwsptir">
    <w:name w:val="ZZ/CZ_WSP_TIR – zmiana. zm. części wsp. tir."/>
    <w:basedOn w:val="ZZCZWSPPKTzmianazmczciwsppkt"/>
    <w:uiPriority w:val="69"/>
    <w:qFormat/>
    <w:rsid w:val="00697F11"/>
  </w:style>
  <w:style w:type="paragraph" w:customStyle="1" w:styleId="Z2TIRCZWSPTIRzmczciwsptirpodwjnymtiret">
    <w:name w:val="Z_2TIR/CZ_WSP_TIR – zm. części wsp. tir. podwójnym tiret"/>
    <w:basedOn w:val="Z2TIRCZWSPLITzmczciwsplitpodwjnymtiret"/>
    <w:next w:val="2TIRpodwjnytiret"/>
    <w:uiPriority w:val="87"/>
    <w:qFormat/>
    <w:rsid w:val="00697F1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97F11"/>
  </w:style>
  <w:style w:type="paragraph" w:customStyle="1" w:styleId="ZUSTzmustartykuempunktem">
    <w:name w:val="Z/UST(§) – zm. ust. (§) artykułem (punktem)"/>
    <w:basedOn w:val="ZARTzmartartykuempunktem"/>
    <w:uiPriority w:val="30"/>
    <w:qFormat/>
    <w:rsid w:val="00697F11"/>
  </w:style>
  <w:style w:type="paragraph" w:customStyle="1" w:styleId="ZZUSTzmianazmust">
    <w:name w:val="ZZ/UST(§) – zmiana zm. ust. (§)"/>
    <w:basedOn w:val="ZZARTzmianazmart"/>
    <w:uiPriority w:val="65"/>
    <w:qFormat/>
    <w:rsid w:val="00697F11"/>
  </w:style>
  <w:style w:type="paragraph" w:customStyle="1" w:styleId="TYTDZPRZEDMprzedmiotregulacjitytuulubdziau">
    <w:name w:val="TYT(DZ)_PRZEDM – przedmiot regulacji tytułu lub działu"/>
    <w:next w:val="ARTartustawynprozporzdzenia"/>
    <w:uiPriority w:val="9"/>
    <w:qFormat/>
    <w:rsid w:val="00697F11"/>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697F1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97F1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97F1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97F1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97F1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97F11"/>
    <w:pPr>
      <w:ind w:left="1894"/>
    </w:pPr>
  </w:style>
  <w:style w:type="paragraph" w:customStyle="1" w:styleId="P1wTABELIpoziom1numeracjiwtabeli">
    <w:name w:val="P1_w_TABELI – poziom 1 numeracji w tabeli"/>
    <w:basedOn w:val="PKTpunkt"/>
    <w:uiPriority w:val="24"/>
    <w:qFormat/>
    <w:rsid w:val="00697F1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97F11"/>
    <w:pPr>
      <w:ind w:left="0" w:firstLine="0"/>
    </w:pPr>
  </w:style>
  <w:style w:type="paragraph" w:customStyle="1" w:styleId="P2wTABELIpoziom2numeracjiwtabeli">
    <w:name w:val="P2_w_TABELI – poziom 2 numeracji w tabeli"/>
    <w:basedOn w:val="P1wTABELIpoziom1numeracjiwtabeli"/>
    <w:uiPriority w:val="24"/>
    <w:qFormat/>
    <w:rsid w:val="00697F11"/>
    <w:pPr>
      <w:ind w:left="794"/>
    </w:pPr>
  </w:style>
  <w:style w:type="paragraph" w:customStyle="1" w:styleId="P3wTABELIpoziom3numeracjiwtabeli">
    <w:name w:val="P3_w_TABELI – poziom 3 numeracji w tabeli"/>
    <w:basedOn w:val="P2wTABELIpoziom2numeracjiwtabeli"/>
    <w:uiPriority w:val="24"/>
    <w:qFormat/>
    <w:rsid w:val="00697F1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97F1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97F1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97F11"/>
    <w:pPr>
      <w:ind w:left="1191"/>
    </w:pPr>
  </w:style>
  <w:style w:type="paragraph" w:customStyle="1" w:styleId="P4wTABELIpoziom4numeracjiwtabeli">
    <w:name w:val="P4_w_TABELI – poziom 4 numeracji w tabeli"/>
    <w:basedOn w:val="P3wTABELIpoziom3numeracjiwtabeli"/>
    <w:uiPriority w:val="24"/>
    <w:qFormat/>
    <w:rsid w:val="00697F11"/>
    <w:pPr>
      <w:ind w:left="1588"/>
    </w:pPr>
  </w:style>
  <w:style w:type="paragraph" w:customStyle="1" w:styleId="TYTTABELItytutabeli">
    <w:name w:val="TYT_TABELI – tytuł tabeli"/>
    <w:basedOn w:val="TYTDZOZNoznaczenietytuulubdziau"/>
    <w:uiPriority w:val="22"/>
    <w:qFormat/>
    <w:rsid w:val="00697F11"/>
    <w:rPr>
      <w:b/>
    </w:rPr>
  </w:style>
  <w:style w:type="paragraph" w:customStyle="1" w:styleId="OZNPROJEKTUwskazaniedatylubwersjiprojektu">
    <w:name w:val="OZN_PROJEKTU – wskazanie daty lub wersji projektu"/>
    <w:next w:val="OZNRODZAKTUtznustawalubrozporzdzenieiorganwydajcy"/>
    <w:uiPriority w:val="5"/>
    <w:qFormat/>
    <w:rsid w:val="00697F11"/>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697F1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97F11"/>
    <w:pPr>
      <w:ind w:left="0" w:right="4820"/>
      <w:jc w:val="left"/>
    </w:pPr>
  </w:style>
  <w:style w:type="paragraph" w:customStyle="1" w:styleId="TEKSTwporozumieniu">
    <w:name w:val="TEKST&quot;w porozumieniu:&quot;"/>
    <w:next w:val="NAZORGWPOROZUMIENIUnazwaorganuwporozumieniuzktrymaktjestwydawany"/>
    <w:uiPriority w:val="27"/>
    <w:qFormat/>
    <w:rsid w:val="00697F11"/>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697F1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97F11"/>
    <w:pPr>
      <w:ind w:left="510" w:firstLine="0"/>
    </w:pPr>
  </w:style>
  <w:style w:type="paragraph" w:customStyle="1" w:styleId="NOTATKILEGISLATORA">
    <w:name w:val="NOTATKI_LEGISLATORA"/>
    <w:basedOn w:val="Normalny"/>
    <w:uiPriority w:val="5"/>
    <w:qFormat/>
    <w:rsid w:val="00697F11"/>
    <w:rPr>
      <w:b/>
      <w:i/>
    </w:rPr>
  </w:style>
  <w:style w:type="paragraph" w:customStyle="1" w:styleId="OZNZACZNIKAwskazanienrzacznika">
    <w:name w:val="OZN_ZAŁĄCZNIKA – wskazanie nr załącznika"/>
    <w:basedOn w:val="OZNPROJEKTUwskazaniedatylubwersjiprojektu"/>
    <w:uiPriority w:val="28"/>
    <w:qFormat/>
    <w:rsid w:val="00697F11"/>
    <w:pPr>
      <w:keepNext/>
    </w:pPr>
    <w:rPr>
      <w:b/>
      <w:u w:val="none"/>
    </w:rPr>
  </w:style>
  <w:style w:type="paragraph" w:customStyle="1" w:styleId="OZNPARAFYADNOTACJE">
    <w:name w:val="OZN_PARAFY(ADNOTACJE)"/>
    <w:basedOn w:val="ODNONIKtreodnonika"/>
    <w:uiPriority w:val="26"/>
    <w:qFormat/>
    <w:rsid w:val="00697F11"/>
  </w:style>
  <w:style w:type="paragraph" w:customStyle="1" w:styleId="TEKSTZacznikido">
    <w:name w:val="TEKST&quot;Załącznik(i) do ...&quot;"/>
    <w:uiPriority w:val="28"/>
    <w:qFormat/>
    <w:rsid w:val="00697F11"/>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697F11"/>
    <w:pPr>
      <w:ind w:left="851"/>
    </w:pPr>
  </w:style>
  <w:style w:type="paragraph" w:customStyle="1" w:styleId="CZWSPLITODNONIKAczwspliterodnonika">
    <w:name w:val="CZ_WSP_LIT_ODNOŚNIKA – część wsp. liter odnośnika"/>
    <w:basedOn w:val="LITODNONIKAliteraodnonika"/>
    <w:uiPriority w:val="22"/>
    <w:qFormat/>
    <w:rsid w:val="00697F11"/>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97F1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97F1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97F11"/>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697F11"/>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97F11"/>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97F1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97F11"/>
  </w:style>
  <w:style w:type="paragraph" w:customStyle="1" w:styleId="ZLITwPKTODNONIKAzmlitwpktodnonikaartykuempunktem">
    <w:name w:val="Z/LIT_w_PKT_ODNOŚNIKA – zm. lit. w pkt odnośnika artykułem (punktem)"/>
    <w:basedOn w:val="ZLITODNONIKAzmlitodnonikaartykuempunktem"/>
    <w:uiPriority w:val="40"/>
    <w:qFormat/>
    <w:rsid w:val="00697F1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97F1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97F1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97F1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97F1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97F1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97F11"/>
  </w:style>
  <w:style w:type="paragraph" w:customStyle="1" w:styleId="ZZFRAGzmianazmfragmentunpzdania">
    <w:name w:val="ZZ/FRAG – zmiana zm. fragmentu (np. zdania)"/>
    <w:basedOn w:val="ZZCZWSPPKTzmianazmczciwsppkt"/>
    <w:uiPriority w:val="70"/>
    <w:qFormat/>
    <w:rsid w:val="00697F11"/>
  </w:style>
  <w:style w:type="paragraph" w:customStyle="1" w:styleId="Z2TIRPKTzmpktpodwjnymtiret">
    <w:name w:val="Z_2TIR/PKT – zm. pkt podwójnym tiret"/>
    <w:basedOn w:val="Z2TIRLITzmlitpodwjnymtiret"/>
    <w:uiPriority w:val="83"/>
    <w:qFormat/>
    <w:rsid w:val="00697F1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97F1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97F1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97F1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97F11"/>
    <w:pPr>
      <w:ind w:left="1780" w:firstLine="510"/>
    </w:pPr>
  </w:style>
  <w:style w:type="paragraph" w:customStyle="1" w:styleId="Z2TIRUSTzmustpodwjnymtiret">
    <w:name w:val="Z_2TIR/UST(§) – zm. ust. (§) podwójnym tiret"/>
    <w:basedOn w:val="Z2TIRPKTzmpktpodwjnymtiret"/>
    <w:uiPriority w:val="82"/>
    <w:qFormat/>
    <w:rsid w:val="00697F1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97F11"/>
    <w:pPr>
      <w:ind w:left="3164" w:firstLine="0"/>
    </w:pPr>
  </w:style>
  <w:style w:type="paragraph" w:customStyle="1" w:styleId="Z2TIRCZWSPPKTzmczciwsppktpodwjnymtiret">
    <w:name w:val="Z_2TIR/CZ_WSP_PKT – zm. części wsp. pkt podwójnym tiret"/>
    <w:basedOn w:val="Z2TIRPKTzmpktpodwjnymtiret"/>
    <w:uiPriority w:val="86"/>
    <w:qFormat/>
    <w:rsid w:val="00697F1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97F1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97F11"/>
    <w:pPr>
      <w:ind w:left="2767" w:firstLine="0"/>
    </w:pPr>
  </w:style>
  <w:style w:type="paragraph" w:customStyle="1" w:styleId="ZLITARTzmartliter">
    <w:name w:val="Z_LIT/ART(§) – zm. art. (§) literą"/>
    <w:basedOn w:val="ZLITUSTzmustliter"/>
    <w:uiPriority w:val="46"/>
    <w:qFormat/>
    <w:rsid w:val="00697F11"/>
    <w:rPr>
      <w:rFonts w:ascii="Times New Roman" w:hAnsi="Times New Roman"/>
    </w:rPr>
  </w:style>
  <w:style w:type="paragraph" w:customStyle="1" w:styleId="ZTIRARTzmarttiret">
    <w:name w:val="Z_TIR/ART(§) – zm. art. (§) tiret"/>
    <w:basedOn w:val="ZTIRPKTzmpkttiret"/>
    <w:uiPriority w:val="55"/>
    <w:qFormat/>
    <w:rsid w:val="00697F11"/>
    <w:pPr>
      <w:ind w:left="1383" w:firstLine="510"/>
    </w:pPr>
    <w:rPr>
      <w:rFonts w:ascii="Times New Roman" w:hAnsi="Times New Roman"/>
    </w:rPr>
  </w:style>
  <w:style w:type="paragraph" w:customStyle="1" w:styleId="ZTIRUSTzmusttiret">
    <w:name w:val="Z_TIR/UST(§) – zm. ust. (§) tiret"/>
    <w:basedOn w:val="ZTIRARTzmarttiret"/>
    <w:uiPriority w:val="55"/>
    <w:qFormat/>
    <w:rsid w:val="00697F11"/>
  </w:style>
  <w:style w:type="paragraph" w:customStyle="1" w:styleId="ZLITKSIGIzmozniprzedmksigiliter">
    <w:name w:val="Z_LIT/KSIĘGI – zm. ozn. i przedm. księgi literą"/>
    <w:basedOn w:val="ZCZCIKSIGIzmozniprzedmczciksigiartykuempunktem"/>
    <w:uiPriority w:val="44"/>
    <w:qFormat/>
    <w:rsid w:val="00697F1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97F1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97F1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97F1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97F11"/>
    <w:pPr>
      <w:ind w:left="987"/>
    </w:pPr>
  </w:style>
  <w:style w:type="paragraph" w:customStyle="1" w:styleId="ZTIRDZOZNzmozndziautiret">
    <w:name w:val="Z_TIR/DZ_OZN – zm. ozn. działu tiret"/>
    <w:basedOn w:val="ZLITTYTDZOZNzmozntytuudziauliter"/>
    <w:next w:val="ZTIRDZPRZEDMzmprzedmdziautiret"/>
    <w:uiPriority w:val="54"/>
    <w:qFormat/>
    <w:rsid w:val="00697F11"/>
    <w:pPr>
      <w:ind w:left="1383"/>
    </w:pPr>
  </w:style>
  <w:style w:type="paragraph" w:customStyle="1" w:styleId="ZTIRDZPRZEDMzmprzedmdziautiret">
    <w:name w:val="Z_TIR/DZ_PRZEDM – zm. przedm. działu tiret"/>
    <w:basedOn w:val="ZLITTYTDZPRZEDMzmprzedmtytuudziauliter"/>
    <w:uiPriority w:val="54"/>
    <w:qFormat/>
    <w:rsid w:val="00697F1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97F11"/>
    <w:pPr>
      <w:ind w:left="1383"/>
    </w:pPr>
  </w:style>
  <w:style w:type="paragraph" w:customStyle="1" w:styleId="ZTIRROZDZODDZPRZEDMzmprzedmrozdzoddztiret">
    <w:name w:val="Z_TIR/ROZDZ(ODDZ)_PRZEDM – zm. przedm. rozdz. (oddz.) tiret"/>
    <w:basedOn w:val="ZLITROZDZODDZPRZEDMzmprzedmrozdzoddzliter"/>
    <w:uiPriority w:val="54"/>
    <w:qFormat/>
    <w:rsid w:val="00697F1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97F1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97F11"/>
    <w:pPr>
      <w:ind w:left="1780"/>
    </w:pPr>
  </w:style>
  <w:style w:type="character" w:customStyle="1" w:styleId="IGindeksgrny">
    <w:name w:val="_IG_ – indeks górny"/>
    <w:uiPriority w:val="2"/>
    <w:qFormat/>
    <w:rsid w:val="00697F11"/>
    <w:rPr>
      <w:b w:val="0"/>
      <w:i w:val="0"/>
      <w:vanish w:val="0"/>
      <w:spacing w:val="0"/>
      <w:vertAlign w:val="superscript"/>
    </w:rPr>
  </w:style>
  <w:style w:type="character" w:customStyle="1" w:styleId="IDindeksdolny">
    <w:name w:val="_ID_ – indeks dolny"/>
    <w:uiPriority w:val="3"/>
    <w:qFormat/>
    <w:rsid w:val="00697F11"/>
    <w:rPr>
      <w:b w:val="0"/>
      <w:i w:val="0"/>
      <w:vanish w:val="0"/>
      <w:spacing w:val="0"/>
      <w:vertAlign w:val="subscript"/>
    </w:rPr>
  </w:style>
  <w:style w:type="character" w:customStyle="1" w:styleId="IDPindeksdolnyipogrubienie">
    <w:name w:val="_ID_P_ – indeks dolny i pogrubienie"/>
    <w:uiPriority w:val="3"/>
    <w:qFormat/>
    <w:rsid w:val="00697F11"/>
    <w:rPr>
      <w:b/>
      <w:vanish w:val="0"/>
      <w:spacing w:val="0"/>
      <w:vertAlign w:val="subscript"/>
    </w:rPr>
  </w:style>
  <w:style w:type="character" w:customStyle="1" w:styleId="IDKindeksdolnyikursywa">
    <w:name w:val="_ID_K_ – indeks dolny i kursywa"/>
    <w:uiPriority w:val="3"/>
    <w:qFormat/>
    <w:rsid w:val="00697F11"/>
    <w:rPr>
      <w:i/>
      <w:vanish w:val="0"/>
      <w:spacing w:val="0"/>
      <w:vertAlign w:val="subscript"/>
    </w:rPr>
  </w:style>
  <w:style w:type="character" w:customStyle="1" w:styleId="IGPindeksgrnyipogrubienie">
    <w:name w:val="_IG_P_ – indeks górny i pogrubienie"/>
    <w:uiPriority w:val="2"/>
    <w:qFormat/>
    <w:rsid w:val="00697F11"/>
    <w:rPr>
      <w:b/>
      <w:vanish w:val="0"/>
      <w:spacing w:val="0"/>
      <w:vertAlign w:val="superscript"/>
    </w:rPr>
  </w:style>
  <w:style w:type="character" w:customStyle="1" w:styleId="IGKindeksgrnyikursywa">
    <w:name w:val="_IG_K_ – indeks górny i kursywa"/>
    <w:uiPriority w:val="2"/>
    <w:qFormat/>
    <w:rsid w:val="00697F11"/>
    <w:rPr>
      <w:i/>
      <w:vanish w:val="0"/>
      <w:spacing w:val="0"/>
      <w:vertAlign w:val="superscript"/>
    </w:rPr>
  </w:style>
  <w:style w:type="character" w:customStyle="1" w:styleId="IGPKindeksgrnyipogrubieniekursywa">
    <w:name w:val="_IG_P_K_ – indeks górny i pogrubienie kursywa"/>
    <w:uiPriority w:val="2"/>
    <w:qFormat/>
    <w:rsid w:val="00697F11"/>
    <w:rPr>
      <w:b/>
      <w:i/>
      <w:vanish w:val="0"/>
      <w:spacing w:val="0"/>
      <w:vertAlign w:val="superscript"/>
    </w:rPr>
  </w:style>
  <w:style w:type="character" w:customStyle="1" w:styleId="IDPKindeksdolnyipogrugieniekursywa">
    <w:name w:val="_ID_P_K_ – indeks dolny i pogrugienie kursywa"/>
    <w:uiPriority w:val="3"/>
    <w:qFormat/>
    <w:rsid w:val="00697F11"/>
    <w:rPr>
      <w:b/>
      <w:i/>
      <w:vanish w:val="0"/>
      <w:spacing w:val="0"/>
      <w:vertAlign w:val="subscript"/>
    </w:rPr>
  </w:style>
  <w:style w:type="character" w:customStyle="1" w:styleId="Ppogrubienie">
    <w:name w:val="_P_ – pogrubienie"/>
    <w:uiPriority w:val="1"/>
    <w:qFormat/>
    <w:rsid w:val="00697F11"/>
    <w:rPr>
      <w:b/>
    </w:rPr>
  </w:style>
  <w:style w:type="character" w:customStyle="1" w:styleId="Kkursywa">
    <w:name w:val="_K_ – kursywa"/>
    <w:uiPriority w:val="1"/>
    <w:qFormat/>
    <w:rsid w:val="00697F11"/>
    <w:rPr>
      <w:i/>
    </w:rPr>
  </w:style>
  <w:style w:type="character" w:customStyle="1" w:styleId="PKpogrubieniekursywa">
    <w:name w:val="_P_K_ – pogrubienie kursywa"/>
    <w:uiPriority w:val="1"/>
    <w:qFormat/>
    <w:rsid w:val="00697F11"/>
    <w:rPr>
      <w:b/>
      <w:i/>
    </w:rPr>
  </w:style>
  <w:style w:type="character" w:customStyle="1" w:styleId="TEKSTOZNACZONYWDOKUMENCIERDOWYMJAKOUKRYTY">
    <w:name w:val="_TEKST_OZNACZONY_W_DOKUMENCIE_ŹRÓDŁOWYM_JAKO_UKRYTY_"/>
    <w:uiPriority w:val="4"/>
    <w:unhideWhenUsed/>
    <w:qFormat/>
    <w:rsid w:val="00697F11"/>
    <w:rPr>
      <w:vanish w:val="0"/>
      <w:color w:val="FF0000"/>
      <w:u w:val="single" w:color="FF0000"/>
    </w:rPr>
  </w:style>
  <w:style w:type="character" w:customStyle="1" w:styleId="BEZWERSALIKW">
    <w:name w:val="_BEZ_WERSALIKÓW_"/>
    <w:uiPriority w:val="4"/>
    <w:qFormat/>
    <w:rsid w:val="00697F11"/>
    <w:rPr>
      <w:caps/>
    </w:rPr>
  </w:style>
  <w:style w:type="character" w:customStyle="1" w:styleId="IIGPindeksgrnyindeksugrnegoipogrubienie">
    <w:name w:val="_IIG_P_ – indeks górny indeksu górnego i pogrubienie"/>
    <w:uiPriority w:val="3"/>
    <w:qFormat/>
    <w:rsid w:val="00697F11"/>
    <w:rPr>
      <w:b/>
      <w:vanish w:val="0"/>
      <w:spacing w:val="0"/>
      <w:position w:val="6"/>
      <w:vertAlign w:val="superscript"/>
    </w:rPr>
  </w:style>
  <w:style w:type="character" w:customStyle="1" w:styleId="IIGindeksgrnyindeksugrnego">
    <w:name w:val="_IIG_ – indeks górny indeksu górnego"/>
    <w:uiPriority w:val="3"/>
    <w:qFormat/>
    <w:rsid w:val="00697F1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697F11"/>
    <w:pPr>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697F11"/>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697F11"/>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697F11"/>
    <w:pPr>
      <w:ind w:left="1894"/>
    </w:pPr>
  </w:style>
  <w:style w:type="paragraph" w:customStyle="1" w:styleId="ZZSKARNzmianazmsankcjikarnej">
    <w:name w:val="ZZ/S_KARN – zmiana zm. sankcji karnej"/>
    <w:basedOn w:val="ZZFRAGzmianazmfragmentunpzdania"/>
    <w:uiPriority w:val="71"/>
    <w:qFormat/>
    <w:rsid w:val="00697F1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697F11"/>
    <w:pPr>
      <w:ind w:left="2291" w:firstLine="0"/>
    </w:pPr>
  </w:style>
  <w:style w:type="paragraph" w:customStyle="1" w:styleId="WMATFIZCHEMwzrmatfizlubchem">
    <w:name w:val="W_MAT(FIZ|CHEM) – wzór mat. (fiz. lub chem.)"/>
    <w:uiPriority w:val="18"/>
    <w:qFormat/>
    <w:rsid w:val="00697F11"/>
    <w:pPr>
      <w:spacing w:after="0" w:line="360" w:lineRule="auto"/>
      <w:jc w:val="center"/>
    </w:pPr>
    <w:rPr>
      <w:rFonts w:ascii="Times New Roman" w:eastAsia="Times New Roman"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697F1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697F1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697F1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697F1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697F1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697F1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697F1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697F1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697F11"/>
    <w:pPr>
      <w:ind w:left="3085"/>
    </w:pPr>
  </w:style>
  <w:style w:type="paragraph" w:customStyle="1" w:styleId="ZLITCYTzmcytatunpprzysigiliter">
    <w:name w:val="Z_LIT/CYT – zm. cytatu np. przysięgi literą"/>
    <w:basedOn w:val="ZCYTzmcytatunpprzysigiartykuempunktem"/>
    <w:uiPriority w:val="53"/>
    <w:qFormat/>
    <w:rsid w:val="00697F11"/>
    <w:pPr>
      <w:ind w:left="1497"/>
    </w:pPr>
  </w:style>
  <w:style w:type="paragraph" w:customStyle="1" w:styleId="ZTIRCYTzmcytatunpprzysigitiret">
    <w:name w:val="Z_TIR/CYT – zm. cytatu np. przysięgi tiret"/>
    <w:basedOn w:val="ZLITCYTzmcytatunpprzysigiliter"/>
    <w:next w:val="ZTIRUSTzmusttiret"/>
    <w:uiPriority w:val="61"/>
    <w:qFormat/>
    <w:rsid w:val="00697F1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697F11"/>
    <w:pPr>
      <w:ind w:left="2291"/>
    </w:pPr>
  </w:style>
  <w:style w:type="paragraph" w:customStyle="1" w:styleId="ZZCYTzmianazmcytatunpprzysigi">
    <w:name w:val="ZZ/CYT – zmiana zm. cytatu np. przysięgi"/>
    <w:basedOn w:val="ZZFRAGzmianazmfragmentunpzdania"/>
    <w:next w:val="ZZUSTzmianazmust"/>
    <w:uiPriority w:val="71"/>
    <w:qFormat/>
    <w:rsid w:val="00697F1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697F11"/>
    <w:pPr>
      <w:ind w:left="1780"/>
    </w:pPr>
  </w:style>
  <w:style w:type="table" w:styleId="Tabela-Siatka">
    <w:name w:val="Table Grid"/>
    <w:basedOn w:val="Standardowy"/>
    <w:rsid w:val="00697F11"/>
    <w:pPr>
      <w:spacing w:after="0" w:line="240" w:lineRule="auto"/>
    </w:pPr>
    <w:rPr>
      <w:rFonts w:ascii="Times" w:eastAsia="Times New Roman" w:hAnsi="Times"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697F11"/>
    <w:pPr>
      <w:widowControl w:val="0"/>
      <w:autoSpaceDE w:val="0"/>
      <w:autoSpaceDN w:val="0"/>
      <w:adjustRightInd w:val="0"/>
      <w:spacing w:after="0" w:line="240" w:lineRule="auto"/>
      <w:jc w:val="both"/>
    </w:pPr>
    <w:rPr>
      <w:rFonts w:ascii="Times" w:eastAsia="Times New Roman" w:hAnsi="Times" w:cs="Times New Roman"/>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697F1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697F1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697F1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697F11"/>
    <w:rPr>
      <w:color w:val="808080"/>
    </w:rPr>
  </w:style>
  <w:style w:type="paragraph" w:styleId="Akapitzlist">
    <w:name w:val="List Paragraph"/>
    <w:basedOn w:val="Normalny"/>
    <w:uiPriority w:val="34"/>
    <w:qFormat/>
    <w:rsid w:val="00697F11"/>
    <w:pPr>
      <w:ind w:left="720"/>
      <w:contextualSpacing/>
    </w:pPr>
  </w:style>
  <w:style w:type="paragraph" w:styleId="Poprawka">
    <w:name w:val="Revision"/>
    <w:hidden/>
    <w:uiPriority w:val="99"/>
    <w:semiHidden/>
    <w:rsid w:val="00697F11"/>
    <w:pPr>
      <w:spacing w:after="0" w:line="240" w:lineRule="auto"/>
    </w:pPr>
  </w:style>
  <w:style w:type="paragraph" w:styleId="Zwykytekst">
    <w:name w:val="Plain Text"/>
    <w:basedOn w:val="Normalny"/>
    <w:link w:val="ZwykytekstZnak"/>
    <w:uiPriority w:val="99"/>
    <w:semiHidden/>
    <w:unhideWhenUsed/>
    <w:rsid w:val="00697F11"/>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semiHidden/>
    <w:rsid w:val="00697F11"/>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13860</Words>
  <Characters>83166</Characters>
  <Application>Microsoft Office Word</Application>
  <DocSecurity>0</DocSecurity>
  <Lines>693</Lines>
  <Paragraphs>193</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96833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Ćwiek Katarzyna</dc:creator>
  <cp:keywords/>
  <dc:description/>
  <cp:lastModifiedBy>pracownik</cp:lastModifiedBy>
  <cp:revision>4</cp:revision>
  <dcterms:created xsi:type="dcterms:W3CDTF">2020-05-21T06:19:00Z</dcterms:created>
  <dcterms:modified xsi:type="dcterms:W3CDTF">2020-05-22T11:00:00Z</dcterms:modified>
</cp:coreProperties>
</file>