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4FB09" w14:textId="77777777" w:rsidR="004333C9" w:rsidRPr="00BA3E4B" w:rsidRDefault="004333C9" w:rsidP="004333C9">
      <w:pPr>
        <w:pStyle w:val="CZKSIGAoznaczenieiprzedmiotczcilubksigi"/>
        <w:ind w:firstLine="680"/>
        <w:rPr>
          <w:rFonts w:ascii="Times New Roman" w:hAnsi="Times New Roman"/>
        </w:rPr>
      </w:pPr>
      <w:bookmarkStart w:id="0" w:name="_GoBack"/>
      <w:bookmarkEnd w:id="0"/>
      <w:r w:rsidRPr="00BA3E4B">
        <w:rPr>
          <w:rStyle w:val="Ppogrubienie"/>
          <w:rFonts w:ascii="Times New Roman" w:hAnsi="Times New Roman"/>
        </w:rPr>
        <w:t>UZASADNIENIE</w:t>
      </w:r>
    </w:p>
    <w:p w14:paraId="13EF8674" w14:textId="77777777" w:rsidR="0091359C" w:rsidRPr="00474898" w:rsidRDefault="0067339B" w:rsidP="00662D6F">
      <w:pPr>
        <w:pStyle w:val="ARTartustawynprozporzdzenia"/>
        <w:numPr>
          <w:ilvl w:val="0"/>
          <w:numId w:val="2"/>
        </w:numPr>
        <w:spacing w:before="240"/>
        <w:ind w:left="360"/>
        <w:rPr>
          <w:rFonts w:ascii="Times New Roman" w:hAnsi="Times New Roman" w:cs="Times New Roman"/>
          <w:b/>
        </w:rPr>
      </w:pPr>
      <w:r w:rsidRPr="00474898">
        <w:rPr>
          <w:rFonts w:ascii="Times New Roman" w:hAnsi="Times New Roman" w:cs="Times New Roman"/>
          <w:b/>
        </w:rPr>
        <w:t>Cel i potrzeba ustawy</w:t>
      </w:r>
    </w:p>
    <w:p w14:paraId="6705BF1E" w14:textId="6B3F4896" w:rsidR="00684CDB" w:rsidRDefault="00E63F41" w:rsidP="00684CDB">
      <w:pPr>
        <w:jc w:val="both"/>
        <w:rPr>
          <w:rFonts w:cs="Times New Roman"/>
          <w:color w:val="000000"/>
        </w:rPr>
      </w:pPr>
      <w:r w:rsidRPr="00E5052D">
        <w:rPr>
          <w:rFonts w:cs="Times New Roman"/>
        </w:rPr>
        <w:t xml:space="preserve">Od wielu lat </w:t>
      </w:r>
      <w:proofErr w:type="spellStart"/>
      <w:r w:rsidRPr="00E5052D">
        <w:rPr>
          <w:rFonts w:cs="Times New Roman"/>
        </w:rPr>
        <w:t>mikroprzedsiębiorcy</w:t>
      </w:r>
      <w:proofErr w:type="spellEnd"/>
      <w:r w:rsidRPr="00E5052D">
        <w:rPr>
          <w:rFonts w:cs="Times New Roman"/>
        </w:rPr>
        <w:t xml:space="preserve"> zwracają uwagę, że wysokość składek na ubezpieczenia społeczne jest nieadekwatna do ich możliwości finansowych. </w:t>
      </w:r>
      <w:r w:rsidR="00AE454F" w:rsidRPr="00E5052D">
        <w:rPr>
          <w:rFonts w:cs="Times New Roman"/>
        </w:rPr>
        <w:t>Obowiązująca obecnie reguła ogólna, czyli s</w:t>
      </w:r>
      <w:r w:rsidRPr="00E5052D">
        <w:rPr>
          <w:rFonts w:cs="Times New Roman"/>
        </w:rPr>
        <w:t xml:space="preserve">tała podstawa wymiaru składek, </w:t>
      </w:r>
      <w:r w:rsidR="00716C58" w:rsidRPr="00E5052D">
        <w:rPr>
          <w:rFonts w:cs="Times New Roman"/>
        </w:rPr>
        <w:t>niepowiązana z</w:t>
      </w:r>
      <w:r w:rsidRPr="00E5052D">
        <w:rPr>
          <w:rFonts w:cs="Times New Roman"/>
        </w:rPr>
        <w:t xml:space="preserve"> wysokości</w:t>
      </w:r>
      <w:r w:rsidR="00716C58" w:rsidRPr="00E5052D">
        <w:rPr>
          <w:rFonts w:cs="Times New Roman"/>
        </w:rPr>
        <w:t>ą</w:t>
      </w:r>
      <w:r w:rsidRPr="00E5052D">
        <w:rPr>
          <w:rFonts w:cs="Times New Roman"/>
        </w:rPr>
        <w:t xml:space="preserve"> przychodów, </w:t>
      </w:r>
      <w:r w:rsidR="00CB3CEC" w:rsidRPr="00E5052D">
        <w:rPr>
          <w:rFonts w:cs="Times New Roman"/>
        </w:rPr>
        <w:t>niezależnie od swojej funkcji dla systemu ubezpieczeń społecznych, może mieć również</w:t>
      </w:r>
      <w:r w:rsidRPr="00E5052D">
        <w:rPr>
          <w:rFonts w:cs="Times New Roman"/>
        </w:rPr>
        <w:t xml:space="preserve"> negatywn</w:t>
      </w:r>
      <w:r w:rsidR="00CB3CEC" w:rsidRPr="00E5052D">
        <w:rPr>
          <w:rFonts w:cs="Times New Roman"/>
        </w:rPr>
        <w:t>y</w:t>
      </w:r>
      <w:r w:rsidRPr="00E5052D">
        <w:rPr>
          <w:rFonts w:cs="Times New Roman"/>
        </w:rPr>
        <w:t xml:space="preserve"> wpływ na przeżywalność</w:t>
      </w:r>
      <w:r w:rsidR="00AE454F" w:rsidRPr="00E5052D">
        <w:rPr>
          <w:rFonts w:cs="Times New Roman"/>
        </w:rPr>
        <w:t xml:space="preserve"> prowadzonego biznesu</w:t>
      </w:r>
      <w:r w:rsidRPr="00E5052D">
        <w:rPr>
          <w:rFonts w:cs="Times New Roman"/>
        </w:rPr>
        <w:t>. To właśnie w</w:t>
      </w:r>
      <w:r w:rsidR="00095344">
        <w:rPr>
          <w:rFonts w:cs="Times New Roman"/>
        </w:rPr>
        <w:t> </w:t>
      </w:r>
      <w:r w:rsidRPr="00E5052D">
        <w:rPr>
          <w:rFonts w:cs="Times New Roman"/>
        </w:rPr>
        <w:t xml:space="preserve">momencie pojawienia się obowiązku opłacania pełnej wysokości składek </w:t>
      </w:r>
      <w:r w:rsidR="000E5D63" w:rsidRPr="00E5052D">
        <w:rPr>
          <w:rFonts w:cs="Times New Roman"/>
        </w:rPr>
        <w:t>(tj. po wyczerpaniu możliwości płacenia składek preferencyjnych)</w:t>
      </w:r>
      <w:r w:rsidRPr="00E5052D">
        <w:rPr>
          <w:rFonts w:cs="Times New Roman"/>
        </w:rPr>
        <w:t xml:space="preserve">, </w:t>
      </w:r>
      <w:r w:rsidR="007E53D5" w:rsidRPr="00E5052D">
        <w:rPr>
          <w:rFonts w:cs="Times New Roman"/>
          <w:color w:val="000000"/>
        </w:rPr>
        <w:t>wielu przedsiębiorców decyduje się na zakończenie działalności gospodarczej</w:t>
      </w:r>
      <w:r w:rsidR="007E53D5" w:rsidRPr="00E5052D">
        <w:rPr>
          <w:rStyle w:val="Odwoanieprzypisudolnego"/>
          <w:color w:val="000000"/>
        </w:rPr>
        <w:footnoteReference w:id="1"/>
      </w:r>
      <w:r w:rsidR="00971BD2" w:rsidRPr="00971BD2">
        <w:rPr>
          <w:rFonts w:cs="Times New Roman"/>
          <w:color w:val="000000"/>
          <w:vertAlign w:val="superscript"/>
        </w:rPr>
        <w:t>)</w:t>
      </w:r>
      <w:r w:rsidR="007E53D5" w:rsidRPr="00E5052D">
        <w:rPr>
          <w:rFonts w:cs="Times New Roman"/>
          <w:color w:val="000000"/>
        </w:rPr>
        <w:t>.</w:t>
      </w:r>
      <w:r w:rsidR="00CB3CEC" w:rsidRPr="00E5052D">
        <w:rPr>
          <w:rFonts w:cs="Times New Roman"/>
          <w:color w:val="000000"/>
        </w:rPr>
        <w:t xml:space="preserve"> </w:t>
      </w:r>
      <w:r w:rsidR="00883512" w:rsidRPr="00E5052D">
        <w:rPr>
          <w:rFonts w:cs="Times New Roman"/>
          <w:color w:val="000000"/>
        </w:rPr>
        <w:t>M</w:t>
      </w:r>
      <w:r w:rsidR="00716C58" w:rsidRPr="00E5052D">
        <w:rPr>
          <w:rFonts w:cs="Times New Roman"/>
          <w:color w:val="000000"/>
        </w:rPr>
        <w:t>owa</w:t>
      </w:r>
      <w:r w:rsidR="00883512" w:rsidRPr="00E5052D">
        <w:rPr>
          <w:rFonts w:cs="Times New Roman"/>
          <w:color w:val="000000"/>
        </w:rPr>
        <w:t xml:space="preserve"> tu zatem o grupie przedsiębiorców, dla której gwarancja odległego w czasie świadczenia emerytalnego czy ewentualnego świadczenia rentowego</w:t>
      </w:r>
      <w:r w:rsidR="00716C58" w:rsidRPr="00E5052D">
        <w:rPr>
          <w:rFonts w:cs="Times New Roman"/>
          <w:color w:val="000000"/>
        </w:rPr>
        <w:t>,</w:t>
      </w:r>
      <w:r w:rsidR="00883512" w:rsidRPr="00E5052D">
        <w:rPr>
          <w:rFonts w:cs="Times New Roman"/>
          <w:color w:val="000000"/>
        </w:rPr>
        <w:t xml:space="preserve"> nie</w:t>
      </w:r>
      <w:r w:rsidR="00716C58" w:rsidRPr="00E5052D">
        <w:rPr>
          <w:rFonts w:cs="Times New Roman"/>
          <w:color w:val="000000"/>
        </w:rPr>
        <w:t xml:space="preserve"> jest w stanie zrekompensować </w:t>
      </w:r>
      <w:r w:rsidR="00883512" w:rsidRPr="00E5052D">
        <w:rPr>
          <w:rFonts w:cs="Times New Roman"/>
          <w:color w:val="000000"/>
        </w:rPr>
        <w:t>bieżącego, niskiego dochodu.</w:t>
      </w:r>
    </w:p>
    <w:p w14:paraId="6281DDD4" w14:textId="467194A0" w:rsidR="00684CDB" w:rsidRDefault="00130292" w:rsidP="00684CDB">
      <w:pPr>
        <w:jc w:val="both"/>
        <w:rPr>
          <w:rFonts w:cs="Times New Roman"/>
        </w:rPr>
      </w:pPr>
      <w:r w:rsidRPr="00E5052D">
        <w:rPr>
          <w:rFonts w:cs="Times New Roman"/>
          <w:color w:val="000000"/>
        </w:rPr>
        <w:t>Składki</w:t>
      </w:r>
      <w:r w:rsidR="00716C58" w:rsidRPr="00E5052D">
        <w:rPr>
          <w:rFonts w:cs="Times New Roman"/>
          <w:color w:val="000000"/>
        </w:rPr>
        <w:t xml:space="preserve"> na ubezpieczenia społeczne</w:t>
      </w:r>
      <w:r w:rsidRPr="00E5052D">
        <w:rPr>
          <w:rFonts w:cs="Times New Roman"/>
          <w:color w:val="000000"/>
        </w:rPr>
        <w:t>, zgodnie z ustawą z dnia 13 października 1998 r. o</w:t>
      </w:r>
      <w:r w:rsidR="00095344">
        <w:rPr>
          <w:rFonts w:cs="Times New Roman"/>
          <w:color w:val="000000"/>
        </w:rPr>
        <w:t> </w:t>
      </w:r>
      <w:r w:rsidRPr="00E5052D">
        <w:rPr>
          <w:rFonts w:cs="Times New Roman"/>
          <w:color w:val="000000"/>
        </w:rPr>
        <w:t>systemie ubezpieczeń społecznych (Dz.</w:t>
      </w:r>
      <w:r w:rsidR="009B704B" w:rsidRPr="00E5052D">
        <w:rPr>
          <w:rFonts w:cs="Times New Roman"/>
          <w:color w:val="000000"/>
        </w:rPr>
        <w:t xml:space="preserve"> </w:t>
      </w:r>
      <w:r w:rsidRPr="00E5052D">
        <w:rPr>
          <w:rFonts w:cs="Times New Roman"/>
          <w:color w:val="000000"/>
        </w:rPr>
        <w:t>U. z 2019 r. poz. 300, z późn. zm.)</w:t>
      </w:r>
      <w:r w:rsidR="00A937B1">
        <w:rPr>
          <w:rFonts w:cs="Times New Roman"/>
          <w:color w:val="000000"/>
        </w:rPr>
        <w:t>, zwaną dalej „ustawą o systemie ubezpieczeń społecznych”,</w:t>
      </w:r>
      <w:r w:rsidRPr="00E5052D">
        <w:rPr>
          <w:rFonts w:cs="Times New Roman"/>
          <w:color w:val="000000"/>
        </w:rPr>
        <w:t xml:space="preserve"> obejmują obowiązkowe ubezpieczenia emerytalne, rentowe i wypadkowe oraz dobrowolne ube</w:t>
      </w:r>
      <w:r w:rsidR="004021DE">
        <w:rPr>
          <w:rFonts w:cs="Times New Roman"/>
          <w:color w:val="000000"/>
        </w:rPr>
        <w:t>zpieczenie chorobowe. Zgodnie z </w:t>
      </w:r>
      <w:r w:rsidRPr="00E5052D">
        <w:rPr>
          <w:rFonts w:cs="Times New Roman"/>
          <w:color w:val="000000"/>
        </w:rPr>
        <w:t xml:space="preserve">obowiązującymi przepisami, minimalna wysokość składek na </w:t>
      </w:r>
      <w:r w:rsidR="00716C58" w:rsidRPr="00E5052D">
        <w:rPr>
          <w:rFonts w:cs="Times New Roman"/>
          <w:color w:val="000000"/>
        </w:rPr>
        <w:t xml:space="preserve">te </w:t>
      </w:r>
      <w:r w:rsidRPr="00E5052D">
        <w:rPr>
          <w:rFonts w:cs="Times New Roman"/>
        </w:rPr>
        <w:t xml:space="preserve">ubezpieczenia </w:t>
      </w:r>
      <w:r w:rsidR="004021DE">
        <w:rPr>
          <w:rFonts w:cs="Times New Roman"/>
        </w:rPr>
        <w:t>w </w:t>
      </w:r>
      <w:r w:rsidR="00716C58" w:rsidRPr="00E5052D">
        <w:rPr>
          <w:rFonts w:cs="Times New Roman"/>
        </w:rPr>
        <w:t>przypadku braku korzystania z ulg</w:t>
      </w:r>
      <w:r w:rsidRPr="00E5052D">
        <w:rPr>
          <w:rFonts w:cs="Times New Roman"/>
        </w:rPr>
        <w:t xml:space="preserve"> w 2019 r. to 904,60 zł miesięcznie.</w:t>
      </w:r>
    </w:p>
    <w:p w14:paraId="2B27F87E" w14:textId="716499AF" w:rsidR="00684CDB" w:rsidRDefault="00716C58" w:rsidP="00684CDB">
      <w:pPr>
        <w:jc w:val="both"/>
        <w:rPr>
          <w:rFonts w:cs="Times New Roman"/>
        </w:rPr>
      </w:pPr>
      <w:r w:rsidRPr="00E5052D">
        <w:rPr>
          <w:rFonts w:cs="Times New Roman"/>
        </w:rPr>
        <w:t>Tym samym</w:t>
      </w:r>
      <w:r w:rsidR="00130292" w:rsidRPr="00E5052D">
        <w:rPr>
          <w:rFonts w:cs="Times New Roman"/>
          <w:color w:val="000000"/>
        </w:rPr>
        <w:t xml:space="preserve"> osoba fizyczna prowadząca pozarolniczą działalność gospodarczą odprowadzająca składki w minimalnej wysokości poniesie w 201</w:t>
      </w:r>
      <w:r w:rsidR="00B355B2" w:rsidRPr="00E5052D">
        <w:rPr>
          <w:rFonts w:cs="Times New Roman"/>
          <w:color w:val="000000"/>
        </w:rPr>
        <w:t>9</w:t>
      </w:r>
      <w:r w:rsidR="00130292" w:rsidRPr="00E5052D">
        <w:rPr>
          <w:rFonts w:cs="Times New Roman"/>
          <w:color w:val="000000"/>
        </w:rPr>
        <w:t xml:space="preserve"> r. wydatki z t</w:t>
      </w:r>
      <w:r w:rsidR="00B355B2" w:rsidRPr="00E5052D">
        <w:rPr>
          <w:rFonts w:cs="Times New Roman"/>
          <w:color w:val="000000"/>
        </w:rPr>
        <w:t>ego tytułu</w:t>
      </w:r>
      <w:r w:rsidR="002D7806">
        <w:rPr>
          <w:rFonts w:cs="Times New Roman"/>
          <w:color w:val="000000"/>
        </w:rPr>
        <w:t xml:space="preserve"> w wysokości ponad 10 </w:t>
      </w:r>
      <w:r w:rsidR="00130292" w:rsidRPr="00E5052D">
        <w:rPr>
          <w:rFonts w:cs="Times New Roman"/>
          <w:color w:val="000000"/>
        </w:rPr>
        <w:t>850 zł. Należy również pamiętać o nieobjęt</w:t>
      </w:r>
      <w:r w:rsidR="00B355B2" w:rsidRPr="00E5052D">
        <w:rPr>
          <w:rFonts w:cs="Times New Roman"/>
          <w:color w:val="000000"/>
        </w:rPr>
        <w:t>ym</w:t>
      </w:r>
      <w:r w:rsidR="00130292" w:rsidRPr="00E5052D">
        <w:rPr>
          <w:rFonts w:cs="Times New Roman"/>
          <w:color w:val="000000"/>
        </w:rPr>
        <w:t xml:space="preserve"> przedmiotowym projektem ustawy obowiązk</w:t>
      </w:r>
      <w:r w:rsidR="00B355B2" w:rsidRPr="00E5052D">
        <w:rPr>
          <w:rFonts w:cs="Times New Roman"/>
          <w:color w:val="000000"/>
        </w:rPr>
        <w:t>u</w:t>
      </w:r>
      <w:r w:rsidR="00130292" w:rsidRPr="00E5052D">
        <w:rPr>
          <w:rFonts w:cs="Times New Roman"/>
          <w:color w:val="000000"/>
        </w:rPr>
        <w:t xml:space="preserve"> odprowadzania składki na ubezpieczenie zdrowotne w </w:t>
      </w:r>
      <w:r w:rsidR="00130292" w:rsidRPr="00E5052D">
        <w:rPr>
          <w:rFonts w:cs="Times New Roman"/>
        </w:rPr>
        <w:t>wysokości 342,32 zł</w:t>
      </w:r>
      <w:r w:rsidR="00883512" w:rsidRPr="00E5052D">
        <w:rPr>
          <w:rFonts w:cs="Times New Roman"/>
        </w:rPr>
        <w:t xml:space="preserve"> miesięcznie</w:t>
      </w:r>
      <w:r w:rsidR="00130292" w:rsidRPr="00E5052D">
        <w:rPr>
          <w:rFonts w:cs="Times New Roman"/>
        </w:rPr>
        <w:t>. Taka wysokość składek rzeczywiście może stanowić realne obciążenie dla wskazanej grupy przedsiębiorców.</w:t>
      </w:r>
    </w:p>
    <w:p w14:paraId="3774B185" w14:textId="77777777" w:rsidR="00E63F41" w:rsidRPr="00E5052D" w:rsidRDefault="00E63F41" w:rsidP="00684CDB">
      <w:pPr>
        <w:jc w:val="both"/>
        <w:rPr>
          <w:rFonts w:cs="Times New Roman"/>
        </w:rPr>
      </w:pPr>
      <w:r w:rsidRPr="00E5052D">
        <w:rPr>
          <w:rFonts w:cs="Times New Roman"/>
        </w:rPr>
        <w:t>Projektowana ustawa ma na celu poszerzenie rozwiązań tzw. „Małego ZUS-u” wprowadzonego ustawą z dnia 20 lipca 2018 r. o zmianie niektórych ustaw w celu obniżenia składek na ubezpieczenia społeczne osób fizycznych wykonujących działalność gospodarczą na mniejszą skalę (Dz. U. poz. 1577</w:t>
      </w:r>
      <w:r w:rsidR="00883512" w:rsidRPr="00E5052D">
        <w:rPr>
          <w:rFonts w:cs="Times New Roman"/>
        </w:rPr>
        <w:t xml:space="preserve"> i 2244</w:t>
      </w:r>
      <w:r w:rsidRPr="00E5052D">
        <w:rPr>
          <w:rFonts w:cs="Times New Roman"/>
        </w:rPr>
        <w:t>).</w:t>
      </w:r>
    </w:p>
    <w:p w14:paraId="12CB1A8E" w14:textId="77777777" w:rsidR="00684CDB" w:rsidRDefault="00E63F41" w:rsidP="009B704B">
      <w:pPr>
        <w:pStyle w:val="ARTartustawynprozporzdzenia"/>
        <w:ind w:firstLine="0"/>
        <w:rPr>
          <w:rFonts w:ascii="Times New Roman" w:hAnsi="Times New Roman" w:cs="Times New Roman"/>
        </w:rPr>
      </w:pPr>
      <w:r w:rsidRPr="00E5052D">
        <w:rPr>
          <w:rFonts w:ascii="Times New Roman" w:hAnsi="Times New Roman" w:cs="Times New Roman"/>
        </w:rPr>
        <w:t xml:space="preserve">„Mały ZUS” był adresowany do przedsiębiorców, których </w:t>
      </w:r>
      <w:r w:rsidR="00371104">
        <w:rPr>
          <w:rFonts w:ascii="Times New Roman" w:hAnsi="Times New Roman" w:cs="Times New Roman"/>
        </w:rPr>
        <w:t xml:space="preserve">roczne </w:t>
      </w:r>
      <w:r w:rsidRPr="00E5052D">
        <w:rPr>
          <w:rFonts w:ascii="Times New Roman" w:hAnsi="Times New Roman" w:cs="Times New Roman"/>
        </w:rPr>
        <w:t xml:space="preserve">przychody nie przekraczały poziomu 30-krotności kwoty minimalnego wynagrodzenia za pracę. Jeżeli więc średniomiesięczny przychód nie przekraczał 2,5-krotności minimalnego </w:t>
      </w:r>
      <w:r w:rsidRPr="00E5052D">
        <w:rPr>
          <w:rFonts w:ascii="Times New Roman" w:hAnsi="Times New Roman" w:cs="Times New Roman"/>
        </w:rPr>
        <w:lastRenderedPageBreak/>
        <w:t xml:space="preserve">wynagrodzenia, składki na ubezpieczenia społeczne były naliczane proporcjonalnie. Limit ten pozwolił objąć </w:t>
      </w:r>
      <w:r w:rsidR="00B355B2" w:rsidRPr="00E5052D">
        <w:rPr>
          <w:rFonts w:ascii="Times New Roman" w:hAnsi="Times New Roman" w:cs="Times New Roman"/>
        </w:rPr>
        <w:t>stosunkowo szeroką</w:t>
      </w:r>
      <w:r w:rsidRPr="00E5052D">
        <w:rPr>
          <w:rFonts w:ascii="Times New Roman" w:hAnsi="Times New Roman" w:cs="Times New Roman"/>
        </w:rPr>
        <w:t xml:space="preserve"> grupę jednostek, dla których składki na ubezpieczenia społeczne stanowiły istotną ba</w:t>
      </w:r>
      <w:r w:rsidR="009D474B">
        <w:rPr>
          <w:rFonts w:ascii="Times New Roman" w:hAnsi="Times New Roman" w:cs="Times New Roman"/>
        </w:rPr>
        <w:t>rierę prowadzenia działalności.</w:t>
      </w:r>
    </w:p>
    <w:p w14:paraId="14C667E5" w14:textId="3B0305CF" w:rsidR="00497473" w:rsidRPr="00E5052D" w:rsidRDefault="00E63F41" w:rsidP="009B704B">
      <w:pPr>
        <w:pStyle w:val="ARTartustawynprozporzdzenia"/>
        <w:ind w:firstLine="0"/>
        <w:rPr>
          <w:rFonts w:ascii="Times New Roman" w:hAnsi="Times New Roman" w:cs="Times New Roman"/>
        </w:rPr>
      </w:pPr>
      <w:r w:rsidRPr="00E5052D">
        <w:rPr>
          <w:rFonts w:ascii="Times New Roman" w:hAnsi="Times New Roman" w:cs="Times New Roman"/>
        </w:rPr>
        <w:t>Z danych Z</w:t>
      </w:r>
      <w:r w:rsidR="00EF11A3" w:rsidRPr="00E5052D">
        <w:rPr>
          <w:rFonts w:ascii="Times New Roman" w:hAnsi="Times New Roman" w:cs="Times New Roman"/>
        </w:rPr>
        <w:t xml:space="preserve">akładu </w:t>
      </w:r>
      <w:r w:rsidRPr="00E5052D">
        <w:rPr>
          <w:rFonts w:ascii="Times New Roman" w:hAnsi="Times New Roman" w:cs="Times New Roman"/>
        </w:rPr>
        <w:t>U</w:t>
      </w:r>
      <w:r w:rsidR="00EF11A3" w:rsidRPr="00E5052D">
        <w:rPr>
          <w:rFonts w:ascii="Times New Roman" w:hAnsi="Times New Roman" w:cs="Times New Roman"/>
        </w:rPr>
        <w:t xml:space="preserve">bezpieczeń </w:t>
      </w:r>
      <w:r w:rsidRPr="00E5052D">
        <w:rPr>
          <w:rFonts w:ascii="Times New Roman" w:hAnsi="Times New Roman" w:cs="Times New Roman"/>
        </w:rPr>
        <w:t>S</w:t>
      </w:r>
      <w:r w:rsidR="00EF11A3" w:rsidRPr="00E5052D">
        <w:rPr>
          <w:rFonts w:ascii="Times New Roman" w:hAnsi="Times New Roman" w:cs="Times New Roman"/>
        </w:rPr>
        <w:t>połecznych</w:t>
      </w:r>
      <w:r w:rsidRPr="00E5052D">
        <w:rPr>
          <w:rFonts w:ascii="Times New Roman" w:hAnsi="Times New Roman" w:cs="Times New Roman"/>
        </w:rPr>
        <w:t xml:space="preserve"> wynika, że od początku obowiązywania ustawy </w:t>
      </w:r>
      <w:r w:rsidR="000E5D63" w:rsidRPr="00E5052D">
        <w:rPr>
          <w:rFonts w:ascii="Times New Roman" w:hAnsi="Times New Roman" w:cs="Times New Roman"/>
        </w:rPr>
        <w:t xml:space="preserve">ponad </w:t>
      </w:r>
      <w:r w:rsidR="00F21987" w:rsidRPr="00E5052D">
        <w:rPr>
          <w:rFonts w:ascii="Times New Roman" w:hAnsi="Times New Roman" w:cs="Times New Roman"/>
        </w:rPr>
        <w:t xml:space="preserve">186 </w:t>
      </w:r>
      <w:r w:rsidRPr="00E5052D">
        <w:rPr>
          <w:rFonts w:ascii="Times New Roman" w:hAnsi="Times New Roman" w:cs="Times New Roman"/>
        </w:rPr>
        <w:t xml:space="preserve">tys. najmniejszych przedsiębiorców zgłosiło </w:t>
      </w:r>
      <w:r w:rsidR="00497473" w:rsidRPr="00E5052D">
        <w:rPr>
          <w:rFonts w:ascii="Times New Roman" w:hAnsi="Times New Roman" w:cs="Times New Roman"/>
        </w:rPr>
        <w:t>chęć skorzystania z nowej ulgi, co należy odczytać jako sukces wskazujący na duże zainteresowanie ze strony osób prowad</w:t>
      </w:r>
      <w:r w:rsidR="009D474B">
        <w:rPr>
          <w:rFonts w:ascii="Times New Roman" w:hAnsi="Times New Roman" w:cs="Times New Roman"/>
        </w:rPr>
        <w:t>zących działalność gospodarczą.</w:t>
      </w:r>
    </w:p>
    <w:p w14:paraId="1A8C7969" w14:textId="041C32FE" w:rsidR="00497473" w:rsidRPr="00E5052D" w:rsidRDefault="00B01C69" w:rsidP="009B704B">
      <w:pPr>
        <w:pStyle w:val="ARTartustawynprozporzdzenia"/>
        <w:ind w:firstLine="0"/>
        <w:rPr>
          <w:rFonts w:ascii="Times New Roman" w:hAnsi="Times New Roman" w:cs="Times New Roman"/>
        </w:rPr>
      </w:pPr>
      <w:r>
        <w:rPr>
          <w:rFonts w:ascii="Times New Roman" w:hAnsi="Times New Roman" w:cs="Times New Roman"/>
        </w:rPr>
        <w:t>Prawie rok</w:t>
      </w:r>
      <w:r w:rsidR="00D92C83">
        <w:rPr>
          <w:rFonts w:ascii="Times New Roman" w:hAnsi="Times New Roman" w:cs="Times New Roman"/>
        </w:rPr>
        <w:t xml:space="preserve"> obowiąz</w:t>
      </w:r>
      <w:r>
        <w:rPr>
          <w:rFonts w:ascii="Times New Roman" w:hAnsi="Times New Roman" w:cs="Times New Roman"/>
        </w:rPr>
        <w:t xml:space="preserve">ywania dotychczasowego „Małego ZUS-u” pokazał pole do wprowadzenia zmian w kryteriach uprawniających do skorzystania z ulgi. Decyzja </w:t>
      </w:r>
      <w:r w:rsidR="00AA5B03">
        <w:rPr>
          <w:rFonts w:ascii="Times New Roman" w:hAnsi="Times New Roman" w:cs="Times New Roman"/>
        </w:rPr>
        <w:t>o</w:t>
      </w:r>
      <w:r w:rsidR="00095344">
        <w:rPr>
          <w:rFonts w:ascii="Times New Roman" w:hAnsi="Times New Roman" w:cs="Times New Roman"/>
        </w:rPr>
        <w:t> </w:t>
      </w:r>
      <w:r w:rsidR="00AA5B03">
        <w:rPr>
          <w:rFonts w:ascii="Times New Roman" w:hAnsi="Times New Roman" w:cs="Times New Roman"/>
        </w:rPr>
        <w:t>nowelizacji przepisów</w:t>
      </w:r>
      <w:r>
        <w:rPr>
          <w:rFonts w:ascii="Times New Roman" w:hAnsi="Times New Roman" w:cs="Times New Roman"/>
        </w:rPr>
        <w:t xml:space="preserve"> była podparta dodatkowo</w:t>
      </w:r>
      <w:r w:rsidR="00497473" w:rsidRPr="00E5052D">
        <w:rPr>
          <w:rFonts w:ascii="Times New Roman" w:hAnsi="Times New Roman" w:cs="Times New Roman"/>
        </w:rPr>
        <w:t xml:space="preserve"> głosami przedsiębiorców, którzy sugerowali </w:t>
      </w:r>
      <w:r w:rsidR="00AA5B03">
        <w:rPr>
          <w:rFonts w:ascii="Times New Roman" w:hAnsi="Times New Roman" w:cs="Times New Roman"/>
        </w:rPr>
        <w:t xml:space="preserve">włączenie kolejnych </w:t>
      </w:r>
      <w:r w:rsidR="00371104">
        <w:rPr>
          <w:rFonts w:ascii="Times New Roman" w:hAnsi="Times New Roman" w:cs="Times New Roman"/>
        </w:rPr>
        <w:t>podmiotów</w:t>
      </w:r>
      <w:r w:rsidR="00497473" w:rsidRPr="00E5052D">
        <w:rPr>
          <w:rFonts w:ascii="Times New Roman" w:hAnsi="Times New Roman" w:cs="Times New Roman"/>
        </w:rPr>
        <w:t xml:space="preserve"> do </w:t>
      </w:r>
      <w:r>
        <w:rPr>
          <w:rFonts w:ascii="Times New Roman" w:hAnsi="Times New Roman" w:cs="Times New Roman"/>
        </w:rPr>
        <w:t>nowego rozwiązania</w:t>
      </w:r>
      <w:r w:rsidR="00497473" w:rsidRPr="00E5052D">
        <w:rPr>
          <w:rFonts w:ascii="Times New Roman" w:hAnsi="Times New Roman" w:cs="Times New Roman"/>
        </w:rPr>
        <w:t>. Wielokrotnie zgłaszano postulat powiązania wysokości</w:t>
      </w:r>
      <w:r>
        <w:rPr>
          <w:rFonts w:ascii="Times New Roman" w:hAnsi="Times New Roman" w:cs="Times New Roman"/>
        </w:rPr>
        <w:t xml:space="preserve"> składek z</w:t>
      </w:r>
      <w:r w:rsidR="00095344">
        <w:rPr>
          <w:rFonts w:ascii="Times New Roman" w:hAnsi="Times New Roman" w:cs="Times New Roman"/>
        </w:rPr>
        <w:t xml:space="preserve"> </w:t>
      </w:r>
      <w:r>
        <w:rPr>
          <w:rFonts w:ascii="Times New Roman" w:hAnsi="Times New Roman" w:cs="Times New Roman"/>
        </w:rPr>
        <w:t>dochodem, który to w</w:t>
      </w:r>
      <w:r w:rsidR="00095344">
        <w:rPr>
          <w:rFonts w:ascii="Times New Roman" w:hAnsi="Times New Roman" w:cs="Times New Roman"/>
        </w:rPr>
        <w:t xml:space="preserve"> </w:t>
      </w:r>
      <w:r w:rsidR="00497473" w:rsidRPr="00E5052D">
        <w:rPr>
          <w:rFonts w:ascii="Times New Roman" w:hAnsi="Times New Roman" w:cs="Times New Roman"/>
        </w:rPr>
        <w:t>sposób bardziej realny niż przychód odzwierciedla syt</w:t>
      </w:r>
      <w:r w:rsidR="005421AF">
        <w:rPr>
          <w:rFonts w:ascii="Times New Roman" w:hAnsi="Times New Roman" w:cs="Times New Roman"/>
        </w:rPr>
        <w:t>uację finansową przedsiębiorcy.</w:t>
      </w:r>
    </w:p>
    <w:p w14:paraId="1A1A73FC" w14:textId="77777777" w:rsidR="004A168B" w:rsidRDefault="00CB3CEC" w:rsidP="00E55661">
      <w:pPr>
        <w:pStyle w:val="ARTartustawynprozporzdzenia"/>
        <w:ind w:firstLine="0"/>
      </w:pPr>
      <w:r w:rsidRPr="00E5052D">
        <w:rPr>
          <w:rFonts w:ascii="Times New Roman" w:hAnsi="Times New Roman" w:cs="Times New Roman"/>
        </w:rPr>
        <w:t>W</w:t>
      </w:r>
      <w:r w:rsidR="00A6162F" w:rsidRPr="00E5052D">
        <w:rPr>
          <w:rFonts w:ascii="Times New Roman" w:hAnsi="Times New Roman" w:cs="Times New Roman"/>
        </w:rPr>
        <w:t xml:space="preserve"> projekcie przedmiotowej ustawy postarano się </w:t>
      </w:r>
      <w:r w:rsidR="002F7B27" w:rsidRPr="00E5052D">
        <w:rPr>
          <w:rFonts w:ascii="Times New Roman" w:hAnsi="Times New Roman" w:cs="Times New Roman"/>
        </w:rPr>
        <w:t xml:space="preserve">uwzględnić postulaty przedsiębiorców w najszerszym możliwym zakresie, mając jednocześnie na względzie konieczność utrzymania stabilności systemu ubezpieczeń społecznych w Polsce. Ponadto </w:t>
      </w:r>
      <w:r w:rsidR="00092712">
        <w:rPr>
          <w:rFonts w:ascii="Times New Roman" w:hAnsi="Times New Roman" w:cs="Times New Roman"/>
        </w:rPr>
        <w:t>utrzymano</w:t>
      </w:r>
      <w:r w:rsidR="00092712" w:rsidRPr="00E5052D">
        <w:rPr>
          <w:rFonts w:ascii="Times New Roman" w:hAnsi="Times New Roman" w:cs="Times New Roman"/>
        </w:rPr>
        <w:t xml:space="preserve"> </w:t>
      </w:r>
      <w:r w:rsidR="002F7B27" w:rsidRPr="00E5052D">
        <w:rPr>
          <w:rFonts w:ascii="Times New Roman" w:hAnsi="Times New Roman" w:cs="Times New Roman"/>
        </w:rPr>
        <w:t xml:space="preserve">mechanizmy </w:t>
      </w:r>
      <w:r w:rsidR="00EC3B18">
        <w:rPr>
          <w:rFonts w:ascii="Times New Roman" w:hAnsi="Times New Roman" w:cs="Times New Roman"/>
        </w:rPr>
        <w:t>pozwalające</w:t>
      </w:r>
      <w:r w:rsidR="00EC3B18" w:rsidRPr="00E5052D">
        <w:rPr>
          <w:rFonts w:ascii="Times New Roman" w:hAnsi="Times New Roman" w:cs="Times New Roman"/>
        </w:rPr>
        <w:t xml:space="preserve"> </w:t>
      </w:r>
      <w:r w:rsidR="002F7B27" w:rsidRPr="00E5052D">
        <w:rPr>
          <w:rFonts w:ascii="Times New Roman" w:hAnsi="Times New Roman" w:cs="Times New Roman"/>
        </w:rPr>
        <w:t>ubezpieczonym korzystającym z ulgi</w:t>
      </w:r>
      <w:r w:rsidR="00DD0266">
        <w:rPr>
          <w:rFonts w:ascii="Times New Roman" w:hAnsi="Times New Roman" w:cs="Times New Roman"/>
        </w:rPr>
        <w:t xml:space="preserve"> na</w:t>
      </w:r>
      <w:r w:rsidR="002F7B27" w:rsidRPr="00E5052D">
        <w:rPr>
          <w:rFonts w:ascii="Times New Roman" w:hAnsi="Times New Roman" w:cs="Times New Roman"/>
        </w:rPr>
        <w:t xml:space="preserve"> uzbieranie wymaganego stażu do </w:t>
      </w:r>
      <w:r w:rsidR="00F21987" w:rsidRPr="00E5052D">
        <w:rPr>
          <w:rFonts w:ascii="Times New Roman" w:hAnsi="Times New Roman" w:cs="Times New Roman"/>
        </w:rPr>
        <w:t xml:space="preserve">emerytury. </w:t>
      </w:r>
      <w:r w:rsidR="004A168B" w:rsidRPr="00E5052D">
        <w:rPr>
          <w:rFonts w:ascii="Times New Roman" w:hAnsi="Times New Roman" w:cs="Times New Roman"/>
        </w:rPr>
        <w:t>W tym kontekście trzeba wspomnieć, że ponieważ wartość tych świadczeń społecznych jest pochodną wysokości odprowadzonych składek</w:t>
      </w:r>
      <w:r w:rsidR="00444CC4" w:rsidRPr="00E5052D">
        <w:rPr>
          <w:rFonts w:ascii="Times New Roman" w:hAnsi="Times New Roman" w:cs="Times New Roman"/>
        </w:rPr>
        <w:t>,</w:t>
      </w:r>
      <w:r w:rsidR="00444CC4">
        <w:t xml:space="preserve"> to jej</w:t>
      </w:r>
      <w:r w:rsidR="004A168B">
        <w:t xml:space="preserve"> zmiana spowoduje </w:t>
      </w:r>
      <w:r w:rsidR="000A04A5">
        <w:t>spadek</w:t>
      </w:r>
      <w:r w:rsidR="004A168B">
        <w:t xml:space="preserve"> przyszłych zobowiązań pokrywanych z Funduszu Ubezpieczeń Społecznych. Podkreślenia wymaga fakt, że ustawa o systemie ubezpieczeń społecznych reguluje dolny próg możliwej do zadeklarowania przez ubezpie</w:t>
      </w:r>
      <w:r w:rsidR="00444CC4">
        <w:t>czonego podstawy wymiaru składek</w:t>
      </w:r>
      <w:r w:rsidR="004A168B">
        <w:t>. Przepisy nie ograniczają zatem możliwości zgłoszenia wyższej kwoty, co oczywiście jest uzależnione od decyzji ubezpieczonego, motywowanej indywidualną sytuacją ekonomiczną.</w:t>
      </w:r>
    </w:p>
    <w:p w14:paraId="03E03EED" w14:textId="77777777" w:rsidR="009332B9" w:rsidRDefault="005F2296" w:rsidP="005F2296">
      <w:pPr>
        <w:pStyle w:val="ARTartustawynprozporzdzenia"/>
        <w:ind w:firstLine="0"/>
      </w:pPr>
      <w:r>
        <w:t>Ze względu na to, że zmiany są wprowadzane w prawach i obowiązkach płatników</w:t>
      </w:r>
      <w:r w:rsidR="005B5C4E">
        <w:t>, projekt ustawy przewiduje dodatkowo udoskonalenia i usprawnienia w kwestiach związanych</w:t>
      </w:r>
      <w:r>
        <w:t xml:space="preserve"> z płatnościami do</w:t>
      </w:r>
      <w:r w:rsidR="005B5C4E">
        <w:t xml:space="preserve"> Zakładu Ubezpieczeń Społecznych</w:t>
      </w:r>
      <w:r w:rsidR="00A4397E">
        <w:t>.</w:t>
      </w:r>
    </w:p>
    <w:p w14:paraId="4CDABC4D" w14:textId="3CDAD49F" w:rsidR="005F2296" w:rsidRDefault="0089539B" w:rsidP="005F2296">
      <w:pPr>
        <w:pStyle w:val="ARTartustawynprozporzdzenia"/>
        <w:ind w:firstLine="0"/>
      </w:pPr>
      <w:r>
        <w:t>Modyfikacje</w:t>
      </w:r>
      <w:r w:rsidR="005F2296">
        <w:t xml:space="preserve"> w </w:t>
      </w:r>
      <w:r w:rsidR="00A4397E">
        <w:t>tym zakresie</w:t>
      </w:r>
      <w:r w:rsidR="005F2296">
        <w:t xml:space="preserve"> </w:t>
      </w:r>
      <w:r>
        <w:t>wynikają z potrzeby zmian następujących</w:t>
      </w:r>
      <w:r w:rsidR="005F2296">
        <w:t xml:space="preserve"> </w:t>
      </w:r>
      <w:r w:rsidR="005F2296" w:rsidRPr="00907737">
        <w:t>w systemie płatniczym w ostatnim czasie, tj. wprowadzenie</w:t>
      </w:r>
      <w:r w:rsidR="005F2296">
        <w:t>m</w:t>
      </w:r>
      <w:r w:rsidR="005F2296" w:rsidRPr="00907737">
        <w:t xml:space="preserve"> nowych systemów płatności, takich jak płatności kartowe, natychmiastowe czy mobilne</w:t>
      </w:r>
      <w:r w:rsidR="00D454EB">
        <w:t>,</w:t>
      </w:r>
      <w:r w:rsidR="005F2296" w:rsidRPr="00907737">
        <w:t xml:space="preserve"> oraz nowych podmiotów prowadzących systemy</w:t>
      </w:r>
      <w:r w:rsidR="00EA74CF">
        <w:t>,</w:t>
      </w:r>
      <w:r w:rsidR="005F2296" w:rsidRPr="00907737">
        <w:t xml:space="preserve"> jak np. Polski Standard Płatności sp. z o.o. (system płatności mobilnych BLIK) czy Blue Media S.A. (system płatności </w:t>
      </w:r>
      <w:proofErr w:type="spellStart"/>
      <w:r w:rsidR="005F2296" w:rsidRPr="00907737">
        <w:t>BlueCash</w:t>
      </w:r>
      <w:proofErr w:type="spellEnd"/>
      <w:r w:rsidR="005F2296" w:rsidRPr="00907737">
        <w:t>).</w:t>
      </w:r>
    </w:p>
    <w:p w14:paraId="7E76A445" w14:textId="77777777" w:rsidR="0091359C" w:rsidRPr="00332F50" w:rsidRDefault="0091359C" w:rsidP="0091359C">
      <w:pPr>
        <w:pStyle w:val="ARTartustawynprozporzdzenia"/>
        <w:numPr>
          <w:ilvl w:val="0"/>
          <w:numId w:val="2"/>
        </w:numPr>
        <w:spacing w:before="240"/>
        <w:ind w:left="360"/>
        <w:rPr>
          <w:rFonts w:ascii="Times New Roman" w:hAnsi="Times New Roman" w:cs="Times New Roman"/>
          <w:b/>
        </w:rPr>
      </w:pPr>
      <w:r w:rsidRPr="00474898">
        <w:rPr>
          <w:rFonts w:ascii="Times New Roman" w:hAnsi="Times New Roman" w:cs="Times New Roman"/>
          <w:b/>
          <w:color w:val="000000"/>
          <w:szCs w:val="24"/>
        </w:rPr>
        <w:lastRenderedPageBreak/>
        <w:t>Realizacja art. 66 Prawa przedsiębiorców</w:t>
      </w:r>
    </w:p>
    <w:p w14:paraId="2888E427" w14:textId="3E8DCC2E" w:rsidR="001922C9" w:rsidRDefault="00F21987" w:rsidP="00332F50">
      <w:pPr>
        <w:spacing w:after="120"/>
        <w:jc w:val="both"/>
      </w:pPr>
      <w:r>
        <w:t>Projekt</w:t>
      </w:r>
      <w:r w:rsidR="00332F50" w:rsidRPr="00332F50">
        <w:t xml:space="preserve"> ustawy w oczywisty sposób odnosi się do kwestii działalności gospodarczej, zastosowanie do niego znajduje</w:t>
      </w:r>
      <w:r w:rsidR="001922C9">
        <w:t xml:space="preserve"> zatem</w:t>
      </w:r>
      <w:r w:rsidR="00332F50" w:rsidRPr="00332F50">
        <w:t xml:space="preserve"> art. 66 </w:t>
      </w:r>
      <w:r w:rsidR="00332F50">
        <w:t xml:space="preserve">ustawy z dnia 6 marca 2018 r. </w:t>
      </w:r>
      <w:r w:rsidR="00D454EB">
        <w:t>–</w:t>
      </w:r>
      <w:r w:rsidR="000529F6">
        <w:t xml:space="preserve"> </w:t>
      </w:r>
      <w:r w:rsidR="00332F50">
        <w:t>Prawo przedsiębiorców (Dz. U. z 2019 r. poz. 1292</w:t>
      </w:r>
      <w:r w:rsidR="001922C9">
        <w:t>, z późn. zm.).</w:t>
      </w:r>
    </w:p>
    <w:p w14:paraId="26A57407" w14:textId="77777777" w:rsidR="001922C9" w:rsidRDefault="001922C9" w:rsidP="00332F50">
      <w:pPr>
        <w:spacing w:after="120"/>
        <w:jc w:val="both"/>
      </w:pPr>
      <w:r>
        <w:t>Ponieważ kwestie związane z wysokością składek na ubezpieczenia społeczne regulowane są ustawą o systemie ubezpieczeń społecznych, wprowadzenie jakichkolwiek zmian w tym zakresie wymaga jej nowelizacji. Osiągnięcie zamierzonych celów niemożliwe jest</w:t>
      </w:r>
      <w:r w:rsidR="009D474B">
        <w:t xml:space="preserve"> zatem drogą inną niż ustawowa.</w:t>
      </w:r>
    </w:p>
    <w:p w14:paraId="3460EB70" w14:textId="7E02992F" w:rsidR="00332F50" w:rsidRPr="001922C9" w:rsidRDefault="001922C9" w:rsidP="001922C9">
      <w:pPr>
        <w:spacing w:after="120"/>
        <w:jc w:val="both"/>
      </w:pPr>
      <w:r>
        <w:t>W odniesieniu do wpływu regulacji na działalność mikroprzedsiębiorców oraz małych i</w:t>
      </w:r>
      <w:r w:rsidR="00095344">
        <w:t> </w:t>
      </w:r>
      <w:r>
        <w:t xml:space="preserve">średnich przedsiębiorców, </w:t>
      </w:r>
      <w:r w:rsidR="00EA74CF">
        <w:t xml:space="preserve">został </w:t>
      </w:r>
      <w:r>
        <w:t>on wykazany w</w:t>
      </w:r>
      <w:r w:rsidR="009D474B">
        <w:t xml:space="preserve"> </w:t>
      </w:r>
      <w:r>
        <w:t xml:space="preserve">pkt </w:t>
      </w:r>
      <w:r w:rsidR="00A14736">
        <w:t>5</w:t>
      </w:r>
      <w:r>
        <w:t xml:space="preserve"> uzasadnieni</w:t>
      </w:r>
      <w:r w:rsidR="009D474B">
        <w:t>a.</w:t>
      </w:r>
    </w:p>
    <w:p w14:paraId="0534F8B0" w14:textId="77777777" w:rsidR="001922C9" w:rsidRDefault="0067339B" w:rsidP="00FD0D2D">
      <w:pPr>
        <w:pStyle w:val="ARTartustawynprozporzdzenia"/>
        <w:numPr>
          <w:ilvl w:val="0"/>
          <w:numId w:val="2"/>
        </w:numPr>
        <w:spacing w:before="240"/>
        <w:ind w:left="425" w:hanging="425"/>
        <w:rPr>
          <w:rFonts w:ascii="Times New Roman" w:hAnsi="Times New Roman" w:cs="Times New Roman"/>
          <w:b/>
        </w:rPr>
      </w:pPr>
      <w:r w:rsidRPr="00474898">
        <w:rPr>
          <w:rFonts w:ascii="Times New Roman" w:hAnsi="Times New Roman" w:cs="Times New Roman"/>
          <w:b/>
        </w:rPr>
        <w:t>Projektowane zmiany</w:t>
      </w:r>
    </w:p>
    <w:p w14:paraId="5C3538F9" w14:textId="77777777" w:rsidR="00205B84" w:rsidRDefault="00205B84" w:rsidP="00FD0D2D">
      <w:pPr>
        <w:pStyle w:val="ARTartustawynprozporzdzenia"/>
        <w:spacing w:before="0"/>
        <w:ind w:firstLine="0"/>
      </w:pPr>
      <w:r w:rsidRPr="00D031BA">
        <w:t xml:space="preserve">Według założeń przyjętych przy opracowaniu koncepcji </w:t>
      </w:r>
      <w:r w:rsidR="00B355B2">
        <w:t xml:space="preserve">nowelizacji, będzie ona </w:t>
      </w:r>
      <w:r w:rsidR="000A5871">
        <w:t>modyfikowała</w:t>
      </w:r>
      <w:r w:rsidR="00D031BA">
        <w:t xml:space="preserve"> </w:t>
      </w:r>
      <w:r>
        <w:t>wysokoś</w:t>
      </w:r>
      <w:r w:rsidR="00B355B2">
        <w:t>ć</w:t>
      </w:r>
      <w:r>
        <w:t xml:space="preserve"> progu przychodu umożliwiającego skorzystanie </w:t>
      </w:r>
      <w:r w:rsidR="00D031BA">
        <w:t>z</w:t>
      </w:r>
      <w:r>
        <w:t xml:space="preserve"> ulgi (przychód z ubiegłego roku </w:t>
      </w:r>
      <w:r w:rsidR="00444CC4">
        <w:t>określany</w:t>
      </w:r>
      <w:r>
        <w:t xml:space="preserve"> kwotowo, a nie parametrycznie)</w:t>
      </w:r>
      <w:r w:rsidR="000A5871">
        <w:t xml:space="preserve">, a także dopuści </w:t>
      </w:r>
      <w:r>
        <w:t>ustal</w:t>
      </w:r>
      <w:r w:rsidR="000A5871">
        <w:t>e</w:t>
      </w:r>
      <w:r>
        <w:t>ni</w:t>
      </w:r>
      <w:r w:rsidR="000A5871">
        <w:t>e</w:t>
      </w:r>
      <w:r>
        <w:t xml:space="preserve"> podstawy wymiaru składek na podstawie uzyskanego dochodu. W założeniach przyjmuje się, że prawo do skorzystania z obniżonej składki na ubezpieczenia społeczne będą miały osoby, których przychód </w:t>
      </w:r>
      <w:r w:rsidR="000A04A5">
        <w:t>z pozarolniczej działalności gospodarczej w</w:t>
      </w:r>
      <w:r w:rsidR="00095344">
        <w:t> </w:t>
      </w:r>
      <w:r w:rsidR="000A04A5">
        <w:t xml:space="preserve">poprzednim roku kalendarzowym </w:t>
      </w:r>
      <w:r>
        <w:t xml:space="preserve">nie był wyższy </w:t>
      </w:r>
      <w:r w:rsidR="00444CC4">
        <w:t>niż</w:t>
      </w:r>
      <w:r>
        <w:t xml:space="preserve"> 120 tys. </w:t>
      </w:r>
      <w:r w:rsidR="000A04A5">
        <w:t>zł, jeżeli działalność była prowadzona przez cały rok, lub odpowiednio skorygowany względem liczby dni prowadzenia działalności.</w:t>
      </w:r>
      <w:r w:rsidR="00D031BA">
        <w:t xml:space="preserve"> Z</w:t>
      </w:r>
      <w:r>
        <w:t>asady ustalania obowiązku ubezpieczeń społecznych w</w:t>
      </w:r>
      <w:r w:rsidR="00095344">
        <w:t> </w:t>
      </w:r>
      <w:r>
        <w:t xml:space="preserve">przypadku zbiegu tytułów </w:t>
      </w:r>
      <w:r w:rsidR="00444CC4">
        <w:t>do ubezpieczeń</w:t>
      </w:r>
      <w:r>
        <w:t xml:space="preserve"> pozostają bez zmian</w:t>
      </w:r>
      <w:r w:rsidR="00D031BA">
        <w:t xml:space="preserve">. Podobnie nie ulegnie zmianie </w:t>
      </w:r>
      <w:r>
        <w:t>kolejność korzystania</w:t>
      </w:r>
      <w:r w:rsidR="000A04A5">
        <w:t xml:space="preserve"> </w:t>
      </w:r>
      <w:r>
        <w:t>z ulg w opłacaniu składek na ubezpieczenia społeczne przez osoby prowadzące pozarolniczą działalność gospodarczą (</w:t>
      </w:r>
      <w:r w:rsidR="00D031BA">
        <w:t xml:space="preserve">od </w:t>
      </w:r>
      <w:r w:rsidR="00444CC4">
        <w:t>„</w:t>
      </w:r>
      <w:r>
        <w:t>ulg</w:t>
      </w:r>
      <w:r w:rsidR="00D031BA">
        <w:t>i na start</w:t>
      </w:r>
      <w:r w:rsidR="00444CC4">
        <w:t>”, poprzez</w:t>
      </w:r>
      <w:r w:rsidR="00D031BA">
        <w:t xml:space="preserve"> </w:t>
      </w:r>
      <w:r>
        <w:t>preferencyjne składki</w:t>
      </w:r>
      <w:r w:rsidR="00D031BA">
        <w:t xml:space="preserve">, </w:t>
      </w:r>
      <w:r w:rsidR="00444CC4">
        <w:t xml:space="preserve">aż </w:t>
      </w:r>
      <w:r w:rsidR="00D031BA">
        <w:t>po</w:t>
      </w:r>
      <w:r>
        <w:t xml:space="preserve"> rozszerzony „Mały ZUS”). Dotychczasowe ulgi</w:t>
      </w:r>
      <w:r w:rsidR="00B355B2">
        <w:t xml:space="preserve"> </w:t>
      </w:r>
      <w:r w:rsidR="000A04A5">
        <w:t>w</w:t>
      </w:r>
      <w:r w:rsidR="00095344">
        <w:t> </w:t>
      </w:r>
      <w:r>
        <w:t>opłac</w:t>
      </w:r>
      <w:r w:rsidR="00E55661">
        <w:t xml:space="preserve">aniu składek </w:t>
      </w:r>
      <w:r w:rsidR="00A43458">
        <w:t>pozostaną w</w:t>
      </w:r>
      <w:r w:rsidR="009D474B">
        <w:t xml:space="preserve"> </w:t>
      </w:r>
      <w:r w:rsidR="00444CC4">
        <w:t>niezmienionej formie</w:t>
      </w:r>
      <w:r w:rsidR="00E55661">
        <w:t>, a</w:t>
      </w:r>
      <w:r w:rsidR="009D474B">
        <w:t xml:space="preserve"> </w:t>
      </w:r>
      <w:r w:rsidR="00444CC4">
        <w:t>modyfikacjom</w:t>
      </w:r>
      <w:r>
        <w:t xml:space="preserve"> uleg</w:t>
      </w:r>
      <w:r w:rsidR="00444CC4">
        <w:t>nie</w:t>
      </w:r>
      <w:r>
        <w:t xml:space="preserve"> wyłącznie „Mały ZUS”.</w:t>
      </w:r>
    </w:p>
    <w:p w14:paraId="00D79BC7" w14:textId="44BB88C0" w:rsidR="00E55661" w:rsidRDefault="00205B84" w:rsidP="0062536F">
      <w:pPr>
        <w:pStyle w:val="ARTartustawynprozporzdzenia"/>
        <w:spacing w:before="240"/>
        <w:ind w:firstLine="0"/>
        <w:rPr>
          <w:rFonts w:ascii="Times New Roman" w:hAnsi="Times New Roman" w:cs="Times New Roman"/>
          <w:b/>
        </w:rPr>
      </w:pPr>
      <w:r>
        <w:rPr>
          <w:rFonts w:ascii="Times New Roman" w:hAnsi="Times New Roman" w:cs="Times New Roman"/>
          <w:b/>
        </w:rPr>
        <w:t xml:space="preserve">Szczegółowe omówienie zmian zawartych w </w:t>
      </w:r>
      <w:r w:rsidR="0062496A">
        <w:rPr>
          <w:rFonts w:ascii="Times New Roman" w:hAnsi="Times New Roman" w:cs="Times New Roman"/>
          <w:b/>
        </w:rPr>
        <w:t>projekcie</w:t>
      </w:r>
      <w:r>
        <w:rPr>
          <w:rFonts w:ascii="Times New Roman" w:hAnsi="Times New Roman" w:cs="Times New Roman"/>
          <w:b/>
        </w:rPr>
        <w:t xml:space="preserve"> ustawy</w:t>
      </w:r>
    </w:p>
    <w:p w14:paraId="6A7FC34F" w14:textId="77777777" w:rsidR="0062536F" w:rsidRPr="001922C9" w:rsidRDefault="0062536F" w:rsidP="0062536F">
      <w:pPr>
        <w:pStyle w:val="ARTartustawynprozporzdzenia"/>
        <w:spacing w:before="240"/>
        <w:ind w:firstLine="0"/>
        <w:rPr>
          <w:rFonts w:ascii="Times New Roman" w:hAnsi="Times New Roman" w:cs="Times New Roman"/>
          <w:b/>
        </w:rPr>
      </w:pPr>
      <w:r>
        <w:rPr>
          <w:rFonts w:ascii="Times New Roman" w:hAnsi="Times New Roman" w:cs="Times New Roman"/>
          <w:b/>
          <w:color w:val="000000"/>
          <w:szCs w:val="24"/>
        </w:rPr>
        <w:t xml:space="preserve">3.1. </w:t>
      </w:r>
      <w:r w:rsidR="00924E01">
        <w:rPr>
          <w:rFonts w:ascii="Times New Roman" w:hAnsi="Times New Roman" w:cs="Times New Roman"/>
          <w:b/>
          <w:color w:val="000000"/>
          <w:szCs w:val="24"/>
        </w:rPr>
        <w:t>Tytuł ustawy</w:t>
      </w:r>
    </w:p>
    <w:p w14:paraId="4274995F" w14:textId="77777777" w:rsidR="0062536F" w:rsidRDefault="0062536F" w:rsidP="0062536F">
      <w:pPr>
        <w:spacing w:after="120"/>
        <w:jc w:val="both"/>
      </w:pPr>
      <w:r w:rsidRPr="007E53D5">
        <w:t>Zgodnie z przepisami rozporządzenia Prezesa Rady Ministrów z dnia 20 czerwca 2002 r. w sprawie „Zasad techniki prawodawczej”</w:t>
      </w:r>
      <w:r>
        <w:t xml:space="preserve"> (Dz. U. z 2016 r. poz. 283)</w:t>
      </w:r>
      <w:r w:rsidRPr="007E53D5">
        <w:t xml:space="preserve"> tytuł projektowanej ustawy wskazuje na ustawy, które ulegają nowelizacji.</w:t>
      </w:r>
    </w:p>
    <w:p w14:paraId="0E2CB77E" w14:textId="77777777" w:rsidR="000B3418" w:rsidRDefault="000B3418" w:rsidP="00BA3E4B">
      <w:pPr>
        <w:pStyle w:val="ARTartustawynprozporzdzenia"/>
        <w:keepNext/>
        <w:keepLines/>
        <w:ind w:firstLine="0"/>
        <w:rPr>
          <w:b/>
        </w:rPr>
      </w:pPr>
      <w:r w:rsidRPr="000B3418">
        <w:rPr>
          <w:b/>
        </w:rPr>
        <w:lastRenderedPageBreak/>
        <w:t>3.2. Zmiany w ustawie o systemie ubezpieczeń społecznych</w:t>
      </w:r>
      <w:r w:rsidR="00B434FF">
        <w:rPr>
          <w:b/>
        </w:rPr>
        <w:t xml:space="preserve"> (art. 1)</w:t>
      </w:r>
    </w:p>
    <w:p w14:paraId="6488186A" w14:textId="77777777" w:rsidR="000F7C44" w:rsidRPr="00371104" w:rsidRDefault="000F7C44" w:rsidP="00FD0D2D">
      <w:pPr>
        <w:spacing w:before="120" w:after="120"/>
        <w:jc w:val="both"/>
        <w:rPr>
          <w:b/>
        </w:rPr>
      </w:pPr>
      <w:r w:rsidRPr="00371104">
        <w:rPr>
          <w:b/>
        </w:rPr>
        <w:t>3.2.1. „Mały ZUS”</w:t>
      </w:r>
    </w:p>
    <w:p w14:paraId="541D8AD3" w14:textId="76E2284B" w:rsidR="00E21D5C" w:rsidRDefault="000B3418" w:rsidP="0074762F">
      <w:pPr>
        <w:spacing w:after="120"/>
        <w:jc w:val="both"/>
      </w:pPr>
      <w:r>
        <w:t>Zmiany przewidziane w art. 1 pkt 2</w:t>
      </w:r>
      <w:r w:rsidR="00D454EB">
        <w:t>–</w:t>
      </w:r>
      <w:r w:rsidR="00757A9A">
        <w:t xml:space="preserve">7 </w:t>
      </w:r>
      <w:r w:rsidR="00A454DA">
        <w:t xml:space="preserve">oraz </w:t>
      </w:r>
      <w:r w:rsidR="00757A9A">
        <w:t>9</w:t>
      </w:r>
      <w:r w:rsidR="00EA74CF">
        <w:t xml:space="preserve"> projektu</w:t>
      </w:r>
      <w:r w:rsidR="00757A9A">
        <w:t xml:space="preserve"> </w:t>
      </w:r>
      <w:r>
        <w:t xml:space="preserve">odnoszą się bezpośrednio do </w:t>
      </w:r>
      <w:r w:rsidR="0074762F">
        <w:t>wprowadzanego rozszerzonego „Małego ZUS-u”.</w:t>
      </w:r>
      <w:r w:rsidR="00F419D0">
        <w:t xml:space="preserve"> </w:t>
      </w:r>
      <w:r w:rsidR="00EA74CF">
        <w:t>W art. 1 p</w:t>
      </w:r>
      <w:r w:rsidR="0074762F">
        <w:t xml:space="preserve">kt </w:t>
      </w:r>
      <w:r w:rsidR="00757A9A">
        <w:t xml:space="preserve">3 </w:t>
      </w:r>
      <w:r w:rsidR="0074762F">
        <w:t xml:space="preserve">lit. a </w:t>
      </w:r>
      <w:r w:rsidR="00EA74CF">
        <w:t xml:space="preserve">projektu </w:t>
      </w:r>
      <w:r w:rsidR="0074762F">
        <w:t xml:space="preserve">nadaje </w:t>
      </w:r>
      <w:r w:rsidR="00EA74CF">
        <w:t xml:space="preserve">się </w:t>
      </w:r>
      <w:r w:rsidR="0074762F">
        <w:t>nowe brzmienie art. 18c ust. 1</w:t>
      </w:r>
      <w:r w:rsidR="00D454EB">
        <w:t>–</w:t>
      </w:r>
      <w:r w:rsidR="0074762F">
        <w:t>4 ustawy o systemie ubezpieczeń społecznych. Zmiany umożliwiają skorzystanie z obniżenia składek na ubezpieczenia społeczne przedsiębiorcom, którzy osiągnęli w poprzedni</w:t>
      </w:r>
      <w:r w:rsidR="004021DE">
        <w:t>m roku kalendarzowym przychód z </w:t>
      </w:r>
      <w:r w:rsidR="0074762F">
        <w:t>pozarolniczej działalności gospodar</w:t>
      </w:r>
      <w:r w:rsidR="002472C2">
        <w:t>czej nie wyższy niż 120 tys. zł</w:t>
      </w:r>
      <w:r w:rsidR="0074762F">
        <w:t xml:space="preserve"> (jak już wspomniano, dotychczasowe regulacje </w:t>
      </w:r>
      <w:r w:rsidR="00104F3A">
        <w:t>uzależniały</w:t>
      </w:r>
      <w:r w:rsidR="0074762F">
        <w:t xml:space="preserve"> możliwość skorzystania z „Małego ZUS-u” od nieosiągania rocznego przychodu z ww. tytułu w wysokości przekraczającej 30-krotność kwoty minimalnego wynagrodzenia obowiązującego w grudniu poprzedniego roku). Tym samym, wskaźnik ten przestaje mieć charakter parametryczny (tj. uzależniony od określonej zmiennej), a</w:t>
      </w:r>
      <w:r w:rsidR="00EA74CF">
        <w:t xml:space="preserve"> </w:t>
      </w:r>
      <w:r w:rsidR="0074762F">
        <w:t xml:space="preserve">staje się pewny i stabilny. </w:t>
      </w:r>
      <w:r w:rsidR="00E21D5C">
        <w:t>Nie oznacza to</w:t>
      </w:r>
      <w:r w:rsidR="002A3AA0">
        <w:t xml:space="preserve"> oczywiście</w:t>
      </w:r>
      <w:r w:rsidR="00E21D5C">
        <w:t xml:space="preserve">, że nie będzie mógł on ulec </w:t>
      </w:r>
      <w:r w:rsidR="00E81671">
        <w:t>modyfikacji</w:t>
      </w:r>
      <w:r w:rsidR="00E21D5C">
        <w:t xml:space="preserve"> w przyszłości – ewentualna ustawowa zmiana w tym zakresie uzależniona będzie jednak od wcześniejszej </w:t>
      </w:r>
      <w:r w:rsidR="002472C2">
        <w:t xml:space="preserve">pogłębionej </w:t>
      </w:r>
      <w:r w:rsidR="00E21D5C">
        <w:t>analizy wielu istotnych czynników ekonomicznych, takich jak np. poziom inflacji czy przeciętne miesięczne wynagrodzenie.</w:t>
      </w:r>
    </w:p>
    <w:p w14:paraId="0C63A536" w14:textId="15F754CD" w:rsidR="0074762F" w:rsidRDefault="00E21D5C" w:rsidP="0074762F">
      <w:pPr>
        <w:spacing w:after="120"/>
        <w:jc w:val="both"/>
      </w:pPr>
      <w:r>
        <w:t>W przypadku, gdy dany przedsiębiorca</w:t>
      </w:r>
      <w:r w:rsidR="00BF29C5">
        <w:t>, będący ubezpieczonym, o którym mowa w art. 18c ust. 1 ustawy o systemie ubezpieczeń społecznych, w projektowanym brzmieniu,</w:t>
      </w:r>
      <w:r>
        <w:t xml:space="preserve"> spełnił powyższy wymóg, podstawa wymiaru składek na jego ubezpieczenia społeczne obliczana będzie zgodnie z wysokością </w:t>
      </w:r>
      <w:r w:rsidRPr="005A55C7">
        <w:t>przeciętn</w:t>
      </w:r>
      <w:r>
        <w:t>ego</w:t>
      </w:r>
      <w:r w:rsidRPr="005A55C7">
        <w:t xml:space="preserve"> miesięczn</w:t>
      </w:r>
      <w:r>
        <w:t>ego</w:t>
      </w:r>
      <w:r w:rsidRPr="005A55C7">
        <w:t xml:space="preserve"> doch</w:t>
      </w:r>
      <w:r>
        <w:t>odu</w:t>
      </w:r>
      <w:r w:rsidRPr="005A55C7">
        <w:t xml:space="preserve"> z</w:t>
      </w:r>
      <w:r w:rsidR="00A47AB7">
        <w:t> </w:t>
      </w:r>
      <w:r w:rsidRPr="005A55C7">
        <w:t xml:space="preserve">pozarolniczej działalności gospodarczej </w:t>
      </w:r>
      <w:r>
        <w:t xml:space="preserve">osiągniętego przez niego </w:t>
      </w:r>
      <w:r w:rsidRPr="005A55C7">
        <w:t>w poprzednim roku kalendarzowym</w:t>
      </w:r>
      <w:r>
        <w:t>, zgodnie z regułami przewidzianymi w art. 18c ust. 3 i 4 ustawy o</w:t>
      </w:r>
      <w:r w:rsidR="00A47AB7">
        <w:t> </w:t>
      </w:r>
      <w:r>
        <w:t>systemie ubezpieczeń społecznyc</w:t>
      </w:r>
      <w:r w:rsidR="004A113D">
        <w:t>h</w:t>
      </w:r>
      <w:r w:rsidR="00F419D0">
        <w:t xml:space="preserve">. </w:t>
      </w:r>
      <w:r w:rsidR="00AA59D2">
        <w:t>P</w:t>
      </w:r>
      <w:r w:rsidR="00F419D0">
        <w:t xml:space="preserve">odstawa wymiaru składek będzie </w:t>
      </w:r>
      <w:r w:rsidR="00397D51">
        <w:t xml:space="preserve">zatem </w:t>
      </w:r>
      <w:r w:rsidR="00F419D0">
        <w:t>stanowić</w:t>
      </w:r>
      <w:r w:rsidR="009D474B">
        <w:t xml:space="preserve"> </w:t>
      </w:r>
      <w:r w:rsidR="00F419D0">
        <w:t>połowę</w:t>
      </w:r>
      <w:r w:rsidR="009D474B">
        <w:t xml:space="preserve"> tego dochodu, z</w:t>
      </w:r>
      <w:r w:rsidR="00095344">
        <w:t> </w:t>
      </w:r>
      <w:r w:rsidR="004A113D">
        <w:t>uwzględnieniem liczby dni prowadzenia działalności</w:t>
      </w:r>
      <w:r w:rsidR="002757FD">
        <w:t xml:space="preserve"> gospodarczej</w:t>
      </w:r>
      <w:r w:rsidR="004A113D">
        <w:t xml:space="preserve">. Co istotne, </w:t>
      </w:r>
      <w:r w:rsidR="00397D51">
        <w:t xml:space="preserve">zgodnie z przepisem art. 18c ust. 2 ustawy o systemie ubezpieczeń społecznych </w:t>
      </w:r>
      <w:r w:rsidR="004A113D">
        <w:t xml:space="preserve">nie będzie </w:t>
      </w:r>
      <w:r w:rsidR="00397D51">
        <w:t xml:space="preserve">ona </w:t>
      </w:r>
      <w:r w:rsidR="004A113D">
        <w:t xml:space="preserve">mogła </w:t>
      </w:r>
      <w:r w:rsidR="00397D51">
        <w:t xml:space="preserve">być </w:t>
      </w:r>
      <w:r w:rsidR="007767CA">
        <w:t xml:space="preserve">przy tym </w:t>
      </w:r>
      <w:r w:rsidR="004A113D">
        <w:t xml:space="preserve">niższa niż 30% </w:t>
      </w:r>
      <w:r w:rsidR="00397D51">
        <w:t xml:space="preserve">kwoty </w:t>
      </w:r>
      <w:r w:rsidR="004A113D">
        <w:t>minimalnego wynagrodzenia</w:t>
      </w:r>
      <w:r w:rsidR="00397D51">
        <w:t xml:space="preserve"> obowiązującego w styczniu danego roku</w:t>
      </w:r>
      <w:r w:rsidR="004A113D">
        <w:t xml:space="preserve"> (co stanowi minimalną wysokość podstawy wymiaru preferencyjny</w:t>
      </w:r>
      <w:r w:rsidR="009D474B">
        <w:t>ch składek ubezpieczeniowych, o</w:t>
      </w:r>
      <w:r w:rsidR="00095344">
        <w:t> </w:t>
      </w:r>
      <w:r w:rsidR="004A113D">
        <w:t xml:space="preserve">której mowa w art. 18a ustawy o systemie ubezpieczeń społecznych) i wyższa niż 60% prognozowanego </w:t>
      </w:r>
      <w:r w:rsidR="00F419D0">
        <w:t xml:space="preserve">przeciętnego </w:t>
      </w:r>
      <w:r w:rsidR="004A113D">
        <w:t xml:space="preserve">wynagrodzenia </w:t>
      </w:r>
      <w:r w:rsidR="00F419D0">
        <w:t>na dany rok kalendarzowy</w:t>
      </w:r>
      <w:r w:rsidR="004A113D">
        <w:t xml:space="preserve"> (co stanowi „zryczałtowaną” </w:t>
      </w:r>
      <w:r w:rsidR="002757FD">
        <w:t xml:space="preserve">podstawę wymiaru </w:t>
      </w:r>
      <w:r w:rsidR="004A113D">
        <w:t>składek na ubezpieczenia społeczne osób, które prowadzą pozarolniczą działalność</w:t>
      </w:r>
      <w:r w:rsidR="00397D51">
        <w:t xml:space="preserve"> gospodarczą</w:t>
      </w:r>
      <w:r w:rsidR="004A113D">
        <w:t xml:space="preserve"> i nie korzystają przy tym z żadny</w:t>
      </w:r>
      <w:r w:rsidR="004021DE">
        <w:t xml:space="preserve">ch </w:t>
      </w:r>
      <w:r w:rsidR="004021DE">
        <w:lastRenderedPageBreak/>
        <w:t>zwolnień oraz ulg, zgodnie z </w:t>
      </w:r>
      <w:r w:rsidR="004A113D">
        <w:t>art. 18 ust. 8 ustawy o systemie ubezpieczeń społecznych)</w:t>
      </w:r>
      <w:r w:rsidR="006F3AE1">
        <w:t xml:space="preserve"> – jest to rozwiązanie </w:t>
      </w:r>
      <w:r w:rsidR="00AA59D2">
        <w:t>analogiczne jak obecnie obowiązujące</w:t>
      </w:r>
      <w:r w:rsidR="004A113D">
        <w:t>.</w:t>
      </w:r>
    </w:p>
    <w:p w14:paraId="65C5B2F3" w14:textId="75D09C19" w:rsidR="004A113D" w:rsidRDefault="004A113D" w:rsidP="0074762F">
      <w:pPr>
        <w:spacing w:after="120"/>
        <w:jc w:val="both"/>
      </w:pPr>
      <w:r>
        <w:t xml:space="preserve">Pkt </w:t>
      </w:r>
      <w:r w:rsidR="00757A9A">
        <w:t xml:space="preserve">3 </w:t>
      </w:r>
      <w:r>
        <w:t>lit. b dodaje do art. 18</w:t>
      </w:r>
      <w:r w:rsidR="0079726A">
        <w:t>c</w:t>
      </w:r>
      <w:r>
        <w:t xml:space="preserve"> ustawy o systemie ubezpieczeń społecznych nowy ust. 4a. Zgodnie bowiem z ogólnymi regułami </w:t>
      </w:r>
      <w:r w:rsidR="00B60BA3">
        <w:t>fiskalnymi zawartymi w ustawie z dnia 26 lipca 1991 r. o podatku dochodowym od osób fizycznych (Dz. U. z 2019 r. poz. 1387, z późn. zm.), na potrzeby wyliczania dochodu</w:t>
      </w:r>
      <w:r w:rsidR="00397D51">
        <w:t xml:space="preserve"> </w:t>
      </w:r>
      <w:r w:rsidR="00B60BA3">
        <w:t>wysokość opłaconych składek na ubezpieczenia społeczne może zostać odjęta od przychodu jako koszt. Wprowadzenie podobnej reguły na potrzeby proponowanego rozwiązania mogłoby prowadzić do swoistego „zapętlenia”, zgodnie z którym opłacone składki na ubezpieczenia społeczne w jednym roku kalendarzowym obniżałyby wartość dochodu, a tym samym umożliwiałyby zapłacenie odpowiednio niższych składek w roku następnym. W związku z tym, projektodawca postanowił jednoznacznie przesądzić, że w przypadku, gdy składki na ubezpieczenia społeczne przedsiębiorcy</w:t>
      </w:r>
      <w:r w:rsidR="0054010C">
        <w:t xml:space="preserve"> będącego ubezpieczonym, o którym mowa w art. 18c ust. 1</w:t>
      </w:r>
      <w:r w:rsidR="00AE6B92">
        <w:t> </w:t>
      </w:r>
      <w:r w:rsidR="0054010C">
        <w:t>ustawy o systemie ubezpieczeń społecznych, w projektowanym brzmieniu</w:t>
      </w:r>
      <w:r w:rsidR="007E7B54">
        <w:t>,</w:t>
      </w:r>
      <w:r w:rsidR="00B60BA3">
        <w:t xml:space="preserve"> (oraz osób z</w:t>
      </w:r>
      <w:r w:rsidR="00AE6B92">
        <w:t> </w:t>
      </w:r>
      <w:r w:rsidR="00B60BA3">
        <w:t xml:space="preserve">nim współpracujących) </w:t>
      </w:r>
      <w:r w:rsidR="00B60BA3" w:rsidRPr="005A55C7">
        <w:t xml:space="preserve">zostały zaliczone do kosztów uzyskania przychodu, </w:t>
      </w:r>
      <w:r w:rsidR="00B60BA3">
        <w:t xml:space="preserve">to </w:t>
      </w:r>
      <w:r w:rsidR="00B60BA3" w:rsidRPr="005A55C7">
        <w:t>roczny dochód z pozarolniczej działalności gospodarczej</w:t>
      </w:r>
      <w:r w:rsidR="00673389">
        <w:t>, liczony na potrzeby określenia podstawy wymiaru składek ubezpieczeniowych na kolejny rok</w:t>
      </w:r>
      <w:r w:rsidR="00673389">
        <w:rPr>
          <w:rStyle w:val="Odwoanieprzypisudolnego"/>
        </w:rPr>
        <w:footnoteReference w:id="2"/>
      </w:r>
      <w:r w:rsidR="00971BD2" w:rsidRPr="00971BD2">
        <w:rPr>
          <w:rFonts w:cs="Times New Roman"/>
          <w:color w:val="000000"/>
          <w:vertAlign w:val="superscript"/>
        </w:rPr>
        <w:t>)</w:t>
      </w:r>
      <w:r w:rsidR="00673389">
        <w:t>,</w:t>
      </w:r>
      <w:r w:rsidR="00B60BA3" w:rsidRPr="005A55C7">
        <w:t xml:space="preserve"> </w:t>
      </w:r>
      <w:r w:rsidR="00673389">
        <w:t>powinien zostać powiększony o ich wysokość</w:t>
      </w:r>
      <w:r w:rsidR="00B60BA3">
        <w:t>.</w:t>
      </w:r>
    </w:p>
    <w:p w14:paraId="6C6F062A" w14:textId="77777777" w:rsidR="006F3AE1" w:rsidRDefault="00673389" w:rsidP="0062536F">
      <w:pPr>
        <w:spacing w:after="120"/>
        <w:jc w:val="both"/>
      </w:pPr>
      <w:r>
        <w:t xml:space="preserve">Zgodnie ze zmianą przewidzianą w </w:t>
      </w:r>
      <w:r w:rsidR="00EA74CF">
        <w:t xml:space="preserve">art. 1 </w:t>
      </w:r>
      <w:r>
        <w:t xml:space="preserve">pkt </w:t>
      </w:r>
      <w:r w:rsidR="00757A9A">
        <w:t xml:space="preserve">3 </w:t>
      </w:r>
      <w:r>
        <w:t xml:space="preserve">lit. c </w:t>
      </w:r>
      <w:r w:rsidR="00EA74CF">
        <w:t xml:space="preserve">projektu, </w:t>
      </w:r>
      <w:r>
        <w:t>w ustawie o systemie ubezpieczeń społecznych uchyla się art. 18a ust. 5 i 6. Przepisy te przewidywały bowiem coroczne ogłaszanie przez Prezesa Zakładu Ubezpieczeń Społecznych współczynnika „korygującego”, bazującego na prognozowanym przeciętnym wynagrodzeniu oraz minimalnym wynagrodzeniu, który to współczynnik stanowił podstawę obliczania podstawy wymiaru składek na ubezpieczenia społeczne dla osób korzystających z</w:t>
      </w:r>
      <w:r w:rsidR="009B2604">
        <w:t> </w:t>
      </w:r>
      <w:r>
        <w:t>„Małego ZUS-u”</w:t>
      </w:r>
      <w:r w:rsidR="006F3AE1">
        <w:t xml:space="preserve"> (w 2019 r</w:t>
      </w:r>
      <w:r w:rsidR="00397D51">
        <w:t>.</w:t>
      </w:r>
      <w:r w:rsidR="006F3AE1">
        <w:t xml:space="preserve"> wynosi on </w:t>
      </w:r>
      <w:r w:rsidR="006F3AE1" w:rsidRPr="007E1B2E">
        <w:t>0,5083</w:t>
      </w:r>
      <w:r w:rsidR="006F3AE1">
        <w:t>). Jak już wspomniano, zgodnie z</w:t>
      </w:r>
      <w:r w:rsidR="009B2604">
        <w:t> </w:t>
      </w:r>
      <w:r w:rsidR="006F3AE1">
        <w:t xml:space="preserve">proponowanym w niniejszym projekcie rozwiązaniem, wysokość składek w ramach „Małego ZUS-u” uzależniona będzie </w:t>
      </w:r>
      <w:r w:rsidR="00A17F8B">
        <w:t xml:space="preserve">natomiast </w:t>
      </w:r>
      <w:r w:rsidR="006F3AE1">
        <w:t xml:space="preserve">od dochodu, a nie jak dotąd, od przychodu, a </w:t>
      </w:r>
      <w:r w:rsidR="002E2D13">
        <w:t>wytyczanie podstawy ich wymiaru</w:t>
      </w:r>
      <w:r w:rsidR="006F3AE1">
        <w:t xml:space="preserve"> odbywać się będzie w oparciu o stały współczynnik 0,5, zgodnie z nowym brzmieniem art. 18c ust. 3 ustawy o systemie ubezpieczeń społecznych. Tym samym, normy zawarte w ust. 5 i 6 stają się bezprzedmiotowe</w:t>
      </w:r>
      <w:r w:rsidR="002E2D13">
        <w:t xml:space="preserve"> i wymagają uchylenia</w:t>
      </w:r>
      <w:r w:rsidR="006F3AE1">
        <w:t>.</w:t>
      </w:r>
    </w:p>
    <w:p w14:paraId="7A4C7D0E" w14:textId="271974A4" w:rsidR="00DF1982" w:rsidRDefault="00B67B2A" w:rsidP="0062536F">
      <w:pPr>
        <w:spacing w:after="120"/>
        <w:jc w:val="both"/>
        <w:rPr>
          <w:rFonts w:cs="Times New Roman"/>
          <w:szCs w:val="24"/>
        </w:rPr>
      </w:pPr>
      <w:r w:rsidRPr="00B67B2A">
        <w:rPr>
          <w:rFonts w:cs="Times New Roman"/>
          <w:szCs w:val="24"/>
        </w:rPr>
        <w:t xml:space="preserve">Modyfikacja przewidziana w </w:t>
      </w:r>
      <w:r w:rsidR="00EA74CF">
        <w:rPr>
          <w:rFonts w:cs="Times New Roman"/>
          <w:szCs w:val="24"/>
        </w:rPr>
        <w:t xml:space="preserve">art. 1 </w:t>
      </w:r>
      <w:r w:rsidRPr="00B67B2A">
        <w:rPr>
          <w:rFonts w:cs="Times New Roman"/>
          <w:szCs w:val="24"/>
        </w:rPr>
        <w:t xml:space="preserve">pkt </w:t>
      </w:r>
      <w:r w:rsidR="00757A9A">
        <w:rPr>
          <w:rFonts w:cs="Times New Roman"/>
          <w:szCs w:val="24"/>
        </w:rPr>
        <w:t>3</w:t>
      </w:r>
      <w:r w:rsidR="00757A9A" w:rsidRPr="00B67B2A">
        <w:rPr>
          <w:rFonts w:cs="Times New Roman"/>
          <w:szCs w:val="24"/>
        </w:rPr>
        <w:t xml:space="preserve"> </w:t>
      </w:r>
      <w:r w:rsidRPr="00B67B2A">
        <w:rPr>
          <w:rFonts w:cs="Times New Roman"/>
          <w:szCs w:val="24"/>
        </w:rPr>
        <w:t xml:space="preserve">lit. d </w:t>
      </w:r>
      <w:r w:rsidR="00EA74CF">
        <w:rPr>
          <w:rFonts w:cs="Times New Roman"/>
          <w:szCs w:val="24"/>
        </w:rPr>
        <w:t xml:space="preserve">projektu </w:t>
      </w:r>
      <w:r w:rsidR="004021DE">
        <w:rPr>
          <w:rFonts w:cs="Times New Roman"/>
          <w:szCs w:val="24"/>
        </w:rPr>
        <w:t xml:space="preserve">ma charakter wtórny </w:t>
      </w:r>
      <w:r w:rsidR="004021DE">
        <w:rPr>
          <w:rFonts w:cs="Times New Roman"/>
          <w:szCs w:val="24"/>
        </w:rPr>
        <w:lastRenderedPageBreak/>
        <w:t>i </w:t>
      </w:r>
      <w:r w:rsidRPr="00B67B2A">
        <w:rPr>
          <w:rFonts w:cs="Times New Roman"/>
          <w:szCs w:val="24"/>
        </w:rPr>
        <w:t>legislacyjny. Związana jest ona z koniecznością zastąpienia sformułowania „</w:t>
      </w:r>
      <w:r w:rsidRPr="00371104">
        <w:rPr>
          <w:rFonts w:cs="Times New Roman"/>
          <w:color w:val="000000"/>
          <w:szCs w:val="24"/>
        </w:rPr>
        <w:t>trzydziestokrotność kwoty minimalnego wynagrodzenia obowiązującego w grudniu poprzedniego roku kalendarzowego</w:t>
      </w:r>
      <w:r w:rsidRPr="00B67B2A">
        <w:rPr>
          <w:rFonts w:cs="Times New Roman"/>
          <w:szCs w:val="24"/>
        </w:rPr>
        <w:t xml:space="preserve">” </w:t>
      </w:r>
      <w:r w:rsidR="00EA74CF">
        <w:rPr>
          <w:rFonts w:cs="Times New Roman"/>
          <w:szCs w:val="24"/>
        </w:rPr>
        <w:t>wyrazami</w:t>
      </w:r>
      <w:r w:rsidR="00EA74CF" w:rsidRPr="00B67B2A">
        <w:rPr>
          <w:rFonts w:cs="Times New Roman"/>
          <w:szCs w:val="24"/>
        </w:rPr>
        <w:t xml:space="preserve"> </w:t>
      </w:r>
      <w:r w:rsidRPr="00B67B2A">
        <w:rPr>
          <w:rFonts w:cs="Times New Roman"/>
          <w:szCs w:val="24"/>
        </w:rPr>
        <w:t>„kwotę 120</w:t>
      </w:r>
      <w:r w:rsidR="00095344">
        <w:rPr>
          <w:rFonts w:cs="Times New Roman"/>
          <w:szCs w:val="24"/>
        </w:rPr>
        <w:t xml:space="preserve"> </w:t>
      </w:r>
      <w:r w:rsidRPr="00B67B2A">
        <w:rPr>
          <w:rFonts w:cs="Times New Roman"/>
          <w:szCs w:val="24"/>
        </w:rPr>
        <w:t>000,00 złotych”</w:t>
      </w:r>
      <w:r>
        <w:rPr>
          <w:rFonts w:cs="Times New Roman"/>
          <w:szCs w:val="24"/>
        </w:rPr>
        <w:t>, celem zachowania spójności z</w:t>
      </w:r>
      <w:r w:rsidR="009B2604">
        <w:rPr>
          <w:rFonts w:cs="Times New Roman"/>
          <w:szCs w:val="24"/>
        </w:rPr>
        <w:t> </w:t>
      </w:r>
      <w:r>
        <w:rPr>
          <w:rFonts w:cs="Times New Roman"/>
          <w:szCs w:val="24"/>
        </w:rPr>
        <w:t xml:space="preserve">rozwiązaniem przewidzianym </w:t>
      </w:r>
      <w:r w:rsidR="00DD6B87">
        <w:rPr>
          <w:rFonts w:cs="Times New Roman"/>
          <w:szCs w:val="24"/>
        </w:rPr>
        <w:t xml:space="preserve">w </w:t>
      </w:r>
      <w:r w:rsidR="00354E39">
        <w:rPr>
          <w:rFonts w:cs="Times New Roman"/>
          <w:szCs w:val="24"/>
        </w:rPr>
        <w:t>art. 18c ust. 1 ustawy o systemie ubezpieczeń społecznych</w:t>
      </w:r>
      <w:r w:rsidR="00DD6B87">
        <w:rPr>
          <w:rFonts w:cs="Times New Roman"/>
          <w:szCs w:val="24"/>
        </w:rPr>
        <w:t>, w jego nowym brzmieniu</w:t>
      </w:r>
      <w:r w:rsidR="00354E39">
        <w:rPr>
          <w:rFonts w:cs="Times New Roman"/>
          <w:szCs w:val="24"/>
        </w:rPr>
        <w:t>.</w:t>
      </w:r>
    </w:p>
    <w:p w14:paraId="63666F68" w14:textId="5036DD04" w:rsidR="00DF1982" w:rsidRPr="00AE07E0" w:rsidRDefault="00DF1982" w:rsidP="00AE07E0">
      <w:pPr>
        <w:spacing w:after="120"/>
        <w:jc w:val="both"/>
        <w:rPr>
          <w:rFonts w:cs="Times New Roman"/>
          <w:szCs w:val="24"/>
        </w:rPr>
      </w:pPr>
      <w:r>
        <w:rPr>
          <w:rFonts w:cs="Times New Roman"/>
          <w:szCs w:val="24"/>
        </w:rPr>
        <w:t xml:space="preserve">Zmiana określona w </w:t>
      </w:r>
      <w:r w:rsidR="00EA74CF">
        <w:rPr>
          <w:rFonts w:cs="Times New Roman"/>
          <w:szCs w:val="24"/>
        </w:rPr>
        <w:t xml:space="preserve">art. 1 </w:t>
      </w:r>
      <w:r>
        <w:rPr>
          <w:rFonts w:cs="Times New Roman"/>
          <w:szCs w:val="24"/>
        </w:rPr>
        <w:t xml:space="preserve">pkt </w:t>
      </w:r>
      <w:r w:rsidR="00757A9A">
        <w:rPr>
          <w:rFonts w:cs="Times New Roman"/>
          <w:szCs w:val="24"/>
        </w:rPr>
        <w:t xml:space="preserve">3 </w:t>
      </w:r>
      <w:r>
        <w:rPr>
          <w:rFonts w:cs="Times New Roman"/>
          <w:szCs w:val="24"/>
        </w:rPr>
        <w:t xml:space="preserve">lit. e </w:t>
      </w:r>
      <w:r w:rsidR="00EA74CF">
        <w:rPr>
          <w:rFonts w:cs="Times New Roman"/>
          <w:szCs w:val="24"/>
        </w:rPr>
        <w:t xml:space="preserve">projektu </w:t>
      </w:r>
      <w:r>
        <w:rPr>
          <w:rFonts w:cs="Times New Roman"/>
          <w:szCs w:val="24"/>
        </w:rPr>
        <w:t>zakłada natomiast, że oprócz dotychczasowego obowiązku przedkładania przez przedsiębiorcę informacji o rocznym przychodzie z tytułu prowadzenia pozarolniczej d</w:t>
      </w:r>
      <w:r w:rsidR="004021DE">
        <w:rPr>
          <w:rFonts w:cs="Times New Roman"/>
          <w:szCs w:val="24"/>
        </w:rPr>
        <w:t>ziałalności gospodarczej oraz o </w:t>
      </w:r>
      <w:r>
        <w:rPr>
          <w:rFonts w:cs="Times New Roman"/>
          <w:szCs w:val="24"/>
        </w:rPr>
        <w:t>podstawie wymiaru składek, powinien on dodatkowo przekazywać dane dotyczące dochodu oraz form opodatkowania. Dan</w:t>
      </w:r>
      <w:r w:rsidRPr="00DF1982">
        <w:rPr>
          <w:rFonts w:cs="Times New Roman"/>
          <w:szCs w:val="24"/>
        </w:rPr>
        <w:t xml:space="preserve">e te są bowiem </w:t>
      </w:r>
      <w:r w:rsidR="005A5C18">
        <w:rPr>
          <w:rFonts w:cs="Times New Roman"/>
          <w:szCs w:val="24"/>
        </w:rPr>
        <w:t xml:space="preserve">dla </w:t>
      </w:r>
      <w:r w:rsidRPr="00DF1982">
        <w:rPr>
          <w:rFonts w:cs="Times New Roman"/>
          <w:szCs w:val="24"/>
        </w:rPr>
        <w:t>Zakład</w:t>
      </w:r>
      <w:r w:rsidR="005A5C18">
        <w:rPr>
          <w:rFonts w:cs="Times New Roman"/>
          <w:szCs w:val="24"/>
        </w:rPr>
        <w:t>u</w:t>
      </w:r>
      <w:r w:rsidRPr="00DF1982">
        <w:rPr>
          <w:rFonts w:cs="Times New Roman"/>
          <w:szCs w:val="24"/>
        </w:rPr>
        <w:t xml:space="preserve"> </w:t>
      </w:r>
      <w:r w:rsidR="005A5C18">
        <w:rPr>
          <w:rFonts w:cs="Times New Roman"/>
          <w:szCs w:val="24"/>
        </w:rPr>
        <w:t xml:space="preserve">Ubezpieczeń Społecznych </w:t>
      </w:r>
      <w:r w:rsidRPr="00DF1982">
        <w:rPr>
          <w:rFonts w:cs="Times New Roman"/>
          <w:szCs w:val="24"/>
        </w:rPr>
        <w:t xml:space="preserve">niezbędne dla celów weryfikacji prawidłowości obliczania wysokości </w:t>
      </w:r>
      <w:r w:rsidRPr="008078AF">
        <w:rPr>
          <w:rFonts w:cs="Times New Roman"/>
          <w:szCs w:val="24"/>
        </w:rPr>
        <w:t>składek ubezpieczeniowych w ramach nowego „Małego ZUS-u”. Warto przy tym podkreślić, że owe dodatkowe infor</w:t>
      </w:r>
      <w:r w:rsidRPr="00D21839">
        <w:rPr>
          <w:rFonts w:cs="Times New Roman"/>
          <w:szCs w:val="24"/>
        </w:rPr>
        <w:t xml:space="preserve">macje będą przez przedsiębiorcę składane, </w:t>
      </w:r>
      <w:r w:rsidR="00AE0AB6">
        <w:rPr>
          <w:rFonts w:cs="Times New Roman"/>
          <w:szCs w:val="24"/>
        </w:rPr>
        <w:t xml:space="preserve">tak </w:t>
      </w:r>
      <w:r w:rsidRPr="00D21839">
        <w:rPr>
          <w:rFonts w:cs="Times New Roman"/>
          <w:szCs w:val="24"/>
        </w:rPr>
        <w:t xml:space="preserve">jak dotychczas, w </w:t>
      </w:r>
      <w:r w:rsidRPr="00371104">
        <w:rPr>
          <w:rFonts w:eastAsia="Times New Roman" w:cs="Times New Roman"/>
          <w:color w:val="000000"/>
          <w:szCs w:val="24"/>
        </w:rPr>
        <w:t>imiennym raporcie miesięcznym albo w deklaracji rozliczeniowej, nie wymagają one zatem wypełniania przez niego żadny</w:t>
      </w:r>
      <w:r w:rsidRPr="00AE07E0">
        <w:rPr>
          <w:rFonts w:cs="Times New Roman"/>
          <w:szCs w:val="24"/>
        </w:rPr>
        <w:t>ch dodatkowych nowych formularzy ani druków.</w:t>
      </w:r>
    </w:p>
    <w:p w14:paraId="6BCCC338" w14:textId="315AB26D" w:rsidR="0086748F" w:rsidRDefault="00EA74CF" w:rsidP="00D21839">
      <w:pPr>
        <w:spacing w:after="120"/>
        <w:jc w:val="both"/>
      </w:pPr>
      <w:r>
        <w:rPr>
          <w:rFonts w:cs="Times New Roman"/>
          <w:szCs w:val="24"/>
        </w:rPr>
        <w:t>Zmiana w art. 1 p</w:t>
      </w:r>
      <w:r w:rsidR="008078AF" w:rsidRPr="00AE07E0">
        <w:rPr>
          <w:rFonts w:cs="Times New Roman"/>
          <w:szCs w:val="24"/>
        </w:rPr>
        <w:t xml:space="preserve">kt </w:t>
      </w:r>
      <w:r w:rsidR="00757A9A">
        <w:rPr>
          <w:rFonts w:cs="Times New Roman"/>
          <w:szCs w:val="24"/>
        </w:rPr>
        <w:t>3</w:t>
      </w:r>
      <w:r w:rsidR="00757A9A">
        <w:rPr>
          <w:rFonts w:eastAsia="Times New Roman" w:cs="Times New Roman"/>
          <w:color w:val="000000"/>
          <w:szCs w:val="24"/>
        </w:rPr>
        <w:t xml:space="preserve"> </w:t>
      </w:r>
      <w:r w:rsidR="008078AF">
        <w:rPr>
          <w:rFonts w:eastAsia="Times New Roman" w:cs="Times New Roman"/>
          <w:color w:val="000000"/>
          <w:szCs w:val="24"/>
        </w:rPr>
        <w:t>lit. f</w:t>
      </w:r>
      <w:r w:rsidR="00D21839">
        <w:rPr>
          <w:rFonts w:eastAsia="Times New Roman" w:cs="Times New Roman"/>
          <w:color w:val="000000"/>
          <w:szCs w:val="24"/>
        </w:rPr>
        <w:t xml:space="preserve"> </w:t>
      </w:r>
      <w:r>
        <w:rPr>
          <w:rFonts w:eastAsia="Times New Roman" w:cs="Times New Roman"/>
          <w:color w:val="000000"/>
          <w:szCs w:val="24"/>
        </w:rPr>
        <w:t xml:space="preserve">projektu </w:t>
      </w:r>
      <w:r w:rsidR="00D21839">
        <w:rPr>
          <w:rFonts w:eastAsia="Times New Roman" w:cs="Times New Roman"/>
          <w:color w:val="000000"/>
          <w:szCs w:val="24"/>
        </w:rPr>
        <w:t>przewiduje konkretne rozwiązania dla przedsiębiorców rozliczających się w</w:t>
      </w:r>
      <w:r w:rsidR="009B2604">
        <w:rPr>
          <w:rFonts w:eastAsia="Times New Roman" w:cs="Times New Roman"/>
          <w:color w:val="000000"/>
          <w:szCs w:val="24"/>
        </w:rPr>
        <w:t> </w:t>
      </w:r>
      <w:r w:rsidR="00D21839">
        <w:rPr>
          <w:rFonts w:eastAsia="Times New Roman" w:cs="Times New Roman"/>
          <w:color w:val="000000"/>
          <w:szCs w:val="24"/>
        </w:rPr>
        <w:t>sposób inny niż według zasad ogólnych, tj. tych</w:t>
      </w:r>
      <w:r w:rsidR="00D21839">
        <w:t xml:space="preserve">, którzy nie określają dochodów dla celów podatkowych (tzn. opłacają podatek w formie ryczałtu od przychodów ewidencjonowanych albo </w:t>
      </w:r>
      <w:r w:rsidR="004021DE">
        <w:t>korzystają z karty podatkowej i </w:t>
      </w:r>
      <w:r w:rsidR="00D21839">
        <w:t>jednocześnie rozliczają VAT). Dla tej grupy zdecydowano się ustalić, że za dochód osiągnięty w poprzednim roku kalendarzowym przyjmować będzie się połowę odpowiednio osiągniętego przychodu z</w:t>
      </w:r>
      <w:r w:rsidR="009B2604">
        <w:t> </w:t>
      </w:r>
      <w:r w:rsidR="00D21839">
        <w:t xml:space="preserve">pozarolniczej działalności gospodarczej lub też połowę wartości sprzedaży </w:t>
      </w:r>
      <w:r w:rsidR="00D21839" w:rsidRPr="00C13EC6">
        <w:t>podlegającej opodatkowaniu podatkiem</w:t>
      </w:r>
      <w:r w:rsidR="00D21839">
        <w:t xml:space="preserve"> VAT</w:t>
      </w:r>
      <w:r w:rsidR="00D21839" w:rsidRPr="00C13EC6">
        <w:t>, bez kwoty tego podatku</w:t>
      </w:r>
      <w:r w:rsidR="00D21839">
        <w:t>.</w:t>
      </w:r>
    </w:p>
    <w:p w14:paraId="296A1E67" w14:textId="5F2E5500" w:rsidR="004D01BA" w:rsidRDefault="004D01BA" w:rsidP="00D21839">
      <w:pPr>
        <w:spacing w:after="120"/>
        <w:jc w:val="both"/>
        <w:rPr>
          <w:rFonts w:eastAsia="Times New Roman" w:cs="Times New Roman"/>
          <w:color w:val="000000"/>
          <w:szCs w:val="24"/>
        </w:rPr>
      </w:pPr>
      <w:r>
        <w:rPr>
          <w:rFonts w:eastAsia="Times New Roman" w:cs="Times New Roman"/>
          <w:color w:val="000000"/>
          <w:szCs w:val="24"/>
        </w:rPr>
        <w:t xml:space="preserve">W </w:t>
      </w:r>
      <w:r w:rsidR="00EA74CF">
        <w:rPr>
          <w:rFonts w:eastAsia="Times New Roman" w:cs="Times New Roman"/>
          <w:color w:val="000000"/>
          <w:szCs w:val="24"/>
        </w:rPr>
        <w:t xml:space="preserve">art. 1 </w:t>
      </w:r>
      <w:r>
        <w:rPr>
          <w:rFonts w:eastAsia="Times New Roman" w:cs="Times New Roman"/>
          <w:color w:val="000000"/>
          <w:szCs w:val="24"/>
        </w:rPr>
        <w:t xml:space="preserve">pkt </w:t>
      </w:r>
      <w:r w:rsidR="00757A9A">
        <w:rPr>
          <w:rFonts w:eastAsia="Times New Roman" w:cs="Times New Roman"/>
          <w:color w:val="000000"/>
          <w:szCs w:val="24"/>
        </w:rPr>
        <w:t xml:space="preserve">5 </w:t>
      </w:r>
      <w:r>
        <w:rPr>
          <w:rFonts w:eastAsia="Times New Roman" w:cs="Times New Roman"/>
          <w:color w:val="000000"/>
          <w:szCs w:val="24"/>
        </w:rPr>
        <w:t>projektowana ustawa zakłada wprowadzenie</w:t>
      </w:r>
      <w:r w:rsidR="00757A9A">
        <w:rPr>
          <w:rFonts w:eastAsia="Times New Roman" w:cs="Times New Roman"/>
          <w:color w:val="000000"/>
          <w:szCs w:val="24"/>
        </w:rPr>
        <w:t xml:space="preserve"> w art. 36</w:t>
      </w:r>
      <w:r>
        <w:rPr>
          <w:rFonts w:eastAsia="Times New Roman" w:cs="Times New Roman"/>
          <w:color w:val="000000"/>
          <w:szCs w:val="24"/>
        </w:rPr>
        <w:t xml:space="preserve"> </w:t>
      </w:r>
      <w:r w:rsidR="00EA74CF">
        <w:rPr>
          <w:rFonts w:eastAsia="Times New Roman" w:cs="Times New Roman"/>
          <w:color w:val="000000"/>
          <w:szCs w:val="24"/>
        </w:rPr>
        <w:t xml:space="preserve">ustawy o systemie ubezpieczeń społecznych </w:t>
      </w:r>
      <w:r>
        <w:rPr>
          <w:rFonts w:eastAsia="Times New Roman" w:cs="Times New Roman"/>
          <w:color w:val="000000"/>
          <w:szCs w:val="24"/>
        </w:rPr>
        <w:t>nowe</w:t>
      </w:r>
      <w:r w:rsidR="00EB3F47">
        <w:rPr>
          <w:rFonts w:eastAsia="Times New Roman" w:cs="Times New Roman"/>
          <w:color w:val="000000"/>
          <w:szCs w:val="24"/>
        </w:rPr>
        <w:t xml:space="preserve">go </w:t>
      </w:r>
      <w:r w:rsidR="00757A9A">
        <w:rPr>
          <w:rFonts w:eastAsia="Times New Roman" w:cs="Times New Roman"/>
          <w:color w:val="000000"/>
          <w:szCs w:val="24"/>
        </w:rPr>
        <w:t>ust. 4b</w:t>
      </w:r>
      <w:r w:rsidR="00D85AE6">
        <w:rPr>
          <w:rFonts w:eastAsia="Times New Roman" w:cs="Times New Roman"/>
          <w:color w:val="000000"/>
          <w:szCs w:val="24"/>
        </w:rPr>
        <w:t xml:space="preserve">. </w:t>
      </w:r>
      <w:r>
        <w:rPr>
          <w:rFonts w:eastAsia="Times New Roman" w:cs="Times New Roman"/>
          <w:color w:val="000000"/>
          <w:szCs w:val="24"/>
        </w:rPr>
        <w:t>Na jego mocy u</w:t>
      </w:r>
      <w:r w:rsidR="00EB3F47">
        <w:rPr>
          <w:rFonts w:eastAsia="Times New Roman" w:cs="Times New Roman"/>
          <w:color w:val="000000"/>
          <w:szCs w:val="24"/>
        </w:rPr>
        <w:t>bezpieczony</w:t>
      </w:r>
      <w:r w:rsidR="00757A9A">
        <w:rPr>
          <w:rFonts w:eastAsia="Times New Roman" w:cs="Times New Roman"/>
          <w:color w:val="000000"/>
          <w:szCs w:val="24"/>
        </w:rPr>
        <w:t xml:space="preserve">, który rozpoczął lub wznowił prowadzenie działalności gospodarczej </w:t>
      </w:r>
      <w:r w:rsidR="00072A8A">
        <w:rPr>
          <w:rFonts w:eastAsia="Times New Roman" w:cs="Times New Roman"/>
          <w:color w:val="000000"/>
          <w:szCs w:val="24"/>
        </w:rPr>
        <w:t>w styczniu danego roku</w:t>
      </w:r>
      <w:r w:rsidR="005D2140">
        <w:rPr>
          <w:rStyle w:val="Odwoanieprzypisudolnego"/>
          <w:rFonts w:eastAsia="Times New Roman"/>
          <w:color w:val="000000"/>
          <w:szCs w:val="24"/>
        </w:rPr>
        <w:footnoteReference w:id="3"/>
      </w:r>
      <w:r w:rsidR="00971BD2" w:rsidRPr="00971BD2">
        <w:rPr>
          <w:rFonts w:cs="Times New Roman"/>
          <w:color w:val="000000"/>
          <w:vertAlign w:val="superscript"/>
        </w:rPr>
        <w:t>)</w:t>
      </w:r>
      <w:r w:rsidR="00072A8A">
        <w:rPr>
          <w:rFonts w:eastAsia="Times New Roman" w:cs="Times New Roman"/>
          <w:color w:val="000000"/>
          <w:szCs w:val="24"/>
        </w:rPr>
        <w:t xml:space="preserve"> </w:t>
      </w:r>
      <w:r w:rsidR="00757A9A">
        <w:rPr>
          <w:rFonts w:eastAsia="Times New Roman" w:cs="Times New Roman"/>
          <w:color w:val="000000"/>
          <w:szCs w:val="24"/>
        </w:rPr>
        <w:t>i</w:t>
      </w:r>
      <w:r w:rsidR="00EB3F47">
        <w:rPr>
          <w:rFonts w:eastAsia="Times New Roman" w:cs="Times New Roman"/>
          <w:color w:val="000000"/>
          <w:szCs w:val="24"/>
        </w:rPr>
        <w:t xml:space="preserve"> </w:t>
      </w:r>
      <w:r w:rsidR="00757A9A">
        <w:rPr>
          <w:rFonts w:eastAsia="Times New Roman" w:cs="Times New Roman"/>
          <w:color w:val="000000"/>
          <w:szCs w:val="24"/>
        </w:rPr>
        <w:t xml:space="preserve">chce </w:t>
      </w:r>
      <w:r w:rsidR="00EB3F47">
        <w:rPr>
          <w:rFonts w:eastAsia="Times New Roman" w:cs="Times New Roman"/>
          <w:color w:val="000000"/>
          <w:szCs w:val="24"/>
        </w:rPr>
        <w:t>skorzystać z </w:t>
      </w:r>
      <w:r>
        <w:rPr>
          <w:rFonts w:eastAsia="Times New Roman" w:cs="Times New Roman"/>
          <w:color w:val="000000"/>
          <w:szCs w:val="24"/>
        </w:rPr>
        <w:t>„Małego ZUS-u”</w:t>
      </w:r>
      <w:r w:rsidR="00757A9A">
        <w:rPr>
          <w:rFonts w:eastAsia="Times New Roman" w:cs="Times New Roman"/>
          <w:color w:val="000000"/>
          <w:szCs w:val="24"/>
        </w:rPr>
        <w:t>,</w:t>
      </w:r>
      <w:r w:rsidR="00072A8A">
        <w:rPr>
          <w:rFonts w:eastAsia="Times New Roman" w:cs="Times New Roman"/>
          <w:color w:val="000000"/>
          <w:szCs w:val="24"/>
        </w:rPr>
        <w:t xml:space="preserve"> zobowiązany jest do dokonania zgłoszenia w terminie do końca tego miesiąca. Termin ten nie może być jednak krótszy niż 7 dni. Konsekwencją wprowadzenia ust. 4b jest zmiana dostosowująca w ust. 4. Ponadto w art. 36 dodaje się </w:t>
      </w:r>
      <w:r w:rsidR="00072A8A">
        <w:rPr>
          <w:rFonts w:eastAsia="Times New Roman" w:cs="Times New Roman"/>
          <w:color w:val="000000"/>
          <w:szCs w:val="24"/>
        </w:rPr>
        <w:lastRenderedPageBreak/>
        <w:t>ust. 14a, dotyczący sytuacji, gdy przedsiębiorca zmienia tytuł ubezpieczenia na właściwy dla nowej ulgi</w:t>
      </w:r>
      <w:r w:rsidR="007C06C2">
        <w:rPr>
          <w:rFonts w:eastAsia="Times New Roman" w:cs="Times New Roman"/>
          <w:color w:val="000000"/>
          <w:szCs w:val="24"/>
        </w:rPr>
        <w:t xml:space="preserve"> (wynikającej </w:t>
      </w:r>
      <w:r w:rsidR="007C06C2">
        <w:t>z art. 18c ustawy o systemie ubezpieczeń społecznych, w</w:t>
      </w:r>
      <w:r w:rsidR="00AE6B92">
        <w:t> </w:t>
      </w:r>
      <w:r w:rsidR="007C06C2">
        <w:t>projektowanym brzmieniu</w:t>
      </w:r>
      <w:r w:rsidR="007C06C2">
        <w:rPr>
          <w:rFonts w:eastAsia="Times New Roman" w:cs="Times New Roman"/>
          <w:color w:val="000000"/>
          <w:szCs w:val="24"/>
        </w:rPr>
        <w:t>)</w:t>
      </w:r>
      <w:r w:rsidR="00072A8A">
        <w:rPr>
          <w:rFonts w:eastAsia="Times New Roman" w:cs="Times New Roman"/>
          <w:color w:val="000000"/>
          <w:szCs w:val="24"/>
        </w:rPr>
        <w:t>, a wcześniej opłacał pełne l</w:t>
      </w:r>
      <w:r w:rsidR="004021DE">
        <w:rPr>
          <w:rFonts w:eastAsia="Times New Roman" w:cs="Times New Roman"/>
          <w:color w:val="000000"/>
          <w:szCs w:val="24"/>
        </w:rPr>
        <w:t>ub preferencyjne składki ZUS. W </w:t>
      </w:r>
      <w:r w:rsidR="00072A8A">
        <w:rPr>
          <w:rFonts w:eastAsia="Times New Roman" w:cs="Times New Roman"/>
          <w:color w:val="000000"/>
          <w:szCs w:val="24"/>
        </w:rPr>
        <w:t>projektowanym przepisie przewidziano dwa terminy zawiadomienia o fakcie zmiany tego tytułu (</w:t>
      </w:r>
      <w:r w:rsidR="00072A8A">
        <w:t xml:space="preserve">złożenie </w:t>
      </w:r>
      <w:r w:rsidR="0086748F">
        <w:t>zgłoszenia wyrejestro</w:t>
      </w:r>
      <w:r w:rsidR="00FA21C3">
        <w:t xml:space="preserve">wania i </w:t>
      </w:r>
      <w:r w:rsidRPr="00502013">
        <w:t>ponownego zgłoszenia do ubezpieczeń</w:t>
      </w:r>
      <w:r w:rsidR="00072A8A">
        <w:t>). W przy</w:t>
      </w:r>
      <w:r w:rsidR="0086748F">
        <w:t>padku gdy zmiana ta następuje w </w:t>
      </w:r>
      <w:r w:rsidR="00072A8A">
        <w:t>styczniu danego roku, przedsiębiorca będzie miał możliwość dokonania powyższych zgłoszeń</w:t>
      </w:r>
      <w:r>
        <w:t xml:space="preserve"> w terminie do końca stycznia danego roku</w:t>
      </w:r>
      <w:r w:rsidR="00072A8A">
        <w:t xml:space="preserve">, z tym że termin ten nie może być krótszy niż 7 dni (oznacza to, że w niektórych przypadkach rozciągnie się on również </w:t>
      </w:r>
      <w:r w:rsidR="00AA59D2">
        <w:t xml:space="preserve">na </w:t>
      </w:r>
      <w:r w:rsidR="00072A8A">
        <w:t>pierwsze dni miesiąca lutego danego roku). We wszystkich pozostałych p</w:t>
      </w:r>
      <w:r w:rsidR="004021DE">
        <w:t>rzypadkach (zmiana dokonywana w </w:t>
      </w:r>
      <w:r w:rsidR="00072A8A">
        <w:t>miesiącach innych niż styczeń) pozostaje obowiązujący obecnie termin 7-dniowy.</w:t>
      </w:r>
      <w:r w:rsidR="00D85AE6">
        <w:t xml:space="preserve"> </w:t>
      </w:r>
      <w:r w:rsidR="003F0EF4">
        <w:t>Nowelizacja</w:t>
      </w:r>
      <w:r w:rsidR="00221BCD">
        <w:t xml:space="preserve"> wydłużająca styczniowy termin ma na celu zapewnienie przedsiębiorcom wystarczającego czasu na dokonanie wyliczeń przychodów i dochodów za rok poprzedni, co pozwoli im ustalić, czy są upra</w:t>
      </w:r>
      <w:r w:rsidR="00A14F1A">
        <w:t>wnieni do skorzystania z ulgi w </w:t>
      </w:r>
      <w:r w:rsidR="00221BCD">
        <w:t xml:space="preserve">danym roku. Tym </w:t>
      </w:r>
      <w:r w:rsidR="003F0EF4">
        <w:t>samym</w:t>
      </w:r>
      <w:r>
        <w:t xml:space="preserve"> </w:t>
      </w:r>
      <w:r w:rsidR="00221BCD">
        <w:t xml:space="preserve">zmiana ta jest </w:t>
      </w:r>
      <w:r>
        <w:t>bardzo korzystna dla przedsiębiorców</w:t>
      </w:r>
      <w:r w:rsidR="003F0EF4">
        <w:t xml:space="preserve">, </w:t>
      </w:r>
      <w:r w:rsidR="00221BCD">
        <w:t xml:space="preserve">daje </w:t>
      </w:r>
      <w:r w:rsidR="003F0EF4">
        <w:t xml:space="preserve">im </w:t>
      </w:r>
      <w:r w:rsidR="00221BCD">
        <w:t xml:space="preserve">bowiem </w:t>
      </w:r>
      <w:r w:rsidR="003F0EF4">
        <w:t>zdecydowanie więcej czasu na załatwienie niezbędnych formalności.</w:t>
      </w:r>
    </w:p>
    <w:p w14:paraId="671D0DFD" w14:textId="73181CE5" w:rsidR="00221BCD" w:rsidRDefault="005011B9" w:rsidP="00D21839">
      <w:pPr>
        <w:spacing w:after="120"/>
        <w:jc w:val="both"/>
        <w:rPr>
          <w:rFonts w:eastAsia="Times New Roman" w:cs="Times New Roman"/>
          <w:color w:val="000000"/>
          <w:szCs w:val="24"/>
        </w:rPr>
      </w:pPr>
      <w:r>
        <w:rPr>
          <w:rFonts w:eastAsia="Times New Roman" w:cs="Times New Roman"/>
          <w:color w:val="000000"/>
          <w:szCs w:val="24"/>
        </w:rPr>
        <w:t>Ko</w:t>
      </w:r>
      <w:r w:rsidR="00E808D2">
        <w:rPr>
          <w:rFonts w:eastAsia="Times New Roman" w:cs="Times New Roman"/>
          <w:color w:val="000000"/>
          <w:szCs w:val="24"/>
        </w:rPr>
        <w:t>nsekwencją</w:t>
      </w:r>
      <w:r w:rsidR="00221BCD">
        <w:rPr>
          <w:rFonts w:eastAsia="Times New Roman" w:cs="Times New Roman"/>
          <w:color w:val="000000"/>
          <w:szCs w:val="24"/>
        </w:rPr>
        <w:t xml:space="preserve"> powyższej zmiany jest nowelizacja ust. 1a w art. 14</w:t>
      </w:r>
      <w:r w:rsidR="00EA74CF">
        <w:rPr>
          <w:rFonts w:eastAsia="Times New Roman" w:cs="Times New Roman"/>
          <w:color w:val="000000"/>
          <w:szCs w:val="24"/>
        </w:rPr>
        <w:t xml:space="preserve"> ustawy o systemie ubezpieczeń społecznych</w:t>
      </w:r>
      <w:r w:rsidR="00221BCD">
        <w:rPr>
          <w:rFonts w:eastAsia="Times New Roman" w:cs="Times New Roman"/>
          <w:color w:val="000000"/>
          <w:szCs w:val="24"/>
        </w:rPr>
        <w:t xml:space="preserve">. </w:t>
      </w:r>
      <w:r>
        <w:rPr>
          <w:rFonts w:eastAsia="Times New Roman" w:cs="Times New Roman"/>
          <w:color w:val="000000"/>
          <w:szCs w:val="24"/>
        </w:rPr>
        <w:t>Przedsiębiorcy rozpoczynający albo wznawiający działalność</w:t>
      </w:r>
      <w:r w:rsidR="00E808D2">
        <w:rPr>
          <w:rFonts w:eastAsia="Times New Roman" w:cs="Times New Roman"/>
          <w:color w:val="000000"/>
          <w:szCs w:val="24"/>
        </w:rPr>
        <w:t xml:space="preserve"> gospodarczą w styczniu danego roku i </w:t>
      </w:r>
      <w:r w:rsidR="00D85AE6">
        <w:rPr>
          <w:rFonts w:eastAsia="Times New Roman" w:cs="Times New Roman"/>
          <w:color w:val="000000"/>
          <w:szCs w:val="24"/>
        </w:rPr>
        <w:t>zgłaszający</w:t>
      </w:r>
      <w:r w:rsidR="00E808D2">
        <w:rPr>
          <w:rFonts w:eastAsia="Times New Roman" w:cs="Times New Roman"/>
          <w:color w:val="000000"/>
          <w:szCs w:val="24"/>
        </w:rPr>
        <w:t xml:space="preserve"> się do nowej ulgi, </w:t>
      </w:r>
      <w:r w:rsidR="00D85AE6">
        <w:rPr>
          <w:rFonts w:eastAsia="Times New Roman" w:cs="Times New Roman"/>
          <w:color w:val="000000"/>
          <w:szCs w:val="24"/>
        </w:rPr>
        <w:t>w przypadku gdy zechcą skorzystać z dobrowolnego ubezpieczenia chorobowego</w:t>
      </w:r>
      <w:r w:rsidR="00D454EB">
        <w:rPr>
          <w:rFonts w:eastAsia="Times New Roman" w:cs="Times New Roman"/>
          <w:color w:val="000000"/>
          <w:szCs w:val="24"/>
        </w:rPr>
        <w:t>,</w:t>
      </w:r>
      <w:r w:rsidR="00D85AE6">
        <w:rPr>
          <w:rFonts w:eastAsia="Times New Roman" w:cs="Times New Roman"/>
          <w:color w:val="000000"/>
          <w:szCs w:val="24"/>
        </w:rPr>
        <w:t xml:space="preserve"> </w:t>
      </w:r>
      <w:r w:rsidR="00E808D2">
        <w:rPr>
          <w:rFonts w:eastAsia="Times New Roman" w:cs="Times New Roman"/>
          <w:color w:val="000000"/>
          <w:szCs w:val="24"/>
        </w:rPr>
        <w:t xml:space="preserve">zostaną </w:t>
      </w:r>
      <w:r w:rsidR="00D85AE6">
        <w:rPr>
          <w:rFonts w:eastAsia="Times New Roman" w:cs="Times New Roman"/>
          <w:color w:val="000000"/>
          <w:szCs w:val="24"/>
        </w:rPr>
        <w:t xml:space="preserve">nim </w:t>
      </w:r>
      <w:r w:rsidR="00E808D2">
        <w:rPr>
          <w:rFonts w:eastAsia="Times New Roman" w:cs="Times New Roman"/>
          <w:color w:val="000000"/>
          <w:szCs w:val="24"/>
        </w:rPr>
        <w:t>objęci od dnia wskazanego we wniosku.</w:t>
      </w:r>
      <w:r w:rsidR="00D85AE6">
        <w:rPr>
          <w:rFonts w:eastAsia="Times New Roman" w:cs="Times New Roman"/>
          <w:color w:val="000000"/>
          <w:szCs w:val="24"/>
        </w:rPr>
        <w:t xml:space="preserve"> Oznacza to, że w powyższym przypadku objęcie ubez</w:t>
      </w:r>
      <w:r w:rsidR="00A14F1A">
        <w:rPr>
          <w:rFonts w:eastAsia="Times New Roman" w:cs="Times New Roman"/>
          <w:color w:val="000000"/>
          <w:szCs w:val="24"/>
        </w:rPr>
        <w:t>pieczeniem chorobowym nastąpi w </w:t>
      </w:r>
      <w:r w:rsidR="00D85AE6">
        <w:rPr>
          <w:rFonts w:eastAsia="Times New Roman" w:cs="Times New Roman"/>
          <w:color w:val="000000"/>
          <w:szCs w:val="24"/>
        </w:rPr>
        <w:t>terminie tożsamym z objęciem pozostałymi ubezpieczeniami społecznymi.</w:t>
      </w:r>
    </w:p>
    <w:p w14:paraId="3E179C9B" w14:textId="4EE39828" w:rsidR="004021DE" w:rsidRDefault="003F4753" w:rsidP="00D21839">
      <w:pPr>
        <w:spacing w:after="120"/>
        <w:jc w:val="both"/>
        <w:rPr>
          <w:rFonts w:eastAsia="Times New Roman" w:cs="Times New Roman"/>
          <w:color w:val="000000"/>
          <w:szCs w:val="24"/>
        </w:rPr>
      </w:pPr>
      <w:r w:rsidRPr="00371104">
        <w:rPr>
          <w:rFonts w:eastAsia="Times New Roman" w:cs="Times New Roman"/>
          <w:color w:val="000000"/>
          <w:szCs w:val="24"/>
        </w:rPr>
        <w:t>Zmi</w:t>
      </w:r>
      <w:r>
        <w:rPr>
          <w:rFonts w:eastAsia="Times New Roman" w:cs="Times New Roman"/>
          <w:color w:val="000000"/>
          <w:szCs w:val="24"/>
        </w:rPr>
        <w:t xml:space="preserve">any przewidziane w </w:t>
      </w:r>
      <w:r w:rsidR="00FD4000">
        <w:rPr>
          <w:rFonts w:eastAsia="Times New Roman" w:cs="Times New Roman"/>
          <w:color w:val="000000"/>
          <w:szCs w:val="24"/>
        </w:rPr>
        <w:t xml:space="preserve">art. 1 </w:t>
      </w:r>
      <w:r>
        <w:rPr>
          <w:rFonts w:eastAsia="Times New Roman" w:cs="Times New Roman"/>
          <w:color w:val="000000"/>
          <w:szCs w:val="24"/>
        </w:rPr>
        <w:t xml:space="preserve">pkt </w:t>
      </w:r>
      <w:r w:rsidR="00EE3A5A">
        <w:rPr>
          <w:rFonts w:eastAsia="Times New Roman" w:cs="Times New Roman"/>
          <w:color w:val="000000"/>
          <w:szCs w:val="24"/>
        </w:rPr>
        <w:t xml:space="preserve">3 </w:t>
      </w:r>
      <w:r>
        <w:rPr>
          <w:rFonts w:eastAsia="Times New Roman" w:cs="Times New Roman"/>
          <w:color w:val="000000"/>
          <w:szCs w:val="24"/>
        </w:rPr>
        <w:t xml:space="preserve">lit. g oraz pkt </w:t>
      </w:r>
      <w:r w:rsidR="00EE3A5A">
        <w:rPr>
          <w:rFonts w:eastAsia="Times New Roman" w:cs="Times New Roman"/>
          <w:color w:val="000000"/>
          <w:szCs w:val="24"/>
        </w:rPr>
        <w:t>4</w:t>
      </w:r>
      <w:r w:rsidR="00252D88">
        <w:rPr>
          <w:rFonts w:eastAsia="Times New Roman" w:cs="Times New Roman"/>
          <w:color w:val="000000"/>
          <w:szCs w:val="24"/>
        </w:rPr>
        <w:t>, 6</w:t>
      </w:r>
      <w:r w:rsidR="00053F53">
        <w:rPr>
          <w:rFonts w:eastAsia="Times New Roman" w:cs="Times New Roman"/>
          <w:color w:val="000000"/>
          <w:szCs w:val="24"/>
        </w:rPr>
        <w:t>, 7</w:t>
      </w:r>
      <w:r w:rsidR="00252D88">
        <w:rPr>
          <w:rFonts w:eastAsia="Times New Roman" w:cs="Times New Roman"/>
          <w:color w:val="000000"/>
          <w:szCs w:val="24"/>
        </w:rPr>
        <w:t xml:space="preserve"> i </w:t>
      </w:r>
      <w:r w:rsidR="00053F53">
        <w:rPr>
          <w:rFonts w:eastAsia="Times New Roman" w:cs="Times New Roman"/>
          <w:color w:val="000000"/>
          <w:szCs w:val="24"/>
        </w:rPr>
        <w:t xml:space="preserve">9 </w:t>
      </w:r>
      <w:r w:rsidR="00FD4000">
        <w:rPr>
          <w:rFonts w:eastAsia="Times New Roman" w:cs="Times New Roman"/>
          <w:color w:val="000000"/>
          <w:szCs w:val="24"/>
        </w:rPr>
        <w:t xml:space="preserve">projektu </w:t>
      </w:r>
      <w:r>
        <w:rPr>
          <w:rFonts w:eastAsia="Times New Roman" w:cs="Times New Roman"/>
          <w:color w:val="000000"/>
          <w:szCs w:val="24"/>
        </w:rPr>
        <w:t>mają charakter legislacyjny i mają za zadanie dostos</w:t>
      </w:r>
      <w:r w:rsidR="00DC21F3">
        <w:rPr>
          <w:rFonts w:eastAsia="Times New Roman" w:cs="Times New Roman"/>
          <w:color w:val="000000"/>
          <w:szCs w:val="24"/>
        </w:rPr>
        <w:t>owanie brzmienia wskazanych w nich</w:t>
      </w:r>
      <w:r>
        <w:rPr>
          <w:rFonts w:eastAsia="Times New Roman" w:cs="Times New Roman"/>
          <w:color w:val="000000"/>
          <w:szCs w:val="24"/>
        </w:rPr>
        <w:t xml:space="preserve"> przepisów do rozwiązań opisanych powyżej.</w:t>
      </w:r>
    </w:p>
    <w:p w14:paraId="2ADFB6EF" w14:textId="538B9E97" w:rsidR="004021DE" w:rsidRPr="004021DE" w:rsidRDefault="004021DE" w:rsidP="004021DE">
      <w:pPr>
        <w:pStyle w:val="ZLITUSTzmustliter"/>
        <w:spacing w:before="120" w:after="120"/>
        <w:ind w:left="0" w:firstLine="0"/>
        <w:rPr>
          <w:rFonts w:ascii="Times New Roman" w:eastAsiaTheme="minorEastAsia" w:hAnsi="Times New Roman" w:cs="Times New Roman"/>
          <w:bCs w:val="0"/>
        </w:rPr>
      </w:pPr>
      <w:r>
        <w:rPr>
          <w:rFonts w:ascii="Times New Roman" w:hAnsi="Times New Roman"/>
          <w:color w:val="000000"/>
          <w:spacing w:val="-2"/>
        </w:rPr>
        <w:t xml:space="preserve">W związku ze zmianami przewidzianymi w projekcie, konieczne będzie wydanie przez ministra właściwego do spraw zabezpieczenia społecznego rozporządzenia </w:t>
      </w:r>
      <w:r w:rsidRPr="00032C2C">
        <w:rPr>
          <w:rFonts w:ascii="Times New Roman" w:hAnsi="Times New Roman"/>
          <w:color w:val="000000"/>
        </w:rPr>
        <w:t>w sprawie określenia wzorów zgłoszeń do ubezpieczeń społecznych i ubezpieczenia zdrowotnego, imiennych raportów miesięcznych i imiennych raportów miesięcznych korygujących, zgłoszeń płatnika składe</w:t>
      </w:r>
      <w:r>
        <w:rPr>
          <w:rFonts w:ascii="Times New Roman" w:hAnsi="Times New Roman"/>
          <w:color w:val="000000"/>
        </w:rPr>
        <w:t>k, deklaracji rozliczeniowych i </w:t>
      </w:r>
      <w:r w:rsidRPr="00032C2C">
        <w:rPr>
          <w:rFonts w:ascii="Times New Roman" w:hAnsi="Times New Roman"/>
          <w:color w:val="000000"/>
        </w:rPr>
        <w:t xml:space="preserve">deklaracji rozliczeniowych korygujących, zgłoszeń danych o pracy w szczególnych warunkach lub o szczególnym </w:t>
      </w:r>
      <w:r w:rsidRPr="00032C2C">
        <w:rPr>
          <w:rFonts w:ascii="Times New Roman" w:hAnsi="Times New Roman"/>
          <w:color w:val="000000"/>
        </w:rPr>
        <w:lastRenderedPageBreak/>
        <w:t>charakterze, raportów informacyjnych, oświadczeń o zamiarze przekazania raportów informacyjnych oraz innych dokumentów</w:t>
      </w:r>
      <w:r>
        <w:rPr>
          <w:rFonts w:ascii="Times New Roman" w:hAnsi="Times New Roman"/>
          <w:color w:val="000000"/>
        </w:rPr>
        <w:t>.</w:t>
      </w:r>
    </w:p>
    <w:p w14:paraId="21C0BA3E" w14:textId="47FECEC3" w:rsidR="00130C9D" w:rsidRDefault="003F4753" w:rsidP="00371104">
      <w:pPr>
        <w:spacing w:after="120"/>
        <w:jc w:val="both"/>
        <w:rPr>
          <w:rFonts w:eastAsia="Times New Roman" w:cs="Times New Roman"/>
          <w:color w:val="000000"/>
          <w:szCs w:val="24"/>
        </w:rPr>
      </w:pPr>
      <w:r>
        <w:rPr>
          <w:rFonts w:eastAsia="Times New Roman" w:cs="Times New Roman"/>
          <w:color w:val="000000"/>
          <w:szCs w:val="24"/>
        </w:rPr>
        <w:t>Warte podkreślenia jest, że ustawa nie wprowadza modyfikacji art. 18c ust. 11 ustawy o</w:t>
      </w:r>
      <w:r w:rsidR="009B2604">
        <w:rPr>
          <w:rFonts w:eastAsia="Times New Roman" w:cs="Times New Roman"/>
          <w:color w:val="000000"/>
          <w:szCs w:val="24"/>
        </w:rPr>
        <w:t> </w:t>
      </w:r>
      <w:r>
        <w:rPr>
          <w:rFonts w:eastAsia="Times New Roman" w:cs="Times New Roman"/>
          <w:color w:val="000000"/>
          <w:szCs w:val="24"/>
        </w:rPr>
        <w:t>systemie ubezpieczeń społecznych, a zatem nie zmienia warunków, które wyłączają możliwość skorzystania przez danego p</w:t>
      </w:r>
      <w:r w:rsidR="005421AF">
        <w:rPr>
          <w:rFonts w:eastAsia="Times New Roman" w:cs="Times New Roman"/>
          <w:color w:val="000000"/>
          <w:szCs w:val="24"/>
        </w:rPr>
        <w:t>rzedsiębiorcę z „Małego ZUS-u”.</w:t>
      </w:r>
    </w:p>
    <w:p w14:paraId="79B59DDC" w14:textId="77777777" w:rsidR="009C4484" w:rsidRPr="00371104" w:rsidRDefault="009C4484" w:rsidP="00371104">
      <w:pPr>
        <w:spacing w:after="120"/>
        <w:jc w:val="both"/>
        <w:rPr>
          <w:rFonts w:eastAsia="Times New Roman" w:cs="Times New Roman"/>
          <w:b/>
          <w:color w:val="000000"/>
          <w:szCs w:val="24"/>
          <w:u w:val="single"/>
        </w:rPr>
      </w:pPr>
      <w:r w:rsidRPr="00371104">
        <w:rPr>
          <w:rFonts w:eastAsia="Times New Roman" w:cs="Times New Roman"/>
          <w:b/>
          <w:color w:val="000000"/>
          <w:szCs w:val="24"/>
          <w:u w:val="single"/>
        </w:rPr>
        <w:t>3.2.2. System płatności składek ubezpieczeniowych</w:t>
      </w:r>
    </w:p>
    <w:p w14:paraId="5925AE6E" w14:textId="77777777" w:rsidR="00D454EB" w:rsidRDefault="000F7C44" w:rsidP="00371104">
      <w:pPr>
        <w:jc w:val="both"/>
      </w:pPr>
      <w:r>
        <w:rPr>
          <w:rFonts w:eastAsia="Times New Roman" w:cs="Times New Roman"/>
          <w:color w:val="000000"/>
          <w:szCs w:val="24"/>
        </w:rPr>
        <w:t xml:space="preserve">Art. 1 pkt 1 i </w:t>
      </w:r>
      <w:r w:rsidR="00053F53">
        <w:rPr>
          <w:rFonts w:eastAsia="Times New Roman" w:cs="Times New Roman"/>
          <w:color w:val="000000"/>
          <w:szCs w:val="24"/>
        </w:rPr>
        <w:t xml:space="preserve">8 </w:t>
      </w:r>
      <w:r>
        <w:rPr>
          <w:rFonts w:eastAsia="Times New Roman" w:cs="Times New Roman"/>
          <w:color w:val="000000"/>
          <w:szCs w:val="24"/>
        </w:rPr>
        <w:t>projektowanej ustawy</w:t>
      </w:r>
      <w:r w:rsidR="000B5127">
        <w:rPr>
          <w:rFonts w:eastAsia="Times New Roman" w:cs="Times New Roman"/>
          <w:color w:val="000000"/>
          <w:szCs w:val="24"/>
        </w:rPr>
        <w:t xml:space="preserve"> wprowadzają nowe rozwiązania </w:t>
      </w:r>
      <w:r w:rsidR="000B5127">
        <w:t xml:space="preserve">dotyczące sposobu opłacania składek. </w:t>
      </w:r>
      <w:r w:rsidR="006D03C3">
        <w:t>Dotychczasowe utrudnienia w tym zakresie związane są z brzmieniem</w:t>
      </w:r>
      <w:r w:rsidR="00AE398D">
        <w:t>:</w:t>
      </w:r>
      <w:r w:rsidR="006D03C3">
        <w:t xml:space="preserve"> </w:t>
      </w:r>
    </w:p>
    <w:p w14:paraId="4775E9BF" w14:textId="5692CF40" w:rsidR="003617C2" w:rsidRDefault="00095344" w:rsidP="00371104">
      <w:pPr>
        <w:jc w:val="both"/>
      </w:pPr>
      <w:r>
        <w:t>–</w:t>
      </w:r>
      <w:r w:rsidR="006D03C3">
        <w:t xml:space="preserve"> </w:t>
      </w:r>
      <w:r w:rsidR="00316B15">
        <w:t>a</w:t>
      </w:r>
      <w:r w:rsidR="00E311BA" w:rsidRPr="00026F5B">
        <w:t>rt. 4 ust</w:t>
      </w:r>
      <w:r w:rsidR="006D03C3">
        <w:t>.</w:t>
      </w:r>
      <w:r w:rsidR="00E311BA" w:rsidRPr="00026F5B">
        <w:t xml:space="preserve"> 13 </w:t>
      </w:r>
      <w:r w:rsidR="00E311BA">
        <w:t>ustawy o systemie ubezpieczeń społecznych</w:t>
      </w:r>
      <w:r w:rsidR="003617C2">
        <w:t>, który</w:t>
      </w:r>
      <w:r w:rsidR="00E311BA">
        <w:t xml:space="preserve"> </w:t>
      </w:r>
      <w:r w:rsidR="006D03C3">
        <w:t>defini</w:t>
      </w:r>
      <w:r w:rsidR="003617C2">
        <w:t xml:space="preserve">uje </w:t>
      </w:r>
      <w:r w:rsidR="003617C2" w:rsidRPr="00AA3387">
        <w:rPr>
          <w:bCs/>
        </w:rPr>
        <w:t>międzybankowy system elektroniczny</w:t>
      </w:r>
      <w:r w:rsidR="003617C2" w:rsidRPr="0021735F">
        <w:t xml:space="preserve"> jako system </w:t>
      </w:r>
      <w:r w:rsidR="003617C2" w:rsidRPr="00AA3387">
        <w:rPr>
          <w:bCs/>
        </w:rPr>
        <w:t>ELIXIR</w:t>
      </w:r>
      <w:r w:rsidR="003617C2" w:rsidRPr="00026F5B">
        <w:t xml:space="preserve"> w Krajowej Izbie Rozliczeniowej S.A.</w:t>
      </w:r>
      <w:r w:rsidR="00BD7F16">
        <w:t>, oraz</w:t>
      </w:r>
    </w:p>
    <w:p w14:paraId="119522B9" w14:textId="0B0E405C" w:rsidR="00BD7F16" w:rsidRDefault="00095344" w:rsidP="006D03C3">
      <w:pPr>
        <w:spacing w:after="120"/>
        <w:jc w:val="both"/>
      </w:pPr>
      <w:r>
        <w:t>–</w:t>
      </w:r>
      <w:r w:rsidR="00BD7F16">
        <w:t xml:space="preserve"> </w:t>
      </w:r>
      <w:r w:rsidR="00E311BA" w:rsidRPr="00026F5B">
        <w:t xml:space="preserve">art. 47 ust. 5 i 8 </w:t>
      </w:r>
      <w:r w:rsidR="00BD7F16">
        <w:t xml:space="preserve">ustawy o systemie ubezpieczeń społecznych, które </w:t>
      </w:r>
      <w:r w:rsidR="00FD4000">
        <w:t>stanowią</w:t>
      </w:r>
      <w:r w:rsidR="00FD4000" w:rsidRPr="00026F5B">
        <w:t xml:space="preserve"> </w:t>
      </w:r>
      <w:r w:rsidR="004021DE">
        <w:t>o </w:t>
      </w:r>
      <w:r w:rsidR="00E311BA" w:rsidRPr="00026F5B">
        <w:t>terminach i</w:t>
      </w:r>
      <w:r w:rsidR="009B2604">
        <w:t> </w:t>
      </w:r>
      <w:r w:rsidR="00E311BA" w:rsidRPr="00026F5B">
        <w:t>sposobie realizacji obowiązków przez płatnika składek</w:t>
      </w:r>
      <w:r w:rsidR="001E33C4">
        <w:t>,</w:t>
      </w:r>
      <w:r w:rsidR="00BD7F16">
        <w:t xml:space="preserve"> odnoszą</w:t>
      </w:r>
      <w:r w:rsidR="007E3671">
        <w:t>c</w:t>
      </w:r>
      <w:r w:rsidR="00BD7F16">
        <w:t xml:space="preserve"> się </w:t>
      </w:r>
      <w:r w:rsidR="007E3671">
        <w:t xml:space="preserve">przy tym </w:t>
      </w:r>
      <w:r w:rsidR="00BD7F16">
        <w:t xml:space="preserve">do zdefiniowanego </w:t>
      </w:r>
      <w:r w:rsidR="008D148C">
        <w:t xml:space="preserve">wyżej </w:t>
      </w:r>
      <w:r w:rsidR="00BD7F16">
        <w:t>międzybankowego systemu elektronicznego.</w:t>
      </w:r>
    </w:p>
    <w:p w14:paraId="2161E0FC" w14:textId="59D4F6F9" w:rsidR="00EB1E18" w:rsidRPr="00A4397E" w:rsidRDefault="00E311BA" w:rsidP="0062536F">
      <w:pPr>
        <w:spacing w:after="120"/>
        <w:jc w:val="both"/>
      </w:pPr>
      <w:r w:rsidRPr="00026F5B">
        <w:t xml:space="preserve">Wskazane przepisy nie </w:t>
      </w:r>
      <w:r w:rsidR="00A944AE">
        <w:t>uwzględniały natomiast dotąd</w:t>
      </w:r>
      <w:r w:rsidRPr="00026F5B">
        <w:t xml:space="preserve"> zmian</w:t>
      </w:r>
      <w:r w:rsidR="00497783">
        <w:t>,</w:t>
      </w:r>
      <w:r w:rsidRPr="00026F5B">
        <w:t xml:space="preserve"> jakie nastąpiły </w:t>
      </w:r>
      <w:r w:rsidR="002B03A5">
        <w:t>w obrocie gospodarczym</w:t>
      </w:r>
      <w:r w:rsidRPr="00026F5B">
        <w:t xml:space="preserve"> w ostatnim czasie, tj. wprowadzeni</w:t>
      </w:r>
      <w:r w:rsidR="00497783">
        <w:t>a</w:t>
      </w:r>
      <w:r w:rsidRPr="00026F5B">
        <w:t xml:space="preserve"> nowych systemów płatności, takich jak płatności kartowe, natychmiastowe czy mobilne</w:t>
      </w:r>
      <w:r w:rsidR="00D454EB">
        <w:t>,</w:t>
      </w:r>
      <w:r w:rsidRPr="00026F5B">
        <w:t xml:space="preserve"> oraz nowych podmiotów prowadzących systemy</w:t>
      </w:r>
      <w:r w:rsidR="006F6431">
        <w:t>,</w:t>
      </w:r>
      <w:r w:rsidRPr="00026F5B">
        <w:t xml:space="preserve"> jak np. Polski Standard Płatności sp. z o.o. (system płatności mobilnych BLIK) czy Blue Media S.A. (system płatności </w:t>
      </w:r>
      <w:proofErr w:type="spellStart"/>
      <w:r w:rsidRPr="00026F5B">
        <w:t>BlueCash</w:t>
      </w:r>
      <w:proofErr w:type="spellEnd"/>
      <w:r w:rsidRPr="00026F5B">
        <w:t xml:space="preserve">). </w:t>
      </w:r>
      <w:r>
        <w:t xml:space="preserve">Dlatego </w:t>
      </w:r>
      <w:r w:rsidR="00497783">
        <w:t>też w</w:t>
      </w:r>
      <w:r w:rsidR="00FD0D2D">
        <w:t> </w:t>
      </w:r>
      <w:r w:rsidR="00497783">
        <w:t xml:space="preserve">projektowanej ustawie zaproponowano </w:t>
      </w:r>
      <w:r w:rsidR="00E371D8">
        <w:t>usunięcie</w:t>
      </w:r>
      <w:r>
        <w:t xml:space="preserve"> </w:t>
      </w:r>
      <w:r w:rsidRPr="00026F5B">
        <w:t>dotychczasowe</w:t>
      </w:r>
      <w:r w:rsidR="00497783">
        <w:t>go</w:t>
      </w:r>
      <w:r w:rsidRPr="00026F5B">
        <w:t xml:space="preserve"> pojęci</w:t>
      </w:r>
      <w:r w:rsidR="00FF666C">
        <w:t>a</w:t>
      </w:r>
      <w:r w:rsidRPr="00026F5B">
        <w:t xml:space="preserve"> „</w:t>
      </w:r>
      <w:r w:rsidRPr="00AA3387">
        <w:rPr>
          <w:bCs/>
        </w:rPr>
        <w:t>międzybankow</w:t>
      </w:r>
      <w:r>
        <w:rPr>
          <w:bCs/>
        </w:rPr>
        <w:t>ego</w:t>
      </w:r>
      <w:r w:rsidRPr="00AA3387">
        <w:rPr>
          <w:bCs/>
        </w:rPr>
        <w:t xml:space="preserve"> system</w:t>
      </w:r>
      <w:r>
        <w:rPr>
          <w:bCs/>
        </w:rPr>
        <w:t>u</w:t>
      </w:r>
      <w:r w:rsidRPr="00AA3387">
        <w:rPr>
          <w:bCs/>
        </w:rPr>
        <w:t xml:space="preserve"> elektroniczn</w:t>
      </w:r>
      <w:r>
        <w:rPr>
          <w:bCs/>
        </w:rPr>
        <w:t>ego</w:t>
      </w:r>
      <w:r w:rsidRPr="00371104">
        <w:rPr>
          <w:bCs/>
        </w:rPr>
        <w:t>”</w:t>
      </w:r>
      <w:r w:rsidRPr="00026F5B">
        <w:rPr>
          <w:b/>
          <w:bCs/>
        </w:rPr>
        <w:t xml:space="preserve"> </w:t>
      </w:r>
      <w:r w:rsidR="00E371D8" w:rsidRPr="00E371D8">
        <w:rPr>
          <w:bCs/>
        </w:rPr>
        <w:t>i zastąpienie go</w:t>
      </w:r>
      <w:r w:rsidR="00E371D8">
        <w:rPr>
          <w:b/>
          <w:bCs/>
        </w:rPr>
        <w:t xml:space="preserve"> </w:t>
      </w:r>
      <w:r w:rsidR="0070172D">
        <w:rPr>
          <w:bCs/>
        </w:rPr>
        <w:t>terminem</w:t>
      </w:r>
      <w:r w:rsidRPr="00026F5B">
        <w:rPr>
          <w:b/>
          <w:bCs/>
        </w:rPr>
        <w:t xml:space="preserve"> </w:t>
      </w:r>
      <w:r w:rsidRPr="00371104">
        <w:t>„</w:t>
      </w:r>
      <w:r w:rsidRPr="00AA3387">
        <w:t>system płatności</w:t>
      </w:r>
      <w:r w:rsidRPr="00371104">
        <w:t>”</w:t>
      </w:r>
      <w:r w:rsidRPr="00026F5B">
        <w:t>, tak aby uwzględnić istniejące rozwiązania oraz ewentualne przyszłe zmiany w</w:t>
      </w:r>
      <w:r w:rsidR="00FD0D2D">
        <w:t> </w:t>
      </w:r>
      <w:r w:rsidRPr="00026F5B">
        <w:t xml:space="preserve">systemie płatniczym. </w:t>
      </w:r>
      <w:r w:rsidR="00AB4DA1">
        <w:t>P</w:t>
      </w:r>
      <w:r w:rsidRPr="00026F5B">
        <w:t xml:space="preserve">ozwoli </w:t>
      </w:r>
      <w:r w:rsidR="008A0EC7">
        <w:t xml:space="preserve">to </w:t>
      </w:r>
      <w:r w:rsidRPr="00026F5B">
        <w:t>na</w:t>
      </w:r>
      <w:r w:rsidR="00CE5FBE">
        <w:t xml:space="preserve"> rozszerzenie możliwości dokonywania płatności na </w:t>
      </w:r>
      <w:r w:rsidRPr="00026F5B">
        <w:t>wszystki</w:t>
      </w:r>
      <w:r w:rsidR="00CE5FBE">
        <w:t>e</w:t>
      </w:r>
      <w:r w:rsidRPr="00026F5B">
        <w:t xml:space="preserve"> metod</w:t>
      </w:r>
      <w:r w:rsidR="00CE5FBE">
        <w:t>y</w:t>
      </w:r>
      <w:r w:rsidRPr="00026F5B">
        <w:t xml:space="preserve"> funkcjonując</w:t>
      </w:r>
      <w:r w:rsidR="00CE5FBE">
        <w:t>e</w:t>
      </w:r>
      <w:r w:rsidRPr="00026F5B">
        <w:t xml:space="preserve"> na rynku.</w:t>
      </w:r>
    </w:p>
    <w:p w14:paraId="4300EBDA" w14:textId="77777777" w:rsidR="00887D69" w:rsidRDefault="00887D69" w:rsidP="00FD0D2D">
      <w:pPr>
        <w:widowControl/>
        <w:autoSpaceDE/>
        <w:autoSpaceDN/>
        <w:adjustRightInd/>
        <w:spacing w:after="120"/>
        <w:jc w:val="both"/>
        <w:rPr>
          <w:rFonts w:cs="Times New Roman"/>
          <w:b/>
          <w:szCs w:val="24"/>
        </w:rPr>
      </w:pPr>
      <w:r w:rsidRPr="00371104">
        <w:rPr>
          <w:rFonts w:cs="Times New Roman"/>
          <w:b/>
          <w:szCs w:val="24"/>
        </w:rPr>
        <w:t>3.3. Zmiany w ustawie o Krajowej Administracji Skarbowej</w:t>
      </w:r>
      <w:r w:rsidR="005A07F0">
        <w:rPr>
          <w:rFonts w:cs="Times New Roman"/>
          <w:b/>
          <w:szCs w:val="24"/>
        </w:rPr>
        <w:t xml:space="preserve"> (art. 2)</w:t>
      </w:r>
    </w:p>
    <w:p w14:paraId="1564EEE7" w14:textId="6E6D6EE7" w:rsidR="00887D69" w:rsidRDefault="00887D69" w:rsidP="00887D69">
      <w:pPr>
        <w:spacing w:after="120"/>
        <w:jc w:val="both"/>
      </w:pPr>
      <w:r>
        <w:t>W ustawie z dnia 16 listopada 2016 r. o Krajowej Administracji Skarbowej (Dz. U.</w:t>
      </w:r>
      <w:r w:rsidR="00FD0D2D">
        <w:t> </w:t>
      </w:r>
      <w:r>
        <w:t>z</w:t>
      </w:r>
      <w:r w:rsidR="009B2604">
        <w:t> </w:t>
      </w:r>
      <w:r>
        <w:t>2019 r. poz. 768, z późn. zm.) wprowadza się zmiany rozszerzające zakres danych udostępnianych Zakładowi Ubezpieczeń Społecznych przez Szefa Krajowej Administracji Skarbowej o wysokość rocznego dochodu z działalności gospodarczej uzyskanego przez podatnika</w:t>
      </w:r>
      <w:r w:rsidR="008974FC">
        <w:t xml:space="preserve"> korzystającego z „Małego ZUS-u”</w:t>
      </w:r>
      <w:r>
        <w:t xml:space="preserve">. Jest to niezbędne dla celów umożliwienia weryfikacji uprawnień do skorzystania z obniżonych składek na ubezpieczenia społeczne i ich wyliczenia. Szef Krajowej Administracji Skarbowej zostaje ponadto </w:t>
      </w:r>
      <w:r w:rsidR="00D17A51">
        <w:t>z</w:t>
      </w:r>
      <w:r>
        <w:t xml:space="preserve">obowiązany do poinformowania Zakładu o zmianie formy opodatkowania lub </w:t>
      </w:r>
      <w:r>
        <w:lastRenderedPageBreak/>
        <w:t xml:space="preserve">kwoty rocznego przychodu lub rocznego dochodu uzyskanych przez </w:t>
      </w:r>
      <w:r w:rsidR="00636C68">
        <w:t xml:space="preserve">wspomnianego </w:t>
      </w:r>
      <w:r w:rsidR="004021DE">
        <w:t>podatnika.</w:t>
      </w:r>
    </w:p>
    <w:p w14:paraId="3CC7CAFC" w14:textId="77777777" w:rsidR="004021DE" w:rsidRDefault="004021DE" w:rsidP="00887D69">
      <w:pPr>
        <w:spacing w:after="120"/>
        <w:jc w:val="both"/>
      </w:pPr>
    </w:p>
    <w:p w14:paraId="5C2DCC30" w14:textId="324105A1" w:rsidR="006D2BA5" w:rsidRDefault="00A4353D" w:rsidP="00A352BB">
      <w:pPr>
        <w:keepNext/>
        <w:keepLines/>
        <w:widowControl/>
        <w:autoSpaceDE/>
        <w:autoSpaceDN/>
        <w:adjustRightInd/>
        <w:jc w:val="both"/>
        <w:rPr>
          <w:rFonts w:cs="Times New Roman"/>
          <w:b/>
          <w:szCs w:val="24"/>
        </w:rPr>
      </w:pPr>
      <w:r>
        <w:rPr>
          <w:rFonts w:cs="Times New Roman"/>
          <w:b/>
          <w:szCs w:val="24"/>
        </w:rPr>
        <w:t>3.4. Przepisy przejściowe (art. 3</w:t>
      </w:r>
      <w:r w:rsidR="00FD4000">
        <w:rPr>
          <w:rFonts w:cs="Times New Roman"/>
          <w:b/>
          <w:szCs w:val="24"/>
        </w:rPr>
        <w:t xml:space="preserve"> i </w:t>
      </w:r>
      <w:r w:rsidR="00A4397E">
        <w:rPr>
          <w:rFonts w:cs="Times New Roman"/>
          <w:b/>
          <w:szCs w:val="24"/>
        </w:rPr>
        <w:t>4</w:t>
      </w:r>
      <w:r>
        <w:rPr>
          <w:rFonts w:cs="Times New Roman"/>
          <w:b/>
          <w:szCs w:val="24"/>
        </w:rPr>
        <w:t>)</w:t>
      </w:r>
    </w:p>
    <w:p w14:paraId="09410043" w14:textId="0D21E554" w:rsidR="00E12F3E" w:rsidRDefault="006D2BA5" w:rsidP="00F705BE">
      <w:pPr>
        <w:widowControl/>
        <w:autoSpaceDE/>
        <w:autoSpaceDN/>
        <w:adjustRightInd/>
        <w:spacing w:before="120" w:after="120"/>
        <w:jc w:val="both"/>
      </w:pPr>
      <w:r w:rsidRPr="006D2BA5">
        <w:rPr>
          <w:rFonts w:cs="Times New Roman"/>
          <w:szCs w:val="24"/>
        </w:rPr>
        <w:t xml:space="preserve">Art. 3 </w:t>
      </w:r>
      <w:r w:rsidRPr="008E046D">
        <w:rPr>
          <w:rFonts w:cs="Times New Roman"/>
          <w:szCs w:val="24"/>
        </w:rPr>
        <w:t xml:space="preserve">projektu ustawy przewiduje, że </w:t>
      </w:r>
      <w:r w:rsidRPr="008E046D">
        <w:t>d</w:t>
      </w:r>
      <w:r w:rsidRPr="00F31E4F">
        <w:t>o okresów ustalania podstawy wymiaru składek na ubezpieczenia społec</w:t>
      </w:r>
      <w:r w:rsidRPr="002757FD">
        <w:t xml:space="preserve">zne, o których mowa w art. 18c ust. 11 pkt 6 ustawy o systemie ubezpieczeń społecznych, w brzmieniu nadanym projektowaną ustawą, zalicza się okresy ustalania najniższej podstawy wymiaru składek </w:t>
      </w:r>
      <w:r w:rsidR="00500DFB">
        <w:t>ubezpieczeniowych</w:t>
      </w:r>
      <w:r w:rsidRPr="00645E4D">
        <w:t xml:space="preserve"> zgodnie z</w:t>
      </w:r>
      <w:r w:rsidR="00A4397E">
        <w:t> </w:t>
      </w:r>
      <w:r w:rsidR="00DC21F6">
        <w:t>poprzednimi regulacjami odnoszącymi się do „Małego ZUS-u”</w:t>
      </w:r>
      <w:r w:rsidR="005421AF">
        <w:t>.</w:t>
      </w:r>
    </w:p>
    <w:p w14:paraId="63FF3716" w14:textId="08449CCD" w:rsidR="006D2BA5" w:rsidRPr="00371104" w:rsidRDefault="00F705BE" w:rsidP="00F705BE">
      <w:pPr>
        <w:widowControl/>
        <w:autoSpaceDE/>
        <w:autoSpaceDN/>
        <w:adjustRightInd/>
        <w:spacing w:before="120" w:after="120"/>
        <w:jc w:val="both"/>
        <w:rPr>
          <w:rFonts w:eastAsia="Calibri" w:cs="Times New Roman"/>
          <w:color w:val="002060"/>
          <w:szCs w:val="24"/>
        </w:rPr>
      </w:pPr>
      <w:r>
        <w:t>Wprowadzając powyższy przepis</w:t>
      </w:r>
      <w:r w:rsidR="00D454EB">
        <w:t>,</w:t>
      </w:r>
      <w:r>
        <w:t xml:space="preserve"> projektodawca dąży do zachowania ciągłości okresu</w:t>
      </w:r>
      <w:r w:rsidR="00BA3E4B">
        <w:t xml:space="preserve"> </w:t>
      </w:r>
      <w:r w:rsidR="00E12F3E">
        <w:t xml:space="preserve">możliwości </w:t>
      </w:r>
      <w:r>
        <w:t xml:space="preserve">korzystania z ulgi. Wprowadzane niniejszą ustawą przepisy rozszerzają </w:t>
      </w:r>
      <w:r w:rsidR="00E12F3E">
        <w:t>dotychczasowy „Mały ZUS”</w:t>
      </w:r>
      <w:r>
        <w:t>, a nie zastępują</w:t>
      </w:r>
      <w:r w:rsidR="00E12F3E">
        <w:t xml:space="preserve"> go</w:t>
      </w:r>
      <w:r>
        <w:t xml:space="preserve"> </w:t>
      </w:r>
      <w:r w:rsidR="00C37C06">
        <w:t>nową, dodatkową formą</w:t>
      </w:r>
      <w:r w:rsidR="00E12F3E">
        <w:t xml:space="preserve"> preferencji</w:t>
      </w:r>
      <w:r>
        <w:t xml:space="preserve">. </w:t>
      </w:r>
      <w:r w:rsidR="00E12F3E">
        <w:t>Oznacza to przykładowo, że przedsiębiorca, który w 2019 r. przez okres 12 miesięcy korzysta z „Małego ZUS-u”, w ciągu następnych 48 miesięcy z „Małego ZUS-u plus” będzie mógł korzystać przez maksymalnie 24 miesiące. Pozwala to na zachowanie spójności s</w:t>
      </w:r>
      <w:r w:rsidR="00C37C06">
        <w:t>ystemowej i zapobiega występowaniu nierówności pomiędzy przedsiębiorcami dotychczas opłacającymi proporcjonalne składki a tymi, którzy dopiero zostaną objęci ulgą na p</w:t>
      </w:r>
      <w:r w:rsidR="005421AF">
        <w:t>odstawie zmienianych przepisów.</w:t>
      </w:r>
    </w:p>
    <w:p w14:paraId="50F1252D" w14:textId="1A4439D8" w:rsidR="0074762F" w:rsidRDefault="00C73629" w:rsidP="00CC1488">
      <w:pPr>
        <w:widowControl/>
        <w:autoSpaceDE/>
        <w:autoSpaceDN/>
        <w:adjustRightInd/>
        <w:spacing w:before="120" w:after="120"/>
        <w:jc w:val="both"/>
        <w:rPr>
          <w:rFonts w:cs="Times New Roman"/>
          <w:szCs w:val="24"/>
        </w:rPr>
      </w:pPr>
      <w:r>
        <w:rPr>
          <w:rFonts w:cs="Times New Roman"/>
          <w:szCs w:val="24"/>
        </w:rPr>
        <w:t xml:space="preserve">Art. </w:t>
      </w:r>
      <w:r w:rsidR="00A4397E">
        <w:rPr>
          <w:rFonts w:cs="Times New Roman"/>
          <w:szCs w:val="24"/>
        </w:rPr>
        <w:t>4</w:t>
      </w:r>
      <w:r>
        <w:rPr>
          <w:rFonts w:cs="Times New Roman"/>
          <w:szCs w:val="24"/>
        </w:rPr>
        <w:t xml:space="preserve"> </w:t>
      </w:r>
      <w:r w:rsidR="00FD4000">
        <w:rPr>
          <w:rFonts w:cs="Times New Roman"/>
          <w:szCs w:val="24"/>
        </w:rPr>
        <w:t xml:space="preserve">projektu </w:t>
      </w:r>
      <w:r>
        <w:rPr>
          <w:rFonts w:cs="Times New Roman"/>
          <w:szCs w:val="24"/>
        </w:rPr>
        <w:t xml:space="preserve">przesądza natomiast, że Prezes Zakładu Ubezpieczeń Społecznych nie poda wysokości współczynnika „korygującego” na 2020 r. Jak wskazano wcześniej, biorąc pod uwagę nowe zasady obliczania podstawy wymiaru składek ubezpieczeniowych, </w:t>
      </w:r>
      <w:r w:rsidR="00F0000F">
        <w:rPr>
          <w:rFonts w:cs="Times New Roman"/>
          <w:szCs w:val="24"/>
        </w:rPr>
        <w:t>działanie takie byłoby</w:t>
      </w:r>
      <w:r>
        <w:rPr>
          <w:rFonts w:cs="Times New Roman"/>
          <w:szCs w:val="24"/>
        </w:rPr>
        <w:t xml:space="preserve"> bezcelowe</w:t>
      </w:r>
      <w:r w:rsidR="001B48CD">
        <w:rPr>
          <w:rFonts w:cs="Times New Roman"/>
          <w:szCs w:val="24"/>
        </w:rPr>
        <w:t xml:space="preserve"> (zob. też: pkt 6 uzasadnienia)</w:t>
      </w:r>
      <w:r>
        <w:rPr>
          <w:rFonts w:cs="Times New Roman"/>
          <w:szCs w:val="24"/>
        </w:rPr>
        <w:t>.</w:t>
      </w:r>
    </w:p>
    <w:p w14:paraId="539FD38D" w14:textId="3DA44B37" w:rsidR="00CC1488" w:rsidRPr="00371104" w:rsidRDefault="00CC1488" w:rsidP="00CC1488">
      <w:pPr>
        <w:widowControl/>
        <w:autoSpaceDE/>
        <w:autoSpaceDN/>
        <w:adjustRightInd/>
        <w:spacing w:before="120" w:after="120"/>
        <w:jc w:val="both"/>
        <w:rPr>
          <w:rFonts w:cs="Times New Roman"/>
          <w:b/>
          <w:szCs w:val="24"/>
        </w:rPr>
      </w:pPr>
      <w:r>
        <w:rPr>
          <w:rFonts w:cs="Times New Roman"/>
          <w:szCs w:val="24"/>
        </w:rPr>
        <w:t>W pozostałym zakresie nowe regulacje nie skutkują potrzebą wprowad</w:t>
      </w:r>
      <w:r w:rsidR="005421AF">
        <w:rPr>
          <w:rFonts w:cs="Times New Roman"/>
          <w:szCs w:val="24"/>
        </w:rPr>
        <w:t>zenia przepisów przejściowych.</w:t>
      </w:r>
    </w:p>
    <w:p w14:paraId="4E2C158D" w14:textId="77777777" w:rsidR="001922C9" w:rsidRDefault="004333C9" w:rsidP="00573997">
      <w:pPr>
        <w:pStyle w:val="ARTartustawynprozporzdzenia"/>
        <w:numPr>
          <w:ilvl w:val="0"/>
          <w:numId w:val="2"/>
        </w:numPr>
        <w:spacing w:before="240"/>
        <w:ind w:left="360"/>
        <w:rPr>
          <w:rFonts w:ascii="Times New Roman" w:hAnsi="Times New Roman" w:cs="Times New Roman"/>
          <w:b/>
        </w:rPr>
      </w:pPr>
      <w:r w:rsidRPr="00474898">
        <w:rPr>
          <w:rFonts w:ascii="Times New Roman" w:hAnsi="Times New Roman" w:cs="Times New Roman"/>
          <w:b/>
        </w:rPr>
        <w:t>Skutki społeczno-</w:t>
      </w:r>
      <w:r w:rsidR="0067339B" w:rsidRPr="00474898">
        <w:rPr>
          <w:rFonts w:ascii="Times New Roman" w:hAnsi="Times New Roman" w:cs="Times New Roman"/>
          <w:b/>
        </w:rPr>
        <w:t>gospodarcze</w:t>
      </w:r>
    </w:p>
    <w:p w14:paraId="0C4392C6" w14:textId="582CB88D" w:rsidR="007039A5" w:rsidRDefault="00F26952" w:rsidP="00D146AC">
      <w:pPr>
        <w:pStyle w:val="ARTartustawynprozporzdzenia"/>
        <w:spacing w:before="0" w:after="120"/>
        <w:ind w:firstLine="0"/>
        <w:rPr>
          <w:rFonts w:ascii="Times New Roman" w:hAnsi="Times New Roman" w:cs="Times New Roman"/>
        </w:rPr>
      </w:pPr>
      <w:r>
        <w:rPr>
          <w:rFonts w:ascii="Times New Roman" w:hAnsi="Times New Roman" w:cs="Times New Roman"/>
        </w:rPr>
        <w:t>Szacuje się, że proj</w:t>
      </w:r>
      <w:r w:rsidR="003C67A1">
        <w:rPr>
          <w:rFonts w:ascii="Times New Roman" w:hAnsi="Times New Roman" w:cs="Times New Roman"/>
        </w:rPr>
        <w:t>ektowana zmiana może objąć ok.</w:t>
      </w:r>
      <w:r>
        <w:rPr>
          <w:rFonts w:ascii="Times New Roman" w:hAnsi="Times New Roman" w:cs="Times New Roman"/>
        </w:rPr>
        <w:t xml:space="preserve"> 320 tys. najmniejszych przedsiębiorców</w:t>
      </w:r>
      <w:r>
        <w:rPr>
          <w:rStyle w:val="Odwoanieprzypisudolnego"/>
          <w:rFonts w:ascii="Times New Roman" w:hAnsi="Times New Roman"/>
        </w:rPr>
        <w:footnoteReference w:id="4"/>
      </w:r>
      <w:r w:rsidR="00971BD2" w:rsidRPr="00971BD2">
        <w:rPr>
          <w:rFonts w:cs="Times New Roman"/>
          <w:color w:val="000000"/>
          <w:vertAlign w:val="superscript"/>
        </w:rPr>
        <w:t>)</w:t>
      </w:r>
      <w:r>
        <w:rPr>
          <w:rFonts w:ascii="Times New Roman" w:hAnsi="Times New Roman" w:cs="Times New Roman"/>
        </w:rPr>
        <w:t>. Do tej liczby zaliczają się zarówno przedsiębiorcy korzystający dotychczas z tzw. „Małego ZUS-u” (w ich przypadku nastąpi dalsze zmniejszenie wysokości składek</w:t>
      </w:r>
      <w:r w:rsidR="007039A5">
        <w:rPr>
          <w:rFonts w:ascii="Times New Roman" w:hAnsi="Times New Roman" w:cs="Times New Roman"/>
        </w:rPr>
        <w:t xml:space="preserve"> ze względu na przyjęcie kryterium doch</w:t>
      </w:r>
      <w:r w:rsidR="002A59AF">
        <w:rPr>
          <w:rFonts w:ascii="Times New Roman" w:hAnsi="Times New Roman" w:cs="Times New Roman"/>
        </w:rPr>
        <w:t xml:space="preserve">odu przy ich wyliczaniu), jak </w:t>
      </w:r>
      <w:r w:rsidR="002A59AF">
        <w:rPr>
          <w:rFonts w:ascii="Times New Roman" w:hAnsi="Times New Roman" w:cs="Times New Roman"/>
        </w:rPr>
        <w:lastRenderedPageBreak/>
        <w:t>i</w:t>
      </w:r>
      <w:r w:rsidR="009B2604">
        <w:rPr>
          <w:rFonts w:ascii="Times New Roman" w:hAnsi="Times New Roman" w:cs="Times New Roman"/>
        </w:rPr>
        <w:t> </w:t>
      </w:r>
      <w:r w:rsidR="007039A5">
        <w:rPr>
          <w:rFonts w:ascii="Times New Roman" w:hAnsi="Times New Roman" w:cs="Times New Roman"/>
        </w:rPr>
        <w:t>przedsiębiorcy, którzy do tej</w:t>
      </w:r>
      <w:r w:rsidR="002A59AF">
        <w:rPr>
          <w:rFonts w:ascii="Times New Roman" w:hAnsi="Times New Roman" w:cs="Times New Roman"/>
        </w:rPr>
        <w:t xml:space="preserve"> pory</w:t>
      </w:r>
      <w:r w:rsidR="007039A5">
        <w:rPr>
          <w:rFonts w:ascii="Times New Roman" w:hAnsi="Times New Roman" w:cs="Times New Roman"/>
        </w:rPr>
        <w:t xml:space="preserve"> nie kwalifikowali się do ulgi</w:t>
      </w:r>
      <w:r w:rsidR="002A59AF">
        <w:rPr>
          <w:rFonts w:ascii="Times New Roman" w:hAnsi="Times New Roman" w:cs="Times New Roman"/>
        </w:rPr>
        <w:t xml:space="preserve">. W szacunkach nie zostali uwzględnieni przedsiębiorcy, którzy korzystają z tzw. „ulgi na start” (art. 18 ustawy </w:t>
      </w:r>
      <w:r w:rsidR="0046002E">
        <w:rPr>
          <w:rFonts w:ascii="Times New Roman" w:hAnsi="Times New Roman" w:cs="Times New Roman"/>
        </w:rPr>
        <w:t xml:space="preserve">z dnia 6 marca 2018 r. </w:t>
      </w:r>
      <w:r w:rsidR="00A43458">
        <w:rPr>
          <w:rFonts w:ascii="Times New Roman" w:hAnsi="Times New Roman" w:cs="Times New Roman"/>
        </w:rPr>
        <w:t xml:space="preserve">– </w:t>
      </w:r>
      <w:r w:rsidR="002A59AF">
        <w:rPr>
          <w:rFonts w:ascii="Times New Roman" w:hAnsi="Times New Roman" w:cs="Times New Roman"/>
        </w:rPr>
        <w:t>Prawo</w:t>
      </w:r>
      <w:r w:rsidR="00A43458">
        <w:rPr>
          <w:rFonts w:ascii="Times New Roman" w:hAnsi="Times New Roman" w:cs="Times New Roman"/>
        </w:rPr>
        <w:t xml:space="preserve"> </w:t>
      </w:r>
      <w:r w:rsidR="002A59AF">
        <w:rPr>
          <w:rFonts w:ascii="Times New Roman" w:hAnsi="Times New Roman" w:cs="Times New Roman"/>
        </w:rPr>
        <w:t>przedsiębiorców) oraz preferencyjnych składek na ubezpieczenia społeczne (art. 18a ustawy o systemie ubezpieczeń społecznych)</w:t>
      </w:r>
      <w:r w:rsidR="00AA59D2">
        <w:rPr>
          <w:rFonts w:ascii="Times New Roman" w:hAnsi="Times New Roman" w:cs="Times New Roman"/>
        </w:rPr>
        <w:t>.</w:t>
      </w:r>
    </w:p>
    <w:p w14:paraId="17627386" w14:textId="77777777" w:rsidR="001D3A3E" w:rsidRDefault="00641E6D" w:rsidP="00D146AC">
      <w:pPr>
        <w:pStyle w:val="ARTartustawynprozporzdzenia"/>
        <w:spacing w:before="0" w:after="120"/>
        <w:ind w:firstLine="0"/>
        <w:rPr>
          <w:rFonts w:ascii="Times New Roman" w:hAnsi="Times New Roman" w:cs="Times New Roman"/>
        </w:rPr>
      </w:pPr>
      <w:r>
        <w:rPr>
          <w:rFonts w:ascii="Times New Roman" w:hAnsi="Times New Roman" w:cs="Times New Roman"/>
        </w:rPr>
        <w:t xml:space="preserve">Osoby o relatywnie niskich </w:t>
      </w:r>
      <w:r w:rsidR="00A43458">
        <w:rPr>
          <w:rFonts w:ascii="Times New Roman" w:hAnsi="Times New Roman" w:cs="Times New Roman"/>
        </w:rPr>
        <w:t xml:space="preserve">rocznych </w:t>
      </w:r>
      <w:r>
        <w:rPr>
          <w:rFonts w:ascii="Times New Roman" w:hAnsi="Times New Roman" w:cs="Times New Roman"/>
        </w:rPr>
        <w:t>przychodach (do 120 tys. zł) i dochodach będą w</w:t>
      </w:r>
      <w:r w:rsidR="009B2604">
        <w:rPr>
          <w:rFonts w:ascii="Times New Roman" w:hAnsi="Times New Roman" w:cs="Times New Roman"/>
        </w:rPr>
        <w:t> </w:t>
      </w:r>
      <w:r>
        <w:rPr>
          <w:rFonts w:ascii="Times New Roman" w:hAnsi="Times New Roman" w:cs="Times New Roman"/>
        </w:rPr>
        <w:t>ten sposób mogły zaoszczędzić znaczące środki finansowe, które następnie będzie można przeznaczyć na konsumpcję, inwestycje lub rozwój własnej firmy.</w:t>
      </w:r>
    </w:p>
    <w:p w14:paraId="36F69AFF" w14:textId="21B80640" w:rsidR="00F01979" w:rsidRDefault="00F01979" w:rsidP="00D146AC">
      <w:pPr>
        <w:pStyle w:val="ARTartustawynprozporzdzenia"/>
        <w:spacing w:before="0" w:after="120"/>
        <w:ind w:firstLine="0"/>
        <w:rPr>
          <w:rFonts w:ascii="Times New Roman" w:hAnsi="Times New Roman" w:cs="Times New Roman"/>
        </w:rPr>
      </w:pPr>
      <w:r w:rsidRPr="003F556C">
        <w:rPr>
          <w:rFonts w:ascii="Times New Roman" w:hAnsi="Times New Roman" w:cs="Times New Roman"/>
        </w:rPr>
        <w:t>W</w:t>
      </w:r>
      <w:r>
        <w:rPr>
          <w:rFonts w:ascii="Times New Roman" w:hAnsi="Times New Roman" w:cs="Times New Roman"/>
        </w:rPr>
        <w:t xml:space="preserve"> </w:t>
      </w:r>
      <w:r w:rsidR="00AE1757">
        <w:rPr>
          <w:rFonts w:ascii="Times New Roman" w:hAnsi="Times New Roman" w:cs="Times New Roman"/>
        </w:rPr>
        <w:t>t</w:t>
      </w:r>
      <w:r>
        <w:rPr>
          <w:rFonts w:ascii="Times New Roman" w:hAnsi="Times New Roman" w:cs="Times New Roman"/>
        </w:rPr>
        <w:t>abelach poniżej przedstawiono korzyści dla przedsiębiorców w zależności od formy opodatkowania, uzyskiwanych przychodów i dochodów oraz możliwości skorzystania z obecnych i przyszłych rozwiązań. Wynika z nich, że przedsiębiorcy zaoszczędzą średniomiesięcznie nawet kilkaset złotych.</w:t>
      </w:r>
    </w:p>
    <w:p w14:paraId="2DA4EEC5" w14:textId="77777777" w:rsidR="00F01979" w:rsidRDefault="00F01979" w:rsidP="00D146AC">
      <w:pPr>
        <w:pStyle w:val="ARTartustawynprozporzdzenia"/>
        <w:spacing w:before="0" w:after="120"/>
        <w:ind w:firstLine="0"/>
        <w:rPr>
          <w:rFonts w:ascii="Times New Roman" w:hAnsi="Times New Roman" w:cs="Times New Roman"/>
        </w:rPr>
      </w:pPr>
      <w:r>
        <w:rPr>
          <w:rFonts w:ascii="Times New Roman" w:hAnsi="Times New Roman"/>
          <w:color w:val="000000"/>
          <w:spacing w:val="-2"/>
        </w:rPr>
        <w:t>Dzięki pozostawieniu tych środków w obrocie gospodarczym, będzie miała miejsce s</w:t>
      </w:r>
      <w:r w:rsidRPr="00462AAE">
        <w:rPr>
          <w:rFonts w:ascii="Times New Roman" w:hAnsi="Times New Roman"/>
          <w:color w:val="000000"/>
          <w:spacing w:val="-2"/>
        </w:rPr>
        <w:t>tymulacja gospodarki zwiększająca popyt konsumpcyjny i</w:t>
      </w:r>
      <w:r>
        <w:rPr>
          <w:rFonts w:ascii="Times New Roman" w:hAnsi="Times New Roman"/>
          <w:color w:val="000000"/>
          <w:spacing w:val="-2"/>
        </w:rPr>
        <w:t xml:space="preserve"> </w:t>
      </w:r>
      <w:r w:rsidRPr="00462AAE">
        <w:rPr>
          <w:rFonts w:ascii="Times New Roman" w:hAnsi="Times New Roman"/>
          <w:color w:val="000000"/>
          <w:spacing w:val="-2"/>
        </w:rPr>
        <w:t>inwestycyjny, a</w:t>
      </w:r>
      <w:r>
        <w:rPr>
          <w:rFonts w:ascii="Times New Roman" w:hAnsi="Times New Roman"/>
          <w:color w:val="000000"/>
          <w:spacing w:val="-2"/>
        </w:rPr>
        <w:t xml:space="preserve"> </w:t>
      </w:r>
      <w:r w:rsidRPr="00462AAE">
        <w:rPr>
          <w:rFonts w:ascii="Times New Roman" w:hAnsi="Times New Roman"/>
          <w:color w:val="000000"/>
          <w:spacing w:val="-2"/>
        </w:rPr>
        <w:t xml:space="preserve">także aktywność zawodową. Podmioty, na które oddziałuje projekt, otrzymają </w:t>
      </w:r>
      <w:r w:rsidRPr="00462AAE">
        <w:rPr>
          <w:rFonts w:ascii="Times New Roman" w:hAnsi="Times New Roman"/>
          <w:i/>
          <w:color w:val="000000"/>
          <w:spacing w:val="-2"/>
        </w:rPr>
        <w:t>de facto</w:t>
      </w:r>
      <w:r w:rsidRPr="00462AAE">
        <w:rPr>
          <w:rFonts w:ascii="Times New Roman" w:hAnsi="Times New Roman"/>
          <w:color w:val="000000"/>
          <w:spacing w:val="-2"/>
        </w:rPr>
        <w:t xml:space="preserve"> </w:t>
      </w:r>
      <w:r>
        <w:rPr>
          <w:rFonts w:ascii="Times New Roman" w:hAnsi="Times New Roman"/>
          <w:color w:val="000000"/>
          <w:spacing w:val="-2"/>
        </w:rPr>
        <w:t>zwiększenie dochodu rozporządzalnego.</w:t>
      </w:r>
    </w:p>
    <w:p w14:paraId="2B68D602" w14:textId="77777777" w:rsidR="00F01979" w:rsidRDefault="00F01979" w:rsidP="00D146AC">
      <w:pPr>
        <w:pStyle w:val="ARTartustawynprozporzdzenia"/>
        <w:spacing w:before="0" w:after="120"/>
        <w:ind w:firstLine="0"/>
        <w:rPr>
          <w:rFonts w:ascii="Times New Roman" w:hAnsi="Times New Roman" w:cs="Times New Roman"/>
        </w:rPr>
      </w:pPr>
      <w:r w:rsidRPr="00BE1402">
        <w:rPr>
          <w:rFonts w:ascii="Times New Roman" w:hAnsi="Times New Roman" w:cs="Times New Roman"/>
        </w:rPr>
        <w:t>Projekt</w:t>
      </w:r>
      <w:r>
        <w:rPr>
          <w:rFonts w:ascii="Times New Roman" w:hAnsi="Times New Roman" w:cs="Times New Roman"/>
        </w:rPr>
        <w:t xml:space="preserve">owana zmiana </w:t>
      </w:r>
      <w:r w:rsidRPr="00BE1402">
        <w:rPr>
          <w:rFonts w:ascii="Times New Roman" w:hAnsi="Times New Roman" w:cs="Times New Roman"/>
        </w:rPr>
        <w:t>wpłynie</w:t>
      </w:r>
      <w:r>
        <w:rPr>
          <w:rFonts w:ascii="Times New Roman" w:hAnsi="Times New Roman" w:cs="Times New Roman"/>
        </w:rPr>
        <w:t xml:space="preserve"> również</w:t>
      </w:r>
      <w:r w:rsidRPr="00BE1402">
        <w:rPr>
          <w:rFonts w:ascii="Times New Roman" w:hAnsi="Times New Roman" w:cs="Times New Roman"/>
        </w:rPr>
        <w:t xml:space="preserve"> pozytywnie na sytuację ekonomiczną i społeczną rodzin najmniejszych przedsiębiorców, gdyż zwiększy się kwota środków będących w</w:t>
      </w:r>
      <w:r>
        <w:rPr>
          <w:rFonts w:ascii="Times New Roman" w:hAnsi="Times New Roman" w:cs="Times New Roman"/>
        </w:rPr>
        <w:t xml:space="preserve"> </w:t>
      </w:r>
      <w:r w:rsidRPr="00BE1402">
        <w:rPr>
          <w:rFonts w:ascii="Times New Roman" w:hAnsi="Times New Roman" w:cs="Times New Roman"/>
        </w:rPr>
        <w:t>ich dyspozycji, a także przyczyni się do w</w:t>
      </w:r>
      <w:r>
        <w:rPr>
          <w:rFonts w:ascii="Times New Roman" w:hAnsi="Times New Roman" w:cs="Times New Roman"/>
        </w:rPr>
        <w:t>zrostu aktywności gospodarczej.</w:t>
      </w:r>
    </w:p>
    <w:p w14:paraId="6FE6C76A" w14:textId="125EBB47" w:rsidR="00F01979" w:rsidRDefault="00F01979" w:rsidP="00D146AC">
      <w:pPr>
        <w:pStyle w:val="ARTartustawynprozporzdzenia"/>
        <w:spacing w:before="0" w:after="120"/>
        <w:ind w:firstLine="0"/>
        <w:rPr>
          <w:rFonts w:ascii="Times New Roman" w:hAnsi="Times New Roman" w:cs="Times New Roman"/>
        </w:rPr>
      </w:pPr>
      <w:r>
        <w:rPr>
          <w:rFonts w:ascii="Times New Roman" w:hAnsi="Times New Roman" w:cs="Times New Roman"/>
        </w:rPr>
        <w:t>Symulacje dotyczą osób fizycznych prowadzących działalność gospodarczą rozliczających się na zasadach ogólnych lub podatkiem liniowym (Tabela 1.) oraz rozliczających się w formie karty podatkowej</w:t>
      </w:r>
      <w:r>
        <w:rPr>
          <w:rStyle w:val="Odwoanieprzypisudolnego"/>
          <w:rFonts w:ascii="Times New Roman" w:hAnsi="Times New Roman"/>
        </w:rPr>
        <w:footnoteReference w:id="5"/>
      </w:r>
      <w:r w:rsidR="00971BD2" w:rsidRPr="00971BD2">
        <w:rPr>
          <w:rFonts w:cs="Times New Roman"/>
          <w:color w:val="000000"/>
          <w:vertAlign w:val="superscript"/>
        </w:rPr>
        <w:t>)</w:t>
      </w:r>
      <w:r>
        <w:rPr>
          <w:rFonts w:ascii="Times New Roman" w:hAnsi="Times New Roman" w:cs="Times New Roman"/>
        </w:rPr>
        <w:t xml:space="preserve"> i ryczałtu od przychodów ewidencjonowanych (Tabela 2.).</w:t>
      </w:r>
    </w:p>
    <w:p w14:paraId="037D32A9" w14:textId="77777777" w:rsidR="00F01979" w:rsidRDefault="00F01979" w:rsidP="00D146AC">
      <w:pPr>
        <w:pStyle w:val="ARTartustawynprozporzdzenia"/>
        <w:spacing w:after="120"/>
        <w:ind w:firstLine="0"/>
        <w:rPr>
          <w:rFonts w:ascii="Times New Roman" w:hAnsi="Times New Roman" w:cs="Times New Roman"/>
        </w:rPr>
      </w:pPr>
    </w:p>
    <w:p w14:paraId="750D2853" w14:textId="77777777" w:rsidR="00955CDC" w:rsidRDefault="00955CDC" w:rsidP="009A0312">
      <w:pPr>
        <w:pStyle w:val="ARTartustawynprozporzdzenia"/>
        <w:spacing w:after="120"/>
        <w:ind w:firstLine="0"/>
        <w:rPr>
          <w:rFonts w:ascii="Times New Roman" w:hAnsi="Times New Roman" w:cs="Times New Roman"/>
          <w:b/>
          <w:i/>
        </w:rPr>
        <w:sectPr w:rsidR="00955CDC" w:rsidSect="00955CDC">
          <w:footerReference w:type="default" r:id="rId8"/>
          <w:footerReference w:type="first" r:id="rId9"/>
          <w:pgSz w:w="11906" w:h="16838"/>
          <w:pgMar w:top="1418" w:right="1418" w:bottom="1134" w:left="1814" w:header="709" w:footer="709" w:gutter="0"/>
          <w:cols w:space="708"/>
          <w:titlePg/>
          <w:docGrid w:linePitch="326"/>
        </w:sectPr>
      </w:pPr>
    </w:p>
    <w:p w14:paraId="14D0FB6E" w14:textId="77777777" w:rsidR="004D62BB" w:rsidRPr="00D146AC" w:rsidRDefault="004D62BB" w:rsidP="00D146AC">
      <w:pPr>
        <w:pStyle w:val="Legenda"/>
        <w:keepNext/>
        <w:rPr>
          <w:color w:val="000000" w:themeColor="text1"/>
        </w:rPr>
      </w:pPr>
      <w:r w:rsidRPr="00D146AC">
        <w:rPr>
          <w:color w:val="000000" w:themeColor="text1"/>
        </w:rPr>
        <w:lastRenderedPageBreak/>
        <w:t xml:space="preserve">Tabela </w:t>
      </w:r>
      <w:r w:rsidRPr="00D146AC">
        <w:rPr>
          <w:color w:val="000000" w:themeColor="text1"/>
        </w:rPr>
        <w:fldChar w:fldCharType="begin"/>
      </w:r>
      <w:r w:rsidRPr="00D146AC">
        <w:rPr>
          <w:color w:val="000000" w:themeColor="text1"/>
        </w:rPr>
        <w:instrText xml:space="preserve"> SEQ Tabela \* ARABIC </w:instrText>
      </w:r>
      <w:r w:rsidRPr="00D146AC">
        <w:rPr>
          <w:color w:val="000000" w:themeColor="text1"/>
        </w:rPr>
        <w:fldChar w:fldCharType="separate"/>
      </w:r>
      <w:r w:rsidR="00AD4078">
        <w:rPr>
          <w:noProof/>
          <w:color w:val="000000" w:themeColor="text1"/>
        </w:rPr>
        <w:t>1</w:t>
      </w:r>
      <w:r w:rsidRPr="00D146AC">
        <w:rPr>
          <w:color w:val="000000" w:themeColor="text1"/>
        </w:rPr>
        <w:fldChar w:fldCharType="end"/>
      </w:r>
      <w:r>
        <w:rPr>
          <w:color w:val="000000" w:themeColor="text1"/>
        </w:rPr>
        <w:t>.</w:t>
      </w:r>
    </w:p>
    <w:tbl>
      <w:tblPr>
        <w:tblW w:w="5006" w:type="pct"/>
        <w:tblCellMar>
          <w:left w:w="70" w:type="dxa"/>
          <w:right w:w="70" w:type="dxa"/>
        </w:tblCellMar>
        <w:tblLook w:val="04A0" w:firstRow="1" w:lastRow="0" w:firstColumn="1" w:lastColumn="0" w:noHBand="0" w:noVBand="1"/>
      </w:tblPr>
      <w:tblGrid>
        <w:gridCol w:w="1110"/>
        <w:gridCol w:w="1106"/>
        <w:gridCol w:w="1112"/>
        <w:gridCol w:w="1112"/>
        <w:gridCol w:w="1112"/>
        <w:gridCol w:w="1112"/>
        <w:gridCol w:w="1118"/>
        <w:gridCol w:w="1115"/>
        <w:gridCol w:w="1112"/>
        <w:gridCol w:w="1112"/>
        <w:gridCol w:w="1115"/>
        <w:gridCol w:w="1112"/>
        <w:gridCol w:w="1095"/>
      </w:tblGrid>
      <w:tr w:rsidR="00955CDC" w:rsidRPr="00955CDC" w14:paraId="51BB53B8" w14:textId="77777777" w:rsidTr="00D146AC">
        <w:trPr>
          <w:trHeight w:val="1230"/>
        </w:trPr>
        <w:tc>
          <w:tcPr>
            <w:tcW w:w="384" w:type="pct"/>
            <w:tcBorders>
              <w:top w:val="nil"/>
              <w:left w:val="nil"/>
              <w:bottom w:val="nil"/>
              <w:right w:val="nil"/>
            </w:tcBorders>
            <w:shd w:val="clear" w:color="auto" w:fill="auto"/>
            <w:noWrap/>
            <w:vAlign w:val="bottom"/>
            <w:hideMark/>
          </w:tcPr>
          <w:p w14:paraId="304A676E" w14:textId="77777777" w:rsidR="00955CDC" w:rsidRPr="00D146AC" w:rsidRDefault="00955CDC" w:rsidP="00955CDC">
            <w:pPr>
              <w:widowControl/>
              <w:autoSpaceDE/>
              <w:autoSpaceDN/>
              <w:adjustRightInd/>
              <w:spacing w:line="240" w:lineRule="auto"/>
              <w:rPr>
                <w:rFonts w:eastAsia="Times New Roman" w:cs="Times New Roman"/>
                <w:color w:val="000000"/>
                <w:sz w:val="16"/>
                <w:szCs w:val="16"/>
              </w:rPr>
            </w:pPr>
          </w:p>
        </w:tc>
        <w:tc>
          <w:tcPr>
            <w:tcW w:w="383" w:type="pct"/>
            <w:tcBorders>
              <w:top w:val="nil"/>
              <w:left w:val="nil"/>
              <w:bottom w:val="nil"/>
              <w:right w:val="nil"/>
            </w:tcBorders>
            <w:shd w:val="clear" w:color="auto" w:fill="auto"/>
            <w:noWrap/>
            <w:vAlign w:val="bottom"/>
            <w:hideMark/>
          </w:tcPr>
          <w:p w14:paraId="316EB0D7" w14:textId="77777777" w:rsidR="00955CDC" w:rsidRPr="00D146AC" w:rsidRDefault="00955CDC" w:rsidP="00955CDC">
            <w:pPr>
              <w:widowControl/>
              <w:autoSpaceDE/>
              <w:autoSpaceDN/>
              <w:adjustRightInd/>
              <w:spacing w:line="240" w:lineRule="auto"/>
              <w:rPr>
                <w:rFonts w:eastAsia="Times New Roman" w:cs="Times New Roman"/>
                <w:color w:val="000000"/>
                <w:sz w:val="16"/>
                <w:szCs w:val="16"/>
              </w:rPr>
            </w:pPr>
          </w:p>
        </w:tc>
        <w:tc>
          <w:tcPr>
            <w:tcW w:w="1927" w:type="pct"/>
            <w:gridSpan w:val="5"/>
            <w:tcBorders>
              <w:top w:val="single" w:sz="4" w:space="0" w:color="auto"/>
              <w:left w:val="single" w:sz="4" w:space="0" w:color="auto"/>
              <w:bottom w:val="single" w:sz="4" w:space="0" w:color="auto"/>
              <w:right w:val="single" w:sz="4" w:space="0" w:color="auto"/>
            </w:tcBorders>
            <w:shd w:val="clear" w:color="000000" w:fill="95B3D7"/>
            <w:vAlign w:val="center"/>
            <w:hideMark/>
          </w:tcPr>
          <w:p w14:paraId="7E8305B0" w14:textId="38E28E9D" w:rsidR="00955CDC" w:rsidRPr="00D146AC" w:rsidRDefault="00A352BB" w:rsidP="00A352BB">
            <w:pPr>
              <w:widowControl/>
              <w:autoSpaceDE/>
              <w:autoSpaceDN/>
              <w:adjustRightInd/>
              <w:spacing w:line="240" w:lineRule="auto"/>
              <w:jc w:val="center"/>
              <w:rPr>
                <w:rFonts w:eastAsia="Times New Roman" w:cs="Times New Roman"/>
                <w:color w:val="000000"/>
                <w:sz w:val="16"/>
                <w:szCs w:val="16"/>
              </w:rPr>
            </w:pPr>
            <w:r>
              <w:rPr>
                <w:rFonts w:eastAsia="Times New Roman" w:cs="Times New Roman"/>
                <w:color w:val="000000"/>
                <w:sz w:val="16"/>
                <w:szCs w:val="16"/>
              </w:rPr>
              <w:t>„</w:t>
            </w:r>
            <w:r w:rsidR="00955CDC" w:rsidRPr="00D146AC">
              <w:rPr>
                <w:rFonts w:eastAsia="Times New Roman" w:cs="Times New Roman"/>
                <w:color w:val="000000"/>
                <w:sz w:val="16"/>
                <w:szCs w:val="16"/>
              </w:rPr>
              <w:t>Mały ZUS</w:t>
            </w:r>
            <w:r>
              <w:rPr>
                <w:rFonts w:eastAsia="Times New Roman" w:cs="Times New Roman"/>
                <w:color w:val="000000"/>
                <w:sz w:val="16"/>
                <w:szCs w:val="16"/>
              </w:rPr>
              <w:t>”</w:t>
            </w:r>
            <w:r w:rsidR="00955CDC" w:rsidRPr="00D146AC">
              <w:rPr>
                <w:rFonts w:eastAsia="Times New Roman" w:cs="Times New Roman"/>
                <w:color w:val="000000"/>
                <w:sz w:val="16"/>
                <w:szCs w:val="16"/>
              </w:rPr>
              <w:t xml:space="preserve"> wg</w:t>
            </w:r>
            <w:r w:rsidR="00955CDC" w:rsidRPr="00D146AC">
              <w:rPr>
                <w:rFonts w:eastAsia="Times New Roman" w:cs="Times New Roman"/>
                <w:i/>
                <w:iCs/>
                <w:color w:val="000000"/>
                <w:sz w:val="16"/>
                <w:szCs w:val="16"/>
              </w:rPr>
              <w:t xml:space="preserve"> ustawy z dnia 20 lipca 2018 r. o zmianie niektórych ustaw w celu obniżenia składek na ubezpieczenia społeczne osób fizycznych wykonujących działalność gospodarczą na mniejszą skalę</w:t>
            </w:r>
            <w:r w:rsidR="00955CDC" w:rsidRPr="00D146AC">
              <w:rPr>
                <w:rFonts w:eastAsia="Times New Roman" w:cs="Times New Roman"/>
                <w:color w:val="000000"/>
                <w:sz w:val="16"/>
                <w:szCs w:val="16"/>
              </w:rPr>
              <w:t xml:space="preserve"> (zasady obowiązujące w 2019 r. </w:t>
            </w:r>
            <w:r w:rsidR="00BA3E4B">
              <w:rPr>
                <w:rFonts w:eastAsia="Times New Roman" w:cs="Times New Roman"/>
                <w:color w:val="000000"/>
                <w:sz w:val="16"/>
                <w:szCs w:val="16"/>
              </w:rPr>
              <w:t>–</w:t>
            </w:r>
            <w:r w:rsidR="00955CDC" w:rsidRPr="00D146AC">
              <w:rPr>
                <w:rFonts w:eastAsia="Times New Roman" w:cs="Times New Roman"/>
                <w:color w:val="000000"/>
                <w:sz w:val="16"/>
                <w:szCs w:val="16"/>
              </w:rPr>
              <w:t xml:space="preserve"> scenariusz A)</w:t>
            </w:r>
          </w:p>
        </w:tc>
        <w:tc>
          <w:tcPr>
            <w:tcW w:w="1542" w:type="pct"/>
            <w:gridSpan w:val="4"/>
            <w:tcBorders>
              <w:top w:val="single" w:sz="4" w:space="0" w:color="auto"/>
              <w:left w:val="nil"/>
              <w:bottom w:val="single" w:sz="4" w:space="0" w:color="auto"/>
              <w:right w:val="single" w:sz="4" w:space="0" w:color="auto"/>
            </w:tcBorders>
            <w:shd w:val="clear" w:color="000000" w:fill="C4D79B"/>
            <w:vAlign w:val="center"/>
            <w:hideMark/>
          </w:tcPr>
          <w:p w14:paraId="037E2C20" w14:textId="3EE47848" w:rsidR="00955CDC" w:rsidRPr="00D146AC" w:rsidRDefault="00A352BB" w:rsidP="00A352BB">
            <w:pPr>
              <w:widowControl/>
              <w:autoSpaceDE/>
              <w:autoSpaceDN/>
              <w:adjustRightInd/>
              <w:spacing w:line="240" w:lineRule="auto"/>
              <w:jc w:val="center"/>
              <w:rPr>
                <w:rFonts w:eastAsia="Times New Roman" w:cs="Times New Roman"/>
                <w:color w:val="000000"/>
                <w:sz w:val="16"/>
                <w:szCs w:val="16"/>
              </w:rPr>
            </w:pPr>
            <w:r>
              <w:rPr>
                <w:rFonts w:eastAsia="Times New Roman" w:cs="Times New Roman"/>
                <w:color w:val="000000"/>
                <w:sz w:val="16"/>
                <w:szCs w:val="16"/>
              </w:rPr>
              <w:t>„</w:t>
            </w:r>
            <w:r w:rsidR="00955CDC" w:rsidRPr="00D146AC">
              <w:rPr>
                <w:rFonts w:eastAsia="Times New Roman" w:cs="Times New Roman"/>
                <w:color w:val="000000"/>
                <w:sz w:val="16"/>
                <w:szCs w:val="16"/>
              </w:rPr>
              <w:t>Mały ZUS plus</w:t>
            </w:r>
            <w:r>
              <w:rPr>
                <w:rFonts w:eastAsia="Times New Roman" w:cs="Times New Roman"/>
                <w:color w:val="000000"/>
                <w:sz w:val="16"/>
                <w:szCs w:val="16"/>
              </w:rPr>
              <w:t>”</w:t>
            </w:r>
            <w:r w:rsidR="00955CDC" w:rsidRPr="00D146AC">
              <w:rPr>
                <w:rFonts w:eastAsia="Times New Roman" w:cs="Times New Roman"/>
                <w:color w:val="000000"/>
                <w:sz w:val="16"/>
                <w:szCs w:val="16"/>
              </w:rPr>
              <w:t xml:space="preserve"> wg </w:t>
            </w:r>
            <w:r w:rsidR="00955CDC" w:rsidRPr="00D146AC">
              <w:rPr>
                <w:rFonts w:eastAsia="Times New Roman" w:cs="Times New Roman"/>
                <w:i/>
                <w:iCs/>
                <w:color w:val="000000"/>
                <w:sz w:val="16"/>
                <w:szCs w:val="16"/>
              </w:rPr>
              <w:t>projektu ustawy o zmianie ustawy o systemie ubezpieczeń społecznych oraz ustawy o Krajowej Administracji Skarbowej</w:t>
            </w:r>
            <w:r w:rsidR="00955CDC" w:rsidRPr="00D146AC">
              <w:rPr>
                <w:rFonts w:eastAsia="Times New Roman" w:cs="Times New Roman"/>
                <w:color w:val="000000"/>
                <w:sz w:val="16"/>
                <w:szCs w:val="16"/>
              </w:rPr>
              <w:t xml:space="preserve"> (zasady, które będą obowiązywać w 2020 r. </w:t>
            </w:r>
            <w:r w:rsidR="00BA3E4B">
              <w:rPr>
                <w:rFonts w:eastAsia="Times New Roman" w:cs="Times New Roman"/>
                <w:color w:val="000000"/>
                <w:sz w:val="16"/>
                <w:szCs w:val="16"/>
              </w:rPr>
              <w:t>–</w:t>
            </w:r>
            <w:r w:rsidR="00955CDC" w:rsidRPr="00D146AC">
              <w:rPr>
                <w:rFonts w:eastAsia="Times New Roman" w:cs="Times New Roman"/>
                <w:color w:val="000000"/>
                <w:sz w:val="16"/>
                <w:szCs w:val="16"/>
              </w:rPr>
              <w:t xml:space="preserve"> scenariusz B)</w:t>
            </w:r>
          </w:p>
        </w:tc>
        <w:tc>
          <w:tcPr>
            <w:tcW w:w="385" w:type="pct"/>
            <w:tcBorders>
              <w:top w:val="nil"/>
              <w:left w:val="nil"/>
              <w:bottom w:val="nil"/>
              <w:right w:val="nil"/>
            </w:tcBorders>
            <w:shd w:val="clear" w:color="auto" w:fill="auto"/>
            <w:noWrap/>
            <w:vAlign w:val="bottom"/>
            <w:hideMark/>
          </w:tcPr>
          <w:p w14:paraId="1A6F6C6B" w14:textId="77777777" w:rsidR="00955CDC" w:rsidRPr="00D146AC" w:rsidRDefault="00955CDC" w:rsidP="00955CDC">
            <w:pPr>
              <w:widowControl/>
              <w:autoSpaceDE/>
              <w:autoSpaceDN/>
              <w:adjustRightInd/>
              <w:spacing w:line="240" w:lineRule="auto"/>
              <w:rPr>
                <w:rFonts w:eastAsia="Times New Roman" w:cs="Times New Roman"/>
                <w:color w:val="000000"/>
                <w:sz w:val="16"/>
                <w:szCs w:val="16"/>
              </w:rPr>
            </w:pPr>
          </w:p>
        </w:tc>
        <w:tc>
          <w:tcPr>
            <w:tcW w:w="379" w:type="pct"/>
            <w:tcBorders>
              <w:top w:val="nil"/>
              <w:left w:val="nil"/>
              <w:bottom w:val="nil"/>
              <w:right w:val="nil"/>
            </w:tcBorders>
            <w:shd w:val="clear" w:color="auto" w:fill="auto"/>
            <w:noWrap/>
            <w:vAlign w:val="bottom"/>
            <w:hideMark/>
          </w:tcPr>
          <w:p w14:paraId="3F9EFF77" w14:textId="77777777" w:rsidR="00955CDC" w:rsidRPr="00D146AC" w:rsidRDefault="00955CDC" w:rsidP="00955CDC">
            <w:pPr>
              <w:widowControl/>
              <w:autoSpaceDE/>
              <w:autoSpaceDN/>
              <w:adjustRightInd/>
              <w:spacing w:line="240" w:lineRule="auto"/>
              <w:rPr>
                <w:rFonts w:eastAsia="Times New Roman" w:cs="Times New Roman"/>
                <w:color w:val="000000"/>
                <w:sz w:val="16"/>
                <w:szCs w:val="16"/>
              </w:rPr>
            </w:pPr>
          </w:p>
        </w:tc>
      </w:tr>
      <w:tr w:rsidR="00466DFD" w:rsidRPr="00955CDC" w14:paraId="2ED5B154" w14:textId="77777777" w:rsidTr="00CA47C7">
        <w:trPr>
          <w:trHeight w:val="1500"/>
        </w:trPr>
        <w:tc>
          <w:tcPr>
            <w:tcW w:w="384" w:type="pct"/>
            <w:tcBorders>
              <w:top w:val="single" w:sz="4" w:space="0" w:color="auto"/>
              <w:left w:val="single" w:sz="4" w:space="0" w:color="auto"/>
              <w:bottom w:val="single" w:sz="4" w:space="0" w:color="auto"/>
              <w:right w:val="single" w:sz="4" w:space="0" w:color="auto"/>
            </w:tcBorders>
            <w:shd w:val="clear" w:color="000000" w:fill="92CDDC"/>
            <w:vAlign w:val="center"/>
            <w:hideMark/>
          </w:tcPr>
          <w:p w14:paraId="1A878B5E" w14:textId="1526C4AA" w:rsidR="00955CDC" w:rsidRPr="00D146AC" w:rsidRDefault="00955CDC" w:rsidP="00955CDC">
            <w:pPr>
              <w:widowControl/>
              <w:autoSpaceDE/>
              <w:autoSpaceDN/>
              <w:adjustRightInd/>
              <w:spacing w:line="240" w:lineRule="auto"/>
              <w:jc w:val="center"/>
              <w:rPr>
                <w:rFonts w:eastAsia="Times New Roman" w:cs="Times New Roman"/>
                <w:color w:val="000000"/>
                <w:sz w:val="16"/>
                <w:szCs w:val="16"/>
                <w:u w:val="single"/>
              </w:rPr>
            </w:pPr>
            <w:r w:rsidRPr="00D146AC">
              <w:rPr>
                <w:rFonts w:eastAsia="Times New Roman" w:cs="Times New Roman"/>
                <w:color w:val="000000"/>
                <w:sz w:val="16"/>
                <w:szCs w:val="16"/>
                <w:u w:val="single"/>
              </w:rPr>
              <w:t>Miesięczny przychód (dla scenariusza B)</w:t>
            </w:r>
            <w:r w:rsidR="00AE1757">
              <w:rPr>
                <w:rFonts w:eastAsia="Times New Roman" w:cs="Times New Roman"/>
                <w:color w:val="000000"/>
                <w:sz w:val="16"/>
                <w:szCs w:val="16"/>
                <w:u w:val="single"/>
              </w:rPr>
              <w:t xml:space="preserve"> </w:t>
            </w:r>
            <w:r w:rsidRPr="00D146AC">
              <w:rPr>
                <w:rFonts w:eastAsia="Times New Roman" w:cs="Times New Roman"/>
                <w:color w:val="000000"/>
                <w:sz w:val="16"/>
                <w:szCs w:val="16"/>
                <w:u w:val="single"/>
              </w:rPr>
              <w:t>/</w:t>
            </w:r>
            <w:r w:rsidR="00AE1757">
              <w:rPr>
                <w:rFonts w:eastAsia="Times New Roman" w:cs="Times New Roman"/>
                <w:color w:val="000000"/>
                <w:sz w:val="16"/>
                <w:szCs w:val="16"/>
                <w:u w:val="single"/>
              </w:rPr>
              <w:t xml:space="preserve"> </w:t>
            </w:r>
            <w:r w:rsidRPr="00D146AC">
              <w:rPr>
                <w:rFonts w:eastAsia="Times New Roman" w:cs="Times New Roman"/>
                <w:color w:val="000000"/>
                <w:sz w:val="16"/>
                <w:szCs w:val="16"/>
                <w:u w:val="single"/>
              </w:rPr>
              <w:t>przeciętny miesięczny przychód (dla scenariusza A)</w:t>
            </w:r>
          </w:p>
        </w:tc>
        <w:tc>
          <w:tcPr>
            <w:tcW w:w="383" w:type="pct"/>
            <w:tcBorders>
              <w:top w:val="single" w:sz="4" w:space="0" w:color="auto"/>
              <w:left w:val="nil"/>
              <w:bottom w:val="single" w:sz="4" w:space="0" w:color="auto"/>
              <w:right w:val="single" w:sz="4" w:space="0" w:color="auto"/>
            </w:tcBorders>
            <w:shd w:val="clear" w:color="000000" w:fill="92CDDC"/>
            <w:vAlign w:val="center"/>
            <w:hideMark/>
          </w:tcPr>
          <w:p w14:paraId="5CFA609A"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u w:val="single"/>
              </w:rPr>
            </w:pPr>
            <w:r w:rsidRPr="00D146AC">
              <w:rPr>
                <w:rFonts w:eastAsia="Times New Roman" w:cs="Times New Roman"/>
                <w:color w:val="000000"/>
                <w:sz w:val="16"/>
                <w:szCs w:val="16"/>
                <w:u w:val="single"/>
              </w:rPr>
              <w:t>Przeciętny miesięczny dochód</w:t>
            </w:r>
          </w:p>
        </w:tc>
        <w:tc>
          <w:tcPr>
            <w:tcW w:w="385" w:type="pct"/>
            <w:tcBorders>
              <w:top w:val="nil"/>
              <w:left w:val="nil"/>
              <w:bottom w:val="single" w:sz="4" w:space="0" w:color="auto"/>
              <w:right w:val="single" w:sz="4" w:space="0" w:color="auto"/>
            </w:tcBorders>
            <w:shd w:val="clear" w:color="000000" w:fill="95B3D7"/>
            <w:vAlign w:val="center"/>
            <w:hideMark/>
          </w:tcPr>
          <w:p w14:paraId="0C58CA6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przychód</w:t>
            </w:r>
          </w:p>
        </w:tc>
        <w:tc>
          <w:tcPr>
            <w:tcW w:w="385" w:type="pct"/>
            <w:tcBorders>
              <w:top w:val="nil"/>
              <w:left w:val="nil"/>
              <w:bottom w:val="single" w:sz="4" w:space="0" w:color="auto"/>
              <w:right w:val="single" w:sz="4" w:space="0" w:color="auto"/>
            </w:tcBorders>
            <w:shd w:val="clear" w:color="000000" w:fill="95B3D7"/>
            <w:vAlign w:val="center"/>
            <w:hideMark/>
          </w:tcPr>
          <w:p w14:paraId="455A0F8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dochód</w:t>
            </w:r>
          </w:p>
        </w:tc>
        <w:tc>
          <w:tcPr>
            <w:tcW w:w="385" w:type="pct"/>
            <w:tcBorders>
              <w:top w:val="nil"/>
              <w:left w:val="nil"/>
              <w:bottom w:val="single" w:sz="4" w:space="0" w:color="auto"/>
              <w:right w:val="single" w:sz="4" w:space="0" w:color="auto"/>
            </w:tcBorders>
            <w:shd w:val="clear" w:color="000000" w:fill="95B3D7"/>
            <w:vAlign w:val="center"/>
            <w:hideMark/>
          </w:tcPr>
          <w:p w14:paraId="2B11E79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Możliwość skorzystania z ulgi</w:t>
            </w:r>
          </w:p>
        </w:tc>
        <w:tc>
          <w:tcPr>
            <w:tcW w:w="385" w:type="pct"/>
            <w:tcBorders>
              <w:top w:val="nil"/>
              <w:left w:val="nil"/>
              <w:bottom w:val="single" w:sz="4" w:space="0" w:color="auto"/>
              <w:right w:val="single" w:sz="4" w:space="0" w:color="auto"/>
            </w:tcBorders>
            <w:shd w:val="clear" w:color="000000" w:fill="95B3D7"/>
            <w:vAlign w:val="center"/>
            <w:hideMark/>
          </w:tcPr>
          <w:p w14:paraId="68EF2F6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Najniższa podstawa wymiaru składek</w:t>
            </w:r>
          </w:p>
        </w:tc>
        <w:tc>
          <w:tcPr>
            <w:tcW w:w="385" w:type="pct"/>
            <w:tcBorders>
              <w:top w:val="nil"/>
              <w:left w:val="nil"/>
              <w:bottom w:val="single" w:sz="4" w:space="0" w:color="auto"/>
              <w:right w:val="single" w:sz="4" w:space="0" w:color="auto"/>
            </w:tcBorders>
            <w:shd w:val="clear" w:color="000000" w:fill="95B3D7"/>
            <w:vAlign w:val="center"/>
            <w:hideMark/>
          </w:tcPr>
          <w:p w14:paraId="3AFA5331"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Wysokość składek na ubezpieczenia społeczne</w:t>
            </w:r>
          </w:p>
        </w:tc>
        <w:tc>
          <w:tcPr>
            <w:tcW w:w="386" w:type="pct"/>
            <w:tcBorders>
              <w:top w:val="nil"/>
              <w:left w:val="nil"/>
              <w:bottom w:val="single" w:sz="4" w:space="0" w:color="auto"/>
              <w:right w:val="single" w:sz="4" w:space="0" w:color="auto"/>
            </w:tcBorders>
            <w:shd w:val="clear" w:color="000000" w:fill="C4D79B"/>
            <w:vAlign w:val="center"/>
            <w:hideMark/>
          </w:tcPr>
          <w:p w14:paraId="3056514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przychód</w:t>
            </w:r>
          </w:p>
        </w:tc>
        <w:tc>
          <w:tcPr>
            <w:tcW w:w="385" w:type="pct"/>
            <w:tcBorders>
              <w:top w:val="nil"/>
              <w:left w:val="nil"/>
              <w:bottom w:val="single" w:sz="4" w:space="0" w:color="auto"/>
              <w:right w:val="single" w:sz="4" w:space="0" w:color="auto"/>
            </w:tcBorders>
            <w:shd w:val="clear" w:color="000000" w:fill="C4D79B"/>
            <w:vAlign w:val="center"/>
            <w:hideMark/>
          </w:tcPr>
          <w:p w14:paraId="7A79A9E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dochód</w:t>
            </w:r>
          </w:p>
        </w:tc>
        <w:tc>
          <w:tcPr>
            <w:tcW w:w="385" w:type="pct"/>
            <w:tcBorders>
              <w:top w:val="nil"/>
              <w:left w:val="nil"/>
              <w:bottom w:val="single" w:sz="4" w:space="0" w:color="auto"/>
              <w:right w:val="single" w:sz="4" w:space="0" w:color="auto"/>
            </w:tcBorders>
            <w:shd w:val="clear" w:color="000000" w:fill="C4D79B"/>
            <w:vAlign w:val="center"/>
            <w:hideMark/>
          </w:tcPr>
          <w:p w14:paraId="2878B05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Podstawa wymiaru składek</w:t>
            </w:r>
          </w:p>
        </w:tc>
        <w:tc>
          <w:tcPr>
            <w:tcW w:w="385" w:type="pct"/>
            <w:tcBorders>
              <w:top w:val="nil"/>
              <w:left w:val="nil"/>
              <w:bottom w:val="single" w:sz="4" w:space="0" w:color="auto"/>
              <w:right w:val="single" w:sz="4" w:space="0" w:color="auto"/>
            </w:tcBorders>
            <w:shd w:val="clear" w:color="000000" w:fill="C4D79B"/>
            <w:vAlign w:val="center"/>
            <w:hideMark/>
          </w:tcPr>
          <w:p w14:paraId="39126302"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Wysokość składek na ubezpieczenia społeczne</w:t>
            </w:r>
          </w:p>
        </w:tc>
        <w:tc>
          <w:tcPr>
            <w:tcW w:w="385" w:type="pct"/>
            <w:tcBorders>
              <w:top w:val="single" w:sz="4" w:space="0" w:color="auto"/>
              <w:left w:val="nil"/>
              <w:bottom w:val="single" w:sz="4" w:space="0" w:color="auto"/>
              <w:right w:val="single" w:sz="4" w:space="0" w:color="auto"/>
            </w:tcBorders>
            <w:shd w:val="clear" w:color="000000" w:fill="92CDDC"/>
            <w:vAlign w:val="center"/>
            <w:hideMark/>
          </w:tcPr>
          <w:p w14:paraId="116D164D" w14:textId="5743551A" w:rsidR="00955CDC" w:rsidRPr="00D146AC" w:rsidRDefault="00955CDC" w:rsidP="00AE1757">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 xml:space="preserve">Różnica między scenariuszem A </w:t>
            </w:r>
            <w:proofErr w:type="spellStart"/>
            <w:r w:rsidRPr="00D146AC">
              <w:rPr>
                <w:rFonts w:eastAsia="Times New Roman" w:cs="Times New Roman"/>
                <w:color w:val="000000"/>
                <w:sz w:val="16"/>
                <w:szCs w:val="16"/>
              </w:rPr>
              <w:t>a</w:t>
            </w:r>
            <w:proofErr w:type="spellEnd"/>
            <w:r w:rsidRPr="00D146AC">
              <w:rPr>
                <w:rFonts w:eastAsia="Times New Roman" w:cs="Times New Roman"/>
                <w:color w:val="000000"/>
                <w:sz w:val="16"/>
                <w:szCs w:val="16"/>
              </w:rPr>
              <w:t xml:space="preserve"> scenariuszem B</w:t>
            </w:r>
          </w:p>
        </w:tc>
        <w:tc>
          <w:tcPr>
            <w:tcW w:w="379" w:type="pct"/>
            <w:tcBorders>
              <w:top w:val="single" w:sz="4" w:space="0" w:color="auto"/>
              <w:left w:val="nil"/>
              <w:bottom w:val="single" w:sz="4" w:space="0" w:color="auto"/>
              <w:right w:val="single" w:sz="4" w:space="0" w:color="auto"/>
            </w:tcBorders>
            <w:shd w:val="clear" w:color="000000" w:fill="92CDDC"/>
            <w:vAlign w:val="center"/>
            <w:hideMark/>
          </w:tcPr>
          <w:p w14:paraId="20FD41E5" w14:textId="4D24BD22" w:rsidR="00955CDC" w:rsidRPr="00D146AC" w:rsidRDefault="00955CDC" w:rsidP="00AE1757">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Różnica między pełną składką ZUS a scenariuszem B</w:t>
            </w:r>
          </w:p>
        </w:tc>
      </w:tr>
      <w:tr w:rsidR="00955CDC" w:rsidRPr="00955CDC" w14:paraId="0E128BC9"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5700B3C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2500,00</w:t>
            </w:r>
          </w:p>
        </w:tc>
        <w:tc>
          <w:tcPr>
            <w:tcW w:w="383" w:type="pct"/>
            <w:tcBorders>
              <w:top w:val="nil"/>
              <w:left w:val="nil"/>
              <w:bottom w:val="single" w:sz="4" w:space="0" w:color="auto"/>
              <w:right w:val="single" w:sz="4" w:space="0" w:color="auto"/>
            </w:tcBorders>
            <w:shd w:val="clear" w:color="auto" w:fill="auto"/>
            <w:noWrap/>
            <w:vAlign w:val="center"/>
            <w:hideMark/>
          </w:tcPr>
          <w:p w14:paraId="50FD2E49"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1500,00</w:t>
            </w:r>
          </w:p>
        </w:tc>
        <w:tc>
          <w:tcPr>
            <w:tcW w:w="385" w:type="pct"/>
            <w:tcBorders>
              <w:top w:val="nil"/>
              <w:left w:val="nil"/>
              <w:bottom w:val="single" w:sz="4" w:space="0" w:color="auto"/>
              <w:right w:val="single" w:sz="4" w:space="0" w:color="auto"/>
            </w:tcBorders>
            <w:shd w:val="clear" w:color="auto" w:fill="auto"/>
            <w:noWrap/>
            <w:vAlign w:val="center"/>
            <w:hideMark/>
          </w:tcPr>
          <w:p w14:paraId="1BE57652"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30416,67</w:t>
            </w:r>
          </w:p>
        </w:tc>
        <w:tc>
          <w:tcPr>
            <w:tcW w:w="385" w:type="pct"/>
            <w:tcBorders>
              <w:top w:val="nil"/>
              <w:left w:val="nil"/>
              <w:bottom w:val="single" w:sz="4" w:space="0" w:color="auto"/>
              <w:right w:val="single" w:sz="4" w:space="0" w:color="auto"/>
            </w:tcBorders>
            <w:shd w:val="clear" w:color="auto" w:fill="auto"/>
            <w:vAlign w:val="center"/>
            <w:hideMark/>
          </w:tcPr>
          <w:p w14:paraId="4CF8EC6C" w14:textId="48ED7EE9"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0492D3C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0FD2A23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1206,25</w:t>
            </w:r>
          </w:p>
        </w:tc>
        <w:tc>
          <w:tcPr>
            <w:tcW w:w="385" w:type="pct"/>
            <w:tcBorders>
              <w:top w:val="nil"/>
              <w:left w:val="nil"/>
              <w:bottom w:val="single" w:sz="4" w:space="0" w:color="auto"/>
              <w:right w:val="single" w:sz="4" w:space="0" w:color="auto"/>
            </w:tcBorders>
            <w:shd w:val="clear" w:color="auto" w:fill="auto"/>
            <w:noWrap/>
            <w:vAlign w:val="center"/>
            <w:hideMark/>
          </w:tcPr>
          <w:p w14:paraId="1EA6625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381,65</w:t>
            </w:r>
          </w:p>
        </w:tc>
        <w:tc>
          <w:tcPr>
            <w:tcW w:w="386" w:type="pct"/>
            <w:tcBorders>
              <w:top w:val="nil"/>
              <w:left w:val="nil"/>
              <w:bottom w:val="single" w:sz="4" w:space="0" w:color="auto"/>
              <w:right w:val="single" w:sz="4" w:space="0" w:color="auto"/>
            </w:tcBorders>
            <w:shd w:val="clear" w:color="auto" w:fill="auto"/>
            <w:noWrap/>
            <w:vAlign w:val="center"/>
            <w:hideMark/>
          </w:tcPr>
          <w:p w14:paraId="701854B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30000,00</w:t>
            </w:r>
          </w:p>
        </w:tc>
        <w:tc>
          <w:tcPr>
            <w:tcW w:w="385" w:type="pct"/>
            <w:tcBorders>
              <w:top w:val="nil"/>
              <w:left w:val="nil"/>
              <w:bottom w:val="single" w:sz="4" w:space="0" w:color="auto"/>
              <w:right w:val="single" w:sz="4" w:space="0" w:color="auto"/>
            </w:tcBorders>
            <w:shd w:val="clear" w:color="auto" w:fill="auto"/>
            <w:noWrap/>
            <w:vAlign w:val="center"/>
            <w:hideMark/>
          </w:tcPr>
          <w:p w14:paraId="7076BC88"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18250,00</w:t>
            </w:r>
          </w:p>
        </w:tc>
        <w:tc>
          <w:tcPr>
            <w:tcW w:w="385" w:type="pct"/>
            <w:tcBorders>
              <w:top w:val="nil"/>
              <w:left w:val="nil"/>
              <w:bottom w:val="single" w:sz="4" w:space="0" w:color="auto"/>
              <w:right w:val="single" w:sz="4" w:space="0" w:color="auto"/>
            </w:tcBorders>
            <w:shd w:val="clear" w:color="auto" w:fill="auto"/>
            <w:noWrap/>
            <w:vAlign w:val="center"/>
            <w:hideMark/>
          </w:tcPr>
          <w:p w14:paraId="162B955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780,00</w:t>
            </w:r>
          </w:p>
        </w:tc>
        <w:tc>
          <w:tcPr>
            <w:tcW w:w="385" w:type="pct"/>
            <w:tcBorders>
              <w:top w:val="nil"/>
              <w:left w:val="nil"/>
              <w:bottom w:val="single" w:sz="4" w:space="0" w:color="auto"/>
              <w:right w:val="single" w:sz="4" w:space="0" w:color="auto"/>
            </w:tcBorders>
            <w:shd w:val="clear" w:color="auto" w:fill="auto"/>
            <w:noWrap/>
            <w:vAlign w:val="center"/>
            <w:hideMark/>
          </w:tcPr>
          <w:p w14:paraId="210CB55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246,80</w:t>
            </w:r>
          </w:p>
        </w:tc>
        <w:tc>
          <w:tcPr>
            <w:tcW w:w="385" w:type="pct"/>
            <w:tcBorders>
              <w:top w:val="nil"/>
              <w:left w:val="nil"/>
              <w:bottom w:val="single" w:sz="4" w:space="0" w:color="auto"/>
              <w:right w:val="single" w:sz="4" w:space="0" w:color="auto"/>
            </w:tcBorders>
            <w:shd w:val="clear" w:color="auto" w:fill="auto"/>
            <w:noWrap/>
            <w:vAlign w:val="center"/>
            <w:hideMark/>
          </w:tcPr>
          <w:p w14:paraId="7F94E3A7"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134,85</w:t>
            </w:r>
          </w:p>
        </w:tc>
        <w:tc>
          <w:tcPr>
            <w:tcW w:w="379" w:type="pct"/>
            <w:tcBorders>
              <w:top w:val="nil"/>
              <w:left w:val="nil"/>
              <w:bottom w:val="single" w:sz="4" w:space="0" w:color="auto"/>
              <w:right w:val="single" w:sz="4" w:space="0" w:color="auto"/>
            </w:tcBorders>
            <w:shd w:val="clear" w:color="auto" w:fill="auto"/>
            <w:noWrap/>
            <w:vAlign w:val="center"/>
            <w:hideMark/>
          </w:tcPr>
          <w:p w14:paraId="0DEE67D8"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745,50</w:t>
            </w:r>
          </w:p>
        </w:tc>
      </w:tr>
      <w:tr w:rsidR="00955CDC" w:rsidRPr="00955CDC" w14:paraId="7A2EF502"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788947FA"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3500,00</w:t>
            </w:r>
          </w:p>
        </w:tc>
        <w:tc>
          <w:tcPr>
            <w:tcW w:w="383" w:type="pct"/>
            <w:tcBorders>
              <w:top w:val="nil"/>
              <w:left w:val="nil"/>
              <w:bottom w:val="single" w:sz="4" w:space="0" w:color="auto"/>
              <w:right w:val="single" w:sz="4" w:space="0" w:color="auto"/>
            </w:tcBorders>
            <w:shd w:val="clear" w:color="auto" w:fill="auto"/>
            <w:noWrap/>
            <w:vAlign w:val="center"/>
            <w:hideMark/>
          </w:tcPr>
          <w:p w14:paraId="459B373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1800,00</w:t>
            </w:r>
          </w:p>
        </w:tc>
        <w:tc>
          <w:tcPr>
            <w:tcW w:w="385" w:type="pct"/>
            <w:tcBorders>
              <w:top w:val="nil"/>
              <w:left w:val="nil"/>
              <w:bottom w:val="single" w:sz="4" w:space="0" w:color="auto"/>
              <w:right w:val="single" w:sz="4" w:space="0" w:color="auto"/>
            </w:tcBorders>
            <w:shd w:val="clear" w:color="auto" w:fill="auto"/>
            <w:noWrap/>
            <w:vAlign w:val="center"/>
            <w:hideMark/>
          </w:tcPr>
          <w:p w14:paraId="6EA2C48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42583,33</w:t>
            </w:r>
          </w:p>
        </w:tc>
        <w:tc>
          <w:tcPr>
            <w:tcW w:w="385" w:type="pct"/>
            <w:tcBorders>
              <w:top w:val="nil"/>
              <w:left w:val="nil"/>
              <w:bottom w:val="single" w:sz="4" w:space="0" w:color="auto"/>
              <w:right w:val="single" w:sz="4" w:space="0" w:color="auto"/>
            </w:tcBorders>
            <w:shd w:val="clear" w:color="auto" w:fill="auto"/>
            <w:vAlign w:val="center"/>
            <w:hideMark/>
          </w:tcPr>
          <w:p w14:paraId="755B2132" w14:textId="5A2A84F0"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4415828F"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083E8A7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1688,75</w:t>
            </w:r>
          </w:p>
        </w:tc>
        <w:tc>
          <w:tcPr>
            <w:tcW w:w="385" w:type="pct"/>
            <w:tcBorders>
              <w:top w:val="nil"/>
              <w:left w:val="nil"/>
              <w:bottom w:val="single" w:sz="4" w:space="0" w:color="auto"/>
              <w:right w:val="single" w:sz="4" w:space="0" w:color="auto"/>
            </w:tcBorders>
            <w:shd w:val="clear" w:color="auto" w:fill="auto"/>
            <w:noWrap/>
            <w:vAlign w:val="center"/>
            <w:hideMark/>
          </w:tcPr>
          <w:p w14:paraId="6253650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534,31</w:t>
            </w:r>
          </w:p>
        </w:tc>
        <w:tc>
          <w:tcPr>
            <w:tcW w:w="386" w:type="pct"/>
            <w:tcBorders>
              <w:top w:val="nil"/>
              <w:left w:val="nil"/>
              <w:bottom w:val="single" w:sz="4" w:space="0" w:color="auto"/>
              <w:right w:val="single" w:sz="4" w:space="0" w:color="auto"/>
            </w:tcBorders>
            <w:shd w:val="clear" w:color="auto" w:fill="auto"/>
            <w:noWrap/>
            <w:vAlign w:val="center"/>
            <w:hideMark/>
          </w:tcPr>
          <w:p w14:paraId="345891C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42000,00</w:t>
            </w:r>
          </w:p>
        </w:tc>
        <w:tc>
          <w:tcPr>
            <w:tcW w:w="385" w:type="pct"/>
            <w:tcBorders>
              <w:top w:val="nil"/>
              <w:left w:val="nil"/>
              <w:bottom w:val="single" w:sz="4" w:space="0" w:color="auto"/>
              <w:right w:val="single" w:sz="4" w:space="0" w:color="auto"/>
            </w:tcBorders>
            <w:shd w:val="clear" w:color="auto" w:fill="auto"/>
            <w:noWrap/>
            <w:vAlign w:val="center"/>
            <w:hideMark/>
          </w:tcPr>
          <w:p w14:paraId="44DDEC11"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21900,00</w:t>
            </w:r>
          </w:p>
        </w:tc>
        <w:tc>
          <w:tcPr>
            <w:tcW w:w="385" w:type="pct"/>
            <w:tcBorders>
              <w:top w:val="nil"/>
              <w:left w:val="nil"/>
              <w:bottom w:val="single" w:sz="4" w:space="0" w:color="auto"/>
              <w:right w:val="single" w:sz="4" w:space="0" w:color="auto"/>
            </w:tcBorders>
            <w:shd w:val="clear" w:color="auto" w:fill="auto"/>
            <w:noWrap/>
            <w:vAlign w:val="center"/>
            <w:hideMark/>
          </w:tcPr>
          <w:p w14:paraId="10B6216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900,00</w:t>
            </w:r>
          </w:p>
        </w:tc>
        <w:tc>
          <w:tcPr>
            <w:tcW w:w="385" w:type="pct"/>
            <w:tcBorders>
              <w:top w:val="nil"/>
              <w:left w:val="nil"/>
              <w:bottom w:val="single" w:sz="4" w:space="0" w:color="auto"/>
              <w:right w:val="single" w:sz="4" w:space="0" w:color="auto"/>
            </w:tcBorders>
            <w:shd w:val="clear" w:color="auto" w:fill="auto"/>
            <w:noWrap/>
            <w:vAlign w:val="center"/>
            <w:hideMark/>
          </w:tcPr>
          <w:p w14:paraId="362CC629"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284,76</w:t>
            </w:r>
          </w:p>
        </w:tc>
        <w:tc>
          <w:tcPr>
            <w:tcW w:w="385" w:type="pct"/>
            <w:tcBorders>
              <w:top w:val="nil"/>
              <w:left w:val="nil"/>
              <w:bottom w:val="single" w:sz="4" w:space="0" w:color="auto"/>
              <w:right w:val="single" w:sz="4" w:space="0" w:color="auto"/>
            </w:tcBorders>
            <w:shd w:val="clear" w:color="auto" w:fill="auto"/>
            <w:noWrap/>
            <w:vAlign w:val="center"/>
            <w:hideMark/>
          </w:tcPr>
          <w:p w14:paraId="6EBAE6E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249,55</w:t>
            </w:r>
          </w:p>
        </w:tc>
        <w:tc>
          <w:tcPr>
            <w:tcW w:w="379" w:type="pct"/>
            <w:tcBorders>
              <w:top w:val="nil"/>
              <w:left w:val="nil"/>
              <w:bottom w:val="single" w:sz="4" w:space="0" w:color="auto"/>
              <w:right w:val="single" w:sz="4" w:space="0" w:color="auto"/>
            </w:tcBorders>
            <w:shd w:val="clear" w:color="auto" w:fill="auto"/>
            <w:noWrap/>
            <w:vAlign w:val="center"/>
            <w:hideMark/>
          </w:tcPr>
          <w:p w14:paraId="1338840F"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707,54</w:t>
            </w:r>
          </w:p>
        </w:tc>
      </w:tr>
      <w:tr w:rsidR="00955CDC" w:rsidRPr="00955CDC" w14:paraId="384E7BCC"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767A4B74"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4500,00</w:t>
            </w:r>
          </w:p>
        </w:tc>
        <w:tc>
          <w:tcPr>
            <w:tcW w:w="383" w:type="pct"/>
            <w:tcBorders>
              <w:top w:val="nil"/>
              <w:left w:val="nil"/>
              <w:bottom w:val="single" w:sz="4" w:space="0" w:color="auto"/>
              <w:right w:val="single" w:sz="4" w:space="0" w:color="auto"/>
            </w:tcBorders>
            <w:shd w:val="clear" w:color="auto" w:fill="auto"/>
            <w:noWrap/>
            <w:vAlign w:val="center"/>
            <w:hideMark/>
          </w:tcPr>
          <w:p w14:paraId="4CAD998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2100,00</w:t>
            </w:r>
          </w:p>
        </w:tc>
        <w:tc>
          <w:tcPr>
            <w:tcW w:w="385" w:type="pct"/>
            <w:tcBorders>
              <w:top w:val="nil"/>
              <w:left w:val="nil"/>
              <w:bottom w:val="single" w:sz="4" w:space="0" w:color="auto"/>
              <w:right w:val="single" w:sz="4" w:space="0" w:color="auto"/>
            </w:tcBorders>
            <w:shd w:val="clear" w:color="auto" w:fill="auto"/>
            <w:noWrap/>
            <w:vAlign w:val="center"/>
            <w:hideMark/>
          </w:tcPr>
          <w:p w14:paraId="3AE88C2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54750,00</w:t>
            </w:r>
          </w:p>
        </w:tc>
        <w:tc>
          <w:tcPr>
            <w:tcW w:w="385" w:type="pct"/>
            <w:tcBorders>
              <w:top w:val="nil"/>
              <w:left w:val="nil"/>
              <w:bottom w:val="single" w:sz="4" w:space="0" w:color="auto"/>
              <w:right w:val="single" w:sz="4" w:space="0" w:color="auto"/>
            </w:tcBorders>
            <w:shd w:val="clear" w:color="auto" w:fill="auto"/>
            <w:vAlign w:val="center"/>
            <w:hideMark/>
          </w:tcPr>
          <w:p w14:paraId="06560E37" w14:textId="2C3AD24A"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2E6BF720"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7EF4415E"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2171,25</w:t>
            </w:r>
          </w:p>
        </w:tc>
        <w:tc>
          <w:tcPr>
            <w:tcW w:w="385" w:type="pct"/>
            <w:tcBorders>
              <w:top w:val="nil"/>
              <w:left w:val="nil"/>
              <w:bottom w:val="single" w:sz="4" w:space="0" w:color="auto"/>
              <w:right w:val="single" w:sz="4" w:space="0" w:color="auto"/>
            </w:tcBorders>
            <w:shd w:val="clear" w:color="auto" w:fill="auto"/>
            <w:noWrap/>
            <w:vAlign w:val="center"/>
            <w:hideMark/>
          </w:tcPr>
          <w:p w14:paraId="7B7C9C92"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686,99</w:t>
            </w:r>
          </w:p>
        </w:tc>
        <w:tc>
          <w:tcPr>
            <w:tcW w:w="386" w:type="pct"/>
            <w:tcBorders>
              <w:top w:val="nil"/>
              <w:left w:val="nil"/>
              <w:bottom w:val="single" w:sz="4" w:space="0" w:color="auto"/>
              <w:right w:val="single" w:sz="4" w:space="0" w:color="auto"/>
            </w:tcBorders>
            <w:shd w:val="clear" w:color="auto" w:fill="auto"/>
            <w:noWrap/>
            <w:vAlign w:val="center"/>
            <w:hideMark/>
          </w:tcPr>
          <w:p w14:paraId="768F7CC1"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54000,00</w:t>
            </w:r>
          </w:p>
        </w:tc>
        <w:tc>
          <w:tcPr>
            <w:tcW w:w="385" w:type="pct"/>
            <w:tcBorders>
              <w:top w:val="nil"/>
              <w:left w:val="nil"/>
              <w:bottom w:val="single" w:sz="4" w:space="0" w:color="auto"/>
              <w:right w:val="single" w:sz="4" w:space="0" w:color="auto"/>
            </w:tcBorders>
            <w:shd w:val="clear" w:color="auto" w:fill="auto"/>
            <w:noWrap/>
            <w:vAlign w:val="center"/>
            <w:hideMark/>
          </w:tcPr>
          <w:p w14:paraId="79B1F1B8"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25550,00</w:t>
            </w:r>
          </w:p>
        </w:tc>
        <w:tc>
          <w:tcPr>
            <w:tcW w:w="385" w:type="pct"/>
            <w:tcBorders>
              <w:top w:val="nil"/>
              <w:left w:val="nil"/>
              <w:bottom w:val="single" w:sz="4" w:space="0" w:color="auto"/>
              <w:right w:val="single" w:sz="4" w:space="0" w:color="auto"/>
            </w:tcBorders>
            <w:shd w:val="clear" w:color="auto" w:fill="auto"/>
            <w:noWrap/>
            <w:vAlign w:val="center"/>
            <w:hideMark/>
          </w:tcPr>
          <w:p w14:paraId="3A93188E"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1050,00</w:t>
            </w:r>
          </w:p>
        </w:tc>
        <w:tc>
          <w:tcPr>
            <w:tcW w:w="385" w:type="pct"/>
            <w:tcBorders>
              <w:top w:val="nil"/>
              <w:left w:val="nil"/>
              <w:bottom w:val="single" w:sz="4" w:space="0" w:color="auto"/>
              <w:right w:val="single" w:sz="4" w:space="0" w:color="auto"/>
            </w:tcBorders>
            <w:shd w:val="clear" w:color="auto" w:fill="auto"/>
            <w:noWrap/>
            <w:vAlign w:val="center"/>
            <w:hideMark/>
          </w:tcPr>
          <w:p w14:paraId="3821CB0A"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332,23</w:t>
            </w:r>
          </w:p>
        </w:tc>
        <w:tc>
          <w:tcPr>
            <w:tcW w:w="385" w:type="pct"/>
            <w:tcBorders>
              <w:top w:val="nil"/>
              <w:left w:val="nil"/>
              <w:bottom w:val="single" w:sz="4" w:space="0" w:color="auto"/>
              <w:right w:val="single" w:sz="4" w:space="0" w:color="auto"/>
            </w:tcBorders>
            <w:shd w:val="clear" w:color="auto" w:fill="auto"/>
            <w:noWrap/>
            <w:vAlign w:val="center"/>
            <w:hideMark/>
          </w:tcPr>
          <w:p w14:paraId="0377151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354,76</w:t>
            </w:r>
          </w:p>
        </w:tc>
        <w:tc>
          <w:tcPr>
            <w:tcW w:w="379" w:type="pct"/>
            <w:tcBorders>
              <w:top w:val="nil"/>
              <w:left w:val="nil"/>
              <w:bottom w:val="single" w:sz="4" w:space="0" w:color="auto"/>
              <w:right w:val="single" w:sz="4" w:space="0" w:color="auto"/>
            </w:tcBorders>
            <w:shd w:val="clear" w:color="auto" w:fill="auto"/>
            <w:noWrap/>
            <w:vAlign w:val="center"/>
            <w:hideMark/>
          </w:tcPr>
          <w:p w14:paraId="0A715174"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660,07</w:t>
            </w:r>
          </w:p>
        </w:tc>
      </w:tr>
      <w:tr w:rsidR="00955CDC" w:rsidRPr="00955CDC" w14:paraId="3008E896"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35F024D7"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5500,00</w:t>
            </w:r>
          </w:p>
        </w:tc>
        <w:tc>
          <w:tcPr>
            <w:tcW w:w="383" w:type="pct"/>
            <w:tcBorders>
              <w:top w:val="nil"/>
              <w:left w:val="nil"/>
              <w:bottom w:val="single" w:sz="4" w:space="0" w:color="auto"/>
              <w:right w:val="single" w:sz="4" w:space="0" w:color="auto"/>
            </w:tcBorders>
            <w:shd w:val="clear" w:color="auto" w:fill="auto"/>
            <w:noWrap/>
            <w:vAlign w:val="center"/>
            <w:hideMark/>
          </w:tcPr>
          <w:p w14:paraId="58C21CE1"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2500,00</w:t>
            </w:r>
          </w:p>
        </w:tc>
        <w:tc>
          <w:tcPr>
            <w:tcW w:w="385" w:type="pct"/>
            <w:tcBorders>
              <w:top w:val="nil"/>
              <w:left w:val="nil"/>
              <w:bottom w:val="single" w:sz="4" w:space="0" w:color="auto"/>
              <w:right w:val="single" w:sz="4" w:space="0" w:color="auto"/>
            </w:tcBorders>
            <w:shd w:val="clear" w:color="auto" w:fill="auto"/>
            <w:noWrap/>
            <w:vAlign w:val="center"/>
            <w:hideMark/>
          </w:tcPr>
          <w:p w14:paraId="29DAB63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66916,67</w:t>
            </w:r>
          </w:p>
        </w:tc>
        <w:tc>
          <w:tcPr>
            <w:tcW w:w="385" w:type="pct"/>
            <w:tcBorders>
              <w:top w:val="nil"/>
              <w:left w:val="nil"/>
              <w:bottom w:val="single" w:sz="4" w:space="0" w:color="auto"/>
              <w:right w:val="single" w:sz="4" w:space="0" w:color="auto"/>
            </w:tcBorders>
            <w:shd w:val="clear" w:color="auto" w:fill="auto"/>
            <w:vAlign w:val="center"/>
            <w:hideMark/>
          </w:tcPr>
          <w:p w14:paraId="468DF51C" w14:textId="67A23852"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4F0120C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7953DB9E"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2653,75</w:t>
            </w:r>
          </w:p>
        </w:tc>
        <w:tc>
          <w:tcPr>
            <w:tcW w:w="385" w:type="pct"/>
            <w:tcBorders>
              <w:top w:val="nil"/>
              <w:left w:val="nil"/>
              <w:bottom w:val="single" w:sz="4" w:space="0" w:color="auto"/>
              <w:right w:val="single" w:sz="4" w:space="0" w:color="auto"/>
            </w:tcBorders>
            <w:shd w:val="clear" w:color="auto" w:fill="auto"/>
            <w:noWrap/>
            <w:vAlign w:val="center"/>
            <w:hideMark/>
          </w:tcPr>
          <w:p w14:paraId="211D2E5E"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839,65</w:t>
            </w:r>
          </w:p>
        </w:tc>
        <w:tc>
          <w:tcPr>
            <w:tcW w:w="386" w:type="pct"/>
            <w:tcBorders>
              <w:top w:val="nil"/>
              <w:left w:val="nil"/>
              <w:bottom w:val="single" w:sz="4" w:space="0" w:color="auto"/>
              <w:right w:val="single" w:sz="4" w:space="0" w:color="auto"/>
            </w:tcBorders>
            <w:shd w:val="clear" w:color="auto" w:fill="auto"/>
            <w:noWrap/>
            <w:vAlign w:val="center"/>
            <w:hideMark/>
          </w:tcPr>
          <w:p w14:paraId="77888A4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66000,00</w:t>
            </w:r>
          </w:p>
        </w:tc>
        <w:tc>
          <w:tcPr>
            <w:tcW w:w="385" w:type="pct"/>
            <w:tcBorders>
              <w:top w:val="nil"/>
              <w:left w:val="nil"/>
              <w:bottom w:val="single" w:sz="4" w:space="0" w:color="auto"/>
              <w:right w:val="single" w:sz="4" w:space="0" w:color="auto"/>
            </w:tcBorders>
            <w:shd w:val="clear" w:color="auto" w:fill="auto"/>
            <w:noWrap/>
            <w:vAlign w:val="center"/>
            <w:hideMark/>
          </w:tcPr>
          <w:p w14:paraId="4C2D1C6F"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30416,67</w:t>
            </w:r>
          </w:p>
        </w:tc>
        <w:tc>
          <w:tcPr>
            <w:tcW w:w="385" w:type="pct"/>
            <w:tcBorders>
              <w:top w:val="nil"/>
              <w:left w:val="nil"/>
              <w:bottom w:val="single" w:sz="4" w:space="0" w:color="auto"/>
              <w:right w:val="single" w:sz="4" w:space="0" w:color="auto"/>
            </w:tcBorders>
            <w:shd w:val="clear" w:color="auto" w:fill="auto"/>
            <w:noWrap/>
            <w:vAlign w:val="center"/>
            <w:hideMark/>
          </w:tcPr>
          <w:p w14:paraId="79A89DF8"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1250,00</w:t>
            </w:r>
          </w:p>
        </w:tc>
        <w:tc>
          <w:tcPr>
            <w:tcW w:w="385" w:type="pct"/>
            <w:tcBorders>
              <w:top w:val="nil"/>
              <w:left w:val="nil"/>
              <w:bottom w:val="single" w:sz="4" w:space="0" w:color="auto"/>
              <w:right w:val="single" w:sz="4" w:space="0" w:color="auto"/>
            </w:tcBorders>
            <w:shd w:val="clear" w:color="auto" w:fill="auto"/>
            <w:noWrap/>
            <w:vAlign w:val="center"/>
            <w:hideMark/>
          </w:tcPr>
          <w:p w14:paraId="54C13684"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395,51</w:t>
            </w:r>
          </w:p>
        </w:tc>
        <w:tc>
          <w:tcPr>
            <w:tcW w:w="385" w:type="pct"/>
            <w:tcBorders>
              <w:top w:val="nil"/>
              <w:left w:val="nil"/>
              <w:bottom w:val="single" w:sz="4" w:space="0" w:color="auto"/>
              <w:right w:val="single" w:sz="4" w:space="0" w:color="auto"/>
            </w:tcBorders>
            <w:shd w:val="clear" w:color="auto" w:fill="auto"/>
            <w:noWrap/>
            <w:vAlign w:val="center"/>
            <w:hideMark/>
          </w:tcPr>
          <w:p w14:paraId="135556E0"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444,14</w:t>
            </w:r>
          </w:p>
        </w:tc>
        <w:tc>
          <w:tcPr>
            <w:tcW w:w="379" w:type="pct"/>
            <w:tcBorders>
              <w:top w:val="nil"/>
              <w:left w:val="nil"/>
              <w:bottom w:val="single" w:sz="4" w:space="0" w:color="auto"/>
              <w:right w:val="single" w:sz="4" w:space="0" w:color="auto"/>
            </w:tcBorders>
            <w:shd w:val="clear" w:color="auto" w:fill="auto"/>
            <w:noWrap/>
            <w:vAlign w:val="center"/>
            <w:hideMark/>
          </w:tcPr>
          <w:p w14:paraId="4BF2789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596,79</w:t>
            </w:r>
          </w:p>
        </w:tc>
      </w:tr>
      <w:tr w:rsidR="00955CDC" w:rsidRPr="00955CDC" w14:paraId="1C03A72B"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60CF9104"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6000,00</w:t>
            </w:r>
          </w:p>
        </w:tc>
        <w:tc>
          <w:tcPr>
            <w:tcW w:w="383" w:type="pct"/>
            <w:tcBorders>
              <w:top w:val="nil"/>
              <w:left w:val="nil"/>
              <w:bottom w:val="single" w:sz="4" w:space="0" w:color="auto"/>
              <w:right w:val="single" w:sz="4" w:space="0" w:color="auto"/>
            </w:tcBorders>
            <w:shd w:val="clear" w:color="auto" w:fill="auto"/>
            <w:noWrap/>
            <w:vAlign w:val="center"/>
            <w:hideMark/>
          </w:tcPr>
          <w:p w14:paraId="15FB2E1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2800,00</w:t>
            </w:r>
          </w:p>
        </w:tc>
        <w:tc>
          <w:tcPr>
            <w:tcW w:w="385" w:type="pct"/>
            <w:tcBorders>
              <w:top w:val="nil"/>
              <w:left w:val="nil"/>
              <w:bottom w:val="single" w:sz="4" w:space="0" w:color="auto"/>
              <w:right w:val="single" w:sz="4" w:space="0" w:color="auto"/>
            </w:tcBorders>
            <w:shd w:val="clear" w:color="auto" w:fill="auto"/>
            <w:noWrap/>
            <w:vAlign w:val="center"/>
            <w:hideMark/>
          </w:tcPr>
          <w:p w14:paraId="6023971F"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73000,00</w:t>
            </w:r>
          </w:p>
        </w:tc>
        <w:tc>
          <w:tcPr>
            <w:tcW w:w="385" w:type="pct"/>
            <w:tcBorders>
              <w:top w:val="nil"/>
              <w:left w:val="nil"/>
              <w:bottom w:val="single" w:sz="4" w:space="0" w:color="auto"/>
              <w:right w:val="single" w:sz="4" w:space="0" w:color="auto"/>
            </w:tcBorders>
            <w:shd w:val="clear" w:color="auto" w:fill="auto"/>
            <w:vAlign w:val="center"/>
            <w:hideMark/>
          </w:tcPr>
          <w:p w14:paraId="506962A4" w14:textId="5557A104"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75FA1A5F"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vAlign w:val="center"/>
            <w:hideMark/>
          </w:tcPr>
          <w:p w14:paraId="16D2A4D4"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2A0A054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6" w:type="pct"/>
            <w:tcBorders>
              <w:top w:val="nil"/>
              <w:left w:val="nil"/>
              <w:bottom w:val="single" w:sz="4" w:space="0" w:color="auto"/>
              <w:right w:val="single" w:sz="4" w:space="0" w:color="auto"/>
            </w:tcBorders>
            <w:shd w:val="clear" w:color="auto" w:fill="auto"/>
            <w:noWrap/>
            <w:vAlign w:val="center"/>
            <w:hideMark/>
          </w:tcPr>
          <w:p w14:paraId="5D7A1BD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72000,00</w:t>
            </w:r>
          </w:p>
        </w:tc>
        <w:tc>
          <w:tcPr>
            <w:tcW w:w="385" w:type="pct"/>
            <w:tcBorders>
              <w:top w:val="nil"/>
              <w:left w:val="nil"/>
              <w:bottom w:val="single" w:sz="4" w:space="0" w:color="auto"/>
              <w:right w:val="single" w:sz="4" w:space="0" w:color="auto"/>
            </w:tcBorders>
            <w:shd w:val="clear" w:color="auto" w:fill="auto"/>
            <w:noWrap/>
            <w:vAlign w:val="center"/>
            <w:hideMark/>
          </w:tcPr>
          <w:p w14:paraId="308BAC4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34066,67</w:t>
            </w:r>
          </w:p>
        </w:tc>
        <w:tc>
          <w:tcPr>
            <w:tcW w:w="385" w:type="pct"/>
            <w:tcBorders>
              <w:top w:val="nil"/>
              <w:left w:val="nil"/>
              <w:bottom w:val="single" w:sz="4" w:space="0" w:color="auto"/>
              <w:right w:val="single" w:sz="4" w:space="0" w:color="auto"/>
            </w:tcBorders>
            <w:shd w:val="clear" w:color="auto" w:fill="auto"/>
            <w:noWrap/>
            <w:vAlign w:val="center"/>
            <w:hideMark/>
          </w:tcPr>
          <w:p w14:paraId="795DD698"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1400,00</w:t>
            </w:r>
          </w:p>
        </w:tc>
        <w:tc>
          <w:tcPr>
            <w:tcW w:w="385" w:type="pct"/>
            <w:tcBorders>
              <w:top w:val="nil"/>
              <w:left w:val="nil"/>
              <w:bottom w:val="single" w:sz="4" w:space="0" w:color="auto"/>
              <w:right w:val="single" w:sz="4" w:space="0" w:color="auto"/>
            </w:tcBorders>
            <w:shd w:val="clear" w:color="auto" w:fill="auto"/>
            <w:noWrap/>
            <w:vAlign w:val="center"/>
            <w:hideMark/>
          </w:tcPr>
          <w:p w14:paraId="1FFE702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442,96</w:t>
            </w:r>
          </w:p>
        </w:tc>
        <w:tc>
          <w:tcPr>
            <w:tcW w:w="385" w:type="pct"/>
            <w:tcBorders>
              <w:top w:val="nil"/>
              <w:left w:val="nil"/>
              <w:bottom w:val="single" w:sz="4" w:space="0" w:color="auto"/>
              <w:right w:val="single" w:sz="4" w:space="0" w:color="auto"/>
            </w:tcBorders>
            <w:shd w:val="clear" w:color="auto" w:fill="auto"/>
            <w:noWrap/>
            <w:vAlign w:val="center"/>
            <w:hideMark/>
          </w:tcPr>
          <w:p w14:paraId="7F20F6B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549,34</w:t>
            </w:r>
          </w:p>
        </w:tc>
        <w:tc>
          <w:tcPr>
            <w:tcW w:w="379" w:type="pct"/>
            <w:tcBorders>
              <w:top w:val="nil"/>
              <w:left w:val="nil"/>
              <w:bottom w:val="single" w:sz="4" w:space="0" w:color="auto"/>
              <w:right w:val="single" w:sz="4" w:space="0" w:color="auto"/>
            </w:tcBorders>
            <w:shd w:val="clear" w:color="auto" w:fill="auto"/>
            <w:noWrap/>
            <w:vAlign w:val="center"/>
            <w:hideMark/>
          </w:tcPr>
          <w:p w14:paraId="2EA57198"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549,34</w:t>
            </w:r>
          </w:p>
        </w:tc>
      </w:tr>
      <w:tr w:rsidR="00955CDC" w:rsidRPr="00955CDC" w14:paraId="00A7E416"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5330D30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7000,00</w:t>
            </w:r>
          </w:p>
        </w:tc>
        <w:tc>
          <w:tcPr>
            <w:tcW w:w="383" w:type="pct"/>
            <w:tcBorders>
              <w:top w:val="nil"/>
              <w:left w:val="nil"/>
              <w:bottom w:val="single" w:sz="4" w:space="0" w:color="auto"/>
              <w:right w:val="single" w:sz="4" w:space="0" w:color="auto"/>
            </w:tcBorders>
            <w:shd w:val="clear" w:color="auto" w:fill="auto"/>
            <w:noWrap/>
            <w:vAlign w:val="center"/>
            <w:hideMark/>
          </w:tcPr>
          <w:p w14:paraId="131C3BB7"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3000,00</w:t>
            </w:r>
          </w:p>
        </w:tc>
        <w:tc>
          <w:tcPr>
            <w:tcW w:w="385" w:type="pct"/>
            <w:tcBorders>
              <w:top w:val="nil"/>
              <w:left w:val="nil"/>
              <w:bottom w:val="single" w:sz="4" w:space="0" w:color="auto"/>
              <w:right w:val="single" w:sz="4" w:space="0" w:color="auto"/>
            </w:tcBorders>
            <w:shd w:val="clear" w:color="auto" w:fill="auto"/>
            <w:noWrap/>
            <w:vAlign w:val="center"/>
            <w:hideMark/>
          </w:tcPr>
          <w:p w14:paraId="3D2B873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85166,67</w:t>
            </w:r>
          </w:p>
        </w:tc>
        <w:tc>
          <w:tcPr>
            <w:tcW w:w="385" w:type="pct"/>
            <w:tcBorders>
              <w:top w:val="nil"/>
              <w:left w:val="nil"/>
              <w:bottom w:val="single" w:sz="4" w:space="0" w:color="auto"/>
              <w:right w:val="single" w:sz="4" w:space="0" w:color="auto"/>
            </w:tcBorders>
            <w:shd w:val="clear" w:color="auto" w:fill="auto"/>
            <w:vAlign w:val="center"/>
            <w:hideMark/>
          </w:tcPr>
          <w:p w14:paraId="49F00BFF" w14:textId="1DC900A1"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19091180"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vAlign w:val="center"/>
            <w:hideMark/>
          </w:tcPr>
          <w:p w14:paraId="0BF12981"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3DD1F0B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6" w:type="pct"/>
            <w:tcBorders>
              <w:top w:val="nil"/>
              <w:left w:val="nil"/>
              <w:bottom w:val="single" w:sz="4" w:space="0" w:color="auto"/>
              <w:right w:val="single" w:sz="4" w:space="0" w:color="auto"/>
            </w:tcBorders>
            <w:shd w:val="clear" w:color="auto" w:fill="auto"/>
            <w:noWrap/>
            <w:vAlign w:val="center"/>
            <w:hideMark/>
          </w:tcPr>
          <w:p w14:paraId="3A0C4E7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84000,00</w:t>
            </w:r>
          </w:p>
        </w:tc>
        <w:tc>
          <w:tcPr>
            <w:tcW w:w="385" w:type="pct"/>
            <w:tcBorders>
              <w:top w:val="nil"/>
              <w:left w:val="nil"/>
              <w:bottom w:val="single" w:sz="4" w:space="0" w:color="auto"/>
              <w:right w:val="single" w:sz="4" w:space="0" w:color="auto"/>
            </w:tcBorders>
            <w:shd w:val="clear" w:color="auto" w:fill="auto"/>
            <w:noWrap/>
            <w:vAlign w:val="center"/>
            <w:hideMark/>
          </w:tcPr>
          <w:p w14:paraId="052ABE44"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36500,00</w:t>
            </w:r>
          </w:p>
        </w:tc>
        <w:tc>
          <w:tcPr>
            <w:tcW w:w="385" w:type="pct"/>
            <w:tcBorders>
              <w:top w:val="nil"/>
              <w:left w:val="nil"/>
              <w:bottom w:val="single" w:sz="4" w:space="0" w:color="auto"/>
              <w:right w:val="single" w:sz="4" w:space="0" w:color="auto"/>
            </w:tcBorders>
            <w:shd w:val="clear" w:color="auto" w:fill="auto"/>
            <w:noWrap/>
            <w:vAlign w:val="center"/>
            <w:hideMark/>
          </w:tcPr>
          <w:p w14:paraId="53D1EF6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1500,00</w:t>
            </w:r>
          </w:p>
        </w:tc>
        <w:tc>
          <w:tcPr>
            <w:tcW w:w="385" w:type="pct"/>
            <w:tcBorders>
              <w:top w:val="nil"/>
              <w:left w:val="nil"/>
              <w:bottom w:val="single" w:sz="4" w:space="0" w:color="auto"/>
              <w:right w:val="single" w:sz="4" w:space="0" w:color="auto"/>
            </w:tcBorders>
            <w:shd w:val="clear" w:color="auto" w:fill="auto"/>
            <w:noWrap/>
            <w:vAlign w:val="center"/>
            <w:hideMark/>
          </w:tcPr>
          <w:p w14:paraId="37DAEF5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474,60</w:t>
            </w:r>
          </w:p>
        </w:tc>
        <w:tc>
          <w:tcPr>
            <w:tcW w:w="385" w:type="pct"/>
            <w:tcBorders>
              <w:top w:val="nil"/>
              <w:left w:val="nil"/>
              <w:bottom w:val="single" w:sz="4" w:space="0" w:color="auto"/>
              <w:right w:val="single" w:sz="4" w:space="0" w:color="auto"/>
            </w:tcBorders>
            <w:shd w:val="clear" w:color="auto" w:fill="auto"/>
            <w:noWrap/>
            <w:vAlign w:val="center"/>
            <w:hideMark/>
          </w:tcPr>
          <w:p w14:paraId="651C555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517,70</w:t>
            </w:r>
          </w:p>
        </w:tc>
        <w:tc>
          <w:tcPr>
            <w:tcW w:w="379" w:type="pct"/>
            <w:tcBorders>
              <w:top w:val="nil"/>
              <w:left w:val="nil"/>
              <w:bottom w:val="single" w:sz="4" w:space="0" w:color="auto"/>
              <w:right w:val="single" w:sz="4" w:space="0" w:color="auto"/>
            </w:tcBorders>
            <w:shd w:val="clear" w:color="auto" w:fill="auto"/>
            <w:noWrap/>
            <w:vAlign w:val="center"/>
            <w:hideMark/>
          </w:tcPr>
          <w:p w14:paraId="0B02ACB2"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517,70</w:t>
            </w:r>
          </w:p>
        </w:tc>
      </w:tr>
      <w:tr w:rsidR="00955CDC" w:rsidRPr="00955CDC" w14:paraId="782E3BC3"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43E5D50B"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9000,00</w:t>
            </w:r>
          </w:p>
        </w:tc>
        <w:tc>
          <w:tcPr>
            <w:tcW w:w="383" w:type="pct"/>
            <w:tcBorders>
              <w:top w:val="nil"/>
              <w:left w:val="nil"/>
              <w:bottom w:val="single" w:sz="4" w:space="0" w:color="auto"/>
              <w:right w:val="single" w:sz="4" w:space="0" w:color="auto"/>
            </w:tcBorders>
            <w:shd w:val="clear" w:color="auto" w:fill="auto"/>
            <w:noWrap/>
            <w:vAlign w:val="center"/>
            <w:hideMark/>
          </w:tcPr>
          <w:p w14:paraId="632AD18D"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4000,00</w:t>
            </w:r>
          </w:p>
        </w:tc>
        <w:tc>
          <w:tcPr>
            <w:tcW w:w="385" w:type="pct"/>
            <w:tcBorders>
              <w:top w:val="nil"/>
              <w:left w:val="nil"/>
              <w:bottom w:val="single" w:sz="4" w:space="0" w:color="auto"/>
              <w:right w:val="single" w:sz="4" w:space="0" w:color="auto"/>
            </w:tcBorders>
            <w:shd w:val="clear" w:color="auto" w:fill="auto"/>
            <w:noWrap/>
            <w:vAlign w:val="center"/>
            <w:hideMark/>
          </w:tcPr>
          <w:p w14:paraId="7CB5E942"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109500,00</w:t>
            </w:r>
          </w:p>
        </w:tc>
        <w:tc>
          <w:tcPr>
            <w:tcW w:w="385" w:type="pct"/>
            <w:tcBorders>
              <w:top w:val="nil"/>
              <w:left w:val="nil"/>
              <w:bottom w:val="single" w:sz="4" w:space="0" w:color="auto"/>
              <w:right w:val="single" w:sz="4" w:space="0" w:color="auto"/>
            </w:tcBorders>
            <w:shd w:val="clear" w:color="auto" w:fill="auto"/>
            <w:vAlign w:val="center"/>
            <w:hideMark/>
          </w:tcPr>
          <w:p w14:paraId="69C27D6A" w14:textId="4329E2BA"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65522FD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vAlign w:val="center"/>
            <w:hideMark/>
          </w:tcPr>
          <w:p w14:paraId="1D0206E7"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71CF7D71"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6" w:type="pct"/>
            <w:tcBorders>
              <w:top w:val="nil"/>
              <w:left w:val="nil"/>
              <w:bottom w:val="single" w:sz="4" w:space="0" w:color="auto"/>
              <w:right w:val="single" w:sz="4" w:space="0" w:color="auto"/>
            </w:tcBorders>
            <w:shd w:val="clear" w:color="auto" w:fill="auto"/>
            <w:noWrap/>
            <w:vAlign w:val="center"/>
            <w:hideMark/>
          </w:tcPr>
          <w:p w14:paraId="400C5ABA"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108000,00</w:t>
            </w:r>
          </w:p>
        </w:tc>
        <w:tc>
          <w:tcPr>
            <w:tcW w:w="385" w:type="pct"/>
            <w:tcBorders>
              <w:top w:val="nil"/>
              <w:left w:val="nil"/>
              <w:bottom w:val="single" w:sz="4" w:space="0" w:color="auto"/>
              <w:right w:val="single" w:sz="4" w:space="0" w:color="auto"/>
            </w:tcBorders>
            <w:shd w:val="clear" w:color="auto" w:fill="auto"/>
            <w:noWrap/>
            <w:vAlign w:val="center"/>
            <w:hideMark/>
          </w:tcPr>
          <w:p w14:paraId="3501630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48666,67</w:t>
            </w:r>
          </w:p>
        </w:tc>
        <w:tc>
          <w:tcPr>
            <w:tcW w:w="385" w:type="pct"/>
            <w:tcBorders>
              <w:top w:val="nil"/>
              <w:left w:val="nil"/>
              <w:bottom w:val="single" w:sz="4" w:space="0" w:color="auto"/>
              <w:right w:val="single" w:sz="4" w:space="0" w:color="auto"/>
            </w:tcBorders>
            <w:shd w:val="clear" w:color="auto" w:fill="auto"/>
            <w:noWrap/>
            <w:vAlign w:val="center"/>
            <w:hideMark/>
          </w:tcPr>
          <w:p w14:paraId="11407B4E"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2000,00</w:t>
            </w:r>
          </w:p>
        </w:tc>
        <w:tc>
          <w:tcPr>
            <w:tcW w:w="385" w:type="pct"/>
            <w:tcBorders>
              <w:top w:val="nil"/>
              <w:left w:val="nil"/>
              <w:bottom w:val="single" w:sz="4" w:space="0" w:color="auto"/>
              <w:right w:val="single" w:sz="4" w:space="0" w:color="auto"/>
            </w:tcBorders>
            <w:shd w:val="clear" w:color="auto" w:fill="auto"/>
            <w:noWrap/>
            <w:vAlign w:val="center"/>
            <w:hideMark/>
          </w:tcPr>
          <w:p w14:paraId="71C7138F"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632,80</w:t>
            </w:r>
          </w:p>
        </w:tc>
        <w:tc>
          <w:tcPr>
            <w:tcW w:w="385" w:type="pct"/>
            <w:tcBorders>
              <w:top w:val="nil"/>
              <w:left w:val="nil"/>
              <w:bottom w:val="single" w:sz="4" w:space="0" w:color="auto"/>
              <w:right w:val="single" w:sz="4" w:space="0" w:color="auto"/>
            </w:tcBorders>
            <w:shd w:val="clear" w:color="auto" w:fill="auto"/>
            <w:noWrap/>
            <w:vAlign w:val="center"/>
            <w:hideMark/>
          </w:tcPr>
          <w:p w14:paraId="7D4645F0"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359,50</w:t>
            </w:r>
          </w:p>
        </w:tc>
        <w:tc>
          <w:tcPr>
            <w:tcW w:w="379" w:type="pct"/>
            <w:tcBorders>
              <w:top w:val="nil"/>
              <w:left w:val="nil"/>
              <w:bottom w:val="single" w:sz="4" w:space="0" w:color="auto"/>
              <w:right w:val="single" w:sz="4" w:space="0" w:color="auto"/>
            </w:tcBorders>
            <w:shd w:val="clear" w:color="auto" w:fill="auto"/>
            <w:noWrap/>
            <w:vAlign w:val="center"/>
            <w:hideMark/>
          </w:tcPr>
          <w:p w14:paraId="0BF60519"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359,50</w:t>
            </w:r>
          </w:p>
        </w:tc>
      </w:tr>
      <w:tr w:rsidR="00955CDC" w:rsidRPr="00955CDC" w14:paraId="7BFF3961"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20B7A41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9500,00</w:t>
            </w:r>
          </w:p>
        </w:tc>
        <w:tc>
          <w:tcPr>
            <w:tcW w:w="383" w:type="pct"/>
            <w:tcBorders>
              <w:top w:val="nil"/>
              <w:left w:val="nil"/>
              <w:bottom w:val="single" w:sz="4" w:space="0" w:color="auto"/>
              <w:right w:val="single" w:sz="4" w:space="0" w:color="auto"/>
            </w:tcBorders>
            <w:shd w:val="clear" w:color="auto" w:fill="auto"/>
            <w:noWrap/>
            <w:vAlign w:val="center"/>
            <w:hideMark/>
          </w:tcPr>
          <w:p w14:paraId="401E26A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5000,00</w:t>
            </w:r>
          </w:p>
        </w:tc>
        <w:tc>
          <w:tcPr>
            <w:tcW w:w="385" w:type="pct"/>
            <w:tcBorders>
              <w:top w:val="nil"/>
              <w:left w:val="nil"/>
              <w:bottom w:val="single" w:sz="4" w:space="0" w:color="auto"/>
              <w:right w:val="single" w:sz="4" w:space="0" w:color="auto"/>
            </w:tcBorders>
            <w:shd w:val="clear" w:color="auto" w:fill="auto"/>
            <w:noWrap/>
            <w:vAlign w:val="center"/>
            <w:hideMark/>
          </w:tcPr>
          <w:p w14:paraId="5FBE700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115583,33</w:t>
            </w:r>
          </w:p>
        </w:tc>
        <w:tc>
          <w:tcPr>
            <w:tcW w:w="385" w:type="pct"/>
            <w:tcBorders>
              <w:top w:val="nil"/>
              <w:left w:val="nil"/>
              <w:bottom w:val="single" w:sz="4" w:space="0" w:color="auto"/>
              <w:right w:val="single" w:sz="4" w:space="0" w:color="auto"/>
            </w:tcBorders>
            <w:shd w:val="clear" w:color="auto" w:fill="auto"/>
            <w:vAlign w:val="center"/>
            <w:hideMark/>
          </w:tcPr>
          <w:p w14:paraId="27DD54DA" w14:textId="38EBC2ED"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710CF68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vAlign w:val="center"/>
            <w:hideMark/>
          </w:tcPr>
          <w:p w14:paraId="195A6FE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3D831F0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6" w:type="pct"/>
            <w:tcBorders>
              <w:top w:val="nil"/>
              <w:left w:val="nil"/>
              <w:bottom w:val="single" w:sz="4" w:space="0" w:color="auto"/>
              <w:right w:val="single" w:sz="4" w:space="0" w:color="auto"/>
            </w:tcBorders>
            <w:shd w:val="clear" w:color="auto" w:fill="auto"/>
            <w:noWrap/>
            <w:vAlign w:val="center"/>
            <w:hideMark/>
          </w:tcPr>
          <w:p w14:paraId="6A49EE90"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114000,00</w:t>
            </w:r>
          </w:p>
        </w:tc>
        <w:tc>
          <w:tcPr>
            <w:tcW w:w="385" w:type="pct"/>
            <w:tcBorders>
              <w:top w:val="nil"/>
              <w:left w:val="nil"/>
              <w:bottom w:val="single" w:sz="4" w:space="0" w:color="auto"/>
              <w:right w:val="single" w:sz="4" w:space="0" w:color="auto"/>
            </w:tcBorders>
            <w:shd w:val="clear" w:color="auto" w:fill="auto"/>
            <w:noWrap/>
            <w:vAlign w:val="center"/>
            <w:hideMark/>
          </w:tcPr>
          <w:p w14:paraId="3151EBC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60833,33</w:t>
            </w:r>
          </w:p>
        </w:tc>
        <w:tc>
          <w:tcPr>
            <w:tcW w:w="385" w:type="pct"/>
            <w:tcBorders>
              <w:top w:val="nil"/>
              <w:left w:val="nil"/>
              <w:bottom w:val="single" w:sz="4" w:space="0" w:color="auto"/>
              <w:right w:val="single" w:sz="4" w:space="0" w:color="auto"/>
            </w:tcBorders>
            <w:shd w:val="clear" w:color="auto" w:fill="auto"/>
            <w:noWrap/>
            <w:vAlign w:val="center"/>
            <w:hideMark/>
          </w:tcPr>
          <w:p w14:paraId="2ECFB0A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2500,00</w:t>
            </w:r>
          </w:p>
        </w:tc>
        <w:tc>
          <w:tcPr>
            <w:tcW w:w="385" w:type="pct"/>
            <w:tcBorders>
              <w:top w:val="nil"/>
              <w:left w:val="nil"/>
              <w:bottom w:val="single" w:sz="4" w:space="0" w:color="auto"/>
              <w:right w:val="single" w:sz="4" w:space="0" w:color="auto"/>
            </w:tcBorders>
            <w:shd w:val="clear" w:color="auto" w:fill="auto"/>
            <w:noWrap/>
            <w:vAlign w:val="center"/>
            <w:hideMark/>
          </w:tcPr>
          <w:p w14:paraId="70B8AB57"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791,00</w:t>
            </w:r>
          </w:p>
        </w:tc>
        <w:tc>
          <w:tcPr>
            <w:tcW w:w="385" w:type="pct"/>
            <w:tcBorders>
              <w:top w:val="nil"/>
              <w:left w:val="nil"/>
              <w:bottom w:val="single" w:sz="4" w:space="0" w:color="auto"/>
              <w:right w:val="single" w:sz="4" w:space="0" w:color="auto"/>
            </w:tcBorders>
            <w:shd w:val="clear" w:color="auto" w:fill="auto"/>
            <w:noWrap/>
            <w:vAlign w:val="center"/>
            <w:hideMark/>
          </w:tcPr>
          <w:p w14:paraId="77921D0A"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201,30</w:t>
            </w:r>
          </w:p>
        </w:tc>
        <w:tc>
          <w:tcPr>
            <w:tcW w:w="379" w:type="pct"/>
            <w:tcBorders>
              <w:top w:val="nil"/>
              <w:left w:val="nil"/>
              <w:bottom w:val="single" w:sz="4" w:space="0" w:color="auto"/>
              <w:right w:val="single" w:sz="4" w:space="0" w:color="auto"/>
            </w:tcBorders>
            <w:shd w:val="clear" w:color="auto" w:fill="auto"/>
            <w:noWrap/>
            <w:vAlign w:val="center"/>
            <w:hideMark/>
          </w:tcPr>
          <w:p w14:paraId="3B71135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201,30</w:t>
            </w:r>
          </w:p>
        </w:tc>
      </w:tr>
      <w:tr w:rsidR="00955CDC" w:rsidRPr="00955CDC" w14:paraId="11BB05FB" w14:textId="77777777" w:rsidTr="00D146AC">
        <w:trPr>
          <w:trHeight w:val="600"/>
        </w:trPr>
        <w:tc>
          <w:tcPr>
            <w:tcW w:w="384" w:type="pct"/>
            <w:tcBorders>
              <w:top w:val="nil"/>
              <w:left w:val="single" w:sz="4" w:space="0" w:color="auto"/>
              <w:bottom w:val="single" w:sz="4" w:space="0" w:color="auto"/>
              <w:right w:val="single" w:sz="4" w:space="0" w:color="auto"/>
            </w:tcBorders>
            <w:shd w:val="clear" w:color="auto" w:fill="auto"/>
            <w:noWrap/>
            <w:vAlign w:val="center"/>
            <w:hideMark/>
          </w:tcPr>
          <w:p w14:paraId="09494377"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10000,00</w:t>
            </w:r>
          </w:p>
        </w:tc>
        <w:tc>
          <w:tcPr>
            <w:tcW w:w="383" w:type="pct"/>
            <w:tcBorders>
              <w:top w:val="nil"/>
              <w:left w:val="nil"/>
              <w:bottom w:val="single" w:sz="4" w:space="0" w:color="auto"/>
              <w:right w:val="single" w:sz="4" w:space="0" w:color="auto"/>
            </w:tcBorders>
            <w:shd w:val="clear" w:color="auto" w:fill="auto"/>
            <w:noWrap/>
            <w:vAlign w:val="center"/>
            <w:hideMark/>
          </w:tcPr>
          <w:p w14:paraId="5AADDE3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6000,00</w:t>
            </w:r>
          </w:p>
        </w:tc>
        <w:tc>
          <w:tcPr>
            <w:tcW w:w="385" w:type="pct"/>
            <w:tcBorders>
              <w:top w:val="nil"/>
              <w:left w:val="nil"/>
              <w:bottom w:val="single" w:sz="4" w:space="0" w:color="auto"/>
              <w:right w:val="single" w:sz="4" w:space="0" w:color="auto"/>
            </w:tcBorders>
            <w:shd w:val="clear" w:color="auto" w:fill="auto"/>
            <w:noWrap/>
            <w:vAlign w:val="center"/>
            <w:hideMark/>
          </w:tcPr>
          <w:p w14:paraId="5B327703"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121666,67</w:t>
            </w:r>
          </w:p>
        </w:tc>
        <w:tc>
          <w:tcPr>
            <w:tcW w:w="385" w:type="pct"/>
            <w:tcBorders>
              <w:top w:val="nil"/>
              <w:left w:val="nil"/>
              <w:bottom w:val="single" w:sz="4" w:space="0" w:color="auto"/>
              <w:right w:val="single" w:sz="4" w:space="0" w:color="auto"/>
            </w:tcBorders>
            <w:shd w:val="clear" w:color="auto" w:fill="auto"/>
            <w:vAlign w:val="center"/>
            <w:hideMark/>
          </w:tcPr>
          <w:p w14:paraId="3A0C8D2D" w14:textId="47A1D145" w:rsidR="00955CDC" w:rsidRPr="00D146AC" w:rsidRDefault="00955CDC"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0E90BE15"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vAlign w:val="center"/>
            <w:hideMark/>
          </w:tcPr>
          <w:p w14:paraId="61D8F11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5AA5C171"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6" w:type="pct"/>
            <w:tcBorders>
              <w:top w:val="nil"/>
              <w:left w:val="nil"/>
              <w:bottom w:val="single" w:sz="4" w:space="0" w:color="auto"/>
              <w:right w:val="single" w:sz="4" w:space="0" w:color="auto"/>
            </w:tcBorders>
            <w:shd w:val="clear" w:color="auto" w:fill="auto"/>
            <w:noWrap/>
            <w:vAlign w:val="center"/>
            <w:hideMark/>
          </w:tcPr>
          <w:p w14:paraId="23FAEDD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120000,00</w:t>
            </w:r>
          </w:p>
        </w:tc>
        <w:tc>
          <w:tcPr>
            <w:tcW w:w="385" w:type="pct"/>
            <w:tcBorders>
              <w:top w:val="nil"/>
              <w:left w:val="nil"/>
              <w:bottom w:val="single" w:sz="4" w:space="0" w:color="auto"/>
              <w:right w:val="single" w:sz="4" w:space="0" w:color="auto"/>
            </w:tcBorders>
            <w:shd w:val="clear" w:color="auto" w:fill="auto"/>
            <w:noWrap/>
            <w:vAlign w:val="center"/>
            <w:hideMark/>
          </w:tcPr>
          <w:p w14:paraId="6C82DFCA"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73000,00</w:t>
            </w:r>
          </w:p>
        </w:tc>
        <w:tc>
          <w:tcPr>
            <w:tcW w:w="385" w:type="pct"/>
            <w:tcBorders>
              <w:top w:val="nil"/>
              <w:left w:val="nil"/>
              <w:bottom w:val="single" w:sz="4" w:space="0" w:color="auto"/>
              <w:right w:val="single" w:sz="4" w:space="0" w:color="auto"/>
            </w:tcBorders>
            <w:shd w:val="clear" w:color="auto" w:fill="auto"/>
            <w:noWrap/>
            <w:vAlign w:val="center"/>
            <w:hideMark/>
          </w:tcPr>
          <w:p w14:paraId="73D0394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3000,00</w:t>
            </w:r>
          </w:p>
        </w:tc>
        <w:tc>
          <w:tcPr>
            <w:tcW w:w="385" w:type="pct"/>
            <w:tcBorders>
              <w:top w:val="nil"/>
              <w:left w:val="nil"/>
              <w:bottom w:val="single" w:sz="4" w:space="0" w:color="auto"/>
              <w:right w:val="single" w:sz="4" w:space="0" w:color="auto"/>
            </w:tcBorders>
            <w:shd w:val="clear" w:color="auto" w:fill="auto"/>
            <w:noWrap/>
            <w:vAlign w:val="center"/>
            <w:hideMark/>
          </w:tcPr>
          <w:p w14:paraId="16330EA0"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949,20</w:t>
            </w:r>
          </w:p>
        </w:tc>
        <w:tc>
          <w:tcPr>
            <w:tcW w:w="385" w:type="pct"/>
            <w:tcBorders>
              <w:top w:val="nil"/>
              <w:left w:val="nil"/>
              <w:bottom w:val="single" w:sz="4" w:space="0" w:color="auto"/>
              <w:right w:val="single" w:sz="4" w:space="0" w:color="auto"/>
            </w:tcBorders>
            <w:shd w:val="clear" w:color="auto" w:fill="auto"/>
            <w:noWrap/>
            <w:vAlign w:val="center"/>
            <w:hideMark/>
          </w:tcPr>
          <w:p w14:paraId="3FC4C6E6"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43,10</w:t>
            </w:r>
          </w:p>
        </w:tc>
        <w:tc>
          <w:tcPr>
            <w:tcW w:w="379" w:type="pct"/>
            <w:tcBorders>
              <w:top w:val="nil"/>
              <w:left w:val="nil"/>
              <w:bottom w:val="single" w:sz="4" w:space="0" w:color="auto"/>
              <w:right w:val="single" w:sz="4" w:space="0" w:color="auto"/>
            </w:tcBorders>
            <w:shd w:val="clear" w:color="auto" w:fill="auto"/>
            <w:noWrap/>
            <w:vAlign w:val="center"/>
            <w:hideMark/>
          </w:tcPr>
          <w:p w14:paraId="7B0F36EC" w14:textId="77777777" w:rsidR="00955CDC" w:rsidRPr="00D146AC" w:rsidRDefault="00955CDC" w:rsidP="00955CDC">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43,10</w:t>
            </w:r>
          </w:p>
        </w:tc>
      </w:tr>
    </w:tbl>
    <w:p w14:paraId="4EE1269B" w14:textId="77777777" w:rsidR="00FC6AA0" w:rsidRPr="00D146AC" w:rsidRDefault="00FC6AA0" w:rsidP="00D146AC">
      <w:pPr>
        <w:pStyle w:val="Legenda"/>
        <w:keepNext/>
        <w:rPr>
          <w:color w:val="000000" w:themeColor="text1"/>
        </w:rPr>
      </w:pPr>
      <w:r w:rsidRPr="00D146AC">
        <w:rPr>
          <w:color w:val="000000" w:themeColor="text1"/>
        </w:rPr>
        <w:lastRenderedPageBreak/>
        <w:t xml:space="preserve">Tabela </w:t>
      </w:r>
      <w:r w:rsidRPr="00D146AC">
        <w:rPr>
          <w:color w:val="000000" w:themeColor="text1"/>
        </w:rPr>
        <w:fldChar w:fldCharType="begin"/>
      </w:r>
      <w:r w:rsidRPr="00D146AC">
        <w:rPr>
          <w:color w:val="000000" w:themeColor="text1"/>
        </w:rPr>
        <w:instrText xml:space="preserve"> SEQ Tabela \* ARABIC </w:instrText>
      </w:r>
      <w:r w:rsidRPr="00D146AC">
        <w:rPr>
          <w:color w:val="000000" w:themeColor="text1"/>
        </w:rPr>
        <w:fldChar w:fldCharType="separate"/>
      </w:r>
      <w:r w:rsidR="00AD4078">
        <w:rPr>
          <w:noProof/>
          <w:color w:val="000000" w:themeColor="text1"/>
        </w:rPr>
        <w:t>2</w:t>
      </w:r>
      <w:r w:rsidRPr="00D146AC">
        <w:rPr>
          <w:color w:val="000000" w:themeColor="text1"/>
        </w:rPr>
        <w:fldChar w:fldCharType="end"/>
      </w:r>
      <w:r w:rsidRPr="00D146AC">
        <w:rPr>
          <w:color w:val="000000" w:themeColor="text1"/>
        </w:rPr>
        <w:t>.</w:t>
      </w:r>
    </w:p>
    <w:tbl>
      <w:tblPr>
        <w:tblW w:w="5000" w:type="pct"/>
        <w:tblCellMar>
          <w:left w:w="70" w:type="dxa"/>
          <w:right w:w="70" w:type="dxa"/>
        </w:tblCellMar>
        <w:tblLook w:val="04A0" w:firstRow="1" w:lastRow="0" w:firstColumn="1" w:lastColumn="0" w:noHBand="0" w:noVBand="1"/>
      </w:tblPr>
      <w:tblGrid>
        <w:gridCol w:w="1110"/>
        <w:gridCol w:w="1110"/>
        <w:gridCol w:w="1111"/>
        <w:gridCol w:w="1111"/>
        <w:gridCol w:w="1111"/>
        <w:gridCol w:w="1111"/>
        <w:gridCol w:w="1111"/>
        <w:gridCol w:w="1111"/>
        <w:gridCol w:w="1111"/>
        <w:gridCol w:w="1111"/>
        <w:gridCol w:w="1111"/>
        <w:gridCol w:w="1111"/>
        <w:gridCol w:w="1096"/>
      </w:tblGrid>
      <w:tr w:rsidR="004D62BB" w:rsidRPr="00CA47C7" w14:paraId="0B55AC33" w14:textId="77777777" w:rsidTr="00D146AC">
        <w:trPr>
          <w:trHeight w:val="1230"/>
        </w:trPr>
        <w:tc>
          <w:tcPr>
            <w:tcW w:w="385" w:type="pct"/>
            <w:tcBorders>
              <w:top w:val="nil"/>
              <w:left w:val="nil"/>
              <w:bottom w:val="nil"/>
              <w:right w:val="nil"/>
            </w:tcBorders>
            <w:shd w:val="clear" w:color="auto" w:fill="auto"/>
            <w:noWrap/>
            <w:vAlign w:val="bottom"/>
            <w:hideMark/>
          </w:tcPr>
          <w:p w14:paraId="2E92D988" w14:textId="77777777" w:rsidR="004D62BB" w:rsidRPr="00D146AC" w:rsidRDefault="004D62BB" w:rsidP="004D62BB">
            <w:pPr>
              <w:widowControl/>
              <w:autoSpaceDE/>
              <w:autoSpaceDN/>
              <w:adjustRightInd/>
              <w:spacing w:line="240" w:lineRule="auto"/>
              <w:rPr>
                <w:rFonts w:eastAsia="Times New Roman" w:cs="Times New Roman"/>
                <w:color w:val="000000"/>
                <w:sz w:val="16"/>
                <w:szCs w:val="16"/>
              </w:rPr>
            </w:pPr>
          </w:p>
        </w:tc>
        <w:tc>
          <w:tcPr>
            <w:tcW w:w="385" w:type="pct"/>
            <w:tcBorders>
              <w:top w:val="nil"/>
              <w:left w:val="nil"/>
              <w:bottom w:val="nil"/>
              <w:right w:val="nil"/>
            </w:tcBorders>
            <w:shd w:val="clear" w:color="auto" w:fill="auto"/>
            <w:noWrap/>
            <w:vAlign w:val="bottom"/>
            <w:hideMark/>
          </w:tcPr>
          <w:p w14:paraId="52B00C59" w14:textId="77777777" w:rsidR="004D62BB" w:rsidRPr="00D146AC" w:rsidRDefault="004D62BB" w:rsidP="004D62BB">
            <w:pPr>
              <w:widowControl/>
              <w:autoSpaceDE/>
              <w:autoSpaceDN/>
              <w:adjustRightInd/>
              <w:spacing w:line="240" w:lineRule="auto"/>
              <w:rPr>
                <w:rFonts w:eastAsia="Times New Roman" w:cs="Times New Roman"/>
                <w:color w:val="000000"/>
                <w:sz w:val="16"/>
                <w:szCs w:val="16"/>
              </w:rPr>
            </w:pPr>
          </w:p>
        </w:tc>
        <w:tc>
          <w:tcPr>
            <w:tcW w:w="1925" w:type="pct"/>
            <w:gridSpan w:val="5"/>
            <w:tcBorders>
              <w:top w:val="single" w:sz="4" w:space="0" w:color="auto"/>
              <w:left w:val="single" w:sz="4" w:space="0" w:color="auto"/>
              <w:bottom w:val="single" w:sz="4" w:space="0" w:color="auto"/>
              <w:right w:val="single" w:sz="4" w:space="0" w:color="auto"/>
            </w:tcBorders>
            <w:shd w:val="clear" w:color="000000" w:fill="95B3D7"/>
            <w:vAlign w:val="center"/>
            <w:hideMark/>
          </w:tcPr>
          <w:p w14:paraId="46D69949" w14:textId="75E92A6A" w:rsidR="004D62BB" w:rsidRPr="00D146AC" w:rsidRDefault="00A352BB" w:rsidP="00A352BB">
            <w:pPr>
              <w:widowControl/>
              <w:autoSpaceDE/>
              <w:autoSpaceDN/>
              <w:adjustRightInd/>
              <w:spacing w:line="240" w:lineRule="auto"/>
              <w:jc w:val="center"/>
              <w:rPr>
                <w:rFonts w:eastAsia="Times New Roman" w:cs="Times New Roman"/>
                <w:color w:val="000000"/>
                <w:sz w:val="16"/>
                <w:szCs w:val="16"/>
              </w:rPr>
            </w:pPr>
            <w:r>
              <w:rPr>
                <w:rFonts w:eastAsia="Times New Roman" w:cs="Times New Roman"/>
                <w:color w:val="000000"/>
                <w:sz w:val="16"/>
                <w:szCs w:val="16"/>
              </w:rPr>
              <w:t>„</w:t>
            </w:r>
            <w:r w:rsidR="004D62BB" w:rsidRPr="00D146AC">
              <w:rPr>
                <w:rFonts w:eastAsia="Times New Roman" w:cs="Times New Roman"/>
                <w:color w:val="000000"/>
                <w:sz w:val="16"/>
                <w:szCs w:val="16"/>
              </w:rPr>
              <w:t>Mały ZUS</w:t>
            </w:r>
            <w:r>
              <w:rPr>
                <w:rFonts w:eastAsia="Times New Roman" w:cs="Times New Roman"/>
                <w:color w:val="000000"/>
                <w:sz w:val="16"/>
                <w:szCs w:val="16"/>
              </w:rPr>
              <w:t>”</w:t>
            </w:r>
            <w:r w:rsidR="004D62BB" w:rsidRPr="00D146AC">
              <w:rPr>
                <w:rFonts w:eastAsia="Times New Roman" w:cs="Times New Roman"/>
                <w:color w:val="000000"/>
                <w:sz w:val="16"/>
                <w:szCs w:val="16"/>
              </w:rPr>
              <w:t xml:space="preserve"> wg</w:t>
            </w:r>
            <w:r w:rsidR="004D62BB" w:rsidRPr="00D146AC">
              <w:rPr>
                <w:rFonts w:eastAsia="Times New Roman" w:cs="Times New Roman"/>
                <w:i/>
                <w:iCs/>
                <w:color w:val="000000"/>
                <w:sz w:val="16"/>
                <w:szCs w:val="16"/>
              </w:rPr>
              <w:t xml:space="preserve"> ustawy z dnia 20 lipca 2018 r. o zmianie niektórych ustaw w celu obniżenia składek na ubezpieczenia społeczne osób fizycznych wykonujących działalność gospodarczą na mniejszą skalę</w:t>
            </w:r>
            <w:r w:rsidR="004D62BB" w:rsidRPr="00D146AC">
              <w:rPr>
                <w:rFonts w:eastAsia="Times New Roman" w:cs="Times New Roman"/>
                <w:color w:val="000000"/>
                <w:sz w:val="16"/>
                <w:szCs w:val="16"/>
              </w:rPr>
              <w:t xml:space="preserve"> (zasady obowiązujące w 2019 r. </w:t>
            </w:r>
            <w:r w:rsidR="00BA3E4B">
              <w:rPr>
                <w:rFonts w:eastAsia="Times New Roman" w:cs="Times New Roman"/>
                <w:color w:val="000000"/>
                <w:sz w:val="16"/>
                <w:szCs w:val="16"/>
              </w:rPr>
              <w:t>–</w:t>
            </w:r>
            <w:r w:rsidR="004D62BB" w:rsidRPr="00D146AC">
              <w:rPr>
                <w:rFonts w:eastAsia="Times New Roman" w:cs="Times New Roman"/>
                <w:color w:val="000000"/>
                <w:sz w:val="16"/>
                <w:szCs w:val="16"/>
              </w:rPr>
              <w:t xml:space="preserve"> scenariusz A)</w:t>
            </w:r>
          </w:p>
        </w:tc>
        <w:tc>
          <w:tcPr>
            <w:tcW w:w="1540" w:type="pct"/>
            <w:gridSpan w:val="4"/>
            <w:tcBorders>
              <w:top w:val="single" w:sz="4" w:space="0" w:color="auto"/>
              <w:left w:val="nil"/>
              <w:bottom w:val="single" w:sz="4" w:space="0" w:color="auto"/>
              <w:right w:val="single" w:sz="4" w:space="0" w:color="auto"/>
            </w:tcBorders>
            <w:shd w:val="clear" w:color="000000" w:fill="C4D79B"/>
            <w:vAlign w:val="center"/>
            <w:hideMark/>
          </w:tcPr>
          <w:p w14:paraId="31C34F06" w14:textId="7AFDF8EA" w:rsidR="004D62BB" w:rsidRPr="00D146AC" w:rsidRDefault="00A352BB" w:rsidP="00A352BB">
            <w:pPr>
              <w:widowControl/>
              <w:autoSpaceDE/>
              <w:autoSpaceDN/>
              <w:adjustRightInd/>
              <w:spacing w:line="240" w:lineRule="auto"/>
              <w:jc w:val="center"/>
              <w:rPr>
                <w:rFonts w:eastAsia="Times New Roman" w:cs="Times New Roman"/>
                <w:color w:val="000000"/>
                <w:sz w:val="16"/>
                <w:szCs w:val="16"/>
              </w:rPr>
            </w:pPr>
            <w:r>
              <w:rPr>
                <w:rFonts w:eastAsia="Times New Roman" w:cs="Times New Roman"/>
                <w:color w:val="000000"/>
                <w:sz w:val="16"/>
                <w:szCs w:val="16"/>
              </w:rPr>
              <w:t>„</w:t>
            </w:r>
            <w:r w:rsidR="004D62BB" w:rsidRPr="00D146AC">
              <w:rPr>
                <w:rFonts w:eastAsia="Times New Roman" w:cs="Times New Roman"/>
                <w:color w:val="000000"/>
                <w:sz w:val="16"/>
                <w:szCs w:val="16"/>
              </w:rPr>
              <w:t>Mały ZUS plus</w:t>
            </w:r>
            <w:r>
              <w:rPr>
                <w:rFonts w:eastAsia="Times New Roman" w:cs="Times New Roman"/>
                <w:color w:val="000000"/>
                <w:sz w:val="16"/>
                <w:szCs w:val="16"/>
              </w:rPr>
              <w:t>”</w:t>
            </w:r>
            <w:r w:rsidR="004D62BB" w:rsidRPr="00D146AC">
              <w:rPr>
                <w:rFonts w:eastAsia="Times New Roman" w:cs="Times New Roman"/>
                <w:color w:val="000000"/>
                <w:sz w:val="16"/>
                <w:szCs w:val="16"/>
              </w:rPr>
              <w:t xml:space="preserve"> wg </w:t>
            </w:r>
            <w:r w:rsidR="004D62BB" w:rsidRPr="00D146AC">
              <w:rPr>
                <w:rFonts w:eastAsia="Times New Roman" w:cs="Times New Roman"/>
                <w:i/>
                <w:iCs/>
                <w:color w:val="000000"/>
                <w:sz w:val="16"/>
                <w:szCs w:val="16"/>
              </w:rPr>
              <w:t>projektu ustawy o zmianie ustawy o systemie ubezpieczeń społecznych oraz ustawy o Krajowej Administracji Skarbowej</w:t>
            </w:r>
            <w:r w:rsidR="004D62BB" w:rsidRPr="00D146AC">
              <w:rPr>
                <w:rFonts w:eastAsia="Times New Roman" w:cs="Times New Roman"/>
                <w:color w:val="000000"/>
                <w:sz w:val="16"/>
                <w:szCs w:val="16"/>
              </w:rPr>
              <w:t xml:space="preserve"> (zasady, które będą obowiązywać w 2020 r. </w:t>
            </w:r>
            <w:r w:rsidR="00BA3E4B">
              <w:rPr>
                <w:rFonts w:eastAsia="Times New Roman" w:cs="Times New Roman"/>
                <w:color w:val="000000"/>
                <w:sz w:val="16"/>
                <w:szCs w:val="16"/>
              </w:rPr>
              <w:t>–</w:t>
            </w:r>
            <w:r w:rsidR="004D62BB" w:rsidRPr="00D146AC">
              <w:rPr>
                <w:rFonts w:eastAsia="Times New Roman" w:cs="Times New Roman"/>
                <w:color w:val="000000"/>
                <w:sz w:val="16"/>
                <w:szCs w:val="16"/>
              </w:rPr>
              <w:t xml:space="preserve"> scenariusz B)</w:t>
            </w:r>
          </w:p>
        </w:tc>
        <w:tc>
          <w:tcPr>
            <w:tcW w:w="385" w:type="pct"/>
            <w:tcBorders>
              <w:top w:val="nil"/>
              <w:left w:val="nil"/>
              <w:bottom w:val="nil"/>
              <w:right w:val="nil"/>
            </w:tcBorders>
            <w:shd w:val="clear" w:color="auto" w:fill="auto"/>
            <w:noWrap/>
            <w:vAlign w:val="bottom"/>
            <w:hideMark/>
          </w:tcPr>
          <w:p w14:paraId="2CBB7A4A" w14:textId="77777777" w:rsidR="004D62BB" w:rsidRPr="00D146AC" w:rsidRDefault="004D62BB" w:rsidP="004D62BB">
            <w:pPr>
              <w:widowControl/>
              <w:autoSpaceDE/>
              <w:autoSpaceDN/>
              <w:adjustRightInd/>
              <w:spacing w:line="240" w:lineRule="auto"/>
              <w:rPr>
                <w:rFonts w:eastAsia="Times New Roman" w:cs="Times New Roman"/>
                <w:color w:val="000000"/>
                <w:sz w:val="16"/>
                <w:szCs w:val="16"/>
              </w:rPr>
            </w:pPr>
          </w:p>
        </w:tc>
        <w:tc>
          <w:tcPr>
            <w:tcW w:w="380" w:type="pct"/>
            <w:tcBorders>
              <w:top w:val="nil"/>
              <w:left w:val="nil"/>
              <w:bottom w:val="nil"/>
              <w:right w:val="nil"/>
            </w:tcBorders>
            <w:shd w:val="clear" w:color="auto" w:fill="auto"/>
            <w:noWrap/>
            <w:vAlign w:val="bottom"/>
            <w:hideMark/>
          </w:tcPr>
          <w:p w14:paraId="2F4F2BF2" w14:textId="77777777" w:rsidR="004D62BB" w:rsidRPr="00D146AC" w:rsidRDefault="004D62BB" w:rsidP="004D62BB">
            <w:pPr>
              <w:widowControl/>
              <w:autoSpaceDE/>
              <w:autoSpaceDN/>
              <w:adjustRightInd/>
              <w:spacing w:line="240" w:lineRule="auto"/>
              <w:rPr>
                <w:rFonts w:eastAsia="Times New Roman" w:cs="Times New Roman"/>
                <w:color w:val="000000"/>
                <w:sz w:val="16"/>
                <w:szCs w:val="16"/>
              </w:rPr>
            </w:pPr>
          </w:p>
        </w:tc>
      </w:tr>
      <w:tr w:rsidR="00D146AC" w:rsidRPr="00CA47C7" w14:paraId="23FEA072" w14:textId="77777777" w:rsidTr="00D146AC">
        <w:trPr>
          <w:trHeight w:val="1500"/>
        </w:trPr>
        <w:tc>
          <w:tcPr>
            <w:tcW w:w="385" w:type="pct"/>
            <w:tcBorders>
              <w:top w:val="single" w:sz="4" w:space="0" w:color="auto"/>
              <w:left w:val="single" w:sz="4" w:space="0" w:color="auto"/>
              <w:bottom w:val="single" w:sz="4" w:space="0" w:color="auto"/>
              <w:right w:val="single" w:sz="4" w:space="0" w:color="auto"/>
            </w:tcBorders>
            <w:shd w:val="clear" w:color="000000" w:fill="92CDDC"/>
            <w:vAlign w:val="center"/>
            <w:hideMark/>
          </w:tcPr>
          <w:p w14:paraId="70BBC65D" w14:textId="18A17A1A" w:rsidR="004D62BB" w:rsidRPr="00D146AC" w:rsidRDefault="004D62BB" w:rsidP="004D62BB">
            <w:pPr>
              <w:widowControl/>
              <w:autoSpaceDE/>
              <w:autoSpaceDN/>
              <w:adjustRightInd/>
              <w:spacing w:line="240" w:lineRule="auto"/>
              <w:jc w:val="center"/>
              <w:rPr>
                <w:rFonts w:eastAsia="Times New Roman" w:cs="Times New Roman"/>
                <w:color w:val="000000"/>
                <w:sz w:val="16"/>
                <w:szCs w:val="16"/>
                <w:u w:val="single"/>
              </w:rPr>
            </w:pPr>
            <w:r w:rsidRPr="00D146AC">
              <w:rPr>
                <w:rFonts w:eastAsia="Times New Roman" w:cs="Times New Roman"/>
                <w:color w:val="000000"/>
                <w:sz w:val="16"/>
                <w:szCs w:val="16"/>
                <w:u w:val="single"/>
              </w:rPr>
              <w:t>Miesięczny przychód (dla scenariusza B)</w:t>
            </w:r>
            <w:r w:rsidR="00AE1757">
              <w:rPr>
                <w:rFonts w:eastAsia="Times New Roman" w:cs="Times New Roman"/>
                <w:color w:val="000000"/>
                <w:sz w:val="16"/>
                <w:szCs w:val="16"/>
                <w:u w:val="single"/>
              </w:rPr>
              <w:t xml:space="preserve"> </w:t>
            </w:r>
            <w:r w:rsidRPr="00D146AC">
              <w:rPr>
                <w:rFonts w:eastAsia="Times New Roman" w:cs="Times New Roman"/>
                <w:color w:val="000000"/>
                <w:sz w:val="16"/>
                <w:szCs w:val="16"/>
                <w:u w:val="single"/>
              </w:rPr>
              <w:t>/</w:t>
            </w:r>
            <w:r w:rsidR="00AE1757">
              <w:rPr>
                <w:rFonts w:eastAsia="Times New Roman" w:cs="Times New Roman"/>
                <w:color w:val="000000"/>
                <w:sz w:val="16"/>
                <w:szCs w:val="16"/>
                <w:u w:val="single"/>
              </w:rPr>
              <w:t xml:space="preserve"> </w:t>
            </w:r>
            <w:r w:rsidRPr="00D146AC">
              <w:rPr>
                <w:rFonts w:eastAsia="Times New Roman" w:cs="Times New Roman"/>
                <w:color w:val="000000"/>
                <w:sz w:val="16"/>
                <w:szCs w:val="16"/>
                <w:u w:val="single"/>
              </w:rPr>
              <w:t>przeciętny miesięczny przychód (dla scenariusza A)</w:t>
            </w:r>
          </w:p>
        </w:tc>
        <w:tc>
          <w:tcPr>
            <w:tcW w:w="385" w:type="pct"/>
            <w:tcBorders>
              <w:top w:val="single" w:sz="4" w:space="0" w:color="auto"/>
              <w:left w:val="nil"/>
              <w:bottom w:val="single" w:sz="4" w:space="0" w:color="auto"/>
              <w:right w:val="single" w:sz="4" w:space="0" w:color="auto"/>
            </w:tcBorders>
            <w:shd w:val="clear" w:color="000000" w:fill="92CDDC"/>
            <w:vAlign w:val="center"/>
            <w:hideMark/>
          </w:tcPr>
          <w:p w14:paraId="6EB5D39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u w:val="single"/>
              </w:rPr>
            </w:pPr>
            <w:r w:rsidRPr="00D146AC">
              <w:rPr>
                <w:rFonts w:eastAsia="Times New Roman" w:cs="Times New Roman"/>
                <w:color w:val="000000"/>
                <w:sz w:val="16"/>
                <w:szCs w:val="16"/>
                <w:u w:val="single"/>
              </w:rPr>
              <w:t>Przeciętny miesięczny dochód</w:t>
            </w:r>
          </w:p>
        </w:tc>
        <w:tc>
          <w:tcPr>
            <w:tcW w:w="385" w:type="pct"/>
            <w:tcBorders>
              <w:top w:val="nil"/>
              <w:left w:val="nil"/>
              <w:bottom w:val="single" w:sz="4" w:space="0" w:color="auto"/>
              <w:right w:val="single" w:sz="4" w:space="0" w:color="auto"/>
            </w:tcBorders>
            <w:shd w:val="clear" w:color="000000" w:fill="95B3D7"/>
            <w:vAlign w:val="center"/>
            <w:hideMark/>
          </w:tcPr>
          <w:p w14:paraId="5082768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przychód</w:t>
            </w:r>
          </w:p>
        </w:tc>
        <w:tc>
          <w:tcPr>
            <w:tcW w:w="385" w:type="pct"/>
            <w:tcBorders>
              <w:top w:val="nil"/>
              <w:left w:val="nil"/>
              <w:bottom w:val="single" w:sz="4" w:space="0" w:color="auto"/>
              <w:right w:val="single" w:sz="4" w:space="0" w:color="auto"/>
            </w:tcBorders>
            <w:shd w:val="clear" w:color="000000" w:fill="95B3D7"/>
            <w:vAlign w:val="center"/>
            <w:hideMark/>
          </w:tcPr>
          <w:p w14:paraId="380B22CB"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dochód</w:t>
            </w:r>
          </w:p>
        </w:tc>
        <w:tc>
          <w:tcPr>
            <w:tcW w:w="385" w:type="pct"/>
            <w:tcBorders>
              <w:top w:val="nil"/>
              <w:left w:val="nil"/>
              <w:bottom w:val="single" w:sz="4" w:space="0" w:color="auto"/>
              <w:right w:val="single" w:sz="4" w:space="0" w:color="auto"/>
            </w:tcBorders>
            <w:shd w:val="clear" w:color="000000" w:fill="95B3D7"/>
            <w:vAlign w:val="center"/>
            <w:hideMark/>
          </w:tcPr>
          <w:p w14:paraId="1E428D3B"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Możliwość skorzystania z ulgi</w:t>
            </w:r>
          </w:p>
        </w:tc>
        <w:tc>
          <w:tcPr>
            <w:tcW w:w="385" w:type="pct"/>
            <w:tcBorders>
              <w:top w:val="nil"/>
              <w:left w:val="nil"/>
              <w:bottom w:val="single" w:sz="4" w:space="0" w:color="auto"/>
              <w:right w:val="single" w:sz="4" w:space="0" w:color="auto"/>
            </w:tcBorders>
            <w:shd w:val="clear" w:color="000000" w:fill="95B3D7"/>
            <w:vAlign w:val="center"/>
            <w:hideMark/>
          </w:tcPr>
          <w:p w14:paraId="7A30CED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Najniższa podstawa wymiaru składek</w:t>
            </w:r>
          </w:p>
        </w:tc>
        <w:tc>
          <w:tcPr>
            <w:tcW w:w="385" w:type="pct"/>
            <w:tcBorders>
              <w:top w:val="nil"/>
              <w:left w:val="nil"/>
              <w:bottom w:val="single" w:sz="4" w:space="0" w:color="auto"/>
              <w:right w:val="single" w:sz="4" w:space="0" w:color="auto"/>
            </w:tcBorders>
            <w:shd w:val="clear" w:color="000000" w:fill="95B3D7"/>
            <w:vAlign w:val="center"/>
            <w:hideMark/>
          </w:tcPr>
          <w:p w14:paraId="3D7C406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Wysokość składek na ubezpieczenia społeczne</w:t>
            </w:r>
          </w:p>
        </w:tc>
        <w:tc>
          <w:tcPr>
            <w:tcW w:w="385" w:type="pct"/>
            <w:tcBorders>
              <w:top w:val="nil"/>
              <w:left w:val="nil"/>
              <w:bottom w:val="single" w:sz="4" w:space="0" w:color="auto"/>
              <w:right w:val="single" w:sz="4" w:space="0" w:color="auto"/>
            </w:tcBorders>
            <w:shd w:val="clear" w:color="000000" w:fill="C4D79B"/>
            <w:vAlign w:val="center"/>
            <w:hideMark/>
          </w:tcPr>
          <w:p w14:paraId="62C0C7D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przychód</w:t>
            </w:r>
          </w:p>
        </w:tc>
        <w:tc>
          <w:tcPr>
            <w:tcW w:w="385" w:type="pct"/>
            <w:tcBorders>
              <w:top w:val="nil"/>
              <w:left w:val="nil"/>
              <w:bottom w:val="single" w:sz="4" w:space="0" w:color="auto"/>
              <w:right w:val="single" w:sz="4" w:space="0" w:color="auto"/>
            </w:tcBorders>
            <w:shd w:val="clear" w:color="000000" w:fill="C4D79B"/>
            <w:vAlign w:val="center"/>
            <w:hideMark/>
          </w:tcPr>
          <w:p w14:paraId="18BFD4C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Roczny dochód</w:t>
            </w:r>
          </w:p>
        </w:tc>
        <w:tc>
          <w:tcPr>
            <w:tcW w:w="385" w:type="pct"/>
            <w:tcBorders>
              <w:top w:val="nil"/>
              <w:left w:val="nil"/>
              <w:bottom w:val="single" w:sz="4" w:space="0" w:color="auto"/>
              <w:right w:val="single" w:sz="4" w:space="0" w:color="auto"/>
            </w:tcBorders>
            <w:shd w:val="clear" w:color="000000" w:fill="C4D79B"/>
            <w:vAlign w:val="center"/>
            <w:hideMark/>
          </w:tcPr>
          <w:p w14:paraId="1251D2CC"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Podstawa wymiaru składek</w:t>
            </w:r>
          </w:p>
        </w:tc>
        <w:tc>
          <w:tcPr>
            <w:tcW w:w="385" w:type="pct"/>
            <w:tcBorders>
              <w:top w:val="nil"/>
              <w:left w:val="nil"/>
              <w:bottom w:val="single" w:sz="4" w:space="0" w:color="auto"/>
              <w:right w:val="single" w:sz="4" w:space="0" w:color="auto"/>
            </w:tcBorders>
            <w:shd w:val="clear" w:color="000000" w:fill="C4D79B"/>
            <w:vAlign w:val="center"/>
            <w:hideMark/>
          </w:tcPr>
          <w:p w14:paraId="6810980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Wysokość składek na ubezpieczenia społeczne</w:t>
            </w:r>
          </w:p>
        </w:tc>
        <w:tc>
          <w:tcPr>
            <w:tcW w:w="385" w:type="pct"/>
            <w:tcBorders>
              <w:top w:val="single" w:sz="4" w:space="0" w:color="auto"/>
              <w:left w:val="nil"/>
              <w:bottom w:val="single" w:sz="4" w:space="0" w:color="auto"/>
              <w:right w:val="single" w:sz="4" w:space="0" w:color="auto"/>
            </w:tcBorders>
            <w:shd w:val="clear" w:color="000000" w:fill="92CDDC"/>
            <w:vAlign w:val="center"/>
            <w:hideMark/>
          </w:tcPr>
          <w:p w14:paraId="5FA6108C" w14:textId="15789067" w:rsidR="004D62BB" w:rsidRPr="00D146AC" w:rsidRDefault="004D62BB" w:rsidP="00AE1757">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 xml:space="preserve">Różnica między scenariuszem A </w:t>
            </w:r>
            <w:proofErr w:type="spellStart"/>
            <w:r w:rsidRPr="00D146AC">
              <w:rPr>
                <w:rFonts w:eastAsia="Times New Roman" w:cs="Times New Roman"/>
                <w:color w:val="000000"/>
                <w:sz w:val="16"/>
                <w:szCs w:val="16"/>
              </w:rPr>
              <w:t>a</w:t>
            </w:r>
            <w:proofErr w:type="spellEnd"/>
            <w:r w:rsidRPr="00D146AC">
              <w:rPr>
                <w:rFonts w:eastAsia="Times New Roman" w:cs="Times New Roman"/>
                <w:color w:val="000000"/>
                <w:sz w:val="16"/>
                <w:szCs w:val="16"/>
              </w:rPr>
              <w:t xml:space="preserve"> scenariuszem B</w:t>
            </w:r>
          </w:p>
        </w:tc>
        <w:tc>
          <w:tcPr>
            <w:tcW w:w="380" w:type="pct"/>
            <w:tcBorders>
              <w:top w:val="single" w:sz="4" w:space="0" w:color="auto"/>
              <w:left w:val="nil"/>
              <w:bottom w:val="single" w:sz="4" w:space="0" w:color="auto"/>
              <w:right w:val="single" w:sz="4" w:space="0" w:color="auto"/>
            </w:tcBorders>
            <w:shd w:val="clear" w:color="000000" w:fill="92CDDC"/>
            <w:vAlign w:val="center"/>
            <w:hideMark/>
          </w:tcPr>
          <w:p w14:paraId="00D5C54C" w14:textId="4D488B18" w:rsidR="004D62BB" w:rsidRPr="00D146AC" w:rsidRDefault="004D62BB" w:rsidP="00AE1757">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Różnica między pełną składką ZUS a scenariuszem B</w:t>
            </w:r>
          </w:p>
        </w:tc>
      </w:tr>
      <w:tr w:rsidR="004D62BB" w:rsidRPr="00CA47C7" w14:paraId="0E6BD59D"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7A5DF2D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2500,00</w:t>
            </w:r>
          </w:p>
        </w:tc>
        <w:tc>
          <w:tcPr>
            <w:tcW w:w="385" w:type="pct"/>
            <w:tcBorders>
              <w:top w:val="nil"/>
              <w:left w:val="nil"/>
              <w:bottom w:val="single" w:sz="4" w:space="0" w:color="auto"/>
              <w:right w:val="single" w:sz="4" w:space="0" w:color="auto"/>
            </w:tcBorders>
            <w:shd w:val="clear" w:color="auto" w:fill="auto"/>
            <w:noWrap/>
            <w:vAlign w:val="center"/>
            <w:hideMark/>
          </w:tcPr>
          <w:p w14:paraId="013A9ECE"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1232,88</w:t>
            </w:r>
          </w:p>
        </w:tc>
        <w:tc>
          <w:tcPr>
            <w:tcW w:w="385" w:type="pct"/>
            <w:tcBorders>
              <w:top w:val="nil"/>
              <w:left w:val="nil"/>
              <w:bottom w:val="single" w:sz="4" w:space="0" w:color="auto"/>
              <w:right w:val="single" w:sz="4" w:space="0" w:color="auto"/>
            </w:tcBorders>
            <w:shd w:val="clear" w:color="auto" w:fill="auto"/>
            <w:noWrap/>
            <w:vAlign w:val="center"/>
            <w:hideMark/>
          </w:tcPr>
          <w:p w14:paraId="40EAFB9C"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30416,67</w:t>
            </w:r>
          </w:p>
        </w:tc>
        <w:tc>
          <w:tcPr>
            <w:tcW w:w="385" w:type="pct"/>
            <w:tcBorders>
              <w:top w:val="nil"/>
              <w:left w:val="nil"/>
              <w:bottom w:val="single" w:sz="4" w:space="0" w:color="auto"/>
              <w:right w:val="single" w:sz="4" w:space="0" w:color="auto"/>
            </w:tcBorders>
            <w:shd w:val="clear" w:color="auto" w:fill="auto"/>
            <w:vAlign w:val="center"/>
            <w:hideMark/>
          </w:tcPr>
          <w:p w14:paraId="11C3610C" w14:textId="25E60F5F"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0F6ED25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29882A4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1206,25</w:t>
            </w:r>
          </w:p>
        </w:tc>
        <w:tc>
          <w:tcPr>
            <w:tcW w:w="385" w:type="pct"/>
            <w:tcBorders>
              <w:top w:val="nil"/>
              <w:left w:val="nil"/>
              <w:bottom w:val="single" w:sz="4" w:space="0" w:color="auto"/>
              <w:right w:val="single" w:sz="4" w:space="0" w:color="auto"/>
            </w:tcBorders>
            <w:shd w:val="clear" w:color="auto" w:fill="auto"/>
            <w:noWrap/>
            <w:vAlign w:val="center"/>
            <w:hideMark/>
          </w:tcPr>
          <w:p w14:paraId="67CB8584"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381,65</w:t>
            </w:r>
          </w:p>
        </w:tc>
        <w:tc>
          <w:tcPr>
            <w:tcW w:w="385" w:type="pct"/>
            <w:tcBorders>
              <w:top w:val="nil"/>
              <w:left w:val="nil"/>
              <w:bottom w:val="single" w:sz="4" w:space="0" w:color="auto"/>
              <w:right w:val="single" w:sz="4" w:space="0" w:color="auto"/>
            </w:tcBorders>
            <w:shd w:val="clear" w:color="auto" w:fill="auto"/>
            <w:noWrap/>
            <w:vAlign w:val="center"/>
            <w:hideMark/>
          </w:tcPr>
          <w:p w14:paraId="05CE05F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30000,00</w:t>
            </w:r>
          </w:p>
        </w:tc>
        <w:tc>
          <w:tcPr>
            <w:tcW w:w="385" w:type="pct"/>
            <w:tcBorders>
              <w:top w:val="nil"/>
              <w:left w:val="nil"/>
              <w:bottom w:val="single" w:sz="4" w:space="0" w:color="auto"/>
              <w:right w:val="single" w:sz="4" w:space="0" w:color="auto"/>
            </w:tcBorders>
            <w:shd w:val="clear" w:color="auto" w:fill="auto"/>
            <w:noWrap/>
            <w:vAlign w:val="center"/>
            <w:hideMark/>
          </w:tcPr>
          <w:p w14:paraId="4BC8064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15000,00</w:t>
            </w:r>
          </w:p>
        </w:tc>
        <w:tc>
          <w:tcPr>
            <w:tcW w:w="385" w:type="pct"/>
            <w:tcBorders>
              <w:top w:val="nil"/>
              <w:left w:val="nil"/>
              <w:bottom w:val="single" w:sz="4" w:space="0" w:color="auto"/>
              <w:right w:val="single" w:sz="4" w:space="0" w:color="auto"/>
            </w:tcBorders>
            <w:shd w:val="clear" w:color="auto" w:fill="auto"/>
            <w:noWrap/>
            <w:vAlign w:val="center"/>
            <w:hideMark/>
          </w:tcPr>
          <w:p w14:paraId="53A6F14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780,00</w:t>
            </w:r>
          </w:p>
        </w:tc>
        <w:tc>
          <w:tcPr>
            <w:tcW w:w="385" w:type="pct"/>
            <w:tcBorders>
              <w:top w:val="nil"/>
              <w:left w:val="nil"/>
              <w:bottom w:val="single" w:sz="4" w:space="0" w:color="auto"/>
              <w:right w:val="single" w:sz="4" w:space="0" w:color="auto"/>
            </w:tcBorders>
            <w:shd w:val="clear" w:color="auto" w:fill="auto"/>
            <w:noWrap/>
            <w:vAlign w:val="center"/>
            <w:hideMark/>
          </w:tcPr>
          <w:p w14:paraId="4682C57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246,80</w:t>
            </w:r>
          </w:p>
        </w:tc>
        <w:tc>
          <w:tcPr>
            <w:tcW w:w="385" w:type="pct"/>
            <w:tcBorders>
              <w:top w:val="nil"/>
              <w:left w:val="nil"/>
              <w:bottom w:val="single" w:sz="4" w:space="0" w:color="auto"/>
              <w:right w:val="single" w:sz="4" w:space="0" w:color="auto"/>
            </w:tcBorders>
            <w:shd w:val="clear" w:color="auto" w:fill="auto"/>
            <w:noWrap/>
            <w:vAlign w:val="center"/>
            <w:hideMark/>
          </w:tcPr>
          <w:p w14:paraId="21DE91E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134,85</w:t>
            </w:r>
          </w:p>
        </w:tc>
        <w:tc>
          <w:tcPr>
            <w:tcW w:w="380" w:type="pct"/>
            <w:tcBorders>
              <w:top w:val="nil"/>
              <w:left w:val="nil"/>
              <w:bottom w:val="single" w:sz="4" w:space="0" w:color="auto"/>
              <w:right w:val="single" w:sz="4" w:space="0" w:color="auto"/>
            </w:tcBorders>
            <w:shd w:val="clear" w:color="auto" w:fill="auto"/>
            <w:noWrap/>
            <w:vAlign w:val="center"/>
            <w:hideMark/>
          </w:tcPr>
          <w:p w14:paraId="728FB6FC"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745,50</w:t>
            </w:r>
          </w:p>
        </w:tc>
      </w:tr>
      <w:tr w:rsidR="004D62BB" w:rsidRPr="00CA47C7" w14:paraId="67A2AB4E"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59EEA97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3500,00</w:t>
            </w:r>
          </w:p>
        </w:tc>
        <w:tc>
          <w:tcPr>
            <w:tcW w:w="385" w:type="pct"/>
            <w:tcBorders>
              <w:top w:val="nil"/>
              <w:left w:val="nil"/>
              <w:bottom w:val="single" w:sz="4" w:space="0" w:color="auto"/>
              <w:right w:val="single" w:sz="4" w:space="0" w:color="auto"/>
            </w:tcBorders>
            <w:shd w:val="clear" w:color="auto" w:fill="auto"/>
            <w:noWrap/>
            <w:vAlign w:val="center"/>
            <w:hideMark/>
          </w:tcPr>
          <w:p w14:paraId="33E76A3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1726,03</w:t>
            </w:r>
          </w:p>
        </w:tc>
        <w:tc>
          <w:tcPr>
            <w:tcW w:w="385" w:type="pct"/>
            <w:tcBorders>
              <w:top w:val="nil"/>
              <w:left w:val="nil"/>
              <w:bottom w:val="single" w:sz="4" w:space="0" w:color="auto"/>
              <w:right w:val="single" w:sz="4" w:space="0" w:color="auto"/>
            </w:tcBorders>
            <w:shd w:val="clear" w:color="auto" w:fill="auto"/>
            <w:noWrap/>
            <w:vAlign w:val="center"/>
            <w:hideMark/>
          </w:tcPr>
          <w:p w14:paraId="4FE24D64"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42583,33</w:t>
            </w:r>
          </w:p>
        </w:tc>
        <w:tc>
          <w:tcPr>
            <w:tcW w:w="385" w:type="pct"/>
            <w:tcBorders>
              <w:top w:val="nil"/>
              <w:left w:val="nil"/>
              <w:bottom w:val="single" w:sz="4" w:space="0" w:color="auto"/>
              <w:right w:val="single" w:sz="4" w:space="0" w:color="auto"/>
            </w:tcBorders>
            <w:shd w:val="clear" w:color="auto" w:fill="auto"/>
            <w:vAlign w:val="center"/>
            <w:hideMark/>
          </w:tcPr>
          <w:p w14:paraId="37BFE2E0" w14:textId="05E8780C"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576F7447"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69CCBDE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1688,75</w:t>
            </w:r>
          </w:p>
        </w:tc>
        <w:tc>
          <w:tcPr>
            <w:tcW w:w="385" w:type="pct"/>
            <w:tcBorders>
              <w:top w:val="nil"/>
              <w:left w:val="nil"/>
              <w:bottom w:val="single" w:sz="4" w:space="0" w:color="auto"/>
              <w:right w:val="single" w:sz="4" w:space="0" w:color="auto"/>
            </w:tcBorders>
            <w:shd w:val="clear" w:color="auto" w:fill="auto"/>
            <w:noWrap/>
            <w:vAlign w:val="center"/>
            <w:hideMark/>
          </w:tcPr>
          <w:p w14:paraId="6E9D44C4"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534,33</w:t>
            </w:r>
          </w:p>
        </w:tc>
        <w:tc>
          <w:tcPr>
            <w:tcW w:w="385" w:type="pct"/>
            <w:tcBorders>
              <w:top w:val="nil"/>
              <w:left w:val="nil"/>
              <w:bottom w:val="single" w:sz="4" w:space="0" w:color="auto"/>
              <w:right w:val="single" w:sz="4" w:space="0" w:color="auto"/>
            </w:tcBorders>
            <w:shd w:val="clear" w:color="auto" w:fill="auto"/>
            <w:noWrap/>
            <w:vAlign w:val="center"/>
            <w:hideMark/>
          </w:tcPr>
          <w:p w14:paraId="2263FFD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42000,00</w:t>
            </w:r>
          </w:p>
        </w:tc>
        <w:tc>
          <w:tcPr>
            <w:tcW w:w="385" w:type="pct"/>
            <w:tcBorders>
              <w:top w:val="nil"/>
              <w:left w:val="nil"/>
              <w:bottom w:val="single" w:sz="4" w:space="0" w:color="auto"/>
              <w:right w:val="single" w:sz="4" w:space="0" w:color="auto"/>
            </w:tcBorders>
            <w:shd w:val="clear" w:color="auto" w:fill="auto"/>
            <w:noWrap/>
            <w:vAlign w:val="center"/>
            <w:hideMark/>
          </w:tcPr>
          <w:p w14:paraId="715B105B"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21000,00</w:t>
            </w:r>
          </w:p>
        </w:tc>
        <w:tc>
          <w:tcPr>
            <w:tcW w:w="385" w:type="pct"/>
            <w:tcBorders>
              <w:top w:val="nil"/>
              <w:left w:val="nil"/>
              <w:bottom w:val="single" w:sz="4" w:space="0" w:color="auto"/>
              <w:right w:val="single" w:sz="4" w:space="0" w:color="auto"/>
            </w:tcBorders>
            <w:shd w:val="clear" w:color="auto" w:fill="auto"/>
            <w:noWrap/>
            <w:vAlign w:val="center"/>
            <w:hideMark/>
          </w:tcPr>
          <w:p w14:paraId="4D8F5BC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863,02</w:t>
            </w:r>
          </w:p>
        </w:tc>
        <w:tc>
          <w:tcPr>
            <w:tcW w:w="385" w:type="pct"/>
            <w:tcBorders>
              <w:top w:val="nil"/>
              <w:left w:val="nil"/>
              <w:bottom w:val="single" w:sz="4" w:space="0" w:color="auto"/>
              <w:right w:val="single" w:sz="4" w:space="0" w:color="auto"/>
            </w:tcBorders>
            <w:shd w:val="clear" w:color="auto" w:fill="auto"/>
            <w:noWrap/>
            <w:vAlign w:val="center"/>
            <w:hideMark/>
          </w:tcPr>
          <w:p w14:paraId="0FC1EBA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273,05</w:t>
            </w:r>
          </w:p>
        </w:tc>
        <w:tc>
          <w:tcPr>
            <w:tcW w:w="385" w:type="pct"/>
            <w:tcBorders>
              <w:top w:val="nil"/>
              <w:left w:val="nil"/>
              <w:bottom w:val="single" w:sz="4" w:space="0" w:color="auto"/>
              <w:right w:val="single" w:sz="4" w:space="0" w:color="auto"/>
            </w:tcBorders>
            <w:shd w:val="clear" w:color="auto" w:fill="auto"/>
            <w:noWrap/>
            <w:vAlign w:val="center"/>
            <w:hideMark/>
          </w:tcPr>
          <w:p w14:paraId="1D79CB7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261,28</w:t>
            </w:r>
          </w:p>
        </w:tc>
        <w:tc>
          <w:tcPr>
            <w:tcW w:w="380" w:type="pct"/>
            <w:tcBorders>
              <w:top w:val="nil"/>
              <w:left w:val="nil"/>
              <w:bottom w:val="single" w:sz="4" w:space="0" w:color="auto"/>
              <w:right w:val="single" w:sz="4" w:space="0" w:color="auto"/>
            </w:tcBorders>
            <w:shd w:val="clear" w:color="auto" w:fill="auto"/>
            <w:noWrap/>
            <w:vAlign w:val="center"/>
            <w:hideMark/>
          </w:tcPr>
          <w:p w14:paraId="647E983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719,25</w:t>
            </w:r>
          </w:p>
        </w:tc>
      </w:tr>
      <w:tr w:rsidR="004D62BB" w:rsidRPr="00CA47C7" w14:paraId="4D642C52"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6692BF0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4500,00</w:t>
            </w:r>
          </w:p>
        </w:tc>
        <w:tc>
          <w:tcPr>
            <w:tcW w:w="385" w:type="pct"/>
            <w:tcBorders>
              <w:top w:val="nil"/>
              <w:left w:val="nil"/>
              <w:bottom w:val="single" w:sz="4" w:space="0" w:color="auto"/>
              <w:right w:val="single" w:sz="4" w:space="0" w:color="auto"/>
            </w:tcBorders>
            <w:shd w:val="clear" w:color="auto" w:fill="auto"/>
            <w:noWrap/>
            <w:vAlign w:val="center"/>
            <w:hideMark/>
          </w:tcPr>
          <w:p w14:paraId="26B84F4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2219,18</w:t>
            </w:r>
          </w:p>
        </w:tc>
        <w:tc>
          <w:tcPr>
            <w:tcW w:w="385" w:type="pct"/>
            <w:tcBorders>
              <w:top w:val="nil"/>
              <w:left w:val="nil"/>
              <w:bottom w:val="single" w:sz="4" w:space="0" w:color="auto"/>
              <w:right w:val="single" w:sz="4" w:space="0" w:color="auto"/>
            </w:tcBorders>
            <w:shd w:val="clear" w:color="auto" w:fill="auto"/>
            <w:noWrap/>
            <w:vAlign w:val="center"/>
            <w:hideMark/>
          </w:tcPr>
          <w:p w14:paraId="07C5624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54750,00</w:t>
            </w:r>
          </w:p>
        </w:tc>
        <w:tc>
          <w:tcPr>
            <w:tcW w:w="385" w:type="pct"/>
            <w:tcBorders>
              <w:top w:val="nil"/>
              <w:left w:val="nil"/>
              <w:bottom w:val="single" w:sz="4" w:space="0" w:color="auto"/>
              <w:right w:val="single" w:sz="4" w:space="0" w:color="auto"/>
            </w:tcBorders>
            <w:shd w:val="clear" w:color="auto" w:fill="auto"/>
            <w:vAlign w:val="center"/>
            <w:hideMark/>
          </w:tcPr>
          <w:p w14:paraId="3A582CB0" w14:textId="4252113E"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63B72F2E"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0599F05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2171,25</w:t>
            </w:r>
          </w:p>
        </w:tc>
        <w:tc>
          <w:tcPr>
            <w:tcW w:w="385" w:type="pct"/>
            <w:tcBorders>
              <w:top w:val="nil"/>
              <w:left w:val="nil"/>
              <w:bottom w:val="single" w:sz="4" w:space="0" w:color="auto"/>
              <w:right w:val="single" w:sz="4" w:space="0" w:color="auto"/>
            </w:tcBorders>
            <w:shd w:val="clear" w:color="auto" w:fill="auto"/>
            <w:noWrap/>
            <w:vAlign w:val="center"/>
            <w:hideMark/>
          </w:tcPr>
          <w:p w14:paraId="7DA64AB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686,99</w:t>
            </w:r>
          </w:p>
        </w:tc>
        <w:tc>
          <w:tcPr>
            <w:tcW w:w="385" w:type="pct"/>
            <w:tcBorders>
              <w:top w:val="nil"/>
              <w:left w:val="nil"/>
              <w:bottom w:val="single" w:sz="4" w:space="0" w:color="auto"/>
              <w:right w:val="single" w:sz="4" w:space="0" w:color="auto"/>
            </w:tcBorders>
            <w:shd w:val="clear" w:color="auto" w:fill="auto"/>
            <w:noWrap/>
            <w:vAlign w:val="center"/>
            <w:hideMark/>
          </w:tcPr>
          <w:p w14:paraId="6F8E2EA4"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54000,00</w:t>
            </w:r>
          </w:p>
        </w:tc>
        <w:tc>
          <w:tcPr>
            <w:tcW w:w="385" w:type="pct"/>
            <w:tcBorders>
              <w:top w:val="nil"/>
              <w:left w:val="nil"/>
              <w:bottom w:val="single" w:sz="4" w:space="0" w:color="auto"/>
              <w:right w:val="single" w:sz="4" w:space="0" w:color="auto"/>
            </w:tcBorders>
            <w:shd w:val="clear" w:color="auto" w:fill="auto"/>
            <w:noWrap/>
            <w:vAlign w:val="center"/>
            <w:hideMark/>
          </w:tcPr>
          <w:p w14:paraId="3CA03EB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27000,00</w:t>
            </w:r>
          </w:p>
        </w:tc>
        <w:tc>
          <w:tcPr>
            <w:tcW w:w="385" w:type="pct"/>
            <w:tcBorders>
              <w:top w:val="nil"/>
              <w:left w:val="nil"/>
              <w:bottom w:val="single" w:sz="4" w:space="0" w:color="auto"/>
              <w:right w:val="single" w:sz="4" w:space="0" w:color="auto"/>
            </w:tcBorders>
            <w:shd w:val="clear" w:color="auto" w:fill="auto"/>
            <w:noWrap/>
            <w:vAlign w:val="center"/>
            <w:hideMark/>
          </w:tcPr>
          <w:p w14:paraId="6A91E28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1109,59</w:t>
            </w:r>
          </w:p>
        </w:tc>
        <w:tc>
          <w:tcPr>
            <w:tcW w:w="385" w:type="pct"/>
            <w:tcBorders>
              <w:top w:val="nil"/>
              <w:left w:val="nil"/>
              <w:bottom w:val="single" w:sz="4" w:space="0" w:color="auto"/>
              <w:right w:val="single" w:sz="4" w:space="0" w:color="auto"/>
            </w:tcBorders>
            <w:shd w:val="clear" w:color="auto" w:fill="auto"/>
            <w:noWrap/>
            <w:vAlign w:val="center"/>
            <w:hideMark/>
          </w:tcPr>
          <w:p w14:paraId="79ACCAF4"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351,07</w:t>
            </w:r>
          </w:p>
        </w:tc>
        <w:tc>
          <w:tcPr>
            <w:tcW w:w="385" w:type="pct"/>
            <w:tcBorders>
              <w:top w:val="nil"/>
              <w:left w:val="nil"/>
              <w:bottom w:val="single" w:sz="4" w:space="0" w:color="auto"/>
              <w:right w:val="single" w:sz="4" w:space="0" w:color="auto"/>
            </w:tcBorders>
            <w:shd w:val="clear" w:color="auto" w:fill="auto"/>
            <w:noWrap/>
            <w:vAlign w:val="center"/>
            <w:hideMark/>
          </w:tcPr>
          <w:p w14:paraId="74F2F86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335,92</w:t>
            </w:r>
          </w:p>
        </w:tc>
        <w:tc>
          <w:tcPr>
            <w:tcW w:w="380" w:type="pct"/>
            <w:tcBorders>
              <w:top w:val="nil"/>
              <w:left w:val="nil"/>
              <w:bottom w:val="single" w:sz="4" w:space="0" w:color="auto"/>
              <w:right w:val="single" w:sz="4" w:space="0" w:color="auto"/>
            </w:tcBorders>
            <w:shd w:val="clear" w:color="auto" w:fill="auto"/>
            <w:noWrap/>
            <w:vAlign w:val="center"/>
            <w:hideMark/>
          </w:tcPr>
          <w:p w14:paraId="282FD0A6"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641,23</w:t>
            </w:r>
          </w:p>
        </w:tc>
      </w:tr>
      <w:tr w:rsidR="004D62BB" w:rsidRPr="00CA47C7" w14:paraId="33807901"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17053296"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5500,00</w:t>
            </w:r>
          </w:p>
        </w:tc>
        <w:tc>
          <w:tcPr>
            <w:tcW w:w="385" w:type="pct"/>
            <w:tcBorders>
              <w:top w:val="nil"/>
              <w:left w:val="nil"/>
              <w:bottom w:val="single" w:sz="4" w:space="0" w:color="auto"/>
              <w:right w:val="single" w:sz="4" w:space="0" w:color="auto"/>
            </w:tcBorders>
            <w:shd w:val="clear" w:color="auto" w:fill="auto"/>
            <w:noWrap/>
            <w:vAlign w:val="center"/>
            <w:hideMark/>
          </w:tcPr>
          <w:p w14:paraId="3D72747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2712,33</w:t>
            </w:r>
          </w:p>
        </w:tc>
        <w:tc>
          <w:tcPr>
            <w:tcW w:w="385" w:type="pct"/>
            <w:tcBorders>
              <w:top w:val="nil"/>
              <w:left w:val="nil"/>
              <w:bottom w:val="single" w:sz="4" w:space="0" w:color="auto"/>
              <w:right w:val="single" w:sz="4" w:space="0" w:color="auto"/>
            </w:tcBorders>
            <w:shd w:val="clear" w:color="auto" w:fill="auto"/>
            <w:noWrap/>
            <w:vAlign w:val="center"/>
            <w:hideMark/>
          </w:tcPr>
          <w:p w14:paraId="6AE9E59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66916,67</w:t>
            </w:r>
          </w:p>
        </w:tc>
        <w:tc>
          <w:tcPr>
            <w:tcW w:w="385" w:type="pct"/>
            <w:tcBorders>
              <w:top w:val="nil"/>
              <w:left w:val="nil"/>
              <w:bottom w:val="single" w:sz="4" w:space="0" w:color="auto"/>
              <w:right w:val="single" w:sz="4" w:space="0" w:color="auto"/>
            </w:tcBorders>
            <w:shd w:val="clear" w:color="auto" w:fill="auto"/>
            <w:vAlign w:val="center"/>
            <w:hideMark/>
          </w:tcPr>
          <w:p w14:paraId="2A1AE50C" w14:textId="616C49CB"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64D1C09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Tak</w:t>
            </w:r>
          </w:p>
        </w:tc>
        <w:tc>
          <w:tcPr>
            <w:tcW w:w="385" w:type="pct"/>
            <w:tcBorders>
              <w:top w:val="nil"/>
              <w:left w:val="nil"/>
              <w:bottom w:val="single" w:sz="4" w:space="0" w:color="auto"/>
              <w:right w:val="single" w:sz="4" w:space="0" w:color="auto"/>
            </w:tcBorders>
            <w:shd w:val="clear" w:color="auto" w:fill="auto"/>
            <w:noWrap/>
            <w:vAlign w:val="center"/>
            <w:hideMark/>
          </w:tcPr>
          <w:p w14:paraId="5DD5784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2653,75</w:t>
            </w:r>
          </w:p>
        </w:tc>
        <w:tc>
          <w:tcPr>
            <w:tcW w:w="385" w:type="pct"/>
            <w:tcBorders>
              <w:top w:val="nil"/>
              <w:left w:val="nil"/>
              <w:bottom w:val="single" w:sz="4" w:space="0" w:color="auto"/>
              <w:right w:val="single" w:sz="4" w:space="0" w:color="auto"/>
            </w:tcBorders>
            <w:shd w:val="clear" w:color="auto" w:fill="auto"/>
            <w:noWrap/>
            <w:vAlign w:val="center"/>
            <w:hideMark/>
          </w:tcPr>
          <w:p w14:paraId="61733FE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839,65</w:t>
            </w:r>
          </w:p>
        </w:tc>
        <w:tc>
          <w:tcPr>
            <w:tcW w:w="385" w:type="pct"/>
            <w:tcBorders>
              <w:top w:val="nil"/>
              <w:left w:val="nil"/>
              <w:bottom w:val="single" w:sz="4" w:space="0" w:color="auto"/>
              <w:right w:val="single" w:sz="4" w:space="0" w:color="auto"/>
            </w:tcBorders>
            <w:shd w:val="clear" w:color="auto" w:fill="auto"/>
            <w:noWrap/>
            <w:vAlign w:val="center"/>
            <w:hideMark/>
          </w:tcPr>
          <w:p w14:paraId="1D68AA5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66000,00</w:t>
            </w:r>
          </w:p>
        </w:tc>
        <w:tc>
          <w:tcPr>
            <w:tcW w:w="385" w:type="pct"/>
            <w:tcBorders>
              <w:top w:val="nil"/>
              <w:left w:val="nil"/>
              <w:bottom w:val="single" w:sz="4" w:space="0" w:color="auto"/>
              <w:right w:val="single" w:sz="4" w:space="0" w:color="auto"/>
            </w:tcBorders>
            <w:shd w:val="clear" w:color="auto" w:fill="auto"/>
            <w:noWrap/>
            <w:vAlign w:val="center"/>
            <w:hideMark/>
          </w:tcPr>
          <w:p w14:paraId="535C72E6"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33000,00</w:t>
            </w:r>
          </w:p>
        </w:tc>
        <w:tc>
          <w:tcPr>
            <w:tcW w:w="385" w:type="pct"/>
            <w:tcBorders>
              <w:top w:val="nil"/>
              <w:left w:val="nil"/>
              <w:bottom w:val="single" w:sz="4" w:space="0" w:color="auto"/>
              <w:right w:val="single" w:sz="4" w:space="0" w:color="auto"/>
            </w:tcBorders>
            <w:shd w:val="clear" w:color="auto" w:fill="auto"/>
            <w:noWrap/>
            <w:vAlign w:val="center"/>
            <w:hideMark/>
          </w:tcPr>
          <w:p w14:paraId="1CB0B57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1356,17</w:t>
            </w:r>
          </w:p>
        </w:tc>
        <w:tc>
          <w:tcPr>
            <w:tcW w:w="385" w:type="pct"/>
            <w:tcBorders>
              <w:top w:val="nil"/>
              <w:left w:val="nil"/>
              <w:bottom w:val="single" w:sz="4" w:space="0" w:color="auto"/>
              <w:right w:val="single" w:sz="4" w:space="0" w:color="auto"/>
            </w:tcBorders>
            <w:shd w:val="clear" w:color="auto" w:fill="auto"/>
            <w:noWrap/>
            <w:vAlign w:val="center"/>
            <w:hideMark/>
          </w:tcPr>
          <w:p w14:paraId="422ECD9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429,09</w:t>
            </w:r>
          </w:p>
        </w:tc>
        <w:tc>
          <w:tcPr>
            <w:tcW w:w="385" w:type="pct"/>
            <w:tcBorders>
              <w:top w:val="nil"/>
              <w:left w:val="nil"/>
              <w:bottom w:val="single" w:sz="4" w:space="0" w:color="auto"/>
              <w:right w:val="single" w:sz="4" w:space="0" w:color="auto"/>
            </w:tcBorders>
            <w:shd w:val="clear" w:color="auto" w:fill="auto"/>
            <w:noWrap/>
            <w:vAlign w:val="center"/>
            <w:hideMark/>
          </w:tcPr>
          <w:p w14:paraId="189192D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410,56</w:t>
            </w:r>
          </w:p>
        </w:tc>
        <w:tc>
          <w:tcPr>
            <w:tcW w:w="380" w:type="pct"/>
            <w:tcBorders>
              <w:top w:val="nil"/>
              <w:left w:val="nil"/>
              <w:bottom w:val="single" w:sz="4" w:space="0" w:color="auto"/>
              <w:right w:val="single" w:sz="4" w:space="0" w:color="auto"/>
            </w:tcBorders>
            <w:shd w:val="clear" w:color="auto" w:fill="auto"/>
            <w:noWrap/>
            <w:vAlign w:val="center"/>
            <w:hideMark/>
          </w:tcPr>
          <w:p w14:paraId="23BA0C8E"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563,21</w:t>
            </w:r>
          </w:p>
        </w:tc>
      </w:tr>
      <w:tr w:rsidR="004D62BB" w:rsidRPr="00CA47C7" w14:paraId="256DDFEF"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62AEF7E6"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6000,00</w:t>
            </w:r>
          </w:p>
        </w:tc>
        <w:tc>
          <w:tcPr>
            <w:tcW w:w="385" w:type="pct"/>
            <w:tcBorders>
              <w:top w:val="nil"/>
              <w:left w:val="nil"/>
              <w:bottom w:val="single" w:sz="4" w:space="0" w:color="auto"/>
              <w:right w:val="single" w:sz="4" w:space="0" w:color="auto"/>
            </w:tcBorders>
            <w:shd w:val="clear" w:color="auto" w:fill="auto"/>
            <w:noWrap/>
            <w:vAlign w:val="center"/>
            <w:hideMark/>
          </w:tcPr>
          <w:p w14:paraId="6D6918E7"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2958,90</w:t>
            </w:r>
          </w:p>
        </w:tc>
        <w:tc>
          <w:tcPr>
            <w:tcW w:w="385" w:type="pct"/>
            <w:tcBorders>
              <w:top w:val="nil"/>
              <w:left w:val="nil"/>
              <w:bottom w:val="single" w:sz="4" w:space="0" w:color="auto"/>
              <w:right w:val="single" w:sz="4" w:space="0" w:color="auto"/>
            </w:tcBorders>
            <w:shd w:val="clear" w:color="auto" w:fill="auto"/>
            <w:noWrap/>
            <w:vAlign w:val="center"/>
            <w:hideMark/>
          </w:tcPr>
          <w:p w14:paraId="73ED5AC3"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73000,00</w:t>
            </w:r>
          </w:p>
        </w:tc>
        <w:tc>
          <w:tcPr>
            <w:tcW w:w="385" w:type="pct"/>
            <w:tcBorders>
              <w:top w:val="nil"/>
              <w:left w:val="nil"/>
              <w:bottom w:val="single" w:sz="4" w:space="0" w:color="auto"/>
              <w:right w:val="single" w:sz="4" w:space="0" w:color="auto"/>
            </w:tcBorders>
            <w:shd w:val="clear" w:color="auto" w:fill="auto"/>
            <w:vAlign w:val="center"/>
            <w:hideMark/>
          </w:tcPr>
          <w:p w14:paraId="73BFECFD" w14:textId="1257DB86"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24F3936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noWrap/>
            <w:vAlign w:val="center"/>
            <w:hideMark/>
          </w:tcPr>
          <w:p w14:paraId="2F69D89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0AA7D9D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5" w:type="pct"/>
            <w:tcBorders>
              <w:top w:val="nil"/>
              <w:left w:val="nil"/>
              <w:bottom w:val="single" w:sz="4" w:space="0" w:color="auto"/>
              <w:right w:val="single" w:sz="4" w:space="0" w:color="auto"/>
            </w:tcBorders>
            <w:shd w:val="clear" w:color="auto" w:fill="auto"/>
            <w:noWrap/>
            <w:vAlign w:val="center"/>
            <w:hideMark/>
          </w:tcPr>
          <w:p w14:paraId="645D395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72000,00</w:t>
            </w:r>
          </w:p>
        </w:tc>
        <w:tc>
          <w:tcPr>
            <w:tcW w:w="385" w:type="pct"/>
            <w:tcBorders>
              <w:top w:val="nil"/>
              <w:left w:val="nil"/>
              <w:bottom w:val="single" w:sz="4" w:space="0" w:color="auto"/>
              <w:right w:val="single" w:sz="4" w:space="0" w:color="auto"/>
            </w:tcBorders>
            <w:shd w:val="clear" w:color="auto" w:fill="auto"/>
            <w:noWrap/>
            <w:vAlign w:val="center"/>
            <w:hideMark/>
          </w:tcPr>
          <w:p w14:paraId="676E9553"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36000,00</w:t>
            </w:r>
          </w:p>
        </w:tc>
        <w:tc>
          <w:tcPr>
            <w:tcW w:w="385" w:type="pct"/>
            <w:tcBorders>
              <w:top w:val="nil"/>
              <w:left w:val="nil"/>
              <w:bottom w:val="single" w:sz="4" w:space="0" w:color="auto"/>
              <w:right w:val="single" w:sz="4" w:space="0" w:color="auto"/>
            </w:tcBorders>
            <w:shd w:val="clear" w:color="auto" w:fill="auto"/>
            <w:noWrap/>
            <w:vAlign w:val="center"/>
            <w:hideMark/>
          </w:tcPr>
          <w:p w14:paraId="18638A9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1479,45</w:t>
            </w:r>
          </w:p>
        </w:tc>
        <w:tc>
          <w:tcPr>
            <w:tcW w:w="385" w:type="pct"/>
            <w:tcBorders>
              <w:top w:val="nil"/>
              <w:left w:val="nil"/>
              <w:bottom w:val="single" w:sz="4" w:space="0" w:color="auto"/>
              <w:right w:val="single" w:sz="4" w:space="0" w:color="auto"/>
            </w:tcBorders>
            <w:shd w:val="clear" w:color="auto" w:fill="auto"/>
            <w:noWrap/>
            <w:vAlign w:val="center"/>
            <w:hideMark/>
          </w:tcPr>
          <w:p w14:paraId="3DC96D5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468,11</w:t>
            </w:r>
          </w:p>
        </w:tc>
        <w:tc>
          <w:tcPr>
            <w:tcW w:w="385" w:type="pct"/>
            <w:tcBorders>
              <w:top w:val="nil"/>
              <w:left w:val="nil"/>
              <w:bottom w:val="single" w:sz="4" w:space="0" w:color="auto"/>
              <w:right w:val="single" w:sz="4" w:space="0" w:color="auto"/>
            </w:tcBorders>
            <w:shd w:val="clear" w:color="auto" w:fill="auto"/>
            <w:noWrap/>
            <w:vAlign w:val="center"/>
            <w:hideMark/>
          </w:tcPr>
          <w:p w14:paraId="7375A22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524,19</w:t>
            </w:r>
          </w:p>
        </w:tc>
        <w:tc>
          <w:tcPr>
            <w:tcW w:w="380" w:type="pct"/>
            <w:tcBorders>
              <w:top w:val="nil"/>
              <w:left w:val="nil"/>
              <w:bottom w:val="single" w:sz="4" w:space="0" w:color="auto"/>
              <w:right w:val="single" w:sz="4" w:space="0" w:color="auto"/>
            </w:tcBorders>
            <w:shd w:val="clear" w:color="auto" w:fill="auto"/>
            <w:noWrap/>
            <w:vAlign w:val="center"/>
            <w:hideMark/>
          </w:tcPr>
          <w:p w14:paraId="02DAF82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524,19</w:t>
            </w:r>
          </w:p>
        </w:tc>
      </w:tr>
      <w:tr w:rsidR="004D62BB" w:rsidRPr="00CA47C7" w14:paraId="53D448D4"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0334946B"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7000,00</w:t>
            </w:r>
          </w:p>
        </w:tc>
        <w:tc>
          <w:tcPr>
            <w:tcW w:w="385" w:type="pct"/>
            <w:tcBorders>
              <w:top w:val="nil"/>
              <w:left w:val="nil"/>
              <w:bottom w:val="single" w:sz="4" w:space="0" w:color="auto"/>
              <w:right w:val="single" w:sz="4" w:space="0" w:color="auto"/>
            </w:tcBorders>
            <w:shd w:val="clear" w:color="auto" w:fill="auto"/>
            <w:noWrap/>
            <w:vAlign w:val="center"/>
            <w:hideMark/>
          </w:tcPr>
          <w:p w14:paraId="132E870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3452,05</w:t>
            </w:r>
          </w:p>
        </w:tc>
        <w:tc>
          <w:tcPr>
            <w:tcW w:w="385" w:type="pct"/>
            <w:tcBorders>
              <w:top w:val="nil"/>
              <w:left w:val="nil"/>
              <w:bottom w:val="single" w:sz="4" w:space="0" w:color="auto"/>
              <w:right w:val="single" w:sz="4" w:space="0" w:color="auto"/>
            </w:tcBorders>
            <w:shd w:val="clear" w:color="auto" w:fill="auto"/>
            <w:noWrap/>
            <w:vAlign w:val="center"/>
            <w:hideMark/>
          </w:tcPr>
          <w:p w14:paraId="7AFE7C7E"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85166,67</w:t>
            </w:r>
          </w:p>
        </w:tc>
        <w:tc>
          <w:tcPr>
            <w:tcW w:w="385" w:type="pct"/>
            <w:tcBorders>
              <w:top w:val="nil"/>
              <w:left w:val="nil"/>
              <w:bottom w:val="single" w:sz="4" w:space="0" w:color="auto"/>
              <w:right w:val="single" w:sz="4" w:space="0" w:color="auto"/>
            </w:tcBorders>
            <w:shd w:val="clear" w:color="auto" w:fill="auto"/>
            <w:vAlign w:val="center"/>
            <w:hideMark/>
          </w:tcPr>
          <w:p w14:paraId="0FFAEF07" w14:textId="4F8D50F0"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28B09FC2"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noWrap/>
            <w:vAlign w:val="center"/>
            <w:hideMark/>
          </w:tcPr>
          <w:p w14:paraId="1AEDA28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297FFE37"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5" w:type="pct"/>
            <w:tcBorders>
              <w:top w:val="nil"/>
              <w:left w:val="nil"/>
              <w:bottom w:val="single" w:sz="4" w:space="0" w:color="auto"/>
              <w:right w:val="single" w:sz="4" w:space="0" w:color="auto"/>
            </w:tcBorders>
            <w:shd w:val="clear" w:color="auto" w:fill="auto"/>
            <w:noWrap/>
            <w:vAlign w:val="center"/>
            <w:hideMark/>
          </w:tcPr>
          <w:p w14:paraId="2E48452B"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84000,00</w:t>
            </w:r>
          </w:p>
        </w:tc>
        <w:tc>
          <w:tcPr>
            <w:tcW w:w="385" w:type="pct"/>
            <w:tcBorders>
              <w:top w:val="nil"/>
              <w:left w:val="nil"/>
              <w:bottom w:val="single" w:sz="4" w:space="0" w:color="auto"/>
              <w:right w:val="single" w:sz="4" w:space="0" w:color="auto"/>
            </w:tcBorders>
            <w:shd w:val="clear" w:color="auto" w:fill="auto"/>
            <w:noWrap/>
            <w:vAlign w:val="center"/>
            <w:hideMark/>
          </w:tcPr>
          <w:p w14:paraId="25925D83"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42000,00</w:t>
            </w:r>
          </w:p>
        </w:tc>
        <w:tc>
          <w:tcPr>
            <w:tcW w:w="385" w:type="pct"/>
            <w:tcBorders>
              <w:top w:val="nil"/>
              <w:left w:val="nil"/>
              <w:bottom w:val="single" w:sz="4" w:space="0" w:color="auto"/>
              <w:right w:val="single" w:sz="4" w:space="0" w:color="auto"/>
            </w:tcBorders>
            <w:shd w:val="clear" w:color="auto" w:fill="auto"/>
            <w:noWrap/>
            <w:vAlign w:val="center"/>
            <w:hideMark/>
          </w:tcPr>
          <w:p w14:paraId="7B1A2AB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1726,03</w:t>
            </w:r>
          </w:p>
        </w:tc>
        <w:tc>
          <w:tcPr>
            <w:tcW w:w="385" w:type="pct"/>
            <w:tcBorders>
              <w:top w:val="nil"/>
              <w:left w:val="nil"/>
              <w:bottom w:val="single" w:sz="4" w:space="0" w:color="auto"/>
              <w:right w:val="single" w:sz="4" w:space="0" w:color="auto"/>
            </w:tcBorders>
            <w:shd w:val="clear" w:color="auto" w:fill="auto"/>
            <w:noWrap/>
            <w:vAlign w:val="center"/>
            <w:hideMark/>
          </w:tcPr>
          <w:p w14:paraId="35E60DFE"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546,11</w:t>
            </w:r>
          </w:p>
        </w:tc>
        <w:tc>
          <w:tcPr>
            <w:tcW w:w="385" w:type="pct"/>
            <w:tcBorders>
              <w:top w:val="nil"/>
              <w:left w:val="nil"/>
              <w:bottom w:val="single" w:sz="4" w:space="0" w:color="auto"/>
              <w:right w:val="single" w:sz="4" w:space="0" w:color="auto"/>
            </w:tcBorders>
            <w:shd w:val="clear" w:color="auto" w:fill="auto"/>
            <w:noWrap/>
            <w:vAlign w:val="center"/>
            <w:hideMark/>
          </w:tcPr>
          <w:p w14:paraId="55B39CD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446,19</w:t>
            </w:r>
          </w:p>
        </w:tc>
        <w:tc>
          <w:tcPr>
            <w:tcW w:w="380" w:type="pct"/>
            <w:tcBorders>
              <w:top w:val="nil"/>
              <w:left w:val="nil"/>
              <w:bottom w:val="single" w:sz="4" w:space="0" w:color="auto"/>
              <w:right w:val="single" w:sz="4" w:space="0" w:color="auto"/>
            </w:tcBorders>
            <w:shd w:val="clear" w:color="auto" w:fill="auto"/>
            <w:noWrap/>
            <w:vAlign w:val="center"/>
            <w:hideMark/>
          </w:tcPr>
          <w:p w14:paraId="6693EC1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446,19</w:t>
            </w:r>
          </w:p>
        </w:tc>
      </w:tr>
      <w:tr w:rsidR="004D62BB" w:rsidRPr="00CA47C7" w14:paraId="54418FAD"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11FAC223"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9000,00</w:t>
            </w:r>
          </w:p>
        </w:tc>
        <w:tc>
          <w:tcPr>
            <w:tcW w:w="385" w:type="pct"/>
            <w:tcBorders>
              <w:top w:val="nil"/>
              <w:left w:val="nil"/>
              <w:bottom w:val="single" w:sz="4" w:space="0" w:color="auto"/>
              <w:right w:val="single" w:sz="4" w:space="0" w:color="auto"/>
            </w:tcBorders>
            <w:shd w:val="clear" w:color="auto" w:fill="auto"/>
            <w:noWrap/>
            <w:vAlign w:val="center"/>
            <w:hideMark/>
          </w:tcPr>
          <w:p w14:paraId="5BF67960"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4438,36</w:t>
            </w:r>
          </w:p>
        </w:tc>
        <w:tc>
          <w:tcPr>
            <w:tcW w:w="385" w:type="pct"/>
            <w:tcBorders>
              <w:top w:val="nil"/>
              <w:left w:val="nil"/>
              <w:bottom w:val="single" w:sz="4" w:space="0" w:color="auto"/>
              <w:right w:val="single" w:sz="4" w:space="0" w:color="auto"/>
            </w:tcBorders>
            <w:shd w:val="clear" w:color="auto" w:fill="auto"/>
            <w:noWrap/>
            <w:vAlign w:val="center"/>
            <w:hideMark/>
          </w:tcPr>
          <w:p w14:paraId="199B4EB7"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109500,00</w:t>
            </w:r>
          </w:p>
        </w:tc>
        <w:tc>
          <w:tcPr>
            <w:tcW w:w="385" w:type="pct"/>
            <w:tcBorders>
              <w:top w:val="nil"/>
              <w:left w:val="nil"/>
              <w:bottom w:val="single" w:sz="4" w:space="0" w:color="auto"/>
              <w:right w:val="single" w:sz="4" w:space="0" w:color="auto"/>
            </w:tcBorders>
            <w:shd w:val="clear" w:color="auto" w:fill="auto"/>
            <w:vAlign w:val="center"/>
            <w:hideMark/>
          </w:tcPr>
          <w:p w14:paraId="7627791A" w14:textId="7B66D5EF"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635DC43E"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noWrap/>
            <w:vAlign w:val="center"/>
            <w:hideMark/>
          </w:tcPr>
          <w:p w14:paraId="1F3E6AA6"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388E19E7"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5" w:type="pct"/>
            <w:tcBorders>
              <w:top w:val="nil"/>
              <w:left w:val="nil"/>
              <w:bottom w:val="single" w:sz="4" w:space="0" w:color="auto"/>
              <w:right w:val="single" w:sz="4" w:space="0" w:color="auto"/>
            </w:tcBorders>
            <w:shd w:val="clear" w:color="auto" w:fill="auto"/>
            <w:noWrap/>
            <w:vAlign w:val="center"/>
            <w:hideMark/>
          </w:tcPr>
          <w:p w14:paraId="3E848437"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108000,00</w:t>
            </w:r>
          </w:p>
        </w:tc>
        <w:tc>
          <w:tcPr>
            <w:tcW w:w="385" w:type="pct"/>
            <w:tcBorders>
              <w:top w:val="nil"/>
              <w:left w:val="nil"/>
              <w:bottom w:val="single" w:sz="4" w:space="0" w:color="auto"/>
              <w:right w:val="single" w:sz="4" w:space="0" w:color="auto"/>
            </w:tcBorders>
            <w:shd w:val="clear" w:color="auto" w:fill="auto"/>
            <w:noWrap/>
            <w:vAlign w:val="center"/>
            <w:hideMark/>
          </w:tcPr>
          <w:p w14:paraId="7CD10EE3"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54000,00</w:t>
            </w:r>
          </w:p>
        </w:tc>
        <w:tc>
          <w:tcPr>
            <w:tcW w:w="385" w:type="pct"/>
            <w:tcBorders>
              <w:top w:val="nil"/>
              <w:left w:val="nil"/>
              <w:bottom w:val="single" w:sz="4" w:space="0" w:color="auto"/>
              <w:right w:val="single" w:sz="4" w:space="0" w:color="auto"/>
            </w:tcBorders>
            <w:shd w:val="clear" w:color="auto" w:fill="auto"/>
            <w:noWrap/>
            <w:vAlign w:val="center"/>
            <w:hideMark/>
          </w:tcPr>
          <w:p w14:paraId="7B3523A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2219,18</w:t>
            </w:r>
          </w:p>
        </w:tc>
        <w:tc>
          <w:tcPr>
            <w:tcW w:w="385" w:type="pct"/>
            <w:tcBorders>
              <w:top w:val="nil"/>
              <w:left w:val="nil"/>
              <w:bottom w:val="single" w:sz="4" w:space="0" w:color="auto"/>
              <w:right w:val="single" w:sz="4" w:space="0" w:color="auto"/>
            </w:tcBorders>
            <w:shd w:val="clear" w:color="auto" w:fill="auto"/>
            <w:noWrap/>
            <w:vAlign w:val="center"/>
            <w:hideMark/>
          </w:tcPr>
          <w:p w14:paraId="40A5D45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702,14</w:t>
            </w:r>
          </w:p>
        </w:tc>
        <w:tc>
          <w:tcPr>
            <w:tcW w:w="385" w:type="pct"/>
            <w:tcBorders>
              <w:top w:val="nil"/>
              <w:left w:val="nil"/>
              <w:bottom w:val="single" w:sz="4" w:space="0" w:color="auto"/>
              <w:right w:val="single" w:sz="4" w:space="0" w:color="auto"/>
            </w:tcBorders>
            <w:shd w:val="clear" w:color="auto" w:fill="auto"/>
            <w:noWrap/>
            <w:vAlign w:val="center"/>
            <w:hideMark/>
          </w:tcPr>
          <w:p w14:paraId="34D03EF6"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290,16</w:t>
            </w:r>
          </w:p>
        </w:tc>
        <w:tc>
          <w:tcPr>
            <w:tcW w:w="380" w:type="pct"/>
            <w:tcBorders>
              <w:top w:val="nil"/>
              <w:left w:val="nil"/>
              <w:bottom w:val="single" w:sz="4" w:space="0" w:color="auto"/>
              <w:right w:val="single" w:sz="4" w:space="0" w:color="auto"/>
            </w:tcBorders>
            <w:shd w:val="clear" w:color="auto" w:fill="auto"/>
            <w:noWrap/>
            <w:vAlign w:val="center"/>
            <w:hideMark/>
          </w:tcPr>
          <w:p w14:paraId="340C3B0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290,16</w:t>
            </w:r>
          </w:p>
        </w:tc>
      </w:tr>
      <w:tr w:rsidR="004D62BB" w:rsidRPr="00CA47C7" w14:paraId="67EE561F"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7231BDA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9500,00</w:t>
            </w:r>
          </w:p>
        </w:tc>
        <w:tc>
          <w:tcPr>
            <w:tcW w:w="385" w:type="pct"/>
            <w:tcBorders>
              <w:top w:val="nil"/>
              <w:left w:val="nil"/>
              <w:bottom w:val="single" w:sz="4" w:space="0" w:color="auto"/>
              <w:right w:val="single" w:sz="4" w:space="0" w:color="auto"/>
            </w:tcBorders>
            <w:shd w:val="clear" w:color="auto" w:fill="auto"/>
            <w:noWrap/>
            <w:vAlign w:val="center"/>
            <w:hideMark/>
          </w:tcPr>
          <w:p w14:paraId="7945BFC0"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4684,93</w:t>
            </w:r>
          </w:p>
        </w:tc>
        <w:tc>
          <w:tcPr>
            <w:tcW w:w="385" w:type="pct"/>
            <w:tcBorders>
              <w:top w:val="nil"/>
              <w:left w:val="nil"/>
              <w:bottom w:val="single" w:sz="4" w:space="0" w:color="auto"/>
              <w:right w:val="single" w:sz="4" w:space="0" w:color="auto"/>
            </w:tcBorders>
            <w:shd w:val="clear" w:color="auto" w:fill="auto"/>
            <w:noWrap/>
            <w:vAlign w:val="center"/>
            <w:hideMark/>
          </w:tcPr>
          <w:p w14:paraId="03DA345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115583,33</w:t>
            </w:r>
          </w:p>
        </w:tc>
        <w:tc>
          <w:tcPr>
            <w:tcW w:w="385" w:type="pct"/>
            <w:tcBorders>
              <w:top w:val="nil"/>
              <w:left w:val="nil"/>
              <w:bottom w:val="single" w:sz="4" w:space="0" w:color="auto"/>
              <w:right w:val="single" w:sz="4" w:space="0" w:color="auto"/>
            </w:tcBorders>
            <w:shd w:val="clear" w:color="auto" w:fill="auto"/>
            <w:vAlign w:val="center"/>
            <w:hideMark/>
          </w:tcPr>
          <w:p w14:paraId="6516D6BA" w14:textId="332A2E5B"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383897B4"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noWrap/>
            <w:vAlign w:val="center"/>
            <w:hideMark/>
          </w:tcPr>
          <w:p w14:paraId="6E20B113"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77361A30"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5" w:type="pct"/>
            <w:tcBorders>
              <w:top w:val="nil"/>
              <w:left w:val="nil"/>
              <w:bottom w:val="single" w:sz="4" w:space="0" w:color="auto"/>
              <w:right w:val="single" w:sz="4" w:space="0" w:color="auto"/>
            </w:tcBorders>
            <w:shd w:val="clear" w:color="auto" w:fill="auto"/>
            <w:noWrap/>
            <w:vAlign w:val="center"/>
            <w:hideMark/>
          </w:tcPr>
          <w:p w14:paraId="7197A00A"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114000,00</w:t>
            </w:r>
          </w:p>
        </w:tc>
        <w:tc>
          <w:tcPr>
            <w:tcW w:w="385" w:type="pct"/>
            <w:tcBorders>
              <w:top w:val="nil"/>
              <w:left w:val="nil"/>
              <w:bottom w:val="single" w:sz="4" w:space="0" w:color="auto"/>
              <w:right w:val="single" w:sz="4" w:space="0" w:color="auto"/>
            </w:tcBorders>
            <w:shd w:val="clear" w:color="auto" w:fill="auto"/>
            <w:noWrap/>
            <w:vAlign w:val="center"/>
            <w:hideMark/>
          </w:tcPr>
          <w:p w14:paraId="60E3A28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57000,00</w:t>
            </w:r>
          </w:p>
        </w:tc>
        <w:tc>
          <w:tcPr>
            <w:tcW w:w="385" w:type="pct"/>
            <w:tcBorders>
              <w:top w:val="nil"/>
              <w:left w:val="nil"/>
              <w:bottom w:val="single" w:sz="4" w:space="0" w:color="auto"/>
              <w:right w:val="single" w:sz="4" w:space="0" w:color="auto"/>
            </w:tcBorders>
            <w:shd w:val="clear" w:color="auto" w:fill="auto"/>
            <w:noWrap/>
            <w:vAlign w:val="center"/>
            <w:hideMark/>
          </w:tcPr>
          <w:p w14:paraId="17DF21D6"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2342,47</w:t>
            </w:r>
          </w:p>
        </w:tc>
        <w:tc>
          <w:tcPr>
            <w:tcW w:w="385" w:type="pct"/>
            <w:tcBorders>
              <w:top w:val="nil"/>
              <w:left w:val="nil"/>
              <w:bottom w:val="single" w:sz="4" w:space="0" w:color="auto"/>
              <w:right w:val="single" w:sz="4" w:space="0" w:color="auto"/>
            </w:tcBorders>
            <w:shd w:val="clear" w:color="auto" w:fill="auto"/>
            <w:noWrap/>
            <w:vAlign w:val="center"/>
            <w:hideMark/>
          </w:tcPr>
          <w:p w14:paraId="6621CDD4"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741,16</w:t>
            </w:r>
          </w:p>
        </w:tc>
        <w:tc>
          <w:tcPr>
            <w:tcW w:w="385" w:type="pct"/>
            <w:tcBorders>
              <w:top w:val="nil"/>
              <w:left w:val="nil"/>
              <w:bottom w:val="single" w:sz="4" w:space="0" w:color="auto"/>
              <w:right w:val="single" w:sz="4" w:space="0" w:color="auto"/>
            </w:tcBorders>
            <w:shd w:val="clear" w:color="auto" w:fill="auto"/>
            <w:noWrap/>
            <w:vAlign w:val="center"/>
            <w:hideMark/>
          </w:tcPr>
          <w:p w14:paraId="39E23BF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251,14</w:t>
            </w:r>
          </w:p>
        </w:tc>
        <w:tc>
          <w:tcPr>
            <w:tcW w:w="380" w:type="pct"/>
            <w:tcBorders>
              <w:top w:val="nil"/>
              <w:left w:val="nil"/>
              <w:bottom w:val="single" w:sz="4" w:space="0" w:color="auto"/>
              <w:right w:val="single" w:sz="4" w:space="0" w:color="auto"/>
            </w:tcBorders>
            <w:shd w:val="clear" w:color="auto" w:fill="auto"/>
            <w:noWrap/>
            <w:vAlign w:val="center"/>
            <w:hideMark/>
          </w:tcPr>
          <w:p w14:paraId="37237FE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251,14</w:t>
            </w:r>
          </w:p>
        </w:tc>
      </w:tr>
      <w:tr w:rsidR="004D62BB" w:rsidRPr="00CA47C7" w14:paraId="5552AB49" w14:textId="77777777" w:rsidTr="00D146AC">
        <w:trPr>
          <w:trHeight w:val="600"/>
        </w:trPr>
        <w:tc>
          <w:tcPr>
            <w:tcW w:w="385" w:type="pct"/>
            <w:tcBorders>
              <w:top w:val="nil"/>
              <w:left w:val="single" w:sz="4" w:space="0" w:color="auto"/>
              <w:bottom w:val="single" w:sz="4" w:space="0" w:color="auto"/>
              <w:right w:val="single" w:sz="4" w:space="0" w:color="auto"/>
            </w:tcBorders>
            <w:shd w:val="clear" w:color="auto" w:fill="auto"/>
            <w:noWrap/>
            <w:vAlign w:val="center"/>
            <w:hideMark/>
          </w:tcPr>
          <w:p w14:paraId="3D6ACC9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10000,00</w:t>
            </w:r>
          </w:p>
        </w:tc>
        <w:tc>
          <w:tcPr>
            <w:tcW w:w="385" w:type="pct"/>
            <w:tcBorders>
              <w:top w:val="nil"/>
              <w:left w:val="nil"/>
              <w:bottom w:val="single" w:sz="4" w:space="0" w:color="auto"/>
              <w:right w:val="single" w:sz="4" w:space="0" w:color="auto"/>
            </w:tcBorders>
            <w:shd w:val="clear" w:color="auto" w:fill="auto"/>
            <w:noWrap/>
            <w:vAlign w:val="center"/>
            <w:hideMark/>
          </w:tcPr>
          <w:p w14:paraId="4538655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4931,51</w:t>
            </w:r>
          </w:p>
        </w:tc>
        <w:tc>
          <w:tcPr>
            <w:tcW w:w="385" w:type="pct"/>
            <w:tcBorders>
              <w:top w:val="nil"/>
              <w:left w:val="nil"/>
              <w:bottom w:val="single" w:sz="4" w:space="0" w:color="auto"/>
              <w:right w:val="single" w:sz="4" w:space="0" w:color="auto"/>
            </w:tcBorders>
            <w:shd w:val="clear" w:color="auto" w:fill="auto"/>
            <w:noWrap/>
            <w:vAlign w:val="center"/>
            <w:hideMark/>
          </w:tcPr>
          <w:p w14:paraId="1F94D7A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121666,67</w:t>
            </w:r>
          </w:p>
        </w:tc>
        <w:tc>
          <w:tcPr>
            <w:tcW w:w="385" w:type="pct"/>
            <w:tcBorders>
              <w:top w:val="nil"/>
              <w:left w:val="nil"/>
              <w:bottom w:val="single" w:sz="4" w:space="0" w:color="auto"/>
              <w:right w:val="single" w:sz="4" w:space="0" w:color="auto"/>
            </w:tcBorders>
            <w:shd w:val="clear" w:color="auto" w:fill="auto"/>
            <w:vAlign w:val="center"/>
            <w:hideMark/>
          </w:tcPr>
          <w:p w14:paraId="2C221715" w14:textId="74412EB3" w:rsidR="004D62BB" w:rsidRPr="00D146AC" w:rsidRDefault="004D62BB" w:rsidP="0046002E">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Brak kryterium w</w:t>
            </w:r>
            <w:r w:rsidR="0046002E">
              <w:rPr>
                <w:rFonts w:eastAsia="Times New Roman" w:cs="Times New Roman"/>
                <w:color w:val="000000"/>
                <w:sz w:val="16"/>
                <w:szCs w:val="16"/>
              </w:rPr>
              <w:t> </w:t>
            </w:r>
            <w:r w:rsidRPr="00D146AC">
              <w:rPr>
                <w:rFonts w:eastAsia="Times New Roman" w:cs="Times New Roman"/>
                <w:color w:val="000000"/>
                <w:sz w:val="16"/>
                <w:szCs w:val="16"/>
              </w:rPr>
              <w:t>ustawie</w:t>
            </w:r>
          </w:p>
        </w:tc>
        <w:tc>
          <w:tcPr>
            <w:tcW w:w="385" w:type="pct"/>
            <w:tcBorders>
              <w:top w:val="nil"/>
              <w:left w:val="nil"/>
              <w:bottom w:val="single" w:sz="4" w:space="0" w:color="auto"/>
              <w:right w:val="single" w:sz="4" w:space="0" w:color="auto"/>
            </w:tcBorders>
            <w:shd w:val="clear" w:color="auto" w:fill="auto"/>
            <w:vAlign w:val="center"/>
            <w:hideMark/>
          </w:tcPr>
          <w:p w14:paraId="32DC4C4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Nie</w:t>
            </w:r>
          </w:p>
        </w:tc>
        <w:tc>
          <w:tcPr>
            <w:tcW w:w="385" w:type="pct"/>
            <w:tcBorders>
              <w:top w:val="nil"/>
              <w:left w:val="nil"/>
              <w:bottom w:val="single" w:sz="4" w:space="0" w:color="auto"/>
              <w:right w:val="single" w:sz="4" w:space="0" w:color="auto"/>
            </w:tcBorders>
            <w:shd w:val="clear" w:color="auto" w:fill="auto"/>
            <w:noWrap/>
            <w:vAlign w:val="center"/>
            <w:hideMark/>
          </w:tcPr>
          <w:p w14:paraId="486837B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3136,20</w:t>
            </w:r>
          </w:p>
        </w:tc>
        <w:tc>
          <w:tcPr>
            <w:tcW w:w="385" w:type="pct"/>
            <w:tcBorders>
              <w:top w:val="nil"/>
              <w:left w:val="nil"/>
              <w:bottom w:val="single" w:sz="4" w:space="0" w:color="auto"/>
              <w:right w:val="single" w:sz="4" w:space="0" w:color="auto"/>
            </w:tcBorders>
            <w:shd w:val="clear" w:color="auto" w:fill="auto"/>
            <w:noWrap/>
            <w:vAlign w:val="center"/>
            <w:hideMark/>
          </w:tcPr>
          <w:p w14:paraId="612DFFC1"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992,30</w:t>
            </w:r>
          </w:p>
        </w:tc>
        <w:tc>
          <w:tcPr>
            <w:tcW w:w="385" w:type="pct"/>
            <w:tcBorders>
              <w:top w:val="nil"/>
              <w:left w:val="nil"/>
              <w:bottom w:val="single" w:sz="4" w:space="0" w:color="auto"/>
              <w:right w:val="single" w:sz="4" w:space="0" w:color="auto"/>
            </w:tcBorders>
            <w:shd w:val="clear" w:color="auto" w:fill="auto"/>
            <w:noWrap/>
            <w:vAlign w:val="center"/>
            <w:hideMark/>
          </w:tcPr>
          <w:p w14:paraId="3CB9899F"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120000,00</w:t>
            </w:r>
          </w:p>
        </w:tc>
        <w:tc>
          <w:tcPr>
            <w:tcW w:w="385" w:type="pct"/>
            <w:tcBorders>
              <w:top w:val="nil"/>
              <w:left w:val="nil"/>
              <w:bottom w:val="single" w:sz="4" w:space="0" w:color="auto"/>
              <w:right w:val="single" w:sz="4" w:space="0" w:color="auto"/>
            </w:tcBorders>
            <w:shd w:val="clear" w:color="auto" w:fill="auto"/>
            <w:noWrap/>
            <w:vAlign w:val="center"/>
            <w:hideMark/>
          </w:tcPr>
          <w:p w14:paraId="34E171E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60000,00</w:t>
            </w:r>
          </w:p>
        </w:tc>
        <w:tc>
          <w:tcPr>
            <w:tcW w:w="385" w:type="pct"/>
            <w:tcBorders>
              <w:top w:val="nil"/>
              <w:left w:val="nil"/>
              <w:bottom w:val="single" w:sz="4" w:space="0" w:color="auto"/>
              <w:right w:val="single" w:sz="4" w:space="0" w:color="auto"/>
            </w:tcBorders>
            <w:shd w:val="clear" w:color="auto" w:fill="auto"/>
            <w:noWrap/>
            <w:vAlign w:val="center"/>
            <w:hideMark/>
          </w:tcPr>
          <w:p w14:paraId="47DC70C8"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2465,76</w:t>
            </w:r>
          </w:p>
        </w:tc>
        <w:tc>
          <w:tcPr>
            <w:tcW w:w="385" w:type="pct"/>
            <w:tcBorders>
              <w:top w:val="nil"/>
              <w:left w:val="nil"/>
              <w:bottom w:val="single" w:sz="4" w:space="0" w:color="auto"/>
              <w:right w:val="single" w:sz="4" w:space="0" w:color="auto"/>
            </w:tcBorders>
            <w:shd w:val="clear" w:color="auto" w:fill="auto"/>
            <w:noWrap/>
            <w:vAlign w:val="center"/>
            <w:hideMark/>
          </w:tcPr>
          <w:p w14:paraId="6EDF80C5"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780,17</w:t>
            </w:r>
          </w:p>
        </w:tc>
        <w:tc>
          <w:tcPr>
            <w:tcW w:w="385" w:type="pct"/>
            <w:tcBorders>
              <w:top w:val="nil"/>
              <w:left w:val="nil"/>
              <w:bottom w:val="single" w:sz="4" w:space="0" w:color="auto"/>
              <w:right w:val="single" w:sz="4" w:space="0" w:color="auto"/>
            </w:tcBorders>
            <w:shd w:val="clear" w:color="auto" w:fill="auto"/>
            <w:noWrap/>
            <w:vAlign w:val="center"/>
            <w:hideMark/>
          </w:tcPr>
          <w:p w14:paraId="0F5BF6C9"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212,13</w:t>
            </w:r>
          </w:p>
        </w:tc>
        <w:tc>
          <w:tcPr>
            <w:tcW w:w="380" w:type="pct"/>
            <w:tcBorders>
              <w:top w:val="nil"/>
              <w:left w:val="nil"/>
              <w:bottom w:val="single" w:sz="4" w:space="0" w:color="auto"/>
              <w:right w:val="single" w:sz="4" w:space="0" w:color="auto"/>
            </w:tcBorders>
            <w:shd w:val="clear" w:color="auto" w:fill="auto"/>
            <w:noWrap/>
            <w:vAlign w:val="center"/>
            <w:hideMark/>
          </w:tcPr>
          <w:p w14:paraId="5617422D" w14:textId="77777777" w:rsidR="004D62BB" w:rsidRPr="00D146AC" w:rsidRDefault="004D62BB" w:rsidP="004D62BB">
            <w:pPr>
              <w:widowControl/>
              <w:autoSpaceDE/>
              <w:autoSpaceDN/>
              <w:adjustRightInd/>
              <w:spacing w:line="240" w:lineRule="auto"/>
              <w:jc w:val="center"/>
              <w:rPr>
                <w:rFonts w:eastAsia="Times New Roman" w:cs="Times New Roman"/>
                <w:color w:val="000000"/>
                <w:sz w:val="16"/>
                <w:szCs w:val="16"/>
              </w:rPr>
            </w:pPr>
            <w:r w:rsidRPr="00D146AC">
              <w:rPr>
                <w:rFonts w:eastAsia="Times New Roman" w:cs="Times New Roman"/>
                <w:color w:val="000000"/>
                <w:sz w:val="16"/>
                <w:szCs w:val="16"/>
              </w:rPr>
              <w:t>212,13</w:t>
            </w:r>
          </w:p>
        </w:tc>
      </w:tr>
    </w:tbl>
    <w:p w14:paraId="5F8201C9" w14:textId="77777777" w:rsidR="00FC4C00" w:rsidRDefault="00FC4C00" w:rsidP="00CA47C7">
      <w:pPr>
        <w:rPr>
          <w:rFonts w:cs="Times New Roman"/>
          <w:b/>
          <w:i/>
        </w:rPr>
        <w:sectPr w:rsidR="00FC4C00" w:rsidSect="00955CDC">
          <w:pgSz w:w="16838" w:h="11906" w:orient="landscape"/>
          <w:pgMar w:top="1814" w:right="1418" w:bottom="1418" w:left="1134" w:header="709" w:footer="709" w:gutter="0"/>
          <w:cols w:space="708"/>
          <w:titlePg/>
          <w:docGrid w:linePitch="326"/>
        </w:sectPr>
      </w:pPr>
    </w:p>
    <w:p w14:paraId="198B55F0" w14:textId="0A629392" w:rsidR="008B36DA" w:rsidRPr="00D146AC" w:rsidRDefault="00233D3A" w:rsidP="00D146AC">
      <w:pPr>
        <w:rPr>
          <w:rFonts w:cs="Times New Roman"/>
        </w:rPr>
      </w:pPr>
      <w:r w:rsidRPr="00D146AC">
        <w:rPr>
          <w:rFonts w:cs="Times New Roman"/>
          <w:b/>
        </w:rPr>
        <w:lastRenderedPageBreak/>
        <w:t>Założenia do Tabeli 1 i 2</w:t>
      </w:r>
      <w:r w:rsidR="008B36DA" w:rsidRPr="00D146AC">
        <w:rPr>
          <w:rFonts w:cs="Times New Roman"/>
          <w:b/>
        </w:rPr>
        <w:t>:</w:t>
      </w:r>
    </w:p>
    <w:p w14:paraId="116C8A78" w14:textId="02C3FAD8" w:rsidR="008B36DA" w:rsidRDefault="008B36DA" w:rsidP="00D146AC">
      <w:pPr>
        <w:pStyle w:val="Akapitzlist"/>
        <w:numPr>
          <w:ilvl w:val="0"/>
          <w:numId w:val="6"/>
        </w:numPr>
        <w:spacing w:line="360" w:lineRule="auto"/>
        <w:jc w:val="both"/>
        <w:rPr>
          <w:rFonts w:ascii="Times New Roman" w:hAnsi="Times New Roman"/>
        </w:rPr>
      </w:pPr>
      <w:r w:rsidRPr="00D146AC">
        <w:rPr>
          <w:rFonts w:ascii="Times New Roman" w:hAnsi="Times New Roman"/>
          <w:sz w:val="24"/>
        </w:rPr>
        <w:t xml:space="preserve">Przyjęte w </w:t>
      </w:r>
      <w:r w:rsidR="00AE1757">
        <w:rPr>
          <w:rFonts w:ascii="Times New Roman" w:hAnsi="Times New Roman"/>
          <w:sz w:val="24"/>
        </w:rPr>
        <w:t>t</w:t>
      </w:r>
      <w:r w:rsidRPr="00D146AC">
        <w:rPr>
          <w:rFonts w:ascii="Times New Roman" w:hAnsi="Times New Roman"/>
          <w:sz w:val="24"/>
        </w:rPr>
        <w:t xml:space="preserve">abelach </w:t>
      </w:r>
      <w:r w:rsidR="00AD4078" w:rsidRPr="00D146AC">
        <w:rPr>
          <w:rFonts w:ascii="Times New Roman" w:hAnsi="Times New Roman"/>
          <w:sz w:val="24"/>
        </w:rPr>
        <w:t>miesięczne kwoty przychodu i dochodu są to kwoty hipotetyczne</w:t>
      </w:r>
      <w:r w:rsidR="00D874B2">
        <w:rPr>
          <w:rFonts w:ascii="Times New Roman" w:hAnsi="Times New Roman"/>
          <w:sz w:val="24"/>
        </w:rPr>
        <w:t>,</w:t>
      </w:r>
      <w:r w:rsidR="00AD4078" w:rsidRPr="00AD4078">
        <w:rPr>
          <w:rFonts w:ascii="Times New Roman" w:hAnsi="Times New Roman"/>
        </w:rPr>
        <w:t xml:space="preserve"> </w:t>
      </w:r>
      <w:r w:rsidR="00AD4078">
        <w:rPr>
          <w:rFonts w:ascii="Times New Roman" w:hAnsi="Times New Roman"/>
          <w:sz w:val="24"/>
        </w:rPr>
        <w:t>obrazujące</w:t>
      </w:r>
      <w:r w:rsidR="00AD4078" w:rsidRPr="00D146AC">
        <w:rPr>
          <w:rFonts w:ascii="Times New Roman" w:hAnsi="Times New Roman"/>
          <w:sz w:val="24"/>
        </w:rPr>
        <w:t xml:space="preserve"> </w:t>
      </w:r>
      <w:r w:rsidR="00AD4078">
        <w:rPr>
          <w:rFonts w:ascii="Times New Roman" w:hAnsi="Times New Roman"/>
          <w:sz w:val="24"/>
        </w:rPr>
        <w:t>przykładowe potencjalne</w:t>
      </w:r>
      <w:r w:rsidR="00AD4078" w:rsidRPr="00D146AC">
        <w:rPr>
          <w:rFonts w:ascii="Times New Roman" w:hAnsi="Times New Roman"/>
          <w:sz w:val="24"/>
        </w:rPr>
        <w:t xml:space="preserve"> korzyści dla przedsiębiorców</w:t>
      </w:r>
      <w:r w:rsidR="00AD4078">
        <w:rPr>
          <w:rFonts w:ascii="Times New Roman" w:hAnsi="Times New Roman"/>
          <w:sz w:val="24"/>
        </w:rPr>
        <w:t>.</w:t>
      </w:r>
    </w:p>
    <w:p w14:paraId="0C08CC81" w14:textId="0D67C281" w:rsidR="00AD4078" w:rsidRDefault="00AD4078" w:rsidP="00D146AC">
      <w:pPr>
        <w:pStyle w:val="Akapitzlist"/>
        <w:numPr>
          <w:ilvl w:val="0"/>
          <w:numId w:val="6"/>
        </w:numPr>
        <w:spacing w:line="360" w:lineRule="auto"/>
        <w:jc w:val="both"/>
        <w:rPr>
          <w:rFonts w:ascii="Times New Roman" w:hAnsi="Times New Roman"/>
        </w:rPr>
      </w:pPr>
      <w:r>
        <w:rPr>
          <w:rFonts w:ascii="Times New Roman" w:hAnsi="Times New Roman"/>
          <w:sz w:val="24"/>
        </w:rPr>
        <w:t>W przypadku przedsiębiorców, których dotyczy Tabela 1, rzeczywisty stosunek przychodów i dochodów może być różny niż zaprezentowany.</w:t>
      </w:r>
    </w:p>
    <w:p w14:paraId="489A1919" w14:textId="6BC57A89" w:rsidR="00AD4078" w:rsidRDefault="00AD4078" w:rsidP="00D146AC">
      <w:pPr>
        <w:pStyle w:val="Akapitzlist"/>
        <w:numPr>
          <w:ilvl w:val="0"/>
          <w:numId w:val="6"/>
        </w:numPr>
        <w:spacing w:line="360" w:lineRule="auto"/>
        <w:jc w:val="both"/>
        <w:rPr>
          <w:rFonts w:ascii="Times New Roman" w:hAnsi="Times New Roman"/>
        </w:rPr>
      </w:pPr>
      <w:r>
        <w:rPr>
          <w:rFonts w:ascii="Times New Roman" w:hAnsi="Times New Roman"/>
          <w:sz w:val="24"/>
        </w:rPr>
        <w:t>W przypadku przedsiębiorców, których dotyczy Tabela 2, przedstawiona wysokość dochodu jest wyliczona względem przychodu zgodnie z wzorem z projektu ustawy</w:t>
      </w:r>
      <w:r w:rsidR="00D874B2">
        <w:rPr>
          <w:rFonts w:ascii="Times New Roman" w:hAnsi="Times New Roman"/>
          <w:sz w:val="24"/>
        </w:rPr>
        <w:t xml:space="preserve"> (zmieniany art. 18c ust. 12 </w:t>
      </w:r>
      <w:r w:rsidR="00FD4000">
        <w:rPr>
          <w:rFonts w:ascii="Times New Roman" w:hAnsi="Times New Roman"/>
          <w:sz w:val="24"/>
        </w:rPr>
        <w:t xml:space="preserve">ustawy </w:t>
      </w:r>
      <w:r w:rsidR="00D874B2">
        <w:rPr>
          <w:rFonts w:ascii="Times New Roman" w:hAnsi="Times New Roman"/>
          <w:sz w:val="24"/>
        </w:rPr>
        <w:t>o systemie ubezpieczeń społecznych).</w:t>
      </w:r>
    </w:p>
    <w:p w14:paraId="5AC1C2AD" w14:textId="68D761C6" w:rsidR="00C21B1C" w:rsidRPr="00D146AC" w:rsidRDefault="00AC234B" w:rsidP="00D146AC">
      <w:pPr>
        <w:pStyle w:val="Akapitzlist"/>
        <w:numPr>
          <w:ilvl w:val="0"/>
          <w:numId w:val="6"/>
        </w:numPr>
        <w:spacing w:line="360" w:lineRule="auto"/>
        <w:jc w:val="both"/>
        <w:rPr>
          <w:rFonts w:ascii="Times New Roman" w:hAnsi="Times New Roman"/>
        </w:rPr>
      </w:pPr>
      <w:r w:rsidRPr="00D146AC">
        <w:rPr>
          <w:rFonts w:ascii="Times New Roman" w:hAnsi="Times New Roman"/>
          <w:sz w:val="24"/>
        </w:rPr>
        <w:t>W zależności od scenariusza, w obliczeniach został wykorzystany „przeciętny miesięczny przychód”</w:t>
      </w:r>
      <w:r w:rsidR="00C21B1C" w:rsidRPr="00D146AC">
        <w:rPr>
          <w:rFonts w:ascii="Times New Roman" w:hAnsi="Times New Roman"/>
          <w:sz w:val="24"/>
        </w:rPr>
        <w:t xml:space="preserve"> (scenariusz A)</w:t>
      </w:r>
      <w:r w:rsidRPr="00D146AC">
        <w:rPr>
          <w:rFonts w:ascii="Times New Roman" w:hAnsi="Times New Roman"/>
          <w:sz w:val="24"/>
        </w:rPr>
        <w:t xml:space="preserve"> bądź „miesięczny przychód”</w:t>
      </w:r>
      <w:r w:rsidR="00C21B1C" w:rsidRPr="00D146AC">
        <w:rPr>
          <w:rFonts w:ascii="Times New Roman" w:hAnsi="Times New Roman"/>
          <w:sz w:val="24"/>
        </w:rPr>
        <w:t xml:space="preserve"> (scenariusz B).</w:t>
      </w:r>
      <w:r w:rsidRPr="00D146AC">
        <w:rPr>
          <w:rFonts w:ascii="Times New Roman" w:hAnsi="Times New Roman"/>
          <w:sz w:val="24"/>
        </w:rPr>
        <w:t xml:space="preserve"> </w:t>
      </w:r>
      <w:r w:rsidR="00C21B1C" w:rsidRPr="00D146AC">
        <w:rPr>
          <w:rFonts w:ascii="Times New Roman" w:hAnsi="Times New Roman"/>
          <w:sz w:val="24"/>
        </w:rPr>
        <w:t xml:space="preserve">„Przeciętny miesięczny przychód” jest wyliczany zgodnie z aktualnie obowiązującym art. 18c ust. 4 ustawy o systemie ubezpieczeń społecznych, a „miesięczny przychód” to kwota rocznego przychodu podzielona przez 12. </w:t>
      </w:r>
      <w:r w:rsidR="00C21B1C">
        <w:rPr>
          <w:rFonts w:ascii="Times New Roman" w:hAnsi="Times New Roman"/>
          <w:sz w:val="24"/>
        </w:rPr>
        <w:t>Konsekwencją powyższego jest różnica w rocznym przychodzie pomiędzy s</w:t>
      </w:r>
      <w:r w:rsidR="00313345">
        <w:rPr>
          <w:rFonts w:ascii="Times New Roman" w:hAnsi="Times New Roman"/>
          <w:sz w:val="24"/>
        </w:rPr>
        <w:t>cenariuszem A i scenariuszem B.</w:t>
      </w:r>
    </w:p>
    <w:p w14:paraId="56564495" w14:textId="77777777" w:rsidR="009B26D6" w:rsidRDefault="009B26D6" w:rsidP="00D146AC">
      <w:pPr>
        <w:pStyle w:val="Akapitzlist"/>
        <w:numPr>
          <w:ilvl w:val="0"/>
          <w:numId w:val="6"/>
        </w:numPr>
        <w:spacing w:line="360" w:lineRule="auto"/>
        <w:jc w:val="both"/>
        <w:rPr>
          <w:rFonts w:ascii="Times New Roman" w:hAnsi="Times New Roman"/>
        </w:rPr>
      </w:pPr>
      <w:r>
        <w:rPr>
          <w:rFonts w:ascii="Times New Roman" w:hAnsi="Times New Roman"/>
          <w:sz w:val="24"/>
        </w:rPr>
        <w:t>Sposób wyliczenia rocznego dochodu z działalności gospodarczej powinien uwzględniać regulację dodawanego przepisu art. 18c ust. 4a ustawy o systemie ubezpieczeń społecznych.</w:t>
      </w:r>
    </w:p>
    <w:p w14:paraId="4691EAE2" w14:textId="033CBA00" w:rsidR="00B17524" w:rsidRDefault="00B17524" w:rsidP="00D146AC">
      <w:pPr>
        <w:pStyle w:val="Akapitzlist"/>
        <w:numPr>
          <w:ilvl w:val="0"/>
          <w:numId w:val="6"/>
        </w:numPr>
        <w:spacing w:line="360" w:lineRule="auto"/>
        <w:jc w:val="both"/>
        <w:rPr>
          <w:rFonts w:ascii="Times New Roman" w:hAnsi="Times New Roman"/>
        </w:rPr>
      </w:pPr>
      <w:r>
        <w:rPr>
          <w:rFonts w:ascii="Times New Roman" w:hAnsi="Times New Roman"/>
          <w:sz w:val="24"/>
        </w:rPr>
        <w:t>Przedstawione wyliczenia odnoszące się do scenariusza A, scenariusza B</w:t>
      </w:r>
      <w:r w:rsidR="00D874B2">
        <w:rPr>
          <w:rFonts w:ascii="Times New Roman" w:hAnsi="Times New Roman"/>
          <w:sz w:val="24"/>
        </w:rPr>
        <w:t xml:space="preserve"> </w:t>
      </w:r>
      <w:r>
        <w:rPr>
          <w:rFonts w:ascii="Times New Roman" w:hAnsi="Times New Roman"/>
          <w:sz w:val="24"/>
        </w:rPr>
        <w:t>i</w:t>
      </w:r>
      <w:r w:rsidR="00D874B2">
        <w:rPr>
          <w:rFonts w:ascii="Times New Roman" w:hAnsi="Times New Roman"/>
          <w:sz w:val="24"/>
        </w:rPr>
        <w:t xml:space="preserve"> </w:t>
      </w:r>
      <w:r>
        <w:rPr>
          <w:rFonts w:ascii="Times New Roman" w:hAnsi="Times New Roman"/>
          <w:sz w:val="24"/>
        </w:rPr>
        <w:t>pełn</w:t>
      </w:r>
      <w:r w:rsidR="00502894">
        <w:rPr>
          <w:rFonts w:ascii="Times New Roman" w:hAnsi="Times New Roman"/>
          <w:sz w:val="24"/>
        </w:rPr>
        <w:t>ej</w:t>
      </w:r>
      <w:r>
        <w:rPr>
          <w:rFonts w:ascii="Times New Roman" w:hAnsi="Times New Roman"/>
          <w:sz w:val="24"/>
        </w:rPr>
        <w:t xml:space="preserve"> skład</w:t>
      </w:r>
      <w:r w:rsidR="00502894">
        <w:rPr>
          <w:rFonts w:ascii="Times New Roman" w:hAnsi="Times New Roman"/>
          <w:sz w:val="24"/>
        </w:rPr>
        <w:t>ki</w:t>
      </w:r>
      <w:r>
        <w:rPr>
          <w:rFonts w:ascii="Times New Roman" w:hAnsi="Times New Roman"/>
          <w:sz w:val="24"/>
        </w:rPr>
        <w:t xml:space="preserve"> </w:t>
      </w:r>
      <w:r w:rsidR="00502894">
        <w:rPr>
          <w:rFonts w:ascii="Times New Roman" w:hAnsi="Times New Roman"/>
          <w:sz w:val="24"/>
        </w:rPr>
        <w:t>ZUS</w:t>
      </w:r>
      <w:r w:rsidR="00CC5E2A">
        <w:rPr>
          <w:rFonts w:ascii="Times New Roman" w:hAnsi="Times New Roman"/>
          <w:sz w:val="24"/>
        </w:rPr>
        <w:t xml:space="preserve"> uwzględniają kwoty, które będą obowiązywać w 2020 r., tj. minimalne miesięczne wynagrodzenie (2 600 zł</w:t>
      </w:r>
      <w:r w:rsidR="00CC5E2A">
        <w:rPr>
          <w:rStyle w:val="Odwoanieprzypisudolnego"/>
          <w:rFonts w:ascii="Times New Roman" w:hAnsi="Times New Roman"/>
          <w:sz w:val="24"/>
        </w:rPr>
        <w:footnoteReference w:id="6"/>
      </w:r>
      <w:r w:rsidR="00971BD2" w:rsidRPr="00971BD2">
        <w:rPr>
          <w:color w:val="000000"/>
          <w:vertAlign w:val="superscript"/>
        </w:rPr>
        <w:t>)</w:t>
      </w:r>
      <w:r w:rsidR="00CC5E2A">
        <w:rPr>
          <w:rFonts w:ascii="Times New Roman" w:hAnsi="Times New Roman"/>
          <w:sz w:val="24"/>
        </w:rPr>
        <w:t>) i</w:t>
      </w:r>
      <w:r w:rsidR="00D874B2">
        <w:rPr>
          <w:rFonts w:ascii="Times New Roman" w:hAnsi="Times New Roman"/>
          <w:sz w:val="24"/>
        </w:rPr>
        <w:t xml:space="preserve"> </w:t>
      </w:r>
      <w:r w:rsidR="00CC5E2A">
        <w:rPr>
          <w:rFonts w:ascii="Times New Roman" w:hAnsi="Times New Roman"/>
          <w:sz w:val="24"/>
        </w:rPr>
        <w:t>prognozowane przeciętne miesięczne wynagrodzenie (5 227 zł</w:t>
      </w:r>
      <w:r w:rsidR="00CC5E2A">
        <w:rPr>
          <w:rStyle w:val="Odwoanieprzypisudolnego"/>
          <w:rFonts w:ascii="Times New Roman" w:hAnsi="Times New Roman"/>
          <w:sz w:val="24"/>
        </w:rPr>
        <w:footnoteReference w:id="7"/>
      </w:r>
      <w:r w:rsidR="00971BD2" w:rsidRPr="00971BD2">
        <w:rPr>
          <w:color w:val="000000"/>
          <w:vertAlign w:val="superscript"/>
        </w:rPr>
        <w:t>)</w:t>
      </w:r>
      <w:r w:rsidR="00CC5E2A">
        <w:rPr>
          <w:rFonts w:ascii="Times New Roman" w:hAnsi="Times New Roman"/>
          <w:sz w:val="24"/>
        </w:rPr>
        <w:t>).</w:t>
      </w:r>
    </w:p>
    <w:p w14:paraId="66ECC960" w14:textId="77777777" w:rsidR="00B04329" w:rsidRDefault="00B04329" w:rsidP="00D146AC">
      <w:pPr>
        <w:pStyle w:val="Akapitzlist"/>
        <w:numPr>
          <w:ilvl w:val="0"/>
          <w:numId w:val="6"/>
        </w:numPr>
        <w:spacing w:line="360" w:lineRule="auto"/>
        <w:jc w:val="both"/>
        <w:rPr>
          <w:rFonts w:ascii="Times New Roman" w:hAnsi="Times New Roman"/>
        </w:rPr>
      </w:pPr>
      <w:r>
        <w:rPr>
          <w:rFonts w:ascii="Times New Roman" w:hAnsi="Times New Roman"/>
          <w:sz w:val="24"/>
        </w:rPr>
        <w:t xml:space="preserve">W obliczeniach przyjmuje się, że </w:t>
      </w:r>
      <w:r w:rsidR="00D874B2">
        <w:rPr>
          <w:rFonts w:ascii="Times New Roman" w:hAnsi="Times New Roman"/>
          <w:sz w:val="24"/>
        </w:rPr>
        <w:t xml:space="preserve">w ubiegłym roku kalendarzowym </w:t>
      </w:r>
      <w:r>
        <w:rPr>
          <w:rFonts w:ascii="Times New Roman" w:hAnsi="Times New Roman"/>
          <w:sz w:val="24"/>
        </w:rPr>
        <w:t>przedsiębiorca prowadził działalność przez 365 dni</w:t>
      </w:r>
      <w:r w:rsidR="00D874B2">
        <w:rPr>
          <w:rFonts w:ascii="Times New Roman" w:hAnsi="Times New Roman"/>
          <w:sz w:val="24"/>
        </w:rPr>
        <w:t>.</w:t>
      </w:r>
    </w:p>
    <w:p w14:paraId="24F64995" w14:textId="77777777" w:rsidR="00CF10C0" w:rsidRDefault="00CF10C0" w:rsidP="00D146AC">
      <w:pPr>
        <w:pStyle w:val="Akapitzlist"/>
        <w:numPr>
          <w:ilvl w:val="0"/>
          <w:numId w:val="6"/>
        </w:numPr>
        <w:spacing w:line="360" w:lineRule="auto"/>
        <w:jc w:val="both"/>
        <w:rPr>
          <w:rFonts w:ascii="Times New Roman" w:hAnsi="Times New Roman"/>
        </w:rPr>
      </w:pPr>
      <w:r>
        <w:rPr>
          <w:rFonts w:ascii="Times New Roman" w:hAnsi="Times New Roman"/>
          <w:sz w:val="24"/>
        </w:rPr>
        <w:t>Limit przychodów na 2020 r. uprawniający do skorzystania z ulgi wg scenariusza A (tj. 30-krotność minimalnego miesięcznego wynagrodzenia) wynosi 67 500 zł.</w:t>
      </w:r>
    </w:p>
    <w:p w14:paraId="1771AD93" w14:textId="77777777" w:rsidR="00CF10C0" w:rsidRDefault="00CF10C0" w:rsidP="00D146AC">
      <w:pPr>
        <w:pStyle w:val="Akapitzlist"/>
        <w:numPr>
          <w:ilvl w:val="0"/>
          <w:numId w:val="6"/>
        </w:numPr>
        <w:spacing w:line="360" w:lineRule="auto"/>
        <w:jc w:val="both"/>
        <w:rPr>
          <w:rFonts w:ascii="Times New Roman" w:hAnsi="Times New Roman"/>
        </w:rPr>
      </w:pPr>
      <w:r>
        <w:rPr>
          <w:rFonts w:ascii="Times New Roman" w:hAnsi="Times New Roman"/>
          <w:sz w:val="24"/>
        </w:rPr>
        <w:t xml:space="preserve">Hipotetyczny współczynnik, o którym mowa w </w:t>
      </w:r>
      <w:r w:rsidR="00FF3AB3">
        <w:rPr>
          <w:rFonts w:ascii="Times New Roman" w:hAnsi="Times New Roman"/>
          <w:sz w:val="24"/>
        </w:rPr>
        <w:t xml:space="preserve">obecnym </w:t>
      </w:r>
      <w:r>
        <w:rPr>
          <w:rFonts w:ascii="Times New Roman" w:hAnsi="Times New Roman"/>
          <w:sz w:val="24"/>
        </w:rPr>
        <w:t xml:space="preserve">art. 18c ust. 5 </w:t>
      </w:r>
      <w:r w:rsidR="00FF3AB3">
        <w:rPr>
          <w:rFonts w:ascii="Times New Roman" w:hAnsi="Times New Roman"/>
          <w:sz w:val="24"/>
        </w:rPr>
        <w:t>ustawy o </w:t>
      </w:r>
      <w:r>
        <w:rPr>
          <w:rFonts w:ascii="Times New Roman" w:hAnsi="Times New Roman"/>
          <w:sz w:val="24"/>
        </w:rPr>
        <w:t>systemie ubezpieczeń społecznych</w:t>
      </w:r>
      <w:r w:rsidR="00D874B2">
        <w:rPr>
          <w:rFonts w:ascii="Times New Roman" w:hAnsi="Times New Roman"/>
          <w:sz w:val="24"/>
        </w:rPr>
        <w:t>,</w:t>
      </w:r>
      <w:r>
        <w:rPr>
          <w:rFonts w:ascii="Times New Roman" w:hAnsi="Times New Roman"/>
          <w:sz w:val="24"/>
        </w:rPr>
        <w:t xml:space="preserve"> dla scenariusza A wyniósłby </w:t>
      </w:r>
      <w:r w:rsidR="00FF3AB3">
        <w:rPr>
          <w:rFonts w:ascii="Times New Roman" w:hAnsi="Times New Roman"/>
          <w:sz w:val="24"/>
        </w:rPr>
        <w:t>0,4825.</w:t>
      </w:r>
    </w:p>
    <w:p w14:paraId="7F1CAF13" w14:textId="77777777" w:rsidR="00502894" w:rsidRDefault="00FF3AB3" w:rsidP="00D146AC">
      <w:pPr>
        <w:pStyle w:val="Akapitzlist"/>
        <w:numPr>
          <w:ilvl w:val="0"/>
          <w:numId w:val="6"/>
        </w:numPr>
        <w:spacing w:line="360" w:lineRule="auto"/>
        <w:jc w:val="both"/>
        <w:rPr>
          <w:rFonts w:ascii="Times New Roman" w:hAnsi="Times New Roman"/>
        </w:rPr>
      </w:pPr>
      <w:r>
        <w:rPr>
          <w:rFonts w:ascii="Times New Roman" w:hAnsi="Times New Roman"/>
          <w:sz w:val="24"/>
        </w:rPr>
        <w:t>W scenariuszu B zastosowano współczynnik 0,5, o którym mowa w </w:t>
      </w:r>
      <w:r w:rsidR="000A2F7E">
        <w:rPr>
          <w:rFonts w:ascii="Times New Roman" w:hAnsi="Times New Roman"/>
          <w:sz w:val="24"/>
        </w:rPr>
        <w:t>modyfikowanym</w:t>
      </w:r>
      <w:r>
        <w:rPr>
          <w:rFonts w:ascii="Times New Roman" w:hAnsi="Times New Roman"/>
          <w:sz w:val="24"/>
        </w:rPr>
        <w:t xml:space="preserve"> art. 18c ust. 3 ustawy o systemie ubezpieczeń społecznych.</w:t>
      </w:r>
    </w:p>
    <w:p w14:paraId="0A756178" w14:textId="77777777" w:rsidR="00FF3AB3" w:rsidRDefault="00502894" w:rsidP="00D146AC">
      <w:pPr>
        <w:pStyle w:val="Akapitzlist"/>
        <w:numPr>
          <w:ilvl w:val="0"/>
          <w:numId w:val="6"/>
        </w:numPr>
        <w:spacing w:line="360" w:lineRule="auto"/>
        <w:jc w:val="both"/>
        <w:rPr>
          <w:rFonts w:ascii="Times New Roman" w:hAnsi="Times New Roman"/>
        </w:rPr>
      </w:pPr>
      <w:r>
        <w:rPr>
          <w:rFonts w:ascii="Times New Roman" w:hAnsi="Times New Roman"/>
          <w:sz w:val="24"/>
        </w:rPr>
        <w:lastRenderedPageBreak/>
        <w:t>W obliczeniach przyjęto, że pełna składka ZUS w 2020 r. wyniesie 992,30 zł</w:t>
      </w:r>
      <w:r w:rsidR="00CB5F1F">
        <w:rPr>
          <w:rFonts w:ascii="Times New Roman" w:hAnsi="Times New Roman"/>
          <w:sz w:val="24"/>
        </w:rPr>
        <w:t xml:space="preserve"> (kwota ta została wyliczona od podstawy wymiaru składek wynoszącej </w:t>
      </w:r>
      <w:r w:rsidR="00E108AD">
        <w:rPr>
          <w:rFonts w:ascii="Times New Roman" w:hAnsi="Times New Roman"/>
          <w:sz w:val="24"/>
        </w:rPr>
        <w:t xml:space="preserve">3 136,20 zł, tj. </w:t>
      </w:r>
      <w:r w:rsidR="00CB5F1F">
        <w:rPr>
          <w:rFonts w:ascii="Times New Roman" w:hAnsi="Times New Roman"/>
          <w:sz w:val="24"/>
        </w:rPr>
        <w:t>60% prognozowanego przeciętnego miesięcznego wynagrodzenia w 2020 r.).</w:t>
      </w:r>
    </w:p>
    <w:p w14:paraId="5428EBEB" w14:textId="77777777" w:rsidR="00502894" w:rsidRDefault="00502894" w:rsidP="00D146AC">
      <w:pPr>
        <w:pStyle w:val="Akapitzlist"/>
        <w:numPr>
          <w:ilvl w:val="0"/>
          <w:numId w:val="6"/>
        </w:numPr>
        <w:spacing w:line="360" w:lineRule="auto"/>
        <w:jc w:val="both"/>
        <w:rPr>
          <w:rFonts w:ascii="Times New Roman" w:hAnsi="Times New Roman"/>
        </w:rPr>
      </w:pPr>
      <w:r>
        <w:rPr>
          <w:rFonts w:ascii="Times New Roman" w:hAnsi="Times New Roman"/>
          <w:sz w:val="24"/>
        </w:rPr>
        <w:t xml:space="preserve">Wysokość składek została obliczona na podstawie następujących stawek procentowych: emerytalna 19,52%, rentowa 8,00%, wypadkowa 1,67%, </w:t>
      </w:r>
      <w:r w:rsidR="004B6753">
        <w:rPr>
          <w:rFonts w:ascii="Times New Roman" w:hAnsi="Times New Roman"/>
          <w:sz w:val="24"/>
        </w:rPr>
        <w:t>chorobowa 2,45%.</w:t>
      </w:r>
    </w:p>
    <w:p w14:paraId="40EF8078" w14:textId="77777777" w:rsidR="00FD1BCF" w:rsidRDefault="00E108AD" w:rsidP="00D146AC">
      <w:pPr>
        <w:pStyle w:val="Akapitzlist"/>
        <w:numPr>
          <w:ilvl w:val="0"/>
          <w:numId w:val="6"/>
        </w:numPr>
        <w:spacing w:line="360" w:lineRule="auto"/>
        <w:jc w:val="both"/>
        <w:rPr>
          <w:rFonts w:ascii="Times New Roman" w:hAnsi="Times New Roman"/>
        </w:rPr>
      </w:pPr>
      <w:r>
        <w:rPr>
          <w:rFonts w:ascii="Times New Roman" w:hAnsi="Times New Roman"/>
          <w:sz w:val="24"/>
        </w:rPr>
        <w:t>W przypadku stosowania ulg w 2020 r. p</w:t>
      </w:r>
      <w:r w:rsidR="009E6CB7">
        <w:rPr>
          <w:rFonts w:ascii="Times New Roman" w:hAnsi="Times New Roman"/>
          <w:sz w:val="24"/>
        </w:rPr>
        <w:t>odstawa wymiaru składek nie może być niższa niż 30% minimalnego wynagrodzenia (tj. 780</w:t>
      </w:r>
      <w:r w:rsidR="002B15C6">
        <w:rPr>
          <w:rFonts w:ascii="Times New Roman" w:hAnsi="Times New Roman"/>
          <w:sz w:val="24"/>
        </w:rPr>
        <w:t>,00</w:t>
      </w:r>
      <w:r w:rsidR="009E6CB7">
        <w:rPr>
          <w:rFonts w:ascii="Times New Roman" w:hAnsi="Times New Roman"/>
          <w:sz w:val="24"/>
        </w:rPr>
        <w:t xml:space="preserve"> zł) i wyższa niż 60% prognozowanego przeciętnego miesięcznego wynagrodzenia (3 136,20 zł).</w:t>
      </w:r>
    </w:p>
    <w:p w14:paraId="3F205D3A" w14:textId="77777777" w:rsidR="009E6CB7" w:rsidRPr="00D146AC" w:rsidRDefault="002B15C6" w:rsidP="00D146AC">
      <w:pPr>
        <w:jc w:val="both"/>
        <w:rPr>
          <w:b/>
        </w:rPr>
      </w:pPr>
      <w:r w:rsidRPr="00D146AC">
        <w:rPr>
          <w:b/>
        </w:rPr>
        <w:t>Przykładowe wyliczenie dla przedsiębiorcy rozliczającego się na zasadach ogólnych:</w:t>
      </w:r>
    </w:p>
    <w:p w14:paraId="57A5478C" w14:textId="36814BC9" w:rsidR="000A2F7E" w:rsidRDefault="00AA59D2" w:rsidP="00D146AC">
      <w:pPr>
        <w:jc w:val="both"/>
      </w:pPr>
      <w:r>
        <w:t>Przedsiębiorca</w:t>
      </w:r>
      <w:r w:rsidR="002B15C6">
        <w:t xml:space="preserve"> </w:t>
      </w:r>
      <w:r>
        <w:t xml:space="preserve">prowadzący </w:t>
      </w:r>
      <w:r w:rsidR="002B15C6">
        <w:t>działalność gospodarczą przez cały 2019 r. osiągn</w:t>
      </w:r>
      <w:r>
        <w:t>ą</w:t>
      </w:r>
      <w:r w:rsidR="002B15C6">
        <w:t xml:space="preserve">ł roczny przychód w wysokości 84 000,00 zł, </w:t>
      </w:r>
      <w:r>
        <w:t xml:space="preserve">jego </w:t>
      </w:r>
      <w:r w:rsidR="002B15C6">
        <w:t>roczny dochód wyniósł zaś – 36 500,00 zł. W</w:t>
      </w:r>
      <w:r w:rsidR="004021DE">
        <w:t> </w:t>
      </w:r>
      <w:r w:rsidR="005D7FEA">
        <w:t>oparciu o</w:t>
      </w:r>
      <w:r w:rsidR="002B15C6">
        <w:t xml:space="preserve"> dotychczas obowiązując</w:t>
      </w:r>
      <w:r w:rsidR="005D7FEA">
        <w:t>e</w:t>
      </w:r>
      <w:r w:rsidR="002B15C6">
        <w:t xml:space="preserve"> zasad</w:t>
      </w:r>
      <w:r w:rsidR="005D7FEA">
        <w:t>y</w:t>
      </w:r>
      <w:r w:rsidR="002B15C6">
        <w:t xml:space="preserve">, nie </w:t>
      </w:r>
      <w:r>
        <w:t>mógłby</w:t>
      </w:r>
      <w:r w:rsidR="002B15C6">
        <w:t xml:space="preserve"> skorzystać z ulgi, gdyż przychód przekroczył 30-krotność minimalnego wynagrodzenia (67 500,00 zł). </w:t>
      </w:r>
      <w:r w:rsidR="000A2F7E">
        <w:t>W celu obliczenia „Małego ZUS-u plus”</w:t>
      </w:r>
      <w:r w:rsidR="005D7FEA">
        <w:t xml:space="preserve"> w 2020 r.</w:t>
      </w:r>
      <w:r w:rsidR="000A2F7E">
        <w:t xml:space="preserve">, w pierwszej kolejności </w:t>
      </w:r>
      <w:r>
        <w:t>przedsiębiorca</w:t>
      </w:r>
      <w:r w:rsidR="000A2F7E">
        <w:t xml:space="preserve"> powi</w:t>
      </w:r>
      <w:r>
        <w:t>nien</w:t>
      </w:r>
      <w:r w:rsidR="000A2F7E">
        <w:t xml:space="preserve"> poznać wysokość swojego przeciętnego miesięcznego dochodu, zgodnie z</w:t>
      </w:r>
      <w:r w:rsidR="005D7FEA">
        <w:t> </w:t>
      </w:r>
      <w:r w:rsidR="000A2F7E">
        <w:t>wzorem, o</w:t>
      </w:r>
      <w:r w:rsidR="005D7FEA">
        <w:t xml:space="preserve"> </w:t>
      </w:r>
      <w:r w:rsidR="000A2F7E">
        <w:t>którym mowa w zmienianym art. 18c ust. 4 ustawy o systemie ubezpieczeń społecznych. Tak więc roczny dochód (36</w:t>
      </w:r>
      <w:r w:rsidR="005D7FEA">
        <w:t xml:space="preserve"> </w:t>
      </w:r>
      <w:r w:rsidR="000A2F7E">
        <w:t>500,00 zł) dzieli on przez liczbę dni prowadzenia działalności gospodarczej (365) i mnoży przez 30. Wynikiem tego działania jest kwota 3</w:t>
      </w:r>
      <w:r w:rsidR="005D7FEA">
        <w:t xml:space="preserve"> </w:t>
      </w:r>
      <w:r w:rsidR="000A2F7E">
        <w:t>000,00 zł. Mnożąc tę wartość przez współczynnik 0,5 otrzymuje on podstawę wymiaru składek w wysokości 1</w:t>
      </w:r>
      <w:r w:rsidR="005D7FEA">
        <w:t xml:space="preserve"> </w:t>
      </w:r>
      <w:r w:rsidR="000A2F7E">
        <w:t>500,00 zł. Następnie oblicza kwoty na poszczególne ubezpieczenia społeczne</w:t>
      </w:r>
      <w:r w:rsidR="006F12A2">
        <w:t xml:space="preserve">, tj. emerytalne 292,80 zł, rentowe 120,00 zł, wypadkowe 25,05 zł, chorobowe 36,75 zł. Suma tych składek wynosi zatem 474,60 zł. </w:t>
      </w:r>
      <w:r>
        <w:t>Przedsiębiorca</w:t>
      </w:r>
      <w:r w:rsidR="006F12A2">
        <w:t xml:space="preserve"> będzie odprowadzał tę sumę co miesiąc. Na dotychczasowych zasadach musiałby opłacać w 2020 r. pełną składkę ZUS w wys</w:t>
      </w:r>
      <w:r w:rsidR="004021DE">
        <w:t>okości 992,30 zł. Korzystając z </w:t>
      </w:r>
      <w:r w:rsidR="006F12A2">
        <w:t>projektowanej ul</w:t>
      </w:r>
      <w:r w:rsidR="005421AF">
        <w:t>gi zyska 517,70 zł miesięcznie.</w:t>
      </w:r>
    </w:p>
    <w:p w14:paraId="7AB698A7" w14:textId="11FAC346" w:rsidR="004333C9" w:rsidRPr="00474898" w:rsidRDefault="004333C9" w:rsidP="0091359C">
      <w:pPr>
        <w:pStyle w:val="ARTartustawynprozporzdzenia"/>
        <w:numPr>
          <w:ilvl w:val="0"/>
          <w:numId w:val="2"/>
        </w:numPr>
        <w:spacing w:before="240"/>
        <w:ind w:left="360"/>
        <w:rPr>
          <w:rFonts w:ascii="Times New Roman" w:hAnsi="Times New Roman" w:cs="Times New Roman"/>
          <w:b/>
        </w:rPr>
      </w:pPr>
      <w:r w:rsidRPr="00474898">
        <w:rPr>
          <w:rFonts w:ascii="Times New Roman" w:hAnsi="Times New Roman" w:cs="Times New Roman"/>
          <w:b/>
        </w:rPr>
        <w:t>Ocena przewidywanego wpływu projektu ustawy na działalność mikroprzedsiębiorców oraz ma</w:t>
      </w:r>
      <w:r w:rsidR="009C41FD" w:rsidRPr="00474898">
        <w:rPr>
          <w:rFonts w:ascii="Times New Roman" w:hAnsi="Times New Roman" w:cs="Times New Roman"/>
          <w:b/>
        </w:rPr>
        <w:t>łych i średnich przedsiębiorców</w:t>
      </w:r>
    </w:p>
    <w:p w14:paraId="4A0B33DB" w14:textId="5C21FE50" w:rsidR="004333C9" w:rsidRPr="00474898" w:rsidRDefault="004333C9" w:rsidP="00662D6F">
      <w:pPr>
        <w:pStyle w:val="ARTartustawynprozporzdzenia"/>
        <w:ind w:firstLine="0"/>
        <w:rPr>
          <w:rFonts w:ascii="Times New Roman" w:hAnsi="Times New Roman" w:cs="Times New Roman"/>
        </w:rPr>
      </w:pPr>
      <w:r w:rsidRPr="00C91FE0">
        <w:rPr>
          <w:rFonts w:ascii="Times New Roman" w:hAnsi="Times New Roman" w:cs="Times New Roman"/>
        </w:rPr>
        <w:t>Jak wskazano wyżej</w:t>
      </w:r>
      <w:r w:rsidR="00EB6717">
        <w:rPr>
          <w:rFonts w:ascii="Times New Roman" w:hAnsi="Times New Roman" w:cs="Times New Roman"/>
        </w:rPr>
        <w:t>,</w:t>
      </w:r>
      <w:r w:rsidRPr="00C91FE0">
        <w:rPr>
          <w:rFonts w:ascii="Times New Roman" w:hAnsi="Times New Roman" w:cs="Times New Roman"/>
        </w:rPr>
        <w:t xml:space="preserve"> projekt ustawy od</w:t>
      </w:r>
      <w:r w:rsidR="001922C9" w:rsidRPr="00C91FE0">
        <w:rPr>
          <w:rFonts w:ascii="Times New Roman" w:hAnsi="Times New Roman" w:cs="Times New Roman"/>
        </w:rPr>
        <w:t xml:space="preserve">działuje bezpośrednio </w:t>
      </w:r>
      <w:r w:rsidR="000A04A5">
        <w:rPr>
          <w:rFonts w:ascii="Times New Roman" w:hAnsi="Times New Roman" w:cs="Times New Roman"/>
        </w:rPr>
        <w:t>głównie</w:t>
      </w:r>
      <w:r w:rsidR="001922C9" w:rsidRPr="00C91FE0">
        <w:rPr>
          <w:rFonts w:ascii="Times New Roman" w:hAnsi="Times New Roman" w:cs="Times New Roman"/>
        </w:rPr>
        <w:t xml:space="preserve"> na mikroprzedsiębiorców.</w:t>
      </w:r>
      <w:r w:rsidRPr="00C91FE0">
        <w:rPr>
          <w:rFonts w:ascii="Times New Roman" w:hAnsi="Times New Roman" w:cs="Times New Roman"/>
        </w:rPr>
        <w:t xml:space="preserve"> Wpływ polega na obniżeniu obciążeń z tytułu obowiązkowych ubezpiecz</w:t>
      </w:r>
      <w:r w:rsidR="00AF352B" w:rsidRPr="00C91FE0">
        <w:rPr>
          <w:rFonts w:ascii="Times New Roman" w:hAnsi="Times New Roman" w:cs="Times New Roman"/>
        </w:rPr>
        <w:t xml:space="preserve">eń społecznych </w:t>
      </w:r>
      <w:r w:rsidRPr="00C91FE0">
        <w:rPr>
          <w:rFonts w:ascii="Times New Roman" w:hAnsi="Times New Roman" w:cs="Times New Roman"/>
        </w:rPr>
        <w:t xml:space="preserve">i uzależnieniu ich od </w:t>
      </w:r>
      <w:r w:rsidR="001922C9" w:rsidRPr="00C91FE0">
        <w:rPr>
          <w:rFonts w:ascii="Times New Roman" w:hAnsi="Times New Roman" w:cs="Times New Roman"/>
        </w:rPr>
        <w:t>wysokości dochodu, przy zachowaniu progu dopuszczającego do skorzystania z ulgi w wysokości 120 tys. zł</w:t>
      </w:r>
      <w:r w:rsidR="00815781">
        <w:rPr>
          <w:rFonts w:ascii="Times New Roman" w:hAnsi="Times New Roman" w:cs="Times New Roman"/>
        </w:rPr>
        <w:t xml:space="preserve"> przychodów za rok </w:t>
      </w:r>
      <w:r w:rsidR="00815781">
        <w:rPr>
          <w:rFonts w:ascii="Times New Roman" w:hAnsi="Times New Roman" w:cs="Times New Roman"/>
        </w:rPr>
        <w:lastRenderedPageBreak/>
        <w:t>ubiegły</w:t>
      </w:r>
      <w:r w:rsidR="001922C9" w:rsidRPr="00C91FE0">
        <w:rPr>
          <w:rFonts w:ascii="Times New Roman" w:hAnsi="Times New Roman" w:cs="Times New Roman"/>
        </w:rPr>
        <w:t xml:space="preserve">. Przełoży się to </w:t>
      </w:r>
      <w:r w:rsidRPr="00C91FE0">
        <w:rPr>
          <w:rFonts w:ascii="Times New Roman" w:hAnsi="Times New Roman" w:cs="Times New Roman"/>
        </w:rPr>
        <w:t xml:space="preserve">na </w:t>
      </w:r>
      <w:r w:rsidR="00C91FE0" w:rsidRPr="00C91FE0">
        <w:rPr>
          <w:rFonts w:ascii="Times New Roman" w:hAnsi="Times New Roman" w:cs="Times New Roman"/>
        </w:rPr>
        <w:t>poprawę sytuacji finansowej osób prowadzących działalność gospodarczą na mniejszą skalę.</w:t>
      </w:r>
      <w:r w:rsidRPr="00C91FE0">
        <w:rPr>
          <w:rFonts w:ascii="Times New Roman" w:hAnsi="Times New Roman" w:cs="Times New Roman"/>
        </w:rPr>
        <w:t xml:space="preserve"> Spodziewać się należy wzrostu ich </w:t>
      </w:r>
      <w:r w:rsidR="000A04A5">
        <w:rPr>
          <w:rFonts w:ascii="Times New Roman" w:hAnsi="Times New Roman" w:cs="Times New Roman"/>
        </w:rPr>
        <w:t>przeżywalności, szczególnie po dwóch i pół roku</w:t>
      </w:r>
      <w:r w:rsidRPr="00C91FE0">
        <w:rPr>
          <w:rFonts w:ascii="Times New Roman" w:hAnsi="Times New Roman" w:cs="Times New Roman"/>
        </w:rPr>
        <w:t xml:space="preserve"> działalności</w:t>
      </w:r>
      <w:r w:rsidR="00C91FE0">
        <w:rPr>
          <w:rFonts w:ascii="Times New Roman" w:hAnsi="Times New Roman" w:cs="Times New Roman"/>
        </w:rPr>
        <w:t>.</w:t>
      </w:r>
      <w:r w:rsidRPr="00C91FE0">
        <w:rPr>
          <w:rFonts w:ascii="Times New Roman" w:hAnsi="Times New Roman" w:cs="Times New Roman"/>
        </w:rPr>
        <w:t xml:space="preserve"> </w:t>
      </w:r>
      <w:r w:rsidR="00C91FE0">
        <w:rPr>
          <w:rFonts w:ascii="Times New Roman" w:hAnsi="Times New Roman" w:cs="Times New Roman"/>
        </w:rPr>
        <w:t xml:space="preserve">Nowe rozwiązanie ma stanowić także dodatkową </w:t>
      </w:r>
      <w:r w:rsidRPr="00C91FE0">
        <w:rPr>
          <w:rFonts w:ascii="Times New Roman" w:hAnsi="Times New Roman" w:cs="Times New Roman"/>
        </w:rPr>
        <w:t xml:space="preserve">ekonomiczną zachętę do legalizacji dotychczasowej działalności w </w:t>
      </w:r>
      <w:r w:rsidR="00C91FE0" w:rsidRPr="00C91FE0">
        <w:rPr>
          <w:rFonts w:ascii="Times New Roman" w:hAnsi="Times New Roman" w:cs="Times New Roman"/>
        </w:rPr>
        <w:t>„</w:t>
      </w:r>
      <w:r w:rsidRPr="00C91FE0">
        <w:rPr>
          <w:rFonts w:ascii="Times New Roman" w:hAnsi="Times New Roman" w:cs="Times New Roman"/>
        </w:rPr>
        <w:t>szarej strefie</w:t>
      </w:r>
      <w:r w:rsidR="00C91FE0" w:rsidRPr="00C91FE0">
        <w:rPr>
          <w:rFonts w:ascii="Times New Roman" w:hAnsi="Times New Roman" w:cs="Times New Roman"/>
        </w:rPr>
        <w:t>”</w:t>
      </w:r>
      <w:r w:rsidRPr="00C91FE0">
        <w:rPr>
          <w:rFonts w:ascii="Times New Roman" w:hAnsi="Times New Roman" w:cs="Times New Roman"/>
        </w:rPr>
        <w:t xml:space="preserve"> </w:t>
      </w:r>
      <w:r w:rsidR="00815781">
        <w:rPr>
          <w:rFonts w:ascii="Times New Roman" w:hAnsi="Times New Roman" w:cs="Times New Roman"/>
        </w:rPr>
        <w:t>oraz</w:t>
      </w:r>
      <w:r w:rsidRPr="00C91FE0">
        <w:rPr>
          <w:rFonts w:ascii="Times New Roman" w:hAnsi="Times New Roman" w:cs="Times New Roman"/>
        </w:rPr>
        <w:t xml:space="preserve"> bodziec do </w:t>
      </w:r>
      <w:r w:rsidR="00C91FE0">
        <w:rPr>
          <w:rFonts w:ascii="Times New Roman" w:hAnsi="Times New Roman" w:cs="Times New Roman"/>
        </w:rPr>
        <w:t>rozpoczynania własnego bizn</w:t>
      </w:r>
      <w:r w:rsidR="00095344">
        <w:rPr>
          <w:rFonts w:ascii="Times New Roman" w:hAnsi="Times New Roman" w:cs="Times New Roman"/>
        </w:rPr>
        <w:t>esu.</w:t>
      </w:r>
    </w:p>
    <w:p w14:paraId="2AD135B2" w14:textId="77777777" w:rsidR="00455F86" w:rsidRDefault="004333C9" w:rsidP="00FD0D2D">
      <w:pPr>
        <w:pStyle w:val="ARTartustawynprozporzdzenia"/>
        <w:numPr>
          <w:ilvl w:val="0"/>
          <w:numId w:val="2"/>
        </w:numPr>
        <w:spacing w:before="240"/>
        <w:ind w:left="357" w:hanging="357"/>
        <w:rPr>
          <w:rFonts w:ascii="Times New Roman" w:hAnsi="Times New Roman" w:cs="Times New Roman"/>
          <w:b/>
        </w:rPr>
      </w:pPr>
      <w:r w:rsidRPr="00474898">
        <w:rPr>
          <w:rFonts w:ascii="Times New Roman" w:hAnsi="Times New Roman" w:cs="Times New Roman"/>
          <w:b/>
        </w:rPr>
        <w:t>T</w:t>
      </w:r>
      <w:r w:rsidR="009C41FD" w:rsidRPr="00474898">
        <w:rPr>
          <w:rFonts w:ascii="Times New Roman" w:hAnsi="Times New Roman" w:cs="Times New Roman"/>
          <w:b/>
        </w:rPr>
        <w:t>ermin wejścia w życie ustawy</w:t>
      </w:r>
    </w:p>
    <w:p w14:paraId="3705BF09" w14:textId="0E04358A" w:rsidR="0046002E" w:rsidRDefault="00455F86" w:rsidP="007E53D5">
      <w:pPr>
        <w:pStyle w:val="ARTartustawynprozporzdzenia"/>
        <w:spacing w:before="240"/>
        <w:ind w:firstLine="0"/>
        <w:rPr>
          <w:rFonts w:ascii="Times New Roman" w:hAnsi="Times New Roman" w:cs="Times New Roman"/>
        </w:rPr>
      </w:pPr>
      <w:r>
        <w:rPr>
          <w:rFonts w:ascii="Times New Roman" w:hAnsi="Times New Roman" w:cs="Times New Roman"/>
        </w:rPr>
        <w:t>Ustawa wejdzie w życie 1 stycznia 2020 r.</w:t>
      </w:r>
      <w:r w:rsidR="00815781">
        <w:rPr>
          <w:rFonts w:ascii="Times New Roman" w:hAnsi="Times New Roman" w:cs="Times New Roman"/>
        </w:rPr>
        <w:t xml:space="preserve"> </w:t>
      </w:r>
      <w:r w:rsidR="00F634C0">
        <w:rPr>
          <w:rFonts w:ascii="Times New Roman" w:hAnsi="Times New Roman" w:cs="Times New Roman"/>
        </w:rPr>
        <w:t>Pilny t</w:t>
      </w:r>
      <w:r w:rsidR="0046002E">
        <w:rPr>
          <w:rFonts w:ascii="Times New Roman" w:hAnsi="Times New Roman" w:cs="Times New Roman"/>
        </w:rPr>
        <w:t xml:space="preserve">ermin podyktowany jest względami systemowymi, przejawiającymi się w fakcie, że wysokość składek ubezpieczeniowych ustalana jest na cały rok kalendarzowy. Ponadto, ponieważ zmiana wprowadzana projektowaną ustawą ma kluczowe znaczenie dla setek tysięcy przedsiębiorców, konieczne jest jej pilne wdrożenie. </w:t>
      </w:r>
      <w:r w:rsidR="00007958">
        <w:rPr>
          <w:rFonts w:cs="Times New Roman"/>
        </w:rPr>
        <w:t>Jak już wspomniano, w</w:t>
      </w:r>
      <w:r w:rsidR="00007958" w:rsidRPr="00E5052D">
        <w:rPr>
          <w:rFonts w:cs="Times New Roman"/>
        </w:rPr>
        <w:t>ysokość składek na ubezpieczenia społeczne jest</w:t>
      </w:r>
      <w:r w:rsidR="00007958">
        <w:rPr>
          <w:rFonts w:cs="Times New Roman"/>
        </w:rPr>
        <w:t xml:space="preserve"> często</w:t>
      </w:r>
      <w:r w:rsidR="00007958" w:rsidRPr="00E5052D">
        <w:rPr>
          <w:rFonts w:cs="Times New Roman"/>
        </w:rPr>
        <w:t xml:space="preserve"> nieadekwatna do możliwości finansowych</w:t>
      </w:r>
      <w:r w:rsidR="00007958">
        <w:rPr>
          <w:rFonts w:cs="Times New Roman"/>
        </w:rPr>
        <w:t xml:space="preserve"> najmniejszych przedsiębiorców. „Mały ZUS plus” pozwoli z jednej strony na poszerzenie liczby podmiotów, które mogą skorzystać z ulgi, z drugiej zaś – w stosunku do osób już objętych proporcjonalnymi składkami – jeszcze bardziej obniży wysokość ich obciążeń publicznoprawnych. W bardzo pozytywny sposób wpłynie to na ich rentowno</w:t>
      </w:r>
      <w:r w:rsidR="005421AF">
        <w:rPr>
          <w:rFonts w:cs="Times New Roman"/>
        </w:rPr>
        <w:t>ść i możliwość rozwoju biznesu.</w:t>
      </w:r>
    </w:p>
    <w:p w14:paraId="727EA025" w14:textId="50708738" w:rsidR="00455F86" w:rsidRPr="007E53D5" w:rsidRDefault="00815781" w:rsidP="007E53D5">
      <w:pPr>
        <w:pStyle w:val="ARTartustawynprozporzdzenia"/>
        <w:spacing w:before="240"/>
        <w:ind w:firstLine="0"/>
        <w:rPr>
          <w:rFonts w:ascii="Times New Roman" w:hAnsi="Times New Roman" w:cs="Times New Roman"/>
        </w:rPr>
      </w:pPr>
      <w:r>
        <w:rPr>
          <w:rFonts w:ascii="Times New Roman" w:hAnsi="Times New Roman" w:cs="Times New Roman"/>
        </w:rPr>
        <w:t xml:space="preserve">Wyjątek </w:t>
      </w:r>
      <w:r w:rsidR="0046002E">
        <w:rPr>
          <w:rFonts w:ascii="Times New Roman" w:hAnsi="Times New Roman" w:cs="Times New Roman"/>
        </w:rPr>
        <w:t xml:space="preserve">od ogólnego terminu wejścia w życie ustawy </w:t>
      </w:r>
      <w:r>
        <w:rPr>
          <w:rFonts w:ascii="Times New Roman" w:hAnsi="Times New Roman" w:cs="Times New Roman"/>
        </w:rPr>
        <w:t xml:space="preserve">stanowi art. </w:t>
      </w:r>
      <w:r w:rsidR="00A4397E">
        <w:rPr>
          <w:rFonts w:ascii="Times New Roman" w:hAnsi="Times New Roman" w:cs="Times New Roman"/>
        </w:rPr>
        <w:t>4</w:t>
      </w:r>
      <w:r>
        <w:rPr>
          <w:rFonts w:ascii="Times New Roman" w:hAnsi="Times New Roman" w:cs="Times New Roman"/>
        </w:rPr>
        <w:t xml:space="preserve">, który </w:t>
      </w:r>
      <w:r w:rsidR="00684D3B">
        <w:rPr>
          <w:rFonts w:ascii="Times New Roman" w:hAnsi="Times New Roman" w:cs="Times New Roman"/>
        </w:rPr>
        <w:t>zacznie obowiązywać</w:t>
      </w:r>
      <w:r>
        <w:rPr>
          <w:rFonts w:ascii="Times New Roman" w:hAnsi="Times New Roman" w:cs="Times New Roman"/>
        </w:rPr>
        <w:t xml:space="preserve"> z dniem </w:t>
      </w:r>
      <w:r w:rsidR="00EC51C8">
        <w:rPr>
          <w:rFonts w:ascii="Times New Roman" w:hAnsi="Times New Roman" w:cs="Times New Roman"/>
        </w:rPr>
        <w:t xml:space="preserve">następującym po dniu </w:t>
      </w:r>
      <w:r>
        <w:rPr>
          <w:rFonts w:ascii="Times New Roman" w:hAnsi="Times New Roman" w:cs="Times New Roman"/>
        </w:rPr>
        <w:t xml:space="preserve">ogłoszenia. Jest to związane z obecnym brzmieniem art. </w:t>
      </w:r>
      <w:r w:rsidR="00861CFA">
        <w:rPr>
          <w:rFonts w:ascii="Times New Roman" w:hAnsi="Times New Roman" w:cs="Times New Roman"/>
        </w:rPr>
        <w:t>18c ust. 6</w:t>
      </w:r>
      <w:r>
        <w:rPr>
          <w:rFonts w:ascii="Times New Roman" w:hAnsi="Times New Roman" w:cs="Times New Roman"/>
        </w:rPr>
        <w:t xml:space="preserve"> ustawy </w:t>
      </w:r>
      <w:r w:rsidR="00861CFA">
        <w:rPr>
          <w:rFonts w:ascii="Times New Roman" w:hAnsi="Times New Roman" w:cs="Times New Roman"/>
        </w:rPr>
        <w:t>o</w:t>
      </w:r>
      <w:r w:rsidR="00800510">
        <w:rPr>
          <w:rFonts w:ascii="Times New Roman" w:hAnsi="Times New Roman" w:cs="Times New Roman"/>
        </w:rPr>
        <w:t> </w:t>
      </w:r>
      <w:r w:rsidR="00861CFA">
        <w:rPr>
          <w:rFonts w:ascii="Times New Roman" w:hAnsi="Times New Roman" w:cs="Times New Roman"/>
        </w:rPr>
        <w:t>systemie ubezpieczeń społecznych,</w:t>
      </w:r>
      <w:r>
        <w:rPr>
          <w:rFonts w:ascii="Times New Roman" w:hAnsi="Times New Roman" w:cs="Times New Roman"/>
        </w:rPr>
        <w:t xml:space="preserve"> który zobowiązuje Prezesa Z</w:t>
      </w:r>
      <w:r w:rsidR="00A43458">
        <w:rPr>
          <w:rFonts w:ascii="Times New Roman" w:hAnsi="Times New Roman" w:cs="Times New Roman"/>
        </w:rPr>
        <w:t>akładu Ubezpieczeń Społecznych</w:t>
      </w:r>
      <w:r>
        <w:rPr>
          <w:rFonts w:ascii="Times New Roman" w:hAnsi="Times New Roman" w:cs="Times New Roman"/>
        </w:rPr>
        <w:t xml:space="preserve"> do ogłaszania wysokości współczynnika</w:t>
      </w:r>
      <w:r w:rsidR="00861CFA">
        <w:rPr>
          <w:rFonts w:ascii="Times New Roman" w:hAnsi="Times New Roman" w:cs="Times New Roman"/>
        </w:rPr>
        <w:t>, o którym mowa w ust. 5, w formie komunikatu,</w:t>
      </w:r>
      <w:r>
        <w:rPr>
          <w:rFonts w:ascii="Times New Roman" w:hAnsi="Times New Roman" w:cs="Times New Roman"/>
        </w:rPr>
        <w:t xml:space="preserve"> </w:t>
      </w:r>
      <w:r w:rsidR="00861CFA">
        <w:rPr>
          <w:rFonts w:ascii="Times New Roman" w:hAnsi="Times New Roman" w:cs="Times New Roman"/>
        </w:rPr>
        <w:t xml:space="preserve">w terminie 7 dni kalendarzowych od dnia ogłoszenia przez ministra właściwego do spraw zabezpieczenia społecznego kwoty prognozowanego przeciętnego wynagrodzenia. W przypadku gdyby art. </w:t>
      </w:r>
      <w:r w:rsidR="00A4397E">
        <w:rPr>
          <w:rFonts w:ascii="Times New Roman" w:hAnsi="Times New Roman" w:cs="Times New Roman"/>
        </w:rPr>
        <w:t>4</w:t>
      </w:r>
      <w:r w:rsidR="001B48CD">
        <w:rPr>
          <w:rFonts w:ascii="Times New Roman" w:hAnsi="Times New Roman" w:cs="Times New Roman"/>
        </w:rPr>
        <w:t xml:space="preserve"> </w:t>
      </w:r>
      <w:r w:rsidR="00861CFA">
        <w:rPr>
          <w:rFonts w:ascii="Times New Roman" w:hAnsi="Times New Roman" w:cs="Times New Roman"/>
        </w:rPr>
        <w:t>projektowanej ustawy wchodził w życie wraz z pozostałą jej częścią, współczynnik obowiązujący na 2020</w:t>
      </w:r>
      <w:r w:rsidR="00F46903">
        <w:rPr>
          <w:rFonts w:ascii="Times New Roman" w:hAnsi="Times New Roman" w:cs="Times New Roman"/>
        </w:rPr>
        <w:t xml:space="preserve"> r.</w:t>
      </w:r>
      <w:r w:rsidR="00861CFA">
        <w:rPr>
          <w:rFonts w:ascii="Times New Roman" w:hAnsi="Times New Roman" w:cs="Times New Roman"/>
        </w:rPr>
        <w:t xml:space="preserve"> zostałby już ogłoszony, a</w:t>
      </w:r>
      <w:r w:rsidR="00313345">
        <w:rPr>
          <w:rFonts w:ascii="Times New Roman" w:hAnsi="Times New Roman" w:cs="Times New Roman"/>
        </w:rPr>
        <w:t xml:space="preserve"> </w:t>
      </w:r>
      <w:r w:rsidR="00F46903">
        <w:rPr>
          <w:rFonts w:ascii="Times New Roman" w:hAnsi="Times New Roman" w:cs="Times New Roman"/>
        </w:rPr>
        <w:t>z</w:t>
      </w:r>
      <w:r w:rsidR="00313345">
        <w:rPr>
          <w:rFonts w:ascii="Times New Roman" w:hAnsi="Times New Roman" w:cs="Times New Roman"/>
        </w:rPr>
        <w:t xml:space="preserve"> </w:t>
      </w:r>
      <w:r w:rsidR="00861CFA">
        <w:rPr>
          <w:rFonts w:ascii="Times New Roman" w:hAnsi="Times New Roman" w:cs="Times New Roman"/>
        </w:rPr>
        <w:t xml:space="preserve">racji zmiany mechanizmu obliczania najniższej podstawy wymiaru składek, </w:t>
      </w:r>
      <w:r w:rsidR="00A43458">
        <w:rPr>
          <w:rFonts w:ascii="Times New Roman" w:hAnsi="Times New Roman" w:cs="Times New Roman"/>
        </w:rPr>
        <w:t>stałby się on bezprzedmiotowy.</w:t>
      </w:r>
    </w:p>
    <w:p w14:paraId="7ED2B083" w14:textId="77777777" w:rsidR="00F03F6A" w:rsidRPr="007E53D5" w:rsidRDefault="009C41FD" w:rsidP="00FD0D2D">
      <w:pPr>
        <w:pStyle w:val="ARTartustawynprozporzdzenia"/>
        <w:numPr>
          <w:ilvl w:val="0"/>
          <w:numId w:val="2"/>
        </w:numPr>
        <w:spacing w:before="240"/>
        <w:ind w:left="357" w:hanging="357"/>
        <w:rPr>
          <w:rFonts w:ascii="Times New Roman" w:hAnsi="Times New Roman" w:cs="Times New Roman"/>
          <w:b/>
        </w:rPr>
      </w:pPr>
      <w:r w:rsidRPr="00474898">
        <w:rPr>
          <w:rFonts w:ascii="Times New Roman" w:hAnsi="Times New Roman" w:cs="Times New Roman"/>
          <w:b/>
        </w:rPr>
        <w:t>Pozostałe kwestie</w:t>
      </w:r>
    </w:p>
    <w:p w14:paraId="73CA8234" w14:textId="77777777" w:rsidR="004333C9" w:rsidRPr="00FD6012" w:rsidRDefault="004333C9" w:rsidP="00662D6F">
      <w:pPr>
        <w:pStyle w:val="ARTartustawynprozporzdzenia"/>
        <w:ind w:firstLine="0"/>
        <w:rPr>
          <w:rFonts w:ascii="Times New Roman" w:hAnsi="Times New Roman" w:cs="Times New Roman"/>
        </w:rPr>
      </w:pPr>
      <w:r w:rsidRPr="00FD6012">
        <w:rPr>
          <w:rFonts w:ascii="Times New Roman" w:hAnsi="Times New Roman" w:cs="Times New Roman"/>
        </w:rPr>
        <w:t>Projekt ustawy nie zawiera przepisów technicznych, w rozumieniu rozporządzenia Rady Ministrów z dnia 23 grudnia 2002 r. w sprawie sposobu funkcjonowania krajowego systemu notyfikacji norm i aktów prawnych (Dz. U. poz. 2039, z późn.</w:t>
      </w:r>
      <w:r w:rsidR="00CF5E90" w:rsidRPr="00FD6012">
        <w:rPr>
          <w:rFonts w:ascii="Times New Roman" w:hAnsi="Times New Roman" w:cs="Times New Roman"/>
        </w:rPr>
        <w:t xml:space="preserve"> </w:t>
      </w:r>
      <w:r w:rsidRPr="00FD6012">
        <w:rPr>
          <w:rFonts w:ascii="Times New Roman" w:hAnsi="Times New Roman" w:cs="Times New Roman"/>
        </w:rPr>
        <w:t>zm.), w</w:t>
      </w:r>
      <w:r w:rsidR="009C41FD" w:rsidRPr="00FD6012">
        <w:rPr>
          <w:rFonts w:ascii="Times New Roman" w:hAnsi="Times New Roman" w:cs="Times New Roman"/>
        </w:rPr>
        <w:t xml:space="preserve"> </w:t>
      </w:r>
      <w:r w:rsidRPr="00FD6012">
        <w:rPr>
          <w:rFonts w:ascii="Times New Roman" w:hAnsi="Times New Roman" w:cs="Times New Roman"/>
        </w:rPr>
        <w:t>związku z</w:t>
      </w:r>
      <w:r w:rsidR="00800510">
        <w:rPr>
          <w:rFonts w:ascii="Times New Roman" w:hAnsi="Times New Roman" w:cs="Times New Roman"/>
        </w:rPr>
        <w:t> </w:t>
      </w:r>
      <w:r w:rsidRPr="00FD6012">
        <w:rPr>
          <w:rFonts w:ascii="Times New Roman" w:hAnsi="Times New Roman" w:cs="Times New Roman"/>
        </w:rPr>
        <w:t>tym nie podlega notyfikacji.</w:t>
      </w:r>
    </w:p>
    <w:p w14:paraId="3AF20565" w14:textId="77777777" w:rsidR="004333C9" w:rsidRPr="00FD6012" w:rsidRDefault="004333C9" w:rsidP="0062536F">
      <w:pPr>
        <w:pStyle w:val="ARTartustawynprozporzdzenia"/>
        <w:ind w:firstLine="0"/>
        <w:rPr>
          <w:rFonts w:ascii="Times New Roman" w:hAnsi="Times New Roman" w:cs="Times New Roman"/>
        </w:rPr>
      </w:pPr>
      <w:r w:rsidRPr="00FD6012">
        <w:rPr>
          <w:rFonts w:ascii="Times New Roman" w:hAnsi="Times New Roman" w:cs="Times New Roman"/>
        </w:rPr>
        <w:lastRenderedPageBreak/>
        <w:t>Projekt ustawy nie wymaga uzyskania opinii, dokonania powiadomieni</w:t>
      </w:r>
      <w:r w:rsidR="00F46903">
        <w:rPr>
          <w:rFonts w:ascii="Times New Roman" w:hAnsi="Times New Roman" w:cs="Times New Roman"/>
        </w:rPr>
        <w:t>a, konsultacji albo uzgodnienia</w:t>
      </w:r>
      <w:r w:rsidRPr="00FD6012">
        <w:rPr>
          <w:rFonts w:ascii="Times New Roman" w:hAnsi="Times New Roman" w:cs="Times New Roman"/>
        </w:rPr>
        <w:t xml:space="preserve"> z właściwym organami i instytucjami Unii Europejskiej, w tym z</w:t>
      </w:r>
      <w:r w:rsidR="00800510">
        <w:rPr>
          <w:rFonts w:ascii="Times New Roman" w:hAnsi="Times New Roman" w:cs="Times New Roman"/>
        </w:rPr>
        <w:t> </w:t>
      </w:r>
      <w:r w:rsidRPr="00FD6012">
        <w:rPr>
          <w:rFonts w:ascii="Times New Roman" w:hAnsi="Times New Roman" w:cs="Times New Roman"/>
        </w:rPr>
        <w:t>Europejskim Bankiem Centraln</w:t>
      </w:r>
      <w:r w:rsidR="00722ACE" w:rsidRPr="00FD6012">
        <w:rPr>
          <w:rFonts w:ascii="Times New Roman" w:hAnsi="Times New Roman" w:cs="Times New Roman"/>
        </w:rPr>
        <w:t>ym, o czym mowa w § 39 uchwały n</w:t>
      </w:r>
      <w:r w:rsidRPr="00FD6012">
        <w:rPr>
          <w:rFonts w:ascii="Times New Roman" w:hAnsi="Times New Roman" w:cs="Times New Roman"/>
        </w:rPr>
        <w:t xml:space="preserve">r 190 Rady Ministrów z dnia 29 października 2013 r. </w:t>
      </w:r>
      <w:r w:rsidR="009C41FD" w:rsidRPr="00FD6012">
        <w:rPr>
          <w:rFonts w:ascii="Times New Roman" w:hAnsi="Times New Roman" w:cs="Times New Roman"/>
        </w:rPr>
        <w:t>–</w:t>
      </w:r>
      <w:r w:rsidRPr="00FD6012">
        <w:rPr>
          <w:rFonts w:ascii="Times New Roman" w:hAnsi="Times New Roman" w:cs="Times New Roman"/>
        </w:rPr>
        <w:t xml:space="preserve"> Regulamin pracy Rady Ministrów</w:t>
      </w:r>
      <w:r w:rsidR="0062536F">
        <w:rPr>
          <w:rFonts w:ascii="Times New Roman" w:hAnsi="Times New Roman" w:cs="Times New Roman"/>
        </w:rPr>
        <w:t xml:space="preserve"> (</w:t>
      </w:r>
      <w:r w:rsidR="00F46903">
        <w:rPr>
          <w:rFonts w:ascii="Times New Roman" w:hAnsi="Times New Roman"/>
        </w:rPr>
        <w:t>M.P. z</w:t>
      </w:r>
      <w:r w:rsidR="00800510">
        <w:rPr>
          <w:rFonts w:ascii="Times New Roman" w:hAnsi="Times New Roman"/>
        </w:rPr>
        <w:t> </w:t>
      </w:r>
      <w:r w:rsidR="00F46903">
        <w:rPr>
          <w:rFonts w:ascii="Times New Roman" w:hAnsi="Times New Roman"/>
        </w:rPr>
        <w:t>2016 r. poz. 1006, z późn. zm.)</w:t>
      </w:r>
      <w:r w:rsidRPr="00FD6012">
        <w:rPr>
          <w:rFonts w:ascii="Times New Roman" w:hAnsi="Times New Roman" w:cs="Times New Roman"/>
        </w:rPr>
        <w:t>.</w:t>
      </w:r>
    </w:p>
    <w:p w14:paraId="71C5BAF2" w14:textId="77777777" w:rsidR="00F01C11" w:rsidRPr="00FD6012" w:rsidRDefault="004333C9" w:rsidP="0062536F">
      <w:pPr>
        <w:pStyle w:val="ARTartustawynprozporzdzenia"/>
        <w:ind w:firstLine="0"/>
        <w:rPr>
          <w:rFonts w:ascii="Times New Roman" w:hAnsi="Times New Roman" w:cs="Times New Roman"/>
        </w:rPr>
      </w:pPr>
      <w:r w:rsidRPr="00FD6012">
        <w:rPr>
          <w:rFonts w:ascii="Times New Roman" w:hAnsi="Times New Roman" w:cs="Times New Roman"/>
        </w:rPr>
        <w:t>Projektowana regulacja jest zgodna z prawem Unii Europejskiej.</w:t>
      </w:r>
    </w:p>
    <w:p w14:paraId="49A1CC27" w14:textId="77777777" w:rsidR="0091359C" w:rsidRDefault="0091359C" w:rsidP="00E55661">
      <w:pPr>
        <w:pStyle w:val="ARTartustawynprozporzdzenia"/>
        <w:ind w:firstLine="0"/>
        <w:rPr>
          <w:rFonts w:ascii="Times New Roman" w:hAnsi="Times New Roman"/>
        </w:rPr>
      </w:pPr>
      <w:r w:rsidRPr="00043320">
        <w:rPr>
          <w:rFonts w:ascii="Times New Roman" w:hAnsi="Times New Roman" w:cs="Times New Roman"/>
        </w:rPr>
        <w:t>Stosownie</w:t>
      </w:r>
      <w:r w:rsidRPr="00043320">
        <w:rPr>
          <w:rFonts w:ascii="Times New Roman" w:hAnsi="Times New Roman"/>
        </w:rPr>
        <w:t xml:space="preserve"> do art. 5 ustawy z dnia 7 lipca 2005 r. o działalności lobbingowej w procesie stanowienia prawa</w:t>
      </w:r>
      <w:r w:rsidR="0062536F" w:rsidRPr="00043320">
        <w:rPr>
          <w:rFonts w:ascii="Times New Roman" w:hAnsi="Times New Roman"/>
        </w:rPr>
        <w:t xml:space="preserve"> (Dz. U. z 2017 r. poz. 248)</w:t>
      </w:r>
      <w:r w:rsidRPr="00043320">
        <w:rPr>
          <w:rFonts w:ascii="Times New Roman" w:hAnsi="Times New Roman"/>
        </w:rPr>
        <w:t xml:space="preserve"> w związku z § 52 ust. 1 Regulamin</w:t>
      </w:r>
      <w:r w:rsidR="00F46903" w:rsidRPr="00043320">
        <w:rPr>
          <w:rFonts w:ascii="Times New Roman" w:hAnsi="Times New Roman"/>
        </w:rPr>
        <w:t>u</w:t>
      </w:r>
      <w:r w:rsidRPr="00043320">
        <w:rPr>
          <w:rFonts w:ascii="Times New Roman" w:hAnsi="Times New Roman"/>
        </w:rPr>
        <w:t xml:space="preserve"> pracy Rady Ministrów</w:t>
      </w:r>
      <w:r w:rsidR="002F4D0A" w:rsidRPr="00043320">
        <w:rPr>
          <w:rFonts w:ascii="Times New Roman" w:hAnsi="Times New Roman"/>
        </w:rPr>
        <w:t xml:space="preserve"> </w:t>
      </w:r>
      <w:r w:rsidR="00313345">
        <w:rPr>
          <w:rFonts w:ascii="Times New Roman" w:hAnsi="Times New Roman"/>
        </w:rPr>
        <w:t>projekt ustawy został</w:t>
      </w:r>
      <w:r w:rsidRPr="00043320">
        <w:rPr>
          <w:rFonts w:ascii="Times New Roman" w:hAnsi="Times New Roman"/>
        </w:rPr>
        <w:t xml:space="preserve"> udostępniony w</w:t>
      </w:r>
      <w:r w:rsidR="00095344" w:rsidRPr="00043320">
        <w:rPr>
          <w:rFonts w:ascii="Times New Roman" w:hAnsi="Times New Roman"/>
        </w:rPr>
        <w:t xml:space="preserve"> </w:t>
      </w:r>
      <w:r w:rsidRPr="00043320">
        <w:rPr>
          <w:rFonts w:ascii="Times New Roman" w:hAnsi="Times New Roman"/>
        </w:rPr>
        <w:t>Biuletynie Informacji Publicznej na stronie podmiotowej Rządowego Centrum Legislacji, w serwisie Rządowy Proces Legislacyjny.</w:t>
      </w:r>
    </w:p>
    <w:p w14:paraId="5F21BFEB" w14:textId="77777777" w:rsidR="00C90ADD" w:rsidRPr="0021197B" w:rsidRDefault="0021197B" w:rsidP="0021197B">
      <w:pPr>
        <w:pStyle w:val="ZLITUSTzmustliter"/>
        <w:spacing w:before="120" w:line="276" w:lineRule="auto"/>
        <w:ind w:left="0" w:firstLine="0"/>
        <w:rPr>
          <w:rFonts w:ascii="Times New Roman" w:eastAsiaTheme="minorEastAsia" w:hAnsi="Times New Roman" w:cs="Times New Roman"/>
          <w:bCs w:val="0"/>
        </w:rPr>
      </w:pPr>
      <w:r w:rsidRPr="0021197B">
        <w:rPr>
          <w:rFonts w:ascii="Times New Roman" w:eastAsiaTheme="minorEastAsia" w:hAnsi="Times New Roman" w:cs="Times New Roman"/>
          <w:bCs w:val="0"/>
        </w:rPr>
        <w:t xml:space="preserve">Projekt </w:t>
      </w:r>
      <w:r w:rsidR="00A06956" w:rsidRPr="0021197B">
        <w:rPr>
          <w:rFonts w:ascii="Times New Roman" w:eastAsiaTheme="minorEastAsia" w:hAnsi="Times New Roman" w:cs="Times New Roman"/>
          <w:bCs w:val="0"/>
        </w:rPr>
        <w:t>zosta</w:t>
      </w:r>
      <w:r w:rsidR="00A06956">
        <w:rPr>
          <w:rFonts w:ascii="Times New Roman" w:eastAsiaTheme="minorEastAsia" w:hAnsi="Times New Roman" w:cs="Times New Roman"/>
          <w:bCs w:val="0"/>
        </w:rPr>
        <w:t>ł</w:t>
      </w:r>
      <w:r w:rsidR="00A06956" w:rsidRPr="0021197B">
        <w:rPr>
          <w:rFonts w:ascii="Times New Roman" w:eastAsiaTheme="minorEastAsia" w:hAnsi="Times New Roman" w:cs="Times New Roman"/>
          <w:bCs w:val="0"/>
        </w:rPr>
        <w:t xml:space="preserve"> </w:t>
      </w:r>
      <w:r w:rsidRPr="0021197B">
        <w:rPr>
          <w:rFonts w:ascii="Times New Roman" w:eastAsiaTheme="minorEastAsia" w:hAnsi="Times New Roman" w:cs="Times New Roman"/>
          <w:bCs w:val="0"/>
        </w:rPr>
        <w:t>wpisany do wykazu prac legislacyjnych i programowy</w:t>
      </w:r>
      <w:r w:rsidR="00043320">
        <w:rPr>
          <w:rFonts w:ascii="Times New Roman" w:eastAsiaTheme="minorEastAsia" w:hAnsi="Times New Roman" w:cs="Times New Roman"/>
          <w:bCs w:val="0"/>
        </w:rPr>
        <w:t>ch Rady Ministrów</w:t>
      </w:r>
      <w:r w:rsidR="00A06956">
        <w:rPr>
          <w:rFonts w:ascii="Times New Roman" w:eastAsiaTheme="minorEastAsia" w:hAnsi="Times New Roman" w:cs="Times New Roman"/>
          <w:bCs w:val="0"/>
        </w:rPr>
        <w:t xml:space="preserve"> (UD576)</w:t>
      </w:r>
      <w:r w:rsidR="00043320">
        <w:rPr>
          <w:rFonts w:ascii="Times New Roman" w:eastAsiaTheme="minorEastAsia" w:hAnsi="Times New Roman" w:cs="Times New Roman"/>
          <w:bCs w:val="0"/>
        </w:rPr>
        <w:t>.</w:t>
      </w:r>
    </w:p>
    <w:p w14:paraId="2CCC8CB7" w14:textId="08004717" w:rsidR="0021197B" w:rsidRDefault="0021197B" w:rsidP="00381B37">
      <w:pPr>
        <w:pStyle w:val="ZLITUSTzmustliter"/>
        <w:spacing w:before="120"/>
        <w:ind w:left="0" w:firstLine="0"/>
        <w:rPr>
          <w:rFonts w:ascii="Times New Roman" w:hAnsi="Times New Roman"/>
          <w:color w:val="000000"/>
          <w:spacing w:val="-2"/>
        </w:rPr>
      </w:pPr>
      <w:r w:rsidRPr="0021197B">
        <w:rPr>
          <w:rFonts w:ascii="Times New Roman" w:eastAsiaTheme="minorEastAsia" w:hAnsi="Times New Roman" w:cs="Times New Roman"/>
          <w:bCs w:val="0"/>
        </w:rPr>
        <w:t xml:space="preserve">Zgodnie z uchwałą </w:t>
      </w:r>
      <w:r w:rsidR="00FD4000">
        <w:rPr>
          <w:rFonts w:ascii="Times New Roman" w:eastAsiaTheme="minorEastAsia" w:hAnsi="Times New Roman" w:cs="Times New Roman"/>
          <w:bCs w:val="0"/>
        </w:rPr>
        <w:t>n</w:t>
      </w:r>
      <w:r w:rsidR="00FD4000" w:rsidRPr="0021197B">
        <w:rPr>
          <w:rFonts w:ascii="Times New Roman" w:eastAsiaTheme="minorEastAsia" w:hAnsi="Times New Roman" w:cs="Times New Roman"/>
          <w:bCs w:val="0"/>
        </w:rPr>
        <w:t xml:space="preserve">r </w:t>
      </w:r>
      <w:r w:rsidRPr="0021197B">
        <w:rPr>
          <w:rFonts w:ascii="Times New Roman" w:eastAsiaTheme="minorEastAsia" w:hAnsi="Times New Roman" w:cs="Times New Roman"/>
          <w:bCs w:val="0"/>
        </w:rPr>
        <w:t xml:space="preserve">20 Rady Ministrów z 18 lutego 2014 r. </w:t>
      </w:r>
      <w:r w:rsidRPr="00F46903">
        <w:rPr>
          <w:rFonts w:ascii="Times New Roman" w:eastAsiaTheme="minorEastAsia" w:hAnsi="Times New Roman" w:cs="Times New Roman"/>
          <w:bCs w:val="0"/>
        </w:rPr>
        <w:t>w sprawie zaleceń ujednolicenia terminów wejścia w życie niektórych aktów normatywnych</w:t>
      </w:r>
      <w:r w:rsidR="00F46903">
        <w:rPr>
          <w:rFonts w:ascii="Times New Roman" w:eastAsiaTheme="minorEastAsia" w:hAnsi="Times New Roman" w:cs="Times New Roman"/>
          <w:bCs w:val="0"/>
        </w:rPr>
        <w:t xml:space="preserve"> (M.P. poz. 205)</w:t>
      </w:r>
      <w:r w:rsidRPr="00F46903">
        <w:rPr>
          <w:rFonts w:ascii="Times New Roman" w:eastAsiaTheme="minorEastAsia" w:hAnsi="Times New Roman" w:cs="Times New Roman"/>
          <w:bCs w:val="0"/>
        </w:rPr>
        <w:t>,</w:t>
      </w:r>
      <w:r w:rsidRPr="0021197B">
        <w:rPr>
          <w:rFonts w:ascii="Times New Roman" w:eastAsiaTheme="minorEastAsia" w:hAnsi="Times New Roman" w:cs="Times New Roman"/>
          <w:bCs w:val="0"/>
        </w:rPr>
        <w:t xml:space="preserve"> planuje się, że ustawa wejdzie w życie z dniem 1 stycznia 2020 r., </w:t>
      </w:r>
      <w:r>
        <w:rPr>
          <w:rFonts w:ascii="Times New Roman" w:hAnsi="Times New Roman"/>
          <w:color w:val="000000"/>
          <w:spacing w:val="-2"/>
        </w:rPr>
        <w:t xml:space="preserve">z wyjątkiem art. </w:t>
      </w:r>
      <w:r w:rsidR="00A4397E">
        <w:rPr>
          <w:rFonts w:ascii="Times New Roman" w:hAnsi="Times New Roman"/>
          <w:color w:val="000000"/>
          <w:spacing w:val="-2"/>
        </w:rPr>
        <w:t>4</w:t>
      </w:r>
      <w:r>
        <w:rPr>
          <w:rFonts w:ascii="Times New Roman" w:hAnsi="Times New Roman"/>
          <w:color w:val="000000"/>
          <w:spacing w:val="-2"/>
        </w:rPr>
        <w:t>, który wejdzie w</w:t>
      </w:r>
      <w:r w:rsidR="00095344">
        <w:rPr>
          <w:rFonts w:ascii="Times New Roman" w:hAnsi="Times New Roman"/>
          <w:color w:val="000000"/>
          <w:spacing w:val="-2"/>
        </w:rPr>
        <w:t xml:space="preserve"> życie z dniem </w:t>
      </w:r>
      <w:r w:rsidR="00EC51C8">
        <w:rPr>
          <w:rFonts w:ascii="Times New Roman" w:hAnsi="Times New Roman"/>
          <w:color w:val="000000"/>
          <w:spacing w:val="-2"/>
        </w:rPr>
        <w:t xml:space="preserve">następującym po dniu </w:t>
      </w:r>
      <w:r w:rsidR="00095344">
        <w:rPr>
          <w:rFonts w:ascii="Times New Roman" w:hAnsi="Times New Roman"/>
          <w:color w:val="000000"/>
          <w:spacing w:val="-2"/>
        </w:rPr>
        <w:t>ogłoszenia.</w:t>
      </w:r>
    </w:p>
    <w:sectPr w:rsidR="0021197B" w:rsidSect="00BA3E4B">
      <w:pgSz w:w="11906" w:h="16838"/>
      <w:pgMar w:top="1418" w:right="1418" w:bottom="1134" w:left="181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67524" w14:textId="77777777" w:rsidR="00261A27" w:rsidRDefault="00261A27" w:rsidP="004333C9">
      <w:pPr>
        <w:spacing w:line="240" w:lineRule="auto"/>
      </w:pPr>
      <w:r>
        <w:separator/>
      </w:r>
    </w:p>
  </w:endnote>
  <w:endnote w:type="continuationSeparator" w:id="0">
    <w:p w14:paraId="3CD79BCE" w14:textId="77777777" w:rsidR="00261A27" w:rsidRDefault="00261A27" w:rsidP="004333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885951"/>
      <w:docPartObj>
        <w:docPartGallery w:val="Page Numbers (Bottom of Page)"/>
        <w:docPartUnique/>
      </w:docPartObj>
    </w:sdtPr>
    <w:sdtEndPr/>
    <w:sdtContent>
      <w:p w14:paraId="7A4DEA78" w14:textId="2C6AB19E" w:rsidR="004D62BB" w:rsidRDefault="004D62BB">
        <w:pPr>
          <w:pStyle w:val="Stopka"/>
          <w:jc w:val="center"/>
        </w:pPr>
        <w:r>
          <w:fldChar w:fldCharType="begin"/>
        </w:r>
        <w:r>
          <w:instrText>PAGE   \* MERGEFORMAT</w:instrText>
        </w:r>
        <w:r>
          <w:fldChar w:fldCharType="separate"/>
        </w:r>
        <w:r w:rsidR="003641F3">
          <w:rPr>
            <w:noProof/>
          </w:rPr>
          <w:t>16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2A1C8" w14:textId="5500F968" w:rsidR="004D62BB" w:rsidRDefault="004D62BB" w:rsidP="00BA3E4B">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0BA1E" w14:textId="77777777" w:rsidR="00261A27" w:rsidRDefault="00261A27" w:rsidP="004333C9">
      <w:pPr>
        <w:spacing w:line="240" w:lineRule="auto"/>
      </w:pPr>
      <w:r>
        <w:separator/>
      </w:r>
    </w:p>
  </w:footnote>
  <w:footnote w:type="continuationSeparator" w:id="0">
    <w:p w14:paraId="0B213C01" w14:textId="77777777" w:rsidR="00261A27" w:rsidRDefault="00261A27" w:rsidP="004333C9">
      <w:pPr>
        <w:spacing w:line="240" w:lineRule="auto"/>
      </w:pPr>
      <w:r>
        <w:continuationSeparator/>
      </w:r>
    </w:p>
  </w:footnote>
  <w:footnote w:id="1">
    <w:p w14:paraId="3FF3D8EC" w14:textId="6E863C64" w:rsidR="004D62BB" w:rsidRPr="007E53D5" w:rsidRDefault="004D62BB" w:rsidP="007E53D5">
      <w:pPr>
        <w:pStyle w:val="Tekstprzypisudolnego"/>
        <w:spacing w:line="240" w:lineRule="auto"/>
        <w:jc w:val="both"/>
        <w:rPr>
          <w:sz w:val="18"/>
          <w:szCs w:val="18"/>
        </w:rPr>
      </w:pPr>
      <w:r w:rsidRPr="007E53D5">
        <w:rPr>
          <w:rStyle w:val="Odwoanieprzypisudolnego"/>
          <w:rFonts w:eastAsiaTheme="minorEastAsia"/>
          <w:sz w:val="18"/>
          <w:szCs w:val="18"/>
        </w:rPr>
        <w:footnoteRef/>
      </w:r>
      <w:r w:rsidR="00BA3E4B" w:rsidRPr="00BA3E4B">
        <w:rPr>
          <w:sz w:val="18"/>
          <w:szCs w:val="18"/>
          <w:vertAlign w:val="superscript"/>
        </w:rPr>
        <w:t>)</w:t>
      </w:r>
      <w:r w:rsidRPr="007E53D5">
        <w:rPr>
          <w:sz w:val="18"/>
          <w:szCs w:val="18"/>
        </w:rPr>
        <w:t xml:space="preserve"> Według roboczych danych Ministerstwa Przedsiębiorczości i Technologii w 2018 r. pomiędzy 24</w:t>
      </w:r>
      <w:r>
        <w:rPr>
          <w:sz w:val="18"/>
          <w:szCs w:val="18"/>
        </w:rPr>
        <w:t>.</w:t>
      </w:r>
      <w:r w:rsidRPr="007E53D5">
        <w:rPr>
          <w:sz w:val="18"/>
          <w:szCs w:val="18"/>
        </w:rPr>
        <w:t xml:space="preserve"> a 25</w:t>
      </w:r>
      <w:r>
        <w:rPr>
          <w:sz w:val="18"/>
          <w:szCs w:val="18"/>
        </w:rPr>
        <w:t>.</w:t>
      </w:r>
      <w:r w:rsidRPr="007E53D5">
        <w:rPr>
          <w:sz w:val="18"/>
          <w:szCs w:val="18"/>
        </w:rPr>
        <w:t xml:space="preserve"> miesiącem prowadzenia działalności swój biznes zamknęło prawie 5 tys. przedsiębiorców. </w:t>
      </w:r>
    </w:p>
  </w:footnote>
  <w:footnote w:id="2">
    <w:p w14:paraId="08D5A16A" w14:textId="5B1782D2" w:rsidR="004D62BB" w:rsidRPr="00371104" w:rsidRDefault="004D62BB" w:rsidP="00371104">
      <w:pPr>
        <w:pStyle w:val="Tekstprzypisudolnego"/>
        <w:spacing w:line="240" w:lineRule="auto"/>
        <w:jc w:val="both"/>
        <w:rPr>
          <w:rFonts w:ascii="Times New Roman" w:hAnsi="Times New Roman"/>
          <w:sz w:val="18"/>
          <w:szCs w:val="18"/>
        </w:rPr>
      </w:pPr>
      <w:r w:rsidRPr="00371104">
        <w:rPr>
          <w:rStyle w:val="Odwoanieprzypisudolnego"/>
          <w:rFonts w:ascii="Times New Roman" w:hAnsi="Times New Roman"/>
          <w:sz w:val="18"/>
          <w:szCs w:val="18"/>
        </w:rPr>
        <w:footnoteRef/>
      </w:r>
      <w:r w:rsidR="00BA3E4B" w:rsidRPr="00BA3E4B">
        <w:rPr>
          <w:sz w:val="18"/>
          <w:szCs w:val="18"/>
          <w:vertAlign w:val="superscript"/>
        </w:rPr>
        <w:t>)</w:t>
      </w:r>
      <w:r w:rsidRPr="00371104">
        <w:rPr>
          <w:rFonts w:ascii="Times New Roman" w:hAnsi="Times New Roman"/>
          <w:sz w:val="18"/>
          <w:szCs w:val="18"/>
        </w:rPr>
        <w:t xml:space="preserve"> Zmiana ta nie ma zatem wpływu na sposób wyliczania dochodu na potrzeby podatkowe.</w:t>
      </w:r>
    </w:p>
  </w:footnote>
  <w:footnote w:id="3">
    <w:p w14:paraId="5E297C6B" w14:textId="5F0163CA" w:rsidR="005D2140" w:rsidRPr="005D2140" w:rsidRDefault="005D2140" w:rsidP="005D2140">
      <w:pPr>
        <w:pStyle w:val="Tekstprzypisudolnego"/>
        <w:spacing w:line="240" w:lineRule="auto"/>
        <w:jc w:val="both"/>
        <w:rPr>
          <w:sz w:val="18"/>
          <w:szCs w:val="18"/>
        </w:rPr>
      </w:pPr>
      <w:r w:rsidRPr="005D2140">
        <w:rPr>
          <w:rStyle w:val="Odwoanieprzypisudolnego"/>
          <w:sz w:val="18"/>
          <w:szCs w:val="18"/>
        </w:rPr>
        <w:footnoteRef/>
      </w:r>
      <w:r w:rsidR="00BA3E4B" w:rsidRPr="00BA3E4B">
        <w:rPr>
          <w:sz w:val="18"/>
          <w:szCs w:val="18"/>
          <w:vertAlign w:val="superscript"/>
        </w:rPr>
        <w:t>)</w:t>
      </w:r>
      <w:r w:rsidRPr="005D2140">
        <w:rPr>
          <w:sz w:val="18"/>
          <w:szCs w:val="18"/>
        </w:rPr>
        <w:t xml:space="preserve"> Ubezpieczony, który wznawia bądź rozpoczyna działalność gospodarczą w danym roku kalendarzowym</w:t>
      </w:r>
      <w:r w:rsidR="0034419D">
        <w:rPr>
          <w:sz w:val="18"/>
          <w:szCs w:val="18"/>
        </w:rPr>
        <w:t>,</w:t>
      </w:r>
      <w:r w:rsidRPr="005D2140">
        <w:rPr>
          <w:sz w:val="18"/>
          <w:szCs w:val="18"/>
        </w:rPr>
        <w:t xml:space="preserve"> jest uprawniony do skorzystania z „Małego ZUS-u”</w:t>
      </w:r>
      <w:r w:rsidR="0034419D">
        <w:rPr>
          <w:sz w:val="18"/>
          <w:szCs w:val="18"/>
        </w:rPr>
        <w:t>,</w:t>
      </w:r>
      <w:r w:rsidRPr="005D2140">
        <w:rPr>
          <w:sz w:val="18"/>
          <w:szCs w:val="18"/>
        </w:rPr>
        <w:t xml:space="preserve"> pod warunkiem że w poprzednim roku kalendarzowym wykonywał działalność gospodarczą przez okres co najmniej 60 dni kalendarzowych i spełnia pozostałe przesłanki wymienione w</w:t>
      </w:r>
      <w:r>
        <w:rPr>
          <w:sz w:val="18"/>
          <w:szCs w:val="18"/>
        </w:rPr>
        <w:t> </w:t>
      </w:r>
      <w:r w:rsidRPr="005D2140">
        <w:rPr>
          <w:sz w:val="18"/>
          <w:szCs w:val="18"/>
        </w:rPr>
        <w:t>ustawie.</w:t>
      </w:r>
    </w:p>
  </w:footnote>
  <w:footnote w:id="4">
    <w:p w14:paraId="069E2485" w14:textId="6CD02EFD" w:rsidR="004D62BB" w:rsidRPr="00F26952" w:rsidRDefault="004D62BB" w:rsidP="00673389">
      <w:pPr>
        <w:pStyle w:val="Tekstprzypisudolnego"/>
        <w:spacing w:line="240" w:lineRule="auto"/>
        <w:jc w:val="both"/>
        <w:rPr>
          <w:rFonts w:ascii="Times New Roman" w:hAnsi="Times New Roman"/>
          <w:sz w:val="18"/>
          <w:szCs w:val="18"/>
        </w:rPr>
      </w:pPr>
      <w:r w:rsidRPr="00F26952">
        <w:rPr>
          <w:rStyle w:val="Odwoanieprzypisudolnego"/>
          <w:rFonts w:ascii="Times New Roman" w:hAnsi="Times New Roman"/>
          <w:sz w:val="18"/>
          <w:szCs w:val="18"/>
        </w:rPr>
        <w:footnoteRef/>
      </w:r>
      <w:r w:rsidR="00BA3E4B" w:rsidRPr="00BA3E4B">
        <w:rPr>
          <w:sz w:val="18"/>
          <w:szCs w:val="18"/>
          <w:vertAlign w:val="superscript"/>
        </w:rPr>
        <w:t>)</w:t>
      </w:r>
      <w:r w:rsidRPr="00F26952">
        <w:rPr>
          <w:rFonts w:ascii="Times New Roman" w:hAnsi="Times New Roman"/>
          <w:sz w:val="18"/>
          <w:szCs w:val="18"/>
        </w:rPr>
        <w:t xml:space="preserve"> </w:t>
      </w:r>
      <w:r>
        <w:rPr>
          <w:rFonts w:ascii="Times New Roman" w:hAnsi="Times New Roman"/>
          <w:sz w:val="18"/>
          <w:szCs w:val="18"/>
        </w:rPr>
        <w:t>Szacunki n</w:t>
      </w:r>
      <w:r w:rsidRPr="00F26952">
        <w:rPr>
          <w:rFonts w:ascii="Times New Roman" w:hAnsi="Times New Roman"/>
          <w:sz w:val="18"/>
          <w:szCs w:val="18"/>
        </w:rPr>
        <w:t xml:space="preserve">a podstawie danych jednostkowych ministra </w:t>
      </w:r>
      <w:r>
        <w:rPr>
          <w:rFonts w:ascii="Times New Roman" w:hAnsi="Times New Roman"/>
          <w:sz w:val="18"/>
          <w:szCs w:val="18"/>
        </w:rPr>
        <w:t xml:space="preserve">właściwego </w:t>
      </w:r>
      <w:r w:rsidRPr="00F26952">
        <w:rPr>
          <w:rFonts w:ascii="Times New Roman" w:hAnsi="Times New Roman"/>
          <w:sz w:val="18"/>
          <w:szCs w:val="18"/>
        </w:rPr>
        <w:t xml:space="preserve">do spraw finansów </w:t>
      </w:r>
      <w:r>
        <w:rPr>
          <w:rFonts w:ascii="Times New Roman" w:hAnsi="Times New Roman"/>
          <w:sz w:val="18"/>
          <w:szCs w:val="18"/>
        </w:rPr>
        <w:t xml:space="preserve">publicznych </w:t>
      </w:r>
      <w:r>
        <w:rPr>
          <w:rFonts w:ascii="Times New Roman" w:hAnsi="Times New Roman"/>
          <w:color w:val="000000"/>
          <w:sz w:val="18"/>
          <w:szCs w:val="18"/>
        </w:rPr>
        <w:t>z</w:t>
      </w:r>
      <w:r w:rsidRPr="00F26952">
        <w:rPr>
          <w:rFonts w:ascii="Times New Roman" w:hAnsi="Times New Roman"/>
          <w:color w:val="000000"/>
          <w:sz w:val="18"/>
          <w:szCs w:val="18"/>
        </w:rPr>
        <w:t xml:space="preserve"> 2016 r. i 2017 r</w:t>
      </w:r>
      <w:r>
        <w:rPr>
          <w:rFonts w:ascii="Times New Roman" w:hAnsi="Times New Roman"/>
          <w:color w:val="000000"/>
          <w:sz w:val="18"/>
          <w:szCs w:val="18"/>
        </w:rPr>
        <w:t>.</w:t>
      </w:r>
      <w:r w:rsidRPr="00F26952">
        <w:rPr>
          <w:rFonts w:ascii="Times New Roman" w:hAnsi="Times New Roman"/>
          <w:color w:val="000000"/>
          <w:sz w:val="18"/>
          <w:szCs w:val="18"/>
        </w:rPr>
        <w:t xml:space="preserve"> dotycząc</w:t>
      </w:r>
      <w:r>
        <w:rPr>
          <w:rFonts w:ascii="Times New Roman" w:hAnsi="Times New Roman"/>
          <w:color w:val="000000"/>
          <w:sz w:val="18"/>
          <w:szCs w:val="18"/>
        </w:rPr>
        <w:t>ych</w:t>
      </w:r>
      <w:r w:rsidRPr="00F26952">
        <w:rPr>
          <w:rFonts w:ascii="Times New Roman" w:hAnsi="Times New Roman"/>
          <w:color w:val="000000"/>
          <w:sz w:val="18"/>
          <w:szCs w:val="18"/>
        </w:rPr>
        <w:t xml:space="preserve"> podatników PIT-36, PIT-36L i PIT-28, karty podatkowej oraz deklaracji VAT</w:t>
      </w:r>
      <w:r>
        <w:rPr>
          <w:rFonts w:ascii="Times New Roman" w:hAnsi="Times New Roman"/>
          <w:color w:val="000000"/>
          <w:sz w:val="18"/>
          <w:szCs w:val="18"/>
        </w:rPr>
        <w:t>,</w:t>
      </w:r>
      <w:r w:rsidRPr="00F26952">
        <w:rPr>
          <w:rFonts w:ascii="Times New Roman" w:hAnsi="Times New Roman"/>
          <w:color w:val="000000"/>
          <w:sz w:val="18"/>
          <w:szCs w:val="18"/>
        </w:rPr>
        <w:t xml:space="preserve"> połączon</w:t>
      </w:r>
      <w:r>
        <w:rPr>
          <w:rFonts w:ascii="Times New Roman" w:hAnsi="Times New Roman"/>
          <w:color w:val="000000"/>
          <w:sz w:val="18"/>
          <w:szCs w:val="18"/>
        </w:rPr>
        <w:t>ych</w:t>
      </w:r>
      <w:r w:rsidRPr="00F26952">
        <w:rPr>
          <w:rFonts w:ascii="Times New Roman" w:hAnsi="Times New Roman"/>
          <w:color w:val="000000"/>
          <w:sz w:val="18"/>
          <w:szCs w:val="18"/>
        </w:rPr>
        <w:t xml:space="preserve"> z danymi dotyczącymi opłaconych przez nich składek ZUS w 2017 </w:t>
      </w:r>
      <w:r>
        <w:rPr>
          <w:rFonts w:ascii="Times New Roman" w:hAnsi="Times New Roman"/>
          <w:color w:val="000000"/>
          <w:sz w:val="18"/>
          <w:szCs w:val="18"/>
        </w:rPr>
        <w:t xml:space="preserve">r. </w:t>
      </w:r>
      <w:r w:rsidRPr="00F26952">
        <w:rPr>
          <w:rFonts w:ascii="Times New Roman" w:hAnsi="Times New Roman"/>
          <w:color w:val="000000"/>
          <w:sz w:val="18"/>
          <w:szCs w:val="18"/>
        </w:rPr>
        <w:t>oraz danymi o liczbie dni prowadzonej działalności gospodarczej w 2016 r. z</w:t>
      </w:r>
      <w:r>
        <w:rPr>
          <w:rFonts w:ascii="Times New Roman" w:hAnsi="Times New Roman"/>
          <w:color w:val="000000"/>
          <w:sz w:val="18"/>
          <w:szCs w:val="18"/>
        </w:rPr>
        <w:t xml:space="preserve"> CEIDG.</w:t>
      </w:r>
    </w:p>
  </w:footnote>
  <w:footnote w:id="5">
    <w:p w14:paraId="7BEBC0F4" w14:textId="02FA59AD" w:rsidR="00F01979" w:rsidRPr="003F556C" w:rsidRDefault="00F01979" w:rsidP="00F01979">
      <w:pPr>
        <w:pStyle w:val="Tekstprzypisudolnego"/>
        <w:rPr>
          <w:rFonts w:asciiTheme="minorHAnsi" w:hAnsiTheme="minorHAnsi"/>
        </w:rPr>
      </w:pPr>
      <w:r w:rsidRPr="003F556C">
        <w:rPr>
          <w:rStyle w:val="Odwoanieprzypisudolnego"/>
          <w:rFonts w:ascii="Times New Roman" w:hAnsi="Times New Roman"/>
          <w:sz w:val="18"/>
          <w:szCs w:val="18"/>
        </w:rPr>
        <w:footnoteRef/>
      </w:r>
      <w:r w:rsidR="00BA3E4B" w:rsidRPr="00BA3E4B">
        <w:rPr>
          <w:sz w:val="18"/>
          <w:szCs w:val="18"/>
          <w:vertAlign w:val="superscript"/>
        </w:rPr>
        <w:t>)</w:t>
      </w:r>
      <w:r w:rsidRPr="003F556C">
        <w:rPr>
          <w:rFonts w:ascii="Times New Roman" w:hAnsi="Times New Roman"/>
          <w:sz w:val="18"/>
          <w:szCs w:val="18"/>
        </w:rPr>
        <w:t xml:space="preserve"> </w:t>
      </w:r>
      <w:r w:rsidRPr="003F556C">
        <w:rPr>
          <w:rFonts w:ascii="Times New Roman" w:eastAsiaTheme="minorEastAsia" w:hAnsi="Times New Roman"/>
          <w:sz w:val="18"/>
          <w:szCs w:val="18"/>
        </w:rPr>
        <w:t>Będących płatnikami podatku VAT.</w:t>
      </w:r>
    </w:p>
  </w:footnote>
  <w:footnote w:id="6">
    <w:p w14:paraId="1E564B27" w14:textId="59948E4E" w:rsidR="00CC5E2A" w:rsidRDefault="00CC5E2A" w:rsidP="00D146AC">
      <w:pPr>
        <w:pStyle w:val="Tekstprzypisudolnego"/>
        <w:spacing w:line="240" w:lineRule="auto"/>
        <w:jc w:val="both"/>
      </w:pPr>
      <w:r w:rsidRPr="00D146AC">
        <w:rPr>
          <w:rStyle w:val="Odwoanieprzypisudolnego"/>
          <w:rFonts w:ascii="Times New Roman" w:hAnsi="Times New Roman"/>
          <w:sz w:val="18"/>
          <w:szCs w:val="18"/>
        </w:rPr>
        <w:footnoteRef/>
      </w:r>
      <w:r w:rsidR="00BA3E4B" w:rsidRPr="00BA3E4B">
        <w:rPr>
          <w:sz w:val="18"/>
          <w:szCs w:val="18"/>
          <w:vertAlign w:val="superscript"/>
        </w:rPr>
        <w:t>)</w:t>
      </w:r>
      <w:r w:rsidRPr="00D146AC">
        <w:rPr>
          <w:rFonts w:ascii="Times New Roman" w:hAnsi="Times New Roman"/>
          <w:sz w:val="18"/>
          <w:szCs w:val="18"/>
        </w:rPr>
        <w:t xml:space="preserve"> Zgodnie z rozporządzeniem Rady Ministrów z </w:t>
      </w:r>
      <w:r w:rsidR="00FD4000">
        <w:rPr>
          <w:rFonts w:ascii="Times New Roman" w:hAnsi="Times New Roman"/>
          <w:sz w:val="18"/>
          <w:szCs w:val="18"/>
        </w:rPr>
        <w:t xml:space="preserve">dnia </w:t>
      </w:r>
      <w:r w:rsidRPr="00D146AC">
        <w:rPr>
          <w:rFonts w:ascii="Times New Roman" w:hAnsi="Times New Roman"/>
          <w:sz w:val="18"/>
          <w:szCs w:val="18"/>
        </w:rPr>
        <w:t>10 września 2019 r. w sprawie wysokości minimalnego za pracę oraz wysokości minimalnej stawki godzinowej w 2020 r. (Dz. U. poz. 1778).</w:t>
      </w:r>
    </w:p>
  </w:footnote>
  <w:footnote w:id="7">
    <w:p w14:paraId="6F8DCA0B" w14:textId="38BEECDA" w:rsidR="00CC5E2A" w:rsidRPr="00D146AC" w:rsidRDefault="00CC5E2A" w:rsidP="00D146AC">
      <w:pPr>
        <w:pStyle w:val="Tekstprzypisudolnego"/>
        <w:spacing w:line="240" w:lineRule="auto"/>
        <w:jc w:val="both"/>
        <w:rPr>
          <w:rFonts w:ascii="Times New Roman" w:hAnsi="Times New Roman"/>
          <w:sz w:val="18"/>
          <w:szCs w:val="18"/>
        </w:rPr>
      </w:pPr>
      <w:r w:rsidRPr="00D146AC">
        <w:rPr>
          <w:rStyle w:val="Odwoanieprzypisudolnego"/>
          <w:rFonts w:ascii="Times New Roman" w:hAnsi="Times New Roman"/>
          <w:sz w:val="18"/>
          <w:szCs w:val="18"/>
        </w:rPr>
        <w:footnoteRef/>
      </w:r>
      <w:r w:rsidR="00BA3E4B" w:rsidRPr="00BA3E4B">
        <w:rPr>
          <w:sz w:val="18"/>
          <w:szCs w:val="18"/>
          <w:vertAlign w:val="superscript"/>
        </w:rPr>
        <w:t>)</w:t>
      </w:r>
      <w:r w:rsidRPr="00D146AC">
        <w:rPr>
          <w:rFonts w:ascii="Times New Roman" w:hAnsi="Times New Roman"/>
          <w:sz w:val="18"/>
          <w:szCs w:val="18"/>
        </w:rPr>
        <w:t xml:space="preserve"> Zgodnie z projektem ustawy budżetowej na rok 2020 (</w:t>
      </w:r>
      <w:r w:rsidR="004021DE">
        <w:rPr>
          <w:rFonts w:ascii="Times New Roman" w:hAnsi="Times New Roman"/>
          <w:sz w:val="18"/>
          <w:szCs w:val="18"/>
        </w:rPr>
        <w:t>numer druku 3829</w:t>
      </w:r>
      <w:r w:rsidRPr="00D146AC">
        <w:rPr>
          <w:rFonts w:ascii="Times New Roman" w:hAnsi="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E2FEB"/>
    <w:multiLevelType w:val="hybridMultilevel"/>
    <w:tmpl w:val="CB02B1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78748E"/>
    <w:multiLevelType w:val="hybridMultilevel"/>
    <w:tmpl w:val="2F649C72"/>
    <w:lvl w:ilvl="0" w:tplc="4E2E8C4E">
      <w:start w:val="1"/>
      <w:numFmt w:val="decimal"/>
      <w:lvlText w:val="%1."/>
      <w:lvlJc w:val="left"/>
      <w:pPr>
        <w:ind w:left="2090" w:hanging="141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2" w15:restartNumberingAfterBreak="0">
    <w:nsid w:val="141D408C"/>
    <w:multiLevelType w:val="hybridMultilevel"/>
    <w:tmpl w:val="D73A8BB8"/>
    <w:lvl w:ilvl="0" w:tplc="04150017">
      <w:start w:val="1"/>
      <w:numFmt w:val="lowerLetter"/>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3" w15:restartNumberingAfterBreak="0">
    <w:nsid w:val="2D7F2431"/>
    <w:multiLevelType w:val="hybridMultilevel"/>
    <w:tmpl w:val="E82EC036"/>
    <w:lvl w:ilvl="0" w:tplc="D9CE4770">
      <w:start w:val="1"/>
      <w:numFmt w:val="decimal"/>
      <w:lvlText w:val="%1."/>
      <w:lvlJc w:val="left"/>
      <w:pPr>
        <w:ind w:left="720" w:hanging="360"/>
      </w:pPr>
      <w:rPr>
        <w:rFonts w:ascii="Times" w:hAnsi="Time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D5C22BF"/>
    <w:multiLevelType w:val="hybridMultilevel"/>
    <w:tmpl w:val="6B0E67B6"/>
    <w:lvl w:ilvl="0" w:tplc="7382DE22">
      <w:start w:val="3"/>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5" w15:restartNumberingAfterBreak="0">
    <w:nsid w:val="41A04AA9"/>
    <w:multiLevelType w:val="hybridMultilevel"/>
    <w:tmpl w:val="9F0C09C6"/>
    <w:lvl w:ilvl="0" w:tplc="BD0E3298">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3C9"/>
    <w:rsid w:val="0000122C"/>
    <w:rsid w:val="0000288E"/>
    <w:rsid w:val="0000391C"/>
    <w:rsid w:val="00007958"/>
    <w:rsid w:val="00021469"/>
    <w:rsid w:val="00031BEE"/>
    <w:rsid w:val="00043320"/>
    <w:rsid w:val="000529F6"/>
    <w:rsid w:val="00053F53"/>
    <w:rsid w:val="00072A8A"/>
    <w:rsid w:val="00080281"/>
    <w:rsid w:val="00092712"/>
    <w:rsid w:val="00095344"/>
    <w:rsid w:val="000A04A5"/>
    <w:rsid w:val="000A2F7E"/>
    <w:rsid w:val="000A5871"/>
    <w:rsid w:val="000B3418"/>
    <w:rsid w:val="000B35F0"/>
    <w:rsid w:val="000B5127"/>
    <w:rsid w:val="000C6697"/>
    <w:rsid w:val="000D27FD"/>
    <w:rsid w:val="000E5D63"/>
    <w:rsid w:val="000F130A"/>
    <w:rsid w:val="000F1945"/>
    <w:rsid w:val="000F7C44"/>
    <w:rsid w:val="0010147F"/>
    <w:rsid w:val="001025A0"/>
    <w:rsid w:val="00102C44"/>
    <w:rsid w:val="00104F3A"/>
    <w:rsid w:val="001076E4"/>
    <w:rsid w:val="0011289A"/>
    <w:rsid w:val="00114446"/>
    <w:rsid w:val="00130292"/>
    <w:rsid w:val="00130C9D"/>
    <w:rsid w:val="00135BC0"/>
    <w:rsid w:val="001922C9"/>
    <w:rsid w:val="001B0C7D"/>
    <w:rsid w:val="001B48CD"/>
    <w:rsid w:val="001B7AB6"/>
    <w:rsid w:val="001D13BA"/>
    <w:rsid w:val="001D3A3E"/>
    <w:rsid w:val="001E33C4"/>
    <w:rsid w:val="001F6FB9"/>
    <w:rsid w:val="00205B84"/>
    <w:rsid w:val="0021197B"/>
    <w:rsid w:val="00216AB9"/>
    <w:rsid w:val="00221BCD"/>
    <w:rsid w:val="00221BF4"/>
    <w:rsid w:val="00233D3A"/>
    <w:rsid w:val="0023568A"/>
    <w:rsid w:val="00243E33"/>
    <w:rsid w:val="00245E9C"/>
    <w:rsid w:val="002472C2"/>
    <w:rsid w:val="00252D88"/>
    <w:rsid w:val="00261A27"/>
    <w:rsid w:val="00266978"/>
    <w:rsid w:val="002757FD"/>
    <w:rsid w:val="002A39E7"/>
    <w:rsid w:val="002A3AA0"/>
    <w:rsid w:val="002A59AF"/>
    <w:rsid w:val="002B03A5"/>
    <w:rsid w:val="002B15C6"/>
    <w:rsid w:val="002B6935"/>
    <w:rsid w:val="002C068A"/>
    <w:rsid w:val="002C27EA"/>
    <w:rsid w:val="002D7806"/>
    <w:rsid w:val="002E2D13"/>
    <w:rsid w:val="002E64A8"/>
    <w:rsid w:val="002F4D0A"/>
    <w:rsid w:val="002F7A7D"/>
    <w:rsid w:val="002F7B27"/>
    <w:rsid w:val="0030421B"/>
    <w:rsid w:val="00313345"/>
    <w:rsid w:val="00316B15"/>
    <w:rsid w:val="0032572F"/>
    <w:rsid w:val="00332F50"/>
    <w:rsid w:val="00335A57"/>
    <w:rsid w:val="0034419D"/>
    <w:rsid w:val="00352390"/>
    <w:rsid w:val="00354E39"/>
    <w:rsid w:val="003617C2"/>
    <w:rsid w:val="003641F3"/>
    <w:rsid w:val="0036794C"/>
    <w:rsid w:val="00371104"/>
    <w:rsid w:val="00381B37"/>
    <w:rsid w:val="00383FE8"/>
    <w:rsid w:val="003942BC"/>
    <w:rsid w:val="00397D51"/>
    <w:rsid w:val="003C1EB5"/>
    <w:rsid w:val="003C67A1"/>
    <w:rsid w:val="003D684E"/>
    <w:rsid w:val="003F0EF4"/>
    <w:rsid w:val="003F4753"/>
    <w:rsid w:val="004021DE"/>
    <w:rsid w:val="0041200D"/>
    <w:rsid w:val="00430739"/>
    <w:rsid w:val="004333C9"/>
    <w:rsid w:val="004441B3"/>
    <w:rsid w:val="00444CC4"/>
    <w:rsid w:val="004526F5"/>
    <w:rsid w:val="00455F86"/>
    <w:rsid w:val="0046002E"/>
    <w:rsid w:val="00466341"/>
    <w:rsid w:val="00466DFD"/>
    <w:rsid w:val="00474898"/>
    <w:rsid w:val="00484947"/>
    <w:rsid w:val="00497473"/>
    <w:rsid w:val="00497783"/>
    <w:rsid w:val="004978D1"/>
    <w:rsid w:val="004A113D"/>
    <w:rsid w:val="004A168B"/>
    <w:rsid w:val="004B6581"/>
    <w:rsid w:val="004B6753"/>
    <w:rsid w:val="004D01BA"/>
    <w:rsid w:val="004D13BF"/>
    <w:rsid w:val="004D16E1"/>
    <w:rsid w:val="004D4783"/>
    <w:rsid w:val="004D62BB"/>
    <w:rsid w:val="004F33C6"/>
    <w:rsid w:val="00500DFB"/>
    <w:rsid w:val="005011B9"/>
    <w:rsid w:val="00502894"/>
    <w:rsid w:val="00503B84"/>
    <w:rsid w:val="00503BAD"/>
    <w:rsid w:val="0051329B"/>
    <w:rsid w:val="005150B7"/>
    <w:rsid w:val="00522FD5"/>
    <w:rsid w:val="0052702F"/>
    <w:rsid w:val="0054010C"/>
    <w:rsid w:val="005421AF"/>
    <w:rsid w:val="0054548E"/>
    <w:rsid w:val="00556878"/>
    <w:rsid w:val="005629D7"/>
    <w:rsid w:val="00573997"/>
    <w:rsid w:val="00582137"/>
    <w:rsid w:val="005A07F0"/>
    <w:rsid w:val="005A5C18"/>
    <w:rsid w:val="005A79BB"/>
    <w:rsid w:val="005B3EE0"/>
    <w:rsid w:val="005B5C4E"/>
    <w:rsid w:val="005B5F12"/>
    <w:rsid w:val="005D2140"/>
    <w:rsid w:val="005D7DAE"/>
    <w:rsid w:val="005D7FEA"/>
    <w:rsid w:val="005E54D4"/>
    <w:rsid w:val="005F2296"/>
    <w:rsid w:val="006051C2"/>
    <w:rsid w:val="006238CE"/>
    <w:rsid w:val="0062496A"/>
    <w:rsid w:val="0062536F"/>
    <w:rsid w:val="00636C68"/>
    <w:rsid w:val="00637D88"/>
    <w:rsid w:val="00641E6D"/>
    <w:rsid w:val="00644622"/>
    <w:rsid w:val="00647124"/>
    <w:rsid w:val="00661ECB"/>
    <w:rsid w:val="00662D6F"/>
    <w:rsid w:val="00663695"/>
    <w:rsid w:val="00673389"/>
    <w:rsid w:val="0067339B"/>
    <w:rsid w:val="00684CDB"/>
    <w:rsid w:val="00684D3B"/>
    <w:rsid w:val="006D03C3"/>
    <w:rsid w:val="006D2BA5"/>
    <w:rsid w:val="006F12A2"/>
    <w:rsid w:val="006F18FE"/>
    <w:rsid w:val="006F3AE1"/>
    <w:rsid w:val="006F6431"/>
    <w:rsid w:val="0070172D"/>
    <w:rsid w:val="007032D8"/>
    <w:rsid w:val="007039A5"/>
    <w:rsid w:val="00716C58"/>
    <w:rsid w:val="00721F96"/>
    <w:rsid w:val="00722ACE"/>
    <w:rsid w:val="00732305"/>
    <w:rsid w:val="00746AFF"/>
    <w:rsid w:val="0074762F"/>
    <w:rsid w:val="00757A9A"/>
    <w:rsid w:val="007706DB"/>
    <w:rsid w:val="007767CA"/>
    <w:rsid w:val="0078208F"/>
    <w:rsid w:val="00791053"/>
    <w:rsid w:val="0079726A"/>
    <w:rsid w:val="007A0F10"/>
    <w:rsid w:val="007A703C"/>
    <w:rsid w:val="007C06C2"/>
    <w:rsid w:val="007D04CD"/>
    <w:rsid w:val="007E3671"/>
    <w:rsid w:val="007E41A7"/>
    <w:rsid w:val="007E4665"/>
    <w:rsid w:val="007E53D5"/>
    <w:rsid w:val="007E7B54"/>
    <w:rsid w:val="007F6843"/>
    <w:rsid w:val="00800510"/>
    <w:rsid w:val="008078AF"/>
    <w:rsid w:val="00815781"/>
    <w:rsid w:val="008308A4"/>
    <w:rsid w:val="008315E1"/>
    <w:rsid w:val="00832FDA"/>
    <w:rsid w:val="00847EAC"/>
    <w:rsid w:val="00860316"/>
    <w:rsid w:val="00861CFA"/>
    <w:rsid w:val="00863AD8"/>
    <w:rsid w:val="0086748F"/>
    <w:rsid w:val="0087012C"/>
    <w:rsid w:val="00883512"/>
    <w:rsid w:val="00887D69"/>
    <w:rsid w:val="0089539B"/>
    <w:rsid w:val="008974FC"/>
    <w:rsid w:val="008A0EC7"/>
    <w:rsid w:val="008A70D6"/>
    <w:rsid w:val="008B36DA"/>
    <w:rsid w:val="008C212A"/>
    <w:rsid w:val="008D148C"/>
    <w:rsid w:val="008D294A"/>
    <w:rsid w:val="008D410E"/>
    <w:rsid w:val="008E046D"/>
    <w:rsid w:val="008E5A6B"/>
    <w:rsid w:val="008F2269"/>
    <w:rsid w:val="0091359C"/>
    <w:rsid w:val="0091468D"/>
    <w:rsid w:val="00922199"/>
    <w:rsid w:val="00924E01"/>
    <w:rsid w:val="0092576E"/>
    <w:rsid w:val="009314B8"/>
    <w:rsid w:val="009332B9"/>
    <w:rsid w:val="00947AD3"/>
    <w:rsid w:val="009523C5"/>
    <w:rsid w:val="00955CDC"/>
    <w:rsid w:val="00960F3C"/>
    <w:rsid w:val="00971BD2"/>
    <w:rsid w:val="009739C5"/>
    <w:rsid w:val="00993304"/>
    <w:rsid w:val="009936D7"/>
    <w:rsid w:val="009A0312"/>
    <w:rsid w:val="009A79AE"/>
    <w:rsid w:val="009B2604"/>
    <w:rsid w:val="009B26D6"/>
    <w:rsid w:val="009B49AE"/>
    <w:rsid w:val="009B704B"/>
    <w:rsid w:val="009C41FD"/>
    <w:rsid w:val="009C4484"/>
    <w:rsid w:val="009D1B75"/>
    <w:rsid w:val="009D474B"/>
    <w:rsid w:val="009D62C4"/>
    <w:rsid w:val="009E6CB7"/>
    <w:rsid w:val="00A035EB"/>
    <w:rsid w:val="00A05893"/>
    <w:rsid w:val="00A06956"/>
    <w:rsid w:val="00A11FBB"/>
    <w:rsid w:val="00A14736"/>
    <w:rsid w:val="00A14F1A"/>
    <w:rsid w:val="00A179C1"/>
    <w:rsid w:val="00A17F8B"/>
    <w:rsid w:val="00A23A1F"/>
    <w:rsid w:val="00A279EE"/>
    <w:rsid w:val="00A352BB"/>
    <w:rsid w:val="00A43458"/>
    <w:rsid w:val="00A4353D"/>
    <w:rsid w:val="00A4397E"/>
    <w:rsid w:val="00A454DA"/>
    <w:rsid w:val="00A47AB7"/>
    <w:rsid w:val="00A50492"/>
    <w:rsid w:val="00A50F99"/>
    <w:rsid w:val="00A6162F"/>
    <w:rsid w:val="00A657B4"/>
    <w:rsid w:val="00A813A2"/>
    <w:rsid w:val="00A937B1"/>
    <w:rsid w:val="00A944AE"/>
    <w:rsid w:val="00AA59D2"/>
    <w:rsid w:val="00AA5B03"/>
    <w:rsid w:val="00AA5F86"/>
    <w:rsid w:val="00AB46A6"/>
    <w:rsid w:val="00AB4DA1"/>
    <w:rsid w:val="00AC234B"/>
    <w:rsid w:val="00AD1AE4"/>
    <w:rsid w:val="00AD4078"/>
    <w:rsid w:val="00AD635A"/>
    <w:rsid w:val="00AE07E0"/>
    <w:rsid w:val="00AE0AB6"/>
    <w:rsid w:val="00AE1757"/>
    <w:rsid w:val="00AE1DB5"/>
    <w:rsid w:val="00AE29D6"/>
    <w:rsid w:val="00AE398D"/>
    <w:rsid w:val="00AE454F"/>
    <w:rsid w:val="00AE6B92"/>
    <w:rsid w:val="00AF2DBF"/>
    <w:rsid w:val="00AF352B"/>
    <w:rsid w:val="00AF3A91"/>
    <w:rsid w:val="00B005F5"/>
    <w:rsid w:val="00B01C69"/>
    <w:rsid w:val="00B04329"/>
    <w:rsid w:val="00B06409"/>
    <w:rsid w:val="00B13724"/>
    <w:rsid w:val="00B1410A"/>
    <w:rsid w:val="00B17524"/>
    <w:rsid w:val="00B355B2"/>
    <w:rsid w:val="00B434FF"/>
    <w:rsid w:val="00B57622"/>
    <w:rsid w:val="00B60BA3"/>
    <w:rsid w:val="00B60F7C"/>
    <w:rsid w:val="00B66D51"/>
    <w:rsid w:val="00B67254"/>
    <w:rsid w:val="00B67B2A"/>
    <w:rsid w:val="00B73D6D"/>
    <w:rsid w:val="00B84EAE"/>
    <w:rsid w:val="00B84FBE"/>
    <w:rsid w:val="00B85519"/>
    <w:rsid w:val="00B96CF8"/>
    <w:rsid w:val="00BA3E4B"/>
    <w:rsid w:val="00BD7F16"/>
    <w:rsid w:val="00BE0B94"/>
    <w:rsid w:val="00BE1402"/>
    <w:rsid w:val="00BE306C"/>
    <w:rsid w:val="00BF29C5"/>
    <w:rsid w:val="00BF613D"/>
    <w:rsid w:val="00BF7941"/>
    <w:rsid w:val="00C05843"/>
    <w:rsid w:val="00C21B1C"/>
    <w:rsid w:val="00C37C06"/>
    <w:rsid w:val="00C62DCA"/>
    <w:rsid w:val="00C6635E"/>
    <w:rsid w:val="00C73629"/>
    <w:rsid w:val="00C76D04"/>
    <w:rsid w:val="00C85F8B"/>
    <w:rsid w:val="00C87F2D"/>
    <w:rsid w:val="00C90ADD"/>
    <w:rsid w:val="00C91FE0"/>
    <w:rsid w:val="00C922E6"/>
    <w:rsid w:val="00CA20F7"/>
    <w:rsid w:val="00CA47C7"/>
    <w:rsid w:val="00CB1B37"/>
    <w:rsid w:val="00CB236F"/>
    <w:rsid w:val="00CB3CEC"/>
    <w:rsid w:val="00CB571D"/>
    <w:rsid w:val="00CB5F1F"/>
    <w:rsid w:val="00CC1488"/>
    <w:rsid w:val="00CC5E2A"/>
    <w:rsid w:val="00CD64F4"/>
    <w:rsid w:val="00CE1528"/>
    <w:rsid w:val="00CE24E1"/>
    <w:rsid w:val="00CE5FBE"/>
    <w:rsid w:val="00CF0563"/>
    <w:rsid w:val="00CF10C0"/>
    <w:rsid w:val="00CF1E63"/>
    <w:rsid w:val="00CF58EA"/>
    <w:rsid w:val="00CF5E90"/>
    <w:rsid w:val="00D031BA"/>
    <w:rsid w:val="00D06456"/>
    <w:rsid w:val="00D11AA9"/>
    <w:rsid w:val="00D146AC"/>
    <w:rsid w:val="00D17A51"/>
    <w:rsid w:val="00D21839"/>
    <w:rsid w:val="00D454EB"/>
    <w:rsid w:val="00D46716"/>
    <w:rsid w:val="00D553C8"/>
    <w:rsid w:val="00D773FA"/>
    <w:rsid w:val="00D8385D"/>
    <w:rsid w:val="00D85AE6"/>
    <w:rsid w:val="00D874B2"/>
    <w:rsid w:val="00D92C83"/>
    <w:rsid w:val="00D92D37"/>
    <w:rsid w:val="00DB7276"/>
    <w:rsid w:val="00DC1C46"/>
    <w:rsid w:val="00DC208B"/>
    <w:rsid w:val="00DC21F3"/>
    <w:rsid w:val="00DC21F6"/>
    <w:rsid w:val="00DD0266"/>
    <w:rsid w:val="00DD6B87"/>
    <w:rsid w:val="00DE5803"/>
    <w:rsid w:val="00DF1982"/>
    <w:rsid w:val="00E00CE3"/>
    <w:rsid w:val="00E108AD"/>
    <w:rsid w:val="00E12F3E"/>
    <w:rsid w:val="00E21D5C"/>
    <w:rsid w:val="00E22996"/>
    <w:rsid w:val="00E311BA"/>
    <w:rsid w:val="00E31A8C"/>
    <w:rsid w:val="00E371D8"/>
    <w:rsid w:val="00E43A17"/>
    <w:rsid w:val="00E5052D"/>
    <w:rsid w:val="00E55661"/>
    <w:rsid w:val="00E63F41"/>
    <w:rsid w:val="00E71156"/>
    <w:rsid w:val="00E71B7A"/>
    <w:rsid w:val="00E802E3"/>
    <w:rsid w:val="00E808D2"/>
    <w:rsid w:val="00E81671"/>
    <w:rsid w:val="00EA74CF"/>
    <w:rsid w:val="00EB1E18"/>
    <w:rsid w:val="00EB3F47"/>
    <w:rsid w:val="00EB6717"/>
    <w:rsid w:val="00EC0F77"/>
    <w:rsid w:val="00EC3B18"/>
    <w:rsid w:val="00EC51C8"/>
    <w:rsid w:val="00EE3A5A"/>
    <w:rsid w:val="00EE4F5E"/>
    <w:rsid w:val="00EF11A3"/>
    <w:rsid w:val="00EF7C45"/>
    <w:rsid w:val="00F0000F"/>
    <w:rsid w:val="00F01979"/>
    <w:rsid w:val="00F01C11"/>
    <w:rsid w:val="00F035D3"/>
    <w:rsid w:val="00F03F6A"/>
    <w:rsid w:val="00F21987"/>
    <w:rsid w:val="00F26952"/>
    <w:rsid w:val="00F31E4F"/>
    <w:rsid w:val="00F36626"/>
    <w:rsid w:val="00F419D0"/>
    <w:rsid w:val="00F46903"/>
    <w:rsid w:val="00F634C0"/>
    <w:rsid w:val="00F705BE"/>
    <w:rsid w:val="00F74ED9"/>
    <w:rsid w:val="00F83FF1"/>
    <w:rsid w:val="00FA04AF"/>
    <w:rsid w:val="00FA21C3"/>
    <w:rsid w:val="00FB342A"/>
    <w:rsid w:val="00FB6AF3"/>
    <w:rsid w:val="00FC325F"/>
    <w:rsid w:val="00FC4C00"/>
    <w:rsid w:val="00FC6AA0"/>
    <w:rsid w:val="00FD0D2D"/>
    <w:rsid w:val="00FD1BCF"/>
    <w:rsid w:val="00FD2781"/>
    <w:rsid w:val="00FD4000"/>
    <w:rsid w:val="00FD6012"/>
    <w:rsid w:val="00FE2EB3"/>
    <w:rsid w:val="00FE4CC6"/>
    <w:rsid w:val="00FF3AB3"/>
    <w:rsid w:val="00FF66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E55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33C9"/>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4333C9"/>
    <w:rPr>
      <w:rFonts w:cs="Times New Roman"/>
      <w:vertAlign w:val="superscript"/>
    </w:rPr>
  </w:style>
  <w:style w:type="paragraph" w:styleId="Nagwek">
    <w:name w:val="header"/>
    <w:basedOn w:val="Normalny"/>
    <w:link w:val="NagwekZnak"/>
    <w:uiPriority w:val="99"/>
    <w:semiHidden/>
    <w:rsid w:val="004333C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4333C9"/>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4333C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KSIGAoznaczenieiprzedmiotczcilubksigi">
    <w:name w:val="CZĘŚĆ(KSIĘGA) – oznaczenie i przedmiot części lub księgi"/>
    <w:next w:val="ARTartustawynprozporzdzenia"/>
    <w:uiPriority w:val="8"/>
    <w:qFormat/>
    <w:rsid w:val="004333C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styleId="Tekstprzypisudolnego">
    <w:name w:val="footnote text"/>
    <w:basedOn w:val="Normalny"/>
    <w:link w:val="TekstprzypisudolnegoZnak"/>
    <w:uiPriority w:val="99"/>
    <w:semiHidden/>
    <w:qFormat/>
    <w:rsid w:val="004333C9"/>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4333C9"/>
    <w:rPr>
      <w:rFonts w:ascii="Times" w:eastAsia="Times New Roman" w:hAnsi="Times" w:cs="Times New Roman"/>
      <w:sz w:val="24"/>
      <w:szCs w:val="24"/>
      <w:lang w:eastAsia="pl-PL"/>
    </w:rPr>
  </w:style>
  <w:style w:type="character" w:customStyle="1" w:styleId="Ppogrubienie">
    <w:name w:val="_P_ – pogrubienie"/>
    <w:basedOn w:val="Domylnaczcionkaakapitu"/>
    <w:uiPriority w:val="1"/>
    <w:qFormat/>
    <w:rsid w:val="004333C9"/>
    <w:rPr>
      <w:b/>
    </w:rPr>
  </w:style>
  <w:style w:type="paragraph" w:styleId="Legenda">
    <w:name w:val="caption"/>
    <w:basedOn w:val="Normalny"/>
    <w:next w:val="Normalny"/>
    <w:uiPriority w:val="99"/>
    <w:unhideWhenUsed/>
    <w:qFormat/>
    <w:rsid w:val="004333C9"/>
    <w:pPr>
      <w:spacing w:after="200" w:line="240" w:lineRule="auto"/>
    </w:pPr>
    <w:rPr>
      <w:b/>
      <w:bCs/>
      <w:color w:val="4F81BD" w:themeColor="accent1"/>
      <w:sz w:val="18"/>
      <w:szCs w:val="18"/>
    </w:rPr>
  </w:style>
  <w:style w:type="paragraph" w:styleId="Tekstdymka">
    <w:name w:val="Balloon Text"/>
    <w:basedOn w:val="Normalny"/>
    <w:link w:val="TekstdymkaZnak"/>
    <w:uiPriority w:val="99"/>
    <w:semiHidden/>
    <w:unhideWhenUsed/>
    <w:rsid w:val="004333C9"/>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33C9"/>
    <w:rPr>
      <w:rFonts w:ascii="Tahoma" w:eastAsiaTheme="minorEastAsia" w:hAnsi="Tahoma" w:cs="Tahoma"/>
      <w:sz w:val="16"/>
      <w:szCs w:val="16"/>
      <w:lang w:eastAsia="pl-PL"/>
    </w:rPr>
  </w:style>
  <w:style w:type="paragraph" w:styleId="Stopka">
    <w:name w:val="footer"/>
    <w:basedOn w:val="Normalny"/>
    <w:link w:val="StopkaZnak"/>
    <w:uiPriority w:val="99"/>
    <w:unhideWhenUsed/>
    <w:rsid w:val="009523C5"/>
    <w:pPr>
      <w:tabs>
        <w:tab w:val="center" w:pos="4536"/>
        <w:tab w:val="right" w:pos="9072"/>
      </w:tabs>
      <w:spacing w:line="240" w:lineRule="auto"/>
    </w:pPr>
  </w:style>
  <w:style w:type="character" w:customStyle="1" w:styleId="StopkaZnak">
    <w:name w:val="Stopka Znak"/>
    <w:basedOn w:val="Domylnaczcionkaakapitu"/>
    <w:link w:val="Stopka"/>
    <w:uiPriority w:val="99"/>
    <w:rsid w:val="009523C5"/>
    <w:rPr>
      <w:rFonts w:ascii="Times New Roman" w:eastAsiaTheme="minorEastAsia" w:hAnsi="Times New Roman" w:cs="Arial"/>
      <w:sz w:val="24"/>
      <w:szCs w:val="20"/>
      <w:lang w:eastAsia="pl-PL"/>
    </w:rPr>
  </w:style>
  <w:style w:type="paragraph" w:styleId="Akapitzlist">
    <w:name w:val="List Paragraph"/>
    <w:basedOn w:val="Normalny"/>
    <w:uiPriority w:val="34"/>
    <w:qFormat/>
    <w:rsid w:val="002E64A8"/>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Odwoaniedokomentarza">
    <w:name w:val="annotation reference"/>
    <w:basedOn w:val="Domylnaczcionkaakapitu"/>
    <w:uiPriority w:val="99"/>
    <w:semiHidden/>
    <w:unhideWhenUsed/>
    <w:rsid w:val="00430739"/>
    <w:rPr>
      <w:sz w:val="16"/>
      <w:szCs w:val="16"/>
    </w:rPr>
  </w:style>
  <w:style w:type="paragraph" w:styleId="Tekstkomentarza">
    <w:name w:val="annotation text"/>
    <w:basedOn w:val="Normalny"/>
    <w:link w:val="TekstkomentarzaZnak"/>
    <w:uiPriority w:val="99"/>
    <w:semiHidden/>
    <w:unhideWhenUsed/>
    <w:rsid w:val="00430739"/>
    <w:pPr>
      <w:spacing w:line="240" w:lineRule="auto"/>
    </w:pPr>
    <w:rPr>
      <w:sz w:val="20"/>
    </w:rPr>
  </w:style>
  <w:style w:type="character" w:customStyle="1" w:styleId="TekstkomentarzaZnak">
    <w:name w:val="Tekst komentarza Znak"/>
    <w:basedOn w:val="Domylnaczcionkaakapitu"/>
    <w:link w:val="Tekstkomentarza"/>
    <w:uiPriority w:val="99"/>
    <w:semiHidden/>
    <w:rsid w:val="00430739"/>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430739"/>
    <w:rPr>
      <w:b/>
      <w:bCs/>
    </w:rPr>
  </w:style>
  <w:style w:type="character" w:customStyle="1" w:styleId="TematkomentarzaZnak">
    <w:name w:val="Temat komentarza Znak"/>
    <w:basedOn w:val="TekstkomentarzaZnak"/>
    <w:link w:val="Tematkomentarza"/>
    <w:uiPriority w:val="99"/>
    <w:semiHidden/>
    <w:rsid w:val="00430739"/>
    <w:rPr>
      <w:rFonts w:ascii="Times New Roman" w:eastAsiaTheme="minorEastAsia" w:hAnsi="Times New Roman" w:cs="Arial"/>
      <w:b/>
      <w:bCs/>
      <w:sz w:val="20"/>
      <w:szCs w:val="20"/>
      <w:lang w:eastAsia="pl-PL"/>
    </w:rPr>
  </w:style>
  <w:style w:type="character" w:styleId="Hipercze">
    <w:name w:val="Hyperlink"/>
    <w:uiPriority w:val="99"/>
    <w:semiHidden/>
    <w:unhideWhenUsed/>
    <w:rsid w:val="00E63F41"/>
    <w:rPr>
      <w:color w:val="0000FF"/>
      <w:u w:val="single"/>
    </w:rPr>
  </w:style>
  <w:style w:type="paragraph" w:customStyle="1" w:styleId="ZLITUSTzmustliter">
    <w:name w:val="Z_LIT/UST(§) – zm. ust. (§) literą"/>
    <w:basedOn w:val="Normalny"/>
    <w:uiPriority w:val="46"/>
    <w:qFormat/>
    <w:rsid w:val="0021197B"/>
    <w:pPr>
      <w:widowControl/>
      <w:suppressAutoHyphens/>
      <w:ind w:left="987" w:firstLine="510"/>
      <w:jc w:val="both"/>
    </w:pPr>
    <w:rPr>
      <w:rFonts w:ascii="Times" w:eastAsia="Times New Roman" w:hAnsi="Times"/>
      <w:bCs/>
    </w:rPr>
  </w:style>
  <w:style w:type="character" w:customStyle="1" w:styleId="tabulatory">
    <w:name w:val="tabulatory"/>
    <w:basedOn w:val="Domylnaczcionkaakapitu"/>
    <w:rsid w:val="00DF1982"/>
  </w:style>
  <w:style w:type="paragraph" w:customStyle="1" w:styleId="OZNPROJEKTUwskazaniedatylubwersjiprojektu">
    <w:name w:val="OZN_PROJEKTU – wskazanie daty lub wersji projektu"/>
    <w:next w:val="Normalny"/>
    <w:uiPriority w:val="5"/>
    <w:qFormat/>
    <w:rsid w:val="004441B3"/>
    <w:pPr>
      <w:spacing w:after="0" w:line="360" w:lineRule="auto"/>
      <w:jc w:val="right"/>
    </w:pPr>
    <w:rPr>
      <w:rFonts w:ascii="Times New Roman" w:eastAsiaTheme="minorEastAsia" w:hAnsi="Times New Roman" w:cs="Arial"/>
      <w:sz w:val="24"/>
      <w:szCs w:val="20"/>
      <w:u w:val="single"/>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88642">
      <w:bodyDiv w:val="1"/>
      <w:marLeft w:val="0"/>
      <w:marRight w:val="0"/>
      <w:marTop w:val="0"/>
      <w:marBottom w:val="0"/>
      <w:divBdr>
        <w:top w:val="none" w:sz="0" w:space="0" w:color="auto"/>
        <w:left w:val="none" w:sz="0" w:space="0" w:color="auto"/>
        <w:bottom w:val="none" w:sz="0" w:space="0" w:color="auto"/>
        <w:right w:val="none" w:sz="0" w:space="0" w:color="auto"/>
      </w:divBdr>
    </w:div>
    <w:div w:id="302005449">
      <w:bodyDiv w:val="1"/>
      <w:marLeft w:val="0"/>
      <w:marRight w:val="0"/>
      <w:marTop w:val="0"/>
      <w:marBottom w:val="0"/>
      <w:divBdr>
        <w:top w:val="none" w:sz="0" w:space="0" w:color="auto"/>
        <w:left w:val="none" w:sz="0" w:space="0" w:color="auto"/>
        <w:bottom w:val="none" w:sz="0" w:space="0" w:color="auto"/>
        <w:right w:val="none" w:sz="0" w:space="0" w:color="auto"/>
      </w:divBdr>
    </w:div>
    <w:div w:id="336226518">
      <w:bodyDiv w:val="1"/>
      <w:marLeft w:val="0"/>
      <w:marRight w:val="0"/>
      <w:marTop w:val="0"/>
      <w:marBottom w:val="0"/>
      <w:divBdr>
        <w:top w:val="none" w:sz="0" w:space="0" w:color="auto"/>
        <w:left w:val="none" w:sz="0" w:space="0" w:color="auto"/>
        <w:bottom w:val="none" w:sz="0" w:space="0" w:color="auto"/>
        <w:right w:val="none" w:sz="0" w:space="0" w:color="auto"/>
      </w:divBdr>
    </w:div>
    <w:div w:id="366413654">
      <w:bodyDiv w:val="1"/>
      <w:marLeft w:val="0"/>
      <w:marRight w:val="0"/>
      <w:marTop w:val="0"/>
      <w:marBottom w:val="0"/>
      <w:divBdr>
        <w:top w:val="none" w:sz="0" w:space="0" w:color="auto"/>
        <w:left w:val="none" w:sz="0" w:space="0" w:color="auto"/>
        <w:bottom w:val="none" w:sz="0" w:space="0" w:color="auto"/>
        <w:right w:val="none" w:sz="0" w:space="0" w:color="auto"/>
      </w:divBdr>
    </w:div>
    <w:div w:id="407963559">
      <w:bodyDiv w:val="1"/>
      <w:marLeft w:val="0"/>
      <w:marRight w:val="0"/>
      <w:marTop w:val="0"/>
      <w:marBottom w:val="0"/>
      <w:divBdr>
        <w:top w:val="none" w:sz="0" w:space="0" w:color="auto"/>
        <w:left w:val="none" w:sz="0" w:space="0" w:color="auto"/>
        <w:bottom w:val="none" w:sz="0" w:space="0" w:color="auto"/>
        <w:right w:val="none" w:sz="0" w:space="0" w:color="auto"/>
      </w:divBdr>
    </w:div>
    <w:div w:id="421150134">
      <w:bodyDiv w:val="1"/>
      <w:marLeft w:val="0"/>
      <w:marRight w:val="0"/>
      <w:marTop w:val="0"/>
      <w:marBottom w:val="0"/>
      <w:divBdr>
        <w:top w:val="none" w:sz="0" w:space="0" w:color="auto"/>
        <w:left w:val="none" w:sz="0" w:space="0" w:color="auto"/>
        <w:bottom w:val="none" w:sz="0" w:space="0" w:color="auto"/>
        <w:right w:val="none" w:sz="0" w:space="0" w:color="auto"/>
      </w:divBdr>
    </w:div>
    <w:div w:id="636762259">
      <w:bodyDiv w:val="1"/>
      <w:marLeft w:val="0"/>
      <w:marRight w:val="0"/>
      <w:marTop w:val="0"/>
      <w:marBottom w:val="0"/>
      <w:divBdr>
        <w:top w:val="none" w:sz="0" w:space="0" w:color="auto"/>
        <w:left w:val="none" w:sz="0" w:space="0" w:color="auto"/>
        <w:bottom w:val="none" w:sz="0" w:space="0" w:color="auto"/>
        <w:right w:val="none" w:sz="0" w:space="0" w:color="auto"/>
      </w:divBdr>
    </w:div>
    <w:div w:id="696584450">
      <w:bodyDiv w:val="1"/>
      <w:marLeft w:val="0"/>
      <w:marRight w:val="0"/>
      <w:marTop w:val="0"/>
      <w:marBottom w:val="0"/>
      <w:divBdr>
        <w:top w:val="none" w:sz="0" w:space="0" w:color="auto"/>
        <w:left w:val="none" w:sz="0" w:space="0" w:color="auto"/>
        <w:bottom w:val="none" w:sz="0" w:space="0" w:color="auto"/>
        <w:right w:val="none" w:sz="0" w:space="0" w:color="auto"/>
      </w:divBdr>
    </w:div>
    <w:div w:id="727189988">
      <w:bodyDiv w:val="1"/>
      <w:marLeft w:val="0"/>
      <w:marRight w:val="0"/>
      <w:marTop w:val="0"/>
      <w:marBottom w:val="0"/>
      <w:divBdr>
        <w:top w:val="none" w:sz="0" w:space="0" w:color="auto"/>
        <w:left w:val="none" w:sz="0" w:space="0" w:color="auto"/>
        <w:bottom w:val="none" w:sz="0" w:space="0" w:color="auto"/>
        <w:right w:val="none" w:sz="0" w:space="0" w:color="auto"/>
      </w:divBdr>
    </w:div>
    <w:div w:id="795028654">
      <w:bodyDiv w:val="1"/>
      <w:marLeft w:val="0"/>
      <w:marRight w:val="0"/>
      <w:marTop w:val="0"/>
      <w:marBottom w:val="0"/>
      <w:divBdr>
        <w:top w:val="none" w:sz="0" w:space="0" w:color="auto"/>
        <w:left w:val="none" w:sz="0" w:space="0" w:color="auto"/>
        <w:bottom w:val="none" w:sz="0" w:space="0" w:color="auto"/>
        <w:right w:val="none" w:sz="0" w:space="0" w:color="auto"/>
      </w:divBdr>
      <w:divsChild>
        <w:div w:id="209348952">
          <w:marLeft w:val="0"/>
          <w:marRight w:val="0"/>
          <w:marTop w:val="0"/>
          <w:marBottom w:val="0"/>
          <w:divBdr>
            <w:top w:val="none" w:sz="0" w:space="0" w:color="auto"/>
            <w:left w:val="none" w:sz="0" w:space="0" w:color="auto"/>
            <w:bottom w:val="none" w:sz="0" w:space="0" w:color="auto"/>
            <w:right w:val="none" w:sz="0" w:space="0" w:color="auto"/>
          </w:divBdr>
          <w:divsChild>
            <w:div w:id="4331105">
              <w:marLeft w:val="480"/>
              <w:marRight w:val="0"/>
              <w:marTop w:val="0"/>
              <w:marBottom w:val="0"/>
              <w:divBdr>
                <w:top w:val="none" w:sz="0" w:space="0" w:color="auto"/>
                <w:left w:val="none" w:sz="0" w:space="0" w:color="auto"/>
                <w:bottom w:val="none" w:sz="0" w:space="0" w:color="auto"/>
                <w:right w:val="none" w:sz="0" w:space="0" w:color="auto"/>
              </w:divBdr>
            </w:div>
          </w:divsChild>
        </w:div>
        <w:div w:id="452210709">
          <w:marLeft w:val="0"/>
          <w:marRight w:val="0"/>
          <w:marTop w:val="0"/>
          <w:marBottom w:val="0"/>
          <w:divBdr>
            <w:top w:val="none" w:sz="0" w:space="0" w:color="auto"/>
            <w:left w:val="none" w:sz="0" w:space="0" w:color="auto"/>
            <w:bottom w:val="none" w:sz="0" w:space="0" w:color="auto"/>
            <w:right w:val="none" w:sz="0" w:space="0" w:color="auto"/>
          </w:divBdr>
          <w:divsChild>
            <w:div w:id="179143761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76647785">
      <w:bodyDiv w:val="1"/>
      <w:marLeft w:val="0"/>
      <w:marRight w:val="0"/>
      <w:marTop w:val="0"/>
      <w:marBottom w:val="0"/>
      <w:divBdr>
        <w:top w:val="none" w:sz="0" w:space="0" w:color="auto"/>
        <w:left w:val="none" w:sz="0" w:space="0" w:color="auto"/>
        <w:bottom w:val="none" w:sz="0" w:space="0" w:color="auto"/>
        <w:right w:val="none" w:sz="0" w:space="0" w:color="auto"/>
      </w:divBdr>
    </w:div>
    <w:div w:id="998114286">
      <w:bodyDiv w:val="1"/>
      <w:marLeft w:val="0"/>
      <w:marRight w:val="0"/>
      <w:marTop w:val="0"/>
      <w:marBottom w:val="0"/>
      <w:divBdr>
        <w:top w:val="none" w:sz="0" w:space="0" w:color="auto"/>
        <w:left w:val="none" w:sz="0" w:space="0" w:color="auto"/>
        <w:bottom w:val="none" w:sz="0" w:space="0" w:color="auto"/>
        <w:right w:val="none" w:sz="0" w:space="0" w:color="auto"/>
      </w:divBdr>
    </w:div>
    <w:div w:id="1012217613">
      <w:bodyDiv w:val="1"/>
      <w:marLeft w:val="0"/>
      <w:marRight w:val="0"/>
      <w:marTop w:val="0"/>
      <w:marBottom w:val="0"/>
      <w:divBdr>
        <w:top w:val="none" w:sz="0" w:space="0" w:color="auto"/>
        <w:left w:val="none" w:sz="0" w:space="0" w:color="auto"/>
        <w:bottom w:val="none" w:sz="0" w:space="0" w:color="auto"/>
        <w:right w:val="none" w:sz="0" w:space="0" w:color="auto"/>
      </w:divBdr>
    </w:div>
    <w:div w:id="1019818338">
      <w:bodyDiv w:val="1"/>
      <w:marLeft w:val="0"/>
      <w:marRight w:val="0"/>
      <w:marTop w:val="0"/>
      <w:marBottom w:val="0"/>
      <w:divBdr>
        <w:top w:val="none" w:sz="0" w:space="0" w:color="auto"/>
        <w:left w:val="none" w:sz="0" w:space="0" w:color="auto"/>
        <w:bottom w:val="none" w:sz="0" w:space="0" w:color="auto"/>
        <w:right w:val="none" w:sz="0" w:space="0" w:color="auto"/>
      </w:divBdr>
    </w:div>
    <w:div w:id="1095639615">
      <w:bodyDiv w:val="1"/>
      <w:marLeft w:val="0"/>
      <w:marRight w:val="0"/>
      <w:marTop w:val="0"/>
      <w:marBottom w:val="0"/>
      <w:divBdr>
        <w:top w:val="none" w:sz="0" w:space="0" w:color="auto"/>
        <w:left w:val="none" w:sz="0" w:space="0" w:color="auto"/>
        <w:bottom w:val="none" w:sz="0" w:space="0" w:color="auto"/>
        <w:right w:val="none" w:sz="0" w:space="0" w:color="auto"/>
      </w:divBdr>
    </w:div>
    <w:div w:id="1110122508">
      <w:bodyDiv w:val="1"/>
      <w:marLeft w:val="0"/>
      <w:marRight w:val="0"/>
      <w:marTop w:val="0"/>
      <w:marBottom w:val="0"/>
      <w:divBdr>
        <w:top w:val="none" w:sz="0" w:space="0" w:color="auto"/>
        <w:left w:val="none" w:sz="0" w:space="0" w:color="auto"/>
        <w:bottom w:val="none" w:sz="0" w:space="0" w:color="auto"/>
        <w:right w:val="none" w:sz="0" w:space="0" w:color="auto"/>
      </w:divBdr>
    </w:div>
    <w:div w:id="1455756173">
      <w:bodyDiv w:val="1"/>
      <w:marLeft w:val="0"/>
      <w:marRight w:val="0"/>
      <w:marTop w:val="0"/>
      <w:marBottom w:val="0"/>
      <w:divBdr>
        <w:top w:val="none" w:sz="0" w:space="0" w:color="auto"/>
        <w:left w:val="none" w:sz="0" w:space="0" w:color="auto"/>
        <w:bottom w:val="none" w:sz="0" w:space="0" w:color="auto"/>
        <w:right w:val="none" w:sz="0" w:space="0" w:color="auto"/>
      </w:divBdr>
    </w:div>
    <w:div w:id="1536113865">
      <w:bodyDiv w:val="1"/>
      <w:marLeft w:val="0"/>
      <w:marRight w:val="0"/>
      <w:marTop w:val="0"/>
      <w:marBottom w:val="0"/>
      <w:divBdr>
        <w:top w:val="none" w:sz="0" w:space="0" w:color="auto"/>
        <w:left w:val="none" w:sz="0" w:space="0" w:color="auto"/>
        <w:bottom w:val="none" w:sz="0" w:space="0" w:color="auto"/>
        <w:right w:val="none" w:sz="0" w:space="0" w:color="auto"/>
      </w:divBdr>
    </w:div>
    <w:div w:id="1539312617">
      <w:bodyDiv w:val="1"/>
      <w:marLeft w:val="0"/>
      <w:marRight w:val="0"/>
      <w:marTop w:val="0"/>
      <w:marBottom w:val="0"/>
      <w:divBdr>
        <w:top w:val="none" w:sz="0" w:space="0" w:color="auto"/>
        <w:left w:val="none" w:sz="0" w:space="0" w:color="auto"/>
        <w:bottom w:val="none" w:sz="0" w:space="0" w:color="auto"/>
        <w:right w:val="none" w:sz="0" w:space="0" w:color="auto"/>
      </w:divBdr>
    </w:div>
    <w:div w:id="1593050884">
      <w:bodyDiv w:val="1"/>
      <w:marLeft w:val="0"/>
      <w:marRight w:val="0"/>
      <w:marTop w:val="0"/>
      <w:marBottom w:val="0"/>
      <w:divBdr>
        <w:top w:val="none" w:sz="0" w:space="0" w:color="auto"/>
        <w:left w:val="none" w:sz="0" w:space="0" w:color="auto"/>
        <w:bottom w:val="none" w:sz="0" w:space="0" w:color="auto"/>
        <w:right w:val="none" w:sz="0" w:space="0" w:color="auto"/>
      </w:divBdr>
    </w:div>
    <w:div w:id="1673603390">
      <w:bodyDiv w:val="1"/>
      <w:marLeft w:val="0"/>
      <w:marRight w:val="0"/>
      <w:marTop w:val="0"/>
      <w:marBottom w:val="0"/>
      <w:divBdr>
        <w:top w:val="none" w:sz="0" w:space="0" w:color="auto"/>
        <w:left w:val="none" w:sz="0" w:space="0" w:color="auto"/>
        <w:bottom w:val="none" w:sz="0" w:space="0" w:color="auto"/>
        <w:right w:val="none" w:sz="0" w:space="0" w:color="auto"/>
      </w:divBdr>
    </w:div>
    <w:div w:id="1723095697">
      <w:bodyDiv w:val="1"/>
      <w:marLeft w:val="0"/>
      <w:marRight w:val="0"/>
      <w:marTop w:val="0"/>
      <w:marBottom w:val="0"/>
      <w:divBdr>
        <w:top w:val="none" w:sz="0" w:space="0" w:color="auto"/>
        <w:left w:val="none" w:sz="0" w:space="0" w:color="auto"/>
        <w:bottom w:val="none" w:sz="0" w:space="0" w:color="auto"/>
        <w:right w:val="none" w:sz="0" w:space="0" w:color="auto"/>
      </w:divBdr>
    </w:div>
    <w:div w:id="1908949881">
      <w:bodyDiv w:val="1"/>
      <w:marLeft w:val="0"/>
      <w:marRight w:val="0"/>
      <w:marTop w:val="0"/>
      <w:marBottom w:val="0"/>
      <w:divBdr>
        <w:top w:val="none" w:sz="0" w:space="0" w:color="auto"/>
        <w:left w:val="none" w:sz="0" w:space="0" w:color="auto"/>
        <w:bottom w:val="none" w:sz="0" w:space="0" w:color="auto"/>
        <w:right w:val="none" w:sz="0" w:space="0" w:color="auto"/>
      </w:divBdr>
    </w:div>
    <w:div w:id="204906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19052-A77D-4AAB-A40F-7BA8D4579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4958</Words>
  <Characters>29751</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34640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2019-11-22T11:21:00Z</dcterms:created>
  <dcterms:modified xsi:type="dcterms:W3CDTF">2019-11-22T11:21:00Z</dcterms:modified>
</cp:coreProperties>
</file>