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68E2" w:rsidRPr="001B3CBC" w:rsidRDefault="003C68E2" w:rsidP="003C68E2">
      <w:pPr>
        <w:spacing w:line="360" w:lineRule="auto"/>
        <w:ind w:firstLine="709"/>
        <w:jc w:val="center"/>
      </w:pPr>
      <w:r w:rsidRPr="001B3CBC">
        <w:t>UZASADNIENIE</w:t>
      </w:r>
    </w:p>
    <w:p w:rsidR="003C68E2" w:rsidRPr="00C945D4" w:rsidRDefault="003C68E2" w:rsidP="003C68E2">
      <w:pPr>
        <w:spacing w:line="360" w:lineRule="auto"/>
        <w:ind w:firstLine="709"/>
        <w:jc w:val="center"/>
      </w:pPr>
    </w:p>
    <w:p w:rsidR="003C68E2" w:rsidRPr="00C945D4" w:rsidRDefault="003C68E2" w:rsidP="003C68E2">
      <w:pPr>
        <w:spacing w:line="360" w:lineRule="auto"/>
        <w:ind w:firstLine="709"/>
      </w:pPr>
      <w:r w:rsidRPr="00C945D4">
        <w:t xml:space="preserve">Celem projektowanej ustawy jest realizacja orzeczenia Trybunału Konstytucyjnego </w:t>
      </w:r>
      <w:r w:rsidRPr="00C945D4">
        <w:br/>
        <w:t xml:space="preserve">z dnia 6 marca 2019 r., sygn. P 20/16, stwierdzającego niezgodność art. 25 ust. 1b ustawy </w:t>
      </w:r>
      <w:r w:rsidRPr="00C945D4">
        <w:br/>
        <w:t xml:space="preserve">z dnia 17 grudnia 1998 r. o emeryturach i rentach z Funduszu Ubezpieczeń Społecznych </w:t>
      </w:r>
      <w:r w:rsidRPr="00C945D4">
        <w:br/>
        <w:t>(Dz. U. z 2020 r. poz. 53</w:t>
      </w:r>
      <w:r>
        <w:t>, 252 i 568</w:t>
      </w:r>
      <w:r w:rsidRPr="00C945D4">
        <w:t xml:space="preserve">) w zakresie, w jakim dotyczy urodzonych w roku 1953 kobiet, które przed dniem 1 stycznia 2013 r. nabyły prawo do emerytury wcześniejszej na podstawie art. 46 w związku z art. 29 </w:t>
      </w:r>
      <w:r>
        <w:t xml:space="preserve">tej </w:t>
      </w:r>
      <w:r w:rsidRPr="00C945D4">
        <w:t xml:space="preserve">ustawy, z art. 2 Konstytucji RP. </w:t>
      </w:r>
    </w:p>
    <w:p w:rsidR="003C68E2" w:rsidRPr="00C945D4" w:rsidRDefault="003C68E2" w:rsidP="003C68E2">
      <w:pPr>
        <w:spacing w:line="360" w:lineRule="auto"/>
        <w:ind w:firstLine="709"/>
      </w:pPr>
      <w:r w:rsidRPr="00C945D4">
        <w:t xml:space="preserve">Proponowane przepisy mają umożliwić wszystkim ubezpieczonym urodzonym w roku 1953, pobierającym emeryturę wcześniejszą na podstawie przepisów ustawy emerytalnej oraz art. 88 ustawy z dnia 26 stycznia 1982 r. – Karta Nauczyciela (Dz. U. z 2019 r. poz. 2215), wystąpienie o ustalenie prawa do emerytury powszechnej bez zastosowania mechanizmu pomniejszania podstawy jej obliczenia o sumę kwot pobranych emerytur wcześniejszych. </w:t>
      </w:r>
      <w:r w:rsidR="006D3EF0">
        <w:br/>
      </w:r>
      <w:r w:rsidRPr="00C945D4">
        <w:t>Z takiej możliwości będą mogli skorzystać ubezpieczeni z rocznika 1953, którzy przed wydaniem wymienionego orzeczenia Trybunału występowali do ZUS o przyznanie emerytury powszechnej</w:t>
      </w:r>
      <w:r w:rsidR="001B3CBC">
        <w:t>,</w:t>
      </w:r>
      <w:r w:rsidRPr="00C945D4">
        <w:t xml:space="preserve"> oraz ci, którzy z takim wnio</w:t>
      </w:r>
      <w:r w:rsidR="00D85657">
        <w:t>skiem wystąpią po raz pierwszy.</w:t>
      </w:r>
      <w:r w:rsidRPr="00C945D4">
        <w:tab/>
      </w:r>
      <w:r w:rsidRPr="00C945D4">
        <w:br/>
        <w:t xml:space="preserve"> </w:t>
      </w:r>
      <w:r w:rsidRPr="00C945D4">
        <w:tab/>
        <w:t xml:space="preserve">Celem wykonania wyroku Trybunału Konstytucyjnego Komisja Ustawodawcza Senatu IX kadencji w dniu 15 maja 2019 r. przedstawiła projekt ustawy o zmianie ustawy </w:t>
      </w:r>
      <w:r w:rsidRPr="00C945D4">
        <w:br/>
        <w:t xml:space="preserve">o emeryturach i rentach z Funduszu Ubezpieczeń Społecznych. Prace nad senackim projektem ustawy o zmianie ustawy o emeryturach i rentach z Funduszu Ubezpieczeń Społecznych zostały przerwane wraz z zakończeniem kadencji Parlamentu w dniu 11 listopada 2019 r. </w:t>
      </w:r>
    </w:p>
    <w:p w:rsidR="003C68E2" w:rsidRPr="00C945D4" w:rsidRDefault="003C68E2" w:rsidP="003C68E2">
      <w:pPr>
        <w:spacing w:line="360" w:lineRule="auto"/>
        <w:ind w:firstLine="709"/>
      </w:pPr>
      <w:r w:rsidRPr="00C945D4">
        <w:t>Trybunał Konstytucyjny</w:t>
      </w:r>
      <w:r w:rsidR="001B3CBC">
        <w:t>,</w:t>
      </w:r>
      <w:r w:rsidRPr="00C945D4">
        <w:t xml:space="preserve"> orzekając o niezgodności art. 25 ust. 1b ustawy o emeryturach i rentach z Funduszu Ubezpieczeń Społecznych z art. 2 Konstytucji RP</w:t>
      </w:r>
      <w:r w:rsidR="001B3CBC">
        <w:t>,</w:t>
      </w:r>
      <w:r w:rsidRPr="00C945D4">
        <w:t xml:space="preserve"> </w:t>
      </w:r>
      <w:r>
        <w:t>uznał</w:t>
      </w:r>
      <w:r w:rsidRPr="00C945D4">
        <w:t xml:space="preserve">, iż kobiety urodzone w roku 1953, które zdecydowały się przejść na wcześniejszą emeryturę, nie miały – w momencie podejmowania tej decyzji na podstawie obowiązującego wówczas stanu prawnego – świadomości co do skutków prawnych, jakie może ona </w:t>
      </w:r>
      <w:r w:rsidR="006D3EF0">
        <w:t>wywołać</w:t>
      </w:r>
      <w:r w:rsidRPr="00C945D4">
        <w:t xml:space="preserve"> w sferze ich przyszłych uprawnień z tytułu emerytury powszechnej. Nie mogły bowiem przewidzieć, że przejście </w:t>
      </w:r>
      <w:r w:rsidRPr="00C945D4">
        <w:br/>
        <w:t xml:space="preserve">na emeryturę jeszcze przed osiągnięciem powszechnego wieku emerytalnego będzie wiązało się z pomniejszeniem zgromadzonego kapitału o pobrane świadczenia. </w:t>
      </w:r>
    </w:p>
    <w:p w:rsidR="003C68E2" w:rsidRPr="00C945D4" w:rsidRDefault="003C68E2" w:rsidP="003C68E2">
      <w:pPr>
        <w:spacing w:line="360" w:lineRule="auto"/>
        <w:ind w:firstLine="709"/>
      </w:pPr>
      <w:r w:rsidRPr="00C945D4">
        <w:t xml:space="preserve">Art. 25 ust. 1b ustawy o emeryturach i rentach z Funduszu Ubezpieczeń Społecznych wprowadzony ustawą z dnia 11 maja 2012 r. o zmianie ustawy o emeryturach i rentach </w:t>
      </w:r>
      <w:r w:rsidRPr="00C945D4">
        <w:br/>
        <w:t xml:space="preserve">z Funduszu Ubezpieczeń Społecznych oraz niektórych innych ustaw (Dz. U. poz. 637) wszedł </w:t>
      </w:r>
      <w:r w:rsidRPr="00C945D4">
        <w:lastRenderedPageBreak/>
        <w:t>w życie</w:t>
      </w:r>
      <w:r w:rsidR="00482359">
        <w:t xml:space="preserve"> z dniem</w:t>
      </w:r>
      <w:r w:rsidRPr="00C945D4">
        <w:t xml:space="preserve"> 1 stycznia 2013 r. Zgodnie z jego brzmieniem wysokość emerytury przysługującej ubezpieczonym w związku z osiągnięciem powszechnego wieku emerytalnego </w:t>
      </w:r>
      <w:r w:rsidR="001B3CBC">
        <w:t>po</w:t>
      </w:r>
      <w:r w:rsidRPr="00C945D4">
        <w:t xml:space="preserve">winna być pomniejszana o kwotę stanowiącą sumę kwot już pobranych emerytur wcześniejszych.  </w:t>
      </w:r>
    </w:p>
    <w:p w:rsidR="003C68E2" w:rsidRPr="00C945D4" w:rsidRDefault="003C68E2" w:rsidP="003C68E2">
      <w:pPr>
        <w:spacing w:line="360" w:lineRule="auto"/>
        <w:ind w:firstLine="709"/>
      </w:pPr>
      <w:r w:rsidRPr="00C945D4">
        <w:t xml:space="preserve">W ocenie Trybunału Konstytucyjnego zasada zaufania obywateli do państwa </w:t>
      </w:r>
      <w:r w:rsidRPr="00C945D4">
        <w:br/>
        <w:t xml:space="preserve">i stanowionego przez nie prawa oznacza konieczność zapewnienia bezpieczeństwa prawnego jednostki i sprowadza się do takiego stanowienia i stosowania prawa, aby nie stawało się ono swoistą pułapką dla obywatela, aby mógł on układać swoje sprawy w zaufaniu, że nie naraża się na prawne skutki, których nie mógł przewidzieć w momencie podejmowania decyzji. Takiej możliwości została pozbawiona grupa kobiet urodzonych w roku 1953, które powszechny wiek emerytalny osiągały w okresie od lutego 2013 r. do kwietnia 2014 r., a więc w czasie, gdy obowiązywał już wspomniany art. 25 ust. 1b. </w:t>
      </w:r>
    </w:p>
    <w:p w:rsidR="003C68E2" w:rsidRPr="00C945D4" w:rsidRDefault="003C68E2" w:rsidP="003C68E2">
      <w:pPr>
        <w:spacing w:line="360" w:lineRule="auto"/>
        <w:ind w:firstLine="709"/>
      </w:pPr>
      <w:r w:rsidRPr="00C945D4">
        <w:t xml:space="preserve">Trybunał Konstytucyjny podkreślił, iż w celu zagwarantowania jednolitych zasad zwrotu świadczeń należnych uprawnionym ustawodawca powinien wprowadzić odpowiednie regulacje w tym zakresie, </w:t>
      </w:r>
      <w:r>
        <w:t>po</w:t>
      </w:r>
      <w:r w:rsidRPr="00C945D4">
        <w:t xml:space="preserve">nadto skutkiem orzeczenia jest prawo wznowienia postępowania </w:t>
      </w:r>
      <w:r w:rsidRPr="00C945D4">
        <w:br/>
        <w:t xml:space="preserve">na mocy art. 190 ust. 4 Konstytucji RP dla wszystkich kobiet objętych jego zakresem. Należy jednak </w:t>
      </w:r>
      <w:r w:rsidR="006D3EF0">
        <w:t>pamiętać</w:t>
      </w:r>
      <w:r w:rsidRPr="00C945D4">
        <w:t>, iż możliwość wznowienia postępowania jest obwarowana przepisami ustawy z dnia 14 czerwca 1960 r. – Kodeks postępowania administracyjnego (Dz. U. z 20</w:t>
      </w:r>
      <w:r>
        <w:t>20</w:t>
      </w:r>
      <w:r w:rsidRPr="00C945D4">
        <w:t xml:space="preserve"> r. poz.</w:t>
      </w:r>
      <w:r w:rsidR="00D85657">
        <w:t> </w:t>
      </w:r>
      <w:r w:rsidRPr="00C945D4">
        <w:t>2</w:t>
      </w:r>
      <w:r>
        <w:t>56</w:t>
      </w:r>
      <w:r w:rsidRPr="00C945D4">
        <w:t>, z późn. zm.) oraz ustawy z dnia 17 listopada 1964 r. – Kodeks postępowania cywilnego (Dz.</w:t>
      </w:r>
      <w:r w:rsidR="00D85657">
        <w:t> </w:t>
      </w:r>
      <w:r w:rsidRPr="00C945D4">
        <w:t>U. z 2019 r. poz. 1460, z późn. zm.). W myśl art. 146 § 1 Kpa uchylenie decyzji w związku z</w:t>
      </w:r>
      <w:r w:rsidR="00D85657">
        <w:t> </w:t>
      </w:r>
      <w:r w:rsidRPr="00C945D4">
        <w:t xml:space="preserve">wydaniem orzeczenia przez Trybunał Konstytucyjny nie może nastąpić, jeżeli od dnia doręczenia decyzji upłynęło pięć lat. Sama natomiast skarga o wznowienie postępowania administracyjnego </w:t>
      </w:r>
      <w:r w:rsidR="001B3CBC">
        <w:t>po</w:t>
      </w:r>
      <w:r w:rsidRPr="00C945D4">
        <w:t xml:space="preserve">winna być złożona w terminie jednego miesiąca od dnia wejścia w życie orzeczenia Trybunału Konstytucyjnego (art. 145 § 2 Kpa). </w:t>
      </w:r>
    </w:p>
    <w:p w:rsidR="00922DE8" w:rsidRPr="00922DE8" w:rsidRDefault="003C68E2" w:rsidP="003C68E2">
      <w:pPr>
        <w:spacing w:line="360" w:lineRule="auto"/>
        <w:ind w:firstLine="709"/>
        <w:rPr>
          <w:i/>
        </w:rPr>
      </w:pPr>
      <w:r w:rsidRPr="00C945D4">
        <w:t xml:space="preserve">Projekt ustawy umożliwia zatem realizację wytycznych zawartych w orzeczeniu Trybunału Konstytucyjnego wszystkim ubezpieczonym z rocznika 1953, w sprawach których nie istnieje możliwość wznowienia postępowania administracyjnego przed Zakładem Ubezpieczeń Społecznych oraz sądowego przed sądami pracy i ubezpieczeń społecznych </w:t>
      </w:r>
      <w:r w:rsidRPr="00C945D4">
        <w:br/>
        <w:t xml:space="preserve">z uwagi na upływ ustawowych terminów. W miejscu tym należy wyraźnie zaznaczyć, </w:t>
      </w:r>
      <w:r w:rsidRPr="00C945D4">
        <w:br/>
        <w:t>że Trybunał Konstytucyjny</w:t>
      </w:r>
      <w:r w:rsidR="001B3CBC">
        <w:t>,</w:t>
      </w:r>
      <w:r w:rsidRPr="00C945D4">
        <w:t xml:space="preserve"> stwierdzając niekonstytucyjność zaskarżonego przepisu w</w:t>
      </w:r>
      <w:r w:rsidR="00D85657">
        <w:t> </w:t>
      </w:r>
      <w:r w:rsidRPr="00C945D4">
        <w:t>zakresie, w jakim dotyczy kobiet urodzonych w 1953 r., które przed dniem 1 stycznia 2013</w:t>
      </w:r>
      <w:r w:rsidR="00D85657">
        <w:t> </w:t>
      </w:r>
      <w:r w:rsidRPr="00C945D4">
        <w:t xml:space="preserve">r. nabyły prawo do emerytury na podstawie art. 46 ustawy o FUS, nie zakwestionował możliwości stosowania określonego w nim mechanizmu potrącania w stosunku do pozostałych osób. </w:t>
      </w:r>
      <w:r w:rsidRPr="00C945D4">
        <w:lastRenderedPageBreak/>
        <w:t xml:space="preserve">Wcześniejsze roczniki, tj. 1949–1952, dysponowały odpowiednim czasem i wiedzą, </w:t>
      </w:r>
      <w:r w:rsidR="001B3CBC">
        <w:t>a</w:t>
      </w:r>
      <w:r w:rsidRPr="00C945D4">
        <w:t xml:space="preserve">by przygotować się do wprowadzonych zmian. </w:t>
      </w:r>
      <w:r w:rsidR="00922DE8">
        <w:t>W</w:t>
      </w:r>
      <w:r w:rsidR="006D3EF0">
        <w:t>arto też</w:t>
      </w:r>
      <w:r w:rsidR="00922DE8">
        <w:t xml:space="preserve"> przywołać uchwałę Sądu Najwyższego z dnia 28 listopada 2019 r., sygn. akt III UZP 5/19, w której uzasadnieniu czytamy, co następuje: </w:t>
      </w:r>
      <w:r w:rsidR="00922DE8">
        <w:rPr>
          <w:i/>
        </w:rPr>
        <w:t>„Na pewno, podobnie jak kobiety z rocznika 1953, rok starsze ubezpieczone, przechodząc na emeryturę wcześniejszą, nie miały świadomości co do skutków prawnych, jakie może wywołać w sferze ich przyszłych uprawnień z tytułu emerytury powszechnej pobieranie świadczeń emerytalnych. Należy jednak wskazać, że w chwili nabycia przez nie prawa do emerytury w powszechnym wieku art. 25 ust. 1b ustawy emerytalnej nie obowiązywał, a zatem nie wywoływał jeszcze skutku prawnego. Kobiety urodzone w 1952 r. (choćby nawet urodziły się 31 grudnia 1952 r.)</w:t>
      </w:r>
      <w:r w:rsidR="0090222A">
        <w:rPr>
          <w:i/>
        </w:rPr>
        <w:t xml:space="preserve"> – przy sześciomiesięcznym vacatio legis – miały, po pierwsze, czas na podjęcie decyzji zapobiegającej niekorzystnym skutkom nowelizacji, oraz, po drugie, możliwość zrealizowania prawa na starych zasadach (bez potrąceń). Z tego powodu nie można twierdzić, że przyrzeczenia złożone tym osobom przed zmianą przepisów pozostały bez pokrycia albo że wycofanie się państwa z dotychczasowych uregulowań miało nagły charakter. Należy zatem podsumować, że ustawodawca, umożliwiając kobietom z roczników 1949-1952 realizację świadczenia na dotychczasowych zasadach, uczynił zadość zasadzie lojalności, a wobec nieuzasadnionego aksjologicznie dynamicznego przyrostu emerytury powszechnej mógł ex nunc dokonać dezaktywacji owego emerytalnego „perpetuum mobile”. Niekonstytucyjność rozstrzygnięć względem rocznika 1953 w wyroku P20/16 skonkludowano stwierdzeniem, że kobiety te nie miały możliwości, by zmienić konsekwencje decyzji podjętych w 2008 r. Fundamentalna różnica między nimi a osobami urodzonymi do końca 1952 r. polegała zatem na tym, że członkinie tej drugiej grupy miały możliwość zmiany konsekwencji podjętych decyzji”. </w:t>
      </w:r>
    </w:p>
    <w:p w:rsidR="003C68E2" w:rsidRPr="00C945D4" w:rsidRDefault="003C68E2" w:rsidP="003C68E2">
      <w:pPr>
        <w:spacing w:line="360" w:lineRule="auto"/>
        <w:ind w:firstLine="709"/>
      </w:pPr>
      <w:r w:rsidRPr="00C945D4">
        <w:t>Objęcie natomiast przepisami proponowanego aktu prawnego ubezpieczonych pobierających emeryturę na podstawie innych przepisów prawa, niż te, do których bezpośredn</w:t>
      </w:r>
      <w:r w:rsidR="00101751">
        <w:t>io odniósł się Trybunał Konstytucyjny w swoim orzeczeniu</w:t>
      </w:r>
      <w:r w:rsidRPr="00C945D4">
        <w:t xml:space="preserve">, ma źródło w konstytucyjnej zasadzie równości wobec prawa. Ubezpieczeni urodzeni w roku 1953, pobierający emerytury wcześniejsze w oparciu o inne podstawy prawne, w momencie wejścia w życie art. 25 ust. 1b znaleźli się w takiej samej sytuacji prawnej, jak grupa kobiet urodzonych w roku 1953 pobierających emeryturę wcześniejszą na podstawie art. 46 w związku z art. 29 ustawy emerytalnej. </w:t>
      </w:r>
    </w:p>
    <w:p w:rsidR="00000514" w:rsidRPr="00551027" w:rsidRDefault="003C68E2" w:rsidP="003C68E2">
      <w:pPr>
        <w:spacing w:line="360" w:lineRule="auto"/>
        <w:ind w:firstLine="709"/>
        <w:rPr>
          <w:color w:val="auto"/>
        </w:rPr>
      </w:pPr>
      <w:r w:rsidRPr="00C945D4">
        <w:t xml:space="preserve">W celu zniwelowania negatywnych skutków niekonstytucyjnej regulacji przepisy projektu przewidują ponowne ustalenie emerytury z urzędu przez organ rentowy w sprawach </w:t>
      </w:r>
      <w:r w:rsidRPr="00C945D4">
        <w:lastRenderedPageBreak/>
        <w:t xml:space="preserve">tych ubezpieczonych z rocznika 1953, którzy pobierając emeryturę wcześniejszą, z wnioskiem o przyznanie emerytury z tytułu osiągnięcia powszechnego wieku emerytalnego występowali jeszcze przed wydaniem orzeczenia przez Trybunał Konstytucyjny i którym przed wydaniem wyroku organ rentowy wydawał stosowną decyzję. Przy ponownym ustalaniu kwoty emerytury uwzględniana będzie podstawa obliczenia emerytury oraz średnie dalsze trwanie życia przyjęte w pierwszej decyzji o ustaleniu prawa do emerytury, a następnie kolejne zmiany wysokości świadczenia. Natomiast w stosunku do ubezpieczonych urodzonych w roku 1953, którzy pobierają emeryturę wcześniejszą na podstawie wniosku złożonego przed dniem </w:t>
      </w:r>
      <w:r w:rsidRPr="00C945D4">
        <w:br/>
        <w:t xml:space="preserve">1 stycznia 2013, zaś o emeryturę powszechną występować będą po raz pierwszy po wejściu przepisów projektowanej ustawy w życie, proponuje się wprowadzenie sześciomiesięcznego terminu na wystąpienie o </w:t>
      </w:r>
      <w:r w:rsidR="00101751">
        <w:t>przyznanie</w:t>
      </w:r>
      <w:r w:rsidRPr="00C945D4">
        <w:t xml:space="preserve"> emerytury powszechnej bez zastosowania reguły potrącania. To ograniczenie czasowe podyktowane jest ogólnymi zasadami prawa ubezpieczeń społecznych oraz szczególnym charakterem emerytury wcześniejszej. Należy bowiem pamiętać, że instytucja emerytury wcześniejszej ma charakter przywileju, umożliwiającego ubezpieczonym z roczników 1949–1953, objętym systemem zdefiniowanej składki (tzw. nowym systemem emerytalnym) skorzystanie z możliwości nabycia prawa do emerytury </w:t>
      </w:r>
      <w:r w:rsidRPr="00C945D4">
        <w:br/>
        <w:t>w systemie zdefiniowanego świadczenia (tzw. starego systemu emerytalnego). Ci ubezpieczeni zyskali możliwość przejścia na emeryturę w obniżonym wieku emerytalnym; na ustalenie wysokości ich świadczenia emerytalnego wpływ miały</w:t>
      </w:r>
      <w:r w:rsidR="00101751">
        <w:t xml:space="preserve"> następujące czynniki</w:t>
      </w:r>
      <w:r w:rsidRPr="00C945D4">
        <w:t xml:space="preserve">: podstawa wymiaru składek w okresie 10 lat wybranych z okresu 20 lat albo 20 lat wybranych z całego okresu podlegania ubezpieczeniu, parametr składkowy – 1,3% podstawy wymiaru emerytury za każdy rok składkowy, parametr nieskładkowy – 0,7% podstawy wymiaru za każdy rok nieskładkowy, oraz tzw. część socjalna emerytury stanowiąca 24% kwoty przeciętnego wynagrodzenia pomniejszonego o potrącone składki na ubezpieczenia społeczne, niezależnie od długości stażu ubezpieczeniowego i podstawy wymiaru składek. Wysokość ich emerytur była zatem tylko pośrednio powiązana z wysokością odprowadzonych składek, na dodatek </w:t>
      </w:r>
      <w:r w:rsidR="00101751">
        <w:t xml:space="preserve">jedynie </w:t>
      </w:r>
      <w:r w:rsidRPr="00C945D4">
        <w:t xml:space="preserve">w najkorzystniejszym, a nie w całym okresie ubezpieczenia. Istotna część świadczenia wynikała z parametrów niezwiązanych z odprowadzonymi składkami (część socjalna emerytury oraz okresy nieskładkowe). Osoby pobierające emeryturę wcześniejszą </w:t>
      </w:r>
      <w:r w:rsidRPr="00C945D4">
        <w:br/>
        <w:t xml:space="preserve">i nieodprowadzające składek – przy braku wprowadzenia wspomnianego ograniczenia czasowego – stałyby się w sposób nieuzasadniony beneficjentami opóźnienia daty przejścia na emeryturę w nowym systemie. Wysokość tzw. nowej emerytury zwiększałaby się z uwagi na parametr zewidencjonowanych i waloryzowanych składek, niepomniejszonych o wypłacone emerytury wcześniejsze, i zmniejszanie się parametru statystycznego okresu dalszego trwania </w:t>
      </w:r>
      <w:r w:rsidRPr="00C945D4">
        <w:lastRenderedPageBreak/>
        <w:t xml:space="preserve">życia. Powstałaby zatem sytuacja, w której im dłużej byłaby pobierana emerytura wcześniejsza, tym wyższa byłaby wysokość emerytury z tytułu osiągnięcia powszechnego wieku emerytalnego. Stan taki byłby sprzeczny z fundamentalną zasadą prawa ubezpieczeń społecznych powiązania wysokości świadczenia z wysokością odprowadzonych składek. </w:t>
      </w:r>
      <w:r w:rsidR="00826865">
        <w:t>Nie bez znaczenia pozostaje również fakt, iż kobiety urodzone w latach 1949</w:t>
      </w:r>
      <w:r w:rsidR="00551027">
        <w:t>–</w:t>
      </w:r>
      <w:r w:rsidR="00826865">
        <w:t xml:space="preserve">1952 dysponowały 6-miesięcznym terminem, w którym mogły wystąpić ze stosownym wnioskiem o ustalenie prawa do emerytury powszechnej bez zastosowania mechanizmu pomniejszania, tyle </w:t>
      </w:r>
      <w:r w:rsidR="00101751">
        <w:t xml:space="preserve">bowiem </w:t>
      </w:r>
      <w:r w:rsidR="00826865">
        <w:t xml:space="preserve">wynosił okres </w:t>
      </w:r>
      <w:r w:rsidR="00826865">
        <w:rPr>
          <w:i/>
        </w:rPr>
        <w:t xml:space="preserve">vacatio legis </w:t>
      </w:r>
      <w:r w:rsidR="00826865">
        <w:t>ustawy zmieniającej ustawę emerytalną z dnia 11 maja 201</w:t>
      </w:r>
      <w:r w:rsidR="00101751">
        <w:t>2 r.</w:t>
      </w:r>
      <w:r w:rsidR="00826865">
        <w:t>, wprowadzającej art. 25 ust. 1b (ustawa została ogłoszona 6 czerwca 2012 r.</w:t>
      </w:r>
      <w:r w:rsidR="00101751">
        <w:t>, zaś omawiany przepis wszedł w życie z dniem 1 stycznia 2013 r.</w:t>
      </w:r>
      <w:r w:rsidR="00826865">
        <w:t>). Zróżnicowanie</w:t>
      </w:r>
      <w:r w:rsidR="00101751">
        <w:t xml:space="preserve"> zatem</w:t>
      </w:r>
      <w:r w:rsidR="00826865">
        <w:t xml:space="preserve"> sytuacji prawnej kobiet z rocznika 1953 i roczników wcześniejszych</w:t>
      </w:r>
      <w:r w:rsidR="00101751">
        <w:t xml:space="preserve"> – pod względem terminów, w których organ rentowy miałby dokonać przeliczenia emerytury powszechnej bez stosowania reguły potrącania </w:t>
      </w:r>
      <w:r w:rsidR="00551027">
        <w:t>–</w:t>
      </w:r>
      <w:r w:rsidR="00826865">
        <w:t xml:space="preserve"> stałoby w sprzeczności z zasadą równości obywateli wobec prawa wyrażoną w art. 32 Konstytucji RP. </w:t>
      </w:r>
      <w:r w:rsidR="00000514">
        <w:t xml:space="preserve">Półroczny okres wyznaczony na wystąpienie z wnioskiem jest całkowicie wystarczający na to, </w:t>
      </w:r>
      <w:r w:rsidR="00551027">
        <w:t>a</w:t>
      </w:r>
      <w:r w:rsidR="00000514">
        <w:t xml:space="preserve">by wszystkie uprawnione osoby mogły skorzystać z proponowanych zmian. </w:t>
      </w:r>
    </w:p>
    <w:p w:rsidR="003C68E2" w:rsidRPr="00C945D4" w:rsidRDefault="003C68E2" w:rsidP="003C68E2">
      <w:pPr>
        <w:spacing w:line="360" w:lineRule="auto"/>
        <w:ind w:firstLine="709"/>
      </w:pPr>
      <w:r w:rsidRPr="00C945D4">
        <w:t xml:space="preserve">Podkreślenia wymaga też fakt, że projekt przewiduje: 1) zwrócenie ubezpieczonym różnicy między pobieraną dotychczas emeryturą a emeryturą, która powinna być wypłacana, 2) ponowne przeliczenie renty rodzinnej, 3) zawieszenie lub umorzenie postępowań w sprawie ponownego ustalenia podstawy obliczenia emerytury, wszczętych przed dniem wejścia w życie projektowanej ustawy. </w:t>
      </w:r>
    </w:p>
    <w:p w:rsidR="00C153CD" w:rsidRPr="00C945D4" w:rsidRDefault="003C68E2" w:rsidP="00C153CD">
      <w:pPr>
        <w:spacing w:line="360" w:lineRule="auto"/>
        <w:ind w:firstLine="709"/>
      </w:pPr>
      <w:r w:rsidRPr="00C945D4">
        <w:t>Proponuje się</w:t>
      </w:r>
      <w:r w:rsidR="004D1CAA">
        <w:t xml:space="preserve">, </w:t>
      </w:r>
      <w:r w:rsidR="00551027">
        <w:t>a</w:t>
      </w:r>
      <w:r w:rsidR="004D1CAA">
        <w:t xml:space="preserve">by ustawa weszła w życie z dniem </w:t>
      </w:r>
      <w:r w:rsidR="00C153CD">
        <w:t>następ</w:t>
      </w:r>
      <w:r w:rsidR="00551027">
        <w:t>ującym</w:t>
      </w:r>
      <w:r w:rsidR="00C153CD">
        <w:t xml:space="preserve"> po dniu ogłoszenia. Za takim terminem przemawiają ważne względy społeczne. Grupa ubezpieczonych, do których kierowane są przepisy ustawy, powszechny wiek emerytalny w znacznej mierze osiągała </w:t>
      </w:r>
      <w:r w:rsidR="004718C5">
        <w:br/>
      </w:r>
      <w:r w:rsidR="00C153CD">
        <w:t>w okresie od lutego 2013 r. do kwietnia 2014 r. W tym też czasie były wydawane decyzje ustalające prawo do emerytury powszechnej z zastosowaniem mechanizmu pomniejszania. Przepis, na podstawie którego dokonywano potrąceń</w:t>
      </w:r>
      <w:r w:rsidR="00551027">
        <w:t>,</w:t>
      </w:r>
      <w:r w:rsidR="00C153CD">
        <w:t xml:space="preserve"> został uznany za niekonstytucyjny w dniu 6 marca 2019 r. Mając zatem na uwadze znaczny upływ czasu od osiągnięcia powszechnego wieku emerytalnego bądź wydania rozstrzygnięcia, celowe jest możliwie jak najszybsze stworzenie możliwości przeliczenia emerytury powszechnej już bez stosowania niekonstytucyjnego przepisu. Wymaga tego interes państwa, które stoi na straży praw najsłabszych grup społecznych, i nie sprzeciwia się temu zasada demokratycznego państwa prawnego. </w:t>
      </w:r>
    </w:p>
    <w:p w:rsidR="003C68E2" w:rsidRPr="00C945D4" w:rsidRDefault="003C68E2" w:rsidP="003C68E2">
      <w:pPr>
        <w:spacing w:line="360" w:lineRule="auto"/>
        <w:ind w:firstLine="709"/>
      </w:pPr>
      <w:r w:rsidRPr="00C945D4">
        <w:lastRenderedPageBreak/>
        <w:t xml:space="preserve">Przeliczenie z urzędu emerytur przez Zakład Ubezpieczeń Społecznych wymaga zabezpieczenia 6 miesięcznego okresu na dostosowanie systemów informatycznych Zakładu </w:t>
      </w:r>
      <w:r w:rsidR="004718C5">
        <w:br/>
      </w:r>
      <w:r w:rsidRPr="00C945D4">
        <w:t>w celu realizacji tej operacji.</w:t>
      </w:r>
      <w:r w:rsidR="004D1CAA">
        <w:t xml:space="preserve"> Stąd też ponowne ustalenie wysokości emerytury na podstawie art. 194j ustawy z dnia 17 grudnia 1998 r. o emeryturach i rentach z Funduszu Ubezpieczeń Społecznych nastąpi z urzędu, po upływie 6 miesięcy od dnia wejścia w życie projektowanej regulacji. </w:t>
      </w:r>
    </w:p>
    <w:p w:rsidR="003C68E2" w:rsidRPr="00C945D4" w:rsidRDefault="003C68E2" w:rsidP="003C68E2">
      <w:pPr>
        <w:spacing w:line="360" w:lineRule="auto"/>
        <w:ind w:firstLine="709"/>
      </w:pPr>
      <w:r w:rsidRPr="00C945D4">
        <w:t xml:space="preserve">Projekt ustawy nie wymaga zamieszczenia przepisów przejściowych. </w:t>
      </w:r>
    </w:p>
    <w:p w:rsidR="003C68E2" w:rsidRPr="00C945D4" w:rsidRDefault="003C68E2" w:rsidP="003C68E2">
      <w:pPr>
        <w:spacing w:line="360" w:lineRule="auto"/>
        <w:ind w:firstLine="709"/>
      </w:pPr>
      <w:r w:rsidRPr="00C945D4">
        <w:t>Projekt ustawy nie ma wpływu na funkcjonowanie przedsiębiorców, również sektora mikro-</w:t>
      </w:r>
      <w:bookmarkStart w:id="0" w:name="_GoBack"/>
      <w:r w:rsidR="00551027">
        <w:t>,</w:t>
      </w:r>
      <w:bookmarkEnd w:id="0"/>
      <w:r w:rsidRPr="00C945D4">
        <w:t xml:space="preserve"> małych i średnich przedsiębiorstw</w:t>
      </w:r>
      <w:r w:rsidRPr="001E3CBA">
        <w:rPr>
          <w:bCs/>
        </w:rPr>
        <w:t xml:space="preserve"> zgodnie z ustawą z dnia 6 marca 2018 r. – Prawo przedsiębiorców (Dz. U. z 2019 r. poz. 1292, z późn. zm.).</w:t>
      </w:r>
    </w:p>
    <w:p w:rsidR="003C68E2" w:rsidRPr="00C945D4" w:rsidRDefault="003C68E2" w:rsidP="003C68E2">
      <w:pPr>
        <w:spacing w:line="360" w:lineRule="auto"/>
        <w:ind w:firstLine="709"/>
      </w:pPr>
      <w:r w:rsidRPr="00C945D4">
        <w:t xml:space="preserve">W ocenie projektodawcy przedmiot projektowanej regulacji nie jest sprzeczny </w:t>
      </w:r>
      <w:r w:rsidRPr="00C945D4">
        <w:br/>
        <w:t xml:space="preserve">z prawem Unii Europejskiej i nie podlega procedurze notyfikacji zgodnie z przepisami </w:t>
      </w:r>
      <w:r w:rsidRPr="00C945D4">
        <w:br/>
        <w:t>w sprawie sposobu funkcjonowania krajowego systemu notyfikacji norm i aktów prawnych, ponieważ nie zawiera przepisów technicznych w rozumieniu rozporządzenia Rady Ministrów z dnia 23 grudnia 2002 r. w sprawie sposobu funkcjonowania krajowego systemu notyfikacji norm i aktów prawnych (Dz. U. poz. 2039, z późn. zm.), w związku z tym nie podlega notyfikacji.</w:t>
      </w:r>
    </w:p>
    <w:p w:rsidR="003C68E2" w:rsidRPr="00C945D4" w:rsidRDefault="003C68E2" w:rsidP="003C68E2">
      <w:pPr>
        <w:spacing w:line="360" w:lineRule="auto"/>
        <w:ind w:firstLine="709"/>
      </w:pPr>
      <w:r w:rsidRPr="00C945D4">
        <w:t>Zgodnie z § 27 ust. 4 uchwały nr 190 Rady Ministrów z dnia 29 października 2013 r. – Regulamin pracy Rady Ministrów (M.P. z 2016 r. poz. 1006, z późn. zm.) projekt nie podlega opinii właściwych instytucji i organów Unii Europejskiej, w tym Europejskiego Banku Centralnego.</w:t>
      </w:r>
    </w:p>
    <w:p w:rsidR="003C68E2" w:rsidRPr="00C945D4" w:rsidRDefault="003C68E2" w:rsidP="003C68E2">
      <w:pPr>
        <w:spacing w:line="360" w:lineRule="auto"/>
        <w:ind w:firstLine="709"/>
      </w:pPr>
      <w:r w:rsidRPr="00C945D4">
        <w:t xml:space="preserve">Zgodnie z art. 5 ustawy z dnia 7 lipca 2005 r. o działalności lobbingowej w procesie stanowienia prawa (Dz. U. z 2017 r. poz. 248) oraz § 52 uchwały nr 190 Rady Ministrów </w:t>
      </w:r>
      <w:r w:rsidRPr="00C945D4">
        <w:br/>
        <w:t>z dnia 29 października 2013 r. – Regulamin pracy Rady Ministrów projekt zosta</w:t>
      </w:r>
      <w:r>
        <w:t>ł</w:t>
      </w:r>
      <w:r w:rsidRPr="00C945D4">
        <w:t xml:space="preserve"> zamieszczony w Biuletynie Informacji Publicznej Ministerstwa Rodziny, Pracy i Polityki Społecznej oraz na stronie podmiotowej Rządowego Centrum Legislacji, w serwisie Rządowy Proces Legislacyjny w dniu skierowania do uzgodnień i konsultacji publicznych.</w:t>
      </w:r>
    </w:p>
    <w:sectPr w:rsidR="003C68E2" w:rsidRPr="00C945D4" w:rsidSect="001B3CBC">
      <w:footerReference w:type="default" r:id="rId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B47" w:rsidRDefault="00107B47" w:rsidP="001B3CBC">
      <w:pPr>
        <w:spacing w:after="0" w:line="240" w:lineRule="auto"/>
      </w:pPr>
      <w:r>
        <w:separator/>
      </w:r>
    </w:p>
  </w:endnote>
  <w:endnote w:type="continuationSeparator" w:id="0">
    <w:p w:rsidR="00107B47" w:rsidRDefault="00107B47" w:rsidP="001B3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467563"/>
      <w:docPartObj>
        <w:docPartGallery w:val="Page Numbers (Bottom of Page)"/>
        <w:docPartUnique/>
      </w:docPartObj>
    </w:sdtPr>
    <w:sdtEndPr/>
    <w:sdtContent>
      <w:p w:rsidR="001B3CBC" w:rsidRDefault="001B3CBC">
        <w:pPr>
          <w:pStyle w:val="Stopka"/>
          <w:jc w:val="center"/>
        </w:pPr>
        <w:r>
          <w:fldChar w:fldCharType="begin"/>
        </w:r>
        <w:r>
          <w:instrText>PAGE   \* MERGEFORMAT</w:instrText>
        </w:r>
        <w:r>
          <w:fldChar w:fldCharType="separate"/>
        </w:r>
        <w:r w:rsidR="00BF41B1">
          <w:rPr>
            <w:noProof/>
          </w:rPr>
          <w:t>6</w:t>
        </w:r>
        <w:r>
          <w:fldChar w:fldCharType="end"/>
        </w:r>
      </w:p>
    </w:sdtContent>
  </w:sdt>
  <w:p w:rsidR="001B3CBC" w:rsidRDefault="001B3CB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B47" w:rsidRDefault="00107B47" w:rsidP="001B3CBC">
      <w:pPr>
        <w:spacing w:after="0" w:line="240" w:lineRule="auto"/>
      </w:pPr>
      <w:r>
        <w:separator/>
      </w:r>
    </w:p>
  </w:footnote>
  <w:footnote w:type="continuationSeparator" w:id="0">
    <w:p w:rsidR="00107B47" w:rsidRDefault="00107B47" w:rsidP="001B3C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8E2"/>
    <w:rsid w:val="00000514"/>
    <w:rsid w:val="00101751"/>
    <w:rsid w:val="00107B47"/>
    <w:rsid w:val="00150E81"/>
    <w:rsid w:val="00176735"/>
    <w:rsid w:val="00185DD9"/>
    <w:rsid w:val="001B3CBC"/>
    <w:rsid w:val="003C68E2"/>
    <w:rsid w:val="004718C5"/>
    <w:rsid w:val="00482359"/>
    <w:rsid w:val="004D1CAA"/>
    <w:rsid w:val="00551027"/>
    <w:rsid w:val="005A5185"/>
    <w:rsid w:val="005A7676"/>
    <w:rsid w:val="006D3EF0"/>
    <w:rsid w:val="00826865"/>
    <w:rsid w:val="008600DE"/>
    <w:rsid w:val="008E69AE"/>
    <w:rsid w:val="0090222A"/>
    <w:rsid w:val="00922DE8"/>
    <w:rsid w:val="00970010"/>
    <w:rsid w:val="00BB6237"/>
    <w:rsid w:val="00BE28E8"/>
    <w:rsid w:val="00BF41B1"/>
    <w:rsid w:val="00C153CD"/>
    <w:rsid w:val="00D85657"/>
    <w:rsid w:val="00E355C3"/>
    <w:rsid w:val="00FA0C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573964-52B0-4EDC-BA0D-D5C2C6CC7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C68E2"/>
    <w:pPr>
      <w:spacing w:after="114" w:line="365" w:lineRule="auto"/>
      <w:ind w:right="3" w:firstLine="501"/>
      <w:jc w:val="both"/>
    </w:pPr>
    <w:rPr>
      <w:rFonts w:ascii="Times New Roman" w:eastAsia="Times New Roman" w:hAnsi="Times New Roman" w:cs="Times New Roman"/>
      <w:color w:val="000000"/>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718C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718C5"/>
    <w:rPr>
      <w:rFonts w:ascii="Segoe UI" w:eastAsia="Times New Roman" w:hAnsi="Segoe UI" w:cs="Segoe UI"/>
      <w:color w:val="000000"/>
      <w:sz w:val="18"/>
      <w:szCs w:val="18"/>
      <w:lang w:eastAsia="pl-PL"/>
    </w:rPr>
  </w:style>
  <w:style w:type="paragraph" w:styleId="Nagwek">
    <w:name w:val="header"/>
    <w:basedOn w:val="Normalny"/>
    <w:link w:val="NagwekZnak"/>
    <w:uiPriority w:val="99"/>
    <w:unhideWhenUsed/>
    <w:rsid w:val="001B3C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B3CBC"/>
    <w:rPr>
      <w:rFonts w:ascii="Times New Roman" w:eastAsia="Times New Roman" w:hAnsi="Times New Roman" w:cs="Times New Roman"/>
      <w:color w:val="000000"/>
      <w:sz w:val="24"/>
      <w:lang w:eastAsia="pl-PL"/>
    </w:rPr>
  </w:style>
  <w:style w:type="paragraph" w:styleId="Stopka">
    <w:name w:val="footer"/>
    <w:basedOn w:val="Normalny"/>
    <w:link w:val="StopkaZnak"/>
    <w:uiPriority w:val="99"/>
    <w:unhideWhenUsed/>
    <w:rsid w:val="001B3C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B3CBC"/>
    <w:rPr>
      <w:rFonts w:ascii="Times New Roman" w:eastAsia="Times New Roman" w:hAnsi="Times New Roman" w:cs="Times New Roman"/>
      <w:color w:val="000000"/>
      <w:sz w:val="24"/>
      <w:lang w:eastAsia="pl-PL"/>
    </w:rPr>
  </w:style>
  <w:style w:type="character" w:styleId="Odwoaniedokomentarza">
    <w:name w:val="annotation reference"/>
    <w:basedOn w:val="Domylnaczcionkaakapitu"/>
    <w:uiPriority w:val="99"/>
    <w:semiHidden/>
    <w:unhideWhenUsed/>
    <w:rsid w:val="001B3CBC"/>
    <w:rPr>
      <w:sz w:val="16"/>
      <w:szCs w:val="16"/>
    </w:rPr>
  </w:style>
  <w:style w:type="paragraph" w:styleId="Tekstkomentarza">
    <w:name w:val="annotation text"/>
    <w:basedOn w:val="Normalny"/>
    <w:link w:val="TekstkomentarzaZnak"/>
    <w:uiPriority w:val="99"/>
    <w:semiHidden/>
    <w:unhideWhenUsed/>
    <w:rsid w:val="001B3CB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B3CBC"/>
    <w:rPr>
      <w:rFonts w:ascii="Times New Roman" w:eastAsia="Times New Roman" w:hAnsi="Times New Roman" w:cs="Times New Roman"/>
      <w:color w:val="000000"/>
      <w:sz w:val="20"/>
      <w:szCs w:val="20"/>
      <w:lang w:eastAsia="pl-PL"/>
    </w:rPr>
  </w:style>
  <w:style w:type="paragraph" w:styleId="Tematkomentarza">
    <w:name w:val="annotation subject"/>
    <w:basedOn w:val="Tekstkomentarza"/>
    <w:next w:val="Tekstkomentarza"/>
    <w:link w:val="TematkomentarzaZnak"/>
    <w:uiPriority w:val="99"/>
    <w:semiHidden/>
    <w:unhideWhenUsed/>
    <w:rsid w:val="001B3CBC"/>
    <w:rPr>
      <w:b/>
      <w:bCs/>
    </w:rPr>
  </w:style>
  <w:style w:type="character" w:customStyle="1" w:styleId="TematkomentarzaZnak">
    <w:name w:val="Temat komentarza Znak"/>
    <w:basedOn w:val="TekstkomentarzaZnak"/>
    <w:link w:val="Tematkomentarza"/>
    <w:uiPriority w:val="99"/>
    <w:semiHidden/>
    <w:rsid w:val="001B3CBC"/>
    <w:rPr>
      <w:rFonts w:ascii="Times New Roman" w:eastAsia="Times New Roman" w:hAnsi="Times New Roman" w:cs="Times New Roman"/>
      <w:b/>
      <w:bCs/>
      <w:color w:val="000000"/>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36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6</Pages>
  <Words>2220</Words>
  <Characters>13322</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Derecki</dc:creator>
  <cp:keywords/>
  <dc:description/>
  <cp:lastModifiedBy>Czarnecka Grażyna</cp:lastModifiedBy>
  <cp:revision>12</cp:revision>
  <cp:lastPrinted>2020-06-15T05:17:00Z</cp:lastPrinted>
  <dcterms:created xsi:type="dcterms:W3CDTF">2020-06-15T08:27:00Z</dcterms:created>
  <dcterms:modified xsi:type="dcterms:W3CDTF">2020-06-16T12:19:00Z</dcterms:modified>
</cp:coreProperties>
</file>