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150" w:rsidRPr="002D0150" w:rsidRDefault="002D0150" w:rsidP="002D0150">
      <w:pPr>
        <w:keepNext/>
        <w:suppressAutoHyphens/>
        <w:spacing w:after="120"/>
        <w:jc w:val="center"/>
        <w:rPr>
          <w:rFonts w:ascii="Times" w:hAnsi="Times"/>
          <w:b/>
          <w:bCs/>
          <w:caps/>
          <w:spacing w:val="54"/>
          <w:kern w:val="24"/>
          <w:szCs w:val="24"/>
        </w:rPr>
      </w:pPr>
      <w:bookmarkStart w:id="0" w:name="_GoBack"/>
      <w:bookmarkEnd w:id="0"/>
      <w:r w:rsidRPr="002D0150">
        <w:rPr>
          <w:rFonts w:ascii="Times" w:hAnsi="Times"/>
          <w:b/>
          <w:bCs/>
          <w:caps/>
          <w:spacing w:val="54"/>
          <w:kern w:val="24"/>
          <w:szCs w:val="24"/>
        </w:rPr>
        <w:t>Uzasadnienie</w:t>
      </w:r>
    </w:p>
    <w:p w:rsidR="002D0150" w:rsidRPr="002D0150" w:rsidRDefault="002D0150" w:rsidP="002D0150">
      <w:pPr>
        <w:suppressAutoHyphens/>
        <w:autoSpaceDE w:val="0"/>
        <w:autoSpaceDN w:val="0"/>
        <w:adjustRightInd w:val="0"/>
        <w:spacing w:before="120"/>
        <w:jc w:val="both"/>
        <w:rPr>
          <w:rFonts w:ascii="Times" w:eastAsiaTheme="minorEastAsia" w:hAnsi="Times" w:cs="Arial"/>
          <w:b/>
          <w:bCs/>
        </w:rPr>
      </w:pPr>
      <w:r w:rsidRPr="002D0150">
        <w:rPr>
          <w:rFonts w:ascii="Times" w:eastAsiaTheme="minorEastAsia" w:hAnsi="Times" w:cs="Arial"/>
          <w:b/>
          <w:bCs/>
        </w:rPr>
        <w:t>Cel i przedmiot projektu</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Celem wsparcia organizacji pozarządowych w okresie stanu epidemii nie może być jedynie utrzymanie miejsc pracy. Organizacje te aktywnie uczestniczą w realizacji zadań publicznych i istotnie wspierają instytucje publiczne w wykonywaniu ich funkcji. Wsparcie organizacji pozarządowych powinno być skierowane na podtrzymanie ich działalności i rozwijanie potencjału, w szczególności w zakresie prowadzenia działalności pożytku publicznego. Zważyć trzeba, że trudności z utrzymaniem kadr, jak i zdolności instytucjonalnej w organizacjach pożytku publicznego z powodu stanu epidemii oraz narastających problemów gospodarczych, mogą skutkować utratą zdolności do prowadzenia działalności społecznie użytecznej. To natomiast może odbić się negatywnie na beneficjentach działań organizacji pożytku publicznego w wielu obszarach życia społecznego.</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Mając na uwadze powyższe przygotowano propozycje rozwiązań ustawowych, ułatwiających organizacjom pozarządowym funkcjonowanie w czasie epidemii.</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p>
    <w:p w:rsidR="002D0150" w:rsidRPr="002D0150" w:rsidRDefault="002D0150" w:rsidP="002D0150">
      <w:pPr>
        <w:suppressAutoHyphens/>
        <w:autoSpaceDE w:val="0"/>
        <w:autoSpaceDN w:val="0"/>
        <w:adjustRightInd w:val="0"/>
        <w:spacing w:before="120"/>
        <w:jc w:val="both"/>
        <w:rPr>
          <w:rFonts w:ascii="Times" w:eastAsiaTheme="minorEastAsia" w:hAnsi="Times" w:cs="Arial"/>
          <w:b/>
          <w:bCs/>
        </w:rPr>
      </w:pPr>
      <w:r w:rsidRPr="002D0150">
        <w:rPr>
          <w:rFonts w:ascii="Times" w:eastAsiaTheme="minorEastAsia" w:hAnsi="Times" w:cs="Arial"/>
          <w:b/>
          <w:bCs/>
        </w:rPr>
        <w:t>Proponowane rozwiązania</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Projekt przewiduje nowelizację art. 15zzd ustawy z dnia 2 marca 2020 r. o szczególnych rozwiązaniach związanych z zapobieganiem, przeciwdziałaniem i zwalczaniem COVID-19, innych chorób zakaźnych oraz wywołanych nimi sytuacji kryzysowych (Dz. U. poz. 374, 567, 568 i 695) umożliwiającą ubieganie się przez organizacje pozarządowe oraz podmioty wymienione w art. 3 ust. 3 ustawy z dnia 24 kwietnia 2003 r. o działalności pożytku publicznego i o wolontariacie (Dz. U. z 2019 r. poz. 688, 1570 i 2020 oraz z 2020 r. poz. 284), o pożyczkę na pokrycie bieżących kosztów prowadzenia działalności statutowej w zakresie działalności pożytku publicznego, o ile prowadziły taką działalność przed dniem 1 kwietnia 2020 r. Pożyczka ta, podobnie jak w przypadku mikroprzedsiębiorców, podlegałaby umorzeniu. Mając na względzie cel noweli, przesłanką umorzenia pożyczki będzie konieczność utrzymania działalności statutowej w zakresie działalności pożytku publicznego przez co najmniej 3 miesiące od dnia udzielenia pożyczki. Proponuje się żeby pożyczka mogła być udzielona w kwocie do 10 tys. zł. (art. 1 pkt 1 projektu).</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lastRenderedPageBreak/>
        <w:t>W projekcie (art. 1 pkt 2 lit. a) wprowadza się ponadto regulację urealniającą wyliczanie spadku przychodów z działalności statutowej w następstwie wystąpienia COVID-19, w taki sposób, że pojedyncze wpływy dotacji nie będą sztucznie podwyższać przychodu w okresie przyjętym do wyliczenia spadku (art. 15zze ust. 3 ustawy z dnia 2 marca 2020 r. o  szczególnych rozwiązaniach związanych z zapobieganiem, przeciwdziałaniem i zwalczaniem COVID-19, innych chorób zakaźnych oraz wywołanych nimi sytuacji kryzysowych). Zmiana ta zaproponowana została w związku z udzielaniem dofinansowania części kosztów wynagrodzeń pracowników, na podstawie art. 15zze ustawy z dnia 2 marca 2020 r. o szczególnych rozwiązaniach związanych z zapobieganiem, przeciwdziałaniem i zwalczaniem COVID-19, innych chorób zakaźnych oraz wywołanych nimi sytuacji kryzysowych.</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Z kolei celem uchylenia art. 15zze ust. 8 ustawy z dnia 2 marca 2020 r. o szczególnych rozwiązaniach związanych z zapobieganiem, przeciwdziałaniem i zwalczaniem COVID-19, innych chorób zakaźnych oraz wywołanych nimi sytuacji kryzysowych (art. 1 pkt 2 lit. b projektu) jest usunięcie „sankcji”, która jest nieproporcjonalna i nie uwzględnia możliwości trzeciego sektora. Organizacje pozarządowe, które nie prowadzą działalności gospodarczej, nie powinny być obarczane tak dotkliwą konsekwencją, jaką jest obowiązek zwrócenia dofinansowania w przypadku nieutrzymania w zatrudnieniu pracowników objętych umową o przyznanie organizacji pozarządowej dofinansowania części kosztów wynagrodzeń. W przypadku gdy organizacja nie posiada komercyjnych źródeł finansowania, jej zależność od darowizn oraz środków publicznych powoduje, że przewidziana we wskazanym art. 15zze ust. 8 „sankcja” jest zbyt daleko idąca. Jeśli bowiem w wyniku COVID-19 organizacja pozarządowa nie otrzyma dotacji lub darowizn, nie będzie ona w stanie utrzymać miejsc pracy. Co więcej, nie będzie mieć również środków na zwrot dofinansowania.</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 xml:space="preserve">Celem zmian wprowadzanych w art. 15zzl ust. 1 i 2 ustawy z dnia 2 marca 2020 r. o szczególnych rozwiązaniach związanych z zapobieganiem, przeciwdziałaniem i zwalczaniem COVID-19, innych chorób zakaźnych oraz wywołanych nimi sytuacji kryzysowych jest przesądzenie, jakie działania powinien podjąć organ administracji publicznej w zakresie uznania za uzasadnione wydatków poniesionych na realizację zleconych zadań publicznych, które w następstwie COVID-19 nie zostały wykonane. Aktualnie obowiązujące uznanie administracyjne powoduje nieuzasadnione realiami ani potrzebami Państwa niepokoje i niepewność po stronie organizacji pozarządowych. </w:t>
      </w:r>
      <w:r w:rsidRPr="002D0150">
        <w:rPr>
          <w:rFonts w:ascii="Times" w:eastAsiaTheme="minorEastAsia" w:hAnsi="Times" w:cs="Arial"/>
          <w:bCs/>
        </w:rPr>
        <w:lastRenderedPageBreak/>
        <w:t>Proponuje się, aby organ administracji publicznej był obowiązany zaakceptować wydatki, jeśli organizacja pozarządowa wykaże, że nie mogła ich uniknąć. Wymienione powyżej zmiany zmierzają ponadto do tego, aby organ nie mógł żądać zwrotu dotacji od organizacji, która w wyniku COVID-19, bez swojej winy, nie zrealizowała planu działań lub zakładanych rezultatów. Obecne brzmienie przepisu tego nie przesądza, pozostawiając organowi swobodę w ocenie przesłanek stanowiących podstawę żądania zwrotu dotacji. Tymczasem pewność prawa i zaufanie organizacji pozarządowych – jako partnera społecznego – do Państwa, wymaga klarowności i gwarancji, że jeśli tylko dowiedziono przesłanek wyłączających odpowiedzialność, organizacja pozarządowa nie będzie ponosić negatywnych konsekwencji swoich działań (art. 1 pkt 3 projektu).</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Ponadto proponuje się objęcie wszystkich organizacji pozarządowych zwolnieniem z obowiązku opłacania nieopłaconych należności z tytułu składek na ubezpieczenia społeczne, na ubezpieczenie zdrowotne, na Fundusz Pracy, Fundusz Solidarnościowy, Fundusz Gwarantowanych Świadczeń Pracowniczych lub Fundusz Emerytur Pomostowych, należnych za okres od dnia 1 marca 2020 r. do dnia 31 maja 2020 r., wykazanych w deklaracjach rozliczeniowych złożonych za ten okres, jeżeli organizacja pozarządowa była zgłoszona jako płatnik składek przed dniem 1 lutego 2020 r. Rozwiązanie to zrówna sytuację prawną organizacji pozarządowych i spółdzielni socjalnych (art. 1 pkt 4 projektu).</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 xml:space="preserve">W projekcie zaproponowano również zmianę w zakresie art. 10 ustawy z dnia 7 kwietnia 1989 r. – Prawo o stowarzyszeniach (art. 3 projektu). Podzielając zasadność i celowość aktualnie obowiązujących rozwiązań (art. 10 ust. 1a–1d ustawy – Prawo o stowarzyszeniach, które zapewniają możliwość uczestnictwa w posiedzeniach władz stowarzyszenia i głosowania poza posiedzeniami z wykorzystaniem środków komunikacji elektronicznej, jeśli członkowie władzy stowarzyszenia wyrazili na to zgodę w formie dokumentowej, projektodawcy doszli do przekonania, że rozwiązania te powinny być stosowane nie tylko w przypadku wprowadzenia stanu zagrożenia epidemicznego lub stanu epidemii, o których mowa w </w:t>
      </w:r>
      <w:hyperlink r:id="rId7" w:anchor="hiperlinkText.rpc?hiperlink=type=tresc:nro=Powszechny.2245872&amp;full=1" w:tgtFrame="_parent" w:history="1">
        <w:r w:rsidRPr="002D0150">
          <w:rPr>
            <w:rFonts w:ascii="Times" w:eastAsiaTheme="minorEastAsia" w:hAnsi="Times" w:cs="Arial"/>
            <w:bCs/>
          </w:rPr>
          <w:t>ustawie</w:t>
        </w:r>
      </w:hyperlink>
      <w:r w:rsidRPr="002D0150">
        <w:rPr>
          <w:rFonts w:ascii="Times" w:eastAsiaTheme="minorEastAsia" w:hAnsi="Times" w:cs="Arial"/>
          <w:bCs/>
        </w:rPr>
        <w:t xml:space="preserve"> z dnia 5 grudnia 2008 r. o zapobieganiu oraz zwalczaniu zakażeń i chorób zakaźnych u ludzi (Dz. U. z 2019 r. poz. 1239 i 1495 oraz z 2020 r. poz. 284, 322, 374 i 567), ale również w innych sytuacjach wykluczających możliwość osobistego uczestnictwa w posiedzeniach władz stowarzyszenia. Rozwiązanie to ułatwi sprawne funkcjonowanie stowarzyszeniem w każdym przypadku, w którym odbycie klasycznego posiedzenie będzie utrudnione albo niemożliwe. Mając na uwadze powyższe </w:t>
      </w:r>
      <w:r w:rsidRPr="002D0150">
        <w:rPr>
          <w:rFonts w:ascii="Times" w:eastAsiaTheme="minorEastAsia" w:hAnsi="Times" w:cs="Arial"/>
          <w:bCs/>
        </w:rPr>
        <w:lastRenderedPageBreak/>
        <w:t>zaproponowano uchylenie przepisu art. 10 ust. 1e ustawy – Prawo o stowarzyszeniach. Analogiczna zmiana powinna odnosić się do fundacji (art. 2 projektu).</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 xml:space="preserve">Celem zmian wprowadzanych w art. 52n ustawy o podatku dochodowym od osób fizycznych (art. 4 projektu) jest uwzględnienie organizacji pozarządowych, jako beneficjentów darowizn na przeciwdziałanie COVID-19. Skoro uznaje się, że organizacje pozarządowe pełnią istotną rolę w systemie przeciwdziałania skutkom COVID-19, to również donatorzy organizacji pozarządowych powinni uzyskać możliwość skorzystania z odliczenia od podstawy ustalenia podatku wpłat dokonanych na rzecz tych organizacji. </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 xml:space="preserve">Jednocześnie ze względu na przeciwdziałanie ewentualnym nadużyciom wprowadzono propozycję dodatkowej przesłanki skorzystania z możliwości odliczenia darowizny. Aby skorzystać z projektowanej regulacji organizacja pozarządowa będzie obowiązana przekazać do właściwego urzędu skarbowego do dnia 31 października 2020 r. oświadczenie, zawierające informację o prowadzeniu działalności w zakresie przeciwdziałania COVID-19, o dacie rozpoczęcia działalności, o dacie jej zakończenia albo o jej kontynuowaniu, wraz ze zwięzłym opisem działań podejmowanych w ramach prowadzonej działalności. </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Celem zmian wprowadzanych w art. 11 ustawy o działalności pożytku publicznego i o wolontariacie (art. 5 projektu) jest uelastycznienie systemu współpracy finansowej administracji publicznej, w tym samorządowej, z organizacjami pozarządowymi poprzez ułatwienie stosowania innych niż konkursowe trybów udzielania wsparcia realizacji zadań publicznych przez organizacje pozarządowe oraz powierzania tych zadań organizacjom pozarządowym, a jednocześnie zapewnienie możliwości skorzystania z mniej restrykcyjnych reżimów rozliczania przyznanych środków i zarządzania nimi.</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W myśl projektowanego art. 11 ust. 6 ustawy o działalności pożytku publicznego i o wolontariacie wspieranie realizacji zadań publicznych przez organizacje pozarządowe oraz powierzanie realizacji tych zadań organizacjom pozarządowym będzie mogło następować w innym trybie niż określony w art. 11 ust. 2 tej ustawy, jeżeli ze względu na interes publiczny osiągniecie celu powierzonego zadania będzie mogło być zrealizowane w sposób bardziej efektywny, w szczególności poprzez zakup usług na zasadach i w trybie określonych w przepisach ustawy – Prawo zamówień publicznych, przy porównywalności metod kalkulacji kosztów oraz porównywalności opodatkowania.</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 xml:space="preserve">Projektowany art. 11 ust. 7 ustawy o działalności pożytku publicznego i o wolontariacie wzorowany jest natomiast na art. 15a ustawy o spółdzielniach socjalnych. W przepisie tym </w:t>
      </w:r>
      <w:r w:rsidRPr="002D0150">
        <w:rPr>
          <w:rFonts w:ascii="Times" w:eastAsiaTheme="minorEastAsia" w:hAnsi="Times" w:cs="Arial"/>
          <w:bCs/>
        </w:rPr>
        <w:lastRenderedPageBreak/>
        <w:t xml:space="preserve">przewiduje się, że organ administracji publicznej udzielając zamówienia, które nie podlega ze względu na jego wartość przepisom ustawy – Prawo zamówień publicznych, będzie mógł zastrzec, że o udzielenie zamówienia będą mogły ubiegać się wyłącznie organizacje pozarządowe lub podmioty, o których mowa w art. 3 ust. 3 ustawy o działalności pożytku publicznego i o wolontariacie, z uwzględnieniem przepisów art. 44 ust. 3 ustawy z dnia 27 sierpnia 2009 r. o finansach publicznych. Zastrzeżenie takie będzie musiało być ujawnione przez organ administracji publicznej niezwłocznie wraz ze wszczęciem postępowania o udzielenie zamówienia. </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Propozycja sformułowana w art. 6 projektu ma na celu przedłużenie terminów sprawozdawczych wobec Głównego Urzędu Statystycznego dla organizacji pozarządowych. Realizacja obowiązków statystycznych wynikających z art. 30 ust. 1 pkt 3 ustawy z dnia 29 czerwca 1995 r. o statystyce publicznej w czasie trwającej epidemii jest bowiem znacznie utrudniona, a niekiedy wręcz niemożliwa. Wprawdzie obowiązek złożenia sprawozdania o współpracy, zarządzaniu i działalności informacyjnej wybranych organizacji non-profit (SOF–5) został wydłużony do 29 maja 2020 r.</w:t>
      </w:r>
      <w:r w:rsidRPr="002D0150">
        <w:rPr>
          <w:rFonts w:ascii="Times" w:eastAsiaTheme="minorEastAsia" w:hAnsi="Times" w:cs="Arial"/>
          <w:bCs/>
          <w:vertAlign w:val="superscript"/>
        </w:rPr>
        <w:footnoteReference w:id="1"/>
      </w:r>
      <w:r w:rsidRPr="002D0150">
        <w:rPr>
          <w:rFonts w:ascii="Times" w:eastAsiaTheme="minorEastAsia" w:hAnsi="Times" w:cs="Arial"/>
          <w:bCs/>
          <w:vertAlign w:val="superscript"/>
        </w:rPr>
        <w:t>)</w:t>
      </w:r>
      <w:r w:rsidRPr="002D0150">
        <w:rPr>
          <w:rFonts w:ascii="Times" w:eastAsiaTheme="minorEastAsia" w:hAnsi="Times" w:cs="Arial"/>
          <w:bCs/>
        </w:rPr>
        <w:t xml:space="preserve">, niemniej biorąc pod uwagę, że wiele organizacji może potrzebować więcej czasu na wywiązanie się ze wskazanych powyżej obowiązków, proponuje się wydłużenie terminu o dodatkowe 30 dni. </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 xml:space="preserve">Projektowana ustawa ma wejść w życie z dniem następującym po dniu ogłoszenia. Ze względu na wagę i społeczną doniosłość regulowanych spraw uznano, że rezygnacja z okresu vacatio legis nie naruszy zasady demokratycznego państwa prawnego. Nie budzi wątpliwości, że minimalizowanie negatywnych skutków epidemii COVID-19 również w odniesieniu do organizacji pozarządowych, stanowi przesłankę ważnego interesu państwa, o której mowa w art. 4 ust. 2 ustawy z dnia 20 lipca 2000 r. o ogłaszaniu aktów normatywnych i niektórych innych aktów prawnych (Dz. U. z 2019 r. poz. 1461). </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Oczekiwane skutki społeczne, gospodarcze i finansowe są przedstawione w Ocenie Skutków Regulacji.</w:t>
      </w:r>
    </w:p>
    <w:p w:rsidR="002D0150" w:rsidRPr="002D0150" w:rsidRDefault="002D0150" w:rsidP="002D0150">
      <w:pPr>
        <w:suppressAutoHyphens/>
        <w:autoSpaceDE w:val="0"/>
        <w:autoSpaceDN w:val="0"/>
        <w:adjustRightInd w:val="0"/>
        <w:spacing w:before="120"/>
        <w:ind w:firstLine="510"/>
        <w:jc w:val="both"/>
        <w:rPr>
          <w:rFonts w:ascii="Times" w:eastAsiaTheme="minorEastAsia" w:hAnsi="Times" w:cs="Arial"/>
          <w:bCs/>
        </w:rPr>
      </w:pPr>
      <w:r w:rsidRPr="002D0150">
        <w:rPr>
          <w:rFonts w:ascii="Times" w:eastAsiaTheme="minorEastAsia" w:hAnsi="Times" w:cs="Arial"/>
          <w:bCs/>
        </w:rPr>
        <w:t>Projekt jest zgodny z prawem Unii Europejskiej.</w:t>
      </w:r>
    </w:p>
    <w:p w:rsidR="00B661B1" w:rsidRDefault="00B661B1" w:rsidP="002D0150">
      <w:pPr>
        <w:tabs>
          <w:tab w:val="center" w:pos="6237"/>
        </w:tabs>
        <w:spacing w:line="240" w:lineRule="auto"/>
        <w:ind w:right="-2"/>
        <w:jc w:val="both"/>
        <w:sectPr w:rsidR="00B661B1" w:rsidSect="00B661B1">
          <w:headerReference w:type="default" r:id="rId8"/>
          <w:footnotePr>
            <w:numRestart w:val="eachSect"/>
          </w:footnotePr>
          <w:pgSz w:w="11906" w:h="16838"/>
          <w:pgMar w:top="1560" w:right="1434" w:bottom="1560" w:left="1418" w:header="709" w:footer="709" w:gutter="0"/>
          <w:pgNumType w:start="1"/>
          <w:cols w:space="708"/>
          <w:titlePg/>
          <w:docGrid w:linePitch="254"/>
        </w:sectPr>
      </w:pPr>
    </w:p>
    <w:p w:rsidR="00735880" w:rsidRPr="006A36AA" w:rsidRDefault="00735880" w:rsidP="006A36AA">
      <w:pPr>
        <w:autoSpaceDE w:val="0"/>
        <w:autoSpaceDN w:val="0"/>
        <w:adjustRightInd w:val="0"/>
        <w:spacing w:line="240" w:lineRule="auto"/>
        <w:jc w:val="right"/>
        <w:rPr>
          <w:rFonts w:ascii="ZapfElliptPL-Roman" w:hAnsi="ZapfElliptPL-Roman" w:cs="ZapfElliptPL-Roman"/>
          <w:szCs w:val="24"/>
        </w:rPr>
      </w:pPr>
    </w:p>
    <w:sectPr w:rsidR="00735880" w:rsidRPr="006A36AA" w:rsidSect="00B661B1">
      <w:headerReference w:type="default" r:id="rId9"/>
      <w:pgSz w:w="11906" w:h="16838"/>
      <w:pgMar w:top="142" w:right="709" w:bottom="426" w:left="720" w:header="340" w:footer="2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5BF" w:rsidRDefault="00F745BF" w:rsidP="0065220C">
      <w:pPr>
        <w:spacing w:line="240" w:lineRule="auto"/>
      </w:pPr>
      <w:r>
        <w:separator/>
      </w:r>
    </w:p>
  </w:endnote>
  <w:endnote w:type="continuationSeparator" w:id="0">
    <w:p w:rsidR="00F745BF" w:rsidRDefault="00F745BF" w:rsidP="006522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ZapfElliptPL-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5BF" w:rsidRDefault="00F745BF" w:rsidP="0065220C">
      <w:pPr>
        <w:spacing w:line="240" w:lineRule="auto"/>
      </w:pPr>
      <w:r>
        <w:separator/>
      </w:r>
    </w:p>
  </w:footnote>
  <w:footnote w:type="continuationSeparator" w:id="0">
    <w:p w:rsidR="00F745BF" w:rsidRDefault="00F745BF" w:rsidP="0065220C">
      <w:pPr>
        <w:spacing w:line="240" w:lineRule="auto"/>
      </w:pPr>
      <w:r>
        <w:continuationSeparator/>
      </w:r>
    </w:p>
  </w:footnote>
  <w:footnote w:id="1">
    <w:p w:rsidR="0079441B" w:rsidRPr="00163F20" w:rsidRDefault="0079441B" w:rsidP="002D0150">
      <w:pPr>
        <w:pStyle w:val="ODNONIKtreodnonika"/>
      </w:pPr>
      <w:r>
        <w:rPr>
          <w:rStyle w:val="Odwoanieprzypisudolnego"/>
        </w:rPr>
        <w:footnoteRef/>
      </w:r>
      <w:r>
        <w:rPr>
          <w:rStyle w:val="IGindeksgrny"/>
        </w:rPr>
        <w:t>)</w:t>
      </w:r>
      <w:r>
        <w:tab/>
      </w:r>
      <w:r w:rsidRPr="00163F20">
        <w:t>http://form.stat.gov.pl/formularze/przewodnik/psinfo.htm</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41B" w:rsidRPr="00B371CC" w:rsidRDefault="0079441B" w:rsidP="0079441B">
    <w:pPr>
      <w:pStyle w:val="Nagwek"/>
      <w:jc w:val="center"/>
    </w:pPr>
    <w:r>
      <w:t xml:space="preserve">– </w:t>
    </w:r>
    <w:r>
      <w:fldChar w:fldCharType="begin"/>
    </w:r>
    <w:r>
      <w:instrText xml:space="preserve"> PAGE  \* MERGEFORMAT </w:instrText>
    </w:r>
    <w:r>
      <w:fldChar w:fldCharType="separate"/>
    </w:r>
    <w:r w:rsidR="00DE3D64">
      <w:rPr>
        <w:noProof/>
      </w:rPr>
      <w:t>5</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41B" w:rsidRPr="00B371CC" w:rsidRDefault="0079441B" w:rsidP="0079441B">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1" w15:restartNumberingAfterBreak="0">
    <w:nsid w:val="21684525"/>
    <w:multiLevelType w:val="singleLevel"/>
    <w:tmpl w:val="6792BDB4"/>
    <w:lvl w:ilvl="0">
      <w:start w:val="1"/>
      <w:numFmt w:val="decimal"/>
      <w:lvlText w:val="%1)"/>
      <w:lvlJc w:val="left"/>
      <w:pPr>
        <w:tabs>
          <w:tab w:val="num" w:pos="397"/>
        </w:tabs>
        <w:ind w:left="397" w:hanging="397"/>
      </w:pPr>
    </w:lvl>
  </w:abstractNum>
  <w:abstractNum w:abstractNumId="2" w15:restartNumberingAfterBreak="0">
    <w:nsid w:val="2FB7315B"/>
    <w:multiLevelType w:val="hybridMultilevel"/>
    <w:tmpl w:val="3FE46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01C61B4"/>
    <w:multiLevelType w:val="singleLevel"/>
    <w:tmpl w:val="1ECCD4F4"/>
    <w:lvl w:ilvl="0">
      <w:start w:val="1"/>
      <w:numFmt w:val="decimal"/>
      <w:lvlText w:val="%1)"/>
      <w:lvlJc w:val="left"/>
      <w:pPr>
        <w:tabs>
          <w:tab w:val="num" w:pos="397"/>
        </w:tabs>
        <w:ind w:left="397" w:hanging="397"/>
      </w:pPr>
    </w:lvl>
  </w:abstractNum>
  <w:abstractNum w:abstractNumId="4" w15:restartNumberingAfterBreak="0">
    <w:nsid w:val="367C7B80"/>
    <w:multiLevelType w:val="hybridMultilevel"/>
    <w:tmpl w:val="7826B616"/>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E0E08E6"/>
    <w:multiLevelType w:val="hybridMultilevel"/>
    <w:tmpl w:val="3312B900"/>
    <w:lvl w:ilvl="0" w:tplc="04150001">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7" w15:restartNumberingAfterBreak="0">
    <w:nsid w:val="63A757D5"/>
    <w:multiLevelType w:val="singleLevel"/>
    <w:tmpl w:val="92B6EFF2"/>
    <w:lvl w:ilvl="0">
      <w:start w:val="1"/>
      <w:numFmt w:val="lowerLetter"/>
      <w:lvlText w:val="%1)"/>
      <w:lvlJc w:val="left"/>
      <w:pPr>
        <w:tabs>
          <w:tab w:val="num" w:pos="786"/>
        </w:tabs>
        <w:ind w:left="786" w:hanging="360"/>
      </w:pPr>
      <w:rPr>
        <w:rFonts w:hint="default"/>
      </w:rPr>
    </w:lvl>
  </w:abstractNum>
  <w:abstractNum w:abstractNumId="8" w15:restartNumberingAfterBreak="0">
    <w:nsid w:val="63B9023B"/>
    <w:multiLevelType w:val="hybridMultilevel"/>
    <w:tmpl w:val="A0CC56A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FA02E47"/>
    <w:multiLevelType w:val="hybridMultilevel"/>
    <w:tmpl w:val="1A8CC3B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76600E1C"/>
    <w:multiLevelType w:val="singleLevel"/>
    <w:tmpl w:val="917A9C24"/>
    <w:lvl w:ilvl="0">
      <w:start w:val="1"/>
      <w:numFmt w:val="decimal"/>
      <w:lvlText w:val="%1)"/>
      <w:lvlJc w:val="left"/>
      <w:pPr>
        <w:tabs>
          <w:tab w:val="num" w:pos="360"/>
        </w:tabs>
        <w:ind w:left="360" w:hanging="360"/>
      </w:pPr>
      <w:rPr>
        <w:rFonts w:hint="default"/>
      </w:rPr>
    </w:lvl>
  </w:abstractNum>
  <w:num w:numId="1">
    <w:abstractNumId w:val="3"/>
  </w:num>
  <w:num w:numId="2">
    <w:abstractNumId w:val="3"/>
  </w:num>
  <w:num w:numId="3">
    <w:abstractNumId w:val="1"/>
  </w:num>
  <w:num w:numId="4">
    <w:abstractNumId w:val="1"/>
  </w:num>
  <w:num w:numId="5">
    <w:abstractNumId w:val="10"/>
  </w:num>
  <w:num w:numId="6">
    <w:abstractNumId w:val="7"/>
  </w:num>
  <w:num w:numId="7">
    <w:abstractNumId w:val="10"/>
  </w:num>
  <w:num w:numId="8">
    <w:abstractNumId w:val="7"/>
  </w:num>
  <w:num w:numId="9">
    <w:abstractNumId w:val="10"/>
  </w:num>
  <w:num w:numId="10">
    <w:abstractNumId w:val="7"/>
  </w:num>
  <w:num w:numId="11">
    <w:abstractNumId w:val="0"/>
  </w:num>
  <w:num w:numId="12">
    <w:abstractNumId w:val="5"/>
  </w:num>
  <w:num w:numId="13">
    <w:abstractNumId w:val="4"/>
  </w:num>
  <w:num w:numId="14">
    <w:abstractNumId w:val="6"/>
  </w:num>
  <w:num w:numId="15">
    <w:abstractNumId w:val="2"/>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20C"/>
    <w:rsid w:val="000A5CE8"/>
    <w:rsid w:val="001A4397"/>
    <w:rsid w:val="002B0A43"/>
    <w:rsid w:val="002D0150"/>
    <w:rsid w:val="00382AAC"/>
    <w:rsid w:val="00471F64"/>
    <w:rsid w:val="004F1121"/>
    <w:rsid w:val="00527E52"/>
    <w:rsid w:val="0056045F"/>
    <w:rsid w:val="0065220C"/>
    <w:rsid w:val="006A36AA"/>
    <w:rsid w:val="006F026C"/>
    <w:rsid w:val="00735880"/>
    <w:rsid w:val="00777F90"/>
    <w:rsid w:val="0079441B"/>
    <w:rsid w:val="00874611"/>
    <w:rsid w:val="008758BB"/>
    <w:rsid w:val="008C7EE7"/>
    <w:rsid w:val="009D2757"/>
    <w:rsid w:val="00A06AF3"/>
    <w:rsid w:val="00AF364E"/>
    <w:rsid w:val="00B5303C"/>
    <w:rsid w:val="00B661B1"/>
    <w:rsid w:val="00C03217"/>
    <w:rsid w:val="00C518C8"/>
    <w:rsid w:val="00C83F38"/>
    <w:rsid w:val="00D829F5"/>
    <w:rsid w:val="00DE3D64"/>
    <w:rsid w:val="00E15D93"/>
    <w:rsid w:val="00F17A0D"/>
    <w:rsid w:val="00F745BF"/>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EEE5D07-D251-446D-A8A2-1DE1E9579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5880"/>
    <w:pPr>
      <w:spacing w:line="360" w:lineRule="auto"/>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1"/>
      </w:numPr>
    </w:pPr>
  </w:style>
  <w:style w:type="paragraph" w:customStyle="1" w:styleId="Senatorowie">
    <w:name w:val="Senatorowie"/>
    <w:basedOn w:val="Normalny"/>
    <w:rsid w:val="00735880"/>
  </w:style>
  <w:style w:type="character" w:styleId="Odwoanieprzypisudolnego">
    <w:name w:val="footnote reference"/>
    <w:uiPriority w:val="99"/>
    <w:semiHidden/>
    <w:rsid w:val="0065220C"/>
    <w:rPr>
      <w:rFonts w:cs="Times New Roman"/>
      <w:vertAlign w:val="superscript"/>
    </w:rPr>
  </w:style>
  <w:style w:type="paragraph" w:customStyle="1" w:styleId="NIEARTTEKSTtekstnieartykuowanynppodstprawnarozplubpreambua">
    <w:name w:val="NIEART_TEKST – tekst nieartykułowany (np. podst. prawna rozp. lub preambuła)"/>
    <w:basedOn w:val="Normalny"/>
    <w:next w:val="Normalny"/>
    <w:uiPriority w:val="7"/>
    <w:qFormat/>
    <w:rsid w:val="0065220C"/>
    <w:pPr>
      <w:suppressAutoHyphens/>
      <w:autoSpaceDE w:val="0"/>
      <w:autoSpaceDN w:val="0"/>
      <w:adjustRightInd w:val="0"/>
      <w:spacing w:before="120"/>
      <w:ind w:firstLine="510"/>
      <w:jc w:val="both"/>
    </w:pPr>
    <w:rPr>
      <w:rFonts w:ascii="Times" w:eastAsiaTheme="minorEastAsia" w:hAnsi="Times" w:cs="Arial"/>
      <w:bCs/>
    </w:rPr>
  </w:style>
  <w:style w:type="paragraph" w:customStyle="1" w:styleId="OZNRODZAKTUtznustawalubrozporzdzenieiorganwydajcy">
    <w:name w:val="OZN_RODZ_AKTU – tzn. ustawa lub rozporządzenie i organ wydający"/>
    <w:next w:val="Normalny"/>
    <w:uiPriority w:val="5"/>
    <w:qFormat/>
    <w:rsid w:val="0065220C"/>
    <w:pPr>
      <w:keepNext/>
      <w:suppressAutoHyphens/>
      <w:spacing w:after="120" w:line="360" w:lineRule="auto"/>
      <w:jc w:val="center"/>
    </w:pPr>
    <w:rPr>
      <w:rFonts w:ascii="Times" w:hAnsi="Times"/>
      <w:b/>
      <w:bCs/>
      <w:caps/>
      <w:spacing w:val="54"/>
      <w:kern w:val="24"/>
      <w:sz w:val="24"/>
      <w:szCs w:val="24"/>
    </w:rPr>
  </w:style>
  <w:style w:type="paragraph" w:customStyle="1" w:styleId="ODNONIKtreodnonika">
    <w:name w:val="ODNOŚNIK – treść odnośnika"/>
    <w:uiPriority w:val="19"/>
    <w:qFormat/>
    <w:rsid w:val="0065220C"/>
    <w:pPr>
      <w:ind w:left="284" w:hanging="284"/>
      <w:jc w:val="both"/>
    </w:pPr>
    <w:rPr>
      <w:rFonts w:eastAsiaTheme="minorEastAsia" w:cs="Arial"/>
    </w:rPr>
  </w:style>
  <w:style w:type="character" w:customStyle="1" w:styleId="IGindeksgrny">
    <w:name w:val="_IG_ – indeks górny"/>
    <w:basedOn w:val="Domylnaczcionkaakapitu"/>
    <w:uiPriority w:val="2"/>
    <w:qFormat/>
    <w:rsid w:val="0065220C"/>
    <w:rPr>
      <w:b w:val="0"/>
      <w:i w:val="0"/>
      <w:vanish w:val="0"/>
      <w:spacing w:val="0"/>
      <w:vertAlign w:val="superscript"/>
    </w:rPr>
  </w:style>
  <w:style w:type="character" w:customStyle="1" w:styleId="Ppogrubienie">
    <w:name w:val="_P_ – pogrubienie"/>
    <w:basedOn w:val="Domylnaczcionkaakapitu"/>
    <w:uiPriority w:val="1"/>
    <w:qFormat/>
    <w:rsid w:val="0065220C"/>
    <w:rPr>
      <w:b/>
    </w:rPr>
  </w:style>
  <w:style w:type="paragraph" w:styleId="Nagwek">
    <w:name w:val="header"/>
    <w:basedOn w:val="Normalny"/>
    <w:link w:val="NagwekZnak"/>
    <w:uiPriority w:val="99"/>
    <w:unhideWhenUsed/>
    <w:rsid w:val="0065220C"/>
    <w:pPr>
      <w:tabs>
        <w:tab w:val="center" w:pos="4536"/>
        <w:tab w:val="right" w:pos="9072"/>
      </w:tabs>
      <w:spacing w:line="240" w:lineRule="auto"/>
    </w:pPr>
  </w:style>
  <w:style w:type="character" w:customStyle="1" w:styleId="NagwekZnak">
    <w:name w:val="Nagłówek Znak"/>
    <w:basedOn w:val="Domylnaczcionkaakapitu"/>
    <w:link w:val="Nagwek"/>
    <w:uiPriority w:val="99"/>
    <w:rsid w:val="0065220C"/>
    <w:rPr>
      <w:sz w:val="24"/>
    </w:rPr>
  </w:style>
  <w:style w:type="paragraph" w:styleId="Stopka">
    <w:name w:val="footer"/>
    <w:basedOn w:val="Normalny"/>
    <w:link w:val="StopkaZnak"/>
    <w:uiPriority w:val="99"/>
    <w:unhideWhenUsed/>
    <w:rsid w:val="0065220C"/>
    <w:pPr>
      <w:tabs>
        <w:tab w:val="center" w:pos="4536"/>
        <w:tab w:val="right" w:pos="9072"/>
      </w:tabs>
      <w:spacing w:line="240" w:lineRule="auto"/>
    </w:pPr>
  </w:style>
  <w:style w:type="character" w:customStyle="1" w:styleId="StopkaZnak">
    <w:name w:val="Stopka Znak"/>
    <w:basedOn w:val="Domylnaczcionkaakapitu"/>
    <w:link w:val="Stopka"/>
    <w:uiPriority w:val="99"/>
    <w:rsid w:val="0065220C"/>
    <w:rPr>
      <w:sz w:val="24"/>
    </w:rPr>
  </w:style>
  <w:style w:type="paragraph" w:customStyle="1" w:styleId="ARTartustawynprozporzdzenia">
    <w:name w:val="ART(§) – art. ustawy (§ np. rozporządzenia)"/>
    <w:uiPriority w:val="11"/>
    <w:qFormat/>
    <w:rsid w:val="00471F64"/>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ZPKTzmpktartykuempunktem">
    <w:name w:val="Z/PKT – zm. pkt artykułem (punktem)"/>
    <w:basedOn w:val="PKTpunkt"/>
    <w:uiPriority w:val="31"/>
    <w:qFormat/>
    <w:rsid w:val="00471F64"/>
    <w:pPr>
      <w:ind w:left="1020"/>
    </w:pPr>
  </w:style>
  <w:style w:type="paragraph" w:customStyle="1" w:styleId="DATAAKTUdatauchwalenialubwydaniaaktu">
    <w:name w:val="DATA_AKTU – data uchwalenia lub wydania aktu"/>
    <w:next w:val="TYTUAKTUprzedmiotregulacjiustawylubrozporzdzenia"/>
    <w:uiPriority w:val="6"/>
    <w:qFormat/>
    <w:rsid w:val="00471F64"/>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471F64"/>
    <w:pPr>
      <w:keepNext/>
      <w:suppressAutoHyphens/>
      <w:spacing w:before="120" w:after="360" w:line="360" w:lineRule="auto"/>
      <w:jc w:val="center"/>
    </w:pPr>
    <w:rPr>
      <w:rFonts w:ascii="Times" w:eastAsiaTheme="minorEastAsia" w:hAnsi="Times" w:cs="Arial"/>
      <w:b/>
      <w:bCs/>
      <w:sz w:val="24"/>
      <w:szCs w:val="24"/>
    </w:rPr>
  </w:style>
  <w:style w:type="paragraph" w:customStyle="1" w:styleId="PKTpunkt">
    <w:name w:val="PKT – punkt"/>
    <w:uiPriority w:val="13"/>
    <w:qFormat/>
    <w:rsid w:val="00471F64"/>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4"/>
    <w:qFormat/>
    <w:rsid w:val="00471F64"/>
    <w:pPr>
      <w:ind w:left="986" w:hanging="476"/>
    </w:pPr>
  </w:style>
  <w:style w:type="paragraph" w:customStyle="1" w:styleId="ZLITFRAGzmlitfragmentunpzdanialiter">
    <w:name w:val="Z_LIT/FRAG – zm. lit. fragmentu (np. zdania) literą"/>
    <w:basedOn w:val="Normalny"/>
    <w:next w:val="LITlitera"/>
    <w:uiPriority w:val="52"/>
    <w:qFormat/>
    <w:rsid w:val="00471F64"/>
    <w:pPr>
      <w:suppressAutoHyphens/>
      <w:autoSpaceDE w:val="0"/>
      <w:autoSpaceDN w:val="0"/>
      <w:adjustRightInd w:val="0"/>
      <w:ind w:left="987"/>
      <w:jc w:val="both"/>
    </w:pPr>
    <w:rPr>
      <w:rFonts w:eastAsiaTheme="minorEastAsia" w:cs="Arial"/>
      <w:bCs/>
    </w:rPr>
  </w:style>
  <w:style w:type="paragraph" w:customStyle="1" w:styleId="ZUSTzmustartykuempunktem">
    <w:name w:val="Z/UST(§) – zm. ust. (§) artykułem (punktem)"/>
    <w:basedOn w:val="Normalny"/>
    <w:uiPriority w:val="30"/>
    <w:qFormat/>
    <w:rsid w:val="00471F64"/>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471F64"/>
    <w:pPr>
      <w:spacing w:line="360" w:lineRule="auto"/>
      <w:jc w:val="right"/>
    </w:pPr>
    <w:rPr>
      <w:rFonts w:eastAsiaTheme="minorEastAsia" w:cs="Arial"/>
      <w:sz w:val="24"/>
      <w:u w:val="single"/>
    </w:rPr>
  </w:style>
  <w:style w:type="paragraph" w:styleId="Akapitzlist">
    <w:name w:val="List Paragraph"/>
    <w:basedOn w:val="Normalny"/>
    <w:uiPriority w:val="34"/>
    <w:qFormat/>
    <w:rsid w:val="00B661B1"/>
    <w:pPr>
      <w:spacing w:line="276" w:lineRule="auto"/>
      <w:ind w:left="720"/>
      <w:contextualSpacing/>
    </w:pPr>
    <w:rPr>
      <w:rFonts w:ascii="Calibri" w:eastAsia="Calibri" w:hAnsi="Calibri"/>
      <w:sz w:val="22"/>
      <w:szCs w:val="22"/>
      <w:lang w:eastAsia="en-US"/>
    </w:rPr>
  </w:style>
  <w:style w:type="paragraph" w:styleId="Tekstprzypisudolnego">
    <w:name w:val="footnote text"/>
    <w:basedOn w:val="Normalny"/>
    <w:link w:val="TekstprzypisudolnegoZnak"/>
    <w:uiPriority w:val="99"/>
    <w:unhideWhenUsed/>
    <w:rsid w:val="00B661B1"/>
    <w:pPr>
      <w:spacing w:line="276" w:lineRule="auto"/>
    </w:pPr>
    <w:rPr>
      <w:rFonts w:ascii="Calibri" w:eastAsia="Calibri" w:hAnsi="Calibri"/>
      <w:sz w:val="20"/>
      <w:lang w:eastAsia="en-US"/>
    </w:rPr>
  </w:style>
  <w:style w:type="character" w:customStyle="1" w:styleId="TekstprzypisudolnegoZnak">
    <w:name w:val="Tekst przypisu dolnego Znak"/>
    <w:basedOn w:val="Domylnaczcionkaakapitu"/>
    <w:link w:val="Tekstprzypisudolnego"/>
    <w:uiPriority w:val="99"/>
    <w:rsid w:val="00B661B1"/>
    <w:rPr>
      <w:rFonts w:ascii="Calibri" w:eastAsia="Calibri" w:hAnsi="Calibri"/>
      <w:lang w:eastAsia="en-US"/>
    </w:rPr>
  </w:style>
  <w:style w:type="paragraph" w:styleId="Tekstdymka">
    <w:name w:val="Balloon Text"/>
    <w:basedOn w:val="Normalny"/>
    <w:link w:val="TekstdymkaZnak"/>
    <w:uiPriority w:val="99"/>
    <w:semiHidden/>
    <w:unhideWhenUsed/>
    <w:rsid w:val="00B661B1"/>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661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x.online.wolterskluwer.pl/WKPLOnline/index.rp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1753</Words>
  <Characters>10523</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12252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9</cp:revision>
  <cp:lastPrinted>2020-05-14T12:03:00Z</cp:lastPrinted>
  <dcterms:created xsi:type="dcterms:W3CDTF">2020-05-14T11:43:00Z</dcterms:created>
  <dcterms:modified xsi:type="dcterms:W3CDTF">2020-06-19T10:52:00Z</dcterms:modified>
</cp:coreProperties>
</file>