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92C" w:rsidRPr="00B7292C" w:rsidRDefault="00B7292C" w:rsidP="00B7292C">
      <w:pPr>
        <w:spacing w:after="0" w:line="360" w:lineRule="auto"/>
        <w:jc w:val="center"/>
        <w:rPr>
          <w:rFonts w:ascii="Tahoma" w:eastAsia="Times New Roman" w:hAnsi="Tahoma" w:cs="Tahoma"/>
          <w:sz w:val="24"/>
          <w:szCs w:val="24"/>
          <w:lang w:eastAsia="pl-PL"/>
        </w:rPr>
      </w:pPr>
      <w:bookmarkStart w:id="0" w:name="_GoBack"/>
      <w:bookmarkEnd w:id="0"/>
      <w:r w:rsidRPr="00B7292C">
        <w:rPr>
          <w:rFonts w:ascii="Tahoma" w:eastAsia="Times New Roman" w:hAnsi="Tahoma" w:cs="Tahoma"/>
          <w:b/>
          <w:bCs/>
          <w:color w:val="000000"/>
          <w:sz w:val="24"/>
          <w:szCs w:val="24"/>
          <w:lang w:eastAsia="pl-PL"/>
        </w:rPr>
        <w:t>Uzasadnienie</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center"/>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 </w:t>
      </w: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1. Potrzeba i cel uchwalenia ustawy</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Na mocy Rozporządzenia Rady Ministrów z dnia 10 kwietnia 2020 r. w sprawie ustanowienia określonych ograniczeń, nakazów i zakazów w związku z wystąpieniem stanu epidemii, od dnia 16 kwietnia 2020 r. (Dz.U. poz. 658, dalej: „Rozporządzenie z 10 kwietnia 2020 r.”) do odwołania nakłada się obowiązek zakrywania, przy pomocy części odzieży, maski albo maseczki, ust i nosa podczas przebywania poza adresem miejsca zamieszkania lub stałego pobytu. Nakaz ten został wprowadzony art. 46b pkt 4 ustawy z dnia 5 grudnia 2008 r. o zapobieganiu oraz zwalczaniu zakażeń i chorób zakaźnych u ludzi (Dz.U. z 2019 r. poz. 1239; z 2020 r. poz. 284, 374, 567, 875, 1495; dalej: „ustawa o zapobieganiu zakażeń”). </w:t>
      </w:r>
    </w:p>
    <w:p w:rsidR="00B7292C" w:rsidRPr="00B7292C" w:rsidRDefault="00B7292C" w:rsidP="00B7292C">
      <w:pPr>
        <w:spacing w:after="0" w:line="360" w:lineRule="auto"/>
        <w:ind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Wspomniany art. 46b pkt 4 ustawy o zapobieganiu zakażeń przewiduje obowiązek poddania się badaniom lekarskim oraz stosowaniu innych środków profilaktycznych i zabiegów przez osoby chore i podejrzane o zachorowanie. Oznacza to, że na podstawie tego przepisu Rada Ministrów mogła nałożyć nakaz zakrywania twarzy wyłącznie na osoby chore i podejrzane o zachorowanie, tj. wykazujące objawy lub posiadające kontakt z osobą zakażoną. Rada Ministrów w §18 Rozporządzenia z 10 kwietnia 2020 r. założyła odpowiedni nakaz na wszystkich. Należy zatem wskazać, że nie istniała podstawa prawna do wydania rozporządzenia w zakresie nałożenia określonego nakazu na osoby zdrowe, które nie miały kontaktu z osobą zakażoną lub na podstawie innej przesłanki nie są poddane kwarantannie lub nadzorowi epidemiologicznemu. Co za tym idzie, wszystkie kary pieniężne nałożone na podstawie niezastosowania się do obowiązku zakrywania, przy pomocy odzieży, maski, maseczki, przyłbicy albo kasku ochronnego, o którym mowa w art. 40 ust. 1 ustawy z dnia 20 czerwca 1997 r. - Prawo o ruchu drogowym (Dz. U. z 2020 r. poz. 110, 284, 568 i 695), ust i nosa, były nieważne.</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2. Projektowane rozwiązania</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    W art. 1 w ustawie o zapobieganiu zakażeń dodaje się art. 46bb, w którym Rada Ministrów po uzyskaniu opinii Głównego Inspektora Sanitarnego może rozszerzyć obowiązek poddania się badaniom lekarskim oraz stosowaniu innych środków profilaktycznych i zabiegów na inne osoby niż wymienione w art. 46b pkt 4 tj. chore i podejrzane o zachorowanie. Rada Ministrów będzie mieć na względzie proporcjonalność działania i zapewnienie dostępu do środków profilaktycznych i zabiegów. </w:t>
      </w: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    W art. 2 proponuje się uznanie z mocy prawa nieważności wszystkich kar pieniężnych niezależnie nałożonych na osoby, które nie zastosowały się do obowiązku zakrywania, przy pomocy odzieży, maski, maseczki, przyłbicy albo kasku ochronnego ust i nosa. Nieprawomocne kary w tych przypadkach staną się nieważne, a prawomocne będą mogły zostać wzruszone. </w:t>
      </w: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    Na podstawie proponowanych przepisów per analogiam będzie można dochodzić bezskuteczności innych nakazów i zakazów niemających podstawy prawnej. </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3. Źródła finansowania</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 xml:space="preserve">    </w:t>
      </w:r>
      <w:r w:rsidRPr="00B7292C">
        <w:rPr>
          <w:rFonts w:ascii="Tahoma" w:eastAsia="Times New Roman" w:hAnsi="Tahoma" w:cs="Tahoma"/>
          <w:color w:val="000000"/>
          <w:sz w:val="24"/>
          <w:szCs w:val="24"/>
          <w:lang w:eastAsia="pl-PL"/>
        </w:rPr>
        <w:t>Wskutek wejścia w życie niniejszej ustawy do budżetu państwa nie trafią nienależne wpływy, zatem z punktu widzenia formalnego proponowane rozwiązania są neutralne dla budżetu państwa.</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4. Oświadczenie o zgodności projektu ustawy z prawem Unii Europejskiej i braku obowiązku przedstawienia projektu instytucjom Unii Europejskiej</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Przedmiot regulacji nie podlega procedurze notyfikacji w rozumieniu przepisów dotyczących notyfikacji norm i aktów prawnych. </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5. Obowiązek notyfikacji zgodnie z przepisami dotyczącymi funkcjonowania krajowego systemu notyfikacji norm i aktów prawnych</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Projekt ustawy wymaga przedstawienia właściwym organom i instytucjom Unii Europejskiej, w tym Europejskiemu Bankowi Centralnemu, w celu uzyskania opinii, dokonania powiadomienia, konsultacji lub uzgodnienia.</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6. Wpływ na działalność mikroprzedsiębiorców oraz małych i średnich przedsiębiorstw</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right="-15"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Proponowany projekt ustawy nie ma wpływu na działalność mikroprzedsiębiorców oraz małych i średnich przedsiębiorstw.</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7. Konsultacje społeczne</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right="-15"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Proponowany projekt ustawy nie został poddany konsultacjom społecznym.</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8. Zgodność z Konstytucją RP. </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ind w:right="-15" w:firstLine="720"/>
        <w:jc w:val="both"/>
        <w:rPr>
          <w:rFonts w:ascii="Tahoma" w:eastAsia="Times New Roman" w:hAnsi="Tahoma" w:cs="Tahoma"/>
          <w:sz w:val="24"/>
          <w:szCs w:val="24"/>
          <w:lang w:eastAsia="pl-PL"/>
        </w:rPr>
      </w:pPr>
      <w:r w:rsidRPr="00B7292C">
        <w:rPr>
          <w:rFonts w:ascii="Tahoma" w:eastAsia="Times New Roman" w:hAnsi="Tahoma" w:cs="Tahoma"/>
          <w:color w:val="000000"/>
          <w:sz w:val="24"/>
          <w:szCs w:val="24"/>
          <w:lang w:eastAsia="pl-PL"/>
        </w:rPr>
        <w:t>W ocenie projektodawcy przedstawiony projekt ustawy jest zgodny z Konstytucją RP.</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9. Założenia projektów podstawowych aktów wykonawczych</w:t>
      </w:r>
      <w:r w:rsidRPr="00B7292C">
        <w:rPr>
          <w:rFonts w:ascii="Tahoma" w:eastAsia="Times New Roman" w:hAnsi="Tahoma" w:cs="Tahoma"/>
          <w:color w:val="000000"/>
          <w:sz w:val="24"/>
          <w:szCs w:val="24"/>
          <w:lang w:eastAsia="pl-PL"/>
        </w:rPr>
        <w:t> </w:t>
      </w:r>
    </w:p>
    <w:p w:rsidR="00B7292C" w:rsidRPr="00B7292C" w:rsidRDefault="00B7292C" w:rsidP="00B7292C">
      <w:pPr>
        <w:spacing w:after="0" w:line="360" w:lineRule="auto"/>
        <w:rPr>
          <w:rFonts w:ascii="Tahoma" w:eastAsia="Times New Roman" w:hAnsi="Tahoma" w:cs="Tahoma"/>
          <w:sz w:val="24"/>
          <w:szCs w:val="24"/>
          <w:lang w:eastAsia="pl-PL"/>
        </w:rPr>
      </w:pPr>
    </w:p>
    <w:p w:rsidR="00B7292C" w:rsidRPr="00B7292C" w:rsidRDefault="00B7292C" w:rsidP="00B7292C">
      <w:pPr>
        <w:spacing w:after="0" w:line="360" w:lineRule="auto"/>
        <w:jc w:val="both"/>
        <w:rPr>
          <w:rFonts w:ascii="Tahoma" w:eastAsia="Times New Roman" w:hAnsi="Tahoma" w:cs="Tahoma"/>
          <w:sz w:val="24"/>
          <w:szCs w:val="24"/>
          <w:lang w:eastAsia="pl-PL"/>
        </w:rPr>
      </w:pPr>
      <w:r w:rsidRPr="00B7292C">
        <w:rPr>
          <w:rFonts w:ascii="Tahoma" w:eastAsia="Times New Roman" w:hAnsi="Tahoma" w:cs="Tahoma"/>
          <w:b/>
          <w:bCs/>
          <w:color w:val="000000"/>
          <w:sz w:val="24"/>
          <w:szCs w:val="24"/>
          <w:lang w:eastAsia="pl-PL"/>
        </w:rPr>
        <w:t xml:space="preserve">    </w:t>
      </w:r>
      <w:r w:rsidRPr="00B7292C">
        <w:rPr>
          <w:rFonts w:ascii="Tahoma" w:eastAsia="Times New Roman" w:hAnsi="Tahoma" w:cs="Tahoma"/>
          <w:color w:val="000000"/>
          <w:sz w:val="24"/>
          <w:szCs w:val="24"/>
          <w:lang w:eastAsia="pl-PL"/>
        </w:rPr>
        <w:t xml:space="preserve">Zgodnie z proponowanym brzmieniem dodawanego art. 46bb ustawy o zapobieganiu zakażeń Rada Ministrów po uzyskaniu opinii Głównego Inspektora Sanitarnego może rozszerzyć, w drodze rozporządzenia, obowiązek poddania się stosowaniu środków profilaktycznych i zabiegów przez osoby inne niż osoby chore i podejrzane o zachorowanie. Treść rozporządzenia będzie zależeć od oceny sytuacji epidemiologicznej i może zakładać, między innymi, wprowadzenie powszechnego obowiązku zakrywania ust i nosa przy pomocy odzieży, maski, maseczki, przyłbicy albo kasku ochronnego. Każdorazowo należało będzie również rozważyć wprowadzenie wyjątków od nakazu, dotyczących na przykład dzieci do </w:t>
      </w:r>
      <w:r w:rsidRPr="00B7292C">
        <w:rPr>
          <w:rFonts w:ascii="Tahoma" w:eastAsia="Times New Roman" w:hAnsi="Tahoma" w:cs="Tahoma"/>
          <w:color w:val="000000"/>
          <w:sz w:val="24"/>
          <w:szCs w:val="24"/>
          <w:lang w:eastAsia="pl-PL"/>
        </w:rPr>
        <w:lastRenderedPageBreak/>
        <w:t>ukończenia 4. roku życia, osób, które nie mogą zakrywać ust lub nosa z powodu stanu zdrowia, czy osób przebywających poza dużymi skupiskami ludzi. </w:t>
      </w:r>
    </w:p>
    <w:p w:rsidR="0062722D" w:rsidRPr="00B7292C" w:rsidRDefault="00860E9A" w:rsidP="00B7292C">
      <w:pPr>
        <w:spacing w:line="360" w:lineRule="auto"/>
        <w:rPr>
          <w:rFonts w:ascii="Tahoma" w:hAnsi="Tahoma" w:cs="Tahoma"/>
          <w:sz w:val="24"/>
          <w:szCs w:val="24"/>
        </w:rPr>
      </w:pPr>
    </w:p>
    <w:sectPr w:rsidR="0062722D" w:rsidRPr="00B7292C" w:rsidSect="00B7292C">
      <w:pgSz w:w="11906" w:h="16838"/>
      <w:pgMar w:top="1417" w:right="1700"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92C"/>
    <w:rsid w:val="002F2A53"/>
    <w:rsid w:val="00712167"/>
    <w:rsid w:val="007560E3"/>
    <w:rsid w:val="00860E9A"/>
    <w:rsid w:val="00B729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E760D3-BB58-4A67-8DFD-FCE7FDB18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B7292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B729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7292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352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4</Pages>
  <Words>717</Words>
  <Characters>4303</Characters>
  <Application>Microsoft Office Word</Application>
  <DocSecurity>0</DocSecurity>
  <Lines>35</Lines>
  <Paragraphs>10</Paragraphs>
  <ScaleCrop>false</ScaleCrop>
  <HeadingPairs>
    <vt:vector size="2" baseType="variant">
      <vt:variant>
        <vt:lpstr>Tytuł</vt:lpstr>
      </vt:variant>
      <vt:variant>
        <vt:i4>1</vt:i4>
      </vt:variant>
    </vt:vector>
  </HeadingPairs>
  <TitlesOfParts>
    <vt:vector size="1" baseType="lpstr">
      <vt:lpstr/>
    </vt:vector>
  </TitlesOfParts>
  <Company>Kancelaria Sejmu</Company>
  <LinksUpToDate>false</LinksUpToDate>
  <CharactersWithSpaces>5010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Standerski</dc:creator>
  <cp:keywords/>
  <dc:description/>
  <cp:lastModifiedBy>Grzegorz Molesztak</cp:lastModifiedBy>
  <cp:revision>2</cp:revision>
  <cp:lastPrinted>2020-06-01T08:28:00Z</cp:lastPrinted>
  <dcterms:created xsi:type="dcterms:W3CDTF">2020-06-01T08:26:00Z</dcterms:created>
  <dcterms:modified xsi:type="dcterms:W3CDTF">2020-06-19T11:32:00Z</dcterms:modified>
</cp:coreProperties>
</file>