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52A" w:rsidRDefault="00F16C7B" w:rsidP="007C552A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175D0">
        <w:rPr>
          <w:rFonts w:ascii="Times New Roman" w:hAnsi="Times New Roman"/>
          <w:b/>
          <w:sz w:val="28"/>
          <w:szCs w:val="28"/>
        </w:rPr>
        <w:t>Stanowisko Rządu wobec poselskiego projektu ustawy o subwencji rekompensującej dla jednostek samorządu terytorialnego</w:t>
      </w:r>
    </w:p>
    <w:p w:rsidR="00F16C7B" w:rsidRPr="004175D0" w:rsidRDefault="00F16C7B" w:rsidP="007C552A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4175D0">
        <w:rPr>
          <w:rFonts w:ascii="Times New Roman" w:hAnsi="Times New Roman"/>
          <w:b/>
          <w:sz w:val="28"/>
          <w:szCs w:val="28"/>
        </w:rPr>
        <w:t>(druk nr 442)</w:t>
      </w:r>
    </w:p>
    <w:p w:rsidR="00F16C7B" w:rsidRPr="00F16C7B" w:rsidRDefault="00F16C7B" w:rsidP="007C55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16C7B" w:rsidRPr="00F16C7B" w:rsidRDefault="003A11CD" w:rsidP="003A11CD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 </w:t>
      </w:r>
      <w:r w:rsidR="00F16C7B" w:rsidRPr="00F16C7B">
        <w:rPr>
          <w:rFonts w:ascii="Times New Roman" w:eastAsia="Times New Roman" w:hAnsi="Times New Roman" w:cs="Times New Roman"/>
          <w:b/>
          <w:sz w:val="24"/>
          <w:szCs w:val="24"/>
        </w:rPr>
        <w:t>Propozycje zawarte w projekcie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Poselski projekt ustawy o subwencji rekompensującej dla jednostek samorzą</w:t>
      </w:r>
      <w:r w:rsidR="006D04B1">
        <w:rPr>
          <w:rFonts w:ascii="Times New Roman" w:hAnsi="Times New Roman" w:cs="Times New Roman"/>
          <w:sz w:val="24"/>
          <w:szCs w:val="24"/>
        </w:rPr>
        <w:t>du terytorialnego (druk nr 442)</w:t>
      </w:r>
      <w:r w:rsidRPr="00F16C7B">
        <w:rPr>
          <w:rFonts w:ascii="Times New Roman" w:hAnsi="Times New Roman" w:cs="Times New Roman"/>
          <w:sz w:val="24"/>
          <w:szCs w:val="24"/>
        </w:rPr>
        <w:t xml:space="preserve"> reguluje wsparcie dla jednostek samorządu terytorialnego w warunkach zagrożenia ekonomicznego w następstwie wystąpienia COVID-19, a w szczególności warunki przyznania części rekompensującej subwencji ogólnej oraz częściowego wyrównania utraconych dochodów jednostek samorządu terytorialnego. 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Przedłożony projekt ustawy przewiduje wprowadzenie do subwencji ogólnej w 2020 r. jednorazowo części rekompensującej, która obejmuje dochody utracone w wyniku zagrożenia ekonomicznego w następstwie wystąpienia COVID-19 oraz stosowania ustawy z dnia 2 marca 2020 r. o szczególnych rozwiązaniach związanych z zapo</w:t>
      </w:r>
      <w:r w:rsidR="006D04B1">
        <w:rPr>
          <w:rFonts w:ascii="Times New Roman" w:hAnsi="Times New Roman" w:cs="Times New Roman"/>
          <w:sz w:val="24"/>
          <w:szCs w:val="24"/>
        </w:rPr>
        <w:t>bieganiem, przeciwdziałaniem i </w:t>
      </w:r>
      <w:r w:rsidRPr="00F16C7B">
        <w:rPr>
          <w:rFonts w:ascii="Times New Roman" w:hAnsi="Times New Roman" w:cs="Times New Roman"/>
          <w:sz w:val="24"/>
          <w:szCs w:val="24"/>
        </w:rPr>
        <w:t xml:space="preserve">zwalczaniem COVID-19, innych chorób zakaźnych oraz wywołanych nimi sytuacji kryzysowych 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(Dz.</w:t>
      </w:r>
      <w:r w:rsidR="00CB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U. poz. 374, z późn.</w:t>
      </w:r>
      <w:r w:rsidR="000664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zm.), zwanej dalej „ustawą o szczególnych rozwiązaniach związanych z zapobieganiem, przeciwdziałaniem i zwalczaniem COVID-19”.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7C552A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projektem</w:t>
      </w:r>
      <w:r w:rsidR="00F16C7B" w:rsidRPr="00F16C7B">
        <w:rPr>
          <w:rFonts w:ascii="Times New Roman" w:hAnsi="Times New Roman" w:cs="Times New Roman"/>
          <w:sz w:val="24"/>
          <w:szCs w:val="24"/>
        </w:rPr>
        <w:t xml:space="preserve"> wysokość części rekompensującej subwencji ogólnej ma stanowić połowę utraconych w 2020 r. dochodów jednostek samorządu terytoria</w:t>
      </w:r>
      <w:r w:rsidR="006D04B1">
        <w:rPr>
          <w:rFonts w:ascii="Times New Roman" w:hAnsi="Times New Roman" w:cs="Times New Roman"/>
          <w:sz w:val="24"/>
          <w:szCs w:val="24"/>
        </w:rPr>
        <w:t>lnego z udziałów we wpływach z </w:t>
      </w:r>
      <w:r w:rsidR="00F16C7B" w:rsidRPr="00F16C7B">
        <w:rPr>
          <w:rFonts w:ascii="Times New Roman" w:hAnsi="Times New Roman" w:cs="Times New Roman"/>
          <w:sz w:val="24"/>
          <w:szCs w:val="24"/>
        </w:rPr>
        <w:t>podatku dochodowego od osób fizycznych i podatku dochodowego od osób prawych. Utracone dochody, zgodnie z proponowan</w:t>
      </w:r>
      <w:r w:rsidR="006D04B1">
        <w:rPr>
          <w:rFonts w:ascii="Times New Roman" w:hAnsi="Times New Roman" w:cs="Times New Roman"/>
          <w:sz w:val="24"/>
          <w:szCs w:val="24"/>
        </w:rPr>
        <w:t>ymi przepisami,</w:t>
      </w:r>
      <w:r w:rsidR="00F16C7B" w:rsidRPr="00F16C7B">
        <w:rPr>
          <w:rFonts w:ascii="Times New Roman" w:hAnsi="Times New Roman" w:cs="Times New Roman"/>
          <w:sz w:val="24"/>
          <w:szCs w:val="24"/>
        </w:rPr>
        <w:t xml:space="preserve"> stanowią ubytek w wysokości różnicy pomiędzy dochodami z ww. tytułów w odpowiadających miesiącach 2020 r. i 2019 r.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Kwota części rekompensującej ma być określona w ustawie budżetowej. Proponowana ustawa deleguje ministrowi właściwemu do spraw finansó</w:t>
      </w:r>
      <w:r w:rsidR="006D04B1">
        <w:rPr>
          <w:rFonts w:ascii="Times New Roman" w:hAnsi="Times New Roman" w:cs="Times New Roman"/>
          <w:sz w:val="24"/>
          <w:szCs w:val="24"/>
        </w:rPr>
        <w:t xml:space="preserve">w publicznych określenie zasad </w:t>
      </w:r>
      <w:r w:rsidRPr="00F16C7B">
        <w:rPr>
          <w:rFonts w:ascii="Times New Roman" w:hAnsi="Times New Roman" w:cs="Times New Roman"/>
          <w:sz w:val="24"/>
          <w:szCs w:val="24"/>
        </w:rPr>
        <w:t xml:space="preserve">i trybu przekazywania jednostkom samorządu terytorialnego części rekompensującej mając na względzie zapewnienie przejrzystości procedury oraz ciągłości finansowania zadań własnych jednostki samorządu terytorialnego. 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Projekt zawiera przepisy, zgodnie z którymi jednostki samorządu terytorialneg</w:t>
      </w:r>
      <w:r w:rsidR="006D04B1">
        <w:rPr>
          <w:rFonts w:ascii="Times New Roman" w:hAnsi="Times New Roman" w:cs="Times New Roman"/>
          <w:sz w:val="24"/>
          <w:szCs w:val="24"/>
        </w:rPr>
        <w:t xml:space="preserve">o w 2020 r. miałyby otrzymywać </w:t>
      </w:r>
      <w:r w:rsidRPr="00F16C7B">
        <w:rPr>
          <w:rFonts w:ascii="Times New Roman" w:hAnsi="Times New Roman" w:cs="Times New Roman"/>
          <w:sz w:val="24"/>
          <w:szCs w:val="24"/>
        </w:rPr>
        <w:t>dotację celową na realizację zadań wynikających z ustawy o szczególnych rozwiązaniach związanych z zapo</w:t>
      </w:r>
      <w:r w:rsidR="006D04B1">
        <w:rPr>
          <w:rFonts w:ascii="Times New Roman" w:hAnsi="Times New Roman" w:cs="Times New Roman"/>
          <w:sz w:val="24"/>
          <w:szCs w:val="24"/>
        </w:rPr>
        <w:t>bieganiem, przeciwdziałaniem i </w:t>
      </w:r>
      <w:r w:rsidRPr="00F16C7B">
        <w:rPr>
          <w:rFonts w:ascii="Times New Roman" w:hAnsi="Times New Roman" w:cs="Times New Roman"/>
          <w:sz w:val="24"/>
          <w:szCs w:val="24"/>
        </w:rPr>
        <w:t xml:space="preserve">zwalczaniem COVID-19. 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lastRenderedPageBreak/>
        <w:t>Dotacja celowa, w ocenie projektodawców</w:t>
      </w:r>
      <w:r w:rsidR="007C552A">
        <w:rPr>
          <w:rFonts w:ascii="Times New Roman" w:hAnsi="Times New Roman" w:cs="Times New Roman"/>
          <w:sz w:val="24"/>
          <w:szCs w:val="24"/>
        </w:rPr>
        <w:t>,</w:t>
      </w:r>
      <w:r w:rsidRPr="00F16C7B">
        <w:rPr>
          <w:rFonts w:ascii="Times New Roman" w:hAnsi="Times New Roman" w:cs="Times New Roman"/>
          <w:sz w:val="24"/>
          <w:szCs w:val="24"/>
        </w:rPr>
        <w:t xml:space="preserve"> ma stanowić uzupełnienie luki prawnej, która wynika z wprowadzenia przepisów związanych z zapobieganiem, przeciwdziałaniem i zwalczaniem COVID-19, innych chorób zakaźnych oraz wywołanych nimi sytuacji kryzysowych. Szczegółowe warunki przyznania dotacji ma określić minister właściwy do</w:t>
      </w:r>
      <w:r w:rsidR="006D04B1">
        <w:rPr>
          <w:rFonts w:ascii="Times New Roman" w:hAnsi="Times New Roman" w:cs="Times New Roman"/>
          <w:sz w:val="24"/>
          <w:szCs w:val="24"/>
        </w:rPr>
        <w:t xml:space="preserve"> spraw finansów publicznych, w </w:t>
      </w:r>
      <w:r w:rsidRPr="00F16C7B">
        <w:rPr>
          <w:rFonts w:ascii="Times New Roman" w:hAnsi="Times New Roman" w:cs="Times New Roman"/>
          <w:sz w:val="24"/>
          <w:szCs w:val="24"/>
        </w:rPr>
        <w:t>drodze rozporządzenia.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Wnioskodawcy proponują dodanie ust. 4 w art. 7 ustawy z dnia 13 listopada 2003 r. o dochodach jednostek samorządu terytorialnego (Dz.</w:t>
      </w:r>
      <w:r w:rsidR="00CB0F79">
        <w:rPr>
          <w:rFonts w:ascii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U. z 2020 r. poz. 23, z póź</w:t>
      </w:r>
      <w:r w:rsidR="006D04B1">
        <w:rPr>
          <w:rFonts w:ascii="Times New Roman" w:hAnsi="Times New Roman" w:cs="Times New Roman"/>
          <w:sz w:val="24"/>
          <w:szCs w:val="24"/>
        </w:rPr>
        <w:t>n.</w:t>
      </w:r>
      <w:r w:rsidR="00066441">
        <w:rPr>
          <w:rFonts w:ascii="Times New Roman" w:hAnsi="Times New Roman" w:cs="Times New Roman"/>
          <w:sz w:val="24"/>
          <w:szCs w:val="24"/>
        </w:rPr>
        <w:t xml:space="preserve"> </w:t>
      </w:r>
      <w:r w:rsidR="006D04B1">
        <w:rPr>
          <w:rFonts w:ascii="Times New Roman" w:hAnsi="Times New Roman" w:cs="Times New Roman"/>
          <w:sz w:val="24"/>
          <w:szCs w:val="24"/>
        </w:rPr>
        <w:t>zm.), zwanej dalej „ustawą o </w:t>
      </w:r>
      <w:r w:rsidRPr="00F16C7B">
        <w:rPr>
          <w:rFonts w:ascii="Times New Roman" w:hAnsi="Times New Roman" w:cs="Times New Roman"/>
          <w:sz w:val="24"/>
          <w:szCs w:val="24"/>
        </w:rPr>
        <w:t xml:space="preserve">dochodach jednostek samorządu terytorialnego”. 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Zg</w:t>
      </w:r>
      <w:r w:rsidR="007C552A">
        <w:rPr>
          <w:rFonts w:ascii="Times New Roman" w:hAnsi="Times New Roman" w:cs="Times New Roman"/>
          <w:sz w:val="24"/>
          <w:szCs w:val="24"/>
        </w:rPr>
        <w:t>odnie z projektowanym przepisem</w:t>
      </w:r>
      <w:r w:rsidRPr="00F16C7B">
        <w:rPr>
          <w:rFonts w:ascii="Times New Roman" w:hAnsi="Times New Roman" w:cs="Times New Roman"/>
          <w:sz w:val="24"/>
          <w:szCs w:val="24"/>
        </w:rPr>
        <w:t xml:space="preserve"> dodatkowe części subwencji ogólnej będą regulowane przez przepisy odrębne, a przepisy rozdziałów 4 i 5, które określają zasady ustalania subwencji ogólnej i wpłat dla jednostek samorządu terytorialnego oraz zasady i tryb przekazywania części subwencji ogólnej, będą znajdowały odpowiednie zastosowanie.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W uzasadnieniu do projektu wskazano, iż w wyniku pandemii wielu przedsiębiorców wstrzymało jakąkolwiek aktywność gospodarczą, co z punktu widzenia jednostek samorządu terytorialnego przekłada się na spadek dochodów z tytułu udziału we wpływach z podatku dochodowego od osób fizycznych (PIT) i podatku dochodowego od osób prawnych (CIT), przy rosnących wydatkach m.in. z zakresu pomocy społecznej, czy w związku z zapewnieniem dostępu do śro</w:t>
      </w:r>
      <w:r w:rsidR="007C552A">
        <w:rPr>
          <w:rFonts w:ascii="Times New Roman" w:hAnsi="Times New Roman" w:cs="Times New Roman"/>
          <w:sz w:val="24"/>
          <w:szCs w:val="24"/>
        </w:rPr>
        <w:t>dków ochrony osobistej. Ponadto</w:t>
      </w:r>
      <w:r w:rsidRPr="00F16C7B">
        <w:rPr>
          <w:rFonts w:ascii="Times New Roman" w:hAnsi="Times New Roman" w:cs="Times New Roman"/>
          <w:sz w:val="24"/>
          <w:szCs w:val="24"/>
        </w:rPr>
        <w:t xml:space="preserve"> jednostki samorządu terytorialnego zawiesiły pobór bądź umorzyły swoje dochody w postaci podatku od nieruchomości czy też podatku od środków transportowych.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Projektowana ustawa zapewnia więc rekompensatę dla samorządów z tego tytułu, w ten sposób rozkłada się bowiem koszty kryzysu gospodarczego pomiędzy samorząd terytorialny a państwo.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Projek</w:t>
      </w:r>
      <w:r w:rsidR="006D04B1">
        <w:rPr>
          <w:rFonts w:ascii="Times New Roman" w:hAnsi="Times New Roman" w:cs="Times New Roman"/>
          <w:sz w:val="24"/>
          <w:szCs w:val="24"/>
        </w:rPr>
        <w:t xml:space="preserve">towana ustawa ma wejść w życie </w:t>
      </w:r>
      <w:r w:rsidRPr="00F16C7B">
        <w:rPr>
          <w:rFonts w:ascii="Times New Roman" w:hAnsi="Times New Roman" w:cs="Times New Roman"/>
          <w:sz w:val="24"/>
          <w:szCs w:val="24"/>
        </w:rPr>
        <w:t>z dniem następującym po dniu jej ogłoszenia w Dzienniku Ustaw.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3A11CD" w:rsidP="00CA30B7">
      <w:pPr>
        <w:numPr>
          <w:ilvl w:val="2"/>
          <w:numId w:val="2"/>
        </w:numPr>
        <w:tabs>
          <w:tab w:val="left" w:pos="399"/>
        </w:tabs>
        <w:spacing w:before="120" w:after="120" w:line="276" w:lineRule="auto"/>
        <w:ind w:right="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 </w:t>
      </w:r>
      <w:r w:rsidR="00F16C7B" w:rsidRPr="00F16C7B">
        <w:rPr>
          <w:rFonts w:ascii="Times New Roman" w:eastAsia="Times New Roman" w:hAnsi="Times New Roman"/>
          <w:b/>
          <w:sz w:val="24"/>
          <w:szCs w:val="24"/>
        </w:rPr>
        <w:t>Stan prawny</w:t>
      </w:r>
    </w:p>
    <w:p w:rsidR="00F16C7B" w:rsidRPr="00F16C7B" w:rsidRDefault="00F16C7B" w:rsidP="00F16C7B">
      <w:pPr>
        <w:spacing w:before="120" w:after="120" w:line="276" w:lineRule="auto"/>
        <w:jc w:val="both"/>
        <w:rPr>
          <w:rFonts w:ascii="Times New Roman" w:eastAsia="Cambria" w:hAnsi="Times New Roman"/>
        </w:rPr>
      </w:pPr>
    </w:p>
    <w:p w:rsidR="00F16C7B" w:rsidRPr="00F16C7B" w:rsidRDefault="00F16C7B" w:rsidP="00F16C7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Od dnia 1 stycznia 2004 r. obowiązuje system finansowania jednostek samorządu terytorialnego (JST), określony w ustawie o dochodach jednostek samor</w:t>
      </w:r>
      <w:r w:rsidR="006D04B1">
        <w:rPr>
          <w:rFonts w:ascii="Times New Roman" w:hAnsi="Times New Roman" w:cs="Times New Roman"/>
          <w:sz w:val="24"/>
          <w:szCs w:val="24"/>
        </w:rPr>
        <w:t xml:space="preserve">ządu terytorialnego. Zgodnie z </w:t>
      </w:r>
      <w:r w:rsidR="007C552A">
        <w:rPr>
          <w:rFonts w:ascii="Times New Roman" w:hAnsi="Times New Roman" w:cs="Times New Roman"/>
          <w:sz w:val="24"/>
          <w:szCs w:val="24"/>
        </w:rPr>
        <w:t>art. 7 ust. 1 ww. ustawy</w:t>
      </w:r>
      <w:r w:rsidRPr="00F16C7B">
        <w:rPr>
          <w:rFonts w:ascii="Times New Roman" w:hAnsi="Times New Roman" w:cs="Times New Roman"/>
          <w:sz w:val="24"/>
          <w:szCs w:val="24"/>
        </w:rPr>
        <w:t xml:space="preserve"> subwencja ogólna składa się z części wyrównawczej i części oświatowej – dla wszystkich rodzajów JST oraz części równoważącej (w przypadku gmin i powiatów) i regionalnej (w przypadku wojewódz</w:t>
      </w:r>
      <w:r w:rsidR="006D04B1">
        <w:rPr>
          <w:rFonts w:ascii="Times New Roman" w:hAnsi="Times New Roman" w:cs="Times New Roman"/>
          <w:sz w:val="24"/>
          <w:szCs w:val="24"/>
        </w:rPr>
        <w:t xml:space="preserve">tw). W ustawie tej ustawodawca </w:t>
      </w:r>
      <w:r w:rsidRPr="00F16C7B">
        <w:rPr>
          <w:rFonts w:ascii="Times New Roman" w:hAnsi="Times New Roman" w:cs="Times New Roman"/>
          <w:sz w:val="24"/>
          <w:szCs w:val="24"/>
        </w:rPr>
        <w:t xml:space="preserve">nie przewidział źródła dochodów JST, jakim jest część rekompensująca subwencji ogólnej. </w:t>
      </w:r>
    </w:p>
    <w:p w:rsidR="00F16C7B" w:rsidRPr="00F16C7B" w:rsidRDefault="007C552A" w:rsidP="00F16C7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Niemniej</w:t>
      </w:r>
      <w:r w:rsidR="00F16C7B" w:rsidRPr="00F16C7B">
        <w:rPr>
          <w:rFonts w:ascii="Times New Roman" w:hAnsi="Times New Roman" w:cs="Times New Roman"/>
          <w:sz w:val="24"/>
          <w:szCs w:val="24"/>
        </w:rPr>
        <w:t xml:space="preserve"> w obowiązującym stanie prawnym istnieją liczne mechanizmy rekompensujące samorządom utracone dochody. Należą do nich między innymi:</w:t>
      </w:r>
    </w:p>
    <w:p w:rsidR="00F16C7B" w:rsidRPr="00F16C7B" w:rsidRDefault="00F16C7B" w:rsidP="00F16C7B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mechanizm oparty na konstrukcji subwencji rekompensującej w przypadku ustawowego zwolnienia z podatku od nieruchomości przyznanego z tytułu prowadzenia działalności gospodarczej na terenie specjalnych stref ekonomicznych</w:t>
      </w:r>
      <w:r w:rsidRPr="00F16C7B">
        <w:rPr>
          <w:b/>
          <w:vertAlign w:val="superscript"/>
        </w:rPr>
        <w:footnoteReference w:id="1"/>
      </w:r>
      <w:r w:rsidRPr="00F16C7B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F16C7B">
        <w:rPr>
          <w:rFonts w:ascii="Times New Roman" w:hAnsi="Times New Roman" w:cs="Times New Roman"/>
          <w:sz w:val="24"/>
          <w:szCs w:val="24"/>
        </w:rPr>
        <w:t xml:space="preserve"> – gmina, która w danym roku podatkowym nie uzyskała dochodów na skutek zwolnienia przedsiębiorców z podatku od</w:t>
      </w:r>
      <w:r w:rsidR="006633BF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 xml:space="preserve">nieruchomości, otrzymuje w następnym roku z budżetu państwa część rekompensującą subwencji ogólnej na wyrównanie ubytku dochodów; </w:t>
      </w:r>
    </w:p>
    <w:p w:rsidR="00F16C7B" w:rsidRPr="00F16C7B" w:rsidRDefault="00F16C7B" w:rsidP="00F16C7B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zwrot z budżetu państwa utraconych dochodów z tytułu zwolnienia z podatku od</w:t>
      </w:r>
      <w:r w:rsidR="00A20D5D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nieruchomości gruntów położonych na obszarach objętych ochroną ścisłą, czynną lub</w:t>
      </w:r>
      <w:r w:rsidR="00A20D5D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krajobrazową, a także budynków i budowli trwale związanych z gruntem, służących bezpośrednio osiąganiu celów z zakresu ochrony przyrody – w parkach narodowych oraz</w:t>
      </w:r>
      <w:r w:rsidR="005852BC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w rezerwatach przyrody;</w:t>
      </w:r>
    </w:p>
    <w:p w:rsidR="00F16C7B" w:rsidRPr="00F16C7B" w:rsidRDefault="00F16C7B" w:rsidP="00F16C7B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zwrot z budżetu państwa utraconych dochodów z tytułu zwolnienia z podatku od</w:t>
      </w:r>
      <w:r w:rsidR="00A20D5D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nieruchomości, podatku rolnego i podatku leśnego przedsiębiorców o statusie centrum badawczo-rozwojowego</w:t>
      </w:r>
      <w:r w:rsidRPr="00F16C7B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F16C7B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F16C7B">
        <w:rPr>
          <w:rFonts w:ascii="Times New Roman" w:hAnsi="Times New Roman" w:cs="Times New Roman"/>
          <w:sz w:val="24"/>
          <w:szCs w:val="24"/>
        </w:rPr>
        <w:t>.</w:t>
      </w:r>
    </w:p>
    <w:p w:rsidR="00F16C7B" w:rsidRPr="00F16C7B" w:rsidRDefault="00F16C7B" w:rsidP="00F16C7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Ponadto gminy otrzymują zwrot z tytułu zwolnienia od podatku od nieruchomości będących własnością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Skarbu Państwa gruntów pod wodami powierzchniowymi płynącymi j</w:t>
      </w:r>
      <w:r>
        <w:rPr>
          <w:rFonts w:ascii="Times New Roman" w:hAnsi="Times New Roman" w:cs="Times New Roman"/>
          <w:sz w:val="24"/>
          <w:szCs w:val="24"/>
        </w:rPr>
        <w:t>ezior oraz</w:t>
      </w:r>
      <w:r w:rsidR="005852B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gruntów zajętych pod </w:t>
      </w:r>
      <w:r w:rsidRPr="00F16C7B">
        <w:rPr>
          <w:rFonts w:ascii="Times New Roman" w:hAnsi="Times New Roman" w:cs="Times New Roman"/>
          <w:sz w:val="24"/>
          <w:szCs w:val="24"/>
        </w:rPr>
        <w:t>sztuczne zbiorniki wodne ze środków Państwowego Gospodars</w:t>
      </w:r>
      <w:r>
        <w:rPr>
          <w:rFonts w:ascii="Times New Roman" w:hAnsi="Times New Roman" w:cs="Times New Roman"/>
          <w:sz w:val="24"/>
          <w:szCs w:val="24"/>
        </w:rPr>
        <w:t>twa Wodnego Wody Polskie</w:t>
      </w:r>
      <w:r w:rsidRPr="00F16C7B">
        <w:rPr>
          <w:rFonts w:ascii="Times New Roman" w:hAnsi="Times New Roman" w:cs="Times New Roman"/>
          <w:sz w:val="24"/>
          <w:szCs w:val="24"/>
          <w:vertAlign w:val="superscript"/>
        </w:rPr>
        <w:footnoteReference w:id="3"/>
      </w:r>
      <w:r w:rsidRPr="00F16C7B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F16C7B">
        <w:rPr>
          <w:rFonts w:ascii="Times New Roman" w:hAnsi="Times New Roman" w:cs="Times New Roman"/>
          <w:sz w:val="24"/>
          <w:szCs w:val="24"/>
        </w:rPr>
        <w:t xml:space="preserve"> or</w:t>
      </w:r>
      <w:r w:rsidR="006D04B1">
        <w:rPr>
          <w:rFonts w:ascii="Times New Roman" w:hAnsi="Times New Roman" w:cs="Times New Roman"/>
          <w:sz w:val="24"/>
          <w:szCs w:val="24"/>
        </w:rPr>
        <w:t>az zwrot utraconych dochodów w </w:t>
      </w:r>
      <w:r w:rsidRPr="00F16C7B">
        <w:rPr>
          <w:rFonts w:ascii="Times New Roman" w:hAnsi="Times New Roman" w:cs="Times New Roman"/>
          <w:sz w:val="24"/>
          <w:szCs w:val="24"/>
        </w:rPr>
        <w:t>przypadku zwolnienia z podatku od nieruchomości, podatku rolnego i leśnego prowadzących zakłady pracy chronionej lub zakłady aktywności zawodowej – ze środków PFRON-u</w:t>
      </w:r>
      <w:r w:rsidRPr="00F16C7B"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  <w:r w:rsidRPr="00F16C7B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F16C7B">
        <w:rPr>
          <w:rFonts w:ascii="Times New Roman" w:hAnsi="Times New Roman" w:cs="Times New Roman"/>
          <w:sz w:val="24"/>
          <w:szCs w:val="24"/>
        </w:rPr>
        <w:t>.</w:t>
      </w:r>
    </w:p>
    <w:p w:rsidR="00F16C7B" w:rsidRPr="00F16C7B" w:rsidRDefault="00F16C7B" w:rsidP="00F16C7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Ustawa o dochodach jednostek samorządu terytorialnego przewiduje w art. 36 ust. 4 pkt 1 utworzenie w ramach subwencji ogólnej rezerwy przeznaczonej dla jednostek samorządu terytorialnego. Środki rezerwy subwencji ogólnej mogą być przeznaczone, między innymi, dla</w:t>
      </w:r>
      <w:r w:rsidR="005852BC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 xml:space="preserve">gmin, powiatów i województw, w których dochody, w przeliczeniu na jednego mieszkańca, </w:t>
      </w:r>
      <w:r w:rsidRPr="00F16C7B">
        <w:rPr>
          <w:rFonts w:ascii="Times New Roman" w:hAnsi="Times New Roman" w:cs="Times New Roman"/>
          <w:sz w:val="24"/>
          <w:szCs w:val="24"/>
        </w:rPr>
        <w:lastRenderedPageBreak/>
        <w:t>są</w:t>
      </w:r>
      <w:r w:rsidR="00066441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niższe od średnich dochodów odpowiednio wszystkich g</w:t>
      </w:r>
      <w:r w:rsidR="006D04B1">
        <w:rPr>
          <w:rFonts w:ascii="Times New Roman" w:hAnsi="Times New Roman" w:cs="Times New Roman"/>
          <w:sz w:val="24"/>
          <w:szCs w:val="24"/>
        </w:rPr>
        <w:t>min, powiatów i województw, w </w:t>
      </w:r>
      <w:r w:rsidRPr="00F16C7B">
        <w:rPr>
          <w:rFonts w:ascii="Times New Roman" w:hAnsi="Times New Roman" w:cs="Times New Roman"/>
          <w:sz w:val="24"/>
          <w:szCs w:val="24"/>
        </w:rPr>
        <w:t>przeliczeniu na jednego mieszkańca kraju.</w:t>
      </w:r>
    </w:p>
    <w:p w:rsidR="00F16C7B" w:rsidRPr="00F16C7B" w:rsidRDefault="00F16C7B" w:rsidP="00F16C7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W 2019 r. środki z ww. rezerwy subwencji ogólnej, w łącznej wysokości 304.513 tys. zł, po</w:t>
      </w:r>
      <w:r w:rsidR="00650238">
        <w:t> </w:t>
      </w:r>
      <w:r w:rsidRPr="00F16C7B">
        <w:rPr>
          <w:rFonts w:ascii="Times New Roman" w:hAnsi="Times New Roman" w:cs="Times New Roman"/>
          <w:sz w:val="24"/>
          <w:szCs w:val="24"/>
        </w:rPr>
        <w:t>uzgodnieniu kryteriów podziału z reprezentacją jednostek samorządu terytorialnego, zostały rozdysponowane dla 1414 jednostek samorządu terytorialnego, z tego:</w:t>
      </w:r>
    </w:p>
    <w:p w:rsidR="00F16C7B" w:rsidRPr="00F16C7B" w:rsidRDefault="006D04B1" w:rsidP="00F16C7B">
      <w:pPr>
        <w:spacing w:before="120" w:after="12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D5D" w:rsidRPr="00F16C7B">
        <w:rPr>
          <w:rFonts w:ascii="Times New Roman" w:hAnsi="Times New Roman" w:cs="Times New Roman"/>
          <w:sz w:val="24"/>
          <w:szCs w:val="24"/>
        </w:rPr>
        <w:t>–</w:t>
      </w:r>
      <w:r w:rsidR="00A20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1087 gmin otrzymało </w:t>
      </w:r>
      <w:r w:rsidR="00F16C7B" w:rsidRPr="00F16C7B">
        <w:rPr>
          <w:rFonts w:ascii="Times New Roman" w:hAnsi="Times New Roman" w:cs="Times New Roman"/>
          <w:sz w:val="24"/>
          <w:szCs w:val="24"/>
        </w:rPr>
        <w:t>166.274 tys. zł,</w:t>
      </w:r>
    </w:p>
    <w:p w:rsidR="00F16C7B" w:rsidRPr="00F16C7B" w:rsidRDefault="00F16C7B" w:rsidP="00F16C7B">
      <w:pPr>
        <w:spacing w:before="120" w:after="12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 </w:t>
      </w:r>
      <w:r w:rsidR="00A20D5D" w:rsidRPr="00F16C7B">
        <w:rPr>
          <w:rFonts w:ascii="Times New Roman" w:hAnsi="Times New Roman" w:cs="Times New Roman"/>
          <w:sz w:val="24"/>
          <w:szCs w:val="24"/>
        </w:rPr>
        <w:t>–</w:t>
      </w:r>
      <w:r w:rsidR="00A20D5D">
        <w:rPr>
          <w:rFonts w:ascii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60 miast na prawa</w:t>
      </w:r>
      <w:r w:rsidR="006D04B1">
        <w:rPr>
          <w:rFonts w:ascii="Times New Roman" w:hAnsi="Times New Roman" w:cs="Times New Roman"/>
          <w:sz w:val="24"/>
          <w:szCs w:val="24"/>
        </w:rPr>
        <w:t xml:space="preserve">ch powiatu otrzymało </w:t>
      </w:r>
      <w:r w:rsidRPr="00F16C7B">
        <w:rPr>
          <w:rFonts w:ascii="Times New Roman" w:hAnsi="Times New Roman" w:cs="Times New Roman"/>
          <w:sz w:val="24"/>
          <w:szCs w:val="24"/>
        </w:rPr>
        <w:t>76.118 tys. zł,</w:t>
      </w:r>
    </w:p>
    <w:p w:rsidR="00F16C7B" w:rsidRPr="00F16C7B" w:rsidRDefault="006D04B1" w:rsidP="00F16C7B">
      <w:pPr>
        <w:spacing w:before="120" w:after="12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D5D" w:rsidRPr="00F16C7B">
        <w:rPr>
          <w:rFonts w:ascii="Times New Roman" w:hAnsi="Times New Roman" w:cs="Times New Roman"/>
          <w:sz w:val="24"/>
          <w:szCs w:val="24"/>
        </w:rPr>
        <w:t>–</w:t>
      </w:r>
      <w:r w:rsidR="00A20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267 powiatów otrzymało </w:t>
      </w:r>
      <w:r w:rsidR="00F16C7B" w:rsidRPr="00F16C7B">
        <w:rPr>
          <w:rFonts w:ascii="Times New Roman" w:hAnsi="Times New Roman" w:cs="Times New Roman"/>
          <w:sz w:val="24"/>
          <w:szCs w:val="24"/>
        </w:rPr>
        <w:t>62.121 tys. zł.</w:t>
      </w:r>
    </w:p>
    <w:p w:rsidR="00F16C7B" w:rsidRPr="00F16C7B" w:rsidRDefault="00F16C7B" w:rsidP="00F16C7B">
      <w:pPr>
        <w:spacing w:before="120" w:after="120" w:line="276" w:lineRule="auto"/>
        <w:jc w:val="both"/>
        <w:rPr>
          <w:rFonts w:ascii="Times New Roman" w:hAnsi="Times New Roman"/>
          <w:b/>
        </w:rPr>
      </w:pPr>
    </w:p>
    <w:p w:rsidR="00F16C7B" w:rsidRPr="00F16C7B" w:rsidRDefault="003A11CD" w:rsidP="00CA30B7">
      <w:pPr>
        <w:numPr>
          <w:ilvl w:val="2"/>
          <w:numId w:val="6"/>
        </w:numPr>
        <w:spacing w:before="120" w:after="12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t> </w:t>
      </w:r>
      <w:r w:rsidR="00F16C7B" w:rsidRPr="00F16C7B">
        <w:rPr>
          <w:rFonts w:ascii="Times New Roman" w:hAnsi="Times New Roman"/>
          <w:b/>
          <w:sz w:val="24"/>
          <w:szCs w:val="24"/>
        </w:rPr>
        <w:t>Ocena projektu</w:t>
      </w:r>
    </w:p>
    <w:p w:rsidR="00F16C7B" w:rsidRPr="00F16C7B" w:rsidRDefault="006D04B1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Rząd </w:t>
      </w:r>
      <w:r w:rsidR="00F16C7B" w:rsidRPr="00F16C7B">
        <w:rPr>
          <w:rFonts w:ascii="Times New Roman" w:eastAsia="Times New Roman" w:hAnsi="Times New Roman" w:cs="Times New Roman"/>
          <w:b/>
          <w:sz w:val="24"/>
          <w:szCs w:val="24"/>
        </w:rPr>
        <w:t>negatywnie ocenia projekt ustawy o zmianie ustawy o dochodach jednostek samorządu terytorialnego.</w:t>
      </w:r>
    </w:p>
    <w:p w:rsidR="00F16C7B" w:rsidRPr="00F16C7B" w:rsidRDefault="00F16C7B" w:rsidP="00F16C7B">
      <w:pPr>
        <w:spacing w:after="60" w:line="276" w:lineRule="auto"/>
        <w:ind w:left="20"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16C7B" w:rsidRPr="00F16C7B" w:rsidRDefault="00F16C7B" w:rsidP="00F16C7B">
      <w:pPr>
        <w:spacing w:after="60" w:line="276" w:lineRule="auto"/>
        <w:ind w:left="20"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16C7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Proponowane w projekcie rozwiązania nie zasługują na aprobatę</w:t>
      </w:r>
      <w:r w:rsidR="009C2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F16C7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zarówno ze względów systemowych jak i ekonomicznych. W szczególności: 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24AD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3A11C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16C7B">
        <w:rPr>
          <w:rFonts w:ascii="Times New Roman" w:eastAsia="Times New Roman" w:hAnsi="Times New Roman" w:cs="Times New Roman"/>
          <w:b/>
          <w:sz w:val="24"/>
          <w:szCs w:val="24"/>
        </w:rPr>
        <w:t>Projekt ustawy wywołuje dodatkowe negatywne skutki finansowe dla budżetu państwa, związane z koniecznością rekompensowania samorządom utraconych dochodów, które</w:t>
      </w:r>
      <w:r w:rsidR="00185D7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F16C7B">
        <w:rPr>
          <w:rFonts w:ascii="Times New Roman" w:eastAsia="Times New Roman" w:hAnsi="Times New Roman" w:cs="Times New Roman"/>
          <w:b/>
          <w:sz w:val="24"/>
          <w:szCs w:val="24"/>
        </w:rPr>
        <w:t>przez projektodawców szacowane są w wysokości 16,3 mld zł.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t>W chwili obecnej nie jest możliwe dokładne wyliczenie skutków finansowych proponowanych rozwiązań, bowiem realizacja dochodów z tytułu PIT i CIT w 2020 r. będzie znana po</w:t>
      </w:r>
      <w:r w:rsidR="0006644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zakończeniu roku budżetowego i wówczas będzie możliwe porównanie dochodów wykonanych w poszczególnych miesiącach 2020 r. z dochodami zrealizowanymi w 2019 r.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t xml:space="preserve">Należy zauważyć, że </w:t>
      </w:r>
      <w:r w:rsidRPr="00F16C7B">
        <w:rPr>
          <w:rFonts w:ascii="Times New Roman" w:eastAsia="Times New Roman" w:hAnsi="Times New Roman" w:cs="Times New Roman"/>
          <w:sz w:val="24"/>
          <w:szCs w:val="24"/>
          <w:lang w:bidi="pl-PL"/>
        </w:rPr>
        <w:t xml:space="preserve">założenia przyjęte przy tworzeniu obecnie obowiązującej </w:t>
      </w:r>
      <w:r w:rsidR="006D04B1">
        <w:rPr>
          <w:rFonts w:ascii="Times New Roman" w:hAnsi="Times New Roman" w:cs="Times New Roman"/>
          <w:sz w:val="24"/>
          <w:szCs w:val="24"/>
        </w:rPr>
        <w:t>ustawy o </w:t>
      </w:r>
      <w:r w:rsidRPr="00F16C7B">
        <w:rPr>
          <w:rFonts w:ascii="Times New Roman" w:hAnsi="Times New Roman" w:cs="Times New Roman"/>
          <w:sz w:val="24"/>
          <w:szCs w:val="24"/>
        </w:rPr>
        <w:t>dochodach jednostek samorządu terytorialnego</w:t>
      </w:r>
      <w:r w:rsidRPr="00F16C7B">
        <w:rPr>
          <w:rFonts w:ascii="Times New Roman" w:eastAsia="Times New Roman" w:hAnsi="Times New Roman" w:cs="Times New Roman"/>
          <w:sz w:val="24"/>
          <w:szCs w:val="24"/>
          <w:lang w:bidi="pl-PL"/>
        </w:rPr>
        <w:t>, przewidywały, między innymi, mocniejsze związanie sytuacji finansowej jednostek samorządu terytorialnego z koniunkturą gospodarczą państwa oraz dalszą decentralizacją zadań i środków publicznych, a tym samym zwiększenie udziału samorządów w dysponowaniu środkami publicznymi.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bidi="pl-PL"/>
        </w:rPr>
      </w:pPr>
      <w:r w:rsidRPr="00F16C7B">
        <w:rPr>
          <w:rFonts w:ascii="Times New Roman" w:eastAsia="Times New Roman" w:hAnsi="Times New Roman" w:cs="Times New Roman"/>
          <w:sz w:val="24"/>
          <w:szCs w:val="24"/>
          <w:lang w:bidi="pl-PL"/>
        </w:rPr>
        <w:t>Zmiana charakteru zadań była połączona ze zmianą formy ich finansowania. Dotacje z budżetu państwa zostały zastąpione dochodami własnymi w postaci zwiększonych wpływów z tytułu udziału w PIT i CIT. Wprowadzone zmiany systemowe spowodowały istotne wzmocnienie ustrojowej pozycji samorządów poprzez zwiększeni</w:t>
      </w:r>
      <w:r w:rsidR="006D04B1">
        <w:rPr>
          <w:rFonts w:ascii="Times New Roman" w:eastAsia="Times New Roman" w:hAnsi="Times New Roman" w:cs="Times New Roman"/>
          <w:sz w:val="24"/>
          <w:szCs w:val="24"/>
          <w:lang w:bidi="pl-PL"/>
        </w:rPr>
        <w:t>e liczby realizowanych zadań i </w:t>
      </w:r>
      <w:r w:rsidRPr="00F16C7B">
        <w:rPr>
          <w:rFonts w:ascii="Times New Roman" w:eastAsia="Times New Roman" w:hAnsi="Times New Roman" w:cs="Times New Roman"/>
          <w:sz w:val="24"/>
          <w:szCs w:val="24"/>
          <w:lang w:bidi="pl-PL"/>
        </w:rPr>
        <w:t>samodzielności w dysponowaniu środkami publicznymi, a także przez dalsze związanie koniunktury samorządów z ogólną koniunkturą gospodarczą kraju. Związanie z koniunkturą oznacza, że JST otrzymują większe dochody w okresie wzrostu gospodarczego natomiast mniejsze w okresie dekoniunktury.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Wzrost koniunktury powoduje wzrost dochodów podatkowych, na czym korzystają również samorządy. Taka sytuacja </w:t>
      </w:r>
      <w:r w:rsidR="009C24AD">
        <w:rPr>
          <w:rFonts w:ascii="Times New Roman" w:eastAsia="Times New Roman" w:hAnsi="Times New Roman" w:cs="Times New Roman"/>
          <w:sz w:val="24"/>
          <w:szCs w:val="24"/>
        </w:rPr>
        <w:t>miała miejsce np. w latach 2015</w:t>
      </w:r>
      <w:r w:rsidR="009C24AD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C24AD">
        <w:rPr>
          <w:rFonts w:ascii="Times New Roman" w:eastAsia="Times New Roman" w:hAnsi="Times New Roman" w:cs="Times New Roman"/>
          <w:sz w:val="24"/>
          <w:szCs w:val="24"/>
        </w:rPr>
        <w:t>2019. Przykładowo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 xml:space="preserve"> dochody ogółem JST wzrosły blisko o 22 mld zł w roku 2018 w stosunku do roku 2017, natomiast w r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>oku 2019</w:t>
      </w:r>
      <w:r w:rsidR="0006644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stosunku do roku 2018 wzrosły o 27 mld zł. Wzrost koniunktury oraz zmiany uszczelniające przełożyły się w sposób bezpośredni na systematyczny wzrost dochodów podatkowych, a tym samym na wpływy JST z tytułu udziałów w podatkach dochodowych. Dochody w 2018 r. tych jednostek w stosunku do roku 2015 z tytułu udziału we wpływa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>ch z PIT wzrosły o 33,6%, a w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przypadku udziału we wpływach z CIT wzrosły o 37% – łącznie o ponad 15 mld zł. Dochody w 2019 r. tych jednostek w stosunku do roku 2015 z tytułu udzia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>łu we</w:t>
      </w:r>
      <w:r w:rsidR="0006644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>wpływach z PIT wzrosły o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47,4%, a w przypadku udziału we wpływach z CIT wzrosły o</w:t>
      </w:r>
      <w:r w:rsidR="0006644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 xml:space="preserve">54,1% – łącznie o 22 mld zł. 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Samorząd terytorialny jest częścią państwa i w przypadku – wynikającego z epidemii – spadku koniunktury gospodarczej, skutki ponosi zarówno budżet państwa, jak i samorządy.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t>Państwo także partycypuje w sposób istotny w wydatkach oświatowych JST. Równocześnie do</w:t>
      </w:r>
      <w:r w:rsidR="00066441">
        <w:t>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JST płynie strumień środków finansowych o charakterze dotacyjnym, zwiększany z roku na</w:t>
      </w:r>
      <w:r w:rsidR="0006644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 xml:space="preserve">rok. 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t>Należy jednocześnie podkreślić, że w uzasadnieniu d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 xml:space="preserve">o projektu ustawy wskazano, iż 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koszt wykonania ustawy wyniesie ok. 16, 3 mld złotych. Wobec powyższego należy mieć na uwadze, że zwiększenie wydatków budżetowych, przy założeniu niewystępowania innych przeciwstawnych efektów (zwiększenia dochodów budżetowych w efekcie większych wydatków jednostek gospodarczych lub zmniejszenia wydatków z jednostek i funduszy objętych mechanizmem konsolidacji) spowoduje odpowiednie zwiększenie deficytu i potrzeb pożyczkowych netto budżetu państwa, a w konsekwencji wzrost długu publicznego i kosztów jego obsługi.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24AD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3A11C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16C7B">
        <w:rPr>
          <w:rFonts w:ascii="Times New Roman" w:eastAsia="Times New Roman" w:hAnsi="Times New Roman" w:cs="Times New Roman"/>
          <w:b/>
          <w:sz w:val="24"/>
          <w:szCs w:val="24"/>
        </w:rPr>
        <w:t>Regulacje zawarte w projekcie ustawy dotyczące określenia ubytku dochodów są</w:t>
      </w:r>
      <w:r w:rsidR="00066441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F16C7B">
        <w:rPr>
          <w:rFonts w:ascii="Times New Roman" w:eastAsia="Times New Roman" w:hAnsi="Times New Roman" w:cs="Times New Roman"/>
          <w:b/>
          <w:sz w:val="24"/>
          <w:szCs w:val="24"/>
        </w:rPr>
        <w:t xml:space="preserve">nieprecyzyjne. 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t xml:space="preserve">W art. 3 ust. 2 projektu zaproponowano, aby ubytek stanowiły 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>utracone dochody z PIT i CIT w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wysokości różnicy pomiędzy dochodami w odpowiadających miesiącach 2020 r. i 2019 r.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t>Dochody z tytułu udziałów jednostek samorządu terytorialnego we wpływach z podatku PIT kształtowały się w kwietniu br. na poziomie 3.394,4 mln zł i były niższe o 40,3% niż w kwietniu poprzedniego roku, zaś w maju br. na poziomie 4.565,6 mln zł i były wyższe o 21,0% niż w maju ubiegłego roku.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t>Powyższe dane wskazują, że stopień ubytków w dochodach jednostek samorządu terytorialnego nie może być ustalany na podstawie tylko jednego miesiąca i nie może się ograniczać (jak</w:t>
      </w:r>
      <w:r w:rsidR="0006644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 xml:space="preserve">proponują autorzy projektu) do 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 xml:space="preserve">porównania danych z 2020 r. z danymi za odpowiedni miesiąc 2019 r. Ocena trwałości zmian 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 xml:space="preserve">w dochodach z tytułu PIT i CIT 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w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>ymaga czasu i analizy danych z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całego roku, a nie tylko z dwóch czy trzech miesięcy.</w:t>
      </w:r>
    </w:p>
    <w:p w:rsidR="00F16C7B" w:rsidRPr="00F16C7B" w:rsidRDefault="009C24AD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Ponadto</w:t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</w:rPr>
        <w:t xml:space="preserve"> pominięty został aspekt, iż różnica w poziomie wpływów z tytułu udziału w podatkach dochodowych, może wynikać z czynników takich jak zmiana terminów płatności zaliczek na</w:t>
      </w:r>
      <w:r w:rsidR="0006644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</w:rPr>
        <w:t>podatek i rozliczenia rocznego</w:t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footnoteReference w:id="5"/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)</w:t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</w:rPr>
        <w:t>, czy zmian w sytuacji demograf</w:t>
      </w:r>
      <w:r w:rsidR="006D04B1">
        <w:rPr>
          <w:rFonts w:ascii="Times New Roman" w:hAnsi="Times New Roman" w:cs="Times New Roman"/>
          <w:color w:val="000000"/>
          <w:sz w:val="24"/>
          <w:szCs w:val="24"/>
        </w:rPr>
        <w:t>icznej, rodzinnej podatników i </w:t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</w:rPr>
        <w:t>innych czynników (więcej osób uprawnionych do skorzystania z ulg podatkowych</w:t>
      </w:r>
      <w:r w:rsidR="00F14A6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</w:rPr>
        <w:t xml:space="preserve"> np. ulgi na</w:t>
      </w:r>
      <w:r w:rsidR="0006644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</w:rPr>
        <w:t>dzieci czy ulgi z tytułu wpłaty na indywidualne konto zabezpieczenia emerytalnego, wybór sposobu rozliczania podatnika).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right="20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F14A6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3A11C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16C7B">
        <w:rPr>
          <w:rFonts w:ascii="Times New Roman" w:eastAsia="Times New Roman" w:hAnsi="Times New Roman" w:cs="Times New Roman"/>
          <w:b/>
          <w:sz w:val="24"/>
          <w:szCs w:val="24"/>
        </w:rPr>
        <w:t xml:space="preserve">Przewiduje się wprowadzenie w trakcie roku budżetowego regulacji dotyczącej uzupełnienia subwencji ogólnej o część rekompensującą </w:t>
      </w:r>
      <w:r w:rsidRPr="00F16C7B">
        <w:rPr>
          <w:rFonts w:ascii="Times New Roman" w:hAnsi="Times New Roman" w:cs="Times New Roman"/>
          <w:b/>
          <w:sz w:val="24"/>
          <w:szCs w:val="24"/>
        </w:rPr>
        <w:t>(</w:t>
      </w:r>
      <w:r w:rsidRPr="00F16C7B">
        <w:rPr>
          <w:rFonts w:ascii="Times New Roman" w:eastAsia="Times New Roman" w:hAnsi="Times New Roman" w:cs="Times New Roman"/>
          <w:b/>
          <w:sz w:val="24"/>
          <w:szCs w:val="24"/>
        </w:rPr>
        <w:t>art. 2 projektu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eastAsia="Times New Roman" w:hAnsi="Times New Roman" w:cs="Times New Roman"/>
          <w:b/>
          <w:sz w:val="24"/>
          <w:szCs w:val="24"/>
        </w:rPr>
        <w:t>ustawy) w sytuacji, gdy nie jest znane faktyczne wykonanie dochodów z tytułu udziału jednostek samorządu terytorialnego we wpływach z podatków dochodowych.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t>Część rekompensująca ma obejmować dochody utracone w wyn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>iku zagrożenia ekonomicznego w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następstwie wystąpienia COV</w:t>
      </w:r>
      <w:r w:rsidR="006D04B1">
        <w:rPr>
          <w:rFonts w:ascii="Times New Roman" w:eastAsia="Times New Roman" w:hAnsi="Times New Roman" w:cs="Times New Roman"/>
          <w:sz w:val="24"/>
          <w:szCs w:val="24"/>
        </w:rPr>
        <w:t>ID-19 oraz stosowania ustawy o 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szczególnych rozwiązaniach związanych z zapobieganiem, przeciwdziałaniem i zwalczaniem COVID-19.</w:t>
      </w:r>
    </w:p>
    <w:p w:rsidR="00F16C7B" w:rsidRPr="00F16C7B" w:rsidRDefault="00F16C7B" w:rsidP="00F16C7B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Należy zwrócić uwagę, iż wielkość dochodów jednostki samorządu terytorialnego z tytułu udziału jednostek samorządu terytorialnego w podatku PIT</w:t>
      </w:r>
      <w:r w:rsidRPr="00F16C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129B7">
        <w:rPr>
          <w:rFonts w:ascii="Times New Roman" w:eastAsia="Calibri" w:hAnsi="Times New Roman" w:cs="Times New Roman"/>
          <w:sz w:val="24"/>
          <w:szCs w:val="24"/>
        </w:rPr>
        <w:t xml:space="preserve">ustala się, np. dla gmin, </w:t>
      </w:r>
      <w:r w:rsidRPr="00F16C7B">
        <w:rPr>
          <w:rFonts w:ascii="Times New Roman" w:eastAsia="Calibri" w:hAnsi="Times New Roman" w:cs="Times New Roman"/>
          <w:sz w:val="24"/>
          <w:szCs w:val="24"/>
        </w:rPr>
        <w:t xml:space="preserve">z uwzględnieniem: </w:t>
      </w:r>
    </w:p>
    <w:p w:rsidR="00F16C7B" w:rsidRPr="00F16C7B" w:rsidRDefault="00F16C7B" w:rsidP="00F16C7B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kwoty wpływów z podatku PIT, w części stanowiącej dochód wszystkich gmin,</w:t>
      </w:r>
    </w:p>
    <w:p w:rsidR="00F16C7B" w:rsidRPr="00F16C7B" w:rsidRDefault="00F16C7B" w:rsidP="00F16C7B">
      <w:pPr>
        <w:numPr>
          <w:ilvl w:val="0"/>
          <w:numId w:val="4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indywidualnego wskaźnika ustalanego dla każdej gminy, uzależnionego od kwoty należnego za rok poprzedzający o dwa lata rok budżetowy podatku PIT od osób zamieszkałych na terenie danej gminy, w odniesieniu do ogólnej kwoty należnego podatku PIT w tym samym roku (określonych na podstawie zeznań podatkowych o wysokości osiągniętego dochodu oraz</w:t>
      </w:r>
      <w:r w:rsidR="00066441">
        <w:rPr>
          <w:rFonts w:ascii="Times New Roman" w:eastAsia="Calibri" w:hAnsi="Times New Roman" w:cs="Times New Roman"/>
          <w:sz w:val="24"/>
          <w:szCs w:val="24"/>
        </w:rPr>
        <w:t> </w:t>
      </w:r>
      <w:r w:rsidRPr="00F16C7B">
        <w:rPr>
          <w:rFonts w:ascii="Times New Roman" w:eastAsia="Calibri" w:hAnsi="Times New Roman" w:cs="Times New Roman"/>
          <w:sz w:val="24"/>
          <w:szCs w:val="24"/>
        </w:rPr>
        <w:t>rocznego obliczenia podatku dokonanego przez płatników, według stanu na dzień 15</w:t>
      </w:r>
      <w:r w:rsidR="00066441">
        <w:rPr>
          <w:rFonts w:ascii="Times New Roman" w:eastAsia="Calibri" w:hAnsi="Times New Roman" w:cs="Times New Roman"/>
          <w:sz w:val="24"/>
          <w:szCs w:val="24"/>
        </w:rPr>
        <w:t> </w:t>
      </w:r>
      <w:r w:rsidRPr="00F16C7B">
        <w:rPr>
          <w:rFonts w:ascii="Times New Roman" w:eastAsia="Calibri" w:hAnsi="Times New Roman" w:cs="Times New Roman"/>
          <w:sz w:val="24"/>
          <w:szCs w:val="24"/>
        </w:rPr>
        <w:t>września roku bazowego).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Oznacza to, że dochody z PIT dla danej jednostki w kolejnym roku mogą być niższe w wyniku znacznego obniżenia kwoty podatku należnego od osób zamieszkałych w danej jednostce.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14A64">
        <w:rPr>
          <w:rFonts w:ascii="Times New Roman" w:hAnsi="Times New Roman" w:cs="Times New Roman"/>
          <w:b/>
          <w:color w:val="000000"/>
          <w:sz w:val="24"/>
          <w:szCs w:val="24"/>
        </w:rPr>
        <w:t>4.</w:t>
      </w:r>
      <w:r w:rsidR="003A11C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16C7B">
        <w:rPr>
          <w:rFonts w:ascii="Times New Roman" w:hAnsi="Times New Roman" w:cs="Times New Roman"/>
          <w:b/>
          <w:color w:val="000000"/>
          <w:sz w:val="24"/>
          <w:szCs w:val="24"/>
        </w:rPr>
        <w:t>Przewiduje się wprowadzenie dotacji celowej dla jednostek samorządu terytorialnego na realizację zadań wynikających z ustawy</w:t>
      </w:r>
      <w:r w:rsidRPr="00F16C7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 o szczególn</w:t>
      </w:r>
      <w:r w:rsidR="006D04B1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ych rozwiązaniach związanych z </w:t>
      </w:r>
      <w:r w:rsidRPr="00F16C7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zapobieganiem, przeciwdziałaniem i zwalczaniem COVID-19, co stanowi powielenie już</w:t>
      </w:r>
      <w:r w:rsidR="00066441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 </w:t>
      </w:r>
      <w:r w:rsidRPr="00F16C7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istniejących rozwiązań prawnych.</w:t>
      </w:r>
      <w:r w:rsidRPr="00F16C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</w:rPr>
        <w:lastRenderedPageBreak/>
        <w:t>Zgodnie z projektowanym art. 4 ust. 1 ustawy, jednostki samorządu terytorialnego mają otrzymać wsparcie finansowe w formie dotacji celowej na realizację</w:t>
      </w:r>
      <w:r w:rsidR="006D04B1">
        <w:rPr>
          <w:rFonts w:ascii="Times New Roman" w:hAnsi="Times New Roman" w:cs="Times New Roman"/>
          <w:color w:val="000000"/>
          <w:sz w:val="24"/>
          <w:szCs w:val="24"/>
        </w:rPr>
        <w:t xml:space="preserve"> zadań wynikających z ustawy o 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t>szczególnych rozwiązaniach związanych z zapobieganiem, przeciwdziałaniem i zwalczaniem COVID-19.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</w:rPr>
        <w:t>Należy jednak podkreślić, iż dotacje, zgodnie z ustawą</w:t>
      </w:r>
      <w:r w:rsidR="00F14A64">
        <w:rPr>
          <w:rFonts w:ascii="Times New Roman" w:hAnsi="Times New Roman" w:cs="Times New Roman"/>
          <w:color w:val="000000"/>
          <w:sz w:val="24"/>
          <w:szCs w:val="24"/>
        </w:rPr>
        <w:t xml:space="preserve"> z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t xml:space="preserve"> dnia 27 sierpnia 2009 r. o finansach publicznych (Dz. U. z 2019 r. poz. 869, z późn. zm.), są to podlegające szczególnym zasadom rozliczania środki m.in. z budżetu państwa przeznaczone n</w:t>
      </w:r>
      <w:r w:rsidR="006D04B1">
        <w:rPr>
          <w:rFonts w:ascii="Times New Roman" w:hAnsi="Times New Roman" w:cs="Times New Roman"/>
          <w:color w:val="000000"/>
          <w:sz w:val="24"/>
          <w:szCs w:val="24"/>
        </w:rPr>
        <w:t>a podstawie przepisów ustawy o 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t>finansach publicznych, odrębnych ustaw lub umów międzynarodowych, na finansowanie lub</w:t>
      </w:r>
      <w:r w:rsidR="00B84B6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t>dofinansowanie realizacji zadań publicznych.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</w:rPr>
        <w:t xml:space="preserve">Przeznaczenie dotacji celowych szczegółowo regulują przepisy </w:t>
      </w:r>
      <w:r w:rsidR="006D04B1">
        <w:rPr>
          <w:rFonts w:ascii="Times New Roman" w:hAnsi="Times New Roman" w:cs="Times New Roman"/>
          <w:color w:val="000000"/>
          <w:sz w:val="24"/>
          <w:szCs w:val="24"/>
        </w:rPr>
        <w:t>art. 127 ww. ustawy. Zgodnie z 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t>obowiązującym stanem prawnym dotacje celowe przeznaczane są m.in. na: finansowanie zadań z zakresu administracji rządowej oraz innych zadań zleconych jednostkom samorządu terytorialnego ustawami, dofinansowanie bieżących zadań własnych jednostek samorządu terytorialnego czy kosztów realizacji inwestycji. Szczegółowe zasady finansowania lub</w:t>
      </w:r>
      <w:r w:rsidR="009D31D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t>dofinansowania regulują odrębne przepisy.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</w:rPr>
        <w:t>Należy podkreślić, iż w ramach obowiązujących rozwiązań sukcesywnie przyznawane są środki w ramach dotacji celowych z budżetu państwa dla jednostek samorządu terytorialnego na wnioski dysponentów z poszczególnych rezerw celowych na finansowanie zadań związanych ze</w:t>
      </w:r>
      <w:r w:rsidR="00B84B6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t>zwalczaniem zakażenia, zapobieganiem rozprzestrzenianiu się, profilaktyką oraz zwalczaniem skutków choroby zakaźnej wywołanej wirusem SARS-CoV-2, zwanej „COVID-19”.</w:t>
      </w:r>
    </w:p>
    <w:p w:rsidR="00F16C7B" w:rsidRPr="00F16C7B" w:rsidRDefault="00F14A64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związku z powyższym</w:t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</w:rPr>
        <w:t xml:space="preserve"> brak jest zasadności wprowad</w:t>
      </w:r>
      <w:r w:rsidR="006D04B1">
        <w:rPr>
          <w:rFonts w:ascii="Times New Roman" w:hAnsi="Times New Roman" w:cs="Times New Roman"/>
          <w:color w:val="000000"/>
          <w:sz w:val="24"/>
          <w:szCs w:val="24"/>
        </w:rPr>
        <w:t>zania proponowanej regulacji w </w:t>
      </w:r>
      <w:r w:rsidR="00F16C7B" w:rsidRPr="00F16C7B">
        <w:rPr>
          <w:rFonts w:ascii="Times New Roman" w:hAnsi="Times New Roman" w:cs="Times New Roman"/>
          <w:color w:val="000000"/>
          <w:sz w:val="24"/>
          <w:szCs w:val="24"/>
        </w:rPr>
        <w:t>przedmiotowym zakresie.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4A64">
        <w:rPr>
          <w:rFonts w:ascii="Times New Roman" w:eastAsia="Calibri" w:hAnsi="Times New Roman" w:cs="Times New Roman"/>
          <w:b/>
          <w:sz w:val="24"/>
          <w:szCs w:val="24"/>
        </w:rPr>
        <w:t>5.</w:t>
      </w:r>
      <w:r w:rsidR="003A11CD">
        <w:rPr>
          <w:rFonts w:ascii="Times New Roman" w:eastAsia="Calibri" w:hAnsi="Times New Roman" w:cs="Times New Roman"/>
          <w:sz w:val="24"/>
          <w:szCs w:val="24"/>
        </w:rPr>
        <w:t> </w:t>
      </w:r>
      <w:r w:rsidRPr="00F16C7B">
        <w:rPr>
          <w:rFonts w:ascii="Times New Roman" w:eastAsia="Calibri" w:hAnsi="Times New Roman" w:cs="Times New Roman"/>
          <w:b/>
          <w:sz w:val="24"/>
          <w:szCs w:val="24"/>
        </w:rPr>
        <w:t>Zawarte w art. 3 ust. 4 oraz w art. 4 ust. 2 projektu ustawy delegacje dla ministra właściwego do spraw finansów publicznych do wydania rozporząd</w:t>
      </w:r>
      <w:r w:rsidR="006D04B1">
        <w:rPr>
          <w:rFonts w:ascii="Times New Roman" w:eastAsia="Calibri" w:hAnsi="Times New Roman" w:cs="Times New Roman"/>
          <w:b/>
          <w:sz w:val="24"/>
          <w:szCs w:val="24"/>
        </w:rPr>
        <w:t xml:space="preserve">zeń, są zbyt daleko idące i </w:t>
      </w:r>
      <w:r w:rsidRPr="00F16C7B">
        <w:rPr>
          <w:rFonts w:ascii="Times New Roman" w:eastAsia="Calibri" w:hAnsi="Times New Roman" w:cs="Times New Roman"/>
          <w:b/>
          <w:sz w:val="24"/>
          <w:szCs w:val="24"/>
        </w:rPr>
        <w:t>budzą wątpliwości co do zgodności z Konstytucją RP.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Należy zauważyć, że zasady i tryb przekazywania jednostkom samorządu terytorialnego części rekompensującej powinny wynikać z ustawy, a nie z rozporządzenia wykonawczego, jak</w:t>
      </w:r>
      <w:r w:rsidR="00B84B6D">
        <w:rPr>
          <w:rFonts w:ascii="Times New Roman" w:eastAsia="Calibri" w:hAnsi="Times New Roman" w:cs="Times New Roman"/>
          <w:sz w:val="24"/>
          <w:szCs w:val="24"/>
        </w:rPr>
        <w:t> </w:t>
      </w:r>
      <w:r w:rsidRPr="00F16C7B">
        <w:rPr>
          <w:rFonts w:ascii="Times New Roman" w:eastAsia="Calibri" w:hAnsi="Times New Roman" w:cs="Times New Roman"/>
          <w:sz w:val="24"/>
          <w:szCs w:val="24"/>
        </w:rPr>
        <w:t>zaproponowano to w projekcie ustawy. Uwaga ta dotyczy również określenia szczegółowych warunków przyznania dotacji, o której mowa w art. 4 ust. 1 projektu ustawy.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Upoważnienie do wydania rozporządzenia powinno, zgodnie z Konstytucją RP i rozporządzeniem Prezesa Rady Ministrów z dnia 20 czerwca 2002 r. w sprawie „Zasad techniki prawodawczej” (Dz. U. z 2016 r. poz. 283), wskazywać nie tylko organ właści</w:t>
      </w:r>
      <w:r w:rsidR="006D04B1">
        <w:rPr>
          <w:rFonts w:ascii="Times New Roman" w:eastAsia="Calibri" w:hAnsi="Times New Roman" w:cs="Times New Roman"/>
          <w:sz w:val="24"/>
          <w:szCs w:val="24"/>
        </w:rPr>
        <w:t>wy do wydania rozporządzenia i </w:t>
      </w:r>
      <w:r w:rsidRPr="00F16C7B">
        <w:rPr>
          <w:rFonts w:ascii="Times New Roman" w:eastAsia="Calibri" w:hAnsi="Times New Roman" w:cs="Times New Roman"/>
          <w:sz w:val="24"/>
          <w:szCs w:val="24"/>
        </w:rPr>
        <w:t>zakres spraw przekazywanych do uregulowania, ale przede wszystkim wytyczne dotyczące treści rozporządzenia o stopniu szczegółowości, który powinien być dostosowany do rodzaju spraw przekazywanych do uregulowania w rozporządzeniu.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 xml:space="preserve">Wytycznych zapisanych w art. 3 ust. 4 oraz w art. 4 ust. 2 projektu ustawy jako „zapewnienie przejrzystości procedury oraz ciągłości finansowania zadań jednostki samorządu terytorialnego”, </w:t>
      </w:r>
      <w:r w:rsidRPr="00F16C7B">
        <w:rPr>
          <w:rFonts w:ascii="Times New Roman" w:eastAsia="Calibri" w:hAnsi="Times New Roman" w:cs="Times New Roman"/>
          <w:sz w:val="24"/>
          <w:szCs w:val="24"/>
        </w:rPr>
        <w:lastRenderedPageBreak/>
        <w:t>a także „mając na względzie zapewnienie przejrzystości procedury</w:t>
      </w:r>
      <w:r w:rsidR="00F14A64">
        <w:rPr>
          <w:rFonts w:ascii="Times New Roman" w:eastAsia="Calibri" w:hAnsi="Times New Roman" w:cs="Times New Roman"/>
          <w:sz w:val="24"/>
          <w:szCs w:val="24"/>
        </w:rPr>
        <w:t>”, nie można uznać za</w:t>
      </w:r>
      <w:r w:rsidR="00066441">
        <w:rPr>
          <w:rFonts w:ascii="Times New Roman" w:eastAsia="Calibri" w:hAnsi="Times New Roman" w:cs="Times New Roman"/>
          <w:sz w:val="24"/>
          <w:szCs w:val="24"/>
        </w:rPr>
        <w:t> </w:t>
      </w:r>
      <w:r w:rsidR="00F14A64">
        <w:rPr>
          <w:rFonts w:ascii="Times New Roman" w:eastAsia="Calibri" w:hAnsi="Times New Roman" w:cs="Times New Roman"/>
          <w:sz w:val="24"/>
          <w:szCs w:val="24"/>
        </w:rPr>
        <w:t>wskazówki</w:t>
      </w:r>
      <w:r w:rsidRPr="00F16C7B">
        <w:rPr>
          <w:rFonts w:ascii="Times New Roman" w:eastAsia="Calibri" w:hAnsi="Times New Roman" w:cs="Times New Roman"/>
          <w:sz w:val="24"/>
          <w:szCs w:val="24"/>
        </w:rPr>
        <w:t xml:space="preserve"> wyznaczające treść rozporządzenia lub sposób ukształtowania jego treści.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Proponowane rozwiązanie może budzić wątpliwości co do zgodności z Konstytucją RP i z tego powodu, że wskazuje jedynie źródło dochodów samorządów (część rekompensująca subwencji), bez określenia zasad podziału środków finansowych. Na podstawie projektowanej ustawy nie można ustalić wielkości środków należnych jednostkom samorządu</w:t>
      </w:r>
      <w:r w:rsidR="006D04B1">
        <w:rPr>
          <w:rFonts w:ascii="Times New Roman" w:eastAsia="Calibri" w:hAnsi="Times New Roman" w:cs="Times New Roman"/>
          <w:sz w:val="24"/>
          <w:szCs w:val="24"/>
        </w:rPr>
        <w:t xml:space="preserve"> terytorialnego. Zgodnie zaś z </w:t>
      </w:r>
      <w:r w:rsidR="00F14A64">
        <w:rPr>
          <w:rFonts w:ascii="Times New Roman" w:eastAsia="Calibri" w:hAnsi="Times New Roman" w:cs="Times New Roman"/>
          <w:sz w:val="24"/>
          <w:szCs w:val="24"/>
        </w:rPr>
        <w:t>art. 167 ust. 3 Konstytucji RP</w:t>
      </w:r>
      <w:r w:rsidRPr="00F16C7B">
        <w:rPr>
          <w:rFonts w:ascii="Times New Roman" w:eastAsia="Calibri" w:hAnsi="Times New Roman" w:cs="Times New Roman"/>
          <w:sz w:val="24"/>
          <w:szCs w:val="24"/>
        </w:rPr>
        <w:t xml:space="preserve"> źródła dochodów jednostek samorządu terytorialnego są określone w ustawie. W wyroku z 24 marca 1998 r., sygn. K 40/97, Trybunał Konstytucyjny wskazał, że</w:t>
      </w:r>
      <w:r w:rsidR="00066441">
        <w:rPr>
          <w:rFonts w:ascii="Times New Roman" w:eastAsia="Calibri" w:hAnsi="Times New Roman" w:cs="Times New Roman"/>
          <w:sz w:val="24"/>
          <w:szCs w:val="24"/>
        </w:rPr>
        <w:t> </w:t>
      </w:r>
      <w:r w:rsidRPr="00F16C7B">
        <w:rPr>
          <w:rFonts w:ascii="Times New Roman" w:eastAsia="Calibri" w:hAnsi="Times New Roman" w:cs="Times New Roman"/>
          <w:sz w:val="24"/>
          <w:szCs w:val="24"/>
        </w:rPr>
        <w:t>„ogólny poziom dochodów jednostki samorządu terytorialnego musi być możliwy do ustalenia już na podstawie regulacji ustawowej, czyli regulacja ta musi zachowywać</w:t>
      </w:r>
      <w:r w:rsidR="006D04B1">
        <w:rPr>
          <w:rFonts w:ascii="Times New Roman" w:eastAsia="Calibri" w:hAnsi="Times New Roman" w:cs="Times New Roman"/>
          <w:sz w:val="24"/>
          <w:szCs w:val="24"/>
        </w:rPr>
        <w:t xml:space="preserve"> odpowiedni stopień precyzji i </w:t>
      </w:r>
      <w:r w:rsidRPr="00F16C7B">
        <w:rPr>
          <w:rFonts w:ascii="Times New Roman" w:eastAsia="Calibri" w:hAnsi="Times New Roman" w:cs="Times New Roman"/>
          <w:sz w:val="24"/>
          <w:szCs w:val="24"/>
        </w:rPr>
        <w:t xml:space="preserve">szczegółowości, a nie może ograniczać się do blankietowych odesłań do regulacji wykonawczych”. Stanowisko to potwierdził Trybunał w </w:t>
      </w:r>
      <w:r w:rsidR="006D04B1">
        <w:rPr>
          <w:rFonts w:ascii="Times New Roman" w:eastAsia="Calibri" w:hAnsi="Times New Roman" w:cs="Times New Roman"/>
          <w:sz w:val="24"/>
          <w:szCs w:val="24"/>
        </w:rPr>
        <w:t>wyroku z dnia 31 stycznia 2013 </w:t>
      </w:r>
      <w:r w:rsidRPr="00F16C7B">
        <w:rPr>
          <w:rFonts w:ascii="Times New Roman" w:eastAsia="Calibri" w:hAnsi="Times New Roman" w:cs="Times New Roman"/>
          <w:sz w:val="24"/>
          <w:szCs w:val="24"/>
        </w:rPr>
        <w:t>r., sygn.</w:t>
      </w:r>
      <w:r w:rsidR="00066441">
        <w:rPr>
          <w:rFonts w:ascii="Times New Roman" w:eastAsia="Calibri" w:hAnsi="Times New Roman" w:cs="Times New Roman"/>
          <w:sz w:val="24"/>
          <w:szCs w:val="24"/>
        </w:rPr>
        <w:t> </w:t>
      </w:r>
      <w:r w:rsidRPr="00F16C7B">
        <w:rPr>
          <w:rFonts w:ascii="Times New Roman" w:eastAsia="Calibri" w:hAnsi="Times New Roman" w:cs="Times New Roman"/>
          <w:sz w:val="24"/>
          <w:szCs w:val="24"/>
        </w:rPr>
        <w:t>akt K 14/11.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6C7B" w:rsidRPr="00F16C7B" w:rsidRDefault="00A0451F" w:rsidP="00F16C7B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4A64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F16C7B" w:rsidRPr="00F14A64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A11CD">
        <w:t> </w:t>
      </w:r>
      <w:r w:rsidR="006D04B1">
        <w:rPr>
          <w:rFonts w:ascii="Times New Roman" w:eastAsia="Calibri" w:hAnsi="Times New Roman" w:cs="Times New Roman"/>
          <w:b/>
          <w:sz w:val="24"/>
          <w:szCs w:val="24"/>
        </w:rPr>
        <w:t xml:space="preserve">Nie wiadomo, w jakim zakresie miałyby być </w:t>
      </w:r>
      <w:r w:rsidR="00F16C7B" w:rsidRPr="00F16C7B">
        <w:rPr>
          <w:rFonts w:ascii="Times New Roman" w:eastAsia="Calibri" w:hAnsi="Times New Roman" w:cs="Times New Roman"/>
          <w:b/>
          <w:sz w:val="24"/>
          <w:szCs w:val="24"/>
        </w:rPr>
        <w:t>stosowane prz</w:t>
      </w:r>
      <w:r w:rsidR="006D04B1">
        <w:rPr>
          <w:rFonts w:ascii="Times New Roman" w:eastAsia="Calibri" w:hAnsi="Times New Roman" w:cs="Times New Roman"/>
          <w:b/>
          <w:sz w:val="24"/>
          <w:szCs w:val="24"/>
        </w:rPr>
        <w:t>episy rozdziału 4 i 5 ustawy o </w:t>
      </w:r>
      <w:r w:rsidR="00F16C7B" w:rsidRPr="00F16C7B">
        <w:rPr>
          <w:rFonts w:ascii="Times New Roman" w:eastAsia="Calibri" w:hAnsi="Times New Roman" w:cs="Times New Roman"/>
          <w:b/>
          <w:sz w:val="24"/>
          <w:szCs w:val="24"/>
        </w:rPr>
        <w:t xml:space="preserve">dochodach jednostek samorządu terytorialnego w odniesieniu do dodatkowej części subwencji. 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W art. 5 projektu ustawy jest bowiem mowa o odpowiednim stos</w:t>
      </w:r>
      <w:r w:rsidR="006D04B1">
        <w:rPr>
          <w:rFonts w:ascii="Times New Roman" w:eastAsia="Calibri" w:hAnsi="Times New Roman" w:cs="Times New Roman"/>
          <w:sz w:val="24"/>
          <w:szCs w:val="24"/>
        </w:rPr>
        <w:t>owaniu przepisów rozdziału 4 i </w:t>
      </w:r>
      <w:r w:rsidRPr="00F16C7B">
        <w:rPr>
          <w:rFonts w:ascii="Times New Roman" w:eastAsia="Calibri" w:hAnsi="Times New Roman" w:cs="Times New Roman"/>
          <w:sz w:val="24"/>
          <w:szCs w:val="24"/>
        </w:rPr>
        <w:t>5</w:t>
      </w:r>
      <w:r w:rsidR="006D04B1">
        <w:rPr>
          <w:rFonts w:ascii="Times New Roman" w:eastAsia="Calibri" w:hAnsi="Times New Roman" w:cs="Times New Roman"/>
          <w:sz w:val="24"/>
          <w:szCs w:val="24"/>
        </w:rPr>
        <w:t> </w:t>
      </w:r>
      <w:r w:rsidRPr="00F16C7B">
        <w:rPr>
          <w:rFonts w:ascii="Times New Roman" w:eastAsia="Calibri" w:hAnsi="Times New Roman" w:cs="Times New Roman"/>
          <w:sz w:val="24"/>
          <w:szCs w:val="24"/>
        </w:rPr>
        <w:t xml:space="preserve">ustawy o dochodach jednostek samorządu terytorialnego w odniesieniu do dodatkowych części </w:t>
      </w:r>
      <w:r w:rsidR="006D04B1">
        <w:rPr>
          <w:rFonts w:ascii="Times New Roman" w:eastAsia="Calibri" w:hAnsi="Times New Roman" w:cs="Times New Roman"/>
          <w:sz w:val="24"/>
          <w:szCs w:val="24"/>
        </w:rPr>
        <w:t xml:space="preserve">subwencji. Należy zauważyć, że </w:t>
      </w:r>
      <w:r w:rsidRPr="00F16C7B">
        <w:rPr>
          <w:rFonts w:ascii="Times New Roman" w:eastAsia="Calibri" w:hAnsi="Times New Roman" w:cs="Times New Roman"/>
          <w:sz w:val="24"/>
          <w:szCs w:val="24"/>
        </w:rPr>
        <w:t xml:space="preserve">przepisy zawarte w rozdziale 4 i 5 ustawy o dochodach jednostek samorządu terytorialnego odnoszą się do sposobu wyliczenia </w:t>
      </w:r>
      <w:r w:rsidR="006D04B1">
        <w:rPr>
          <w:rFonts w:ascii="Times New Roman" w:eastAsia="Calibri" w:hAnsi="Times New Roman" w:cs="Times New Roman"/>
          <w:sz w:val="24"/>
          <w:szCs w:val="24"/>
        </w:rPr>
        <w:t>konkretnych części subwencji i </w:t>
      </w:r>
      <w:r w:rsidRPr="00F16C7B">
        <w:rPr>
          <w:rFonts w:ascii="Times New Roman" w:eastAsia="Calibri" w:hAnsi="Times New Roman" w:cs="Times New Roman"/>
          <w:sz w:val="24"/>
          <w:szCs w:val="24"/>
        </w:rPr>
        <w:t>terminów ich przekazywania do jednostek samorządu terytorialnego. Nie wiadomo więc w jakim zakresie przepisy te miałyby być stosowane.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</w:pPr>
    </w:p>
    <w:p w:rsidR="00F16C7B" w:rsidRPr="00F16C7B" w:rsidRDefault="00CA30B7" w:rsidP="00F16C7B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IV</w:t>
      </w:r>
      <w:r w:rsidR="003A11C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. </w:t>
      </w:r>
      <w:r w:rsidR="00F16C7B" w:rsidRPr="00F16C7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Podejmowane przez Rząd działania w celu przeciwdziałania negatywnym skutkom gospodarczym i społecznym spowodowanym epidemią COVID-19 w sferze działa</w:t>
      </w:r>
      <w:r w:rsidR="00F14A64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lności samorządu terytorialnego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W art. 2 projektu stwierdza się, iż dochody jednostek samorządu terytorialnego zostały utracone w następstwie wystąpienia COVID-19, jak również st</w:t>
      </w:r>
      <w:r w:rsidR="0035477A">
        <w:rPr>
          <w:rFonts w:ascii="Times New Roman" w:eastAsia="Calibri" w:hAnsi="Times New Roman" w:cs="Times New Roman"/>
          <w:sz w:val="24"/>
          <w:szCs w:val="24"/>
        </w:rPr>
        <w:t>osowania ustawy o </w:t>
      </w:r>
      <w:r w:rsidRPr="00F16C7B">
        <w:rPr>
          <w:rFonts w:ascii="Times New Roman" w:eastAsia="Calibri" w:hAnsi="Times New Roman" w:cs="Times New Roman"/>
          <w:sz w:val="24"/>
          <w:szCs w:val="24"/>
        </w:rPr>
        <w:t>szczególnych rozwiązaniach związanych z zapobieganiem, przeciwdziałaniem i zwalczaniem COVID-19.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Należy zauważyć, że przepisy wprowadzone ww. ustawą oraz innymi aktami prawnymi, oprócz obowiązków i obostrzeń w różnych dziedzinach życia, przyznają także, m.in. jednostkom samorządu terytorialnego, różnego rodzaju ułatwienia w działaniu oraz konkretną pomoc.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Należy zauważyć, że</w:t>
      </w:r>
      <w:r w:rsidR="006D04B1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priorytetem Rządu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było i jest podejmowanie działań w celu przeciwdziałania negatywnym skutkom gospodarczym i społecznym spowodowanym epidemią COVID-19, również w sferze działalności samorządu terytorialnego.</w:t>
      </w:r>
    </w:p>
    <w:p w:rsidR="00F16C7B" w:rsidRPr="00F16C7B" w:rsidRDefault="00F16C7B" w:rsidP="00F16C7B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lastRenderedPageBreak/>
        <w:t>Już na poc</w:t>
      </w:r>
      <w:r w:rsidR="0035477A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zątku epidemii podjęte zostały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działania w obszarze finansów samorządowych. Przygotowane w tym celu zostały rozwiązania, usprawniające wykonywanie budżetów jednostek samorządu terytorialnego i uelastyczniające reguły fiskalne, obowiązujące w samorządach. Rozwiązania te zawarte zostały w ustawie o szczególnych rozwiązaniach związanych z</w:t>
      </w:r>
      <w:r w:rsidRPr="00F16C7B">
        <w:t> 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zapobieganiem, przeciwdziałaniem i zwalczaniem COVID-19. Dotyczą one, w szczególności:</w:t>
      </w:r>
    </w:p>
    <w:p w:rsidR="00F16C7B" w:rsidRPr="00F16C7B" w:rsidRDefault="00F16C7B" w:rsidP="00F16C7B">
      <w:pPr>
        <w:autoSpaceDE w:val="0"/>
        <w:autoSpaceDN w:val="0"/>
        <w:adjustRightInd w:val="0"/>
        <w:spacing w:before="120" w:after="0" w:line="276" w:lineRule="auto"/>
        <w:ind w:left="993" w:hanging="27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nadania większych uprawnień organom wykonawczym jednostek samorządu terytorialnego,</w:t>
      </w:r>
    </w:p>
    <w:p w:rsidR="00F16C7B" w:rsidRPr="00F16C7B" w:rsidRDefault="00F16C7B" w:rsidP="00F16C7B">
      <w:pPr>
        <w:autoSpaceDE w:val="0"/>
        <w:autoSpaceDN w:val="0"/>
        <w:adjustRightInd w:val="0"/>
        <w:spacing w:before="120" w:after="0" w:line="276" w:lineRule="auto"/>
        <w:ind w:left="851" w:hanging="13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dokonywania zmiany przeznaczenia rezerwy celowej utworzonej w budżecie JST bez uzyskania opinii komisji właściwej do spraw budżetu organu stanowiącego tej jednostki,</w:t>
      </w:r>
    </w:p>
    <w:p w:rsidR="00F16C7B" w:rsidRPr="00F16C7B" w:rsidRDefault="00F16C7B" w:rsidP="00F16C7B">
      <w:pPr>
        <w:autoSpaceDE w:val="0"/>
        <w:autoSpaceDN w:val="0"/>
        <w:adjustRightInd w:val="0"/>
        <w:spacing w:before="120" w:after="0" w:line="276" w:lineRule="auto"/>
        <w:ind w:left="851" w:hanging="13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umożliwienia tworzenia nowej rezerwy celowej bez uzyskania opinii komisji właściwej do spraw budżetu organu stanowiącego tej jednostki</w:t>
      </w:r>
      <w:r w:rsidR="001F74C1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i przeniesienia</w:t>
      </w:r>
      <w:r w:rsidR="000320C4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do niej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kwot</w:t>
      </w:r>
      <w:r w:rsidR="001F74C1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y wydatków zablokowanych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na podstawie art. 260 ust. 1 ustawy z dnia 27 sierpnia 2009 r. o finansach publicznych,</w:t>
      </w:r>
    </w:p>
    <w:p w:rsidR="00F16C7B" w:rsidRPr="00F16C7B" w:rsidRDefault="00F16C7B" w:rsidP="00F16C7B">
      <w:pPr>
        <w:autoSpaceDE w:val="0"/>
        <w:autoSpaceDN w:val="0"/>
        <w:adjustRightInd w:val="0"/>
        <w:spacing w:before="120" w:after="0" w:line="276" w:lineRule="auto"/>
        <w:ind w:left="851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przesunięcia, w drodze rozporządzenia Ministra Finansów, terminów przekazywania sprawozdań oraz informacji sporządzanych przez JST</w:t>
      </w:r>
      <w:r w:rsidR="006D04B1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. Terminy te zostały określone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</w:t>
      </w:r>
      <w:r w:rsidR="006D04B1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rozporządzeniu Ministra Finansów z dnia 31 marca 2020 r. w sprawie określenia innych terminów wypełniania obowiązków w zakresie ewidencji oraz w zakresie sporządzenia, zatwierdzenia, udostępnienia i przekazania do właściwego rejestru, jednostki lub organu sprawozdań lub informacji (Dz. U. poz. 570),</w:t>
      </w:r>
    </w:p>
    <w:p w:rsidR="00F16C7B" w:rsidRPr="00F16C7B" w:rsidRDefault="00F16C7B" w:rsidP="00F16C7B">
      <w:pPr>
        <w:autoSpaceDE w:val="0"/>
        <w:autoSpaceDN w:val="0"/>
        <w:adjustRightInd w:val="0"/>
        <w:spacing w:before="120" w:after="0" w:line="276" w:lineRule="auto"/>
        <w:ind w:left="71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złagodzenia na 2020 r. ograniczenia w zakresie równowa</w:t>
      </w:r>
      <w:r w:rsidR="00A44392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żenia budżetu w części bieżącej,</w:t>
      </w:r>
    </w:p>
    <w:p w:rsidR="00F16C7B" w:rsidRPr="00F16C7B" w:rsidRDefault="00F16C7B" w:rsidP="00F16C7B">
      <w:pPr>
        <w:autoSpaceDE w:val="0"/>
        <w:autoSpaceDN w:val="0"/>
        <w:adjustRightInd w:val="0"/>
        <w:spacing w:before="120" w:after="0" w:line="276" w:lineRule="auto"/>
        <w:ind w:left="71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zwiększenia przestrzeni do spłaty zobowiązań JST poprzez zmianę dotyczącą prawnego limitu spłaty zadłużenia.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Regulacje wynikające z w/w ustawy, przewidują ponadto: 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ind w:left="851" w:hanging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w art. 15zi pkt 9 - w celu realizacji zadań związanych z przeciwdziałaniem COVID-19 dotacje z budżetu państwa na dofinansowanie zadań, o których mowa w art. 42 ust. 2 pkt 2 ustawy o dochodach jednostek samorządu terytorialnego, oraz w przepisach odrębnych, mogą być udzielane do wysokości 100% planowanych wydatków jednostki samorządu terytorialnego na realizację danego zadania,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ind w:left="851" w:hanging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w art. 15zzzga – w ramach łagodzenia skutków pandemii COVID-19 wprowadzono szczególne rozwiązanie dotyczące wpływów i odsetek, o których mowa w art. 23 ust. 3 ustawy z dnia 21 sierpnia 1997 r. o gospodarce nieruchomościami (Dz. U. z 2020 r. poz.</w:t>
      </w:r>
      <w:r w:rsidR="00066441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65, z późn. zm.). W związku z wprowadzoną regulacją starostowie gospodarujący nieruchomościami Skarbu Państwa od wpływów osiąganych w okresie do dnia 31</w:t>
      </w:r>
      <w:r w:rsidR="00066441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grudnia 2020 r. ze sprzedaży, opłat z tytułu trwałego zarządu, użytkowania,</w:t>
      </w:r>
      <w:r w:rsidR="00A44392">
        <w:rPr>
          <w:rFonts w:ascii="Times New Roman" w:hAnsi="Times New Roman" w:cs="Times New Roman"/>
          <w:sz w:val="24"/>
          <w:szCs w:val="24"/>
        </w:rPr>
        <w:t xml:space="preserve"> czynszu dzierżawnego i najmu </w:t>
      </w:r>
      <w:r w:rsidRPr="00F16C7B">
        <w:rPr>
          <w:rFonts w:ascii="Times New Roman" w:hAnsi="Times New Roman" w:cs="Times New Roman"/>
          <w:sz w:val="24"/>
          <w:szCs w:val="24"/>
        </w:rPr>
        <w:t>nieruchomości Skarbu Państwa, a także od wpływów osiąganych z opłat z tytułu użytkowania wieczystego nieruchomości Skarbu Państwa oddanych w</w:t>
      </w:r>
      <w:r w:rsidR="00066441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użytkowanie wieczyste, oraz od odsetek za nieterminowe wnoszenie tych należności potrącają 50% środków, które stanowią dochód powiatu, na obszarze którego położone są te nieruchomości,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ind w:left="851" w:hanging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w art. 21 - w ustawie o dochodach jednostek samorządu terytorialnego w art. 51 dodano ust. 3 w brzmieniu: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„3. Z budżetu państwa mogą być udzielane właściwym jednostkom samorządu terytorialnego dotacje celowe na wsparcie realizacji za</w:t>
      </w:r>
      <w:r w:rsidR="006D04B1">
        <w:rPr>
          <w:rFonts w:ascii="Times New Roman" w:hAnsi="Times New Roman" w:cs="Times New Roman"/>
          <w:sz w:val="24"/>
          <w:szCs w:val="24"/>
        </w:rPr>
        <w:t>dań wynikających z przepisów o </w:t>
      </w:r>
      <w:r w:rsidRPr="00F16C7B">
        <w:rPr>
          <w:rFonts w:ascii="Times New Roman" w:hAnsi="Times New Roman" w:cs="Times New Roman"/>
          <w:sz w:val="24"/>
          <w:szCs w:val="24"/>
        </w:rPr>
        <w:t>zapobieganiu oraz zwalczaniu zakażeń i chorób zakaźnych u ludzi. Przepisu art. 128 ust. 2 ustawy z dnia 27 sierpnia 2009 r. o finansach publicznych (Dz.</w:t>
      </w:r>
      <w:r w:rsidR="00CB0F79">
        <w:rPr>
          <w:rFonts w:ascii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U. z 2019 r. poz.</w:t>
      </w:r>
      <w:r w:rsidR="00066441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869, 1622, 1649, 2020 i 2473 oraz z 2020 r. poz. 284) nie stosuje się.”.</w:t>
      </w:r>
    </w:p>
    <w:p w:rsidR="00F16C7B" w:rsidRPr="00F16C7B" w:rsidRDefault="00A44392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Ponadto</w:t>
      </w:r>
      <w:r w:rsidR="00F16C7B" w:rsidRPr="00F16C7B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 w ustawie z dnia 19 czerwca 2020 r. </w:t>
      </w:r>
      <w:r w:rsidR="00F16C7B" w:rsidRPr="00F16C7B">
        <w:rPr>
          <w:rFonts w:ascii="Times New Roman" w:eastAsia="Cambria" w:hAnsi="Times New Roman" w:cs="Times New Roman"/>
          <w:bCs/>
          <w:color w:val="000000"/>
          <w:sz w:val="24"/>
          <w:szCs w:val="24"/>
          <w:lang w:eastAsia="pl-PL"/>
        </w:rPr>
        <w:t>o dopłatach do oprocentowania kredytów bankowych udzielanych przedsiębiorcom dotkniętym skutkami COVID-19 oraz o uproszczonym postępowaniu o zatwierdzenie układu w związku z wystąpieniem COVID-19 (Dz.</w:t>
      </w:r>
      <w:r w:rsidR="00CB0F79">
        <w:rPr>
          <w:rFonts w:ascii="Times New Roman" w:eastAsia="Cambria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F16C7B" w:rsidRPr="00F16C7B">
        <w:rPr>
          <w:rFonts w:ascii="Times New Roman" w:eastAsia="Cambria" w:hAnsi="Times New Roman" w:cs="Times New Roman"/>
          <w:bCs/>
          <w:color w:val="000000"/>
          <w:sz w:val="24"/>
          <w:szCs w:val="24"/>
          <w:lang w:eastAsia="pl-PL"/>
        </w:rPr>
        <w:t>U. poz. 1086)</w:t>
      </w:r>
      <w:r w:rsidR="00F16C7B" w:rsidRPr="00F16C7B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, wprowadzono kolejne rozwiązania dotyczące, m.in.:</w:t>
      </w:r>
    </w:p>
    <w:p w:rsidR="00F16C7B" w:rsidRPr="00F16C7B" w:rsidRDefault="00F16C7B" w:rsidP="00F16C7B">
      <w:pPr>
        <w:spacing w:before="120" w:after="0" w:line="276" w:lineRule="auto"/>
        <w:ind w:left="993" w:hanging="27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zwiększenia płynności finansowej samorządów w okresie epidemii poprzez wprowadzenie możliwości wcześniejszego przekazywania samorządom</w:t>
      </w:r>
      <w:r w:rsidR="006D04B1">
        <w:rPr>
          <w:rFonts w:ascii="Times New Roman" w:hAnsi="Times New Roman" w:cs="Times New Roman"/>
          <w:sz w:val="24"/>
          <w:szCs w:val="24"/>
        </w:rPr>
        <w:t xml:space="preserve"> w 2020 r. subwencji ogólnej z </w:t>
      </w:r>
      <w:r w:rsidRPr="00F16C7B">
        <w:rPr>
          <w:rFonts w:ascii="Times New Roman" w:hAnsi="Times New Roman" w:cs="Times New Roman"/>
          <w:sz w:val="24"/>
          <w:szCs w:val="24"/>
        </w:rPr>
        <w:t>budżetu państwa,</w:t>
      </w:r>
    </w:p>
    <w:p w:rsidR="00F16C7B" w:rsidRPr="00F16C7B" w:rsidRDefault="006D04B1" w:rsidP="00F16C7B">
      <w:pPr>
        <w:spacing w:before="120" w:after="0" w:line="276" w:lineRule="auto"/>
        <w:ind w:left="851" w:hanging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możliwości </w:t>
      </w:r>
      <w:r w:rsidR="00F16C7B" w:rsidRPr="00F16C7B">
        <w:rPr>
          <w:rFonts w:ascii="Times New Roman" w:hAnsi="Times New Roman" w:cs="Times New Roman"/>
          <w:sz w:val="24"/>
          <w:szCs w:val="24"/>
        </w:rPr>
        <w:t>przesunięcia na kolejne miesiące wpłat do budżetu państwa dokonywanych przez jednostki o ponadprzeciętnych dochodach podatkowych,</w:t>
      </w:r>
    </w:p>
    <w:p w:rsidR="00F16C7B" w:rsidRPr="00F16C7B" w:rsidRDefault="00F16C7B" w:rsidP="00F16C7B">
      <w:pPr>
        <w:spacing w:before="120" w:after="0" w:line="276" w:lineRule="auto"/>
        <w:ind w:left="851" w:hanging="14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uelastycznienia w 2020 r. wymogu równoważenia strony bieżącej budżetu jednostki samorządu terytorialnego dodatkowo o wartość planowanego ubytku w dochodach będącego skutkiem wystąpienia COVID-19,</w:t>
      </w:r>
    </w:p>
    <w:p w:rsidR="00F16C7B" w:rsidRPr="00F16C7B" w:rsidRDefault="00F16C7B" w:rsidP="00F16C7B">
      <w:pPr>
        <w:spacing w:before="120" w:after="0" w:line="276" w:lineRule="auto"/>
        <w:ind w:left="851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14A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złagodzenia reguły fiskalnej ograniczającej zadłużenie m.in. o kwotę faktycznego ubytku w dochodach podatkowych jednostki samorzą</w:t>
      </w:r>
      <w:r w:rsidR="00066441">
        <w:rPr>
          <w:rFonts w:ascii="Times New Roman" w:hAnsi="Times New Roman" w:cs="Times New Roman"/>
          <w:sz w:val="24"/>
          <w:szCs w:val="24"/>
        </w:rPr>
        <w:t xml:space="preserve">du terytorialnego wynikającego </w:t>
      </w:r>
      <w:r w:rsidRPr="00F16C7B">
        <w:rPr>
          <w:rFonts w:ascii="Times New Roman" w:hAnsi="Times New Roman" w:cs="Times New Roman"/>
          <w:sz w:val="24"/>
          <w:szCs w:val="24"/>
        </w:rPr>
        <w:t>z</w:t>
      </w:r>
      <w:r w:rsidR="00066441">
        <w:rPr>
          <w:rFonts w:ascii="Times New Roman" w:hAnsi="Times New Roman" w:cs="Times New Roman"/>
          <w:sz w:val="24"/>
          <w:szCs w:val="24"/>
        </w:rPr>
        <w:t> </w:t>
      </w:r>
      <w:r w:rsidRPr="00F16C7B">
        <w:rPr>
          <w:rFonts w:ascii="Times New Roman" w:hAnsi="Times New Roman" w:cs="Times New Roman"/>
          <w:sz w:val="24"/>
          <w:szCs w:val="24"/>
        </w:rPr>
        <w:t>wystąpienia epidemii COVID-19,</w:t>
      </w:r>
    </w:p>
    <w:p w:rsidR="00F16C7B" w:rsidRPr="00F16C7B" w:rsidRDefault="00F16C7B" w:rsidP="00F16C7B">
      <w:pPr>
        <w:spacing w:before="120" w:after="0" w:line="276" w:lineRule="auto"/>
        <w:ind w:left="993" w:hanging="27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 </w:t>
      </w:r>
      <w:r w:rsidR="00F14A64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F66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zwiększenia możliwości jednostki samorządu terytorialnego do spłaty zadłużenia. Ustalając na rok 2021 i lata kolejne relację ograniczającą wysokość spłaty długu, jednostka będzie w budżecie pomniejszać wydatki bieżące o wydatki bieżące poniesione w 2020 r. w celu realizacji zadań związanych z przeciwdziałaniem COVID-19,</w:t>
      </w:r>
    </w:p>
    <w:p w:rsidR="00F16C7B" w:rsidRPr="00F16C7B" w:rsidRDefault="00F16C7B" w:rsidP="00F16C7B">
      <w:pPr>
        <w:spacing w:before="120" w:after="0" w:line="276" w:lineRule="auto"/>
        <w:ind w:left="993" w:hanging="27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 </w:t>
      </w:r>
      <w:r w:rsidR="006F662A" w:rsidRPr="00F16C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F66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6C7B">
        <w:rPr>
          <w:rFonts w:ascii="Times New Roman" w:hAnsi="Times New Roman" w:cs="Times New Roman"/>
          <w:sz w:val="24"/>
          <w:szCs w:val="24"/>
        </w:rPr>
        <w:t>nieuwzględniania w ustaleniu potencjału dochodowego jednostki samorządu terytorialnego skutków finansowych ulg udzielanych przez jednostkę samorządu terytorialnego w spłacie zobowiązań w postaci rozłożenia i</w:t>
      </w:r>
      <w:r w:rsidR="006D04B1">
        <w:rPr>
          <w:rFonts w:ascii="Times New Roman" w:hAnsi="Times New Roman" w:cs="Times New Roman"/>
          <w:sz w:val="24"/>
          <w:szCs w:val="24"/>
        </w:rPr>
        <w:t xml:space="preserve"> odroczenia zapłaty podatków i </w:t>
      </w:r>
      <w:r w:rsidRPr="00F16C7B">
        <w:rPr>
          <w:rFonts w:ascii="Times New Roman" w:hAnsi="Times New Roman" w:cs="Times New Roman"/>
          <w:sz w:val="24"/>
          <w:szCs w:val="24"/>
        </w:rPr>
        <w:t>zaległości podatkowych.</w:t>
      </w:r>
    </w:p>
    <w:p w:rsidR="00F16C7B" w:rsidRPr="00F16C7B" w:rsidRDefault="00F16C7B" w:rsidP="00F16C7B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Ponadto, w celu przeciwdziałania skutkom społeczno-gospodarczym COVID-19, w art. 43 ustawy z dnia 15 lipca 2020 r. o Polskim Bonie Turystycznym (Dz. U. poz. 1262) dokonano zmian w ustawie z dnia 31 marca 2020 r. o zmianie ustawy o szczególn</w:t>
      </w:r>
      <w:r w:rsidR="006D04B1">
        <w:rPr>
          <w:rFonts w:ascii="Times New Roman" w:hAnsi="Times New Roman" w:cs="Times New Roman"/>
          <w:sz w:val="24"/>
          <w:szCs w:val="24"/>
        </w:rPr>
        <w:t>ych rozwiązaniach związanych z </w:t>
      </w:r>
      <w:r w:rsidRPr="00F16C7B">
        <w:rPr>
          <w:rFonts w:ascii="Times New Roman" w:hAnsi="Times New Roman" w:cs="Times New Roman"/>
          <w:sz w:val="24"/>
          <w:szCs w:val="24"/>
        </w:rPr>
        <w:t>zapobieganiem, przeciwdziałaniem i zwalczaniem COVID-19, innych chorób zakaźnych oraz wywołanych nimi sytuacji kryzysowych oraz niektórych innych ustaw</w:t>
      </w:r>
      <w:r w:rsidR="00CB0F79">
        <w:rPr>
          <w:rFonts w:ascii="Times New Roman" w:hAnsi="Times New Roman" w:cs="Times New Roman"/>
          <w:sz w:val="24"/>
          <w:szCs w:val="24"/>
        </w:rPr>
        <w:t xml:space="preserve"> (</w:t>
      </w:r>
      <w:r w:rsidR="000320C4">
        <w:rPr>
          <w:rFonts w:ascii="Times New Roman" w:hAnsi="Times New Roman" w:cs="Times New Roman"/>
          <w:sz w:val="24"/>
          <w:szCs w:val="24"/>
        </w:rPr>
        <w:t>Dz.</w:t>
      </w:r>
      <w:r w:rsidR="00CB0F79">
        <w:rPr>
          <w:rFonts w:ascii="Times New Roman" w:hAnsi="Times New Roman" w:cs="Times New Roman"/>
          <w:sz w:val="24"/>
          <w:szCs w:val="24"/>
        </w:rPr>
        <w:t xml:space="preserve"> </w:t>
      </w:r>
      <w:r w:rsidR="000320C4">
        <w:rPr>
          <w:rFonts w:ascii="Times New Roman" w:hAnsi="Times New Roman" w:cs="Times New Roman"/>
          <w:sz w:val="24"/>
          <w:szCs w:val="24"/>
        </w:rPr>
        <w:t>U.</w:t>
      </w:r>
      <w:r w:rsidR="00A44392">
        <w:rPr>
          <w:rFonts w:ascii="Times New Roman" w:hAnsi="Times New Roman" w:cs="Times New Roman"/>
          <w:sz w:val="24"/>
          <w:szCs w:val="24"/>
        </w:rPr>
        <w:t xml:space="preserve"> </w:t>
      </w:r>
      <w:r w:rsidR="000320C4">
        <w:rPr>
          <w:rFonts w:ascii="Times New Roman" w:hAnsi="Times New Roman" w:cs="Times New Roman"/>
          <w:sz w:val="24"/>
          <w:szCs w:val="24"/>
        </w:rPr>
        <w:t>poz.</w:t>
      </w:r>
      <w:r w:rsidR="005852BC">
        <w:rPr>
          <w:rFonts w:ascii="Times New Roman" w:hAnsi="Times New Roman" w:cs="Times New Roman"/>
          <w:sz w:val="24"/>
          <w:szCs w:val="24"/>
        </w:rPr>
        <w:t xml:space="preserve"> </w:t>
      </w:r>
      <w:r w:rsidR="000320C4">
        <w:rPr>
          <w:rFonts w:ascii="Times New Roman" w:hAnsi="Times New Roman" w:cs="Times New Roman"/>
          <w:sz w:val="24"/>
          <w:szCs w:val="24"/>
        </w:rPr>
        <w:t>568,</w:t>
      </w:r>
      <w:r w:rsidR="00CB0F79">
        <w:rPr>
          <w:rFonts w:ascii="Times New Roman" w:hAnsi="Times New Roman" w:cs="Times New Roman"/>
          <w:sz w:val="24"/>
          <w:szCs w:val="24"/>
        </w:rPr>
        <w:t xml:space="preserve"> </w:t>
      </w:r>
      <w:r w:rsidR="000320C4">
        <w:rPr>
          <w:rFonts w:ascii="Times New Roman" w:hAnsi="Times New Roman" w:cs="Times New Roman"/>
          <w:sz w:val="24"/>
          <w:szCs w:val="24"/>
        </w:rPr>
        <w:t>z</w:t>
      </w:r>
      <w:r w:rsidR="00CB0F79">
        <w:rPr>
          <w:rFonts w:ascii="Times New Roman" w:hAnsi="Times New Roman" w:cs="Times New Roman"/>
          <w:sz w:val="24"/>
          <w:szCs w:val="24"/>
        </w:rPr>
        <w:t> póź</w:t>
      </w:r>
      <w:r w:rsidR="000320C4">
        <w:rPr>
          <w:rFonts w:ascii="Times New Roman" w:hAnsi="Times New Roman" w:cs="Times New Roman"/>
          <w:sz w:val="24"/>
          <w:szCs w:val="24"/>
        </w:rPr>
        <w:t>n.</w:t>
      </w:r>
      <w:r w:rsidR="000C4149">
        <w:rPr>
          <w:rFonts w:ascii="Times New Roman" w:hAnsi="Times New Roman" w:cs="Times New Roman"/>
          <w:sz w:val="24"/>
          <w:szCs w:val="24"/>
        </w:rPr>
        <w:t> </w:t>
      </w:r>
      <w:r w:rsidR="000320C4">
        <w:rPr>
          <w:rFonts w:ascii="Times New Roman" w:hAnsi="Times New Roman" w:cs="Times New Roman"/>
          <w:sz w:val="24"/>
          <w:szCs w:val="24"/>
        </w:rPr>
        <w:t>zm)</w:t>
      </w:r>
      <w:r w:rsidRPr="00F16C7B">
        <w:rPr>
          <w:rFonts w:ascii="Times New Roman" w:hAnsi="Times New Roman" w:cs="Times New Roman"/>
          <w:sz w:val="24"/>
          <w:szCs w:val="24"/>
        </w:rPr>
        <w:t>, wprowadzając rozwiązanie umożliwiające wsparcie jednos</w:t>
      </w:r>
      <w:r w:rsidR="006D04B1">
        <w:rPr>
          <w:rFonts w:ascii="Times New Roman" w:hAnsi="Times New Roman" w:cs="Times New Roman"/>
          <w:sz w:val="24"/>
          <w:szCs w:val="24"/>
        </w:rPr>
        <w:t>tek samorządu terytorialnego w </w:t>
      </w:r>
      <w:r w:rsidRPr="00F16C7B">
        <w:rPr>
          <w:rFonts w:ascii="Times New Roman" w:hAnsi="Times New Roman" w:cs="Times New Roman"/>
          <w:sz w:val="24"/>
          <w:szCs w:val="24"/>
        </w:rPr>
        <w:t>realizacji ich zadań inwestycyjnych. Dodatkowe środki dla jednostek samorządu teryt</w:t>
      </w:r>
      <w:r w:rsidR="006D04B1">
        <w:rPr>
          <w:rFonts w:ascii="Times New Roman" w:hAnsi="Times New Roman" w:cs="Times New Roman"/>
          <w:sz w:val="24"/>
          <w:szCs w:val="24"/>
        </w:rPr>
        <w:t>orialnego zostaną przekazane z </w:t>
      </w:r>
      <w:r w:rsidRPr="00F16C7B">
        <w:rPr>
          <w:rFonts w:ascii="Times New Roman" w:hAnsi="Times New Roman" w:cs="Times New Roman"/>
          <w:sz w:val="24"/>
          <w:szCs w:val="24"/>
        </w:rPr>
        <w:t xml:space="preserve">Funduszu Przeciwdziałania COVID-19. </w:t>
      </w:r>
    </w:p>
    <w:p w:rsidR="00F16C7B" w:rsidRPr="00F16C7B" w:rsidRDefault="00F16C7B" w:rsidP="00F16C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6C7B">
        <w:rPr>
          <w:rFonts w:ascii="Times New Roman" w:hAnsi="Times New Roman" w:cs="Times New Roman"/>
          <w:color w:val="000000"/>
          <w:sz w:val="24"/>
          <w:szCs w:val="24"/>
        </w:rPr>
        <w:t>Podkreślenia także wymaga, iż przyjęte w ustawie o szczególn</w:t>
      </w:r>
      <w:r w:rsidR="006D04B1">
        <w:rPr>
          <w:rFonts w:ascii="Times New Roman" w:hAnsi="Times New Roman" w:cs="Times New Roman"/>
          <w:color w:val="000000"/>
          <w:sz w:val="24"/>
          <w:szCs w:val="24"/>
        </w:rPr>
        <w:t>ych rozwiązaniach związanych z 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t xml:space="preserve">zapobieganiem, przeciwdziałaniem i zwalczaniem COVID-19 liczne rozwiązania, służące 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lastRenderedPageBreak/>
        <w:t>zapobieganiu negatywnym skutkom gospodarczym związanym z epidemią, w zakresie m.in.</w:t>
      </w:r>
      <w:r w:rsidR="0006644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16C7B">
        <w:rPr>
          <w:rFonts w:ascii="Times New Roman" w:hAnsi="Times New Roman" w:cs="Times New Roman"/>
          <w:color w:val="000000"/>
          <w:sz w:val="24"/>
          <w:szCs w:val="24"/>
        </w:rPr>
        <w:t>pomocy podmiotom działającym na terenie poszczególnych samorządów, w sposób pośredni stanowią również istotne wsparcie jednostek samorządu terytorialnego.</w:t>
      </w:r>
    </w:p>
    <w:p w:rsidR="00F16C7B" w:rsidRPr="00F16C7B" w:rsidRDefault="00F16C7B" w:rsidP="00F16C7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6C7B" w:rsidRPr="00F16C7B" w:rsidRDefault="003A11CD" w:rsidP="00F16C7B">
      <w:pPr>
        <w:tabs>
          <w:tab w:val="left" w:pos="284"/>
        </w:tabs>
        <w:spacing w:before="120" w:after="120" w:line="27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 </w:t>
      </w:r>
      <w:r w:rsidR="00F16C7B" w:rsidRPr="00F16C7B">
        <w:rPr>
          <w:rFonts w:ascii="Times New Roman" w:hAnsi="Times New Roman" w:cs="Times New Roman"/>
          <w:b/>
          <w:sz w:val="24"/>
          <w:szCs w:val="24"/>
        </w:rPr>
        <w:t xml:space="preserve">Reasumując, należy stwierdzić, że: </w:t>
      </w:r>
    </w:p>
    <w:p w:rsidR="00F16C7B" w:rsidRPr="00F16C7B" w:rsidRDefault="00F16C7B" w:rsidP="00F16C7B">
      <w:pPr>
        <w:tabs>
          <w:tab w:val="left" w:pos="284"/>
        </w:tabs>
        <w:spacing w:before="120" w:after="120" w:line="276" w:lineRule="auto"/>
        <w:ind w:left="14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6C7B" w:rsidRPr="00F16C7B" w:rsidRDefault="00F16C7B" w:rsidP="00F16C7B">
      <w:pPr>
        <w:numPr>
          <w:ilvl w:val="0"/>
          <w:numId w:val="5"/>
        </w:numPr>
        <w:tabs>
          <w:tab w:val="left" w:pos="399"/>
        </w:tabs>
        <w:spacing w:before="120" w:after="120" w:line="276" w:lineRule="auto"/>
        <w:ind w:right="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 xml:space="preserve">projekt ustawy wywołuje dodatkowe negatywne skutki finansowe dla budżetu państwa, związane z koniecznością rekompensowania samorządom utraconych dochodów, 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które przez projektodawców szacowane są w wysokości 16,3 mld zł;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720" w:right="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numPr>
          <w:ilvl w:val="0"/>
          <w:numId w:val="5"/>
        </w:numPr>
        <w:spacing w:before="120" w:after="120" w:line="276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16C7B">
        <w:rPr>
          <w:rFonts w:ascii="Times New Roman" w:hAnsi="Times New Roman" w:cs="Times New Roman"/>
          <w:sz w:val="24"/>
          <w:szCs w:val="24"/>
        </w:rPr>
        <w:t>przepisy dotycząc</w:t>
      </w:r>
      <w:r w:rsidR="006D04B1">
        <w:rPr>
          <w:rFonts w:ascii="Times New Roman" w:hAnsi="Times New Roman" w:cs="Times New Roman"/>
          <w:sz w:val="24"/>
          <w:szCs w:val="24"/>
        </w:rPr>
        <w:t>e określenia ubytku dochodów są</w:t>
      </w:r>
      <w:r w:rsidRPr="00F16C7B">
        <w:rPr>
          <w:rFonts w:ascii="Times New Roman" w:hAnsi="Times New Roman" w:cs="Times New Roman"/>
          <w:sz w:val="24"/>
          <w:szCs w:val="24"/>
        </w:rPr>
        <w:t xml:space="preserve"> nieprecyzyjne. W projekcie ustawy zaproponowano, aby ubytek stanowiły utracone dochody z PIT i CIT w wysokości różnicy między dochodami w odpowiadających miesiącach 2020 r. i 2019 r., a uzupełnienie subwencji ogólnej o część r</w:t>
      </w:r>
      <w:r w:rsidR="006D04B1">
        <w:rPr>
          <w:rFonts w:ascii="Times New Roman" w:hAnsi="Times New Roman" w:cs="Times New Roman"/>
          <w:sz w:val="24"/>
          <w:szCs w:val="24"/>
        </w:rPr>
        <w:t xml:space="preserve">ekompensującą miałoby nastąpić </w:t>
      </w:r>
      <w:r w:rsidRPr="00F16C7B">
        <w:rPr>
          <w:rFonts w:ascii="Times New Roman" w:hAnsi="Times New Roman" w:cs="Times New Roman"/>
          <w:sz w:val="24"/>
          <w:szCs w:val="24"/>
        </w:rPr>
        <w:t>w trakcie roku budżetowego (w 2020 r.);</w:t>
      </w:r>
    </w:p>
    <w:p w:rsidR="00F16C7B" w:rsidRPr="00F16C7B" w:rsidRDefault="00F16C7B" w:rsidP="00F16C7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numPr>
          <w:ilvl w:val="0"/>
          <w:numId w:val="5"/>
        </w:numPr>
        <w:tabs>
          <w:tab w:val="left" w:pos="399"/>
        </w:tabs>
        <w:spacing w:before="120" w:after="120" w:line="276" w:lineRule="auto"/>
        <w:ind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C7B">
        <w:rPr>
          <w:rFonts w:ascii="Times New Roman" w:eastAsia="Times New Roman" w:hAnsi="Times New Roman" w:cs="Times New Roman"/>
          <w:sz w:val="24"/>
          <w:szCs w:val="24"/>
        </w:rPr>
        <w:t>przewiduje się wprowadzenie r</w:t>
      </w:r>
      <w:r w:rsidR="00A44392">
        <w:rPr>
          <w:rFonts w:ascii="Times New Roman" w:eastAsia="Times New Roman" w:hAnsi="Times New Roman" w:cs="Times New Roman"/>
          <w:sz w:val="24"/>
          <w:szCs w:val="24"/>
        </w:rPr>
        <w:t>egulacji dotyczącej uzupełnienia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 xml:space="preserve"> subwencji ogólnej o część rekompensującą w trakcie roku budżetowego </w:t>
      </w:r>
      <w:r w:rsidRPr="00F16C7B">
        <w:rPr>
          <w:rFonts w:ascii="Times New Roman" w:hAnsi="Times New Roman" w:cs="Times New Roman"/>
          <w:sz w:val="24"/>
          <w:szCs w:val="24"/>
        </w:rPr>
        <w:t>(</w:t>
      </w:r>
      <w:r w:rsidRPr="00F16C7B">
        <w:rPr>
          <w:rFonts w:ascii="Times New Roman" w:eastAsia="Times New Roman" w:hAnsi="Times New Roman" w:cs="Times New Roman"/>
          <w:sz w:val="24"/>
          <w:szCs w:val="24"/>
        </w:rPr>
        <w:t>art. 2 projektu ustawy) w sytuacji, gdy nie jest znane faktyczne wykonanie dochodów z tego tytułu;</w:t>
      </w:r>
    </w:p>
    <w:p w:rsidR="00F16C7B" w:rsidRPr="00F16C7B" w:rsidRDefault="00F16C7B" w:rsidP="00F16C7B">
      <w:pPr>
        <w:tabs>
          <w:tab w:val="left" w:pos="399"/>
        </w:tabs>
        <w:spacing w:before="120" w:after="120" w:line="276" w:lineRule="auto"/>
        <w:ind w:left="720"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16C7B" w:rsidRPr="00F16C7B" w:rsidRDefault="00F16C7B" w:rsidP="00F16C7B">
      <w:pPr>
        <w:numPr>
          <w:ilvl w:val="0"/>
          <w:numId w:val="5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C7B">
        <w:rPr>
          <w:rFonts w:ascii="Times New Roman" w:eastAsia="Calibri" w:hAnsi="Times New Roman" w:cs="Times New Roman"/>
          <w:sz w:val="24"/>
          <w:szCs w:val="24"/>
        </w:rPr>
        <w:t>przewiduje się wprowadzenie dotacji celowej dla jednostek samorządu terytorialnego na</w:t>
      </w:r>
      <w:r w:rsidR="005852BC">
        <w:rPr>
          <w:rFonts w:ascii="Times New Roman" w:eastAsia="Calibri" w:hAnsi="Times New Roman" w:cs="Times New Roman"/>
          <w:sz w:val="24"/>
          <w:szCs w:val="24"/>
        </w:rPr>
        <w:t> </w:t>
      </w:r>
      <w:r w:rsidRPr="00F16C7B">
        <w:rPr>
          <w:rFonts w:ascii="Times New Roman" w:eastAsia="Calibri" w:hAnsi="Times New Roman" w:cs="Times New Roman"/>
          <w:sz w:val="24"/>
          <w:szCs w:val="24"/>
        </w:rPr>
        <w:t>realizację zadań wynikających z ustawy o szczególnych rozwiązaniach związany</w:t>
      </w:r>
      <w:r w:rsidR="006D04B1">
        <w:rPr>
          <w:rFonts w:ascii="Times New Roman" w:eastAsia="Calibri" w:hAnsi="Times New Roman" w:cs="Times New Roman"/>
          <w:sz w:val="24"/>
          <w:szCs w:val="24"/>
        </w:rPr>
        <w:t>ch z </w:t>
      </w:r>
      <w:r w:rsidRPr="00F16C7B">
        <w:rPr>
          <w:rFonts w:ascii="Times New Roman" w:eastAsia="Calibri" w:hAnsi="Times New Roman" w:cs="Times New Roman"/>
          <w:sz w:val="24"/>
          <w:szCs w:val="24"/>
        </w:rPr>
        <w:t>zapobieganiem, przeciwdziałaniem i zwalczaniem COVID-19;</w:t>
      </w:r>
    </w:p>
    <w:p w:rsidR="00F16C7B" w:rsidRPr="00F16C7B" w:rsidRDefault="00F16C7B" w:rsidP="00F16C7B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16C7B" w:rsidRPr="00F16C7B" w:rsidRDefault="006D04B1" w:rsidP="00F16C7B">
      <w:pPr>
        <w:numPr>
          <w:ilvl w:val="0"/>
          <w:numId w:val="5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zawarte w </w:t>
      </w:r>
      <w:r w:rsidR="00F16C7B" w:rsidRPr="00F16C7B">
        <w:rPr>
          <w:rFonts w:ascii="Times New Roman" w:eastAsia="Calibri" w:hAnsi="Times New Roman" w:cs="Times New Roman"/>
          <w:sz w:val="24"/>
          <w:szCs w:val="24"/>
        </w:rPr>
        <w:t>projekcie ustawy (art. 3 ust. 4 i art. 4 ust. 2) delegacje dla ministra właściwego do spraw finansów publicznych d</w:t>
      </w:r>
      <w:r w:rsidR="00A44392">
        <w:rPr>
          <w:rFonts w:ascii="Times New Roman" w:eastAsia="Calibri" w:hAnsi="Times New Roman" w:cs="Times New Roman"/>
          <w:sz w:val="24"/>
          <w:szCs w:val="24"/>
        </w:rPr>
        <w:t>o wydania rozporządzeń</w:t>
      </w:r>
      <w:r>
        <w:rPr>
          <w:rFonts w:ascii="Times New Roman" w:eastAsia="Calibri" w:hAnsi="Times New Roman" w:cs="Times New Roman"/>
          <w:sz w:val="24"/>
          <w:szCs w:val="24"/>
        </w:rPr>
        <w:t xml:space="preserve"> są zbyt</w:t>
      </w:r>
      <w:r w:rsidR="00F16C7B" w:rsidRPr="00F16C7B">
        <w:rPr>
          <w:rFonts w:ascii="Times New Roman" w:eastAsia="Calibri" w:hAnsi="Times New Roman" w:cs="Times New Roman"/>
          <w:sz w:val="24"/>
          <w:szCs w:val="24"/>
        </w:rPr>
        <w:t xml:space="preserve"> daleko idące</w:t>
      </w:r>
      <w:r w:rsidR="00F16C7B" w:rsidRPr="009D31D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16C7B" w:rsidRPr="00F16C7B">
        <w:rPr>
          <w:rFonts w:ascii="Times New Roman" w:eastAsia="Calibri" w:hAnsi="Times New Roman" w:cs="Times New Roman"/>
          <w:sz w:val="24"/>
          <w:szCs w:val="24"/>
        </w:rPr>
        <w:t>Proponowane rozwiązanie może budzić wątpliwości co do zgodności z Konstytucją RP. W projekcie ustawy wskazuje się bowiem jedynie źródło dochodów samorządów (część</w:t>
      </w:r>
      <w:r w:rsidR="00027C40">
        <w:rPr>
          <w:rFonts w:ascii="Times New Roman" w:eastAsia="Calibri" w:hAnsi="Times New Roman" w:cs="Times New Roman"/>
          <w:sz w:val="24"/>
          <w:szCs w:val="24"/>
        </w:rPr>
        <w:t> </w:t>
      </w:r>
      <w:r w:rsidR="00F16C7B" w:rsidRPr="00F16C7B">
        <w:rPr>
          <w:rFonts w:ascii="Times New Roman" w:eastAsia="Calibri" w:hAnsi="Times New Roman" w:cs="Times New Roman"/>
          <w:sz w:val="24"/>
          <w:szCs w:val="24"/>
        </w:rPr>
        <w:t>rekompensująca subwencji), bez określenia zasad podziału środków finansowych.</w:t>
      </w:r>
    </w:p>
    <w:p w:rsidR="00F16C7B" w:rsidRPr="00F16C7B" w:rsidRDefault="00F16C7B" w:rsidP="00F16C7B">
      <w:pPr>
        <w:spacing w:before="120" w:after="12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1C7D97" w:rsidRPr="00650238" w:rsidRDefault="00F16C7B" w:rsidP="00650238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6C7B">
        <w:rPr>
          <w:rFonts w:ascii="Times New Roman" w:eastAsia="Calibri" w:hAnsi="Times New Roman" w:cs="Times New Roman"/>
          <w:b/>
          <w:sz w:val="24"/>
          <w:szCs w:val="24"/>
        </w:rPr>
        <w:t>W związku z powyższym,</w:t>
      </w:r>
      <w:r w:rsidR="006D04B1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F16C7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oraz uwzględniając podejmowane przez Rząd działania w celu przeciwdziałania negatywnym skutkom gospodarczym i społecznym spowodowanym epidemią COVID-19 w sferze działalności samorządu terytorialnego,</w:t>
      </w:r>
      <w:r w:rsidRPr="00F16C7B">
        <w:rPr>
          <w:rFonts w:ascii="Times New Roman" w:eastAsia="Calibri" w:hAnsi="Times New Roman" w:cs="Times New Roman"/>
          <w:b/>
          <w:sz w:val="24"/>
          <w:szCs w:val="24"/>
        </w:rPr>
        <w:t xml:space="preserve"> Rząd negatywnie opiniuje poselski projekt ustawy o subwencji rekompensującej dla jednostek samorządu terytorialnego.</w:t>
      </w:r>
    </w:p>
    <w:sectPr w:rsidR="001C7D97" w:rsidRPr="00650238" w:rsidSect="000A78C7">
      <w:footerReference w:type="default" r:id="rId7"/>
      <w:headerReference w:type="first" r:id="rId8"/>
      <w:footerReference w:type="first" r:id="rId9"/>
      <w:pgSz w:w="11900" w:h="16840"/>
      <w:pgMar w:top="1701" w:right="1134" w:bottom="1701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AD4" w:rsidRDefault="00326AD4" w:rsidP="00F16C7B">
      <w:pPr>
        <w:spacing w:after="0" w:line="240" w:lineRule="auto"/>
      </w:pPr>
      <w:r>
        <w:separator/>
      </w:r>
    </w:p>
  </w:endnote>
  <w:endnote w:type="continuationSeparator" w:id="0">
    <w:p w:rsidR="00326AD4" w:rsidRDefault="00326AD4" w:rsidP="00F16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D4D" w:rsidRDefault="00F16C7B" w:rsidP="006F6D4D">
    <w:pPr>
      <w:pStyle w:val="Stopka"/>
      <w:jc w:val="right"/>
      <w:rPr>
        <w:rFonts w:ascii="Arial" w:hAnsi="Arial" w:cs="Arial"/>
        <w:color w:val="7F7F7F"/>
        <w:sz w:val="16"/>
        <w:szCs w:val="16"/>
      </w:rPr>
    </w:pPr>
    <w:r>
      <w:rPr>
        <w:rFonts w:ascii="Arial" w:hAnsi="Arial" w:cs="Arial"/>
        <w:color w:val="7F7F7F"/>
        <w:sz w:val="16"/>
        <w:szCs w:val="16"/>
      </w:rPr>
      <w:fldChar w:fldCharType="begin"/>
    </w:r>
    <w:r>
      <w:rPr>
        <w:rFonts w:ascii="Arial" w:hAnsi="Arial" w:cs="Arial"/>
        <w:color w:val="7F7F7F"/>
        <w:sz w:val="16"/>
        <w:szCs w:val="16"/>
      </w:rPr>
      <w:instrText xml:space="preserve"> PAGE   \* MERGEFORMAT </w:instrText>
    </w:r>
    <w:r>
      <w:rPr>
        <w:rFonts w:ascii="Arial" w:hAnsi="Arial" w:cs="Arial"/>
        <w:color w:val="7F7F7F"/>
        <w:sz w:val="16"/>
        <w:szCs w:val="16"/>
      </w:rPr>
      <w:fldChar w:fldCharType="separate"/>
    </w:r>
    <w:r w:rsidR="0020514A">
      <w:rPr>
        <w:rFonts w:ascii="Arial" w:hAnsi="Arial" w:cs="Arial"/>
        <w:noProof/>
        <w:color w:val="7F7F7F"/>
        <w:sz w:val="16"/>
        <w:szCs w:val="16"/>
      </w:rPr>
      <w:t>11</w:t>
    </w:r>
    <w:r>
      <w:rPr>
        <w:rFonts w:ascii="Arial" w:hAnsi="Arial" w:cs="Arial"/>
        <w:color w:val="7F7F7F"/>
        <w:sz w:val="16"/>
        <w:szCs w:val="16"/>
      </w:rPr>
      <w:fldChar w:fldCharType="end"/>
    </w:r>
  </w:p>
  <w:p w:rsidR="00C94A80" w:rsidRDefault="00326A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1C7" w:rsidRDefault="00326AD4">
    <w:pPr>
      <w:pStyle w:val="Stopka"/>
    </w:pPr>
  </w:p>
  <w:p w:rsidR="003B094D" w:rsidRDefault="00F16C7B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A6B4D81" wp14:editId="71891485">
              <wp:simplePos x="0" y="0"/>
              <wp:positionH relativeFrom="column">
                <wp:posOffset>-6985</wp:posOffset>
              </wp:positionH>
              <wp:positionV relativeFrom="paragraph">
                <wp:posOffset>175895</wp:posOffset>
              </wp:positionV>
              <wp:extent cx="5907405" cy="291465"/>
              <wp:effectExtent l="2540" t="4445" r="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740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3BAE" w:rsidRPr="002E228C" w:rsidRDefault="00326AD4" w:rsidP="006E128C">
                          <w:pPr>
                            <w:rPr>
                              <w:rFonts w:ascii="Arial" w:hAnsi="Arial" w:cs="Arial"/>
                              <w:color w:val="919195"/>
                              <w:sz w:val="16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6B4D81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-.55pt;margin-top:13.85pt;width:465.15pt;height:2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" filled="f" stroked="f">
              <v:textbox inset="0,0,0,0">
                <w:txbxContent>
                  <w:p w:rsidR="00EF3BAE" w:rsidRPr="002E228C" w:rsidRDefault="00FA443A" w:rsidP="006E128C">
                    <w:pPr>
                      <w:rPr>
                        <w:rFonts w:ascii="Arial" w:hAnsi="Arial" w:cs="Arial"/>
                        <w:color w:val="919195"/>
                        <w:sz w:val="16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AD4" w:rsidRDefault="00326AD4" w:rsidP="00F16C7B">
      <w:pPr>
        <w:spacing w:after="0" w:line="240" w:lineRule="auto"/>
      </w:pPr>
      <w:r>
        <w:separator/>
      </w:r>
    </w:p>
  </w:footnote>
  <w:footnote w:type="continuationSeparator" w:id="0">
    <w:p w:rsidR="00326AD4" w:rsidRDefault="00326AD4" w:rsidP="00F16C7B">
      <w:pPr>
        <w:spacing w:after="0" w:line="240" w:lineRule="auto"/>
      </w:pPr>
      <w:r>
        <w:continuationSeparator/>
      </w:r>
    </w:p>
  </w:footnote>
  <w:footnote w:id="1">
    <w:p w:rsidR="00F16C7B" w:rsidRPr="00A20D5D" w:rsidRDefault="00F16C7B" w:rsidP="00F16C7B">
      <w:pPr>
        <w:pStyle w:val="Tekstprzypisudolnego"/>
        <w:jc w:val="both"/>
        <w:rPr>
          <w:rFonts w:ascii="Times New Roman" w:hAnsi="Times New Roman"/>
        </w:rPr>
      </w:pPr>
      <w:r w:rsidRPr="00A20D5D">
        <w:rPr>
          <w:rStyle w:val="Odwoanieprzypisudolnego"/>
          <w:rFonts w:ascii="Times New Roman" w:hAnsi="Times New Roman"/>
        </w:rPr>
        <w:footnoteRef/>
      </w:r>
      <w:r w:rsidRPr="00A20D5D">
        <w:rPr>
          <w:rFonts w:ascii="Times New Roman" w:hAnsi="Times New Roman"/>
          <w:vertAlign w:val="superscript"/>
        </w:rPr>
        <w:t>)</w:t>
      </w:r>
      <w:r w:rsidRPr="00A20D5D">
        <w:rPr>
          <w:rFonts w:ascii="Times New Roman" w:hAnsi="Times New Roman"/>
        </w:rPr>
        <w:t xml:space="preserve"> Zwrot przysługuje na podstawie przepisów rozporządzenia Ministra Finansó</w:t>
      </w:r>
      <w:r w:rsidR="006D04B1" w:rsidRPr="00A20D5D">
        <w:rPr>
          <w:rFonts w:ascii="Times New Roman" w:hAnsi="Times New Roman"/>
        </w:rPr>
        <w:t>w z dnia 13 kwietnia 2004 r. w </w:t>
      </w:r>
      <w:r w:rsidRPr="00A20D5D">
        <w:rPr>
          <w:rFonts w:ascii="Times New Roman" w:hAnsi="Times New Roman"/>
        </w:rPr>
        <w:t>sprawie sposobu ustalania i trybu przekazywania gminom części rekompensującej subwencji ogólnej na wyrównanie ubytku dochodów w specjalnych strefach ekonomicznych (Dz.</w:t>
      </w:r>
      <w:r w:rsidR="00CB0F79" w:rsidRPr="00A20D5D">
        <w:rPr>
          <w:rFonts w:ascii="Times New Roman" w:hAnsi="Times New Roman"/>
        </w:rPr>
        <w:t xml:space="preserve"> </w:t>
      </w:r>
      <w:r w:rsidRPr="00A20D5D">
        <w:rPr>
          <w:rFonts w:ascii="Times New Roman" w:hAnsi="Times New Roman"/>
        </w:rPr>
        <w:t>U. poz. 599 oraz z 2005 r. poz. 737).</w:t>
      </w:r>
    </w:p>
  </w:footnote>
  <w:footnote w:id="2">
    <w:p w:rsidR="00F16C7B" w:rsidRPr="00A20D5D" w:rsidRDefault="00F16C7B" w:rsidP="00F16C7B">
      <w:pPr>
        <w:pStyle w:val="Tekstprzypisudolnego"/>
        <w:jc w:val="both"/>
        <w:rPr>
          <w:rFonts w:ascii="Times New Roman" w:hAnsi="Times New Roman"/>
        </w:rPr>
      </w:pPr>
      <w:r w:rsidRPr="00A20D5D">
        <w:rPr>
          <w:rStyle w:val="Odwoanieprzypisudolnego"/>
          <w:rFonts w:ascii="Times New Roman" w:hAnsi="Times New Roman"/>
        </w:rPr>
        <w:footnoteRef/>
      </w:r>
      <w:r w:rsidRPr="00A20D5D">
        <w:rPr>
          <w:rFonts w:ascii="Times New Roman" w:hAnsi="Times New Roman"/>
          <w:vertAlign w:val="superscript"/>
        </w:rPr>
        <w:t>)</w:t>
      </w:r>
      <w:r w:rsidRPr="00A20D5D">
        <w:rPr>
          <w:rFonts w:ascii="Times New Roman" w:hAnsi="Times New Roman"/>
        </w:rPr>
        <w:t xml:space="preserve"> Zwrot przysługuje na podstawie: rozporządzenia Ministra Rozwoju i Finan</w:t>
      </w:r>
      <w:r w:rsidR="006D04B1" w:rsidRPr="00A20D5D">
        <w:rPr>
          <w:rFonts w:ascii="Times New Roman" w:hAnsi="Times New Roman"/>
        </w:rPr>
        <w:t>sów z dnia 9 grudnia 2016 r. w </w:t>
      </w:r>
      <w:r w:rsidRPr="00A20D5D">
        <w:rPr>
          <w:rFonts w:ascii="Times New Roman" w:hAnsi="Times New Roman"/>
        </w:rPr>
        <w:t>sprawie zwrotu utraconych przez gminy dochodów z tytułu zwolnienia z podatku od nieruchomości w parkach narodowych, rezerwatach przyrody oraz przedsiębiorców o statusie centrum badawczo-rozwojowego (Dz.</w:t>
      </w:r>
      <w:r w:rsidR="00CB0F79" w:rsidRPr="00A20D5D">
        <w:rPr>
          <w:rFonts w:ascii="Times New Roman" w:hAnsi="Times New Roman"/>
        </w:rPr>
        <w:t xml:space="preserve"> </w:t>
      </w:r>
      <w:r w:rsidRPr="00A20D5D">
        <w:rPr>
          <w:rFonts w:ascii="Times New Roman" w:hAnsi="Times New Roman"/>
        </w:rPr>
        <w:t>U. poz. 2083), rozporządzenia Ministra Finansów z dnia 21 lutego 2006 r. w sprawie zwrotu utraconych przez gminy dochodów z</w:t>
      </w:r>
      <w:r w:rsidR="00A20D5D">
        <w:t> </w:t>
      </w:r>
      <w:r w:rsidRPr="00A20D5D">
        <w:rPr>
          <w:rFonts w:ascii="Times New Roman" w:hAnsi="Times New Roman"/>
        </w:rPr>
        <w:t>tytułu zwolnienia od podatku rolnego przedsiębiorców o statusie centrum badawczo-rozwojowego (Dz.</w:t>
      </w:r>
      <w:r w:rsidR="00CB0F79" w:rsidRPr="00A20D5D">
        <w:rPr>
          <w:rFonts w:ascii="Times New Roman" w:hAnsi="Times New Roman"/>
        </w:rPr>
        <w:t xml:space="preserve"> </w:t>
      </w:r>
      <w:r w:rsidRPr="00A20D5D">
        <w:rPr>
          <w:rFonts w:ascii="Times New Roman" w:hAnsi="Times New Roman"/>
        </w:rPr>
        <w:t>U. poz. 228 oraz z 2009 r. poz. 1088) oraz rozporządzenia Ministra Finansów z dnia 21 lutego 2006 r. w sprawie zwrotu utraconych przez gminy dochodów z tytułu zwolnienia od podatku leśnego przedsiębiorców o statusie centrum badawczo-rozwojowe</w:t>
      </w:r>
      <w:r w:rsidR="006D04B1" w:rsidRPr="00A20D5D">
        <w:rPr>
          <w:rFonts w:ascii="Times New Roman" w:hAnsi="Times New Roman"/>
        </w:rPr>
        <w:t>go (Dz.</w:t>
      </w:r>
      <w:r w:rsidR="00CB0F79" w:rsidRPr="00A20D5D">
        <w:rPr>
          <w:rFonts w:ascii="Times New Roman" w:hAnsi="Times New Roman"/>
        </w:rPr>
        <w:t xml:space="preserve"> </w:t>
      </w:r>
      <w:r w:rsidR="006D04B1" w:rsidRPr="00A20D5D">
        <w:rPr>
          <w:rFonts w:ascii="Times New Roman" w:hAnsi="Times New Roman"/>
        </w:rPr>
        <w:t>U. poz. 230 oraz z 2009 </w:t>
      </w:r>
      <w:r w:rsidRPr="00A20D5D">
        <w:rPr>
          <w:rFonts w:ascii="Times New Roman" w:hAnsi="Times New Roman"/>
        </w:rPr>
        <w:t xml:space="preserve">r. poz. 1090). </w:t>
      </w:r>
    </w:p>
  </w:footnote>
  <w:footnote w:id="3">
    <w:p w:rsidR="00F16C7B" w:rsidRPr="00A20D5D" w:rsidRDefault="00F16C7B" w:rsidP="00F16C7B">
      <w:pPr>
        <w:pStyle w:val="Tekstprzypisudolnego"/>
        <w:jc w:val="both"/>
        <w:rPr>
          <w:rFonts w:ascii="Times New Roman" w:hAnsi="Times New Roman"/>
        </w:rPr>
      </w:pPr>
      <w:r w:rsidRPr="00A20D5D">
        <w:rPr>
          <w:rStyle w:val="Odwoanieprzypisudolnego"/>
          <w:rFonts w:ascii="Times New Roman" w:hAnsi="Times New Roman"/>
        </w:rPr>
        <w:footnoteRef/>
      </w:r>
      <w:r w:rsidRPr="00A20D5D">
        <w:rPr>
          <w:rFonts w:ascii="Times New Roman" w:hAnsi="Times New Roman"/>
          <w:vertAlign w:val="superscript"/>
        </w:rPr>
        <w:t>)</w:t>
      </w:r>
      <w:r w:rsidRPr="00A20D5D">
        <w:rPr>
          <w:rFonts w:ascii="Times New Roman" w:hAnsi="Times New Roman"/>
        </w:rPr>
        <w:t xml:space="preserve"> Na podstawie rozporządzenia Ministra Gospodarki Morskiej i Żeglugi Śródl</w:t>
      </w:r>
      <w:r w:rsidR="006D04B1" w:rsidRPr="00A20D5D">
        <w:rPr>
          <w:rFonts w:ascii="Times New Roman" w:hAnsi="Times New Roman"/>
        </w:rPr>
        <w:t>ądowej z dnia 9 maja 2019 r. w </w:t>
      </w:r>
      <w:r w:rsidRPr="00A20D5D">
        <w:rPr>
          <w:rFonts w:ascii="Times New Roman" w:hAnsi="Times New Roman"/>
        </w:rPr>
        <w:t>sprawie zwrotu gminom utraconych dochodów z tytułu zwolnienia z podatku od nieruchomości gruntów pod wodami powierzchniowymi płynącymi jezior oraz gruntów zajętych pod sztuczne zbiorniki wodne, będących własnością Skarbu Państwa (Dz.</w:t>
      </w:r>
      <w:r w:rsidR="00CB0F79" w:rsidRPr="00A20D5D">
        <w:rPr>
          <w:rFonts w:ascii="Times New Roman" w:hAnsi="Times New Roman"/>
        </w:rPr>
        <w:t xml:space="preserve"> </w:t>
      </w:r>
      <w:r w:rsidRPr="00A20D5D">
        <w:rPr>
          <w:rFonts w:ascii="Times New Roman" w:hAnsi="Times New Roman"/>
        </w:rPr>
        <w:t>U. poz. 931).</w:t>
      </w:r>
    </w:p>
  </w:footnote>
  <w:footnote w:id="4">
    <w:p w:rsidR="00F16C7B" w:rsidRPr="00A20D5D" w:rsidRDefault="00F16C7B" w:rsidP="00F16C7B">
      <w:pPr>
        <w:pStyle w:val="Tekstprzypisudolnego"/>
        <w:jc w:val="both"/>
        <w:rPr>
          <w:rFonts w:ascii="Times New Roman" w:hAnsi="Times New Roman"/>
        </w:rPr>
      </w:pPr>
      <w:r w:rsidRPr="00A20D5D">
        <w:rPr>
          <w:rStyle w:val="Odwoanieprzypisudolnego"/>
          <w:rFonts w:ascii="Times New Roman" w:hAnsi="Times New Roman"/>
        </w:rPr>
        <w:footnoteRef/>
      </w:r>
      <w:r w:rsidRPr="00A20D5D">
        <w:rPr>
          <w:rFonts w:ascii="Times New Roman" w:hAnsi="Times New Roman"/>
          <w:vertAlign w:val="superscript"/>
        </w:rPr>
        <w:t>)</w:t>
      </w:r>
      <w:r w:rsidRPr="00A20D5D">
        <w:rPr>
          <w:rFonts w:ascii="Times New Roman" w:hAnsi="Times New Roman"/>
        </w:rPr>
        <w:t xml:space="preserve"> Rozporządzenie Ministra Gospodarki, Pracy i Polityki Społe</w:t>
      </w:r>
      <w:r w:rsidR="000C4149">
        <w:rPr>
          <w:rFonts w:ascii="Times New Roman" w:hAnsi="Times New Roman"/>
        </w:rPr>
        <w:t xml:space="preserve">cznej z dnia 29 sierpnia 2003 </w:t>
      </w:r>
      <w:r w:rsidRPr="00A20D5D">
        <w:rPr>
          <w:rFonts w:ascii="Times New Roman" w:hAnsi="Times New Roman"/>
        </w:rPr>
        <w:t>w sprawie szczegółowych zasad obliczania i trybu przekazywania gminom dotacji celowej ze środków Państwowego Funduszu Rehabilitacji Osób Niepełnosprawnych (Dz.</w:t>
      </w:r>
      <w:r w:rsidR="00CB0F79" w:rsidRPr="00A20D5D">
        <w:rPr>
          <w:rFonts w:ascii="Times New Roman" w:hAnsi="Times New Roman"/>
        </w:rPr>
        <w:t xml:space="preserve"> </w:t>
      </w:r>
      <w:r w:rsidRPr="00A20D5D">
        <w:rPr>
          <w:rFonts w:ascii="Times New Roman" w:hAnsi="Times New Roman"/>
        </w:rPr>
        <w:t>U. poz. 1616, z późn.</w:t>
      </w:r>
      <w:r w:rsidR="00066441">
        <w:rPr>
          <w:rFonts w:ascii="Times New Roman" w:hAnsi="Times New Roman"/>
        </w:rPr>
        <w:t xml:space="preserve"> </w:t>
      </w:r>
      <w:r w:rsidRPr="00A20D5D">
        <w:rPr>
          <w:rFonts w:ascii="Times New Roman" w:hAnsi="Times New Roman"/>
        </w:rPr>
        <w:t>zm.).</w:t>
      </w:r>
    </w:p>
  </w:footnote>
  <w:footnote w:id="5">
    <w:p w:rsidR="00F16C7B" w:rsidRPr="007129B7" w:rsidRDefault="00F16C7B" w:rsidP="00F16C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29B7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7129B7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7129B7">
        <w:rPr>
          <w:rFonts w:ascii="Times New Roman" w:hAnsi="Times New Roman" w:cs="Times New Roman"/>
          <w:sz w:val="20"/>
          <w:szCs w:val="20"/>
        </w:rPr>
        <w:t xml:space="preserve"> </w:t>
      </w:r>
      <w:r w:rsidRPr="007129B7">
        <w:rPr>
          <w:rFonts w:ascii="Times New Roman" w:hAnsi="Times New Roman" w:cs="Times New Roman"/>
          <w:color w:val="000000"/>
          <w:sz w:val="20"/>
          <w:szCs w:val="20"/>
        </w:rPr>
        <w:t>W ramach Tarczy Antykryzysowej zostały przesunięte terminy przekazania przez pracodawców pobranych</w:t>
      </w:r>
      <w:r w:rsidR="007129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129B7">
        <w:rPr>
          <w:rFonts w:ascii="Times New Roman" w:hAnsi="Times New Roman" w:cs="Times New Roman"/>
          <w:color w:val="000000"/>
          <w:sz w:val="20"/>
          <w:szCs w:val="20"/>
        </w:rPr>
        <w:t>zaliczek na podatek od wynagrodzeń (zmiana ta nie wpływa na poziom wpływów podatkowych, a jedynie na ich rozkład po</w:t>
      </w:r>
      <w:r w:rsidR="007129B7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7129B7">
        <w:rPr>
          <w:rFonts w:ascii="Times New Roman" w:hAnsi="Times New Roman" w:cs="Times New Roman"/>
          <w:color w:val="000000"/>
          <w:sz w:val="20"/>
          <w:szCs w:val="20"/>
        </w:rPr>
        <w:t>miesiącach w ramach roku). https://www.gov.pl/web/finanse/wazne-terminy, por. art. 4 i art. 6 ustawy z dnia 31</w:t>
      </w:r>
      <w:r w:rsidR="007129B7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7129B7">
        <w:rPr>
          <w:rFonts w:ascii="Times New Roman" w:hAnsi="Times New Roman" w:cs="Times New Roman"/>
          <w:color w:val="000000"/>
          <w:sz w:val="20"/>
          <w:szCs w:val="20"/>
        </w:rPr>
        <w:t>marca 2020 r o zmianie ustawy o szczególnych rozwiązaniach związanych z zapobieganiem, przeciwdziałaniem i</w:t>
      </w:r>
      <w:r w:rsidR="007129B7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7129B7">
        <w:rPr>
          <w:rFonts w:ascii="Times New Roman" w:hAnsi="Times New Roman" w:cs="Times New Roman"/>
          <w:color w:val="000000"/>
          <w:sz w:val="20"/>
          <w:szCs w:val="20"/>
        </w:rPr>
        <w:t xml:space="preserve">zwalczaniem COVID-19, innych chorób zakaźnych oraz wywołanych nimi sytuacji kryzysowych oraz niektórych innych ustaw </w:t>
      </w:r>
      <w:r w:rsidR="00062EB4" w:rsidRPr="007129B7">
        <w:rPr>
          <w:rFonts w:ascii="Times New Roman" w:hAnsi="Times New Roman" w:cs="Times New Roman"/>
          <w:color w:val="000000"/>
          <w:sz w:val="20"/>
          <w:szCs w:val="20"/>
        </w:rPr>
        <w:t>(Dz.</w:t>
      </w:r>
      <w:r w:rsidR="00B84B6D" w:rsidRPr="007129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62EB4" w:rsidRPr="007129B7">
        <w:rPr>
          <w:rFonts w:ascii="Times New Roman" w:hAnsi="Times New Roman" w:cs="Times New Roman"/>
          <w:color w:val="000000"/>
          <w:sz w:val="20"/>
          <w:szCs w:val="20"/>
        </w:rPr>
        <w:t>U. poz. 568,695,1086 i 1262</w:t>
      </w:r>
      <w:r w:rsidRPr="007129B7">
        <w:rPr>
          <w:rFonts w:ascii="Times New Roman" w:hAnsi="Times New Roman" w:cs="Times New Roman"/>
          <w:color w:val="000000"/>
          <w:sz w:val="20"/>
          <w:szCs w:val="20"/>
        </w:rPr>
        <w:t xml:space="preserve"> ).</w:t>
      </w:r>
    </w:p>
    <w:p w:rsidR="00F16C7B" w:rsidRPr="00875B09" w:rsidRDefault="00F16C7B" w:rsidP="00F16C7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4D" w:rsidRDefault="00F16C7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FCFACE" wp14:editId="602E65A9">
              <wp:simplePos x="0" y="0"/>
              <wp:positionH relativeFrom="column">
                <wp:posOffset>3500120</wp:posOffset>
              </wp:positionH>
              <wp:positionV relativeFrom="paragraph">
                <wp:posOffset>-50165</wp:posOffset>
              </wp:positionV>
              <wp:extent cx="2539365" cy="463550"/>
              <wp:effectExtent l="0" t="0" r="13335" b="12700"/>
              <wp:wrapNone/>
              <wp:docPr id="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936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64FE" w:rsidRPr="002E228C" w:rsidRDefault="00326AD4" w:rsidP="000A78C7">
                          <w:pPr>
                            <w:ind w:right="-864"/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FCFAC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75.6pt;margin-top:-3.95pt;width:199.95pt;height:3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" filled="f" stroked="f">
              <v:textbox inset="0,0,0,0">
                <w:txbxContent>
                  <w:p w:rsidR="004564FE" w:rsidRPr="002E228C" w:rsidRDefault="00FA443A" w:rsidP="000A78C7">
                    <w:pPr>
                      <w:ind w:right="-864"/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687035" wp14:editId="74A584E8">
              <wp:simplePos x="0" y="0"/>
              <wp:positionH relativeFrom="column">
                <wp:posOffset>3625850</wp:posOffset>
              </wp:positionH>
              <wp:positionV relativeFrom="paragraph">
                <wp:posOffset>1671955</wp:posOffset>
              </wp:positionV>
              <wp:extent cx="2419350" cy="1308100"/>
              <wp:effectExtent l="0" t="0" r="3175" b="1270"/>
              <wp:wrapNone/>
              <wp:docPr id="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9350" cy="1308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4576" w:rsidRPr="002E228C" w:rsidRDefault="00326AD4" w:rsidP="002E228C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687035" id="Text Box 7" o:spid="_x0000_s1027" type="#_x0000_t202" style="position:absolute;margin-left:285.5pt;margin-top:131.65pt;width:190.5pt;height:10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" filled="f" stroked="f">
              <v:textbox inset="0,0,0,0">
                <w:txbxContent>
                  <w:p w:rsidR="00294576" w:rsidRPr="002E228C" w:rsidRDefault="00FA443A" w:rsidP="002E228C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2EDF"/>
    <w:multiLevelType w:val="multilevel"/>
    <w:tmpl w:val="95A6A662"/>
    <w:lvl w:ilvl="0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2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2"/>
      <w:numFmt w:val="upperRoman"/>
      <w:lvlText w:val="%3."/>
      <w:lvlJc w:val="righ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numFmt w:val="decimal"/>
      <w:lvlText w:val="%4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7C08F3"/>
    <w:multiLevelType w:val="multilevel"/>
    <w:tmpl w:val="60DA03D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2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3"/>
      <w:numFmt w:val="upperRoman"/>
      <w:lvlText w:val="%3."/>
      <w:lvlJc w:val="righ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numFmt w:val="decimal"/>
      <w:lvlText w:val="%4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A221774"/>
    <w:multiLevelType w:val="hybridMultilevel"/>
    <w:tmpl w:val="900241BA"/>
    <w:lvl w:ilvl="0" w:tplc="FEF6E11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C3112"/>
    <w:multiLevelType w:val="hybridMultilevel"/>
    <w:tmpl w:val="7FB002CE"/>
    <w:lvl w:ilvl="0" w:tplc="07547B0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3189D"/>
    <w:multiLevelType w:val="hybridMultilevel"/>
    <w:tmpl w:val="E1FACF02"/>
    <w:lvl w:ilvl="0" w:tplc="7982E9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9C75D0"/>
    <w:multiLevelType w:val="hybridMultilevel"/>
    <w:tmpl w:val="F4AE38C2"/>
    <w:lvl w:ilvl="0" w:tplc="4C62B63E">
      <w:start w:val="1"/>
      <w:numFmt w:val="upperRoman"/>
      <w:lvlText w:val="%1."/>
      <w:lvlJc w:val="left"/>
      <w:pPr>
        <w:ind w:left="740" w:hanging="72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>
      <w:start w:val="1"/>
      <w:numFmt w:val="decimal"/>
      <w:lvlText w:val="%4."/>
      <w:lvlJc w:val="left"/>
      <w:pPr>
        <w:ind w:left="2540" w:hanging="360"/>
      </w:pPr>
    </w:lvl>
    <w:lvl w:ilvl="4" w:tplc="04150019">
      <w:start w:val="1"/>
      <w:numFmt w:val="lowerLetter"/>
      <w:lvlText w:val="%5."/>
      <w:lvlJc w:val="left"/>
      <w:pPr>
        <w:ind w:left="3260" w:hanging="360"/>
      </w:pPr>
    </w:lvl>
    <w:lvl w:ilvl="5" w:tplc="0415001B">
      <w:start w:val="1"/>
      <w:numFmt w:val="lowerRoman"/>
      <w:lvlText w:val="%6."/>
      <w:lvlJc w:val="right"/>
      <w:pPr>
        <w:ind w:left="3980" w:hanging="180"/>
      </w:pPr>
    </w:lvl>
    <w:lvl w:ilvl="6" w:tplc="0415000F">
      <w:start w:val="1"/>
      <w:numFmt w:val="decimal"/>
      <w:lvlText w:val="%7."/>
      <w:lvlJc w:val="left"/>
      <w:pPr>
        <w:ind w:left="4700" w:hanging="360"/>
      </w:pPr>
    </w:lvl>
    <w:lvl w:ilvl="7" w:tplc="04150019">
      <w:start w:val="1"/>
      <w:numFmt w:val="lowerLetter"/>
      <w:lvlText w:val="%8."/>
      <w:lvlJc w:val="left"/>
      <w:pPr>
        <w:ind w:left="5420" w:hanging="360"/>
      </w:pPr>
    </w:lvl>
    <w:lvl w:ilvl="8" w:tplc="0415001B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C7B"/>
    <w:rsid w:val="00027C40"/>
    <w:rsid w:val="000320C4"/>
    <w:rsid w:val="00062EB4"/>
    <w:rsid w:val="00066441"/>
    <w:rsid w:val="00092D52"/>
    <w:rsid w:val="000A6121"/>
    <w:rsid w:val="000B135E"/>
    <w:rsid w:val="000C4149"/>
    <w:rsid w:val="000D23CC"/>
    <w:rsid w:val="00185D77"/>
    <w:rsid w:val="001F74C1"/>
    <w:rsid w:val="0020514A"/>
    <w:rsid w:val="002D1558"/>
    <w:rsid w:val="002F1709"/>
    <w:rsid w:val="003038A8"/>
    <w:rsid w:val="00307DA6"/>
    <w:rsid w:val="00326AD4"/>
    <w:rsid w:val="0035477A"/>
    <w:rsid w:val="003A11CD"/>
    <w:rsid w:val="004175D0"/>
    <w:rsid w:val="005852BC"/>
    <w:rsid w:val="005F58C5"/>
    <w:rsid w:val="00650238"/>
    <w:rsid w:val="006633BF"/>
    <w:rsid w:val="006D04B1"/>
    <w:rsid w:val="006E6DA2"/>
    <w:rsid w:val="006F662A"/>
    <w:rsid w:val="007129B7"/>
    <w:rsid w:val="00786561"/>
    <w:rsid w:val="007C552A"/>
    <w:rsid w:val="007F3741"/>
    <w:rsid w:val="00861C75"/>
    <w:rsid w:val="009C24AD"/>
    <w:rsid w:val="009D31D3"/>
    <w:rsid w:val="00A0451F"/>
    <w:rsid w:val="00A20D5D"/>
    <w:rsid w:val="00A44392"/>
    <w:rsid w:val="00A94F6B"/>
    <w:rsid w:val="00B10AB3"/>
    <w:rsid w:val="00B71783"/>
    <w:rsid w:val="00B84B6D"/>
    <w:rsid w:val="00C6567A"/>
    <w:rsid w:val="00CA30B7"/>
    <w:rsid w:val="00CB0F79"/>
    <w:rsid w:val="00EE5361"/>
    <w:rsid w:val="00F14A64"/>
    <w:rsid w:val="00F16C7B"/>
    <w:rsid w:val="00F8699E"/>
    <w:rsid w:val="00FA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199CC7-66E7-467B-9F35-18B4730F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6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6C7B"/>
  </w:style>
  <w:style w:type="paragraph" w:styleId="Stopka">
    <w:name w:val="footer"/>
    <w:basedOn w:val="Normalny"/>
    <w:link w:val="StopkaZnak"/>
    <w:uiPriority w:val="99"/>
    <w:unhideWhenUsed/>
    <w:rsid w:val="00F16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6C7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6C7B"/>
    <w:pPr>
      <w:spacing w:after="0"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6C7B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3946</Words>
  <Characters>23678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 Anna</dc:creator>
  <cp:keywords/>
  <dc:description/>
  <cp:lastModifiedBy>Sabiniewicz Marcin</cp:lastModifiedBy>
  <cp:revision>2</cp:revision>
  <dcterms:created xsi:type="dcterms:W3CDTF">2020-08-24T10:11:00Z</dcterms:created>
  <dcterms:modified xsi:type="dcterms:W3CDTF">2020-08-24T10:11:00Z</dcterms:modified>
</cp:coreProperties>
</file>