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E937E" w14:textId="2BD82033" w:rsidR="00513B84" w:rsidRPr="00513B84" w:rsidRDefault="00513B84" w:rsidP="0038370D">
      <w:pPr>
        <w:spacing w:after="24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bookmarkStart w:id="0" w:name="_GoBack"/>
      <w:bookmarkEnd w:id="0"/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Uzasadnienie</w:t>
      </w:r>
    </w:p>
    <w:p w14:paraId="373D2BE8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0CA22AC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1. Potrzeba i cel uchwalenia ustawy</w:t>
      </w:r>
    </w:p>
    <w:p w14:paraId="25A0ED96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9C769D0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Pandemia SARS-CoV-2 stanowi największe wyzwanie dla światowej gospodarki od zakończenia II wojny światowej. Dla wielu sektorów oznacza 100-procentowy spadek obrotów. Z punktu widzenia przedsiębiorcy oznacza to wstrzymane jakiejkolwiek aktywności gospodarczej. Z punktu widzenia jednostek samorządu terytorialnego oznacza to znaczny spadek dochodów z udziałów we wpływach z podatku dochodowego od osób fizycznych oraz z podatku dochodowego od osób prawnych. Środki te przeznaczane są na bieżące utrzymanie wspólnot lokalnych - m.in. oświetlenie uliczne, gospodarka komunalna, transport publiczny, utrzymanie instytucji kultury. </w:t>
      </w:r>
    </w:p>
    <w:p w14:paraId="62330DA1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Proponowana ustawa zakłada rekompensatę dla jednostek samorządu terytorialnego z tytułu utraconych dochodów z podatku dochodowego od osób fizycznych i podatku dochodowego od osób prawnych. Nie są to wszystkie utracone dochody jednostek samorządu terytorialnego. Wiele z nich zawiesiło bądź umorzyło podatek od nieruchomości i podatek transportowy. Większość samorządowych zakładów budżetowych straciła znaczną część przychodów. Rosną również wydatki, związane z pomocą społeczną oraz przeciwdziałaniem rozprzestrzeniania się wirusa  SARS-CoV-2. To jednostki samorządu terytorialnego w całej Polsce zapewniają podstawowy dostęp do środków ochronnych.</w:t>
      </w:r>
    </w:p>
    <w:p w14:paraId="5B9EB4C0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2890CBA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2. Projektowane rozwiązania</w:t>
      </w:r>
    </w:p>
    <w:p w14:paraId="0EBA39C1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9465019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Zgodnie z art. 2 proponowanej ustawy, do subwencji ogólnej w 2020 roku wprowadza się jednorazowo część rekompensującą, która obejmuje dochody utracone w wyniku zagrożenia ekonomicznego w następstwie wystąpienia COVID-19 oraz stosowania ustawy z dnia 2 marca 2020 r. o szczególnych rozwiązaniach związanych z zapobieganiem, przeciwdziałaniem i zwalczaniem COVID-19, innych chorób zakaźnych oraz wywołanych nimi sytuacji kryzysowych. </w:t>
      </w:r>
    </w:p>
    <w:p w14:paraId="397B7E4A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Wysokość części rekompensującej jest regulowana w art. 3. Stanowi ona połowę utraconych w 2020 roku dochodów z udziałów we wpływach z podatku dochodowego od osób fizycznych oraz z podatku dochodowego od osób prawnych. W ten sposób rozkłada się koszty kryzysu gospodarczego pomiędzy samorząd terytorialny a państwo. Wysokość ta dotyczy udziałów w podatku dochodowym od osób fizycznych oraz podatku dochodowym od osób prawnych wszystkich jednostek samorządu terytorialnego: gmin, powiatów i województw. Będzie ona ustalona w odpowiedniej części budżetu państwa po jego nowelizacji, zapowiedzianej przez Radę Ministrów. Proponowana ustawa w deleguje ministrowi właściwemu do spraw finansów publicznych określenie szczegółowych warunków i procedury przyznania subwencji rekompensującej.</w:t>
      </w:r>
    </w:p>
    <w:p w14:paraId="51A8A0FE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Dotacja celowa, o której mowa w art. 4, stanowi uzupełnienie luki prawnej, która wynika z wprowadzenia przepisów związanych z zapobieganiem, przeciwdziałaniem i zwalczaniem COVID-19, innych chorób zakaźnych oraz wywołanych nimi sytuacji kryzysowych. Wnioskodawcy zakładają, że intencją ustawodawcy nie było przerzucanie kosztów na samorząd terytorialny, stąd wnoszą o uzupełnienie istniejących przepisów o wyżej wskazany. </w:t>
      </w:r>
    </w:p>
    <w:p w14:paraId="4D350E62" w14:textId="0DD15539" w:rsid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art. 5 przewidziano odpowiednie stosowanie ustawy o finansach publicznych w odniesieniu do części rekompensującej subwencji ogólnej oraz innych części wprowadzanych przez ustawy odrębne. </w:t>
      </w:r>
    </w:p>
    <w:p w14:paraId="32BF2182" w14:textId="7C1165FE" w:rsidR="0038370D" w:rsidRDefault="0038370D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Vacatio legis zostało ustalone na jeden dzień po ogłoszeniu ze względu na </w:t>
      </w:r>
      <w:r w:rsidR="0005510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odpowiednie terminy zawarte w przepisach odrębnych, dotyczących subwencji </w:t>
      </w:r>
    </w:p>
    <w:p w14:paraId="4282BF27" w14:textId="2CEC1B01" w:rsidR="00055107" w:rsidRDefault="00055107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78D4B50D" w14:textId="77777777" w:rsidR="00055107" w:rsidRPr="00513B84" w:rsidRDefault="00055107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775A4D7" w14:textId="7E5999AA" w:rsid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E690691" w14:textId="2E2DD39A" w:rsidR="00B664E7" w:rsidRDefault="00B664E7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F1B7624" w14:textId="4B900996" w:rsidR="00B664E7" w:rsidRDefault="00B664E7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FCC9668" w14:textId="77777777" w:rsidR="00B664E7" w:rsidRPr="00513B84" w:rsidRDefault="00B664E7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47417A69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3. Źródła finansowania</w:t>
      </w:r>
    </w:p>
    <w:p w14:paraId="3601F1BA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3A32F69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Wpływy podatkowe z podatków dochodowych od osób fizycznych i prawnych na 2020 rok zostały ocenione w budżecie państwa na około 108,5 mld złotych. Przy pesymistycznym założeniu spadku wpływów o 30%, koszt wykonania niniejszej ustawy wyniesie ok. 16,3 mld złotych. Wydatki te, podobnie jak w przypadku rozwiązań proponowanych w rządowej Tarczy Antykryzysowej, będą pochodzić ze wskazanej części budżetu państwa. Zmiana ustawy budżetowej na 2020 rok jest zapowiadana przez Radę Ministrów i powinny znaleźć się tam proponowane rozwiązania. </w:t>
      </w:r>
    </w:p>
    <w:p w14:paraId="265E8385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Dotacja celowa, o której mowa w art. 4, stanowi wyrównanie kosztu wykonania planów rządowych i jej finansowanie powinno być przewidziane w odpowiednich aktach wykonujących tzw. Tarczę Antykryzysową.</w:t>
      </w:r>
    </w:p>
    <w:p w14:paraId="12E85DE2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7667566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4. Oświadczenie o zgodności projektu ustawy z prawem Unii Europejskiej i braku obowiązku przedstawienia projektu instytucjom Unii Europejskiej</w:t>
      </w:r>
    </w:p>
    <w:p w14:paraId="30B2C324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4F503EF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ocenie projektodawców przedmiot projektowanej regulacji nie jest objęty prawem Unii Europejskiej i nie podlega procedurze notyfikacji w rozumieniu przepisów dotyczących notyfikacji norm i aktów prawnych.</w:t>
      </w:r>
    </w:p>
    <w:p w14:paraId="56A4C915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AC2FBA1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5. Brak obowiązku notyfikacji zgodnie z przepisami dotyczącymi funkcjonowania krajowego systemu notyfikacji norm i aktów prawnych</w:t>
      </w:r>
    </w:p>
    <w:p w14:paraId="753C1086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C52D7FF" w14:textId="77777777" w:rsidR="00513B84" w:rsidRPr="00513B84" w:rsidRDefault="00513B84" w:rsidP="00513B84">
      <w:pPr>
        <w:spacing w:after="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Projekt ustawy nie wymaga przedstawienia właściwym organom i instytucjom Unii Europejskiej, w tym Europejskiemu Bankowi Centralnemu, w celu uzyskania opinii, dokonania powiadomienia, konsultacji lub uzgodnienia.</w:t>
      </w:r>
    </w:p>
    <w:p w14:paraId="31351A18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D36D6FF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6. Wpływ na działalność mikroprzedsiębiorców oraz małych i średnich przedsiębiorstw</w:t>
      </w:r>
    </w:p>
    <w:p w14:paraId="1BE2CB08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693B5F0" w14:textId="77777777" w:rsidR="00513B84" w:rsidRPr="00513B84" w:rsidRDefault="00513B84" w:rsidP="00513B84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Zmiany proponowane w projekcie dotyczą jednostek samorządu terytorialnego. W związku z tym nie zachodzi zjawisko dyskryminacji określonej grupy przedsiębiorców.</w:t>
      </w:r>
    </w:p>
    <w:p w14:paraId="4BB7B5B1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1C22AA7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7. Konsultacje społeczne</w:t>
      </w:r>
    </w:p>
    <w:p w14:paraId="70EB4353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C82AE42" w14:textId="77777777" w:rsidR="00513B84" w:rsidRPr="00513B84" w:rsidRDefault="00513B84" w:rsidP="00513B84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Proponowany projekt ustawy nie był poddany formalnym konsultacjom społecznym.</w:t>
      </w:r>
    </w:p>
    <w:p w14:paraId="0C63CB0F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B71B0F3" w14:textId="33CE10E9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8. Zgodność z Konstytucją RP </w:t>
      </w:r>
    </w:p>
    <w:p w14:paraId="039E4474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9B4D873" w14:textId="77777777" w:rsidR="00513B84" w:rsidRPr="00513B84" w:rsidRDefault="00513B84" w:rsidP="00513B84">
      <w:pPr>
        <w:spacing w:after="0" w:line="360" w:lineRule="auto"/>
        <w:ind w:right="-15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 ocenie projektodawcy przedstawiony projekt ustawy jest zgodny z Konstytucją RP.</w:t>
      </w:r>
    </w:p>
    <w:p w14:paraId="6D5D8FF3" w14:textId="39684A39" w:rsidR="00B664E7" w:rsidRPr="00513B84" w:rsidRDefault="00B664E7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AF86648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9. Założenia projektów podstawowych aktów wykonawczych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</w:t>
      </w:r>
    </w:p>
    <w:p w14:paraId="4678A3D5" w14:textId="77777777" w:rsidR="00513B84" w:rsidRPr="00513B84" w:rsidRDefault="00513B84" w:rsidP="00513B84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D320DC1" w14:textId="77777777" w:rsidR="00513B84" w:rsidRPr="00513B84" w:rsidRDefault="00513B84" w:rsidP="00513B84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    </w:t>
      </w:r>
      <w:r w:rsidRPr="00513B8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Rozporządzenie Ministra Finansów w sprawie zasad i trybu przyznawania jednostkom samorządu terytorialnego części rekompensującej subwencji ogólnej</w:t>
      </w:r>
    </w:p>
    <w:p w14:paraId="2F6F57C8" w14:textId="711BC18F" w:rsidR="00B664E7" w:rsidRPr="00055107" w:rsidRDefault="00B664E7" w:rsidP="00B664E7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</w:t>
      </w:r>
      <w:r w:rsidR="00513B84"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inister właściwy do spraw finansów publicznych określi, w drodze rozporządzenia, zasady i tryb przyznawania jednostkom samorządu terytorialnego części rekompensującej</w:t>
      </w:r>
      <w:r w:rsidR="002E51E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subwencji ogólnej</w:t>
      </w:r>
      <w:r w:rsidR="00513B84"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mając na względzie zapewnienie przejrzystości procedury oraz ciągłości finansowania zadań własnych jednostki samorządu terytorialnego. Minister określi wzór na obliczenie utraconych dochodów zgodnie z przepisami proponowanej ustawy oraz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miesięczne </w:t>
      </w:r>
      <w:r w:rsidR="00513B84"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terminy składania informacji o utraconych dochodach przez jednostki samorządu terytorialnego.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Pierwszy termin powinien być wyznaczony przed 30 czerwca 2020 roku.</w:t>
      </w:r>
    </w:p>
    <w:p w14:paraId="244663C1" w14:textId="27602B71" w:rsidR="00513B84" w:rsidRDefault="00513B84" w:rsidP="00B664E7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75C188C7" w14:textId="1CA93986" w:rsidR="002E51E6" w:rsidRDefault="002E51E6" w:rsidP="00513B84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77885939" w14:textId="3773F808" w:rsidR="002E51E6" w:rsidRPr="002E51E6" w:rsidRDefault="002E51E6" w:rsidP="002E51E6">
      <w:pPr>
        <w:spacing w:after="0" w:line="360" w:lineRule="auto"/>
        <w:ind w:firstLine="708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2E51E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Rozporządzenie Ministra Finansów publicznych w sprawie określenia szczegółowych warunków przyznania dotacji celowej na realizację zadań wynikających z ustawy z dnia 2 marca 2020 r. o szczególnych rozwiązaniach związanych z zapobieganiem, przeciwdziałaniem i zwalczaniem COVID-19, innych chorób zakaźnych oraz wywołanych nimi sytuacji kryzysowych</w:t>
      </w:r>
    </w:p>
    <w:p w14:paraId="757141A7" w14:textId="3DC46686" w:rsidR="00A822A9" w:rsidRPr="00055107" w:rsidRDefault="002E51E6" w:rsidP="00055107">
      <w:pPr>
        <w:spacing w:after="0" w:line="36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 xml:space="preserve">Minister właściwy do spraw finansów publicznych określi, w drodze rozporządzenia, zasady i tryb przyznawania jednostkom samorządu terytorialnego </w:t>
      </w:r>
      <w:r w:rsidRPr="002E51E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dotacji celowej na realizację zadań wynikających z ustawy z dnia 2 marca 2020 r. o szczególnych rozwiązaniach związanych z zapobieganiem, przeciwdziałaniem i zwalczaniem COVID-19, innych chorób zakaźnych oraz wywołanych nimi sytuacji kryzysowych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. Minister określi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listę zadań wynikających z ww. ustawy, wzór formularza 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oraz terminy składania informacji o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wydatkach poniesionych przez</w:t>
      </w:r>
      <w:r w:rsidRPr="00513B84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jednostki samorządu terytorialnego.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Pierwszy termin powinien być wyznacz</w:t>
      </w:r>
      <w:r w:rsidR="0005510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ony przed 30 września 2020 roku.</w:t>
      </w:r>
    </w:p>
    <w:sectPr w:rsidR="00A822A9" w:rsidRPr="00055107" w:rsidSect="00055107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84"/>
    <w:rsid w:val="00055107"/>
    <w:rsid w:val="00121B19"/>
    <w:rsid w:val="002E51E6"/>
    <w:rsid w:val="0038370D"/>
    <w:rsid w:val="00513B84"/>
    <w:rsid w:val="006176C4"/>
    <w:rsid w:val="00981648"/>
    <w:rsid w:val="00B664E7"/>
    <w:rsid w:val="00B8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BA39"/>
  <w15:chartTrackingRefBased/>
  <w15:docId w15:val="{6BEFD4FB-6D7A-403C-9AB6-6B696944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13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1007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Malgosi</dc:creator>
  <cp:keywords/>
  <dc:description/>
  <cp:lastModifiedBy>Grzegorz Molesztak</cp:lastModifiedBy>
  <cp:revision>3</cp:revision>
  <cp:lastPrinted>2020-05-25T06:54:00Z</cp:lastPrinted>
  <dcterms:created xsi:type="dcterms:W3CDTF">2020-05-25T08:32:00Z</dcterms:created>
  <dcterms:modified xsi:type="dcterms:W3CDTF">2020-06-19T11:40:00Z</dcterms:modified>
</cp:coreProperties>
</file>