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7C3" w:rsidRPr="00613011" w:rsidRDefault="002207C3" w:rsidP="00613011">
      <w:pPr>
        <w:pStyle w:val="OZNRODZAKTUtznustawalubrozporzdzenieiorganwydajcy"/>
      </w:pPr>
      <w:r w:rsidRPr="00613011">
        <w:t>UZASADNIENIE</w:t>
      </w:r>
    </w:p>
    <w:p w:rsidR="002207C3" w:rsidRDefault="002207C3" w:rsidP="0015321A">
      <w:pPr>
        <w:pStyle w:val="NIEARTTEKSTtekstnieartykuowanynppodstprawnarozplubpreambua"/>
      </w:pPr>
    </w:p>
    <w:p w:rsidR="002207C3" w:rsidRPr="0015321A" w:rsidRDefault="002207C3" w:rsidP="0015321A">
      <w:pPr>
        <w:pStyle w:val="NIEARTTEKSTtekstnieartykuowanynppodstprawnarozplubpreambua"/>
        <w:ind w:firstLine="0"/>
        <w:rPr>
          <w:rStyle w:val="Ppogrubienie"/>
        </w:rPr>
      </w:pPr>
      <w:r w:rsidRPr="0015321A">
        <w:rPr>
          <w:rStyle w:val="Ppogrubienie"/>
        </w:rPr>
        <w:t>1. Cel projektowanej ustawy</w:t>
      </w:r>
    </w:p>
    <w:p w:rsidR="002207C3" w:rsidRDefault="002207C3" w:rsidP="005A2C96">
      <w:pPr>
        <w:pStyle w:val="NIEARTTEKSTtekstnieartykuowanynppodstprawnarozplubpreambua"/>
      </w:pPr>
      <w:r w:rsidRPr="00B14E14">
        <w:t xml:space="preserve">Projektowana ustawa o zmianie ustawy </w:t>
      </w:r>
      <w:r>
        <w:t xml:space="preserve">z </w:t>
      </w:r>
      <w:r w:rsidRPr="00221CC4">
        <w:t>dnia 6</w:t>
      </w:r>
      <w:r>
        <w:t> </w:t>
      </w:r>
      <w:r w:rsidRPr="00221CC4">
        <w:t xml:space="preserve">czerwca 1997 r. – Kodeks </w:t>
      </w:r>
      <w:r>
        <w:t xml:space="preserve">postępowania </w:t>
      </w:r>
      <w:r w:rsidRPr="00221CC4">
        <w:t>karn</w:t>
      </w:r>
      <w:r>
        <w:t>ego</w:t>
      </w:r>
      <w:r w:rsidRPr="00221CC4">
        <w:t xml:space="preserve"> (Dz. U. z 20</w:t>
      </w:r>
      <w:r>
        <w:t>20</w:t>
      </w:r>
      <w:r w:rsidRPr="00221CC4">
        <w:t xml:space="preserve"> r. poz. </w:t>
      </w:r>
      <w:r>
        <w:t>30, 413 i 568),</w:t>
      </w:r>
      <w:r w:rsidRPr="00221CC4">
        <w:t xml:space="preserve"> dalej </w:t>
      </w:r>
      <w:r>
        <w:t>nazywanej</w:t>
      </w:r>
      <w:r w:rsidRPr="00221CC4">
        <w:t xml:space="preserve"> </w:t>
      </w:r>
      <w:r>
        <w:t>„</w:t>
      </w:r>
      <w:r w:rsidRPr="00221CC4">
        <w:t>k.</w:t>
      </w:r>
      <w:r>
        <w:t>p</w:t>
      </w:r>
      <w:r w:rsidRPr="00221CC4">
        <w:t>.</w:t>
      </w:r>
      <w:r>
        <w:t>k</w:t>
      </w:r>
      <w:r w:rsidRPr="00221CC4">
        <w:t>.</w:t>
      </w:r>
      <w:r>
        <w:t>”, m</w:t>
      </w:r>
      <w:r w:rsidRPr="00B14E14">
        <w:t xml:space="preserve">a na celu </w:t>
      </w:r>
      <w:r>
        <w:t>podwyższenie, w ramach postępowania karnego, standardów ochrony mandatu wyłonionych w drodze wyborów powszechnych, a pełniących funkcje organów samorządu lokalnego – wójta, burmistrza lub prezydenta miasta, w przypadku zastosowania wobec tych osób, w postępowaniu przygotowawczym, środka zapobiegawczego w postaci zawieszenia w czynnościach służbowych, na podstawie art. 276 k.p.k.</w:t>
      </w:r>
    </w:p>
    <w:p w:rsidR="002207C3" w:rsidRPr="005573A0" w:rsidRDefault="002207C3" w:rsidP="005573A0">
      <w:pPr>
        <w:pStyle w:val="ARTartustawynprozporzdzenia"/>
      </w:pPr>
    </w:p>
    <w:p w:rsidR="002207C3" w:rsidRDefault="002207C3" w:rsidP="005A2C96">
      <w:pPr>
        <w:rPr>
          <w:rStyle w:val="Ppogrubienie"/>
        </w:rPr>
      </w:pPr>
      <w:r w:rsidRPr="0015321A">
        <w:rPr>
          <w:rStyle w:val="Ppogrubienie"/>
        </w:rPr>
        <w:t xml:space="preserve">2. Przedmiot i istota </w:t>
      </w:r>
      <w:r>
        <w:rPr>
          <w:rStyle w:val="Ppogrubienie"/>
        </w:rPr>
        <w:t>projektu ustawy</w:t>
      </w:r>
    </w:p>
    <w:p w:rsidR="002207C3" w:rsidRDefault="002207C3" w:rsidP="00D04CF7">
      <w:pPr>
        <w:pStyle w:val="NIEARTTEKSTtekstnieartykuowanynppodstprawnarozplubpreambua"/>
      </w:pPr>
      <w:r>
        <w:t>Projektowana nowelizacja dotyczy wprowadzonego do Kodeksu postępowania karnego w dniu 1 stycznia 1998 r. nowego rodzaju środka zabezpieczającego, czyli zawieszenia w czynnościach służbowych.</w:t>
      </w:r>
    </w:p>
    <w:p w:rsidR="002207C3" w:rsidRDefault="002207C3" w:rsidP="00D04CF7">
      <w:pPr>
        <w:pStyle w:val="NIEARTTEKSTtekstnieartykuowanynppodstprawnarozplubpreambua"/>
      </w:pPr>
      <w:r>
        <w:t xml:space="preserve">Jego zastosowanie, zgodnie z art. 250 </w:t>
      </w:r>
      <w:r>
        <w:rPr>
          <w:rFonts w:cs="Times"/>
        </w:rPr>
        <w:t>§</w:t>
      </w:r>
      <w:r>
        <w:t xml:space="preserve"> 4 k.p.k., w postępowaniu jurysdykcyjnym należy do sądu, zaś w postępowaniu przygotowawczym leży w gestii prokuratora i podlega zaskarżeniu do sądu rejonowego, w którego okręgu prowadzone jest postępowanie (art. 252 </w:t>
      </w:r>
      <w:r>
        <w:rPr>
          <w:rFonts w:cs="Times"/>
        </w:rPr>
        <w:t>§ </w:t>
      </w:r>
      <w:r>
        <w:t>2 k.p.k.).</w:t>
      </w:r>
    </w:p>
    <w:p w:rsidR="002207C3" w:rsidRPr="00BD5463" w:rsidRDefault="002207C3" w:rsidP="00BD5463">
      <w:pPr>
        <w:pStyle w:val="ARTartustawynprozporzdzenia"/>
      </w:pPr>
      <w:r w:rsidRPr="00BD5463">
        <w:t xml:space="preserve">Istotą zawieszenia w czynnościach służbowych jest zawieszenie uprawnienia do wykonywania określonych czynności. W praktyce orzeczniczej zastosowanie tego rodzaju środka zapobiegawczego może wchodzić w grę w wypadku, gdy zachodzi obawa, że oskarżony (podejrzany) przy popełnieniu przestępstwa nadużyje stanowiska. W takim bowiem przypadku odsunięcie go od wykonywania czynności daje gwarancję niepopełnienia nowego przestępstwa. Chodzi o czynności wchodzące w zakres tego stanowiska. Stanowiskiem jest pozycja zajmowana przez jednostkę w systemie i hierarchii instytucji państwowych, społecznych i prywatnych, np. w spółce prawa handlowego, wyznaczona pełnioną funkcją, np. kierowniczą, lub zakresem obowiązków. Stanowiska zajmują pracownicy w niektórych urzędach, których stosunek pracy jest nawiązany na podstawie wyboru, mianowania lub powołania. Na przykład spośród pracowników samorządowych stanowiska zajmują wójt (burmistrz, prezydent miasta), ich zastępcy, członkowie zarządu </w:t>
      </w:r>
      <w:r w:rsidRPr="00BD5463">
        <w:lastRenderedPageBreak/>
        <w:t xml:space="preserve">gminy </w:t>
      </w:r>
      <w:r>
        <w:t>–</w:t>
      </w:r>
      <w:r w:rsidRPr="00BD5463">
        <w:t xml:space="preserve"> por. Z. Gostyński (red.), J. Bratoszewski, L. Gardocki, S.M. Przyjemski, R.A. Stefański, S. Zabłocki, </w:t>
      </w:r>
      <w:r>
        <w:t>„</w:t>
      </w:r>
      <w:r w:rsidRPr="00BD5463">
        <w:t>Kodeks postępowania karnego. Komentarz</w:t>
      </w:r>
      <w:r>
        <w:t>”</w:t>
      </w:r>
      <w:r w:rsidRPr="00BD5463">
        <w:t>, tom I, Warszawa 1998).</w:t>
      </w:r>
    </w:p>
    <w:p w:rsidR="002207C3" w:rsidRDefault="002207C3" w:rsidP="00D04CF7">
      <w:pPr>
        <w:pStyle w:val="NIEARTTEKSTtekstnieartykuowanynppodstprawnarozplubpreambua"/>
      </w:pPr>
      <w:r>
        <w:t xml:space="preserve">Celem środka jest zapobieżenie popełnieniu przez oskarżonego kolejnego przestępstwa, a także odsunięcie go od działalności, w związku z którą zarzucanego mu przestępstwa mógł się dopuścić. Ma też realizować cel procesowy w postaci zabezpieczenia prawidłowego toku postepowania, jeśli istnieje uzasadniona obawa, że oskarżony pozostawiony na dotychczasowym stanowisku będzie utrudniał postępowanie np. usuwając lub niszcząc dokumenty, do których ma dostęp w związku z wykonywanymi czynnościami służbowymi albo nakłaniał współpracowników do składania fałszywych zeznań – por. K. Dudka </w:t>
      </w:r>
      <w:r w:rsidRPr="00230BC0">
        <w:t>„Kodeks postępowania karnego. Komentarz”,</w:t>
      </w:r>
      <w:r>
        <w:t xml:space="preserve"> (do art. 276, teza 1).</w:t>
      </w:r>
    </w:p>
    <w:p w:rsidR="002207C3" w:rsidRPr="006B5936" w:rsidRDefault="002207C3" w:rsidP="006B5936">
      <w:pPr>
        <w:pStyle w:val="ARTartustawynprozporzdzenia"/>
      </w:pPr>
      <w:r>
        <w:t xml:space="preserve">Środek zapobiegawczy </w:t>
      </w:r>
      <w:r w:rsidRPr="0073552F">
        <w:t xml:space="preserve">w postaci zawieszenia w czynnościach służbowych </w:t>
      </w:r>
      <w:r>
        <w:t xml:space="preserve">ma charakter względnie temporalny. Oznacza to, że stosuje się go przez czas trwania postępowania (art. 249 </w:t>
      </w:r>
      <w:r>
        <w:rPr>
          <w:rFonts w:cs="Times"/>
        </w:rPr>
        <w:t>§</w:t>
      </w:r>
      <w:r>
        <w:t xml:space="preserve"> 4 k.p.k.) – aż do chwili rozpoczęcia wykonania kary. Należy dodać, że sąd lub prokurator (w postępowaniu przygotowawczym) mogą ten środek zastosować na okres krótszy np. do zakończenia postępowania przygotowawczego albo do wydania wyroku przez sąd pierwszej instancji.</w:t>
      </w:r>
    </w:p>
    <w:p w:rsidR="002207C3" w:rsidRDefault="002207C3" w:rsidP="00D04CF7">
      <w:pPr>
        <w:pStyle w:val="NIEARTTEKSTtekstnieartykuowanynppodstprawnarozplubpreambua"/>
      </w:pPr>
      <w:r>
        <w:t>Wydane postanowienie w istotny sposób oddziałuje na uprawnienia w sferze zatrudnienia osób, wobec których zostaje zastosowany. Jednak nie tylko tych osób.</w:t>
      </w:r>
    </w:p>
    <w:p w:rsidR="002207C3" w:rsidRPr="00B82AED" w:rsidRDefault="002207C3" w:rsidP="00B82AED">
      <w:pPr>
        <w:pStyle w:val="ARTartustawynprozporzdzenia"/>
      </w:pPr>
      <w:r>
        <w:t xml:space="preserve">Przedstawiony projekt dotyczy właśnie szczególnych konsekwencji jakie wiążą się z orzeczeniem </w:t>
      </w:r>
      <w:r w:rsidRPr="00B82AED">
        <w:t>zawieszenia w</w:t>
      </w:r>
      <w:r>
        <w:t> </w:t>
      </w:r>
      <w:r w:rsidRPr="00B82AED">
        <w:t>czynnościach służbowych</w:t>
      </w:r>
      <w:r>
        <w:t xml:space="preserve"> osoby zajmującej stanowisko wójta, burmistrza lub prezydenta miasta, a wynikających z treści przepisów art. 28g i 28h ustawy z dnia 8 marca 1990 r. o samorządzie gminnym (Dz. U. z 2019 r. poz. 506, 1309, 1571, 1696 i 1815).</w:t>
      </w:r>
    </w:p>
    <w:p w:rsidR="002207C3" w:rsidRDefault="002207C3" w:rsidP="00D04CF7">
      <w:pPr>
        <w:pStyle w:val="ARTartustawynprozporzdzenia"/>
      </w:pPr>
      <w:r>
        <w:t>W sytuacji zawieszenia w czynnościach służbowych wójt (burmistrz, prezydent miasta) nie może sprawować swoich funkcji, jego obowiązki przejmuje zastępca lub pierwszy zastępca. Jeżeli zastępca lub pierwszy zastępca także znajdą się w okolicznościach określonych w art. 28g ust. 1 ustawy o samorządzie gminnym tj. przemijającej przeszkody w wykonywaniu zadań i kompetencji wójta, to funkcję wójta przejmuje osoba wyznaczona przez Prezesa Rady Ministrów.</w:t>
      </w:r>
    </w:p>
    <w:p w:rsidR="002207C3" w:rsidRDefault="002207C3" w:rsidP="00D04CF7">
      <w:pPr>
        <w:pStyle w:val="ARTartustawynprozporzdzenia"/>
      </w:pPr>
      <w:r>
        <w:t xml:space="preserve">Oznacza to doniosłe dla gminy skutki, polegające na zastąpieniu organu pochodzącego z wyborów powszechnych, powołanym urzędnikiem rządowym, który choćby jak najlepiej wykonywał powierzone mu zadania i kompetencje – nie może być uznany za organ </w:t>
      </w:r>
      <w:r>
        <w:lastRenderedPageBreak/>
        <w:t xml:space="preserve">samorządu terytorialnego (B. Dolnicki, 2018 r. </w:t>
      </w:r>
      <w:r w:rsidRPr="00240CA9">
        <w:rPr>
          <w:rStyle w:val="Kkursywa"/>
        </w:rPr>
        <w:t>Ustawa o samorządzie lokalnym. Komentarz</w:t>
      </w:r>
      <w:r>
        <w:t>, str. 555 uwaga 3).</w:t>
      </w:r>
    </w:p>
    <w:p w:rsidR="002207C3" w:rsidRDefault="002207C3" w:rsidP="00D04CF7">
      <w:pPr>
        <w:pStyle w:val="ARTartustawynprozporzdzenia"/>
      </w:pPr>
      <w:r>
        <w:t>Sprawowanie funkcji pracownika samorządowego przez osobę nie posiadającą mandatu przedstawicielskiego lokalnej społeczności prowadzi do istotnego ograniczenia władzy wykonawczej organu samorządu lokalnego.</w:t>
      </w:r>
    </w:p>
    <w:p w:rsidR="002207C3" w:rsidRDefault="002207C3" w:rsidP="00D04CF7">
      <w:pPr>
        <w:pStyle w:val="ARTartustawynprozporzdzenia"/>
      </w:pPr>
      <w:r>
        <w:t xml:space="preserve">Takie ograniczenia mogą następować jedynie w wyjątkowych okolicznościach, gdy zagrożona byłaby sama idea samorządności lokalnej – dopuszczalność stosowania środków nadzoru powinna polegać na stosowaniu środków mających na celu strzeżenie prawa w celu ochrony interesów ogólnopaństwowych, a i to niekoniecznie przez zastosowanie środków represyjnych, poprzez wprowadzenie na ten urząd pracownika rządowego (B. </w:t>
      </w:r>
      <w:r w:rsidRPr="0073552F">
        <w:t xml:space="preserve">Dolnicki, 2018 r. </w:t>
      </w:r>
      <w:r w:rsidRPr="00DC3A4B">
        <w:rPr>
          <w:rStyle w:val="Kkursywa"/>
        </w:rPr>
        <w:t>Ustawa o samorządzie lokalnym. Komentarz</w:t>
      </w:r>
      <w:r>
        <w:t>, str. 556</w:t>
      </w:r>
      <w:r w:rsidRPr="0073552F">
        <w:t xml:space="preserve"> uwaga</w:t>
      </w:r>
      <w:r>
        <w:t> 4).</w:t>
      </w:r>
    </w:p>
    <w:p w:rsidR="002207C3" w:rsidRPr="00D04CF7" w:rsidRDefault="002207C3" w:rsidP="00D04CF7">
      <w:pPr>
        <w:pStyle w:val="ARTartustawynprozporzdzenia"/>
      </w:pPr>
    </w:p>
    <w:p w:rsidR="002207C3" w:rsidRPr="0015321A" w:rsidRDefault="002207C3" w:rsidP="00457372">
      <w:pPr>
        <w:keepNext/>
        <w:rPr>
          <w:rStyle w:val="Ppogrubienie"/>
        </w:rPr>
      </w:pPr>
      <w:r w:rsidRPr="0015321A">
        <w:rPr>
          <w:rStyle w:val="Ppogrubienie"/>
        </w:rPr>
        <w:t>3. Różnice między dotychczasowym a projektowanym stanem prawnym</w:t>
      </w:r>
    </w:p>
    <w:p w:rsidR="002207C3" w:rsidRDefault="002207C3" w:rsidP="00284963">
      <w:pPr>
        <w:pStyle w:val="ARTartustawynprozporzdzenia"/>
      </w:pPr>
      <w:r w:rsidRPr="0073552F">
        <w:t xml:space="preserve">Mając na uwadze wyżej wskazane skutki </w:t>
      </w:r>
      <w:r>
        <w:t>wydania orzeczenia</w:t>
      </w:r>
      <w:r w:rsidRPr="0073552F">
        <w:t xml:space="preserve"> </w:t>
      </w:r>
      <w:r>
        <w:t>o zawieszeniu</w:t>
      </w:r>
      <w:r w:rsidRPr="0073552F">
        <w:t xml:space="preserve"> w</w:t>
      </w:r>
      <w:r>
        <w:t> </w:t>
      </w:r>
      <w:r w:rsidRPr="0073552F">
        <w:t xml:space="preserve">czynnościach służbowych </w:t>
      </w:r>
      <w:r>
        <w:t xml:space="preserve">wobec </w:t>
      </w:r>
      <w:r w:rsidRPr="0073552F">
        <w:t>osoby zajmującej stanowisko wójta, burmistrza lub prezydenta miasta</w:t>
      </w:r>
      <w:r>
        <w:t>, projekt ustawy zawiera propozycję zabezpieczenia i podwyższenia gwarancji procesowych osób, które sprawują swoje funkcje jako</w:t>
      </w:r>
      <w:r w:rsidRPr="00E24855">
        <w:t xml:space="preserve"> </w:t>
      </w:r>
      <w:r>
        <w:t xml:space="preserve">powierzone im w drodze </w:t>
      </w:r>
      <w:r w:rsidRPr="00E24855">
        <w:t>mandatu przedstawicielskiego lokalnej społeczności</w:t>
      </w:r>
      <w:r>
        <w:t>.</w:t>
      </w:r>
    </w:p>
    <w:p w:rsidR="002207C3" w:rsidRDefault="002207C3" w:rsidP="00217EA1">
      <w:pPr>
        <w:pStyle w:val="ARTartustawynprozporzdzenia"/>
      </w:pPr>
      <w:r>
        <w:t>Projekt został poszerzony o osobę zastępcy</w:t>
      </w:r>
      <w:r w:rsidRPr="00217EA1">
        <w:t xml:space="preserve"> </w:t>
      </w:r>
      <w:r>
        <w:t xml:space="preserve">albo pierwszego zastępcy </w:t>
      </w:r>
      <w:r w:rsidRPr="00217EA1">
        <w:t>wójta, burmistrza albo prezydenta miasta, który wykonuje zadania i kompetencje</w:t>
      </w:r>
      <w:r>
        <w:t>,</w:t>
      </w:r>
      <w:r w:rsidRPr="00217EA1">
        <w:t xml:space="preserve"> </w:t>
      </w:r>
      <w:r>
        <w:t xml:space="preserve">odpowiednio, </w:t>
      </w:r>
      <w:r w:rsidRPr="00217EA1">
        <w:t>wójta, burmistrza albo prezydenta miasta</w:t>
      </w:r>
      <w:r>
        <w:t xml:space="preserve"> – ze względu na rozwiązania dotyczące instytucji przejęcia zadań i kompetencji wójta, przewidziane w art. 28g i 28h ustawy o samorządzie gminnym.</w:t>
      </w:r>
    </w:p>
    <w:p w:rsidR="002207C3" w:rsidRPr="00217EA1" w:rsidRDefault="002207C3" w:rsidP="00217EA1">
      <w:pPr>
        <w:pStyle w:val="ARTartustawynprozporzdzenia"/>
      </w:pPr>
      <w:r>
        <w:t xml:space="preserve">Celem </w:t>
      </w:r>
      <w:r w:rsidRPr="0020547E">
        <w:t xml:space="preserve">instytucji przejęcia zadań i kompetencji wójta </w:t>
      </w:r>
      <w:r>
        <w:t>przez zastępcę jest zapewnienie ciągłości sprawowania władzy wykonawczej w gminie przez pracowników samorządowych. Wprawdzie zastępca nie pochodzi z wyborów powszechnych, niemniej zostaje powołany przez osobę ciszącą się społeczną akceptacją i posiadającą mandat przedstawicielski danej społeczności lokalnej (B. Dolnicki, Samorząd terytorialny…, 2006, s. 373).</w:t>
      </w:r>
    </w:p>
    <w:p w:rsidR="002207C3" w:rsidRDefault="002207C3" w:rsidP="00284963">
      <w:pPr>
        <w:pStyle w:val="ARTartustawynprozporzdzenia"/>
      </w:pPr>
      <w:r>
        <w:t xml:space="preserve">Projekt ustawy zawiera propozycję przeniesienia na sąd uprawnienia do zastosowania tego środka zapobiegawczego wobec </w:t>
      </w:r>
      <w:r w:rsidRPr="00E24855">
        <w:t>wójta, burmistrza lub prezydenta miasta</w:t>
      </w:r>
      <w:r>
        <w:t xml:space="preserve"> – zarówno w postępowaniu przygotowawczym jak i w postępowaniu jurysdykcyjnym.</w:t>
      </w:r>
    </w:p>
    <w:p w:rsidR="002207C3" w:rsidRDefault="002207C3" w:rsidP="00284963">
      <w:pPr>
        <w:pStyle w:val="ARTartustawynprozporzdzenia"/>
      </w:pPr>
      <w:r>
        <w:lastRenderedPageBreak/>
        <w:t>Niezależny sąd i niezawisły sędzia –</w:t>
      </w:r>
      <w:r w:rsidRPr="00E24855">
        <w:t xml:space="preserve"> niezaangażowany w realizację funkcji ścigania i</w:t>
      </w:r>
      <w:r>
        <w:t> oskarżania, zapewnią najwyższy standard ochrony idei samorządności lokalnej, za której zagrożenie może być uznane ewentualne przekazanie kompetencji jej organu wykonawczego (</w:t>
      </w:r>
      <w:r w:rsidRPr="004E5FBE">
        <w:t>wójta, burmistrza lub prezydenta miasta</w:t>
      </w:r>
      <w:r>
        <w:t>) w ręce osób nie pochodzących z wyborów powszechnych.</w:t>
      </w:r>
    </w:p>
    <w:p w:rsidR="002207C3" w:rsidRDefault="002207C3" w:rsidP="00284963">
      <w:pPr>
        <w:pStyle w:val="ARTartustawynprozporzdzenia"/>
      </w:pPr>
      <w:r>
        <w:t>Przepisy ustawy nowelizującej określają również właściwość sądu rozpoznającego sprawę o zastosowanie omawianego środka zabezpieczającego, a także termin rozpatrzenia takiego wniosku przez sąd, w wymiarze 24 godzin liczonych od momentu przekazania sądowi wniosku prokuratora.</w:t>
      </w:r>
    </w:p>
    <w:p w:rsidR="002207C3" w:rsidRDefault="002207C3" w:rsidP="00284963">
      <w:pPr>
        <w:pStyle w:val="ARTartustawynprozporzdzenia"/>
      </w:pPr>
      <w:r>
        <w:t>Zażalenie wniesione na postanowienie w przedmiocie środka</w:t>
      </w:r>
      <w:r w:rsidRPr="004E5FBE">
        <w:t xml:space="preserve"> </w:t>
      </w:r>
      <w:r>
        <w:t>ustawa nakazuje sądowi rozpatrzyć nie później niż przed upływem 7 dni od przekazania sądowi zażalenia wraz z niezbędnymi aktami.</w:t>
      </w:r>
    </w:p>
    <w:p w:rsidR="002207C3" w:rsidRDefault="002207C3" w:rsidP="004E5FBE">
      <w:pPr>
        <w:pStyle w:val="ARTartustawynprozporzdzenia"/>
      </w:pPr>
      <w:r>
        <w:t>Tak przyspieszone postępowanie ma służyć nie tylko wyjaśnieniu sytuacji procesowej oskarżonego lecz przede wszystkim zabezpieczeniu interesów gminy, pozwalając na jasne określenie pozycji prawnej jej organów i nieprzeciąganie stanu niepewności co do ewentualnej konieczności sięgania po dalsze środki przewidziane przepisami ustawy o samorządzie gminnym.</w:t>
      </w:r>
    </w:p>
    <w:p w:rsidR="002207C3" w:rsidRDefault="002207C3" w:rsidP="004E5FBE">
      <w:pPr>
        <w:pStyle w:val="ARTartustawynprozporzdzenia"/>
      </w:pPr>
      <w:r>
        <w:t>Zawarte w projekcie zmiany wprowadzone w art. 2 do ustawy o samorządzie gminnym, stanowią konsekwencję przekazania sądowi wyłącznej kompetencji w zakresie wydania postanowienia o zawieszeniu w czynnościach służbowych wójta również w postępowaniu przygotowawczym.</w:t>
      </w:r>
    </w:p>
    <w:p w:rsidR="002207C3" w:rsidRDefault="002207C3" w:rsidP="00E220BA">
      <w:pPr>
        <w:pStyle w:val="ARTartustawynprozporzdzenia"/>
      </w:pPr>
      <w:r>
        <w:t xml:space="preserve">Przepisy art. 3 przewidują rozwiązania o charakterze intertemporalnym. Stanowią one, że siedmiodniowy termin rozpatrywania zażalenia na postanowienie o zastosowaniu środka zapobiegawczego, o którym mowa w art. 252 </w:t>
      </w:r>
      <w:r>
        <w:rPr>
          <w:rFonts w:cs="Times"/>
        </w:rPr>
        <w:t>§</w:t>
      </w:r>
      <w:r>
        <w:t xml:space="preserve"> 3 Kodeksu postępowania karnego, będzie miał zastosowanie również do spraw wszczętych przed dniem wejścia w życie niniejszego projektu.</w:t>
      </w:r>
    </w:p>
    <w:p w:rsidR="002207C3" w:rsidRDefault="002207C3" w:rsidP="004E5FBE">
      <w:pPr>
        <w:pStyle w:val="ARTartustawynprozporzdzenia"/>
      </w:pPr>
      <w:r>
        <w:t>W celu uniknięcia zaburzeń w toczących się postepowaniach, w postępowaniach, w których prokurator wydał już postanowienie o zastosowaniu zawieszenia w czynnościach służbowych wójta, znajdować będą zastosowanie przepisy dotychczasowe.</w:t>
      </w:r>
    </w:p>
    <w:p w:rsidR="002207C3" w:rsidRDefault="002207C3" w:rsidP="00284963">
      <w:pPr>
        <w:pStyle w:val="ARTartustawynprozporzdzenia"/>
      </w:pPr>
      <w:r>
        <w:t>Zgodnie z art. 4 projektowanej ustawy, okres jej spoczywania ograniczy się do standardowego terminu 14 dni.</w:t>
      </w:r>
    </w:p>
    <w:p w:rsidR="002207C3" w:rsidRDefault="002207C3" w:rsidP="00284963">
      <w:pPr>
        <w:pStyle w:val="ARTartustawynprozporzdzenia"/>
      </w:pPr>
    </w:p>
    <w:p w:rsidR="002207C3" w:rsidRPr="001E011C" w:rsidRDefault="002207C3" w:rsidP="001E011C">
      <w:pPr>
        <w:rPr>
          <w:rStyle w:val="Ppogrubienie"/>
        </w:rPr>
      </w:pPr>
      <w:r w:rsidRPr="001E011C">
        <w:rPr>
          <w:rStyle w:val="Ppogrubienie"/>
        </w:rPr>
        <w:t>4. Konsultacje</w:t>
      </w:r>
    </w:p>
    <w:p w:rsidR="002207C3" w:rsidRDefault="002207C3" w:rsidP="001E011C">
      <w:pPr>
        <w:suppressAutoHyphens/>
        <w:spacing w:before="120"/>
        <w:ind w:firstLine="510"/>
        <w:rPr>
          <w:rFonts w:ascii="Times" w:hAnsi="Times"/>
          <w:bCs/>
        </w:rPr>
      </w:pPr>
      <w:r>
        <w:rPr>
          <w:rFonts w:ascii="Times" w:hAnsi="Times"/>
          <w:bCs/>
        </w:rPr>
        <w:t>Nadesłane w ramach konsultacji opinie i uwagi są zamieszczone na senackiej stronie internetowej. Wyniki konsultacji, a także oczekiwane skutki społeczne, gospodarcze i finansowe są przedstawione w Ocenie Skutków Regulacji.</w:t>
      </w:r>
    </w:p>
    <w:p w:rsidR="002207C3" w:rsidRDefault="002207C3" w:rsidP="0015321A">
      <w:pPr>
        <w:rPr>
          <w:rStyle w:val="Ppogrubienie"/>
        </w:rPr>
      </w:pPr>
    </w:p>
    <w:p w:rsidR="002207C3" w:rsidRPr="0015321A" w:rsidRDefault="002207C3" w:rsidP="0015321A">
      <w:pPr>
        <w:rPr>
          <w:rStyle w:val="Ppogrubienie"/>
        </w:rPr>
      </w:pPr>
      <w:r>
        <w:rPr>
          <w:rStyle w:val="Ppogrubienie"/>
        </w:rPr>
        <w:t xml:space="preserve">5. </w:t>
      </w:r>
      <w:r w:rsidRPr="0015321A">
        <w:rPr>
          <w:rStyle w:val="Ppogrubienie"/>
        </w:rPr>
        <w:t>Oświadczenie o zgodności z prawem Unii Europejskiej</w:t>
      </w:r>
    </w:p>
    <w:p w:rsidR="002207C3" w:rsidRDefault="002207C3" w:rsidP="00730DA0">
      <w:pPr>
        <w:pStyle w:val="NIEARTTEKSTtekstnieartykuowanynppodstprawnarozplubpreambua"/>
      </w:pPr>
      <w:r w:rsidRPr="0015321A">
        <w:t xml:space="preserve">Zakres przedmiotowy projektowanej ustawy nie jest </w:t>
      </w:r>
      <w:r w:rsidR="006F5C5B">
        <w:t>objęty prawem Unii Europejskiej.</w:t>
      </w:r>
    </w:p>
    <w:p w:rsidR="006F5C5B" w:rsidRDefault="006F5C5B" w:rsidP="006F5C5B">
      <w:pPr>
        <w:sectPr w:rsidR="006F5C5B" w:rsidSect="00474670">
          <w:headerReference w:type="default" r:id="rId7"/>
          <w:pgSz w:w="11906" w:h="16838"/>
          <w:pgMar w:top="1418" w:right="1418" w:bottom="1418" w:left="1418" w:header="708" w:footer="708" w:gutter="0"/>
          <w:cols w:space="708"/>
          <w:docGrid w:linePitch="360"/>
        </w:sectPr>
      </w:pPr>
    </w:p>
    <w:p w:rsidR="006F5C5B" w:rsidRPr="006F5C5B" w:rsidRDefault="006F5C5B" w:rsidP="006F5C5B">
      <w:bookmarkStart w:id="0" w:name="_GoBack"/>
      <w:bookmarkEnd w:id="0"/>
    </w:p>
    <w:sectPr w:rsidR="006F5C5B" w:rsidRPr="006F5C5B" w:rsidSect="006F5C5B">
      <w:headerReference w:type="default" r:id="rId8"/>
      <w:pgSz w:w="11906" w:h="16838"/>
      <w:pgMar w:top="425" w:right="1418" w:bottom="28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53E" w:rsidRDefault="0030153E" w:rsidP="009A4937">
      <w:pPr>
        <w:spacing w:line="240" w:lineRule="auto"/>
      </w:pPr>
      <w:r>
        <w:separator/>
      </w:r>
    </w:p>
  </w:endnote>
  <w:endnote w:type="continuationSeparator" w:id="0">
    <w:p w:rsidR="0030153E" w:rsidRDefault="0030153E"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53E" w:rsidRDefault="0030153E" w:rsidP="009A4937">
      <w:pPr>
        <w:spacing w:line="240" w:lineRule="auto"/>
      </w:pPr>
      <w:r>
        <w:separator/>
      </w:r>
    </w:p>
  </w:footnote>
  <w:footnote w:type="continuationSeparator" w:id="0">
    <w:p w:rsidR="0030153E" w:rsidRDefault="0030153E" w:rsidP="009A49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C5B" w:rsidRDefault="006F5C5B" w:rsidP="006F5C5B">
    <w:pPr>
      <w:pStyle w:val="Nagwek"/>
      <w:jc w:val="center"/>
    </w:pPr>
    <w:r>
      <w:t xml:space="preserve">– </w:t>
    </w:r>
    <w:r>
      <w:fldChar w:fldCharType="begin"/>
    </w:r>
    <w:r>
      <w:instrText xml:space="preserve"> PAGE  \* MERGEFORMAT </w:instrText>
    </w:r>
    <w:r>
      <w:fldChar w:fldCharType="separate"/>
    </w:r>
    <w:r w:rsidR="009C32B3">
      <w:rPr>
        <w:noProof/>
      </w:rPr>
      <w:t>5</w:t>
    </w:r>
    <w:r>
      <w:rPr>
        <w:noProof/>
      </w:rPr>
      <w:fldChar w:fldCharType="end"/>
    </w:r>
    <w:r>
      <w:t xml:space="preserve"> –</w:t>
    </w:r>
  </w:p>
  <w:p w:rsidR="006F5C5B" w:rsidRPr="00B371CC" w:rsidRDefault="006F5C5B" w:rsidP="00B371CC">
    <w:pPr>
      <w:pStyle w:val="Nagwek"/>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C5B" w:rsidRDefault="006F5C5B" w:rsidP="006F5C5B">
    <w:pPr>
      <w:pStyle w:val="Nagwek"/>
    </w:pPr>
  </w:p>
  <w:p w:rsidR="006F5C5B" w:rsidRPr="00B371CC" w:rsidRDefault="006F5C5B" w:rsidP="00B371CC">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622CE"/>
    <w:multiLevelType w:val="hybridMultilevel"/>
    <w:tmpl w:val="FAE2342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E86A3C"/>
    <w:multiLevelType w:val="hybridMultilevel"/>
    <w:tmpl w:val="AEB4C6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3" w15:restartNumberingAfterBreak="0">
    <w:nsid w:val="1D3C3206"/>
    <w:multiLevelType w:val="hybridMultilevel"/>
    <w:tmpl w:val="7A20A3B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E32230F"/>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8D32FB"/>
    <w:multiLevelType w:val="hybridMultilevel"/>
    <w:tmpl w:val="E9B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FA41CB1"/>
    <w:multiLevelType w:val="hybridMultilevel"/>
    <w:tmpl w:val="C7AA45F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8" w15:restartNumberingAfterBreak="0">
    <w:nsid w:val="239C4525"/>
    <w:multiLevelType w:val="hybridMultilevel"/>
    <w:tmpl w:val="F7DA2FF0"/>
    <w:lvl w:ilvl="0" w:tplc="04150001">
      <w:start w:val="1"/>
      <w:numFmt w:val="bullet"/>
      <w:lvlText w:val=""/>
      <w:lvlJc w:val="left"/>
      <w:pPr>
        <w:ind w:left="1061" w:hanging="360"/>
      </w:pPr>
      <w:rPr>
        <w:rFonts w:ascii="Symbol" w:hAnsi="Symbol"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9" w15:restartNumberingAfterBreak="0">
    <w:nsid w:val="27471732"/>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BE5C46"/>
    <w:multiLevelType w:val="hybridMultilevel"/>
    <w:tmpl w:val="2C88E1F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12" w15:restartNumberingAfterBreak="0">
    <w:nsid w:val="308D4468"/>
    <w:multiLevelType w:val="hybridMultilevel"/>
    <w:tmpl w:val="D4100F8A"/>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4E73566"/>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B931C1"/>
    <w:multiLevelType w:val="hybridMultilevel"/>
    <w:tmpl w:val="54AEF948"/>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B94068"/>
    <w:multiLevelType w:val="hybridMultilevel"/>
    <w:tmpl w:val="42EE01C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71C098A"/>
    <w:multiLevelType w:val="hybridMultilevel"/>
    <w:tmpl w:val="62C0BD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5F016C30"/>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3411223"/>
    <w:multiLevelType w:val="hybridMultilevel"/>
    <w:tmpl w:val="F398AC9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21" w15:restartNumberingAfterBreak="0">
    <w:nsid w:val="74663D3D"/>
    <w:multiLevelType w:val="hybridMultilevel"/>
    <w:tmpl w:val="3036FE8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abstractNum w:abstractNumId="23" w15:restartNumberingAfterBreak="0">
    <w:nsid w:val="7A4F00D7"/>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ED46462"/>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11"/>
  </w:num>
  <w:num w:numId="3">
    <w:abstractNumId w:val="7"/>
  </w:num>
  <w:num w:numId="4">
    <w:abstractNumId w:val="7"/>
  </w:num>
  <w:num w:numId="5">
    <w:abstractNumId w:val="22"/>
  </w:num>
  <w:num w:numId="6">
    <w:abstractNumId w:val="20"/>
  </w:num>
  <w:num w:numId="7">
    <w:abstractNumId w:val="22"/>
  </w:num>
  <w:num w:numId="8">
    <w:abstractNumId w:val="20"/>
  </w:num>
  <w:num w:numId="9">
    <w:abstractNumId w:val="22"/>
  </w:num>
  <w:num w:numId="10">
    <w:abstractNumId w:val="20"/>
  </w:num>
  <w:num w:numId="11">
    <w:abstractNumId w:val="2"/>
  </w:num>
  <w:num w:numId="12">
    <w:abstractNumId w:val="14"/>
  </w:num>
  <w:num w:numId="13">
    <w:abstractNumId w:val="12"/>
  </w:num>
  <w:num w:numId="14">
    <w:abstractNumId w:val="4"/>
  </w:num>
  <w:num w:numId="15">
    <w:abstractNumId w:val="21"/>
  </w:num>
  <w:num w:numId="16">
    <w:abstractNumId w:val="15"/>
  </w:num>
  <w:num w:numId="17">
    <w:abstractNumId w:val="24"/>
  </w:num>
  <w:num w:numId="18">
    <w:abstractNumId w:val="18"/>
  </w:num>
  <w:num w:numId="19">
    <w:abstractNumId w:val="16"/>
  </w:num>
  <w:num w:numId="20">
    <w:abstractNumId w:val="0"/>
  </w:num>
  <w:num w:numId="21">
    <w:abstractNumId w:val="13"/>
  </w:num>
  <w:num w:numId="22">
    <w:abstractNumId w:val="8"/>
  </w:num>
  <w:num w:numId="23">
    <w:abstractNumId w:val="9"/>
  </w:num>
  <w:num w:numId="24">
    <w:abstractNumId w:val="5"/>
  </w:num>
  <w:num w:numId="25">
    <w:abstractNumId w:val="23"/>
  </w:num>
  <w:num w:numId="26">
    <w:abstractNumId w:val="3"/>
  </w:num>
  <w:num w:numId="27">
    <w:abstractNumId w:val="17"/>
  </w:num>
  <w:num w:numId="28">
    <w:abstractNumId w:val="10"/>
  </w:num>
  <w:num w:numId="29">
    <w:abstractNumId w:val="6"/>
  </w:num>
  <w:num w:numId="30">
    <w:abstractNumId w:val="19"/>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A5CE8"/>
    <w:rsid w:val="001A4397"/>
    <w:rsid w:val="002207C3"/>
    <w:rsid w:val="002B0A43"/>
    <w:rsid w:val="0030153E"/>
    <w:rsid w:val="00382AAC"/>
    <w:rsid w:val="003B7FBE"/>
    <w:rsid w:val="003C2C86"/>
    <w:rsid w:val="00474670"/>
    <w:rsid w:val="004F1121"/>
    <w:rsid w:val="00527E52"/>
    <w:rsid w:val="0056045F"/>
    <w:rsid w:val="006E58F9"/>
    <w:rsid w:val="006F026C"/>
    <w:rsid w:val="006F5C5B"/>
    <w:rsid w:val="00735880"/>
    <w:rsid w:val="00777F90"/>
    <w:rsid w:val="00874611"/>
    <w:rsid w:val="008758BB"/>
    <w:rsid w:val="008C7EE7"/>
    <w:rsid w:val="00973AA5"/>
    <w:rsid w:val="009A4937"/>
    <w:rsid w:val="009C32B3"/>
    <w:rsid w:val="009D2757"/>
    <w:rsid w:val="00A06AF3"/>
    <w:rsid w:val="00AF364E"/>
    <w:rsid w:val="00B5303C"/>
    <w:rsid w:val="00D37E95"/>
    <w:rsid w:val="00D829F5"/>
    <w:rsid w:val="00E15D93"/>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3067AE-E278-4148-A20E-795588A9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5880"/>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19"/>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uiPriority w:val="11"/>
    <w:qFormat/>
    <w:rsid w:val="002207C3"/>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OZNRODZAKTUtznustawalubrozporzdzenieiorganwydajcy">
    <w:name w:val="OZN_RODZ_AKTU – tzn. ustawa lub rozporządzenie i organ wydający"/>
    <w:next w:val="Normalny"/>
    <w:uiPriority w:val="5"/>
    <w:qFormat/>
    <w:rsid w:val="002207C3"/>
    <w:pPr>
      <w:keepNext/>
      <w:suppressAutoHyphens/>
      <w:spacing w:after="120" w:line="360" w:lineRule="auto"/>
      <w:jc w:val="center"/>
    </w:pPr>
    <w:rPr>
      <w:rFonts w:ascii="Times" w:hAnsi="Times"/>
      <w:b/>
      <w:bCs/>
      <w:caps/>
      <w:spacing w:val="54"/>
      <w:kern w:val="24"/>
      <w:sz w:val="24"/>
      <w:szCs w:val="24"/>
    </w:rPr>
  </w:style>
  <w:style w:type="character" w:customStyle="1" w:styleId="Ppogrubienie">
    <w:name w:val="_P_ – pogrubienie"/>
    <w:basedOn w:val="Domylnaczcionkaakapitu"/>
    <w:uiPriority w:val="1"/>
    <w:qFormat/>
    <w:rsid w:val="002207C3"/>
    <w:rPr>
      <w:b/>
    </w:rPr>
  </w:style>
  <w:style w:type="character" w:customStyle="1" w:styleId="Kkursywa">
    <w:name w:val="_K_ – kursywa"/>
    <w:basedOn w:val="Domylnaczcionkaakapitu"/>
    <w:uiPriority w:val="1"/>
    <w:qFormat/>
    <w:rsid w:val="002207C3"/>
    <w:rPr>
      <w:i/>
    </w:rPr>
  </w:style>
  <w:style w:type="paragraph" w:customStyle="1" w:styleId="ZPKTzmpktartykuempunktem">
    <w:name w:val="Z/PKT – zm. pkt artykułem (punktem)"/>
    <w:basedOn w:val="PKTpunkt"/>
    <w:uiPriority w:val="31"/>
    <w:qFormat/>
    <w:rsid w:val="002207C3"/>
    <w:pPr>
      <w:ind w:left="1020"/>
    </w:pPr>
  </w:style>
  <w:style w:type="paragraph" w:customStyle="1" w:styleId="DATAAKTUdatauchwalenialubwydaniaaktu">
    <w:name w:val="DATA_AKTU – data uchwalenia lub wydania aktu"/>
    <w:next w:val="TYTUAKTUprzedmiotregulacjiustawylubrozporzdzenia"/>
    <w:uiPriority w:val="6"/>
    <w:qFormat/>
    <w:rsid w:val="002207C3"/>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2207C3"/>
    <w:pPr>
      <w:keepNext/>
      <w:suppressAutoHyphens/>
      <w:spacing w:before="120" w:after="360" w:line="360" w:lineRule="auto"/>
      <w:jc w:val="center"/>
    </w:pPr>
    <w:rPr>
      <w:rFonts w:ascii="Times" w:eastAsiaTheme="minorEastAsia" w:hAnsi="Times" w:cs="Arial"/>
      <w:b/>
      <w:bCs/>
      <w:sz w:val="24"/>
      <w:szCs w:val="24"/>
    </w:rPr>
  </w:style>
  <w:style w:type="paragraph" w:customStyle="1" w:styleId="USTustnpkodeksu">
    <w:name w:val="UST(§) – ust. (§ np. kodeksu)"/>
    <w:basedOn w:val="ARTartustawynprozporzdzenia"/>
    <w:uiPriority w:val="12"/>
    <w:qFormat/>
    <w:rsid w:val="002207C3"/>
    <w:pPr>
      <w:spacing w:before="0"/>
    </w:pPr>
    <w:rPr>
      <w:bCs/>
    </w:rPr>
  </w:style>
  <w:style w:type="paragraph" w:customStyle="1" w:styleId="PKTpunkt">
    <w:name w:val="PKT – punkt"/>
    <w:uiPriority w:val="13"/>
    <w:qFormat/>
    <w:rsid w:val="002207C3"/>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4"/>
    <w:qFormat/>
    <w:rsid w:val="002207C3"/>
    <w:pPr>
      <w:ind w:left="986" w:hanging="476"/>
    </w:pPr>
  </w:style>
  <w:style w:type="paragraph" w:customStyle="1" w:styleId="ZLITUSTzmustliter">
    <w:name w:val="Z_LIT/UST(§) – zm. ust. (§) literą"/>
    <w:basedOn w:val="USTustnpkodeksu"/>
    <w:uiPriority w:val="46"/>
    <w:qFormat/>
    <w:rsid w:val="002207C3"/>
    <w:pPr>
      <w:ind w:left="987"/>
    </w:pPr>
  </w:style>
  <w:style w:type="paragraph" w:customStyle="1" w:styleId="ZLITPKTzmpktliter">
    <w:name w:val="Z_LIT/PKT – zm. pkt literą"/>
    <w:basedOn w:val="PKTpunkt"/>
    <w:uiPriority w:val="47"/>
    <w:qFormat/>
    <w:rsid w:val="002207C3"/>
    <w:pPr>
      <w:ind w:left="1497"/>
    </w:pPr>
  </w:style>
  <w:style w:type="paragraph" w:customStyle="1" w:styleId="ZLITCZWSPPKTzmczciwsppktliter">
    <w:name w:val="Z_LIT/CZ_WSP_PKT – zm. części wsp. pkt literą"/>
    <w:basedOn w:val="Normalny"/>
    <w:next w:val="LITlitera"/>
    <w:uiPriority w:val="50"/>
    <w:qFormat/>
    <w:rsid w:val="002207C3"/>
    <w:pPr>
      <w:ind w:left="987"/>
      <w:jc w:val="both"/>
    </w:pPr>
    <w:rPr>
      <w:rFonts w:ascii="Times" w:eastAsiaTheme="minorEastAsia" w:hAnsi="Times" w:cs="Arial"/>
      <w:bCs/>
      <w:szCs w:val="24"/>
    </w:rPr>
  </w:style>
  <w:style w:type="paragraph" w:customStyle="1" w:styleId="ZUSTzmustartykuempunktem">
    <w:name w:val="Z/UST(§) – zm. ust. (§) artykułem (punktem)"/>
    <w:basedOn w:val="Normalny"/>
    <w:uiPriority w:val="30"/>
    <w:qFormat/>
    <w:rsid w:val="002207C3"/>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2207C3"/>
    <w:pPr>
      <w:spacing w:line="360" w:lineRule="auto"/>
      <w:jc w:val="right"/>
    </w:pPr>
    <w:rPr>
      <w:rFonts w:eastAsiaTheme="minorEastAsia" w:cs="Arial"/>
      <w:sz w:val="24"/>
      <w:u w:val="single"/>
    </w:rPr>
  </w:style>
  <w:style w:type="paragraph" w:styleId="Akapitzlist">
    <w:name w:val="List Paragraph"/>
    <w:basedOn w:val="Normalny"/>
    <w:uiPriority w:val="34"/>
    <w:qFormat/>
    <w:rsid w:val="002207C3"/>
    <w:pPr>
      <w:spacing w:line="276" w:lineRule="auto"/>
      <w:ind w:left="720"/>
      <w:contextualSpacing/>
    </w:pPr>
    <w:rPr>
      <w:rFonts w:ascii="Calibri" w:eastAsia="Calibri" w:hAnsi="Calibri"/>
      <w:sz w:val="22"/>
      <w:szCs w:val="22"/>
      <w:lang w:eastAsia="en-US"/>
    </w:rPr>
  </w:style>
  <w:style w:type="paragraph" w:styleId="Tekstprzypisudolnego">
    <w:name w:val="footnote text"/>
    <w:basedOn w:val="Normalny"/>
    <w:link w:val="TekstprzypisudolnegoZnak"/>
    <w:uiPriority w:val="99"/>
    <w:unhideWhenUsed/>
    <w:rsid w:val="002207C3"/>
    <w:pPr>
      <w:spacing w:line="276" w:lineRule="auto"/>
    </w:pPr>
    <w:rPr>
      <w:rFonts w:ascii="Calibri" w:eastAsia="Calibri" w:hAnsi="Calibri"/>
      <w:sz w:val="20"/>
      <w:lang w:eastAsia="en-US"/>
    </w:rPr>
  </w:style>
  <w:style w:type="character" w:customStyle="1" w:styleId="TekstprzypisudolnegoZnak">
    <w:name w:val="Tekst przypisu dolnego Znak"/>
    <w:basedOn w:val="Domylnaczcionkaakapitu"/>
    <w:link w:val="Tekstprzypisudolnego"/>
    <w:uiPriority w:val="99"/>
    <w:rsid w:val="002207C3"/>
    <w:rPr>
      <w:rFonts w:ascii="Calibri" w:eastAsia="Calibri" w:hAnsi="Calibri"/>
      <w:lang w:eastAsia="en-US"/>
    </w:rPr>
  </w:style>
  <w:style w:type="character" w:styleId="Hipercze">
    <w:name w:val="Hyperlink"/>
    <w:uiPriority w:val="99"/>
    <w:unhideWhenUsed/>
    <w:rsid w:val="002207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980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1327</Words>
  <Characters>7967</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5</cp:revision>
  <dcterms:created xsi:type="dcterms:W3CDTF">2020-06-18T11:44:00Z</dcterms:created>
  <dcterms:modified xsi:type="dcterms:W3CDTF">2020-07-08T09:26:00Z</dcterms:modified>
</cp:coreProperties>
</file>