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49A" w:rsidRPr="001330AF" w:rsidRDefault="0018049A" w:rsidP="0018049A">
      <w:pPr>
        <w:pStyle w:val="OZNRODZAKTUtznustawalubrozporzdzenieiorganwydajcy"/>
        <w:spacing w:after="360"/>
      </w:pPr>
      <w:r w:rsidRPr="001330AF">
        <w:t>UZASADNIENIE</w:t>
      </w:r>
    </w:p>
    <w:p w:rsidR="0018049A" w:rsidRPr="001330AF" w:rsidRDefault="0018049A" w:rsidP="001D5D48">
      <w:pPr>
        <w:pStyle w:val="Tekstpodstawowy"/>
        <w:keepNext/>
        <w:spacing w:before="360" w:after="0"/>
        <w:rPr>
          <w:b/>
          <w:szCs w:val="24"/>
        </w:rPr>
      </w:pPr>
      <w:r w:rsidRPr="001330AF">
        <w:rPr>
          <w:b/>
          <w:szCs w:val="24"/>
        </w:rPr>
        <w:t>1. Cel projektowanej ustawy</w:t>
      </w:r>
    </w:p>
    <w:p w:rsidR="0018049A" w:rsidRDefault="0018049A" w:rsidP="005B1117">
      <w:pPr>
        <w:pStyle w:val="NIEARTTEKSTtekstnieartykuowanynppreambua"/>
      </w:pPr>
      <w:r w:rsidRPr="001330AF">
        <w:t>Celem projektu jest</w:t>
      </w:r>
      <w:r>
        <w:t xml:space="preserve"> wprowadzenie możliwości stwierdzania w odniesieniu do decyzji o scaleniu i wymianie gruntów, że decyzja została wydana z naruszeniem prawa. Umożliwi to stronie takiej decyzji żądania odszkodowania.</w:t>
      </w:r>
    </w:p>
    <w:p w:rsidR="0018049A" w:rsidRPr="001330AF" w:rsidRDefault="0018049A" w:rsidP="00484C52">
      <w:pPr>
        <w:pStyle w:val="NIEARTTEKSTtekstnieartykuowanynppreambua"/>
      </w:pPr>
      <w:r w:rsidRPr="001330AF">
        <w:t xml:space="preserve">Projekt dostosowuje system prawa do </w:t>
      </w:r>
      <w:r>
        <w:t>wyroku</w:t>
      </w:r>
      <w:r w:rsidRPr="001330AF">
        <w:t xml:space="preserve"> Trybunału Konstytucyjnego </w:t>
      </w:r>
      <w:r w:rsidRPr="00E26EB5">
        <w:t xml:space="preserve">z </w:t>
      </w:r>
      <w:r w:rsidRPr="00AC4C36">
        <w:t>18 kwietnia 2019 r. (sygn. akt SK 21/17</w:t>
      </w:r>
      <w:r w:rsidRPr="001330AF">
        <w:t>)</w:t>
      </w:r>
      <w:r>
        <w:t xml:space="preserve">. </w:t>
      </w:r>
      <w:r w:rsidRPr="00F403A2">
        <w:t xml:space="preserve">Jego sentencja została ogłoszona </w:t>
      </w:r>
      <w:r w:rsidRPr="00AC4C36">
        <w:t>10 maja 2019 r. w Dz. U. poz. 131, a jego pełna treść wraz z uzasadnieniem w OTK ZU A z 2019 r. poz. 19</w:t>
      </w:r>
      <w:r w:rsidRPr="001330AF">
        <w:t>.</w:t>
      </w:r>
    </w:p>
    <w:p w:rsidR="0018049A" w:rsidRPr="001330AF" w:rsidRDefault="0018049A" w:rsidP="001D5D48">
      <w:pPr>
        <w:pStyle w:val="Tekstpodstawowy"/>
        <w:keepNext/>
        <w:spacing w:before="360" w:after="0"/>
        <w:rPr>
          <w:b/>
          <w:szCs w:val="24"/>
        </w:rPr>
      </w:pPr>
      <w:r w:rsidRPr="001330AF">
        <w:rPr>
          <w:b/>
          <w:szCs w:val="24"/>
        </w:rPr>
        <w:t>2. Przedmiot i istota rozstrzygnięcia Trybunału Konstytucyjnego</w:t>
      </w:r>
    </w:p>
    <w:p w:rsidR="0018049A" w:rsidRPr="00CB1123" w:rsidRDefault="0018049A" w:rsidP="00AC4C36">
      <w:pPr>
        <w:pStyle w:val="ARTartustawynprozporzdzenia"/>
        <w:rPr>
          <w:bCs/>
        </w:rPr>
      </w:pPr>
      <w:r>
        <w:rPr>
          <w:bCs/>
        </w:rPr>
        <w:t xml:space="preserve">2.1. </w:t>
      </w:r>
      <w:r w:rsidRPr="009E526B">
        <w:rPr>
          <w:spacing w:val="-2"/>
        </w:rPr>
        <w:t>TK orzekł, że art. 33 ust. 2 ustawy z dnia 26 marca 1982 r. o scalaniu i wymianie gruntów w zakresie, w jakim uniemożliwia stwierdzeni</w:t>
      </w:r>
      <w:r>
        <w:rPr>
          <w:spacing w:val="-2"/>
        </w:rPr>
        <w:t>e wydania ostatecznej decyzji o </w:t>
      </w:r>
      <w:r w:rsidRPr="009E526B">
        <w:rPr>
          <w:spacing w:val="-2"/>
        </w:rPr>
        <w:t>zatwierdzeniu projektu scalania z naruszeniem prawa, jest niezgodny z art. 45 ust. 1 i art. 77 ust. 2</w:t>
      </w:r>
      <w:r>
        <w:rPr>
          <w:spacing w:val="-2"/>
        </w:rPr>
        <w:t xml:space="preserve"> Konstytucji</w:t>
      </w:r>
      <w:r w:rsidRPr="00CB1123">
        <w:rPr>
          <w:bCs/>
        </w:rPr>
        <w:t>.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CB1123">
        <w:rPr>
          <w:bCs/>
        </w:rPr>
        <w:t>2.</w:t>
      </w:r>
      <w:r>
        <w:rPr>
          <w:bCs/>
        </w:rPr>
        <w:t>2</w:t>
      </w:r>
      <w:r w:rsidRPr="00CB1123">
        <w:rPr>
          <w:bCs/>
        </w:rPr>
        <w:t xml:space="preserve">. </w:t>
      </w:r>
      <w:r w:rsidRPr="00AC4C36">
        <w:rPr>
          <w:bCs/>
        </w:rPr>
        <w:t>W postępowaniu administracyjnym, w procesie wydawania decyzji administracyjnych, dochodzi niekiedy do błędów o charakterze materialnym (błędna treść decyzji) lub proceduralnym (błąd w trybie wydawania decyzji). Przepisy ustawy - Kodeks postępowania administracyjnego i ustawy - Postępowanie przed sądami administracyjnymi przewidują w takich przypadkach możliwość</w:t>
      </w:r>
      <w:r>
        <w:rPr>
          <w:bCs/>
        </w:rPr>
        <w:t>:</w:t>
      </w:r>
      <w:r w:rsidRPr="00AC4C36">
        <w:rPr>
          <w:bCs/>
        </w:rPr>
        <w:t xml:space="preserve"> wznowienia postępowania, stwierdzenia nieważności decyzji, </w:t>
      </w:r>
      <w:r>
        <w:rPr>
          <w:bCs/>
        </w:rPr>
        <w:t>stwierdzenia, że decyzja została wydana z naruszeniem prawa</w:t>
      </w:r>
      <w:r w:rsidRPr="00AC4C36">
        <w:rPr>
          <w:bCs/>
        </w:rPr>
        <w:t xml:space="preserve"> lub inne środki prawne. Ustawy szczególne przewidują czasem odmienne rozwiązania. Kwestionowany przepis art. 33 ust. 1 ustawy z dnia 26 marca 1982 r. o scalaniu i wymianie gruntów przewiduje, że w sprawach nieuregulowanych tą ustawą mają zastosowanie przepisy Kodeksu postępowania administracyjnego. Przepis art. 33 ust. 2 stanowi jednak, że </w:t>
      </w:r>
      <w:r w:rsidRPr="00AC4C36">
        <w:rPr>
          <w:b/>
          <w:bCs/>
        </w:rPr>
        <w:t>do postępowań dotyczących wzruszenia decyzji ostatecznych, nie stosuje się art. 145-145b oraz art. 154-156 Kodeksu postępowania administracyjnego, jeżeli od dnia, w którym decyzja o zatwierdzeniu projektu scalenia lub wymiany gruntów stała się ostateczna, upłynęło 5 lat</w:t>
      </w:r>
      <w:r w:rsidRPr="00AC4C36">
        <w:rPr>
          <w:bCs/>
        </w:rPr>
        <w:t>.</w:t>
      </w:r>
      <w:r>
        <w:rPr>
          <w:bCs/>
        </w:rPr>
        <w:t xml:space="preserve"> </w:t>
      </w:r>
      <w:r w:rsidRPr="00AC4C36">
        <w:rPr>
          <w:bCs/>
        </w:rPr>
        <w:t xml:space="preserve">W konsekwencji owego wyłączenia, w przypadku decyzji dotyczących scalenia (wymiany) gruntów nie stosuje się przepisów Kpa dotyczących przesłanek wznowienia postępowania (art. 145-145b), uchylenia decyzji (art. 154-155a), oraz stwierdzenia nieważności decyzji (art. 156). Ten ostatni przepis Kpa, w § 1, zawiera przesłanki stwierdzenia nieważności decyzji. I tak, organ administracji publicznej stwierdza </w:t>
      </w:r>
      <w:r w:rsidRPr="00AC4C36">
        <w:rPr>
          <w:bCs/>
        </w:rPr>
        <w:lastRenderedPageBreak/>
        <w:t>nieważność decyzji, która (przesłanki pozytywne stwierdzenia nieważności, tj. kiedy się stwierdza nieważność):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1) wydana została z naruszeniem przepisów o właściwości;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2) wydana została bez podstawy prawnej lub z rażącym naruszeniem prawa;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3) dotyczy sprawy już poprzednio rozstrzygniętej inną decyzją ostateczną albo sprawy, którą załatwiono milcząco;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4) została skierowana do osoby niebędącej stroną w sprawie;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5) była niewykonalna w dniu jej wydania i jej niewykonalność ma charakter trwały;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6) w razie jej wykonania wywołałaby czyn zagrożony karą;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7) zawiera wadę powodującą jej nieważność z mocy prawa.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Przepis § 2 w art. 156 Kpa stanowi, że nie stwierdza się nieważności decyzji z przyczyn wymienionych w § 1 pkt 1, 3, 4 i 7, jeżeli od dnia jej doręczenia lub ogłoszenia upłynęło dziesięć lat, a także gdy decyzja wywołała nieodwracalne skutki prawne (przesłanka negatywna, tj. kiedy, mimo niektórych, okoliczności, o których mowa w § 1, nie można stwierdzić nieważności).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 xml:space="preserve">W tych ostatnich przypadkach jednak (tytułem swego rodzaju kompensacji), tj. </w:t>
      </w:r>
      <w:r w:rsidRPr="00AC4C36">
        <w:rPr>
          <w:b/>
          <w:bCs/>
        </w:rPr>
        <w:t>jeżeli nie można stwierdzić nieważności decyzji na skutek okoliczności, o których mowa w art. 156 § 2, organ administracji publicznej ograniczy się do stwierdzenia wydania zaskarżonej decyzji z naruszeniem prawa</w:t>
      </w:r>
      <w:r w:rsidRPr="00AC4C36">
        <w:rPr>
          <w:bCs/>
        </w:rPr>
        <w:t xml:space="preserve"> oraz wskazania okoliczności, z powodu których nie stwierdził nieważności decyzji (tak stanowi art. 158 § 2 Kpa).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 xml:space="preserve">Inaczej mówiąc, </w:t>
      </w:r>
      <w:r w:rsidRPr="007A4860">
        <w:rPr>
          <w:b/>
          <w:bCs/>
        </w:rPr>
        <w:t>stwierdzenie nieważności decyzji</w:t>
      </w:r>
      <w:r w:rsidRPr="00AC4C36">
        <w:rPr>
          <w:bCs/>
        </w:rPr>
        <w:t xml:space="preserve"> może mieć miejsce jeżeli zachodzi jedna z wad (przesłanek pozytywnych), o których mowa w </w:t>
      </w:r>
      <w:r>
        <w:rPr>
          <w:bCs/>
        </w:rPr>
        <w:t>art. 156 § 1, a jednocześnie w </w:t>
      </w:r>
      <w:r w:rsidRPr="00AC4C36">
        <w:rPr>
          <w:bCs/>
        </w:rPr>
        <w:t xml:space="preserve">sprawie nie występuje przesłanka negatywna, o której mowa w art. 156 § 2. Natomiast </w:t>
      </w:r>
      <w:r w:rsidRPr="007A4860">
        <w:rPr>
          <w:b/>
          <w:bCs/>
        </w:rPr>
        <w:t>stwierdzenia naruszenia prawa</w:t>
      </w:r>
      <w:r w:rsidRPr="00AC4C36">
        <w:rPr>
          <w:bCs/>
        </w:rPr>
        <w:t xml:space="preserve"> (art. 158 § 2) dokonuje się wówczas, gdy jednocześnie spełnione zostają przesłanki pozytywna i negatywna. Powoduje to, że </w:t>
      </w:r>
      <w:r w:rsidRPr="007A4860">
        <w:rPr>
          <w:b/>
          <w:bCs/>
        </w:rPr>
        <w:t>zaskarżona decyzja pozostaje w obrocie prawnym, a stronie służy jedynie prawo do odszkodowania</w:t>
      </w:r>
      <w:r w:rsidRPr="00AC4C36">
        <w:rPr>
          <w:bCs/>
        </w:rPr>
        <w:t>.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 xml:space="preserve">Zatem, </w:t>
      </w:r>
      <w:r w:rsidRPr="00AC4C36">
        <w:rPr>
          <w:b/>
          <w:bCs/>
        </w:rPr>
        <w:t xml:space="preserve">skoro do postępowań dotyczących wzruszenia decyzji ostatecznych, nie stosuje się </w:t>
      </w:r>
      <w:r w:rsidRPr="007A4860">
        <w:rPr>
          <w:bCs/>
        </w:rPr>
        <w:t>- po upływie 5 lat od dnia w którym decyzja o zatwierdzeniu projektu scalenia lub wymiany gruntów stała się ostateczna -</w:t>
      </w:r>
      <w:r w:rsidRPr="00AC4C36">
        <w:rPr>
          <w:b/>
          <w:bCs/>
        </w:rPr>
        <w:t xml:space="preserve"> m.in. art. 156 Kpa</w:t>
      </w:r>
      <w:r w:rsidRPr="00AC4C36">
        <w:rPr>
          <w:bCs/>
        </w:rPr>
        <w:t xml:space="preserve"> (nie stwierdza się nieważności decyzji), </w:t>
      </w:r>
      <w:r w:rsidRPr="00AC4C36">
        <w:rPr>
          <w:b/>
          <w:bCs/>
        </w:rPr>
        <w:t>to w konsekwencji nie znajdzie zastosowani</w:t>
      </w:r>
      <w:r>
        <w:rPr>
          <w:b/>
          <w:bCs/>
        </w:rPr>
        <w:t>a też art. 158 § 2, ponieważ ten</w:t>
      </w:r>
      <w:r w:rsidRPr="00AC4C36">
        <w:rPr>
          <w:b/>
          <w:bCs/>
        </w:rPr>
        <w:t xml:space="preserve"> </w:t>
      </w:r>
      <w:r w:rsidRPr="00AC4C36">
        <w:rPr>
          <w:b/>
          <w:bCs/>
        </w:rPr>
        <w:lastRenderedPageBreak/>
        <w:t>ostatni, stanowi, że stwierdzenia wydania zaskarżonej decyzji z naruszeniem prawa można dokonać jedynie w przypadku, gdy nie można stwierdzić nieważności decyzji na skutek okoliczności, o których mowa w art. 156 § 2</w:t>
      </w:r>
      <w:r w:rsidRPr="00AC4C36">
        <w:rPr>
          <w:bCs/>
        </w:rPr>
        <w:t xml:space="preserve">. </w:t>
      </w:r>
      <w:r>
        <w:rPr>
          <w:bCs/>
        </w:rPr>
        <w:t>Przepisu art. 156 § 2 jednak (w </w:t>
      </w:r>
      <w:r w:rsidRPr="00AC4C36">
        <w:rPr>
          <w:bCs/>
        </w:rPr>
        <w:t xml:space="preserve">związku z wyłączeniem w art. 33 ustawy scaleniowej) do postępowań scaleniowych nie stosuje się. Kłopotliwość tego rozwiązania polega na tym, że </w:t>
      </w:r>
      <w:r w:rsidRPr="00AC4C36">
        <w:rPr>
          <w:b/>
          <w:bCs/>
        </w:rPr>
        <w:t xml:space="preserve">w przypadku, gdy strona zechciałaby zakwestionować decyzję scaleniową, to po upływie 5 lat, ani nie będzie mogła skutecznie dochodzić stwierdzenia jej nieważności </w:t>
      </w:r>
      <w:r w:rsidRPr="007A4860">
        <w:rPr>
          <w:bCs/>
        </w:rPr>
        <w:t>(co w pewnych prz</w:t>
      </w:r>
      <w:r>
        <w:rPr>
          <w:bCs/>
        </w:rPr>
        <w:t>ypadkach – z </w:t>
      </w:r>
      <w:r w:rsidRPr="007A4860">
        <w:rPr>
          <w:bCs/>
        </w:rPr>
        <w:t>racji na pewność obrotu - zasługuje na aprobatę)</w:t>
      </w:r>
      <w:r w:rsidRPr="00AC4C36">
        <w:rPr>
          <w:b/>
          <w:bCs/>
        </w:rPr>
        <w:t xml:space="preserve">, ani </w:t>
      </w:r>
      <w:r w:rsidRPr="007A4860">
        <w:rPr>
          <w:bCs/>
        </w:rPr>
        <w:t>- w przypadku, gdyby na pewność obrotu niezasadne byłoby stwierdzenie jej nieważności -</w:t>
      </w:r>
      <w:r w:rsidRPr="00AC4C36">
        <w:rPr>
          <w:b/>
          <w:bCs/>
        </w:rPr>
        <w:t xml:space="preserve"> nie będzie mogła żądać nawet stwierdzenia wydania decyzji z naruszeniem prawa</w:t>
      </w:r>
      <w:r w:rsidRPr="00AC4C36">
        <w:rPr>
          <w:bCs/>
        </w:rPr>
        <w:t xml:space="preserve"> (co nie usunęłoby już skutków decyzji scaleniowej, ale mogłoby być przynajmniej podstawą do żądania odszkodowania za wydanie decyzji z naruszeniem prawa).</w:t>
      </w:r>
    </w:p>
    <w:p w:rsidR="0018049A" w:rsidRPr="00AC4C36" w:rsidRDefault="0018049A" w:rsidP="00AC4C36">
      <w:pPr>
        <w:pStyle w:val="ARTartustawynprozporzdzenia"/>
        <w:rPr>
          <w:bCs/>
        </w:rPr>
      </w:pPr>
      <w:r>
        <w:rPr>
          <w:bCs/>
        </w:rPr>
        <w:t xml:space="preserve">2.3. </w:t>
      </w:r>
      <w:r w:rsidRPr="00AC4C36">
        <w:rPr>
          <w:bCs/>
        </w:rPr>
        <w:t xml:space="preserve">Wyrażone w art. 45 ust. 1 Konstytucji „prawo do sądu jest jednym z podstawowych praw człowieka i zarazem jedną z fundamentalnych gwarancji praworządności. </w:t>
      </w:r>
      <w:r>
        <w:rPr>
          <w:bCs/>
        </w:rPr>
        <w:t>(…)</w:t>
      </w:r>
      <w:r w:rsidRPr="00AC4C36">
        <w:rPr>
          <w:bCs/>
        </w:rPr>
        <w:t xml:space="preserve"> Warunkiem koniecznym umożliwienia jednostce realizacji prawa wyrażonego w art. 45 ust. 1 Konstytucji jest </w:t>
      </w:r>
      <w:r w:rsidRPr="00AC4C36">
        <w:rPr>
          <w:b/>
          <w:bCs/>
        </w:rPr>
        <w:t>zapewnienie jej dostępu do sądu, rozumianego jako możliwość uruchomienia stosownej procedury jurysdykcyjnej</w:t>
      </w:r>
      <w:r w:rsidRPr="00AC4C36">
        <w:rPr>
          <w:bCs/>
        </w:rPr>
        <w:t xml:space="preserve">. </w:t>
      </w:r>
      <w:r>
        <w:rPr>
          <w:bCs/>
        </w:rPr>
        <w:t>(…)</w:t>
      </w:r>
      <w:r w:rsidRPr="00AC4C36">
        <w:rPr>
          <w:bCs/>
        </w:rPr>
        <w:t xml:space="preserve"> Analizowany przepis Konstytucji obejmuje </w:t>
      </w:r>
      <w:r>
        <w:rPr>
          <w:bCs/>
        </w:rPr>
        <w:t>(…)</w:t>
      </w:r>
      <w:r w:rsidRPr="00AC4C36">
        <w:rPr>
          <w:bCs/>
        </w:rPr>
        <w:t xml:space="preserve"> prawo do sądu w ujęciu formalnym (dost</w:t>
      </w:r>
      <w:r>
        <w:rPr>
          <w:bCs/>
        </w:rPr>
        <w:t>ępność drogi sądowej w ogóle) i </w:t>
      </w:r>
      <w:r w:rsidRPr="00AC4C36">
        <w:rPr>
          <w:bCs/>
        </w:rPr>
        <w:t>materialnym (możliwość prawnie skutecznej ochrony praw na drodze sądowej)”.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„O ile art. 45 ust. 1 Konstytucji gwarantuje prawo do sądu w ujęciu pozytywnym, o tyle art. 77 ust. 2 Konstytucji wyraża jego negatywny aspekt. Adresatem normy wyrażonej w art. 77 ust. 2 Konstytucji jest bowiem ustawodawca, któremu norma ta zakazuje stanowienia przepisów zamykających sądową drogę dochodzenia naruszonych konstytucyjnych wolności i praw. (…)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Ustawa zamykająca pośrednio lub bezpośrednio drogę</w:t>
      </w:r>
      <w:r>
        <w:rPr>
          <w:bCs/>
        </w:rPr>
        <w:t xml:space="preserve"> dochodzenia naruszonych praw i </w:t>
      </w:r>
      <w:r w:rsidRPr="00AC4C36">
        <w:rPr>
          <w:bCs/>
        </w:rPr>
        <w:t>wolności uniemożliwia zarazem rozpoznanie «sprawy» przez sąd. Stwierdzenie niezgodności poddanej kontroli regulacji z art. 77 ust. 2 Konstytucji oznacza zatem, że regulacja ta narusza również art. 45 ust. 1 Konstytucji, ponieważ pozbawia podmiot, którego prawa i wolności zostały naruszone, możliwości zwrócenia się do sądu z żądaniem udzielenia ochrony prawnej w konkretnej sprawie”.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 xml:space="preserve">„Obowiązującą treść art. 33 ust. 2 ustawy o scalaniu i wymianie gruntów uzyskał na podstawie ustawy z dnia 30 sierpnia 2013 r. o zmianie ustawy o scalaniu i wymianie gruntów </w:t>
      </w:r>
      <w:r w:rsidRPr="00AC4C36">
        <w:rPr>
          <w:bCs/>
        </w:rPr>
        <w:lastRenderedPageBreak/>
        <w:t xml:space="preserve">(…). W uzasadnieniu projektu tej ustawy wskazano: «Dodatkowo, proponuje się doprecyzowanie zakresu obowiązywania przepisów Kodeksu postępowania administracyjnego w sprawach dotyczących scaleń gruntów (art. 33). Zgodnie z obecnie obowiązującymi przepisami ustawy o scalaniu i wymianie gruntów w sprawach nieuregulowanych niniejszą ustawą mają zastosowanie przepisy Kodeksu postępowania administracyjnego. </w:t>
      </w:r>
      <w:r w:rsidRPr="00747B1A">
        <w:rPr>
          <w:b/>
          <w:bCs/>
        </w:rPr>
        <w:t>Oznacza to, że w przypadku decyzji o zatwierdzeniu projektu scalenia mogą być stosowane także tryby nadzwyczajne, co oznacza, że strony (uczestnicy postępowania) mogą występować z wnioskami o stwierdzenie nieważności decyzji zatwierdzającej projekt scalenia gruntów nawet po kilkudziesięciu latach od jego zatwierdzenia, gdy upłynęły już terminy np. zasiedzenia</w:t>
      </w:r>
      <w:r w:rsidRPr="00AC4C36">
        <w:rPr>
          <w:bCs/>
        </w:rPr>
        <w:t xml:space="preserve">» (…). </w:t>
      </w:r>
      <w:r w:rsidRPr="00747B1A">
        <w:rPr>
          <w:bCs/>
          <w:i/>
        </w:rPr>
        <w:t>Ratio legis</w:t>
      </w:r>
      <w:r w:rsidRPr="00AC4C36">
        <w:rPr>
          <w:bCs/>
        </w:rPr>
        <w:t xml:space="preserve"> wprowadzonej zmiany polegało więc na bezwzględnym daniu pierwszeństwa ochronie trwałości decyzji zatwierdzającej projekt scalenia”.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TK zwrócił uwagę, że „w licznych postępowaniach ustawodawca, wzmacniając trwałość decyzji, przewidział [jednak] odpowiednie stosowanie art. 158 § 2 k.p.a.” (samo stwierdzenie naruszenia prawa).</w:t>
      </w:r>
    </w:p>
    <w:p w:rsidR="0018049A" w:rsidRPr="00AC4C3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t>I właśnie „</w:t>
      </w:r>
      <w:r w:rsidRPr="00747B1A">
        <w:rPr>
          <w:b/>
          <w:bCs/>
        </w:rPr>
        <w:t>[w] rozpatrywanej sprawie nie chodzi (…) o wyeliminowanie wadliwej ostatecznej decyzji administracyjnej z obrotu prawnego, ale o możliwość uzyskania [jedynie] potwierdzenia, że decyzja ta wydana została z naruszeniem prawa</w:t>
      </w:r>
      <w:r w:rsidRPr="00AC4C36">
        <w:rPr>
          <w:bCs/>
        </w:rPr>
        <w:t>.</w:t>
      </w:r>
    </w:p>
    <w:p w:rsidR="0018049A" w:rsidRPr="00AC4C36" w:rsidRDefault="0018049A" w:rsidP="0018049A">
      <w:pPr>
        <w:pStyle w:val="ARTartustawynprozporzdzenia"/>
        <w:spacing w:before="240"/>
        <w:rPr>
          <w:bCs/>
        </w:rPr>
      </w:pPr>
      <w:r w:rsidRPr="00AC4C36">
        <w:rPr>
          <w:bCs/>
        </w:rPr>
        <w:t xml:space="preserve">Instytucja stwierdzenia wydania zaskarżonej decyzji z naruszeniem prawa pozwala zrealizować zarówno zasadę praworządności, jak i zasadę </w:t>
      </w:r>
      <w:r>
        <w:rPr>
          <w:bCs/>
        </w:rPr>
        <w:t>zaufania obywatela do państwa i </w:t>
      </w:r>
      <w:r w:rsidRPr="00AC4C36">
        <w:rPr>
          <w:bCs/>
        </w:rPr>
        <w:t>wywodzone z niej zasady bezpieczeństwa prawnego, pewności prawa i stabilności stosunków prawnych z jak najmniejszym uszczerbkiem dla nich. Jednocześnie stwierdzenie wydania zaskarżonej decyzji z naruszeniem prawa jest niezbędne do dochodzenia odpowiedzialności organów władzy publicznej za szkody wyrządzone ostateczną decyzją administracyjną. Stwierdzenie wydania decyzji z naruszeniem prawa nie usuwa z obrotu prawnego wadliwej decyzji, ale daje podstawę do wystąpienia z roszczeniem odszkodowawczym na drodze sądowej - obecnie na podstawie art. 417</w:t>
      </w:r>
      <w:r w:rsidRPr="00747B1A">
        <w:rPr>
          <w:bCs/>
          <w:vertAlign w:val="superscript"/>
        </w:rPr>
        <w:t>1</w:t>
      </w:r>
      <w:r w:rsidRPr="00AC4C36">
        <w:rPr>
          <w:bCs/>
        </w:rPr>
        <w:t xml:space="preserve"> § 2 ustawy z dnia 23 kwietnia 1964 r. - Kodeks cywilny (…). Zgodnie z art. 417</w:t>
      </w:r>
      <w:r w:rsidRPr="00747B1A">
        <w:rPr>
          <w:bCs/>
          <w:vertAlign w:val="superscript"/>
        </w:rPr>
        <w:t>1</w:t>
      </w:r>
      <w:r w:rsidRPr="00AC4C36">
        <w:rPr>
          <w:bCs/>
        </w:rPr>
        <w:t xml:space="preserve"> § 2 k.c., jeżeli szkoda została wyrządzona przez wydanie prawomocnego orzeczenia lub ostatecznej decyzji, jej naprawienia można żądać po stwierdzeniu we właściwym </w:t>
      </w:r>
      <w:r>
        <w:rPr>
          <w:bCs/>
        </w:rPr>
        <w:t>postępowaniu ich niezgodności z </w:t>
      </w:r>
      <w:r w:rsidRPr="00AC4C36">
        <w:rPr>
          <w:bCs/>
        </w:rPr>
        <w:t>prawem, chyba że przepisy odrębne stanowią inaczej”.</w:t>
      </w:r>
    </w:p>
    <w:p w:rsidR="0018049A" w:rsidRPr="001F07F6" w:rsidRDefault="0018049A" w:rsidP="00AC4C36">
      <w:pPr>
        <w:pStyle w:val="ARTartustawynprozporzdzenia"/>
        <w:rPr>
          <w:bCs/>
        </w:rPr>
      </w:pPr>
      <w:r w:rsidRPr="00AC4C36">
        <w:rPr>
          <w:bCs/>
        </w:rPr>
        <w:lastRenderedPageBreak/>
        <w:t>Zdaniem TK „kwestionowana norma prawna zamyka drogę dochodzenia naruszonych praw i wolności, a tym samym uniemożliwia rozpoznanie «sprawy» przez sąd właściwy do orzekania o odpowiedzialności odszkodowawczej, ponieważ nie pozwala sądom administracyjnym stwierdzić, że ostateczna decyzja o zatwierdzeniu projektu scalania wydana została z naruszeniem prawa” (…). Bez tego prejudykatu wykluczona jest skuteczna ochrona praw majątkowych na drodze sądowej. Sąd orzekający o roszczeniu odszkodowawczym jest bowiem związany rozstrzygnięciem stwierdzający</w:t>
      </w:r>
      <w:r>
        <w:rPr>
          <w:bCs/>
        </w:rPr>
        <w:t>m wydanie ostatecznej decyzji z </w:t>
      </w:r>
      <w:r w:rsidRPr="00AC4C36">
        <w:rPr>
          <w:bCs/>
        </w:rPr>
        <w:t>naruszeniem prawa. Kwestionowany art. 33 ust. 2 ustawy o scalaniu i wymianie gruntów unicestwia prawo do sądu, rozumiane jako 1) prawo do uruchomienia postępowania przed niezależnym, bezstronnym i niezawisłym sądem, 2) prawo do odpowiednio ukształtowanej procedury sądowej, zgodnie z zasadami sprawiedliwości i jawności i 3) prawo do uzyskania wiążącego rozstrzygnięcia sprawy. Jego konsekwencją jest unicestwienie prawa do sądu zarówno w ujęciu formalnym, czyli dostępności drogi sądowej, jak i ujęciu materialnym, czyli możliwości prawnie skutecznej ochrony praw na drodze sądowej”</w:t>
      </w:r>
      <w:r w:rsidRPr="00E26EB5">
        <w:rPr>
          <w:bCs/>
        </w:rPr>
        <w:t>.</w:t>
      </w:r>
    </w:p>
    <w:p w:rsidR="0018049A" w:rsidRPr="001330AF" w:rsidRDefault="0018049A" w:rsidP="0018591E">
      <w:pPr>
        <w:pStyle w:val="Tekstpodstawowy"/>
        <w:keepNext/>
        <w:spacing w:before="360" w:after="0"/>
        <w:rPr>
          <w:b/>
          <w:szCs w:val="24"/>
        </w:rPr>
      </w:pPr>
      <w:r w:rsidRPr="001330AF">
        <w:rPr>
          <w:b/>
          <w:szCs w:val="24"/>
        </w:rPr>
        <w:t>3. Różnice między dotychczasowym a projektowanym stanem prawnym</w:t>
      </w:r>
    </w:p>
    <w:p w:rsidR="0018049A" w:rsidRDefault="0018049A" w:rsidP="00EB5114">
      <w:pPr>
        <w:pStyle w:val="ARTartustawynprozporzdzenia"/>
      </w:pPr>
      <w:r>
        <w:t xml:space="preserve">Dotychczas, po upływie 5 lat od </w:t>
      </w:r>
      <w:r w:rsidRPr="00AC4C36">
        <w:t>dnia, w którym decyzja o zatwierdzeniu projektu scalenia lub wymiany gruntów stała się ostateczna</w:t>
      </w:r>
      <w:r>
        <w:t>, nie można było, ani stwierdzić nieważności decyzji, ani nawet stwierdzić, że decyzja została wydana z naruszeniem prawa. Proponowany przepis, respektując moc prawną decyzji scaleniowej (po upływie 5 lat, tak jak dotychczas, nie będzie już można stwierdzić jej nieważności), pozwoli stronie poszkodowanej decyzją wydaną z naruszeniem prawa (jeżeli potwierdzi to organ administracji lub sąd administracyjny), dochodzić odszkodowania przed sądem cywilnym.</w:t>
      </w:r>
    </w:p>
    <w:p w:rsidR="0018049A" w:rsidRDefault="0018049A" w:rsidP="00EB5114">
      <w:pPr>
        <w:pStyle w:val="ARTartustawynprozporzdzenia"/>
      </w:pPr>
      <w:r>
        <w:t>Z wprowadzanych przepisów będą mogły skorzystać też strony postępowań wszczętych lub zakończonych przed dniem wejścia w życie proponowanej ustawy.</w:t>
      </w:r>
    </w:p>
    <w:p w:rsidR="0018049A" w:rsidRDefault="0018049A" w:rsidP="00EB5114">
      <w:pPr>
        <w:pStyle w:val="ARTartustawynprozporzdzenia"/>
      </w:pPr>
      <w:r>
        <w:t xml:space="preserve">Przepis, w odniesieniu do którego można sformułować podobne, do wyżej omówionych, zastrzeżenia znajduje się w </w:t>
      </w:r>
      <w:r w:rsidRPr="000E3CBE">
        <w:t>ustawie z dnia 29 czerwca 1963 r. o zagos</w:t>
      </w:r>
      <w:r>
        <w:t>podarowaniu wspólnot gruntowych (</w:t>
      </w:r>
      <w:r w:rsidRPr="000E3CBE">
        <w:t>art.8o</w:t>
      </w:r>
      <w:r>
        <w:t>). Stąd proponuje się w jego przypadku analogiczne uzupełnienie.</w:t>
      </w:r>
    </w:p>
    <w:p w:rsidR="0018049A" w:rsidRPr="00A64BD5" w:rsidRDefault="0018049A" w:rsidP="006D17D4">
      <w:pPr>
        <w:pStyle w:val="akapit"/>
        <w:keepNext/>
        <w:spacing w:before="240"/>
        <w:ind w:firstLine="0"/>
        <w:rPr>
          <w:b/>
          <w:szCs w:val="24"/>
        </w:rPr>
      </w:pPr>
      <w:r w:rsidRPr="00A64BD5">
        <w:rPr>
          <w:b/>
          <w:szCs w:val="24"/>
        </w:rPr>
        <w:t>4. Konsultacje</w:t>
      </w:r>
    </w:p>
    <w:p w:rsidR="0018049A" w:rsidRDefault="0018049A" w:rsidP="006D17D4">
      <w:pPr>
        <w:pStyle w:val="ARTartustawynprozporzdzenia"/>
      </w:pPr>
      <w:r w:rsidRPr="000415CB">
        <w:t>Nadesłane w ramach konsultacji opinie i uwagi są zamieszczone na senackiej stronie internetowej. Wyniki konsultacji przedstawiono w Ocenie Skutków Regulacji.</w:t>
      </w:r>
    </w:p>
    <w:p w:rsidR="0018049A" w:rsidRPr="001330AF" w:rsidRDefault="0018049A" w:rsidP="00C62C0C">
      <w:pPr>
        <w:pStyle w:val="akapit"/>
        <w:keepNext/>
        <w:spacing w:before="240"/>
        <w:ind w:firstLine="0"/>
        <w:rPr>
          <w:b/>
          <w:szCs w:val="24"/>
        </w:rPr>
      </w:pPr>
      <w:r>
        <w:rPr>
          <w:b/>
          <w:szCs w:val="24"/>
        </w:rPr>
        <w:lastRenderedPageBreak/>
        <w:t>5</w:t>
      </w:r>
      <w:r w:rsidRPr="00A64BD5">
        <w:rPr>
          <w:b/>
          <w:szCs w:val="24"/>
        </w:rPr>
        <w:t xml:space="preserve">. </w:t>
      </w:r>
      <w:r w:rsidRPr="001330AF">
        <w:rPr>
          <w:b/>
          <w:szCs w:val="24"/>
        </w:rPr>
        <w:t>Oświadczenie o zgodności z prawem Unii Europejskiej</w:t>
      </w:r>
    </w:p>
    <w:p w:rsidR="0018049A" w:rsidRPr="001330AF" w:rsidRDefault="0018049A" w:rsidP="00A254B4">
      <w:pPr>
        <w:pStyle w:val="NIEARTTEKSTtekstnieartykuowanynppreambua"/>
      </w:pPr>
      <w:r w:rsidRPr="001330AF">
        <w:t xml:space="preserve">Projektowana ustawa </w:t>
      </w:r>
      <w:r>
        <w:t>nie jest objęta</w:t>
      </w:r>
      <w:r w:rsidRPr="001330AF">
        <w:t xml:space="preserve"> prawem Unii Europejskiej.</w:t>
      </w:r>
    </w:p>
    <w:p w:rsidR="0018049A" w:rsidRDefault="0018049A" w:rsidP="00377927">
      <w:pPr>
        <w:pStyle w:val="ARTartustawynprozporzdzenia"/>
      </w:pPr>
    </w:p>
    <w:p w:rsidR="006E73F1" w:rsidRDefault="006E73F1" w:rsidP="009A4937">
      <w:pPr>
        <w:tabs>
          <w:tab w:val="center" w:pos="6237"/>
        </w:tabs>
        <w:spacing w:line="240" w:lineRule="auto"/>
        <w:ind w:right="-2"/>
        <w:jc w:val="both"/>
        <w:rPr>
          <w:b/>
        </w:rPr>
        <w:sectPr w:rsidR="006E73F1" w:rsidSect="006E73F1">
          <w:headerReference w:type="default" r:id="rId8"/>
          <w:pgSz w:w="11906" w:h="16838"/>
          <w:pgMar w:top="1418" w:right="1418" w:bottom="1418" w:left="1418" w:header="708" w:footer="708" w:gutter="0"/>
          <w:pgNumType w:start="1"/>
          <w:cols w:space="708"/>
          <w:titlePg/>
          <w:docGrid w:linePitch="360"/>
        </w:sectPr>
      </w:pPr>
    </w:p>
    <w:p w:rsidR="0018049A" w:rsidRPr="009A4937" w:rsidRDefault="0018049A" w:rsidP="009A4937">
      <w:pPr>
        <w:tabs>
          <w:tab w:val="center" w:pos="6237"/>
        </w:tabs>
        <w:spacing w:line="240" w:lineRule="auto"/>
        <w:ind w:right="-2"/>
        <w:jc w:val="both"/>
        <w:rPr>
          <w:b/>
        </w:rPr>
      </w:pPr>
      <w:bookmarkStart w:id="0" w:name="_GoBack"/>
      <w:bookmarkEnd w:id="0"/>
    </w:p>
    <w:sectPr w:rsidR="0018049A" w:rsidRPr="009A4937" w:rsidSect="006E73F1">
      <w:headerReference w:type="default" r:id="rId9"/>
      <w:pgSz w:w="11906" w:h="16838"/>
      <w:pgMar w:top="425" w:right="1418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FD9" w:rsidRDefault="005D0FD9" w:rsidP="009A4937">
      <w:pPr>
        <w:spacing w:line="240" w:lineRule="auto"/>
      </w:pPr>
      <w:r>
        <w:separator/>
      </w:r>
    </w:p>
  </w:endnote>
  <w:endnote w:type="continuationSeparator" w:id="0">
    <w:p w:rsidR="005D0FD9" w:rsidRDefault="005D0FD9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FD9" w:rsidRDefault="005D0FD9" w:rsidP="009A4937">
      <w:pPr>
        <w:spacing w:line="240" w:lineRule="auto"/>
      </w:pPr>
      <w:r>
        <w:separator/>
      </w:r>
    </w:p>
  </w:footnote>
  <w:footnote w:type="continuationSeparator" w:id="0">
    <w:p w:rsidR="005D0FD9" w:rsidRDefault="005D0FD9" w:rsidP="009A49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3F1" w:rsidRDefault="006E73F1" w:rsidP="006E73F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67632">
      <w:rPr>
        <w:noProof/>
      </w:rPr>
      <w:t>6</w:t>
    </w:r>
    <w:r>
      <w:rPr>
        <w:noProof/>
      </w:rPr>
      <w:fldChar w:fldCharType="end"/>
    </w:r>
    <w:r>
      <w:t xml:space="preserve"> –</w:t>
    </w:r>
  </w:p>
  <w:p w:rsidR="00D37E95" w:rsidRPr="00B371CC" w:rsidRDefault="00D37E95" w:rsidP="00B371CC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3F1" w:rsidRDefault="006E73F1" w:rsidP="006E73F1">
    <w:pPr>
      <w:pStyle w:val="Nagwek"/>
    </w:pPr>
  </w:p>
  <w:p w:rsidR="006E73F1" w:rsidRPr="00B371CC" w:rsidRDefault="006E73F1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5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6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8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5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</w:num>
  <w:num w:numId="3">
    <w:abstractNumId w:val="4"/>
  </w:num>
  <w:num w:numId="4">
    <w:abstractNumId w:val="4"/>
  </w:num>
  <w:num w:numId="5">
    <w:abstractNumId w:val="16"/>
  </w:num>
  <w:num w:numId="6">
    <w:abstractNumId w:val="14"/>
  </w:num>
  <w:num w:numId="7">
    <w:abstractNumId w:val="16"/>
  </w:num>
  <w:num w:numId="8">
    <w:abstractNumId w:val="14"/>
  </w:num>
  <w:num w:numId="9">
    <w:abstractNumId w:val="16"/>
  </w:num>
  <w:num w:numId="10">
    <w:abstractNumId w:val="14"/>
  </w:num>
  <w:num w:numId="11">
    <w:abstractNumId w:val="1"/>
  </w:num>
  <w:num w:numId="12">
    <w:abstractNumId w:val="10"/>
  </w:num>
  <w:num w:numId="13">
    <w:abstractNumId w:val="8"/>
  </w:num>
  <w:num w:numId="14">
    <w:abstractNumId w:val="2"/>
  </w:num>
  <w:num w:numId="15">
    <w:abstractNumId w:val="15"/>
  </w:num>
  <w:num w:numId="16">
    <w:abstractNumId w:val="11"/>
  </w:num>
  <w:num w:numId="17">
    <w:abstractNumId w:val="19"/>
  </w:num>
  <w:num w:numId="18">
    <w:abstractNumId w:val="13"/>
  </w:num>
  <w:num w:numId="19">
    <w:abstractNumId w:val="12"/>
  </w:num>
  <w:num w:numId="20">
    <w:abstractNumId w:val="0"/>
  </w:num>
  <w:num w:numId="21">
    <w:abstractNumId w:val="9"/>
  </w:num>
  <w:num w:numId="22">
    <w:abstractNumId w:val="5"/>
  </w:num>
  <w:num w:numId="23">
    <w:abstractNumId w:val="6"/>
  </w:num>
  <w:num w:numId="24">
    <w:abstractNumId w:val="3"/>
  </w:num>
  <w:num w:numId="25">
    <w:abstractNumId w:val="18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A5CE8"/>
    <w:rsid w:val="0018049A"/>
    <w:rsid w:val="001A4397"/>
    <w:rsid w:val="00267632"/>
    <w:rsid w:val="002B0A43"/>
    <w:rsid w:val="00382AAC"/>
    <w:rsid w:val="003B7FBE"/>
    <w:rsid w:val="00474670"/>
    <w:rsid w:val="004F1121"/>
    <w:rsid w:val="00527E52"/>
    <w:rsid w:val="0056045F"/>
    <w:rsid w:val="005D0FD9"/>
    <w:rsid w:val="006E58F9"/>
    <w:rsid w:val="006E73F1"/>
    <w:rsid w:val="006F026C"/>
    <w:rsid w:val="00735880"/>
    <w:rsid w:val="00777F90"/>
    <w:rsid w:val="00874611"/>
    <w:rsid w:val="008758BB"/>
    <w:rsid w:val="008C7EE7"/>
    <w:rsid w:val="009A4937"/>
    <w:rsid w:val="009D2757"/>
    <w:rsid w:val="00A06AF3"/>
    <w:rsid w:val="00AF364E"/>
    <w:rsid w:val="00B5303C"/>
    <w:rsid w:val="00D37E95"/>
    <w:rsid w:val="00D829F5"/>
    <w:rsid w:val="00E15D93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DF3235-A6AB-4A30-9408-814E372F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FFF3A-2FB9-4C6C-A573-2FC8D335A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1718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12005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6</cp:revision>
  <dcterms:created xsi:type="dcterms:W3CDTF">2020-06-18T11:38:00Z</dcterms:created>
  <dcterms:modified xsi:type="dcterms:W3CDTF">2020-07-08T10:27:00Z</dcterms:modified>
</cp:coreProperties>
</file>