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4D3737" w:rsidRPr="000010BA" w:rsidRDefault="000010BA">
      <w:pPr>
        <w:spacing w:line="360" w:lineRule="auto"/>
        <w:jc w:val="right"/>
        <w:rPr>
          <w:rFonts w:ascii="Tahoma" w:eastAsia="Times New Roman" w:hAnsi="Tahoma" w:cs="Tahoma"/>
          <w:b/>
          <w:sz w:val="24"/>
          <w:szCs w:val="24"/>
          <w:u w:val="single"/>
        </w:rPr>
      </w:pPr>
      <w:r w:rsidRPr="000010BA">
        <w:rPr>
          <w:rFonts w:ascii="Tahoma" w:eastAsia="Times New Roman" w:hAnsi="Tahoma" w:cs="Tahoma"/>
          <w:b/>
          <w:sz w:val="24"/>
          <w:szCs w:val="24"/>
          <w:u w:val="single"/>
        </w:rPr>
        <w:t xml:space="preserve">projekt </w:t>
      </w:r>
    </w:p>
    <w:p w14:paraId="00000002" w14:textId="77777777" w:rsidR="004D3737" w:rsidRPr="000010BA" w:rsidRDefault="004D3737">
      <w:pPr>
        <w:spacing w:line="360" w:lineRule="auto"/>
        <w:rPr>
          <w:rFonts w:ascii="Tahoma" w:eastAsia="Times New Roman" w:hAnsi="Tahoma" w:cs="Tahoma"/>
          <w:sz w:val="24"/>
          <w:szCs w:val="24"/>
        </w:rPr>
      </w:pPr>
    </w:p>
    <w:p w14:paraId="536F78BA" w14:textId="77777777" w:rsidR="000010BA" w:rsidRDefault="000010BA">
      <w:pPr>
        <w:spacing w:line="480" w:lineRule="auto"/>
        <w:jc w:val="center"/>
        <w:rPr>
          <w:rFonts w:ascii="Tahoma" w:eastAsia="Times New Roman" w:hAnsi="Tahoma" w:cs="Tahoma"/>
          <w:b/>
          <w:sz w:val="24"/>
          <w:szCs w:val="24"/>
        </w:rPr>
      </w:pPr>
    </w:p>
    <w:p w14:paraId="00000003" w14:textId="411811CB" w:rsidR="004D3737" w:rsidRPr="000010BA" w:rsidRDefault="000010BA">
      <w:pPr>
        <w:spacing w:line="480" w:lineRule="auto"/>
        <w:jc w:val="center"/>
        <w:rPr>
          <w:rFonts w:ascii="Tahoma" w:eastAsia="Times New Roman" w:hAnsi="Tahoma" w:cs="Tahoma"/>
          <w:b/>
          <w:sz w:val="24"/>
          <w:szCs w:val="24"/>
        </w:rPr>
      </w:pPr>
      <w:r w:rsidRPr="000010BA">
        <w:rPr>
          <w:rFonts w:ascii="Tahoma" w:eastAsia="Times New Roman" w:hAnsi="Tahoma" w:cs="Tahoma"/>
          <w:b/>
          <w:sz w:val="24"/>
          <w:szCs w:val="24"/>
        </w:rPr>
        <w:t>Ustawa</w:t>
      </w:r>
    </w:p>
    <w:p w14:paraId="00000004" w14:textId="77777777" w:rsidR="004D3737" w:rsidRPr="000010BA" w:rsidRDefault="000010BA">
      <w:pPr>
        <w:spacing w:line="480" w:lineRule="auto"/>
        <w:jc w:val="center"/>
        <w:rPr>
          <w:rFonts w:ascii="Tahoma" w:eastAsia="Times New Roman" w:hAnsi="Tahoma" w:cs="Tahoma"/>
          <w:sz w:val="24"/>
          <w:szCs w:val="24"/>
        </w:rPr>
      </w:pPr>
      <w:r w:rsidRPr="000010BA">
        <w:rPr>
          <w:rFonts w:ascii="Tahoma" w:eastAsia="Times New Roman" w:hAnsi="Tahoma" w:cs="Tahoma"/>
          <w:sz w:val="24"/>
          <w:szCs w:val="24"/>
        </w:rPr>
        <w:t>z dnia … 2020 roku</w:t>
      </w:r>
    </w:p>
    <w:p w14:paraId="00000005" w14:textId="77777777" w:rsidR="004D3737" w:rsidRPr="000010BA" w:rsidRDefault="000010BA">
      <w:pPr>
        <w:spacing w:line="480" w:lineRule="auto"/>
        <w:jc w:val="center"/>
        <w:rPr>
          <w:rFonts w:ascii="Tahoma" w:eastAsia="Times New Roman" w:hAnsi="Tahoma" w:cs="Tahoma"/>
          <w:b/>
          <w:sz w:val="24"/>
          <w:szCs w:val="24"/>
        </w:rPr>
      </w:pPr>
      <w:r w:rsidRPr="000010BA">
        <w:rPr>
          <w:rFonts w:ascii="Tahoma" w:eastAsia="Times New Roman" w:hAnsi="Tahoma" w:cs="Tahoma"/>
          <w:b/>
          <w:sz w:val="24"/>
          <w:szCs w:val="24"/>
        </w:rPr>
        <w:t>o zmianie ustawy Kodeks karny</w:t>
      </w:r>
    </w:p>
    <w:p w14:paraId="00000006" w14:textId="77777777" w:rsidR="004D3737" w:rsidRPr="000010BA" w:rsidRDefault="004D3737">
      <w:pPr>
        <w:spacing w:line="360" w:lineRule="auto"/>
        <w:rPr>
          <w:rFonts w:ascii="Tahoma" w:eastAsia="Times New Roman" w:hAnsi="Tahoma" w:cs="Tahoma"/>
          <w:sz w:val="24"/>
          <w:szCs w:val="24"/>
        </w:rPr>
      </w:pPr>
    </w:p>
    <w:p w14:paraId="00000007" w14:textId="77777777" w:rsidR="004D3737" w:rsidRPr="000010BA" w:rsidRDefault="004D3737">
      <w:pPr>
        <w:spacing w:line="360" w:lineRule="auto"/>
        <w:rPr>
          <w:rFonts w:ascii="Tahoma" w:eastAsia="Times New Roman" w:hAnsi="Tahoma" w:cs="Tahoma"/>
          <w:sz w:val="24"/>
          <w:szCs w:val="24"/>
        </w:rPr>
      </w:pPr>
    </w:p>
    <w:p w14:paraId="00000008" w14:textId="77777777" w:rsidR="004D3737" w:rsidRPr="000010BA" w:rsidRDefault="000010BA">
      <w:pPr>
        <w:spacing w:line="360" w:lineRule="auto"/>
        <w:jc w:val="both"/>
        <w:rPr>
          <w:rFonts w:ascii="Tahoma" w:eastAsia="Times New Roman" w:hAnsi="Tahoma" w:cs="Tahoma"/>
          <w:sz w:val="24"/>
          <w:szCs w:val="24"/>
        </w:rPr>
      </w:pPr>
      <w:r w:rsidRPr="000010BA">
        <w:rPr>
          <w:rFonts w:ascii="Tahoma" w:eastAsia="Times New Roman" w:hAnsi="Tahoma" w:cs="Tahoma"/>
          <w:b/>
          <w:sz w:val="24"/>
          <w:szCs w:val="24"/>
        </w:rPr>
        <w:t xml:space="preserve">Art. 1. </w:t>
      </w:r>
      <w:r w:rsidRPr="000010BA">
        <w:rPr>
          <w:rFonts w:ascii="Tahoma" w:eastAsia="Times New Roman" w:hAnsi="Tahoma" w:cs="Tahoma"/>
          <w:sz w:val="24"/>
          <w:szCs w:val="24"/>
        </w:rPr>
        <w:t>W ustawie z 6 czerwca 1997 r. – Kodeks karny (Dz.U. z 2019 r. poz. 1950, 2129, z 2020 r. poz. 568, 875) wprowadza się następujące zmiany:</w:t>
      </w:r>
    </w:p>
    <w:p w14:paraId="00000009" w14:textId="77777777" w:rsidR="004D3737" w:rsidRPr="000010BA" w:rsidRDefault="000010BA">
      <w:pPr>
        <w:numPr>
          <w:ilvl w:val="0"/>
          <w:numId w:val="3"/>
        </w:numPr>
        <w:spacing w:line="360" w:lineRule="auto"/>
        <w:jc w:val="both"/>
        <w:rPr>
          <w:rFonts w:ascii="Tahoma" w:eastAsia="Times New Roman" w:hAnsi="Tahoma" w:cs="Tahoma"/>
          <w:sz w:val="24"/>
          <w:szCs w:val="24"/>
        </w:rPr>
      </w:pPr>
      <w:r w:rsidRPr="000010BA">
        <w:rPr>
          <w:rFonts w:ascii="Tahoma" w:eastAsia="Times New Roman" w:hAnsi="Tahoma" w:cs="Tahoma"/>
          <w:sz w:val="24"/>
          <w:szCs w:val="24"/>
        </w:rPr>
        <w:t>w art. 119 § 1 otrzymuje brzmienie: “§ 1  Kto stosuje przemoc lub groźbę bezprawną wobec grupy osób lub poszczególnej osoby z powodu przynależności narodowej, etnicznej, rasowej, politycznej, wyznaniowej lub z powodu bezwyznaniowości, jak również ze względu na płeć, tożsamość płciową, ekspresję płciową, wiek, niepełnosprawność bądź orientację seksualną,</w:t>
      </w:r>
    </w:p>
    <w:p w14:paraId="0000000A" w14:textId="77777777" w:rsidR="004D3737" w:rsidRPr="000010BA" w:rsidRDefault="000010BA">
      <w:pPr>
        <w:spacing w:line="360" w:lineRule="auto"/>
        <w:ind w:left="720"/>
        <w:jc w:val="both"/>
        <w:rPr>
          <w:rFonts w:ascii="Tahoma" w:eastAsia="Times New Roman" w:hAnsi="Tahoma" w:cs="Tahoma"/>
          <w:sz w:val="24"/>
          <w:szCs w:val="24"/>
        </w:rPr>
      </w:pPr>
      <w:r w:rsidRPr="000010BA">
        <w:rPr>
          <w:rFonts w:ascii="Tahoma" w:eastAsia="Times New Roman" w:hAnsi="Tahoma" w:cs="Tahoma"/>
          <w:sz w:val="24"/>
          <w:szCs w:val="24"/>
        </w:rPr>
        <w:t>podlega karze pozbawienia wolności od 3 miesięcy do lat 5.”;</w:t>
      </w:r>
    </w:p>
    <w:p w14:paraId="0000000B" w14:textId="77777777" w:rsidR="004D3737" w:rsidRPr="000010BA" w:rsidRDefault="000010BA">
      <w:pPr>
        <w:numPr>
          <w:ilvl w:val="0"/>
          <w:numId w:val="3"/>
        </w:numPr>
        <w:spacing w:line="360" w:lineRule="auto"/>
        <w:jc w:val="both"/>
        <w:rPr>
          <w:rFonts w:ascii="Tahoma" w:eastAsia="Times New Roman" w:hAnsi="Tahoma" w:cs="Tahoma"/>
          <w:sz w:val="24"/>
          <w:szCs w:val="24"/>
        </w:rPr>
      </w:pPr>
      <w:r w:rsidRPr="000010BA">
        <w:rPr>
          <w:rFonts w:ascii="Tahoma" w:eastAsia="Times New Roman" w:hAnsi="Tahoma" w:cs="Tahoma"/>
          <w:sz w:val="24"/>
          <w:szCs w:val="24"/>
        </w:rPr>
        <w:t>w art. 135 uchyla się § 2;</w:t>
      </w:r>
    </w:p>
    <w:p w14:paraId="0000000C" w14:textId="77777777" w:rsidR="004D3737" w:rsidRPr="000010BA" w:rsidRDefault="000010BA">
      <w:pPr>
        <w:numPr>
          <w:ilvl w:val="0"/>
          <w:numId w:val="3"/>
        </w:numPr>
        <w:spacing w:line="360" w:lineRule="auto"/>
        <w:jc w:val="both"/>
        <w:rPr>
          <w:rFonts w:ascii="Tahoma" w:eastAsia="Times New Roman" w:hAnsi="Tahoma" w:cs="Tahoma"/>
          <w:sz w:val="24"/>
          <w:szCs w:val="24"/>
        </w:rPr>
      </w:pPr>
      <w:r w:rsidRPr="000010BA">
        <w:rPr>
          <w:rFonts w:ascii="Tahoma" w:eastAsia="Times New Roman" w:hAnsi="Tahoma" w:cs="Tahoma"/>
          <w:sz w:val="24"/>
          <w:szCs w:val="24"/>
        </w:rPr>
        <w:t>uchyla się art. 212-215 w całości;</w:t>
      </w:r>
    </w:p>
    <w:p w14:paraId="0000000D" w14:textId="77777777" w:rsidR="004D3737" w:rsidRPr="000010BA" w:rsidRDefault="000010BA">
      <w:pPr>
        <w:numPr>
          <w:ilvl w:val="0"/>
          <w:numId w:val="3"/>
        </w:numPr>
        <w:spacing w:line="360" w:lineRule="auto"/>
        <w:jc w:val="both"/>
        <w:rPr>
          <w:rFonts w:ascii="Tahoma" w:eastAsia="Times New Roman" w:hAnsi="Tahoma" w:cs="Tahoma"/>
          <w:sz w:val="24"/>
          <w:szCs w:val="24"/>
        </w:rPr>
      </w:pPr>
      <w:r w:rsidRPr="000010BA">
        <w:rPr>
          <w:rFonts w:ascii="Tahoma" w:eastAsia="Times New Roman" w:hAnsi="Tahoma" w:cs="Tahoma"/>
          <w:sz w:val="24"/>
          <w:szCs w:val="24"/>
        </w:rPr>
        <w:t>w art. 256 § 1 otrzymuje brzmienie: ”§ 1. Kto publicznie propaguje faszystowski lub inny totalitarny ustrój państwa lub wywołuje albo szerzy nienawiść lub pogardę na tle różnic narodowościowych, etnicznych, rasowych, wyznaniowych albo ze względu na bezwyznaniowość, płeć, tożsamość płciową, ekspresję płciową, wiek, niepełnosprawność bądź orientację seksualną,</w:t>
      </w:r>
    </w:p>
    <w:p w14:paraId="0000000E" w14:textId="77777777" w:rsidR="004D3737" w:rsidRPr="000010BA" w:rsidRDefault="000010BA">
      <w:pPr>
        <w:spacing w:line="360" w:lineRule="auto"/>
        <w:ind w:left="720"/>
        <w:jc w:val="both"/>
        <w:rPr>
          <w:rFonts w:ascii="Tahoma" w:eastAsia="Times New Roman" w:hAnsi="Tahoma" w:cs="Tahoma"/>
          <w:sz w:val="24"/>
          <w:szCs w:val="24"/>
        </w:rPr>
      </w:pPr>
      <w:r w:rsidRPr="000010BA">
        <w:rPr>
          <w:rFonts w:ascii="Tahoma" w:eastAsia="Times New Roman" w:hAnsi="Tahoma" w:cs="Tahoma"/>
          <w:sz w:val="24"/>
          <w:szCs w:val="24"/>
        </w:rPr>
        <w:t>podlega grzywnie, karze ograniczenia wolności albo pozbawienia wolności do lat 2.”;</w:t>
      </w:r>
    </w:p>
    <w:p w14:paraId="0000000F" w14:textId="77777777" w:rsidR="004D3737" w:rsidRPr="000010BA" w:rsidRDefault="000010BA">
      <w:pPr>
        <w:numPr>
          <w:ilvl w:val="0"/>
          <w:numId w:val="3"/>
        </w:numPr>
        <w:spacing w:line="360" w:lineRule="auto"/>
        <w:jc w:val="both"/>
        <w:rPr>
          <w:rFonts w:ascii="Tahoma" w:eastAsia="Times New Roman" w:hAnsi="Tahoma" w:cs="Tahoma"/>
          <w:sz w:val="24"/>
          <w:szCs w:val="24"/>
        </w:rPr>
      </w:pPr>
      <w:r w:rsidRPr="000010BA">
        <w:rPr>
          <w:rFonts w:ascii="Tahoma" w:eastAsia="Times New Roman" w:hAnsi="Tahoma" w:cs="Tahoma"/>
          <w:sz w:val="24"/>
          <w:szCs w:val="24"/>
        </w:rPr>
        <w:t>art. 257 otrzymuje brzmienie: “Art. 257.</w:t>
      </w:r>
      <w:r w:rsidRPr="000010BA">
        <w:rPr>
          <w:rFonts w:ascii="Tahoma" w:eastAsia="Times New Roman" w:hAnsi="Tahoma" w:cs="Tahoma"/>
          <w:b/>
          <w:sz w:val="24"/>
          <w:szCs w:val="24"/>
        </w:rPr>
        <w:t xml:space="preserve"> </w:t>
      </w:r>
      <w:r w:rsidRPr="000010BA">
        <w:rPr>
          <w:rFonts w:ascii="Tahoma" w:eastAsia="Times New Roman" w:hAnsi="Tahoma" w:cs="Tahoma"/>
          <w:sz w:val="24"/>
          <w:szCs w:val="24"/>
        </w:rPr>
        <w:t xml:space="preserve">Kto publicznie znieważa grupę ludności albo poszczególną osobę z powodu przynależności narodowej, etnicznej, rasowej, wyznaniowej albo z powodu bezwyznaniowości, jak również ze względu na płeć, tożsamość płciową, ekspresję płciową, wiek, niepełnosprawność bądź orientację seksualną lub z takich powodów narusza </w:t>
      </w:r>
      <w:r w:rsidRPr="000010BA">
        <w:rPr>
          <w:rFonts w:ascii="Tahoma" w:eastAsia="Times New Roman" w:hAnsi="Tahoma" w:cs="Tahoma"/>
          <w:sz w:val="24"/>
          <w:szCs w:val="24"/>
        </w:rPr>
        <w:lastRenderedPageBreak/>
        <w:t>nietykalność cielesną innej osoby, podlega karze pozbawienia wolności do lat 3.”.</w:t>
      </w:r>
    </w:p>
    <w:p w14:paraId="00000010" w14:textId="77777777" w:rsidR="004D3737" w:rsidRPr="000010BA" w:rsidRDefault="004D3737">
      <w:pPr>
        <w:spacing w:line="360" w:lineRule="auto"/>
        <w:ind w:left="720"/>
        <w:jc w:val="both"/>
        <w:rPr>
          <w:rFonts w:ascii="Tahoma" w:eastAsia="Times New Roman" w:hAnsi="Tahoma" w:cs="Tahoma"/>
          <w:sz w:val="24"/>
          <w:szCs w:val="24"/>
        </w:rPr>
      </w:pPr>
    </w:p>
    <w:p w14:paraId="00000011" w14:textId="77777777" w:rsidR="004D3737" w:rsidRPr="000010BA" w:rsidRDefault="000010BA">
      <w:pPr>
        <w:spacing w:line="360" w:lineRule="auto"/>
        <w:jc w:val="both"/>
        <w:rPr>
          <w:rFonts w:ascii="Tahoma" w:eastAsia="Times New Roman" w:hAnsi="Tahoma" w:cs="Tahoma"/>
          <w:sz w:val="24"/>
          <w:szCs w:val="24"/>
        </w:rPr>
      </w:pPr>
      <w:r w:rsidRPr="000010BA">
        <w:rPr>
          <w:rFonts w:ascii="Tahoma" w:eastAsia="Times New Roman" w:hAnsi="Tahoma" w:cs="Tahoma"/>
          <w:b/>
          <w:sz w:val="24"/>
          <w:szCs w:val="24"/>
        </w:rPr>
        <w:t xml:space="preserve">Art. 2. </w:t>
      </w:r>
      <w:r w:rsidRPr="000010BA">
        <w:rPr>
          <w:rFonts w:ascii="Tahoma" w:eastAsia="Times New Roman" w:hAnsi="Tahoma" w:cs="Tahoma"/>
          <w:sz w:val="24"/>
          <w:szCs w:val="24"/>
        </w:rPr>
        <w:t>Ustawa wchodzi w życie po upływie 30 dni od dnia ogłoszenia.</w:t>
      </w:r>
    </w:p>
    <w:p w14:paraId="00000012" w14:textId="77777777" w:rsidR="004D3737" w:rsidRPr="000010BA" w:rsidRDefault="004D3737">
      <w:pPr>
        <w:spacing w:line="360" w:lineRule="auto"/>
        <w:jc w:val="both"/>
        <w:rPr>
          <w:rFonts w:ascii="Tahoma" w:eastAsia="Times New Roman" w:hAnsi="Tahoma" w:cs="Tahoma"/>
          <w:sz w:val="24"/>
          <w:szCs w:val="24"/>
        </w:rPr>
      </w:pPr>
    </w:p>
    <w:p w14:paraId="5E662DAE" w14:textId="77777777" w:rsidR="000010BA" w:rsidRDefault="000010BA">
      <w:pPr>
        <w:spacing w:line="360" w:lineRule="auto"/>
        <w:jc w:val="center"/>
        <w:rPr>
          <w:rFonts w:ascii="Tahoma" w:eastAsia="Times New Roman" w:hAnsi="Tahoma" w:cs="Tahoma"/>
          <w:b/>
          <w:sz w:val="24"/>
          <w:szCs w:val="24"/>
        </w:rPr>
      </w:pPr>
    </w:p>
    <w:p w14:paraId="62B31149" w14:textId="77777777" w:rsidR="000010BA" w:rsidRDefault="000010BA">
      <w:pPr>
        <w:spacing w:line="360" w:lineRule="auto"/>
        <w:jc w:val="center"/>
        <w:rPr>
          <w:rFonts w:ascii="Tahoma" w:eastAsia="Times New Roman" w:hAnsi="Tahoma" w:cs="Tahoma"/>
          <w:b/>
          <w:sz w:val="24"/>
          <w:szCs w:val="24"/>
        </w:rPr>
      </w:pPr>
    </w:p>
    <w:p w14:paraId="5EAEF5C3" w14:textId="77777777" w:rsidR="000010BA" w:rsidRDefault="000010BA">
      <w:pPr>
        <w:spacing w:line="360" w:lineRule="auto"/>
        <w:jc w:val="center"/>
        <w:rPr>
          <w:rFonts w:ascii="Tahoma" w:eastAsia="Times New Roman" w:hAnsi="Tahoma" w:cs="Tahoma"/>
          <w:b/>
          <w:sz w:val="24"/>
          <w:szCs w:val="24"/>
        </w:rPr>
      </w:pPr>
      <w:bookmarkStart w:id="0" w:name="_GoBack"/>
      <w:bookmarkEnd w:id="0"/>
    </w:p>
    <w:sectPr w:rsidR="000010BA">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A4E02"/>
    <w:multiLevelType w:val="multilevel"/>
    <w:tmpl w:val="B3682D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6D0338E"/>
    <w:multiLevelType w:val="multilevel"/>
    <w:tmpl w:val="0AEC7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16038E7"/>
    <w:multiLevelType w:val="multilevel"/>
    <w:tmpl w:val="8FAA14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6A01BD6"/>
    <w:multiLevelType w:val="hybridMultilevel"/>
    <w:tmpl w:val="29E0F15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E9A2891"/>
    <w:multiLevelType w:val="multilevel"/>
    <w:tmpl w:val="DD660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37"/>
    <w:rsid w:val="000010BA"/>
    <w:rsid w:val="000C293D"/>
    <w:rsid w:val="004D3737"/>
    <w:rsid w:val="00C855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8F2D2"/>
  <w15:docId w15:val="{C886A9E3-3314-4808-9050-2699B4CE8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after="60"/>
    </w:pPr>
    <w:rPr>
      <w:sz w:val="52"/>
      <w:szCs w:val="52"/>
    </w:rPr>
  </w:style>
  <w:style w:type="paragraph" w:styleId="Podtytu">
    <w:name w:val="Subtitle"/>
    <w:basedOn w:val="Normalny"/>
    <w:next w:val="Normalny"/>
    <w:pPr>
      <w:keepNext/>
      <w:keepLines/>
      <w:spacing w:after="320"/>
    </w:pPr>
    <w:rPr>
      <w:color w:val="666666"/>
      <w:sz w:val="30"/>
      <w:szCs w:val="30"/>
    </w:rPr>
  </w:style>
  <w:style w:type="paragraph" w:styleId="Akapitzlist">
    <w:name w:val="List Paragraph"/>
    <w:basedOn w:val="Normalny"/>
    <w:uiPriority w:val="34"/>
    <w:qFormat/>
    <w:rsid w:val="000010BA"/>
    <w:pPr>
      <w:ind w:left="720"/>
      <w:contextualSpacing/>
    </w:pPr>
  </w:style>
  <w:style w:type="paragraph" w:styleId="Tekstdymka">
    <w:name w:val="Balloon Text"/>
    <w:basedOn w:val="Normalny"/>
    <w:link w:val="TekstdymkaZnak"/>
    <w:uiPriority w:val="99"/>
    <w:semiHidden/>
    <w:unhideWhenUsed/>
    <w:rsid w:val="000C293D"/>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C29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235</Words>
  <Characters>1412</Characters>
  <Application>Microsoft Office Word</Application>
  <DocSecurity>0</DocSecurity>
  <Lines>11</Lines>
  <Paragraphs>3</Paragraphs>
  <ScaleCrop>false</ScaleCrop>
  <HeadingPairs>
    <vt:vector size="2" baseType="variant">
      <vt:variant>
        <vt:lpstr>Tytuł</vt:lpstr>
      </vt:variant>
      <vt:variant>
        <vt:i4>1</vt:i4>
      </vt:variant>
    </vt:vector>
  </HeadingPairs>
  <TitlesOfParts>
    <vt:vector size="1" baseType="lpstr">
      <vt:lpstr/>
    </vt:vector>
  </TitlesOfParts>
  <Company>Kancelaria Sejmu</Company>
  <LinksUpToDate>false</LinksUpToDate>
  <CharactersWithSpaces>1644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Dariusz Standerski</dc:creator>
  <cp:lastModifiedBy>Grzegorz Molesztak</cp:lastModifiedBy>
  <cp:revision>3</cp:revision>
  <cp:lastPrinted>2020-06-10T07:05:00Z</cp:lastPrinted>
  <dcterms:created xsi:type="dcterms:W3CDTF">2020-06-10T07:08:00Z</dcterms:created>
  <dcterms:modified xsi:type="dcterms:W3CDTF">2020-07-08T10:04:00Z</dcterms:modified>
</cp:coreProperties>
</file>