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D4472" w:rsidRPr="00BB6885" w:rsidRDefault="008C7BFE">
      <w:pPr>
        <w:spacing w:line="360" w:lineRule="auto"/>
        <w:jc w:val="right"/>
        <w:rPr>
          <w:rFonts w:ascii="Tahoma" w:eastAsia="Times New Roman" w:hAnsi="Tahoma" w:cs="Tahoma"/>
          <w:b/>
          <w:sz w:val="24"/>
          <w:szCs w:val="24"/>
          <w:u w:val="single"/>
        </w:rPr>
      </w:pPr>
      <w:r w:rsidRPr="00BB6885">
        <w:rPr>
          <w:rFonts w:ascii="Tahoma" w:eastAsia="Times New Roman" w:hAnsi="Tahoma" w:cs="Tahoma"/>
          <w:b/>
          <w:sz w:val="24"/>
          <w:szCs w:val="24"/>
          <w:u w:val="single"/>
        </w:rPr>
        <w:t>Projekt</w:t>
      </w:r>
    </w:p>
    <w:p w14:paraId="00000002" w14:textId="77777777" w:rsidR="00DD4472" w:rsidRPr="00BB6885" w:rsidRDefault="00DD4472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  <w:u w:val="single"/>
        </w:rPr>
      </w:pPr>
    </w:p>
    <w:p w14:paraId="00000003" w14:textId="1A67C6D3" w:rsidR="00DD4472" w:rsidRDefault="008C7BFE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BB6885">
        <w:rPr>
          <w:rFonts w:ascii="Tahoma" w:eastAsia="Times New Roman" w:hAnsi="Tahoma" w:cs="Tahoma"/>
          <w:b/>
          <w:sz w:val="24"/>
          <w:szCs w:val="24"/>
        </w:rPr>
        <w:t>USTAWA</w:t>
      </w:r>
    </w:p>
    <w:p w14:paraId="1A435603" w14:textId="77777777" w:rsidR="00BB6885" w:rsidRPr="00BB6885" w:rsidRDefault="00BB6885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04" w14:textId="7DDBFE6F" w:rsidR="00DD4472" w:rsidRDefault="00BB6885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z dnia ...</w:t>
      </w:r>
      <w:r w:rsidR="008C7BFE" w:rsidRPr="00BB6885">
        <w:rPr>
          <w:rFonts w:ascii="Tahoma" w:eastAsia="Times New Roman" w:hAnsi="Tahoma" w:cs="Tahoma"/>
          <w:sz w:val="24"/>
          <w:szCs w:val="24"/>
        </w:rPr>
        <w:t xml:space="preserve"> 2020 r.</w:t>
      </w:r>
    </w:p>
    <w:p w14:paraId="7BBCF09E" w14:textId="77777777" w:rsidR="00BB6885" w:rsidRPr="00BB6885" w:rsidRDefault="00BB6885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5" w14:textId="77777777" w:rsidR="00DD4472" w:rsidRPr="00BB6885" w:rsidRDefault="008C7BFE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BB6885">
        <w:rPr>
          <w:rFonts w:ascii="Tahoma" w:eastAsia="Times New Roman" w:hAnsi="Tahoma" w:cs="Tahoma"/>
          <w:b/>
          <w:sz w:val="24"/>
          <w:szCs w:val="24"/>
        </w:rPr>
        <w:t>o zmianie ustawy – Kodeks postępowania administracyjnego oraz ustawy o gospodarce nieruchomościami</w:t>
      </w:r>
    </w:p>
    <w:p w14:paraId="00000006" w14:textId="77777777" w:rsidR="00DD4472" w:rsidRPr="00BB6885" w:rsidRDefault="00DD4472">
      <w:pPr>
        <w:spacing w:line="36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0000007" w14:textId="77777777" w:rsidR="00DD4472" w:rsidRPr="00BB6885" w:rsidRDefault="008C7BFE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ab/>
      </w:r>
      <w:r w:rsidRPr="00BB6885">
        <w:rPr>
          <w:rFonts w:ascii="Tahoma" w:eastAsia="Times New Roman" w:hAnsi="Tahoma" w:cs="Tahoma"/>
          <w:b/>
          <w:sz w:val="24"/>
          <w:szCs w:val="24"/>
        </w:rPr>
        <w:t>Art. 1.</w:t>
      </w:r>
      <w:r w:rsidRPr="00BB6885">
        <w:rPr>
          <w:rFonts w:ascii="Tahoma" w:eastAsia="Times New Roman" w:hAnsi="Tahoma" w:cs="Tahoma"/>
          <w:sz w:val="24"/>
          <w:szCs w:val="24"/>
        </w:rPr>
        <w:t xml:space="preserve"> W ustawie z dnia 14 czerwca 1960 r. – Kodeks postępowania administracyjnego (Dz.U. z 2020 r. poz. 256, 285 i 695) w art. 156 § 2 nadaje się brzmienie:</w:t>
      </w:r>
    </w:p>
    <w:p w14:paraId="00000008" w14:textId="77777777" w:rsidR="00DD4472" w:rsidRPr="00BB6885" w:rsidRDefault="008C7BFE">
      <w:pPr>
        <w:spacing w:line="360" w:lineRule="auto"/>
        <w:ind w:left="720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BB6885">
        <w:rPr>
          <w:rFonts w:ascii="Tahoma" w:eastAsia="Times New Roman" w:hAnsi="Tahoma" w:cs="Tahoma"/>
          <w:sz w:val="24"/>
          <w:szCs w:val="24"/>
        </w:rPr>
        <w:t>„</w:t>
      </w:r>
      <w:r w:rsidRPr="00BB6885">
        <w:rPr>
          <w:rFonts w:ascii="Tahoma" w:eastAsia="Times New Roman" w:hAnsi="Tahoma" w:cs="Tahoma"/>
          <w:sz w:val="24"/>
          <w:szCs w:val="24"/>
          <w:highlight w:val="white"/>
        </w:rPr>
        <w:t>§ 2. Nie stwierdza się nieważności decyzji:</w:t>
      </w:r>
    </w:p>
    <w:p w14:paraId="00000009" w14:textId="77777777" w:rsidR="00DD4472" w:rsidRPr="00BB6885" w:rsidRDefault="008C7BFE">
      <w:pPr>
        <w:numPr>
          <w:ilvl w:val="0"/>
          <w:numId w:val="3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BB6885">
        <w:rPr>
          <w:rFonts w:ascii="Tahoma" w:eastAsia="Times New Roman" w:hAnsi="Tahoma" w:cs="Tahoma"/>
          <w:sz w:val="24"/>
          <w:szCs w:val="24"/>
          <w:highlight w:val="white"/>
        </w:rPr>
        <w:t>z przyczyn wymienionych w § 1 pkt 1, 3, 4 i 7, jeżeli od dnia jej doręczenia lub ogłoszenia upłynęło dziesięć lat,</w:t>
      </w:r>
    </w:p>
    <w:p w14:paraId="0000000A" w14:textId="77777777" w:rsidR="00DD4472" w:rsidRPr="00BB6885" w:rsidRDefault="008C7BFE">
      <w:pPr>
        <w:numPr>
          <w:ilvl w:val="0"/>
          <w:numId w:val="3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BB6885">
        <w:rPr>
          <w:rFonts w:ascii="Tahoma" w:eastAsia="Times New Roman" w:hAnsi="Tahoma" w:cs="Tahoma"/>
          <w:sz w:val="24"/>
          <w:szCs w:val="24"/>
          <w:highlight w:val="white"/>
        </w:rPr>
        <w:t>z przyczyn wymienionych w § 1 pkt 2, jeżeli od dnia jej doręczenia lub ogłoszenia upłynęło dwadzieścia pięć lat,</w:t>
      </w:r>
    </w:p>
    <w:p w14:paraId="0000000B" w14:textId="77777777" w:rsidR="00DD4472" w:rsidRPr="00BB6885" w:rsidRDefault="008C7BFE">
      <w:pPr>
        <w:spacing w:line="360" w:lineRule="auto"/>
        <w:ind w:left="1440" w:hanging="720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BB6885">
        <w:rPr>
          <w:rFonts w:ascii="Tahoma" w:eastAsia="Times New Roman" w:hAnsi="Tahoma" w:cs="Tahoma"/>
          <w:sz w:val="24"/>
          <w:szCs w:val="24"/>
          <w:highlight w:val="white"/>
        </w:rPr>
        <w:t>– a także gdy decyzja wywołała nieodwracalne skutki prawne.”.</w:t>
      </w:r>
    </w:p>
    <w:p w14:paraId="0000000C" w14:textId="77777777" w:rsidR="00DD4472" w:rsidRPr="00BB6885" w:rsidRDefault="00DD4472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</w:p>
    <w:p w14:paraId="0000000D" w14:textId="77777777" w:rsidR="00DD4472" w:rsidRPr="00BB6885" w:rsidRDefault="008C7BFE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BB6885">
        <w:rPr>
          <w:rFonts w:ascii="Tahoma" w:eastAsia="Times New Roman" w:hAnsi="Tahoma" w:cs="Tahoma"/>
          <w:sz w:val="24"/>
          <w:szCs w:val="24"/>
          <w:highlight w:val="white"/>
        </w:rPr>
        <w:tab/>
      </w:r>
      <w:r w:rsidRPr="00BB6885">
        <w:rPr>
          <w:rFonts w:ascii="Tahoma" w:eastAsia="Times New Roman" w:hAnsi="Tahoma" w:cs="Tahoma"/>
          <w:b/>
          <w:sz w:val="24"/>
          <w:szCs w:val="24"/>
          <w:highlight w:val="white"/>
        </w:rPr>
        <w:t xml:space="preserve">Art. 2. </w:t>
      </w:r>
      <w:r w:rsidRPr="00BB6885">
        <w:rPr>
          <w:rFonts w:ascii="Tahoma" w:eastAsia="Times New Roman" w:hAnsi="Tahoma" w:cs="Tahoma"/>
          <w:sz w:val="24"/>
          <w:szCs w:val="24"/>
          <w:highlight w:val="white"/>
        </w:rPr>
        <w:t>W ustawie z dnia 21 sierpnia 1997 r. o gospodarce nieruchomościami (Dz.U. z 2020 r. poz. 65, 284, 471 i 782) wprowadza się następujące zmiany:</w:t>
      </w:r>
    </w:p>
    <w:p w14:paraId="0000000E" w14:textId="77777777" w:rsidR="00DD4472" w:rsidRPr="00BB6885" w:rsidRDefault="008C7BFE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BB6885">
        <w:rPr>
          <w:rFonts w:ascii="Tahoma" w:eastAsia="Times New Roman" w:hAnsi="Tahoma" w:cs="Tahoma"/>
          <w:sz w:val="24"/>
          <w:szCs w:val="24"/>
          <w:highlight w:val="white"/>
        </w:rPr>
        <w:t>w art. 6 po pkt 9d dodaje się pkt 9e w brzmieniu:</w:t>
      </w:r>
    </w:p>
    <w:p w14:paraId="0000000F" w14:textId="77777777" w:rsidR="00DD4472" w:rsidRPr="00BB6885" w:rsidRDefault="008C7BFE">
      <w:pPr>
        <w:numPr>
          <w:ilvl w:val="1"/>
          <w:numId w:val="1"/>
        </w:numPr>
        <w:spacing w:line="360" w:lineRule="auto"/>
        <w:ind w:hanging="720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BB6885">
        <w:rPr>
          <w:rFonts w:ascii="Tahoma" w:eastAsia="Times New Roman" w:hAnsi="Tahoma" w:cs="Tahoma"/>
          <w:sz w:val="24"/>
          <w:szCs w:val="24"/>
        </w:rPr>
        <w:t>zaspokajanie potrzeb mieszkaniowych przez podmioty dysponujące, jako właściciele lub posiadacze samoistni, publicznym zasobem mieszkaniowym w rozumieniu ustawy z dnia 21 czerwca 2001 r. o ochronie praw lokatorów, mieszkaniowym zasobie gminy i o zmianie Kodeksu cywilnego (Dz.U. z 2020 r. poz. 611);”;</w:t>
      </w:r>
    </w:p>
    <w:p w14:paraId="00000010" w14:textId="77777777" w:rsidR="00DD4472" w:rsidRPr="00BB6885" w:rsidRDefault="008C7BFE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w art. 214a:</w:t>
      </w:r>
    </w:p>
    <w:p w14:paraId="1CC8E03D" w14:textId="77777777" w:rsidR="00BB6885" w:rsidRDefault="008C7BFE">
      <w:pPr>
        <w:numPr>
          <w:ilvl w:val="1"/>
          <w:numId w:val="4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wprowadzenie do wyli</w:t>
      </w:r>
      <w:r w:rsidR="00BB6885">
        <w:rPr>
          <w:rFonts w:ascii="Tahoma" w:eastAsia="Times New Roman" w:hAnsi="Tahoma" w:cs="Tahoma"/>
          <w:sz w:val="24"/>
          <w:szCs w:val="24"/>
        </w:rPr>
        <w:t xml:space="preserve">czenia otrzymuje brzmienie: </w:t>
      </w:r>
    </w:p>
    <w:p w14:paraId="00000011" w14:textId="5C1E9862" w:rsidR="00DD4472" w:rsidRPr="00BB6885" w:rsidRDefault="008C7BFE" w:rsidP="00BB6885">
      <w:pPr>
        <w:spacing w:line="360" w:lineRule="auto"/>
        <w:ind w:left="1440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 xml:space="preserve">„Art. 214a. Odmawia się ustanowienia prawa użytkowania wieczystego na rzecz poprzedniego właściciela gruntu w rozumieniu art. 7 ust. 1 dekretu z dnia 26 października 1945 r. o własności i użytkowaniu </w:t>
      </w:r>
      <w:r w:rsidRPr="00BB6885">
        <w:rPr>
          <w:rFonts w:ascii="Tahoma" w:eastAsia="Times New Roman" w:hAnsi="Tahoma" w:cs="Tahoma"/>
          <w:sz w:val="24"/>
          <w:szCs w:val="24"/>
        </w:rPr>
        <w:lastRenderedPageBreak/>
        <w:t>gruntów na obszarze m.st. Warszawy niezależnie od przyczyn wymienionych w art. 7 ust. 2 tego dekretu, także ze względu na:”,</w:t>
      </w:r>
    </w:p>
    <w:p w14:paraId="00000012" w14:textId="77777777" w:rsidR="00DD4472" w:rsidRPr="00BB6885" w:rsidRDefault="008C7BFE">
      <w:pPr>
        <w:numPr>
          <w:ilvl w:val="1"/>
          <w:numId w:val="4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pkt 4 otrzymuje brzmienie:</w:t>
      </w:r>
    </w:p>
    <w:p w14:paraId="00000013" w14:textId="77777777" w:rsidR="00DD4472" w:rsidRPr="00BB6885" w:rsidRDefault="008C7BFE">
      <w:pPr>
        <w:spacing w:line="360" w:lineRule="auto"/>
        <w:ind w:left="2160" w:hanging="720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„4)</w:t>
      </w:r>
      <w:r w:rsidRPr="00BB6885">
        <w:rPr>
          <w:rFonts w:ascii="Tahoma" w:eastAsia="Times New Roman" w:hAnsi="Tahoma" w:cs="Tahoma"/>
          <w:sz w:val="24"/>
          <w:szCs w:val="24"/>
        </w:rPr>
        <w:tab/>
        <w:t>odbudowę lub remont, dokonany ze środków publicznych, budynków, o których mowa w art. 5 dekretu z dnia 26 października 1945 r. o własności i użytkowaniu gruntów na obszarze m.st. Warszawy, zniszczonych w latach 1939–1945 więcej niż w 50%;”,</w:t>
      </w:r>
    </w:p>
    <w:p w14:paraId="00000014" w14:textId="77777777" w:rsidR="00DD4472" w:rsidRPr="00BB6885" w:rsidRDefault="008C7BFE">
      <w:pPr>
        <w:numPr>
          <w:ilvl w:val="1"/>
          <w:numId w:val="4"/>
        </w:num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w pkt 5 kropkę zastępuje się średnikiem i dodaje po nim pkt 6 w brzmieniu:</w:t>
      </w:r>
    </w:p>
    <w:p w14:paraId="00000015" w14:textId="77777777" w:rsidR="00DD4472" w:rsidRPr="00BB6885" w:rsidRDefault="008C7BFE">
      <w:pPr>
        <w:spacing w:line="360" w:lineRule="auto"/>
        <w:ind w:left="2160" w:hanging="720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„6)</w:t>
      </w:r>
      <w:r w:rsidRPr="00BB6885">
        <w:rPr>
          <w:rFonts w:ascii="Tahoma" w:eastAsia="Times New Roman" w:hAnsi="Tahoma" w:cs="Tahoma"/>
          <w:sz w:val="24"/>
          <w:szCs w:val="24"/>
        </w:rPr>
        <w:tab/>
        <w:t>posadowienie na gruncie budynku, w którym znajduje się więcej niż jeden samodzielny lokal mieszkalny w rozumieniu ustawy z dnia 24 czerwca 1994 r. o własności lokali (Dz.U. z 2020 r. poz. 532 i 568).”.</w:t>
      </w:r>
    </w:p>
    <w:p w14:paraId="4AF9E2B6" w14:textId="77777777" w:rsidR="0075714D" w:rsidRDefault="008C7BFE" w:rsidP="0075714D">
      <w:pPr>
        <w:numPr>
          <w:ilvl w:val="0"/>
          <w:numId w:val="2"/>
        </w:numPr>
        <w:spacing w:line="360" w:lineRule="auto"/>
        <w:ind w:left="851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po art. 214b do</w:t>
      </w:r>
      <w:r w:rsidR="0075714D">
        <w:rPr>
          <w:rFonts w:ascii="Tahoma" w:eastAsia="Times New Roman" w:hAnsi="Tahoma" w:cs="Tahoma"/>
          <w:sz w:val="24"/>
          <w:szCs w:val="24"/>
        </w:rPr>
        <w:t>daje się art. 214c w brzmieniu:</w:t>
      </w:r>
    </w:p>
    <w:p w14:paraId="00000016" w14:textId="5B1EE311" w:rsidR="00DD4472" w:rsidRPr="00BB6885" w:rsidRDefault="008C7BFE" w:rsidP="0075714D">
      <w:pPr>
        <w:spacing w:line="360" w:lineRule="auto"/>
        <w:ind w:left="1276" w:hanging="425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„Art. 214c. 1. Wartość nieruchomości przejętej na podstawie dekretu z dnia 26 października 1945 r. o własności i użytkowaniu gruntów na obszarze m.st. Warszawy, w tym wartość budynków, ich części, w tym lokali oraz innych urządzeń stanowiących część składową nieruchomości albo przejętych wraz z nieruchomością przejętą, ustala się według jej stanu na dzień przejęcia, z uwzględnieniem istniejących w tym dniu części składowych nieruchomości oraz hipoteki w rozumieniu art. 65 ustawy z dnia 6 lipca 1982 r. o księgach wieczystych i hipotece (Dz.U. z 2019 r. poz. 2204).</w:t>
      </w:r>
    </w:p>
    <w:p w14:paraId="00000017" w14:textId="77777777" w:rsidR="00DD4472" w:rsidRPr="00BB6885" w:rsidRDefault="008C7BFE" w:rsidP="0075714D">
      <w:pPr>
        <w:spacing w:line="360" w:lineRule="auto"/>
        <w:ind w:left="1276" w:hanging="567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2. Dniem przejęcia nieruchomości, o którym mowa w ust. 1,  jest dzień, w którym:</w:t>
      </w:r>
    </w:p>
    <w:p w14:paraId="00000018" w14:textId="77777777" w:rsidR="00DD4472" w:rsidRPr="00BB6885" w:rsidRDefault="008C7BFE" w:rsidP="0075714D">
      <w:pPr>
        <w:spacing w:line="360" w:lineRule="auto"/>
        <w:ind w:left="1418" w:hanging="283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1)</w:t>
      </w:r>
      <w:r w:rsidRPr="00BB6885">
        <w:rPr>
          <w:rFonts w:ascii="Tahoma" w:eastAsia="Times New Roman" w:hAnsi="Tahoma" w:cs="Tahoma"/>
          <w:sz w:val="24"/>
          <w:szCs w:val="24"/>
        </w:rPr>
        <w:tab/>
        <w:t>sporządzono protokół przejęcia nieruchomości przez Skarb Państwa lub przez inną osobę prawną prawa publicznego, albo</w:t>
      </w:r>
    </w:p>
    <w:p w14:paraId="00000019" w14:textId="77777777" w:rsidR="00DD4472" w:rsidRPr="00BB6885" w:rsidRDefault="008C7BFE" w:rsidP="0075714D">
      <w:pPr>
        <w:spacing w:line="360" w:lineRule="auto"/>
        <w:ind w:left="1418" w:hanging="283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2)</w:t>
      </w:r>
      <w:r w:rsidRPr="00BB6885">
        <w:rPr>
          <w:rFonts w:ascii="Tahoma" w:eastAsia="Times New Roman" w:hAnsi="Tahoma" w:cs="Tahoma"/>
          <w:sz w:val="24"/>
          <w:szCs w:val="24"/>
        </w:rPr>
        <w:tab/>
        <w:t>Skarb Państwa lub inna osoba prawna prawa publicznego objęła nieruchomość w posiadanie – jeżeli przejęcie nastąpiło wskutek nabycia posiadania.</w:t>
      </w:r>
    </w:p>
    <w:p w14:paraId="4E86C179" w14:textId="77777777" w:rsidR="00BB6885" w:rsidRDefault="008C7BFE" w:rsidP="0075714D">
      <w:pPr>
        <w:spacing w:line="360" w:lineRule="auto"/>
        <w:ind w:left="1276" w:hanging="425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lastRenderedPageBreak/>
        <w:t>3. W braku dowodów przejęcia, o których mowa w ust. 2, za dzień przejęcia nieruchomości uznaje się datę wynikającą z innych dokumentów, a w przypadku ich braku – dzień wejścia w życie aktów prawnych s</w:t>
      </w:r>
      <w:r w:rsidR="00BB6885">
        <w:rPr>
          <w:rFonts w:ascii="Tahoma" w:eastAsia="Times New Roman" w:hAnsi="Tahoma" w:cs="Tahoma"/>
          <w:sz w:val="24"/>
          <w:szCs w:val="24"/>
        </w:rPr>
        <w:t>tanowiących podstawę przejęcia.</w:t>
      </w:r>
    </w:p>
    <w:p w14:paraId="31D788FD" w14:textId="77777777" w:rsidR="00BB6885" w:rsidRDefault="008C7BFE" w:rsidP="0075714D">
      <w:pPr>
        <w:spacing w:line="360" w:lineRule="auto"/>
        <w:ind w:left="1276" w:hanging="425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 xml:space="preserve">4. Wartość nieruchomości przejętej oblicza się według cen lub kosztów odtworzenia na dzień przejęcia nieruchomości. Wartość obciążeń, o których mowa w ust. 1, oblicza się według ich wartości w chwili przejęcia nieruchomości w stosunku do wartości </w:t>
      </w:r>
      <w:r w:rsidR="00BB6885">
        <w:rPr>
          <w:rFonts w:ascii="Tahoma" w:eastAsia="Times New Roman" w:hAnsi="Tahoma" w:cs="Tahoma"/>
          <w:sz w:val="24"/>
          <w:szCs w:val="24"/>
        </w:rPr>
        <w:t>nieruchomości w dniu przejęcia.</w:t>
      </w:r>
    </w:p>
    <w:p w14:paraId="475D87AD" w14:textId="77777777" w:rsidR="00BB6885" w:rsidRDefault="008C7BFE" w:rsidP="0075714D">
      <w:pPr>
        <w:spacing w:line="360" w:lineRule="auto"/>
        <w:ind w:left="1276" w:hanging="425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 xml:space="preserve">5. Waloryzacji wartości, o której mowa w ust. 4, dokonuje się przy zastosowaniu wskaźnika cen towarów i usług konsumpcyjnych ogłaszanego przez Prezesa Głównego Urzędu Statystycznego. Sposobów waloryzacji, o których </w:t>
      </w:r>
      <w:r w:rsidR="00BB6885">
        <w:rPr>
          <w:rFonts w:ascii="Tahoma" w:eastAsia="Times New Roman" w:hAnsi="Tahoma" w:cs="Tahoma"/>
          <w:sz w:val="24"/>
          <w:szCs w:val="24"/>
        </w:rPr>
        <w:t>mowa w art. 5, nie stosuje się.</w:t>
      </w:r>
    </w:p>
    <w:p w14:paraId="0000001A" w14:textId="4832290C" w:rsidR="00DD4472" w:rsidRPr="00BB6885" w:rsidRDefault="008C7BFE" w:rsidP="0075714D">
      <w:pPr>
        <w:spacing w:line="360" w:lineRule="auto"/>
        <w:ind w:left="1276" w:hanging="425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6. Jeżeli właściciel nieruchomości lub osoba ponosząca osobistą odpowiedzialność z tytułu wierzytelności zabezpieczonych na nieruchomości przejętej spełniła do dnia przejęcia nieruchomości przypadające na nią świadczenia w całości lub w części, obliczając wartość nieruchomości przejętej, nie uwzględnia się wartości obciążeń, o których mowa w ust. 1, do wysokości wartości spełnionego świadczenia.</w:t>
      </w:r>
    </w:p>
    <w:p w14:paraId="0000001B" w14:textId="77777777" w:rsidR="00DD4472" w:rsidRPr="00BB6885" w:rsidRDefault="008C7BFE" w:rsidP="0075714D">
      <w:pPr>
        <w:spacing w:line="360" w:lineRule="auto"/>
        <w:ind w:left="1276" w:hanging="425"/>
        <w:jc w:val="both"/>
        <w:rPr>
          <w:rFonts w:ascii="Tahoma" w:eastAsia="Times New Roman" w:hAnsi="Tahoma" w:cs="Tahoma"/>
          <w:sz w:val="24"/>
          <w:szCs w:val="24"/>
        </w:rPr>
      </w:pPr>
      <w:r w:rsidRPr="00BB6885">
        <w:rPr>
          <w:rFonts w:ascii="Tahoma" w:eastAsia="Times New Roman" w:hAnsi="Tahoma" w:cs="Tahoma"/>
          <w:sz w:val="24"/>
          <w:szCs w:val="24"/>
        </w:rPr>
        <w:t>7. Minister właściwy do spraw budownictwa, planowania i zagospodarowania przestrzennego oraz mieszkalnictwa określi, w drodze rozporządzenia, standardy wyceny, uwzględniając wartość rynkową nieruchomości z dnia przejęcia nieruchomości przez Skarb Państwa.</w:t>
      </w:r>
    </w:p>
    <w:p w14:paraId="0000001C" w14:textId="77777777" w:rsidR="00DD4472" w:rsidRPr="00BB6885" w:rsidRDefault="00DD4472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</w:p>
    <w:p w14:paraId="0000001D" w14:textId="77777777" w:rsidR="00DD4472" w:rsidRPr="00BB6885" w:rsidRDefault="008C7BFE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highlight w:val="white"/>
        </w:rPr>
      </w:pPr>
      <w:r w:rsidRPr="00BB6885">
        <w:rPr>
          <w:rFonts w:ascii="Tahoma" w:eastAsia="Times New Roman" w:hAnsi="Tahoma" w:cs="Tahoma"/>
          <w:b/>
          <w:sz w:val="24"/>
          <w:szCs w:val="24"/>
          <w:highlight w:val="white"/>
        </w:rPr>
        <w:t>Art. 3.</w:t>
      </w:r>
      <w:r w:rsidRPr="00BB6885">
        <w:rPr>
          <w:rFonts w:ascii="Tahoma" w:eastAsia="Times New Roman" w:hAnsi="Tahoma" w:cs="Tahoma"/>
          <w:sz w:val="24"/>
          <w:szCs w:val="24"/>
          <w:highlight w:val="white"/>
        </w:rPr>
        <w:t xml:space="preserve"> Ustawa wchodzi w życie po upływie 3 miesięcy od dnia ogłoszenia.</w:t>
      </w:r>
    </w:p>
    <w:p w14:paraId="0000001E" w14:textId="77777777" w:rsidR="00DD4472" w:rsidRPr="00BB6885" w:rsidRDefault="00DD4472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00001F" w14:textId="77777777" w:rsidR="00DD4472" w:rsidRPr="00BB6885" w:rsidRDefault="00DD4472">
      <w:pPr>
        <w:spacing w:line="360" w:lineRule="auto"/>
        <w:rPr>
          <w:rFonts w:ascii="Tahoma" w:eastAsia="Times New Roman" w:hAnsi="Tahoma" w:cs="Tahoma"/>
          <w:sz w:val="24"/>
          <w:szCs w:val="24"/>
        </w:rPr>
      </w:pPr>
    </w:p>
    <w:p w14:paraId="00000020" w14:textId="460437C7" w:rsidR="00DD4472" w:rsidRPr="00BB6885" w:rsidRDefault="00DD4472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  <w:highlight w:val="white"/>
        </w:rPr>
      </w:pPr>
      <w:bookmarkStart w:id="0" w:name="_GoBack"/>
      <w:bookmarkEnd w:id="0"/>
    </w:p>
    <w:sectPr w:rsidR="00DD4472" w:rsidRPr="00BB6885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AE23DE" w14:textId="77777777" w:rsidR="00CF492B" w:rsidRDefault="00CF492B">
      <w:pPr>
        <w:spacing w:line="240" w:lineRule="auto"/>
      </w:pPr>
      <w:r>
        <w:separator/>
      </w:r>
    </w:p>
  </w:endnote>
  <w:endnote w:type="continuationSeparator" w:id="0">
    <w:p w14:paraId="00074106" w14:textId="77777777" w:rsidR="00CF492B" w:rsidRDefault="00CF4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4D" w14:textId="77777777" w:rsidR="00DD4472" w:rsidRDefault="00DD44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C821B3" w14:textId="77777777" w:rsidR="00CF492B" w:rsidRDefault="00CF492B">
      <w:pPr>
        <w:spacing w:line="240" w:lineRule="auto"/>
      </w:pPr>
      <w:r>
        <w:separator/>
      </w:r>
    </w:p>
  </w:footnote>
  <w:footnote w:type="continuationSeparator" w:id="0">
    <w:p w14:paraId="763A0B5B" w14:textId="77777777" w:rsidR="00CF492B" w:rsidRDefault="00CF492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259BA"/>
    <w:multiLevelType w:val="multilevel"/>
    <w:tmpl w:val="F9B66FF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F60CF9"/>
    <w:multiLevelType w:val="multilevel"/>
    <w:tmpl w:val="BDDC127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9"/>
      <w:numFmt w:val="decimal"/>
      <w:lvlText w:val="„%2e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B5B4871"/>
    <w:multiLevelType w:val="multilevel"/>
    <w:tmpl w:val="D40E9EB0"/>
    <w:lvl w:ilvl="0">
      <w:start w:val="1"/>
      <w:numFmt w:val="decimal"/>
      <w:lvlText w:val="%1)"/>
      <w:lvlJc w:val="left"/>
      <w:pPr>
        <w:ind w:left="1440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3631302F"/>
    <w:multiLevelType w:val="multilevel"/>
    <w:tmpl w:val="66FAE7A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720"/>
      </w:pPr>
      <w:rPr>
        <w:u w:val="none"/>
      </w:rPr>
    </w:lvl>
    <w:lvl w:ilvl="2">
      <w:start w:val="6"/>
      <w:numFmt w:val="decimal"/>
      <w:lvlText w:val="„%3)"/>
      <w:lvlJc w:val="left"/>
      <w:pPr>
        <w:ind w:left="2160" w:hanging="72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45B547C"/>
    <w:multiLevelType w:val="multilevel"/>
    <w:tmpl w:val="ADD68ED6"/>
    <w:lvl w:ilvl="0">
      <w:start w:val="3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472"/>
    <w:rsid w:val="000605E0"/>
    <w:rsid w:val="0033009C"/>
    <w:rsid w:val="0075714D"/>
    <w:rsid w:val="008C7BFE"/>
    <w:rsid w:val="00BB6885"/>
    <w:rsid w:val="00CF492B"/>
    <w:rsid w:val="00D21462"/>
    <w:rsid w:val="00DD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165A2"/>
  <w15:docId w15:val="{6CD90B39-CB03-4634-824F-7EECD635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4522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dcterms:created xsi:type="dcterms:W3CDTF">2020-06-16T13:13:00Z</dcterms:created>
  <dcterms:modified xsi:type="dcterms:W3CDTF">2020-07-22T10:49:00Z</dcterms:modified>
</cp:coreProperties>
</file>