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C46C0E" w14:textId="77777777" w:rsidR="00F348ED" w:rsidRPr="00841FCB" w:rsidRDefault="00F348ED" w:rsidP="00841FCB">
      <w:pPr>
        <w:pStyle w:val="Tytu"/>
        <w:spacing w:before="120" w:line="360" w:lineRule="auto"/>
        <w:rPr>
          <w:b w:val="0"/>
          <w:sz w:val="24"/>
        </w:rPr>
      </w:pPr>
      <w:bookmarkStart w:id="0" w:name="_GoBack"/>
      <w:bookmarkEnd w:id="0"/>
      <w:r w:rsidRPr="00841FCB">
        <w:rPr>
          <w:b w:val="0"/>
          <w:sz w:val="24"/>
        </w:rPr>
        <w:t>UZASADNIENIE</w:t>
      </w:r>
    </w:p>
    <w:p w14:paraId="30724508" w14:textId="77777777" w:rsidR="00F348ED" w:rsidRPr="00841FCB" w:rsidRDefault="00F348ED" w:rsidP="00841FCB">
      <w:pPr>
        <w:pStyle w:val="Tekstpodstawowy"/>
        <w:numPr>
          <w:ilvl w:val="0"/>
          <w:numId w:val="3"/>
        </w:numPr>
        <w:spacing w:before="240" w:after="0" w:line="360" w:lineRule="auto"/>
        <w:jc w:val="both"/>
        <w:rPr>
          <w:b/>
        </w:rPr>
      </w:pPr>
      <w:r w:rsidRPr="00841FCB">
        <w:rPr>
          <w:b/>
        </w:rPr>
        <w:t xml:space="preserve">Wyjaśnienie potrzeby i celu związania Rzeczypospolitej Polskiej Konwencją </w:t>
      </w:r>
      <w:r w:rsidRPr="00841FCB">
        <w:rPr>
          <w:b/>
          <w:bCs/>
        </w:rPr>
        <w:t>UNESCO o ochronie podwodnego dziedzictwa kulturowego</w:t>
      </w:r>
    </w:p>
    <w:p w14:paraId="2ACF059F" w14:textId="74B1D69D" w:rsidR="00F348ED" w:rsidRPr="00841FCB" w:rsidRDefault="00F348ED" w:rsidP="00841FCB">
      <w:pPr>
        <w:spacing w:before="120" w:line="360" w:lineRule="auto"/>
        <w:jc w:val="both"/>
      </w:pPr>
      <w:r w:rsidRPr="00841FCB">
        <w:t xml:space="preserve">Druga połowa XX wieku przyniosła szereg innowacji technologicznych pozwalających o wiele łatwiej i bezpieczniej eksplorować dna mórz i oceanów. Rozwój techniki </w:t>
      </w:r>
      <w:r w:rsidR="00FA4EA1" w:rsidRPr="00841FCB">
        <w:t>w</w:t>
      </w:r>
      <w:r w:rsidR="00FA4EA1">
        <w:t> </w:t>
      </w:r>
      <w:r w:rsidRPr="00841FCB">
        <w:t>dziedzinie nurkowania spowodował zwiększenie zainteresowania podwodnym dziedzictwem kulturowym. Popularność zyskało także zjawisko poszukiwania skarbów znajdujących się najczęściej we wrakach statków. Negatywną tego konsekwencją stały się działania rabunkowe polegające na plądrowaniu obiektów znajdujących się na dnie. Nielegalne poszukiwania zabytków to jednak nie jedyne zagrożenia dla podwodnego dziedzictwa kulturowego. Oprócz nich wymieniane są również wszelkie inne działania związane z eksploatacją mórz i oceanów, takie jak</w:t>
      </w:r>
      <w:r w:rsidR="00841FCB">
        <w:t>:</w:t>
      </w:r>
      <w:r w:rsidRPr="00841FCB">
        <w:t xml:space="preserve"> rybołówstwo, wydobycie ropy naftowej i gazu, instalacje rurociągów czy pogłębianie akwenów wodnych. Okoliczności te spowodowały, że społeczność międzynarodowa na forum UNESCO dostrzegła silną potrzebę opracowania i wdrożenia rozwiązań prawnych, które wyeliminowałyby powyższe zagrożenia i jednocześnie przyczyniły się do zbudowania międzynarodowego systemu ochrony dóbr kultury znajdujących się pod wodą. W tym celu powstała Konwencja </w:t>
      </w:r>
      <w:r w:rsidRPr="00841FCB">
        <w:rPr>
          <w:bCs/>
        </w:rPr>
        <w:t xml:space="preserve">UNESCO o ochronie podwodnego dziedzictwa kulturowego, sporządzona </w:t>
      </w:r>
      <w:r w:rsidR="00FA4EA1" w:rsidRPr="00841FCB">
        <w:rPr>
          <w:bCs/>
        </w:rPr>
        <w:t>w</w:t>
      </w:r>
      <w:r w:rsidR="00FA4EA1">
        <w:rPr>
          <w:bCs/>
        </w:rPr>
        <w:t> </w:t>
      </w:r>
      <w:r w:rsidRPr="00841FCB">
        <w:rPr>
          <w:bCs/>
        </w:rPr>
        <w:t>Paryżu dnia 2 listopada 2001</w:t>
      </w:r>
      <w:r w:rsidR="00AF3F4E">
        <w:rPr>
          <w:bCs/>
        </w:rPr>
        <w:t xml:space="preserve"> </w:t>
      </w:r>
      <w:r w:rsidRPr="00841FCB">
        <w:rPr>
          <w:bCs/>
        </w:rPr>
        <w:t xml:space="preserve">r., zwana dalej „Konwencją UNESCO </w:t>
      </w:r>
      <w:r w:rsidR="003F4D68" w:rsidRPr="00841FCB">
        <w:rPr>
          <w:bCs/>
        </w:rPr>
        <w:t>z</w:t>
      </w:r>
      <w:r w:rsidR="003F4D68">
        <w:rPr>
          <w:bCs/>
        </w:rPr>
        <w:t> </w:t>
      </w:r>
      <w:r w:rsidRPr="00841FCB">
        <w:rPr>
          <w:bCs/>
        </w:rPr>
        <w:t xml:space="preserve">2001 r.”, która </w:t>
      </w:r>
      <w:r w:rsidRPr="00841FCB">
        <w:t xml:space="preserve">zobowiązuje </w:t>
      </w:r>
      <w:r w:rsidR="00CA123E">
        <w:t>P</w:t>
      </w:r>
      <w:r w:rsidRPr="00841FCB">
        <w:t>aństwa-</w:t>
      </w:r>
      <w:r w:rsidR="00CA123E">
        <w:t>S</w:t>
      </w:r>
      <w:r w:rsidRPr="00841FCB">
        <w:t>trony do podjęcia konkretnych kroków w</w:t>
      </w:r>
      <w:r w:rsidR="00AF3F4E">
        <w:t xml:space="preserve"> </w:t>
      </w:r>
      <w:r w:rsidRPr="00841FCB">
        <w:t>celu ochrony podwodnego dziedzictwa kulturowego.</w:t>
      </w:r>
    </w:p>
    <w:p w14:paraId="631763B3" w14:textId="258BB1A6" w:rsidR="00F348ED" w:rsidRPr="00841FCB" w:rsidRDefault="00F348ED" w:rsidP="00841FCB">
      <w:pPr>
        <w:spacing w:before="120" w:line="360" w:lineRule="auto"/>
        <w:jc w:val="both"/>
      </w:pPr>
      <w:r w:rsidRPr="00841FCB">
        <w:t xml:space="preserve">Prace nad Konwencją rozpoczęto u schyłku lat dziewięćdziesiątych XX w. Umowa międzynarodowa stanowi rozwinięcie </w:t>
      </w:r>
      <w:r w:rsidR="003A7C14" w:rsidRPr="00841FCB">
        <w:t>postanowień</w:t>
      </w:r>
      <w:r w:rsidRPr="00841FCB">
        <w:t xml:space="preserve"> dotyczących ochrony podwodnego dziedzictwa archeologicznego i</w:t>
      </w:r>
      <w:r w:rsidR="00AF3F4E">
        <w:t xml:space="preserve"> </w:t>
      </w:r>
      <w:r w:rsidRPr="00841FCB">
        <w:t>historycznego zawartych w Konwencji Narodów Zjednoczonych o prawie morza, sporządzonej w</w:t>
      </w:r>
      <w:r w:rsidR="00AF3F4E">
        <w:t xml:space="preserve"> </w:t>
      </w:r>
      <w:r w:rsidRPr="00841FCB">
        <w:t>Montego Bay dnia 10 grudnia 1982 r. (Dz. U. z 2002 r. poz. 543 – zał., dalej jako „Konwencja o</w:t>
      </w:r>
      <w:r w:rsidR="00AF3F4E">
        <w:t xml:space="preserve"> </w:t>
      </w:r>
      <w:r w:rsidRPr="00841FCB">
        <w:t xml:space="preserve">prawie morza”). W art. 149 </w:t>
      </w:r>
      <w:r w:rsidR="00FA4EA1" w:rsidRPr="00841FCB">
        <w:t>i</w:t>
      </w:r>
      <w:r w:rsidR="00FA4EA1">
        <w:t> </w:t>
      </w:r>
      <w:r w:rsidR="00641816" w:rsidRPr="00841FCB">
        <w:t xml:space="preserve">art. </w:t>
      </w:r>
      <w:r w:rsidRPr="00841FCB">
        <w:t>303 przewidziano w niej ochronę podwodnego dziedzictwa kulturowego, a także wskazano na potrzebę szczegółowych międzynarodowych regulacji w</w:t>
      </w:r>
      <w:r w:rsidR="00AF3F4E">
        <w:t xml:space="preserve"> </w:t>
      </w:r>
      <w:r w:rsidRPr="00841FCB">
        <w:t xml:space="preserve">tym zakresie. Odpowiedzią na powyższe postanowienia Konwencji o prawie morza jest sporządzona </w:t>
      </w:r>
      <w:r w:rsidR="00FA4EA1" w:rsidRPr="00841FCB">
        <w:t>w</w:t>
      </w:r>
      <w:r w:rsidR="00FA4EA1">
        <w:t> </w:t>
      </w:r>
      <w:r w:rsidRPr="00841FCB">
        <w:t>dniu 2 listopada 2001 r. w Paryżu Konwencja UNESCO</w:t>
      </w:r>
      <w:r w:rsidR="00AF3F4E">
        <w:t xml:space="preserve"> </w:t>
      </w:r>
      <w:r w:rsidR="00F31CA8" w:rsidRPr="00841FCB">
        <w:t>z 2001 r.</w:t>
      </w:r>
      <w:r w:rsidR="00D22B0E" w:rsidRPr="00841FCB">
        <w:t xml:space="preserve"> </w:t>
      </w:r>
      <w:r w:rsidRPr="00841FCB">
        <w:t>Zgodnie z art. 27 weszła ona w</w:t>
      </w:r>
      <w:r w:rsidR="00AF3F4E">
        <w:t xml:space="preserve"> </w:t>
      </w:r>
      <w:r w:rsidRPr="00841FCB">
        <w:t>życie w dniu 2 stycznia 2009</w:t>
      </w:r>
      <w:r w:rsidR="00AF3F4E">
        <w:t xml:space="preserve"> </w:t>
      </w:r>
      <w:r w:rsidRPr="00841FCB">
        <w:t xml:space="preserve">r., tj. po upływie 3 miesięcy od dnia złożenia dokumentu ratyfikacji, przyjęcia lub zatwierdzenia przez dwudzieste państwo. </w:t>
      </w:r>
      <w:r w:rsidRPr="00841FCB">
        <w:lastRenderedPageBreak/>
        <w:t>Aktualnie stronami K</w:t>
      </w:r>
      <w:r w:rsidR="006F7C36" w:rsidRPr="00841FCB">
        <w:t xml:space="preserve">onwencji </w:t>
      </w:r>
      <w:r w:rsidR="00F31CA8" w:rsidRPr="00841FCB">
        <w:t>są</w:t>
      </w:r>
      <w:r w:rsidR="006F7C36" w:rsidRPr="00841FCB">
        <w:t xml:space="preserve"> 63</w:t>
      </w:r>
      <w:r w:rsidRPr="00841FCB">
        <w:t xml:space="preserve"> państw</w:t>
      </w:r>
      <w:r w:rsidR="006F7C36" w:rsidRPr="00841FCB">
        <w:t>a</w:t>
      </w:r>
      <w:r w:rsidRPr="00841FCB">
        <w:t>, w tym 1</w:t>
      </w:r>
      <w:r w:rsidR="00DB17F4" w:rsidRPr="00841FCB">
        <w:t>2</w:t>
      </w:r>
      <w:r w:rsidRPr="00841FCB">
        <w:t xml:space="preserve"> państw członkowskich Unii Europejskiej. </w:t>
      </w:r>
    </w:p>
    <w:p w14:paraId="1358BA0C" w14:textId="77777777" w:rsidR="00F348ED" w:rsidRPr="00841FCB" w:rsidRDefault="00F348ED" w:rsidP="00841FCB">
      <w:pPr>
        <w:spacing w:before="120" w:line="360" w:lineRule="auto"/>
        <w:jc w:val="both"/>
      </w:pPr>
      <w:r w:rsidRPr="00841FCB">
        <w:t xml:space="preserve">Znajdujące się na obszarze Morza Bałtyckiego obiekty podwodnego dziedzictwa kulturowego także </w:t>
      </w:r>
      <w:r w:rsidR="00F31CA8" w:rsidRPr="00841FCB">
        <w:t xml:space="preserve">są </w:t>
      </w:r>
      <w:r w:rsidRPr="00841FCB">
        <w:t>narażone</w:t>
      </w:r>
      <w:r w:rsidR="00AF3F4E">
        <w:t xml:space="preserve"> </w:t>
      </w:r>
      <w:r w:rsidRPr="00841FCB">
        <w:t xml:space="preserve">na coraz większą liczbę różnego rodzaju zagrożeń, wynikających między innymi z nielegalnych poszukiwań i eksploracji. Obecna współpraca państw bałtyckich w zakresie ochrony tego dziedzictwa </w:t>
      </w:r>
      <w:r w:rsidR="00F31CA8" w:rsidRPr="00841FCB">
        <w:t xml:space="preserve">jest </w:t>
      </w:r>
      <w:r w:rsidRPr="00841FCB">
        <w:t>prowadzona</w:t>
      </w:r>
      <w:r w:rsidR="00AF3F4E">
        <w:t xml:space="preserve"> </w:t>
      </w:r>
      <w:r w:rsidR="00FA4EA1" w:rsidRPr="00841FCB">
        <w:t>w</w:t>
      </w:r>
      <w:r w:rsidR="00FA4EA1">
        <w:t> </w:t>
      </w:r>
      <w:r w:rsidRPr="00841FCB">
        <w:t>ramach działalności Rady Państw Morza Bałtyckiego (</w:t>
      </w:r>
      <w:r w:rsidRPr="00841FCB">
        <w:rPr>
          <w:i/>
          <w:iCs/>
          <w:shd w:val="clear" w:color="auto" w:fill="FFFFFF"/>
        </w:rPr>
        <w:t>Council of the Baltic Sea States</w:t>
      </w:r>
      <w:r w:rsidRPr="00841FCB">
        <w:t>) oraz działającego przy niej Komitetu ds. Dziedzictwa Regionu Bałtyku</w:t>
      </w:r>
      <w:r w:rsidR="00AF3F4E">
        <w:t xml:space="preserve"> </w:t>
      </w:r>
      <w:r w:rsidRPr="00841FCB">
        <w:t>(</w:t>
      </w:r>
      <w:r w:rsidRPr="00841FCB">
        <w:rPr>
          <w:i/>
        </w:rPr>
        <w:t>Baltic Region Heritage Comitee</w:t>
      </w:r>
      <w:r w:rsidRPr="00841FCB">
        <w:t xml:space="preserve">), którego Polska jest bardzo aktywnym członkiem. Celem Komitetu jest </w:t>
      </w:r>
      <w:r w:rsidRPr="00841FCB">
        <w:rPr>
          <w:shd w:val="clear" w:color="auto" w:fill="FFFFFF"/>
        </w:rPr>
        <w:t xml:space="preserve">opracowywanie spójnej strategii zarządzania dziedzictwem kulturowym Bałtyku, </w:t>
      </w:r>
      <w:r w:rsidR="00FA4EA1" w:rsidRPr="00841FCB">
        <w:rPr>
          <w:shd w:val="clear" w:color="auto" w:fill="FFFFFF"/>
        </w:rPr>
        <w:t>w</w:t>
      </w:r>
      <w:r w:rsidR="00FA4EA1">
        <w:rPr>
          <w:shd w:val="clear" w:color="auto" w:fill="FFFFFF"/>
        </w:rPr>
        <w:t> </w:t>
      </w:r>
      <w:r w:rsidRPr="00841FCB">
        <w:rPr>
          <w:shd w:val="clear" w:color="auto" w:fill="FFFFFF"/>
        </w:rPr>
        <w:t xml:space="preserve">tym ochrona podwodnego dziedzictwa kulturowego. Spośród państw członków Rady Państw Morza Bałtyckiego </w:t>
      </w:r>
      <w:r w:rsidRPr="00841FCB">
        <w:t xml:space="preserve">Konwencję UNESCO z 2001 r. ratyfikowała do tej pory jedynie Litwa, ale do związania jej postanowieniami przygotowują się także Estonia, Finlandia i Niemcy. Przyjęcie przez Rzeczpospolitą Polską Konwencji UNESCO </w:t>
      </w:r>
      <w:r w:rsidR="00FA4EA1" w:rsidRPr="00841FCB">
        <w:t>z</w:t>
      </w:r>
      <w:r w:rsidR="00FA4EA1">
        <w:t> </w:t>
      </w:r>
      <w:r w:rsidR="00FA4EA1" w:rsidRPr="00841FCB">
        <w:t>2001</w:t>
      </w:r>
      <w:r w:rsidR="00FA4EA1">
        <w:t> </w:t>
      </w:r>
      <w:r w:rsidRPr="00841FCB">
        <w:t>r. wzmocni zatem widoczność jej postanowień na tym forum, podkreśli konieczność podejmowania działań na rzecz ochrony podwodnego dziedzictwa kulturowego w regionie, a</w:t>
      </w:r>
      <w:r w:rsidR="00AF3F4E">
        <w:t xml:space="preserve"> </w:t>
      </w:r>
      <w:r w:rsidRPr="00841FCB">
        <w:t>dodatkowo usytuuje Polskę na pozycji lidera w zakresie wyznaczania standardów i dobrych praktyk w tym zakresie.</w:t>
      </w:r>
    </w:p>
    <w:p w14:paraId="4DE6270A" w14:textId="3D65EEA6" w:rsidR="00F348ED" w:rsidRPr="00841FCB" w:rsidRDefault="00F348ED" w:rsidP="00841FCB">
      <w:pPr>
        <w:pStyle w:val="Tekstpodstawowy"/>
        <w:spacing w:before="120" w:after="0" w:line="360" w:lineRule="auto"/>
        <w:jc w:val="both"/>
      </w:pPr>
      <w:r w:rsidRPr="00841FCB">
        <w:t xml:space="preserve">Jedną z głównych przyczyn powstania powyższej umowy międzynarodowej była zgoda państw na konieczność objęcia ochroną międzynarodową podwodnego dziedzictwa kulturowego </w:t>
      </w:r>
      <w:r w:rsidRPr="00841FCB">
        <w:rPr>
          <w:i/>
        </w:rPr>
        <w:t>in situ</w:t>
      </w:r>
      <w:r w:rsidRPr="00841FCB">
        <w:t xml:space="preserve">. Państwa zgodziły się, że najwłaściwszą formą ochrony dla tego rodzaju dziedzictwa kulturowego jest zapewnienie mu ochrony w miejscu jego zalegania. Potrzeba sporządzenia umowy międzynarodowej w tym zakresie </w:t>
      </w:r>
      <w:r w:rsidR="00641816" w:rsidRPr="00841FCB">
        <w:t xml:space="preserve">była </w:t>
      </w:r>
      <w:r w:rsidRPr="00841FCB">
        <w:t xml:space="preserve">podyktowana także brakiem możliwości zapewnienia właściwej ochrony podwodnego dziedzictwa kulturowego przez ustawodawstwo wewnętrzne, gdyż często obiekty spoczywające na dnie mórz i oceanów znajdują się na wodach wyłączonych </w:t>
      </w:r>
      <w:r w:rsidR="003F4D68" w:rsidRPr="00841FCB">
        <w:t>z</w:t>
      </w:r>
      <w:r w:rsidR="003F4D68">
        <w:t> </w:t>
      </w:r>
      <w:r w:rsidRPr="00841FCB">
        <w:t xml:space="preserve">jurysdykcji krajowej. Przyjęcie Konwencji UNESCO </w:t>
      </w:r>
      <w:r w:rsidR="00F31CA8" w:rsidRPr="00841FCB">
        <w:t>z 2001 r.</w:t>
      </w:r>
      <w:r w:rsidR="00AF3F4E">
        <w:t xml:space="preserve"> </w:t>
      </w:r>
      <w:r w:rsidRPr="00841FCB">
        <w:t>do polskiego porządku prawnego pozwoli zatem skutecznie chronić dziedzictwo podwodne przede wszystkim poza obszarem morza terytorialnego, poza którym Rzeczypospolitej Polskiej</w:t>
      </w:r>
      <w:r w:rsidR="00FF30CD" w:rsidRPr="00841FCB">
        <w:t xml:space="preserve"> przysługują jedynie określone suwerenne prawa</w:t>
      </w:r>
      <w:r w:rsidRPr="00841FCB">
        <w:t xml:space="preserve">. Ochrona dziedzictwa podwodnego </w:t>
      </w:r>
      <w:r w:rsidR="003F4D68" w:rsidRPr="00841FCB">
        <w:t>w</w:t>
      </w:r>
      <w:r w:rsidR="003F4D68">
        <w:t> </w:t>
      </w:r>
      <w:r w:rsidR="004A5D81" w:rsidRPr="00841FCB">
        <w:t xml:space="preserve">obszarze wyłącznej strefy ekonomicznej oraz na szelfie kontynentalnym </w:t>
      </w:r>
      <w:r w:rsidRPr="00841FCB">
        <w:t xml:space="preserve">jest domeną prawa międzynarodowego, stąd ratyfikacja </w:t>
      </w:r>
      <w:r w:rsidR="006511F7">
        <w:t>K</w:t>
      </w:r>
      <w:r w:rsidRPr="00841FCB">
        <w:t xml:space="preserve">onwencji UNESCO z 2001 r. jest niezbędna i </w:t>
      </w:r>
      <w:r w:rsidR="00641816" w:rsidRPr="00841FCB">
        <w:t xml:space="preserve">będzie </w:t>
      </w:r>
      <w:r w:rsidRPr="00841FCB">
        <w:t xml:space="preserve">stanowić uzupełnienie dotychczasowych zobowiązań </w:t>
      </w:r>
      <w:r w:rsidRPr="00841FCB">
        <w:lastRenderedPageBreak/>
        <w:t>Rzecz</w:t>
      </w:r>
      <w:r w:rsidR="002323C1" w:rsidRPr="00841FCB">
        <w:t>y</w:t>
      </w:r>
      <w:r w:rsidRPr="00841FCB">
        <w:t>pospolitej</w:t>
      </w:r>
      <w:r w:rsidR="00B44E3D" w:rsidRPr="00841FCB">
        <w:t xml:space="preserve"> </w:t>
      </w:r>
      <w:r w:rsidR="00F31CA8" w:rsidRPr="00841FCB">
        <w:t>Polskiej</w:t>
      </w:r>
      <w:r w:rsidRPr="00841FCB">
        <w:t xml:space="preserve"> wynikających </w:t>
      </w:r>
      <w:r w:rsidR="00FA4EA1" w:rsidRPr="00841FCB">
        <w:t>z</w:t>
      </w:r>
      <w:r w:rsidR="00FA4EA1">
        <w:t> </w:t>
      </w:r>
      <w:r w:rsidRPr="00841FCB">
        <w:t xml:space="preserve">dotychczas przyjętych umów międzynarodowych. </w:t>
      </w:r>
    </w:p>
    <w:p w14:paraId="11748BD1" w14:textId="77777777" w:rsidR="00F348ED" w:rsidRPr="00841FCB" w:rsidRDefault="00F348ED" w:rsidP="00841FCB">
      <w:pPr>
        <w:pStyle w:val="Tekstpodstawowy"/>
        <w:spacing w:before="120" w:after="0" w:line="360" w:lineRule="auto"/>
        <w:jc w:val="both"/>
      </w:pPr>
      <w:r w:rsidRPr="00841FCB">
        <w:t>W</w:t>
      </w:r>
      <w:r w:rsidR="00AF3F4E">
        <w:t xml:space="preserve"> </w:t>
      </w:r>
      <w:r w:rsidRPr="00841FCB">
        <w:t>obrębie wyłącznej strefy ekonomicznej i</w:t>
      </w:r>
      <w:r w:rsidR="00AF3F4E">
        <w:t xml:space="preserve"> </w:t>
      </w:r>
      <w:r w:rsidRPr="00841FCB">
        <w:t>tzw. obszaru, tj. na wodach poza jurysdykcją krajową, ustanowiono szczególny system współpracy międzynarodowej, który obejmuje komunikację, konsultacje i koordynację w zakresie wdrażania środków ochronnych. Podkreśla się, że dna mórz i oceanów są największym muzeum na świecie, które zawiera w sobie bezcenne informacje dotyczące historii ludzkości. Dlatego też, współpraca wszystkich państw w celu ochrony podwodnego dziedzictwa kulturowego jest wspólnym zobowiązaniem. Dzięki ratyfikacji Konwencji</w:t>
      </w:r>
      <w:r w:rsidR="00B44E3D" w:rsidRPr="00841FCB">
        <w:t xml:space="preserve"> </w:t>
      </w:r>
      <w:r w:rsidR="00F31CA8" w:rsidRPr="00841FCB">
        <w:t>UNESCO z 2001 r.</w:t>
      </w:r>
      <w:r w:rsidRPr="00841FCB">
        <w:t xml:space="preserve"> Rzeczpospolita Polska znajdzie się w grupie państw chroniących podwodne dziedzictwo kulturowe w oparciu </w:t>
      </w:r>
      <w:r w:rsidR="00FA4EA1" w:rsidRPr="00841FCB">
        <w:t>o</w:t>
      </w:r>
      <w:r w:rsidR="00FA4EA1">
        <w:t> </w:t>
      </w:r>
      <w:r w:rsidRPr="00841FCB">
        <w:t xml:space="preserve">zasadę pomocniczości, solidaryzmu i ochrony wspólnego dziedzictwa ludzkości. </w:t>
      </w:r>
    </w:p>
    <w:p w14:paraId="3F249AF5" w14:textId="57DD3656" w:rsidR="00F348ED" w:rsidRPr="00841FCB" w:rsidRDefault="00F348ED" w:rsidP="00841FCB">
      <w:pPr>
        <w:spacing w:before="120" w:line="360" w:lineRule="auto"/>
        <w:jc w:val="both"/>
      </w:pPr>
      <w:r w:rsidRPr="00841FCB">
        <w:t xml:space="preserve">Konwencja UNESCO </w:t>
      </w:r>
      <w:r w:rsidR="00F31CA8" w:rsidRPr="00841FCB">
        <w:t>z 2001 r.</w:t>
      </w:r>
      <w:r w:rsidRPr="00841FCB">
        <w:t xml:space="preserve"> zawiera postanowienia, które upoważniają </w:t>
      </w:r>
      <w:r w:rsidR="00CA123E">
        <w:t>P</w:t>
      </w:r>
      <w:r w:rsidRPr="00841FCB">
        <w:t>aństwa-</w:t>
      </w:r>
      <w:r w:rsidR="00CA123E">
        <w:t>S</w:t>
      </w:r>
      <w:r w:rsidRPr="00841FCB">
        <w:t>trony do podejmowania wszelkich działań zgodnych z prawem międzynarodowym, które mają na celu zapobieganie bezpośredniemu zagrożeniu podwodnego dziedzictwa kulturowego, znajdującego się</w:t>
      </w:r>
      <w:r w:rsidR="002323C1" w:rsidRPr="00841FCB">
        <w:t xml:space="preserve"> </w:t>
      </w:r>
      <w:r w:rsidR="004A5D81" w:rsidRPr="00841FCB">
        <w:t>również poza morzem terytorialnym</w:t>
      </w:r>
      <w:r w:rsidRPr="00841FCB">
        <w:t>. Jednoc</w:t>
      </w:r>
      <w:r w:rsidR="003A7C14" w:rsidRPr="00841FCB">
        <w:t>ześnie ratyfikacja Konwencji</w:t>
      </w:r>
      <w:r w:rsidR="00F31CA8" w:rsidRPr="00841FCB">
        <w:t xml:space="preserve"> UNESCO z 2001 r.</w:t>
      </w:r>
      <w:r w:rsidR="003A7C14" w:rsidRPr="00841FCB">
        <w:t xml:space="preserve"> </w:t>
      </w:r>
      <w:r w:rsidRPr="00841FCB">
        <w:t>przez wpływ na regulacje krajowe, będzie także pozytywnie oddziaływać na stopień ochrony dziedzictwa kulturowego znajdującego się w</w:t>
      </w:r>
      <w:r w:rsidR="00AF3F4E">
        <w:t xml:space="preserve"> </w:t>
      </w:r>
      <w:r w:rsidRPr="00841FCB">
        <w:t>pasie polskich wód terytorialnych. Integralną częścią</w:t>
      </w:r>
      <w:r w:rsidR="00F31CA8" w:rsidRPr="00841FCB">
        <w:t xml:space="preserve"> tej</w:t>
      </w:r>
      <w:r w:rsidR="00AF3F4E">
        <w:t xml:space="preserve"> </w:t>
      </w:r>
      <w:r w:rsidRPr="00841FCB">
        <w:t>Konwencji jest dołączony do niej zbiór Zasad regulujących działania nakierowane na podwodne dziedzictwo kulturowe i</w:t>
      </w:r>
      <w:r w:rsidR="002323C1" w:rsidRPr="00841FCB">
        <w:t xml:space="preserve"> </w:t>
      </w:r>
      <w:r w:rsidRPr="00841FCB">
        <w:t xml:space="preserve">stanowiących międzynarodowy standard postępowania </w:t>
      </w:r>
      <w:r w:rsidR="00FA4EA1" w:rsidRPr="00841FCB">
        <w:t>w</w:t>
      </w:r>
      <w:r w:rsidR="00FA4EA1">
        <w:t> </w:t>
      </w:r>
      <w:r w:rsidRPr="00841FCB">
        <w:t>stosunku do podwodnego dziedzictwa kulturowego.</w:t>
      </w:r>
    </w:p>
    <w:p w14:paraId="7A596E29" w14:textId="77777777" w:rsidR="00F348ED" w:rsidRPr="00841FCB" w:rsidRDefault="00F348ED" w:rsidP="00841FCB">
      <w:pPr>
        <w:pStyle w:val="Tekstpodstawowy"/>
        <w:spacing w:before="120" w:after="0" w:line="360" w:lineRule="auto"/>
        <w:jc w:val="both"/>
      </w:pPr>
      <w:r w:rsidRPr="00841FCB">
        <w:t>Choć postanowienia umowy międzynarodowej odnoszą się wyłącznie do wód morskich,</w:t>
      </w:r>
      <w:r w:rsidR="00D22B0E" w:rsidRPr="00841FCB">
        <w:t xml:space="preserve"> </w:t>
      </w:r>
      <w:r w:rsidRPr="00841FCB">
        <w:t>istnieje możliwość rozszerzenia zakresu jej postanowień na wody śródlądowe, w</w:t>
      </w:r>
      <w:r w:rsidR="00AF3F4E">
        <w:t xml:space="preserve"> </w:t>
      </w:r>
      <w:r w:rsidRPr="00841FCB">
        <w:t xml:space="preserve">drodze złożenia dodatkowego oświadczenia. </w:t>
      </w:r>
    </w:p>
    <w:p w14:paraId="53E40DD5" w14:textId="5C7A712F" w:rsidR="00F348ED" w:rsidRPr="00841FCB" w:rsidRDefault="00F348ED" w:rsidP="00841FCB">
      <w:pPr>
        <w:pStyle w:val="Tekstpodstawowy"/>
        <w:numPr>
          <w:ilvl w:val="0"/>
          <w:numId w:val="3"/>
        </w:numPr>
        <w:spacing w:before="240" w:after="0" w:line="360" w:lineRule="auto"/>
        <w:jc w:val="both"/>
        <w:rPr>
          <w:b/>
        </w:rPr>
      </w:pPr>
      <w:r w:rsidRPr="00841FCB">
        <w:rPr>
          <w:b/>
        </w:rPr>
        <w:t xml:space="preserve">Wskazanie różnic między dotychczasowym </w:t>
      </w:r>
      <w:r w:rsidR="003A179D">
        <w:rPr>
          <w:b/>
        </w:rPr>
        <w:t>a</w:t>
      </w:r>
      <w:r w:rsidRPr="00841FCB">
        <w:rPr>
          <w:b/>
        </w:rPr>
        <w:t xml:space="preserve"> projektowanym stanem prawnym</w:t>
      </w:r>
    </w:p>
    <w:p w14:paraId="6EF396CB" w14:textId="53C79F2C" w:rsidR="00F348ED" w:rsidRPr="00841FCB" w:rsidRDefault="00F348ED" w:rsidP="00841FCB">
      <w:pPr>
        <w:spacing w:before="120" w:line="360" w:lineRule="auto"/>
        <w:jc w:val="both"/>
      </w:pPr>
      <w:r w:rsidRPr="00841FCB">
        <w:t xml:space="preserve">System międzynarodowej ochrony dziedzictwa kultury </w:t>
      </w:r>
      <w:r w:rsidR="00F31CA8" w:rsidRPr="00841FCB">
        <w:t xml:space="preserve">jest </w:t>
      </w:r>
      <w:r w:rsidRPr="00841FCB">
        <w:t xml:space="preserve">oparty na prawie międzynarodowym, którym suwerenne państwa w sposób dobrowolny związują się </w:t>
      </w:r>
      <w:r w:rsidR="003F4D68" w:rsidRPr="00841FCB">
        <w:t>i</w:t>
      </w:r>
      <w:r w:rsidR="003F4D68">
        <w:t> </w:t>
      </w:r>
      <w:r w:rsidRPr="00841FCB">
        <w:t>tym samym zobowiązują się je stosować.</w:t>
      </w:r>
      <w:r w:rsidR="00D22B0E" w:rsidRPr="00841FCB">
        <w:t xml:space="preserve"> </w:t>
      </w:r>
      <w:r w:rsidRPr="00841FCB">
        <w:t>Z przeprowadzonej analizy poszczególnych postanowień Konwencji UNESCO z 2001 r. wynika, że jej istota</w:t>
      </w:r>
      <w:r w:rsidR="00F31CA8" w:rsidRPr="00841FCB">
        <w:t xml:space="preserve"> została</w:t>
      </w:r>
      <w:r w:rsidRPr="00841FCB">
        <w:t xml:space="preserve"> oparta</w:t>
      </w:r>
      <w:r w:rsidR="00AF3F4E">
        <w:t xml:space="preserve"> </w:t>
      </w:r>
      <w:r w:rsidRPr="00841FCB">
        <w:t>na współpracy państw, które do niej przystąpią i zgodzą się na podjęcie i stosowanie mechanizmów tej współpracy w</w:t>
      </w:r>
      <w:r w:rsidR="00AF3F4E">
        <w:t xml:space="preserve"> </w:t>
      </w:r>
      <w:r w:rsidRPr="00841FCB">
        <w:t xml:space="preserve">praktyce. Takie założenie realizacji działań ochronnych </w:t>
      </w:r>
      <w:r w:rsidRPr="00841FCB">
        <w:lastRenderedPageBreak/>
        <w:t xml:space="preserve">dotyczących podwodnego dziedzictwa kultury pozwala stwierdzić, że </w:t>
      </w:r>
      <w:r w:rsidR="00745346" w:rsidRPr="00841FCB">
        <w:t>K</w:t>
      </w:r>
      <w:r w:rsidRPr="00841FCB">
        <w:t>onwencja ta nie stoi w sprzeczności z</w:t>
      </w:r>
      <w:r w:rsidR="00D22B0E" w:rsidRPr="00841FCB">
        <w:t xml:space="preserve"> </w:t>
      </w:r>
      <w:r w:rsidRPr="00841FCB">
        <w:t xml:space="preserve">prawem polskim. </w:t>
      </w:r>
    </w:p>
    <w:p w14:paraId="11ECD19A" w14:textId="61EBE8C6" w:rsidR="00F348ED" w:rsidRPr="00841FCB" w:rsidRDefault="00F348ED" w:rsidP="00841FCB">
      <w:pPr>
        <w:spacing w:before="120" w:line="360" w:lineRule="auto"/>
        <w:jc w:val="both"/>
      </w:pPr>
      <w:r w:rsidRPr="00841FCB">
        <w:t>W polskim systemie prawnym ochrona dziedzictwa podwodnego została częściowo uregulowana właśnie przez ratyfikację umów międzynarodowych:</w:t>
      </w:r>
      <w:r w:rsidR="00745346" w:rsidRPr="00841FCB">
        <w:t xml:space="preserve"> Konwencji</w:t>
      </w:r>
      <w:r w:rsidRPr="00841FCB">
        <w:t xml:space="preserve"> o prawie morza czy Europejsk</w:t>
      </w:r>
      <w:r w:rsidR="00745346" w:rsidRPr="00841FCB">
        <w:t>iej</w:t>
      </w:r>
      <w:r w:rsidRPr="00841FCB">
        <w:t xml:space="preserve"> Konwenc</w:t>
      </w:r>
      <w:r w:rsidR="008B75C4">
        <w:t>j</w:t>
      </w:r>
      <w:r w:rsidR="00745346" w:rsidRPr="00841FCB">
        <w:t>i</w:t>
      </w:r>
      <w:r w:rsidRPr="00841FCB">
        <w:t xml:space="preserve"> o ochronie dziedzictwa archeologicznego z La Valetta (Dz. U. z 1996 r. poz. 564). Na gruncie prawa wewnętrznego ochrona dziedzictwa kultury znajdującego się pod wodą została uregulowana na podstawie dwóch działów prawa: ustawy z</w:t>
      </w:r>
      <w:r w:rsidR="00AF3F4E">
        <w:t xml:space="preserve"> </w:t>
      </w:r>
      <w:r w:rsidRPr="00841FCB">
        <w:t>dnia 18 września 2001 r. – Kodeks morski (</w:t>
      </w:r>
      <w:r w:rsidRPr="00841FCB">
        <w:rPr>
          <w:bCs/>
          <w:color w:val="000000"/>
          <w:shd w:val="clear" w:color="auto" w:fill="FFFFFF"/>
        </w:rPr>
        <w:t xml:space="preserve">Dz. U. </w:t>
      </w:r>
      <w:r w:rsidR="003F4D68" w:rsidRPr="00841FCB">
        <w:rPr>
          <w:bCs/>
          <w:color w:val="000000"/>
          <w:shd w:val="clear" w:color="auto" w:fill="FFFFFF"/>
        </w:rPr>
        <w:t>z</w:t>
      </w:r>
      <w:r w:rsidR="003F4D68">
        <w:rPr>
          <w:bCs/>
          <w:color w:val="000000"/>
          <w:shd w:val="clear" w:color="auto" w:fill="FFFFFF"/>
        </w:rPr>
        <w:t> </w:t>
      </w:r>
      <w:r w:rsidRPr="00841FCB">
        <w:rPr>
          <w:bCs/>
          <w:color w:val="000000"/>
          <w:shd w:val="clear" w:color="auto" w:fill="FFFFFF"/>
        </w:rPr>
        <w:t>201</w:t>
      </w:r>
      <w:r w:rsidR="003759EE" w:rsidRPr="00841FCB">
        <w:rPr>
          <w:bCs/>
          <w:color w:val="000000"/>
          <w:shd w:val="clear" w:color="auto" w:fill="FFFFFF"/>
        </w:rPr>
        <w:t>8</w:t>
      </w:r>
      <w:r w:rsidRPr="00841FCB">
        <w:rPr>
          <w:bCs/>
          <w:color w:val="000000"/>
          <w:shd w:val="clear" w:color="auto" w:fill="FFFFFF"/>
        </w:rPr>
        <w:t xml:space="preserve"> r. poz. </w:t>
      </w:r>
      <w:r w:rsidR="003759EE" w:rsidRPr="00841FCB">
        <w:rPr>
          <w:bCs/>
          <w:color w:val="000000"/>
          <w:shd w:val="clear" w:color="auto" w:fill="FFFFFF"/>
        </w:rPr>
        <w:t>2175</w:t>
      </w:r>
      <w:r w:rsidRPr="00841FCB">
        <w:rPr>
          <w:bCs/>
          <w:color w:val="000000"/>
          <w:shd w:val="clear" w:color="auto" w:fill="FFFFFF"/>
        </w:rPr>
        <w:t xml:space="preserve">) </w:t>
      </w:r>
      <w:r w:rsidRPr="00841FCB">
        <w:t>i</w:t>
      </w:r>
      <w:r w:rsidR="00AF3F4E">
        <w:t xml:space="preserve"> </w:t>
      </w:r>
      <w:r w:rsidRPr="00841FCB">
        <w:t xml:space="preserve">ustawy </w:t>
      </w:r>
      <w:r w:rsidRPr="00841FCB">
        <w:rPr>
          <w:bCs/>
        </w:rPr>
        <w:t>z</w:t>
      </w:r>
      <w:r w:rsidR="00AF3F4E">
        <w:rPr>
          <w:bCs/>
        </w:rPr>
        <w:t xml:space="preserve"> </w:t>
      </w:r>
      <w:r w:rsidRPr="00841FCB">
        <w:rPr>
          <w:bCs/>
        </w:rPr>
        <w:t xml:space="preserve">dnia 23 lipca 2003 r. </w:t>
      </w:r>
      <w:r w:rsidRPr="00841FCB">
        <w:t>o</w:t>
      </w:r>
      <w:r w:rsidR="00AF3F4E">
        <w:t xml:space="preserve"> </w:t>
      </w:r>
      <w:r w:rsidRPr="00841FCB">
        <w:t>ochronie</w:t>
      </w:r>
      <w:r w:rsidRPr="00E5383D">
        <w:t xml:space="preserve"> </w:t>
      </w:r>
      <w:r w:rsidRPr="00841FCB">
        <w:t>zabytków i</w:t>
      </w:r>
      <w:r w:rsidR="00AF3F4E">
        <w:t xml:space="preserve"> </w:t>
      </w:r>
      <w:r w:rsidRPr="00841FCB">
        <w:t xml:space="preserve">opiece nad zabytkami </w:t>
      </w:r>
      <w:r w:rsidRPr="00841FCB">
        <w:rPr>
          <w:bCs/>
        </w:rPr>
        <w:t xml:space="preserve">(Dz. U. </w:t>
      </w:r>
      <w:r w:rsidR="00FA4EA1" w:rsidRPr="00841FCB">
        <w:rPr>
          <w:bCs/>
        </w:rPr>
        <w:t>z</w:t>
      </w:r>
      <w:r w:rsidR="00FA4EA1">
        <w:rPr>
          <w:bCs/>
        </w:rPr>
        <w:t> </w:t>
      </w:r>
      <w:r w:rsidRPr="00841FCB">
        <w:rPr>
          <w:bCs/>
        </w:rPr>
        <w:t>20</w:t>
      </w:r>
      <w:r w:rsidR="00F617C9" w:rsidRPr="00841FCB">
        <w:rPr>
          <w:bCs/>
        </w:rPr>
        <w:t>20</w:t>
      </w:r>
      <w:r w:rsidRPr="00841FCB">
        <w:rPr>
          <w:bCs/>
        </w:rPr>
        <w:t xml:space="preserve"> r. poz. 2</w:t>
      </w:r>
      <w:r w:rsidR="00F617C9" w:rsidRPr="00841FCB">
        <w:rPr>
          <w:bCs/>
        </w:rPr>
        <w:t>82</w:t>
      </w:r>
      <w:r w:rsidRPr="00841FCB">
        <w:rPr>
          <w:bCs/>
        </w:rPr>
        <w:t xml:space="preserve">, </w:t>
      </w:r>
      <w:r w:rsidR="00745346" w:rsidRPr="00841FCB">
        <w:rPr>
          <w:bCs/>
        </w:rPr>
        <w:t xml:space="preserve">z późn. zm., </w:t>
      </w:r>
      <w:r w:rsidRPr="00841FCB">
        <w:rPr>
          <w:bCs/>
        </w:rPr>
        <w:t>dalej jako „ustawa o</w:t>
      </w:r>
      <w:r w:rsidR="00AF3F4E">
        <w:rPr>
          <w:bCs/>
        </w:rPr>
        <w:t xml:space="preserve"> </w:t>
      </w:r>
      <w:r w:rsidRPr="00841FCB">
        <w:rPr>
          <w:bCs/>
        </w:rPr>
        <w:t>ochronie zabytków”)</w:t>
      </w:r>
      <w:r w:rsidRPr="00841FCB">
        <w:t>. Powyższe akty prawa wewnętrznego zapewniają „podstawową”, choć nadal niewystarczającą ochronę dziedzictwa podwodnego znajdującego się w</w:t>
      </w:r>
      <w:r w:rsidR="00AF3F4E">
        <w:t xml:space="preserve"> </w:t>
      </w:r>
      <w:r w:rsidRPr="00841FCB">
        <w:t>Polsce, dlatego ratyfikacja Konwencji UNESCO z 2001 r. jest niezbędna. Konwencja nakłada na państwa szereg nowych obowiązków, których implementacja oraz realizacja wymagać będzie dostosowania do jej postanowień obowiązujących przepisów prawa polskiego.</w:t>
      </w:r>
    </w:p>
    <w:p w14:paraId="4531AB21" w14:textId="77777777" w:rsidR="00F348ED" w:rsidRPr="00841FCB" w:rsidRDefault="00F348ED" w:rsidP="00841FCB">
      <w:pPr>
        <w:spacing w:before="240" w:line="360" w:lineRule="auto"/>
        <w:jc w:val="both"/>
        <w:rPr>
          <w:b/>
        </w:rPr>
      </w:pPr>
      <w:r w:rsidRPr="00841FCB">
        <w:rPr>
          <w:b/>
        </w:rPr>
        <w:t>Art. 1 – definicje</w:t>
      </w:r>
    </w:p>
    <w:p w14:paraId="1D7EF4F2" w14:textId="77777777" w:rsidR="00F348ED" w:rsidRPr="00841FCB" w:rsidRDefault="00F348ED" w:rsidP="00841FCB">
      <w:pPr>
        <w:spacing w:before="120" w:line="360" w:lineRule="auto"/>
        <w:jc w:val="both"/>
        <w:rPr>
          <w:color w:val="000000"/>
        </w:rPr>
      </w:pPr>
      <w:r w:rsidRPr="00841FCB">
        <w:t>Konwencja UNESCO</w:t>
      </w:r>
      <w:r w:rsidR="00745346" w:rsidRPr="00841FCB">
        <w:t xml:space="preserve"> z 2001 r.</w:t>
      </w:r>
      <w:r w:rsidRPr="00841FCB">
        <w:t xml:space="preserve"> o ochronie podwodnego dziedzictwa kulturowego wprowadza do prawa międzynarodowego nowy rodzaj pojęcia dziedzictwa kulturowego, jakim jest „podwodne dziedzictwo kulturowe”. Należy przez nie rozumieć </w:t>
      </w:r>
      <w:r w:rsidRPr="00841FCB">
        <w:rPr>
          <w:color w:val="000000"/>
        </w:rPr>
        <w:t>wszelkie ślady egzystencji ludzkiej mające charakter kulturowy, historyczny lub archeologiczny, które pozostawały lub pozostają całkowicie lub częściowo pod wodą, okresowo lub stale, przez co najmniej 100 lat, w tym:</w:t>
      </w:r>
    </w:p>
    <w:p w14:paraId="2A87A73B" w14:textId="77777777" w:rsidR="00F348ED" w:rsidRPr="00841FCB" w:rsidRDefault="00F348ED" w:rsidP="00841FCB">
      <w:pPr>
        <w:pStyle w:val="Teksttreci0"/>
        <w:numPr>
          <w:ilvl w:val="0"/>
          <w:numId w:val="2"/>
        </w:numPr>
        <w:shd w:val="clear" w:color="auto" w:fill="auto"/>
        <w:spacing w:before="0" w:after="0" w:line="360" w:lineRule="auto"/>
        <w:ind w:left="686" w:right="23" w:hanging="658"/>
        <w:rPr>
          <w:sz w:val="24"/>
          <w:szCs w:val="24"/>
        </w:rPr>
      </w:pPr>
      <w:r w:rsidRPr="00841FCB">
        <w:rPr>
          <w:sz w:val="24"/>
          <w:szCs w:val="24"/>
        </w:rPr>
        <w:t>stanowiska, budowle, obiekty, artefakty oraz szczątki ludzkie, wraz z ich kontekstem archeologicznym i przyrodniczym;</w:t>
      </w:r>
    </w:p>
    <w:p w14:paraId="31274891" w14:textId="77777777" w:rsidR="00F348ED" w:rsidRPr="00841FCB" w:rsidRDefault="00F348ED" w:rsidP="00841FCB">
      <w:pPr>
        <w:pStyle w:val="Teksttreci0"/>
        <w:numPr>
          <w:ilvl w:val="0"/>
          <w:numId w:val="2"/>
        </w:numPr>
        <w:shd w:val="clear" w:color="auto" w:fill="auto"/>
        <w:spacing w:before="0" w:after="0" w:line="360" w:lineRule="auto"/>
        <w:ind w:left="686" w:right="23" w:hanging="658"/>
        <w:rPr>
          <w:sz w:val="24"/>
          <w:szCs w:val="24"/>
        </w:rPr>
      </w:pPr>
      <w:r w:rsidRPr="00841FCB">
        <w:rPr>
          <w:sz w:val="24"/>
          <w:szCs w:val="24"/>
        </w:rPr>
        <w:t>statki, samoloty oraz inne pojazdy lub ich części, ładunek lub inna zawartość, wraz z ich kontekstem archeologicznych i przyrodniczym; oraz</w:t>
      </w:r>
    </w:p>
    <w:p w14:paraId="4B17BD1D" w14:textId="77777777" w:rsidR="00F348ED" w:rsidRPr="00841FCB" w:rsidRDefault="00F348ED" w:rsidP="00841FCB">
      <w:pPr>
        <w:pStyle w:val="Teksttreci0"/>
        <w:numPr>
          <w:ilvl w:val="0"/>
          <w:numId w:val="2"/>
        </w:numPr>
        <w:shd w:val="clear" w:color="auto" w:fill="auto"/>
        <w:spacing w:before="0" w:after="0" w:line="360" w:lineRule="auto"/>
        <w:ind w:left="392" w:right="23" w:hanging="352"/>
        <w:rPr>
          <w:sz w:val="24"/>
          <w:szCs w:val="24"/>
        </w:rPr>
      </w:pPr>
      <w:r w:rsidRPr="00841FCB">
        <w:rPr>
          <w:sz w:val="24"/>
          <w:szCs w:val="24"/>
        </w:rPr>
        <w:t>przedmioty o charakterze prehistorycznym.</w:t>
      </w:r>
    </w:p>
    <w:p w14:paraId="68BEE497" w14:textId="77777777" w:rsidR="00F348ED" w:rsidRPr="00841FCB" w:rsidRDefault="00F348ED" w:rsidP="00841FCB">
      <w:pPr>
        <w:spacing w:before="120" w:line="360" w:lineRule="auto"/>
        <w:jc w:val="both"/>
        <w:rPr>
          <w:color w:val="000000"/>
        </w:rPr>
      </w:pPr>
      <w:r w:rsidRPr="00841FCB">
        <w:rPr>
          <w:color w:val="000000"/>
        </w:rPr>
        <w:t>Powyższa, jak i kolejne definicje zawarte w art. 1 Konwencji</w:t>
      </w:r>
      <w:r w:rsidR="00745346" w:rsidRPr="00841FCB">
        <w:rPr>
          <w:color w:val="000000"/>
        </w:rPr>
        <w:t xml:space="preserve"> UNESCO z 2001 r.</w:t>
      </w:r>
      <w:r w:rsidRPr="00841FCB">
        <w:rPr>
          <w:color w:val="000000"/>
        </w:rPr>
        <w:t xml:space="preserve"> są co do zasady zgodne z</w:t>
      </w:r>
      <w:r w:rsidR="00AF3F4E">
        <w:rPr>
          <w:color w:val="000000"/>
        </w:rPr>
        <w:t xml:space="preserve"> </w:t>
      </w:r>
      <w:r w:rsidRPr="00841FCB">
        <w:rPr>
          <w:color w:val="000000"/>
        </w:rPr>
        <w:t>definicjami odpowiadających im pojęć zawartych w prawie polskim. Obecnie o</w:t>
      </w:r>
      <w:r w:rsidRPr="00841FCB">
        <w:t xml:space="preserve">bowiązująca </w:t>
      </w:r>
      <w:r w:rsidRPr="00841FCB">
        <w:rPr>
          <w:bCs/>
        </w:rPr>
        <w:t xml:space="preserve">ustawa o ochronie zabytków </w:t>
      </w:r>
      <w:r w:rsidRPr="00841FCB">
        <w:t>uwzględniła w sw</w:t>
      </w:r>
      <w:r w:rsidR="006F0948">
        <w:t>oj</w:t>
      </w:r>
      <w:r w:rsidRPr="00841FCB">
        <w:t>ej części definicyjnej dziedzictwo podwodne</w:t>
      </w:r>
      <w:r w:rsidR="006F0948">
        <w:t>,</w:t>
      </w:r>
      <w:r w:rsidRPr="00841FCB">
        <w:t xml:space="preserve"> wskazując, że zabytkami archeologicznymi </w:t>
      </w:r>
      <w:r w:rsidRPr="00841FCB">
        <w:lastRenderedPageBreak/>
        <w:t>mogą być także zabytki znajdujące się pod wodą. Zgodnie z</w:t>
      </w:r>
      <w:r w:rsidR="00AF3F4E">
        <w:t xml:space="preserve"> </w:t>
      </w:r>
      <w:r w:rsidRPr="00841FCB">
        <w:t>ogólną definicją zabytek to „nieruchomość lub rzecz ruchoma, ich części lub zespoły, będące dziełem człowieka lub związane z jego działalnością i</w:t>
      </w:r>
      <w:r w:rsidR="00AF3F4E">
        <w:t xml:space="preserve"> </w:t>
      </w:r>
      <w:r w:rsidRPr="00841FCB">
        <w:t>stanowiące świadectwo minionej epoki bądź zdarzenia, których zachowanie leży w interesie społecznym ze względu na posiadaną wartość historyczną, artystyczną lub naukową” (art. 3 ust. 1 ustawy). Natomiast art.</w:t>
      </w:r>
      <w:r w:rsidR="00AF3F4E">
        <w:t xml:space="preserve"> </w:t>
      </w:r>
      <w:r w:rsidRPr="00841FCB">
        <w:t>3 ust. 4 ustawy określa jako zabytek archeologiczny każdy „zabytek nieruchomy, będący powierzchniową, podziemną lub podwodną pozostałością egzystencji i działalności człowieka, złożoną z nawarstwień kulturowych i</w:t>
      </w:r>
      <w:r w:rsidR="00AF3F4E">
        <w:t xml:space="preserve"> </w:t>
      </w:r>
      <w:r w:rsidRPr="00841FCB">
        <w:t>znajdujących się w nich wytworów</w:t>
      </w:r>
      <w:r w:rsidR="00745346" w:rsidRPr="00841FCB">
        <w:t>,</w:t>
      </w:r>
      <w:r w:rsidRPr="00841FCB">
        <w:t xml:space="preserve"> bądź ich śladów albo zabytek ruchomy, będący tym wytworem”. Na podstawie powołanych przepisów należy zatem przyjąć, że wszystkie obiekty związane </w:t>
      </w:r>
      <w:r w:rsidR="00FA4EA1" w:rsidRPr="00841FCB">
        <w:t>z</w:t>
      </w:r>
      <w:r w:rsidR="00FA4EA1">
        <w:t> </w:t>
      </w:r>
      <w:r w:rsidRPr="00841FCB">
        <w:t xml:space="preserve">egzystencją człowieka, stanowiące świadectwo minionej </w:t>
      </w:r>
      <w:r w:rsidR="003A7C14" w:rsidRPr="00841FCB">
        <w:t>epoki a znajdujące się pod wodą</w:t>
      </w:r>
      <w:r w:rsidRPr="00841FCB">
        <w:t xml:space="preserve"> są zabytkami, jeżeli mają znaczenie z punktu widzenia historii, nauki lub sztuki. </w:t>
      </w:r>
    </w:p>
    <w:p w14:paraId="7E5453A3" w14:textId="37F3971C" w:rsidR="00F348ED" w:rsidRPr="00841FCB" w:rsidRDefault="00F348ED" w:rsidP="00841FCB">
      <w:pPr>
        <w:spacing w:before="120" w:line="360" w:lineRule="auto"/>
        <w:jc w:val="both"/>
      </w:pPr>
      <w:r w:rsidRPr="00841FCB">
        <w:rPr>
          <w:color w:val="000000"/>
        </w:rPr>
        <w:t>Nowym rozwiązaniem w zakresie określania podwodnego dziedzictwa kulturowego jest wprowadzenie cenzusu wieku zabytku</w:t>
      </w:r>
      <w:r w:rsidRPr="00841FCB">
        <w:t>. W art. 1 Konwencji UNESCO z</w:t>
      </w:r>
      <w:r w:rsidR="00AF3F4E">
        <w:t xml:space="preserve"> </w:t>
      </w:r>
      <w:r w:rsidRPr="00841FCB">
        <w:t xml:space="preserve">2001 r. określono, że </w:t>
      </w:r>
      <w:r w:rsidRPr="00841FCB">
        <w:rPr>
          <w:color w:val="000000"/>
        </w:rPr>
        <w:t>obiektami podwodnego dziedzictwa kulturowego są</w:t>
      </w:r>
      <w:r w:rsidRPr="00841FCB">
        <w:t xml:space="preserve"> wszelkie ślady egzystencji ludzkiej o</w:t>
      </w:r>
      <w:r w:rsidR="00AF3F4E">
        <w:t xml:space="preserve"> </w:t>
      </w:r>
      <w:r w:rsidRPr="00841FCB">
        <w:t>szczególnym charakterze, które pozostają pod wodą co</w:t>
      </w:r>
      <w:r w:rsidR="00AF3F4E">
        <w:t xml:space="preserve"> </w:t>
      </w:r>
      <w:r w:rsidRPr="00841FCB">
        <w:t>najmniej 100 lat. Należy wskazać, że w</w:t>
      </w:r>
      <w:r w:rsidR="00AF3F4E">
        <w:t xml:space="preserve"> </w:t>
      </w:r>
      <w:r w:rsidRPr="00841FCB">
        <w:t>ustawodawstwie Rzeczypospolitej Polskiej takie ograniczenie</w:t>
      </w:r>
      <w:r w:rsidR="00D22B0E" w:rsidRPr="00841FCB">
        <w:t xml:space="preserve"> </w:t>
      </w:r>
      <w:r w:rsidRPr="00841FCB">
        <w:t xml:space="preserve">nie występuje. Zgodnie z art. 3 pkt 1 ustawy o ochronie zabytków za zabytki mogą być uznane również obiekty młodsze, niż wskazane w </w:t>
      </w:r>
      <w:r w:rsidR="006F0948">
        <w:t>K</w:t>
      </w:r>
      <w:r w:rsidRPr="00841FCB">
        <w:t>onwencji obiekty. Kwestia ta nie wprowadza jednak sprzeczności Konwencji z</w:t>
      </w:r>
      <w:r w:rsidR="00AF3F4E">
        <w:t xml:space="preserve"> </w:t>
      </w:r>
      <w:r w:rsidRPr="00841FCB">
        <w:t>prawem polskim, albowiem ustawa o ochronie zabytków chroni dziedzictwo kulturowe w</w:t>
      </w:r>
      <w:r w:rsidR="00AF3F4E">
        <w:t xml:space="preserve"> </w:t>
      </w:r>
      <w:r w:rsidRPr="00841FCB">
        <w:t xml:space="preserve">szerszym zakresie przedmiotowym niż przedmiotowa umowa międzynarodowa. </w:t>
      </w:r>
    </w:p>
    <w:p w14:paraId="04198BCE" w14:textId="77777777" w:rsidR="00F348ED" w:rsidRPr="00841FCB" w:rsidRDefault="006D3874" w:rsidP="00841FCB">
      <w:pPr>
        <w:spacing w:before="120" w:line="360" w:lineRule="auto"/>
        <w:jc w:val="both"/>
      </w:pPr>
      <w:r w:rsidRPr="00841FCB">
        <w:t xml:space="preserve">Niezbędne będzie natomiast </w:t>
      </w:r>
      <w:r w:rsidR="00F348ED" w:rsidRPr="00841FCB">
        <w:t>uzupełnienie katalogu obiektów uznawanych za zabytki archeologiczne</w:t>
      </w:r>
      <w:r w:rsidR="00C14AA7" w:rsidRPr="00841FCB">
        <w:t>, zawartego w art. 6 ust. 1 pkt 3 ustawy o ochronie zabytków,</w:t>
      </w:r>
      <w:r w:rsidRPr="00841FCB">
        <w:t xml:space="preserve"> o obiekty podwodnego dziedzictwa kulturowego</w:t>
      </w:r>
      <w:r w:rsidR="00F348ED" w:rsidRPr="00841FCB">
        <w:t>.</w:t>
      </w:r>
    </w:p>
    <w:p w14:paraId="63150D6A" w14:textId="77777777" w:rsidR="00F348ED" w:rsidRPr="00841FCB" w:rsidRDefault="00F348ED" w:rsidP="00841FCB">
      <w:pPr>
        <w:spacing w:before="240" w:line="360" w:lineRule="auto"/>
        <w:jc w:val="both"/>
        <w:rPr>
          <w:b/>
        </w:rPr>
      </w:pPr>
      <w:r w:rsidRPr="00841FCB">
        <w:rPr>
          <w:b/>
        </w:rPr>
        <w:t>Art. 2 – cele i zasady Konwencji</w:t>
      </w:r>
      <w:r w:rsidR="00745346" w:rsidRPr="00841FCB">
        <w:rPr>
          <w:b/>
        </w:rPr>
        <w:t xml:space="preserve"> UNESCO z 2001 r.</w:t>
      </w:r>
    </w:p>
    <w:p w14:paraId="39B08276" w14:textId="3DFC8E1A" w:rsidR="00F348ED" w:rsidRPr="00841FCB" w:rsidRDefault="00F348ED" w:rsidP="00841FCB">
      <w:pPr>
        <w:spacing w:before="120" w:line="360" w:lineRule="auto"/>
        <w:jc w:val="both"/>
        <w:rPr>
          <w:color w:val="000000"/>
        </w:rPr>
      </w:pPr>
      <w:r w:rsidRPr="00841FCB">
        <w:rPr>
          <w:color w:val="000000"/>
        </w:rPr>
        <w:t xml:space="preserve">Podstawowym celem Konwencji </w:t>
      </w:r>
      <w:r w:rsidR="00745346" w:rsidRPr="00841FCB">
        <w:rPr>
          <w:color w:val="000000"/>
        </w:rPr>
        <w:t xml:space="preserve">UNESCO z 2001 r. </w:t>
      </w:r>
      <w:r w:rsidRPr="00841FCB">
        <w:rPr>
          <w:color w:val="000000"/>
        </w:rPr>
        <w:t xml:space="preserve">jest ochrona podwodnego dziedzictwa kulturowego </w:t>
      </w:r>
      <w:r w:rsidRPr="00841FCB">
        <w:rPr>
          <w:i/>
          <w:color w:val="000000"/>
        </w:rPr>
        <w:t>in situ</w:t>
      </w:r>
      <w:r w:rsidRPr="00841FCB">
        <w:rPr>
          <w:color w:val="000000"/>
        </w:rPr>
        <w:t>. W art. 2 Konwencji określono zasady ochrony dziedzictwa podwodnego. Za priorytet w</w:t>
      </w:r>
      <w:r w:rsidR="00AF3F4E">
        <w:rPr>
          <w:color w:val="000000"/>
        </w:rPr>
        <w:t xml:space="preserve"> </w:t>
      </w:r>
      <w:r w:rsidRPr="00841FCB">
        <w:rPr>
          <w:color w:val="000000"/>
        </w:rPr>
        <w:t xml:space="preserve">kontekście wydawania zezwoleń na realizację wszelkich działań nakierowanych na dziedzictwo podwodne uznano zachowanie tego dziedzictwa </w:t>
      </w:r>
      <w:r w:rsidRPr="00841FCB">
        <w:rPr>
          <w:i/>
          <w:color w:val="000000"/>
        </w:rPr>
        <w:t>in situ.</w:t>
      </w:r>
      <w:r w:rsidRPr="00841FCB">
        <w:rPr>
          <w:color w:val="000000"/>
        </w:rPr>
        <w:t xml:space="preserve"> Wskazano także między innymi na konieczność odpowiedniego zadbania o wydobyte obiekty podwodnego dziedzictwa kulturowego oraz okazywania </w:t>
      </w:r>
      <w:r w:rsidRPr="00841FCB">
        <w:rPr>
          <w:color w:val="000000"/>
        </w:rPr>
        <w:lastRenderedPageBreak/>
        <w:t xml:space="preserve">szczątkom ludzkim spoczywającym w wodach morskich właściwego szacunku. Wskazać należy, że umieszczone w art. 2 cele Konwencji są co do istoty tożsame </w:t>
      </w:r>
      <w:r w:rsidR="003F4D68" w:rsidRPr="00841FCB">
        <w:rPr>
          <w:color w:val="000000"/>
        </w:rPr>
        <w:t>z</w:t>
      </w:r>
      <w:r w:rsidR="003F4D68">
        <w:rPr>
          <w:color w:val="000000"/>
        </w:rPr>
        <w:t> </w:t>
      </w:r>
      <w:r w:rsidRPr="00841FCB">
        <w:rPr>
          <w:color w:val="000000"/>
        </w:rPr>
        <w:t xml:space="preserve">celami polskiego prawodawstwa dotyczącego ochrony dziedzictwa kulturowego. </w:t>
      </w:r>
    </w:p>
    <w:p w14:paraId="4389B25F" w14:textId="63788C99" w:rsidR="00F348ED" w:rsidRPr="00841FCB" w:rsidRDefault="00F348ED" w:rsidP="00841FCB">
      <w:pPr>
        <w:spacing w:before="120" w:line="360" w:lineRule="auto"/>
        <w:jc w:val="both"/>
      </w:pPr>
      <w:r w:rsidRPr="00841FCB">
        <w:rPr>
          <w:color w:val="000000"/>
        </w:rPr>
        <w:t xml:space="preserve">Zmian w przepisach prawa krajowego będzie natomiast wymagała zawarta w art. 2 ust. 7 Konwencji zasada ustanawiająca zakaz wykorzystywania dziedzictwa kulturowego </w:t>
      </w:r>
      <w:r w:rsidR="00FA4EA1" w:rsidRPr="00841FCB">
        <w:rPr>
          <w:color w:val="000000"/>
        </w:rPr>
        <w:t>w</w:t>
      </w:r>
      <w:r w:rsidR="00FA4EA1">
        <w:rPr>
          <w:color w:val="000000"/>
        </w:rPr>
        <w:t> </w:t>
      </w:r>
      <w:r w:rsidRPr="00841FCB">
        <w:rPr>
          <w:color w:val="000000"/>
        </w:rPr>
        <w:t xml:space="preserve">celach komercyjnych. Ograniczenie takie wynika również z </w:t>
      </w:r>
      <w:r w:rsidRPr="00841FCB">
        <w:t xml:space="preserve">art. 14 Konwencji, </w:t>
      </w:r>
      <w:r w:rsidR="003F4D68" w:rsidRPr="00841FCB">
        <w:t>a</w:t>
      </w:r>
      <w:r w:rsidR="003F4D68">
        <w:t> </w:t>
      </w:r>
      <w:r w:rsidRPr="00841FCB">
        <w:t xml:space="preserve">także z </w:t>
      </w:r>
      <w:r w:rsidRPr="00841FCB">
        <w:rPr>
          <w:color w:val="000000"/>
        </w:rPr>
        <w:t xml:space="preserve">treści </w:t>
      </w:r>
      <w:r w:rsidRPr="00841FCB">
        <w:t xml:space="preserve">Zasady 2 </w:t>
      </w:r>
      <w:r w:rsidRPr="00841FCB">
        <w:rPr>
          <w:color w:val="000000"/>
        </w:rPr>
        <w:t>Załącznika do Konwencji. Przepisy te</w:t>
      </w:r>
      <w:r w:rsidRPr="00841FCB">
        <w:t xml:space="preserve"> stanowią, że podwodne dziedzictwo kulturowe nie może być przedmiotem obrotu, sprzedaży, kupna ani wymiany jako towar komercyjny.</w:t>
      </w:r>
      <w:r w:rsidR="00D22B0E" w:rsidRPr="00841FCB">
        <w:t xml:space="preserve"> </w:t>
      </w:r>
      <w:r w:rsidRPr="00841FCB">
        <w:rPr>
          <w:color w:val="000000"/>
        </w:rPr>
        <w:t>W</w:t>
      </w:r>
      <w:r w:rsidR="00AF3F4E">
        <w:t xml:space="preserve"> </w:t>
      </w:r>
      <w:r w:rsidRPr="00841FCB">
        <w:t xml:space="preserve">obwiązującym obecnie w Rzeczypospolitej Polskiej stanie prawnym obiekty dziedzictwa kulturowego mogą być, w pewnych okolicznościach, sprzedane, a ich status prawny nie jest wystarczająco jasny. </w:t>
      </w:r>
    </w:p>
    <w:p w14:paraId="148CC79F" w14:textId="77777777" w:rsidR="00F348ED" w:rsidRPr="00841FCB" w:rsidRDefault="00F348ED" w:rsidP="00841FCB">
      <w:pPr>
        <w:spacing w:before="120" w:line="360" w:lineRule="auto"/>
        <w:jc w:val="both"/>
      </w:pPr>
      <w:r w:rsidRPr="00841FCB">
        <w:t xml:space="preserve">W szczególności sytuacja ta dotyczy obiektów dziedzictwa kulturowego wydobytych </w:t>
      </w:r>
      <w:r w:rsidR="00FA4EA1" w:rsidRPr="00841FCB">
        <w:t>z</w:t>
      </w:r>
      <w:r w:rsidR="00FA4EA1">
        <w:t> </w:t>
      </w:r>
      <w:r w:rsidRPr="00841FCB">
        <w:t>morskich wód wewnętrznych i morza terytorialnego (innych niż zabytki archeologiczne, które na podstawie ustawy o ochronie zabytków są własnością Skarbu Państwa) oraz tych wydobytych z morza otwartego i następnie przywiezionych na terytorium Rzeczypospolitej Polskiej (wszystkie grupy zabytków). Przepisy prawa cywilnego o znalezieniu rzeczy podlegają w ich przypadku wyłączeniu, a sposób postępowania z</w:t>
      </w:r>
      <w:r w:rsidR="00AF3F4E">
        <w:t xml:space="preserve"> </w:t>
      </w:r>
      <w:r w:rsidRPr="00841FCB">
        <w:t>nimi określają przepisy ustawy z dnia 18 września 2001 r. Kodeks morski oraz przepisy wykonawcze wydane na jego podstawie. Zgodnie z § 6 rozporządzenia Ministra Sprawiedliwości z</w:t>
      </w:r>
      <w:r w:rsidR="00AF3F4E">
        <w:t xml:space="preserve"> </w:t>
      </w:r>
      <w:r w:rsidRPr="00841FCB">
        <w:t>dnia 13 grudnia 2004 r. w sprawie określenia sposobu postępowania z m</w:t>
      </w:r>
      <w:r w:rsidR="0077191E" w:rsidRPr="00841FCB">
        <w:t>ieniem wydobytym z</w:t>
      </w:r>
      <w:r w:rsidR="00AF3F4E">
        <w:t xml:space="preserve"> </w:t>
      </w:r>
      <w:r w:rsidR="0077191E" w:rsidRPr="00841FCB">
        <w:t>morza (</w:t>
      </w:r>
      <w:r w:rsidR="00A00028" w:rsidRPr="00841FCB">
        <w:t xml:space="preserve">Dz. U. </w:t>
      </w:r>
      <w:r w:rsidRPr="00841FCB">
        <w:t>poz. 2689)</w:t>
      </w:r>
      <w:r w:rsidR="00B31E2B" w:rsidRPr="00841FCB">
        <w:t>,</w:t>
      </w:r>
      <w:r w:rsidRPr="00841FCB">
        <w:t xml:space="preserve"> </w:t>
      </w:r>
      <w:r w:rsidR="00B31E2B" w:rsidRPr="00841FCB">
        <w:t>j</w:t>
      </w:r>
      <w:r w:rsidRPr="00841FCB">
        <w:t>eżeli nie uda się ustalić właściciela zabytku, obiekt taki podlega sprzedaży, którą przeprowadza dyrektor urzędu morskiego po wcześniejszym zawiadomieniu o tym zamiarze wojewódzkiego konserwatora zabytków (jeżeli w ocenie dyrektora urzędu mienie to może stanowić zabytek). Z</w:t>
      </w:r>
      <w:r w:rsidR="00AF3F4E">
        <w:t xml:space="preserve"> </w:t>
      </w:r>
      <w:r w:rsidRPr="00841FCB">
        <w:t xml:space="preserve">przepisów tego rozporządzenia nie wynika jednak skutek zawiadomienia, </w:t>
      </w:r>
      <w:r w:rsidR="00FA4EA1" w:rsidRPr="00841FCB">
        <w:t>a</w:t>
      </w:r>
      <w:r w:rsidR="00FA4EA1">
        <w:t> </w:t>
      </w:r>
      <w:r w:rsidR="00FA4EA1" w:rsidRPr="00841FCB">
        <w:t>w</w:t>
      </w:r>
      <w:r w:rsidR="00FA4EA1">
        <w:t> </w:t>
      </w:r>
      <w:r w:rsidRPr="00841FCB">
        <w:t>szczególności ewentualna kompetencja konserwatora do decydowania lub współdecydowania o</w:t>
      </w:r>
      <w:r w:rsidR="00AF3F4E">
        <w:t xml:space="preserve"> </w:t>
      </w:r>
      <w:r w:rsidRPr="00841FCB">
        <w:t xml:space="preserve">losach zabytków, o których został tą drogą zawiadomiony. </w:t>
      </w:r>
    </w:p>
    <w:p w14:paraId="77D2E1D2" w14:textId="55BC7DF4" w:rsidR="00F348ED" w:rsidRPr="00841FCB" w:rsidRDefault="00F348ED" w:rsidP="00841FCB">
      <w:pPr>
        <w:spacing w:before="120" w:line="360" w:lineRule="auto"/>
        <w:jc w:val="both"/>
      </w:pPr>
      <w:r w:rsidRPr="00841FCB">
        <w:t xml:space="preserve">W przypadku przystąpienia do Konwencji UNESCO z 2001 r. konieczne będzie zatem formalne i pełne wprowadzenie statusu </w:t>
      </w:r>
      <w:r w:rsidRPr="00841FCB">
        <w:rPr>
          <w:i/>
        </w:rPr>
        <w:t>res extra commercium</w:t>
      </w:r>
      <w:r w:rsidRPr="00841FCB">
        <w:t xml:space="preserve"> dla zabytków podwodnego dziedzictwa kulturowego, co wyłączy je całkowicie ze sprzedaży w</w:t>
      </w:r>
      <w:r w:rsidR="00AF3F4E">
        <w:t xml:space="preserve"> </w:t>
      </w:r>
      <w:r w:rsidRPr="00841FCB">
        <w:t xml:space="preserve">ww. trybie. Nastąpi to drogą włączenia odpowiedniego przepisu do ustawy o ochronie </w:t>
      </w:r>
      <w:r w:rsidRPr="00841FCB">
        <w:lastRenderedPageBreak/>
        <w:t>z</w:t>
      </w:r>
      <w:r w:rsidR="00920F39">
        <w:t>a</w:t>
      </w:r>
      <w:r w:rsidRPr="00841FCB">
        <w:t xml:space="preserve">bytków, która w </w:t>
      </w:r>
      <w:r w:rsidRPr="00841FCB">
        <w:rPr>
          <w:bCs/>
        </w:rPr>
        <w:t>art.</w:t>
      </w:r>
      <w:r w:rsidR="00AF3F4E">
        <w:rPr>
          <w:bCs/>
        </w:rPr>
        <w:t xml:space="preserve"> </w:t>
      </w:r>
      <w:r w:rsidRPr="00841FCB">
        <w:rPr>
          <w:bCs/>
        </w:rPr>
        <w:t>35 ust.</w:t>
      </w:r>
      <w:r w:rsidR="00AF3F4E">
        <w:t xml:space="preserve"> </w:t>
      </w:r>
      <w:r w:rsidRPr="00841FCB">
        <w:t>1</w:t>
      </w:r>
      <w:r w:rsidR="00AF3F4E">
        <w:t xml:space="preserve"> </w:t>
      </w:r>
      <w:r w:rsidRPr="00841FCB">
        <w:t xml:space="preserve">reguluje już specjalny status własnościowy zabytków archeologicznych. </w:t>
      </w:r>
      <w:r w:rsidR="00FA4EA1" w:rsidRPr="00841FCB">
        <w:t>Z</w:t>
      </w:r>
      <w:r w:rsidR="00FA4EA1">
        <w:t> </w:t>
      </w:r>
      <w:r w:rsidRPr="00841FCB">
        <w:t>nowego przepisu wprowadzonego do tej ustawy musiałoby w ślad za postanowieniem Konwencji wynikać co najmniej, że obiekty należące do kategorii podwodnego dziedzictwa kulturowego nie mogą być przedmiotem obrotu, sprzedaży, kupna ani wymiany jako towar komercyjny. Konsekwentnie, modyfikacji winien ulec omówiony wyżej przepis § 6 rozporządzenia Ministra Sprawiedliwości</w:t>
      </w:r>
      <w:r w:rsidR="00745346" w:rsidRPr="00841FCB">
        <w:t xml:space="preserve"> z dnia 13 grudnia 2004 r. </w:t>
      </w:r>
      <w:r w:rsidR="00FA4EA1" w:rsidRPr="00841FCB">
        <w:t>w</w:t>
      </w:r>
      <w:r w:rsidR="00FA4EA1">
        <w:t> </w:t>
      </w:r>
      <w:r w:rsidR="00745346" w:rsidRPr="00841FCB">
        <w:t xml:space="preserve">sprawie określenia sposobu postępowania z mieniem wydobytym </w:t>
      </w:r>
      <w:r w:rsidR="003F4D68" w:rsidRPr="00841FCB">
        <w:t>z</w:t>
      </w:r>
      <w:r w:rsidR="003F4D68">
        <w:t> </w:t>
      </w:r>
      <w:r w:rsidR="00745346" w:rsidRPr="00841FCB">
        <w:t>morza</w:t>
      </w:r>
      <w:r w:rsidRPr="00841FCB">
        <w:t xml:space="preserve">, aby każdorazowo przed przystąpieniem do sprzedaży takiego mienia </w:t>
      </w:r>
      <w:r w:rsidR="00641816" w:rsidRPr="00841FCB">
        <w:t xml:space="preserve">był </w:t>
      </w:r>
      <w:r w:rsidRPr="00841FCB">
        <w:t>powiadamiany wojewódzki konserwator zabytków. Organ ten dokonałby wówczas oceny czy mienie to nie stanowi zabytku i</w:t>
      </w:r>
      <w:r w:rsidR="00AF3F4E">
        <w:t xml:space="preserve"> </w:t>
      </w:r>
      <w:r w:rsidRPr="00841FCB">
        <w:t xml:space="preserve">w konsekwencji takiego ustalenia podjąłby stosowną decyzję </w:t>
      </w:r>
      <w:r w:rsidR="00FA4EA1" w:rsidRPr="00841FCB">
        <w:t>o</w:t>
      </w:r>
      <w:r w:rsidR="00FA4EA1">
        <w:t> </w:t>
      </w:r>
      <w:r w:rsidRPr="00841FCB">
        <w:t>dopuszczalności lub nie jego sprzedaży (zgodnie z</w:t>
      </w:r>
      <w:r w:rsidR="00AF3F4E">
        <w:t xml:space="preserve"> </w:t>
      </w:r>
      <w:r w:rsidRPr="00841FCB">
        <w:t xml:space="preserve">wprowadzoną zasadą </w:t>
      </w:r>
      <w:r w:rsidRPr="00841FCB">
        <w:rPr>
          <w:i/>
        </w:rPr>
        <w:t>res extra commercium</w:t>
      </w:r>
      <w:r w:rsidRPr="00841FCB">
        <w:t xml:space="preserve">). </w:t>
      </w:r>
    </w:p>
    <w:p w14:paraId="702E24EE" w14:textId="77777777" w:rsidR="00F348ED" w:rsidRPr="00841FCB" w:rsidRDefault="00F348ED" w:rsidP="00841FCB">
      <w:pPr>
        <w:spacing w:before="120" w:line="360" w:lineRule="auto"/>
        <w:jc w:val="both"/>
      </w:pPr>
      <w:r w:rsidRPr="00841FCB">
        <w:t xml:space="preserve">Jednocześnie uznać jednak należy, że nawet gdyby zmiany tego przepisu nie dokonano, a problem statusu zabytków podwodnych i ich sprzedaży nie zostałby uregulowany </w:t>
      </w:r>
      <w:r w:rsidR="00FA4EA1" w:rsidRPr="00841FCB">
        <w:t>w</w:t>
      </w:r>
      <w:r w:rsidR="00FA4EA1">
        <w:t> </w:t>
      </w:r>
      <w:r w:rsidRPr="00841FCB">
        <w:t xml:space="preserve">innym trybie, to zastosowanie znajdzie § 5 </w:t>
      </w:r>
      <w:r w:rsidR="00745346" w:rsidRPr="00841FCB">
        <w:t>ww</w:t>
      </w:r>
      <w:r w:rsidR="00641816" w:rsidRPr="00841FCB">
        <w:t>.</w:t>
      </w:r>
      <w:r w:rsidR="00745346" w:rsidRPr="00841FCB">
        <w:t xml:space="preserve"> </w:t>
      </w:r>
      <w:r w:rsidRPr="00841FCB">
        <w:t xml:space="preserve">rozporządzenia Ministra Sprawiedliwości. Zgodnie z jego treścią w przypadku, gdy mienie wydobyte z morza „stanowi rzecz, której, stosownie do odrębnych przepisów, posiadanie, rozpowszechnianie lub obrót jest zakazany, dyrektor urzędu morskiego zabezpiecza mienie i zawiadamia właściwy organ uprawniony do jego odbioru”. Ratyfikacja Konwencji UNESCO </w:t>
      </w:r>
      <w:r w:rsidR="00745346" w:rsidRPr="00841FCB">
        <w:t>z 2001 r.</w:t>
      </w:r>
      <w:r w:rsidR="006D7533" w:rsidRPr="00841FCB">
        <w:t xml:space="preserve"> spowoduje</w:t>
      </w:r>
      <w:r w:rsidRPr="00841FCB">
        <w:t>, że jej przepisy staną się częścią polskiego systemu prawnego, a zatem zabytki podwodnego dziedzictwa kulturowego uzyskają zgodnie z jej</w:t>
      </w:r>
      <w:r w:rsidR="00AF3F4E">
        <w:t xml:space="preserve"> </w:t>
      </w:r>
      <w:r w:rsidRPr="00841FCB">
        <w:t>postanowieniami</w:t>
      </w:r>
      <w:r w:rsidR="00D22B0E" w:rsidRPr="00841FCB">
        <w:t xml:space="preserve"> </w:t>
      </w:r>
      <w:r w:rsidRPr="00841FCB">
        <w:t>status rzeczy, którymi „obrót jest zakazany” w myśl § 5</w:t>
      </w:r>
      <w:r w:rsidR="00E54856" w:rsidRPr="00841FCB">
        <w:t xml:space="preserve"> ww</w:t>
      </w:r>
      <w:r w:rsidR="00641816" w:rsidRPr="00841FCB">
        <w:t>.</w:t>
      </w:r>
      <w:r w:rsidRPr="00841FCB">
        <w:t xml:space="preserve"> rozporządzenia. Działając na mocy tego przepisu</w:t>
      </w:r>
      <w:r w:rsidR="00920F39">
        <w:t>,</w:t>
      </w:r>
      <w:r w:rsidRPr="00841FCB">
        <w:t xml:space="preserve"> dyrektor urzędu morskiego będzie więc zobowiązany wycofać ze sprzedaży obiekty uznane za podwodne dziedzictwo kulturowe i przekazać je wojewódzkiemu konserwatorowi zabytków, jako organowi uprawnionemu do ich odbioru. Skutek ten nie będzie oznaczać nacjonalizacji, gdyż czynności te nie ingerują w prawo własności, ani w żaden sposób tego prawa nie determinują. </w:t>
      </w:r>
    </w:p>
    <w:p w14:paraId="354BB12D" w14:textId="77777777" w:rsidR="00F348ED" w:rsidRPr="00841FCB" w:rsidRDefault="00F348ED" w:rsidP="001D5A95">
      <w:pPr>
        <w:spacing w:before="240" w:line="360" w:lineRule="auto"/>
        <w:jc w:val="both"/>
        <w:rPr>
          <w:b/>
          <w:color w:val="000000"/>
        </w:rPr>
      </w:pPr>
      <w:r w:rsidRPr="00841FCB">
        <w:rPr>
          <w:b/>
          <w:color w:val="000000"/>
        </w:rPr>
        <w:t xml:space="preserve">Art. 3, </w:t>
      </w:r>
      <w:r w:rsidR="00C91D6F">
        <w:rPr>
          <w:b/>
          <w:color w:val="000000"/>
        </w:rPr>
        <w:t xml:space="preserve">art. </w:t>
      </w:r>
      <w:r w:rsidRPr="00841FCB">
        <w:rPr>
          <w:b/>
          <w:color w:val="000000"/>
        </w:rPr>
        <w:t xml:space="preserve">4 i </w:t>
      </w:r>
      <w:r w:rsidR="00C91D6F">
        <w:rPr>
          <w:b/>
          <w:color w:val="000000"/>
        </w:rPr>
        <w:t xml:space="preserve">art. </w:t>
      </w:r>
      <w:r w:rsidRPr="00841FCB">
        <w:rPr>
          <w:b/>
          <w:color w:val="000000"/>
        </w:rPr>
        <w:t xml:space="preserve">6 – Stosunek Konwencji </w:t>
      </w:r>
      <w:r w:rsidR="00E54856" w:rsidRPr="00841FCB">
        <w:rPr>
          <w:b/>
          <w:color w:val="000000"/>
        </w:rPr>
        <w:t>UNESCO z 2001 r.</w:t>
      </w:r>
      <w:r w:rsidR="00B44E3D" w:rsidRPr="00841FCB">
        <w:rPr>
          <w:b/>
          <w:color w:val="000000"/>
        </w:rPr>
        <w:t xml:space="preserve"> </w:t>
      </w:r>
      <w:r w:rsidRPr="00841FCB">
        <w:rPr>
          <w:b/>
          <w:color w:val="000000"/>
        </w:rPr>
        <w:t>do innych aktów prawnych</w:t>
      </w:r>
    </w:p>
    <w:p w14:paraId="33D8E8C9" w14:textId="4B6711C3" w:rsidR="00F348ED" w:rsidRPr="00841FCB" w:rsidRDefault="00F348ED" w:rsidP="00841FCB">
      <w:pPr>
        <w:spacing w:before="120" w:line="360" w:lineRule="auto"/>
        <w:jc w:val="both"/>
      </w:pPr>
      <w:r w:rsidRPr="00841FCB">
        <w:rPr>
          <w:color w:val="000000"/>
        </w:rPr>
        <w:t>Konwencja</w:t>
      </w:r>
      <w:r w:rsidR="00B44E3D" w:rsidRPr="00841FCB">
        <w:rPr>
          <w:color w:val="000000"/>
        </w:rPr>
        <w:t xml:space="preserve"> </w:t>
      </w:r>
      <w:r w:rsidR="00E54856" w:rsidRPr="00841FCB">
        <w:rPr>
          <w:color w:val="000000"/>
        </w:rPr>
        <w:t>UNESCO z 2001 r.</w:t>
      </w:r>
      <w:r w:rsidRPr="00841FCB">
        <w:rPr>
          <w:color w:val="000000"/>
        </w:rPr>
        <w:t xml:space="preserve"> w żaden sposób nie narusza praw, jurysdykcji oraz obowiązków państw wynikających z prawa międzynarodowego (art. 3). </w:t>
      </w:r>
      <w:r w:rsidRPr="00841FCB">
        <w:t xml:space="preserve">Co więcej, </w:t>
      </w:r>
      <w:r w:rsidR="003F4D68" w:rsidRPr="00841FCB">
        <w:lastRenderedPageBreak/>
        <w:t>w</w:t>
      </w:r>
      <w:r w:rsidR="003F4D68">
        <w:t> </w:t>
      </w:r>
      <w:r w:rsidRPr="00841FCB">
        <w:t>art. 6 zachęca państwa do zawierania porozumień dwustronnych i</w:t>
      </w:r>
      <w:r w:rsidR="00AF3F4E">
        <w:t xml:space="preserve"> </w:t>
      </w:r>
      <w:r w:rsidRPr="00841FCB">
        <w:t>wielostronnych oraz do rozwijania już istniejącej współpracy na rzecz ochrony podwodnego dziedzictwa kulturowego. W tym kontekście wskazuje się na potrzebę zawarcia przez Rzeczpospolitą Polską umów dwustronnych i</w:t>
      </w:r>
      <w:r w:rsidR="00AF3F4E">
        <w:t xml:space="preserve"> </w:t>
      </w:r>
      <w:r w:rsidRPr="00841FCB">
        <w:t>wielostronnych w przedmiocie współpracy na rzecz ochrony wraków znajdujących się na obszarze Morza Bałtyckiego, w szczególności tych z okresu II wojny światowej. Wraki te, jako niespełniające cenzusu wieku, wskazanego w art. 1 Konwencji UNESCO z 2001 r., nie podlegają ochronie prawnej zgodnie z jej postanowieniami.</w:t>
      </w:r>
    </w:p>
    <w:p w14:paraId="23672DE7" w14:textId="63564BB2" w:rsidR="00F348ED" w:rsidRPr="00841FCB" w:rsidRDefault="00F348ED" w:rsidP="00841FCB">
      <w:pPr>
        <w:spacing w:before="120" w:line="360" w:lineRule="auto"/>
        <w:jc w:val="both"/>
      </w:pPr>
      <w:r w:rsidRPr="00841FCB">
        <w:t>Należy dodać, że nie zachodzi również jakakolwiek sprzeczność postanowień Konwencji UNESCO z 2001 r. z postanowieniami Europejskiej Konwencji o ochronie dziedzictwa archeologicznego przyjętej w La Valletta w 1992 r</w:t>
      </w:r>
      <w:r w:rsidR="007A3E75">
        <w:t>.</w:t>
      </w:r>
      <w:r w:rsidRPr="00841FCB">
        <w:t>, której Polska jest stroną.</w:t>
      </w:r>
    </w:p>
    <w:p w14:paraId="4858CA50" w14:textId="77777777" w:rsidR="00F348ED" w:rsidRPr="00841FCB" w:rsidRDefault="00F348ED" w:rsidP="00841FCB">
      <w:pPr>
        <w:spacing w:before="240" w:line="360" w:lineRule="auto"/>
        <w:jc w:val="both"/>
        <w:rPr>
          <w:b/>
        </w:rPr>
      </w:pPr>
      <w:r w:rsidRPr="00841FCB">
        <w:rPr>
          <w:b/>
        </w:rPr>
        <w:t xml:space="preserve">Art. 5 i </w:t>
      </w:r>
      <w:r w:rsidR="00C91D6F">
        <w:rPr>
          <w:b/>
        </w:rPr>
        <w:t xml:space="preserve">art. </w:t>
      </w:r>
      <w:r w:rsidRPr="00841FCB">
        <w:rPr>
          <w:b/>
        </w:rPr>
        <w:t>7 – Zasady działania państw na obszarach ich jurysdykcji</w:t>
      </w:r>
    </w:p>
    <w:p w14:paraId="11563F46" w14:textId="3FFF1940" w:rsidR="00F348ED" w:rsidRPr="00841FCB" w:rsidRDefault="00F348ED" w:rsidP="00841FCB">
      <w:pPr>
        <w:spacing w:before="120" w:line="360" w:lineRule="auto"/>
        <w:jc w:val="both"/>
        <w:rPr>
          <w:color w:val="161616"/>
        </w:rPr>
      </w:pPr>
      <w:r w:rsidRPr="00841FCB">
        <w:rPr>
          <w:color w:val="000000"/>
        </w:rPr>
        <w:t xml:space="preserve">Wskazane w Konwencji UNESCO z 2001 r. zasady </w:t>
      </w:r>
      <w:r w:rsidRPr="00841FCB">
        <w:t xml:space="preserve">działania </w:t>
      </w:r>
      <w:r w:rsidR="00CA123E">
        <w:t>P</w:t>
      </w:r>
      <w:r w:rsidRPr="00841FCB">
        <w:t>aństw-</w:t>
      </w:r>
      <w:r w:rsidR="00CA123E">
        <w:t>S</w:t>
      </w:r>
      <w:r w:rsidRPr="00841FCB">
        <w:t xml:space="preserve">tron na obszarach ich jurysdykcji </w:t>
      </w:r>
      <w:r w:rsidRPr="00841FCB">
        <w:rPr>
          <w:color w:val="000000"/>
        </w:rPr>
        <w:t xml:space="preserve">nie naruszają prawa polskiego regulującego zasady działania na tych obszarach. </w:t>
      </w:r>
      <w:r w:rsidRPr="00841FCB">
        <w:rPr>
          <w:bCs/>
        </w:rPr>
        <w:t xml:space="preserve">Ze względu na zobowiązanie wynikające z art. 5 Konwencji </w:t>
      </w:r>
      <w:r w:rsidR="00AF3F4E">
        <w:rPr>
          <w:bCs/>
        </w:rPr>
        <w:t>–</w:t>
      </w:r>
      <w:r w:rsidRPr="00841FCB">
        <w:rPr>
          <w:bCs/>
        </w:rPr>
        <w:t xml:space="preserve"> </w:t>
      </w:r>
      <w:r w:rsidRPr="00841FCB">
        <w:rPr>
          <w:color w:val="161616"/>
        </w:rPr>
        <w:t xml:space="preserve">powzięcia przez </w:t>
      </w:r>
      <w:r w:rsidR="00CA123E">
        <w:rPr>
          <w:color w:val="161616"/>
        </w:rPr>
        <w:t>P</w:t>
      </w:r>
      <w:r w:rsidRPr="00841FCB">
        <w:rPr>
          <w:color w:val="161616"/>
        </w:rPr>
        <w:t>aństwo-</w:t>
      </w:r>
      <w:r w:rsidR="00CA123E">
        <w:rPr>
          <w:color w:val="161616"/>
        </w:rPr>
        <w:t>S</w:t>
      </w:r>
      <w:r w:rsidRPr="00841FCB">
        <w:rPr>
          <w:color w:val="161616"/>
        </w:rPr>
        <w:t xml:space="preserve">tronę wszelkich dostępnych mu stosownych środków w celu zapobieżenia lub łagodzenia negatywnego wpływu, jaki może przypadkowo wywrzeć na podwodne dziedzictwo kulturowe </w:t>
      </w:r>
      <w:r w:rsidR="00AF3F4E">
        <w:rPr>
          <w:color w:val="161616"/>
        </w:rPr>
        <w:t>–</w:t>
      </w:r>
      <w:r w:rsidRPr="00841FCB">
        <w:rPr>
          <w:color w:val="161616"/>
        </w:rPr>
        <w:t xml:space="preserve"> n</w:t>
      </w:r>
      <w:r w:rsidRPr="00841FCB">
        <w:t xml:space="preserve">ależy dokonać nowelizacji ustawy z dnia 20 lipca 2017 r. </w:t>
      </w:r>
      <w:r w:rsidR="00131389">
        <w:t xml:space="preserve">- </w:t>
      </w:r>
      <w:r w:rsidRPr="00841FCB">
        <w:rPr>
          <w:bCs/>
        </w:rPr>
        <w:t xml:space="preserve">Prawo wodne (Dz. U. z </w:t>
      </w:r>
      <w:r w:rsidR="00A00028" w:rsidRPr="00841FCB">
        <w:rPr>
          <w:bCs/>
        </w:rPr>
        <w:t>2020 r. poz. 310</w:t>
      </w:r>
      <w:r w:rsidR="00E54856" w:rsidRPr="00841FCB">
        <w:rPr>
          <w:bCs/>
        </w:rPr>
        <w:t>, z późn. zm.</w:t>
      </w:r>
      <w:r w:rsidRPr="00841FCB">
        <w:rPr>
          <w:bCs/>
        </w:rPr>
        <w:t xml:space="preserve">), której przepisy </w:t>
      </w:r>
      <w:r w:rsidR="003F4D68" w:rsidRPr="00841FCB">
        <w:rPr>
          <w:bCs/>
        </w:rPr>
        <w:t>w</w:t>
      </w:r>
      <w:r w:rsidR="003F4D68">
        <w:rPr>
          <w:bCs/>
        </w:rPr>
        <w:t> </w:t>
      </w:r>
      <w:r w:rsidRPr="00841FCB">
        <w:rPr>
          <w:bCs/>
        </w:rPr>
        <w:t>szerokim zakresie znajdują zastosowanie do morskich wód wewnętrznych i</w:t>
      </w:r>
      <w:r w:rsidR="00AF3F4E">
        <w:rPr>
          <w:bCs/>
        </w:rPr>
        <w:t xml:space="preserve"> </w:t>
      </w:r>
      <w:r w:rsidRPr="00841FCB">
        <w:rPr>
          <w:bCs/>
        </w:rPr>
        <w:t xml:space="preserve">wód morza terytorialnego, a w ograniczonym także do wyłącznej strefy ekonomicznej. Ustawa </w:t>
      </w:r>
      <w:r w:rsidRPr="00841FCB">
        <w:t>ta</w:t>
      </w:r>
      <w:r w:rsidRPr="00841FCB">
        <w:rPr>
          <w:bCs/>
        </w:rPr>
        <w:t xml:space="preserve"> określa m.in. zasady oraz tryb realizowania przedsięwzięć, które ze sw</w:t>
      </w:r>
      <w:r w:rsidR="007A3E75">
        <w:rPr>
          <w:bCs/>
        </w:rPr>
        <w:t>oj</w:t>
      </w:r>
      <w:r w:rsidRPr="00841FCB">
        <w:rPr>
          <w:bCs/>
        </w:rPr>
        <w:t>ej istoty mogą naruszać podwodne dziedzictwo kulturowe. Takimi przedsięwzięciami będą zwłaszcza: prowadzenie rurociągów, wykonywanie urządzeń wodnych, pogłębianie i refulacja lub inne działania naruszające strukturę dna.</w:t>
      </w:r>
      <w:r w:rsidRPr="00841FCB">
        <w:rPr>
          <w:color w:val="161616"/>
        </w:rPr>
        <w:t xml:space="preserve"> Zasadne jest zatem określenie w przedmiotowej ustawie obowiązku prowadzenia inwestycji w sposób eliminujący albo zmniejszający negatywne oddziaływania przedsięwzięcia na dziedzictwo podwodne. Taki efekt może zostać osiągnięty w szczególności przez zapewnienie udziału specjalistów z zakresu ochrony dziedzictwa podwodnego zarówno na etapie planowania, jak i realizacji zamierzenia, a</w:t>
      </w:r>
      <w:r w:rsidR="00AF3F4E">
        <w:rPr>
          <w:color w:val="161616"/>
        </w:rPr>
        <w:t xml:space="preserve"> </w:t>
      </w:r>
      <w:r w:rsidRPr="00841FCB">
        <w:rPr>
          <w:color w:val="161616"/>
        </w:rPr>
        <w:t xml:space="preserve">następnie jego eksploatacji, prowadzenie systematycznego i doraźnego monitoringu dna pod kątem obecności </w:t>
      </w:r>
      <w:r w:rsidRPr="00841FCB">
        <w:rPr>
          <w:color w:val="161616"/>
        </w:rPr>
        <w:lastRenderedPageBreak/>
        <w:t>wraków lub innych warstw kulturowych</w:t>
      </w:r>
      <w:r w:rsidR="00E54856" w:rsidRPr="00841FCB">
        <w:rPr>
          <w:color w:val="161616"/>
        </w:rPr>
        <w:t>,</w:t>
      </w:r>
      <w:r w:rsidRPr="00841FCB">
        <w:rPr>
          <w:color w:val="161616"/>
        </w:rPr>
        <w:t xml:space="preserve"> czy regularne badanie urobku pochodzącego </w:t>
      </w:r>
      <w:r w:rsidR="003F4D68" w:rsidRPr="00841FCB">
        <w:rPr>
          <w:color w:val="161616"/>
        </w:rPr>
        <w:t>z</w:t>
      </w:r>
      <w:r w:rsidR="003F4D68">
        <w:rPr>
          <w:color w:val="161616"/>
        </w:rPr>
        <w:t> </w:t>
      </w:r>
      <w:r w:rsidRPr="00841FCB">
        <w:rPr>
          <w:color w:val="161616"/>
        </w:rPr>
        <w:t xml:space="preserve">prac dennych. </w:t>
      </w:r>
    </w:p>
    <w:p w14:paraId="34C61C99" w14:textId="77777777" w:rsidR="00F348ED" w:rsidRPr="00841FCB" w:rsidRDefault="00F348ED" w:rsidP="00841FCB">
      <w:pPr>
        <w:spacing w:before="120" w:line="360" w:lineRule="auto"/>
        <w:jc w:val="both"/>
        <w:rPr>
          <w:color w:val="161616"/>
        </w:rPr>
      </w:pPr>
      <w:r w:rsidRPr="00841FCB">
        <w:rPr>
          <w:color w:val="161616"/>
        </w:rPr>
        <w:t xml:space="preserve">Konwencja UNESCO z 2001 r. chroni dziedzictwo podwodne znajdujące się w wodach mórz i oceanów, natomiast wody śródlądowe mogą być objęte jej regulacjami w drodze fakultatywnego oświadczenia stron. Nie planuje się złożenia takiego oświadczenia </w:t>
      </w:r>
      <w:r w:rsidR="00FA4EA1" w:rsidRPr="00841FCB">
        <w:rPr>
          <w:color w:val="161616"/>
        </w:rPr>
        <w:t>z</w:t>
      </w:r>
      <w:r w:rsidR="00FA4EA1">
        <w:rPr>
          <w:color w:val="161616"/>
        </w:rPr>
        <w:t> </w:t>
      </w:r>
      <w:r w:rsidRPr="00841FCB">
        <w:rPr>
          <w:color w:val="161616"/>
        </w:rPr>
        <w:t xml:space="preserve">chwilą ratyfikacji </w:t>
      </w:r>
      <w:r w:rsidR="00E54856" w:rsidRPr="00841FCB">
        <w:rPr>
          <w:color w:val="161616"/>
        </w:rPr>
        <w:t>K</w:t>
      </w:r>
      <w:r w:rsidRPr="00841FCB">
        <w:rPr>
          <w:color w:val="161616"/>
        </w:rPr>
        <w:t>onwencji, a więc będzie ona miała zastosowanie jedynie do wód morskich. W</w:t>
      </w:r>
      <w:r w:rsidR="00AF3F4E">
        <w:rPr>
          <w:color w:val="161616"/>
        </w:rPr>
        <w:t xml:space="preserve"> </w:t>
      </w:r>
      <w:r w:rsidRPr="00841FCB">
        <w:rPr>
          <w:color w:val="161616"/>
        </w:rPr>
        <w:t xml:space="preserve">konsekwencji wskazana wyżej nowelizacja ustawy </w:t>
      </w:r>
      <w:r w:rsidR="00E54856" w:rsidRPr="00841FCB">
        <w:rPr>
          <w:color w:val="161616"/>
        </w:rPr>
        <w:t xml:space="preserve">z dnia 20 lipca 2017 r. </w:t>
      </w:r>
      <w:r w:rsidR="00AF3F4E">
        <w:rPr>
          <w:color w:val="161616"/>
        </w:rPr>
        <w:t>–</w:t>
      </w:r>
      <w:r w:rsidR="00E54856" w:rsidRPr="00841FCB">
        <w:rPr>
          <w:color w:val="161616"/>
        </w:rPr>
        <w:t xml:space="preserve"> </w:t>
      </w:r>
      <w:r w:rsidRPr="00841FCB">
        <w:rPr>
          <w:bCs/>
        </w:rPr>
        <w:t>Prawo wodne</w:t>
      </w:r>
      <w:r w:rsidRPr="00841FCB">
        <w:t xml:space="preserve"> nie objęłaby powierzchniowych wód śródlądowych.</w:t>
      </w:r>
      <w:r w:rsidRPr="00841FCB">
        <w:rPr>
          <w:color w:val="161616"/>
        </w:rPr>
        <w:t xml:space="preserve"> Należy jednak </w:t>
      </w:r>
      <w:r w:rsidR="00FA4EA1" w:rsidRPr="00841FCB">
        <w:rPr>
          <w:color w:val="161616"/>
        </w:rPr>
        <w:t>w</w:t>
      </w:r>
      <w:r w:rsidR="00FA4EA1">
        <w:rPr>
          <w:color w:val="161616"/>
        </w:rPr>
        <w:t> </w:t>
      </w:r>
      <w:r w:rsidRPr="00841FCB">
        <w:rPr>
          <w:color w:val="161616"/>
        </w:rPr>
        <w:t>tym miejscu zauważyć, że obecnie obowiązująca ustawa</w:t>
      </w:r>
      <w:r w:rsidR="00E54856" w:rsidRPr="00841FCB">
        <w:rPr>
          <w:color w:val="161616"/>
        </w:rPr>
        <w:t xml:space="preserve"> z dnia 17 lipca 2017 r. </w:t>
      </w:r>
      <w:r w:rsidR="00AF3F4E">
        <w:rPr>
          <w:color w:val="161616"/>
        </w:rPr>
        <w:t xml:space="preserve">– </w:t>
      </w:r>
      <w:r w:rsidRPr="00841FCB">
        <w:rPr>
          <w:color w:val="161616"/>
        </w:rPr>
        <w:t xml:space="preserve">Prawo wodne </w:t>
      </w:r>
      <w:r w:rsidRPr="00841FCB">
        <w:t xml:space="preserve">nie zawiera żadnych mechanizmów chroniących obiekty podwodnego dziedzictwa kulturowego, stąd pilna potrzeba ratyfikacji </w:t>
      </w:r>
      <w:r w:rsidR="00E54856" w:rsidRPr="00841FCB">
        <w:t>K</w:t>
      </w:r>
      <w:r w:rsidRPr="00841FCB">
        <w:t>onwencji przez</w:t>
      </w:r>
      <w:r w:rsidR="006D7533" w:rsidRPr="00841FCB">
        <w:t xml:space="preserve"> Polskę</w:t>
      </w:r>
      <w:r w:rsidRPr="00841FCB">
        <w:t>.</w:t>
      </w:r>
    </w:p>
    <w:p w14:paraId="2F43EDF4" w14:textId="77777777" w:rsidR="00F348ED" w:rsidRPr="00841FCB" w:rsidRDefault="00F348ED" w:rsidP="00841FCB">
      <w:pPr>
        <w:spacing w:before="120" w:line="360" w:lineRule="auto"/>
        <w:jc w:val="both"/>
        <w:rPr>
          <w:color w:val="000000"/>
        </w:rPr>
      </w:pPr>
      <w:r w:rsidRPr="00841FCB">
        <w:rPr>
          <w:color w:val="000000"/>
        </w:rPr>
        <w:t>Uzupełnienia polskiego prawa wymagać będzie także realizacja obowiązku informacyjnego, wynikającego z</w:t>
      </w:r>
      <w:r w:rsidR="00D22B0E" w:rsidRPr="00841FCB">
        <w:rPr>
          <w:color w:val="000000"/>
        </w:rPr>
        <w:t xml:space="preserve"> </w:t>
      </w:r>
      <w:r w:rsidRPr="00841FCB">
        <w:rPr>
          <w:color w:val="000000"/>
        </w:rPr>
        <w:t xml:space="preserve">art. 7 ust. 3 Konwencji, na podstawie którego </w:t>
      </w:r>
      <w:r w:rsidRPr="00841FCB">
        <w:t>strony Konwencji zobowiązują się nawzajem informować o dokonanych odkryciach podwodnego dziedzictwa kulturowego (vide uwagi dot. art. 19 Konwencji)</w:t>
      </w:r>
      <w:r w:rsidRPr="00841FCB">
        <w:rPr>
          <w:color w:val="000000"/>
        </w:rPr>
        <w:t>.</w:t>
      </w:r>
    </w:p>
    <w:p w14:paraId="5C0C7158" w14:textId="77777777" w:rsidR="00F348ED" w:rsidRPr="00841FCB" w:rsidRDefault="00F348ED" w:rsidP="00841FCB">
      <w:pPr>
        <w:spacing w:before="240" w:line="360" w:lineRule="auto"/>
        <w:jc w:val="both"/>
        <w:rPr>
          <w:b/>
        </w:rPr>
      </w:pPr>
      <w:r w:rsidRPr="00841FCB">
        <w:rPr>
          <w:b/>
        </w:rPr>
        <w:t>Art. 8 – Kompetencje państw w strefie przyległej</w:t>
      </w:r>
    </w:p>
    <w:p w14:paraId="646536A7" w14:textId="71935582" w:rsidR="00F348ED" w:rsidRPr="00841FCB" w:rsidRDefault="00F348ED" w:rsidP="00841FCB">
      <w:pPr>
        <w:spacing w:before="120" w:line="360" w:lineRule="auto"/>
        <w:jc w:val="both"/>
        <w:rPr>
          <w:b/>
        </w:rPr>
      </w:pPr>
      <w:r w:rsidRPr="00841FCB">
        <w:t>Przepisy art. 8 Konwencji</w:t>
      </w:r>
      <w:r w:rsidR="00E54856" w:rsidRPr="00841FCB">
        <w:t xml:space="preserve"> UNESCO z 2001 r.</w:t>
      </w:r>
      <w:r w:rsidRPr="00841FCB">
        <w:t xml:space="preserve"> dotyczące kompetencji państw w strefie przyległej nie stoją w</w:t>
      </w:r>
      <w:r w:rsidR="00AF3F4E">
        <w:t xml:space="preserve"> </w:t>
      </w:r>
      <w:r w:rsidRPr="00841FCB">
        <w:t>sprzeczności z prawem polskim. Należy dodatkowo zauważyć, że zgodnie z art. 303 ust. 2 Konwencji</w:t>
      </w:r>
      <w:r w:rsidR="00AF3F4E">
        <w:t xml:space="preserve"> </w:t>
      </w:r>
      <w:r w:rsidRPr="00841FCB">
        <w:t xml:space="preserve">o prawie morza, państwa mogą regulować </w:t>
      </w:r>
      <w:r w:rsidR="003F4D68" w:rsidRPr="00841FCB">
        <w:t>i</w:t>
      </w:r>
      <w:r w:rsidR="003F4D68">
        <w:t> </w:t>
      </w:r>
      <w:r w:rsidRPr="00841FCB">
        <w:t>zezwalać na działania nakierowane na podwodne dziedzictwo kulturowe spoczywające w</w:t>
      </w:r>
      <w:r w:rsidR="00AF3F4E">
        <w:t xml:space="preserve"> </w:t>
      </w:r>
      <w:r w:rsidRPr="00841FCB">
        <w:t>wodach ich mórz przyległych. Czyniąc to,</w:t>
      </w:r>
      <w:r w:rsidR="00E54856" w:rsidRPr="00841FCB">
        <w:t xml:space="preserve"> są</w:t>
      </w:r>
      <w:r w:rsidRPr="00841FCB">
        <w:t xml:space="preserve"> zobowiązane</w:t>
      </w:r>
      <w:r w:rsidR="00AF3F4E">
        <w:t xml:space="preserve"> </w:t>
      </w:r>
      <w:r w:rsidRPr="00841FCB">
        <w:t>zadbać o przestrzeganie Zasad Konwencji</w:t>
      </w:r>
      <w:r w:rsidR="00E54856" w:rsidRPr="00841FCB">
        <w:t xml:space="preserve"> UNESCO z 2001 r.</w:t>
      </w:r>
    </w:p>
    <w:p w14:paraId="19EE7DE9" w14:textId="77777777" w:rsidR="00F348ED" w:rsidRPr="00841FCB" w:rsidRDefault="00F348ED" w:rsidP="00841FCB">
      <w:pPr>
        <w:spacing w:before="240" w:line="360" w:lineRule="auto"/>
        <w:jc w:val="both"/>
        <w:rPr>
          <w:b/>
        </w:rPr>
      </w:pPr>
      <w:r w:rsidRPr="00841FCB">
        <w:rPr>
          <w:b/>
        </w:rPr>
        <w:t>Art. 9</w:t>
      </w:r>
      <w:r w:rsidR="00AF3F4E">
        <w:rPr>
          <w:b/>
        </w:rPr>
        <w:t>–</w:t>
      </w:r>
      <w:r w:rsidRPr="00841FCB">
        <w:rPr>
          <w:b/>
        </w:rPr>
        <w:t>10 – Prawa i obowiązki państw w obrębie wyłącznej strefy ekonomicznej oraz szelfu kontynentalnego</w:t>
      </w:r>
    </w:p>
    <w:p w14:paraId="6D6113EE" w14:textId="191299A2" w:rsidR="00F348ED" w:rsidRPr="00841FCB" w:rsidRDefault="001452BB" w:rsidP="00841FCB">
      <w:pPr>
        <w:spacing w:before="120" w:line="360" w:lineRule="auto"/>
        <w:jc w:val="both"/>
      </w:pPr>
      <w:r w:rsidRPr="00841FCB">
        <w:t>Wyłączna s</w:t>
      </w:r>
      <w:r w:rsidR="00F348ED" w:rsidRPr="00841FCB">
        <w:t>trefa ekonomiczna obejmuje wody znajdujące się poza granicą morza terytorialnego, które zgodnie z ustawą z dnia 21 marca 1991 r. o obszarach morskich Rzeczypospolitej Polskiej i</w:t>
      </w:r>
      <w:r w:rsidR="00AF3F4E">
        <w:t xml:space="preserve"> </w:t>
      </w:r>
      <w:r w:rsidR="00F348ED" w:rsidRPr="00841FCB">
        <w:t xml:space="preserve">administracji morskiej (Dz. U. z </w:t>
      </w:r>
      <w:r w:rsidR="00E54856" w:rsidRPr="00841FCB">
        <w:t>2019 r. poz. 2169</w:t>
      </w:r>
      <w:r w:rsidR="008B75C4">
        <w:t>, z późn. zm.</w:t>
      </w:r>
      <w:r w:rsidR="00F348ED" w:rsidRPr="00841FCB">
        <w:t>) rozciąga się od brzegu lub granicy zewnętrznej morskich wód wewnętrznych na szerokość 12 mil morskich (22</w:t>
      </w:r>
      <w:r w:rsidR="00AF3F4E">
        <w:t xml:space="preserve"> </w:t>
      </w:r>
      <w:r w:rsidR="00F348ED" w:rsidRPr="00841FCB">
        <w:t xml:space="preserve">224 m). W tym miejscu należy jedynie wyjaśnić, że na podstawie art. 17 powyższej ustawy Rzeczpospolita Polska zastrzegła sobie </w:t>
      </w:r>
      <w:r w:rsidR="006D7533" w:rsidRPr="00841FCB">
        <w:t>uprawnienie</w:t>
      </w:r>
      <w:r w:rsidR="00F348ED" w:rsidRPr="00841FCB">
        <w:t xml:space="preserve"> w strefie ekonomicznej, polegające między innymi na prowadzeniu </w:t>
      </w:r>
      <w:r w:rsidR="00611942">
        <w:t>„</w:t>
      </w:r>
      <w:r w:rsidR="00F348ED" w:rsidRPr="00841FCB">
        <w:t xml:space="preserve">badań </w:t>
      </w:r>
      <w:r w:rsidR="00F348ED" w:rsidRPr="00841FCB">
        <w:lastRenderedPageBreak/>
        <w:t>naukowych morza</w:t>
      </w:r>
      <w:r w:rsidR="00611942">
        <w:t>”</w:t>
      </w:r>
      <w:r w:rsidR="00F348ED" w:rsidRPr="00841FCB">
        <w:t xml:space="preserve"> oraz </w:t>
      </w:r>
      <w:r w:rsidR="00611942">
        <w:t>„</w:t>
      </w:r>
      <w:r w:rsidR="00F348ED" w:rsidRPr="00841FCB">
        <w:t>ochronie i zachowaniu środowiska morskiego</w:t>
      </w:r>
      <w:r w:rsidR="00611942">
        <w:t>”</w:t>
      </w:r>
      <w:r w:rsidR="00F348ED" w:rsidRPr="00841FCB">
        <w:t xml:space="preserve">. Prowadzenie takich badań, w tym także przeszukiwanie wraków, odbywa się na podstawie przepisów tej ustawy oraz wydanych na jej podstawie aktów wykonawczych. Z częścią obszaru wyłącznej strefy ekonomicznej pokrywa się strefa przyległa ustanowiona w 2015 r. </w:t>
      </w:r>
      <w:r w:rsidR="003F4D68" w:rsidRPr="00841FCB">
        <w:t>w</w:t>
      </w:r>
      <w:r w:rsidR="003F4D68">
        <w:t> </w:t>
      </w:r>
      <w:r w:rsidR="00F348ED" w:rsidRPr="00841FCB">
        <w:t>celu poprawy bezpieczeństwa państwa, której zewnętrzna granica oddalona jest o 24 mile morskie od linii podstawowej.</w:t>
      </w:r>
    </w:p>
    <w:p w14:paraId="40468BD2" w14:textId="2D2A1725" w:rsidR="00F348ED" w:rsidRPr="00841FCB" w:rsidRDefault="00F348ED" w:rsidP="00841FCB">
      <w:pPr>
        <w:spacing w:before="120" w:line="360" w:lineRule="auto"/>
        <w:jc w:val="both"/>
      </w:pPr>
      <w:r w:rsidRPr="00841FCB">
        <w:t xml:space="preserve">Z uwagi na fakt, że </w:t>
      </w:r>
      <w:r w:rsidR="002205D6" w:rsidRPr="00841FCB">
        <w:t xml:space="preserve">wyłączna </w:t>
      </w:r>
      <w:r w:rsidRPr="00841FCB">
        <w:t xml:space="preserve">strefa ekonomiczna oraz szelf kontynentalny mają inny od wód terytorialnych status prawny i </w:t>
      </w:r>
      <w:r w:rsidR="00B835C1" w:rsidRPr="00841FCB">
        <w:t xml:space="preserve">państwa sprawują tam jedynie określone prawa suwerenne, </w:t>
      </w:r>
      <w:r w:rsidRPr="00841FCB">
        <w:t>Konwencja</w:t>
      </w:r>
      <w:r w:rsidR="00E54856" w:rsidRPr="00841FCB">
        <w:t xml:space="preserve"> UNESCO z 2001 r.</w:t>
      </w:r>
      <w:r w:rsidRPr="00841FCB">
        <w:t xml:space="preserve"> także dla tych obszarów wprowadza odrębne uregulowania w zakresie dziedzictwa podwodnego. W warstwie ogólnej jest to klauzula generalna, zobowiązująca strony do ochrony podwodnego dziedzictwa kulturowego znajdującego się w wyłącznej strefie ekonomicznej oraz na szelfie kontynentalnym </w:t>
      </w:r>
      <w:r w:rsidR="00FA4EA1" w:rsidRPr="00841FCB">
        <w:t>w</w:t>
      </w:r>
      <w:r w:rsidR="00FA4EA1">
        <w:t> </w:t>
      </w:r>
      <w:r w:rsidRPr="00841FCB">
        <w:t xml:space="preserve">sposób zgodny z postanowieniami Konwencji (art. 9 ust. 1). </w:t>
      </w:r>
      <w:r w:rsidR="003F4D68" w:rsidRPr="00841FCB">
        <w:t>W</w:t>
      </w:r>
      <w:r w:rsidR="003F4D68">
        <w:t> </w:t>
      </w:r>
      <w:r w:rsidRPr="00841FCB">
        <w:t xml:space="preserve">warstwie szczegółowej Konwencja nakłada na strony określone obowiązki oraz przyznaje im określone prawa. </w:t>
      </w:r>
    </w:p>
    <w:p w14:paraId="6D6EC297" w14:textId="48914B2C" w:rsidR="00F348ED" w:rsidRPr="00841FCB" w:rsidRDefault="00F348ED" w:rsidP="00841FCB">
      <w:pPr>
        <w:spacing w:before="120" w:line="360" w:lineRule="auto"/>
        <w:jc w:val="both"/>
      </w:pPr>
      <w:r w:rsidRPr="00841FCB">
        <w:t>Obowiązki te uznać należy za realizację ogólnego</w:t>
      </w:r>
      <w:r w:rsidR="00C14AA7" w:rsidRPr="00841FCB">
        <w:t xml:space="preserve"> wymogu</w:t>
      </w:r>
      <w:r w:rsidRPr="00841FCB">
        <w:t xml:space="preserve"> ochrony obiektów archeologicznych i historycznych znalezionych w morzu i służące</w:t>
      </w:r>
      <w:r w:rsidR="00661D9A" w:rsidRPr="00841FCB">
        <w:t>go</w:t>
      </w:r>
      <w:r w:rsidRPr="00841FCB">
        <w:t xml:space="preserve"> temu celowi obowiązku współpracy państw, który </w:t>
      </w:r>
      <w:r w:rsidR="00E54856" w:rsidRPr="00841FCB">
        <w:t xml:space="preserve">został </w:t>
      </w:r>
      <w:r w:rsidRPr="00841FCB">
        <w:t>ustanowiony</w:t>
      </w:r>
      <w:r w:rsidR="00AF3F4E">
        <w:t xml:space="preserve"> </w:t>
      </w:r>
      <w:r w:rsidRPr="00841FCB">
        <w:t>w art. 303 ust. 1 Konwencji</w:t>
      </w:r>
      <w:r w:rsidR="00AF3F4E">
        <w:t xml:space="preserve"> </w:t>
      </w:r>
      <w:r w:rsidR="00FA4EA1" w:rsidRPr="00841FCB">
        <w:t>o</w:t>
      </w:r>
      <w:r w:rsidR="00FA4EA1">
        <w:t> </w:t>
      </w:r>
      <w:r w:rsidRPr="00841FCB">
        <w:t>prawie morza. Konstrukcja tych obowiązków nie stoi w</w:t>
      </w:r>
      <w:r w:rsidR="00AF3F4E">
        <w:t xml:space="preserve"> </w:t>
      </w:r>
      <w:r w:rsidRPr="00841FCB">
        <w:t>sprzeczności z</w:t>
      </w:r>
      <w:r w:rsidR="00AF3F4E">
        <w:t xml:space="preserve"> </w:t>
      </w:r>
      <w:r w:rsidRPr="00841FCB">
        <w:t>prawem polskim, ale realizacja ich będzie wymagała podjęcia szeregu działań na podstawie odpowiednio uzupełnionych przepisów prawa krajowego. W</w:t>
      </w:r>
      <w:r w:rsidR="00AF3F4E">
        <w:t xml:space="preserve"> </w:t>
      </w:r>
      <w:r w:rsidRPr="00841FCB">
        <w:t xml:space="preserve">szczególności trzeba będzie zapewnić realizację szeroko ujętego obowiązku informacyjnego </w:t>
      </w:r>
      <w:r w:rsidR="00FA4EA1" w:rsidRPr="00841FCB">
        <w:t>i</w:t>
      </w:r>
      <w:r w:rsidR="00FA4EA1">
        <w:t> </w:t>
      </w:r>
      <w:r w:rsidRPr="00841FCB">
        <w:t>konsultacyjnego, a</w:t>
      </w:r>
      <w:r w:rsidR="00AF3F4E">
        <w:t xml:space="preserve"> </w:t>
      </w:r>
      <w:r w:rsidRPr="00841FCB">
        <w:t xml:space="preserve">także zmodyfikować przepisy dotyczące kontroli badań podwodnych, które na podstawie Konwencji </w:t>
      </w:r>
      <w:r w:rsidR="00E54856" w:rsidRPr="00841FCB">
        <w:t xml:space="preserve">UNESCO z 2001 r. </w:t>
      </w:r>
      <w:r w:rsidRPr="00841FCB">
        <w:t>mogą zawierać prawo zakazywania działań nakierowanych na obiekty podwodnego dziedzictwa kulturowego, aby zapobiec naruszeniom własnego prawa suwerena oraz własnej jurysdykcji (art. 10 ust. 2).</w:t>
      </w:r>
    </w:p>
    <w:p w14:paraId="4D2C09C0" w14:textId="77777777" w:rsidR="00F348ED" w:rsidRPr="00841FCB" w:rsidRDefault="00F348ED" w:rsidP="00841FCB">
      <w:pPr>
        <w:spacing w:before="240" w:line="360" w:lineRule="auto"/>
        <w:jc w:val="both"/>
        <w:rPr>
          <w:b/>
          <w:color w:val="000000"/>
        </w:rPr>
      </w:pPr>
      <w:r w:rsidRPr="00841FCB">
        <w:rPr>
          <w:b/>
        </w:rPr>
        <w:t>Art. 11</w:t>
      </w:r>
      <w:r w:rsidR="00AF3F4E">
        <w:rPr>
          <w:b/>
        </w:rPr>
        <w:t>–</w:t>
      </w:r>
      <w:r w:rsidRPr="00841FCB">
        <w:rPr>
          <w:b/>
        </w:rPr>
        <w:t xml:space="preserve">12 – Prawa i obowiązki państw na obszarze </w:t>
      </w:r>
      <w:r w:rsidRPr="00841FCB">
        <w:rPr>
          <w:b/>
          <w:color w:val="000000"/>
        </w:rPr>
        <w:t>dna morskiego lub oceanicznego oraz ich podłoża, znajdujących się poza strefą jurysdykcji państwowych</w:t>
      </w:r>
    </w:p>
    <w:p w14:paraId="2D7EDDFF" w14:textId="79421B5D" w:rsidR="00F348ED" w:rsidRPr="00841FCB" w:rsidRDefault="00F348ED" w:rsidP="00841FCB">
      <w:pPr>
        <w:spacing w:before="120" w:line="360" w:lineRule="auto"/>
        <w:jc w:val="both"/>
      </w:pPr>
      <w:r w:rsidRPr="00841FCB">
        <w:t xml:space="preserve">Obszar dna morskiego lub oceanicznego oraz ich podłoże nie podlega suwerenności jakiegokolwiek państwa i znajduje się poza jurysdykcją państwową. Dla tych obszarów </w:t>
      </w:r>
      <w:r w:rsidRPr="00841FCB">
        <w:lastRenderedPageBreak/>
        <w:t xml:space="preserve">Konwencja </w:t>
      </w:r>
      <w:r w:rsidR="00E54856" w:rsidRPr="00841FCB">
        <w:t xml:space="preserve">UNESCO z 2001 r. </w:t>
      </w:r>
      <w:r w:rsidRPr="00841FCB">
        <w:t>wprowadza w zakresie dziedzictwa podwodnego odrębne uregulowania, które podobnie jak w</w:t>
      </w:r>
      <w:r w:rsidR="00AF3F4E">
        <w:t xml:space="preserve"> </w:t>
      </w:r>
      <w:r w:rsidRPr="00841FCB">
        <w:t xml:space="preserve">odniesieniu do strefy ekonomicznej </w:t>
      </w:r>
      <w:r w:rsidR="003F4D68" w:rsidRPr="00841FCB">
        <w:t>i</w:t>
      </w:r>
      <w:r w:rsidR="003F4D68">
        <w:t> </w:t>
      </w:r>
      <w:r w:rsidRPr="00841FCB">
        <w:t>szelfu polegają przede wszystkim na ogólnym obowiązku ochrony dziedzictwa oraz obowiązku informacyjnym, a nadto obowiązkach związanych z</w:t>
      </w:r>
      <w:r w:rsidR="00AF3F4E">
        <w:t xml:space="preserve"> </w:t>
      </w:r>
      <w:r w:rsidRPr="00841FCB">
        <w:t xml:space="preserve">bezpośrednią działalnością podwodną. </w:t>
      </w:r>
    </w:p>
    <w:p w14:paraId="771751E8" w14:textId="03C3021A" w:rsidR="00F348ED" w:rsidRPr="00841FCB" w:rsidRDefault="00F348ED" w:rsidP="00841FCB">
      <w:pPr>
        <w:spacing w:before="120" w:line="360" w:lineRule="auto"/>
        <w:jc w:val="both"/>
      </w:pPr>
      <w:r w:rsidRPr="00841FCB">
        <w:t>Podobnie jak w przypadku przepisów dotyczących stref morskich, także przepisy Konwencji UNESCO z 2001 r. poświęcone obszarowi dna morskiego i oceanicznego nie stoją w</w:t>
      </w:r>
      <w:r w:rsidR="00AF3F4E">
        <w:t xml:space="preserve"> </w:t>
      </w:r>
      <w:r w:rsidRPr="00841FCB">
        <w:t xml:space="preserve">sprzeczności z prawem polskim, ale realizacja ustanowionego przez umowę międzynarodową szerokiego obowiązku informacyjnego będzie wymagała uzupełnienia przepisów prawa polskiego. W szczególności dotyczyć to będzie określenia trybu spełnienia tego obowiązku w stosunku do pozostałych </w:t>
      </w:r>
      <w:r w:rsidR="00CA123E">
        <w:t>P</w:t>
      </w:r>
      <w:r w:rsidRPr="00841FCB">
        <w:t>aństw-</w:t>
      </w:r>
      <w:r w:rsidR="00CA123E">
        <w:t>S</w:t>
      </w:r>
      <w:r w:rsidRPr="00841FCB">
        <w:t xml:space="preserve">tron oraz przedstawicieli UNESCO. </w:t>
      </w:r>
    </w:p>
    <w:p w14:paraId="54AE1C0E" w14:textId="003DE868" w:rsidR="00F348ED" w:rsidRPr="00841FCB" w:rsidRDefault="00F348ED" w:rsidP="00841FCB">
      <w:pPr>
        <w:spacing w:before="120" w:line="360" w:lineRule="auto"/>
        <w:jc w:val="both"/>
      </w:pPr>
      <w:r w:rsidRPr="00841FCB">
        <w:t>Zgodnie z art. 12 ust. 2 Konwencji</w:t>
      </w:r>
      <w:r w:rsidR="00E54856" w:rsidRPr="00841FCB">
        <w:t xml:space="preserve"> UNESCO z 2001 r.</w:t>
      </w:r>
      <w:r w:rsidRPr="00841FCB">
        <w:t xml:space="preserve">, w razie zgłoszenia przez kilka </w:t>
      </w:r>
      <w:r w:rsidR="00CA123E">
        <w:t>P</w:t>
      </w:r>
      <w:r w:rsidRPr="00841FCB">
        <w:t>aństw-</w:t>
      </w:r>
      <w:r w:rsidR="00CA123E">
        <w:t>S</w:t>
      </w:r>
      <w:r w:rsidRPr="00841FCB">
        <w:t>tron zainteresowania udziałem w konsultacjach dotyczących nowo odkrytego podwodnego dziedzictwa kulturowego w Obszarze lub zamiaru podjęcia działań nakierowanych na to dziedzictwo, Dyrektor Generalny UNESCO zaprosi te państwa do wyznaczenia Państwa, które będzie koordynować wspomniane konsultacje, a także wszelkie podejmowane w ich wyniku działania oraz wydawać związane z nimi pozwolenia (Państwo Koordynujące).</w:t>
      </w:r>
      <w:r w:rsidR="00D22B0E" w:rsidRPr="00841FCB">
        <w:t xml:space="preserve"> </w:t>
      </w:r>
      <w:r w:rsidRPr="00841FCB">
        <w:t>W związku z</w:t>
      </w:r>
      <w:r w:rsidR="00AF3F4E">
        <w:t xml:space="preserve"> </w:t>
      </w:r>
      <w:r w:rsidRPr="00841FCB">
        <w:t>powyższym należy zapewnić prawne podstawy pełnienia przez Rzeczpospolitą Polską takiej roli, przez powołanie do życia funkcji Koordynatora Krajowego ds. realizacji Konwencji UNESCO o ochronie podwodnego dziedzictwa</w:t>
      </w:r>
      <w:r w:rsidR="007201EF" w:rsidRPr="00841FCB">
        <w:t xml:space="preserve"> kulturowego</w:t>
      </w:r>
      <w:r w:rsidRPr="00841FCB">
        <w:t xml:space="preserve"> (vide uwagi dot. art. 19 Konwencji).</w:t>
      </w:r>
    </w:p>
    <w:p w14:paraId="367718C8" w14:textId="77777777" w:rsidR="00F348ED" w:rsidRPr="00841FCB" w:rsidRDefault="00F348ED" w:rsidP="00841FCB">
      <w:pPr>
        <w:spacing w:before="240" w:line="360" w:lineRule="auto"/>
        <w:jc w:val="both"/>
        <w:rPr>
          <w:b/>
        </w:rPr>
      </w:pPr>
      <w:r w:rsidRPr="00841FCB">
        <w:rPr>
          <w:b/>
        </w:rPr>
        <w:t>Art. 14</w:t>
      </w:r>
      <w:r w:rsidR="00AF3F4E">
        <w:rPr>
          <w:b/>
        </w:rPr>
        <w:t>–</w:t>
      </w:r>
      <w:r w:rsidRPr="00841FCB">
        <w:rPr>
          <w:b/>
        </w:rPr>
        <w:t>18 – Obowiązki państw realizowane na ich własnych terytoriach, dotyczące ochrony lub wspomagające ochronę dziedzictwa podwodnego</w:t>
      </w:r>
    </w:p>
    <w:p w14:paraId="11FE8661" w14:textId="6209A111" w:rsidR="00F348ED" w:rsidRPr="00841FCB" w:rsidRDefault="00F348ED" w:rsidP="00841FCB">
      <w:pPr>
        <w:spacing w:before="120" w:line="360" w:lineRule="auto"/>
        <w:jc w:val="both"/>
      </w:pPr>
      <w:r w:rsidRPr="00841FCB">
        <w:t>W Konwencji przewidziano dla państw szereg obowiązków szczegółowych, które mają być przez nie realizowane na ich własnych terytoriach, a których wykonanie umożliwia lub wyraźnie wspomaga ochronę dziedzictwa podwodnego. Należą do nich m.in.: konieczność informowania, podnoszenie świadomości, organizacja szkoleń czy obowiązek wprowadzenia zakazu obrotu obiektami dziedzictwa podwodnego.</w:t>
      </w:r>
    </w:p>
    <w:p w14:paraId="71A0ED13" w14:textId="13940C01" w:rsidR="00F348ED" w:rsidRDefault="00F348ED" w:rsidP="00841FCB">
      <w:pPr>
        <w:spacing w:before="120" w:line="360" w:lineRule="auto"/>
        <w:jc w:val="both"/>
      </w:pPr>
      <w:r w:rsidRPr="00841FCB">
        <w:t xml:space="preserve">Obowiązki te można uznać za uszczegółowienia zalecenia ujętego w art. 14 Konwencji Narodów Zjednoczonych o prawie morza, zgodnie z którym „państwa powinny zastosować wszelkie środki by zapobiegać w obrębie swojego terytorium nielegalnemu </w:t>
      </w:r>
      <w:r w:rsidRPr="00841FCB">
        <w:lastRenderedPageBreak/>
        <w:t>odkrywaniu i</w:t>
      </w:r>
      <w:r w:rsidR="00AF3F4E">
        <w:t xml:space="preserve"> </w:t>
      </w:r>
      <w:r w:rsidRPr="00841FCB">
        <w:t>wydobywaniu podwodnego dziedzictwa kulturowego”. Jako takie nie stoją więc w</w:t>
      </w:r>
      <w:r w:rsidR="00AF3F4E">
        <w:t xml:space="preserve"> </w:t>
      </w:r>
      <w:r w:rsidRPr="00841FCB">
        <w:t xml:space="preserve">zasadniczym konflikcie z prawem polskim, ale ich szczegółowa realizacja wymaga uzupełnienia przepisów prawa krajowego, szczególnie w zakresie wprowadzenia zasady </w:t>
      </w:r>
      <w:r w:rsidRPr="00841FCB">
        <w:rPr>
          <w:i/>
        </w:rPr>
        <w:t>res extra commercium.</w:t>
      </w:r>
    </w:p>
    <w:p w14:paraId="319D49FF" w14:textId="77777777" w:rsidR="00E166D6" w:rsidRPr="00841FCB" w:rsidRDefault="00E166D6" w:rsidP="00841FCB">
      <w:pPr>
        <w:spacing w:before="120" w:line="360" w:lineRule="auto"/>
        <w:jc w:val="both"/>
      </w:pPr>
    </w:p>
    <w:p w14:paraId="45B3F3D4" w14:textId="77777777" w:rsidR="00F348ED" w:rsidRPr="00841FCB" w:rsidRDefault="00F348ED" w:rsidP="00841FCB">
      <w:pPr>
        <w:spacing w:before="120" w:line="360" w:lineRule="auto"/>
        <w:jc w:val="both"/>
        <w:rPr>
          <w:b/>
        </w:rPr>
      </w:pPr>
      <w:r w:rsidRPr="00841FCB">
        <w:rPr>
          <w:b/>
        </w:rPr>
        <w:t>Art. 19 – Obowiązki państw w zakresie współpracy oraz wymiany informacji</w:t>
      </w:r>
    </w:p>
    <w:p w14:paraId="239DF00C" w14:textId="786A7C0F" w:rsidR="00F348ED" w:rsidRPr="00841FCB" w:rsidRDefault="00F348ED" w:rsidP="00841FCB">
      <w:pPr>
        <w:spacing w:before="120" w:line="360" w:lineRule="auto"/>
        <w:jc w:val="both"/>
      </w:pPr>
      <w:r w:rsidRPr="00841FCB">
        <w:t xml:space="preserve">Konwencja UNESCO z 2001 r. nakłada na państwa strony obowiązek współpracy </w:t>
      </w:r>
      <w:r w:rsidR="00FA4EA1" w:rsidRPr="00841FCB">
        <w:t>i</w:t>
      </w:r>
      <w:r w:rsidR="00FA4EA1">
        <w:t> </w:t>
      </w:r>
      <w:r w:rsidRPr="00841FCB">
        <w:t>wzajemnej pomocy w</w:t>
      </w:r>
      <w:r w:rsidR="00AF3F4E">
        <w:t xml:space="preserve"> </w:t>
      </w:r>
      <w:r w:rsidRPr="00841FCB">
        <w:t>zakresie ochrony i zarządzania obiektami podwodnego dziedzictwa kulturowego, w tym, o ile to możliwe</w:t>
      </w:r>
      <w:r w:rsidR="007201EF" w:rsidRPr="00841FCB">
        <w:t>,</w:t>
      </w:r>
      <w:r w:rsidRPr="00841FCB">
        <w:t xml:space="preserve"> w zakresie współdziałania </w:t>
      </w:r>
      <w:r w:rsidR="003F4D68" w:rsidRPr="00841FCB">
        <w:t>w</w:t>
      </w:r>
      <w:r w:rsidR="003F4D68">
        <w:t> </w:t>
      </w:r>
      <w:r w:rsidRPr="00841FCB">
        <w:t>obszarze badań, prac wydobywczych, dokumentacji, konserwacji oraz prezentacji rzeczonych obiektów. Powyższe obowiązki nie są sprzeczne z prawem polskim. Wymagają one jedynie uzupełnienia o przepisy realizujące wykonanie tych obowiązków w</w:t>
      </w:r>
      <w:r w:rsidR="00AF3F4E">
        <w:t xml:space="preserve"> </w:t>
      </w:r>
      <w:r w:rsidRPr="00841FCB">
        <w:t>praktyce.</w:t>
      </w:r>
    </w:p>
    <w:p w14:paraId="7D0EC2A4" w14:textId="77777777" w:rsidR="00F348ED" w:rsidRPr="00841FCB" w:rsidRDefault="00F348ED" w:rsidP="00841FCB">
      <w:pPr>
        <w:spacing w:before="120" w:line="360" w:lineRule="auto"/>
        <w:jc w:val="both"/>
      </w:pPr>
      <w:r w:rsidRPr="00841FCB">
        <w:t xml:space="preserve">Wspomniany już wcześniej rozbudowany obowiązek informacyjny </w:t>
      </w:r>
      <w:r w:rsidR="007201EF" w:rsidRPr="00841FCB">
        <w:t xml:space="preserve">jest </w:t>
      </w:r>
      <w:r w:rsidRPr="00841FCB">
        <w:t>wprowadzany</w:t>
      </w:r>
      <w:r w:rsidR="00AF3F4E">
        <w:t xml:space="preserve"> </w:t>
      </w:r>
      <w:r w:rsidRPr="00841FCB">
        <w:t>przez szereg przepisów Konwencji</w:t>
      </w:r>
      <w:r w:rsidR="007201EF" w:rsidRPr="00841FCB">
        <w:t xml:space="preserve"> UNESCO</w:t>
      </w:r>
      <w:r w:rsidR="00AF3F4E">
        <w:t xml:space="preserve"> </w:t>
      </w:r>
      <w:r w:rsidR="007201EF" w:rsidRPr="00841FCB">
        <w:t>z 2001 r.</w:t>
      </w:r>
      <w:r w:rsidR="00AF3F4E">
        <w:t xml:space="preserve"> </w:t>
      </w:r>
      <w:r w:rsidRPr="00841FCB">
        <w:t xml:space="preserve">i stanowi on podstawę współpracy państw przy osiąganiu celów Konwencji. Obowiązek ten </w:t>
      </w:r>
      <w:r w:rsidR="007201EF" w:rsidRPr="00841FCB">
        <w:t xml:space="preserve">został </w:t>
      </w:r>
      <w:r w:rsidRPr="00841FCB">
        <w:t>określony precyzyjnie stosownie do rodzaju wód i</w:t>
      </w:r>
      <w:r w:rsidR="00AF3F4E">
        <w:t xml:space="preserve"> </w:t>
      </w:r>
      <w:r w:rsidRPr="00841FCB">
        <w:t>zdarzeń, jakie w ich obrębie zaszły, a</w:t>
      </w:r>
      <w:r w:rsidR="00AF3F4E">
        <w:t xml:space="preserve"> </w:t>
      </w:r>
      <w:r w:rsidRPr="00841FCB">
        <w:t xml:space="preserve">obejmuje informowanie nie tylko odpowiednich do sytuacji państw konwencyjnych, ale w wielu wypadkach także Dyrektora Generalnego UNESCO oraz niekiedy Sekretarza Generalnego Międzynarodowej Organizacji Dna Morskiego. Po ratyfikacji Konwencji UNESCO </w:t>
      </w:r>
      <w:r w:rsidR="00FA4EA1" w:rsidRPr="00841FCB">
        <w:t>z</w:t>
      </w:r>
      <w:r w:rsidR="00FA4EA1">
        <w:t> </w:t>
      </w:r>
      <w:r w:rsidRPr="00841FCB">
        <w:t xml:space="preserve">2001 r. Rzeczpospolita Polska musi zatem zapewnić jego realizację. Odpowiednie przepisy powinny być zawarte w nowym rozporządzeniu Ministra Kultury i Dziedzictwa Narodowego, które wskaże kompetentną instytucję, obciążoną odpowiedzialnością za gromadzenie i przekazywanie informacji wskazanych przez </w:t>
      </w:r>
      <w:r w:rsidR="007201EF" w:rsidRPr="00841FCB">
        <w:t>K</w:t>
      </w:r>
      <w:r w:rsidRPr="00841FCB">
        <w:t>onwencję w ramach wykonywania obowiązku informacyjnego. Wskazane jest, aby funkcję tę pełniła wyspecjalizowana instytucja doświadczona na polu badania i ochrony podwodnego dziedzictwa kulturowego. Przydzieleniu opisanego zadania będzie towarzyszyć określenie sposobu oraz środków finansowania jego realizacji, w tym także warunków kadrowych, lokalowych i logistycznych. Instytucja ta będzie również odpowiedzialna za praktyczną stronę ewentualnego pełnienia przez Rzeczpospolitą Polską roli Państwa Koordynującego, gdyby do tej roli została wybrana w</w:t>
      </w:r>
      <w:r w:rsidR="00AF3F4E">
        <w:t xml:space="preserve"> </w:t>
      </w:r>
      <w:r w:rsidRPr="00841FCB">
        <w:t xml:space="preserve">trybie art. 12 ust. 2 Konwencji. </w:t>
      </w:r>
    </w:p>
    <w:p w14:paraId="3A4DF5F4" w14:textId="0F4E19B8" w:rsidR="00F348ED" w:rsidRPr="00841FCB" w:rsidRDefault="00F348ED" w:rsidP="00841FCB">
      <w:pPr>
        <w:spacing w:before="120" w:line="360" w:lineRule="auto"/>
        <w:jc w:val="both"/>
      </w:pPr>
      <w:r w:rsidRPr="00841FCB">
        <w:lastRenderedPageBreak/>
        <w:t>W związku z powyższymi zobowiązaniami konieczn</w:t>
      </w:r>
      <w:r w:rsidR="007201EF" w:rsidRPr="00841FCB">
        <w:t>e</w:t>
      </w:r>
      <w:r w:rsidRPr="00841FCB">
        <w:t xml:space="preserve"> będzie powołanie do życia funkcji Koordynatora Krajowego ds. realizacji Konwencji UNESCO o ochronie podwodnego dziedzictwa kulturowego, </w:t>
      </w:r>
      <w:r w:rsidRPr="00841FCB">
        <w:rPr>
          <w:color w:val="000000"/>
        </w:rPr>
        <w:t xml:space="preserve">który do czasu zgłoszenia w trybie art. 28. rozszerzenia zakresu stosowania </w:t>
      </w:r>
      <w:r w:rsidR="007201EF" w:rsidRPr="00841FCB">
        <w:rPr>
          <w:color w:val="000000"/>
        </w:rPr>
        <w:t>K</w:t>
      </w:r>
      <w:r w:rsidRPr="00841FCB">
        <w:rPr>
          <w:color w:val="000000"/>
        </w:rPr>
        <w:t xml:space="preserve">onwencji do wód śródlądowych, będzie sprawował nadzór nad ochroną konwencyjną zabytków podmorskich znajdujących się zarówno </w:t>
      </w:r>
      <w:r w:rsidR="003F4D68" w:rsidRPr="00841FCB">
        <w:rPr>
          <w:color w:val="000000"/>
        </w:rPr>
        <w:t>w</w:t>
      </w:r>
      <w:r w:rsidR="003F4D68">
        <w:rPr>
          <w:color w:val="000000"/>
        </w:rPr>
        <w:t> </w:t>
      </w:r>
      <w:r w:rsidRPr="00841FCB">
        <w:rPr>
          <w:color w:val="000000"/>
        </w:rPr>
        <w:t>wodach terytorialnych, jak i na obszarze strefy ekonomicznej.</w:t>
      </w:r>
      <w:r w:rsidRPr="00841FCB">
        <w:t xml:space="preserve"> Koordynator </w:t>
      </w:r>
      <w:r w:rsidR="00641816" w:rsidRPr="00841FCB">
        <w:t xml:space="preserve">będzie </w:t>
      </w:r>
      <w:r w:rsidRPr="00841FCB">
        <w:t>usytuowany organizacyjnie w strukturze Narodowego Instytutu Dziedzictwa, w ramach specjalnie utworzonego Oddziału Terenowego NID.</w:t>
      </w:r>
    </w:p>
    <w:p w14:paraId="5BE16C87" w14:textId="77777777" w:rsidR="00F348ED" w:rsidRPr="00841FCB" w:rsidRDefault="00F348ED" w:rsidP="00841FCB">
      <w:pPr>
        <w:spacing w:before="240" w:line="360" w:lineRule="auto"/>
        <w:jc w:val="both"/>
        <w:rPr>
          <w:b/>
        </w:rPr>
      </w:pPr>
      <w:r w:rsidRPr="00841FCB">
        <w:rPr>
          <w:b/>
        </w:rPr>
        <w:t xml:space="preserve">Art. 22 – Właściwe władze </w:t>
      </w:r>
    </w:p>
    <w:p w14:paraId="720D5D8B" w14:textId="77777777" w:rsidR="00F348ED" w:rsidRPr="00841FCB" w:rsidRDefault="00F348ED" w:rsidP="00841FCB">
      <w:pPr>
        <w:spacing w:before="120" w:line="360" w:lineRule="auto"/>
        <w:jc w:val="both"/>
      </w:pPr>
      <w:r w:rsidRPr="00841FCB">
        <w:t>W celu zapewnienia właściwej realizacji postanowień Konwencji UNESCO z 2001 r. państwa zobowiązują się powołać do życia właściwe organy lub powierzyć organom już istniejącym zadanie utworzenia, prowadzenia i aktualizacji ewidencji obiektów podwodnego dziedzictwa kulturowego, a także badań i edukacji w</w:t>
      </w:r>
      <w:r w:rsidR="00AF3F4E">
        <w:t xml:space="preserve"> </w:t>
      </w:r>
      <w:r w:rsidRPr="00841FCB">
        <w:t>tym zakresie. Kluczową rolę będzie pełnił w tym zakresie wspomniany Koordynator Krajowy ds. realizacji Konwencji UNESCO o</w:t>
      </w:r>
      <w:r w:rsidR="00AF3F4E">
        <w:t xml:space="preserve"> </w:t>
      </w:r>
      <w:r w:rsidRPr="00841FCB">
        <w:t>ochronie podwodnego dziedzictwa kulturowego.</w:t>
      </w:r>
    </w:p>
    <w:p w14:paraId="05CA89EC" w14:textId="77777777" w:rsidR="00F348ED" w:rsidRPr="00841FCB" w:rsidRDefault="00F348ED" w:rsidP="00841FCB">
      <w:pPr>
        <w:spacing w:before="240" w:line="360" w:lineRule="auto"/>
        <w:jc w:val="both"/>
        <w:rPr>
          <w:b/>
        </w:rPr>
      </w:pPr>
      <w:r w:rsidRPr="00841FCB">
        <w:rPr>
          <w:b/>
        </w:rPr>
        <w:t>Art. 23</w:t>
      </w:r>
      <w:r w:rsidR="00AF3F4E">
        <w:rPr>
          <w:b/>
        </w:rPr>
        <w:t>–</w:t>
      </w:r>
      <w:r w:rsidRPr="00841FCB">
        <w:rPr>
          <w:b/>
        </w:rPr>
        <w:t>24 – Zgromadzenie Państw-Stron oraz Sekretariat Konwencji</w:t>
      </w:r>
    </w:p>
    <w:p w14:paraId="4619CFEB" w14:textId="77777777" w:rsidR="00F348ED" w:rsidRPr="00841FCB" w:rsidRDefault="00F348ED" w:rsidP="00841FCB">
      <w:pPr>
        <w:spacing w:before="120" w:line="360" w:lineRule="auto"/>
        <w:jc w:val="both"/>
      </w:pPr>
      <w:r w:rsidRPr="00841FCB">
        <w:t xml:space="preserve">Zgodnie z art. 23 i </w:t>
      </w:r>
      <w:r w:rsidR="00641816" w:rsidRPr="00841FCB">
        <w:t xml:space="preserve">art. </w:t>
      </w:r>
      <w:r w:rsidRPr="00841FCB">
        <w:t xml:space="preserve">24 Konwencji UNESCO z 2001 r. Dyrektor Generalny UNESCO przynajmniej raz na dwa lata zwołuje Zgromadzenie Państw-Stron, a Zgromadzenie to może powołać Organ Doradczy do spraw Technicznych i Naukowych złożony </w:t>
      </w:r>
      <w:r w:rsidR="00FA4EA1" w:rsidRPr="00841FCB">
        <w:t>z</w:t>
      </w:r>
      <w:r w:rsidR="00FA4EA1">
        <w:t> </w:t>
      </w:r>
      <w:r w:rsidRPr="00841FCB">
        <w:t>ekspertów wyznaczonych przez Państwa Sygnatariuszy</w:t>
      </w:r>
      <w:r w:rsidR="007201EF" w:rsidRPr="00841FCB">
        <w:t>,</w:t>
      </w:r>
      <w:r w:rsidRPr="00841FCB">
        <w:t xml:space="preserve"> z uwzględnieniem zasady sprawiedliwej reprezentacji geograficznej oraz potrzeby zrównoważonej reprezentacji obu płci.</w:t>
      </w:r>
    </w:p>
    <w:p w14:paraId="674A3226" w14:textId="77777777" w:rsidR="00F348ED" w:rsidRPr="00841FCB" w:rsidRDefault="00F348ED" w:rsidP="00841FCB">
      <w:pPr>
        <w:spacing w:before="120" w:line="360" w:lineRule="auto"/>
        <w:jc w:val="both"/>
      </w:pPr>
      <w:r w:rsidRPr="00841FCB">
        <w:t>Powyższe postanowienia Konwencji UNESCO z 2001 r. nie pozostają w</w:t>
      </w:r>
      <w:r w:rsidR="00AF3F4E">
        <w:t xml:space="preserve"> </w:t>
      </w:r>
      <w:r w:rsidRPr="00841FCB">
        <w:t xml:space="preserve">sprzeczności </w:t>
      </w:r>
      <w:r w:rsidR="00FA4EA1" w:rsidRPr="00841FCB">
        <w:t>z</w:t>
      </w:r>
      <w:r w:rsidR="00FA4EA1">
        <w:t> </w:t>
      </w:r>
      <w:r w:rsidRPr="00841FCB">
        <w:t>prawem polskim. Będzie ono wymagać ewentualnie uzupełnienia o przepisy zapewniające realizację tych regulacji, w szczególności w zakresie reprezentacji Rzeczypospolitej Polskiej w</w:t>
      </w:r>
      <w:r w:rsidR="00AF3F4E">
        <w:t xml:space="preserve"> </w:t>
      </w:r>
      <w:r w:rsidRPr="00841FCB">
        <w:t>Zgromadzeniu oraz Organie Doradczym do spraw Technicznych i Naukowych.</w:t>
      </w:r>
    </w:p>
    <w:p w14:paraId="2472DC75" w14:textId="77777777" w:rsidR="00F348ED" w:rsidRPr="00841FCB" w:rsidRDefault="00F348ED" w:rsidP="00841FCB">
      <w:pPr>
        <w:spacing w:before="240" w:line="360" w:lineRule="auto"/>
        <w:jc w:val="both"/>
        <w:rPr>
          <w:b/>
        </w:rPr>
      </w:pPr>
      <w:r w:rsidRPr="00841FCB">
        <w:rPr>
          <w:b/>
        </w:rPr>
        <w:t>Art. 25 – Rozstrzyganie sporów dotyczących Konwencji</w:t>
      </w:r>
    </w:p>
    <w:p w14:paraId="6580499F" w14:textId="2674E75D" w:rsidR="00F348ED" w:rsidRPr="00841FCB" w:rsidRDefault="00F348ED" w:rsidP="00841FCB">
      <w:pPr>
        <w:spacing w:before="120" w:line="360" w:lineRule="auto"/>
        <w:jc w:val="both"/>
      </w:pPr>
      <w:r w:rsidRPr="00841FCB">
        <w:t xml:space="preserve">Zgodnie z art. 25 wszelkie spory między dwoma lub więcej państwami konwencyjnymi dotyczące jej interpretacji lub stosowania będą rozwiązywane drogą negocjacji w dobrej </w:t>
      </w:r>
      <w:r w:rsidRPr="00841FCB">
        <w:lastRenderedPageBreak/>
        <w:t>wierze lub za pomocą innych wybranych przez spierające się państwa środków pokojowych, a w przypadku niepowodzenia tych prób</w:t>
      </w:r>
      <w:r w:rsidR="00BB0E90" w:rsidRPr="00841FCB">
        <w:t>,</w:t>
      </w:r>
      <w:r w:rsidRPr="00841FCB">
        <w:t xml:space="preserve"> drogą mediacji UNESCO lub zgodnie </w:t>
      </w:r>
      <w:r w:rsidR="002D0E48">
        <w:t xml:space="preserve">z </w:t>
      </w:r>
      <w:r w:rsidRPr="00841FCB">
        <w:t>postanowieniami o</w:t>
      </w:r>
      <w:r w:rsidR="00AF3F4E">
        <w:t xml:space="preserve"> </w:t>
      </w:r>
      <w:r w:rsidRPr="00841FCB">
        <w:t>rozstrzyganiu sporów zawartymi</w:t>
      </w:r>
      <w:r w:rsidR="00BB0E90" w:rsidRPr="00841FCB">
        <w:t xml:space="preserve"> w części XV Konwencji Narodów Zjednoczonych o prawie morza</w:t>
      </w:r>
      <w:r w:rsidRPr="00841FCB">
        <w:t xml:space="preserve">, bez względu na fakt, czy państwa będące </w:t>
      </w:r>
      <w:r w:rsidR="00FA4EA1" w:rsidRPr="00841FCB">
        <w:t>w</w:t>
      </w:r>
      <w:r w:rsidR="00FA4EA1">
        <w:t> </w:t>
      </w:r>
      <w:r w:rsidRPr="00841FCB">
        <w:t xml:space="preserve">sporze są jednocześnie stronami tej Konwencji. </w:t>
      </w:r>
    </w:p>
    <w:p w14:paraId="05953FCB" w14:textId="77777777" w:rsidR="00F348ED" w:rsidRPr="00841FCB" w:rsidRDefault="00F348ED" w:rsidP="00841FCB">
      <w:pPr>
        <w:spacing w:before="120" w:line="360" w:lineRule="auto"/>
        <w:jc w:val="both"/>
      </w:pPr>
      <w:r w:rsidRPr="00841FCB">
        <w:t>Postanowienia</w:t>
      </w:r>
      <w:r w:rsidR="00CF4D3C" w:rsidRPr="00841FCB">
        <w:t xml:space="preserve"> regulujące</w:t>
      </w:r>
      <w:r w:rsidRPr="00841FCB">
        <w:t xml:space="preserve"> rozstrzygani</w:t>
      </w:r>
      <w:r w:rsidR="00CF4D3C" w:rsidRPr="00841FCB">
        <w:t>e</w:t>
      </w:r>
      <w:r w:rsidRPr="00841FCB">
        <w:t xml:space="preserve"> sporów dotyczących Konwencji nie są sprzeczne z</w:t>
      </w:r>
      <w:r w:rsidR="00AF3F4E">
        <w:t xml:space="preserve"> </w:t>
      </w:r>
      <w:r w:rsidRPr="00841FCB">
        <w:t>prawem polskim, tym bardziej że przewidują uruchomienie mechanizmu</w:t>
      </w:r>
      <w:r w:rsidR="00FC0131" w:rsidRPr="00841FCB">
        <w:t xml:space="preserve"> określonego</w:t>
      </w:r>
      <w:r w:rsidRPr="00841FCB">
        <w:t xml:space="preserve"> już w</w:t>
      </w:r>
      <w:r w:rsidR="00AF3F4E">
        <w:t xml:space="preserve"> </w:t>
      </w:r>
      <w:r w:rsidRPr="00841FCB">
        <w:t>Konwencji Narodów Zjednoczonych o prawie morza, której Rzeczpospolita Polska jest stroną.</w:t>
      </w:r>
    </w:p>
    <w:p w14:paraId="49BCF8DB" w14:textId="77777777" w:rsidR="00F348ED" w:rsidRPr="00841FCB" w:rsidRDefault="00F348ED" w:rsidP="00841FCB">
      <w:pPr>
        <w:spacing w:before="240" w:line="360" w:lineRule="auto"/>
        <w:jc w:val="both"/>
        <w:rPr>
          <w:b/>
        </w:rPr>
      </w:pPr>
      <w:r w:rsidRPr="00841FCB">
        <w:rPr>
          <w:b/>
        </w:rPr>
        <w:t>Art. 26</w:t>
      </w:r>
      <w:r w:rsidR="00AF3F4E">
        <w:rPr>
          <w:b/>
        </w:rPr>
        <w:t>–</w:t>
      </w:r>
      <w:r w:rsidRPr="00841FCB">
        <w:rPr>
          <w:b/>
        </w:rPr>
        <w:t>30 – Postanowienia proceduralne</w:t>
      </w:r>
    </w:p>
    <w:p w14:paraId="71A3C68B" w14:textId="68B21088" w:rsidR="00F348ED" w:rsidRPr="00841FCB" w:rsidRDefault="00F348ED" w:rsidP="00841FCB">
      <w:pPr>
        <w:spacing w:before="120" w:line="360" w:lineRule="auto"/>
        <w:jc w:val="both"/>
      </w:pPr>
      <w:r w:rsidRPr="00841FCB">
        <w:t xml:space="preserve">Postanowienia proceduralne zawarte w Konwencji </w:t>
      </w:r>
      <w:r w:rsidR="007201EF" w:rsidRPr="00841FCB">
        <w:t xml:space="preserve">UNESCO z 2001 r. </w:t>
      </w:r>
      <w:r w:rsidRPr="00841FCB">
        <w:t>należą do typowych postanowień zawieranych zwykle w aktach prawa międzynarodowego i nie pozostają w żaden sposób w</w:t>
      </w:r>
      <w:r w:rsidR="00AF3F4E">
        <w:t xml:space="preserve"> </w:t>
      </w:r>
      <w:r w:rsidRPr="00841FCB">
        <w:t>kolizji z</w:t>
      </w:r>
      <w:r w:rsidR="00AF3F4E">
        <w:t xml:space="preserve"> </w:t>
      </w:r>
      <w:r w:rsidRPr="00841FCB">
        <w:t>prawem polskim. Konwencja wchodzi w życie po upływie trzech miesięcy od złożenia dokumentu przystąpienia Dyrektorowi Generalnemu UNESCO (art. 27). Ratyfikując, przyjmując, zatwierdzając lub przystępując do Konwencji, a także w</w:t>
      </w:r>
      <w:r w:rsidR="00AF3F4E">
        <w:t xml:space="preserve"> </w:t>
      </w:r>
      <w:r w:rsidRPr="00841FCB">
        <w:t xml:space="preserve">dowolnym późniejszym terminie, państwa </w:t>
      </w:r>
      <w:r w:rsidR="003F4D68" w:rsidRPr="00841FCB">
        <w:t>i</w:t>
      </w:r>
      <w:r w:rsidR="003F4D68">
        <w:t> </w:t>
      </w:r>
      <w:r w:rsidRPr="00841FCB">
        <w:t xml:space="preserve">terytoria mogą zadeklarować, że załączone do niej Zasady dotyczyć będą ich wód śródlądowych niebędących wodami morskimi (art. 28). Ponadto ratyfikując, przyjmując, zatwierdzając lub przystępując do Konwencji, państwo lub terytorium może złożyć oświadczenie wyłączające z jej obowiązywania określone części swojego terytorium, morskie wody wewnętrzne, wody archipelagowe lub morza terytorialne, </w:t>
      </w:r>
      <w:r w:rsidR="003F4D68" w:rsidRPr="00841FCB">
        <w:t>z</w:t>
      </w:r>
      <w:r w:rsidR="003F4D68">
        <w:t> </w:t>
      </w:r>
      <w:r w:rsidRPr="00841FCB">
        <w:t>podaniem przyczyn wyłączenia (art. 29).</w:t>
      </w:r>
    </w:p>
    <w:p w14:paraId="3304AC4C" w14:textId="2E21B606" w:rsidR="00F348ED" w:rsidRPr="00841FCB" w:rsidRDefault="002D0E48" w:rsidP="00841FCB">
      <w:pPr>
        <w:spacing w:before="120" w:line="360" w:lineRule="auto"/>
        <w:jc w:val="both"/>
      </w:pPr>
      <w:r>
        <w:t>O</w:t>
      </w:r>
      <w:r w:rsidR="00F348ED" w:rsidRPr="00841FCB">
        <w:t>becn</w:t>
      </w:r>
      <w:r>
        <w:t>ie</w:t>
      </w:r>
      <w:r w:rsidR="00F348ED" w:rsidRPr="00841FCB">
        <w:t xml:space="preserve"> nie jest przewidziane zgłaszanie przez Polskę oświadczeń ani zastrzeżeń modyfikujących terytorialny zasięg Konwencji UNESCO z 2001 r. Fakultatywna deklaracja o stosowaniu zasad </w:t>
      </w:r>
      <w:r w:rsidR="007201EF" w:rsidRPr="00841FCB">
        <w:t>K</w:t>
      </w:r>
      <w:r w:rsidR="00F348ED" w:rsidRPr="00841FCB">
        <w:t>onwencji także do wód śródlądowych zostanie złożona po pełnym dostosowaniu do ich brzmienia przepisów polskiej ustawy</w:t>
      </w:r>
      <w:r w:rsidR="006F5590" w:rsidRPr="00841FCB">
        <w:t xml:space="preserve"> </w:t>
      </w:r>
      <w:r w:rsidR="00FA4EA1" w:rsidRPr="00841FCB">
        <w:t>z</w:t>
      </w:r>
      <w:r w:rsidR="00FA4EA1">
        <w:t> </w:t>
      </w:r>
      <w:r w:rsidR="007201EF" w:rsidRPr="00841FCB">
        <w:t xml:space="preserve">dnia 20 lipca 2017 r. </w:t>
      </w:r>
      <w:r w:rsidR="00AF3F4E">
        <w:t>–</w:t>
      </w:r>
      <w:r w:rsidR="00F348ED" w:rsidRPr="00841FCB">
        <w:t xml:space="preserve"> Prawo wodne. Szacuje się, że stanie się to w ciągu najbliższych dziesięciu lat. </w:t>
      </w:r>
    </w:p>
    <w:p w14:paraId="5552A55E" w14:textId="77777777" w:rsidR="00F348ED" w:rsidRPr="00841FCB" w:rsidRDefault="00F348ED" w:rsidP="00841FCB">
      <w:pPr>
        <w:spacing w:before="120" w:line="360" w:lineRule="auto"/>
        <w:jc w:val="both"/>
        <w:rPr>
          <w:i/>
        </w:rPr>
      </w:pPr>
      <w:r w:rsidRPr="00841FCB">
        <w:t xml:space="preserve">W obowiązującym stanie prawnym do zabytków znajdujących się na obszarze wód śródlądowych zastosowanie mają przepisy ustawy o ochronie zabytków. Dotyczy to </w:t>
      </w:r>
      <w:r w:rsidR="00FA4EA1" w:rsidRPr="00841FCB">
        <w:t>w</w:t>
      </w:r>
      <w:r w:rsidR="00FA4EA1">
        <w:t> </w:t>
      </w:r>
      <w:r w:rsidRPr="00841FCB">
        <w:t>szczególności zasad prowadzenia badań archeologicznych i wszelkich innych działań przy zabytkach, w tym robót budowlanych – ich badanie wymaga każdorazowo pozwolenia wojewódzkiego konserwatora zabytków.</w:t>
      </w:r>
      <w:r w:rsidRPr="00841FCB">
        <w:rPr>
          <w:i/>
        </w:rPr>
        <w:t xml:space="preserve"> </w:t>
      </w:r>
      <w:r w:rsidRPr="00841FCB">
        <w:t xml:space="preserve">Z uwagi na fakt, że wody </w:t>
      </w:r>
      <w:r w:rsidRPr="00841FCB">
        <w:lastRenderedPageBreak/>
        <w:t>śródlądowe, wraz z</w:t>
      </w:r>
      <w:r w:rsidR="00AF3F4E">
        <w:t xml:space="preserve"> </w:t>
      </w:r>
      <w:r w:rsidRPr="00841FCB">
        <w:t xml:space="preserve">gruntami pokrytymi tymi wodami i powierzchnia ziemi, traktowane są przez przepisy powyższej ustawy jednolicie, obiekty nieruchome znajdujące się pod wodą mogą być chronione na równi ze strukturami znajdującymi się wewnątrz lub na powierzchni ziemi, między innymi przez wpis do rejestru zabytków. </w:t>
      </w:r>
    </w:p>
    <w:p w14:paraId="5E9EE51B" w14:textId="77777777" w:rsidR="00F348ED" w:rsidRPr="00841FCB" w:rsidRDefault="00F348ED" w:rsidP="00841FCB">
      <w:pPr>
        <w:spacing w:before="120" w:line="360" w:lineRule="auto"/>
        <w:jc w:val="both"/>
        <w:rPr>
          <w:b/>
        </w:rPr>
      </w:pPr>
      <w:r w:rsidRPr="00841FCB">
        <w:rPr>
          <w:b/>
        </w:rPr>
        <w:t>Załącznik – zasady regulujące działania nakierowane na podwodne dziedzictwo kulturowe (Zasady konwencyjne)</w:t>
      </w:r>
    </w:p>
    <w:p w14:paraId="10C83479" w14:textId="77777777" w:rsidR="00F348ED" w:rsidRPr="00841FCB" w:rsidRDefault="00F348ED" w:rsidP="00841FCB">
      <w:pPr>
        <w:spacing w:before="120" w:line="360" w:lineRule="auto"/>
        <w:jc w:val="both"/>
      </w:pPr>
      <w:r w:rsidRPr="00841FCB">
        <w:t xml:space="preserve">Do Konwencji </w:t>
      </w:r>
      <w:r w:rsidR="0080140D" w:rsidRPr="00841FCB">
        <w:t>UNESCO</w:t>
      </w:r>
      <w:r w:rsidR="007201EF" w:rsidRPr="00841FCB">
        <w:t xml:space="preserve"> z 2001 r. </w:t>
      </w:r>
      <w:r w:rsidRPr="00841FCB">
        <w:t xml:space="preserve">dołączone są „Zasady regulujące działania nakierowane na podwodne dziedzictwo kulturowe”, tzw. „Zasady konwencyjne”, które stanowią jej integralną część. Stanowią one międzynarodowy standard postępowania </w:t>
      </w:r>
      <w:r w:rsidR="00FA4EA1" w:rsidRPr="00841FCB">
        <w:t>w</w:t>
      </w:r>
      <w:r w:rsidR="00FA4EA1">
        <w:t> </w:t>
      </w:r>
      <w:r w:rsidRPr="00841FCB">
        <w:t xml:space="preserve">stosunku do podwodnego dziedzictwa kulturowego, doprecyzowują niektóre postanowienia Konwencji oraz wprowadzają procedury ich realizacji, a zatem podają ujednolicony w skali światowej model postępowania dla działań podwodnych dotyczących dziedzictwa kulturowego. Nieprzestrzeganie ich winno spotkać się </w:t>
      </w:r>
      <w:r w:rsidR="00FA4EA1" w:rsidRPr="00841FCB">
        <w:t>z</w:t>
      </w:r>
      <w:r w:rsidR="00FA4EA1">
        <w:t> </w:t>
      </w:r>
      <w:r w:rsidRPr="00841FCB">
        <w:t xml:space="preserve">sankcjami, które wprowadzone będą przez państwa konwencyjne we własnym zakresie, na podstawie art. 17 Konwencji. </w:t>
      </w:r>
    </w:p>
    <w:p w14:paraId="6B91BC81" w14:textId="77777777" w:rsidR="00F348ED" w:rsidRPr="00841FCB" w:rsidRDefault="00F348ED" w:rsidP="00841FCB">
      <w:pPr>
        <w:spacing w:before="120" w:line="360" w:lineRule="auto"/>
        <w:jc w:val="both"/>
      </w:pPr>
      <w:r w:rsidRPr="00841FCB">
        <w:t>Zasady te nie są w żadnym punkcie sprzeczne z</w:t>
      </w:r>
      <w:r w:rsidR="00AF3F4E">
        <w:t xml:space="preserve"> </w:t>
      </w:r>
      <w:r w:rsidRPr="00841FCB">
        <w:t>prawem polskim. Pozostaje jednak kwestia ich formalnego wprowadzenia do praktyki pol</w:t>
      </w:r>
      <w:r w:rsidR="003A7C14" w:rsidRPr="00841FCB">
        <w:t xml:space="preserve">skiej </w:t>
      </w:r>
      <w:r w:rsidRPr="00841FCB">
        <w:t xml:space="preserve">przez włączenie ich treści do przepisów odpowiedniej rangi, bądź do odpowiednich regulaminów. </w:t>
      </w:r>
    </w:p>
    <w:p w14:paraId="50F983B1" w14:textId="77777777" w:rsidR="00F348ED" w:rsidRPr="00841FCB" w:rsidRDefault="00F348ED" w:rsidP="00841FCB">
      <w:pPr>
        <w:spacing w:before="120" w:line="360" w:lineRule="auto"/>
        <w:jc w:val="both"/>
        <w:rPr>
          <w:color w:val="000000"/>
        </w:rPr>
      </w:pPr>
      <w:r w:rsidRPr="00841FCB">
        <w:t>W praktycznym wymiarze oznacza to konieczność nowelizacji przepisów ustawy</w:t>
      </w:r>
      <w:r w:rsidR="00CF4D3C" w:rsidRPr="00841FCB">
        <w:t xml:space="preserve"> </w:t>
      </w:r>
      <w:r w:rsidR="00FA4EA1" w:rsidRPr="00841FCB">
        <w:t>o</w:t>
      </w:r>
      <w:r w:rsidR="00FA4EA1">
        <w:t> </w:t>
      </w:r>
      <w:r w:rsidRPr="00841FCB">
        <w:t>ochronie zabytków</w:t>
      </w:r>
      <w:r w:rsidR="00AF3F4E">
        <w:t xml:space="preserve"> </w:t>
      </w:r>
      <w:r w:rsidRPr="00841FCB">
        <w:t>oraz ustawy z dnia 17 października 2003 r. o wykonywaniu prac podwodnych (Dz. U. z 20</w:t>
      </w:r>
      <w:r w:rsidR="00A00028" w:rsidRPr="00841FCB">
        <w:t>20</w:t>
      </w:r>
      <w:r w:rsidRPr="00841FCB">
        <w:t xml:space="preserve"> r. poz. </w:t>
      </w:r>
      <w:r w:rsidR="00A00028" w:rsidRPr="00841FCB">
        <w:t>397</w:t>
      </w:r>
      <w:r w:rsidRPr="00841FCB">
        <w:t>, dalej jako „ustawa o wykonywaniu prac podwodnych”)</w:t>
      </w:r>
      <w:r w:rsidR="006223A3" w:rsidRPr="00841FCB">
        <w:t xml:space="preserve"> przez </w:t>
      </w:r>
      <w:r w:rsidRPr="00841FCB">
        <w:t>wyłączeni</w:t>
      </w:r>
      <w:r w:rsidR="00606F1A" w:rsidRPr="00841FCB">
        <w:t>e</w:t>
      </w:r>
      <w:r w:rsidR="006223A3" w:rsidRPr="00841FCB">
        <w:t xml:space="preserve"> stosowania </w:t>
      </w:r>
      <w:r w:rsidR="00DC62C3" w:rsidRPr="00841FCB">
        <w:t xml:space="preserve">jej przepisów </w:t>
      </w:r>
      <w:r w:rsidR="00FC0131" w:rsidRPr="00841FCB">
        <w:t>do prowadzenia</w:t>
      </w:r>
      <w:r w:rsidR="00DC62C3" w:rsidRPr="00841FCB">
        <w:t xml:space="preserve"> badań archeologicznych i prac konserwatorskich i </w:t>
      </w:r>
      <w:r w:rsidRPr="00841FCB">
        <w:t>uregulowani</w:t>
      </w:r>
      <w:r w:rsidR="00606F1A" w:rsidRPr="00841FCB">
        <w:t>e</w:t>
      </w:r>
      <w:r w:rsidRPr="00841FCB">
        <w:t xml:space="preserve"> </w:t>
      </w:r>
      <w:r w:rsidR="00DC62C3" w:rsidRPr="00841FCB">
        <w:t xml:space="preserve">tych zagadnień </w:t>
      </w:r>
      <w:r w:rsidRPr="00841FCB">
        <w:t>w</w:t>
      </w:r>
      <w:r w:rsidR="00AF3F4E">
        <w:t xml:space="preserve"> </w:t>
      </w:r>
      <w:r w:rsidR="00DC62C3" w:rsidRPr="00841FCB">
        <w:t xml:space="preserve">ustawie </w:t>
      </w:r>
      <w:r w:rsidR="00FA4EA1" w:rsidRPr="00841FCB">
        <w:t>o</w:t>
      </w:r>
      <w:r w:rsidR="00FA4EA1">
        <w:t> </w:t>
      </w:r>
      <w:r w:rsidR="00DC62C3" w:rsidRPr="00841FCB">
        <w:t>ochronie zabytków</w:t>
      </w:r>
      <w:r w:rsidRPr="00841FCB">
        <w:t>.</w:t>
      </w:r>
      <w:r w:rsidR="00C24D30" w:rsidRPr="00841FCB">
        <w:t xml:space="preserve"> Zgodnie z aktualnym brzmieniem ustawy o wykonywaniu prac podwodnych, jej przepisów nie stosuje się m.in. do płetwonurkowania w celach badawczych organizowanego przez uczelnie i instytuty badawcze (art. 1 ust. 1 pkt 3).</w:t>
      </w:r>
      <w:r w:rsidR="00255B4D" w:rsidRPr="00841FCB">
        <w:t xml:space="preserve"> Ponieważ Konwencja</w:t>
      </w:r>
      <w:r w:rsidR="008274DA" w:rsidRPr="00841FCB">
        <w:t xml:space="preserve"> </w:t>
      </w:r>
      <w:r w:rsidR="007201EF" w:rsidRPr="00841FCB">
        <w:t>UNESCO</w:t>
      </w:r>
      <w:r w:rsidR="00AF3F4E">
        <w:t xml:space="preserve"> </w:t>
      </w:r>
      <w:r w:rsidR="007201EF" w:rsidRPr="00841FCB">
        <w:t>z 2001 r.</w:t>
      </w:r>
      <w:r w:rsidR="00AF3F4E">
        <w:t xml:space="preserve"> </w:t>
      </w:r>
      <w:r w:rsidR="00255B4D" w:rsidRPr="00841FCB">
        <w:t>wymaga</w:t>
      </w:r>
      <w:r w:rsidR="00C06B46" w:rsidRPr="00841FCB">
        <w:t xml:space="preserve">, aby </w:t>
      </w:r>
      <w:r w:rsidR="00AB54FD" w:rsidRPr="00841FCB">
        <w:t>d</w:t>
      </w:r>
      <w:r w:rsidR="00C06B46" w:rsidRPr="00841FCB">
        <w:t xml:space="preserve">ziałania nakierowane na podwodne dziedzictwo kulturowe były prowadzone wyłącznie pod kierunkiem </w:t>
      </w:r>
      <w:r w:rsidR="00FA4EA1" w:rsidRPr="00841FCB">
        <w:t>i</w:t>
      </w:r>
      <w:r w:rsidR="00FA4EA1">
        <w:t> </w:t>
      </w:r>
      <w:r w:rsidR="00C06B46" w:rsidRPr="00841FCB">
        <w:t>nadzorem, a także przy stałej obecności wykwalifikowanego archeologa podwodnego, posiadającego kompetencje naukowe odpowiednie dla danego projektu (załącznik. Zasada 22)</w:t>
      </w:r>
      <w:r w:rsidR="008274DA" w:rsidRPr="00841FCB">
        <w:t>,</w:t>
      </w:r>
      <w:r w:rsidR="00D61D9E" w:rsidRPr="00841FCB">
        <w:t xml:space="preserve"> istnieje potrzeba </w:t>
      </w:r>
      <w:r w:rsidRPr="00841FCB">
        <w:rPr>
          <w:color w:val="000000"/>
        </w:rPr>
        <w:t xml:space="preserve">uregulowania </w:t>
      </w:r>
      <w:r w:rsidR="00D22B0E" w:rsidRPr="00841FCB">
        <w:rPr>
          <w:color w:val="000000"/>
        </w:rPr>
        <w:t>zasad</w:t>
      </w:r>
      <w:r w:rsidRPr="00841FCB">
        <w:rPr>
          <w:color w:val="000000"/>
        </w:rPr>
        <w:t xml:space="preserve"> wykonywania podwodnych</w:t>
      </w:r>
      <w:r w:rsidR="00AB54FD" w:rsidRPr="00841FCB">
        <w:rPr>
          <w:color w:val="000000"/>
        </w:rPr>
        <w:t xml:space="preserve"> badań </w:t>
      </w:r>
      <w:r w:rsidR="00AB54FD" w:rsidRPr="00841FCB">
        <w:rPr>
          <w:color w:val="000000"/>
        </w:rPr>
        <w:lastRenderedPageBreak/>
        <w:t>archeologicznych oraz prac konserwatorskich</w:t>
      </w:r>
      <w:r w:rsidRPr="00841FCB">
        <w:rPr>
          <w:color w:val="000000"/>
        </w:rPr>
        <w:t xml:space="preserve"> oraz</w:t>
      </w:r>
      <w:r w:rsidR="00D22B0E" w:rsidRPr="00841FCB">
        <w:rPr>
          <w:color w:val="000000"/>
        </w:rPr>
        <w:t xml:space="preserve"> określenia wymaganych </w:t>
      </w:r>
      <w:r w:rsidRPr="00841FCB">
        <w:rPr>
          <w:color w:val="000000"/>
        </w:rPr>
        <w:t>kwalifikacj</w:t>
      </w:r>
      <w:r w:rsidR="00D22B0E" w:rsidRPr="00841FCB">
        <w:rPr>
          <w:color w:val="000000"/>
        </w:rPr>
        <w:t>i</w:t>
      </w:r>
      <w:r w:rsidRPr="00841FCB">
        <w:rPr>
          <w:color w:val="000000"/>
        </w:rPr>
        <w:t xml:space="preserve"> </w:t>
      </w:r>
      <w:r w:rsidR="009B22A4" w:rsidRPr="00841FCB">
        <w:rPr>
          <w:color w:val="000000"/>
        </w:rPr>
        <w:t>uprawniających</w:t>
      </w:r>
      <w:r w:rsidRPr="00841FCB">
        <w:rPr>
          <w:color w:val="000000"/>
        </w:rPr>
        <w:t xml:space="preserve"> do wykonywania tych </w:t>
      </w:r>
      <w:r w:rsidR="00AB54FD" w:rsidRPr="00841FCB">
        <w:rPr>
          <w:color w:val="000000"/>
        </w:rPr>
        <w:t xml:space="preserve">badań i </w:t>
      </w:r>
      <w:r w:rsidRPr="00841FCB">
        <w:rPr>
          <w:color w:val="000000"/>
        </w:rPr>
        <w:t xml:space="preserve">prac. </w:t>
      </w:r>
    </w:p>
    <w:p w14:paraId="0F3E0D9F" w14:textId="77777777" w:rsidR="00F348ED" w:rsidRPr="00841FCB" w:rsidRDefault="00F348ED" w:rsidP="00841FCB">
      <w:pPr>
        <w:spacing w:before="120" w:line="360" w:lineRule="auto"/>
        <w:jc w:val="both"/>
      </w:pPr>
      <w:r w:rsidRPr="00841FCB">
        <w:t xml:space="preserve">Pewnej korekty nie uniknie także obowiązujące rozporządzenie ogólne dotyczące między innymi prowadzenia badań archeologicznych. </w:t>
      </w:r>
    </w:p>
    <w:p w14:paraId="5A9D4AF3" w14:textId="77777777" w:rsidR="00F348ED" w:rsidRPr="00841FCB" w:rsidRDefault="00ED5822" w:rsidP="00841FCB">
      <w:pPr>
        <w:spacing w:before="120" w:line="360" w:lineRule="auto"/>
        <w:jc w:val="both"/>
        <w:textAlignment w:val="top"/>
      </w:pPr>
      <w:r w:rsidRPr="00841FCB">
        <w:rPr>
          <w:color w:val="000000"/>
        </w:rPr>
        <w:t>W celu realizacji postanowień art. 17 Konwencji</w:t>
      </w:r>
      <w:r w:rsidR="007201EF" w:rsidRPr="00841FCB">
        <w:rPr>
          <w:color w:val="000000"/>
        </w:rPr>
        <w:t xml:space="preserve"> UNESCO z 2001 r.</w:t>
      </w:r>
      <w:r w:rsidRPr="00841FCB">
        <w:rPr>
          <w:color w:val="000000"/>
        </w:rPr>
        <w:t xml:space="preserve">, w związku </w:t>
      </w:r>
      <w:r w:rsidR="00866340" w:rsidRPr="00841FCB">
        <w:rPr>
          <w:color w:val="000000"/>
        </w:rPr>
        <w:t>z</w:t>
      </w:r>
      <w:r w:rsidR="00866340">
        <w:rPr>
          <w:color w:val="000000"/>
        </w:rPr>
        <w:t> </w:t>
      </w:r>
      <w:r w:rsidRPr="00841FCB">
        <w:rPr>
          <w:color w:val="000000"/>
        </w:rPr>
        <w:t xml:space="preserve">nadaniem obiektom dziedzictwa podwodnego </w:t>
      </w:r>
      <w:r w:rsidRPr="00841FCB">
        <w:t xml:space="preserve">statusu </w:t>
      </w:r>
      <w:r w:rsidRPr="00841FCB">
        <w:rPr>
          <w:i/>
        </w:rPr>
        <w:t>res extra commercium</w:t>
      </w:r>
      <w:r w:rsidRPr="00841FCB">
        <w:t>,</w:t>
      </w:r>
      <w:r w:rsidRPr="00841FCB">
        <w:rPr>
          <w:color w:val="000000"/>
        </w:rPr>
        <w:t xml:space="preserve"> </w:t>
      </w:r>
      <w:r w:rsidR="008274DA" w:rsidRPr="00841FCB">
        <w:rPr>
          <w:color w:val="000000"/>
        </w:rPr>
        <w:t xml:space="preserve">będzie </w:t>
      </w:r>
      <w:r w:rsidRPr="00841FCB">
        <w:rPr>
          <w:color w:val="000000"/>
        </w:rPr>
        <w:t>konieczne wprowadzenie karalności za niezgodne z ustawą wejście w posiadanie, puszczanie w obieg, pomaganie w zbyciu lub ukryciu obiektów dziedzictwa podwodnego.</w:t>
      </w:r>
      <w:r w:rsidR="00D22B0E" w:rsidRPr="00841FCB">
        <w:rPr>
          <w:color w:val="000000"/>
        </w:rPr>
        <w:t xml:space="preserve"> </w:t>
      </w:r>
      <w:r w:rsidRPr="00841FCB">
        <w:t>Jeżeli</w:t>
      </w:r>
      <w:r w:rsidR="00D22B0E" w:rsidRPr="00841FCB">
        <w:t xml:space="preserve"> </w:t>
      </w:r>
      <w:r w:rsidRPr="00841FCB">
        <w:t xml:space="preserve">wprowadzenie statusu </w:t>
      </w:r>
      <w:r w:rsidRPr="00841FCB">
        <w:rPr>
          <w:i/>
        </w:rPr>
        <w:t>res extra commercium</w:t>
      </w:r>
      <w:r w:rsidRPr="00841FCB">
        <w:t xml:space="preserve"> zostanie dokonane przez odpowiednie uzupełnienie przepisów ustawy o ochronie zabytków, to sankcje za działania naruszające ten status także winny być zawarte w tej ustawie. Wymagane będzie również wprowadzenie sankcji karnej w przypadku niezrealizowania obowiązku dokonania zgłoszenia odkrycia podwodnego dziedzictwa kulturowego w wodach wyłącznej strefy ekonomicznej</w:t>
      </w:r>
      <w:r w:rsidR="00D22B0E" w:rsidRPr="00841FCB">
        <w:t xml:space="preserve"> </w:t>
      </w:r>
      <w:r w:rsidRPr="00841FCB">
        <w:t>lub zamiaru podejmowania działań nakierowanych na to dziedzictwo.</w:t>
      </w:r>
    </w:p>
    <w:p w14:paraId="5F514356" w14:textId="77777777" w:rsidR="00F348ED" w:rsidRPr="00841FCB" w:rsidRDefault="00F348ED" w:rsidP="00841FCB">
      <w:pPr>
        <w:pStyle w:val="Tekstpodstawowy"/>
        <w:numPr>
          <w:ilvl w:val="0"/>
          <w:numId w:val="3"/>
        </w:numPr>
        <w:spacing w:before="240" w:after="0" w:line="360" w:lineRule="auto"/>
        <w:jc w:val="both"/>
        <w:rPr>
          <w:b/>
        </w:rPr>
      </w:pPr>
      <w:r w:rsidRPr="00841FCB">
        <w:rPr>
          <w:b/>
        </w:rPr>
        <w:t>Wskazanie przewidywanych skutków politycznych, społecznych, gospodarczych, finansowych i</w:t>
      </w:r>
      <w:r w:rsidR="00AF3F4E">
        <w:rPr>
          <w:b/>
        </w:rPr>
        <w:t xml:space="preserve"> </w:t>
      </w:r>
      <w:r w:rsidRPr="00841FCB">
        <w:rPr>
          <w:b/>
        </w:rPr>
        <w:t>prawnych, związanych z wejściem w życie Konwencji</w:t>
      </w:r>
      <w:r w:rsidR="007138B8" w:rsidRPr="00841FCB">
        <w:rPr>
          <w:b/>
        </w:rPr>
        <w:t xml:space="preserve"> UNESCO z 2001 r.</w:t>
      </w:r>
      <w:r w:rsidRPr="00841FCB">
        <w:rPr>
          <w:b/>
        </w:rPr>
        <w:t>, wraz z</w:t>
      </w:r>
      <w:r w:rsidR="00AF3F4E">
        <w:rPr>
          <w:b/>
        </w:rPr>
        <w:t xml:space="preserve"> </w:t>
      </w:r>
      <w:r w:rsidRPr="00841FCB">
        <w:rPr>
          <w:b/>
        </w:rPr>
        <w:t>określeniem źródeł finansowania</w:t>
      </w:r>
    </w:p>
    <w:p w14:paraId="4B912C22" w14:textId="77777777" w:rsidR="00F348ED" w:rsidRPr="00841FCB" w:rsidRDefault="00F348ED" w:rsidP="00841FCB">
      <w:pPr>
        <w:pStyle w:val="Tekstblokowy"/>
        <w:spacing w:before="120" w:line="360" w:lineRule="auto"/>
        <w:ind w:left="0" w:right="70"/>
      </w:pPr>
      <w:r w:rsidRPr="00841FCB">
        <w:t>Ratyfikacja Konwencji</w:t>
      </w:r>
      <w:r w:rsidR="007138B8" w:rsidRPr="00841FCB">
        <w:t xml:space="preserve"> UNESCO</w:t>
      </w:r>
      <w:r w:rsidR="00AF3F4E">
        <w:t xml:space="preserve"> </w:t>
      </w:r>
      <w:r w:rsidR="007138B8" w:rsidRPr="00841FCB">
        <w:t>z 2001 r.</w:t>
      </w:r>
      <w:r w:rsidR="00AF3F4E">
        <w:t xml:space="preserve"> </w:t>
      </w:r>
      <w:r w:rsidRPr="00841FCB">
        <w:t>będzie mieć pozytywne skutki polityczne, społeczne i</w:t>
      </w:r>
      <w:r w:rsidR="00AF3F4E">
        <w:t xml:space="preserve"> </w:t>
      </w:r>
      <w:r w:rsidRPr="00841FCB">
        <w:t>gospodarcze. Przez jej ratyfikację Rzeczpospolita Polska dołączy do grona państw stosujących najwyższe międzynarodowe standardy ochrony podwodnego dziedzictwa kulturowego, opracowane przez UNESCO. Wpłynie to pozytywnie na wizerunek i pozycję Rzeczypospolitej Polskiej zarówno w</w:t>
      </w:r>
      <w:r w:rsidR="00AF3F4E">
        <w:t xml:space="preserve"> </w:t>
      </w:r>
      <w:r w:rsidRPr="00841FCB">
        <w:t>UNESCO, jak i na arenie międzynarodowej. Ratyfikacja Konwencji zwiększy też społeczne zainteresowanie problematyką podwodnego dziedzictwa kulturowego, co będzie mieć korzystny wpływ na rozwój dziedzin gospodarki związanych z tą tematyką, w szczególności turystyki podwodnej.</w:t>
      </w:r>
    </w:p>
    <w:p w14:paraId="1B56F1CA" w14:textId="2075631A" w:rsidR="00F348ED" w:rsidRPr="00841FCB" w:rsidRDefault="00F348ED" w:rsidP="00841FCB">
      <w:pPr>
        <w:spacing w:before="120" w:line="360" w:lineRule="auto"/>
        <w:jc w:val="both"/>
      </w:pPr>
      <w:r w:rsidRPr="00841FCB">
        <w:t>Sama ratyfikacja Konwencji</w:t>
      </w:r>
      <w:r w:rsidR="007138B8" w:rsidRPr="00841FCB">
        <w:t xml:space="preserve"> UNESCO z 2001 r.</w:t>
      </w:r>
      <w:r w:rsidR="00AF3F4E">
        <w:t xml:space="preserve"> </w:t>
      </w:r>
      <w:r w:rsidRPr="00841FCB">
        <w:t xml:space="preserve">nie wiąże się z poniesieniem wydatków budżetowych, jednak skutki takie niesie za sobą konieczność wypełnienia szeregu nakładanych przez Konwencję obowiązków. Będą one związane </w:t>
      </w:r>
      <w:r w:rsidR="003F4D68" w:rsidRPr="00841FCB">
        <w:t>z</w:t>
      </w:r>
      <w:r w:rsidR="003F4D68">
        <w:t> </w:t>
      </w:r>
      <w:r w:rsidRPr="00841FCB">
        <w:t xml:space="preserve">fakultatywnym podjęciem działań, które można podzielić na następujące kategorie: </w:t>
      </w:r>
    </w:p>
    <w:p w14:paraId="71869943" w14:textId="1BE92510" w:rsidR="00F348ED" w:rsidRPr="00841FCB" w:rsidRDefault="00F348ED" w:rsidP="00841FCB">
      <w:pPr>
        <w:widowControl w:val="0"/>
        <w:numPr>
          <w:ilvl w:val="0"/>
          <w:numId w:val="1"/>
        </w:numPr>
        <w:tabs>
          <w:tab w:val="clear" w:pos="720"/>
          <w:tab w:val="right" w:pos="284"/>
        </w:tabs>
        <w:autoSpaceDE w:val="0"/>
        <w:autoSpaceDN w:val="0"/>
        <w:adjustRightInd w:val="0"/>
        <w:spacing w:line="360" w:lineRule="auto"/>
        <w:ind w:left="289" w:hanging="278"/>
        <w:jc w:val="both"/>
        <w:rPr>
          <w:color w:val="000000"/>
        </w:rPr>
      </w:pPr>
      <w:r w:rsidRPr="00841FCB">
        <w:lastRenderedPageBreak/>
        <w:t>powołanie do życia funkcji koordynatora krajowego ds. realizacji Konwencji UNESCO o</w:t>
      </w:r>
      <w:r w:rsidR="00AF3F4E">
        <w:t xml:space="preserve"> </w:t>
      </w:r>
      <w:r w:rsidRPr="00841FCB">
        <w:t>ochronie podwodnego dziedzictwa kulturowego</w:t>
      </w:r>
      <w:r w:rsidR="00B960AB">
        <w:t>,</w:t>
      </w:r>
    </w:p>
    <w:p w14:paraId="53B29919" w14:textId="0B1CA488" w:rsidR="00F348ED" w:rsidRPr="00841FCB" w:rsidRDefault="00F348ED" w:rsidP="00841FCB">
      <w:pPr>
        <w:widowControl w:val="0"/>
        <w:numPr>
          <w:ilvl w:val="0"/>
          <w:numId w:val="1"/>
        </w:numPr>
        <w:tabs>
          <w:tab w:val="clear" w:pos="720"/>
          <w:tab w:val="right" w:pos="284"/>
        </w:tabs>
        <w:autoSpaceDE w:val="0"/>
        <w:autoSpaceDN w:val="0"/>
        <w:adjustRightInd w:val="0"/>
        <w:spacing w:line="360" w:lineRule="auto"/>
        <w:ind w:left="289" w:hanging="278"/>
        <w:jc w:val="both"/>
        <w:rPr>
          <w:color w:val="000000"/>
        </w:rPr>
      </w:pPr>
      <w:r w:rsidRPr="00841FCB">
        <w:t>prowadzenie inwentaryzacji obiektów podwodnego dziedzictwa kulturowego</w:t>
      </w:r>
      <w:r w:rsidR="00B960AB">
        <w:t>,</w:t>
      </w:r>
    </w:p>
    <w:p w14:paraId="05A8345E" w14:textId="0BDE2AE5" w:rsidR="00F348ED" w:rsidRPr="00841FCB" w:rsidRDefault="00F348ED" w:rsidP="00841FCB">
      <w:pPr>
        <w:keepNext/>
        <w:numPr>
          <w:ilvl w:val="0"/>
          <w:numId w:val="1"/>
        </w:numPr>
        <w:tabs>
          <w:tab w:val="clear" w:pos="720"/>
          <w:tab w:val="right" w:pos="284"/>
        </w:tabs>
        <w:autoSpaceDE w:val="0"/>
        <w:autoSpaceDN w:val="0"/>
        <w:adjustRightInd w:val="0"/>
        <w:spacing w:line="360" w:lineRule="auto"/>
        <w:ind w:left="289" w:hanging="278"/>
        <w:jc w:val="both"/>
      </w:pPr>
      <w:r w:rsidRPr="00841FCB">
        <w:t>wprowadzenie kursu nurkowania naukowego do programu archeologicznych studiów magisterskich począwszy od 2020 r</w:t>
      </w:r>
      <w:r w:rsidR="00B960AB">
        <w:t>.</w:t>
      </w:r>
      <w:r w:rsidRPr="00841FCB">
        <w:t xml:space="preserve">, celem wykształcenia 10 absolwentów rocznie </w:t>
      </w:r>
      <w:r w:rsidR="003F4D68" w:rsidRPr="00841FCB">
        <w:t>z</w:t>
      </w:r>
      <w:r w:rsidR="003F4D68">
        <w:t> </w:t>
      </w:r>
      <w:r w:rsidRPr="00841FCB">
        <w:t>odpowiednimi uprawnieniami.</w:t>
      </w:r>
    </w:p>
    <w:p w14:paraId="20EDBD49" w14:textId="77777777" w:rsidR="00F348ED" w:rsidRPr="00841FCB" w:rsidRDefault="00F348ED" w:rsidP="00F348ED">
      <w:pPr>
        <w:spacing w:after="160" w:line="259" w:lineRule="auto"/>
        <w:rPr>
          <w:sz w:val="22"/>
          <w:szCs w:val="22"/>
        </w:rPr>
      </w:pPr>
    </w:p>
    <w:tbl>
      <w:tblPr>
        <w:tblW w:w="7380" w:type="dxa"/>
        <w:tblInd w:w="790" w:type="dxa"/>
        <w:tblCellMar>
          <w:left w:w="70" w:type="dxa"/>
          <w:right w:w="70" w:type="dxa"/>
        </w:tblCellMar>
        <w:tblLook w:val="04A0" w:firstRow="1" w:lastRow="0" w:firstColumn="1" w:lastColumn="0" w:noHBand="0" w:noVBand="1"/>
      </w:tblPr>
      <w:tblGrid>
        <w:gridCol w:w="370"/>
        <w:gridCol w:w="1718"/>
        <w:gridCol w:w="1932"/>
        <w:gridCol w:w="1700"/>
        <w:gridCol w:w="1660"/>
      </w:tblGrid>
      <w:tr w:rsidR="00F348ED" w:rsidRPr="00E5383D" w14:paraId="108A4272" w14:textId="77777777" w:rsidTr="00BE5C7B">
        <w:trPr>
          <w:trHeight w:val="300"/>
        </w:trPr>
        <w:tc>
          <w:tcPr>
            <w:tcW w:w="370" w:type="dxa"/>
            <w:tcBorders>
              <w:top w:val="nil"/>
              <w:left w:val="nil"/>
              <w:bottom w:val="nil"/>
              <w:right w:val="nil"/>
            </w:tcBorders>
            <w:shd w:val="clear" w:color="auto" w:fill="auto"/>
            <w:noWrap/>
            <w:vAlign w:val="bottom"/>
            <w:hideMark/>
          </w:tcPr>
          <w:p w14:paraId="5B8369C4" w14:textId="77777777" w:rsidR="00F348ED" w:rsidRPr="00841FCB" w:rsidRDefault="00F348ED" w:rsidP="00BE5C7B">
            <w:pPr>
              <w:spacing w:line="360" w:lineRule="auto"/>
              <w:jc w:val="both"/>
              <w:rPr>
                <w:color w:val="000000"/>
              </w:rPr>
            </w:pPr>
          </w:p>
        </w:tc>
        <w:tc>
          <w:tcPr>
            <w:tcW w:w="701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B7D72A5" w14:textId="77777777" w:rsidR="00F348ED" w:rsidRPr="00841FCB" w:rsidRDefault="00F348ED" w:rsidP="00BE5C7B">
            <w:pPr>
              <w:spacing w:line="360" w:lineRule="auto"/>
              <w:jc w:val="both"/>
              <w:rPr>
                <w:b/>
                <w:bCs/>
                <w:color w:val="000000"/>
              </w:rPr>
            </w:pPr>
            <w:r w:rsidRPr="00841FCB">
              <w:rPr>
                <w:b/>
                <w:bCs/>
                <w:color w:val="000000"/>
                <w:sz w:val="22"/>
                <w:szCs w:val="22"/>
              </w:rPr>
              <w:t xml:space="preserve">Łączny limit wydatków </w:t>
            </w:r>
          </w:p>
          <w:p w14:paraId="76A41A1A" w14:textId="77777777" w:rsidR="00F348ED" w:rsidRPr="00841FCB" w:rsidRDefault="00F348ED" w:rsidP="00BE5C7B">
            <w:pPr>
              <w:spacing w:line="360" w:lineRule="auto"/>
              <w:jc w:val="both"/>
              <w:rPr>
                <w:b/>
                <w:bCs/>
                <w:color w:val="000000"/>
                <w:highlight w:val="yellow"/>
              </w:rPr>
            </w:pPr>
            <w:r w:rsidRPr="00841FCB">
              <w:rPr>
                <w:b/>
                <w:bCs/>
                <w:color w:val="000000"/>
                <w:sz w:val="22"/>
                <w:szCs w:val="22"/>
              </w:rPr>
              <w:t>(kwoty w mln zł zwaloryzowane wskaźnikiem CPI)</w:t>
            </w:r>
          </w:p>
        </w:tc>
      </w:tr>
      <w:tr w:rsidR="00F348ED" w:rsidRPr="00E5383D" w14:paraId="71DA0BBE" w14:textId="77777777" w:rsidTr="00BE5C7B">
        <w:trPr>
          <w:trHeight w:val="1238"/>
        </w:trPr>
        <w:tc>
          <w:tcPr>
            <w:tcW w:w="370" w:type="dxa"/>
            <w:tcBorders>
              <w:top w:val="nil"/>
              <w:left w:val="nil"/>
              <w:bottom w:val="nil"/>
              <w:right w:val="nil"/>
            </w:tcBorders>
            <w:shd w:val="clear" w:color="auto" w:fill="auto"/>
            <w:noWrap/>
            <w:vAlign w:val="bottom"/>
            <w:hideMark/>
          </w:tcPr>
          <w:p w14:paraId="2323D194" w14:textId="77777777" w:rsidR="00F348ED" w:rsidRPr="00841FCB" w:rsidRDefault="00F348ED" w:rsidP="00BE5C7B">
            <w:pPr>
              <w:spacing w:line="360" w:lineRule="auto"/>
              <w:jc w:val="both"/>
              <w:rPr>
                <w:color w:val="000000"/>
                <w:highlight w:val="yellow"/>
              </w:rPr>
            </w:pPr>
          </w:p>
        </w:tc>
        <w:tc>
          <w:tcPr>
            <w:tcW w:w="1718" w:type="dxa"/>
            <w:tcBorders>
              <w:top w:val="nil"/>
              <w:left w:val="single" w:sz="4" w:space="0" w:color="auto"/>
              <w:bottom w:val="single" w:sz="4" w:space="0" w:color="auto"/>
              <w:right w:val="single" w:sz="4" w:space="0" w:color="auto"/>
            </w:tcBorders>
            <w:shd w:val="clear" w:color="auto" w:fill="auto"/>
            <w:vAlign w:val="center"/>
            <w:hideMark/>
          </w:tcPr>
          <w:p w14:paraId="302BDD27" w14:textId="77777777" w:rsidR="00F348ED" w:rsidRPr="00841FCB" w:rsidRDefault="00F348ED" w:rsidP="00BE5C7B">
            <w:pPr>
              <w:spacing w:line="360" w:lineRule="auto"/>
              <w:jc w:val="both"/>
              <w:rPr>
                <w:color w:val="000000"/>
              </w:rPr>
            </w:pPr>
            <w:r w:rsidRPr="00841FCB">
              <w:rPr>
                <w:color w:val="000000"/>
                <w:sz w:val="22"/>
                <w:szCs w:val="22"/>
              </w:rPr>
              <w:t>Rok</w:t>
            </w:r>
          </w:p>
        </w:tc>
        <w:tc>
          <w:tcPr>
            <w:tcW w:w="1932" w:type="dxa"/>
            <w:tcBorders>
              <w:top w:val="nil"/>
              <w:left w:val="nil"/>
              <w:bottom w:val="single" w:sz="4" w:space="0" w:color="auto"/>
              <w:right w:val="single" w:sz="4" w:space="0" w:color="auto"/>
            </w:tcBorders>
            <w:shd w:val="clear" w:color="auto" w:fill="auto"/>
            <w:vAlign w:val="center"/>
            <w:hideMark/>
          </w:tcPr>
          <w:p w14:paraId="1DCFF876" w14:textId="77777777" w:rsidR="00F348ED" w:rsidRPr="00841FCB" w:rsidRDefault="00F348ED" w:rsidP="00841FCB">
            <w:pPr>
              <w:spacing w:line="360" w:lineRule="auto"/>
              <w:rPr>
                <w:color w:val="000000"/>
              </w:rPr>
            </w:pPr>
            <w:r w:rsidRPr="00841FCB">
              <w:rPr>
                <w:color w:val="000000"/>
                <w:sz w:val="22"/>
                <w:szCs w:val="22"/>
              </w:rPr>
              <w:t xml:space="preserve">Kwota wydatków do poniesienia w ramach cz. 24 i </w:t>
            </w:r>
            <w:r w:rsidR="00127DDF" w:rsidRPr="00841FCB">
              <w:rPr>
                <w:color w:val="000000"/>
                <w:sz w:val="22"/>
                <w:szCs w:val="22"/>
              </w:rPr>
              <w:t>2</w:t>
            </w:r>
            <w:r w:rsidRPr="00841FCB">
              <w:rPr>
                <w:color w:val="000000"/>
                <w:sz w:val="22"/>
                <w:szCs w:val="22"/>
              </w:rPr>
              <w:t>8 budżetu</w:t>
            </w:r>
          </w:p>
        </w:tc>
        <w:tc>
          <w:tcPr>
            <w:tcW w:w="1700" w:type="dxa"/>
            <w:tcBorders>
              <w:top w:val="nil"/>
              <w:left w:val="nil"/>
              <w:bottom w:val="single" w:sz="4" w:space="0" w:color="auto"/>
              <w:right w:val="single" w:sz="4" w:space="0" w:color="auto"/>
            </w:tcBorders>
            <w:shd w:val="clear" w:color="auto" w:fill="auto"/>
            <w:vAlign w:val="center"/>
            <w:hideMark/>
          </w:tcPr>
          <w:p w14:paraId="4E7B91CC" w14:textId="77777777" w:rsidR="00F348ED" w:rsidRPr="00841FCB" w:rsidRDefault="00F348ED" w:rsidP="00841FCB">
            <w:pPr>
              <w:spacing w:line="360" w:lineRule="auto"/>
              <w:rPr>
                <w:color w:val="000000"/>
              </w:rPr>
            </w:pPr>
            <w:r w:rsidRPr="00841FCB">
              <w:rPr>
                <w:color w:val="000000"/>
                <w:sz w:val="22"/>
                <w:szCs w:val="22"/>
              </w:rPr>
              <w:t>Kwota wydatków do poniesienia bez ratyfikacji</w:t>
            </w:r>
          </w:p>
        </w:tc>
        <w:tc>
          <w:tcPr>
            <w:tcW w:w="1660" w:type="dxa"/>
            <w:tcBorders>
              <w:top w:val="nil"/>
              <w:left w:val="nil"/>
              <w:bottom w:val="single" w:sz="4" w:space="0" w:color="auto"/>
              <w:right w:val="single" w:sz="4" w:space="0" w:color="auto"/>
            </w:tcBorders>
            <w:shd w:val="clear" w:color="auto" w:fill="auto"/>
            <w:vAlign w:val="center"/>
            <w:hideMark/>
          </w:tcPr>
          <w:p w14:paraId="75950B29" w14:textId="77777777" w:rsidR="00F348ED" w:rsidRPr="00841FCB" w:rsidRDefault="00F348ED" w:rsidP="00BE5C7B">
            <w:pPr>
              <w:spacing w:line="360" w:lineRule="auto"/>
              <w:jc w:val="both"/>
              <w:rPr>
                <w:color w:val="000000"/>
              </w:rPr>
            </w:pPr>
            <w:r w:rsidRPr="00841FCB">
              <w:rPr>
                <w:color w:val="000000"/>
                <w:sz w:val="22"/>
                <w:szCs w:val="22"/>
              </w:rPr>
              <w:t>Wzrost kwotowy wydatków budżetowych względem stanu sprzed ratyfikacji</w:t>
            </w:r>
          </w:p>
        </w:tc>
      </w:tr>
      <w:tr w:rsidR="00F348ED" w:rsidRPr="00E5383D" w14:paraId="0A8749AD" w14:textId="77777777" w:rsidTr="00BE5C7B">
        <w:trPr>
          <w:trHeight w:val="300"/>
        </w:trPr>
        <w:tc>
          <w:tcPr>
            <w:tcW w:w="3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016EEF" w14:textId="77777777" w:rsidR="00F348ED" w:rsidRPr="00841FCB" w:rsidRDefault="00F348ED" w:rsidP="00BE5C7B">
            <w:pPr>
              <w:spacing w:line="360" w:lineRule="auto"/>
              <w:jc w:val="both"/>
              <w:rPr>
                <w:color w:val="000000"/>
              </w:rPr>
            </w:pPr>
            <w:r w:rsidRPr="00841FCB">
              <w:rPr>
                <w:color w:val="000000"/>
                <w:sz w:val="22"/>
                <w:szCs w:val="22"/>
              </w:rPr>
              <w:t>1</w:t>
            </w:r>
          </w:p>
        </w:tc>
        <w:tc>
          <w:tcPr>
            <w:tcW w:w="1718" w:type="dxa"/>
            <w:tcBorders>
              <w:top w:val="nil"/>
              <w:left w:val="nil"/>
              <w:bottom w:val="single" w:sz="4" w:space="0" w:color="auto"/>
              <w:right w:val="single" w:sz="4" w:space="0" w:color="auto"/>
            </w:tcBorders>
            <w:shd w:val="clear" w:color="auto" w:fill="auto"/>
            <w:vAlign w:val="center"/>
            <w:hideMark/>
          </w:tcPr>
          <w:p w14:paraId="3309AADB" w14:textId="77777777" w:rsidR="00F348ED" w:rsidRPr="00841FCB" w:rsidRDefault="00F348ED" w:rsidP="00BE5C7B">
            <w:pPr>
              <w:spacing w:line="360" w:lineRule="auto"/>
              <w:jc w:val="both"/>
              <w:rPr>
                <w:color w:val="000000"/>
              </w:rPr>
            </w:pPr>
            <w:r w:rsidRPr="00841FCB">
              <w:rPr>
                <w:color w:val="000000"/>
                <w:sz w:val="22"/>
                <w:szCs w:val="22"/>
              </w:rPr>
              <w:t>20</w:t>
            </w:r>
            <w:r w:rsidR="00F617C9" w:rsidRPr="00841FCB">
              <w:rPr>
                <w:color w:val="000000"/>
                <w:sz w:val="22"/>
                <w:szCs w:val="22"/>
              </w:rPr>
              <w:t>20</w:t>
            </w:r>
          </w:p>
        </w:tc>
        <w:tc>
          <w:tcPr>
            <w:tcW w:w="1932" w:type="dxa"/>
            <w:tcBorders>
              <w:top w:val="nil"/>
              <w:left w:val="nil"/>
              <w:bottom w:val="single" w:sz="4" w:space="0" w:color="auto"/>
              <w:right w:val="single" w:sz="4" w:space="0" w:color="auto"/>
            </w:tcBorders>
            <w:shd w:val="clear" w:color="auto" w:fill="auto"/>
            <w:vAlign w:val="center"/>
            <w:hideMark/>
          </w:tcPr>
          <w:p w14:paraId="14EC59D8" w14:textId="77777777" w:rsidR="00F348ED" w:rsidRPr="00841FCB" w:rsidRDefault="00F348ED" w:rsidP="00BE5C7B">
            <w:pPr>
              <w:spacing w:line="360" w:lineRule="auto"/>
              <w:jc w:val="both"/>
              <w:rPr>
                <w:color w:val="000000"/>
              </w:rPr>
            </w:pPr>
            <w:r w:rsidRPr="00841FCB">
              <w:rPr>
                <w:color w:val="000000"/>
                <w:sz w:val="22"/>
                <w:szCs w:val="22"/>
              </w:rPr>
              <w:t>0,00</w:t>
            </w:r>
          </w:p>
        </w:tc>
        <w:tc>
          <w:tcPr>
            <w:tcW w:w="1700" w:type="dxa"/>
            <w:tcBorders>
              <w:top w:val="nil"/>
              <w:left w:val="nil"/>
              <w:bottom w:val="single" w:sz="4" w:space="0" w:color="auto"/>
              <w:right w:val="single" w:sz="4" w:space="0" w:color="auto"/>
            </w:tcBorders>
            <w:shd w:val="clear" w:color="auto" w:fill="auto"/>
            <w:noWrap/>
            <w:vAlign w:val="bottom"/>
            <w:hideMark/>
          </w:tcPr>
          <w:p w14:paraId="4A3F757B" w14:textId="77777777" w:rsidR="00F348ED" w:rsidRPr="00841FCB" w:rsidRDefault="00F348ED" w:rsidP="00BE5C7B">
            <w:pPr>
              <w:spacing w:line="360" w:lineRule="auto"/>
              <w:jc w:val="both"/>
              <w:rPr>
                <w:color w:val="000000"/>
              </w:rPr>
            </w:pPr>
            <w:r w:rsidRPr="00841FCB">
              <w:rPr>
                <w:color w:val="000000"/>
                <w:sz w:val="22"/>
                <w:szCs w:val="22"/>
              </w:rPr>
              <w:t>0,00</w:t>
            </w:r>
          </w:p>
        </w:tc>
        <w:tc>
          <w:tcPr>
            <w:tcW w:w="1660" w:type="dxa"/>
            <w:tcBorders>
              <w:top w:val="nil"/>
              <w:left w:val="nil"/>
              <w:bottom w:val="single" w:sz="4" w:space="0" w:color="auto"/>
              <w:right w:val="single" w:sz="4" w:space="0" w:color="auto"/>
            </w:tcBorders>
            <w:shd w:val="clear" w:color="000000" w:fill="F2F2F2"/>
            <w:noWrap/>
            <w:vAlign w:val="center"/>
            <w:hideMark/>
          </w:tcPr>
          <w:p w14:paraId="7F8ACA7E" w14:textId="77777777" w:rsidR="00F348ED" w:rsidRPr="00841FCB" w:rsidRDefault="00F348ED" w:rsidP="00BE5C7B">
            <w:pPr>
              <w:spacing w:line="360" w:lineRule="auto"/>
              <w:ind w:firstLineChars="200" w:firstLine="440"/>
              <w:jc w:val="both"/>
              <w:rPr>
                <w:color w:val="000000"/>
              </w:rPr>
            </w:pPr>
            <w:r w:rsidRPr="00841FCB">
              <w:rPr>
                <w:color w:val="000000"/>
                <w:sz w:val="22"/>
                <w:szCs w:val="22"/>
              </w:rPr>
              <w:t>-</w:t>
            </w:r>
          </w:p>
        </w:tc>
      </w:tr>
      <w:tr w:rsidR="00F348ED" w:rsidRPr="00E5383D" w14:paraId="342616BD" w14:textId="77777777" w:rsidTr="00BE5C7B">
        <w:trPr>
          <w:trHeight w:val="300"/>
        </w:trPr>
        <w:tc>
          <w:tcPr>
            <w:tcW w:w="370" w:type="dxa"/>
            <w:tcBorders>
              <w:top w:val="nil"/>
              <w:left w:val="single" w:sz="4" w:space="0" w:color="auto"/>
              <w:bottom w:val="single" w:sz="4" w:space="0" w:color="auto"/>
              <w:right w:val="single" w:sz="4" w:space="0" w:color="auto"/>
            </w:tcBorders>
            <w:shd w:val="clear" w:color="auto" w:fill="auto"/>
            <w:noWrap/>
            <w:vAlign w:val="center"/>
            <w:hideMark/>
          </w:tcPr>
          <w:p w14:paraId="032215BE" w14:textId="77777777" w:rsidR="00F348ED" w:rsidRPr="00841FCB" w:rsidRDefault="00F348ED" w:rsidP="00BE5C7B">
            <w:pPr>
              <w:spacing w:line="360" w:lineRule="auto"/>
              <w:jc w:val="both"/>
              <w:rPr>
                <w:color w:val="000000"/>
              </w:rPr>
            </w:pPr>
            <w:r w:rsidRPr="00841FCB">
              <w:rPr>
                <w:color w:val="000000"/>
                <w:sz w:val="22"/>
                <w:szCs w:val="22"/>
              </w:rPr>
              <w:t>2</w:t>
            </w:r>
          </w:p>
        </w:tc>
        <w:tc>
          <w:tcPr>
            <w:tcW w:w="1718" w:type="dxa"/>
            <w:tcBorders>
              <w:top w:val="nil"/>
              <w:left w:val="nil"/>
              <w:bottom w:val="single" w:sz="4" w:space="0" w:color="auto"/>
              <w:right w:val="single" w:sz="4" w:space="0" w:color="auto"/>
            </w:tcBorders>
            <w:shd w:val="clear" w:color="auto" w:fill="auto"/>
            <w:vAlign w:val="center"/>
            <w:hideMark/>
          </w:tcPr>
          <w:p w14:paraId="4DA8CDB9" w14:textId="77777777" w:rsidR="00F348ED" w:rsidRPr="00841FCB" w:rsidRDefault="00F348ED" w:rsidP="00BE5C7B">
            <w:pPr>
              <w:spacing w:line="360" w:lineRule="auto"/>
              <w:jc w:val="both"/>
              <w:rPr>
                <w:color w:val="000000"/>
              </w:rPr>
            </w:pPr>
            <w:r w:rsidRPr="00841FCB">
              <w:rPr>
                <w:color w:val="000000"/>
                <w:sz w:val="22"/>
                <w:szCs w:val="22"/>
              </w:rPr>
              <w:t>20</w:t>
            </w:r>
            <w:r w:rsidR="00F617C9" w:rsidRPr="00841FCB">
              <w:rPr>
                <w:color w:val="000000"/>
                <w:sz w:val="22"/>
                <w:szCs w:val="22"/>
              </w:rPr>
              <w:t>21</w:t>
            </w:r>
          </w:p>
        </w:tc>
        <w:tc>
          <w:tcPr>
            <w:tcW w:w="1932" w:type="dxa"/>
            <w:tcBorders>
              <w:top w:val="nil"/>
              <w:left w:val="nil"/>
              <w:bottom w:val="single" w:sz="4" w:space="0" w:color="auto"/>
              <w:right w:val="single" w:sz="4" w:space="0" w:color="auto"/>
            </w:tcBorders>
            <w:shd w:val="clear" w:color="auto" w:fill="auto"/>
            <w:vAlign w:val="center"/>
            <w:hideMark/>
          </w:tcPr>
          <w:p w14:paraId="5FE918C9" w14:textId="77777777" w:rsidR="00F348ED" w:rsidRPr="00841FCB" w:rsidRDefault="00F348ED" w:rsidP="00BE5C7B">
            <w:pPr>
              <w:spacing w:line="360" w:lineRule="auto"/>
              <w:jc w:val="both"/>
              <w:rPr>
                <w:color w:val="000000"/>
              </w:rPr>
            </w:pPr>
            <w:r w:rsidRPr="00841FCB">
              <w:rPr>
                <w:color w:val="000000"/>
                <w:sz w:val="22"/>
                <w:szCs w:val="22"/>
              </w:rPr>
              <w:t>0,16</w:t>
            </w:r>
          </w:p>
        </w:tc>
        <w:tc>
          <w:tcPr>
            <w:tcW w:w="1700" w:type="dxa"/>
            <w:tcBorders>
              <w:top w:val="nil"/>
              <w:left w:val="nil"/>
              <w:bottom w:val="single" w:sz="4" w:space="0" w:color="auto"/>
              <w:right w:val="single" w:sz="4" w:space="0" w:color="auto"/>
            </w:tcBorders>
            <w:shd w:val="clear" w:color="auto" w:fill="auto"/>
            <w:noWrap/>
            <w:vAlign w:val="bottom"/>
            <w:hideMark/>
          </w:tcPr>
          <w:p w14:paraId="0C68BB0D" w14:textId="77777777" w:rsidR="00F348ED" w:rsidRPr="00841FCB" w:rsidRDefault="00F348ED" w:rsidP="00BE5C7B">
            <w:pPr>
              <w:spacing w:line="360" w:lineRule="auto"/>
              <w:jc w:val="both"/>
              <w:rPr>
                <w:color w:val="000000"/>
              </w:rPr>
            </w:pPr>
            <w:r w:rsidRPr="00841FCB">
              <w:rPr>
                <w:color w:val="000000"/>
                <w:sz w:val="22"/>
                <w:szCs w:val="22"/>
              </w:rPr>
              <w:t>0,00</w:t>
            </w:r>
          </w:p>
        </w:tc>
        <w:tc>
          <w:tcPr>
            <w:tcW w:w="1660" w:type="dxa"/>
            <w:tcBorders>
              <w:top w:val="nil"/>
              <w:left w:val="nil"/>
              <w:bottom w:val="single" w:sz="4" w:space="0" w:color="auto"/>
              <w:right w:val="single" w:sz="4" w:space="0" w:color="auto"/>
            </w:tcBorders>
            <w:shd w:val="clear" w:color="000000" w:fill="F2F2F2"/>
            <w:noWrap/>
            <w:vAlign w:val="center"/>
            <w:hideMark/>
          </w:tcPr>
          <w:p w14:paraId="28DCA802" w14:textId="77777777" w:rsidR="00F348ED" w:rsidRPr="00841FCB" w:rsidRDefault="00F348ED" w:rsidP="00BE5C7B">
            <w:pPr>
              <w:spacing w:line="360" w:lineRule="auto"/>
              <w:ind w:firstLineChars="200" w:firstLine="440"/>
              <w:jc w:val="both"/>
              <w:rPr>
                <w:color w:val="000000"/>
              </w:rPr>
            </w:pPr>
            <w:r w:rsidRPr="00841FCB">
              <w:rPr>
                <w:color w:val="000000"/>
                <w:sz w:val="22"/>
                <w:szCs w:val="22"/>
              </w:rPr>
              <w:t>0,16</w:t>
            </w:r>
          </w:p>
        </w:tc>
      </w:tr>
      <w:tr w:rsidR="00F348ED" w:rsidRPr="00E5383D" w14:paraId="22F1B34A" w14:textId="77777777" w:rsidTr="00BE5C7B">
        <w:trPr>
          <w:trHeight w:val="300"/>
        </w:trPr>
        <w:tc>
          <w:tcPr>
            <w:tcW w:w="370" w:type="dxa"/>
            <w:tcBorders>
              <w:top w:val="nil"/>
              <w:left w:val="single" w:sz="4" w:space="0" w:color="auto"/>
              <w:bottom w:val="single" w:sz="4" w:space="0" w:color="auto"/>
              <w:right w:val="single" w:sz="4" w:space="0" w:color="auto"/>
            </w:tcBorders>
            <w:shd w:val="clear" w:color="auto" w:fill="auto"/>
            <w:noWrap/>
            <w:vAlign w:val="center"/>
            <w:hideMark/>
          </w:tcPr>
          <w:p w14:paraId="34432B79" w14:textId="77777777" w:rsidR="00F348ED" w:rsidRPr="00841FCB" w:rsidRDefault="00F348ED" w:rsidP="00BE5C7B">
            <w:pPr>
              <w:spacing w:line="360" w:lineRule="auto"/>
              <w:jc w:val="both"/>
              <w:rPr>
                <w:color w:val="000000"/>
              </w:rPr>
            </w:pPr>
            <w:r w:rsidRPr="00841FCB">
              <w:rPr>
                <w:color w:val="000000"/>
                <w:sz w:val="22"/>
                <w:szCs w:val="22"/>
              </w:rPr>
              <w:t>3</w:t>
            </w:r>
          </w:p>
        </w:tc>
        <w:tc>
          <w:tcPr>
            <w:tcW w:w="1718" w:type="dxa"/>
            <w:tcBorders>
              <w:top w:val="nil"/>
              <w:left w:val="nil"/>
              <w:bottom w:val="single" w:sz="4" w:space="0" w:color="auto"/>
              <w:right w:val="single" w:sz="4" w:space="0" w:color="auto"/>
            </w:tcBorders>
            <w:shd w:val="clear" w:color="auto" w:fill="auto"/>
            <w:vAlign w:val="center"/>
            <w:hideMark/>
          </w:tcPr>
          <w:p w14:paraId="0FE7A07E" w14:textId="77777777" w:rsidR="00F348ED" w:rsidRPr="00841FCB" w:rsidRDefault="00F348ED" w:rsidP="00BE5C7B">
            <w:pPr>
              <w:spacing w:line="360" w:lineRule="auto"/>
              <w:jc w:val="both"/>
              <w:rPr>
                <w:color w:val="000000"/>
              </w:rPr>
            </w:pPr>
            <w:r w:rsidRPr="00841FCB">
              <w:rPr>
                <w:color w:val="000000"/>
                <w:sz w:val="22"/>
                <w:szCs w:val="22"/>
              </w:rPr>
              <w:t>202</w:t>
            </w:r>
            <w:r w:rsidR="00F617C9" w:rsidRPr="00841FCB">
              <w:rPr>
                <w:color w:val="000000"/>
                <w:sz w:val="22"/>
                <w:szCs w:val="22"/>
              </w:rPr>
              <w:t>2</w:t>
            </w:r>
          </w:p>
        </w:tc>
        <w:tc>
          <w:tcPr>
            <w:tcW w:w="1932" w:type="dxa"/>
            <w:tcBorders>
              <w:top w:val="nil"/>
              <w:left w:val="nil"/>
              <w:bottom w:val="single" w:sz="4" w:space="0" w:color="auto"/>
              <w:right w:val="single" w:sz="4" w:space="0" w:color="auto"/>
            </w:tcBorders>
            <w:shd w:val="clear" w:color="auto" w:fill="auto"/>
            <w:vAlign w:val="center"/>
            <w:hideMark/>
          </w:tcPr>
          <w:p w14:paraId="4404CBF4" w14:textId="77777777" w:rsidR="00F348ED" w:rsidRPr="00841FCB" w:rsidRDefault="00F348ED" w:rsidP="00BE5C7B">
            <w:pPr>
              <w:spacing w:line="360" w:lineRule="auto"/>
              <w:jc w:val="both"/>
              <w:rPr>
                <w:color w:val="000000"/>
              </w:rPr>
            </w:pPr>
            <w:r w:rsidRPr="00841FCB">
              <w:rPr>
                <w:color w:val="000000"/>
                <w:sz w:val="22"/>
                <w:szCs w:val="22"/>
              </w:rPr>
              <w:t>1,0</w:t>
            </w:r>
            <w:r w:rsidR="00F617C9" w:rsidRPr="00841FCB">
              <w:rPr>
                <w:color w:val="000000"/>
                <w:sz w:val="22"/>
                <w:szCs w:val="22"/>
              </w:rPr>
              <w:t>3</w:t>
            </w:r>
          </w:p>
        </w:tc>
        <w:tc>
          <w:tcPr>
            <w:tcW w:w="1700" w:type="dxa"/>
            <w:tcBorders>
              <w:top w:val="nil"/>
              <w:left w:val="nil"/>
              <w:bottom w:val="single" w:sz="4" w:space="0" w:color="auto"/>
              <w:right w:val="single" w:sz="4" w:space="0" w:color="auto"/>
            </w:tcBorders>
            <w:shd w:val="clear" w:color="auto" w:fill="auto"/>
            <w:noWrap/>
            <w:vAlign w:val="bottom"/>
            <w:hideMark/>
          </w:tcPr>
          <w:p w14:paraId="071122BD" w14:textId="77777777" w:rsidR="00F348ED" w:rsidRPr="00841FCB" w:rsidRDefault="00F348ED" w:rsidP="00BE5C7B">
            <w:pPr>
              <w:spacing w:line="360" w:lineRule="auto"/>
              <w:jc w:val="both"/>
              <w:rPr>
                <w:color w:val="000000"/>
              </w:rPr>
            </w:pPr>
            <w:r w:rsidRPr="00841FCB">
              <w:rPr>
                <w:color w:val="000000"/>
                <w:sz w:val="22"/>
                <w:szCs w:val="22"/>
              </w:rPr>
              <w:t>0,00</w:t>
            </w:r>
          </w:p>
        </w:tc>
        <w:tc>
          <w:tcPr>
            <w:tcW w:w="1660" w:type="dxa"/>
            <w:tcBorders>
              <w:top w:val="nil"/>
              <w:left w:val="nil"/>
              <w:bottom w:val="single" w:sz="4" w:space="0" w:color="auto"/>
              <w:right w:val="single" w:sz="4" w:space="0" w:color="auto"/>
            </w:tcBorders>
            <w:shd w:val="clear" w:color="000000" w:fill="F2F2F2"/>
            <w:noWrap/>
            <w:vAlign w:val="center"/>
            <w:hideMark/>
          </w:tcPr>
          <w:p w14:paraId="376E70FF" w14:textId="77777777" w:rsidR="00F348ED" w:rsidRPr="00841FCB" w:rsidRDefault="00F348ED" w:rsidP="00BE5C7B">
            <w:pPr>
              <w:spacing w:line="360" w:lineRule="auto"/>
              <w:ind w:firstLineChars="200" w:firstLine="440"/>
              <w:jc w:val="both"/>
              <w:rPr>
                <w:color w:val="000000"/>
              </w:rPr>
            </w:pPr>
            <w:r w:rsidRPr="00841FCB">
              <w:rPr>
                <w:color w:val="000000"/>
                <w:sz w:val="22"/>
                <w:szCs w:val="22"/>
              </w:rPr>
              <w:t>1,0</w:t>
            </w:r>
            <w:r w:rsidR="00F617C9" w:rsidRPr="00841FCB">
              <w:rPr>
                <w:color w:val="000000"/>
                <w:sz w:val="22"/>
                <w:szCs w:val="22"/>
              </w:rPr>
              <w:t>3</w:t>
            </w:r>
          </w:p>
        </w:tc>
      </w:tr>
      <w:tr w:rsidR="00F348ED" w:rsidRPr="00E5383D" w14:paraId="1AF2B8D9" w14:textId="77777777" w:rsidTr="00BE5C7B">
        <w:trPr>
          <w:trHeight w:val="300"/>
        </w:trPr>
        <w:tc>
          <w:tcPr>
            <w:tcW w:w="370" w:type="dxa"/>
            <w:tcBorders>
              <w:top w:val="nil"/>
              <w:left w:val="single" w:sz="4" w:space="0" w:color="auto"/>
              <w:bottom w:val="single" w:sz="4" w:space="0" w:color="auto"/>
              <w:right w:val="single" w:sz="4" w:space="0" w:color="auto"/>
            </w:tcBorders>
            <w:shd w:val="clear" w:color="auto" w:fill="auto"/>
            <w:noWrap/>
            <w:vAlign w:val="center"/>
            <w:hideMark/>
          </w:tcPr>
          <w:p w14:paraId="2D77F0C1" w14:textId="77777777" w:rsidR="00F348ED" w:rsidRPr="00841FCB" w:rsidRDefault="00F348ED" w:rsidP="00BE5C7B">
            <w:pPr>
              <w:spacing w:line="360" w:lineRule="auto"/>
              <w:jc w:val="both"/>
              <w:rPr>
                <w:color w:val="000000"/>
              </w:rPr>
            </w:pPr>
            <w:r w:rsidRPr="00841FCB">
              <w:rPr>
                <w:color w:val="000000"/>
                <w:sz w:val="22"/>
                <w:szCs w:val="22"/>
              </w:rPr>
              <w:t>4</w:t>
            </w:r>
          </w:p>
        </w:tc>
        <w:tc>
          <w:tcPr>
            <w:tcW w:w="1718" w:type="dxa"/>
            <w:tcBorders>
              <w:top w:val="nil"/>
              <w:left w:val="nil"/>
              <w:bottom w:val="single" w:sz="4" w:space="0" w:color="auto"/>
              <w:right w:val="single" w:sz="4" w:space="0" w:color="auto"/>
            </w:tcBorders>
            <w:shd w:val="clear" w:color="auto" w:fill="auto"/>
            <w:vAlign w:val="center"/>
            <w:hideMark/>
          </w:tcPr>
          <w:p w14:paraId="6D5BF1E7" w14:textId="77777777" w:rsidR="00F348ED" w:rsidRPr="00841FCB" w:rsidRDefault="00F348ED" w:rsidP="00BE5C7B">
            <w:pPr>
              <w:spacing w:line="360" w:lineRule="auto"/>
              <w:jc w:val="both"/>
              <w:rPr>
                <w:color w:val="000000"/>
              </w:rPr>
            </w:pPr>
            <w:r w:rsidRPr="00841FCB">
              <w:rPr>
                <w:color w:val="000000"/>
                <w:sz w:val="22"/>
                <w:szCs w:val="22"/>
              </w:rPr>
              <w:t>202</w:t>
            </w:r>
            <w:r w:rsidR="00F617C9" w:rsidRPr="00841FCB">
              <w:rPr>
                <w:color w:val="000000"/>
                <w:sz w:val="22"/>
                <w:szCs w:val="22"/>
              </w:rPr>
              <w:t>3</w:t>
            </w:r>
          </w:p>
        </w:tc>
        <w:tc>
          <w:tcPr>
            <w:tcW w:w="1932" w:type="dxa"/>
            <w:tcBorders>
              <w:top w:val="nil"/>
              <w:left w:val="nil"/>
              <w:bottom w:val="single" w:sz="4" w:space="0" w:color="auto"/>
              <w:right w:val="single" w:sz="4" w:space="0" w:color="auto"/>
            </w:tcBorders>
            <w:shd w:val="clear" w:color="auto" w:fill="auto"/>
            <w:vAlign w:val="center"/>
            <w:hideMark/>
          </w:tcPr>
          <w:p w14:paraId="7B5C2A4B" w14:textId="77777777" w:rsidR="00F348ED" w:rsidRPr="00841FCB" w:rsidRDefault="00F348ED" w:rsidP="00BE5C7B">
            <w:pPr>
              <w:spacing w:line="360" w:lineRule="auto"/>
              <w:jc w:val="both"/>
              <w:rPr>
                <w:color w:val="000000"/>
              </w:rPr>
            </w:pPr>
            <w:r w:rsidRPr="00841FCB">
              <w:rPr>
                <w:color w:val="000000"/>
                <w:sz w:val="22"/>
                <w:szCs w:val="22"/>
              </w:rPr>
              <w:t>1,38</w:t>
            </w:r>
          </w:p>
        </w:tc>
        <w:tc>
          <w:tcPr>
            <w:tcW w:w="1700" w:type="dxa"/>
            <w:tcBorders>
              <w:top w:val="nil"/>
              <w:left w:val="nil"/>
              <w:bottom w:val="single" w:sz="4" w:space="0" w:color="auto"/>
              <w:right w:val="single" w:sz="4" w:space="0" w:color="auto"/>
            </w:tcBorders>
            <w:shd w:val="clear" w:color="auto" w:fill="auto"/>
            <w:noWrap/>
            <w:vAlign w:val="bottom"/>
            <w:hideMark/>
          </w:tcPr>
          <w:p w14:paraId="19CF775C" w14:textId="77777777" w:rsidR="00F348ED" w:rsidRPr="00841FCB" w:rsidRDefault="00F348ED" w:rsidP="00BE5C7B">
            <w:pPr>
              <w:spacing w:line="360" w:lineRule="auto"/>
              <w:jc w:val="both"/>
              <w:rPr>
                <w:color w:val="000000"/>
              </w:rPr>
            </w:pPr>
            <w:r w:rsidRPr="00841FCB">
              <w:rPr>
                <w:color w:val="000000"/>
                <w:sz w:val="22"/>
                <w:szCs w:val="22"/>
              </w:rPr>
              <w:t>0,00</w:t>
            </w:r>
          </w:p>
        </w:tc>
        <w:tc>
          <w:tcPr>
            <w:tcW w:w="1660" w:type="dxa"/>
            <w:tcBorders>
              <w:top w:val="nil"/>
              <w:left w:val="nil"/>
              <w:bottom w:val="single" w:sz="4" w:space="0" w:color="auto"/>
              <w:right w:val="single" w:sz="4" w:space="0" w:color="auto"/>
            </w:tcBorders>
            <w:shd w:val="clear" w:color="000000" w:fill="F2F2F2"/>
            <w:noWrap/>
            <w:vAlign w:val="center"/>
            <w:hideMark/>
          </w:tcPr>
          <w:p w14:paraId="4722BE7E" w14:textId="77777777" w:rsidR="00F348ED" w:rsidRPr="00841FCB" w:rsidRDefault="00F348ED" w:rsidP="00BE5C7B">
            <w:pPr>
              <w:spacing w:line="360" w:lineRule="auto"/>
              <w:ind w:firstLineChars="200" w:firstLine="440"/>
              <w:jc w:val="both"/>
              <w:rPr>
                <w:color w:val="000000"/>
              </w:rPr>
            </w:pPr>
            <w:r w:rsidRPr="00841FCB">
              <w:rPr>
                <w:color w:val="000000"/>
                <w:sz w:val="22"/>
                <w:szCs w:val="22"/>
              </w:rPr>
              <w:t>1,38</w:t>
            </w:r>
          </w:p>
        </w:tc>
      </w:tr>
      <w:tr w:rsidR="00F348ED" w:rsidRPr="00E5383D" w14:paraId="7CF26E52" w14:textId="77777777" w:rsidTr="00BE5C7B">
        <w:trPr>
          <w:trHeight w:val="300"/>
        </w:trPr>
        <w:tc>
          <w:tcPr>
            <w:tcW w:w="370" w:type="dxa"/>
            <w:tcBorders>
              <w:top w:val="nil"/>
              <w:left w:val="single" w:sz="4" w:space="0" w:color="auto"/>
              <w:bottom w:val="single" w:sz="4" w:space="0" w:color="auto"/>
              <w:right w:val="single" w:sz="4" w:space="0" w:color="auto"/>
            </w:tcBorders>
            <w:shd w:val="clear" w:color="auto" w:fill="auto"/>
            <w:noWrap/>
            <w:vAlign w:val="center"/>
            <w:hideMark/>
          </w:tcPr>
          <w:p w14:paraId="6CAA24D6" w14:textId="77777777" w:rsidR="00F348ED" w:rsidRPr="00841FCB" w:rsidRDefault="00F348ED" w:rsidP="00BE5C7B">
            <w:pPr>
              <w:spacing w:line="360" w:lineRule="auto"/>
              <w:jc w:val="both"/>
              <w:rPr>
                <w:color w:val="000000"/>
              </w:rPr>
            </w:pPr>
            <w:r w:rsidRPr="00841FCB">
              <w:rPr>
                <w:color w:val="000000"/>
                <w:sz w:val="22"/>
                <w:szCs w:val="22"/>
              </w:rPr>
              <w:t>5</w:t>
            </w:r>
          </w:p>
        </w:tc>
        <w:tc>
          <w:tcPr>
            <w:tcW w:w="1718" w:type="dxa"/>
            <w:tcBorders>
              <w:top w:val="nil"/>
              <w:left w:val="nil"/>
              <w:bottom w:val="single" w:sz="4" w:space="0" w:color="auto"/>
              <w:right w:val="single" w:sz="4" w:space="0" w:color="auto"/>
            </w:tcBorders>
            <w:shd w:val="clear" w:color="auto" w:fill="auto"/>
            <w:vAlign w:val="center"/>
            <w:hideMark/>
          </w:tcPr>
          <w:p w14:paraId="565414EF" w14:textId="77777777" w:rsidR="00F348ED" w:rsidRPr="00841FCB" w:rsidRDefault="00F348ED" w:rsidP="00BE5C7B">
            <w:pPr>
              <w:spacing w:line="360" w:lineRule="auto"/>
              <w:jc w:val="both"/>
              <w:rPr>
                <w:color w:val="000000"/>
              </w:rPr>
            </w:pPr>
            <w:r w:rsidRPr="00841FCB">
              <w:rPr>
                <w:color w:val="000000"/>
                <w:sz w:val="22"/>
                <w:szCs w:val="22"/>
              </w:rPr>
              <w:t>202</w:t>
            </w:r>
            <w:r w:rsidR="00F617C9" w:rsidRPr="00841FCB">
              <w:rPr>
                <w:color w:val="000000"/>
                <w:sz w:val="22"/>
                <w:szCs w:val="22"/>
              </w:rPr>
              <w:t>4</w:t>
            </w:r>
          </w:p>
        </w:tc>
        <w:tc>
          <w:tcPr>
            <w:tcW w:w="1932" w:type="dxa"/>
            <w:tcBorders>
              <w:top w:val="nil"/>
              <w:left w:val="nil"/>
              <w:bottom w:val="single" w:sz="4" w:space="0" w:color="auto"/>
              <w:right w:val="single" w:sz="4" w:space="0" w:color="auto"/>
            </w:tcBorders>
            <w:shd w:val="clear" w:color="auto" w:fill="auto"/>
            <w:vAlign w:val="center"/>
            <w:hideMark/>
          </w:tcPr>
          <w:p w14:paraId="72B403F1" w14:textId="77777777" w:rsidR="00F348ED" w:rsidRPr="00841FCB" w:rsidRDefault="00F348ED" w:rsidP="00BE5C7B">
            <w:pPr>
              <w:spacing w:line="360" w:lineRule="auto"/>
              <w:jc w:val="both"/>
              <w:rPr>
                <w:color w:val="000000"/>
              </w:rPr>
            </w:pPr>
            <w:r w:rsidRPr="00841FCB">
              <w:rPr>
                <w:color w:val="000000"/>
                <w:sz w:val="22"/>
                <w:szCs w:val="22"/>
              </w:rPr>
              <w:t>1,4</w:t>
            </w:r>
            <w:r w:rsidR="00F617C9" w:rsidRPr="00841FCB">
              <w:rPr>
                <w:color w:val="000000"/>
                <w:sz w:val="22"/>
                <w:szCs w:val="22"/>
              </w:rPr>
              <w:t>2</w:t>
            </w:r>
          </w:p>
        </w:tc>
        <w:tc>
          <w:tcPr>
            <w:tcW w:w="1700" w:type="dxa"/>
            <w:tcBorders>
              <w:top w:val="nil"/>
              <w:left w:val="nil"/>
              <w:bottom w:val="single" w:sz="4" w:space="0" w:color="auto"/>
              <w:right w:val="single" w:sz="4" w:space="0" w:color="auto"/>
            </w:tcBorders>
            <w:shd w:val="clear" w:color="auto" w:fill="auto"/>
            <w:noWrap/>
            <w:vAlign w:val="bottom"/>
            <w:hideMark/>
          </w:tcPr>
          <w:p w14:paraId="7F081CB3" w14:textId="77777777" w:rsidR="00F348ED" w:rsidRPr="00841FCB" w:rsidRDefault="00F348ED" w:rsidP="00BE5C7B">
            <w:pPr>
              <w:spacing w:line="360" w:lineRule="auto"/>
              <w:jc w:val="both"/>
              <w:rPr>
                <w:color w:val="000000"/>
              </w:rPr>
            </w:pPr>
            <w:r w:rsidRPr="00841FCB">
              <w:rPr>
                <w:color w:val="000000"/>
                <w:sz w:val="22"/>
                <w:szCs w:val="22"/>
              </w:rPr>
              <w:t>0,00</w:t>
            </w:r>
          </w:p>
        </w:tc>
        <w:tc>
          <w:tcPr>
            <w:tcW w:w="1660" w:type="dxa"/>
            <w:tcBorders>
              <w:top w:val="nil"/>
              <w:left w:val="nil"/>
              <w:bottom w:val="single" w:sz="4" w:space="0" w:color="auto"/>
              <w:right w:val="single" w:sz="4" w:space="0" w:color="auto"/>
            </w:tcBorders>
            <w:shd w:val="clear" w:color="000000" w:fill="F2F2F2"/>
            <w:noWrap/>
            <w:vAlign w:val="center"/>
            <w:hideMark/>
          </w:tcPr>
          <w:p w14:paraId="7541EB72" w14:textId="77777777" w:rsidR="00F348ED" w:rsidRPr="00841FCB" w:rsidRDefault="00F348ED" w:rsidP="00BE5C7B">
            <w:pPr>
              <w:spacing w:line="360" w:lineRule="auto"/>
              <w:ind w:firstLineChars="200" w:firstLine="440"/>
              <w:jc w:val="both"/>
              <w:rPr>
                <w:color w:val="000000"/>
              </w:rPr>
            </w:pPr>
            <w:r w:rsidRPr="00841FCB">
              <w:rPr>
                <w:color w:val="000000"/>
                <w:sz w:val="22"/>
                <w:szCs w:val="22"/>
              </w:rPr>
              <w:t>1,4</w:t>
            </w:r>
            <w:r w:rsidR="00F617C9" w:rsidRPr="00841FCB">
              <w:rPr>
                <w:color w:val="000000"/>
                <w:sz w:val="22"/>
                <w:szCs w:val="22"/>
              </w:rPr>
              <w:t>2</w:t>
            </w:r>
          </w:p>
        </w:tc>
      </w:tr>
      <w:tr w:rsidR="00F348ED" w:rsidRPr="00E5383D" w14:paraId="4BDB292E" w14:textId="77777777" w:rsidTr="00BE5C7B">
        <w:trPr>
          <w:trHeight w:val="300"/>
        </w:trPr>
        <w:tc>
          <w:tcPr>
            <w:tcW w:w="370" w:type="dxa"/>
            <w:tcBorders>
              <w:top w:val="nil"/>
              <w:left w:val="single" w:sz="4" w:space="0" w:color="auto"/>
              <w:bottom w:val="single" w:sz="4" w:space="0" w:color="auto"/>
              <w:right w:val="single" w:sz="4" w:space="0" w:color="auto"/>
            </w:tcBorders>
            <w:shd w:val="clear" w:color="auto" w:fill="auto"/>
            <w:noWrap/>
            <w:vAlign w:val="center"/>
            <w:hideMark/>
          </w:tcPr>
          <w:p w14:paraId="7B7F2E01" w14:textId="77777777" w:rsidR="00F348ED" w:rsidRPr="00841FCB" w:rsidRDefault="00F348ED" w:rsidP="00BE5C7B">
            <w:pPr>
              <w:spacing w:line="360" w:lineRule="auto"/>
              <w:jc w:val="both"/>
              <w:rPr>
                <w:color w:val="000000"/>
              </w:rPr>
            </w:pPr>
            <w:r w:rsidRPr="00841FCB">
              <w:rPr>
                <w:color w:val="000000"/>
                <w:sz w:val="22"/>
                <w:szCs w:val="22"/>
              </w:rPr>
              <w:t>6</w:t>
            </w:r>
          </w:p>
        </w:tc>
        <w:tc>
          <w:tcPr>
            <w:tcW w:w="1718" w:type="dxa"/>
            <w:tcBorders>
              <w:top w:val="nil"/>
              <w:left w:val="nil"/>
              <w:bottom w:val="single" w:sz="4" w:space="0" w:color="auto"/>
              <w:right w:val="single" w:sz="4" w:space="0" w:color="auto"/>
            </w:tcBorders>
            <w:shd w:val="clear" w:color="auto" w:fill="auto"/>
            <w:vAlign w:val="center"/>
            <w:hideMark/>
          </w:tcPr>
          <w:p w14:paraId="5914E40F" w14:textId="77777777" w:rsidR="00F348ED" w:rsidRPr="00841FCB" w:rsidRDefault="00F348ED" w:rsidP="00BE5C7B">
            <w:pPr>
              <w:spacing w:line="360" w:lineRule="auto"/>
              <w:jc w:val="both"/>
              <w:rPr>
                <w:color w:val="000000"/>
              </w:rPr>
            </w:pPr>
            <w:r w:rsidRPr="00841FCB">
              <w:rPr>
                <w:color w:val="000000"/>
                <w:sz w:val="22"/>
                <w:szCs w:val="22"/>
              </w:rPr>
              <w:t>202</w:t>
            </w:r>
            <w:r w:rsidR="00F617C9" w:rsidRPr="00841FCB">
              <w:rPr>
                <w:color w:val="000000"/>
                <w:sz w:val="22"/>
                <w:szCs w:val="22"/>
              </w:rPr>
              <w:t>5</w:t>
            </w:r>
          </w:p>
        </w:tc>
        <w:tc>
          <w:tcPr>
            <w:tcW w:w="1932" w:type="dxa"/>
            <w:tcBorders>
              <w:top w:val="nil"/>
              <w:left w:val="nil"/>
              <w:bottom w:val="single" w:sz="4" w:space="0" w:color="auto"/>
              <w:right w:val="single" w:sz="4" w:space="0" w:color="auto"/>
            </w:tcBorders>
            <w:shd w:val="clear" w:color="auto" w:fill="auto"/>
            <w:vAlign w:val="center"/>
            <w:hideMark/>
          </w:tcPr>
          <w:p w14:paraId="117DEB7E" w14:textId="77777777" w:rsidR="00F348ED" w:rsidRPr="00841FCB" w:rsidRDefault="00F348ED" w:rsidP="00BE5C7B">
            <w:pPr>
              <w:spacing w:line="360" w:lineRule="auto"/>
              <w:jc w:val="both"/>
              <w:rPr>
                <w:color w:val="000000"/>
              </w:rPr>
            </w:pPr>
            <w:r w:rsidRPr="00841FCB">
              <w:rPr>
                <w:color w:val="000000"/>
                <w:sz w:val="22"/>
                <w:szCs w:val="22"/>
              </w:rPr>
              <w:t>1,45</w:t>
            </w:r>
          </w:p>
        </w:tc>
        <w:tc>
          <w:tcPr>
            <w:tcW w:w="1700" w:type="dxa"/>
            <w:tcBorders>
              <w:top w:val="nil"/>
              <w:left w:val="nil"/>
              <w:bottom w:val="single" w:sz="4" w:space="0" w:color="auto"/>
              <w:right w:val="single" w:sz="4" w:space="0" w:color="auto"/>
            </w:tcBorders>
            <w:shd w:val="clear" w:color="auto" w:fill="auto"/>
            <w:noWrap/>
            <w:vAlign w:val="bottom"/>
            <w:hideMark/>
          </w:tcPr>
          <w:p w14:paraId="26C004A9" w14:textId="77777777" w:rsidR="00F348ED" w:rsidRPr="00841FCB" w:rsidRDefault="00F348ED" w:rsidP="00BE5C7B">
            <w:pPr>
              <w:spacing w:line="360" w:lineRule="auto"/>
              <w:jc w:val="both"/>
              <w:rPr>
                <w:color w:val="000000"/>
              </w:rPr>
            </w:pPr>
            <w:r w:rsidRPr="00841FCB">
              <w:rPr>
                <w:color w:val="000000"/>
                <w:sz w:val="22"/>
                <w:szCs w:val="22"/>
              </w:rPr>
              <w:t>0,00</w:t>
            </w:r>
          </w:p>
        </w:tc>
        <w:tc>
          <w:tcPr>
            <w:tcW w:w="1660" w:type="dxa"/>
            <w:tcBorders>
              <w:top w:val="nil"/>
              <w:left w:val="nil"/>
              <w:bottom w:val="single" w:sz="4" w:space="0" w:color="auto"/>
              <w:right w:val="single" w:sz="4" w:space="0" w:color="auto"/>
            </w:tcBorders>
            <w:shd w:val="clear" w:color="000000" w:fill="F2F2F2"/>
            <w:noWrap/>
            <w:vAlign w:val="center"/>
            <w:hideMark/>
          </w:tcPr>
          <w:p w14:paraId="2F7F909A" w14:textId="77777777" w:rsidR="00F348ED" w:rsidRPr="00841FCB" w:rsidRDefault="00F348ED" w:rsidP="00BE5C7B">
            <w:pPr>
              <w:spacing w:line="360" w:lineRule="auto"/>
              <w:ind w:firstLineChars="200" w:firstLine="440"/>
              <w:jc w:val="both"/>
              <w:rPr>
                <w:color w:val="000000"/>
              </w:rPr>
            </w:pPr>
            <w:r w:rsidRPr="00841FCB">
              <w:rPr>
                <w:color w:val="000000"/>
                <w:sz w:val="22"/>
                <w:szCs w:val="22"/>
              </w:rPr>
              <w:t>1,45</w:t>
            </w:r>
          </w:p>
        </w:tc>
      </w:tr>
      <w:tr w:rsidR="00F348ED" w:rsidRPr="00E5383D" w14:paraId="4491F666" w14:textId="77777777" w:rsidTr="00BE5C7B">
        <w:trPr>
          <w:trHeight w:val="300"/>
        </w:trPr>
        <w:tc>
          <w:tcPr>
            <w:tcW w:w="370" w:type="dxa"/>
            <w:tcBorders>
              <w:top w:val="nil"/>
              <w:left w:val="single" w:sz="4" w:space="0" w:color="auto"/>
              <w:bottom w:val="single" w:sz="4" w:space="0" w:color="auto"/>
              <w:right w:val="single" w:sz="4" w:space="0" w:color="auto"/>
            </w:tcBorders>
            <w:shd w:val="clear" w:color="auto" w:fill="auto"/>
            <w:noWrap/>
            <w:vAlign w:val="center"/>
            <w:hideMark/>
          </w:tcPr>
          <w:p w14:paraId="31C79D42" w14:textId="77777777" w:rsidR="00F348ED" w:rsidRPr="00841FCB" w:rsidRDefault="00F348ED" w:rsidP="00BE5C7B">
            <w:pPr>
              <w:spacing w:line="360" w:lineRule="auto"/>
              <w:jc w:val="both"/>
              <w:rPr>
                <w:color w:val="000000"/>
              </w:rPr>
            </w:pPr>
            <w:r w:rsidRPr="00841FCB">
              <w:rPr>
                <w:color w:val="000000"/>
                <w:sz w:val="22"/>
                <w:szCs w:val="22"/>
              </w:rPr>
              <w:t>7</w:t>
            </w:r>
          </w:p>
        </w:tc>
        <w:tc>
          <w:tcPr>
            <w:tcW w:w="1718" w:type="dxa"/>
            <w:tcBorders>
              <w:top w:val="nil"/>
              <w:left w:val="nil"/>
              <w:bottom w:val="single" w:sz="4" w:space="0" w:color="auto"/>
              <w:right w:val="single" w:sz="4" w:space="0" w:color="auto"/>
            </w:tcBorders>
            <w:shd w:val="clear" w:color="auto" w:fill="auto"/>
            <w:vAlign w:val="center"/>
            <w:hideMark/>
          </w:tcPr>
          <w:p w14:paraId="51E8B4C2" w14:textId="77777777" w:rsidR="00F348ED" w:rsidRPr="00841FCB" w:rsidRDefault="00F348ED" w:rsidP="00BE5C7B">
            <w:pPr>
              <w:spacing w:line="360" w:lineRule="auto"/>
              <w:jc w:val="both"/>
              <w:rPr>
                <w:color w:val="000000"/>
              </w:rPr>
            </w:pPr>
            <w:r w:rsidRPr="00841FCB">
              <w:rPr>
                <w:color w:val="000000"/>
                <w:sz w:val="22"/>
                <w:szCs w:val="22"/>
              </w:rPr>
              <w:t>202</w:t>
            </w:r>
            <w:r w:rsidR="00F617C9" w:rsidRPr="00841FCB">
              <w:rPr>
                <w:color w:val="000000"/>
                <w:sz w:val="22"/>
                <w:szCs w:val="22"/>
              </w:rPr>
              <w:t>6</w:t>
            </w:r>
          </w:p>
        </w:tc>
        <w:tc>
          <w:tcPr>
            <w:tcW w:w="1932" w:type="dxa"/>
            <w:tcBorders>
              <w:top w:val="nil"/>
              <w:left w:val="nil"/>
              <w:bottom w:val="single" w:sz="4" w:space="0" w:color="auto"/>
              <w:right w:val="single" w:sz="4" w:space="0" w:color="auto"/>
            </w:tcBorders>
            <w:shd w:val="clear" w:color="auto" w:fill="auto"/>
            <w:vAlign w:val="center"/>
            <w:hideMark/>
          </w:tcPr>
          <w:p w14:paraId="676B50C3" w14:textId="77777777" w:rsidR="00F348ED" w:rsidRPr="00841FCB" w:rsidRDefault="00F348ED" w:rsidP="00BE5C7B">
            <w:pPr>
              <w:spacing w:line="360" w:lineRule="auto"/>
              <w:jc w:val="both"/>
              <w:rPr>
                <w:color w:val="000000"/>
              </w:rPr>
            </w:pPr>
            <w:r w:rsidRPr="00841FCB">
              <w:rPr>
                <w:color w:val="000000"/>
                <w:sz w:val="22"/>
                <w:szCs w:val="22"/>
              </w:rPr>
              <w:t>1,4</w:t>
            </w:r>
            <w:r w:rsidR="00F617C9" w:rsidRPr="00841FCB">
              <w:rPr>
                <w:color w:val="000000"/>
                <w:sz w:val="22"/>
                <w:szCs w:val="22"/>
              </w:rPr>
              <w:t>9</w:t>
            </w:r>
          </w:p>
        </w:tc>
        <w:tc>
          <w:tcPr>
            <w:tcW w:w="1700" w:type="dxa"/>
            <w:tcBorders>
              <w:top w:val="nil"/>
              <w:left w:val="nil"/>
              <w:bottom w:val="single" w:sz="4" w:space="0" w:color="auto"/>
              <w:right w:val="single" w:sz="4" w:space="0" w:color="auto"/>
            </w:tcBorders>
            <w:shd w:val="clear" w:color="auto" w:fill="auto"/>
            <w:noWrap/>
            <w:vAlign w:val="bottom"/>
            <w:hideMark/>
          </w:tcPr>
          <w:p w14:paraId="1B064453" w14:textId="77777777" w:rsidR="00F348ED" w:rsidRPr="00841FCB" w:rsidRDefault="00F348ED" w:rsidP="00BE5C7B">
            <w:pPr>
              <w:spacing w:line="360" w:lineRule="auto"/>
              <w:jc w:val="both"/>
              <w:rPr>
                <w:color w:val="000000"/>
              </w:rPr>
            </w:pPr>
            <w:r w:rsidRPr="00841FCB">
              <w:rPr>
                <w:color w:val="000000"/>
                <w:sz w:val="22"/>
                <w:szCs w:val="22"/>
              </w:rPr>
              <w:t>0,00</w:t>
            </w:r>
          </w:p>
        </w:tc>
        <w:tc>
          <w:tcPr>
            <w:tcW w:w="1660" w:type="dxa"/>
            <w:tcBorders>
              <w:top w:val="nil"/>
              <w:left w:val="nil"/>
              <w:bottom w:val="single" w:sz="4" w:space="0" w:color="auto"/>
              <w:right w:val="single" w:sz="4" w:space="0" w:color="auto"/>
            </w:tcBorders>
            <w:shd w:val="clear" w:color="000000" w:fill="F2F2F2"/>
            <w:noWrap/>
            <w:vAlign w:val="center"/>
            <w:hideMark/>
          </w:tcPr>
          <w:p w14:paraId="5A77E4D0" w14:textId="77777777" w:rsidR="00F348ED" w:rsidRPr="00841FCB" w:rsidRDefault="00F348ED" w:rsidP="00BE5C7B">
            <w:pPr>
              <w:spacing w:line="360" w:lineRule="auto"/>
              <w:ind w:firstLineChars="200" w:firstLine="440"/>
              <w:jc w:val="both"/>
              <w:rPr>
                <w:color w:val="000000"/>
              </w:rPr>
            </w:pPr>
            <w:r w:rsidRPr="00841FCB">
              <w:rPr>
                <w:color w:val="000000"/>
                <w:sz w:val="22"/>
                <w:szCs w:val="22"/>
              </w:rPr>
              <w:t>1,4</w:t>
            </w:r>
            <w:r w:rsidR="00F617C9" w:rsidRPr="00841FCB">
              <w:rPr>
                <w:color w:val="000000"/>
                <w:sz w:val="22"/>
                <w:szCs w:val="22"/>
              </w:rPr>
              <w:t>9</w:t>
            </w:r>
          </w:p>
        </w:tc>
      </w:tr>
      <w:tr w:rsidR="00F348ED" w:rsidRPr="00E5383D" w14:paraId="75966F13" w14:textId="77777777" w:rsidTr="00BE5C7B">
        <w:trPr>
          <w:trHeight w:val="300"/>
        </w:trPr>
        <w:tc>
          <w:tcPr>
            <w:tcW w:w="370" w:type="dxa"/>
            <w:tcBorders>
              <w:top w:val="nil"/>
              <w:left w:val="single" w:sz="4" w:space="0" w:color="auto"/>
              <w:bottom w:val="single" w:sz="4" w:space="0" w:color="auto"/>
              <w:right w:val="single" w:sz="4" w:space="0" w:color="auto"/>
            </w:tcBorders>
            <w:shd w:val="clear" w:color="auto" w:fill="auto"/>
            <w:noWrap/>
            <w:vAlign w:val="center"/>
            <w:hideMark/>
          </w:tcPr>
          <w:p w14:paraId="2EA6840B" w14:textId="77777777" w:rsidR="00F348ED" w:rsidRPr="00841FCB" w:rsidRDefault="00F348ED" w:rsidP="00BE5C7B">
            <w:pPr>
              <w:spacing w:line="360" w:lineRule="auto"/>
              <w:jc w:val="both"/>
              <w:rPr>
                <w:color w:val="000000"/>
              </w:rPr>
            </w:pPr>
            <w:r w:rsidRPr="00841FCB">
              <w:rPr>
                <w:color w:val="000000"/>
                <w:sz w:val="22"/>
                <w:szCs w:val="22"/>
              </w:rPr>
              <w:t>8</w:t>
            </w:r>
          </w:p>
        </w:tc>
        <w:tc>
          <w:tcPr>
            <w:tcW w:w="1718" w:type="dxa"/>
            <w:tcBorders>
              <w:top w:val="nil"/>
              <w:left w:val="nil"/>
              <w:bottom w:val="single" w:sz="4" w:space="0" w:color="auto"/>
              <w:right w:val="single" w:sz="4" w:space="0" w:color="auto"/>
            </w:tcBorders>
            <w:shd w:val="clear" w:color="auto" w:fill="auto"/>
            <w:vAlign w:val="center"/>
            <w:hideMark/>
          </w:tcPr>
          <w:p w14:paraId="45245D6E" w14:textId="77777777" w:rsidR="00F348ED" w:rsidRPr="00841FCB" w:rsidRDefault="00F348ED" w:rsidP="00BE5C7B">
            <w:pPr>
              <w:spacing w:line="360" w:lineRule="auto"/>
              <w:jc w:val="both"/>
              <w:rPr>
                <w:color w:val="000000"/>
              </w:rPr>
            </w:pPr>
            <w:r w:rsidRPr="00841FCB">
              <w:rPr>
                <w:color w:val="000000"/>
                <w:sz w:val="22"/>
                <w:szCs w:val="22"/>
              </w:rPr>
              <w:t>202</w:t>
            </w:r>
            <w:r w:rsidR="00F617C9" w:rsidRPr="00841FCB">
              <w:rPr>
                <w:color w:val="000000"/>
                <w:sz w:val="22"/>
                <w:szCs w:val="22"/>
              </w:rPr>
              <w:t>7</w:t>
            </w:r>
          </w:p>
        </w:tc>
        <w:tc>
          <w:tcPr>
            <w:tcW w:w="1932" w:type="dxa"/>
            <w:tcBorders>
              <w:top w:val="nil"/>
              <w:left w:val="nil"/>
              <w:bottom w:val="single" w:sz="4" w:space="0" w:color="auto"/>
              <w:right w:val="single" w:sz="4" w:space="0" w:color="auto"/>
            </w:tcBorders>
            <w:shd w:val="clear" w:color="auto" w:fill="auto"/>
            <w:vAlign w:val="center"/>
            <w:hideMark/>
          </w:tcPr>
          <w:p w14:paraId="1F213116" w14:textId="77777777" w:rsidR="00F348ED" w:rsidRPr="00841FCB" w:rsidRDefault="00F348ED" w:rsidP="00BE5C7B">
            <w:pPr>
              <w:spacing w:line="360" w:lineRule="auto"/>
              <w:jc w:val="both"/>
              <w:rPr>
                <w:color w:val="000000"/>
              </w:rPr>
            </w:pPr>
            <w:r w:rsidRPr="00841FCB">
              <w:rPr>
                <w:color w:val="000000"/>
                <w:sz w:val="22"/>
                <w:szCs w:val="22"/>
              </w:rPr>
              <w:t>1,5</w:t>
            </w:r>
            <w:r w:rsidR="00F617C9" w:rsidRPr="00841FCB">
              <w:rPr>
                <w:color w:val="000000"/>
                <w:sz w:val="22"/>
                <w:szCs w:val="22"/>
              </w:rPr>
              <w:t>3</w:t>
            </w:r>
          </w:p>
        </w:tc>
        <w:tc>
          <w:tcPr>
            <w:tcW w:w="1700" w:type="dxa"/>
            <w:tcBorders>
              <w:top w:val="nil"/>
              <w:left w:val="nil"/>
              <w:bottom w:val="single" w:sz="4" w:space="0" w:color="auto"/>
              <w:right w:val="single" w:sz="4" w:space="0" w:color="auto"/>
            </w:tcBorders>
            <w:shd w:val="clear" w:color="auto" w:fill="auto"/>
            <w:noWrap/>
            <w:vAlign w:val="bottom"/>
            <w:hideMark/>
          </w:tcPr>
          <w:p w14:paraId="5764D096" w14:textId="77777777" w:rsidR="00F348ED" w:rsidRPr="00841FCB" w:rsidRDefault="00F348ED" w:rsidP="00BE5C7B">
            <w:pPr>
              <w:spacing w:line="360" w:lineRule="auto"/>
              <w:jc w:val="both"/>
              <w:rPr>
                <w:color w:val="000000"/>
              </w:rPr>
            </w:pPr>
            <w:r w:rsidRPr="00841FCB">
              <w:rPr>
                <w:color w:val="000000"/>
                <w:sz w:val="22"/>
                <w:szCs w:val="22"/>
              </w:rPr>
              <w:t>0,00</w:t>
            </w:r>
          </w:p>
        </w:tc>
        <w:tc>
          <w:tcPr>
            <w:tcW w:w="1660" w:type="dxa"/>
            <w:tcBorders>
              <w:top w:val="nil"/>
              <w:left w:val="nil"/>
              <w:bottom w:val="single" w:sz="4" w:space="0" w:color="auto"/>
              <w:right w:val="single" w:sz="4" w:space="0" w:color="auto"/>
            </w:tcBorders>
            <w:shd w:val="clear" w:color="000000" w:fill="F2F2F2"/>
            <w:noWrap/>
            <w:vAlign w:val="center"/>
            <w:hideMark/>
          </w:tcPr>
          <w:p w14:paraId="51A30227" w14:textId="77777777" w:rsidR="00F348ED" w:rsidRPr="00841FCB" w:rsidRDefault="00F348ED" w:rsidP="00BE5C7B">
            <w:pPr>
              <w:spacing w:line="360" w:lineRule="auto"/>
              <w:ind w:firstLineChars="200" w:firstLine="440"/>
              <w:jc w:val="both"/>
              <w:rPr>
                <w:color w:val="000000"/>
              </w:rPr>
            </w:pPr>
            <w:r w:rsidRPr="00841FCB">
              <w:rPr>
                <w:color w:val="000000"/>
                <w:sz w:val="22"/>
                <w:szCs w:val="22"/>
              </w:rPr>
              <w:t>1,5</w:t>
            </w:r>
            <w:r w:rsidR="00F617C9" w:rsidRPr="00841FCB">
              <w:rPr>
                <w:color w:val="000000"/>
                <w:sz w:val="22"/>
                <w:szCs w:val="22"/>
              </w:rPr>
              <w:t>3</w:t>
            </w:r>
          </w:p>
        </w:tc>
      </w:tr>
      <w:tr w:rsidR="00F348ED" w:rsidRPr="00E5383D" w14:paraId="2DCFA5ED" w14:textId="77777777" w:rsidTr="00BE5C7B">
        <w:trPr>
          <w:trHeight w:val="300"/>
        </w:trPr>
        <w:tc>
          <w:tcPr>
            <w:tcW w:w="370" w:type="dxa"/>
            <w:tcBorders>
              <w:top w:val="nil"/>
              <w:left w:val="single" w:sz="4" w:space="0" w:color="auto"/>
              <w:bottom w:val="single" w:sz="4" w:space="0" w:color="auto"/>
              <w:right w:val="single" w:sz="4" w:space="0" w:color="auto"/>
            </w:tcBorders>
            <w:shd w:val="clear" w:color="auto" w:fill="auto"/>
            <w:noWrap/>
            <w:vAlign w:val="center"/>
            <w:hideMark/>
          </w:tcPr>
          <w:p w14:paraId="27303519" w14:textId="77777777" w:rsidR="00F348ED" w:rsidRPr="00841FCB" w:rsidRDefault="00F348ED" w:rsidP="00BE5C7B">
            <w:pPr>
              <w:spacing w:line="360" w:lineRule="auto"/>
              <w:jc w:val="both"/>
              <w:rPr>
                <w:color w:val="000000"/>
              </w:rPr>
            </w:pPr>
            <w:r w:rsidRPr="00841FCB">
              <w:rPr>
                <w:color w:val="000000"/>
                <w:sz w:val="22"/>
                <w:szCs w:val="22"/>
              </w:rPr>
              <w:t>9</w:t>
            </w:r>
          </w:p>
        </w:tc>
        <w:tc>
          <w:tcPr>
            <w:tcW w:w="1718" w:type="dxa"/>
            <w:tcBorders>
              <w:top w:val="nil"/>
              <w:left w:val="nil"/>
              <w:bottom w:val="single" w:sz="4" w:space="0" w:color="auto"/>
              <w:right w:val="single" w:sz="4" w:space="0" w:color="auto"/>
            </w:tcBorders>
            <w:shd w:val="clear" w:color="auto" w:fill="auto"/>
            <w:vAlign w:val="center"/>
            <w:hideMark/>
          </w:tcPr>
          <w:p w14:paraId="7F71CA08" w14:textId="77777777" w:rsidR="00F348ED" w:rsidRPr="00841FCB" w:rsidRDefault="00F348ED" w:rsidP="00BE5C7B">
            <w:pPr>
              <w:spacing w:line="360" w:lineRule="auto"/>
              <w:jc w:val="both"/>
              <w:rPr>
                <w:color w:val="000000"/>
              </w:rPr>
            </w:pPr>
            <w:r w:rsidRPr="00841FCB">
              <w:rPr>
                <w:color w:val="000000"/>
                <w:sz w:val="22"/>
                <w:szCs w:val="22"/>
              </w:rPr>
              <w:t>202</w:t>
            </w:r>
            <w:r w:rsidR="00F617C9" w:rsidRPr="00841FCB">
              <w:rPr>
                <w:color w:val="000000"/>
                <w:sz w:val="22"/>
                <w:szCs w:val="22"/>
              </w:rPr>
              <w:t>8</w:t>
            </w:r>
          </w:p>
        </w:tc>
        <w:tc>
          <w:tcPr>
            <w:tcW w:w="1932" w:type="dxa"/>
            <w:tcBorders>
              <w:top w:val="nil"/>
              <w:left w:val="nil"/>
              <w:bottom w:val="single" w:sz="4" w:space="0" w:color="auto"/>
              <w:right w:val="single" w:sz="4" w:space="0" w:color="auto"/>
            </w:tcBorders>
            <w:shd w:val="clear" w:color="auto" w:fill="auto"/>
            <w:vAlign w:val="center"/>
            <w:hideMark/>
          </w:tcPr>
          <w:p w14:paraId="4B609FD3" w14:textId="77777777" w:rsidR="00F348ED" w:rsidRPr="00841FCB" w:rsidRDefault="00F348ED" w:rsidP="00BE5C7B">
            <w:pPr>
              <w:spacing w:line="360" w:lineRule="auto"/>
              <w:jc w:val="both"/>
              <w:rPr>
                <w:color w:val="000000"/>
              </w:rPr>
            </w:pPr>
            <w:r w:rsidRPr="00841FCB">
              <w:rPr>
                <w:color w:val="000000"/>
                <w:sz w:val="22"/>
                <w:szCs w:val="22"/>
              </w:rPr>
              <w:t>1,56</w:t>
            </w:r>
          </w:p>
        </w:tc>
        <w:tc>
          <w:tcPr>
            <w:tcW w:w="1700" w:type="dxa"/>
            <w:tcBorders>
              <w:top w:val="nil"/>
              <w:left w:val="nil"/>
              <w:bottom w:val="single" w:sz="4" w:space="0" w:color="auto"/>
              <w:right w:val="single" w:sz="4" w:space="0" w:color="auto"/>
            </w:tcBorders>
            <w:shd w:val="clear" w:color="auto" w:fill="auto"/>
            <w:noWrap/>
            <w:vAlign w:val="bottom"/>
            <w:hideMark/>
          </w:tcPr>
          <w:p w14:paraId="54E03280" w14:textId="77777777" w:rsidR="00F348ED" w:rsidRPr="00841FCB" w:rsidRDefault="00F348ED" w:rsidP="00BE5C7B">
            <w:pPr>
              <w:spacing w:line="360" w:lineRule="auto"/>
              <w:jc w:val="both"/>
              <w:rPr>
                <w:color w:val="000000"/>
              </w:rPr>
            </w:pPr>
            <w:r w:rsidRPr="00841FCB">
              <w:rPr>
                <w:color w:val="000000"/>
                <w:sz w:val="22"/>
                <w:szCs w:val="22"/>
              </w:rPr>
              <w:t>0,00</w:t>
            </w:r>
          </w:p>
        </w:tc>
        <w:tc>
          <w:tcPr>
            <w:tcW w:w="1660" w:type="dxa"/>
            <w:tcBorders>
              <w:top w:val="nil"/>
              <w:left w:val="nil"/>
              <w:bottom w:val="single" w:sz="4" w:space="0" w:color="auto"/>
              <w:right w:val="single" w:sz="4" w:space="0" w:color="auto"/>
            </w:tcBorders>
            <w:shd w:val="clear" w:color="000000" w:fill="F2F2F2"/>
            <w:noWrap/>
            <w:vAlign w:val="center"/>
            <w:hideMark/>
          </w:tcPr>
          <w:p w14:paraId="37FE31F7" w14:textId="77777777" w:rsidR="00F348ED" w:rsidRPr="00841FCB" w:rsidRDefault="00F348ED" w:rsidP="00BE5C7B">
            <w:pPr>
              <w:spacing w:line="360" w:lineRule="auto"/>
              <w:ind w:firstLineChars="200" w:firstLine="440"/>
              <w:jc w:val="both"/>
              <w:rPr>
                <w:color w:val="000000"/>
              </w:rPr>
            </w:pPr>
            <w:r w:rsidRPr="00841FCB">
              <w:rPr>
                <w:color w:val="000000"/>
                <w:sz w:val="22"/>
                <w:szCs w:val="22"/>
              </w:rPr>
              <w:t>1,56</w:t>
            </w:r>
          </w:p>
        </w:tc>
      </w:tr>
      <w:tr w:rsidR="00F348ED" w:rsidRPr="00E5383D" w14:paraId="0684C6EE" w14:textId="77777777" w:rsidTr="00BE5C7B">
        <w:trPr>
          <w:trHeight w:val="300"/>
        </w:trPr>
        <w:tc>
          <w:tcPr>
            <w:tcW w:w="370" w:type="dxa"/>
            <w:tcBorders>
              <w:top w:val="nil"/>
              <w:left w:val="single" w:sz="4" w:space="0" w:color="auto"/>
              <w:bottom w:val="single" w:sz="4" w:space="0" w:color="auto"/>
              <w:right w:val="single" w:sz="4" w:space="0" w:color="auto"/>
            </w:tcBorders>
            <w:shd w:val="clear" w:color="auto" w:fill="auto"/>
            <w:noWrap/>
            <w:vAlign w:val="center"/>
            <w:hideMark/>
          </w:tcPr>
          <w:p w14:paraId="121D3CBB" w14:textId="77777777" w:rsidR="00F348ED" w:rsidRPr="00841FCB" w:rsidRDefault="00F348ED" w:rsidP="00BE5C7B">
            <w:pPr>
              <w:spacing w:line="360" w:lineRule="auto"/>
              <w:jc w:val="both"/>
              <w:rPr>
                <w:color w:val="000000"/>
              </w:rPr>
            </w:pPr>
            <w:r w:rsidRPr="00841FCB">
              <w:rPr>
                <w:color w:val="000000"/>
                <w:sz w:val="22"/>
                <w:szCs w:val="22"/>
              </w:rPr>
              <w:t>10</w:t>
            </w:r>
          </w:p>
        </w:tc>
        <w:tc>
          <w:tcPr>
            <w:tcW w:w="1718" w:type="dxa"/>
            <w:tcBorders>
              <w:top w:val="nil"/>
              <w:left w:val="nil"/>
              <w:bottom w:val="single" w:sz="4" w:space="0" w:color="auto"/>
              <w:right w:val="single" w:sz="4" w:space="0" w:color="auto"/>
            </w:tcBorders>
            <w:shd w:val="clear" w:color="auto" w:fill="auto"/>
            <w:vAlign w:val="center"/>
            <w:hideMark/>
          </w:tcPr>
          <w:p w14:paraId="06AF9E4A" w14:textId="77777777" w:rsidR="00F348ED" w:rsidRPr="00841FCB" w:rsidRDefault="00F348ED" w:rsidP="00BE5C7B">
            <w:pPr>
              <w:spacing w:line="360" w:lineRule="auto"/>
              <w:jc w:val="both"/>
              <w:rPr>
                <w:color w:val="000000"/>
              </w:rPr>
            </w:pPr>
            <w:r w:rsidRPr="00841FCB">
              <w:rPr>
                <w:color w:val="000000"/>
                <w:sz w:val="22"/>
                <w:szCs w:val="22"/>
              </w:rPr>
              <w:t>202</w:t>
            </w:r>
            <w:r w:rsidR="00F617C9" w:rsidRPr="00841FCB">
              <w:rPr>
                <w:color w:val="000000"/>
                <w:sz w:val="22"/>
                <w:szCs w:val="22"/>
              </w:rPr>
              <w:t>9</w:t>
            </w:r>
          </w:p>
        </w:tc>
        <w:tc>
          <w:tcPr>
            <w:tcW w:w="1932" w:type="dxa"/>
            <w:tcBorders>
              <w:top w:val="nil"/>
              <w:left w:val="nil"/>
              <w:bottom w:val="single" w:sz="4" w:space="0" w:color="auto"/>
              <w:right w:val="single" w:sz="4" w:space="0" w:color="auto"/>
            </w:tcBorders>
            <w:shd w:val="clear" w:color="auto" w:fill="auto"/>
            <w:vAlign w:val="center"/>
            <w:hideMark/>
          </w:tcPr>
          <w:p w14:paraId="1A5833E2" w14:textId="77777777" w:rsidR="00F348ED" w:rsidRPr="00841FCB" w:rsidRDefault="00F348ED" w:rsidP="00BE5C7B">
            <w:pPr>
              <w:spacing w:line="360" w:lineRule="auto"/>
              <w:jc w:val="both"/>
              <w:rPr>
                <w:color w:val="000000"/>
              </w:rPr>
            </w:pPr>
            <w:r w:rsidRPr="00841FCB">
              <w:rPr>
                <w:color w:val="000000"/>
                <w:sz w:val="22"/>
                <w:szCs w:val="22"/>
              </w:rPr>
              <w:t>1,60</w:t>
            </w:r>
          </w:p>
        </w:tc>
        <w:tc>
          <w:tcPr>
            <w:tcW w:w="1700" w:type="dxa"/>
            <w:tcBorders>
              <w:top w:val="nil"/>
              <w:left w:val="nil"/>
              <w:bottom w:val="single" w:sz="4" w:space="0" w:color="auto"/>
              <w:right w:val="single" w:sz="4" w:space="0" w:color="auto"/>
            </w:tcBorders>
            <w:shd w:val="clear" w:color="auto" w:fill="auto"/>
            <w:noWrap/>
            <w:vAlign w:val="bottom"/>
            <w:hideMark/>
          </w:tcPr>
          <w:p w14:paraId="44CB2504" w14:textId="77777777" w:rsidR="00F348ED" w:rsidRPr="00841FCB" w:rsidRDefault="00F348ED" w:rsidP="00BE5C7B">
            <w:pPr>
              <w:spacing w:line="360" w:lineRule="auto"/>
              <w:jc w:val="both"/>
              <w:rPr>
                <w:color w:val="000000"/>
              </w:rPr>
            </w:pPr>
            <w:r w:rsidRPr="00841FCB">
              <w:rPr>
                <w:color w:val="000000"/>
                <w:sz w:val="22"/>
                <w:szCs w:val="22"/>
              </w:rPr>
              <w:t>0,00</w:t>
            </w:r>
          </w:p>
        </w:tc>
        <w:tc>
          <w:tcPr>
            <w:tcW w:w="1660" w:type="dxa"/>
            <w:tcBorders>
              <w:top w:val="nil"/>
              <w:left w:val="nil"/>
              <w:bottom w:val="single" w:sz="4" w:space="0" w:color="auto"/>
              <w:right w:val="single" w:sz="4" w:space="0" w:color="auto"/>
            </w:tcBorders>
            <w:shd w:val="clear" w:color="000000" w:fill="F2F2F2"/>
            <w:noWrap/>
            <w:vAlign w:val="center"/>
            <w:hideMark/>
          </w:tcPr>
          <w:p w14:paraId="4057E1F8" w14:textId="77777777" w:rsidR="00F348ED" w:rsidRPr="00841FCB" w:rsidRDefault="00F348ED" w:rsidP="00BE5C7B">
            <w:pPr>
              <w:spacing w:line="360" w:lineRule="auto"/>
              <w:ind w:firstLineChars="200" w:firstLine="440"/>
              <w:jc w:val="both"/>
              <w:rPr>
                <w:color w:val="000000"/>
              </w:rPr>
            </w:pPr>
            <w:r w:rsidRPr="00841FCB">
              <w:rPr>
                <w:color w:val="000000"/>
                <w:sz w:val="22"/>
                <w:szCs w:val="22"/>
              </w:rPr>
              <w:t>1,60</w:t>
            </w:r>
          </w:p>
        </w:tc>
      </w:tr>
      <w:tr w:rsidR="00F348ED" w:rsidRPr="00E5383D" w14:paraId="5235FBE3" w14:textId="77777777" w:rsidTr="00BE5C7B">
        <w:trPr>
          <w:trHeight w:val="900"/>
        </w:trPr>
        <w:tc>
          <w:tcPr>
            <w:tcW w:w="370" w:type="dxa"/>
            <w:tcBorders>
              <w:top w:val="nil"/>
              <w:left w:val="nil"/>
              <w:bottom w:val="nil"/>
              <w:right w:val="nil"/>
            </w:tcBorders>
            <w:shd w:val="clear" w:color="auto" w:fill="auto"/>
            <w:noWrap/>
            <w:vAlign w:val="bottom"/>
            <w:hideMark/>
          </w:tcPr>
          <w:p w14:paraId="2ED05827" w14:textId="77777777" w:rsidR="00F348ED" w:rsidRPr="00841FCB" w:rsidRDefault="00F348ED" w:rsidP="00BE5C7B">
            <w:pPr>
              <w:spacing w:line="360" w:lineRule="auto"/>
              <w:jc w:val="both"/>
              <w:rPr>
                <w:color w:val="000000"/>
              </w:rPr>
            </w:pPr>
          </w:p>
        </w:tc>
        <w:tc>
          <w:tcPr>
            <w:tcW w:w="1718" w:type="dxa"/>
            <w:tcBorders>
              <w:top w:val="nil"/>
              <w:left w:val="single" w:sz="4" w:space="0" w:color="auto"/>
              <w:bottom w:val="single" w:sz="4" w:space="0" w:color="auto"/>
              <w:right w:val="single" w:sz="4" w:space="0" w:color="auto"/>
            </w:tcBorders>
            <w:shd w:val="clear" w:color="auto" w:fill="auto"/>
            <w:vAlign w:val="center"/>
            <w:hideMark/>
          </w:tcPr>
          <w:p w14:paraId="09D292C8" w14:textId="77777777" w:rsidR="00F348ED" w:rsidRPr="00841FCB" w:rsidRDefault="00F348ED" w:rsidP="00841FCB">
            <w:pPr>
              <w:spacing w:line="360" w:lineRule="auto"/>
              <w:rPr>
                <w:color w:val="000000"/>
              </w:rPr>
            </w:pPr>
            <w:r w:rsidRPr="00841FCB">
              <w:rPr>
                <w:color w:val="000000"/>
                <w:sz w:val="22"/>
                <w:szCs w:val="22"/>
              </w:rPr>
              <w:t>Razem dla 10 lat funkcjonowania zmian wynikających z ustawy ratyfikacyjnej</w:t>
            </w:r>
          </w:p>
        </w:tc>
        <w:tc>
          <w:tcPr>
            <w:tcW w:w="1932" w:type="dxa"/>
            <w:tcBorders>
              <w:top w:val="nil"/>
              <w:left w:val="nil"/>
              <w:bottom w:val="single" w:sz="4" w:space="0" w:color="auto"/>
              <w:right w:val="single" w:sz="4" w:space="0" w:color="auto"/>
            </w:tcBorders>
            <w:shd w:val="clear" w:color="auto" w:fill="auto"/>
            <w:vAlign w:val="center"/>
            <w:hideMark/>
          </w:tcPr>
          <w:p w14:paraId="6E55C87D" w14:textId="77777777" w:rsidR="00F348ED" w:rsidRPr="00841FCB" w:rsidRDefault="00F348ED" w:rsidP="00BE5C7B">
            <w:pPr>
              <w:spacing w:line="360" w:lineRule="auto"/>
              <w:jc w:val="both"/>
              <w:rPr>
                <w:b/>
                <w:bCs/>
                <w:color w:val="000000"/>
              </w:rPr>
            </w:pPr>
            <w:r w:rsidRPr="00841FCB">
              <w:rPr>
                <w:b/>
                <w:bCs/>
                <w:color w:val="000000"/>
                <w:sz w:val="22"/>
                <w:szCs w:val="22"/>
              </w:rPr>
              <w:t>11,</w:t>
            </w:r>
            <w:r w:rsidR="00F617C9" w:rsidRPr="00841FCB">
              <w:rPr>
                <w:b/>
                <w:bCs/>
                <w:color w:val="000000"/>
                <w:sz w:val="22"/>
                <w:szCs w:val="22"/>
              </w:rPr>
              <w:t>62</w:t>
            </w:r>
          </w:p>
        </w:tc>
        <w:tc>
          <w:tcPr>
            <w:tcW w:w="1700" w:type="dxa"/>
            <w:tcBorders>
              <w:top w:val="nil"/>
              <w:left w:val="nil"/>
              <w:bottom w:val="single" w:sz="4" w:space="0" w:color="auto"/>
              <w:right w:val="single" w:sz="4" w:space="0" w:color="auto"/>
            </w:tcBorders>
            <w:shd w:val="clear" w:color="auto" w:fill="auto"/>
            <w:vAlign w:val="center"/>
            <w:hideMark/>
          </w:tcPr>
          <w:p w14:paraId="6BF94856" w14:textId="77777777" w:rsidR="00F348ED" w:rsidRPr="00841FCB" w:rsidRDefault="00F348ED" w:rsidP="00BE5C7B">
            <w:pPr>
              <w:spacing w:line="360" w:lineRule="auto"/>
              <w:jc w:val="both"/>
              <w:rPr>
                <w:b/>
                <w:bCs/>
                <w:color w:val="000000"/>
              </w:rPr>
            </w:pPr>
            <w:r w:rsidRPr="00841FCB">
              <w:rPr>
                <w:b/>
                <w:bCs/>
                <w:color w:val="000000"/>
                <w:sz w:val="22"/>
                <w:szCs w:val="22"/>
              </w:rPr>
              <w:t>0,00</w:t>
            </w:r>
          </w:p>
        </w:tc>
        <w:tc>
          <w:tcPr>
            <w:tcW w:w="1660" w:type="dxa"/>
            <w:tcBorders>
              <w:top w:val="nil"/>
              <w:left w:val="nil"/>
              <w:bottom w:val="single" w:sz="4" w:space="0" w:color="auto"/>
              <w:right w:val="single" w:sz="4" w:space="0" w:color="auto"/>
            </w:tcBorders>
            <w:shd w:val="clear" w:color="auto" w:fill="auto"/>
            <w:vAlign w:val="center"/>
            <w:hideMark/>
          </w:tcPr>
          <w:p w14:paraId="5558FEDB" w14:textId="77777777" w:rsidR="00F348ED" w:rsidRPr="00841FCB" w:rsidRDefault="00F348ED" w:rsidP="00BE5C7B">
            <w:pPr>
              <w:spacing w:line="360" w:lineRule="auto"/>
              <w:jc w:val="both"/>
              <w:rPr>
                <w:b/>
                <w:bCs/>
                <w:color w:val="000000"/>
              </w:rPr>
            </w:pPr>
            <w:r w:rsidRPr="00841FCB">
              <w:rPr>
                <w:b/>
                <w:bCs/>
                <w:color w:val="000000"/>
                <w:sz w:val="22"/>
                <w:szCs w:val="22"/>
              </w:rPr>
              <w:t>11,</w:t>
            </w:r>
            <w:r w:rsidR="00F617C9" w:rsidRPr="00841FCB">
              <w:rPr>
                <w:b/>
                <w:bCs/>
                <w:color w:val="000000"/>
                <w:sz w:val="22"/>
                <w:szCs w:val="22"/>
              </w:rPr>
              <w:t>62</w:t>
            </w:r>
          </w:p>
        </w:tc>
      </w:tr>
    </w:tbl>
    <w:p w14:paraId="7C0D159E" w14:textId="77777777" w:rsidR="00F348ED" w:rsidRPr="00841FCB" w:rsidRDefault="00F348ED" w:rsidP="00F348ED">
      <w:pPr>
        <w:spacing w:line="360" w:lineRule="auto"/>
        <w:jc w:val="both"/>
        <w:rPr>
          <w:sz w:val="22"/>
          <w:szCs w:val="22"/>
        </w:rPr>
      </w:pPr>
    </w:p>
    <w:p w14:paraId="1D034CA8" w14:textId="77777777" w:rsidR="00F348ED" w:rsidRPr="00841FCB" w:rsidRDefault="00F348ED" w:rsidP="00841FCB">
      <w:pPr>
        <w:spacing w:before="120" w:line="360" w:lineRule="auto"/>
        <w:jc w:val="both"/>
      </w:pPr>
      <w:r w:rsidRPr="00841FCB">
        <w:t>Powyższe działania mają swoje źródła finansowania wydatków odpowiednio w:</w:t>
      </w:r>
    </w:p>
    <w:p w14:paraId="22A07F0F" w14:textId="59F149A0" w:rsidR="00F348ED" w:rsidRPr="00841FCB" w:rsidRDefault="00F348ED" w:rsidP="00841FCB">
      <w:pPr>
        <w:widowControl w:val="0"/>
        <w:numPr>
          <w:ilvl w:val="0"/>
          <w:numId w:val="1"/>
        </w:numPr>
        <w:tabs>
          <w:tab w:val="left" w:pos="408"/>
        </w:tabs>
        <w:autoSpaceDE w:val="0"/>
        <w:autoSpaceDN w:val="0"/>
        <w:adjustRightInd w:val="0"/>
        <w:spacing w:line="360" w:lineRule="auto"/>
        <w:ind w:hanging="706"/>
        <w:jc w:val="both"/>
        <w:rPr>
          <w:color w:val="000000"/>
        </w:rPr>
      </w:pPr>
      <w:r w:rsidRPr="00841FCB">
        <w:t xml:space="preserve">części 24 budżetu </w:t>
      </w:r>
      <w:r w:rsidR="00B960AB">
        <w:t>p</w:t>
      </w:r>
      <w:r w:rsidRPr="00841FCB">
        <w:t>aństwa – zorganizowanie funkcji koordynatora</w:t>
      </w:r>
    </w:p>
    <w:p w14:paraId="02371481" w14:textId="18A27165" w:rsidR="00F348ED" w:rsidRPr="00841FCB" w:rsidRDefault="00F348ED" w:rsidP="00841FCB">
      <w:pPr>
        <w:widowControl w:val="0"/>
        <w:numPr>
          <w:ilvl w:val="1"/>
          <w:numId w:val="1"/>
        </w:numPr>
        <w:tabs>
          <w:tab w:val="clear" w:pos="1440"/>
          <w:tab w:val="right" w:pos="284"/>
          <w:tab w:val="left" w:pos="408"/>
        </w:tabs>
        <w:autoSpaceDE w:val="0"/>
        <w:autoSpaceDN w:val="0"/>
        <w:adjustRightInd w:val="0"/>
        <w:spacing w:line="360" w:lineRule="auto"/>
        <w:ind w:left="812" w:hanging="364"/>
        <w:jc w:val="both"/>
        <w:rPr>
          <w:color w:val="000000"/>
        </w:rPr>
      </w:pPr>
      <w:r w:rsidRPr="00841FCB">
        <w:lastRenderedPageBreak/>
        <w:t>w roku 20</w:t>
      </w:r>
      <w:r w:rsidR="00F617C9" w:rsidRPr="00841FCB">
        <w:t>21</w:t>
      </w:r>
      <w:r w:rsidRPr="00841FCB">
        <w:t xml:space="preserve"> – 152 tysiące zł w cenach stałych z roku 201</w:t>
      </w:r>
      <w:r w:rsidR="00F617C9" w:rsidRPr="00841FCB">
        <w:t>9</w:t>
      </w:r>
    </w:p>
    <w:p w14:paraId="161A593B" w14:textId="77777777" w:rsidR="00F348ED" w:rsidRPr="00841FCB" w:rsidRDefault="00F348ED" w:rsidP="00841FCB">
      <w:pPr>
        <w:widowControl w:val="0"/>
        <w:numPr>
          <w:ilvl w:val="1"/>
          <w:numId w:val="1"/>
        </w:numPr>
        <w:tabs>
          <w:tab w:val="clear" w:pos="1440"/>
          <w:tab w:val="right" w:pos="284"/>
          <w:tab w:val="left" w:pos="408"/>
        </w:tabs>
        <w:autoSpaceDE w:val="0"/>
        <w:autoSpaceDN w:val="0"/>
        <w:adjustRightInd w:val="0"/>
        <w:spacing w:line="360" w:lineRule="auto"/>
        <w:ind w:left="812" w:hanging="364"/>
        <w:jc w:val="both"/>
        <w:rPr>
          <w:color w:val="000000"/>
        </w:rPr>
      </w:pPr>
      <w:r w:rsidRPr="00841FCB">
        <w:t>kolejne dziewięć lat – po 102 tysiące zł /rocznie w cenach stałych z roku 201</w:t>
      </w:r>
      <w:r w:rsidR="00F617C9" w:rsidRPr="00841FCB">
        <w:t>9</w:t>
      </w:r>
      <w:r w:rsidRPr="00841FCB">
        <w:t>.</w:t>
      </w:r>
    </w:p>
    <w:p w14:paraId="0BDDE10A" w14:textId="192BE79A" w:rsidR="00F348ED" w:rsidRPr="00841FCB" w:rsidRDefault="00F348ED" w:rsidP="00841FCB">
      <w:pPr>
        <w:widowControl w:val="0"/>
        <w:numPr>
          <w:ilvl w:val="0"/>
          <w:numId w:val="1"/>
        </w:numPr>
        <w:tabs>
          <w:tab w:val="left" w:pos="408"/>
        </w:tabs>
        <w:autoSpaceDE w:val="0"/>
        <w:autoSpaceDN w:val="0"/>
        <w:adjustRightInd w:val="0"/>
        <w:spacing w:line="360" w:lineRule="auto"/>
        <w:ind w:left="408" w:hanging="394"/>
        <w:jc w:val="both"/>
        <w:rPr>
          <w:color w:val="000000"/>
        </w:rPr>
      </w:pPr>
      <w:r w:rsidRPr="00841FCB">
        <w:t xml:space="preserve">części 24 budżetu </w:t>
      </w:r>
      <w:r w:rsidR="00B960AB">
        <w:t>p</w:t>
      </w:r>
      <w:r w:rsidRPr="00841FCB">
        <w:t>aństwa – inwentaryzacja obiektów podwodnego dziedzictwa kulturowego</w:t>
      </w:r>
    </w:p>
    <w:p w14:paraId="5A0EF461" w14:textId="77777777" w:rsidR="00F348ED" w:rsidRPr="00841FCB" w:rsidRDefault="00F348ED" w:rsidP="00841FCB">
      <w:pPr>
        <w:widowControl w:val="0"/>
        <w:numPr>
          <w:ilvl w:val="1"/>
          <w:numId w:val="1"/>
        </w:numPr>
        <w:tabs>
          <w:tab w:val="clear" w:pos="1440"/>
          <w:tab w:val="right" w:pos="284"/>
          <w:tab w:val="left" w:pos="408"/>
        </w:tabs>
        <w:autoSpaceDE w:val="0"/>
        <w:autoSpaceDN w:val="0"/>
        <w:adjustRightInd w:val="0"/>
        <w:spacing w:line="360" w:lineRule="auto"/>
        <w:ind w:left="812" w:hanging="364"/>
        <w:jc w:val="both"/>
        <w:rPr>
          <w:color w:val="000000"/>
        </w:rPr>
      </w:pPr>
      <w:r w:rsidRPr="00841FCB">
        <w:t>w latach 202</w:t>
      </w:r>
      <w:r w:rsidR="00F617C9" w:rsidRPr="00841FCB">
        <w:t>2</w:t>
      </w:r>
      <w:r w:rsidRPr="00841FCB">
        <w:t>–202</w:t>
      </w:r>
      <w:r w:rsidR="00F617C9" w:rsidRPr="00841FCB">
        <w:t>9</w:t>
      </w:r>
      <w:r w:rsidR="00D22B0E" w:rsidRPr="00841FCB">
        <w:t xml:space="preserve"> </w:t>
      </w:r>
      <w:r w:rsidRPr="00841FCB">
        <w:t>– 851 tysięcy zł rocznie w cenach stałych z roku 201</w:t>
      </w:r>
      <w:r w:rsidR="00F617C9" w:rsidRPr="00841FCB">
        <w:t>9</w:t>
      </w:r>
      <w:r w:rsidRPr="00841FCB">
        <w:t>.</w:t>
      </w:r>
    </w:p>
    <w:p w14:paraId="0AC20C7A" w14:textId="370DB47B" w:rsidR="00F348ED" w:rsidRPr="00841FCB" w:rsidRDefault="00127DDF" w:rsidP="00841FCB">
      <w:pPr>
        <w:widowControl w:val="0"/>
        <w:numPr>
          <w:ilvl w:val="0"/>
          <w:numId w:val="1"/>
        </w:numPr>
        <w:tabs>
          <w:tab w:val="left" w:pos="408"/>
        </w:tabs>
        <w:autoSpaceDE w:val="0"/>
        <w:autoSpaceDN w:val="0"/>
        <w:adjustRightInd w:val="0"/>
        <w:spacing w:line="360" w:lineRule="auto"/>
        <w:ind w:left="408" w:hanging="394"/>
        <w:jc w:val="both"/>
        <w:rPr>
          <w:color w:val="000000"/>
        </w:rPr>
      </w:pPr>
      <w:r w:rsidRPr="00841FCB">
        <w:t>części 2</w:t>
      </w:r>
      <w:r w:rsidR="00F348ED" w:rsidRPr="00841FCB">
        <w:t xml:space="preserve">8 budżetu </w:t>
      </w:r>
      <w:r w:rsidR="00CA123E">
        <w:t>p</w:t>
      </w:r>
      <w:r w:rsidR="00F348ED" w:rsidRPr="00841FCB">
        <w:t>aństwa – zapewnienie kadr z kompetencjami</w:t>
      </w:r>
      <w:r w:rsidR="00D22B0E" w:rsidRPr="00841FCB">
        <w:t xml:space="preserve"> </w:t>
      </w:r>
      <w:r w:rsidR="00F348ED" w:rsidRPr="00841FCB">
        <w:t xml:space="preserve">nurkowymi dla służb ochrony zabytków (wymagane uzgodnienia z Ministerstwem Nauki </w:t>
      </w:r>
      <w:r w:rsidR="00866340" w:rsidRPr="00841FCB">
        <w:t>i</w:t>
      </w:r>
      <w:r w:rsidR="00866340">
        <w:t> </w:t>
      </w:r>
      <w:r w:rsidR="00F348ED" w:rsidRPr="00841FCB">
        <w:t>Szkolnictwa Wyższego)</w:t>
      </w:r>
    </w:p>
    <w:p w14:paraId="516552A0" w14:textId="77777777" w:rsidR="00F348ED" w:rsidRPr="00841FCB" w:rsidRDefault="00F348ED" w:rsidP="00841FCB">
      <w:pPr>
        <w:widowControl w:val="0"/>
        <w:numPr>
          <w:ilvl w:val="1"/>
          <w:numId w:val="1"/>
        </w:numPr>
        <w:tabs>
          <w:tab w:val="clear" w:pos="1440"/>
          <w:tab w:val="right" w:pos="284"/>
          <w:tab w:val="left" w:pos="408"/>
        </w:tabs>
        <w:autoSpaceDE w:val="0"/>
        <w:autoSpaceDN w:val="0"/>
        <w:adjustRightInd w:val="0"/>
        <w:spacing w:line="360" w:lineRule="auto"/>
        <w:ind w:left="812" w:hanging="364"/>
        <w:jc w:val="both"/>
        <w:rPr>
          <w:color w:val="000000"/>
        </w:rPr>
      </w:pPr>
      <w:r w:rsidRPr="00841FCB">
        <w:t>w latach 202</w:t>
      </w:r>
      <w:r w:rsidR="00F617C9" w:rsidRPr="00841FCB">
        <w:t>2</w:t>
      </w:r>
      <w:r w:rsidRPr="00841FCB">
        <w:t>–202</w:t>
      </w:r>
      <w:r w:rsidR="00F617C9" w:rsidRPr="00841FCB">
        <w:t>9</w:t>
      </w:r>
      <w:r w:rsidR="00D22B0E" w:rsidRPr="00841FCB">
        <w:t xml:space="preserve"> </w:t>
      </w:r>
      <w:r w:rsidRPr="00841FCB">
        <w:t>– 300 tysięcy zł rocznie w cenach stałych z roku 201</w:t>
      </w:r>
      <w:r w:rsidR="00F617C9" w:rsidRPr="00841FCB">
        <w:t>9</w:t>
      </w:r>
      <w:r w:rsidRPr="00841FCB">
        <w:t>.</w:t>
      </w:r>
    </w:p>
    <w:p w14:paraId="371FA7B5" w14:textId="77777777" w:rsidR="00F348ED" w:rsidRPr="00841FCB" w:rsidRDefault="007F0C2F" w:rsidP="00841FCB">
      <w:pPr>
        <w:spacing w:before="120" w:line="360" w:lineRule="auto"/>
        <w:jc w:val="both"/>
      </w:pPr>
      <w:r w:rsidRPr="00841FCB">
        <w:t>Wydatki budżetu państwa związane z Konwencją zostaną pokryte w ramach limitu wydatków zaplanowanych dla poszczególnych części budżetowych na dany rok, bez koniec</w:t>
      </w:r>
      <w:r w:rsidR="00AD3C02" w:rsidRPr="00841FCB">
        <w:t>zności ich powiększania, a ratyfikacja K</w:t>
      </w:r>
      <w:r w:rsidRPr="00841FCB">
        <w:t>onwencji nie będzie stanow</w:t>
      </w:r>
      <w:r w:rsidR="00127DDF" w:rsidRPr="00841FCB">
        <w:t>iła podstawy do ubiegania się o</w:t>
      </w:r>
      <w:r w:rsidR="00AF3F4E">
        <w:t xml:space="preserve"> </w:t>
      </w:r>
      <w:r w:rsidRPr="00841FCB">
        <w:t>dodatkowe środki z budżetu państwa na ten cel.</w:t>
      </w:r>
    </w:p>
    <w:p w14:paraId="54718D97" w14:textId="0F974B84" w:rsidR="00F348ED" w:rsidRPr="00841FCB" w:rsidRDefault="00F348ED" w:rsidP="00841FCB">
      <w:pPr>
        <w:spacing w:before="120" w:line="360" w:lineRule="auto"/>
        <w:jc w:val="both"/>
      </w:pPr>
      <w:r w:rsidRPr="00841FCB">
        <w:t xml:space="preserve">Podstawą powyższych kalkulacji były dane otrzymane od ekspertów w dziedzinie archeologii podwodnej oraz nurkowania. Koszt zorganizowania funkcji koordynatora obejmuje jego wynagrodzenie, uśrednione rocznie koszty delegacji, związanych </w:t>
      </w:r>
      <w:r w:rsidR="00866340" w:rsidRPr="00841FCB">
        <w:t>z</w:t>
      </w:r>
      <w:r w:rsidR="00866340">
        <w:t> </w:t>
      </w:r>
      <w:r w:rsidRPr="00841FCB">
        <w:t xml:space="preserve">udziałem w pracach organów Konwencji, a także wydatki na infrastrukturę </w:t>
      </w:r>
      <w:r w:rsidR="003F4D68" w:rsidRPr="00841FCB">
        <w:t>w</w:t>
      </w:r>
      <w:r w:rsidR="003F4D68">
        <w:t> </w:t>
      </w:r>
      <w:r w:rsidRPr="00841FCB">
        <w:t xml:space="preserve">siedzibie koordynatora w pierwszym roku. </w:t>
      </w:r>
    </w:p>
    <w:p w14:paraId="2351B499" w14:textId="77777777" w:rsidR="00F348ED" w:rsidRPr="00841FCB" w:rsidRDefault="00F348ED" w:rsidP="00841FCB">
      <w:pPr>
        <w:spacing w:before="120" w:line="360" w:lineRule="auto"/>
        <w:jc w:val="both"/>
      </w:pPr>
      <w:r w:rsidRPr="00841FCB">
        <w:t xml:space="preserve">Koszty inwentaryzacji stanowisk zostały wskazane zgodnie z informacjami, przekazanymi przez ekspertów z Narodowego Muzeum Morskiego i obejmują wynajęcie statku wraz z zakontraktowaną załogą nurków i archeologów podwodnych. Koszt nurkowania </w:t>
      </w:r>
      <w:r w:rsidR="008274DA" w:rsidRPr="00841FCB">
        <w:t xml:space="preserve">jest </w:t>
      </w:r>
      <w:r w:rsidRPr="00841FCB">
        <w:t xml:space="preserve">powiązany z głębokością i oddaleniem od portu, kosztami paliwa </w:t>
      </w:r>
      <w:r w:rsidR="00866340" w:rsidRPr="00841FCB">
        <w:t>i</w:t>
      </w:r>
      <w:r w:rsidR="00866340">
        <w:t> </w:t>
      </w:r>
      <w:r w:rsidRPr="00841FCB">
        <w:t>ubezpieczeniem (w</w:t>
      </w:r>
      <w:r w:rsidR="00AF3F4E">
        <w:t xml:space="preserve"> </w:t>
      </w:r>
      <w:r w:rsidRPr="00841FCB">
        <w:t>stawce wynajmu statku). Założone średnioroczne</w:t>
      </w:r>
      <w:r w:rsidR="00127DDF" w:rsidRPr="00841FCB">
        <w:t xml:space="preserve"> tempo penetracji wód Bałtyku </w:t>
      </w:r>
      <w:r w:rsidR="00AF3F4E">
        <w:t>–</w:t>
      </w:r>
      <w:r w:rsidRPr="00841FCB">
        <w:t xml:space="preserve"> do 10 stanowisk w sezonie. </w:t>
      </w:r>
    </w:p>
    <w:p w14:paraId="108A03CA" w14:textId="77777777" w:rsidR="00F348ED" w:rsidRPr="00841FCB" w:rsidRDefault="00F348ED" w:rsidP="00841FCB">
      <w:pPr>
        <w:spacing w:before="120" w:line="360" w:lineRule="auto"/>
        <w:jc w:val="both"/>
      </w:pPr>
      <w:r w:rsidRPr="00841FCB">
        <w:t>Koszt szkolenia nurkowego na archeologicznych studiach wyższych został wskazany po konsultacjach z przedstawicielami Uniwersytetu Mikołaja Kopernika w Toruniu.</w:t>
      </w:r>
    </w:p>
    <w:p w14:paraId="19C00452" w14:textId="011B8441" w:rsidR="00F348ED" w:rsidRPr="00841FCB" w:rsidRDefault="00F348ED" w:rsidP="00841FCB">
      <w:pPr>
        <w:spacing w:before="120" w:line="360" w:lineRule="auto"/>
        <w:jc w:val="both"/>
        <w:rPr>
          <w:vertAlign w:val="superscript"/>
        </w:rPr>
      </w:pPr>
      <w:r w:rsidRPr="00841FCB">
        <w:t xml:space="preserve">Wydatki powyższe zostały zwaloryzowane zaktualizowanym wskaźnikiem CPI, </w:t>
      </w:r>
      <w:r w:rsidR="003F4D68" w:rsidRPr="00841FCB">
        <w:t>a</w:t>
      </w:r>
      <w:r w:rsidR="003F4D68">
        <w:t> </w:t>
      </w:r>
      <w:r w:rsidRPr="00841FCB">
        <w:t xml:space="preserve">wynik tej kalkulacji znajduje się w powyższej tabeli, prezentującej łączny limit wydatków związanych z ratyfikacją, w horyzoncie 10-letnim wynoszący </w:t>
      </w:r>
      <w:r w:rsidR="003F4D68" w:rsidRPr="00841FCB">
        <w:t>11</w:t>
      </w:r>
      <w:r w:rsidR="003F4D68">
        <w:t> </w:t>
      </w:r>
      <w:r w:rsidRPr="00841FCB">
        <w:t xml:space="preserve">mln </w:t>
      </w:r>
      <w:r w:rsidR="003F4D68">
        <w:t> </w:t>
      </w:r>
      <w:r w:rsidR="003F4D68" w:rsidRPr="00841FCB">
        <w:t>620</w:t>
      </w:r>
      <w:r w:rsidR="003F4D68">
        <w:t> </w:t>
      </w:r>
      <w:r w:rsidRPr="00841FCB">
        <w:t>tys. zł.</w:t>
      </w:r>
      <w:r w:rsidRPr="00841FCB">
        <w:rPr>
          <w:rStyle w:val="Odwoanieprzypisudolnego"/>
        </w:rPr>
        <w:footnoteReference w:id="1"/>
      </w:r>
      <w:r w:rsidR="00E5383D">
        <w:rPr>
          <w:vertAlign w:val="superscript"/>
        </w:rPr>
        <w:t>)</w:t>
      </w:r>
    </w:p>
    <w:p w14:paraId="76729082" w14:textId="77777777" w:rsidR="00F348ED" w:rsidRPr="00841FCB" w:rsidRDefault="00F348ED" w:rsidP="00841FCB">
      <w:pPr>
        <w:pStyle w:val="Tekstblokowy"/>
        <w:widowControl w:val="0"/>
        <w:spacing w:before="120" w:line="360" w:lineRule="auto"/>
        <w:ind w:left="0" w:right="70"/>
      </w:pPr>
      <w:r w:rsidRPr="00841FCB">
        <w:lastRenderedPageBreak/>
        <w:t xml:space="preserve">Konwencja </w:t>
      </w:r>
      <w:r w:rsidR="007138B8" w:rsidRPr="00841FCB">
        <w:t xml:space="preserve">będzie </w:t>
      </w:r>
      <w:r w:rsidRPr="00841FCB">
        <w:t>wymagać</w:t>
      </w:r>
      <w:r w:rsidR="00AF3F4E">
        <w:t xml:space="preserve"> </w:t>
      </w:r>
      <w:r w:rsidRPr="00841FCB">
        <w:t>wprowadzenia zmian w następujących aktach prawa wewnętrznego dotyczących dziedzin objętych zakresem Konwencji:</w:t>
      </w:r>
    </w:p>
    <w:p w14:paraId="241EB973" w14:textId="77777777" w:rsidR="0006553A" w:rsidRPr="00841FCB" w:rsidRDefault="00F348ED" w:rsidP="00841FCB">
      <w:pPr>
        <w:widowControl w:val="0"/>
        <w:numPr>
          <w:ilvl w:val="0"/>
          <w:numId w:val="4"/>
        </w:numPr>
        <w:spacing w:line="360" w:lineRule="auto"/>
        <w:jc w:val="both"/>
      </w:pPr>
      <w:r w:rsidRPr="00841FCB">
        <w:rPr>
          <w:bCs/>
        </w:rPr>
        <w:t>ustaw</w:t>
      </w:r>
      <w:r w:rsidR="00BB0E90" w:rsidRPr="00841FCB">
        <w:rPr>
          <w:bCs/>
        </w:rPr>
        <w:t>ie</w:t>
      </w:r>
      <w:r w:rsidRPr="00841FCB">
        <w:rPr>
          <w:bCs/>
        </w:rPr>
        <w:t xml:space="preserve"> z dnia 23 lipca 2003 r. o ochronie zabytków i opiece nad zabytkami </w:t>
      </w:r>
      <w:r w:rsidR="000F73BF" w:rsidRPr="00841FCB">
        <w:rPr>
          <w:bCs/>
        </w:rPr>
        <w:t>polegających</w:t>
      </w:r>
      <w:r w:rsidR="009B22A4" w:rsidRPr="00841FCB">
        <w:rPr>
          <w:bCs/>
        </w:rPr>
        <w:t xml:space="preserve"> na</w:t>
      </w:r>
      <w:r w:rsidR="0006553A" w:rsidRPr="00841FCB">
        <w:rPr>
          <w:bCs/>
        </w:rPr>
        <w:t>:</w:t>
      </w:r>
    </w:p>
    <w:p w14:paraId="49BD2BBF" w14:textId="77777777" w:rsidR="000F73BF" w:rsidRPr="00841FCB" w:rsidRDefault="00726538" w:rsidP="00841FCB">
      <w:pPr>
        <w:tabs>
          <w:tab w:val="left" w:pos="993"/>
        </w:tabs>
        <w:spacing w:line="360" w:lineRule="auto"/>
        <w:ind w:left="993" w:hanging="273"/>
        <w:jc w:val="both"/>
        <w:rPr>
          <w:color w:val="000000"/>
        </w:rPr>
      </w:pPr>
      <w:r>
        <w:rPr>
          <w:bCs/>
        </w:rPr>
        <w:t>–</w:t>
      </w:r>
      <w:r>
        <w:rPr>
          <w:bCs/>
        </w:rPr>
        <w:tab/>
      </w:r>
      <w:r w:rsidR="009B22A4" w:rsidRPr="00841FCB">
        <w:rPr>
          <w:color w:val="000000"/>
        </w:rPr>
        <w:t>uregulowaniu zasad wykonywania podwodnych badań archeologicznych oraz prac konserwatorskich</w:t>
      </w:r>
      <w:r w:rsidR="000F73BF" w:rsidRPr="00841FCB">
        <w:rPr>
          <w:color w:val="000000"/>
        </w:rPr>
        <w:t>,</w:t>
      </w:r>
    </w:p>
    <w:p w14:paraId="79441659" w14:textId="77777777" w:rsidR="0006553A" w:rsidRPr="00841FCB" w:rsidRDefault="00726538" w:rsidP="00841FCB">
      <w:pPr>
        <w:tabs>
          <w:tab w:val="left" w:pos="993"/>
        </w:tabs>
        <w:spacing w:line="360" w:lineRule="auto"/>
        <w:ind w:left="993" w:hanging="273"/>
        <w:jc w:val="both"/>
        <w:rPr>
          <w:bCs/>
        </w:rPr>
      </w:pPr>
      <w:r>
        <w:rPr>
          <w:color w:val="000000"/>
        </w:rPr>
        <w:t>–</w:t>
      </w:r>
      <w:r>
        <w:rPr>
          <w:color w:val="000000"/>
        </w:rPr>
        <w:tab/>
      </w:r>
      <w:r w:rsidR="009B22A4" w:rsidRPr="00841FCB">
        <w:rPr>
          <w:color w:val="000000"/>
        </w:rPr>
        <w:t>określenia wymaganych kwalifikacji uprawniających do wykonywania tych badań i prac</w:t>
      </w:r>
      <w:r w:rsidR="0006553A" w:rsidRPr="00841FCB">
        <w:rPr>
          <w:bCs/>
        </w:rPr>
        <w:t>,</w:t>
      </w:r>
    </w:p>
    <w:p w14:paraId="441A5DFA" w14:textId="77777777" w:rsidR="00B31E2B" w:rsidRPr="00841FCB" w:rsidRDefault="00726538" w:rsidP="00841FCB">
      <w:pPr>
        <w:tabs>
          <w:tab w:val="left" w:pos="993"/>
        </w:tabs>
        <w:spacing w:line="360" w:lineRule="auto"/>
        <w:ind w:left="993" w:hanging="273"/>
        <w:jc w:val="both"/>
        <w:rPr>
          <w:bCs/>
        </w:rPr>
      </w:pPr>
      <w:r>
        <w:rPr>
          <w:bCs/>
        </w:rPr>
        <w:t>–</w:t>
      </w:r>
      <w:r>
        <w:rPr>
          <w:bCs/>
        </w:rPr>
        <w:tab/>
      </w:r>
      <w:r w:rsidR="00B31E2B" w:rsidRPr="00841FCB">
        <w:rPr>
          <w:bCs/>
        </w:rPr>
        <w:t xml:space="preserve">wprowadzenie statusu </w:t>
      </w:r>
      <w:r w:rsidR="00B31E2B" w:rsidRPr="00841FCB">
        <w:rPr>
          <w:bCs/>
          <w:i/>
        </w:rPr>
        <w:t>res extra commercium</w:t>
      </w:r>
      <w:r w:rsidR="00B31E2B" w:rsidRPr="00841FCB">
        <w:rPr>
          <w:bCs/>
        </w:rPr>
        <w:t xml:space="preserve"> dla</w:t>
      </w:r>
      <w:r w:rsidR="005635C0" w:rsidRPr="00841FCB">
        <w:rPr>
          <w:bCs/>
        </w:rPr>
        <w:t xml:space="preserve"> obiektów</w:t>
      </w:r>
      <w:r w:rsidR="00B31E2B" w:rsidRPr="00841FCB">
        <w:rPr>
          <w:bCs/>
        </w:rPr>
        <w:t xml:space="preserve"> podwodnego dziedzictwa kulturowego,</w:t>
      </w:r>
    </w:p>
    <w:p w14:paraId="42940D39" w14:textId="77777777" w:rsidR="005635C0" w:rsidRPr="00841FCB" w:rsidRDefault="00726538" w:rsidP="00841FCB">
      <w:pPr>
        <w:tabs>
          <w:tab w:val="left" w:pos="993"/>
        </w:tabs>
        <w:spacing w:line="360" w:lineRule="auto"/>
        <w:ind w:left="993" w:hanging="273"/>
        <w:jc w:val="both"/>
        <w:rPr>
          <w:color w:val="000000"/>
        </w:rPr>
      </w:pPr>
      <w:r>
        <w:rPr>
          <w:bCs/>
        </w:rPr>
        <w:t>–</w:t>
      </w:r>
      <w:r>
        <w:rPr>
          <w:bCs/>
        </w:rPr>
        <w:tab/>
      </w:r>
      <w:r w:rsidR="0006553A" w:rsidRPr="00841FCB">
        <w:rPr>
          <w:color w:val="000000"/>
        </w:rPr>
        <w:t>wprowadzeniu</w:t>
      </w:r>
      <w:r w:rsidR="0006553A" w:rsidRPr="00841FCB">
        <w:rPr>
          <w:bCs/>
        </w:rPr>
        <w:t xml:space="preserve"> </w:t>
      </w:r>
      <w:r w:rsidR="0006553A" w:rsidRPr="00841FCB">
        <w:rPr>
          <w:color w:val="000000"/>
        </w:rPr>
        <w:t>zakaz</w:t>
      </w:r>
      <w:r w:rsidR="00B31E2B" w:rsidRPr="00841FCB">
        <w:rPr>
          <w:color w:val="000000"/>
        </w:rPr>
        <w:t>u</w:t>
      </w:r>
      <w:r w:rsidR="0006553A" w:rsidRPr="00841FCB">
        <w:rPr>
          <w:color w:val="000000"/>
        </w:rPr>
        <w:t xml:space="preserve"> wykorzystywania </w:t>
      </w:r>
      <w:r w:rsidR="005635C0" w:rsidRPr="00841FCB">
        <w:rPr>
          <w:bCs/>
        </w:rPr>
        <w:t>podwodnego dziedzictwa kulturowego</w:t>
      </w:r>
      <w:r w:rsidR="0006553A" w:rsidRPr="00841FCB">
        <w:rPr>
          <w:color w:val="000000"/>
        </w:rPr>
        <w:t xml:space="preserve"> w celach komercyjnych</w:t>
      </w:r>
      <w:r w:rsidR="005635C0" w:rsidRPr="00841FCB">
        <w:rPr>
          <w:color w:val="000000"/>
        </w:rPr>
        <w:t>,</w:t>
      </w:r>
    </w:p>
    <w:p w14:paraId="44CC0F89" w14:textId="77777777" w:rsidR="00F348ED" w:rsidRPr="00841FCB" w:rsidRDefault="00726538" w:rsidP="00841FCB">
      <w:pPr>
        <w:tabs>
          <w:tab w:val="left" w:pos="993"/>
        </w:tabs>
        <w:spacing w:line="360" w:lineRule="auto"/>
        <w:ind w:left="993" w:hanging="273"/>
        <w:jc w:val="both"/>
      </w:pPr>
      <w:r>
        <w:rPr>
          <w:color w:val="000000"/>
        </w:rPr>
        <w:t>–</w:t>
      </w:r>
      <w:r>
        <w:rPr>
          <w:color w:val="000000"/>
        </w:rPr>
        <w:tab/>
      </w:r>
      <w:r w:rsidR="005635C0" w:rsidRPr="00841FCB">
        <w:rPr>
          <w:color w:val="000000"/>
        </w:rPr>
        <w:t xml:space="preserve">wprowadzenie karalności za niezgodne z ustawą wejście w posiadanie, puszczanie w obieg, pomaganie w zbyciu lub ukryciu obiektów </w:t>
      </w:r>
      <w:r w:rsidR="005635C0" w:rsidRPr="00841FCB">
        <w:rPr>
          <w:bCs/>
        </w:rPr>
        <w:t>podwodnego dziedzictwa kulturowego</w:t>
      </w:r>
      <w:r w:rsidR="0006553A" w:rsidRPr="00841FCB">
        <w:rPr>
          <w:color w:val="000000"/>
        </w:rPr>
        <w:t>;</w:t>
      </w:r>
    </w:p>
    <w:p w14:paraId="637CCDB7" w14:textId="77777777" w:rsidR="0006553A" w:rsidRPr="00841FCB" w:rsidRDefault="00F348ED">
      <w:pPr>
        <w:numPr>
          <w:ilvl w:val="0"/>
          <w:numId w:val="4"/>
        </w:numPr>
        <w:spacing w:line="360" w:lineRule="auto"/>
        <w:jc w:val="both"/>
      </w:pPr>
      <w:r w:rsidRPr="00841FCB">
        <w:t>ustaw</w:t>
      </w:r>
      <w:r w:rsidR="00BB0E90" w:rsidRPr="00841FCB">
        <w:t>ie</w:t>
      </w:r>
      <w:r w:rsidRPr="00841FCB">
        <w:t xml:space="preserve"> z dnia 21 marca 1991 r. o obszarach morskich Rzeczypospolitej Polskiej i</w:t>
      </w:r>
      <w:r w:rsidR="00AF3F4E">
        <w:t xml:space="preserve"> </w:t>
      </w:r>
      <w:r w:rsidRPr="00841FCB">
        <w:t>administracji morski</w:t>
      </w:r>
      <w:r w:rsidR="00D17283" w:rsidRPr="00841FCB">
        <w:t>ej,</w:t>
      </w:r>
      <w:r w:rsidR="000F73BF" w:rsidRPr="00841FCB">
        <w:t xml:space="preserve"> polegających</w:t>
      </w:r>
      <w:r w:rsidR="004D4485" w:rsidRPr="00841FCB">
        <w:t xml:space="preserve"> na</w:t>
      </w:r>
      <w:r w:rsidR="0006553A" w:rsidRPr="00841FCB">
        <w:t>:</w:t>
      </w:r>
    </w:p>
    <w:p w14:paraId="45ECC23E" w14:textId="77777777" w:rsidR="0006553A" w:rsidRPr="00841FCB" w:rsidRDefault="00726538" w:rsidP="00841FCB">
      <w:pPr>
        <w:tabs>
          <w:tab w:val="left" w:pos="993"/>
        </w:tabs>
        <w:spacing w:line="360" w:lineRule="auto"/>
        <w:ind w:left="993" w:hanging="273"/>
        <w:jc w:val="both"/>
      </w:pPr>
      <w:r>
        <w:t>–</w:t>
      </w:r>
      <w:r>
        <w:tab/>
      </w:r>
      <w:r w:rsidR="004D4485" w:rsidRPr="00841FCB">
        <w:rPr>
          <w:color w:val="000000"/>
        </w:rPr>
        <w:t>wprowadzeniu</w:t>
      </w:r>
      <w:r w:rsidR="00D17283" w:rsidRPr="00841FCB">
        <w:t xml:space="preserve"> obowiązku zgłaszania organom administracji morskiej każdorazowego odkrycia w wyłącznej strefie ekonomicznej obiektu podwodnego dziedzictwa kulturowego oraz zamiaru podjęcia jakie</w:t>
      </w:r>
      <w:r w:rsidR="000F73BF" w:rsidRPr="00841FCB">
        <w:t>gokolwiek</w:t>
      </w:r>
      <w:r w:rsidR="00D17283" w:rsidRPr="00841FCB">
        <w:t xml:space="preserve"> działania związanego z tym dziedzictwem</w:t>
      </w:r>
      <w:r w:rsidR="004D4485" w:rsidRPr="00841FCB">
        <w:t>,</w:t>
      </w:r>
    </w:p>
    <w:p w14:paraId="26E4996B" w14:textId="77777777" w:rsidR="00232897" w:rsidRPr="00841FCB" w:rsidRDefault="00726538" w:rsidP="00841FCB">
      <w:pPr>
        <w:tabs>
          <w:tab w:val="left" w:pos="993"/>
        </w:tabs>
        <w:spacing w:line="360" w:lineRule="auto"/>
        <w:ind w:left="993" w:hanging="273"/>
        <w:jc w:val="both"/>
      </w:pPr>
      <w:r>
        <w:t>–</w:t>
      </w:r>
      <w:r>
        <w:tab/>
      </w:r>
      <w:r w:rsidR="00232897" w:rsidRPr="00841FCB">
        <w:rPr>
          <w:color w:val="000000"/>
        </w:rPr>
        <w:t>wprowadzeni</w:t>
      </w:r>
      <w:r w:rsidR="00896C2C" w:rsidRPr="00841FCB">
        <w:rPr>
          <w:color w:val="000000"/>
        </w:rPr>
        <w:t>u</w:t>
      </w:r>
      <w:r w:rsidR="00232897" w:rsidRPr="00841FCB">
        <w:t xml:space="preserve"> systemu zezwoleń na działania nakierowane na podwodne dziedzictwo kulturowe w obrębie wyłącznej strefy ekonomicznej,</w:t>
      </w:r>
    </w:p>
    <w:p w14:paraId="2ADE6FFE" w14:textId="77777777" w:rsidR="00F348ED" w:rsidRPr="00841FCB" w:rsidRDefault="00726538" w:rsidP="00841FCB">
      <w:pPr>
        <w:tabs>
          <w:tab w:val="left" w:pos="993"/>
        </w:tabs>
        <w:spacing w:line="360" w:lineRule="auto"/>
        <w:ind w:left="993" w:hanging="273"/>
        <w:jc w:val="both"/>
      </w:pPr>
      <w:r>
        <w:t>–</w:t>
      </w:r>
      <w:r>
        <w:tab/>
      </w:r>
      <w:r w:rsidR="0006553A" w:rsidRPr="00841FCB">
        <w:rPr>
          <w:color w:val="000000"/>
        </w:rPr>
        <w:t>wprowadzeniu</w:t>
      </w:r>
      <w:r w:rsidR="004D4485" w:rsidRPr="00841FCB">
        <w:t xml:space="preserve"> sankcji karnej w przypadku niezrealizowania obowiązku dokonania zgłoszenia</w:t>
      </w:r>
      <w:r w:rsidR="00D17283" w:rsidRPr="00841FCB">
        <w:t>;</w:t>
      </w:r>
    </w:p>
    <w:p w14:paraId="327B401C" w14:textId="77777777" w:rsidR="00F348ED" w:rsidRPr="00841FCB" w:rsidRDefault="00F348ED">
      <w:pPr>
        <w:numPr>
          <w:ilvl w:val="0"/>
          <w:numId w:val="4"/>
        </w:numPr>
        <w:spacing w:line="360" w:lineRule="auto"/>
        <w:jc w:val="both"/>
      </w:pPr>
      <w:r w:rsidRPr="00841FCB">
        <w:t>ustaw</w:t>
      </w:r>
      <w:r w:rsidR="00BB0E90" w:rsidRPr="00841FCB">
        <w:t>ie</w:t>
      </w:r>
      <w:r w:rsidRPr="00841FCB">
        <w:t xml:space="preserve"> z dnia 17 października 2003 r. o wykonywaniu prac podwodnych</w:t>
      </w:r>
      <w:r w:rsidR="004D4485" w:rsidRPr="00841FCB">
        <w:t xml:space="preserve"> polegającej na</w:t>
      </w:r>
      <w:r w:rsidR="00426F63" w:rsidRPr="00841FCB">
        <w:t xml:space="preserve"> wyłączeni</w:t>
      </w:r>
      <w:r w:rsidR="004D4485" w:rsidRPr="00841FCB">
        <w:t>u</w:t>
      </w:r>
      <w:r w:rsidR="00426F63" w:rsidRPr="00841FCB">
        <w:t xml:space="preserve"> stosowania jej przepisów </w:t>
      </w:r>
      <w:r w:rsidR="001B0DD0" w:rsidRPr="00841FCB">
        <w:t>d</w:t>
      </w:r>
      <w:r w:rsidR="00426F63" w:rsidRPr="00841FCB">
        <w:t>o prowadzeni</w:t>
      </w:r>
      <w:r w:rsidR="001B0DD0" w:rsidRPr="00841FCB">
        <w:t>a</w:t>
      </w:r>
      <w:r w:rsidR="00426F63" w:rsidRPr="00841FCB">
        <w:t xml:space="preserve"> badań archeologicznych i prac konserwatorskich</w:t>
      </w:r>
      <w:r w:rsidR="001B0DD0" w:rsidRPr="00841FCB">
        <w:t>;</w:t>
      </w:r>
    </w:p>
    <w:p w14:paraId="3D574E09" w14:textId="77777777" w:rsidR="00F348ED" w:rsidRPr="00841FCB" w:rsidRDefault="00F348ED">
      <w:pPr>
        <w:numPr>
          <w:ilvl w:val="0"/>
          <w:numId w:val="4"/>
        </w:numPr>
        <w:spacing w:line="360" w:lineRule="auto"/>
        <w:jc w:val="both"/>
      </w:pPr>
      <w:r w:rsidRPr="00841FCB">
        <w:t>ustaw</w:t>
      </w:r>
      <w:r w:rsidR="00BB0E90" w:rsidRPr="00841FCB">
        <w:t>ie</w:t>
      </w:r>
      <w:r w:rsidRPr="00841FCB">
        <w:t xml:space="preserve"> z dnia 20 lipca 2017 r. </w:t>
      </w:r>
      <w:r w:rsidR="00AF3F4E">
        <w:t>–</w:t>
      </w:r>
      <w:r w:rsidR="008274DA" w:rsidRPr="00841FCB">
        <w:t xml:space="preserve"> </w:t>
      </w:r>
      <w:r w:rsidR="0077191E" w:rsidRPr="00841FCB">
        <w:rPr>
          <w:bCs/>
        </w:rPr>
        <w:t xml:space="preserve">Prawo wodne </w:t>
      </w:r>
      <w:r w:rsidR="00D22B0E" w:rsidRPr="00841FCB">
        <w:rPr>
          <w:bCs/>
        </w:rPr>
        <w:t>polegającej na</w:t>
      </w:r>
      <w:r w:rsidR="003C129F" w:rsidRPr="00841FCB">
        <w:rPr>
          <w:bCs/>
        </w:rPr>
        <w:t xml:space="preserve"> wprowadzeni</w:t>
      </w:r>
      <w:r w:rsidR="00D22B0E" w:rsidRPr="00841FCB">
        <w:rPr>
          <w:bCs/>
        </w:rPr>
        <w:t>u</w:t>
      </w:r>
      <w:r w:rsidR="003C129F" w:rsidRPr="00841FCB">
        <w:rPr>
          <w:bCs/>
        </w:rPr>
        <w:t xml:space="preserve"> obowiązku</w:t>
      </w:r>
      <w:r w:rsidR="00D22B0E" w:rsidRPr="00841FCB">
        <w:rPr>
          <w:bCs/>
        </w:rPr>
        <w:t xml:space="preserve"> wykonywania</w:t>
      </w:r>
      <w:r w:rsidR="003C129F" w:rsidRPr="00841FCB">
        <w:rPr>
          <w:bCs/>
        </w:rPr>
        <w:t xml:space="preserve"> inwestycji </w:t>
      </w:r>
      <w:r w:rsidR="0006553A" w:rsidRPr="00841FCB">
        <w:rPr>
          <w:bCs/>
        </w:rPr>
        <w:t>w obrębie wód, eksploatacji urządzeń wodnych i</w:t>
      </w:r>
      <w:r w:rsidR="00B31E2B" w:rsidRPr="00841FCB">
        <w:rPr>
          <w:bCs/>
        </w:rPr>
        <w:t xml:space="preserve"> gospodarowania</w:t>
      </w:r>
      <w:r w:rsidR="0006553A" w:rsidRPr="00841FCB">
        <w:rPr>
          <w:bCs/>
        </w:rPr>
        <w:t xml:space="preserve"> wodami, </w:t>
      </w:r>
      <w:r w:rsidR="003C129F" w:rsidRPr="00841FCB">
        <w:rPr>
          <w:bCs/>
        </w:rPr>
        <w:t>w sposób eliminujący albo zmniejszający negatywne oddziaływania tego rodzaju przedsięwzięć na dziedzictwo podwodne</w:t>
      </w:r>
      <w:r w:rsidR="000F73BF" w:rsidRPr="00841FCB">
        <w:rPr>
          <w:bCs/>
        </w:rPr>
        <w:t>;</w:t>
      </w:r>
    </w:p>
    <w:p w14:paraId="59597D45" w14:textId="77777777" w:rsidR="00F348ED" w:rsidRPr="00841FCB" w:rsidRDefault="00F348ED">
      <w:pPr>
        <w:numPr>
          <w:ilvl w:val="0"/>
          <w:numId w:val="4"/>
        </w:numPr>
        <w:spacing w:line="360" w:lineRule="auto"/>
        <w:jc w:val="both"/>
      </w:pPr>
      <w:r w:rsidRPr="00841FCB">
        <w:lastRenderedPageBreak/>
        <w:t>rozporządzeni</w:t>
      </w:r>
      <w:r w:rsidR="00BB0E90" w:rsidRPr="00841FCB">
        <w:t>u</w:t>
      </w:r>
      <w:r w:rsidRPr="00841FCB">
        <w:t xml:space="preserve"> Ministra Sprawiedliwości z dnia 13 grudnia 2004 r. w sprawie określania sposobu postępowania z mieniem wydobytym z morza </w:t>
      </w:r>
      <w:bookmarkStart w:id="1" w:name="highlightHit_6"/>
      <w:bookmarkEnd w:id="1"/>
      <w:r w:rsidR="00B31E2B" w:rsidRPr="00841FCB">
        <w:t xml:space="preserve">przez </w:t>
      </w:r>
      <w:r w:rsidR="00FA0E89" w:rsidRPr="00841FCB">
        <w:t xml:space="preserve">określenie </w:t>
      </w:r>
      <w:r w:rsidR="0093339E" w:rsidRPr="00841FCB">
        <w:t xml:space="preserve">odrębnego </w:t>
      </w:r>
      <w:r w:rsidR="00FA0E89" w:rsidRPr="00841FCB">
        <w:t xml:space="preserve">sposobu </w:t>
      </w:r>
      <w:r w:rsidR="00FA0E89" w:rsidRPr="00841FCB">
        <w:rPr>
          <w:shd w:val="clear" w:color="auto" w:fill="FFFFFF"/>
        </w:rPr>
        <w:t>postępowanie</w:t>
      </w:r>
      <w:r w:rsidR="00D22B0E" w:rsidRPr="00841FCB">
        <w:rPr>
          <w:shd w:val="clear" w:color="auto" w:fill="FFFFFF"/>
        </w:rPr>
        <w:t xml:space="preserve"> </w:t>
      </w:r>
      <w:r w:rsidR="00FA0E89" w:rsidRPr="00841FCB">
        <w:rPr>
          <w:shd w:val="clear" w:color="auto" w:fill="FFFFFF"/>
        </w:rPr>
        <w:t>z rzeczami o wartości</w:t>
      </w:r>
      <w:r w:rsidR="00AF3F4E">
        <w:rPr>
          <w:shd w:val="clear" w:color="auto" w:fill="FFFFFF"/>
        </w:rPr>
        <w:t xml:space="preserve"> </w:t>
      </w:r>
      <w:r w:rsidR="00FA0E89" w:rsidRPr="00841FCB">
        <w:t xml:space="preserve">zabytkowej </w:t>
      </w:r>
      <w:r w:rsidR="00B31E2B" w:rsidRPr="00841FCB">
        <w:t>(zgodnie z</w:t>
      </w:r>
      <w:r w:rsidR="00AF3F4E">
        <w:t xml:space="preserve"> </w:t>
      </w:r>
      <w:r w:rsidR="00B31E2B" w:rsidRPr="00841FCB">
        <w:t xml:space="preserve">wprowadzoną zasadą </w:t>
      </w:r>
      <w:r w:rsidR="00B31E2B" w:rsidRPr="00841FCB">
        <w:rPr>
          <w:i/>
        </w:rPr>
        <w:t>res extra commercium</w:t>
      </w:r>
      <w:r w:rsidR="00B31E2B" w:rsidRPr="00841FCB">
        <w:t>)</w:t>
      </w:r>
      <w:r w:rsidR="00FA4EA1">
        <w:t>.</w:t>
      </w:r>
    </w:p>
    <w:p w14:paraId="59279D47" w14:textId="77777777" w:rsidR="00F348ED" w:rsidRPr="00841FCB" w:rsidRDefault="00F348ED" w:rsidP="00841FCB">
      <w:pPr>
        <w:spacing w:before="120" w:line="360" w:lineRule="auto"/>
        <w:ind w:left="360"/>
        <w:jc w:val="both"/>
      </w:pPr>
    </w:p>
    <w:p w14:paraId="5FC98522" w14:textId="77777777" w:rsidR="00F348ED" w:rsidRPr="00841FCB" w:rsidRDefault="00F348ED" w:rsidP="00841FCB">
      <w:pPr>
        <w:pStyle w:val="Tekstpodstawowy"/>
        <w:numPr>
          <w:ilvl w:val="0"/>
          <w:numId w:val="3"/>
        </w:numPr>
        <w:spacing w:before="120" w:after="0" w:line="360" w:lineRule="auto"/>
        <w:jc w:val="both"/>
        <w:rPr>
          <w:b/>
        </w:rPr>
      </w:pPr>
      <w:r w:rsidRPr="00841FCB">
        <w:rPr>
          <w:b/>
        </w:rPr>
        <w:t xml:space="preserve">Wyjaśnienie wyboru trybu związania Rzeczypospolitej Polskiej Konwencją </w:t>
      </w:r>
      <w:r w:rsidR="00D52DAA" w:rsidRPr="00841FCB">
        <w:rPr>
          <w:b/>
        </w:rPr>
        <w:t xml:space="preserve">UNESCO z 2001 r. </w:t>
      </w:r>
      <w:r w:rsidRPr="00841FCB">
        <w:rPr>
          <w:b/>
        </w:rPr>
        <w:t>oraz wyjaśnienia końcowe</w:t>
      </w:r>
    </w:p>
    <w:p w14:paraId="5105491C" w14:textId="77777777" w:rsidR="00F348ED" w:rsidRPr="00841FCB" w:rsidRDefault="00F348ED" w:rsidP="00841FCB">
      <w:pPr>
        <w:pStyle w:val="Tekstpodstawowy"/>
        <w:spacing w:before="120" w:after="0" w:line="360" w:lineRule="auto"/>
        <w:jc w:val="both"/>
      </w:pPr>
      <w:r w:rsidRPr="00841FCB">
        <w:t>Konwencja dotyczy spraw uregulowanych w ustawie, tym samym związanie Rzeczypospolitej Polskiej jej postanowieniami nastąpi w drodze ratyfikacji za uprzednią zgodą wyrażoną w ustawie, zgodnie z</w:t>
      </w:r>
      <w:r w:rsidR="00AF3F4E">
        <w:t xml:space="preserve"> </w:t>
      </w:r>
      <w:r w:rsidRPr="00841FCB">
        <w:t>art. 89 ust. 1 pkt 5 Konstytucji Rzeczypospolitej Polskiej.</w:t>
      </w:r>
    </w:p>
    <w:p w14:paraId="52D29641" w14:textId="2137627E" w:rsidR="00F348ED" w:rsidRPr="00841FCB" w:rsidRDefault="00F348ED" w:rsidP="00841FCB">
      <w:pPr>
        <w:pStyle w:val="Tekstpodstawowy"/>
        <w:spacing w:before="120" w:after="0" w:line="360" w:lineRule="auto"/>
        <w:jc w:val="both"/>
      </w:pPr>
      <w:r w:rsidRPr="00841FCB">
        <w:t>Konwencja dotyczy organów władzy państwowej odpowiedzialnych za tworzenie prawa i</w:t>
      </w:r>
      <w:r w:rsidR="00AF3F4E">
        <w:t xml:space="preserve"> </w:t>
      </w:r>
      <w:r w:rsidRPr="00841FCB">
        <w:t xml:space="preserve">prowadzenie polityki kulturalnej, zobowiązując te organy do wprowadzenia takich uregulowań oraz prowadzenia takiej polityki, aby sprzyjały one ochronie podwodnego dziedzictwa kulturowego. Z uwagi na przedmiot Konwencja UNESCO </w:t>
      </w:r>
      <w:r w:rsidR="003F4D68" w:rsidRPr="00841FCB">
        <w:t>z</w:t>
      </w:r>
      <w:r w:rsidR="003F4D68">
        <w:t> </w:t>
      </w:r>
      <w:r w:rsidRPr="00841FCB">
        <w:t>2001 r. dotyczy w</w:t>
      </w:r>
      <w:r w:rsidR="00AF3F4E">
        <w:t xml:space="preserve"> </w:t>
      </w:r>
      <w:r w:rsidRPr="00841FCB">
        <w:t xml:space="preserve">szczególności Ministra Kultury i Dziedzictwa Narodowego jako organu odpowiedzialnego za sprawy kultury i ochrony dziedzictwa narodowego </w:t>
      </w:r>
      <w:r w:rsidR="003F4D68" w:rsidRPr="00841FCB">
        <w:t>w</w:t>
      </w:r>
      <w:r w:rsidR="003F4D68">
        <w:t> </w:t>
      </w:r>
      <w:r w:rsidRPr="00841FCB">
        <w:t>administracji rządowej.</w:t>
      </w:r>
    </w:p>
    <w:p w14:paraId="73DB28B5" w14:textId="77777777" w:rsidR="00F348ED" w:rsidRPr="00841FCB" w:rsidRDefault="00F348ED" w:rsidP="00841FCB">
      <w:pPr>
        <w:pStyle w:val="Tekstpodstawowy"/>
        <w:spacing w:before="120" w:after="0" w:line="360" w:lineRule="auto"/>
        <w:jc w:val="both"/>
      </w:pPr>
      <w:r w:rsidRPr="00841FCB">
        <w:t xml:space="preserve">Konwencja w pewnym zakresie będzie dotyczyć podmiotów prawa prywatnego </w:t>
      </w:r>
      <w:r w:rsidR="00AF3F4E">
        <w:t>–</w:t>
      </w:r>
      <w:r w:rsidRPr="00841FCB">
        <w:t xml:space="preserve"> osób fizycznych i prawnych, w</w:t>
      </w:r>
      <w:r w:rsidR="00AF3F4E">
        <w:t xml:space="preserve"> </w:t>
      </w:r>
      <w:r w:rsidRPr="00841FCB">
        <w:t>tym nakładać nowe obowiązki na te podmioty. Postanowienia Konwencji UNESCO z 2001 r. odnoszą się do wód</w:t>
      </w:r>
      <w:r w:rsidR="004F01D2" w:rsidRPr="00841FCB">
        <w:t xml:space="preserve"> morza terytorialnego oraz morskich wód wewnętrznych, </w:t>
      </w:r>
      <w:r w:rsidRPr="00841FCB">
        <w:t xml:space="preserve">co do których każdemu przysługuje prawo do powszechnego </w:t>
      </w:r>
      <w:r w:rsidR="004F01D2" w:rsidRPr="00841FCB">
        <w:t xml:space="preserve">z nich </w:t>
      </w:r>
      <w:r w:rsidR="0077191E" w:rsidRPr="00841FCB">
        <w:t>korzystania</w:t>
      </w:r>
      <w:r w:rsidRPr="00841FCB">
        <w:t>. Powszechne korzystanie z wód służy do zaspokajania potrzeb osobistych, gospodarstwa domowego lub rolnego, a także do wypoczynku, uprawiania turystyki, sportów wodnych oraz amatorskiego połowu ryb. Należy założyć, że dopuszczalny zakres korzystania z</w:t>
      </w:r>
      <w:r w:rsidR="00AF3F4E">
        <w:t xml:space="preserve"> </w:t>
      </w:r>
      <w:r w:rsidRPr="00841FCB">
        <w:t>wód będzie mógł w konkretnych przypadkach podlegać ograniczeniu ze względu na ochronę podwodnego dziedzictwa kulturowego.</w:t>
      </w:r>
    </w:p>
    <w:p w14:paraId="39B59394" w14:textId="77777777" w:rsidR="00D04052" w:rsidRPr="00841FCB" w:rsidRDefault="00F348ED" w:rsidP="00841FCB">
      <w:pPr>
        <w:pStyle w:val="Tekstpodstawowy"/>
        <w:spacing w:before="120" w:after="0" w:line="360" w:lineRule="auto"/>
        <w:jc w:val="both"/>
      </w:pPr>
      <w:r w:rsidRPr="00841FCB">
        <w:t xml:space="preserve">Wdrożenie postanowień </w:t>
      </w:r>
      <w:r w:rsidR="007138B8" w:rsidRPr="00841FCB">
        <w:t>K</w:t>
      </w:r>
      <w:r w:rsidRPr="00841FCB">
        <w:t>onwencji może również w nielicznych przypadkach powodować nieznaczne ograniczenia w zakresie korzystania z nieruchomości położonych w</w:t>
      </w:r>
      <w:r w:rsidR="00AF3F4E">
        <w:t xml:space="preserve"> </w:t>
      </w:r>
      <w:r w:rsidRPr="00841FCB">
        <w:t>morskim pasie nadbrzeżnym, w</w:t>
      </w:r>
      <w:r w:rsidR="00AF3F4E">
        <w:t xml:space="preserve"> </w:t>
      </w:r>
      <w:r w:rsidRPr="00841FCB">
        <w:t xml:space="preserve">tym nieruchomości stanowiących własność prywatną. </w:t>
      </w:r>
    </w:p>
    <w:sectPr w:rsidR="00D04052" w:rsidRPr="00841FCB" w:rsidSect="00841FCB">
      <w:footerReference w:type="even" r:id="rId7"/>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321863" w14:textId="77777777" w:rsidR="008C4035" w:rsidRDefault="008C4035" w:rsidP="00F348ED">
      <w:r>
        <w:separator/>
      </w:r>
    </w:p>
  </w:endnote>
  <w:endnote w:type="continuationSeparator" w:id="0">
    <w:p w14:paraId="7DD1DA19" w14:textId="77777777" w:rsidR="008C4035" w:rsidRDefault="008C4035" w:rsidP="00F34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D8A43" w14:textId="77777777" w:rsidR="00BE5C7B" w:rsidRDefault="005042AD" w:rsidP="00BE5C7B">
    <w:pPr>
      <w:pStyle w:val="Stopka"/>
      <w:framePr w:wrap="around" w:vAnchor="text" w:hAnchor="margin" w:xAlign="right" w:y="1"/>
      <w:rPr>
        <w:rStyle w:val="Numerstrony"/>
      </w:rPr>
    </w:pPr>
    <w:r>
      <w:rPr>
        <w:rStyle w:val="Numerstrony"/>
      </w:rPr>
      <w:fldChar w:fldCharType="begin"/>
    </w:r>
    <w:r w:rsidR="004F500D">
      <w:rPr>
        <w:rStyle w:val="Numerstrony"/>
      </w:rPr>
      <w:instrText xml:space="preserve">PAGE  </w:instrText>
    </w:r>
    <w:r>
      <w:rPr>
        <w:rStyle w:val="Numerstrony"/>
      </w:rPr>
      <w:fldChar w:fldCharType="end"/>
    </w:r>
  </w:p>
  <w:p w14:paraId="068DDD46" w14:textId="77777777" w:rsidR="00BE5C7B" w:rsidRDefault="00BE5C7B" w:rsidP="00BE5C7B">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1021181"/>
      <w:docPartObj>
        <w:docPartGallery w:val="Page Numbers (Bottom of Page)"/>
        <w:docPartUnique/>
      </w:docPartObj>
    </w:sdtPr>
    <w:sdtEndPr/>
    <w:sdtContent>
      <w:p w14:paraId="260B84B1" w14:textId="7B5A5098" w:rsidR="00E5383D" w:rsidRDefault="00E5383D">
        <w:pPr>
          <w:pStyle w:val="Stopka"/>
          <w:jc w:val="center"/>
        </w:pPr>
        <w:r>
          <w:fldChar w:fldCharType="begin"/>
        </w:r>
        <w:r>
          <w:instrText>PAGE   \* MERGEFORMAT</w:instrText>
        </w:r>
        <w:r>
          <w:fldChar w:fldCharType="separate"/>
        </w:r>
        <w:r w:rsidR="00932138">
          <w:rPr>
            <w:noProof/>
          </w:rPr>
          <w:t>20</w:t>
        </w:r>
        <w:r>
          <w:fldChar w:fldCharType="end"/>
        </w:r>
      </w:p>
    </w:sdtContent>
  </w:sdt>
  <w:p w14:paraId="22EE3BCA" w14:textId="77777777" w:rsidR="00BE5C7B" w:rsidRDefault="00BE5C7B" w:rsidP="00BE5C7B">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92682D" w14:textId="77777777" w:rsidR="008C4035" w:rsidRDefault="008C4035" w:rsidP="00F348ED">
      <w:r>
        <w:separator/>
      </w:r>
    </w:p>
  </w:footnote>
  <w:footnote w:type="continuationSeparator" w:id="0">
    <w:p w14:paraId="3ACD5A81" w14:textId="77777777" w:rsidR="008C4035" w:rsidRDefault="008C4035" w:rsidP="00F348ED">
      <w:r>
        <w:continuationSeparator/>
      </w:r>
    </w:p>
  </w:footnote>
  <w:footnote w:id="1">
    <w:p w14:paraId="105B2E68" w14:textId="77777777" w:rsidR="00F348ED" w:rsidRDefault="00F348ED" w:rsidP="00841FCB">
      <w:pPr>
        <w:pStyle w:val="Tekstprzypisudolnego"/>
        <w:tabs>
          <w:tab w:val="left" w:pos="392"/>
        </w:tabs>
        <w:ind w:left="392" w:hanging="392"/>
        <w:jc w:val="both"/>
      </w:pPr>
      <w:r w:rsidRPr="00F85441">
        <w:rPr>
          <w:rStyle w:val="Odwoanieprzypisudolnego"/>
        </w:rPr>
        <w:footnoteRef/>
      </w:r>
      <w:r w:rsidR="00E5383D" w:rsidRPr="00841FCB">
        <w:rPr>
          <w:vertAlign w:val="superscript"/>
        </w:rPr>
        <w:t>)</w:t>
      </w:r>
      <w:r w:rsidR="00E5383D">
        <w:tab/>
      </w:r>
      <w:r w:rsidRPr="00F85441">
        <w:t>Z uwagi na to, że termin związania Konwencją jest trudny do określenia, założono, że w roku 20</w:t>
      </w:r>
      <w:r w:rsidR="00F617C9">
        <w:t>20</w:t>
      </w:r>
      <w:r w:rsidRPr="00F85441">
        <w:t xml:space="preserve"> nie przypisuje się jej żadnych wydatków związanych z jej wykonywaniem.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2189E"/>
    <w:multiLevelType w:val="singleLevel"/>
    <w:tmpl w:val="0415000F"/>
    <w:lvl w:ilvl="0">
      <w:start w:val="1"/>
      <w:numFmt w:val="decimal"/>
      <w:lvlText w:val="%1."/>
      <w:lvlJc w:val="left"/>
      <w:pPr>
        <w:tabs>
          <w:tab w:val="num" w:pos="360"/>
        </w:tabs>
        <w:ind w:left="360" w:hanging="360"/>
      </w:pPr>
      <w:rPr>
        <w:rFonts w:hint="default"/>
      </w:rPr>
    </w:lvl>
  </w:abstractNum>
  <w:abstractNum w:abstractNumId="1" w15:restartNumberingAfterBreak="0">
    <w:nsid w:val="08A719AB"/>
    <w:multiLevelType w:val="hybridMultilevel"/>
    <w:tmpl w:val="7F265C60"/>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1F00784F"/>
    <w:multiLevelType w:val="multilevel"/>
    <w:tmpl w:val="C342599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BD874BB"/>
    <w:multiLevelType w:val="hybridMultilevel"/>
    <w:tmpl w:val="F272BD5A"/>
    <w:lvl w:ilvl="0" w:tplc="1D92C806">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8ED"/>
    <w:rsid w:val="00010E9F"/>
    <w:rsid w:val="00013E25"/>
    <w:rsid w:val="00016C2E"/>
    <w:rsid w:val="00035618"/>
    <w:rsid w:val="00036E99"/>
    <w:rsid w:val="00043FA4"/>
    <w:rsid w:val="00052817"/>
    <w:rsid w:val="00053A05"/>
    <w:rsid w:val="00057044"/>
    <w:rsid w:val="0006205A"/>
    <w:rsid w:val="00063DCB"/>
    <w:rsid w:val="0006553A"/>
    <w:rsid w:val="00066472"/>
    <w:rsid w:val="00067C5E"/>
    <w:rsid w:val="00070738"/>
    <w:rsid w:val="0007663D"/>
    <w:rsid w:val="00080B4D"/>
    <w:rsid w:val="000819D3"/>
    <w:rsid w:val="00086422"/>
    <w:rsid w:val="00093CA5"/>
    <w:rsid w:val="000A04C0"/>
    <w:rsid w:val="000A0F4C"/>
    <w:rsid w:val="000A25A3"/>
    <w:rsid w:val="000A2E85"/>
    <w:rsid w:val="000A32FF"/>
    <w:rsid w:val="000B6224"/>
    <w:rsid w:val="000C0E61"/>
    <w:rsid w:val="000C3288"/>
    <w:rsid w:val="000C3A3D"/>
    <w:rsid w:val="000C3F86"/>
    <w:rsid w:val="000C4991"/>
    <w:rsid w:val="000C6DDE"/>
    <w:rsid w:val="000E13A3"/>
    <w:rsid w:val="000E2310"/>
    <w:rsid w:val="000F0749"/>
    <w:rsid w:val="000F73BF"/>
    <w:rsid w:val="0010512F"/>
    <w:rsid w:val="0010673F"/>
    <w:rsid w:val="00116468"/>
    <w:rsid w:val="00116B38"/>
    <w:rsid w:val="00127DDF"/>
    <w:rsid w:val="00131389"/>
    <w:rsid w:val="00133A49"/>
    <w:rsid w:val="00137A31"/>
    <w:rsid w:val="001434F4"/>
    <w:rsid w:val="001452BB"/>
    <w:rsid w:val="00145663"/>
    <w:rsid w:val="0014580A"/>
    <w:rsid w:val="001472FD"/>
    <w:rsid w:val="001507C1"/>
    <w:rsid w:val="001616B4"/>
    <w:rsid w:val="00162374"/>
    <w:rsid w:val="00163520"/>
    <w:rsid w:val="001650F7"/>
    <w:rsid w:val="001706D0"/>
    <w:rsid w:val="001728CB"/>
    <w:rsid w:val="00180046"/>
    <w:rsid w:val="001852A1"/>
    <w:rsid w:val="00195E39"/>
    <w:rsid w:val="001A14D0"/>
    <w:rsid w:val="001B0DD0"/>
    <w:rsid w:val="001B3E31"/>
    <w:rsid w:val="001B63C7"/>
    <w:rsid w:val="001B679A"/>
    <w:rsid w:val="001B70C3"/>
    <w:rsid w:val="001C76B1"/>
    <w:rsid w:val="001D5968"/>
    <w:rsid w:val="001D5A95"/>
    <w:rsid w:val="001E7FA2"/>
    <w:rsid w:val="001F39BE"/>
    <w:rsid w:val="001F5ACF"/>
    <w:rsid w:val="001F6553"/>
    <w:rsid w:val="00200C4D"/>
    <w:rsid w:val="002027F0"/>
    <w:rsid w:val="00205798"/>
    <w:rsid w:val="00206A5A"/>
    <w:rsid w:val="002205D6"/>
    <w:rsid w:val="00224288"/>
    <w:rsid w:val="002323C1"/>
    <w:rsid w:val="00232897"/>
    <w:rsid w:val="00232BFB"/>
    <w:rsid w:val="002404D3"/>
    <w:rsid w:val="0024362F"/>
    <w:rsid w:val="00252E6D"/>
    <w:rsid w:val="0025409C"/>
    <w:rsid w:val="002555BC"/>
    <w:rsid w:val="00255B4D"/>
    <w:rsid w:val="0025626C"/>
    <w:rsid w:val="00261419"/>
    <w:rsid w:val="0027005A"/>
    <w:rsid w:val="00270A2C"/>
    <w:rsid w:val="002723AC"/>
    <w:rsid w:val="00274EBB"/>
    <w:rsid w:val="00275A7F"/>
    <w:rsid w:val="00292D66"/>
    <w:rsid w:val="00293BCF"/>
    <w:rsid w:val="0029633B"/>
    <w:rsid w:val="00297980"/>
    <w:rsid w:val="002A58EB"/>
    <w:rsid w:val="002A68AC"/>
    <w:rsid w:val="002A72C6"/>
    <w:rsid w:val="002B0CB1"/>
    <w:rsid w:val="002B3ACB"/>
    <w:rsid w:val="002B4A05"/>
    <w:rsid w:val="002C06F4"/>
    <w:rsid w:val="002D011B"/>
    <w:rsid w:val="002D0E48"/>
    <w:rsid w:val="002D19F2"/>
    <w:rsid w:val="002D233B"/>
    <w:rsid w:val="002D2C4C"/>
    <w:rsid w:val="002D3FA7"/>
    <w:rsid w:val="002D436B"/>
    <w:rsid w:val="002D6405"/>
    <w:rsid w:val="002D7707"/>
    <w:rsid w:val="002F61BF"/>
    <w:rsid w:val="002F7996"/>
    <w:rsid w:val="00300F71"/>
    <w:rsid w:val="00302A7C"/>
    <w:rsid w:val="003242E1"/>
    <w:rsid w:val="00325FD9"/>
    <w:rsid w:val="00325FE1"/>
    <w:rsid w:val="0033584D"/>
    <w:rsid w:val="00335CD1"/>
    <w:rsid w:val="00342256"/>
    <w:rsid w:val="00344680"/>
    <w:rsid w:val="00345EA5"/>
    <w:rsid w:val="003538D9"/>
    <w:rsid w:val="00355ADD"/>
    <w:rsid w:val="003759EE"/>
    <w:rsid w:val="0038059C"/>
    <w:rsid w:val="00384647"/>
    <w:rsid w:val="00390A82"/>
    <w:rsid w:val="003A0A8E"/>
    <w:rsid w:val="003A179D"/>
    <w:rsid w:val="003A7C14"/>
    <w:rsid w:val="003B06D6"/>
    <w:rsid w:val="003B1945"/>
    <w:rsid w:val="003B7BE5"/>
    <w:rsid w:val="003C129F"/>
    <w:rsid w:val="003C2C56"/>
    <w:rsid w:val="003D7E69"/>
    <w:rsid w:val="003E10FC"/>
    <w:rsid w:val="003F159E"/>
    <w:rsid w:val="003F2341"/>
    <w:rsid w:val="003F2CD3"/>
    <w:rsid w:val="003F4D68"/>
    <w:rsid w:val="003F6234"/>
    <w:rsid w:val="003F69C4"/>
    <w:rsid w:val="00400958"/>
    <w:rsid w:val="004066E4"/>
    <w:rsid w:val="00423C0C"/>
    <w:rsid w:val="00426F63"/>
    <w:rsid w:val="00432A58"/>
    <w:rsid w:val="00433234"/>
    <w:rsid w:val="00434B2C"/>
    <w:rsid w:val="004352B3"/>
    <w:rsid w:val="00437F5A"/>
    <w:rsid w:val="00440AB2"/>
    <w:rsid w:val="00453222"/>
    <w:rsid w:val="00453F36"/>
    <w:rsid w:val="004541CC"/>
    <w:rsid w:val="00454C78"/>
    <w:rsid w:val="004564DB"/>
    <w:rsid w:val="00464370"/>
    <w:rsid w:val="00464AF4"/>
    <w:rsid w:val="004730C7"/>
    <w:rsid w:val="00480264"/>
    <w:rsid w:val="0048038F"/>
    <w:rsid w:val="004827FF"/>
    <w:rsid w:val="00485A18"/>
    <w:rsid w:val="004874FB"/>
    <w:rsid w:val="0049030D"/>
    <w:rsid w:val="00493E01"/>
    <w:rsid w:val="004A1F7E"/>
    <w:rsid w:val="004A4599"/>
    <w:rsid w:val="004A5D81"/>
    <w:rsid w:val="004B632C"/>
    <w:rsid w:val="004D0E9F"/>
    <w:rsid w:val="004D2067"/>
    <w:rsid w:val="004D4485"/>
    <w:rsid w:val="004F01D2"/>
    <w:rsid w:val="004F0937"/>
    <w:rsid w:val="004F1AC2"/>
    <w:rsid w:val="004F2B24"/>
    <w:rsid w:val="004F500D"/>
    <w:rsid w:val="00501DBC"/>
    <w:rsid w:val="00503F84"/>
    <w:rsid w:val="005042AD"/>
    <w:rsid w:val="00512FC1"/>
    <w:rsid w:val="00516D08"/>
    <w:rsid w:val="00524B4E"/>
    <w:rsid w:val="005251F0"/>
    <w:rsid w:val="00526128"/>
    <w:rsid w:val="0053195E"/>
    <w:rsid w:val="00533AF1"/>
    <w:rsid w:val="005360FE"/>
    <w:rsid w:val="005473B6"/>
    <w:rsid w:val="005560C3"/>
    <w:rsid w:val="005602FE"/>
    <w:rsid w:val="005635C0"/>
    <w:rsid w:val="005671E0"/>
    <w:rsid w:val="005707D5"/>
    <w:rsid w:val="005708CB"/>
    <w:rsid w:val="0057229B"/>
    <w:rsid w:val="00575EF1"/>
    <w:rsid w:val="005822A3"/>
    <w:rsid w:val="00582785"/>
    <w:rsid w:val="00586193"/>
    <w:rsid w:val="005A0E90"/>
    <w:rsid w:val="005B1140"/>
    <w:rsid w:val="005B199B"/>
    <w:rsid w:val="005B69CB"/>
    <w:rsid w:val="005B7068"/>
    <w:rsid w:val="005B7AC5"/>
    <w:rsid w:val="005B7D62"/>
    <w:rsid w:val="005C51FB"/>
    <w:rsid w:val="005D017F"/>
    <w:rsid w:val="005D0B80"/>
    <w:rsid w:val="005E0B30"/>
    <w:rsid w:val="005E61D6"/>
    <w:rsid w:val="005E654F"/>
    <w:rsid w:val="005E6EE8"/>
    <w:rsid w:val="005F1A55"/>
    <w:rsid w:val="005F4A0D"/>
    <w:rsid w:val="00603A7B"/>
    <w:rsid w:val="00606475"/>
    <w:rsid w:val="00606B8C"/>
    <w:rsid w:val="00606CC7"/>
    <w:rsid w:val="00606F1A"/>
    <w:rsid w:val="006077DF"/>
    <w:rsid w:val="00610B3E"/>
    <w:rsid w:val="00611942"/>
    <w:rsid w:val="006223A3"/>
    <w:rsid w:val="0062260A"/>
    <w:rsid w:val="006265C6"/>
    <w:rsid w:val="006273D0"/>
    <w:rsid w:val="00634D6A"/>
    <w:rsid w:val="00641816"/>
    <w:rsid w:val="00650882"/>
    <w:rsid w:val="006511F7"/>
    <w:rsid w:val="00653FA0"/>
    <w:rsid w:val="00654042"/>
    <w:rsid w:val="0066014C"/>
    <w:rsid w:val="00661D9A"/>
    <w:rsid w:val="0067284A"/>
    <w:rsid w:val="00672E77"/>
    <w:rsid w:val="00674C93"/>
    <w:rsid w:val="00677814"/>
    <w:rsid w:val="0067793C"/>
    <w:rsid w:val="006B1475"/>
    <w:rsid w:val="006B5F4D"/>
    <w:rsid w:val="006B64DE"/>
    <w:rsid w:val="006D1695"/>
    <w:rsid w:val="006D24A2"/>
    <w:rsid w:val="006D3874"/>
    <w:rsid w:val="006D65FD"/>
    <w:rsid w:val="006D7533"/>
    <w:rsid w:val="006E37DD"/>
    <w:rsid w:val="006F0948"/>
    <w:rsid w:val="006F3331"/>
    <w:rsid w:val="006F5590"/>
    <w:rsid w:val="006F7C36"/>
    <w:rsid w:val="007001B8"/>
    <w:rsid w:val="00703C40"/>
    <w:rsid w:val="007138A1"/>
    <w:rsid w:val="007138B8"/>
    <w:rsid w:val="007201EF"/>
    <w:rsid w:val="007249B5"/>
    <w:rsid w:val="00726538"/>
    <w:rsid w:val="00727FA4"/>
    <w:rsid w:val="0074236E"/>
    <w:rsid w:val="0074432D"/>
    <w:rsid w:val="00745346"/>
    <w:rsid w:val="007459F7"/>
    <w:rsid w:val="00745C93"/>
    <w:rsid w:val="00766565"/>
    <w:rsid w:val="00767020"/>
    <w:rsid w:val="00767596"/>
    <w:rsid w:val="0077191E"/>
    <w:rsid w:val="00773249"/>
    <w:rsid w:val="00774AFA"/>
    <w:rsid w:val="00775E29"/>
    <w:rsid w:val="007765E1"/>
    <w:rsid w:val="007835FB"/>
    <w:rsid w:val="007855ED"/>
    <w:rsid w:val="007935DE"/>
    <w:rsid w:val="00796D8A"/>
    <w:rsid w:val="007A156A"/>
    <w:rsid w:val="007A1DBD"/>
    <w:rsid w:val="007A3808"/>
    <w:rsid w:val="007A3E75"/>
    <w:rsid w:val="007A4182"/>
    <w:rsid w:val="007A46BE"/>
    <w:rsid w:val="007A5901"/>
    <w:rsid w:val="007A75B8"/>
    <w:rsid w:val="007B20F2"/>
    <w:rsid w:val="007C15E4"/>
    <w:rsid w:val="007C1728"/>
    <w:rsid w:val="007E2920"/>
    <w:rsid w:val="007E2E22"/>
    <w:rsid w:val="007F0C2F"/>
    <w:rsid w:val="007F4596"/>
    <w:rsid w:val="007F7D8D"/>
    <w:rsid w:val="0080140D"/>
    <w:rsid w:val="0080365C"/>
    <w:rsid w:val="00814803"/>
    <w:rsid w:val="0081715A"/>
    <w:rsid w:val="00825F41"/>
    <w:rsid w:val="00826E7C"/>
    <w:rsid w:val="008274DA"/>
    <w:rsid w:val="00837F2E"/>
    <w:rsid w:val="0084187C"/>
    <w:rsid w:val="00841FCB"/>
    <w:rsid w:val="008453A4"/>
    <w:rsid w:val="00845F32"/>
    <w:rsid w:val="008512C5"/>
    <w:rsid w:val="008559BC"/>
    <w:rsid w:val="00856ABF"/>
    <w:rsid w:val="00862647"/>
    <w:rsid w:val="0086565A"/>
    <w:rsid w:val="00866340"/>
    <w:rsid w:val="0087046C"/>
    <w:rsid w:val="00881D85"/>
    <w:rsid w:val="00882884"/>
    <w:rsid w:val="00886993"/>
    <w:rsid w:val="0088757A"/>
    <w:rsid w:val="00890ABE"/>
    <w:rsid w:val="008911B1"/>
    <w:rsid w:val="00896C2C"/>
    <w:rsid w:val="008A3E67"/>
    <w:rsid w:val="008B30FF"/>
    <w:rsid w:val="008B75A5"/>
    <w:rsid w:val="008B75C4"/>
    <w:rsid w:val="008C4035"/>
    <w:rsid w:val="008C4EDE"/>
    <w:rsid w:val="008C58D5"/>
    <w:rsid w:val="008D3DF7"/>
    <w:rsid w:val="008D621A"/>
    <w:rsid w:val="008D6D90"/>
    <w:rsid w:val="008E24AF"/>
    <w:rsid w:val="008E3647"/>
    <w:rsid w:val="008E46AA"/>
    <w:rsid w:val="008F3669"/>
    <w:rsid w:val="008F70B7"/>
    <w:rsid w:val="009053FA"/>
    <w:rsid w:val="00905C80"/>
    <w:rsid w:val="009207A7"/>
    <w:rsid w:val="00920F39"/>
    <w:rsid w:val="009278E2"/>
    <w:rsid w:val="00927E57"/>
    <w:rsid w:val="00931066"/>
    <w:rsid w:val="00932138"/>
    <w:rsid w:val="0093339E"/>
    <w:rsid w:val="009333D4"/>
    <w:rsid w:val="0093779A"/>
    <w:rsid w:val="00943E23"/>
    <w:rsid w:val="00960BAB"/>
    <w:rsid w:val="009639FF"/>
    <w:rsid w:val="00977B7D"/>
    <w:rsid w:val="00994618"/>
    <w:rsid w:val="009A316A"/>
    <w:rsid w:val="009A7F2D"/>
    <w:rsid w:val="009B22A4"/>
    <w:rsid w:val="009B4BA2"/>
    <w:rsid w:val="009B4BF2"/>
    <w:rsid w:val="009B4E39"/>
    <w:rsid w:val="009C4F55"/>
    <w:rsid w:val="009C5833"/>
    <w:rsid w:val="009C66A3"/>
    <w:rsid w:val="009C7123"/>
    <w:rsid w:val="009E0683"/>
    <w:rsid w:val="009E3C8A"/>
    <w:rsid w:val="009F044D"/>
    <w:rsid w:val="009F41B5"/>
    <w:rsid w:val="009F49D9"/>
    <w:rsid w:val="00A00028"/>
    <w:rsid w:val="00A020B5"/>
    <w:rsid w:val="00A22BEA"/>
    <w:rsid w:val="00A3144E"/>
    <w:rsid w:val="00A31AE5"/>
    <w:rsid w:val="00A32FBB"/>
    <w:rsid w:val="00A3377C"/>
    <w:rsid w:val="00A34075"/>
    <w:rsid w:val="00A40D3B"/>
    <w:rsid w:val="00A4269A"/>
    <w:rsid w:val="00A55CBB"/>
    <w:rsid w:val="00A72ABB"/>
    <w:rsid w:val="00A750D9"/>
    <w:rsid w:val="00A823BE"/>
    <w:rsid w:val="00A92A11"/>
    <w:rsid w:val="00A977AD"/>
    <w:rsid w:val="00AA50FF"/>
    <w:rsid w:val="00AA55CA"/>
    <w:rsid w:val="00AB54FD"/>
    <w:rsid w:val="00AC2520"/>
    <w:rsid w:val="00AD2EE7"/>
    <w:rsid w:val="00AD36F6"/>
    <w:rsid w:val="00AD3C02"/>
    <w:rsid w:val="00AD5F4D"/>
    <w:rsid w:val="00AE3160"/>
    <w:rsid w:val="00AE3661"/>
    <w:rsid w:val="00AE4A02"/>
    <w:rsid w:val="00AE54A5"/>
    <w:rsid w:val="00AF3F4E"/>
    <w:rsid w:val="00B03051"/>
    <w:rsid w:val="00B12E87"/>
    <w:rsid w:val="00B17BFB"/>
    <w:rsid w:val="00B2360B"/>
    <w:rsid w:val="00B24D3B"/>
    <w:rsid w:val="00B25227"/>
    <w:rsid w:val="00B31E2B"/>
    <w:rsid w:val="00B3209D"/>
    <w:rsid w:val="00B44C3C"/>
    <w:rsid w:val="00B44E3D"/>
    <w:rsid w:val="00B46A05"/>
    <w:rsid w:val="00B54291"/>
    <w:rsid w:val="00B55775"/>
    <w:rsid w:val="00B55AB3"/>
    <w:rsid w:val="00B70421"/>
    <w:rsid w:val="00B73621"/>
    <w:rsid w:val="00B74F8D"/>
    <w:rsid w:val="00B81AB2"/>
    <w:rsid w:val="00B835C1"/>
    <w:rsid w:val="00B913C6"/>
    <w:rsid w:val="00B94F8D"/>
    <w:rsid w:val="00B960AB"/>
    <w:rsid w:val="00B97706"/>
    <w:rsid w:val="00BB0E90"/>
    <w:rsid w:val="00BC4A2E"/>
    <w:rsid w:val="00BE5C63"/>
    <w:rsid w:val="00BE5C7B"/>
    <w:rsid w:val="00BF5545"/>
    <w:rsid w:val="00BF76D0"/>
    <w:rsid w:val="00BF7A4D"/>
    <w:rsid w:val="00C06B46"/>
    <w:rsid w:val="00C06CF0"/>
    <w:rsid w:val="00C14113"/>
    <w:rsid w:val="00C14AA7"/>
    <w:rsid w:val="00C24D30"/>
    <w:rsid w:val="00C329D1"/>
    <w:rsid w:val="00C34F4C"/>
    <w:rsid w:val="00C405F8"/>
    <w:rsid w:val="00C408CB"/>
    <w:rsid w:val="00C46690"/>
    <w:rsid w:val="00C500CF"/>
    <w:rsid w:val="00C51ED9"/>
    <w:rsid w:val="00C55256"/>
    <w:rsid w:val="00C56629"/>
    <w:rsid w:val="00C5772D"/>
    <w:rsid w:val="00C64551"/>
    <w:rsid w:val="00C72E19"/>
    <w:rsid w:val="00C77627"/>
    <w:rsid w:val="00C812EB"/>
    <w:rsid w:val="00C87554"/>
    <w:rsid w:val="00C90393"/>
    <w:rsid w:val="00C91D6F"/>
    <w:rsid w:val="00C94C25"/>
    <w:rsid w:val="00C9572D"/>
    <w:rsid w:val="00CA003A"/>
    <w:rsid w:val="00CA123E"/>
    <w:rsid w:val="00CB3229"/>
    <w:rsid w:val="00CC04ED"/>
    <w:rsid w:val="00CC086F"/>
    <w:rsid w:val="00CC334A"/>
    <w:rsid w:val="00CC5C11"/>
    <w:rsid w:val="00CC66BE"/>
    <w:rsid w:val="00CC7448"/>
    <w:rsid w:val="00CD35DF"/>
    <w:rsid w:val="00CD792B"/>
    <w:rsid w:val="00CE4168"/>
    <w:rsid w:val="00CF2D0D"/>
    <w:rsid w:val="00CF4D3C"/>
    <w:rsid w:val="00CF66AB"/>
    <w:rsid w:val="00CF7F76"/>
    <w:rsid w:val="00D00AD0"/>
    <w:rsid w:val="00D02EC2"/>
    <w:rsid w:val="00D03747"/>
    <w:rsid w:val="00D04052"/>
    <w:rsid w:val="00D073F4"/>
    <w:rsid w:val="00D12172"/>
    <w:rsid w:val="00D17283"/>
    <w:rsid w:val="00D21FA7"/>
    <w:rsid w:val="00D22B0E"/>
    <w:rsid w:val="00D261C7"/>
    <w:rsid w:val="00D303F5"/>
    <w:rsid w:val="00D341D9"/>
    <w:rsid w:val="00D4069F"/>
    <w:rsid w:val="00D406D7"/>
    <w:rsid w:val="00D407DB"/>
    <w:rsid w:val="00D409FB"/>
    <w:rsid w:val="00D42829"/>
    <w:rsid w:val="00D5105B"/>
    <w:rsid w:val="00D5228C"/>
    <w:rsid w:val="00D52DAA"/>
    <w:rsid w:val="00D53889"/>
    <w:rsid w:val="00D55226"/>
    <w:rsid w:val="00D5755E"/>
    <w:rsid w:val="00D6141F"/>
    <w:rsid w:val="00D61D9E"/>
    <w:rsid w:val="00D62866"/>
    <w:rsid w:val="00D66D1D"/>
    <w:rsid w:val="00D72A59"/>
    <w:rsid w:val="00D72E2A"/>
    <w:rsid w:val="00D94E6E"/>
    <w:rsid w:val="00DA3730"/>
    <w:rsid w:val="00DA7F66"/>
    <w:rsid w:val="00DB17F4"/>
    <w:rsid w:val="00DC45B3"/>
    <w:rsid w:val="00DC487C"/>
    <w:rsid w:val="00DC62C3"/>
    <w:rsid w:val="00DE3FF7"/>
    <w:rsid w:val="00DE71A2"/>
    <w:rsid w:val="00DF1DC3"/>
    <w:rsid w:val="00E12DF6"/>
    <w:rsid w:val="00E166D6"/>
    <w:rsid w:val="00E2202C"/>
    <w:rsid w:val="00E22101"/>
    <w:rsid w:val="00E245AB"/>
    <w:rsid w:val="00E31127"/>
    <w:rsid w:val="00E32C19"/>
    <w:rsid w:val="00E36B68"/>
    <w:rsid w:val="00E4084D"/>
    <w:rsid w:val="00E41DCF"/>
    <w:rsid w:val="00E42F4D"/>
    <w:rsid w:val="00E452E5"/>
    <w:rsid w:val="00E5383D"/>
    <w:rsid w:val="00E54856"/>
    <w:rsid w:val="00E615E0"/>
    <w:rsid w:val="00E76DA9"/>
    <w:rsid w:val="00E8239C"/>
    <w:rsid w:val="00E83536"/>
    <w:rsid w:val="00E86976"/>
    <w:rsid w:val="00E90B72"/>
    <w:rsid w:val="00E94F8E"/>
    <w:rsid w:val="00EA2A77"/>
    <w:rsid w:val="00EA4A3B"/>
    <w:rsid w:val="00EB07BE"/>
    <w:rsid w:val="00EB2F5E"/>
    <w:rsid w:val="00EB6CCD"/>
    <w:rsid w:val="00EB7884"/>
    <w:rsid w:val="00ED0A8D"/>
    <w:rsid w:val="00ED4C0E"/>
    <w:rsid w:val="00ED5822"/>
    <w:rsid w:val="00ED7949"/>
    <w:rsid w:val="00EF3751"/>
    <w:rsid w:val="00EF6078"/>
    <w:rsid w:val="00F04BA5"/>
    <w:rsid w:val="00F12080"/>
    <w:rsid w:val="00F13DC2"/>
    <w:rsid w:val="00F14C75"/>
    <w:rsid w:val="00F31CA8"/>
    <w:rsid w:val="00F348ED"/>
    <w:rsid w:val="00F47ABD"/>
    <w:rsid w:val="00F55313"/>
    <w:rsid w:val="00F617C9"/>
    <w:rsid w:val="00F638A2"/>
    <w:rsid w:val="00F70E0C"/>
    <w:rsid w:val="00F70E2B"/>
    <w:rsid w:val="00F717D4"/>
    <w:rsid w:val="00F728BD"/>
    <w:rsid w:val="00F75EBE"/>
    <w:rsid w:val="00F77051"/>
    <w:rsid w:val="00F770D4"/>
    <w:rsid w:val="00F81056"/>
    <w:rsid w:val="00F83E60"/>
    <w:rsid w:val="00F84EEB"/>
    <w:rsid w:val="00F939A7"/>
    <w:rsid w:val="00F9482D"/>
    <w:rsid w:val="00F9538D"/>
    <w:rsid w:val="00F97EE2"/>
    <w:rsid w:val="00FA0E89"/>
    <w:rsid w:val="00FA28CC"/>
    <w:rsid w:val="00FA3CF0"/>
    <w:rsid w:val="00FA4EA1"/>
    <w:rsid w:val="00FA58DC"/>
    <w:rsid w:val="00FB49B0"/>
    <w:rsid w:val="00FB70D0"/>
    <w:rsid w:val="00FC0131"/>
    <w:rsid w:val="00FC1439"/>
    <w:rsid w:val="00FC1C22"/>
    <w:rsid w:val="00FC3B07"/>
    <w:rsid w:val="00FC7F8A"/>
    <w:rsid w:val="00FD4284"/>
    <w:rsid w:val="00FD5A5C"/>
    <w:rsid w:val="00FD6679"/>
    <w:rsid w:val="00FE18E8"/>
    <w:rsid w:val="00FF30CD"/>
    <w:rsid w:val="00FF56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28D90"/>
  <w15:docId w15:val="{B8EFD406-69AD-4D46-B025-F6859799A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348ED"/>
    <w:rPr>
      <w:rFonts w:ascii="Times New Roman" w:eastAsia="Times New Roman" w:hAnsi="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blokowy">
    <w:name w:val="Block Text"/>
    <w:basedOn w:val="Normalny"/>
    <w:rsid w:val="00F348ED"/>
    <w:pPr>
      <w:ind w:left="900" w:right="-468"/>
      <w:jc w:val="both"/>
    </w:pPr>
  </w:style>
  <w:style w:type="paragraph" w:styleId="Tekstprzypisudolnego">
    <w:name w:val="footnote text"/>
    <w:basedOn w:val="Normalny"/>
    <w:link w:val="TekstprzypisudolnegoZnak"/>
    <w:semiHidden/>
    <w:rsid w:val="00F348ED"/>
    <w:rPr>
      <w:sz w:val="20"/>
      <w:szCs w:val="20"/>
    </w:rPr>
  </w:style>
  <w:style w:type="character" w:customStyle="1" w:styleId="TekstprzypisudolnegoZnak">
    <w:name w:val="Tekst przypisu dolnego Znak"/>
    <w:link w:val="Tekstprzypisudolnego"/>
    <w:semiHidden/>
    <w:rsid w:val="00F348ED"/>
    <w:rPr>
      <w:rFonts w:ascii="Times New Roman" w:eastAsia="Times New Roman" w:hAnsi="Times New Roman" w:cs="Times New Roman"/>
      <w:sz w:val="20"/>
      <w:szCs w:val="20"/>
      <w:lang w:eastAsia="pl-PL"/>
    </w:rPr>
  </w:style>
  <w:style w:type="character" w:customStyle="1" w:styleId="Teksttreci">
    <w:name w:val="Tekst treści_"/>
    <w:link w:val="Teksttreci0"/>
    <w:rsid w:val="00F348ED"/>
    <w:rPr>
      <w:rFonts w:ascii="Times New Roman" w:eastAsia="Times New Roman" w:hAnsi="Times New Roman" w:cs="Times New Roman"/>
      <w:sz w:val="20"/>
      <w:szCs w:val="20"/>
      <w:shd w:val="clear" w:color="auto" w:fill="FFFFFF"/>
    </w:rPr>
  </w:style>
  <w:style w:type="paragraph" w:customStyle="1" w:styleId="Teksttreci0">
    <w:name w:val="Tekst treści"/>
    <w:basedOn w:val="Normalny"/>
    <w:link w:val="Teksttreci"/>
    <w:rsid w:val="00F348ED"/>
    <w:pPr>
      <w:widowControl w:val="0"/>
      <w:shd w:val="clear" w:color="auto" w:fill="FFFFFF"/>
      <w:spacing w:before="480" w:after="180" w:line="254" w:lineRule="exact"/>
      <w:ind w:hanging="700"/>
      <w:jc w:val="both"/>
    </w:pPr>
    <w:rPr>
      <w:sz w:val="20"/>
      <w:szCs w:val="20"/>
      <w:lang w:eastAsia="en-US"/>
    </w:rPr>
  </w:style>
  <w:style w:type="paragraph" w:styleId="Tekstpodstawowy2">
    <w:name w:val="Body Text 2"/>
    <w:basedOn w:val="Normalny"/>
    <w:link w:val="Tekstpodstawowy2Znak"/>
    <w:rsid w:val="00F348ED"/>
    <w:pPr>
      <w:jc w:val="both"/>
    </w:pPr>
  </w:style>
  <w:style w:type="character" w:customStyle="1" w:styleId="Tekstpodstawowy2Znak">
    <w:name w:val="Tekst podstawowy 2 Znak"/>
    <w:link w:val="Tekstpodstawowy2"/>
    <w:rsid w:val="00F348ED"/>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unhideWhenUsed/>
    <w:rsid w:val="00F348ED"/>
    <w:pPr>
      <w:spacing w:after="120"/>
    </w:pPr>
  </w:style>
  <w:style w:type="character" w:customStyle="1" w:styleId="TekstpodstawowyZnak">
    <w:name w:val="Tekst podstawowy Znak"/>
    <w:link w:val="Tekstpodstawowy"/>
    <w:uiPriority w:val="99"/>
    <w:rsid w:val="00F348ED"/>
    <w:rPr>
      <w:rFonts w:ascii="Times New Roman" w:eastAsia="Times New Roman" w:hAnsi="Times New Roman" w:cs="Times New Roman"/>
      <w:sz w:val="24"/>
      <w:szCs w:val="24"/>
      <w:lang w:eastAsia="pl-PL"/>
    </w:rPr>
  </w:style>
  <w:style w:type="paragraph" w:styleId="Tytu">
    <w:name w:val="Title"/>
    <w:basedOn w:val="Normalny"/>
    <w:link w:val="TytuZnak"/>
    <w:qFormat/>
    <w:rsid w:val="00F348ED"/>
    <w:pPr>
      <w:jc w:val="center"/>
    </w:pPr>
    <w:rPr>
      <w:b/>
      <w:bCs/>
      <w:sz w:val="28"/>
    </w:rPr>
  </w:style>
  <w:style w:type="character" w:customStyle="1" w:styleId="TytuZnak">
    <w:name w:val="Tytuł Znak"/>
    <w:link w:val="Tytu"/>
    <w:rsid w:val="00F348ED"/>
    <w:rPr>
      <w:rFonts w:ascii="Times New Roman" w:eastAsia="Times New Roman" w:hAnsi="Times New Roman" w:cs="Times New Roman"/>
      <w:b/>
      <w:bCs/>
      <w:sz w:val="28"/>
      <w:szCs w:val="24"/>
      <w:lang w:eastAsia="pl-PL"/>
    </w:rPr>
  </w:style>
  <w:style w:type="paragraph" w:styleId="Podtytu">
    <w:name w:val="Subtitle"/>
    <w:basedOn w:val="Normalny"/>
    <w:link w:val="PodtytuZnak"/>
    <w:qFormat/>
    <w:rsid w:val="00F348ED"/>
    <w:pPr>
      <w:jc w:val="center"/>
    </w:pPr>
    <w:rPr>
      <w:sz w:val="28"/>
    </w:rPr>
  </w:style>
  <w:style w:type="character" w:customStyle="1" w:styleId="PodtytuZnak">
    <w:name w:val="Podtytuł Znak"/>
    <w:link w:val="Podtytu"/>
    <w:rsid w:val="00F348ED"/>
    <w:rPr>
      <w:rFonts w:ascii="Times New Roman" w:eastAsia="Times New Roman" w:hAnsi="Times New Roman" w:cs="Times New Roman"/>
      <w:sz w:val="28"/>
      <w:szCs w:val="24"/>
      <w:lang w:eastAsia="pl-PL"/>
    </w:rPr>
  </w:style>
  <w:style w:type="character" w:styleId="Odwoanieprzypisudolnego">
    <w:name w:val="footnote reference"/>
    <w:semiHidden/>
    <w:rsid w:val="00F348ED"/>
    <w:rPr>
      <w:vertAlign w:val="superscript"/>
    </w:rPr>
  </w:style>
  <w:style w:type="paragraph" w:styleId="Stopka">
    <w:name w:val="footer"/>
    <w:basedOn w:val="Normalny"/>
    <w:link w:val="StopkaZnak"/>
    <w:uiPriority w:val="99"/>
    <w:unhideWhenUsed/>
    <w:rsid w:val="00F348ED"/>
    <w:pPr>
      <w:tabs>
        <w:tab w:val="center" w:pos="4536"/>
        <w:tab w:val="right" w:pos="9072"/>
      </w:tabs>
    </w:pPr>
  </w:style>
  <w:style w:type="character" w:customStyle="1" w:styleId="StopkaZnak">
    <w:name w:val="Stopka Znak"/>
    <w:link w:val="Stopka"/>
    <w:uiPriority w:val="99"/>
    <w:rsid w:val="00F348ED"/>
    <w:rPr>
      <w:rFonts w:ascii="Times New Roman" w:eastAsia="Times New Roman" w:hAnsi="Times New Roman" w:cs="Times New Roman"/>
      <w:sz w:val="24"/>
      <w:szCs w:val="24"/>
      <w:lang w:eastAsia="pl-PL"/>
    </w:rPr>
  </w:style>
  <w:style w:type="character" w:styleId="Numerstrony">
    <w:name w:val="page number"/>
    <w:basedOn w:val="Domylnaczcionkaakapitu"/>
    <w:uiPriority w:val="99"/>
    <w:semiHidden/>
    <w:unhideWhenUsed/>
    <w:rsid w:val="00F348ED"/>
  </w:style>
  <w:style w:type="table" w:styleId="Tabela-Siatka">
    <w:name w:val="Table Grid"/>
    <w:basedOn w:val="Standardowy"/>
    <w:uiPriority w:val="39"/>
    <w:rsid w:val="00F348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omylnaczcionkaakapitu"/>
    <w:rsid w:val="00F348ED"/>
  </w:style>
  <w:style w:type="character" w:customStyle="1" w:styleId="highlight">
    <w:name w:val="highlight"/>
    <w:basedOn w:val="Domylnaczcionkaakapitu"/>
    <w:rsid w:val="00FA0E89"/>
  </w:style>
  <w:style w:type="paragraph" w:styleId="Tekstdymka">
    <w:name w:val="Balloon Text"/>
    <w:basedOn w:val="Normalny"/>
    <w:link w:val="TekstdymkaZnak"/>
    <w:uiPriority w:val="99"/>
    <w:semiHidden/>
    <w:unhideWhenUsed/>
    <w:rsid w:val="00DC62C3"/>
    <w:rPr>
      <w:rFonts w:ascii="Segoe UI" w:hAnsi="Segoe UI" w:cs="Segoe UI"/>
      <w:sz w:val="18"/>
      <w:szCs w:val="18"/>
    </w:rPr>
  </w:style>
  <w:style w:type="character" w:customStyle="1" w:styleId="TekstdymkaZnak">
    <w:name w:val="Tekst dymka Znak"/>
    <w:link w:val="Tekstdymka"/>
    <w:uiPriority w:val="99"/>
    <w:semiHidden/>
    <w:rsid w:val="00DC62C3"/>
    <w:rPr>
      <w:rFonts w:ascii="Segoe UI" w:eastAsia="Times New Roman" w:hAnsi="Segoe UI" w:cs="Segoe UI"/>
      <w:sz w:val="18"/>
      <w:szCs w:val="18"/>
      <w:lang w:eastAsia="pl-PL"/>
    </w:rPr>
  </w:style>
  <w:style w:type="character" w:styleId="Odwoaniedokomentarza">
    <w:name w:val="annotation reference"/>
    <w:uiPriority w:val="99"/>
    <w:semiHidden/>
    <w:unhideWhenUsed/>
    <w:rsid w:val="0006553A"/>
    <w:rPr>
      <w:sz w:val="16"/>
      <w:szCs w:val="16"/>
    </w:rPr>
  </w:style>
  <w:style w:type="paragraph" w:styleId="Tekstkomentarza">
    <w:name w:val="annotation text"/>
    <w:basedOn w:val="Normalny"/>
    <w:link w:val="TekstkomentarzaZnak"/>
    <w:uiPriority w:val="99"/>
    <w:semiHidden/>
    <w:unhideWhenUsed/>
    <w:rsid w:val="0006553A"/>
    <w:rPr>
      <w:sz w:val="20"/>
      <w:szCs w:val="20"/>
    </w:rPr>
  </w:style>
  <w:style w:type="character" w:customStyle="1" w:styleId="TekstkomentarzaZnak">
    <w:name w:val="Tekst komentarza Znak"/>
    <w:link w:val="Tekstkomentarza"/>
    <w:uiPriority w:val="99"/>
    <w:semiHidden/>
    <w:rsid w:val="0006553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6553A"/>
    <w:rPr>
      <w:b/>
      <w:bCs/>
    </w:rPr>
  </w:style>
  <w:style w:type="character" w:customStyle="1" w:styleId="TematkomentarzaZnak">
    <w:name w:val="Temat komentarza Znak"/>
    <w:link w:val="Tematkomentarza"/>
    <w:uiPriority w:val="99"/>
    <w:semiHidden/>
    <w:rsid w:val="0006553A"/>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1507C1"/>
    <w:pPr>
      <w:tabs>
        <w:tab w:val="center" w:pos="4536"/>
        <w:tab w:val="right" w:pos="9072"/>
      </w:tabs>
    </w:pPr>
  </w:style>
  <w:style w:type="character" w:customStyle="1" w:styleId="NagwekZnak">
    <w:name w:val="Nagłówek Znak"/>
    <w:link w:val="Nagwek"/>
    <w:uiPriority w:val="99"/>
    <w:rsid w:val="001507C1"/>
    <w:rPr>
      <w:rFonts w:ascii="Times New Roman" w:eastAsia="Times New Roman" w:hAnsi="Times New Roman" w:cs="Times New Roman"/>
      <w:sz w:val="24"/>
      <w:szCs w:val="24"/>
      <w:lang w:eastAsia="pl-PL"/>
    </w:rPr>
  </w:style>
  <w:style w:type="paragraph" w:styleId="Poprawka">
    <w:name w:val="Revision"/>
    <w:hidden/>
    <w:uiPriority w:val="99"/>
    <w:semiHidden/>
    <w:rsid w:val="00D5105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20</Pages>
  <Words>6341</Words>
  <Characters>38047</Characters>
  <Application>Microsoft Office Word</Application>
  <DocSecurity>0</DocSecurity>
  <Lines>317</Lines>
  <Paragraphs>88</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44300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Olech - Śliż</dc:creator>
  <cp:lastModifiedBy>Rybkowska Bożena</cp:lastModifiedBy>
  <cp:revision>11</cp:revision>
  <cp:lastPrinted>2019-02-04T11:48:00Z</cp:lastPrinted>
  <dcterms:created xsi:type="dcterms:W3CDTF">2020-07-20T08:29:00Z</dcterms:created>
  <dcterms:modified xsi:type="dcterms:W3CDTF">2020-07-20T13:41:00Z</dcterms:modified>
</cp:coreProperties>
</file>