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8CB" w:rsidRPr="0023349B" w:rsidRDefault="00C268CB" w:rsidP="0023349B">
      <w:pPr>
        <w:spacing w:after="240" w:line="360" w:lineRule="auto"/>
        <w:jc w:val="center"/>
        <w:rPr>
          <w:rFonts w:ascii="Times New Roman" w:hAnsi="Times New Roman" w:cs="Times New Roman"/>
          <w:b/>
        </w:rPr>
      </w:pPr>
      <w:r w:rsidRPr="0023349B">
        <w:rPr>
          <w:rFonts w:ascii="Times New Roman" w:hAnsi="Times New Roman" w:cs="Times New Roman"/>
          <w:b/>
        </w:rPr>
        <w:t>UZASADNIENIE</w:t>
      </w:r>
    </w:p>
    <w:p w:rsidR="00C268CB" w:rsidRPr="0023349B" w:rsidRDefault="00C268CB" w:rsidP="0023349B">
      <w:pPr>
        <w:pStyle w:val="Akapitzlist3"/>
        <w:numPr>
          <w:ilvl w:val="0"/>
          <w:numId w:val="1"/>
        </w:numPr>
        <w:tabs>
          <w:tab w:val="left" w:pos="0"/>
        </w:tabs>
        <w:spacing w:after="240" w:line="360" w:lineRule="auto"/>
        <w:ind w:left="426" w:hanging="426"/>
        <w:jc w:val="both"/>
        <w:rPr>
          <w:rFonts w:ascii="Times New Roman" w:hAnsi="Times New Roman" w:cs="Times New Roman"/>
          <w:smallCaps/>
          <w:kern w:val="24"/>
        </w:rPr>
      </w:pPr>
      <w:r w:rsidRPr="0023349B">
        <w:rPr>
          <w:rFonts w:ascii="Times New Roman" w:hAnsi="Times New Roman" w:cs="Times New Roman"/>
          <w:b/>
          <w:smallCaps/>
          <w:kern w:val="24"/>
          <w:sz w:val="28"/>
          <w:lang w:eastAsia="pl-PL" w:bidi="pl-PL"/>
        </w:rPr>
        <w:t>Wprowadzenie</w:t>
      </w:r>
      <w:r w:rsidR="00193AD6" w:rsidRPr="0023349B">
        <w:rPr>
          <w:rFonts w:ascii="Times New Roman" w:hAnsi="Times New Roman" w:cs="Times New Roman"/>
          <w:b/>
          <w:smallCaps/>
          <w:kern w:val="24"/>
          <w:lang w:eastAsia="pl-PL" w:bidi="pl-PL"/>
        </w:rPr>
        <w:t xml:space="preserve"> </w:t>
      </w:r>
    </w:p>
    <w:p w:rsidR="00C268CB" w:rsidRPr="0023349B" w:rsidRDefault="00C268CB" w:rsidP="0023349B">
      <w:pPr>
        <w:shd w:val="clear" w:color="auto" w:fill="FFFFFF"/>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Przedłożony projekt </w:t>
      </w:r>
      <w:r w:rsidRPr="0023349B">
        <w:rPr>
          <w:rFonts w:ascii="Times New Roman" w:eastAsia="Times New Roman" w:hAnsi="Times New Roman" w:cs="Times New Roman"/>
          <w:i/>
        </w:rPr>
        <w:t xml:space="preserve">ustawy o zmianie niektórych ustaw wspierających rozwój mieszkalnictwa </w:t>
      </w:r>
      <w:r w:rsidRPr="0023349B">
        <w:rPr>
          <w:rFonts w:ascii="Times New Roman" w:eastAsia="Times New Roman" w:hAnsi="Times New Roman" w:cs="Times New Roman"/>
        </w:rPr>
        <w:t xml:space="preserve">wchodzi w zakres pakietu rozwiązań przeciwdziałających </w:t>
      </w:r>
      <w:r w:rsidR="004266BF" w:rsidRPr="0023349B">
        <w:rPr>
          <w:rFonts w:ascii="Times New Roman" w:eastAsia="Times New Roman" w:hAnsi="Times New Roman" w:cs="Times New Roman"/>
        </w:rPr>
        <w:t>negatywnym skutkom społecznym i </w:t>
      </w:r>
      <w:r w:rsidRPr="0023349B">
        <w:rPr>
          <w:rFonts w:ascii="Times New Roman" w:eastAsia="Times New Roman" w:hAnsi="Times New Roman" w:cs="Times New Roman"/>
        </w:rPr>
        <w:t>gospodarczym COVID-19. Proponowane instrumenty dotyczą wsparcia budownictwa komunalnego i społecznego budownictwa czynszowego, jak równ</w:t>
      </w:r>
      <w:r w:rsidR="004266BF" w:rsidRPr="0023349B">
        <w:rPr>
          <w:rFonts w:ascii="Times New Roman" w:eastAsia="Times New Roman" w:hAnsi="Times New Roman" w:cs="Times New Roman"/>
        </w:rPr>
        <w:t>ież kierowanych bezpośrednio do </w:t>
      </w:r>
      <w:r w:rsidRPr="0023349B">
        <w:rPr>
          <w:rFonts w:ascii="Times New Roman" w:eastAsia="Times New Roman" w:hAnsi="Times New Roman" w:cs="Times New Roman"/>
        </w:rPr>
        <w:t>gospodarstw domowych form finansowego wsparcia w ponoszeniu wydatków mieszkaniowych.</w:t>
      </w:r>
    </w:p>
    <w:p w:rsidR="00C268CB" w:rsidRPr="0023349B" w:rsidRDefault="00C268CB" w:rsidP="0023349B">
      <w:pPr>
        <w:shd w:val="clear" w:color="auto" w:fill="FFFFFF"/>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Proponowany pakiet został przygotowany zgodnie z kierunkiem realizowanej polityki mieszkaniowej, dla której strategicznym odniesieniem jest przyjęty przez rząd w 2016 r. Narodowy Program Mieszkaniowy. W tym kontekście proponowane rozwiązania są dopełnieniem dotychczas podejmowanych działań legislacyjnych odnoszących się do rozbudowy segmentu mieszkań czynszowych.</w:t>
      </w:r>
    </w:p>
    <w:p w:rsidR="00C268CB" w:rsidRPr="0023349B" w:rsidRDefault="00C268CB" w:rsidP="0023349B">
      <w:pPr>
        <w:shd w:val="clear" w:color="auto" w:fill="FFFFFF"/>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Poprawa dostępności mieszkań poprzez pobudzenie nowych inwestycji mieszkaniowych na rynku mieszkań budowanych z przeznaczeniem na wynajem jest jednym z priorytetów polityki mieszkaniowej państwa. Szczególną rolę w tym zakresie pełnią inwestycje zwiększające zasoby mieszkań o stosunkowo niskich czynszach, podejmowane z zaangażowaniem gmin. W związku z negatywnymi skutkami rozprzestrzeniania się w 2020 r. epidemii COVID-19 znaczenie działań stymulujących budownictwo mieszkaniowe w tych segmentach rynku wzrasta. Stymulacyjne oddziaływanie gospodarcze, tj. pobudzanie nowych inwestycji mieszkaniowych poprzez wykorzystanie instrumentów wsparcia finansowego, uzupełnia w tym przypadku równie istotne oddziaływanie społeczne. Efektem jest lepszy ilościowo i jakościowo zasób mieszkań na wynajem kierowany do nisko i średnio zamożnych gospodarstw domowych (m.in. rodzin, które nie posiadają często zabezpieczenia finansowego na wypadek przejściowego pogorszenia sytuacji w związku z epidemią COVID-19).</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Zgodnie z przyjętym w 2016 r. Narodowym Programem Mieszkaniowym, poprawa dostępności mieszkań poprzez pobudzenie nowych inwestycji mieszkaniow</w:t>
      </w:r>
      <w:r w:rsidR="008E4884" w:rsidRPr="0023349B">
        <w:rPr>
          <w:rFonts w:ascii="Times New Roman" w:hAnsi="Times New Roman" w:cs="Times New Roman"/>
        </w:rPr>
        <w:t>ych rynku mieszkań budowanych z </w:t>
      </w:r>
      <w:r w:rsidRPr="0023349B">
        <w:rPr>
          <w:rFonts w:ascii="Times New Roman" w:hAnsi="Times New Roman" w:cs="Times New Roman"/>
        </w:rPr>
        <w:t>przeznaczeniem na wynajem będzie, co najmniej w okresie najbli</w:t>
      </w:r>
      <w:r w:rsidR="008E4884" w:rsidRPr="0023349B">
        <w:rPr>
          <w:rFonts w:ascii="Times New Roman" w:hAnsi="Times New Roman" w:cs="Times New Roman"/>
        </w:rPr>
        <w:t>ższych kilkunastu lat, jednym z </w:t>
      </w:r>
      <w:r w:rsidRPr="0023349B">
        <w:rPr>
          <w:rFonts w:ascii="Times New Roman" w:hAnsi="Times New Roman" w:cs="Times New Roman"/>
        </w:rPr>
        <w:t xml:space="preserve">priorytetów polityki mieszkaniowej państwa.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Działania finansowe i regulacyjne władz publicznych podejmowane w ww. zakresie od 2016 r. koncentrowały się na pobudzaniu aktywności inwestorów komercyjnych w budownictwie mieszkań na wynajem.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Ich uzupełnieniem była znacznie większa, niż to miało miejsce do 2016 r., koncentracja programów finansowego wsparcia na wspieraniu budownictwa na wynajem, przeznaczonego dla mniej zamożnej części gospodarstw domowych.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Przedłożony projekt </w:t>
      </w:r>
      <w:r w:rsidRPr="0023349B">
        <w:rPr>
          <w:rFonts w:ascii="Times New Roman" w:hAnsi="Times New Roman" w:cs="Times New Roman"/>
          <w:i/>
        </w:rPr>
        <w:t>ustawy</w:t>
      </w:r>
      <w:r w:rsidRPr="0023349B">
        <w:rPr>
          <w:rFonts w:ascii="Times New Roman" w:hAnsi="Times New Roman" w:cs="Times New Roman"/>
        </w:rPr>
        <w:t xml:space="preserve"> jest dopełnieniem działań le</w:t>
      </w:r>
      <w:r w:rsidR="008E4884" w:rsidRPr="0023349B">
        <w:rPr>
          <w:rFonts w:ascii="Times New Roman" w:hAnsi="Times New Roman" w:cs="Times New Roman"/>
        </w:rPr>
        <w:t>gislacyjnych odnoszących się do </w:t>
      </w:r>
      <w:r w:rsidRPr="0023349B">
        <w:rPr>
          <w:rFonts w:ascii="Times New Roman" w:hAnsi="Times New Roman" w:cs="Times New Roman"/>
        </w:rPr>
        <w:t>rozbudowy tego segmentu mieszkań czynszowych (lokale użytkowane na zasadach najmu, kierowane do niezamożnych gospodarstw domowych i w tym celu podlegające ustawowym ograniczeniom dotyczącym wysokości czynszów i szczególnych warunków nawiązywania stosunku najmu).</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Podstawy prawne wyznaczające szczegółowe formy i zakres wsp</w:t>
      </w:r>
      <w:r w:rsidR="008E4884" w:rsidRPr="0023349B">
        <w:rPr>
          <w:rFonts w:ascii="Times New Roman" w:hAnsi="Times New Roman" w:cs="Times New Roman"/>
        </w:rPr>
        <w:t>arcia budownictwa komunalnego i </w:t>
      </w:r>
      <w:r w:rsidRPr="0023349B">
        <w:rPr>
          <w:rFonts w:ascii="Times New Roman" w:hAnsi="Times New Roman" w:cs="Times New Roman"/>
        </w:rPr>
        <w:t>społecznego budownictwa czynszowego tworzą aktualnie programy realizowane na podstawie kilku powiązanych regulacji prawnych. Biorąc pod uwagę najważnie</w:t>
      </w:r>
      <w:r w:rsidR="008E4884" w:rsidRPr="0023349B">
        <w:rPr>
          <w:rFonts w:ascii="Times New Roman" w:hAnsi="Times New Roman" w:cs="Times New Roman"/>
        </w:rPr>
        <w:t>jsze instrumenty wsparcia są to </w:t>
      </w:r>
      <w:r w:rsidRPr="0023349B">
        <w:rPr>
          <w:rFonts w:ascii="Times New Roman" w:hAnsi="Times New Roman" w:cs="Times New Roman"/>
        </w:rPr>
        <w:t>przede wszystkim:</w:t>
      </w:r>
    </w:p>
    <w:p w:rsidR="00C268CB" w:rsidRPr="0023349B" w:rsidRDefault="00C268CB" w:rsidP="0023349B">
      <w:pPr>
        <w:numPr>
          <w:ilvl w:val="0"/>
          <w:numId w:val="2"/>
        </w:numPr>
        <w:tabs>
          <w:tab w:val="left" w:pos="0"/>
        </w:tabs>
        <w:spacing w:after="120" w:line="360" w:lineRule="auto"/>
        <w:ind w:left="284" w:hanging="284"/>
        <w:jc w:val="both"/>
        <w:rPr>
          <w:rFonts w:ascii="Times New Roman" w:hAnsi="Times New Roman" w:cs="Times New Roman"/>
        </w:rPr>
      </w:pPr>
      <w:r w:rsidRPr="0023349B">
        <w:rPr>
          <w:rFonts w:ascii="Times New Roman" w:hAnsi="Times New Roman" w:cs="Times New Roman"/>
        </w:rPr>
        <w:t xml:space="preserve">program bezzwrotnego dofinansowania części kosztów inwestycji mieszkaniowej z Funduszu Dopłat w Banku Gospodarstwa Krajowego (BGK) – w oparciu o przepisy </w:t>
      </w:r>
      <w:r w:rsidR="008E4884" w:rsidRPr="0023349B">
        <w:rPr>
          <w:rFonts w:ascii="Times New Roman" w:hAnsi="Times New Roman" w:cs="Times New Roman"/>
          <w:i/>
        </w:rPr>
        <w:t>ustawy z dnia 8 </w:t>
      </w:r>
      <w:r w:rsidRPr="0023349B">
        <w:rPr>
          <w:rFonts w:ascii="Times New Roman" w:hAnsi="Times New Roman" w:cs="Times New Roman"/>
          <w:i/>
        </w:rPr>
        <w:t xml:space="preserve">grudnia 2006 r. o finansowym wsparciu tworzenia lokali mieszkalnych na wynajem, mieszkań chronionych, noclegowni, schronisk dla bezdomnych, ogrzewalni i tymczasowych pomieszczeń (Dz. U. z 2020 r. poz. 508), </w:t>
      </w:r>
      <w:r w:rsidRPr="0023349B">
        <w:rPr>
          <w:rFonts w:ascii="Times New Roman" w:hAnsi="Times New Roman" w:cs="Times New Roman"/>
        </w:rPr>
        <w:t>dalej jako:</w:t>
      </w:r>
      <w:r w:rsidR="008E4884" w:rsidRPr="0023349B">
        <w:rPr>
          <w:rFonts w:ascii="Times New Roman" w:hAnsi="Times New Roman" w:cs="Times New Roman"/>
          <w:i/>
        </w:rPr>
        <w:t xml:space="preserve"> ustawa o finansowym wsparciu</w:t>
      </w:r>
      <w:r w:rsidRPr="0023349B">
        <w:rPr>
          <w:rFonts w:ascii="Times New Roman" w:hAnsi="Times New Roman" w:cs="Times New Roman"/>
          <w:i/>
        </w:rPr>
        <w:t>…</w:t>
      </w:r>
      <w:r w:rsidR="00C47C60" w:rsidRPr="0023349B">
        <w:rPr>
          <w:rFonts w:ascii="Times New Roman" w:hAnsi="Times New Roman" w:cs="Times New Roman"/>
          <w:i/>
        </w:rPr>
        <w:t xml:space="preserve"> –</w:t>
      </w:r>
      <w:r w:rsidRPr="0023349B">
        <w:rPr>
          <w:rFonts w:ascii="Times New Roman" w:hAnsi="Times New Roman" w:cs="Times New Roman"/>
          <w:i/>
        </w:rPr>
        <w:t xml:space="preserve"> </w:t>
      </w:r>
      <w:r w:rsidRPr="0023349B">
        <w:rPr>
          <w:rFonts w:ascii="Times New Roman" w:hAnsi="Times New Roman" w:cs="Times New Roman"/>
        </w:rPr>
        <w:t xml:space="preserve">dalej również jako </w:t>
      </w:r>
      <w:r w:rsidRPr="0023349B">
        <w:rPr>
          <w:rFonts w:ascii="Times New Roman" w:hAnsi="Times New Roman" w:cs="Times New Roman"/>
          <w:i/>
        </w:rPr>
        <w:lastRenderedPageBreak/>
        <w:t>„program BSK</w:t>
      </w:r>
      <w:r w:rsidRPr="0023349B">
        <w:rPr>
          <w:rFonts w:ascii="Times New Roman" w:hAnsi="Times New Roman" w:cs="Times New Roman"/>
        </w:rPr>
        <w:t xml:space="preserve">; </w:t>
      </w:r>
    </w:p>
    <w:p w:rsidR="00C268CB" w:rsidRPr="0023349B" w:rsidRDefault="00C268CB" w:rsidP="0023349B">
      <w:pPr>
        <w:numPr>
          <w:ilvl w:val="0"/>
          <w:numId w:val="2"/>
        </w:numPr>
        <w:tabs>
          <w:tab w:val="left" w:pos="0"/>
        </w:tabs>
        <w:spacing w:after="240" w:line="360" w:lineRule="auto"/>
        <w:ind w:left="284" w:hanging="284"/>
        <w:jc w:val="both"/>
        <w:rPr>
          <w:rFonts w:ascii="Times New Roman" w:hAnsi="Times New Roman" w:cs="Times New Roman"/>
        </w:rPr>
      </w:pPr>
      <w:r w:rsidRPr="0023349B">
        <w:rPr>
          <w:rFonts w:ascii="Times New Roman" w:hAnsi="Times New Roman" w:cs="Times New Roman"/>
        </w:rPr>
        <w:t xml:space="preserve">program preferencyjnych kredytów objętych dopłatami do odsetek z budżetu państwa, udzielanych przez BGK na społeczne budownictwo czynszowe – w oparciu o przepisy </w:t>
      </w:r>
      <w:r w:rsidRPr="0023349B">
        <w:rPr>
          <w:rFonts w:ascii="Times New Roman" w:hAnsi="Times New Roman" w:cs="Times New Roman"/>
          <w:i/>
        </w:rPr>
        <w:t>u</w:t>
      </w:r>
      <w:r w:rsidR="008E4884" w:rsidRPr="0023349B">
        <w:rPr>
          <w:rFonts w:ascii="Times New Roman" w:hAnsi="Times New Roman" w:cs="Times New Roman"/>
          <w:i/>
        </w:rPr>
        <w:t>stawy z </w:t>
      </w:r>
      <w:r w:rsidRPr="0023349B">
        <w:rPr>
          <w:rFonts w:ascii="Times New Roman" w:hAnsi="Times New Roman" w:cs="Times New Roman"/>
          <w:i/>
        </w:rPr>
        <w:t>dnia 26 października 1995 r. o niektórych formach popierania budownictwa mieszkaniowego (tj. Dz. U. z 2019 r. poz. 2195)</w:t>
      </w:r>
      <w:r w:rsidRPr="0023349B">
        <w:rPr>
          <w:rFonts w:ascii="Times New Roman" w:hAnsi="Times New Roman" w:cs="Times New Roman"/>
        </w:rPr>
        <w:t xml:space="preserve">, dalej jako: </w:t>
      </w:r>
      <w:r w:rsidRPr="0023349B">
        <w:rPr>
          <w:rStyle w:val="Uwydatnienie"/>
          <w:rFonts w:ascii="Times New Roman" w:hAnsi="Times New Roman" w:cs="Times New Roman"/>
        </w:rPr>
        <w:t xml:space="preserve">ustawa o niektórych formach… </w:t>
      </w:r>
      <w:r w:rsidR="00C47C60" w:rsidRPr="0023349B">
        <w:rPr>
          <w:rStyle w:val="Uwydatnienie"/>
          <w:rFonts w:ascii="Times New Roman" w:hAnsi="Times New Roman" w:cs="Times New Roman"/>
        </w:rPr>
        <w:t>–</w:t>
      </w:r>
      <w:r w:rsidRPr="0023349B">
        <w:rPr>
          <w:rStyle w:val="Uwydatnienie"/>
          <w:rFonts w:ascii="Times New Roman" w:hAnsi="Times New Roman" w:cs="Times New Roman"/>
        </w:rPr>
        <w:t xml:space="preserve"> </w:t>
      </w:r>
      <w:r w:rsidRPr="0023349B">
        <w:rPr>
          <w:rFonts w:ascii="Times New Roman" w:hAnsi="Times New Roman" w:cs="Times New Roman"/>
        </w:rPr>
        <w:t>dalej również jako „program SBC”.</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Preferencyjne kredyty BGK wraz z bezzwrotnym wsparciem z Funduszu Dopłat są jednocześnie uzupełnieniem części komercyjnej rządowego programu „Mieszka</w:t>
      </w:r>
      <w:r w:rsidR="008E4884" w:rsidRPr="0023349B">
        <w:rPr>
          <w:rFonts w:ascii="Times New Roman" w:hAnsi="Times New Roman" w:cs="Times New Roman"/>
        </w:rPr>
        <w:t>nie+”, realizowanej w oparciu o </w:t>
      </w:r>
      <w:r w:rsidRPr="0023349B">
        <w:rPr>
          <w:rFonts w:ascii="Times New Roman" w:hAnsi="Times New Roman" w:cs="Times New Roman"/>
        </w:rPr>
        <w:t>zasady rynkowe poprzez inwestycyjną działalność spółki PFR Nieruchomości S.A. Innymi słowy, ww. ustawy określają co do zasady podstawy prawne realizacji inwestycji mieszkaniowych powstających w ramach tzw. filaru społecznego „Mieszkanie+”.</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Do głównych cech odróżniających oba pola realizacji rządow</w:t>
      </w:r>
      <w:r w:rsidR="008E4884" w:rsidRPr="0023349B">
        <w:rPr>
          <w:rFonts w:ascii="Times New Roman" w:hAnsi="Times New Roman" w:cs="Times New Roman"/>
        </w:rPr>
        <w:t>ego programu „Mieszkanie+”, tj. </w:t>
      </w:r>
      <w:r w:rsidRPr="0023349B">
        <w:rPr>
          <w:rFonts w:ascii="Times New Roman" w:hAnsi="Times New Roman" w:cs="Times New Roman"/>
        </w:rPr>
        <w:t xml:space="preserve">część komercyjną i filar społeczny, należy sposób wykorzystania środków publicznych.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W części komercyjnej nie występuje udział finansowania nowych i</w:t>
      </w:r>
      <w:r w:rsidR="008E4884" w:rsidRPr="0023349B">
        <w:rPr>
          <w:rFonts w:ascii="Times New Roman" w:hAnsi="Times New Roman" w:cs="Times New Roman"/>
        </w:rPr>
        <w:t>nwestycji z budżetu państwa, co </w:t>
      </w:r>
      <w:r w:rsidRPr="0023349B">
        <w:rPr>
          <w:rFonts w:ascii="Times New Roman" w:hAnsi="Times New Roman" w:cs="Times New Roman"/>
        </w:rPr>
        <w:t>konsekwentnie przekłada się również na szersze, co do zasady w pełni rynkowe i niepodlegające ograniczeniom zasady użytkowania tych mieszkań na etapie po oddaniu do użytkowania (brak ustawowych ograniczeń stawki czynszu i wymóg posiadania tzw. zdolności czynszowej dla czynszu rynkowego, od początku wpisana w ten model zaspokajania potrzeb mieszkaniowych formuła pozwalająca docelowo zostać właścicielem wynajmowanego mieszkania).</w:t>
      </w:r>
    </w:p>
    <w:p w:rsidR="00C268CB" w:rsidRPr="0023349B" w:rsidRDefault="00C268CB" w:rsidP="0023349B">
      <w:pPr>
        <w:spacing w:after="120" w:line="360" w:lineRule="auto"/>
        <w:jc w:val="both"/>
        <w:rPr>
          <w:rFonts w:ascii="Times New Roman" w:hAnsi="Times New Roman" w:cs="Times New Roman"/>
          <w:iCs/>
        </w:rPr>
      </w:pPr>
      <w:r w:rsidRPr="0023349B">
        <w:rPr>
          <w:rFonts w:ascii="Times New Roman" w:hAnsi="Times New Roman" w:cs="Times New Roman"/>
          <w:iCs/>
        </w:rPr>
        <w:t>Jednocześnie, wiele kluczowych dla programu „Mieszkanie+” rozwiązań jest wspólnych, występując w społecznej i komercyjnej jego części. Poza wspólnym celem każdej interwencji podjętej w tym zakresie w ostatnich latach, jakim z punktu widzenia polityki mieszkaniowej jest stymulowanie budownictwa czynszowego (nowe instrumenty wsparcia oraz wprowadzane rozwiązania regulacyjne czy instytucjonalne np. Krajowy Zasób Nieruchomości), wśród tych wspólnych zależności należy wskazać przede wszystkim na:</w:t>
      </w:r>
    </w:p>
    <w:p w:rsidR="00C268CB" w:rsidRPr="0023349B" w:rsidRDefault="00C268CB" w:rsidP="0023349B">
      <w:pPr>
        <w:numPr>
          <w:ilvl w:val="0"/>
          <w:numId w:val="3"/>
        </w:numPr>
        <w:tabs>
          <w:tab w:val="left" w:pos="0"/>
        </w:tabs>
        <w:spacing w:after="120" w:line="360" w:lineRule="auto"/>
        <w:ind w:left="426" w:hanging="426"/>
        <w:jc w:val="both"/>
        <w:rPr>
          <w:rFonts w:ascii="Times New Roman" w:hAnsi="Times New Roman" w:cs="Times New Roman"/>
          <w:iCs/>
        </w:rPr>
      </w:pPr>
      <w:r w:rsidRPr="0023349B">
        <w:rPr>
          <w:rFonts w:ascii="Times New Roman" w:hAnsi="Times New Roman" w:cs="Times New Roman"/>
          <w:b/>
          <w:iCs/>
        </w:rPr>
        <w:t>podstawową rolę gmin</w:t>
      </w:r>
      <w:r w:rsidRPr="0023349B">
        <w:rPr>
          <w:rFonts w:ascii="Times New Roman" w:hAnsi="Times New Roman" w:cs="Times New Roman"/>
          <w:iCs/>
        </w:rPr>
        <w:t xml:space="preserve"> w procesie przygotowywania nowych inwestycji mieszkaniowych</w:t>
      </w:r>
      <w:r w:rsidRPr="0023349B">
        <w:rPr>
          <w:rStyle w:val="Znakiprzypiswdolnych"/>
          <w:rFonts w:ascii="Times New Roman" w:hAnsi="Times New Roman" w:cs="Times New Roman"/>
        </w:rPr>
        <w:footnoteReference w:id="1"/>
      </w:r>
      <w:r w:rsidR="0023349B" w:rsidRPr="0023349B">
        <w:rPr>
          <w:rFonts w:ascii="Times New Roman" w:hAnsi="Times New Roman"/>
          <w:bCs/>
          <w:vertAlign w:val="superscript"/>
        </w:rPr>
        <w:t>)</w:t>
      </w:r>
      <w:r w:rsidRPr="0023349B">
        <w:rPr>
          <w:rFonts w:ascii="Times New Roman" w:hAnsi="Times New Roman" w:cs="Times New Roman"/>
          <w:iCs/>
        </w:rPr>
        <w:t>;</w:t>
      </w:r>
    </w:p>
    <w:p w:rsidR="00C268CB" w:rsidRPr="0023349B" w:rsidRDefault="00C268CB" w:rsidP="0023349B">
      <w:pPr>
        <w:numPr>
          <w:ilvl w:val="0"/>
          <w:numId w:val="3"/>
        </w:numPr>
        <w:tabs>
          <w:tab w:val="left" w:pos="0"/>
        </w:tabs>
        <w:spacing w:after="120" w:line="360" w:lineRule="auto"/>
        <w:ind w:left="426" w:hanging="426"/>
        <w:jc w:val="both"/>
        <w:rPr>
          <w:rFonts w:ascii="Times New Roman" w:hAnsi="Times New Roman" w:cs="Times New Roman"/>
        </w:rPr>
      </w:pPr>
      <w:r w:rsidRPr="0023349B">
        <w:rPr>
          <w:rFonts w:ascii="Times New Roman" w:hAnsi="Times New Roman" w:cs="Times New Roman"/>
          <w:b/>
        </w:rPr>
        <w:t>szczególne miejsce towarzystw budownictwa społecznego (TBS)</w:t>
      </w:r>
      <w:r w:rsidRPr="0023349B">
        <w:rPr>
          <w:rFonts w:ascii="Times New Roman" w:hAnsi="Times New Roman" w:cs="Times New Roman"/>
        </w:rPr>
        <w:t>, jako spółek gminnych posiadających długą historię współpracy z samorządem w zakresie tworzenia nowego zasobu mieszkań na wynajem o dostępnym czynszu, pod względ</w:t>
      </w:r>
      <w:r w:rsidR="008E4884" w:rsidRPr="0023349B">
        <w:rPr>
          <w:rFonts w:ascii="Times New Roman" w:hAnsi="Times New Roman" w:cs="Times New Roman"/>
        </w:rPr>
        <w:t>em podmiotów współpracujących z </w:t>
      </w:r>
      <w:r w:rsidRPr="0023349B">
        <w:rPr>
          <w:rFonts w:ascii="Times New Roman" w:hAnsi="Times New Roman" w:cs="Times New Roman"/>
        </w:rPr>
        <w:t xml:space="preserve">JST i zaangażowanych w </w:t>
      </w:r>
      <w:r w:rsidR="008E4884" w:rsidRPr="0023349B">
        <w:rPr>
          <w:rFonts w:ascii="Times New Roman" w:hAnsi="Times New Roman" w:cs="Times New Roman"/>
        </w:rPr>
        <w:t>program jako podmiot budujący i </w:t>
      </w:r>
      <w:r w:rsidRPr="0023349B">
        <w:rPr>
          <w:rFonts w:ascii="Times New Roman" w:hAnsi="Times New Roman" w:cs="Times New Roman"/>
        </w:rPr>
        <w:t>wynajmujący nowe mieszkania czynszowe;</w:t>
      </w:r>
    </w:p>
    <w:p w:rsidR="00C268CB" w:rsidRPr="0023349B" w:rsidRDefault="00C268CB" w:rsidP="0023349B">
      <w:pPr>
        <w:numPr>
          <w:ilvl w:val="0"/>
          <w:numId w:val="3"/>
        </w:numPr>
        <w:tabs>
          <w:tab w:val="left" w:pos="0"/>
        </w:tabs>
        <w:spacing w:after="240" w:line="360" w:lineRule="auto"/>
        <w:ind w:left="426" w:hanging="426"/>
        <w:jc w:val="both"/>
        <w:rPr>
          <w:rFonts w:ascii="Times New Roman" w:hAnsi="Times New Roman" w:cs="Times New Roman"/>
          <w:iCs/>
        </w:rPr>
      </w:pPr>
      <w:r w:rsidRPr="0023349B">
        <w:rPr>
          <w:rFonts w:ascii="Times New Roman" w:hAnsi="Times New Roman" w:cs="Times New Roman"/>
          <w:b/>
          <w:iCs/>
        </w:rPr>
        <w:t>możliwość stosowania dopłat do czynszów</w:t>
      </w:r>
      <w:r w:rsidRPr="0023349B">
        <w:rPr>
          <w:rFonts w:ascii="Times New Roman" w:hAnsi="Times New Roman" w:cs="Times New Roman"/>
          <w:iCs/>
        </w:rPr>
        <w:t xml:space="preserve"> – niezależnie od tego w jakim filarze programu „Mieszkanie+” budowane są mieszkania czynszowe, od 2019 r. ich mieszkańcy mogą zostać objęci nowym systemem dopłat ograniczających wysokość comiesięcznych obciążeń budżetu domowego w ramach</w:t>
      </w:r>
      <w:r w:rsidR="0023349B">
        <w:rPr>
          <w:rFonts w:ascii="Times New Roman" w:hAnsi="Times New Roman" w:cs="Times New Roman"/>
          <w:iCs/>
        </w:rPr>
        <w:t xml:space="preserve"> programu „Mieszkanie na start”</w:t>
      </w:r>
      <w:r w:rsidRPr="0023349B">
        <w:rPr>
          <w:rStyle w:val="Znakiprzypiswdolnych"/>
          <w:rFonts w:ascii="Times New Roman" w:hAnsi="Times New Roman" w:cs="Times New Roman"/>
        </w:rPr>
        <w:footnoteReference w:id="2"/>
      </w:r>
      <w:r w:rsidRPr="0023349B">
        <w:rPr>
          <w:rFonts w:ascii="Times New Roman" w:hAnsi="Times New Roman" w:cs="Times New Roman"/>
          <w:iCs/>
          <w:vertAlign w:val="superscript"/>
        </w:rPr>
        <w:t>)</w:t>
      </w:r>
      <w:r w:rsidRPr="0023349B">
        <w:rPr>
          <w:rFonts w:ascii="Times New Roman" w:hAnsi="Times New Roman" w:cs="Times New Roman"/>
          <w:iCs/>
        </w:rPr>
        <w:t>.</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Uzupełnienie programu „Mieszkanie+”, w zakresie rozwiązań wspierających sektor budownictwa komunalnego i społecznego budownictwa czynszowego, stanowi program wsparcia termomodernizacji i remontów, realizowany ze środków Funduszu Termomodernizacji i Remontów. Jest on podstawowym instrumentem finansowym przyczyniając</w:t>
      </w:r>
      <w:r w:rsidR="008E4884" w:rsidRPr="0023349B">
        <w:rPr>
          <w:rFonts w:ascii="Times New Roman" w:hAnsi="Times New Roman" w:cs="Times New Roman"/>
        </w:rPr>
        <w:t>ym się do osiągnięcia jednego z </w:t>
      </w:r>
      <w:r w:rsidRPr="0023349B">
        <w:rPr>
          <w:rFonts w:ascii="Times New Roman" w:hAnsi="Times New Roman" w:cs="Times New Roman"/>
        </w:rPr>
        <w:t xml:space="preserve">trzech głównych celów Narodowego Programu Mieszkaniowego, tj. „poprawy warunków mieszkaniowych społeczeństwa, stanu technicznego zasobów mieszkaniowych oraz zwiększenia </w:t>
      </w:r>
      <w:r w:rsidRPr="0023349B">
        <w:rPr>
          <w:rFonts w:ascii="Times New Roman" w:hAnsi="Times New Roman" w:cs="Times New Roman"/>
        </w:rPr>
        <w:lastRenderedPageBreak/>
        <w:t>efektywności energetycznej”. Celem programu jest poprawa stanu technicznego istniejących zasobów mieszkaniowych, z jednoczesnym zmniejszeniem zapotr</w:t>
      </w:r>
      <w:r w:rsidR="008E4884" w:rsidRPr="0023349B">
        <w:rPr>
          <w:rFonts w:ascii="Times New Roman" w:hAnsi="Times New Roman" w:cs="Times New Roman"/>
        </w:rPr>
        <w:t>zebowania na energię cieplną. W </w:t>
      </w:r>
      <w:r w:rsidRPr="0023349B">
        <w:rPr>
          <w:rFonts w:ascii="Times New Roman" w:hAnsi="Times New Roman" w:cs="Times New Roman"/>
        </w:rPr>
        <w:t xml:space="preserve">ramach programu refinansuje się części kosztów przedsięwzięć </w:t>
      </w:r>
      <w:r w:rsidR="008E4884" w:rsidRPr="0023349B">
        <w:rPr>
          <w:rFonts w:ascii="Times New Roman" w:hAnsi="Times New Roman" w:cs="Times New Roman"/>
        </w:rPr>
        <w:t>termomodernizacyjnych i </w:t>
      </w:r>
      <w:r w:rsidRPr="0023349B">
        <w:rPr>
          <w:rFonts w:ascii="Times New Roman" w:hAnsi="Times New Roman" w:cs="Times New Roman"/>
        </w:rPr>
        <w:t>remontowych w formie tzw. premii termomodernizacyjnej, premii remontowej oraz premii kompensacyjnej. Jednym z beneficjentów premii remontowej są towarzystwa budownictwa społecznego.</w:t>
      </w:r>
    </w:p>
    <w:p w:rsidR="00C268CB" w:rsidRPr="0023349B" w:rsidRDefault="00C268CB" w:rsidP="0023349B">
      <w:pPr>
        <w:tabs>
          <w:tab w:val="left" w:pos="1275"/>
        </w:tabs>
        <w:spacing w:after="360" w:line="360" w:lineRule="auto"/>
        <w:jc w:val="both"/>
        <w:rPr>
          <w:rFonts w:ascii="Times New Roman" w:hAnsi="Times New Roman" w:cs="Times New Roman"/>
        </w:rPr>
      </w:pPr>
      <w:r w:rsidRPr="0023349B">
        <w:rPr>
          <w:rFonts w:ascii="Times New Roman" w:hAnsi="Times New Roman" w:cs="Times New Roman"/>
        </w:rPr>
        <w:t xml:space="preserve">Dodatkiem do ww. rozwiązań w zakresie mieszkalnictwa społecznego jest funkcjonujący od 1994 r. system dodatków mieszkaniowych funkcjonujący na podstawie </w:t>
      </w:r>
      <w:r w:rsidRPr="0023349B">
        <w:rPr>
          <w:rFonts w:ascii="Times New Roman" w:hAnsi="Times New Roman" w:cs="Times New Roman"/>
          <w:i/>
        </w:rPr>
        <w:t>ust</w:t>
      </w:r>
      <w:r w:rsidR="008E4884" w:rsidRPr="0023349B">
        <w:rPr>
          <w:rFonts w:ascii="Times New Roman" w:hAnsi="Times New Roman" w:cs="Times New Roman"/>
          <w:i/>
        </w:rPr>
        <w:t>awy z dnia 21 czerwca 2001 r. o </w:t>
      </w:r>
      <w:r w:rsidRPr="0023349B">
        <w:rPr>
          <w:rFonts w:ascii="Times New Roman" w:hAnsi="Times New Roman" w:cs="Times New Roman"/>
          <w:i/>
        </w:rPr>
        <w:t>dodatkach mieszkaniowych</w:t>
      </w:r>
      <w:r w:rsidRPr="0023349B">
        <w:rPr>
          <w:rFonts w:ascii="Times New Roman" w:hAnsi="Times New Roman" w:cs="Times New Roman"/>
        </w:rPr>
        <w:t xml:space="preserve"> (Dz. U. z 2019 r. poz. 2133), zwanej dalej: </w:t>
      </w:r>
      <w:proofErr w:type="spellStart"/>
      <w:r w:rsidRPr="0023349B">
        <w:rPr>
          <w:rFonts w:ascii="Times New Roman" w:hAnsi="Times New Roman" w:cs="Times New Roman"/>
        </w:rPr>
        <w:t>udm</w:t>
      </w:r>
      <w:proofErr w:type="spellEnd"/>
      <w:r w:rsidRPr="0023349B">
        <w:rPr>
          <w:rFonts w:ascii="Times New Roman" w:hAnsi="Times New Roman" w:cs="Times New Roman"/>
        </w:rPr>
        <w:t>.</w:t>
      </w:r>
    </w:p>
    <w:p w:rsidR="00C268CB" w:rsidRPr="0023349B" w:rsidRDefault="00C268CB" w:rsidP="0023349B">
      <w:pPr>
        <w:numPr>
          <w:ilvl w:val="0"/>
          <w:numId w:val="1"/>
        </w:numPr>
        <w:tabs>
          <w:tab w:val="left" w:pos="0"/>
        </w:tabs>
        <w:spacing w:before="240" w:after="240" w:line="360" w:lineRule="auto"/>
        <w:ind w:left="567" w:hanging="567"/>
        <w:jc w:val="both"/>
        <w:rPr>
          <w:rFonts w:ascii="Times New Roman" w:eastAsia="Times New Roman" w:hAnsi="Times New Roman" w:cs="Times New Roman"/>
          <w:b/>
          <w:i/>
          <w:smallCaps/>
          <w:kern w:val="28"/>
          <w:sz w:val="28"/>
        </w:rPr>
      </w:pPr>
      <w:r w:rsidRPr="0023349B">
        <w:rPr>
          <w:rFonts w:ascii="Times New Roman" w:eastAsia="Times New Roman" w:hAnsi="Times New Roman" w:cs="Times New Roman"/>
          <w:b/>
          <w:smallCaps/>
          <w:kern w:val="28"/>
          <w:sz w:val="28"/>
        </w:rPr>
        <w:t>Podstawowe rozwiązania projektu ustawy</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Proponuje się, aby rozwiązania projektu </w:t>
      </w:r>
      <w:r w:rsidRPr="0023349B">
        <w:rPr>
          <w:rFonts w:ascii="Times New Roman" w:hAnsi="Times New Roman" w:cs="Times New Roman"/>
          <w:i/>
        </w:rPr>
        <w:t>ustawy</w:t>
      </w:r>
      <w:r w:rsidRPr="0023349B">
        <w:rPr>
          <w:rFonts w:ascii="Times New Roman" w:hAnsi="Times New Roman" w:cs="Times New Roman"/>
        </w:rPr>
        <w:t xml:space="preserve"> zostały wprowadzone w ramach „autonomicznego” przedłożenia ustawowego, tj. </w:t>
      </w:r>
      <w:r w:rsidRPr="0023349B">
        <w:rPr>
          <w:rFonts w:ascii="Times New Roman" w:hAnsi="Times New Roman" w:cs="Times New Roman"/>
          <w:i/>
        </w:rPr>
        <w:t>ustawy o zmianie niektórych ustaw wspierających rozwój mieszkalnictwa</w:t>
      </w:r>
      <w:r w:rsidRPr="0023349B">
        <w:rPr>
          <w:rFonts w:ascii="Times New Roman" w:hAnsi="Times New Roman" w:cs="Times New Roman"/>
        </w:rPr>
        <w:t xml:space="preserve">, a nie w ramach projektu odwołującego się do danej ustawy będącej przedmiotem jakiejś szczególnej zmiany. Powyższe uwzględnia fakt, że zmiany proponowane w przedłożonym projekcie </w:t>
      </w:r>
      <w:r w:rsidRPr="0023349B">
        <w:rPr>
          <w:rFonts w:ascii="Times New Roman" w:hAnsi="Times New Roman" w:cs="Times New Roman"/>
          <w:i/>
        </w:rPr>
        <w:t>ustawy</w:t>
      </w:r>
      <w:r w:rsidRPr="0023349B">
        <w:rPr>
          <w:rFonts w:ascii="Times New Roman" w:hAnsi="Times New Roman" w:cs="Times New Roman"/>
        </w:rPr>
        <w:t>:</w:t>
      </w:r>
    </w:p>
    <w:p w:rsidR="00C268CB" w:rsidRPr="0023349B" w:rsidRDefault="00C268CB" w:rsidP="0023349B">
      <w:pPr>
        <w:numPr>
          <w:ilvl w:val="0"/>
          <w:numId w:val="4"/>
        </w:numPr>
        <w:tabs>
          <w:tab w:val="left" w:pos="0"/>
        </w:tabs>
        <w:spacing w:after="120" w:line="360" w:lineRule="auto"/>
        <w:ind w:left="714" w:hanging="357"/>
        <w:jc w:val="both"/>
        <w:rPr>
          <w:rFonts w:ascii="Times New Roman" w:hAnsi="Times New Roman" w:cs="Times New Roman"/>
        </w:rPr>
      </w:pPr>
      <w:r w:rsidRPr="0023349B">
        <w:rPr>
          <w:rFonts w:ascii="Times New Roman" w:hAnsi="Times New Roman" w:cs="Times New Roman"/>
        </w:rPr>
        <w:t>odnoszą się do wszystkich wskazanych powyżej charakterystyk programu</w:t>
      </w:r>
      <w:r w:rsidRPr="0023349B">
        <w:rPr>
          <w:rFonts w:ascii="Times New Roman" w:hAnsi="Times New Roman" w:cs="Times New Roman"/>
          <w:iCs/>
        </w:rPr>
        <w:t xml:space="preserve"> „Mieszkanie+”</w:t>
      </w:r>
      <w:r w:rsidRPr="0023349B">
        <w:rPr>
          <w:rFonts w:ascii="Times New Roman" w:hAnsi="Times New Roman" w:cs="Times New Roman"/>
        </w:rPr>
        <w:t xml:space="preserve">, upatrując w dalszym ich wzmacnianiu jeden z warunków pełnego wykorzystania potencjału programów wsparcia budownictwa czynszowego, </w:t>
      </w:r>
    </w:p>
    <w:p w:rsidR="00C268CB" w:rsidRPr="0023349B" w:rsidRDefault="00C268CB" w:rsidP="0023349B">
      <w:pPr>
        <w:numPr>
          <w:ilvl w:val="0"/>
          <w:numId w:val="4"/>
        </w:numPr>
        <w:tabs>
          <w:tab w:val="left" w:pos="0"/>
        </w:tabs>
        <w:spacing w:after="120" w:line="360" w:lineRule="auto"/>
        <w:ind w:left="714" w:hanging="357"/>
        <w:jc w:val="both"/>
        <w:rPr>
          <w:rFonts w:ascii="Times New Roman" w:hAnsi="Times New Roman" w:cs="Times New Roman"/>
        </w:rPr>
      </w:pPr>
      <w:r w:rsidRPr="0023349B">
        <w:rPr>
          <w:rFonts w:ascii="Times New Roman" w:hAnsi="Times New Roman" w:cs="Times New Roman"/>
        </w:rPr>
        <w:t>obejmują swym zakresem wszystkie ustawy podstawowe dla społecznego budownictwa czynszowego,</w:t>
      </w:r>
    </w:p>
    <w:p w:rsidR="00C268CB" w:rsidRPr="0023349B" w:rsidRDefault="00C268CB" w:rsidP="0023349B">
      <w:pPr>
        <w:numPr>
          <w:ilvl w:val="0"/>
          <w:numId w:val="4"/>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proponują rozwiązania zróżnicowane (nie pomijając efektu synergii, jakie może stwarzać ich powiązanie zarówno w jednym projekcie inwestycyjnym, jak również – w przypadku zmian dotyczących TBS – całościowym profilu działalności spółki).</w:t>
      </w:r>
    </w:p>
    <w:p w:rsidR="00C268CB" w:rsidRPr="0023349B" w:rsidRDefault="00C268CB" w:rsidP="0023349B">
      <w:pPr>
        <w:spacing w:after="240" w:line="360" w:lineRule="auto"/>
        <w:jc w:val="both"/>
        <w:rPr>
          <w:rFonts w:ascii="Times New Roman" w:eastAsia="Times New Roman" w:hAnsi="Times New Roman" w:cs="Times New Roman"/>
          <w:b/>
          <w:u w:val="single"/>
        </w:rPr>
      </w:pPr>
      <w:r w:rsidRPr="0023349B">
        <w:rPr>
          <w:rFonts w:ascii="Times New Roman" w:eastAsia="Times New Roman" w:hAnsi="Times New Roman" w:cs="Times New Roman"/>
          <w:b/>
          <w:u w:val="single"/>
        </w:rPr>
        <w:t xml:space="preserve">Towarzystwa budownictwa społecznego i program SBC (preferencyjne kredyty BGK) </w:t>
      </w:r>
    </w:p>
    <w:p w:rsidR="00C268CB" w:rsidRPr="0023349B" w:rsidRDefault="00C268CB" w:rsidP="0023349B">
      <w:pPr>
        <w:spacing w:after="240" w:line="360" w:lineRule="auto"/>
        <w:jc w:val="both"/>
        <w:rPr>
          <w:rFonts w:ascii="Times New Roman" w:eastAsia="Times New Roman" w:hAnsi="Times New Roman" w:cs="Times New Roman"/>
          <w:i/>
        </w:rPr>
      </w:pPr>
      <w:r w:rsidRPr="0023349B">
        <w:rPr>
          <w:rFonts w:ascii="Times New Roman" w:eastAsia="Times New Roman" w:hAnsi="Times New Roman" w:cs="Times New Roman"/>
          <w:i/>
        </w:rPr>
        <w:t>Dotychczasowy kierunek zmian prawnych</w:t>
      </w:r>
    </w:p>
    <w:p w:rsidR="00C268CB" w:rsidRPr="0023349B" w:rsidRDefault="00C268CB" w:rsidP="0023349B">
      <w:pPr>
        <w:spacing w:after="120" w:line="360" w:lineRule="auto"/>
        <w:jc w:val="both"/>
        <w:rPr>
          <w:rStyle w:val="Uwydatnienie"/>
          <w:rFonts w:ascii="Times New Roman" w:hAnsi="Times New Roman" w:cs="Times New Roman"/>
          <w:i w:val="0"/>
        </w:rPr>
      </w:pPr>
      <w:r w:rsidRPr="0023349B">
        <w:rPr>
          <w:rStyle w:val="Uwydatnienie"/>
          <w:rFonts w:ascii="Times New Roman" w:hAnsi="Times New Roman" w:cs="Times New Roman"/>
          <w:i w:val="0"/>
        </w:rPr>
        <w:t xml:space="preserve">Segment towarzystw budownictwa społecznego posiada długą </w:t>
      </w:r>
      <w:r w:rsidR="008E4884" w:rsidRPr="0023349B">
        <w:rPr>
          <w:rStyle w:val="Uwydatnienie"/>
          <w:rFonts w:ascii="Times New Roman" w:hAnsi="Times New Roman" w:cs="Times New Roman"/>
          <w:i w:val="0"/>
        </w:rPr>
        <w:t>historię współpracy z gminami w </w:t>
      </w:r>
      <w:r w:rsidRPr="0023349B">
        <w:rPr>
          <w:rStyle w:val="Uwydatnienie"/>
          <w:rFonts w:ascii="Times New Roman" w:hAnsi="Times New Roman" w:cs="Times New Roman"/>
          <w:i w:val="0"/>
        </w:rPr>
        <w:t xml:space="preserve">zakresie tworzenia nowego zasobu mieszkań na wynajem o </w:t>
      </w:r>
      <w:r w:rsidR="008E4884" w:rsidRPr="0023349B">
        <w:rPr>
          <w:rStyle w:val="Uwydatnienie"/>
          <w:rFonts w:ascii="Times New Roman" w:hAnsi="Times New Roman" w:cs="Times New Roman"/>
          <w:i w:val="0"/>
        </w:rPr>
        <w:t>dostępnym czynszu, jako jeden z </w:t>
      </w:r>
      <w:r w:rsidRPr="0023349B">
        <w:rPr>
          <w:rStyle w:val="Uwydatnienie"/>
          <w:rFonts w:ascii="Times New Roman" w:hAnsi="Times New Roman" w:cs="Times New Roman"/>
          <w:i w:val="0"/>
        </w:rPr>
        <w:t xml:space="preserve">podstawowych instrumentów lokalnej polityki mieszkaniowej istniejący od połowy lat 90-tych ub. wieku. Odrębna ustawa, formułująca szczególne zasady prowadzenia działalności przez TBS-y, była też od początku wyrazem szczególnego miejsca TBS na rynku dostępnych cenowo mieszkań czynszowych. </w:t>
      </w:r>
    </w:p>
    <w:p w:rsidR="00C268CB" w:rsidRPr="0023349B" w:rsidRDefault="00C268CB" w:rsidP="0023349B">
      <w:pPr>
        <w:spacing w:after="120" w:line="360" w:lineRule="auto"/>
        <w:jc w:val="both"/>
        <w:rPr>
          <w:rFonts w:ascii="Times New Roman" w:hAnsi="Times New Roman" w:cs="Times New Roman"/>
        </w:rPr>
      </w:pPr>
      <w:r w:rsidRPr="0023349B">
        <w:rPr>
          <w:rStyle w:val="Uwydatnienie"/>
          <w:rFonts w:ascii="Times New Roman" w:hAnsi="Times New Roman" w:cs="Times New Roman"/>
        </w:rPr>
        <w:t>Ustawa o niektórych formach…</w:t>
      </w:r>
      <w:r w:rsidRPr="0023349B">
        <w:rPr>
          <w:rStyle w:val="Uwydatnienie"/>
          <w:rFonts w:ascii="Times New Roman" w:hAnsi="Times New Roman" w:cs="Times New Roman"/>
          <w:i w:val="0"/>
        </w:rPr>
        <w:t xml:space="preserve"> ewoluowała, ulegając na przestrzeni czasu dużym zmianom. Zmiany te są ważnym czynnikiem branym pod uwagę przy opracowaniu bieżących propozycji projektu </w:t>
      </w:r>
      <w:r w:rsidRPr="0023349B">
        <w:rPr>
          <w:rFonts w:ascii="Times New Roman" w:hAnsi="Times New Roman" w:cs="Times New Roman"/>
          <w:i/>
        </w:rPr>
        <w:t>ustawy o zmianie niektórych ustaw wspierających rozwój mieszkalnictwa</w:t>
      </w:r>
      <w:r w:rsidRPr="0023349B">
        <w:rPr>
          <w:rFonts w:ascii="Times New Roman" w:hAnsi="Times New Roman" w:cs="Times New Roman"/>
        </w:rPr>
        <w:t>.</w:t>
      </w:r>
    </w:p>
    <w:p w:rsidR="00C268CB" w:rsidRPr="0023349B" w:rsidRDefault="00C268CB" w:rsidP="0023349B">
      <w:pPr>
        <w:numPr>
          <w:ilvl w:val="0"/>
          <w:numId w:val="5"/>
        </w:numPr>
        <w:tabs>
          <w:tab w:val="left" w:pos="0"/>
        </w:tabs>
        <w:spacing w:after="120" w:line="360" w:lineRule="auto"/>
        <w:ind w:left="714" w:hanging="357"/>
        <w:jc w:val="both"/>
        <w:rPr>
          <w:rStyle w:val="Uwydatnienie"/>
          <w:rFonts w:ascii="Times New Roman" w:hAnsi="Times New Roman" w:cs="Times New Roman"/>
          <w:i w:val="0"/>
        </w:rPr>
      </w:pPr>
      <w:r w:rsidRPr="0023349B">
        <w:rPr>
          <w:rStyle w:val="Uwydatnienie"/>
          <w:rFonts w:ascii="Times New Roman" w:hAnsi="Times New Roman" w:cs="Times New Roman"/>
          <w:i w:val="0"/>
        </w:rPr>
        <w:t xml:space="preserve">W pierwszym okresie </w:t>
      </w:r>
      <w:r w:rsidRPr="0023349B">
        <w:rPr>
          <w:rStyle w:val="Uwydatnienie"/>
          <w:rFonts w:ascii="Times New Roman" w:hAnsi="Times New Roman" w:cs="Times New Roman"/>
        </w:rPr>
        <w:t>ustawa o niektórych formach…</w:t>
      </w:r>
      <w:r w:rsidRPr="0023349B">
        <w:rPr>
          <w:rStyle w:val="Uwydatnienie"/>
          <w:rFonts w:ascii="Times New Roman" w:hAnsi="Times New Roman" w:cs="Times New Roman"/>
          <w:i w:val="0"/>
        </w:rPr>
        <w:t xml:space="preserve"> definiowała TBS-y przede wszystkim jako spójną grupę inwestorów budujących mieszkania społeczne czynszowe użytkowane na szczególnych zasadach ustawowych, finansowane bardzo preferencyjnym, dostosowanym do ustawowej formuły spłaty, kredytem udzielonym ze środków Krajowego Funduszu Mieszkaniowego, dalej również jako „KFM”.</w:t>
      </w:r>
    </w:p>
    <w:p w:rsidR="00C268CB" w:rsidRPr="0023349B" w:rsidRDefault="00C268CB" w:rsidP="0023349B">
      <w:pPr>
        <w:numPr>
          <w:ilvl w:val="0"/>
          <w:numId w:val="5"/>
        </w:numPr>
        <w:tabs>
          <w:tab w:val="left" w:pos="0"/>
        </w:tabs>
        <w:spacing w:after="120" w:line="360" w:lineRule="auto"/>
        <w:ind w:left="714" w:hanging="357"/>
        <w:jc w:val="both"/>
        <w:rPr>
          <w:rStyle w:val="Uwydatnienie"/>
          <w:rFonts w:ascii="Times New Roman" w:hAnsi="Times New Roman" w:cs="Times New Roman"/>
          <w:i w:val="0"/>
        </w:rPr>
      </w:pPr>
      <w:r w:rsidRPr="0023349B">
        <w:rPr>
          <w:rStyle w:val="Uwydatnienie"/>
          <w:rFonts w:ascii="Times New Roman" w:hAnsi="Times New Roman" w:cs="Times New Roman"/>
          <w:i w:val="0"/>
        </w:rPr>
        <w:t>Likwidacja K F M w 2009 r. doprowadziła do braku spójności rozwiązań ustawowych – zlikwidowany instrument wsparcia nie został przez okres kilku lat zastąpiony inną formą preferencyjnego finansowania zwrotnego, a jednocześnie pozostawionych zostało w ustawie szereg rozwiązań mających racjonalne zastosowanie do sytuacji, w której instrumenty preferencyjnego finansowania nowych inwestycji nadal są obecne (np. szczególne ramy działania TBS-ów były dostosowane do użytkowania mieszkań spłacanych w formule KFM).</w:t>
      </w:r>
    </w:p>
    <w:p w:rsidR="00C268CB" w:rsidRPr="0023349B" w:rsidRDefault="00C268CB" w:rsidP="0023349B">
      <w:pPr>
        <w:numPr>
          <w:ilvl w:val="0"/>
          <w:numId w:val="5"/>
        </w:numPr>
        <w:tabs>
          <w:tab w:val="left" w:pos="0"/>
        </w:tabs>
        <w:spacing w:after="120" w:line="360" w:lineRule="auto"/>
        <w:ind w:left="714" w:hanging="357"/>
        <w:jc w:val="both"/>
        <w:rPr>
          <w:rStyle w:val="Uwydatnienie"/>
          <w:rFonts w:ascii="Times New Roman" w:hAnsi="Times New Roman" w:cs="Times New Roman"/>
          <w:i w:val="0"/>
        </w:rPr>
      </w:pPr>
      <w:r w:rsidRPr="0023349B">
        <w:rPr>
          <w:rStyle w:val="Uwydatnienie"/>
          <w:rFonts w:ascii="Times New Roman" w:hAnsi="Times New Roman" w:cs="Times New Roman"/>
          <w:i w:val="0"/>
        </w:rPr>
        <w:t>Sytuacja ta skłaniała do poszukiwania, w okresie 2009</w:t>
      </w:r>
      <w:r w:rsidR="00C47C60" w:rsidRPr="0023349B">
        <w:rPr>
          <w:rStyle w:val="Uwydatnienie"/>
          <w:rFonts w:ascii="Times New Roman" w:hAnsi="Times New Roman" w:cs="Times New Roman"/>
          <w:i w:val="0"/>
        </w:rPr>
        <w:t>–</w:t>
      </w:r>
      <w:r w:rsidRPr="0023349B">
        <w:rPr>
          <w:rStyle w:val="Uwydatnienie"/>
          <w:rFonts w:ascii="Times New Roman" w:hAnsi="Times New Roman" w:cs="Times New Roman"/>
          <w:i w:val="0"/>
        </w:rPr>
        <w:t>2015, alternatywnych formuł prowadzenia przez TBS-y działalności na rynku najmu, w tym przeprowadzania przy finansowaniu komercyjnym pierwszej grupy projektów komercyjnych w systemie dojścia do własności (w większości we współpracy z BGK, r</w:t>
      </w:r>
      <w:r w:rsidR="008E4884" w:rsidRPr="0023349B">
        <w:rPr>
          <w:rStyle w:val="Uwydatnienie"/>
          <w:rFonts w:ascii="Times New Roman" w:hAnsi="Times New Roman" w:cs="Times New Roman"/>
          <w:i w:val="0"/>
        </w:rPr>
        <w:t>ozumiejącym specyfikę sektora i </w:t>
      </w:r>
      <w:r w:rsidRPr="0023349B">
        <w:rPr>
          <w:rStyle w:val="Uwydatnienie"/>
          <w:rFonts w:ascii="Times New Roman" w:hAnsi="Times New Roman" w:cs="Times New Roman"/>
          <w:i w:val="0"/>
        </w:rPr>
        <w:t>posiadającym dostosowany produkt rynkowy).</w:t>
      </w:r>
    </w:p>
    <w:p w:rsidR="00C268CB" w:rsidRPr="0023349B" w:rsidRDefault="00C268CB" w:rsidP="0023349B">
      <w:pPr>
        <w:numPr>
          <w:ilvl w:val="0"/>
          <w:numId w:val="5"/>
        </w:numPr>
        <w:tabs>
          <w:tab w:val="left" w:pos="0"/>
        </w:tabs>
        <w:spacing w:after="240" w:line="360" w:lineRule="auto"/>
        <w:jc w:val="both"/>
        <w:rPr>
          <w:rStyle w:val="Uwydatnienie"/>
          <w:rFonts w:ascii="Times New Roman" w:hAnsi="Times New Roman" w:cs="Times New Roman"/>
          <w:i w:val="0"/>
        </w:rPr>
      </w:pPr>
      <w:r w:rsidRPr="0023349B">
        <w:rPr>
          <w:rStyle w:val="Uwydatnienie"/>
          <w:rFonts w:ascii="Times New Roman" w:hAnsi="Times New Roman" w:cs="Times New Roman"/>
          <w:i w:val="0"/>
        </w:rPr>
        <w:t>W okresie 2015/2016 reaktywowano program wsparcia preferencyjnych kr</w:t>
      </w:r>
      <w:r w:rsidR="008E4884" w:rsidRPr="0023349B">
        <w:rPr>
          <w:rStyle w:val="Uwydatnienie"/>
          <w:rFonts w:ascii="Times New Roman" w:hAnsi="Times New Roman" w:cs="Times New Roman"/>
          <w:i w:val="0"/>
        </w:rPr>
        <w:t>edytów BGK, w </w:t>
      </w:r>
      <w:r w:rsidRPr="0023349B">
        <w:rPr>
          <w:rStyle w:val="Uwydatnienie"/>
          <w:rFonts w:ascii="Times New Roman" w:hAnsi="Times New Roman" w:cs="Times New Roman"/>
          <w:i w:val="0"/>
        </w:rPr>
        <w:t>miejsce finansowania kapitałowego w oparciu o środki budżetu państwa wprowadzając model budżetowych dopłat do oprocentowania (tzw. program SBC).</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eastAsia="Times New Roman" w:hAnsi="Times New Roman" w:cs="Times New Roman"/>
        </w:rPr>
        <w:t xml:space="preserve">Od wejścia w życie zmian reaktywujących program SBC </w:t>
      </w:r>
      <w:r w:rsidRPr="0023349B">
        <w:rPr>
          <w:rFonts w:ascii="Times New Roman" w:eastAsia="Times New Roman" w:hAnsi="Times New Roman" w:cs="Times New Roman"/>
          <w:i/>
        </w:rPr>
        <w:t>ustawa o niektórych formach…</w:t>
      </w:r>
      <w:r w:rsidRPr="0023349B">
        <w:rPr>
          <w:rFonts w:ascii="Times New Roman" w:eastAsia="Times New Roman" w:hAnsi="Times New Roman" w:cs="Times New Roman"/>
        </w:rPr>
        <w:t xml:space="preserve"> była przedmiotem kolejnych kilku nowelizacji w okresie 2017</w:t>
      </w:r>
      <w:r w:rsidR="00C47C60" w:rsidRPr="0023349B">
        <w:rPr>
          <w:rFonts w:ascii="Times New Roman" w:eastAsia="Times New Roman" w:hAnsi="Times New Roman" w:cs="Times New Roman"/>
        </w:rPr>
        <w:t>–</w:t>
      </w:r>
      <w:r w:rsidRPr="0023349B">
        <w:rPr>
          <w:rFonts w:ascii="Times New Roman" w:eastAsia="Times New Roman" w:hAnsi="Times New Roman" w:cs="Times New Roman"/>
        </w:rPr>
        <w:t xml:space="preserve">2019. </w:t>
      </w:r>
      <w:r w:rsidRPr="0023349B">
        <w:rPr>
          <w:rFonts w:ascii="Times New Roman" w:eastAsia="Times New Roman" w:hAnsi="Times New Roman" w:cs="Times New Roman"/>
          <w:bCs/>
        </w:rPr>
        <w:t>Wprowadzono w ich wyniku szereg rozwiązań, które będą wpływały na zwiększenie efektów programu SBC w kolejnych edycjach programów wsparcia.</w:t>
      </w:r>
      <w:r w:rsidRPr="0023349B">
        <w:rPr>
          <w:rFonts w:ascii="Times New Roman" w:hAnsi="Times New Roman" w:cs="Times New Roman"/>
        </w:rPr>
        <w:t xml:space="preserve"> Wśród najważniejszych można wskazać:</w:t>
      </w:r>
    </w:p>
    <w:p w:rsidR="00C268CB" w:rsidRPr="0023349B" w:rsidRDefault="00C268CB" w:rsidP="0023349B">
      <w:pPr>
        <w:numPr>
          <w:ilvl w:val="0"/>
          <w:numId w:val="6"/>
        </w:numPr>
        <w:tabs>
          <w:tab w:val="left" w:pos="0"/>
        </w:tabs>
        <w:spacing w:after="240" w:line="360" w:lineRule="auto"/>
        <w:ind w:left="426" w:hanging="426"/>
        <w:jc w:val="both"/>
        <w:rPr>
          <w:rFonts w:ascii="Times New Roman" w:hAnsi="Times New Roman" w:cs="Times New Roman"/>
        </w:rPr>
      </w:pPr>
      <w:r w:rsidRPr="0023349B">
        <w:rPr>
          <w:rFonts w:ascii="Times New Roman" w:hAnsi="Times New Roman" w:cs="Times New Roman"/>
          <w:spacing w:val="-2"/>
        </w:rPr>
        <w:t>lepszy montaż finansowy: poprawiono warunki pozwalające zapewnić wymagany montaż finansowy dla nowych inwestycji TBS, poprzez</w:t>
      </w:r>
      <w:r w:rsidRPr="0023349B">
        <w:rPr>
          <w:rFonts w:ascii="Times New Roman" w:hAnsi="Times New Roman" w:cs="Times New Roman"/>
        </w:rPr>
        <w:t>:</w:t>
      </w:r>
    </w:p>
    <w:p w:rsidR="00C268CB" w:rsidRPr="0023349B" w:rsidRDefault="00C268CB" w:rsidP="0023349B">
      <w:pPr>
        <w:numPr>
          <w:ilvl w:val="0"/>
          <w:numId w:val="7"/>
        </w:numPr>
        <w:tabs>
          <w:tab w:val="left" w:pos="0"/>
        </w:tabs>
        <w:spacing w:after="120" w:line="360" w:lineRule="auto"/>
        <w:ind w:left="850" w:hanging="425"/>
        <w:jc w:val="both"/>
        <w:rPr>
          <w:rFonts w:ascii="Times New Roman" w:hAnsi="Times New Roman" w:cs="Times New Roman"/>
          <w:spacing w:val="-2"/>
        </w:rPr>
      </w:pPr>
      <w:r w:rsidRPr="0023349B">
        <w:rPr>
          <w:rFonts w:ascii="Times New Roman" w:hAnsi="Times New Roman" w:cs="Times New Roman"/>
        </w:rPr>
        <w:t xml:space="preserve">przywrócenie </w:t>
      </w:r>
      <w:r w:rsidRPr="0023349B">
        <w:rPr>
          <w:rFonts w:ascii="Times New Roman" w:hAnsi="Times New Roman" w:cs="Times New Roman"/>
          <w:spacing w:val="-2"/>
        </w:rPr>
        <w:t>30% maksymalnego poziomu kwoty partycypacji najemcy w kosztach budowy lokalu mieszkalnego</w:t>
      </w:r>
      <w:r w:rsidRPr="0023349B">
        <w:rPr>
          <w:rFonts w:ascii="Times New Roman" w:hAnsi="Times New Roman" w:cs="Times New Roman"/>
        </w:rPr>
        <w:t xml:space="preserve"> (po obniżeniu tego wskaźnika w 2015 r. do 25%),</w:t>
      </w:r>
      <w:r w:rsidRPr="0023349B">
        <w:rPr>
          <w:rFonts w:ascii="Times New Roman" w:hAnsi="Times New Roman" w:cs="Times New Roman"/>
          <w:spacing w:val="-2"/>
        </w:rPr>
        <w:t xml:space="preserve"> </w:t>
      </w:r>
    </w:p>
    <w:p w:rsidR="00C268CB" w:rsidRPr="0023349B" w:rsidRDefault="00C268CB" w:rsidP="0023349B">
      <w:pPr>
        <w:numPr>
          <w:ilvl w:val="0"/>
          <w:numId w:val="7"/>
        </w:numPr>
        <w:tabs>
          <w:tab w:val="left" w:pos="0"/>
        </w:tabs>
        <w:spacing w:after="120" w:line="360" w:lineRule="auto"/>
        <w:ind w:left="850" w:hanging="425"/>
        <w:jc w:val="both"/>
        <w:rPr>
          <w:rFonts w:ascii="Times New Roman" w:hAnsi="Times New Roman" w:cs="Times New Roman"/>
        </w:rPr>
      </w:pPr>
      <w:r w:rsidRPr="0023349B">
        <w:rPr>
          <w:rFonts w:ascii="Times New Roman" w:hAnsi="Times New Roman" w:cs="Times New Roman"/>
          <w:spacing w:val="-2"/>
        </w:rPr>
        <w:t xml:space="preserve">wprowadzenie </w:t>
      </w:r>
      <w:r w:rsidRPr="0023349B">
        <w:rPr>
          <w:rFonts w:ascii="Times New Roman" w:hAnsi="Times New Roman" w:cs="Times New Roman"/>
        </w:rPr>
        <w:t>możliwości pokrywania części kosztów budowy lokali mieszkalnych powstałych przy udziale finansowania zwrotnego ze środków funduszy inwestycyjnych zamkniętych,</w:t>
      </w:r>
    </w:p>
    <w:p w:rsidR="00C268CB" w:rsidRPr="0023349B" w:rsidRDefault="00C268CB" w:rsidP="0023349B">
      <w:pPr>
        <w:numPr>
          <w:ilvl w:val="0"/>
          <w:numId w:val="7"/>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zwiększenie maksymalnego udziału finansowania zwrotnego z 75% kosztów przedsięwzięcia inwestycyjno-budowlanego do 80%;</w:t>
      </w:r>
    </w:p>
    <w:p w:rsidR="00C268CB" w:rsidRPr="0023349B" w:rsidRDefault="00C268CB" w:rsidP="0023349B">
      <w:pPr>
        <w:numPr>
          <w:ilvl w:val="0"/>
          <w:numId w:val="6"/>
        </w:numPr>
        <w:tabs>
          <w:tab w:val="left" w:pos="0"/>
        </w:tabs>
        <w:spacing w:after="120" w:line="360" w:lineRule="auto"/>
        <w:ind w:left="425" w:hanging="425"/>
        <w:jc w:val="both"/>
        <w:rPr>
          <w:rFonts w:ascii="Times New Roman" w:hAnsi="Times New Roman" w:cs="Times New Roman"/>
          <w:spacing w:val="-2"/>
        </w:rPr>
      </w:pPr>
      <w:r w:rsidRPr="0023349B">
        <w:rPr>
          <w:rFonts w:ascii="Times New Roman" w:hAnsi="Times New Roman" w:cs="Times New Roman"/>
          <w:spacing w:val="-2"/>
        </w:rPr>
        <w:t>uproszczenie zasad działania programu: zmniejszono liczbę</w:t>
      </w:r>
      <w:r w:rsidR="008E4884" w:rsidRPr="0023349B">
        <w:rPr>
          <w:rFonts w:ascii="Times New Roman" w:hAnsi="Times New Roman" w:cs="Times New Roman"/>
          <w:spacing w:val="-2"/>
        </w:rPr>
        <w:t xml:space="preserve"> progów dochodowych z trzech do </w:t>
      </w:r>
      <w:r w:rsidRPr="0023349B">
        <w:rPr>
          <w:rFonts w:ascii="Times New Roman" w:hAnsi="Times New Roman" w:cs="Times New Roman"/>
          <w:spacing w:val="-2"/>
        </w:rPr>
        <w:t>dwóch, rezygnacja z sankcji wypowiedzenia umowy najmu w przypadku przekroczenia przez najemcę progów dochodowych oraz rezygnacja z obowiązku skła</w:t>
      </w:r>
      <w:r w:rsidR="008E4884" w:rsidRPr="0023349B">
        <w:rPr>
          <w:rFonts w:ascii="Times New Roman" w:hAnsi="Times New Roman" w:cs="Times New Roman"/>
          <w:spacing w:val="-2"/>
        </w:rPr>
        <w:t>dania deklaracji o dochodach na </w:t>
      </w:r>
      <w:r w:rsidRPr="0023349B">
        <w:rPr>
          <w:rFonts w:ascii="Times New Roman" w:hAnsi="Times New Roman" w:cs="Times New Roman"/>
          <w:spacing w:val="-2"/>
        </w:rPr>
        <w:t>rzecz jednorazowego złożenia deklaracji tylko w momencie ubiegania się przez przyszłego najemcę o najem mieszkania;</w:t>
      </w:r>
    </w:p>
    <w:p w:rsidR="00C268CB" w:rsidRPr="0023349B" w:rsidRDefault="00C268CB" w:rsidP="0023349B">
      <w:pPr>
        <w:numPr>
          <w:ilvl w:val="0"/>
          <w:numId w:val="6"/>
        </w:numPr>
        <w:tabs>
          <w:tab w:val="left" w:pos="0"/>
        </w:tabs>
        <w:spacing w:after="120" w:line="360" w:lineRule="auto"/>
        <w:ind w:left="425" w:hanging="425"/>
        <w:jc w:val="both"/>
        <w:rPr>
          <w:rFonts w:ascii="Times New Roman" w:hAnsi="Times New Roman" w:cs="Times New Roman"/>
          <w:spacing w:val="-2"/>
        </w:rPr>
      </w:pPr>
      <w:r w:rsidRPr="0023349B">
        <w:rPr>
          <w:rFonts w:ascii="Times New Roman" w:hAnsi="Times New Roman" w:cs="Times New Roman"/>
          <w:spacing w:val="-2"/>
        </w:rPr>
        <w:t>urealnienie niektórych parametrów programu: wyższe stawki c</w:t>
      </w:r>
      <w:r w:rsidR="008E4884" w:rsidRPr="0023349B">
        <w:rPr>
          <w:rFonts w:ascii="Times New Roman" w:hAnsi="Times New Roman" w:cs="Times New Roman"/>
          <w:spacing w:val="-2"/>
        </w:rPr>
        <w:t>zynszu w gminach graniczących z </w:t>
      </w:r>
      <w:r w:rsidRPr="0023349B">
        <w:rPr>
          <w:rFonts w:ascii="Times New Roman" w:hAnsi="Times New Roman" w:cs="Times New Roman"/>
          <w:spacing w:val="-2"/>
        </w:rPr>
        <w:t>miastami będącymi siedzibami wojewodów lub sejmików wojewódzkich;</w:t>
      </w:r>
    </w:p>
    <w:p w:rsidR="00C268CB" w:rsidRPr="0023349B" w:rsidRDefault="00C268CB" w:rsidP="0023349B">
      <w:pPr>
        <w:numPr>
          <w:ilvl w:val="0"/>
          <w:numId w:val="6"/>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bardziej płynny nabór wniosków: możliwość składania do BGK wniosków o preferencyjny kredyt w danym roku w ramach dwóch edycji (marzec i wrzesień);</w:t>
      </w:r>
    </w:p>
    <w:p w:rsidR="00C268CB" w:rsidRPr="0023349B" w:rsidRDefault="00C268CB" w:rsidP="0023349B">
      <w:pPr>
        <w:numPr>
          <w:ilvl w:val="0"/>
          <w:numId w:val="6"/>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spacing w:val="4"/>
        </w:rPr>
        <w:t xml:space="preserve">większy zakres finansowania: dopuszczenie możliwości finansowania budowy mieszkań spółdzielczych lokatorskich oraz </w:t>
      </w:r>
      <w:r w:rsidRPr="0023349B">
        <w:rPr>
          <w:rFonts w:ascii="Times New Roman" w:hAnsi="Times New Roman" w:cs="Times New Roman"/>
          <w:spacing w:val="-2"/>
        </w:rPr>
        <w:t>możliwość</w:t>
      </w:r>
      <w:r w:rsidRPr="0023349B">
        <w:rPr>
          <w:rFonts w:ascii="Times New Roman" w:hAnsi="Times New Roman" w:cs="Times New Roman"/>
        </w:rPr>
        <w:t xml:space="preserve"> finansowania budowy dodatkowych powierzchni użytkowych (np. pomieszczeń rekreacyjnych czy ambulatoryjnych), które będą służyły zaspokajaniu potrzeb osób starszych; </w:t>
      </w:r>
    </w:p>
    <w:p w:rsidR="00C268CB" w:rsidRPr="0023349B" w:rsidRDefault="00C268CB" w:rsidP="0023349B">
      <w:pPr>
        <w:numPr>
          <w:ilvl w:val="0"/>
          <w:numId w:val="6"/>
        </w:numPr>
        <w:tabs>
          <w:tab w:val="left" w:pos="0"/>
        </w:tabs>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lepsze adresowanie: wzmocnienie wagi kryterium „Adresowanie nowych mieszkań do osób wychowujących dzieci” oraz dodanie nowego kryterium </w:t>
      </w:r>
      <w:r w:rsidR="008E4884" w:rsidRPr="0023349B">
        <w:rPr>
          <w:rFonts w:ascii="Times New Roman" w:hAnsi="Times New Roman" w:cs="Times New Roman"/>
        </w:rPr>
        <w:t>„Adresowanie nowych mieszkań do </w:t>
      </w:r>
      <w:r w:rsidRPr="0023349B">
        <w:rPr>
          <w:rFonts w:ascii="Times New Roman" w:hAnsi="Times New Roman" w:cs="Times New Roman"/>
        </w:rPr>
        <w:t>osób starszych”.</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Jak wskazano powyżej, zmiany prawne wprowadzane od 2017 r. były elementem szerokich zmian legislacyjnych tworzących podstawy prawne dla realizacji Narodowego Programu Mieszkaniowego:</w:t>
      </w:r>
    </w:p>
    <w:p w:rsidR="00C268CB" w:rsidRPr="0023349B" w:rsidRDefault="00C268CB" w:rsidP="0023349B">
      <w:pPr>
        <w:numPr>
          <w:ilvl w:val="0"/>
          <w:numId w:val="8"/>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wychodziły one naprzeciw postulatom BGK oraz oczekiw</w:t>
      </w:r>
      <w:r w:rsidR="008E4884" w:rsidRPr="0023349B">
        <w:rPr>
          <w:rFonts w:ascii="Times New Roman" w:hAnsi="Times New Roman" w:cs="Times New Roman"/>
        </w:rPr>
        <w:t>aniom zarówno inwestorów, jak i </w:t>
      </w:r>
      <w:r w:rsidRPr="0023349B">
        <w:rPr>
          <w:rFonts w:ascii="Times New Roman" w:hAnsi="Times New Roman" w:cs="Times New Roman"/>
        </w:rPr>
        <w:t>najemców lokali mieszkalnych w zasobach TBS;</w:t>
      </w:r>
    </w:p>
    <w:p w:rsidR="00C268CB" w:rsidRPr="0023349B" w:rsidRDefault="00C268CB" w:rsidP="0023349B">
      <w:pPr>
        <w:numPr>
          <w:ilvl w:val="0"/>
          <w:numId w:val="8"/>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 xml:space="preserve">wynikały z poszukiwania optymalnej formuły wykorzystywania potencjału TBS w inwestycyjnym programie mieszkaniowym rządu; </w:t>
      </w:r>
    </w:p>
    <w:p w:rsidR="00C268CB" w:rsidRPr="0023349B" w:rsidRDefault="00C268CB" w:rsidP="0023349B">
      <w:pPr>
        <w:numPr>
          <w:ilvl w:val="0"/>
          <w:numId w:val="8"/>
        </w:numPr>
        <w:tabs>
          <w:tab w:val="left" w:pos="0"/>
        </w:tabs>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stopniowość ich wprowadzania wiązała się z 2-letnim procesem definiowania/modyfikowania szczegółowych parametrów instrumentów realizacji społecznego oraz komercyjnego pakietu rozwiązań „Mieszkanie+”, jako zestawu rozwiązań powiązanych. </w:t>
      </w:r>
    </w:p>
    <w:p w:rsidR="00C268CB" w:rsidRPr="0023349B" w:rsidRDefault="00C268CB" w:rsidP="0023349B">
      <w:pPr>
        <w:spacing w:after="240" w:line="360" w:lineRule="auto"/>
        <w:jc w:val="both"/>
        <w:rPr>
          <w:rFonts w:ascii="Times New Roman" w:eastAsia="Times New Roman" w:hAnsi="Times New Roman" w:cs="Times New Roman"/>
          <w:i/>
        </w:rPr>
      </w:pPr>
      <w:r w:rsidRPr="0023349B">
        <w:rPr>
          <w:rFonts w:ascii="Times New Roman" w:eastAsia="Times New Roman" w:hAnsi="Times New Roman" w:cs="Times New Roman"/>
          <w:i/>
        </w:rPr>
        <w:t>Podstawowe propozycje nowych rozwiązań</w:t>
      </w:r>
    </w:p>
    <w:p w:rsidR="00C268CB" w:rsidRPr="0023349B" w:rsidRDefault="00C268CB" w:rsidP="0023349B">
      <w:pPr>
        <w:spacing w:after="120" w:line="360" w:lineRule="auto"/>
        <w:jc w:val="both"/>
        <w:rPr>
          <w:rStyle w:val="Uwydatnienie"/>
          <w:rFonts w:ascii="Times New Roman" w:hAnsi="Times New Roman" w:cs="Times New Roman"/>
          <w:i w:val="0"/>
        </w:rPr>
      </w:pPr>
      <w:r w:rsidRPr="0023349B">
        <w:rPr>
          <w:rStyle w:val="Uwydatnienie"/>
          <w:rFonts w:ascii="Times New Roman" w:hAnsi="Times New Roman" w:cs="Times New Roman"/>
          <w:i w:val="0"/>
        </w:rPr>
        <w:t>Uelastycznione od 2017 r.</w:t>
      </w:r>
      <w:r w:rsidR="00193AD6" w:rsidRPr="0023349B">
        <w:rPr>
          <w:rStyle w:val="Uwydatnienie"/>
          <w:rFonts w:ascii="Times New Roman" w:hAnsi="Times New Roman" w:cs="Times New Roman"/>
          <w:i w:val="0"/>
        </w:rPr>
        <w:t xml:space="preserve"> </w:t>
      </w:r>
      <w:r w:rsidRPr="0023349B">
        <w:rPr>
          <w:rStyle w:val="Uwydatnienie"/>
          <w:rFonts w:ascii="Times New Roman" w:hAnsi="Times New Roman" w:cs="Times New Roman"/>
          <w:i w:val="0"/>
        </w:rPr>
        <w:t xml:space="preserve">przepisy </w:t>
      </w:r>
      <w:r w:rsidRPr="0023349B">
        <w:rPr>
          <w:rStyle w:val="Uwydatnienie"/>
          <w:rFonts w:ascii="Times New Roman" w:hAnsi="Times New Roman" w:cs="Times New Roman"/>
        </w:rPr>
        <w:t>ustawy o niektórych formach…</w:t>
      </w:r>
      <w:r w:rsidRPr="0023349B">
        <w:rPr>
          <w:rStyle w:val="Uwydatnienie"/>
          <w:rFonts w:ascii="Times New Roman" w:hAnsi="Times New Roman" w:cs="Times New Roman"/>
          <w:i w:val="0"/>
        </w:rPr>
        <w:t xml:space="preserve"> dają obecnie lepsze pole rozwoju nowych formuł prowadzenia działalności inwestycyjnej na rynku mieszkań czynszowych przez TBS w ścisłej współpracy z gminami (w dużej części również ze spółką PFR Nieruchomości S.A.), alternatywnych w stosunku do programów</w:t>
      </w:r>
      <w:r w:rsidR="008E4884" w:rsidRPr="0023349B">
        <w:rPr>
          <w:rStyle w:val="Uwydatnienie"/>
          <w:rFonts w:ascii="Times New Roman" w:hAnsi="Times New Roman" w:cs="Times New Roman"/>
          <w:i w:val="0"/>
        </w:rPr>
        <w:t xml:space="preserve"> dotowanych z budżetu państwa w </w:t>
      </w:r>
      <w:r w:rsidRPr="0023349B">
        <w:rPr>
          <w:rStyle w:val="Uwydatnienie"/>
          <w:rFonts w:ascii="Times New Roman" w:hAnsi="Times New Roman" w:cs="Times New Roman"/>
          <w:i w:val="0"/>
        </w:rPr>
        <w:t xml:space="preserve">dotychczasowym zakresie. </w:t>
      </w:r>
    </w:p>
    <w:p w:rsidR="00C268CB" w:rsidRPr="0023349B" w:rsidRDefault="00C268CB" w:rsidP="0023349B">
      <w:pPr>
        <w:spacing w:after="120" w:line="360" w:lineRule="auto"/>
        <w:jc w:val="both"/>
        <w:rPr>
          <w:rFonts w:ascii="Times New Roman" w:eastAsia="Times New Roman" w:hAnsi="Times New Roman" w:cs="Times New Roman"/>
        </w:rPr>
      </w:pPr>
      <w:r w:rsidRPr="0023349B">
        <w:rPr>
          <w:rStyle w:val="Uwydatnienie"/>
          <w:rFonts w:ascii="Times New Roman" w:hAnsi="Times New Roman" w:cs="Times New Roman"/>
          <w:i w:val="0"/>
        </w:rPr>
        <w:t>Ich wdrożenie daje</w:t>
      </w:r>
      <w:r w:rsidRPr="0023349B">
        <w:rPr>
          <w:rFonts w:ascii="Times New Roman" w:eastAsia="Times New Roman" w:hAnsi="Times New Roman" w:cs="Times New Roman"/>
        </w:rPr>
        <w:t xml:space="preserve"> też impuls do poszerzania formuł działania TBS, nie tylko w segmencie odpowiadającym dzisiejszej formule SBC – aktualnie przedłożony projekt </w:t>
      </w:r>
      <w:r w:rsidRPr="0023349B">
        <w:rPr>
          <w:rFonts w:ascii="Times New Roman" w:eastAsia="Times New Roman" w:hAnsi="Times New Roman" w:cs="Times New Roman"/>
          <w:i/>
        </w:rPr>
        <w:t>ustawy</w:t>
      </w:r>
      <w:r w:rsidR="008E4884" w:rsidRPr="0023349B">
        <w:rPr>
          <w:rFonts w:ascii="Times New Roman" w:eastAsia="Times New Roman" w:hAnsi="Times New Roman" w:cs="Times New Roman"/>
        </w:rPr>
        <w:t xml:space="preserve"> odpowiada na </w:t>
      </w:r>
      <w:r w:rsidRPr="0023349B">
        <w:rPr>
          <w:rFonts w:ascii="Times New Roman" w:eastAsia="Times New Roman" w:hAnsi="Times New Roman" w:cs="Times New Roman"/>
        </w:rPr>
        <w:t xml:space="preserve">potrzeby sygnalizowane w tym zakresie przez podmioty zaangażowane w proces inwestycyjny (BGK, gminy, same TBS). </w:t>
      </w:r>
    </w:p>
    <w:p w:rsidR="00C268CB" w:rsidRPr="0023349B" w:rsidRDefault="00C268CB" w:rsidP="0023349B">
      <w:pPr>
        <w:spacing w:after="120" w:line="360" w:lineRule="auto"/>
        <w:jc w:val="both"/>
        <w:rPr>
          <w:rStyle w:val="Uwydatnienie"/>
          <w:rFonts w:ascii="Times New Roman" w:hAnsi="Times New Roman" w:cs="Times New Roman"/>
          <w:i w:val="0"/>
        </w:rPr>
      </w:pPr>
      <w:r w:rsidRPr="0023349B">
        <w:rPr>
          <w:rStyle w:val="Uwydatnienie"/>
          <w:rFonts w:ascii="Times New Roman" w:hAnsi="Times New Roman" w:cs="Times New Roman"/>
          <w:i w:val="0"/>
        </w:rPr>
        <w:t xml:space="preserve">Pierwszym z obszernych zagadnień, jakim w ramach prac legislacyjnych prowadzonych w dwóch ostatnich latach rząd zadeklarował się zająć przy okazji kolejnych inicjatyw legislacyjnych, była deklaracja dokonania ponownej analizy kwestii ograniczeń/braku możliwości nabywania tytułu prawa własności do mieszkań czynszowych w zasobach TBS, wybudowanych w ramach programów wsparcia. </w:t>
      </w:r>
    </w:p>
    <w:p w:rsidR="00C268CB" w:rsidRPr="0023349B" w:rsidRDefault="00C268CB" w:rsidP="0023349B">
      <w:pPr>
        <w:spacing w:after="120" w:line="360" w:lineRule="auto"/>
        <w:jc w:val="both"/>
        <w:rPr>
          <w:rStyle w:val="Uwydatnienie"/>
          <w:rFonts w:ascii="Times New Roman" w:hAnsi="Times New Roman" w:cs="Times New Roman"/>
          <w:i w:val="0"/>
        </w:rPr>
      </w:pPr>
      <w:r w:rsidRPr="0023349B">
        <w:rPr>
          <w:rStyle w:val="Uwydatnienie"/>
          <w:rFonts w:ascii="Times New Roman" w:hAnsi="Times New Roman" w:cs="Times New Roman"/>
          <w:i w:val="0"/>
        </w:rPr>
        <w:t xml:space="preserve">Wskazana problematyka – dotycząca zarówno nowobudowanych mieszkań, jak również istniejących mieszkań czynszowych TBS – jest związana z zagadnieniem finansowego zaangażowania samego lokatora w sfinansowanie części kosztów budowy mieszkań czynszowych. </w:t>
      </w:r>
    </w:p>
    <w:p w:rsidR="00C268CB" w:rsidRPr="0023349B" w:rsidRDefault="00C268CB" w:rsidP="0023349B">
      <w:pPr>
        <w:spacing w:after="120" w:line="360" w:lineRule="auto"/>
        <w:jc w:val="both"/>
        <w:rPr>
          <w:rFonts w:ascii="Times New Roman" w:hAnsi="Times New Roman" w:cs="Times New Roman"/>
          <w:iCs/>
        </w:rPr>
      </w:pPr>
      <w:r w:rsidRPr="0023349B">
        <w:rPr>
          <w:rFonts w:ascii="Times New Roman" w:hAnsi="Times New Roman" w:cs="Times New Roman"/>
          <w:iCs/>
        </w:rPr>
        <w:t>W przypadku wsparcia nowych inwestycji czynszowych TBS</w:t>
      </w:r>
      <w:r w:rsidRPr="0023349B">
        <w:rPr>
          <w:rFonts w:ascii="Times New Roman" w:hAnsi="Times New Roman" w:cs="Times New Roman"/>
          <w:b/>
          <w:iCs/>
        </w:rPr>
        <w:t xml:space="preserve"> </w:t>
      </w:r>
      <w:r w:rsidRPr="0023349B">
        <w:rPr>
          <w:rFonts w:ascii="Times New Roman" w:hAnsi="Times New Roman" w:cs="Times New Roman"/>
          <w:iCs/>
        </w:rPr>
        <w:t xml:space="preserve">punktem wyjścia w pracach nad propozycjami zmian była </w:t>
      </w:r>
      <w:r w:rsidRPr="0023349B">
        <w:rPr>
          <w:rStyle w:val="Uwydatnienie"/>
          <w:rFonts w:ascii="Times New Roman" w:hAnsi="Times New Roman" w:cs="Times New Roman"/>
          <w:i w:val="0"/>
        </w:rPr>
        <w:t xml:space="preserve">analiza możliwości wprowadzenia </w:t>
      </w:r>
      <w:r w:rsidRPr="0023349B">
        <w:rPr>
          <w:rFonts w:ascii="Times New Roman" w:hAnsi="Times New Roman" w:cs="Times New Roman"/>
          <w:iCs/>
        </w:rPr>
        <w:t xml:space="preserve">schematu dojścia do własności również w społecznym budownictwie czynszowym objętym wsparciem z budżetu państwa, przy założeniu, że ewentualne zmiany w tym zakresie nie powinny naruszać społecznego charakteru programu SBC. </w:t>
      </w:r>
    </w:p>
    <w:p w:rsidR="00C268CB" w:rsidRPr="0023349B" w:rsidRDefault="00C268CB" w:rsidP="0023349B">
      <w:pPr>
        <w:spacing w:after="120" w:line="360" w:lineRule="auto"/>
        <w:jc w:val="both"/>
        <w:rPr>
          <w:rFonts w:ascii="Times New Roman" w:hAnsi="Times New Roman" w:cs="Times New Roman"/>
          <w:iCs/>
        </w:rPr>
      </w:pPr>
      <w:r w:rsidRPr="0023349B">
        <w:rPr>
          <w:rFonts w:ascii="Times New Roman" w:hAnsi="Times New Roman" w:cs="Times New Roman"/>
          <w:iCs/>
        </w:rPr>
        <w:t>W przypadku istniejącego zasobu mieszkań czynszowych TBS</w:t>
      </w:r>
      <w:r w:rsidRPr="0023349B">
        <w:rPr>
          <w:rFonts w:ascii="Times New Roman" w:hAnsi="Times New Roman" w:cs="Times New Roman"/>
          <w:b/>
          <w:iCs/>
        </w:rPr>
        <w:t xml:space="preserve"> </w:t>
      </w:r>
      <w:r w:rsidRPr="0023349B">
        <w:rPr>
          <w:rFonts w:ascii="Times New Roman" w:hAnsi="Times New Roman" w:cs="Times New Roman"/>
          <w:iCs/>
        </w:rPr>
        <w:t>punktem wyjścia dla propozycji zmian była analiza uwzględniająca poniższe zależności:</w:t>
      </w:r>
    </w:p>
    <w:p w:rsidR="00C268CB" w:rsidRPr="0023349B" w:rsidRDefault="00C268CB" w:rsidP="0023349B">
      <w:pPr>
        <w:numPr>
          <w:ilvl w:val="0"/>
          <w:numId w:val="9"/>
        </w:numPr>
        <w:tabs>
          <w:tab w:val="left" w:pos="0"/>
        </w:tabs>
        <w:spacing w:after="120" w:line="360" w:lineRule="auto"/>
        <w:ind w:left="426" w:hanging="426"/>
        <w:jc w:val="both"/>
        <w:rPr>
          <w:rFonts w:ascii="Times New Roman" w:hAnsi="Times New Roman" w:cs="Times New Roman"/>
        </w:rPr>
      </w:pPr>
      <w:r w:rsidRPr="0023349B">
        <w:rPr>
          <w:rFonts w:ascii="Times New Roman" w:hAnsi="Times New Roman" w:cs="Times New Roman"/>
        </w:rPr>
        <w:t xml:space="preserve">presja prywatyzacyjna ze strony części lokatorów: przedmiotem formułowanych oczekiwań prywatyzacyjnych, zgłaszanych na przestrzeni ostatnich kilku lat przez część lokatorów mieszkań w zasobach TBS (petycje kierowane do parlamentu i wystąpienia indywidualne) są mieszkania czynszowe wybudowane w ramach programu Krajowego Funduszu Mieszkaniowego; </w:t>
      </w:r>
    </w:p>
    <w:p w:rsidR="00C268CB" w:rsidRPr="0023349B" w:rsidRDefault="00C268CB" w:rsidP="0023349B">
      <w:pPr>
        <w:numPr>
          <w:ilvl w:val="0"/>
          <w:numId w:val="9"/>
        </w:numPr>
        <w:tabs>
          <w:tab w:val="left" w:pos="0"/>
        </w:tabs>
        <w:spacing w:after="120" w:line="360" w:lineRule="auto"/>
        <w:ind w:left="426" w:hanging="426"/>
        <w:jc w:val="both"/>
        <w:rPr>
          <w:rFonts w:ascii="Times New Roman" w:hAnsi="Times New Roman" w:cs="Times New Roman"/>
        </w:rPr>
      </w:pPr>
      <w:r w:rsidRPr="0023349B">
        <w:rPr>
          <w:rFonts w:ascii="Times New Roman" w:hAnsi="Times New Roman" w:cs="Times New Roman"/>
        </w:rPr>
        <w:t>uznanie racji strony lokatorskiej w zakresie części podnoszonych argumentów: pomimo obecnego w programie KFM jednoznacznego zakazu przekształceń praw do lokali wybudowanych ze środków funduszu, jako argumentację uzasadniającą przeniesienie prawa własności mieszkania na najemcę lokatorzy mieszkań wybudowanych w ramach programu KFM wskazywali najczęściej:</w:t>
      </w:r>
    </w:p>
    <w:p w:rsidR="00C268CB" w:rsidRPr="0023349B" w:rsidRDefault="00C268CB" w:rsidP="0023349B">
      <w:pPr>
        <w:numPr>
          <w:ilvl w:val="0"/>
          <w:numId w:val="10"/>
        </w:numPr>
        <w:tabs>
          <w:tab w:val="left" w:pos="0"/>
        </w:tabs>
        <w:spacing w:after="120" w:line="360" w:lineRule="auto"/>
        <w:ind w:left="993" w:hanging="284"/>
        <w:jc w:val="both"/>
        <w:rPr>
          <w:rFonts w:ascii="Times New Roman" w:hAnsi="Times New Roman" w:cs="Times New Roman"/>
        </w:rPr>
      </w:pPr>
      <w:r w:rsidRPr="0023349B">
        <w:rPr>
          <w:rFonts w:ascii="Times New Roman" w:hAnsi="Times New Roman" w:cs="Times New Roman"/>
        </w:rPr>
        <w:t xml:space="preserve">uczestnictwo lokatora w kosztach budowy mieszkania poprzez wniesienie partycypacji (partycypacja własna najemcy /art. 29a </w:t>
      </w:r>
      <w:r w:rsidRPr="0023349B">
        <w:rPr>
          <w:rFonts w:ascii="Times New Roman" w:hAnsi="Times New Roman" w:cs="Times New Roman"/>
          <w:i/>
        </w:rPr>
        <w:t>ustawy</w:t>
      </w:r>
      <w:r w:rsidRPr="0023349B">
        <w:rPr>
          <w:rFonts w:ascii="Times New Roman" w:hAnsi="Times New Roman" w:cs="Times New Roman"/>
        </w:rPr>
        <w:t xml:space="preserve">/ albo poprzez przeniesienie na najemcę praw z tzw. „partycypacji osoby trzeciej” /art. 29 </w:t>
      </w:r>
      <w:r w:rsidRPr="0023349B">
        <w:rPr>
          <w:rFonts w:ascii="Times New Roman" w:hAnsi="Times New Roman" w:cs="Times New Roman"/>
          <w:i/>
        </w:rPr>
        <w:t>ustawy</w:t>
      </w:r>
      <w:r w:rsidRPr="0023349B">
        <w:rPr>
          <w:rFonts w:ascii="Times New Roman" w:hAnsi="Times New Roman" w:cs="Times New Roman"/>
        </w:rPr>
        <w:t>/),</w:t>
      </w:r>
    </w:p>
    <w:p w:rsidR="00C268CB" w:rsidRPr="0023349B" w:rsidRDefault="00C268CB" w:rsidP="0023349B">
      <w:pPr>
        <w:keepNext/>
        <w:keepLines/>
        <w:numPr>
          <w:ilvl w:val="0"/>
          <w:numId w:val="10"/>
        </w:numPr>
        <w:tabs>
          <w:tab w:val="left" w:pos="0"/>
        </w:tabs>
        <w:spacing w:after="120" w:line="360" w:lineRule="auto"/>
        <w:ind w:left="993" w:hanging="284"/>
        <w:jc w:val="both"/>
        <w:rPr>
          <w:rFonts w:ascii="Times New Roman" w:hAnsi="Times New Roman" w:cs="Times New Roman"/>
        </w:rPr>
      </w:pPr>
      <w:r w:rsidRPr="0023349B">
        <w:rPr>
          <w:rFonts w:ascii="Times New Roman" w:hAnsi="Times New Roman" w:cs="Times New Roman"/>
        </w:rPr>
        <w:t xml:space="preserve">spłacanie kredytu przez lokatora, z uwagi na zawarty w </w:t>
      </w:r>
      <w:r w:rsidRPr="0023349B">
        <w:rPr>
          <w:rFonts w:ascii="Times New Roman" w:hAnsi="Times New Roman" w:cs="Times New Roman"/>
          <w:i/>
        </w:rPr>
        <w:t>ustawie</w:t>
      </w:r>
      <w:r w:rsidRPr="0023349B">
        <w:rPr>
          <w:rFonts w:ascii="Times New Roman" w:hAnsi="Times New Roman" w:cs="Times New Roman"/>
        </w:rPr>
        <w:t xml:space="preserve"> przepis zobowiązujący TBS-y do ustalania opłat czynszowych na poziomie pokrywającym m.in. spłatę kredytu</w:t>
      </w:r>
      <w:r w:rsidRPr="0023349B">
        <w:rPr>
          <w:rStyle w:val="Znakiprzypiswdolnych"/>
          <w:rFonts w:ascii="Times New Roman" w:hAnsi="Times New Roman" w:cs="Times New Roman"/>
        </w:rPr>
        <w:footnoteReference w:id="3"/>
      </w:r>
      <w:r w:rsidR="0023349B" w:rsidRPr="0023349B">
        <w:rPr>
          <w:rFonts w:ascii="Times New Roman" w:hAnsi="Times New Roman"/>
          <w:bCs/>
          <w:vertAlign w:val="superscript"/>
        </w:rPr>
        <w:t>)</w:t>
      </w:r>
      <w:r w:rsidRPr="0023349B">
        <w:rPr>
          <w:rFonts w:ascii="Times New Roman" w:hAnsi="Times New Roman" w:cs="Times New Roman"/>
        </w:rPr>
        <w:t>,</w:t>
      </w:r>
    </w:p>
    <w:p w:rsidR="00C268CB" w:rsidRPr="0023349B" w:rsidRDefault="00C268CB" w:rsidP="0023349B">
      <w:pPr>
        <w:keepNext/>
        <w:keepLines/>
        <w:numPr>
          <w:ilvl w:val="0"/>
          <w:numId w:val="10"/>
        </w:numPr>
        <w:tabs>
          <w:tab w:val="left" w:pos="0"/>
        </w:tabs>
        <w:spacing w:after="120" w:line="360" w:lineRule="auto"/>
        <w:ind w:left="993" w:hanging="284"/>
        <w:jc w:val="both"/>
        <w:rPr>
          <w:rFonts w:ascii="Times New Roman" w:hAnsi="Times New Roman" w:cs="Times New Roman"/>
        </w:rPr>
      </w:pPr>
      <w:r w:rsidRPr="0023349B">
        <w:rPr>
          <w:rFonts w:ascii="Times New Roman" w:hAnsi="Times New Roman" w:cs="Times New Roman"/>
        </w:rPr>
        <w:t>poniesienie części kosztów wykończenia mieszkania przez lokatora, jeśli TBS dopuszczał taką możliwość,</w:t>
      </w:r>
    </w:p>
    <w:p w:rsidR="00C268CB" w:rsidRPr="0023349B" w:rsidRDefault="00C268CB" w:rsidP="0023349B">
      <w:pPr>
        <w:numPr>
          <w:ilvl w:val="0"/>
          <w:numId w:val="10"/>
        </w:numPr>
        <w:tabs>
          <w:tab w:val="left" w:pos="0"/>
        </w:tabs>
        <w:spacing w:after="120" w:line="360" w:lineRule="auto"/>
        <w:ind w:left="993" w:hanging="284"/>
        <w:jc w:val="both"/>
        <w:rPr>
          <w:rFonts w:ascii="Times New Roman" w:hAnsi="Times New Roman" w:cs="Times New Roman"/>
        </w:rPr>
      </w:pPr>
      <w:r w:rsidRPr="0023349B">
        <w:rPr>
          <w:rFonts w:ascii="Times New Roman" w:hAnsi="Times New Roman" w:cs="Times New Roman"/>
        </w:rPr>
        <w:t>fakt powszechnej, realizowanej na preferencyjnych warunkach, prywatyzacji mieszkań publicznych w ramach procesu uruchomionego w latach 90-tych ub. wieku (sprzedaż mieszkań komunalnych przez gminę).</w:t>
      </w:r>
    </w:p>
    <w:p w:rsidR="00C268CB" w:rsidRPr="0023349B" w:rsidRDefault="00C268CB" w:rsidP="0023349B">
      <w:pPr>
        <w:spacing w:after="120" w:line="360" w:lineRule="auto"/>
        <w:ind w:left="426"/>
        <w:jc w:val="both"/>
        <w:rPr>
          <w:rFonts w:ascii="Times New Roman" w:hAnsi="Times New Roman" w:cs="Times New Roman"/>
        </w:rPr>
      </w:pPr>
      <w:r w:rsidRPr="0023349B">
        <w:rPr>
          <w:rFonts w:ascii="Times New Roman" w:hAnsi="Times New Roman" w:cs="Times New Roman"/>
        </w:rPr>
        <w:t>Za wymóg odbiegający istotnie od zasad towarzyszących zawarciu standardowej umowy najmu ustawodawca rzeczywiście uznał pierwszy z ww. argumentó</w:t>
      </w:r>
      <w:r w:rsidR="008E4884" w:rsidRPr="0023349B">
        <w:rPr>
          <w:rFonts w:ascii="Times New Roman" w:hAnsi="Times New Roman" w:cs="Times New Roman"/>
        </w:rPr>
        <w:t>w, tj. warunek partycypowania w </w:t>
      </w:r>
      <w:r w:rsidRPr="0023349B">
        <w:rPr>
          <w:rFonts w:ascii="Times New Roman" w:hAnsi="Times New Roman" w:cs="Times New Roman"/>
        </w:rPr>
        <w:t xml:space="preserve">kosztach budowy mieszkania przez lokatora lub bliską mu osobę, jaki niejednokrotnie towarzyszył inwestycjom realizowanym w ramach programu KFM (rola partycypacji, początkowo marginalnie określonej w </w:t>
      </w:r>
      <w:r w:rsidRPr="0023349B">
        <w:rPr>
          <w:rFonts w:ascii="Times New Roman" w:hAnsi="Times New Roman" w:cs="Times New Roman"/>
          <w:i/>
        </w:rPr>
        <w:t>ustawie</w:t>
      </w:r>
      <w:r w:rsidRPr="0023349B">
        <w:rPr>
          <w:rFonts w:ascii="Times New Roman" w:hAnsi="Times New Roman" w:cs="Times New Roman"/>
        </w:rPr>
        <w:t xml:space="preserve">, na przestrzeni lat wzrastała). W konsekwencji, w 2011 r. wprowadzono możliwość odpłatnego przeniesienia prawa własności mieszkania na najemcę, który jest stroną umowy w sprawie partycypacji w kosztach budowy; </w:t>
      </w:r>
    </w:p>
    <w:p w:rsidR="00C268CB" w:rsidRPr="0023349B" w:rsidRDefault="00C268CB" w:rsidP="0023349B">
      <w:pPr>
        <w:numPr>
          <w:ilvl w:val="0"/>
          <w:numId w:val="11"/>
        </w:numPr>
        <w:tabs>
          <w:tab w:val="left" w:pos="0"/>
        </w:tabs>
        <w:spacing w:after="120" w:line="360" w:lineRule="auto"/>
        <w:ind w:left="426" w:hanging="426"/>
        <w:jc w:val="both"/>
        <w:rPr>
          <w:rFonts w:ascii="Times New Roman" w:hAnsi="Times New Roman" w:cs="Times New Roman"/>
        </w:rPr>
      </w:pPr>
      <w:r w:rsidRPr="0023349B">
        <w:rPr>
          <w:rFonts w:ascii="Times New Roman" w:hAnsi="Times New Roman" w:cs="Times New Roman"/>
        </w:rPr>
        <w:t xml:space="preserve">brak wykorzystania aktualnych przepisów jako podstawy </w:t>
      </w:r>
      <w:r w:rsidR="008E4884" w:rsidRPr="0023349B">
        <w:rPr>
          <w:rFonts w:ascii="Times New Roman" w:hAnsi="Times New Roman" w:cs="Times New Roman"/>
        </w:rPr>
        <w:t>dla wyodrębniania lokali TBS na </w:t>
      </w:r>
      <w:r w:rsidRPr="0023349B">
        <w:rPr>
          <w:rFonts w:ascii="Times New Roman" w:hAnsi="Times New Roman" w:cs="Times New Roman"/>
        </w:rPr>
        <w:t xml:space="preserve">własność: wynikający z rozdziału 4b </w:t>
      </w:r>
      <w:r w:rsidRPr="0023349B">
        <w:rPr>
          <w:rFonts w:ascii="Times New Roman" w:hAnsi="Times New Roman" w:cs="Times New Roman"/>
          <w:i/>
        </w:rPr>
        <w:t>ustawy</w:t>
      </w:r>
      <w:r w:rsidRPr="0023349B">
        <w:rPr>
          <w:rFonts w:ascii="Times New Roman" w:hAnsi="Times New Roman" w:cs="Times New Roman"/>
        </w:rPr>
        <w:t xml:space="preserve"> warunek uzależniający przeniesienie prawa własności mieszkania na lokatora od decyzji samego TBS, jak również określone w </w:t>
      </w:r>
      <w:r w:rsidRPr="0023349B">
        <w:rPr>
          <w:rFonts w:ascii="Times New Roman" w:hAnsi="Times New Roman" w:cs="Times New Roman"/>
          <w:i/>
        </w:rPr>
        <w:t>ustawie</w:t>
      </w:r>
      <w:r w:rsidRPr="0023349B">
        <w:rPr>
          <w:rFonts w:ascii="Times New Roman" w:hAnsi="Times New Roman" w:cs="Times New Roman"/>
        </w:rPr>
        <w:t xml:space="preserve"> zasady rozliczeń kwoty jaką musiałby uiścić lokator (oparte na wartości rynkowej mieszkania) sprawiają łącznie, że w przypadku mieszkań w zasobach TBS przepisy wprowadzone w 2011 r. nie są jednak aktualnie wykorzystywane;</w:t>
      </w:r>
    </w:p>
    <w:p w:rsidR="00C268CB" w:rsidRPr="0023349B" w:rsidRDefault="00C268CB" w:rsidP="0023349B">
      <w:pPr>
        <w:numPr>
          <w:ilvl w:val="0"/>
          <w:numId w:val="11"/>
        </w:numPr>
        <w:tabs>
          <w:tab w:val="left" w:pos="0"/>
        </w:tabs>
        <w:spacing w:after="120" w:line="360" w:lineRule="auto"/>
        <w:ind w:left="426" w:hanging="426"/>
        <w:jc w:val="both"/>
        <w:rPr>
          <w:rFonts w:ascii="Times New Roman" w:hAnsi="Times New Roman" w:cs="Times New Roman"/>
        </w:rPr>
      </w:pPr>
      <w:r w:rsidRPr="0023349B">
        <w:rPr>
          <w:rFonts w:ascii="Times New Roman" w:hAnsi="Times New Roman" w:cs="Times New Roman"/>
        </w:rPr>
        <w:t>uzasadniony brak decyzji uwłaszczeniowych po stronie TB</w:t>
      </w:r>
      <w:r w:rsidR="008E4884" w:rsidRPr="0023349B">
        <w:rPr>
          <w:rFonts w:ascii="Times New Roman" w:hAnsi="Times New Roman" w:cs="Times New Roman"/>
        </w:rPr>
        <w:t>S-ów (gmin, z uwagi na fakt, że </w:t>
      </w:r>
      <w:r w:rsidRPr="0023349B">
        <w:rPr>
          <w:rFonts w:ascii="Times New Roman" w:hAnsi="Times New Roman" w:cs="Times New Roman"/>
        </w:rPr>
        <w:t>towarzystwa są co do zasady spółkami gminnymi): ur</w:t>
      </w:r>
      <w:r w:rsidR="008E4884" w:rsidRPr="0023349B">
        <w:rPr>
          <w:rFonts w:ascii="Times New Roman" w:hAnsi="Times New Roman" w:cs="Times New Roman"/>
        </w:rPr>
        <w:t>uchomienie masowej sprzedaży na </w:t>
      </w:r>
      <w:r w:rsidRPr="0023349B">
        <w:rPr>
          <w:rFonts w:ascii="Times New Roman" w:hAnsi="Times New Roman" w:cs="Times New Roman"/>
        </w:rPr>
        <w:t>preferencyjnych warunkach dużej części mieszkań w zasobach TBS, jakie wybudowane zostały w ramach programu KFM od 1996 r., z punktu widzenia JST nie jest rozwiązaniem racjonalnym – mieszkania te pozostają w większości w zasobach gminnych TBS, pełniąc ważną rolę w lokalnej polityce mieszkaniowej.</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Uwzględniając powyższe przyjęto, że zmiany prawne dotyczące mieszkań w zasobach TBS, dotyczące zagadnień partycypacji własnej lokatora oraz ewentualnego wprowadzenia modelu dojścia do własności, powinny odwoływać się do poniższych założeń:</w:t>
      </w:r>
    </w:p>
    <w:p w:rsidR="00C268CB" w:rsidRPr="0023349B" w:rsidRDefault="00C268CB" w:rsidP="0023349B">
      <w:pPr>
        <w:numPr>
          <w:ilvl w:val="0"/>
          <w:numId w:val="12"/>
        </w:numPr>
        <w:tabs>
          <w:tab w:val="left" w:pos="0"/>
        </w:tabs>
        <w:spacing w:after="120" w:line="360" w:lineRule="auto"/>
        <w:jc w:val="both"/>
        <w:rPr>
          <w:rFonts w:ascii="Times New Roman" w:hAnsi="Times New Roman" w:cs="Times New Roman"/>
        </w:rPr>
      </w:pPr>
      <w:r w:rsidRPr="0023349B">
        <w:rPr>
          <w:rFonts w:ascii="Times New Roman" w:hAnsi="Times New Roman" w:cs="Times New Roman"/>
        </w:rPr>
        <w:t>otwarcie możliwości wykupu mieszkań w TBS wybudowanych w ramach programu b. KFM zostało dotychczas powiązane z faktem poniesienia przez lokatora części kosztów budowy w ramach partycypacji w kosztach budowy mieszkania. Oznacza to, że racjonalne nowe rozwiązania mające na celu zrekompensowanie najemcy finansowego trudu współfinansowania budowy nie muszą ograniczać się, tak jak to ma miejsce w obecnym stanie prawnym, wyłącznie do możliwości:</w:t>
      </w:r>
    </w:p>
    <w:p w:rsidR="00C268CB" w:rsidRPr="0023349B" w:rsidRDefault="00C268CB" w:rsidP="0023349B">
      <w:pPr>
        <w:numPr>
          <w:ilvl w:val="0"/>
          <w:numId w:val="13"/>
        </w:numPr>
        <w:tabs>
          <w:tab w:val="left" w:pos="0"/>
        </w:tabs>
        <w:spacing w:after="120" w:line="360" w:lineRule="auto"/>
        <w:ind w:left="1134" w:firstLine="0"/>
        <w:jc w:val="both"/>
        <w:rPr>
          <w:rFonts w:ascii="Times New Roman" w:hAnsi="Times New Roman" w:cs="Times New Roman"/>
        </w:rPr>
      </w:pPr>
      <w:r w:rsidRPr="0023349B">
        <w:rPr>
          <w:rFonts w:ascii="Times New Roman" w:hAnsi="Times New Roman" w:cs="Times New Roman"/>
        </w:rPr>
        <w:t>wykupu mieszkania, lub</w:t>
      </w:r>
    </w:p>
    <w:p w:rsidR="00C268CB" w:rsidRPr="0023349B" w:rsidRDefault="00C268CB" w:rsidP="0023349B">
      <w:pPr>
        <w:numPr>
          <w:ilvl w:val="0"/>
          <w:numId w:val="13"/>
        </w:numPr>
        <w:tabs>
          <w:tab w:val="left" w:pos="0"/>
        </w:tabs>
        <w:spacing w:after="120" w:line="360" w:lineRule="auto"/>
        <w:ind w:left="1418" w:hanging="284"/>
        <w:jc w:val="both"/>
        <w:rPr>
          <w:rFonts w:ascii="Times New Roman" w:hAnsi="Times New Roman" w:cs="Times New Roman"/>
        </w:rPr>
      </w:pPr>
      <w:r w:rsidRPr="0023349B">
        <w:rPr>
          <w:rFonts w:ascii="Times New Roman" w:hAnsi="Times New Roman" w:cs="Times New Roman"/>
        </w:rPr>
        <w:t>zwrotu zwaloryzowanej partycypacji w momencie zakończenia umowy i opróżnienia mieszkania przez najemcę.</w:t>
      </w:r>
    </w:p>
    <w:p w:rsidR="00C268CB" w:rsidRPr="0023349B" w:rsidRDefault="00C268CB" w:rsidP="0023349B">
      <w:pPr>
        <w:spacing w:after="120" w:line="360" w:lineRule="auto"/>
        <w:ind w:left="720"/>
        <w:jc w:val="both"/>
        <w:rPr>
          <w:rFonts w:ascii="Times New Roman" w:hAnsi="Times New Roman" w:cs="Times New Roman"/>
        </w:rPr>
      </w:pPr>
      <w:r w:rsidRPr="0023349B">
        <w:rPr>
          <w:rFonts w:ascii="Times New Roman" w:hAnsi="Times New Roman" w:cs="Times New Roman"/>
        </w:rPr>
        <w:t>Bardziej uzasadnione jest poszukiwanie nowych możliwości rozliczenia partycypacji własnej pomiędzy lokatorem a TBS, bez konieczności opuszczenia lokalu lub wykupu mieszkania na własność, dostosowanych do szczególnych potrzeb i sytuacji życiowej samego lokatora;</w:t>
      </w:r>
    </w:p>
    <w:p w:rsidR="00C268CB" w:rsidRPr="0023349B" w:rsidRDefault="00C268CB" w:rsidP="0023349B">
      <w:pPr>
        <w:numPr>
          <w:ilvl w:val="0"/>
          <w:numId w:val="12"/>
        </w:numPr>
        <w:tabs>
          <w:tab w:val="left" w:pos="0"/>
        </w:tabs>
        <w:spacing w:after="120" w:line="360" w:lineRule="auto"/>
        <w:jc w:val="both"/>
        <w:rPr>
          <w:rStyle w:val="Uwydatnienie"/>
          <w:rFonts w:ascii="Times New Roman" w:hAnsi="Times New Roman" w:cs="Times New Roman"/>
          <w:i w:val="0"/>
        </w:rPr>
      </w:pPr>
      <w:r w:rsidRPr="0023349B">
        <w:rPr>
          <w:rStyle w:val="Uwydatnienie"/>
          <w:rFonts w:ascii="Times New Roman" w:hAnsi="Times New Roman" w:cs="Times New Roman"/>
          <w:i w:val="0"/>
        </w:rPr>
        <w:t>w zakresie dotyczącym nowych możliwości przeniesienia</w:t>
      </w:r>
      <w:r w:rsidR="008E4884" w:rsidRPr="0023349B">
        <w:rPr>
          <w:rStyle w:val="Uwydatnienie"/>
          <w:rFonts w:ascii="Times New Roman" w:hAnsi="Times New Roman" w:cs="Times New Roman"/>
          <w:i w:val="0"/>
        </w:rPr>
        <w:t xml:space="preserve"> na lokatora tytułu prawnego do </w:t>
      </w:r>
      <w:r w:rsidRPr="0023349B">
        <w:rPr>
          <w:rStyle w:val="Uwydatnienie"/>
          <w:rFonts w:ascii="Times New Roman" w:hAnsi="Times New Roman" w:cs="Times New Roman"/>
          <w:i w:val="0"/>
        </w:rPr>
        <w:t xml:space="preserve">mieszkania przyjęto, że uzasadniona jest przede wszystkim analiza aktualnych rozwiązań związanych z partycypacją własną pod kątem możliwości odniesienia do tych przypadków nowych możliwości, na jakich mogą być zawierane umowy najmu. Analogia, jaka zachodzi pomiędzy partycypacją własną w kosztach budowy a zapłatą przez lokatora części ceny stwarza przestrzeń wykorzystania nowej instytucji </w:t>
      </w:r>
      <w:r w:rsidR="008E4884" w:rsidRPr="0023349B">
        <w:rPr>
          <w:rStyle w:val="Uwydatnienie"/>
          <w:rFonts w:ascii="Times New Roman" w:hAnsi="Times New Roman" w:cs="Times New Roman"/>
          <w:i w:val="0"/>
        </w:rPr>
        <w:t>umowy najmu instytucjonalnego z </w:t>
      </w:r>
      <w:r w:rsidRPr="0023349B">
        <w:rPr>
          <w:rStyle w:val="Uwydatnienie"/>
          <w:rFonts w:ascii="Times New Roman" w:hAnsi="Times New Roman" w:cs="Times New Roman"/>
          <w:i w:val="0"/>
        </w:rPr>
        <w:t>dojściem do własności, wprowadzonej do obrotu prawnego w 2017 r., tj. dla wprowadzenia w tym zakresie podejścia bardziej systemowego;</w:t>
      </w:r>
    </w:p>
    <w:p w:rsidR="00C268CB" w:rsidRPr="0023349B" w:rsidRDefault="00C268CB" w:rsidP="0023349B">
      <w:pPr>
        <w:numPr>
          <w:ilvl w:val="0"/>
          <w:numId w:val="12"/>
        </w:numPr>
        <w:tabs>
          <w:tab w:val="left" w:pos="0"/>
        </w:tabs>
        <w:spacing w:after="120" w:line="360" w:lineRule="auto"/>
        <w:jc w:val="both"/>
        <w:rPr>
          <w:rFonts w:ascii="Times New Roman" w:hAnsi="Times New Roman" w:cs="Times New Roman"/>
        </w:rPr>
      </w:pPr>
      <w:r w:rsidRPr="0023349B">
        <w:rPr>
          <w:rFonts w:ascii="Times New Roman" w:hAnsi="Times New Roman" w:cs="Times New Roman"/>
        </w:rPr>
        <w:t>partycypacja własna lokatora nie dotyczy wyłącznie mieszkań b. KFM. Jest ona nadal ważną częścią montażu finansowego inwestycji TBS objętych preferencyjnym finansowaniem zwrotnym BGK w ramach programu SBC</w:t>
      </w:r>
      <w:r w:rsidRPr="0023349B">
        <w:rPr>
          <w:rStyle w:val="Znakiprzypiswdolnych"/>
          <w:rFonts w:ascii="Times New Roman" w:hAnsi="Times New Roman" w:cs="Times New Roman"/>
        </w:rPr>
        <w:footnoteReference w:id="4"/>
      </w:r>
      <w:r w:rsidR="0023349B" w:rsidRPr="0023349B">
        <w:rPr>
          <w:rFonts w:ascii="Times New Roman" w:hAnsi="Times New Roman"/>
          <w:bCs/>
          <w:vertAlign w:val="superscript"/>
        </w:rPr>
        <w:t>)</w:t>
      </w:r>
      <w:r w:rsidRPr="0023349B">
        <w:rPr>
          <w:rFonts w:ascii="Times New Roman" w:hAnsi="Times New Roman" w:cs="Times New Roman"/>
        </w:rPr>
        <w:t xml:space="preserve">. W tych warunkach jest uzasadnione, aby możliwości pozwalające na wykup lokalu mieszkalnego przez najemcę będącego </w:t>
      </w:r>
      <w:proofErr w:type="spellStart"/>
      <w:r w:rsidRPr="0023349B">
        <w:rPr>
          <w:rFonts w:ascii="Times New Roman" w:hAnsi="Times New Roman" w:cs="Times New Roman"/>
        </w:rPr>
        <w:t>partycypantem</w:t>
      </w:r>
      <w:proofErr w:type="spellEnd"/>
      <w:r w:rsidRPr="0023349B">
        <w:rPr>
          <w:rFonts w:ascii="Times New Roman" w:hAnsi="Times New Roman" w:cs="Times New Roman"/>
        </w:rPr>
        <w:t xml:space="preserve"> miały również charakter rozwiązań powszechnych dla segmentu TBS. Przyjęto więc, że powinny one być opcją dotycząc wszystkich mieszkań w zasobach TBS wybudowanych z takim finansowaniem, niezależnie od okresu budowy;</w:t>
      </w:r>
    </w:p>
    <w:p w:rsidR="00C268CB" w:rsidRPr="0023349B" w:rsidRDefault="00C268CB" w:rsidP="0023349B">
      <w:pPr>
        <w:numPr>
          <w:ilvl w:val="0"/>
          <w:numId w:val="12"/>
        </w:numPr>
        <w:tabs>
          <w:tab w:val="left" w:pos="0"/>
        </w:tabs>
        <w:spacing w:after="120" w:line="360" w:lineRule="auto"/>
        <w:jc w:val="both"/>
        <w:rPr>
          <w:rFonts w:ascii="Times New Roman" w:hAnsi="Times New Roman" w:cs="Times New Roman"/>
        </w:rPr>
      </w:pPr>
      <w:r w:rsidRPr="0023349B">
        <w:rPr>
          <w:rFonts w:ascii="Times New Roman" w:hAnsi="Times New Roman" w:cs="Times New Roman"/>
        </w:rPr>
        <w:t>założono również, że jakiekolwiek nowe rozwiązania nie powinny naruszać praw TBS jako właściciela zasobu, przymuszając go prawnie do w</w:t>
      </w:r>
      <w:r w:rsidR="008E4884" w:rsidRPr="0023349B">
        <w:rPr>
          <w:rFonts w:ascii="Times New Roman" w:hAnsi="Times New Roman" w:cs="Times New Roman"/>
        </w:rPr>
        <w:t>yodrębnienia własności lokalu i </w:t>
      </w:r>
      <w:r w:rsidRPr="0023349B">
        <w:rPr>
          <w:rFonts w:ascii="Times New Roman" w:hAnsi="Times New Roman" w:cs="Times New Roman"/>
        </w:rPr>
        <w:t>przeniesienia prawa na lokatora. Uwzględniono jednocześnie, że pozostawienie TBS swobody stosowania wybranych rozwiązań, z którymi związane są niewspółmierne korzyści dla stron najmu, może powodować, że dane rozwiązanie bardziej korzystne dla lokatora i mniej korzystne dla TBS nie będzie wykorzystywane.</w:t>
      </w:r>
    </w:p>
    <w:p w:rsidR="00C268CB" w:rsidRPr="0023349B" w:rsidRDefault="00C268CB" w:rsidP="0023349B">
      <w:pPr>
        <w:spacing w:after="360" w:line="360" w:lineRule="auto"/>
        <w:jc w:val="both"/>
        <w:rPr>
          <w:rFonts w:ascii="Times New Roman" w:eastAsia="Times New Roman" w:hAnsi="Times New Roman" w:cs="Times New Roman"/>
        </w:rPr>
      </w:pPr>
      <w:r w:rsidRPr="0023349B">
        <w:rPr>
          <w:rFonts w:ascii="Times New Roman" w:eastAsia="Times New Roman" w:hAnsi="Times New Roman" w:cs="Times New Roman"/>
        </w:rPr>
        <w:t>Przedłożony projekt ustawy</w:t>
      </w:r>
      <w:r w:rsidRPr="0023349B">
        <w:rPr>
          <w:rFonts w:ascii="Times New Roman" w:eastAsia="Times New Roman" w:hAnsi="Times New Roman" w:cs="Times New Roman"/>
          <w:i/>
        </w:rPr>
        <w:t xml:space="preserve"> </w:t>
      </w:r>
      <w:r w:rsidRPr="0023349B">
        <w:rPr>
          <w:rFonts w:ascii="Times New Roman" w:eastAsia="Times New Roman" w:hAnsi="Times New Roman" w:cs="Times New Roman"/>
        </w:rPr>
        <w:t xml:space="preserve">odpowiada ww. przyjętym założeniom. </w:t>
      </w:r>
    </w:p>
    <w:p w:rsidR="00C268CB" w:rsidRPr="0023349B" w:rsidRDefault="00C268CB" w:rsidP="0023349B">
      <w:pPr>
        <w:keepNext/>
        <w:keepLines/>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b/>
        </w:rPr>
        <w:t xml:space="preserve">Do głównych propozycji zmian w </w:t>
      </w:r>
      <w:r w:rsidRPr="0023349B">
        <w:rPr>
          <w:rFonts w:ascii="Times New Roman" w:eastAsia="Times New Roman" w:hAnsi="Times New Roman" w:cs="Times New Roman"/>
          <w:b/>
          <w:i/>
        </w:rPr>
        <w:t>ustawie o niektórych formach …</w:t>
      </w:r>
      <w:r w:rsidRPr="0023349B">
        <w:rPr>
          <w:rFonts w:ascii="Times New Roman" w:eastAsia="Times New Roman" w:hAnsi="Times New Roman" w:cs="Times New Roman"/>
          <w:b/>
        </w:rPr>
        <w:t xml:space="preserve"> zawartych w przedłożonym projekcie </w:t>
      </w:r>
      <w:r w:rsidRPr="0023349B">
        <w:rPr>
          <w:rFonts w:ascii="Times New Roman" w:eastAsia="Times New Roman" w:hAnsi="Times New Roman" w:cs="Times New Roman"/>
          <w:b/>
          <w:i/>
        </w:rPr>
        <w:t>ustawy</w:t>
      </w:r>
      <w:r w:rsidRPr="0023349B">
        <w:rPr>
          <w:rFonts w:ascii="Times New Roman" w:eastAsia="Times New Roman" w:hAnsi="Times New Roman" w:cs="Times New Roman"/>
          <w:b/>
        </w:rPr>
        <w:t xml:space="preserve"> należy</w:t>
      </w:r>
      <w:r w:rsidRPr="0023349B">
        <w:rPr>
          <w:rFonts w:ascii="Times New Roman" w:eastAsia="Times New Roman" w:hAnsi="Times New Roman" w:cs="Times New Roman"/>
        </w:rPr>
        <w:t>:</w:t>
      </w:r>
    </w:p>
    <w:p w:rsidR="00C268CB" w:rsidRPr="0023349B" w:rsidRDefault="00C268CB" w:rsidP="0023349B">
      <w:pPr>
        <w:numPr>
          <w:ilvl w:val="0"/>
          <w:numId w:val="14"/>
        </w:numPr>
        <w:tabs>
          <w:tab w:val="left" w:pos="0"/>
        </w:tabs>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Dla lokatorów będących stroną umowy partycypacji w kosztach budowy mieszkań TBS </w:t>
      </w:r>
      <w:r w:rsidRPr="0023349B">
        <w:rPr>
          <w:rFonts w:ascii="Times New Roman" w:hAnsi="Times New Roman" w:cs="Times New Roman"/>
          <w:b/>
        </w:rPr>
        <w:t xml:space="preserve">wprowadzenie nowych zasad, na jakich będą mogły zostać rozliczone środki zaangażowane przez najemcę w budowę mieszkania, </w:t>
      </w:r>
      <w:r w:rsidRPr="0023349B">
        <w:rPr>
          <w:rFonts w:ascii="Times New Roman" w:hAnsi="Times New Roman" w:cs="Times New Roman"/>
        </w:rPr>
        <w:t>innych niż opuszczenie mieszkania lub zakup mieszkania przez lokatora</w:t>
      </w:r>
      <w:r w:rsidRPr="0023349B">
        <w:rPr>
          <w:rFonts w:ascii="Times New Roman" w:hAnsi="Times New Roman" w:cs="Times New Roman"/>
          <w:b/>
        </w:rPr>
        <w:t xml:space="preserve"> – formuła częściowych „wakacji czynszowych”</w:t>
      </w:r>
      <w:r w:rsidRPr="0023349B">
        <w:rPr>
          <w:rFonts w:ascii="Times New Roman" w:hAnsi="Times New Roman" w:cs="Times New Roman"/>
        </w:rPr>
        <w:t>:</w:t>
      </w:r>
    </w:p>
    <w:p w:rsidR="00C268CB" w:rsidRPr="0023349B" w:rsidRDefault="00C268CB" w:rsidP="0023349B">
      <w:pPr>
        <w:numPr>
          <w:ilvl w:val="0"/>
          <w:numId w:val="15"/>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 xml:space="preserve">lokator będzie mógł wystąpić do TBS z wnioskiem o zmianę dotychczasowej umowy najmu na umowę najmu uwzględniającą </w:t>
      </w:r>
      <w:r w:rsidRPr="0023349B">
        <w:rPr>
          <w:rFonts w:ascii="Times New Roman" w:hAnsi="Times New Roman" w:cs="Times New Roman"/>
          <w:b/>
        </w:rPr>
        <w:t>okresowe rozliczenie partycypacji</w:t>
      </w:r>
      <w:r w:rsidRPr="0023349B">
        <w:rPr>
          <w:rFonts w:ascii="Times New Roman" w:hAnsi="Times New Roman" w:cs="Times New Roman"/>
        </w:rPr>
        <w:t xml:space="preserve">, poprzez zaliczenie jej części na poczet czynszu miesięcznego </w:t>
      </w:r>
      <w:r w:rsidR="008E4884" w:rsidRPr="0023349B">
        <w:rPr>
          <w:rFonts w:ascii="Times New Roman" w:hAnsi="Times New Roman" w:cs="Times New Roman"/>
        </w:rPr>
        <w:t>– obniżka zastosowana będzie po </w:t>
      </w:r>
      <w:r w:rsidRPr="0023349B">
        <w:rPr>
          <w:rFonts w:ascii="Times New Roman" w:hAnsi="Times New Roman" w:cs="Times New Roman"/>
        </w:rPr>
        <w:t>spłacie kredytu, tj. w okresie w którym rozwiązanie nie będzie naruszało gospodarki finansowej TBS;</w:t>
      </w:r>
    </w:p>
    <w:p w:rsidR="00C268CB" w:rsidRPr="0023349B" w:rsidRDefault="00C268CB" w:rsidP="0023349B">
      <w:pPr>
        <w:numPr>
          <w:ilvl w:val="0"/>
          <w:numId w:val="15"/>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lokator, który jest w podeszłym wieku będzie móg</w:t>
      </w:r>
      <w:r w:rsidR="008E4884" w:rsidRPr="0023349B">
        <w:rPr>
          <w:rFonts w:ascii="Times New Roman" w:hAnsi="Times New Roman" w:cs="Times New Roman"/>
        </w:rPr>
        <w:t>ł wystąpić do TBS z wnioskiem o </w:t>
      </w:r>
      <w:r w:rsidRPr="0023349B">
        <w:rPr>
          <w:rFonts w:ascii="Times New Roman" w:hAnsi="Times New Roman" w:cs="Times New Roman"/>
        </w:rPr>
        <w:t xml:space="preserve">zmianę dotychczasowej umowy najmu na umowę najmu uwzględniającą </w:t>
      </w:r>
      <w:r w:rsidRPr="0023349B">
        <w:rPr>
          <w:rFonts w:ascii="Times New Roman" w:hAnsi="Times New Roman" w:cs="Times New Roman"/>
          <w:b/>
        </w:rPr>
        <w:t>całkowite rozliczenie partycypacji</w:t>
      </w:r>
      <w:r w:rsidRPr="0023349B">
        <w:rPr>
          <w:rFonts w:ascii="Times New Roman" w:hAnsi="Times New Roman" w:cs="Times New Roman"/>
        </w:rPr>
        <w:t>, poprzez zaliczenie jej na poc</w:t>
      </w:r>
      <w:r w:rsidR="008E4884" w:rsidRPr="0023349B">
        <w:rPr>
          <w:rFonts w:ascii="Times New Roman" w:hAnsi="Times New Roman" w:cs="Times New Roman"/>
        </w:rPr>
        <w:t>zet czynszu miesięcznego, aż do </w:t>
      </w:r>
      <w:r w:rsidRPr="0023349B">
        <w:rPr>
          <w:rFonts w:ascii="Times New Roman" w:hAnsi="Times New Roman" w:cs="Times New Roman"/>
        </w:rPr>
        <w:t>dnia wygaśnięcia praw lokatora jako strony umowy najmu.</w:t>
      </w:r>
    </w:p>
    <w:p w:rsidR="00C268CB" w:rsidRPr="0023349B" w:rsidRDefault="00C268CB" w:rsidP="0023349B">
      <w:pPr>
        <w:numPr>
          <w:ilvl w:val="0"/>
          <w:numId w:val="14"/>
        </w:numPr>
        <w:tabs>
          <w:tab w:val="left" w:pos="0"/>
        </w:tabs>
        <w:spacing w:after="240" w:line="360" w:lineRule="auto"/>
        <w:ind w:left="426" w:hanging="426"/>
        <w:jc w:val="both"/>
        <w:rPr>
          <w:rFonts w:ascii="Times New Roman" w:hAnsi="Times New Roman" w:cs="Times New Roman"/>
        </w:rPr>
      </w:pPr>
      <w:r w:rsidRPr="0023349B">
        <w:rPr>
          <w:rFonts w:ascii="Times New Roman" w:hAnsi="Times New Roman" w:cs="Times New Roman"/>
          <w:b/>
        </w:rPr>
        <w:t>Uchylenie bezwzględnego zakazu wyodrębniania na własność</w:t>
      </w:r>
      <w:r w:rsidRPr="0023349B">
        <w:rPr>
          <w:rFonts w:ascii="Times New Roman" w:hAnsi="Times New Roman" w:cs="Times New Roman"/>
        </w:rPr>
        <w:t>/zbywania lokali mieszkalnych wybudowanych w ramach preferencyjnych kredytów udzielanych w aktualnym programie SBC.</w:t>
      </w:r>
    </w:p>
    <w:p w:rsidR="00C268CB" w:rsidRPr="0023349B" w:rsidRDefault="00C268CB" w:rsidP="0023349B">
      <w:pPr>
        <w:numPr>
          <w:ilvl w:val="0"/>
          <w:numId w:val="14"/>
        </w:numPr>
        <w:tabs>
          <w:tab w:val="left" w:pos="0"/>
        </w:tabs>
        <w:spacing w:after="240" w:line="360" w:lineRule="auto"/>
        <w:ind w:left="426" w:hanging="426"/>
        <w:jc w:val="both"/>
        <w:rPr>
          <w:rFonts w:ascii="Times New Roman" w:hAnsi="Times New Roman" w:cs="Times New Roman"/>
        </w:rPr>
      </w:pPr>
      <w:r w:rsidRPr="0023349B">
        <w:rPr>
          <w:rFonts w:ascii="Times New Roman" w:hAnsi="Times New Roman" w:cs="Times New Roman"/>
          <w:b/>
        </w:rPr>
        <w:t>Wprowadzenie możliwości uzyskania prawa własności mieszkania w oparciu o umowę najmu instytucjonalnego z dojściem do własności uwzględniającą rozliczenie partycypacji</w:t>
      </w:r>
      <w:r w:rsidRPr="0023349B">
        <w:rPr>
          <w:rFonts w:ascii="Times New Roman" w:hAnsi="Times New Roman" w:cs="Times New Roman"/>
        </w:rPr>
        <w:t>:</w:t>
      </w:r>
    </w:p>
    <w:p w:rsidR="00C268CB" w:rsidRPr="0023349B" w:rsidRDefault="00C268CB" w:rsidP="0023349B">
      <w:pPr>
        <w:numPr>
          <w:ilvl w:val="0"/>
          <w:numId w:val="16"/>
        </w:numPr>
        <w:tabs>
          <w:tab w:val="left" w:pos="0"/>
        </w:tabs>
        <w:spacing w:after="120" w:line="360" w:lineRule="auto"/>
        <w:ind w:left="850" w:hanging="425"/>
        <w:jc w:val="both"/>
        <w:rPr>
          <w:rFonts w:ascii="Times New Roman" w:hAnsi="Times New Roman" w:cs="Times New Roman"/>
        </w:rPr>
      </w:pPr>
      <w:r w:rsidRPr="0023349B">
        <w:rPr>
          <w:rFonts w:ascii="Times New Roman" w:hAnsi="Times New Roman" w:cs="Times New Roman"/>
        </w:rPr>
        <w:t>dla lokatorów będących stroną umowy partycypacji w kosztach budowy mieszkań jeżeli wysokość tej partycypacji wyniosła co najmniej 20 albo 25% kosztów budowy mieszkania (wyższa, dwudziestopięcioprocentowa granica dotyczyć będzie większych miast, gdzie kumulują się niezaspokojone potrzeby mieszkaniowe, m.in. ze względu na większą dostępność miejsc pracy, i gdzie intencją projektodawcy jest nadal większe wspieranie budownictwa na wynajem),</w:t>
      </w:r>
    </w:p>
    <w:p w:rsidR="00C268CB" w:rsidRPr="0023349B" w:rsidRDefault="00C268CB" w:rsidP="0023349B">
      <w:pPr>
        <w:numPr>
          <w:ilvl w:val="0"/>
          <w:numId w:val="16"/>
        </w:numPr>
        <w:tabs>
          <w:tab w:val="left" w:pos="0"/>
        </w:tabs>
        <w:spacing w:after="120" w:line="360" w:lineRule="auto"/>
        <w:ind w:left="850" w:hanging="425"/>
        <w:jc w:val="both"/>
        <w:rPr>
          <w:rFonts w:ascii="Times New Roman" w:hAnsi="Times New Roman" w:cs="Times New Roman"/>
        </w:rPr>
      </w:pPr>
      <w:r w:rsidRPr="0023349B">
        <w:rPr>
          <w:rFonts w:ascii="Times New Roman" w:hAnsi="Times New Roman" w:cs="Times New Roman"/>
        </w:rPr>
        <w:t xml:space="preserve">po całkowitej spłacie kredytu przez TBS, </w:t>
      </w:r>
    </w:p>
    <w:p w:rsidR="00C268CB" w:rsidRPr="0023349B" w:rsidRDefault="00C268CB" w:rsidP="0023349B">
      <w:pPr>
        <w:numPr>
          <w:ilvl w:val="0"/>
          <w:numId w:val="16"/>
        </w:numPr>
        <w:tabs>
          <w:tab w:val="left" w:pos="0"/>
        </w:tabs>
        <w:spacing w:after="120" w:line="360" w:lineRule="auto"/>
        <w:ind w:left="850" w:hanging="425"/>
        <w:jc w:val="both"/>
        <w:rPr>
          <w:rFonts w:ascii="Times New Roman" w:hAnsi="Times New Roman" w:cs="Times New Roman"/>
        </w:rPr>
      </w:pPr>
      <w:r w:rsidRPr="0023349B">
        <w:rPr>
          <w:rFonts w:ascii="Times New Roman" w:hAnsi="Times New Roman" w:cs="Times New Roman"/>
        </w:rPr>
        <w:t>na wniosek lokatora (możliwość zawarcia przez TBS z lokatorem umowy najmu z dojściem do własności, zaliczeniem partycypacji własnej tytułem rozliczenia ceny),</w:t>
      </w:r>
    </w:p>
    <w:p w:rsidR="00C268CB" w:rsidRPr="0023349B" w:rsidRDefault="00C268CB" w:rsidP="0023349B">
      <w:pPr>
        <w:numPr>
          <w:ilvl w:val="0"/>
          <w:numId w:val="16"/>
        </w:numPr>
        <w:tabs>
          <w:tab w:val="left" w:pos="0"/>
        </w:tabs>
        <w:spacing w:after="120" w:line="360" w:lineRule="auto"/>
        <w:ind w:left="850" w:hanging="425"/>
        <w:jc w:val="both"/>
        <w:rPr>
          <w:rFonts w:ascii="Times New Roman" w:hAnsi="Times New Roman" w:cs="Times New Roman"/>
        </w:rPr>
      </w:pPr>
      <w:r w:rsidRPr="0023349B">
        <w:rPr>
          <w:rFonts w:ascii="Times New Roman" w:hAnsi="Times New Roman" w:cs="Times New Roman"/>
        </w:rPr>
        <w:t>rozliczenie wg ceny opartej na kosztach budowy – przed</w:t>
      </w:r>
      <w:r w:rsidR="008E4884" w:rsidRPr="0023349B">
        <w:rPr>
          <w:rFonts w:ascii="Times New Roman" w:hAnsi="Times New Roman" w:cs="Times New Roman"/>
        </w:rPr>
        <w:t>stawienie warunków przez TBS na </w:t>
      </w:r>
      <w:r w:rsidRPr="0023349B">
        <w:rPr>
          <w:rFonts w:ascii="Times New Roman" w:hAnsi="Times New Roman" w:cs="Times New Roman"/>
        </w:rPr>
        <w:t>wniosek najemcy będzie obowiązkowe,</w:t>
      </w:r>
    </w:p>
    <w:p w:rsidR="00C268CB" w:rsidRPr="0023349B" w:rsidRDefault="00C268CB" w:rsidP="0023349B">
      <w:pPr>
        <w:numPr>
          <w:ilvl w:val="0"/>
          <w:numId w:val="16"/>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stosowanie do zasobów wybudowanych w ramach nowych przedsięwzięć finansowanych preferencyjnym kredytem BGK w ramach aktualnego programu SBC rozpoczętych po dniu wejścia w życie projektowanych rozwiązań).</w:t>
      </w:r>
    </w:p>
    <w:p w:rsidR="00C268CB" w:rsidRPr="0023349B" w:rsidRDefault="00C268CB" w:rsidP="0023349B">
      <w:pPr>
        <w:numPr>
          <w:ilvl w:val="0"/>
          <w:numId w:val="14"/>
        </w:numPr>
        <w:tabs>
          <w:tab w:val="left" w:pos="0"/>
        </w:tabs>
        <w:spacing w:after="240" w:line="360" w:lineRule="auto"/>
        <w:ind w:left="426" w:hanging="284"/>
        <w:jc w:val="both"/>
        <w:rPr>
          <w:rFonts w:ascii="Times New Roman" w:hAnsi="Times New Roman" w:cs="Times New Roman"/>
          <w:b/>
        </w:rPr>
      </w:pPr>
      <w:r w:rsidRPr="0023349B">
        <w:rPr>
          <w:rFonts w:ascii="Times New Roman" w:hAnsi="Times New Roman" w:cs="Times New Roman"/>
        </w:rPr>
        <w:t>Możliwość</w:t>
      </w:r>
      <w:r w:rsidRPr="0023349B">
        <w:rPr>
          <w:rFonts w:ascii="Times New Roman" w:hAnsi="Times New Roman" w:cs="Times New Roman"/>
          <w:b/>
        </w:rPr>
        <w:t xml:space="preserve"> przeniesienia prawa własności mieszkania wybudowanego w ramach rządowych programów wsparcia nie tylko w przypadku mieszkań wybudowanych w ramach byłego programu KFM:</w:t>
      </w:r>
    </w:p>
    <w:p w:rsidR="00C268CB" w:rsidRPr="0023349B" w:rsidRDefault="00C268CB" w:rsidP="0023349B">
      <w:pPr>
        <w:numPr>
          <w:ilvl w:val="0"/>
          <w:numId w:val="17"/>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dla lokatorów będących stroną umowy partycypacji w kosztach budowy mieszkań,</w:t>
      </w:r>
    </w:p>
    <w:p w:rsidR="00C268CB" w:rsidRPr="0023349B" w:rsidRDefault="00C268CB" w:rsidP="0023349B">
      <w:pPr>
        <w:numPr>
          <w:ilvl w:val="0"/>
          <w:numId w:val="17"/>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niezależnie od spłaty kredytu przez TBS, ale po upływie minimalnego okresu użytkowania mieszkania (co do zasady 5 lat od oddania do użytkowania),</w:t>
      </w:r>
    </w:p>
    <w:p w:rsidR="00C268CB" w:rsidRPr="0023349B" w:rsidRDefault="00C268CB" w:rsidP="0023349B">
      <w:pPr>
        <w:numPr>
          <w:ilvl w:val="0"/>
          <w:numId w:val="17"/>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podstawą rozliczenia wartość rynkowa mieszkania,</w:t>
      </w:r>
    </w:p>
    <w:p w:rsidR="00C268CB" w:rsidRPr="0023349B" w:rsidRDefault="00C268CB" w:rsidP="0023349B">
      <w:pPr>
        <w:numPr>
          <w:ilvl w:val="0"/>
          <w:numId w:val="17"/>
        </w:numPr>
        <w:tabs>
          <w:tab w:val="left" w:pos="0"/>
        </w:tabs>
        <w:spacing w:after="240" w:line="360" w:lineRule="auto"/>
        <w:ind w:left="851" w:hanging="425"/>
        <w:jc w:val="both"/>
        <w:rPr>
          <w:rFonts w:ascii="Times New Roman" w:hAnsi="Times New Roman" w:cs="Times New Roman"/>
        </w:rPr>
      </w:pPr>
      <w:r w:rsidRPr="0023349B">
        <w:rPr>
          <w:rFonts w:ascii="Times New Roman" w:hAnsi="Times New Roman" w:cs="Times New Roman"/>
        </w:rPr>
        <w:t>nadal uzależnione od decyzji TBS jako właściciela zasobu.</w:t>
      </w:r>
    </w:p>
    <w:p w:rsidR="00C268CB" w:rsidRPr="0023349B" w:rsidRDefault="00C268CB" w:rsidP="0023349B">
      <w:pPr>
        <w:numPr>
          <w:ilvl w:val="0"/>
          <w:numId w:val="14"/>
        </w:numPr>
        <w:tabs>
          <w:tab w:val="left" w:pos="0"/>
        </w:tabs>
        <w:spacing w:after="240" w:line="360" w:lineRule="auto"/>
        <w:ind w:left="426" w:hanging="284"/>
        <w:jc w:val="both"/>
        <w:rPr>
          <w:rFonts w:ascii="Times New Roman" w:hAnsi="Times New Roman" w:cs="Times New Roman"/>
          <w:i/>
        </w:rPr>
      </w:pPr>
      <w:r w:rsidRPr="0023349B">
        <w:rPr>
          <w:rFonts w:ascii="Times New Roman" w:hAnsi="Times New Roman" w:cs="Times New Roman"/>
          <w:b/>
        </w:rPr>
        <w:t>Urealnienie</w:t>
      </w:r>
      <w:r w:rsidRPr="0023349B">
        <w:rPr>
          <w:rFonts w:ascii="Times New Roman" w:hAnsi="Times New Roman" w:cs="Times New Roman"/>
        </w:rPr>
        <w:t xml:space="preserve"> </w:t>
      </w:r>
      <w:r w:rsidRPr="0023349B">
        <w:rPr>
          <w:rFonts w:ascii="Times New Roman" w:hAnsi="Times New Roman" w:cs="Times New Roman"/>
          <w:b/>
        </w:rPr>
        <w:t>limitów maksymalnego czynszu</w:t>
      </w:r>
      <w:r w:rsidRPr="0023349B">
        <w:rPr>
          <w:rFonts w:ascii="Times New Roman" w:hAnsi="Times New Roman" w:cs="Times New Roman"/>
        </w:rPr>
        <w:t xml:space="preserve"> za najem mieszkania w zasobach TBS, poprzez możliwość pobierania od najemcy inwestycyjnych, wskazanych w </w:t>
      </w:r>
      <w:r w:rsidRPr="0023349B">
        <w:rPr>
          <w:rFonts w:ascii="Times New Roman" w:hAnsi="Times New Roman" w:cs="Times New Roman"/>
          <w:i/>
        </w:rPr>
        <w:t>ustawie</w:t>
      </w:r>
      <w:r w:rsidRPr="0023349B">
        <w:rPr>
          <w:rFonts w:ascii="Times New Roman" w:hAnsi="Times New Roman" w:cs="Times New Roman"/>
        </w:rPr>
        <w:t xml:space="preserve"> opłat dodatkowych, których łączna kwota nie może przekroczyć w skali roku 1% wartości odtworzeniowej. Jednocześnie w projektowanym art. 28 ust. 2 pkt 2 </w:t>
      </w:r>
      <w:r w:rsidRPr="0023349B">
        <w:rPr>
          <w:rFonts w:ascii="Times New Roman" w:hAnsi="Times New Roman" w:cs="Times New Roman"/>
          <w:i/>
        </w:rPr>
        <w:t>ustawy</w:t>
      </w:r>
      <w:r w:rsidRPr="0023349B">
        <w:rPr>
          <w:rFonts w:ascii="Times New Roman" w:hAnsi="Times New Roman" w:cs="Times New Roman"/>
        </w:rPr>
        <w:t xml:space="preserve"> przewidziano wprowadzenie ograniczenia wysokości czynszu w towarzystwach budown</w:t>
      </w:r>
      <w:r w:rsidR="008E4884" w:rsidRPr="0023349B">
        <w:rPr>
          <w:rFonts w:ascii="Times New Roman" w:hAnsi="Times New Roman" w:cs="Times New Roman"/>
        </w:rPr>
        <w:t>ictwa społecznego utworzonych z </w:t>
      </w:r>
      <w:r w:rsidRPr="0023349B">
        <w:rPr>
          <w:rFonts w:ascii="Times New Roman" w:hAnsi="Times New Roman" w:cs="Times New Roman"/>
        </w:rPr>
        <w:t>udziałem Krajowego Zasobu Mieszkaniowego. Zadaniem Krajowego Zasobu Mieszkaniowego jest tworzenie warunków do zwiększenia dostępności mieszkań, zatem wysokość czynszu w mieszkaniach wybudowanych przez towarzystwo budownictwa społecznego z udziałem Krajowego Zasobu Nieruchomości, musi być dostosowana d</w:t>
      </w:r>
      <w:r w:rsidR="008E4884" w:rsidRPr="0023349B">
        <w:rPr>
          <w:rFonts w:ascii="Times New Roman" w:hAnsi="Times New Roman" w:cs="Times New Roman"/>
        </w:rPr>
        <w:t>o </w:t>
      </w:r>
      <w:r w:rsidRPr="0023349B">
        <w:rPr>
          <w:rFonts w:ascii="Times New Roman" w:hAnsi="Times New Roman" w:cs="Times New Roman"/>
        </w:rPr>
        <w:t>możliwości finansowych osób, które nie mogą pokryć kosztów najmu lokalu na rynku komercyjnym. Mając na względzie powyższe czynsz, za 1 m</w:t>
      </w:r>
      <w:r w:rsidRPr="0023349B">
        <w:rPr>
          <w:rFonts w:ascii="Times New Roman" w:hAnsi="Times New Roman" w:cs="Times New Roman"/>
          <w:vertAlign w:val="superscript"/>
        </w:rPr>
        <w:t>2</w:t>
      </w:r>
      <w:r w:rsidRPr="0023349B">
        <w:rPr>
          <w:rFonts w:ascii="Times New Roman" w:hAnsi="Times New Roman" w:cs="Times New Roman"/>
        </w:rPr>
        <w:t xml:space="preserve"> powierzchni użytkowej lokalu mieszkalnego w zasobach mieszkaniowych towarzystwa ustalony przez zgromadzenie wspólników, walne zgromadzenie akcjonariuszy albo walne zgromadzenie, w zasobach mieszkaniowych towarzystwa utworzonego z udziałem K</w:t>
      </w:r>
      <w:r w:rsidR="008E4884" w:rsidRPr="0023349B">
        <w:rPr>
          <w:rFonts w:ascii="Times New Roman" w:hAnsi="Times New Roman" w:cs="Times New Roman"/>
        </w:rPr>
        <w:t>rajowego Zasobu Nieruchomości o </w:t>
      </w:r>
      <w:r w:rsidRPr="0023349B">
        <w:rPr>
          <w:rFonts w:ascii="Times New Roman" w:hAnsi="Times New Roman" w:cs="Times New Roman"/>
        </w:rPr>
        <w:t xml:space="preserve">którym mowa w </w:t>
      </w:r>
      <w:r w:rsidRPr="0023349B">
        <w:rPr>
          <w:rFonts w:ascii="Times New Roman" w:hAnsi="Times New Roman" w:cs="Times New Roman"/>
          <w:i/>
        </w:rPr>
        <w:t>ustawie z dnia 20 lipca 2017 r. o Krajowy</w:t>
      </w:r>
      <w:r w:rsidR="008E4884" w:rsidRPr="0023349B">
        <w:rPr>
          <w:rFonts w:ascii="Times New Roman" w:hAnsi="Times New Roman" w:cs="Times New Roman"/>
          <w:i/>
        </w:rPr>
        <w:t>m Zasobie Nieruchomości (Dz. U. </w:t>
      </w:r>
      <w:r w:rsidRPr="0023349B">
        <w:rPr>
          <w:rFonts w:ascii="Times New Roman" w:hAnsi="Times New Roman" w:cs="Times New Roman"/>
          <w:i/>
        </w:rPr>
        <w:t>z 2018 r. poz. 2363 oraz z 2019 r. poz. 1309)</w:t>
      </w:r>
      <w:r w:rsidRPr="0023349B">
        <w:rPr>
          <w:rFonts w:ascii="Times New Roman" w:hAnsi="Times New Roman" w:cs="Times New Roman"/>
        </w:rPr>
        <w:t xml:space="preserve">, w skali roku nie może przekraczać 5% wartości odtworzeniowej, o której mowa w art. 28 ust. 2 pkt 1 </w:t>
      </w:r>
      <w:r w:rsidRPr="0023349B">
        <w:rPr>
          <w:rFonts w:ascii="Times New Roman" w:hAnsi="Times New Roman" w:cs="Times New Roman"/>
          <w:i/>
        </w:rPr>
        <w:t>ustawy o niektórych formach….</w:t>
      </w:r>
    </w:p>
    <w:p w:rsidR="00C268CB" w:rsidRPr="0023349B" w:rsidRDefault="00C268CB" w:rsidP="0023349B">
      <w:pPr>
        <w:numPr>
          <w:ilvl w:val="0"/>
          <w:numId w:val="14"/>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rPr>
        <w:t xml:space="preserve">Promowanie wykorzystania partycypacji w kosztach budowy przez innych interesariuszy niż przyszli najemcy i gminy – </w:t>
      </w:r>
      <w:r w:rsidRPr="0023349B">
        <w:rPr>
          <w:rFonts w:ascii="Times New Roman" w:hAnsi="Times New Roman" w:cs="Times New Roman"/>
          <w:b/>
        </w:rPr>
        <w:t xml:space="preserve">wprowadzenie możliwości wynajmu mieszkań przez pracodawców lub organizacje pozarządowe w celu podnajmu/udostępnienia mieszkania osobom fizycznym. </w:t>
      </w:r>
      <w:r w:rsidRPr="0023349B">
        <w:rPr>
          <w:rFonts w:ascii="Times New Roman" w:hAnsi="Times New Roman" w:cs="Times New Roman"/>
        </w:rPr>
        <w:t>Podnajemcy będą kwalifikowani</w:t>
      </w:r>
      <w:r w:rsidR="008E4884" w:rsidRPr="0023349B">
        <w:rPr>
          <w:rFonts w:ascii="Times New Roman" w:hAnsi="Times New Roman" w:cs="Times New Roman"/>
        </w:rPr>
        <w:t xml:space="preserve"> do używania mieszkań zgodnie z </w:t>
      </w:r>
      <w:r w:rsidRPr="0023349B">
        <w:rPr>
          <w:rFonts w:ascii="Times New Roman" w:hAnsi="Times New Roman" w:cs="Times New Roman"/>
        </w:rPr>
        <w:t xml:space="preserve">przesłanką stanowiącą podstawę zaangażowania interesariusza (pracownicy, w przypadku organizacji pożytku publicznego osoby dotknięte kryzysem bezdomności, emigranci…). </w:t>
      </w:r>
    </w:p>
    <w:p w:rsidR="00C268CB" w:rsidRPr="0023349B" w:rsidRDefault="00C268CB" w:rsidP="0023349B">
      <w:pPr>
        <w:numPr>
          <w:ilvl w:val="0"/>
          <w:numId w:val="14"/>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rPr>
        <w:t xml:space="preserve">Jednoznaczne </w:t>
      </w:r>
      <w:r w:rsidRPr="0023349B">
        <w:rPr>
          <w:rFonts w:ascii="Times New Roman" w:hAnsi="Times New Roman" w:cs="Times New Roman"/>
          <w:b/>
        </w:rPr>
        <w:t>doprecyzowanie możliwości wynajmu mieszkań w TBS wybudowanych przy wykorzystaniu preferencyjnych kredytów BGK (programy SBC i b. KFM) podmiotom innym niż osoby fizyczne</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Jak wynika z powyższego zestawienia, kwestiom partycypacji oraz ograniczeń lub braku możliwości nabywania tytułu prawa własności do mieszkań czynszowych w zasobach TBS wybudowanych w ramach programów wsparcia poświęcona została duża część nowych rozwiązań projektu </w:t>
      </w:r>
      <w:r w:rsidRPr="0023349B">
        <w:rPr>
          <w:rFonts w:ascii="Times New Roman" w:eastAsia="Times New Roman" w:hAnsi="Times New Roman" w:cs="Times New Roman"/>
          <w:i/>
        </w:rPr>
        <w:t>ustawy</w:t>
      </w:r>
      <w:r w:rsidRPr="0023349B">
        <w:rPr>
          <w:rFonts w:ascii="Times New Roman" w:eastAsia="Times New Roman" w:hAnsi="Times New Roman" w:cs="Times New Roman"/>
        </w:rPr>
        <w:t>. Do zagadnień tych odnoszą się bezpośrednio propozycje opisane w pkt 1</w:t>
      </w:r>
      <w:r w:rsidR="00C47C60" w:rsidRPr="0023349B">
        <w:rPr>
          <w:rFonts w:ascii="Times New Roman" w:eastAsia="Times New Roman" w:hAnsi="Times New Roman" w:cs="Times New Roman"/>
        </w:rPr>
        <w:t>–</w:t>
      </w:r>
      <w:r w:rsidRPr="0023349B">
        <w:rPr>
          <w:rFonts w:ascii="Times New Roman" w:eastAsia="Times New Roman" w:hAnsi="Times New Roman" w:cs="Times New Roman"/>
        </w:rPr>
        <w:t xml:space="preserve">4 ww. zestawienia głównych zmian w </w:t>
      </w:r>
      <w:r w:rsidRPr="0023349B">
        <w:rPr>
          <w:rFonts w:ascii="Times New Roman" w:eastAsia="Times New Roman" w:hAnsi="Times New Roman" w:cs="Times New Roman"/>
          <w:i/>
        </w:rPr>
        <w:t>ustawie o niektórych formach…</w:t>
      </w:r>
      <w:r w:rsidRPr="0023349B">
        <w:rPr>
          <w:rFonts w:ascii="Times New Roman" w:eastAsia="Times New Roman" w:hAnsi="Times New Roman" w:cs="Times New Roman"/>
        </w:rPr>
        <w:t>, a częściowo również propozycje zmian wskazane w pkt. 6</w:t>
      </w:r>
      <w:r w:rsidR="00C47C60" w:rsidRPr="0023349B">
        <w:rPr>
          <w:rFonts w:ascii="Times New Roman" w:eastAsia="Times New Roman" w:hAnsi="Times New Roman" w:cs="Times New Roman"/>
        </w:rPr>
        <w:t>–</w:t>
      </w:r>
      <w:r w:rsidRPr="0023349B">
        <w:rPr>
          <w:rFonts w:ascii="Times New Roman" w:eastAsia="Times New Roman" w:hAnsi="Times New Roman" w:cs="Times New Roman"/>
        </w:rPr>
        <w:t>7. Ich wprowadzenie istotnie poszerzy rolę, jaką pełnić może wkład własny najemcy lub innego interesariusza w inwestycji mieszkaniowej TBS.</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Pozostała część propozycji zmian w </w:t>
      </w:r>
      <w:r w:rsidRPr="0023349B">
        <w:rPr>
          <w:rFonts w:ascii="Times New Roman" w:eastAsia="Times New Roman" w:hAnsi="Times New Roman" w:cs="Times New Roman"/>
          <w:i/>
        </w:rPr>
        <w:t>ustawie o niektórych formach…</w:t>
      </w:r>
      <w:r w:rsidRPr="0023349B">
        <w:rPr>
          <w:rFonts w:ascii="Times New Roman" w:eastAsia="Times New Roman" w:hAnsi="Times New Roman" w:cs="Times New Roman"/>
        </w:rPr>
        <w:t xml:space="preserve"> wprowadza rozwiązania odpowiadające na potrzeby sygnalizowane przez podmioty zaangażowane w proces inwestycyjny programu wsparcia (BGK, gminy, środowisko TBS). Zostaną one jeszcze wyjaśnione w dalszej, szczegółowej części uzasadnienia.</w:t>
      </w:r>
    </w:p>
    <w:p w:rsidR="00C268CB" w:rsidRPr="0023349B" w:rsidRDefault="00C268CB" w:rsidP="0023349B">
      <w:pPr>
        <w:spacing w:after="240" w:line="360" w:lineRule="auto"/>
        <w:jc w:val="both"/>
        <w:rPr>
          <w:rFonts w:ascii="Times New Roman" w:eastAsia="Times New Roman" w:hAnsi="Times New Roman" w:cs="Times New Roman"/>
          <w:b/>
          <w:u w:val="single"/>
        </w:rPr>
      </w:pPr>
      <w:r w:rsidRPr="0023349B">
        <w:rPr>
          <w:rFonts w:ascii="Times New Roman" w:eastAsia="Times New Roman" w:hAnsi="Times New Roman" w:cs="Times New Roman"/>
          <w:b/>
          <w:u w:val="single"/>
        </w:rPr>
        <w:t>Wsparcie gmin w budowie dostępnych mieszkań czynszowych, w tym komunalnych</w:t>
      </w:r>
    </w:p>
    <w:p w:rsidR="00C268CB" w:rsidRPr="0023349B" w:rsidRDefault="00C268CB" w:rsidP="0023349B">
      <w:pPr>
        <w:spacing w:after="240" w:line="360" w:lineRule="auto"/>
        <w:jc w:val="both"/>
        <w:rPr>
          <w:rFonts w:ascii="Times New Roman" w:eastAsia="Times New Roman" w:hAnsi="Times New Roman" w:cs="Times New Roman"/>
          <w:i/>
        </w:rPr>
      </w:pPr>
      <w:r w:rsidRPr="0023349B">
        <w:rPr>
          <w:rFonts w:ascii="Times New Roman" w:eastAsia="Times New Roman" w:hAnsi="Times New Roman" w:cs="Times New Roman"/>
          <w:i/>
        </w:rPr>
        <w:t>Dotychczasowy kierunek zmian prawnych</w:t>
      </w:r>
    </w:p>
    <w:p w:rsidR="00C268CB" w:rsidRPr="0023349B" w:rsidRDefault="00C268CB" w:rsidP="0023349B">
      <w:pPr>
        <w:pStyle w:val="Akapitzlist1"/>
        <w:spacing w:after="240" w:line="360" w:lineRule="auto"/>
        <w:ind w:left="0"/>
        <w:jc w:val="both"/>
        <w:rPr>
          <w:rFonts w:ascii="Times New Roman" w:hAnsi="Times New Roman" w:cs="Times New Roman"/>
        </w:rPr>
      </w:pPr>
      <w:r w:rsidRPr="0023349B">
        <w:rPr>
          <w:rFonts w:ascii="Times New Roman" w:hAnsi="Times New Roman" w:cs="Times New Roman"/>
        </w:rPr>
        <w:t xml:space="preserve">Drugim podstawowym instrumentem wsparcia dostępnego budownictwa czynszowego, a zarazem drugim przedmiotem zmian proponowanych w przedłożonym projekcie </w:t>
      </w:r>
      <w:r w:rsidRPr="0023349B">
        <w:rPr>
          <w:rFonts w:ascii="Times New Roman" w:hAnsi="Times New Roman" w:cs="Times New Roman"/>
          <w:i/>
        </w:rPr>
        <w:t>ustawy</w:t>
      </w:r>
      <w:r w:rsidRPr="0023349B">
        <w:rPr>
          <w:rFonts w:ascii="Times New Roman" w:hAnsi="Times New Roman" w:cs="Times New Roman"/>
        </w:rPr>
        <w:t>, jest program bezzwrotnego dofinansowania części kosztów inwestycji mi</w:t>
      </w:r>
      <w:r w:rsidR="001041B0" w:rsidRPr="0023349B">
        <w:rPr>
          <w:rFonts w:ascii="Times New Roman" w:hAnsi="Times New Roman" w:cs="Times New Roman"/>
        </w:rPr>
        <w:t>eszkaniowej z Funduszu Dopłat w </w:t>
      </w:r>
      <w:r w:rsidRPr="0023349B">
        <w:rPr>
          <w:rFonts w:ascii="Times New Roman" w:hAnsi="Times New Roman" w:cs="Times New Roman"/>
        </w:rPr>
        <w:t xml:space="preserve">BGK, tj. program BSK). </w:t>
      </w:r>
    </w:p>
    <w:p w:rsidR="00C268CB" w:rsidRPr="0023349B" w:rsidRDefault="00C268CB" w:rsidP="0023349B">
      <w:pPr>
        <w:pStyle w:val="Akapitzlist1"/>
        <w:spacing w:after="120" w:line="360" w:lineRule="auto"/>
        <w:ind w:left="0"/>
        <w:jc w:val="both"/>
        <w:rPr>
          <w:rFonts w:ascii="Times New Roman" w:hAnsi="Times New Roman" w:cs="Times New Roman"/>
        </w:rPr>
      </w:pPr>
      <w:r w:rsidRPr="0023349B">
        <w:rPr>
          <w:rFonts w:ascii="Times New Roman" w:hAnsi="Times New Roman" w:cs="Times New Roman"/>
        </w:rPr>
        <w:t xml:space="preserve">W ramach </w:t>
      </w:r>
      <w:r w:rsidRPr="0023349B">
        <w:rPr>
          <w:rFonts w:ascii="Times New Roman" w:eastAsia="Times New Roman" w:hAnsi="Times New Roman" w:cs="Times New Roman"/>
        </w:rPr>
        <w:t>programu BSK, którego celem jest wsparcie w zaspokajaniu potrzeb mieszkaniowych osób w najtrudniejszej sytuacji życiowej, jego beneficjenci (m.in. gminy, jednoosobowe spółki gminne, związki międzygminne, powiaty i organizacje pożytku publicznego), mogą realizować inwestycje mieszkaniowe przy udziale środków z budżetu państwa. W zależności od rodzaju realizowanego przedsięwzięcia beneficjent wsparcia może aktualnie otrzymać wsparcie w maksymalnej wysokości 20</w:t>
      </w:r>
      <w:r w:rsidR="00C47C60" w:rsidRPr="0023349B">
        <w:rPr>
          <w:rFonts w:ascii="Times New Roman" w:eastAsia="Times New Roman" w:hAnsi="Times New Roman" w:cs="Times New Roman"/>
        </w:rPr>
        <w:t>–</w:t>
      </w:r>
      <w:r w:rsidRPr="0023349B">
        <w:rPr>
          <w:rFonts w:ascii="Times New Roman" w:eastAsia="Times New Roman" w:hAnsi="Times New Roman" w:cs="Times New Roman"/>
        </w:rPr>
        <w:t xml:space="preserve">55% kosztów. Dofinansowane przedsięwzięcie może polegać na budowie, remoncie, przebudowie i zmianie sposobu użytkowania budynku, a także na udziale w inwestycji realizowanej przez towarzystwo budownictwa społecznego lub prywatnego inwestora, w wyniku czego powstaną lokale mieszkalne na wynajem, mieszkania chronione oraz interwencyjny zasób mieszkaniowy w postaci noclegowni, schronisk dla bezdomnych, ogrzewalni i tymczasowych pomieszczeń. Możliwe jest także kupno lokali mieszkalnych lub budynku mieszkalnego, w tym połączone z remontem. </w:t>
      </w:r>
      <w:r w:rsidRPr="0023349B">
        <w:rPr>
          <w:rFonts w:ascii="Times New Roman" w:hAnsi="Times New Roman" w:cs="Times New Roman"/>
        </w:rPr>
        <w:t>Źródłem udzielanej pomocy jest Fundusz Dopłat ulokowany w BGK. BGK prowadzi działalność operacyjną programu BSK. Rolą BGK jest nabór oraz weryfikacja napływających wniosków, zawieranie z wn</w:t>
      </w:r>
      <w:r w:rsidR="001041B0" w:rsidRPr="0023349B">
        <w:rPr>
          <w:rFonts w:ascii="Times New Roman" w:hAnsi="Times New Roman" w:cs="Times New Roman"/>
        </w:rPr>
        <w:t>ioskodawcami stosownych umów, a </w:t>
      </w:r>
      <w:r w:rsidRPr="0023349B">
        <w:rPr>
          <w:rFonts w:ascii="Times New Roman" w:hAnsi="Times New Roman" w:cs="Times New Roman"/>
        </w:rPr>
        <w:t>następnie wypłata i rozliczenie wypłaconych środków beneficjentowi wsparcia.</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iCs/>
        </w:rPr>
        <w:t xml:space="preserve">W okresie ostatnich dwóch lat </w:t>
      </w:r>
      <w:r w:rsidRPr="0023349B">
        <w:rPr>
          <w:rFonts w:ascii="Times New Roman" w:hAnsi="Times New Roman" w:cs="Times New Roman"/>
        </w:rPr>
        <w:t xml:space="preserve">przepisy </w:t>
      </w:r>
      <w:r w:rsidRPr="0023349B">
        <w:rPr>
          <w:rFonts w:ascii="Times New Roman" w:hAnsi="Times New Roman" w:cs="Times New Roman"/>
          <w:i/>
        </w:rPr>
        <w:t xml:space="preserve">ustawy o finansowym wsparciu…, </w:t>
      </w:r>
      <w:r w:rsidRPr="0023349B">
        <w:rPr>
          <w:rFonts w:ascii="Times New Roman" w:hAnsi="Times New Roman" w:cs="Times New Roman"/>
          <w:iCs/>
        </w:rPr>
        <w:t>które są podstawą realizacji programu BSK,</w:t>
      </w:r>
      <w:r w:rsidRPr="0023349B">
        <w:rPr>
          <w:rFonts w:ascii="Times New Roman" w:hAnsi="Times New Roman" w:cs="Times New Roman"/>
        </w:rPr>
        <w:t xml:space="preserve"> ulegały znaczącym zmianom. W</w:t>
      </w:r>
      <w:r w:rsidRPr="0023349B">
        <w:rPr>
          <w:rFonts w:ascii="Times New Roman" w:eastAsia="Times New Roman" w:hAnsi="Times New Roman" w:cs="Times New Roman"/>
          <w:bCs/>
        </w:rPr>
        <w:t>prowadzono szereg rozwiązań wspierających samorządy w realizacji polityki mieszkaniowej, które wpływały będą na zwiększenie efektów społecznego budownictwa czynszowego w seg</w:t>
      </w:r>
      <w:r w:rsidR="001041B0" w:rsidRPr="0023349B">
        <w:rPr>
          <w:rFonts w:ascii="Times New Roman" w:eastAsia="Times New Roman" w:hAnsi="Times New Roman" w:cs="Times New Roman"/>
          <w:bCs/>
        </w:rPr>
        <w:t>mencie mieszkań komunalnych. Do </w:t>
      </w:r>
      <w:r w:rsidRPr="0023349B">
        <w:rPr>
          <w:rFonts w:ascii="Times New Roman" w:eastAsia="Times New Roman" w:hAnsi="Times New Roman" w:cs="Times New Roman"/>
          <w:bCs/>
        </w:rPr>
        <w:t>podstawowych należy zaliczyć:</w:t>
      </w:r>
      <w:r w:rsidRPr="0023349B">
        <w:rPr>
          <w:rFonts w:ascii="Times New Roman" w:hAnsi="Times New Roman" w:cs="Times New Roman"/>
        </w:rPr>
        <w:t xml:space="preserve"> </w:t>
      </w:r>
    </w:p>
    <w:p w:rsidR="00C268CB" w:rsidRPr="0023349B" w:rsidRDefault="00C268CB" w:rsidP="0023349B">
      <w:pPr>
        <w:numPr>
          <w:ilvl w:val="0"/>
          <w:numId w:val="18"/>
        </w:numPr>
        <w:tabs>
          <w:tab w:val="left" w:pos="0"/>
        </w:tabs>
        <w:spacing w:after="120" w:line="360" w:lineRule="auto"/>
        <w:ind w:left="425" w:hanging="283"/>
        <w:jc w:val="both"/>
        <w:rPr>
          <w:rFonts w:ascii="Times New Roman" w:eastAsia="Times New Roman" w:hAnsi="Times New Roman" w:cs="Times New Roman"/>
          <w:bCs/>
        </w:rPr>
      </w:pPr>
      <w:r w:rsidRPr="0023349B">
        <w:rPr>
          <w:rFonts w:ascii="Times New Roman" w:eastAsia="Times New Roman" w:hAnsi="Times New Roman" w:cs="Times New Roman"/>
          <w:bCs/>
        </w:rPr>
        <w:t>wprowadzenie nowego instrumentu bezzwrotnego wsparcia udzielanego na tworzenie lokali mieszkalnych na wynajem innych niż komunalne (grant w wysokości 20% kosztów przedsięwzięcia udzielany JST jako podmiotowi partycypującemu w kosztach przedsięwzięcia na podstawie umowy z inwestorem);</w:t>
      </w:r>
    </w:p>
    <w:p w:rsidR="00C268CB" w:rsidRPr="0023349B" w:rsidRDefault="00C268CB" w:rsidP="0023349B">
      <w:pPr>
        <w:numPr>
          <w:ilvl w:val="0"/>
          <w:numId w:val="18"/>
        </w:numPr>
        <w:tabs>
          <w:tab w:val="left" w:pos="0"/>
        </w:tabs>
        <w:spacing w:after="120" w:line="360" w:lineRule="auto"/>
        <w:ind w:left="425" w:hanging="283"/>
        <w:jc w:val="both"/>
        <w:rPr>
          <w:rFonts w:ascii="Times New Roman" w:eastAsia="Times New Roman" w:hAnsi="Times New Roman" w:cs="Times New Roman"/>
          <w:bCs/>
        </w:rPr>
      </w:pPr>
      <w:r w:rsidRPr="0023349B">
        <w:rPr>
          <w:rFonts w:ascii="Times New Roman" w:eastAsia="Times New Roman" w:hAnsi="Times New Roman" w:cs="Times New Roman"/>
          <w:bCs/>
        </w:rPr>
        <w:t>likwidacja obowiązku wydzielania tzw. ekwiwalentnego zasobu lokali socjalnych (dodatkowo w połączeniu z odejściem od formuły wyodrębnio</w:t>
      </w:r>
      <w:r w:rsidR="001041B0" w:rsidRPr="0023349B">
        <w:rPr>
          <w:rFonts w:ascii="Times New Roman" w:eastAsia="Times New Roman" w:hAnsi="Times New Roman" w:cs="Times New Roman"/>
          <w:bCs/>
        </w:rPr>
        <w:t>nego zasobu lokali socjalnych z </w:t>
      </w:r>
      <w:r w:rsidRPr="0023349B">
        <w:rPr>
          <w:rFonts w:ascii="Times New Roman" w:eastAsia="Times New Roman" w:hAnsi="Times New Roman" w:cs="Times New Roman"/>
          <w:bCs/>
        </w:rPr>
        <w:t>mieszkaniowego zasobu gminy);</w:t>
      </w:r>
    </w:p>
    <w:p w:rsidR="00C268CB" w:rsidRPr="0023349B" w:rsidRDefault="00C268CB" w:rsidP="0023349B">
      <w:pPr>
        <w:numPr>
          <w:ilvl w:val="0"/>
          <w:numId w:val="18"/>
        </w:numPr>
        <w:tabs>
          <w:tab w:val="left" w:pos="0"/>
        </w:tabs>
        <w:spacing w:after="120" w:line="360" w:lineRule="auto"/>
        <w:ind w:left="425" w:hanging="283"/>
        <w:jc w:val="both"/>
        <w:rPr>
          <w:rFonts w:ascii="Times New Roman" w:eastAsia="Times New Roman" w:hAnsi="Times New Roman" w:cs="Times New Roman"/>
          <w:bCs/>
        </w:rPr>
      </w:pPr>
      <w:r w:rsidRPr="0023349B">
        <w:rPr>
          <w:rFonts w:ascii="Times New Roman" w:eastAsia="Times New Roman" w:hAnsi="Times New Roman" w:cs="Times New Roman"/>
          <w:bCs/>
        </w:rPr>
        <w:t>zniesienie zakazu łączenia wsparcia w ramach programu ze środków Unii Europejskiej;</w:t>
      </w:r>
    </w:p>
    <w:p w:rsidR="00C268CB" w:rsidRPr="0023349B" w:rsidRDefault="00C268CB" w:rsidP="0023349B">
      <w:pPr>
        <w:numPr>
          <w:ilvl w:val="0"/>
          <w:numId w:val="18"/>
        </w:numPr>
        <w:tabs>
          <w:tab w:val="left" w:pos="0"/>
        </w:tabs>
        <w:spacing w:after="120" w:line="360" w:lineRule="auto"/>
        <w:ind w:left="425" w:hanging="283"/>
        <w:jc w:val="both"/>
        <w:rPr>
          <w:rFonts w:ascii="Times New Roman" w:eastAsia="Times New Roman" w:hAnsi="Times New Roman" w:cs="Times New Roman"/>
          <w:bCs/>
        </w:rPr>
      </w:pPr>
      <w:r w:rsidRPr="0023349B">
        <w:rPr>
          <w:rFonts w:ascii="Times New Roman" w:eastAsia="Times New Roman" w:hAnsi="Times New Roman" w:cs="Times New Roman"/>
          <w:bCs/>
        </w:rPr>
        <w:t>wprowadzenie nowego rodzaju przedsięwzięcia polegającego na remoncie lub przebudowie budynku mieszkalnego, który ze względu na zły sta</w:t>
      </w:r>
      <w:r w:rsidR="001041B0" w:rsidRPr="0023349B">
        <w:rPr>
          <w:rFonts w:ascii="Times New Roman" w:eastAsia="Times New Roman" w:hAnsi="Times New Roman" w:cs="Times New Roman"/>
          <w:bCs/>
        </w:rPr>
        <w:t>n techniczny został wyłączony z </w:t>
      </w:r>
      <w:r w:rsidRPr="0023349B">
        <w:rPr>
          <w:rFonts w:ascii="Times New Roman" w:eastAsia="Times New Roman" w:hAnsi="Times New Roman" w:cs="Times New Roman"/>
          <w:bCs/>
        </w:rPr>
        <w:t xml:space="preserve">użytkowania albo zakazano jego użytkowania na podstawie przepisów Prawo budowlane; </w:t>
      </w:r>
    </w:p>
    <w:p w:rsidR="00C268CB" w:rsidRPr="0023349B" w:rsidRDefault="00C268CB" w:rsidP="0023349B">
      <w:pPr>
        <w:numPr>
          <w:ilvl w:val="0"/>
          <w:numId w:val="18"/>
        </w:numPr>
        <w:tabs>
          <w:tab w:val="left" w:pos="0"/>
        </w:tabs>
        <w:spacing w:after="120" w:line="360" w:lineRule="auto"/>
        <w:ind w:left="425" w:hanging="283"/>
        <w:jc w:val="both"/>
        <w:rPr>
          <w:rFonts w:ascii="Times New Roman" w:eastAsia="Times New Roman" w:hAnsi="Times New Roman" w:cs="Times New Roman"/>
          <w:bCs/>
        </w:rPr>
      </w:pPr>
      <w:r w:rsidRPr="0023349B">
        <w:rPr>
          <w:rFonts w:ascii="Times New Roman" w:eastAsia="Times New Roman" w:hAnsi="Times New Roman" w:cs="Times New Roman"/>
          <w:bCs/>
        </w:rPr>
        <w:t>objęcie wsparciem przedsięwzięcia polegającego na tworzeniu tymczasowych pomieszczeń;</w:t>
      </w:r>
    </w:p>
    <w:p w:rsidR="00C268CB" w:rsidRPr="0023349B" w:rsidRDefault="00C268CB" w:rsidP="0023349B">
      <w:pPr>
        <w:numPr>
          <w:ilvl w:val="0"/>
          <w:numId w:val="18"/>
        </w:numPr>
        <w:tabs>
          <w:tab w:val="left" w:pos="0"/>
        </w:tabs>
        <w:spacing w:after="240" w:line="360" w:lineRule="auto"/>
        <w:ind w:left="425" w:hanging="283"/>
        <w:jc w:val="both"/>
        <w:rPr>
          <w:rFonts w:ascii="Times New Roman" w:eastAsia="Times New Roman" w:hAnsi="Times New Roman" w:cs="Times New Roman"/>
          <w:bCs/>
        </w:rPr>
      </w:pPr>
      <w:r w:rsidRPr="0023349B">
        <w:rPr>
          <w:rFonts w:ascii="Times New Roman" w:eastAsia="Times New Roman" w:hAnsi="Times New Roman" w:cs="Times New Roman"/>
          <w:bCs/>
        </w:rPr>
        <w:t>podniesienie wysokości finansowego wsparcia (z 30 do 50%) na wykup byłych mieszkań zakładowych;</w:t>
      </w:r>
    </w:p>
    <w:p w:rsidR="00C268CB" w:rsidRPr="0023349B" w:rsidRDefault="00C268CB" w:rsidP="0023349B">
      <w:pPr>
        <w:spacing w:after="120" w:line="360" w:lineRule="auto"/>
        <w:jc w:val="both"/>
        <w:rPr>
          <w:rFonts w:ascii="Times New Roman" w:eastAsia="Times New Roman" w:hAnsi="Times New Roman" w:cs="Times New Roman"/>
          <w:bCs/>
        </w:rPr>
      </w:pPr>
      <w:r w:rsidRPr="0023349B">
        <w:rPr>
          <w:rStyle w:val="Uwydatnienie"/>
          <w:rFonts w:ascii="Times New Roman" w:hAnsi="Times New Roman" w:cs="Times New Roman"/>
          <w:i w:val="0"/>
        </w:rPr>
        <w:t>Poszerzenie zakresu i wysokości finansowego wsparcia korespondowało również z przyjętą w 2018 r. zmianą dotychczasowych zasad</w:t>
      </w:r>
      <w:r w:rsidRPr="0023349B">
        <w:rPr>
          <w:rFonts w:ascii="Times New Roman" w:eastAsia="Times New Roman" w:hAnsi="Times New Roman" w:cs="Times New Roman"/>
          <w:bCs/>
          <w:i/>
        </w:rPr>
        <w:t xml:space="preserve"> </w:t>
      </w:r>
      <w:r w:rsidRPr="0023349B">
        <w:rPr>
          <w:rFonts w:ascii="Times New Roman" w:eastAsia="Times New Roman" w:hAnsi="Times New Roman" w:cs="Times New Roman"/>
          <w:bCs/>
        </w:rPr>
        <w:t xml:space="preserve">finansowania przez BGK, polegającą na wprowadzeniu mechanizmu przekazywania środków budżetowych zasilających Funduszu Dopłat poprzez rezerwę celową budżetu państwa. W efekcie finansowanie może zostać udzielone adekwatnie do potrzeb gmin, a nie w ramach corocznie planowanych kwot, które mogły być znacznie mniejsze od racjonalnych planów inwestycyjnych JST w danym roku.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eastAsia="Times New Roman" w:hAnsi="Times New Roman" w:cs="Times New Roman"/>
          <w:bCs/>
        </w:rPr>
        <w:t>W konsekwencji, w latach 2019–2025 na pokrycie części kosztów dofinansowania budowy mieszkań komunalnych oraz na wynajem dopuszcza się maksymalnie przeznaczenie łącznej kwoty nawet 6 mld zł. W</w:t>
      </w:r>
      <w:r w:rsidRPr="0023349B">
        <w:rPr>
          <w:rFonts w:ascii="Times New Roman" w:hAnsi="Times New Roman" w:cs="Times New Roman"/>
        </w:rPr>
        <w:t xml:space="preserve"> budżetach na 2019</w:t>
      </w:r>
      <w:r w:rsidR="00C47C60" w:rsidRPr="0023349B">
        <w:rPr>
          <w:rFonts w:ascii="Times New Roman" w:hAnsi="Times New Roman" w:cs="Times New Roman"/>
        </w:rPr>
        <w:t>–</w:t>
      </w:r>
      <w:r w:rsidRPr="0023349B">
        <w:rPr>
          <w:rFonts w:ascii="Times New Roman" w:hAnsi="Times New Roman" w:cs="Times New Roman"/>
        </w:rPr>
        <w:t>2020 r. rząd zarezerwował na program bezzwrotnego wsparcia budownictwa z Funduszu Dopłat kwoty 500 mln zł rocznie, zaś plany na lata 2021</w:t>
      </w:r>
      <w:r w:rsidR="00C47C60" w:rsidRPr="0023349B">
        <w:rPr>
          <w:rFonts w:ascii="Times New Roman" w:hAnsi="Times New Roman" w:cs="Times New Roman"/>
        </w:rPr>
        <w:t>–</w:t>
      </w:r>
      <w:r w:rsidRPr="0023349B">
        <w:rPr>
          <w:rFonts w:ascii="Times New Roman" w:hAnsi="Times New Roman" w:cs="Times New Roman"/>
        </w:rPr>
        <w:t xml:space="preserve">2025 umożliwiają wsparcie budowy mieszkań kwotą maks. 1 mld zł rocznie. </w:t>
      </w:r>
    </w:p>
    <w:p w:rsidR="00C268CB" w:rsidRPr="0023349B" w:rsidRDefault="00C268CB" w:rsidP="0023349B">
      <w:pPr>
        <w:pStyle w:val="Akapitzlist1"/>
        <w:spacing w:after="120" w:line="360" w:lineRule="auto"/>
        <w:ind w:left="0"/>
        <w:jc w:val="both"/>
        <w:rPr>
          <w:rFonts w:ascii="Times New Roman" w:hAnsi="Times New Roman" w:cs="Times New Roman"/>
        </w:rPr>
      </w:pPr>
      <w:r w:rsidRPr="0023349B">
        <w:rPr>
          <w:rFonts w:ascii="Times New Roman" w:hAnsi="Times New Roman" w:cs="Times New Roman"/>
        </w:rPr>
        <w:t xml:space="preserve">Podsumowując powyższe, zmiany prawne wprowadzone w latach </w:t>
      </w:r>
      <w:r w:rsidR="001041B0" w:rsidRPr="0023349B">
        <w:rPr>
          <w:rFonts w:ascii="Times New Roman" w:hAnsi="Times New Roman" w:cs="Times New Roman"/>
        </w:rPr>
        <w:t>2017</w:t>
      </w:r>
      <w:r w:rsidR="00193AD6" w:rsidRPr="0023349B">
        <w:rPr>
          <w:rFonts w:ascii="Times New Roman" w:hAnsi="Times New Roman" w:cs="Times New Roman"/>
          <w:bCs/>
        </w:rPr>
        <w:t>–</w:t>
      </w:r>
      <w:r w:rsidR="001041B0" w:rsidRPr="0023349B">
        <w:rPr>
          <w:rFonts w:ascii="Times New Roman" w:hAnsi="Times New Roman" w:cs="Times New Roman"/>
        </w:rPr>
        <w:t>2019 stwarzają obecnie dla </w:t>
      </w:r>
      <w:r w:rsidRPr="0023349B">
        <w:rPr>
          <w:rFonts w:ascii="Times New Roman" w:hAnsi="Times New Roman" w:cs="Times New Roman"/>
        </w:rPr>
        <w:t xml:space="preserve">gmin </w:t>
      </w:r>
      <w:r w:rsidRPr="0023349B">
        <w:rPr>
          <w:rStyle w:val="Uwydatnienie"/>
          <w:rFonts w:ascii="Times New Roman" w:hAnsi="Times New Roman" w:cs="Times New Roman"/>
          <w:i w:val="0"/>
        </w:rPr>
        <w:t>szerokie możliwości zwiększania liczby mieszk</w:t>
      </w:r>
      <w:r w:rsidR="001041B0" w:rsidRPr="0023349B">
        <w:rPr>
          <w:rStyle w:val="Uwydatnienie"/>
          <w:rFonts w:ascii="Times New Roman" w:hAnsi="Times New Roman" w:cs="Times New Roman"/>
          <w:i w:val="0"/>
        </w:rPr>
        <w:t>ań komunalnych oraz mieszkań o </w:t>
      </w:r>
      <w:r w:rsidRPr="0023349B">
        <w:rPr>
          <w:rStyle w:val="Uwydatnienie"/>
          <w:rFonts w:ascii="Times New Roman" w:hAnsi="Times New Roman" w:cs="Times New Roman"/>
          <w:i w:val="0"/>
        </w:rPr>
        <w:t>dostępnym czynszu, przenosząc na budżet państwa duży ciężar kosztów finansowania inwestycji.</w:t>
      </w:r>
      <w:r w:rsidRPr="0023349B">
        <w:rPr>
          <w:rStyle w:val="Uwydatnienie"/>
          <w:rFonts w:ascii="Times New Roman" w:hAnsi="Times New Roman" w:cs="Times New Roman"/>
        </w:rPr>
        <w:t xml:space="preserve"> </w:t>
      </w:r>
      <w:r w:rsidRPr="0023349B">
        <w:rPr>
          <w:rFonts w:ascii="Times New Roman" w:hAnsi="Times New Roman" w:cs="Times New Roman"/>
        </w:rPr>
        <w:t>Pomimo występowania nadal dużych deficytów ilościowych i jakościowych dotyczących mieszkań o niskich czynszach, liczba nowych inwestycji budownictwa komunalnego i społecznego znacząco odbiega zarówno od potrzeb, jak również możliwości dofinansowania, jakie stwarza program wsparcia, zgodnie z poziomem zabezpieczenia środków w budżecie państwa. Jest to po części efektem nadal trwającego okresu wdrażania szerokich zmian legislacyjnych – czasu potrzebnego na</w:t>
      </w:r>
      <w:r w:rsidR="001041B0" w:rsidRPr="0023349B">
        <w:rPr>
          <w:rFonts w:ascii="Times New Roman" w:hAnsi="Times New Roman" w:cs="Times New Roman"/>
        </w:rPr>
        <w:t> </w:t>
      </w:r>
      <w:r w:rsidRPr="0023349B">
        <w:rPr>
          <w:rFonts w:ascii="Times New Roman" w:hAnsi="Times New Roman" w:cs="Times New Roman"/>
        </w:rPr>
        <w:t>przygotowanie projektów inwestycyjnych w budownictwie mieszkaniowym w udziałem gmin, szczególnie po uwzględnieniu hybrydowego finansowania, wykorzystującego w jednym projekcie kilka instrumentów wsparcia. Na powyższe wpływ mógł mieć również trudny rynek wykonawczy inwestycji mieszkaniowych. Małe zainteresowanie firm budowlanych przetargami ogłaszanymi przez wnioskodawców oraz ceny ofert często przekraczające wysokość środków, jakimi dysponują wnioskodawcy na realizację inwestycji, mogły skutkować unieważnieniem przetargów albo koniecznością pozyskania dodatkowych źródeł finansowania inwestycji.</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Wystąpienia i wnioski kierowane do projektodawcy ze strony zaangażowanych podmiotów (BGK, gminy, środowiska eksperckie</w:t>
      </w:r>
      <w:r w:rsidRPr="0023349B">
        <w:rPr>
          <w:rStyle w:val="Znakiprzypiswdolnych"/>
          <w:rFonts w:ascii="Times New Roman" w:hAnsi="Times New Roman" w:cs="Times New Roman"/>
        </w:rPr>
        <w:footnoteReference w:id="5"/>
      </w:r>
      <w:r w:rsidR="0023349B" w:rsidRPr="0023349B">
        <w:rPr>
          <w:rFonts w:ascii="Times New Roman" w:hAnsi="Times New Roman"/>
          <w:bCs/>
          <w:vertAlign w:val="superscript"/>
        </w:rPr>
        <w:t>)</w:t>
      </w:r>
      <w:r w:rsidRPr="0023349B">
        <w:rPr>
          <w:rFonts w:ascii="Times New Roman" w:hAnsi="Times New Roman" w:cs="Times New Roman"/>
        </w:rPr>
        <w:t xml:space="preserve">) wskazują jednak, że w pewnym zakresie zwiększenie efektów budownictwa w tym segmencie rynku wymaga zoptymalizowania procesu przygotowywania wniosków i aplikowania o środki Funduszu Dopłat przez gminy, co może wymagać modyfikacji niektórych zasad programu wsparcia z FD. Jest to jednym z celów przedłożonego projektu </w:t>
      </w:r>
      <w:r w:rsidRPr="0023349B">
        <w:rPr>
          <w:rFonts w:ascii="Times New Roman" w:hAnsi="Times New Roman" w:cs="Times New Roman"/>
          <w:i/>
        </w:rPr>
        <w:t>ustawy</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eastAsia="Times New Roman" w:hAnsi="Times New Roman" w:cs="Times New Roman"/>
          <w:i/>
        </w:rPr>
      </w:pPr>
      <w:r w:rsidRPr="0023349B">
        <w:rPr>
          <w:rFonts w:ascii="Times New Roman" w:eastAsia="Times New Roman" w:hAnsi="Times New Roman" w:cs="Times New Roman"/>
          <w:i/>
        </w:rPr>
        <w:t>Proponowane rozwiązania</w:t>
      </w:r>
    </w:p>
    <w:p w:rsidR="00C268CB" w:rsidRPr="0023349B" w:rsidRDefault="00C268CB" w:rsidP="0023349B">
      <w:pPr>
        <w:pStyle w:val="Akapitzlist1"/>
        <w:spacing w:after="120" w:line="360" w:lineRule="auto"/>
        <w:ind w:left="0"/>
        <w:jc w:val="both"/>
        <w:rPr>
          <w:rFonts w:ascii="Times New Roman" w:hAnsi="Times New Roman" w:cs="Times New Roman"/>
        </w:rPr>
      </w:pPr>
      <w:r w:rsidRPr="0023349B">
        <w:rPr>
          <w:rFonts w:ascii="Times New Roman" w:hAnsi="Times New Roman" w:cs="Times New Roman"/>
        </w:rPr>
        <w:t xml:space="preserve">Przedłożony projekt w zakresie </w:t>
      </w:r>
      <w:r w:rsidRPr="0023349B">
        <w:rPr>
          <w:rFonts w:ascii="Times New Roman" w:hAnsi="Times New Roman" w:cs="Times New Roman"/>
          <w:i/>
        </w:rPr>
        <w:t xml:space="preserve">ustawy o finansowym wsparciu </w:t>
      </w:r>
      <w:r w:rsidRPr="0023349B">
        <w:rPr>
          <w:rFonts w:ascii="Times New Roman" w:hAnsi="Times New Roman" w:cs="Times New Roman"/>
        </w:rPr>
        <w:t>ma na celu zwiększenie efektów rzeczowych programu BSK oraz wprowadzenie rozwiązań eliminujących podstawowe bariery efektywnej realizacji programu. Rekomenduje się dalszy rozwój rządowego programu BSK. Zasadne jest ponadto dalsze synchronizowanie tego programu z programem społecznego budownictwa czynszowego i działalnością Funduszu Termomodernizacji i Remontów.</w:t>
      </w:r>
    </w:p>
    <w:p w:rsidR="00C268CB" w:rsidRPr="0023349B" w:rsidRDefault="00C268CB" w:rsidP="0023349B">
      <w:pPr>
        <w:pStyle w:val="Akapitzlist1"/>
        <w:spacing w:after="240" w:line="360" w:lineRule="auto"/>
        <w:ind w:left="0"/>
        <w:jc w:val="both"/>
        <w:rPr>
          <w:rFonts w:ascii="Times New Roman" w:hAnsi="Times New Roman" w:cs="Times New Roman"/>
        </w:rPr>
      </w:pPr>
      <w:r w:rsidRPr="0023349B">
        <w:rPr>
          <w:rFonts w:ascii="Times New Roman" w:hAnsi="Times New Roman" w:cs="Times New Roman"/>
        </w:rPr>
        <w:t>Proponowane zmiany stanowią odpowiedź na:</w:t>
      </w:r>
    </w:p>
    <w:p w:rsidR="00C268CB" w:rsidRPr="0023349B" w:rsidRDefault="00C268CB" w:rsidP="0023349B">
      <w:pPr>
        <w:pStyle w:val="Akapitzlist1"/>
        <w:numPr>
          <w:ilvl w:val="0"/>
          <w:numId w:val="19"/>
        </w:numPr>
        <w:tabs>
          <w:tab w:val="left" w:pos="0"/>
        </w:tabs>
        <w:spacing w:after="240" w:line="360" w:lineRule="auto"/>
        <w:ind w:left="284" w:hanging="284"/>
        <w:jc w:val="both"/>
        <w:rPr>
          <w:rFonts w:ascii="Times New Roman" w:hAnsi="Times New Roman" w:cs="Times New Roman"/>
        </w:rPr>
      </w:pPr>
      <w:r w:rsidRPr="0023349B">
        <w:rPr>
          <w:rFonts w:ascii="Times New Roman" w:hAnsi="Times New Roman" w:cs="Times New Roman"/>
          <w:b/>
        </w:rPr>
        <w:t>wnioski Najwyższej Izby Kontroli</w:t>
      </w:r>
      <w:r w:rsidRPr="0023349B">
        <w:rPr>
          <w:rFonts w:ascii="Times New Roman" w:hAnsi="Times New Roman" w:cs="Times New Roman"/>
        </w:rPr>
        <w:t xml:space="preserve"> (zwanej dalej: NIK) wynikające z informacji o wynikach kontroli </w:t>
      </w:r>
      <w:r w:rsidRPr="0023349B">
        <w:rPr>
          <w:rFonts w:ascii="Times New Roman" w:hAnsi="Times New Roman" w:cs="Times New Roman"/>
          <w:i/>
        </w:rPr>
        <w:t>Wykonanie przez gminy zadań z zakresu gospodarki mieszkaniowej</w:t>
      </w:r>
      <w:r w:rsidRPr="0023349B">
        <w:rPr>
          <w:rFonts w:ascii="Times New Roman" w:hAnsi="Times New Roman" w:cs="Times New Roman"/>
        </w:rPr>
        <w:t xml:space="preserve"> z 2019 r.: NIK wskazuje, że możliwość dofinansowania mieszkaniowych inwestycji gminnych ze środków pochodzących z budżetu państwa w ramach Funduszu Dopłat nie rozwiązuje wszystkich finansowych problemów gmin związanych z pozyskiwaniem nowej substancji mieszkaniowej oraz bezpiecznym eksploatowaniem istniejących zasobów; biorąc pod uwagę społeczne znaczenie problemu oraz stwierdzone trudności gmin w zaspokajaniu potrzeb mieszkaniowych swoich mieszkańców, wynikające z braku środków finansowych, zgodnie z wnioskami NIK konieczne jest podjęcie dalszych systemowych działań wspomagających gminy w rozwiązywaniu problemów związanych z wykonywaniem przez nie zadania zaspokojenia potrzeb mieszkaniowych wspólnot samorządowych;</w:t>
      </w:r>
    </w:p>
    <w:p w:rsidR="00C268CB" w:rsidRPr="0023349B" w:rsidRDefault="00C268CB" w:rsidP="0023349B">
      <w:pPr>
        <w:pStyle w:val="Akapitzlist1"/>
        <w:numPr>
          <w:ilvl w:val="0"/>
          <w:numId w:val="19"/>
        </w:numPr>
        <w:tabs>
          <w:tab w:val="left" w:pos="0"/>
        </w:tabs>
        <w:spacing w:after="240" w:line="360" w:lineRule="auto"/>
        <w:ind w:left="284" w:hanging="284"/>
        <w:jc w:val="both"/>
        <w:rPr>
          <w:rFonts w:ascii="Times New Roman" w:hAnsi="Times New Roman" w:cs="Times New Roman"/>
        </w:rPr>
      </w:pPr>
      <w:r w:rsidRPr="0023349B">
        <w:rPr>
          <w:rFonts w:ascii="Times New Roman" w:hAnsi="Times New Roman" w:cs="Times New Roman"/>
          <w:b/>
        </w:rPr>
        <w:t>rekomendacje Rady Działalności Pożytku Publicznego</w:t>
      </w:r>
      <w:r w:rsidRPr="0023349B">
        <w:rPr>
          <w:rFonts w:ascii="Times New Roman" w:hAnsi="Times New Roman" w:cs="Times New Roman"/>
        </w:rPr>
        <w:t xml:space="preserve"> zawarte w Uchwale nr 22 z dnia 17 maja 2019 r. w sprawie Narodowego Programu Mieszkaniowego: rekomendacje dotyczą poszerzenia grupy podmiotów uprawnionych do realizacji działań w ramach NPM o organizacje pozarządowe i podmioty, o których mowa w art. 3 ust. 3 ustawy z dnia 24 kwietnia 2003 r. </w:t>
      </w:r>
      <w:r w:rsidRPr="0023349B">
        <w:rPr>
          <w:rFonts w:ascii="Times New Roman" w:hAnsi="Times New Roman" w:cs="Times New Roman"/>
          <w:i/>
        </w:rPr>
        <w:t xml:space="preserve">o działalności pożytku publicznego i o wolontariacie </w:t>
      </w:r>
      <w:r w:rsidRPr="0023349B">
        <w:rPr>
          <w:rFonts w:ascii="Times New Roman" w:hAnsi="Times New Roman" w:cs="Times New Roman"/>
        </w:rPr>
        <w:t>(Dz. U. z 2019 r. poz. 688 i 1570 oraz z 2020 r. poz. 284), w celu wspierania w szczególności osób zagrożonych wykluczeniem społecznym;</w:t>
      </w:r>
    </w:p>
    <w:p w:rsidR="00C268CB" w:rsidRPr="0023349B" w:rsidRDefault="00C268CB" w:rsidP="0023349B">
      <w:pPr>
        <w:pStyle w:val="Akapitzlist1"/>
        <w:numPr>
          <w:ilvl w:val="0"/>
          <w:numId w:val="19"/>
        </w:numPr>
        <w:tabs>
          <w:tab w:val="left" w:pos="0"/>
        </w:tabs>
        <w:spacing w:after="240" w:line="360" w:lineRule="auto"/>
        <w:ind w:left="284" w:hanging="284"/>
        <w:jc w:val="both"/>
        <w:rPr>
          <w:rFonts w:ascii="Times New Roman" w:hAnsi="Times New Roman" w:cs="Times New Roman"/>
        </w:rPr>
      </w:pPr>
      <w:r w:rsidRPr="0023349B">
        <w:rPr>
          <w:rFonts w:ascii="Times New Roman" w:hAnsi="Times New Roman" w:cs="Times New Roman"/>
          <w:b/>
        </w:rPr>
        <w:t>postulaty środowiska podmiotów świadczących pomoc osobom bezdomnym</w:t>
      </w:r>
      <w:r w:rsidRPr="0023349B">
        <w:rPr>
          <w:rFonts w:ascii="Times New Roman" w:hAnsi="Times New Roman" w:cs="Times New Roman"/>
        </w:rPr>
        <w:t xml:space="preserve"> w postaci miejsc tymczasowego schronienia, dotyczące wyeliminowania barier prawnych w dostępie do środków Funduszu Dopłat: w aktualnym stanie prawnym treść art. 4 </w:t>
      </w:r>
      <w:r w:rsidRPr="0023349B">
        <w:rPr>
          <w:rFonts w:ascii="Times New Roman" w:hAnsi="Times New Roman" w:cs="Times New Roman"/>
          <w:i/>
        </w:rPr>
        <w:t>ustawy o finansowym wsparciu…</w:t>
      </w:r>
      <w:r w:rsidRPr="0023349B">
        <w:rPr>
          <w:rFonts w:ascii="Times New Roman" w:hAnsi="Times New Roman" w:cs="Times New Roman"/>
        </w:rPr>
        <w:t xml:space="preserve"> uniemożliwia aplikowanie o środki z Funduszu Dopłat przez organizacje pozarządowe, które z różnych względów nie zdecydowały się na wystąpienie o przyznanie statusu organizacji pożytku publicznego (zwanej dalej: OPP); postulaty w sprawie przeprowadzenia zmian legislacyjnych w tym</w:t>
      </w:r>
      <w:r w:rsidR="00193AD6" w:rsidRPr="0023349B">
        <w:rPr>
          <w:rFonts w:ascii="Times New Roman" w:hAnsi="Times New Roman" w:cs="Times New Roman"/>
        </w:rPr>
        <w:t xml:space="preserve"> </w:t>
      </w:r>
      <w:r w:rsidRPr="0023349B">
        <w:rPr>
          <w:rFonts w:ascii="Times New Roman" w:hAnsi="Times New Roman" w:cs="Times New Roman"/>
        </w:rPr>
        <w:t>zakresie spotkały się z aprobatą Ministra Rodziny, Pracy i Polityki Społecznej, który podkreślił istotny wymiar współpracy samorządów z organizacjami pozarządowymi w zakresie zapobiegania i przeciwdziałania bezdomności;</w:t>
      </w:r>
    </w:p>
    <w:p w:rsidR="00C268CB" w:rsidRPr="0023349B" w:rsidRDefault="00C268CB" w:rsidP="0023349B">
      <w:pPr>
        <w:pStyle w:val="Akapitzlist1"/>
        <w:numPr>
          <w:ilvl w:val="0"/>
          <w:numId w:val="19"/>
        </w:numPr>
        <w:tabs>
          <w:tab w:val="left" w:pos="0"/>
        </w:tabs>
        <w:spacing w:after="240" w:line="360" w:lineRule="auto"/>
        <w:ind w:left="284" w:hanging="284"/>
        <w:jc w:val="both"/>
        <w:rPr>
          <w:rFonts w:ascii="Times New Roman" w:hAnsi="Times New Roman" w:cs="Times New Roman"/>
        </w:rPr>
      </w:pPr>
      <w:r w:rsidRPr="0023349B">
        <w:rPr>
          <w:rFonts w:ascii="Times New Roman" w:hAnsi="Times New Roman" w:cs="Times New Roman"/>
          <w:b/>
        </w:rPr>
        <w:t xml:space="preserve">wnioski płynące z dotychczasowej realizacji programu BSK </w:t>
      </w:r>
      <w:r w:rsidRPr="0023349B">
        <w:rPr>
          <w:rFonts w:ascii="Times New Roman" w:hAnsi="Times New Roman" w:cs="Times New Roman"/>
        </w:rPr>
        <w:t xml:space="preserve">zgłaszane przez BGK, jako podmiotu prowadzącego działalność operacyjną programu w dotychczasowym okresie realizacji znowelizowanej </w:t>
      </w:r>
      <w:r w:rsidRPr="0023349B">
        <w:rPr>
          <w:rFonts w:ascii="Times New Roman" w:hAnsi="Times New Roman" w:cs="Times New Roman"/>
          <w:i/>
        </w:rPr>
        <w:t>ustawy o finansowym wsparciu…</w:t>
      </w:r>
      <w:r w:rsidRPr="0023349B">
        <w:rPr>
          <w:rFonts w:ascii="Times New Roman" w:hAnsi="Times New Roman" w:cs="Times New Roman"/>
        </w:rPr>
        <w:t>, oraz wynikające bezpośrednio z wystąpień beneficjentów wsparcia.</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Zaproponowane w projekcie zmiany dotyczą:</w:t>
      </w:r>
      <w:r w:rsidR="00193AD6" w:rsidRPr="0023349B">
        <w:rPr>
          <w:rFonts w:ascii="Times New Roman" w:hAnsi="Times New Roman" w:cs="Times New Roman"/>
          <w:bCs/>
        </w:rPr>
        <w:t xml:space="preserve"> </w:t>
      </w:r>
    </w:p>
    <w:p w:rsidR="00C268CB" w:rsidRPr="0023349B" w:rsidRDefault="00C268CB" w:rsidP="0023349B">
      <w:pPr>
        <w:pStyle w:val="Akapitzlist1"/>
        <w:numPr>
          <w:ilvl w:val="0"/>
          <w:numId w:val="20"/>
        </w:numPr>
        <w:tabs>
          <w:tab w:val="left" w:pos="0"/>
        </w:tabs>
        <w:spacing w:after="120" w:line="360" w:lineRule="auto"/>
        <w:ind w:left="425" w:hanging="425"/>
        <w:jc w:val="both"/>
        <w:rPr>
          <w:rStyle w:val="Uwydatnienie"/>
          <w:rFonts w:ascii="Times New Roman" w:hAnsi="Times New Roman" w:cs="Times New Roman"/>
          <w:i w:val="0"/>
        </w:rPr>
      </w:pPr>
      <w:r w:rsidRPr="0023349B">
        <w:rPr>
          <w:rStyle w:val="Uwydatnienie"/>
          <w:rFonts w:ascii="Times New Roman" w:hAnsi="Times New Roman" w:cs="Times New Roman"/>
          <w:i w:val="0"/>
        </w:rPr>
        <w:t>modyfikacji zasad udzielania wsparcia w formie grantu, jak również zmieniają okres, w jakim następowało będzie przekazywanie gminom bezzwrotne</w:t>
      </w:r>
      <w:r w:rsidR="001041B0" w:rsidRPr="0023349B">
        <w:rPr>
          <w:rStyle w:val="Uwydatnienie"/>
          <w:rFonts w:ascii="Times New Roman" w:hAnsi="Times New Roman" w:cs="Times New Roman"/>
          <w:i w:val="0"/>
        </w:rPr>
        <w:t>go wsparcia z Funduszu Dopłat w </w:t>
      </w:r>
      <w:r w:rsidRPr="0023349B">
        <w:rPr>
          <w:rStyle w:val="Uwydatnienie"/>
          <w:rFonts w:ascii="Times New Roman" w:hAnsi="Times New Roman" w:cs="Times New Roman"/>
          <w:i w:val="0"/>
        </w:rPr>
        <w:t>przypadku dofinasowania partycypacji JST w kosztach budowy mieszkań czynszowych.</w:t>
      </w:r>
    </w:p>
    <w:p w:rsidR="00C268CB" w:rsidRPr="0023349B" w:rsidRDefault="00C268CB" w:rsidP="0023349B">
      <w:pPr>
        <w:pStyle w:val="Akapitzlist1"/>
        <w:numPr>
          <w:ilvl w:val="0"/>
          <w:numId w:val="20"/>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rozszerzenia zakresu przedmiotowego ustawy o modernizację i remonty istniejącego zasobu mieszkaniowego, który ze względu na zły stan techniczny nie może być wykorzystywany;</w:t>
      </w:r>
    </w:p>
    <w:p w:rsidR="00C268CB" w:rsidRPr="0023349B" w:rsidRDefault="00C268CB" w:rsidP="0023349B">
      <w:pPr>
        <w:numPr>
          <w:ilvl w:val="0"/>
          <w:numId w:val="20"/>
        </w:numPr>
        <w:tabs>
          <w:tab w:val="left" w:pos="0"/>
        </w:tabs>
        <w:spacing w:after="120" w:line="360" w:lineRule="auto"/>
        <w:ind w:left="425" w:hanging="425"/>
        <w:jc w:val="both"/>
        <w:rPr>
          <w:rFonts w:ascii="Times New Roman" w:hAnsi="Times New Roman" w:cs="Times New Roman"/>
          <w:i/>
        </w:rPr>
      </w:pPr>
      <w:r w:rsidRPr="0023349B">
        <w:rPr>
          <w:rFonts w:ascii="Times New Roman" w:hAnsi="Times New Roman" w:cs="Times New Roman"/>
        </w:rPr>
        <w:t xml:space="preserve">rozwiązań skierowanych do podmiotów prowadzących interwencyjny zasób mieszkaniowy, głównie poprzez rozszerzenie katalogu beneficjentów programu o organizacje pozarządowe oraz podmioty, o których mowa w art. 3 ust. 3 ustawy z dnia 24 kwietnia 2003 r. </w:t>
      </w:r>
      <w:r w:rsidRPr="0023349B">
        <w:rPr>
          <w:rFonts w:ascii="Times New Roman" w:hAnsi="Times New Roman" w:cs="Times New Roman"/>
          <w:i/>
        </w:rPr>
        <w:t>o działalności pożytku publicznego i o wolontariacie;</w:t>
      </w:r>
    </w:p>
    <w:p w:rsidR="00C268CB" w:rsidRPr="0023349B" w:rsidRDefault="00C268CB" w:rsidP="0023349B">
      <w:pPr>
        <w:numPr>
          <w:ilvl w:val="0"/>
          <w:numId w:val="20"/>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wprowadzenia dodatkowego instrumentu finansowego wsparcia dla beneficjentów tworzących lokale mieszkalne oraz powierzchnie wspólne dla seniorów;</w:t>
      </w:r>
    </w:p>
    <w:p w:rsidR="00C268CB" w:rsidRPr="0023349B" w:rsidRDefault="00C268CB" w:rsidP="0023349B">
      <w:pPr>
        <w:numPr>
          <w:ilvl w:val="0"/>
          <w:numId w:val="20"/>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zwiększenia intensywności wsparcia samorządów gminnych realizujących przedsięwzięcia w ramach programu BSK;</w:t>
      </w:r>
    </w:p>
    <w:p w:rsidR="00C268CB" w:rsidRPr="0023349B" w:rsidRDefault="00C268CB" w:rsidP="0023349B">
      <w:pPr>
        <w:numPr>
          <w:ilvl w:val="0"/>
          <w:numId w:val="20"/>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złagodzenia przepisów dotyczących utrzymania zasobu utworzonego przy udziale finansowego wsparcia;</w:t>
      </w:r>
    </w:p>
    <w:p w:rsidR="00C268CB" w:rsidRPr="0023349B" w:rsidRDefault="00C268CB" w:rsidP="0023349B">
      <w:pPr>
        <w:numPr>
          <w:ilvl w:val="0"/>
          <w:numId w:val="20"/>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wprowadzenia możliwości dofinansowania przedsięwzięć rozpoczętych i niezakończonych;</w:t>
      </w:r>
    </w:p>
    <w:p w:rsidR="00C268CB" w:rsidRPr="0023349B" w:rsidRDefault="00C268CB" w:rsidP="0023349B">
      <w:pPr>
        <w:numPr>
          <w:ilvl w:val="0"/>
          <w:numId w:val="20"/>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ujednolicenia terminu realizacji przedsięwzięcia dla wszystkich beneficjentów wsparcia;</w:t>
      </w:r>
    </w:p>
    <w:p w:rsidR="00C268CB" w:rsidRPr="0023349B" w:rsidRDefault="00C268CB" w:rsidP="0023349B">
      <w:pPr>
        <w:numPr>
          <w:ilvl w:val="0"/>
          <w:numId w:val="20"/>
        </w:numPr>
        <w:tabs>
          <w:tab w:val="left" w:pos="0"/>
        </w:tabs>
        <w:spacing w:after="240" w:line="360" w:lineRule="auto"/>
        <w:ind w:left="426" w:hanging="426"/>
        <w:jc w:val="both"/>
        <w:rPr>
          <w:rFonts w:ascii="Times New Roman" w:hAnsi="Times New Roman" w:cs="Times New Roman"/>
          <w:bCs/>
        </w:rPr>
      </w:pPr>
      <w:r w:rsidRPr="0023349B">
        <w:rPr>
          <w:rFonts w:ascii="Times New Roman" w:hAnsi="Times New Roman" w:cs="Times New Roman"/>
          <w:bCs/>
        </w:rPr>
        <w:t xml:space="preserve">wprowadzenia innych rozwiązań dostosowujących </w:t>
      </w:r>
      <w:r w:rsidRPr="0023349B">
        <w:rPr>
          <w:rFonts w:ascii="Times New Roman" w:hAnsi="Times New Roman" w:cs="Times New Roman"/>
          <w:bCs/>
          <w:i/>
        </w:rPr>
        <w:t>ustawę o finansowym wsparciu…</w:t>
      </w:r>
      <w:r w:rsidRPr="0023349B">
        <w:rPr>
          <w:rFonts w:ascii="Times New Roman" w:hAnsi="Times New Roman" w:cs="Times New Roman"/>
          <w:bCs/>
        </w:rPr>
        <w:t xml:space="preserve"> do obecnych uwarunkowań prawnych oraz eliminujących wątpliwości interpretacyjne.</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dalszej części uzasadnienia przedstawiono dotychczasowe wnioski wynikające z realizacji programu BSK oraz kierunek przyjętych w projekcie zmian. </w:t>
      </w:r>
    </w:p>
    <w:p w:rsidR="00C268CB" w:rsidRPr="0023349B" w:rsidRDefault="00C268CB" w:rsidP="0023349B">
      <w:pPr>
        <w:pStyle w:val="Akapitzlist1"/>
        <w:numPr>
          <w:ilvl w:val="0"/>
          <w:numId w:val="21"/>
        </w:numPr>
        <w:tabs>
          <w:tab w:val="left" w:pos="0"/>
        </w:tabs>
        <w:spacing w:after="240" w:line="360" w:lineRule="auto"/>
        <w:ind w:left="284" w:hanging="284"/>
        <w:jc w:val="both"/>
        <w:rPr>
          <w:rFonts w:ascii="Times New Roman" w:hAnsi="Times New Roman" w:cs="Times New Roman"/>
          <w:b/>
        </w:rPr>
      </w:pPr>
      <w:r w:rsidRPr="0023349B">
        <w:rPr>
          <w:rFonts w:ascii="Times New Roman" w:hAnsi="Times New Roman" w:cs="Times New Roman"/>
          <w:b/>
        </w:rPr>
        <w:t>Modyfikacja zasad udzielania wsparcia w formie grantu</w:t>
      </w:r>
    </w:p>
    <w:p w:rsidR="00C268CB" w:rsidRPr="0023349B" w:rsidRDefault="00C268CB" w:rsidP="0023349B">
      <w:pPr>
        <w:spacing w:after="240" w:line="360" w:lineRule="auto"/>
        <w:jc w:val="both"/>
        <w:rPr>
          <w:rStyle w:val="Uwydatnienie"/>
          <w:rFonts w:ascii="Times New Roman" w:hAnsi="Times New Roman" w:cs="Times New Roman"/>
          <w:i w:val="0"/>
        </w:rPr>
      </w:pPr>
      <w:r w:rsidRPr="0023349B">
        <w:rPr>
          <w:rStyle w:val="Uwydatnienie"/>
          <w:rFonts w:ascii="Times New Roman" w:hAnsi="Times New Roman" w:cs="Times New Roman"/>
          <w:i w:val="0"/>
        </w:rPr>
        <w:t>W aktualnym stanie prawnym wprowadzony w 2018 r. nowy instrument wsparcia gmin opiera się na poniższych zasadach:</w:t>
      </w:r>
    </w:p>
    <w:p w:rsidR="00C268CB" w:rsidRPr="0023349B" w:rsidRDefault="00C268CB" w:rsidP="0023349B">
      <w:pPr>
        <w:numPr>
          <w:ilvl w:val="0"/>
          <w:numId w:val="22"/>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rPr>
        <w:t xml:space="preserve">grant udzielany jest z Funduszu Dopłat w BGK dla gmin partycypujących w kosztach budowy mieszkań na wynajem, na podstawie umowy z inwestorem prywatnym (w tym umowy zawartej z TBS); </w:t>
      </w:r>
    </w:p>
    <w:p w:rsidR="00C268CB" w:rsidRPr="0023349B" w:rsidRDefault="00C268CB" w:rsidP="0023349B">
      <w:pPr>
        <w:numPr>
          <w:ilvl w:val="0"/>
          <w:numId w:val="22"/>
        </w:numPr>
        <w:tabs>
          <w:tab w:val="left" w:pos="0"/>
        </w:tabs>
        <w:spacing w:after="120" w:line="360" w:lineRule="auto"/>
        <w:ind w:left="426" w:hanging="284"/>
        <w:jc w:val="both"/>
        <w:rPr>
          <w:rFonts w:ascii="Times New Roman" w:eastAsia="Times New Roman" w:hAnsi="Times New Roman" w:cs="Times New Roman"/>
          <w:bCs/>
        </w:rPr>
      </w:pPr>
      <w:r w:rsidRPr="0023349B">
        <w:rPr>
          <w:rFonts w:ascii="Times New Roman" w:eastAsia="Times New Roman" w:hAnsi="Times New Roman" w:cs="Times New Roman"/>
          <w:bCs/>
        </w:rPr>
        <w:t xml:space="preserve">wspierana jest partycypacja gminy w kosztach budowy mieszkań; </w:t>
      </w:r>
    </w:p>
    <w:p w:rsidR="00C268CB" w:rsidRPr="0023349B" w:rsidRDefault="00C268CB" w:rsidP="0023349B">
      <w:pPr>
        <w:numPr>
          <w:ilvl w:val="0"/>
          <w:numId w:val="22"/>
        </w:numPr>
        <w:tabs>
          <w:tab w:val="left" w:pos="0"/>
        </w:tabs>
        <w:spacing w:after="120" w:line="360" w:lineRule="auto"/>
        <w:ind w:left="426" w:hanging="284"/>
        <w:jc w:val="both"/>
        <w:rPr>
          <w:rFonts w:ascii="Times New Roman" w:hAnsi="Times New Roman" w:cs="Times New Roman"/>
        </w:rPr>
      </w:pPr>
      <w:r w:rsidRPr="0023349B">
        <w:rPr>
          <w:rFonts w:ascii="Times New Roman" w:hAnsi="Times New Roman" w:cs="Times New Roman"/>
        </w:rPr>
        <w:t xml:space="preserve">okres świadczenia usługi wynajmu mieszkań na warunkach niższego czynszu wynosi 15 lat – w tym czasie wynajmującego obowiązuje limit czynszu w wysokości 4% wartości odtworzeniowej (tj. średnio ponad 50% mniej niż czynsz rynkowy); </w:t>
      </w:r>
    </w:p>
    <w:p w:rsidR="00C268CB" w:rsidRPr="0023349B" w:rsidRDefault="00C268CB" w:rsidP="0023349B">
      <w:pPr>
        <w:numPr>
          <w:ilvl w:val="0"/>
          <w:numId w:val="22"/>
        </w:numPr>
        <w:tabs>
          <w:tab w:val="left" w:pos="0"/>
        </w:tabs>
        <w:spacing w:after="120" w:line="360" w:lineRule="auto"/>
        <w:ind w:left="426" w:hanging="284"/>
        <w:jc w:val="both"/>
        <w:rPr>
          <w:rFonts w:ascii="Times New Roman" w:hAnsi="Times New Roman" w:cs="Times New Roman"/>
        </w:rPr>
      </w:pPr>
      <w:r w:rsidRPr="0023349B">
        <w:rPr>
          <w:rFonts w:ascii="Times New Roman" w:hAnsi="Times New Roman" w:cs="Times New Roman"/>
          <w:i/>
        </w:rPr>
        <w:t>ustawa</w:t>
      </w:r>
      <w:r w:rsidRPr="0023349B">
        <w:rPr>
          <w:rFonts w:ascii="Times New Roman" w:hAnsi="Times New Roman" w:cs="Times New Roman"/>
        </w:rPr>
        <w:t xml:space="preserve"> zawiera obostrzenia dotyczące zasad użytkowania mieszkań po upływie 15-letniego okresu świadczenia usługi, nie pozwalając na zmianę sposobu użytkowania (zakaz sprzedaży);</w:t>
      </w:r>
    </w:p>
    <w:p w:rsidR="00C268CB" w:rsidRPr="0023349B" w:rsidRDefault="00C268CB" w:rsidP="0023349B">
      <w:pPr>
        <w:numPr>
          <w:ilvl w:val="0"/>
          <w:numId w:val="22"/>
        </w:numPr>
        <w:tabs>
          <w:tab w:val="left" w:pos="0"/>
        </w:tabs>
        <w:spacing w:after="120" w:line="360" w:lineRule="auto"/>
        <w:ind w:left="426" w:hanging="284"/>
        <w:jc w:val="both"/>
        <w:rPr>
          <w:rFonts w:ascii="Times New Roman" w:hAnsi="Times New Roman" w:cs="Times New Roman"/>
        </w:rPr>
      </w:pPr>
      <w:r w:rsidRPr="0023349B">
        <w:rPr>
          <w:rFonts w:ascii="Times New Roman" w:hAnsi="Times New Roman" w:cs="Times New Roman"/>
        </w:rPr>
        <w:t>grant udzielany jest w wysokości 20% kosztów inwestycji, przy czym sfinansowanie części partycypacji środkami własnymi gminy nie jest wymagane – partycypacja JST w kosztach budowy może maksymalnie wynosić 20% i w całości zostać zrefinansowana z FD;</w:t>
      </w:r>
    </w:p>
    <w:p w:rsidR="00C268CB" w:rsidRPr="0023349B" w:rsidRDefault="00C268CB" w:rsidP="0023349B">
      <w:pPr>
        <w:numPr>
          <w:ilvl w:val="0"/>
          <w:numId w:val="22"/>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rPr>
        <w:t xml:space="preserve">aktualnie w </w:t>
      </w:r>
      <w:r w:rsidRPr="0023349B">
        <w:rPr>
          <w:rFonts w:ascii="Times New Roman" w:hAnsi="Times New Roman" w:cs="Times New Roman"/>
          <w:i/>
        </w:rPr>
        <w:t>ustawie</w:t>
      </w:r>
      <w:r w:rsidRPr="0023349B">
        <w:rPr>
          <w:rFonts w:ascii="Times New Roman" w:hAnsi="Times New Roman" w:cs="Times New Roman"/>
        </w:rPr>
        <w:t xml:space="preserve"> obowiązuje zasada refinansowania, wymagając uprzedniego zaplanowania i poniesienia wydatku przez samą gminę.</w:t>
      </w:r>
    </w:p>
    <w:p w:rsidR="00C268CB" w:rsidRPr="0023349B" w:rsidRDefault="00C268CB" w:rsidP="0023349B">
      <w:pPr>
        <w:spacing w:after="240" w:line="360" w:lineRule="auto"/>
        <w:jc w:val="both"/>
        <w:rPr>
          <w:rFonts w:ascii="Times New Roman" w:hAnsi="Times New Roman" w:cs="Times New Roman"/>
          <w:i/>
        </w:rPr>
      </w:pPr>
      <w:r w:rsidRPr="0023349B">
        <w:rPr>
          <w:rStyle w:val="Uwydatnienie"/>
          <w:rFonts w:ascii="Times New Roman" w:hAnsi="Times New Roman" w:cs="Times New Roman"/>
          <w:i w:val="0"/>
        </w:rPr>
        <w:t>Zmiany proponowane w projekcie ustawy modyfikują zasady udzielania wsparcia w formie grantu, jak również zmieniają okres, w jakim następowało będzie przekazywanie gminom bezzwrotnego wsparcia z Funduszu Dopłat w przypadku dofinasowania partycypacji JST w kosztach budowy mieszkań czynszowych. W szczególności zakres zmian obejmuje poniższe rozwiązania</w:t>
      </w:r>
      <w:r w:rsidRPr="0023349B">
        <w:rPr>
          <w:rFonts w:ascii="Times New Roman" w:hAnsi="Times New Roman" w:cs="Times New Roman"/>
          <w:i/>
        </w:rPr>
        <w:t>:</w:t>
      </w:r>
    </w:p>
    <w:p w:rsidR="00C268CB" w:rsidRPr="0023349B" w:rsidRDefault="00C268CB" w:rsidP="0023349B">
      <w:pPr>
        <w:numPr>
          <w:ilvl w:val="0"/>
          <w:numId w:val="23"/>
        </w:numPr>
        <w:tabs>
          <w:tab w:val="left" w:pos="0"/>
        </w:tabs>
        <w:spacing w:after="240" w:line="360" w:lineRule="auto"/>
        <w:jc w:val="both"/>
        <w:rPr>
          <w:rFonts w:ascii="Times New Roman" w:hAnsi="Times New Roman" w:cs="Times New Roman"/>
        </w:rPr>
      </w:pPr>
      <w:r w:rsidRPr="0023349B">
        <w:rPr>
          <w:rFonts w:ascii="Times New Roman" w:hAnsi="Times New Roman" w:cs="Times New Roman"/>
          <w:b/>
        </w:rPr>
        <w:t>podwyższenie wsparcia z 20% do maksymalnie nawet 35% kosztów inwestycji</w:t>
      </w:r>
      <w:r w:rsidRPr="0023349B">
        <w:rPr>
          <w:rFonts w:ascii="Times New Roman" w:hAnsi="Times New Roman" w:cs="Times New Roman"/>
        </w:rPr>
        <w:t>;</w:t>
      </w:r>
    </w:p>
    <w:p w:rsidR="00C268CB" w:rsidRPr="0023349B" w:rsidRDefault="00C268CB" w:rsidP="0023349B">
      <w:pPr>
        <w:numPr>
          <w:ilvl w:val="0"/>
          <w:numId w:val="23"/>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wprowadzenie jako warunek uzyskania z Funduszu Dopłat wsparcia wyższego niż 25% kosztów inwestycji</w:t>
      </w:r>
      <w:r w:rsidRPr="0023349B">
        <w:rPr>
          <w:rFonts w:ascii="Times New Roman" w:hAnsi="Times New Roman" w:cs="Times New Roman"/>
          <w:b/>
        </w:rPr>
        <w:t xml:space="preserve"> zasady finansowania części partycypacji gminy – w kwocie wykraczającej poza 25% kosztów – </w:t>
      </w:r>
      <w:r w:rsidRPr="0023349B">
        <w:rPr>
          <w:rFonts w:ascii="Times New Roman" w:hAnsi="Times New Roman" w:cs="Times New Roman"/>
        </w:rPr>
        <w:t xml:space="preserve">przy czym dodatkowo wyższa partycypacja JST, </w:t>
      </w:r>
      <w:r w:rsidRPr="0023349B">
        <w:rPr>
          <w:rFonts w:ascii="Times New Roman" w:hAnsi="Times New Roman" w:cs="Times New Roman"/>
          <w:b/>
        </w:rPr>
        <w:t>maksymalnie do 10% kosztów</w:t>
      </w:r>
      <w:r w:rsidRPr="0023349B">
        <w:rPr>
          <w:rFonts w:ascii="Times New Roman" w:hAnsi="Times New Roman" w:cs="Times New Roman"/>
        </w:rPr>
        <w:t>, pokrywana będzie do wysokości wartości gruntu inwestora, na którym realizowane będzie przedsięwzięcie. W konsekwencji, maksymalnie gmina mogła będzie uzyskać z Funduszu Dopłat wsparcie na partycypację w inwestycji na poziomie 35% kosztów budowy;</w:t>
      </w:r>
    </w:p>
    <w:p w:rsidR="00C268CB" w:rsidRPr="0023349B" w:rsidRDefault="00C268CB" w:rsidP="0023349B">
      <w:pPr>
        <w:numPr>
          <w:ilvl w:val="0"/>
          <w:numId w:val="23"/>
        </w:numPr>
        <w:tabs>
          <w:tab w:val="left" w:pos="0"/>
          <w:tab w:val="left" w:pos="426"/>
        </w:tabs>
        <w:spacing w:after="240" w:line="360" w:lineRule="auto"/>
        <w:jc w:val="both"/>
        <w:rPr>
          <w:rFonts w:ascii="Times New Roman" w:hAnsi="Times New Roman" w:cs="Times New Roman"/>
        </w:rPr>
      </w:pPr>
      <w:r w:rsidRPr="0023349B">
        <w:rPr>
          <w:rFonts w:ascii="Times New Roman" w:hAnsi="Times New Roman" w:cs="Times New Roman"/>
          <w:b/>
        </w:rPr>
        <w:t xml:space="preserve">likwidację bezwzględnej zasady w art. 7e </w:t>
      </w:r>
      <w:r w:rsidRPr="0023349B">
        <w:rPr>
          <w:rFonts w:ascii="Times New Roman" w:hAnsi="Times New Roman" w:cs="Times New Roman"/>
          <w:b/>
          <w:i/>
        </w:rPr>
        <w:t>ustawy</w:t>
      </w:r>
      <w:r w:rsidR="0033287E" w:rsidRPr="0023349B">
        <w:rPr>
          <w:rFonts w:ascii="Times New Roman" w:hAnsi="Times New Roman" w:cs="Times New Roman"/>
          <w:b/>
          <w:i/>
        </w:rPr>
        <w:t xml:space="preserve"> o finansowym wsparciu …</w:t>
      </w:r>
      <w:r w:rsidRPr="0023349B">
        <w:rPr>
          <w:rFonts w:ascii="Times New Roman" w:hAnsi="Times New Roman" w:cs="Times New Roman"/>
          <w:b/>
        </w:rPr>
        <w:t>, zgodnie z którą mieszkania utworzone przez inwestora prywatnego przy wykorzystaniu nowego instrumentu wsparcia gmin (grant na partycypację) muszą być użytkowane docelowo na zasadach najmu</w:t>
      </w:r>
      <w:r w:rsidRPr="0023349B">
        <w:rPr>
          <w:rFonts w:ascii="Times New Roman" w:hAnsi="Times New Roman" w:cs="Times New Roman"/>
        </w:rPr>
        <w:t xml:space="preserve"> – pomimo, że objęty rekompensatą okres świadczenia usługi wynajmu mieszkań na warunkach niższego czynszu wynosi 15 lat.</w:t>
      </w:r>
      <w:r w:rsidRPr="0023349B">
        <w:rPr>
          <w:rFonts w:ascii="Times New Roman" w:hAnsi="Times New Roman" w:cs="Times New Roman"/>
          <w:b/>
        </w:rPr>
        <w:t xml:space="preserve"> </w:t>
      </w:r>
      <w:r w:rsidRPr="0023349B">
        <w:rPr>
          <w:rFonts w:ascii="Times New Roman" w:hAnsi="Times New Roman" w:cs="Times New Roman"/>
        </w:rPr>
        <w:t>W to miejsce wprowadzenie warunku, że mieszkania takie</w:t>
      </w:r>
      <w:r w:rsidRPr="0023349B">
        <w:rPr>
          <w:rFonts w:ascii="Times New Roman" w:hAnsi="Times New Roman" w:cs="Times New Roman"/>
          <w:b/>
        </w:rPr>
        <w:t xml:space="preserve"> </w:t>
      </w:r>
      <w:r w:rsidRPr="0023349B">
        <w:rPr>
          <w:rFonts w:ascii="Times New Roman" w:hAnsi="Times New Roman" w:cs="Times New Roman"/>
        </w:rPr>
        <w:t>nie mogą być nadal wyodrębnione na własność, ale zakaz ten dotyczy okresu 15 lat licząc od dnia rozliczenia kosztów przedsięwzięcia;</w:t>
      </w:r>
    </w:p>
    <w:p w:rsidR="00C268CB" w:rsidRPr="0023349B" w:rsidRDefault="00C268CB" w:rsidP="0023349B">
      <w:pPr>
        <w:numPr>
          <w:ilvl w:val="0"/>
          <w:numId w:val="23"/>
        </w:numPr>
        <w:tabs>
          <w:tab w:val="left" w:pos="0"/>
        </w:tabs>
        <w:spacing w:after="240" w:line="360" w:lineRule="auto"/>
        <w:jc w:val="both"/>
        <w:rPr>
          <w:rFonts w:ascii="Times New Roman" w:hAnsi="Times New Roman" w:cs="Times New Roman"/>
          <w:b/>
        </w:rPr>
      </w:pPr>
      <w:r w:rsidRPr="0023349B">
        <w:rPr>
          <w:rFonts w:ascii="Times New Roman" w:hAnsi="Times New Roman" w:cs="Times New Roman"/>
          <w:b/>
        </w:rPr>
        <w:t>zmianę obecnie obowiązującej zasady uruchomienia środków wsparcia dla JST z Funduszu Dopłat</w:t>
      </w:r>
      <w:r w:rsidRPr="0023349B">
        <w:rPr>
          <w:rFonts w:ascii="Times New Roman" w:hAnsi="Times New Roman" w:cs="Times New Roman"/>
        </w:rPr>
        <w:t xml:space="preserve"> – aktualnie grant refinansuje wydatki już poniesione przez gminę w ramach partycypacji w kosztach budowy, wymagając uprzednio zapewnienia odpowiednich środków w budżecie JST. Projekt przewiduje, że </w:t>
      </w:r>
      <w:r w:rsidRPr="0023349B">
        <w:rPr>
          <w:rFonts w:ascii="Times New Roman" w:hAnsi="Times New Roman" w:cs="Times New Roman"/>
          <w:b/>
        </w:rPr>
        <w:t>grant z FD będzie bezpośrednio finansował część/całość (różne przypadki wchodzą w grę) partycypacji JST, tj. będzie uruchamiany bezpośrednio pokrywając koszt budowy.</w:t>
      </w:r>
    </w:p>
    <w:p w:rsidR="00C268CB" w:rsidRPr="0023349B" w:rsidRDefault="00C268CB" w:rsidP="0023349B">
      <w:pPr>
        <w:pStyle w:val="Akapitzlist1"/>
        <w:numPr>
          <w:ilvl w:val="0"/>
          <w:numId w:val="21"/>
        </w:numPr>
        <w:tabs>
          <w:tab w:val="left" w:pos="0"/>
        </w:tabs>
        <w:spacing w:after="240" w:line="360" w:lineRule="auto"/>
        <w:ind w:left="284" w:hanging="284"/>
        <w:jc w:val="both"/>
        <w:rPr>
          <w:rFonts w:ascii="Times New Roman" w:hAnsi="Times New Roman" w:cs="Times New Roman"/>
          <w:b/>
        </w:rPr>
      </w:pPr>
      <w:r w:rsidRPr="0023349B">
        <w:rPr>
          <w:rFonts w:ascii="Times New Roman" w:hAnsi="Times New Roman" w:cs="Times New Roman"/>
          <w:b/>
        </w:rPr>
        <w:t>Rozszerzenie zakresu przedmiotowego ustawy o modernizację i remonty istniejącego zasobu mieszkaniowego, który ze względu na zły stan techniczny nie może być wykorzystywany.</w:t>
      </w:r>
    </w:p>
    <w:p w:rsidR="00C268CB" w:rsidRPr="0023349B" w:rsidRDefault="00C268CB" w:rsidP="0023349B">
      <w:pPr>
        <w:spacing w:after="120" w:line="360" w:lineRule="auto"/>
        <w:ind w:left="284"/>
        <w:jc w:val="both"/>
        <w:rPr>
          <w:rFonts w:ascii="Times New Roman" w:hAnsi="Times New Roman" w:cs="Times New Roman"/>
        </w:rPr>
      </w:pPr>
      <w:r w:rsidRPr="0023349B">
        <w:rPr>
          <w:rFonts w:ascii="Times New Roman" w:hAnsi="Times New Roman" w:cs="Times New Roman"/>
        </w:rPr>
        <w:t xml:space="preserve">Dotychczasowy zakres przedmiotowy </w:t>
      </w:r>
      <w:r w:rsidRPr="0023349B">
        <w:rPr>
          <w:rFonts w:ascii="Times New Roman" w:hAnsi="Times New Roman" w:cs="Times New Roman"/>
          <w:i/>
        </w:rPr>
        <w:t>ustawy o finansowym wsparciu…,</w:t>
      </w:r>
      <w:r w:rsidR="001041B0" w:rsidRPr="0023349B">
        <w:rPr>
          <w:rFonts w:ascii="Times New Roman" w:hAnsi="Times New Roman" w:cs="Times New Roman"/>
        </w:rPr>
        <w:t xml:space="preserve"> polegający na </w:t>
      </w:r>
      <w:r w:rsidRPr="0023349B">
        <w:rPr>
          <w:rFonts w:ascii="Times New Roman" w:hAnsi="Times New Roman" w:cs="Times New Roman"/>
        </w:rPr>
        <w:t xml:space="preserve">tworzeniu </w:t>
      </w:r>
      <w:r w:rsidRPr="0023349B">
        <w:rPr>
          <w:rFonts w:ascii="Times New Roman" w:hAnsi="Times New Roman" w:cs="Times New Roman"/>
          <w:iCs/>
        </w:rPr>
        <w:t xml:space="preserve">nowych </w:t>
      </w:r>
      <w:r w:rsidRPr="0023349B">
        <w:rPr>
          <w:rFonts w:ascii="Times New Roman" w:hAnsi="Times New Roman" w:cs="Times New Roman"/>
        </w:rPr>
        <w:t>lokali mieszkalnych na wynajem o ograniczonym czynszu, okazał się niewystarczającym narzędziem dla rozwiązania problemu zaspokojenia potrzeb mieszkaniowych, z jakim mierzą się gminy. Obserwacja programu BSK wykazuje, że gminy posiadają lokale, które ze względu na zły stan techniczny nie mogą być wykorzystywane na cele mieszkaniowe i pomimo długiej kolejki oczekujących na lokale mieszkalne (zgodnie z raportem NIK z dnia 27 lutego 2019 r.</w:t>
      </w:r>
      <w:r w:rsidRPr="0023349B">
        <w:rPr>
          <w:rStyle w:val="Znakiprzypiswdolnych"/>
          <w:rFonts w:ascii="Times New Roman" w:hAnsi="Times New Roman" w:cs="Times New Roman"/>
        </w:rPr>
        <w:footnoteReference w:id="6"/>
      </w:r>
      <w:r w:rsidRPr="0023349B">
        <w:rPr>
          <w:rFonts w:ascii="Times New Roman" w:hAnsi="Times New Roman" w:cs="Times New Roman"/>
          <w:vertAlign w:val="superscript"/>
        </w:rPr>
        <w:t>)</w:t>
      </w:r>
      <w:r w:rsidRPr="0023349B">
        <w:rPr>
          <w:rFonts w:ascii="Times New Roman" w:hAnsi="Times New Roman" w:cs="Times New Roman"/>
        </w:rPr>
        <w:t xml:space="preserve"> rekordowy czas oczekiwania na lokal z zasobu komunalnego wynosił 20 lat), większość gmin nie zaspokaja potrzeb mieszkaniowych ludności. W jednym z wniosków pokontrolnych skierowanych do organów administracji rządowej NIK zaapelowała o podejmowanie dalszych systemowych działań wspomagających gminy w rozwiązywaniu problemów związanych z wykonywaniem przez nie zadań zaspokojenia potrzeb mieszkaniowych wspólnot samorządowych, w tym dotyczących utrzymywania w odpowiednim stanie technicznym i racjonalnego zagospodarowania substancji mieszkaniowej stanowiącej budowle zabytkowe.</w:t>
      </w:r>
    </w:p>
    <w:p w:rsidR="00C268CB" w:rsidRPr="0023349B" w:rsidRDefault="00C268CB" w:rsidP="0023349B">
      <w:pPr>
        <w:spacing w:after="120" w:line="360" w:lineRule="auto"/>
        <w:ind w:left="284"/>
        <w:jc w:val="both"/>
        <w:rPr>
          <w:rFonts w:ascii="Times New Roman" w:eastAsia="Times New Roman" w:hAnsi="Times New Roman" w:cs="Times New Roman"/>
          <w:bCs/>
        </w:rPr>
      </w:pPr>
      <w:r w:rsidRPr="0023349B">
        <w:rPr>
          <w:rFonts w:ascii="Times New Roman" w:eastAsia="Times New Roman" w:hAnsi="Times New Roman" w:cs="Times New Roman"/>
          <w:bCs/>
        </w:rPr>
        <w:t>Zwiększenie możliwości zaspokajania podstawowych potrzeb mieszkaniowych osób zagrożonych wykluczeniem społecznym ze względu na niskie dochody lub szczególnie trudną sytuację życiową wynika z założeń NPM. Jest to także wyzwanie dla gmin, których budżety nie pozwalają na podejmowanie nowych inwestycji mieszkaniowych. Należy zwrócić uwagę, że obok nowych inwestycji w zaspokajaniu potrzeb mieszkaniowych istotną rolę może odegrać modernizacja istniejącego zasobu mieszkaniowego gmin, który z uwagi na dewastację nie jest wykorzystywany.</w:t>
      </w:r>
    </w:p>
    <w:p w:rsidR="00C268CB" w:rsidRPr="0023349B" w:rsidRDefault="00C268CB" w:rsidP="0023349B">
      <w:pPr>
        <w:spacing w:after="120" w:line="360" w:lineRule="auto"/>
        <w:ind w:left="284"/>
        <w:jc w:val="both"/>
        <w:rPr>
          <w:rFonts w:ascii="Times New Roman" w:eastAsia="Times New Roman" w:hAnsi="Times New Roman" w:cs="Times New Roman"/>
          <w:bCs/>
        </w:rPr>
      </w:pPr>
      <w:r w:rsidRPr="0023349B">
        <w:rPr>
          <w:rFonts w:ascii="Times New Roman" w:eastAsia="Times New Roman" w:hAnsi="Times New Roman" w:cs="Times New Roman"/>
          <w:bCs/>
        </w:rPr>
        <w:t xml:space="preserve">Ustawa z dnia 22 marca 2018 r. </w:t>
      </w:r>
      <w:r w:rsidRPr="0023349B">
        <w:rPr>
          <w:rFonts w:ascii="Times New Roman" w:eastAsia="Times New Roman" w:hAnsi="Times New Roman" w:cs="Times New Roman"/>
          <w:bCs/>
          <w:i/>
        </w:rPr>
        <w:t xml:space="preserve">o zmianie ustawy o finansowym wsparciu </w:t>
      </w:r>
      <w:r w:rsidRPr="0023349B">
        <w:rPr>
          <w:rFonts w:ascii="Times New Roman" w:hAnsi="Times New Roman" w:cs="Times New Roman"/>
          <w:i/>
        </w:rPr>
        <w:t>tworzenia lokali socjalnych, mieszkań chronionych, noclegowni i domów dla bezdomnych, ustawy o ochronie praw lokatorów, mieszkaniowym zasobie gminy i o zmianie Kodeksu cywilnego oraz niektórych innych ustaw</w:t>
      </w:r>
      <w:r w:rsidRPr="0023349B">
        <w:rPr>
          <w:rFonts w:ascii="Times New Roman" w:hAnsi="Times New Roman" w:cs="Times New Roman"/>
        </w:rPr>
        <w:t xml:space="preserve"> </w:t>
      </w:r>
      <w:r w:rsidRPr="0023349B">
        <w:rPr>
          <w:rFonts w:ascii="Times New Roman" w:eastAsia="Times New Roman" w:hAnsi="Times New Roman" w:cs="Times New Roman"/>
          <w:bCs/>
        </w:rPr>
        <w:t>(Dz. U. poz. 756 oraz z 2019 r. poz. 1309)</w:t>
      </w:r>
      <w:r w:rsidRPr="0023349B">
        <w:rPr>
          <w:rFonts w:ascii="Times New Roman" w:hAnsi="Times New Roman" w:cs="Times New Roman"/>
        </w:rPr>
        <w:t xml:space="preserve"> </w:t>
      </w:r>
      <w:r w:rsidRPr="0023349B">
        <w:rPr>
          <w:rFonts w:ascii="Times New Roman" w:eastAsia="Times New Roman" w:hAnsi="Times New Roman" w:cs="Times New Roman"/>
          <w:bCs/>
        </w:rPr>
        <w:t xml:space="preserve">wprowadziła możliwość ubiegania się o finansowe wsparcie na realizację przedsięwzięcia polegającego na remoncie lub przebudowie lokali, które ze względu na zły stan techniczny zostały wyłączone z użytkowania albo zakazano ich użytkowania na podstawie przepisów ustawy z dnia 7 lipca 1994 r. </w:t>
      </w:r>
      <w:r w:rsidR="00C47C60" w:rsidRPr="0023349B">
        <w:rPr>
          <w:rFonts w:ascii="Times New Roman" w:eastAsia="Times New Roman" w:hAnsi="Times New Roman" w:cs="Times New Roman"/>
          <w:bCs/>
        </w:rPr>
        <w:t>–</w:t>
      </w:r>
      <w:r w:rsidRPr="0023349B">
        <w:rPr>
          <w:rFonts w:ascii="Times New Roman" w:eastAsia="Times New Roman" w:hAnsi="Times New Roman" w:cs="Times New Roman"/>
          <w:bCs/>
        </w:rPr>
        <w:t xml:space="preserve"> Prawo budowlane (Dz. U. z 2019 r. poz. 1186, z późn. zm.</w:t>
      </w:r>
      <w:r w:rsidRPr="0023349B">
        <w:rPr>
          <w:rStyle w:val="Znakiprzypiswdolnych"/>
          <w:rFonts w:ascii="Times New Roman" w:hAnsi="Times New Roman" w:cs="Times New Roman"/>
        </w:rPr>
        <w:footnoteReference w:id="7"/>
      </w:r>
      <w:r w:rsidRPr="0023349B">
        <w:rPr>
          <w:rFonts w:ascii="Times New Roman" w:eastAsia="Times New Roman" w:hAnsi="Times New Roman" w:cs="Times New Roman"/>
          <w:bCs/>
          <w:vertAlign w:val="superscript"/>
        </w:rPr>
        <w:t>)</w:t>
      </w:r>
      <w:r w:rsidRPr="0023349B">
        <w:rPr>
          <w:rFonts w:ascii="Times New Roman" w:eastAsia="Times New Roman" w:hAnsi="Times New Roman" w:cs="Times New Roman"/>
          <w:bCs/>
        </w:rPr>
        <w:t>), zwanej dalej: Prawo budowlane. Natomiast wnioski płynące z realizacji programu BSK wskazują, że barierą w korzystaniu z programu jest konieczność pozyskiwania decyzji powiatowego inspektora nadzoru budowlanego w trybie art. 66 albo art. 68 Prawa budowlanego o wyłączeniu zasobu z użytkowania albo zakazie użytkowania, w przypadku planów przeprowadzenia remontu lub przebudowy budynku mieszkalnego będącego w złym stanie technicznym. Przewidziany w </w:t>
      </w:r>
      <w:r w:rsidRPr="0023349B">
        <w:rPr>
          <w:rFonts w:ascii="Times New Roman" w:eastAsia="Times New Roman" w:hAnsi="Times New Roman" w:cs="Times New Roman"/>
          <w:bCs/>
          <w:i/>
        </w:rPr>
        <w:t>ustawie o finansowym wsparciu…</w:t>
      </w:r>
      <w:r w:rsidRPr="0023349B">
        <w:rPr>
          <w:rFonts w:ascii="Times New Roman" w:eastAsia="Times New Roman" w:hAnsi="Times New Roman" w:cs="Times New Roman"/>
          <w:bCs/>
        </w:rPr>
        <w:t xml:space="preserve"> instrument nie może być bowiem wykorzystywany do poprawy stanu technicznego bezpieczeństwa i warunków zamieszkiwania w istniejących zasobach budynków komunalnych. Zgodnie z obowiązującymi obecnie przepisami </w:t>
      </w:r>
      <w:r w:rsidRPr="0023349B">
        <w:rPr>
          <w:rFonts w:ascii="Times New Roman" w:eastAsia="Times New Roman" w:hAnsi="Times New Roman" w:cs="Times New Roman"/>
          <w:bCs/>
          <w:i/>
        </w:rPr>
        <w:t>ustawa o finansowym wsparciu…</w:t>
      </w:r>
      <w:r w:rsidRPr="0023349B">
        <w:rPr>
          <w:rFonts w:ascii="Times New Roman" w:eastAsia="Times New Roman" w:hAnsi="Times New Roman" w:cs="Times New Roman"/>
          <w:bCs/>
        </w:rPr>
        <w:t xml:space="preserve"> (art. 3 ust. 1 pkt 2 i 3) przewiduje jedynie przedsięwzięcia remontowe polegające na remoncie budynku niemieszkalnego (pkt 2) i budynku mieszkalnego, jeżeli został on wyłączony z użytkowania (pkt 3). Przepisy te korespondują z obecnym celem programu, jakim jest dofinansowanie przedsięwzięć, w ramach których powiększony zostanie mieszkaniowy zasób gminy, bowiem remont budynku wyłączonego z użytkowania zwiększa </w:t>
      </w:r>
      <w:r w:rsidRPr="0023349B">
        <w:rPr>
          <w:rFonts w:ascii="Times New Roman" w:eastAsia="Times New Roman" w:hAnsi="Times New Roman" w:cs="Times New Roman"/>
          <w:bCs/>
          <w:i/>
        </w:rPr>
        <w:t>de facto</w:t>
      </w:r>
      <w:r w:rsidRPr="0023349B">
        <w:rPr>
          <w:rFonts w:ascii="Times New Roman" w:eastAsia="Times New Roman" w:hAnsi="Times New Roman" w:cs="Times New Roman"/>
          <w:bCs/>
        </w:rPr>
        <w:t xml:space="preserve"> mieszkaniowy zasób gminy. Natomiast analiza struktury zasobów komunalnych prowadzi do wniosku, że istnieje potrzeba inwestowania w zasoby już istniejące, a nie tylko te, w wyniku których zostaną utworzone lokale mieszkalne. Nie bez znaczenia dla funkcjonowania mieszkaniowego zasobu gminy są koszty związane z jego utrzymaniem. W znacznej części gmin, jak wynika z raportu NIK, stwierdzono niepełną realizację zaleceń sformułowanych w wyniku przeglądów technicznych budynków dotyczących wykonania remontów i napraw w tych budynkach oraz przypadki zaniechania przeprowadzania obowiązkowych okresowych kontroli stanu technicznego budynków przez jednostki odpowiedzialne za gospodarkę zasobem mieszkaniowym. Wskutek nierzetelnego wykonywania zadań związanych z utrzymaniem posiadanego zasobu mieszkaniowego stan techniczny kilku kontrolowanych budynków stwarzał bezpośrednie zagrożenie dla życia i zdrowia ludzkiego, przy czym decydującym czynnikiem wpływającym na występowanie pustostanów w zasobie mieszkaniowym jest, wg przytaczanych w raporcie wyjaśnień przedstawicieli jednostek kontrolowanych, brak środków na ich remont. </w:t>
      </w:r>
    </w:p>
    <w:p w:rsidR="00C268CB" w:rsidRPr="0023349B" w:rsidRDefault="00C268CB" w:rsidP="0023349B">
      <w:pPr>
        <w:spacing w:after="120" w:line="360" w:lineRule="auto"/>
        <w:ind w:left="284"/>
        <w:jc w:val="both"/>
        <w:rPr>
          <w:rFonts w:ascii="Times New Roman" w:hAnsi="Times New Roman" w:cs="Times New Roman"/>
        </w:rPr>
      </w:pPr>
      <w:r w:rsidRPr="0023349B">
        <w:rPr>
          <w:rFonts w:ascii="Times New Roman" w:hAnsi="Times New Roman" w:cs="Times New Roman"/>
        </w:rPr>
        <w:t xml:space="preserve">Projekt </w:t>
      </w:r>
      <w:r w:rsidRPr="0023349B">
        <w:rPr>
          <w:rFonts w:ascii="Times New Roman" w:hAnsi="Times New Roman" w:cs="Times New Roman"/>
          <w:i/>
        </w:rPr>
        <w:t>ustawy</w:t>
      </w:r>
      <w:r w:rsidRPr="0023349B">
        <w:rPr>
          <w:rFonts w:ascii="Times New Roman" w:hAnsi="Times New Roman" w:cs="Times New Roman"/>
        </w:rPr>
        <w:t xml:space="preserve"> wprowadza także możliwości dofinansowania remontu/modernizacji budynków komunalnych lub lokali komunalnych w budynkach wielorodzinnych, jako uzupełnienie instrumentu wsparcia remontów budynków (rozumianych jako ich części wspólne) finansowanego ze środków Funduszu Termomodernizacji i Remontów (zwanego dalej: </w:t>
      </w:r>
      <w:proofErr w:type="spellStart"/>
      <w:r w:rsidRPr="0023349B">
        <w:rPr>
          <w:rFonts w:ascii="Times New Roman" w:hAnsi="Times New Roman" w:cs="Times New Roman"/>
        </w:rPr>
        <w:t>FTiR</w:t>
      </w:r>
      <w:proofErr w:type="spellEnd"/>
      <w:r w:rsidRPr="0023349B">
        <w:rPr>
          <w:rFonts w:ascii="Times New Roman" w:hAnsi="Times New Roman" w:cs="Times New Roman"/>
        </w:rPr>
        <w:t>). Założono, że w pierwszej kolejności gminy będą remontować pustostany. Według danych Głównego Urzędu Statystycznego na koniec 2018 r. gminy posiadały w swoich zasobach 54 206 mieszkań niezasiedlonych (pustostanów), co stanowiło ok. 6,5% wszystkich mieszkań gminnych.</w:t>
      </w:r>
    </w:p>
    <w:p w:rsidR="00C268CB" w:rsidRPr="0023349B" w:rsidRDefault="00C268CB" w:rsidP="0023349B">
      <w:pPr>
        <w:spacing w:after="240" w:line="360" w:lineRule="auto"/>
        <w:ind w:left="284"/>
        <w:jc w:val="both"/>
        <w:rPr>
          <w:rFonts w:ascii="Times New Roman" w:eastAsia="Times New Roman" w:hAnsi="Times New Roman" w:cs="Times New Roman"/>
          <w:bCs/>
        </w:rPr>
      </w:pPr>
      <w:r w:rsidRPr="0023349B">
        <w:rPr>
          <w:rFonts w:ascii="Times New Roman" w:hAnsi="Times New Roman" w:cs="Times New Roman"/>
        </w:rPr>
        <w:t xml:space="preserve">Jak wynika z najważniejszych wniosków przedstawionych w Raporcie pn. </w:t>
      </w:r>
      <w:r w:rsidRPr="0023349B">
        <w:rPr>
          <w:rFonts w:ascii="Times New Roman" w:hAnsi="Times New Roman" w:cs="Times New Roman"/>
          <w:i/>
        </w:rPr>
        <w:t>Stan mieszkalnictwa w Polsce</w:t>
      </w:r>
      <w:r w:rsidRPr="00F812BE">
        <w:rPr>
          <w:rStyle w:val="Znakiprzypiswdolnych"/>
          <w:rFonts w:ascii="Times New Roman" w:hAnsi="Times New Roman" w:cs="Times New Roman"/>
        </w:rPr>
        <w:footnoteReference w:id="8"/>
      </w:r>
      <w:r w:rsidRPr="00F812BE">
        <w:rPr>
          <w:rFonts w:ascii="Times New Roman" w:hAnsi="Times New Roman" w:cs="Times New Roman"/>
          <w:vertAlign w:val="superscript"/>
        </w:rPr>
        <w:t>)</w:t>
      </w:r>
      <w:r w:rsidRPr="0023349B">
        <w:rPr>
          <w:rFonts w:ascii="Times New Roman" w:hAnsi="Times New Roman" w:cs="Times New Roman"/>
        </w:rPr>
        <w:t>, opracowanym w Ministerstwie Rozwoju, rok 2019 był rekordowym pod względem liczby wybudowanych mieszkań (ponad 207 tysięcy, czyli ok. 5,4 w przeliczeniu na 1000 mieszkańców). Rośnie zatem nadwyżka zasobów mieszkaniowych w stosunku do liczby gospodarstw. Na koniec 2019 r. było o 424 tys. mieszkań więcej niż gospodarstw domowych, przy czym chodzi tu zarówno o lokale zamieszkane, jak i niezamieszkane. Nadwyżka mieszkań rośnie szybciej niż redukcja deficytu, co może oznaczać, że zwiększa się liczba pustostanów.</w:t>
      </w:r>
      <w:r w:rsidRPr="0023349B">
        <w:rPr>
          <w:rFonts w:ascii="Times New Roman" w:eastAsia="Times New Roman" w:hAnsi="Times New Roman" w:cs="Times New Roman"/>
          <w:bCs/>
        </w:rPr>
        <w:t xml:space="preserve"> Pomimo tego, że zasób mieszkaniowy w Polsce systematycznie wzrasta, w strukturze nowych mieszkań oddanych w 2019 r. największy odsetek (97,8%) stanowiło budownictwo deweloperskie oraz inwestycje realizowane przez osoby fizyczne. Mieszkania przeznaczone dla osób o niższych dochodach – mieszkania komunalne, mieszkania w zasobie towarzystw budownictwa społecznego i mieszkania zakładowe – stanowiły w 2019 r. jedynie 2,2% liczby nowo wybudowanych mieszkań. Oznacza to, że wzrost liczby oddawanych do użytku mieszkań nie poprawia w znaczny sposób dostępności mieszkań dla osób o dochodach zbyt niskich, by nabyć lub wynająć mieszkanie na zasadach rynkowych, a jednocześnie zbyt wysokich, aby móc ubiegać się o najem mieszkania komunalnego. Problem ten dotyka przede wszystkim ludzi młodych, którzy wchodzą na rynek pracy, rodzin wielodzietnych oraz osób samotnie wychowujących dzieci.</w:t>
      </w:r>
    </w:p>
    <w:p w:rsidR="00C268CB" w:rsidRPr="0023349B" w:rsidRDefault="00C268CB" w:rsidP="0023349B">
      <w:pPr>
        <w:pStyle w:val="Akapitzlist1"/>
        <w:numPr>
          <w:ilvl w:val="0"/>
          <w:numId w:val="21"/>
        </w:numPr>
        <w:tabs>
          <w:tab w:val="left" w:pos="0"/>
        </w:tabs>
        <w:spacing w:after="240" w:line="360" w:lineRule="auto"/>
        <w:ind w:left="284" w:hanging="284"/>
        <w:jc w:val="both"/>
        <w:rPr>
          <w:rFonts w:ascii="Times New Roman" w:hAnsi="Times New Roman" w:cs="Times New Roman"/>
          <w:b/>
          <w:i/>
        </w:rPr>
      </w:pPr>
      <w:r w:rsidRPr="0023349B">
        <w:rPr>
          <w:rFonts w:ascii="Times New Roman" w:hAnsi="Times New Roman" w:cs="Times New Roman"/>
          <w:b/>
        </w:rPr>
        <w:t xml:space="preserve">Rozwiązania skierowane do podmiotów prowadzących interwencyjny zasób mieszkaniowy, głównie poprzez rozszerzenie katalogu beneficjentów programu o organizacje pozarządowe oraz podmioty, o których mowa w art. 3 ust. 3 ustawy z dnia 24 kwietnia 2003 r. </w:t>
      </w:r>
      <w:r w:rsidR="001041B0" w:rsidRPr="0023349B">
        <w:rPr>
          <w:rFonts w:ascii="Times New Roman" w:hAnsi="Times New Roman" w:cs="Times New Roman"/>
          <w:b/>
          <w:i/>
        </w:rPr>
        <w:t>o </w:t>
      </w:r>
      <w:r w:rsidRPr="0023349B">
        <w:rPr>
          <w:rFonts w:ascii="Times New Roman" w:hAnsi="Times New Roman" w:cs="Times New Roman"/>
          <w:b/>
          <w:i/>
        </w:rPr>
        <w:t>działalności pożytku publicznego i o wolontariacie.</w:t>
      </w:r>
    </w:p>
    <w:p w:rsidR="00C268CB" w:rsidRPr="0023349B" w:rsidRDefault="00C268CB" w:rsidP="0023349B">
      <w:pPr>
        <w:pStyle w:val="Akapitzlist1"/>
        <w:tabs>
          <w:tab w:val="left" w:pos="284"/>
        </w:tabs>
        <w:spacing w:after="240" w:line="360" w:lineRule="auto"/>
        <w:ind w:left="284"/>
        <w:jc w:val="both"/>
        <w:rPr>
          <w:rFonts w:ascii="Times New Roman" w:eastAsia="Times New Roman" w:hAnsi="Times New Roman" w:cs="Times New Roman"/>
        </w:rPr>
      </w:pPr>
      <w:r w:rsidRPr="0023349B">
        <w:rPr>
          <w:rFonts w:ascii="Times New Roman" w:eastAsia="Times New Roman" w:hAnsi="Times New Roman" w:cs="Times New Roman"/>
        </w:rPr>
        <w:t>Obowiązujące przepisy przewidują możliwość uzyskania dofinansowania na tworzenie, zwiększenie powierzchni użytkowej pomieszczeń mieszkalnych oraz dostosowanie zasobu interwencyjnego, na przedsięwzięcia:</w:t>
      </w:r>
    </w:p>
    <w:p w:rsidR="00C268CB" w:rsidRPr="0023349B" w:rsidRDefault="00C268CB" w:rsidP="0023349B">
      <w:pPr>
        <w:pStyle w:val="Akapitzlist1"/>
        <w:numPr>
          <w:ilvl w:val="0"/>
          <w:numId w:val="24"/>
        </w:numPr>
        <w:tabs>
          <w:tab w:val="left" w:pos="0"/>
          <w:tab w:val="left" w:pos="567"/>
        </w:tabs>
        <w:spacing w:after="120" w:line="360" w:lineRule="auto"/>
        <w:ind w:left="568" w:hanging="284"/>
        <w:jc w:val="both"/>
        <w:rPr>
          <w:rFonts w:ascii="Times New Roman" w:eastAsia="Times New Roman" w:hAnsi="Times New Roman" w:cs="Times New Roman"/>
        </w:rPr>
      </w:pPr>
      <w:r w:rsidRPr="0023349B">
        <w:rPr>
          <w:rFonts w:ascii="Times New Roman" w:eastAsia="Times New Roman" w:hAnsi="Times New Roman" w:cs="Times New Roman"/>
        </w:rPr>
        <w:t>w wyniku których powstaną noclegownie lub schroniska dla bezdomnych, lub nastąpi zwiększenie powierzchni użytkowej pomieszczeń mieszkalnych, w tym sypialni, w istniejącej noclegowni lub istniejącym schronisku dla bezdomnych;</w:t>
      </w:r>
    </w:p>
    <w:p w:rsidR="00C268CB" w:rsidRPr="0023349B" w:rsidRDefault="00C268CB" w:rsidP="0023349B">
      <w:pPr>
        <w:pStyle w:val="Akapitzlist1"/>
        <w:numPr>
          <w:ilvl w:val="0"/>
          <w:numId w:val="24"/>
        </w:numPr>
        <w:tabs>
          <w:tab w:val="left" w:pos="0"/>
          <w:tab w:val="left" w:pos="567"/>
        </w:tabs>
        <w:spacing w:after="240" w:line="360" w:lineRule="auto"/>
        <w:ind w:left="567" w:hanging="284"/>
        <w:jc w:val="both"/>
        <w:rPr>
          <w:rFonts w:ascii="Times New Roman" w:eastAsia="Times New Roman" w:hAnsi="Times New Roman" w:cs="Times New Roman"/>
        </w:rPr>
      </w:pPr>
      <w:r w:rsidRPr="0023349B">
        <w:rPr>
          <w:rFonts w:ascii="Times New Roman" w:eastAsia="Times New Roman" w:hAnsi="Times New Roman" w:cs="Times New Roman"/>
        </w:rPr>
        <w:t xml:space="preserve">polegające na remoncie lub przebudowie istniejącej noclegowni, istniejącego schroniska dla bezdomnych lub istniejącej ogrzewalni, w wyniku których nastąpi dostosowanie noclegowni, schroniska dla bezdomnych lub ogrzewalni do standardów, o których mowa w przepisach wydanych na podstawie art. 48a ust. 14 ustawy z dnia 12 marca 2004 r. </w:t>
      </w:r>
      <w:r w:rsidRPr="0023349B">
        <w:rPr>
          <w:rFonts w:ascii="Times New Roman" w:eastAsia="Times New Roman" w:hAnsi="Times New Roman" w:cs="Times New Roman"/>
          <w:i/>
        </w:rPr>
        <w:t xml:space="preserve">o pomocy społecznej </w:t>
      </w:r>
      <w:r w:rsidRPr="0023349B">
        <w:rPr>
          <w:rFonts w:ascii="Times New Roman" w:eastAsia="Times New Roman" w:hAnsi="Times New Roman" w:cs="Times New Roman"/>
        </w:rPr>
        <w:t>(Dz. U. z 2019 r. poz. 1507, z późn. zm.</w:t>
      </w:r>
      <w:r w:rsidRPr="0023349B">
        <w:rPr>
          <w:rStyle w:val="Znakiprzypiswdolnych"/>
          <w:rFonts w:ascii="Times New Roman" w:hAnsi="Times New Roman" w:cs="Times New Roman"/>
        </w:rPr>
        <w:footnoteReference w:id="9"/>
      </w:r>
      <w:r w:rsidRPr="0023349B">
        <w:rPr>
          <w:rFonts w:ascii="Times New Roman" w:eastAsia="Times New Roman" w:hAnsi="Times New Roman" w:cs="Times New Roman"/>
          <w:vertAlign w:val="superscript"/>
        </w:rPr>
        <w:t>)</w:t>
      </w:r>
      <w:r w:rsidRPr="0023349B">
        <w:rPr>
          <w:rFonts w:ascii="Times New Roman" w:eastAsia="Times New Roman" w:hAnsi="Times New Roman" w:cs="Times New Roman"/>
        </w:rPr>
        <w:t xml:space="preserve">), zwanej dalej: </w:t>
      </w:r>
      <w:r w:rsidRPr="0023349B">
        <w:rPr>
          <w:rFonts w:ascii="Times New Roman" w:eastAsia="Times New Roman" w:hAnsi="Times New Roman" w:cs="Times New Roman"/>
          <w:i/>
        </w:rPr>
        <w:t>ustawą o pomocy społecznej</w:t>
      </w:r>
      <w:r w:rsidRPr="0023349B">
        <w:rPr>
          <w:rFonts w:ascii="Times New Roman" w:eastAsia="Times New Roman" w:hAnsi="Times New Roman" w:cs="Times New Roman"/>
        </w:rPr>
        <w:t>;</w:t>
      </w:r>
    </w:p>
    <w:p w:rsidR="00C268CB" w:rsidRPr="0023349B" w:rsidRDefault="00C268CB" w:rsidP="0023349B">
      <w:pPr>
        <w:pStyle w:val="Akapitzlist1"/>
        <w:tabs>
          <w:tab w:val="left" w:pos="284"/>
        </w:tabs>
        <w:spacing w:after="240" w:line="360" w:lineRule="auto"/>
        <w:ind w:left="284"/>
        <w:jc w:val="both"/>
        <w:rPr>
          <w:rFonts w:ascii="Times New Roman" w:eastAsia="Times New Roman" w:hAnsi="Times New Roman" w:cs="Times New Roman"/>
        </w:rPr>
      </w:pPr>
      <w:r w:rsidRPr="0023349B">
        <w:rPr>
          <w:rFonts w:ascii="Times New Roman" w:eastAsia="Times New Roman" w:hAnsi="Times New Roman" w:cs="Times New Roman"/>
        </w:rPr>
        <w:t xml:space="preserve">następującym wnioskodawcom: gminie, jednoosobowej spółce gminnej, związkowi międzygminnemu albo organizacji pożytku publicznego. </w:t>
      </w:r>
    </w:p>
    <w:p w:rsidR="00C268CB" w:rsidRPr="0023349B" w:rsidRDefault="00C268CB" w:rsidP="0023349B">
      <w:pPr>
        <w:pStyle w:val="Akapitzlist1"/>
        <w:tabs>
          <w:tab w:val="left" w:pos="284"/>
        </w:tabs>
        <w:spacing w:after="120" w:line="360" w:lineRule="auto"/>
        <w:ind w:left="284"/>
        <w:jc w:val="both"/>
        <w:rPr>
          <w:rFonts w:ascii="Times New Roman" w:eastAsia="Times New Roman" w:hAnsi="Times New Roman" w:cs="Times New Roman"/>
        </w:rPr>
      </w:pPr>
      <w:r w:rsidRPr="0023349B">
        <w:rPr>
          <w:rFonts w:ascii="Times New Roman" w:eastAsia="Times New Roman" w:hAnsi="Times New Roman" w:cs="Times New Roman"/>
        </w:rPr>
        <w:t>Program BSK wspiera gminy w realizacji obowiązku udzielenia schronienia jej mieszkańcom wynikającego z art.</w:t>
      </w:r>
      <w:r w:rsidR="00193AD6" w:rsidRPr="0023349B">
        <w:rPr>
          <w:rFonts w:ascii="Times New Roman" w:eastAsia="Times New Roman" w:hAnsi="Times New Roman" w:cs="Times New Roman"/>
        </w:rPr>
        <w:t xml:space="preserve"> </w:t>
      </w:r>
      <w:r w:rsidRPr="0023349B">
        <w:rPr>
          <w:rFonts w:ascii="Times New Roman" w:eastAsia="Times New Roman" w:hAnsi="Times New Roman" w:cs="Times New Roman"/>
        </w:rPr>
        <w:t xml:space="preserve">17 ust. 1 pkt 3 </w:t>
      </w:r>
      <w:r w:rsidRPr="0023349B">
        <w:rPr>
          <w:rFonts w:ascii="Times New Roman" w:eastAsia="Times New Roman" w:hAnsi="Times New Roman" w:cs="Times New Roman"/>
          <w:i/>
        </w:rPr>
        <w:t>ustawy</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rPr>
        <w:t>o pomocy społecznej</w:t>
      </w:r>
      <w:r w:rsidRPr="0023349B">
        <w:rPr>
          <w:rFonts w:ascii="Times New Roman" w:eastAsia="Times New Roman" w:hAnsi="Times New Roman" w:cs="Times New Roman"/>
        </w:rPr>
        <w:t xml:space="preserve"> (zadanie własne gminy o charakterze obowiązkowym). Należy w tym miejscu podkreślić istotny wymiar współpracy samorządów z organizacjami pozarządowymi w zakresie zapobiegania i przeciwdziałania bezdomności. Jak wynika z danych statystycznych przekazanych przez Ministerstwo Rodziny, Pracy i Polityki Społecznej</w:t>
      </w:r>
      <w:r w:rsidRPr="0023349B">
        <w:rPr>
          <w:rStyle w:val="Znakiprzypiswdolnych"/>
          <w:rFonts w:ascii="Times New Roman" w:hAnsi="Times New Roman" w:cs="Times New Roman"/>
        </w:rPr>
        <w:footnoteReference w:id="10"/>
      </w:r>
      <w:r w:rsidRPr="0023349B">
        <w:rPr>
          <w:rFonts w:ascii="Times New Roman" w:eastAsia="Times New Roman" w:hAnsi="Times New Roman" w:cs="Times New Roman"/>
          <w:vertAlign w:val="superscript"/>
        </w:rPr>
        <w:t>)</w:t>
      </w:r>
      <w:r w:rsidRPr="0023349B">
        <w:rPr>
          <w:rFonts w:ascii="Times New Roman" w:eastAsia="Times New Roman" w:hAnsi="Times New Roman" w:cs="Times New Roman"/>
        </w:rPr>
        <w:t xml:space="preserve">, wśród placówek udzielających schronienia, finansowanych ze środków publicznych, łączna liczba noclegowni, schronisk dla osób bezdomnych, schronisk dla osób bezdomnych z usługami opiekuńczymi i ogrzewalni to 413 placówek prowadzonych przez organizacje pozarządowe, udzielających schronienia 16 266 osobom bezdomnym. Wśród tych jednostek większość, bo 286, prowadzonych jest na zlecenie samorządów, a tym samym dofinansowanych ze środków publicznych, natomiast pozostałe 127 placówek prowadzonych jest przez organizacje z własnych środków, w ramach działalności statutowej. </w:t>
      </w:r>
    </w:p>
    <w:p w:rsidR="00C268CB" w:rsidRPr="0023349B" w:rsidRDefault="00C268CB" w:rsidP="0023349B">
      <w:pPr>
        <w:pStyle w:val="Akapitzlist1"/>
        <w:tabs>
          <w:tab w:val="left" w:pos="284"/>
        </w:tabs>
        <w:spacing w:after="240" w:line="360" w:lineRule="auto"/>
        <w:ind w:left="284"/>
        <w:jc w:val="both"/>
        <w:rPr>
          <w:rFonts w:ascii="Times New Roman" w:hAnsi="Times New Roman" w:cs="Times New Roman"/>
          <w:i/>
          <w:spacing w:val="4"/>
        </w:rPr>
      </w:pPr>
      <w:r w:rsidRPr="0023349B">
        <w:rPr>
          <w:rFonts w:ascii="Times New Roman" w:eastAsia="Times New Roman" w:hAnsi="Times New Roman" w:cs="Times New Roman"/>
        </w:rPr>
        <w:t xml:space="preserve">Projekt wprowadza możliwość ubiegania się o finansowe wsparcie przez organizacje pożytku publicznego oraz podmioty, o których mowa w art. 3 ust. 3 </w:t>
      </w:r>
      <w:r w:rsidRPr="0023349B">
        <w:rPr>
          <w:rFonts w:ascii="Times New Roman" w:hAnsi="Times New Roman" w:cs="Times New Roman"/>
        </w:rPr>
        <w:t xml:space="preserve">ustawy z dnia 24 kwietnia 2003 r. </w:t>
      </w:r>
      <w:r w:rsidRPr="0023349B">
        <w:rPr>
          <w:rFonts w:ascii="Times New Roman" w:hAnsi="Times New Roman" w:cs="Times New Roman"/>
          <w:i/>
        </w:rPr>
        <w:t xml:space="preserve">o działalności pożytku publicznego i o wolontariacie. </w:t>
      </w:r>
      <w:r w:rsidRPr="0023349B">
        <w:rPr>
          <w:rFonts w:ascii="Times New Roman" w:hAnsi="Times New Roman" w:cs="Times New Roman"/>
        </w:rPr>
        <w:t xml:space="preserve">W projekcie zaproponowano także rozwiązanie dotyczące przedsięwzięcia polegającego na dostosowaniu istniejących noclegowni, ogrzewalni i schronisk dla osób bezdomnych (art. 4 ust. 2 </w:t>
      </w:r>
      <w:r w:rsidRPr="0023349B">
        <w:rPr>
          <w:rFonts w:ascii="Times New Roman" w:hAnsi="Times New Roman" w:cs="Times New Roman"/>
          <w:i/>
        </w:rPr>
        <w:t>ustawy o finansowym wsparciu…</w:t>
      </w:r>
      <w:r w:rsidRPr="0023349B">
        <w:rPr>
          <w:rFonts w:ascii="Times New Roman" w:hAnsi="Times New Roman" w:cs="Times New Roman"/>
        </w:rPr>
        <w:t>), tak aby możliwe było wykonywanie robót budowlanych w placówkach świadczących usługi dla osób bezdomnych w jak najszerszym, koniecznym zakresie. Modyfikacji ulegnie również definicja pojęcia</w:t>
      </w:r>
      <w:r w:rsidRPr="0023349B">
        <w:rPr>
          <w:rFonts w:ascii="Times New Roman" w:hAnsi="Times New Roman" w:cs="Times New Roman"/>
          <w:i/>
        </w:rPr>
        <w:t xml:space="preserve"> schronisko dla osób bezdomnych,</w:t>
      </w:r>
      <w:r w:rsidRPr="0023349B">
        <w:rPr>
          <w:rFonts w:ascii="Times New Roman" w:hAnsi="Times New Roman" w:cs="Times New Roman"/>
        </w:rPr>
        <w:t xml:space="preserve"> </w:t>
      </w:r>
      <w:r w:rsidRPr="0023349B">
        <w:rPr>
          <w:rFonts w:ascii="Times New Roman" w:hAnsi="Times New Roman" w:cs="Times New Roman"/>
          <w:spacing w:val="4"/>
        </w:rPr>
        <w:t xml:space="preserve">poprzez odniesienie się do konkretnych przepisów </w:t>
      </w:r>
      <w:r w:rsidRPr="0023349B">
        <w:rPr>
          <w:rFonts w:ascii="Times New Roman" w:hAnsi="Times New Roman" w:cs="Times New Roman"/>
          <w:i/>
          <w:spacing w:val="4"/>
        </w:rPr>
        <w:t>ustawy</w:t>
      </w:r>
      <w:r w:rsidRPr="0023349B">
        <w:rPr>
          <w:rFonts w:ascii="Times New Roman" w:hAnsi="Times New Roman" w:cs="Times New Roman"/>
          <w:spacing w:val="4"/>
        </w:rPr>
        <w:t xml:space="preserve"> </w:t>
      </w:r>
      <w:r w:rsidRPr="0023349B">
        <w:rPr>
          <w:rFonts w:ascii="Times New Roman" w:hAnsi="Times New Roman" w:cs="Times New Roman"/>
          <w:i/>
          <w:spacing w:val="4"/>
        </w:rPr>
        <w:t>o pomocy społecznej.</w:t>
      </w:r>
    </w:p>
    <w:p w:rsidR="00C268CB" w:rsidRPr="0023349B" w:rsidRDefault="00C268CB" w:rsidP="0023349B">
      <w:pPr>
        <w:numPr>
          <w:ilvl w:val="0"/>
          <w:numId w:val="21"/>
        </w:numPr>
        <w:tabs>
          <w:tab w:val="left" w:pos="0"/>
        </w:tabs>
        <w:spacing w:after="240" w:line="360" w:lineRule="auto"/>
        <w:ind w:left="284" w:hanging="284"/>
        <w:jc w:val="both"/>
        <w:rPr>
          <w:rFonts w:ascii="Times New Roman" w:hAnsi="Times New Roman" w:cs="Times New Roman"/>
          <w:b/>
          <w:bCs/>
        </w:rPr>
      </w:pPr>
      <w:r w:rsidRPr="0023349B">
        <w:rPr>
          <w:rFonts w:ascii="Times New Roman" w:hAnsi="Times New Roman" w:cs="Times New Roman"/>
          <w:b/>
          <w:bCs/>
        </w:rPr>
        <w:t>Wprowadzenie dodatkowego instrumentu finansowego wsparcia dla beneficjentów tworzących lokale mieszkalne oraz powierzchnie wspólne dla seniorów.</w:t>
      </w:r>
    </w:p>
    <w:p w:rsidR="00C268CB" w:rsidRPr="0023349B" w:rsidRDefault="00C268CB" w:rsidP="0023349B">
      <w:pPr>
        <w:tabs>
          <w:tab w:val="left" w:pos="284"/>
        </w:tabs>
        <w:spacing w:after="240" w:line="360" w:lineRule="auto"/>
        <w:ind w:left="284"/>
        <w:jc w:val="both"/>
        <w:rPr>
          <w:rFonts w:ascii="Times New Roman" w:eastAsia="Times New Roman" w:hAnsi="Times New Roman" w:cs="Times New Roman"/>
        </w:rPr>
      </w:pPr>
      <w:r w:rsidRPr="0023349B">
        <w:rPr>
          <w:rFonts w:ascii="Times New Roman" w:eastAsia="Times New Roman" w:hAnsi="Times New Roman" w:cs="Times New Roman"/>
        </w:rPr>
        <w:t>Jednym z priorytetów rozwoju mieszkalnictwa dedykowanego osobom starszym jest przygotowanie warunków do jak najdłuższego przebywania seniorów w dotychczasowym miejscu zamieszkiwania, pozostawania w samodzielności, z dostępem – w miarę potrzeb – do specjalistycznej pomocy. Warto pamiętać, że dla budżetu gminy prowadzenie i/lub wspieranie takich mieszkań może być znacznie tańsze niż finansowanie działalności Domów Pomocy Społecznej. W związku z tym, istotnym wyzwaniem jest konieczność pilnej budowy systemu mieszkalnictwa senioralnego, począwszy od pomocy seniorom świadczonej w ich mieszkaniach, po różne formy mieszkań wspomaganych dla seniorów oraz wdrożenie systemu współzamieszkiwania dla seniorów. W niniejszym projekcie ustawy zaproponowano rozwiązanie polegające na dofinansowaniu z Funduszu Dopłat powierzchni wspólnych dla seniorów. Powierzchnie te będą mogły być wykorzystywane przez wszystkich mieszkańców.</w:t>
      </w:r>
    </w:p>
    <w:p w:rsidR="00C268CB" w:rsidRPr="0023349B" w:rsidRDefault="00C268CB" w:rsidP="0023349B">
      <w:pPr>
        <w:numPr>
          <w:ilvl w:val="0"/>
          <w:numId w:val="21"/>
        </w:numPr>
        <w:tabs>
          <w:tab w:val="left" w:pos="0"/>
        </w:tabs>
        <w:spacing w:after="240" w:line="360" w:lineRule="auto"/>
        <w:ind w:left="284" w:hanging="284"/>
        <w:jc w:val="both"/>
        <w:rPr>
          <w:rFonts w:ascii="Times New Roman" w:hAnsi="Times New Roman" w:cs="Times New Roman"/>
          <w:b/>
          <w:bCs/>
        </w:rPr>
      </w:pPr>
      <w:r w:rsidRPr="0023349B">
        <w:rPr>
          <w:rFonts w:ascii="Times New Roman" w:hAnsi="Times New Roman" w:cs="Times New Roman"/>
          <w:b/>
          <w:bCs/>
        </w:rPr>
        <w:t>Zwiększenie intensywności wsparcia samorządów gminnych realizujących przedsięwzięcia w ramach programu BSK.</w:t>
      </w:r>
    </w:p>
    <w:p w:rsidR="00C268CB" w:rsidRPr="0023349B" w:rsidRDefault="00C268CB" w:rsidP="0023349B">
      <w:pPr>
        <w:spacing w:after="120" w:line="360" w:lineRule="auto"/>
        <w:ind w:left="284"/>
        <w:jc w:val="both"/>
        <w:rPr>
          <w:rFonts w:ascii="Times New Roman" w:hAnsi="Times New Roman" w:cs="Times New Roman"/>
        </w:rPr>
      </w:pPr>
      <w:r w:rsidRPr="0023349B">
        <w:rPr>
          <w:rFonts w:ascii="Times New Roman" w:eastAsia="Times New Roman" w:hAnsi="Times New Roman" w:cs="Times New Roman"/>
        </w:rPr>
        <w:t>Z dotychczasowej realizacji programu BSK wynika, że wymaga on zwiększenia atrakcyjności zarówno w aspekcie finansowym, jak i dogodności realiza</w:t>
      </w:r>
      <w:r w:rsidR="001041B0" w:rsidRPr="0023349B">
        <w:rPr>
          <w:rFonts w:ascii="Times New Roman" w:eastAsia="Times New Roman" w:hAnsi="Times New Roman" w:cs="Times New Roman"/>
        </w:rPr>
        <w:t>cji przedsięwzięć określonych w </w:t>
      </w:r>
      <w:r w:rsidRPr="0023349B">
        <w:rPr>
          <w:rFonts w:ascii="Times New Roman" w:hAnsi="Times New Roman" w:cs="Times New Roman"/>
          <w:i/>
        </w:rPr>
        <w:t xml:space="preserve">ustawie o finansowym wsparciu… </w:t>
      </w:r>
      <w:r w:rsidRPr="0023349B">
        <w:rPr>
          <w:rFonts w:ascii="Times New Roman" w:eastAsia="Times New Roman" w:hAnsi="Times New Roman" w:cs="Times New Roman"/>
        </w:rPr>
        <w:t>(np. wprowadzono możliwość finansowania garaży dla samochodów osobowych)</w:t>
      </w:r>
      <w:r w:rsidRPr="0023349B">
        <w:rPr>
          <w:rFonts w:ascii="Times New Roman" w:hAnsi="Times New Roman" w:cs="Times New Roman"/>
        </w:rPr>
        <w:t xml:space="preserve">. </w:t>
      </w:r>
    </w:p>
    <w:p w:rsidR="00C268CB" w:rsidRPr="0023349B" w:rsidRDefault="00C268CB" w:rsidP="0023349B">
      <w:pPr>
        <w:spacing w:after="240" w:line="360" w:lineRule="auto"/>
        <w:ind w:left="284"/>
        <w:jc w:val="both"/>
        <w:rPr>
          <w:rFonts w:ascii="Times New Roman" w:eastAsia="Times New Roman" w:hAnsi="Times New Roman" w:cs="Times New Roman"/>
        </w:rPr>
      </w:pPr>
      <w:r w:rsidRPr="0023349B">
        <w:rPr>
          <w:rFonts w:ascii="Times New Roman" w:eastAsia="Times New Roman" w:hAnsi="Times New Roman" w:cs="Times New Roman"/>
        </w:rPr>
        <w:t xml:space="preserve">W przedłożonym projekcie ustawy zaproponowano zatem podniesienie i ujednolicenie progów wysokości udzielonego wsparcia z Funduszu Dopłat do 50% i 60%. </w:t>
      </w:r>
      <w:r w:rsidRPr="0023349B">
        <w:rPr>
          <w:rFonts w:ascii="Times New Roman" w:hAnsi="Times New Roman" w:cs="Times New Roman"/>
        </w:rPr>
        <w:t>Możliwość uzyskania wyższego wsparcia powinna przyczynić się do wzrostu zainteresowania samorządów realizacją przedsięwzięć na podstawie ustawy, a tym samym na zwiększenie tempa przyrostu liczby lokali i pomieszczeń służących zaspokajaniu potrzeb mieszkaniowych najuboższych</w:t>
      </w:r>
      <w:r w:rsidRPr="0023349B">
        <w:rPr>
          <w:rFonts w:ascii="Times New Roman" w:eastAsia="Times New Roman" w:hAnsi="Times New Roman" w:cs="Times New Roman"/>
        </w:rPr>
        <w:t>. Poszerzono katalog kosztów kwalifikowanych, dostosowując program do innych programów dedykowanych wsparciu przedsięwzięć społecznego budownictwa czynszowego, np. o koszt wykonania garaży podziemnych dla samochodów osobowych.</w:t>
      </w:r>
    </w:p>
    <w:p w:rsidR="00C268CB" w:rsidRPr="0023349B" w:rsidRDefault="00C268CB" w:rsidP="0023349B">
      <w:pPr>
        <w:numPr>
          <w:ilvl w:val="0"/>
          <w:numId w:val="21"/>
        </w:numPr>
        <w:tabs>
          <w:tab w:val="left" w:pos="0"/>
        </w:tabs>
        <w:spacing w:after="240" w:line="360" w:lineRule="auto"/>
        <w:ind w:left="284" w:hanging="284"/>
        <w:jc w:val="both"/>
        <w:rPr>
          <w:rFonts w:ascii="Times New Roman" w:hAnsi="Times New Roman" w:cs="Times New Roman"/>
          <w:b/>
          <w:bCs/>
        </w:rPr>
      </w:pPr>
      <w:r w:rsidRPr="0023349B">
        <w:rPr>
          <w:rFonts w:ascii="Times New Roman" w:hAnsi="Times New Roman" w:cs="Times New Roman"/>
          <w:b/>
          <w:bCs/>
        </w:rPr>
        <w:t>Złagodzenie przepisów dotyczących utrzymania zasobu utworzonego przy udziale finansowego wsparcia.</w:t>
      </w:r>
    </w:p>
    <w:p w:rsidR="00C268CB" w:rsidRPr="0023349B" w:rsidRDefault="00C268CB" w:rsidP="0023349B">
      <w:pPr>
        <w:spacing w:after="120" w:line="360" w:lineRule="auto"/>
        <w:ind w:left="284"/>
        <w:jc w:val="both"/>
        <w:rPr>
          <w:rFonts w:ascii="Times New Roman" w:eastAsia="Times New Roman" w:hAnsi="Times New Roman" w:cs="Times New Roman"/>
        </w:rPr>
      </w:pPr>
      <w:r w:rsidRPr="0023349B">
        <w:rPr>
          <w:rFonts w:ascii="Times New Roman" w:hAnsi="Times New Roman" w:cs="Times New Roman"/>
          <w:bCs/>
        </w:rPr>
        <w:t xml:space="preserve">Art. 21 </w:t>
      </w:r>
      <w:r w:rsidRPr="0023349B">
        <w:rPr>
          <w:rFonts w:ascii="Times New Roman" w:hAnsi="Times New Roman" w:cs="Times New Roman"/>
          <w:bCs/>
          <w:i/>
        </w:rPr>
        <w:t xml:space="preserve">ustawy o finansowym… wsparciu </w:t>
      </w:r>
      <w:r w:rsidRPr="0023349B">
        <w:rPr>
          <w:rFonts w:ascii="Times New Roman" w:hAnsi="Times New Roman" w:cs="Times New Roman"/>
          <w:bCs/>
        </w:rPr>
        <w:t xml:space="preserve">gwarantuje prawidłowe wykorzystanie przez beneficjenta wsparcia środków uzyskanych z Funduszu Dopłat. </w:t>
      </w:r>
      <w:r w:rsidRPr="0023349B">
        <w:rPr>
          <w:rFonts w:ascii="Times New Roman" w:eastAsia="Times New Roman" w:hAnsi="Times New Roman" w:cs="Times New Roman"/>
        </w:rPr>
        <w:t xml:space="preserve">Zgodnie z treścią art. 21 ust. 1 tej ustawy, przed upływem 15 lat od dnia rozliczenia kosztów przedsięwzięcia gmina nie może zbyć lub zmienić przeznaczenia lokali mieszkalnych wchodzących w skład mieszkaniowego zasobu gminy, mieszkania chronionego, noclegowni, schroniska dla bezdomnych, tymczasowego pomieszczenia lub ogrzewalni utworzonych przy wykorzystaniu finansowego wsparcia. Po upływie 10 lat od dnia rozliczenia przedsięwzięcia dopuszcza się zbycie lub zmianę sposobu przeznaczenia, jeżeli w ich miejsce gmina utworzy lokale mieszkalne, mieszkania chronione lub tymczasowe pomieszczenia o podobnym standardzie i wyposażeniu, w liczbie i o łącznej powierzchni użytkowej co najmniej równych liczbie i łącznej powierzchni użytkowej lokali mieszkalnych wchodzących w skład mieszkaniowego zasobu gminy, mieszkań chronionych lub tymczasowych pomieszczeń, które zostały zbyte lub których sposób użytkowania został zmieniony (art. 21 ust. 6 </w:t>
      </w:r>
      <w:r w:rsidRPr="0023349B">
        <w:rPr>
          <w:rFonts w:ascii="Times New Roman" w:eastAsia="Times New Roman" w:hAnsi="Times New Roman" w:cs="Times New Roman"/>
          <w:i/>
        </w:rPr>
        <w:t>ustawy o finansowym wsparciu…</w:t>
      </w:r>
      <w:r w:rsidRPr="0023349B">
        <w:rPr>
          <w:rFonts w:ascii="Times New Roman" w:eastAsia="Times New Roman" w:hAnsi="Times New Roman" w:cs="Times New Roman"/>
        </w:rPr>
        <w:t>).</w:t>
      </w:r>
    </w:p>
    <w:p w:rsidR="00C268CB" w:rsidRPr="0023349B" w:rsidRDefault="00C268CB" w:rsidP="0023349B">
      <w:pPr>
        <w:spacing w:after="120" w:line="360" w:lineRule="auto"/>
        <w:ind w:left="284"/>
        <w:jc w:val="both"/>
        <w:rPr>
          <w:rFonts w:ascii="Times New Roman" w:eastAsia="Times New Roman" w:hAnsi="Times New Roman" w:cs="Times New Roman"/>
        </w:rPr>
      </w:pPr>
      <w:r w:rsidRPr="0023349B">
        <w:rPr>
          <w:rFonts w:ascii="Times New Roman" w:eastAsia="Times New Roman" w:hAnsi="Times New Roman" w:cs="Times New Roman"/>
          <w:i/>
        </w:rPr>
        <w:t>Ustawa o finansowym wsparciu</w:t>
      </w:r>
      <w:r w:rsidRPr="0023349B">
        <w:rPr>
          <w:rFonts w:ascii="Times New Roman" w:eastAsia="Times New Roman" w:hAnsi="Times New Roman" w:cs="Times New Roman"/>
        </w:rPr>
        <w:t>...</w:t>
      </w:r>
      <w:r w:rsidR="00193AD6" w:rsidRPr="0023349B">
        <w:rPr>
          <w:rFonts w:ascii="Times New Roman" w:eastAsia="Times New Roman" w:hAnsi="Times New Roman" w:cs="Times New Roman"/>
        </w:rPr>
        <w:t xml:space="preserve"> </w:t>
      </w:r>
      <w:r w:rsidRPr="0023349B">
        <w:rPr>
          <w:rFonts w:ascii="Times New Roman" w:eastAsia="Times New Roman" w:hAnsi="Times New Roman" w:cs="Times New Roman"/>
        </w:rPr>
        <w:t xml:space="preserve">jednoznacznie określa, że zmiana struktury przeznaczenia lokali mieszkalnych przed upływem 15 lat, bez spełnienia warunku utworzenia lokali mieszkalnych o podobnym standardzie i wyposażeniu, w liczbie i o łącznej powierzchni użytkowej odpowiadającej lokalom „utraconym”, spowoduje rygor zwrotu finansowego wsparcia. </w:t>
      </w:r>
    </w:p>
    <w:p w:rsidR="00C268CB" w:rsidRPr="0023349B" w:rsidRDefault="00C268CB" w:rsidP="0023349B">
      <w:pPr>
        <w:spacing w:after="120" w:line="360" w:lineRule="auto"/>
        <w:ind w:left="284"/>
        <w:jc w:val="both"/>
        <w:rPr>
          <w:rFonts w:ascii="Times New Roman" w:eastAsia="Times New Roman" w:hAnsi="Times New Roman" w:cs="Times New Roman"/>
        </w:rPr>
      </w:pPr>
      <w:r w:rsidRPr="0023349B">
        <w:rPr>
          <w:rFonts w:ascii="Times New Roman" w:eastAsia="Times New Roman" w:hAnsi="Times New Roman" w:cs="Times New Roman"/>
        </w:rPr>
        <w:t xml:space="preserve">Ewaluacja programu BSK, jaka nastąpiła w okresie od jego wprowadzenia do chwili obecnej, powoduje konieczność zmiany przepisu art. 21 ust. 6 </w:t>
      </w:r>
      <w:r w:rsidRPr="0023349B">
        <w:rPr>
          <w:rFonts w:ascii="Times New Roman" w:eastAsia="Times New Roman" w:hAnsi="Times New Roman" w:cs="Times New Roman"/>
          <w:i/>
        </w:rPr>
        <w:t>ustawy o finansowym wsparciu…</w:t>
      </w:r>
      <w:r w:rsidRPr="0023349B">
        <w:rPr>
          <w:rFonts w:ascii="Times New Roman" w:eastAsia="Times New Roman" w:hAnsi="Times New Roman" w:cs="Times New Roman"/>
        </w:rPr>
        <w:t xml:space="preserve"> w sposób umożliwiający elastyczne, a przy tym bardziej efektywne, gospodarowanie utworzonymi przez gminę lokalami mieszkalnymi.</w:t>
      </w:r>
    </w:p>
    <w:p w:rsidR="00C268CB" w:rsidRPr="0023349B" w:rsidRDefault="00C268CB" w:rsidP="0023349B">
      <w:pPr>
        <w:pStyle w:val="Akapitzlist1"/>
        <w:numPr>
          <w:ilvl w:val="0"/>
          <w:numId w:val="21"/>
        </w:numPr>
        <w:tabs>
          <w:tab w:val="left" w:pos="0"/>
        </w:tabs>
        <w:spacing w:after="240" w:line="360" w:lineRule="auto"/>
        <w:ind w:left="284" w:hanging="284"/>
        <w:jc w:val="both"/>
        <w:rPr>
          <w:rFonts w:ascii="Times New Roman" w:hAnsi="Times New Roman" w:cs="Times New Roman"/>
          <w:b/>
          <w:bCs/>
        </w:rPr>
      </w:pPr>
      <w:r w:rsidRPr="0023349B">
        <w:rPr>
          <w:rFonts w:ascii="Times New Roman" w:hAnsi="Times New Roman" w:cs="Times New Roman"/>
          <w:b/>
          <w:bCs/>
        </w:rPr>
        <w:t>Wprowadzenie możliwości dofinansowania przedsięwzięć rozpoczętych i niezakończonych.</w:t>
      </w:r>
    </w:p>
    <w:p w:rsidR="00C268CB" w:rsidRPr="0023349B" w:rsidRDefault="00C268CB" w:rsidP="0023349B">
      <w:pPr>
        <w:pStyle w:val="Akapitzlist1"/>
        <w:spacing w:after="120" w:line="360" w:lineRule="auto"/>
        <w:ind w:left="284"/>
        <w:jc w:val="both"/>
        <w:rPr>
          <w:rFonts w:ascii="Times New Roman" w:hAnsi="Times New Roman" w:cs="Times New Roman"/>
        </w:rPr>
      </w:pPr>
      <w:r w:rsidRPr="0023349B">
        <w:rPr>
          <w:rFonts w:ascii="Times New Roman" w:hAnsi="Times New Roman" w:cs="Times New Roman"/>
        </w:rPr>
        <w:t>Projekt wprowadza możliwość finansowania w ramach programu BSK przedsięwzięć, które zostały rozpoczęte, ale nie zakończone przed dniem złożenia do BGK wniosku o finansowe wsparcie. Dodatkowo, w przypadku przedsięwzięć polegających na kupnie lokali mieszkalnych, finansowe wsparcie będzie mogło być udzielone na przedsięwzięcie zakończone, jeżeli wniosek o finansowe wsparcie zostanie złożony przez beneficjenta wsparcia przed upływem 12 miesięcy od dnia rozpoczęcia przedsięwzięcia.</w:t>
      </w:r>
    </w:p>
    <w:p w:rsidR="00C268CB" w:rsidRPr="0023349B" w:rsidRDefault="00C268CB" w:rsidP="0023349B">
      <w:pPr>
        <w:pStyle w:val="Akapitzlist1"/>
        <w:spacing w:after="240" w:line="360" w:lineRule="auto"/>
        <w:ind w:left="284"/>
        <w:jc w:val="both"/>
        <w:rPr>
          <w:rFonts w:ascii="Times New Roman" w:hAnsi="Times New Roman" w:cs="Times New Roman"/>
        </w:rPr>
      </w:pPr>
      <w:r w:rsidRPr="0023349B">
        <w:rPr>
          <w:rFonts w:ascii="Times New Roman" w:hAnsi="Times New Roman" w:cs="Times New Roman"/>
        </w:rPr>
        <w:t xml:space="preserve">Dotychczasowe doświadczenia realizacji programu BSK wykazały, że zakaz udzielania finansowego wsparcia na inwestycje rozpoczęte stanowiło barierę dla beneficjentów wsparcia, wymagając uprzedniego złożenia wniosku i zawarcia umowy z BGK. Należy zauważyć, że zgodnie z Prawem budowlanym decyzja o pozwoleniu na budowę wygasa, jeżeli budowa nie została rozpoczęta przed upływem 3 lat od dnia, w którym decyzja ta stała się ostateczna. Niejednokrotnie gminy ze względów finansowych zmuszone są odroczyć w czasie rozpoczęcie inwestycji, często w terminie maksymalnym, i aby decyzja o pozwoleniu na budowę nie wygasła </w:t>
      </w:r>
      <w:r w:rsidR="00C47C60" w:rsidRPr="0023349B">
        <w:rPr>
          <w:rFonts w:ascii="Times New Roman" w:hAnsi="Times New Roman" w:cs="Times New Roman"/>
        </w:rPr>
        <w:t>–</w:t>
      </w:r>
      <w:r w:rsidRPr="0023349B">
        <w:rPr>
          <w:rFonts w:ascii="Times New Roman" w:hAnsi="Times New Roman" w:cs="Times New Roman"/>
        </w:rPr>
        <w:t xml:space="preserve"> rozpoczynają prace budowlane. W efekcie, w chwili podjęcia robót budowlanych, tracą możliwość ubiegania się o finansowe wsparcie na przedsięwzięcia, które wpływają na poprawę sytuacji mieszkaniowej w danym regionie. </w:t>
      </w:r>
    </w:p>
    <w:p w:rsidR="00C268CB" w:rsidRPr="0023349B" w:rsidRDefault="00C268CB" w:rsidP="0023349B">
      <w:pPr>
        <w:pStyle w:val="Akapitzlist1"/>
        <w:numPr>
          <w:ilvl w:val="0"/>
          <w:numId w:val="21"/>
        </w:numPr>
        <w:tabs>
          <w:tab w:val="left" w:pos="0"/>
        </w:tabs>
        <w:spacing w:after="240" w:line="360" w:lineRule="auto"/>
        <w:ind w:left="284" w:hanging="284"/>
        <w:jc w:val="both"/>
        <w:rPr>
          <w:rFonts w:ascii="Times New Roman" w:hAnsi="Times New Roman" w:cs="Times New Roman"/>
          <w:b/>
        </w:rPr>
      </w:pPr>
      <w:r w:rsidRPr="0023349B">
        <w:rPr>
          <w:rFonts w:ascii="Times New Roman" w:hAnsi="Times New Roman" w:cs="Times New Roman"/>
          <w:b/>
          <w:bCs/>
        </w:rPr>
        <w:t>Ujednolicenie terminu realizacji przedsięwzięcia dla wszystkich beneficjentów wsparcia do 36 miesięcy</w:t>
      </w:r>
      <w:r w:rsidRPr="0023349B">
        <w:rPr>
          <w:rFonts w:ascii="Times New Roman" w:hAnsi="Times New Roman" w:cs="Times New Roman"/>
          <w:b/>
        </w:rPr>
        <w:t>.</w:t>
      </w:r>
    </w:p>
    <w:p w:rsidR="00C268CB" w:rsidRPr="0023349B" w:rsidRDefault="00C268CB" w:rsidP="0023349B">
      <w:pPr>
        <w:pStyle w:val="Akapitzlist1"/>
        <w:numPr>
          <w:ilvl w:val="0"/>
          <w:numId w:val="21"/>
        </w:numPr>
        <w:tabs>
          <w:tab w:val="left" w:pos="0"/>
        </w:tabs>
        <w:spacing w:after="240" w:line="360" w:lineRule="auto"/>
        <w:ind w:left="284" w:hanging="284"/>
        <w:jc w:val="both"/>
        <w:rPr>
          <w:rFonts w:ascii="Times New Roman" w:hAnsi="Times New Roman" w:cs="Times New Roman"/>
          <w:b/>
          <w:bCs/>
        </w:rPr>
      </w:pPr>
      <w:r w:rsidRPr="0023349B">
        <w:rPr>
          <w:rFonts w:ascii="Times New Roman" w:hAnsi="Times New Roman" w:cs="Times New Roman"/>
          <w:b/>
          <w:bCs/>
        </w:rPr>
        <w:t xml:space="preserve">Wprowadzenie innych rozwiązań dostosowujących </w:t>
      </w:r>
      <w:r w:rsidRPr="0023349B">
        <w:rPr>
          <w:rFonts w:ascii="Times New Roman" w:hAnsi="Times New Roman" w:cs="Times New Roman"/>
          <w:b/>
          <w:bCs/>
          <w:i/>
        </w:rPr>
        <w:t>ustawę o finansowym wsparciu…</w:t>
      </w:r>
      <w:r w:rsidRPr="0023349B">
        <w:rPr>
          <w:rFonts w:ascii="Times New Roman" w:hAnsi="Times New Roman" w:cs="Times New Roman"/>
          <w:b/>
          <w:bCs/>
        </w:rPr>
        <w:t xml:space="preserve"> do obecnych uwarunkowań prawnych oraz eliminujących wątpliwości interpretacyjne.</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W projekcie ustawy poza zmianami przedstawionymi w pkt 1</w:t>
      </w:r>
      <w:r w:rsidR="00C47C60" w:rsidRPr="0023349B">
        <w:rPr>
          <w:rFonts w:ascii="Times New Roman" w:hAnsi="Times New Roman" w:cs="Times New Roman"/>
        </w:rPr>
        <w:t>–</w:t>
      </w:r>
      <w:r w:rsidRPr="0023349B">
        <w:rPr>
          <w:rFonts w:ascii="Times New Roman" w:hAnsi="Times New Roman" w:cs="Times New Roman"/>
        </w:rPr>
        <w:t xml:space="preserve">8 przewidziano także zmiany mające na celu dostosowanie przepisów do obecnych uwarunkowań prawnych oraz wyeliminowanie wątpliwości interpretacyjnych, które pojawiły się podczas realizacji programu BSK w ostatnich kilkunastu miesiącach. Są to m.in. konsekwencje zmian w definicji mieszkaniowego zasobu gminy polegających na wyeliminowaniu lokali mieszkalnych utworzonych przez spółki celowe, o których mowa w art. 7 ustawy z dnia 20 lipca 2017 r. o Krajowym Zasobie Nieruchomości (Dz. U. z 2018 r. poz. 2363 oraz z 2019 r. poz. 1309). Wobec powyższego konieczne jest odpowiednie dostosowanie przepisów </w:t>
      </w:r>
      <w:r w:rsidRPr="0023349B">
        <w:rPr>
          <w:rFonts w:ascii="Times New Roman" w:hAnsi="Times New Roman" w:cs="Times New Roman"/>
          <w:i/>
        </w:rPr>
        <w:t>ustawy o finansowym wsparciu...</w:t>
      </w:r>
      <w:r w:rsidRPr="0023349B">
        <w:rPr>
          <w:rFonts w:ascii="Times New Roman" w:hAnsi="Times New Roman" w:cs="Times New Roman"/>
        </w:rPr>
        <w:t>. Zmiany w tym zakresie dotyczą również treści art. 3 oraz uchylenia art. 1b ustawy zmienianej.</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Ponadto zmianom podlegać będzie art. 1 </w:t>
      </w:r>
      <w:r w:rsidRPr="0023349B">
        <w:rPr>
          <w:rFonts w:ascii="Times New Roman" w:hAnsi="Times New Roman" w:cs="Times New Roman"/>
          <w:i/>
        </w:rPr>
        <w:t>ustawy o finansowym wsparciu…</w:t>
      </w:r>
      <w:r w:rsidRPr="0023349B">
        <w:rPr>
          <w:rFonts w:ascii="Times New Roman" w:hAnsi="Times New Roman" w:cs="Times New Roman"/>
        </w:rPr>
        <w:t>, w którym określony został zakres spraw regulowanych ustawą i podmiotów, których ona dotyczy. Dotychczasowe sformułowanie „tworzenie lokali” zostało uzupełnione o wyraz „modernizacja” rozumianą jako unowocześnienie i usprawnienie czegoś. Natomiast w art. 3</w:t>
      </w:r>
      <w:r w:rsidR="00C47C60" w:rsidRPr="0023349B">
        <w:rPr>
          <w:rFonts w:ascii="Times New Roman" w:hAnsi="Times New Roman" w:cs="Times New Roman"/>
        </w:rPr>
        <w:t>–</w:t>
      </w:r>
      <w:r w:rsidRPr="0023349B">
        <w:rPr>
          <w:rFonts w:ascii="Times New Roman" w:hAnsi="Times New Roman" w:cs="Times New Roman"/>
        </w:rPr>
        <w:t xml:space="preserve">5 </w:t>
      </w:r>
      <w:r w:rsidRPr="0023349B">
        <w:rPr>
          <w:rFonts w:ascii="Times New Roman" w:hAnsi="Times New Roman" w:cs="Times New Roman"/>
          <w:i/>
          <w:iCs/>
        </w:rPr>
        <w:t>ustawy o finansowym wsparciu</w:t>
      </w:r>
      <w:r w:rsidRPr="0023349B">
        <w:rPr>
          <w:rFonts w:ascii="Times New Roman" w:hAnsi="Times New Roman" w:cs="Times New Roman"/>
        </w:rPr>
        <w:t xml:space="preserve"> zostały doprecyzowane rodzaje przedsięwzięć, które są objęte finansowym wsparciem. </w:t>
      </w:r>
    </w:p>
    <w:p w:rsidR="00C268CB" w:rsidRPr="0023349B" w:rsidRDefault="00C268CB" w:rsidP="0023349B">
      <w:pPr>
        <w:spacing w:after="240" w:line="360" w:lineRule="auto"/>
        <w:jc w:val="both"/>
        <w:rPr>
          <w:rFonts w:ascii="Times New Roman" w:eastAsia="Times New Roman" w:hAnsi="Times New Roman" w:cs="Times New Roman"/>
          <w:b/>
          <w:u w:val="single"/>
        </w:rPr>
      </w:pPr>
      <w:r w:rsidRPr="0023349B">
        <w:rPr>
          <w:rFonts w:ascii="Times New Roman" w:eastAsia="Times New Roman" w:hAnsi="Times New Roman" w:cs="Times New Roman"/>
          <w:b/>
          <w:u w:val="single"/>
        </w:rPr>
        <w:t>Wsparcie dla średniozamożnych gospodarstwo domowych w ponoszeniu wydatków</w:t>
      </w:r>
      <w:r w:rsidR="001041B0" w:rsidRPr="0023349B">
        <w:rPr>
          <w:rFonts w:ascii="Times New Roman" w:eastAsia="Times New Roman" w:hAnsi="Times New Roman" w:cs="Times New Roman"/>
          <w:b/>
          <w:u w:val="single"/>
        </w:rPr>
        <w:t xml:space="preserve"> </w:t>
      </w:r>
      <w:r w:rsidRPr="0023349B">
        <w:rPr>
          <w:rFonts w:ascii="Times New Roman" w:eastAsia="Times New Roman" w:hAnsi="Times New Roman" w:cs="Times New Roman"/>
          <w:b/>
          <w:u w:val="single"/>
        </w:rPr>
        <w:t>mieszkaniowych w pierwszych latach najmu mieszkania</w:t>
      </w:r>
    </w:p>
    <w:p w:rsidR="00C268CB" w:rsidRPr="0023349B" w:rsidRDefault="00C268CB" w:rsidP="0023349B">
      <w:pPr>
        <w:spacing w:after="240" w:line="360" w:lineRule="auto"/>
        <w:jc w:val="both"/>
        <w:rPr>
          <w:rFonts w:ascii="Times New Roman" w:eastAsia="Times New Roman" w:hAnsi="Times New Roman" w:cs="Times New Roman"/>
          <w:i/>
        </w:rPr>
      </w:pPr>
      <w:r w:rsidRPr="0023349B">
        <w:rPr>
          <w:rFonts w:ascii="Times New Roman" w:eastAsia="Times New Roman" w:hAnsi="Times New Roman" w:cs="Times New Roman"/>
          <w:i/>
        </w:rPr>
        <w:t>Dotychczasowy kierunek zmian prawnych</w:t>
      </w:r>
    </w:p>
    <w:p w:rsidR="00C268CB" w:rsidRPr="0023349B" w:rsidRDefault="00C268CB" w:rsidP="0023349B">
      <w:pPr>
        <w:pStyle w:val="Akapitzlist3"/>
        <w:spacing w:after="240" w:line="360" w:lineRule="auto"/>
        <w:ind w:left="0"/>
        <w:jc w:val="both"/>
        <w:rPr>
          <w:rFonts w:ascii="Times New Roman" w:hAnsi="Times New Roman" w:cs="Times New Roman"/>
        </w:rPr>
      </w:pPr>
      <w:r w:rsidRPr="0023349B">
        <w:rPr>
          <w:rFonts w:ascii="Times New Roman" w:hAnsi="Times New Roman" w:cs="Times New Roman"/>
        </w:rPr>
        <w:t xml:space="preserve">Realizowany od 1 stycznia 2019 r. na podstawie </w:t>
      </w:r>
      <w:r w:rsidRPr="0023349B">
        <w:rPr>
          <w:rFonts w:ascii="Times New Roman" w:hAnsi="Times New Roman" w:cs="Times New Roman"/>
          <w:i/>
        </w:rPr>
        <w:t xml:space="preserve">ustawy z dnia 20 lipca 2018 r. o pomocy państwa w ponoszeniu wydatków mieszkaniowych w pierwszych latach najmu mieszkania </w:t>
      </w:r>
      <w:r w:rsidRPr="0023349B">
        <w:rPr>
          <w:rFonts w:ascii="Times New Roman" w:hAnsi="Times New Roman" w:cs="Times New Roman"/>
        </w:rPr>
        <w:t xml:space="preserve">(Dz.U. z 2020 r. poz. 551), dalej jako: </w:t>
      </w:r>
      <w:r w:rsidRPr="0023349B">
        <w:rPr>
          <w:rFonts w:ascii="Times New Roman" w:hAnsi="Times New Roman" w:cs="Times New Roman"/>
          <w:i/>
        </w:rPr>
        <w:t>ustawa o pomocy państwa…</w:t>
      </w:r>
      <w:r w:rsidRPr="0023349B">
        <w:rPr>
          <w:rFonts w:ascii="Times New Roman" w:hAnsi="Times New Roman" w:cs="Times New Roman"/>
        </w:rPr>
        <w:t xml:space="preserve"> program dopłat do czynszu „Mieszkanie na start” jest nowym instrumentem polityki mieszkaniowej państwa. W okresie 2019</w:t>
      </w:r>
      <w:r w:rsidR="00C47C60" w:rsidRPr="0023349B">
        <w:rPr>
          <w:rFonts w:ascii="Times New Roman" w:hAnsi="Times New Roman" w:cs="Times New Roman"/>
        </w:rPr>
        <w:t>–</w:t>
      </w:r>
      <w:r w:rsidRPr="0023349B">
        <w:rPr>
          <w:rFonts w:ascii="Times New Roman" w:hAnsi="Times New Roman" w:cs="Times New Roman"/>
        </w:rPr>
        <w:t>2028 budżet państwa zabezpieczył finansowanie programu maksymalnie do kwoty 16 mld zł.</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Jak wskazano w uzasadnieniu, instrument wsparcia ma charakter proinwestycyjny i uzupełnia działania dotyczące budowy mieszkań w ramach pakietu „Mieszkanie+”: obok inwestycji prowadzonych na zasadach rynkowych dotyczy mieszkań budowanych, we współpracy z gminą, w ramach programów wsparcia społecznego budownictwa czynszowego, tj. ustaw do których odnosi się przedmiotowa inicjatywa legislacyjna.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Wśród zasad, na jakich opiera się program można wymienić:</w:t>
      </w:r>
    </w:p>
    <w:p w:rsidR="00C268CB" w:rsidRPr="0023349B" w:rsidRDefault="00C268CB" w:rsidP="0023349B">
      <w:pPr>
        <w:pStyle w:val="Akapitzlist3"/>
        <w:numPr>
          <w:ilvl w:val="0"/>
          <w:numId w:val="25"/>
        </w:numPr>
        <w:tabs>
          <w:tab w:val="left" w:pos="0"/>
        </w:tabs>
        <w:spacing w:after="120" w:line="360" w:lineRule="auto"/>
        <w:jc w:val="both"/>
        <w:rPr>
          <w:rFonts w:ascii="Times New Roman" w:hAnsi="Times New Roman" w:cs="Times New Roman"/>
        </w:rPr>
      </w:pPr>
      <w:r w:rsidRPr="0023349B">
        <w:rPr>
          <w:rFonts w:ascii="Times New Roman" w:hAnsi="Times New Roman" w:cs="Times New Roman"/>
        </w:rPr>
        <w:t>kluczowymi podmiotami, na jakich oparta jest realizacja programu są inwestorzy (podmioty realizujące inwestycje mieszkaniowe i wynajmujące mieszkania), gminy (współpraca z inwestorem, kryteria naboru najemców, przyznanie dopłaty do czynszu i pośrednictwo w wypłacie) oraz BGK (operacyjnie odpowiada za wypłatę wsparcia ze środków Funduszu Dopłat);</w:t>
      </w:r>
    </w:p>
    <w:p w:rsidR="00C268CB" w:rsidRPr="0023349B" w:rsidRDefault="00C268CB" w:rsidP="0023349B">
      <w:pPr>
        <w:pStyle w:val="Akapitzlist3"/>
        <w:numPr>
          <w:ilvl w:val="0"/>
          <w:numId w:val="25"/>
        </w:numPr>
        <w:tabs>
          <w:tab w:val="left" w:pos="0"/>
        </w:tabs>
        <w:spacing w:after="120" w:line="360" w:lineRule="auto"/>
        <w:jc w:val="both"/>
        <w:rPr>
          <w:rFonts w:ascii="Times New Roman" w:hAnsi="Times New Roman" w:cs="Times New Roman"/>
        </w:rPr>
      </w:pPr>
      <w:r w:rsidRPr="0023349B">
        <w:rPr>
          <w:rFonts w:ascii="Times New Roman" w:hAnsi="Times New Roman" w:cs="Times New Roman"/>
        </w:rPr>
        <w:t>dopłaty do czynszów mogą uzyskać gospodarstwa domowe posiadające dochody niewystarczające do zakupu mieszkania lub opłacania czynszu rynkowego bez ryzyka nadmiernego ograniczania innych koniecznych wydatków, ale pod warunkiem posiadania „zdolności czynszowej” (definiują ją minimalne dochody gospodarstwa domowego lub minimalna kaucja zabezpieczająca inwestora przed ryzykiem zaległości czynszowych);</w:t>
      </w:r>
    </w:p>
    <w:p w:rsidR="00C268CB" w:rsidRPr="0023349B" w:rsidRDefault="00C268CB" w:rsidP="0023349B">
      <w:pPr>
        <w:pStyle w:val="Akapitzlist3"/>
        <w:numPr>
          <w:ilvl w:val="0"/>
          <w:numId w:val="26"/>
        </w:numPr>
        <w:tabs>
          <w:tab w:val="left" w:pos="0"/>
        </w:tabs>
        <w:spacing w:after="120" w:line="360" w:lineRule="auto"/>
        <w:ind w:left="714" w:hanging="357"/>
        <w:jc w:val="both"/>
        <w:rPr>
          <w:rFonts w:ascii="Times New Roman" w:hAnsi="Times New Roman" w:cs="Times New Roman"/>
        </w:rPr>
      </w:pPr>
      <w:r w:rsidRPr="0023349B">
        <w:rPr>
          <w:rFonts w:ascii="Times New Roman" w:hAnsi="Times New Roman" w:cs="Times New Roman"/>
        </w:rPr>
        <w:t>dopłaty mogą być wsparciem dla beneficjenta programu nawet przez 15 lat;</w:t>
      </w:r>
    </w:p>
    <w:p w:rsidR="00C268CB" w:rsidRPr="0023349B" w:rsidRDefault="00C268CB" w:rsidP="0023349B">
      <w:pPr>
        <w:pStyle w:val="Akapitzlist3"/>
        <w:numPr>
          <w:ilvl w:val="0"/>
          <w:numId w:val="26"/>
        </w:numPr>
        <w:tabs>
          <w:tab w:val="left" w:pos="0"/>
        </w:tabs>
        <w:spacing w:after="120" w:line="360" w:lineRule="auto"/>
        <w:ind w:left="714" w:hanging="357"/>
        <w:jc w:val="both"/>
        <w:rPr>
          <w:rFonts w:ascii="Times New Roman" w:hAnsi="Times New Roman" w:cs="Times New Roman"/>
        </w:rPr>
      </w:pPr>
      <w:r w:rsidRPr="0023349B">
        <w:rPr>
          <w:rFonts w:ascii="Times New Roman" w:hAnsi="Times New Roman" w:cs="Times New Roman"/>
        </w:rPr>
        <w:t>wysokość dopłat zależy od liczby osób w gospodarstwie domowym oraz lokalnych wskaźników dotyczących kosztów budowy;</w:t>
      </w:r>
    </w:p>
    <w:p w:rsidR="00C268CB" w:rsidRPr="0023349B" w:rsidRDefault="00C268CB" w:rsidP="0023349B">
      <w:pPr>
        <w:pStyle w:val="Akapitzlist3"/>
        <w:numPr>
          <w:ilvl w:val="0"/>
          <w:numId w:val="26"/>
        </w:numPr>
        <w:tabs>
          <w:tab w:val="left" w:pos="0"/>
        </w:tabs>
        <w:spacing w:after="240" w:line="360" w:lineRule="auto"/>
        <w:ind w:left="714" w:hanging="357"/>
        <w:jc w:val="both"/>
        <w:rPr>
          <w:rFonts w:ascii="Times New Roman" w:hAnsi="Times New Roman" w:cs="Times New Roman"/>
        </w:rPr>
      </w:pPr>
      <w:r w:rsidRPr="0023349B">
        <w:rPr>
          <w:rFonts w:ascii="Times New Roman" w:hAnsi="Times New Roman" w:cs="Times New Roman"/>
        </w:rPr>
        <w:t>możliwość stosowania dopłat do czynszów w programie występuje co do zasady wyłącznie w przypadku, gdy lokator wynajmuje mieszkanie bezpośrednio od inwestora – zgodnie z art. 2 pkt 11 ustawy, jedyne odstępstwa od tej zasady t</w:t>
      </w:r>
      <w:r w:rsidR="001041B0" w:rsidRPr="0023349B">
        <w:rPr>
          <w:rFonts w:ascii="Times New Roman" w:hAnsi="Times New Roman" w:cs="Times New Roman"/>
        </w:rPr>
        <w:t>o przypadki, gdy stroną umowy z </w:t>
      </w:r>
      <w:r w:rsidRPr="0023349B">
        <w:rPr>
          <w:rFonts w:ascii="Times New Roman" w:hAnsi="Times New Roman" w:cs="Times New Roman"/>
        </w:rPr>
        <w:t>lokatorem jest podmiot, który nabył mieszkanie od inwestora z przeznaczeniem na wynajem, albo wynajmuje mieszkanie najemcy działając na podstawie umowy w sprawie wynajmu mieszkań zawartej z inwestorem (ale nie na zasadach umowy najmu, w celu podnajmu mieszkania beneficjentowi).</w:t>
      </w:r>
    </w:p>
    <w:p w:rsidR="00C268CB" w:rsidRPr="0023349B" w:rsidRDefault="00C268CB" w:rsidP="0023349B">
      <w:pPr>
        <w:spacing w:after="240" w:line="360" w:lineRule="auto"/>
        <w:jc w:val="both"/>
        <w:rPr>
          <w:rFonts w:ascii="Times New Roman" w:eastAsia="Times New Roman" w:hAnsi="Times New Roman" w:cs="Times New Roman"/>
          <w:i/>
        </w:rPr>
      </w:pPr>
      <w:r w:rsidRPr="0023349B">
        <w:rPr>
          <w:rFonts w:ascii="Times New Roman" w:eastAsia="Times New Roman" w:hAnsi="Times New Roman" w:cs="Times New Roman"/>
          <w:i/>
        </w:rPr>
        <w:t>Proponowane rozwiązania</w:t>
      </w:r>
    </w:p>
    <w:p w:rsidR="00C268CB" w:rsidRPr="0023349B" w:rsidRDefault="00C268CB" w:rsidP="0023349B">
      <w:pPr>
        <w:pStyle w:val="Akapitzlist3"/>
        <w:spacing w:after="120" w:line="360" w:lineRule="auto"/>
        <w:ind w:left="0"/>
        <w:jc w:val="both"/>
        <w:rPr>
          <w:rFonts w:ascii="Times New Roman" w:hAnsi="Times New Roman" w:cs="Times New Roman"/>
        </w:rPr>
      </w:pPr>
      <w:r w:rsidRPr="0023349B">
        <w:rPr>
          <w:rFonts w:ascii="Times New Roman" w:hAnsi="Times New Roman" w:cs="Times New Roman"/>
        </w:rPr>
        <w:t xml:space="preserve">Cechą wspólną większości zmian wprowadzanych od 2017 r. w programach wsparcia społecznego budownictwa czynszowego – w tym dużej części propozycji zmian zawartych w przedłożonym projekcie – jest poszerzenie możliwości wspierania gmin w działaniach zwiększających zasób dostępnych cenowo mieszkań czynszowych, pozwalające lepiej uwzględnić specyfikę potrzeb i uwarunkowań lokalnych w gminie. Wyrazem tego są szersze możliwości współpracy JST z inwestorami (w tym segmentem inwestorów społecznego budownictwa czynszowego), jak również zwiększone możliwości wykorzystywania przez gminy mieszkań spoza zasobu mieszkań komunalnych, jako sposobu zapewniania mieszkań czynszowych dla osób mniej zamożnych (podnajem, różne formy wspieranej z budżetu państwa finansowej partycypacji JST w nowych inwestycjach mieszkaniowych). </w:t>
      </w:r>
    </w:p>
    <w:p w:rsidR="00C268CB" w:rsidRPr="0023349B" w:rsidRDefault="00C268CB" w:rsidP="0023349B">
      <w:pPr>
        <w:pStyle w:val="Akapitzlist3"/>
        <w:spacing w:after="240" w:line="360" w:lineRule="auto"/>
        <w:ind w:left="0"/>
        <w:jc w:val="both"/>
        <w:rPr>
          <w:rFonts w:ascii="Times New Roman" w:hAnsi="Times New Roman" w:cs="Times New Roman"/>
        </w:rPr>
      </w:pPr>
      <w:r w:rsidRPr="0023349B">
        <w:rPr>
          <w:rFonts w:ascii="Times New Roman" w:hAnsi="Times New Roman" w:cs="Times New Roman"/>
        </w:rPr>
        <w:t xml:space="preserve">Zgodnie z ww. kierunkiem zmian w programach wspierających </w:t>
      </w:r>
      <w:r w:rsidR="001041B0" w:rsidRPr="0023349B">
        <w:rPr>
          <w:rFonts w:ascii="Times New Roman" w:hAnsi="Times New Roman" w:cs="Times New Roman"/>
        </w:rPr>
        <w:t>budownictwo czynszowe, zmiany w </w:t>
      </w:r>
      <w:r w:rsidRPr="0023349B">
        <w:rPr>
          <w:rFonts w:ascii="Times New Roman" w:hAnsi="Times New Roman" w:cs="Times New Roman"/>
        </w:rPr>
        <w:t>programie „Mieszkanie na start” mają na celu lepsze dostosow</w:t>
      </w:r>
      <w:r w:rsidR="001041B0" w:rsidRPr="0023349B">
        <w:rPr>
          <w:rFonts w:ascii="Times New Roman" w:hAnsi="Times New Roman" w:cs="Times New Roman"/>
        </w:rPr>
        <w:t>anie zasad udzielania dopłat do </w:t>
      </w:r>
      <w:r w:rsidRPr="0023349B">
        <w:rPr>
          <w:rFonts w:ascii="Times New Roman" w:hAnsi="Times New Roman" w:cs="Times New Roman"/>
        </w:rPr>
        <w:t>czynszów do różnych modeli dostarczania dostępnych mieszkań czynszowych.</w:t>
      </w:r>
      <w:r w:rsidR="00193AD6" w:rsidRPr="0023349B">
        <w:rPr>
          <w:rFonts w:ascii="Times New Roman" w:hAnsi="Times New Roman" w:cs="Times New Roman"/>
        </w:rPr>
        <w:t xml:space="preserve"> </w:t>
      </w:r>
    </w:p>
    <w:p w:rsidR="00C268CB" w:rsidRPr="0023349B" w:rsidRDefault="00C268CB" w:rsidP="0023349B">
      <w:pPr>
        <w:pStyle w:val="Akapitzlist3"/>
        <w:spacing w:after="240" w:line="360" w:lineRule="auto"/>
        <w:ind w:left="0"/>
        <w:jc w:val="both"/>
        <w:rPr>
          <w:rFonts w:ascii="Times New Roman" w:hAnsi="Times New Roman" w:cs="Times New Roman"/>
        </w:rPr>
      </w:pPr>
      <w:r w:rsidRPr="0023349B">
        <w:rPr>
          <w:rFonts w:ascii="Times New Roman" w:hAnsi="Times New Roman" w:cs="Times New Roman"/>
        </w:rPr>
        <w:t xml:space="preserve">Projekt </w:t>
      </w:r>
      <w:r w:rsidRPr="0023349B">
        <w:rPr>
          <w:rFonts w:ascii="Times New Roman" w:hAnsi="Times New Roman" w:cs="Times New Roman"/>
          <w:i/>
        </w:rPr>
        <w:t xml:space="preserve">ustawy </w:t>
      </w:r>
      <w:r w:rsidRPr="0023349B">
        <w:rPr>
          <w:rFonts w:ascii="Times New Roman" w:hAnsi="Times New Roman" w:cs="Times New Roman"/>
        </w:rPr>
        <w:t>przewiduje:</w:t>
      </w:r>
    </w:p>
    <w:p w:rsidR="00C268CB" w:rsidRPr="0023349B" w:rsidRDefault="00C268CB" w:rsidP="0023349B">
      <w:pPr>
        <w:pStyle w:val="Akapitzlist3"/>
        <w:numPr>
          <w:ilvl w:val="0"/>
          <w:numId w:val="27"/>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b/>
        </w:rPr>
        <w:t>poszerzenie zakresu wsparcia w programie „Mieszkanie na start”</w:t>
      </w:r>
      <w:r w:rsidRPr="0023349B">
        <w:rPr>
          <w:rFonts w:ascii="Times New Roman" w:hAnsi="Times New Roman" w:cs="Times New Roman"/>
        </w:rPr>
        <w:t xml:space="preserve">, poprzez wprowadzenie </w:t>
      </w:r>
      <w:r w:rsidRPr="0023349B">
        <w:rPr>
          <w:rFonts w:ascii="Times New Roman" w:hAnsi="Times New Roman" w:cs="Times New Roman"/>
          <w:b/>
        </w:rPr>
        <w:t>możliwości stosowania dopłat do czynszów w przypadku podnajmu mieszkania od gminy</w:t>
      </w:r>
      <w:r w:rsidRPr="0023349B">
        <w:rPr>
          <w:rFonts w:ascii="Times New Roman" w:hAnsi="Times New Roman" w:cs="Times New Roman"/>
        </w:rPr>
        <w:t>, jeżeli gmina wynajmuje lokal od inwestora;</w:t>
      </w:r>
    </w:p>
    <w:p w:rsidR="00C268CB" w:rsidRPr="0023349B" w:rsidRDefault="00C268CB" w:rsidP="0023349B">
      <w:pPr>
        <w:pStyle w:val="Akapitzlist3"/>
        <w:numPr>
          <w:ilvl w:val="0"/>
          <w:numId w:val="27"/>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rPr>
        <w:t xml:space="preserve">w przypadku, gdy gmina wynajmuje mieszkanie bezpośrednio od inwestora w celu podnajmu beneficjentowi wsparcia, </w:t>
      </w:r>
      <w:r w:rsidRPr="0023349B">
        <w:rPr>
          <w:rFonts w:ascii="Times New Roman" w:hAnsi="Times New Roman" w:cs="Times New Roman"/>
          <w:b/>
        </w:rPr>
        <w:t>zwolnienie najemcy od bezwzględnego obowiązku posiadania zdolności czynszowej (ryzyko bieżącego pokrywania opłat czynszowych w całości przejmuje w takiej sytuacji gmina, jako bezpośredni najemca</w:t>
      </w:r>
      <w:r w:rsidRPr="0023349B">
        <w:rPr>
          <w:rFonts w:ascii="Times New Roman" w:hAnsi="Times New Roman" w:cs="Times New Roman"/>
        </w:rPr>
        <w:t>);</w:t>
      </w:r>
    </w:p>
    <w:p w:rsidR="00C268CB" w:rsidRPr="0023349B" w:rsidRDefault="00C268CB" w:rsidP="0023349B">
      <w:pPr>
        <w:pStyle w:val="Akapitzlist3"/>
        <w:numPr>
          <w:ilvl w:val="0"/>
          <w:numId w:val="27"/>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rPr>
        <w:t xml:space="preserve">w stosunku do podnajmu przez gminę mieszkań wybudowanych na podstawie umowy inwestora z gminą w ramach programu „Mieszkanie na start” </w:t>
      </w:r>
      <w:r w:rsidRPr="0023349B">
        <w:rPr>
          <w:rFonts w:ascii="Times New Roman" w:hAnsi="Times New Roman" w:cs="Times New Roman"/>
          <w:b/>
        </w:rPr>
        <w:t xml:space="preserve">wyłączenie zasady odpowiedniego stosowania przepisów odnoszących się w </w:t>
      </w:r>
      <w:r w:rsidRPr="0023349B">
        <w:rPr>
          <w:rFonts w:ascii="Times New Roman" w:hAnsi="Times New Roman" w:cs="Times New Roman"/>
          <w:b/>
          <w:i/>
        </w:rPr>
        <w:t>ustawie o ochronie praw lokatorów…</w:t>
      </w:r>
      <w:r w:rsidRPr="0023349B">
        <w:rPr>
          <w:rFonts w:ascii="Times New Roman" w:hAnsi="Times New Roman" w:cs="Times New Roman"/>
          <w:b/>
        </w:rPr>
        <w:t xml:space="preserve"> do mieszkań komunalnych</w:t>
      </w:r>
      <w:r w:rsidRPr="0023349B">
        <w:rPr>
          <w:rFonts w:ascii="Times New Roman" w:hAnsi="Times New Roman" w:cs="Times New Roman"/>
        </w:rPr>
        <w:t>;</w:t>
      </w:r>
    </w:p>
    <w:p w:rsidR="00C268CB" w:rsidRPr="0023349B" w:rsidRDefault="00C268CB" w:rsidP="0023349B">
      <w:pPr>
        <w:pStyle w:val="Akapitzlist3"/>
        <w:numPr>
          <w:ilvl w:val="0"/>
          <w:numId w:val="27"/>
        </w:numPr>
        <w:tabs>
          <w:tab w:val="left" w:pos="0"/>
        </w:tabs>
        <w:spacing w:after="240" w:line="360" w:lineRule="auto"/>
        <w:ind w:left="426" w:hanging="284"/>
        <w:jc w:val="both"/>
        <w:rPr>
          <w:rFonts w:ascii="Times New Roman" w:hAnsi="Times New Roman" w:cs="Times New Roman"/>
        </w:rPr>
      </w:pPr>
      <w:r w:rsidRPr="0023349B">
        <w:rPr>
          <w:rFonts w:ascii="Times New Roman" w:hAnsi="Times New Roman" w:cs="Times New Roman"/>
        </w:rPr>
        <w:t>rozszerzenie obszaru, na którym najemcom mieszkań znajdujących się w budynkach poddanym rewitalizacji przysługują dopłaty do czynszu o cały obszar gminy będący w stanie kryzysowym, nie tylko w ramach Specjalnej Strefy Rewitalizacji.</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W efekcie wprowadzonych zmian gmina otrzyma:</w:t>
      </w:r>
    </w:p>
    <w:p w:rsidR="00C268CB" w:rsidRPr="0023349B" w:rsidRDefault="00C268CB" w:rsidP="0023349B">
      <w:pPr>
        <w:numPr>
          <w:ilvl w:val="0"/>
          <w:numId w:val="28"/>
        </w:numPr>
        <w:tabs>
          <w:tab w:val="left" w:pos="0"/>
        </w:tabs>
        <w:spacing w:after="120" w:line="360" w:lineRule="auto"/>
        <w:ind w:left="714" w:hanging="357"/>
        <w:jc w:val="both"/>
        <w:rPr>
          <w:rFonts w:ascii="Times New Roman" w:hAnsi="Times New Roman" w:cs="Times New Roman"/>
        </w:rPr>
      </w:pPr>
      <w:r w:rsidRPr="0023349B">
        <w:rPr>
          <w:rFonts w:ascii="Times New Roman" w:hAnsi="Times New Roman" w:cs="Times New Roman"/>
        </w:rPr>
        <w:t xml:space="preserve">dodatkowe narzędzie pomocy lokatorom o dzisiaj dobrej, ale z różnych przyczyn niepewnej sytuacji dochodowej (uzasadnienie dla braku bezwzględnego zastosowania warunku posiadania przez najemcę zdolności czynszowej może dotyczyć np. byłych lokatorów mieszkaniowego zasobu gminy, którym gmina zamierza zaoferować nowe lokale /np. łańcuch przeprowadzek/); </w:t>
      </w:r>
    </w:p>
    <w:p w:rsidR="00C268CB" w:rsidRPr="0023349B" w:rsidRDefault="00C268CB" w:rsidP="0023349B">
      <w:pPr>
        <w:numPr>
          <w:ilvl w:val="0"/>
          <w:numId w:val="28"/>
        </w:numPr>
        <w:tabs>
          <w:tab w:val="left" w:pos="0"/>
        </w:tabs>
        <w:spacing w:after="120" w:line="360" w:lineRule="auto"/>
        <w:ind w:left="714" w:hanging="357"/>
        <w:jc w:val="both"/>
        <w:rPr>
          <w:rFonts w:ascii="Times New Roman" w:hAnsi="Times New Roman" w:cs="Times New Roman"/>
        </w:rPr>
      </w:pPr>
      <w:r w:rsidRPr="0023349B">
        <w:rPr>
          <w:rFonts w:ascii="Times New Roman" w:hAnsi="Times New Roman" w:cs="Times New Roman"/>
        </w:rPr>
        <w:t>nową możliwość pozyskania mieszkań docelowo zwiększających zasób mieszkań komunalnych (model dojścia do własności może dotyczyć również gminy jako najemcy);</w:t>
      </w:r>
    </w:p>
    <w:p w:rsidR="00C268CB" w:rsidRPr="0023349B" w:rsidRDefault="00C268CB" w:rsidP="0023349B">
      <w:pPr>
        <w:numPr>
          <w:ilvl w:val="0"/>
          <w:numId w:val="28"/>
        </w:numPr>
        <w:tabs>
          <w:tab w:val="left" w:pos="0"/>
        </w:tabs>
        <w:spacing w:after="240" w:line="360" w:lineRule="auto"/>
        <w:ind w:left="714" w:hanging="357"/>
        <w:jc w:val="both"/>
        <w:rPr>
          <w:rFonts w:ascii="Times New Roman" w:hAnsi="Times New Roman" w:cs="Times New Roman"/>
        </w:rPr>
      </w:pPr>
      <w:r w:rsidRPr="0023349B">
        <w:rPr>
          <w:rFonts w:ascii="Times New Roman" w:hAnsi="Times New Roman" w:cs="Times New Roman"/>
        </w:rPr>
        <w:t xml:space="preserve">dodatkową możliwość zastosowania programu dopłat do czynszów w nowych inwestycjach społecznego budownictwa czynszowego, w których jest </w:t>
      </w:r>
      <w:proofErr w:type="spellStart"/>
      <w:r w:rsidRPr="0023349B">
        <w:rPr>
          <w:rFonts w:ascii="Times New Roman" w:hAnsi="Times New Roman" w:cs="Times New Roman"/>
        </w:rPr>
        <w:t>partycypantem</w:t>
      </w:r>
      <w:proofErr w:type="spellEnd"/>
      <w:r w:rsidRPr="0023349B">
        <w:rPr>
          <w:rFonts w:ascii="Times New Roman" w:hAnsi="Times New Roman" w:cs="Times New Roman"/>
        </w:rPr>
        <w:t xml:space="preserve">, wynajmuje mieszkanie od </w:t>
      </w:r>
      <w:proofErr w:type="spellStart"/>
      <w:r w:rsidRPr="0023349B">
        <w:rPr>
          <w:rFonts w:ascii="Times New Roman" w:hAnsi="Times New Roman" w:cs="Times New Roman"/>
        </w:rPr>
        <w:t>tbs</w:t>
      </w:r>
      <w:proofErr w:type="spellEnd"/>
      <w:r w:rsidRPr="0023349B">
        <w:rPr>
          <w:rFonts w:ascii="Times New Roman" w:hAnsi="Times New Roman" w:cs="Times New Roman"/>
        </w:rPr>
        <w:t xml:space="preserve">/spółki gminnej w celu podnajmu na zasadach obowiązujących w MZG (w aktualnym stanie prawnym model jest wskazany w art. 5a </w:t>
      </w:r>
      <w:r w:rsidRPr="0023349B">
        <w:rPr>
          <w:rFonts w:ascii="Times New Roman" w:hAnsi="Times New Roman" w:cs="Times New Roman"/>
          <w:i/>
        </w:rPr>
        <w:t>ustawy o finansowym wsparciu …</w:t>
      </w:r>
      <w:r w:rsidRPr="0023349B">
        <w:rPr>
          <w:rFonts w:ascii="Times New Roman" w:hAnsi="Times New Roman" w:cs="Times New Roman"/>
        </w:rPr>
        <w:t xml:space="preserve"> – dzisiaj do tej części inwestycji, w których lokator jest podnajemcą, program „Mieszkanie na start” nie może być stosowany).</w:t>
      </w:r>
    </w:p>
    <w:p w:rsidR="00C268CB" w:rsidRPr="0023349B" w:rsidRDefault="00C268CB" w:rsidP="0023349B">
      <w:pPr>
        <w:spacing w:after="240" w:line="360" w:lineRule="auto"/>
        <w:jc w:val="both"/>
        <w:rPr>
          <w:rFonts w:ascii="Times New Roman" w:eastAsia="Times New Roman" w:hAnsi="Times New Roman" w:cs="Times New Roman"/>
          <w:b/>
          <w:u w:val="single"/>
        </w:rPr>
      </w:pPr>
      <w:r w:rsidRPr="0023349B">
        <w:rPr>
          <w:rFonts w:ascii="Times New Roman" w:eastAsia="Times New Roman" w:hAnsi="Times New Roman" w:cs="Times New Roman"/>
          <w:b/>
          <w:u w:val="single"/>
        </w:rPr>
        <w:t>Program termomodernizacji i remontów</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art. 28 </w:t>
      </w:r>
      <w:r w:rsidRPr="0023349B">
        <w:rPr>
          <w:rFonts w:ascii="Times New Roman" w:hAnsi="Times New Roman" w:cs="Times New Roman"/>
          <w:i/>
        </w:rPr>
        <w:t>ustawy o niektórych formach …</w:t>
      </w:r>
      <w:r w:rsidRPr="0023349B">
        <w:rPr>
          <w:rFonts w:ascii="Times New Roman" w:hAnsi="Times New Roman" w:cs="Times New Roman"/>
        </w:rPr>
        <w:t>, stawki czynszu za 1 m</w:t>
      </w:r>
      <w:r w:rsidRPr="0023349B">
        <w:rPr>
          <w:rFonts w:ascii="Times New Roman" w:hAnsi="Times New Roman" w:cs="Times New Roman"/>
          <w:vertAlign w:val="superscript"/>
        </w:rPr>
        <w:t>2</w:t>
      </w:r>
      <w:r w:rsidRPr="0023349B">
        <w:rPr>
          <w:rFonts w:ascii="Times New Roman" w:hAnsi="Times New Roman" w:cs="Times New Roman"/>
        </w:rPr>
        <w:t xml:space="preserve"> powierzchni użytkowej lokalu mieszkalnego w zasobach mieszkaniowych towarzystwa budownictwa społecznego są ustalane przez zgromadzenie wspólników, walne zgromadzenie akcjonariuszy albo walne zgromadzenie w takiej wysokości, aby suma czynszów za najem wszystkich lokali eksploatowanych przez towarzystwo pozwalała na pokrycie kosztów eksploatacji i remontów budynków oraz spłatę zobowiązań towarzystwa związanych z budową. Jednocześnie, w przypadku budynku wybudowanego przy wykorzystaniu kredytu udzielonego przez Bank Gospodarstwa Krajowego ze środków Krajowego Funduszu Mieszkaniowego, czynsz w skali roku nie może przekraczać 4% wartości odtworzeniowej lokalu, obliczonej według przepisów </w:t>
      </w:r>
      <w:r w:rsidRPr="0023349B">
        <w:rPr>
          <w:rFonts w:ascii="Times New Roman" w:hAnsi="Times New Roman" w:cs="Times New Roman"/>
          <w:i/>
        </w:rPr>
        <w:t>ustawa o ochronie praw lokatorów…</w:t>
      </w:r>
      <w:r w:rsidRPr="0023349B">
        <w:rPr>
          <w:rFonts w:ascii="Times New Roman" w:hAnsi="Times New Roman" w:cs="Times New Roman"/>
        </w:rPr>
        <w:t xml:space="preserve">. Natomiast w przypadku finansowania zwrotnego, czynsz w skali roku nie może przekraczać 5% wartości odtworzeniowej lokalu.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 konsekwencji powyższych ograniczeń, wysokość czynszu w zasobach stosujących je towarzystw budownictwa społecznego wynosiła około połowy wysokości stawek rynkowych.</w:t>
      </w:r>
      <w:r w:rsidR="00193AD6" w:rsidRPr="0023349B">
        <w:rPr>
          <w:rFonts w:ascii="Times New Roman" w:hAnsi="Times New Roman" w:cs="Times New Roman"/>
        </w:rPr>
        <w:t xml:space="preserve"> </w:t>
      </w:r>
      <w:r w:rsidRPr="0023349B">
        <w:rPr>
          <w:rFonts w:ascii="Times New Roman" w:hAnsi="Times New Roman" w:cs="Times New Roman"/>
        </w:rPr>
        <w:t>Wymagało to prowadzenia przez te towarzystwa bardzo oszczędnej gospodarki finansowej, co w szczególności nie sprzyjało akumulacji środków finansowych na prowadzenie remontów i ulepszeń o większym zakresie rzeczowym. W okresie użytkowania budynku postępuje jednak jego zużycie techniczne i funkcjonalne. Nawet przy zapewnieniu bieżącej konserwacji w okresie 25 lat użytkowania budynku może nastąpić degradacja niektórych jego elementów. Przykładowo degradacji mogą ulegać następujące elementy:</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ściany fundamentowe – w wyniku nawet drobnych nieszczelności warstw hydroizolacji, w wyniku długotrwałego działania wody może nastąpić zawilgocenie, które pogarsza właściwości izolacyjne ścian i może prowadzić do rozwoju grzybów i wytrącania się soli (zwłaszcza w elementach ceglanych);</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 </w:t>
      </w:r>
      <w:r w:rsidR="001041B0" w:rsidRPr="0023349B">
        <w:rPr>
          <w:rFonts w:ascii="Times New Roman" w:hAnsi="Times New Roman" w:cs="Times New Roman"/>
        </w:rPr>
        <w:tab/>
      </w:r>
      <w:r w:rsidRPr="0023349B">
        <w:rPr>
          <w:rFonts w:ascii="Times New Roman" w:hAnsi="Times New Roman" w:cs="Times New Roman"/>
        </w:rPr>
        <w:t>warstwy wykończeniowe ścian zewnętrznych – z uwagi na działanie czynników środowiskowych (opady, niskie temperatury, działanie promieni UV, rozwój glonów i porostów) następuje niszczenie warstw zewnętrznych ściany, np. pękanie warstw wykończenia, co pozwala na penetrację wody do warstwy izolacji cieplnej i zmniejszenie izolacyjności przegrody oraz pogorszenia estetyki;</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 </w:t>
      </w:r>
      <w:r w:rsidR="001041B0" w:rsidRPr="0023349B">
        <w:rPr>
          <w:rFonts w:ascii="Times New Roman" w:hAnsi="Times New Roman" w:cs="Times New Roman"/>
        </w:rPr>
        <w:tab/>
      </w:r>
      <w:r w:rsidRPr="0023349B">
        <w:rPr>
          <w:rFonts w:ascii="Times New Roman" w:hAnsi="Times New Roman" w:cs="Times New Roman"/>
        </w:rPr>
        <w:t>pokrycie dachu – w wyniku działania czynników atmosferycznych i działania słońca (promienie UV, duże różnice temperatur przy nagrzewaniu pokrycia dachu) mogą wystąpić nieszczelności i zawilgocenia warstw izolacyjnych i konstrukcyjnych;</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 </w:t>
      </w:r>
      <w:r w:rsidR="001041B0" w:rsidRPr="0023349B">
        <w:rPr>
          <w:rFonts w:ascii="Times New Roman" w:hAnsi="Times New Roman" w:cs="Times New Roman"/>
        </w:rPr>
        <w:tab/>
      </w:r>
      <w:r w:rsidRPr="0023349B">
        <w:rPr>
          <w:rFonts w:ascii="Times New Roman" w:hAnsi="Times New Roman" w:cs="Times New Roman"/>
        </w:rPr>
        <w:t>rynny i rury spustowe – nieszczelności i niedrożność mogą prowadzić do zawilgocenia przegród oraz do rozwoju glonów i porostów na powierzchni ścian;</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 </w:t>
      </w:r>
      <w:r w:rsidR="001041B0" w:rsidRPr="0023349B">
        <w:rPr>
          <w:rFonts w:ascii="Times New Roman" w:hAnsi="Times New Roman" w:cs="Times New Roman"/>
        </w:rPr>
        <w:tab/>
      </w:r>
      <w:r w:rsidRPr="0023349B">
        <w:rPr>
          <w:rFonts w:ascii="Times New Roman" w:hAnsi="Times New Roman" w:cs="Times New Roman"/>
        </w:rPr>
        <w:t>powłoki malarskie – pod wpływem uszkodzeń mechanicznych i środowiskowych;</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 </w:t>
      </w:r>
      <w:r w:rsidR="001041B0" w:rsidRPr="0023349B">
        <w:rPr>
          <w:rFonts w:ascii="Times New Roman" w:hAnsi="Times New Roman" w:cs="Times New Roman"/>
        </w:rPr>
        <w:tab/>
      </w:r>
      <w:r w:rsidRPr="0023349B">
        <w:rPr>
          <w:rFonts w:ascii="Times New Roman" w:hAnsi="Times New Roman" w:cs="Times New Roman"/>
        </w:rPr>
        <w:t>materiały uszczelniające w oknach, drzwiach, instalacjach mogą tracić swoją elastyczność (kruszą się);</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 </w:t>
      </w:r>
      <w:r w:rsidR="001041B0" w:rsidRPr="0023349B">
        <w:rPr>
          <w:rFonts w:ascii="Times New Roman" w:hAnsi="Times New Roman" w:cs="Times New Roman"/>
        </w:rPr>
        <w:tab/>
      </w:r>
      <w:r w:rsidRPr="0023349B">
        <w:rPr>
          <w:rFonts w:ascii="Times New Roman" w:hAnsi="Times New Roman" w:cs="Times New Roman"/>
        </w:rPr>
        <w:t>instalacja wentylacyjna i klimatyzacyjna – możliwość rozwoju bakterii i grzybów;</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 </w:t>
      </w:r>
      <w:r w:rsidR="001041B0" w:rsidRPr="0023349B">
        <w:rPr>
          <w:rFonts w:ascii="Times New Roman" w:hAnsi="Times New Roman" w:cs="Times New Roman"/>
        </w:rPr>
        <w:tab/>
      </w:r>
      <w:r w:rsidRPr="0023349B">
        <w:rPr>
          <w:rFonts w:ascii="Times New Roman" w:hAnsi="Times New Roman" w:cs="Times New Roman"/>
        </w:rPr>
        <w:t>kominy – niedrożność;</w:t>
      </w:r>
    </w:p>
    <w:p w:rsidR="00C268CB" w:rsidRPr="0023349B" w:rsidRDefault="00C268CB" w:rsidP="0023349B">
      <w:pPr>
        <w:spacing w:after="240" w:line="360" w:lineRule="auto"/>
        <w:ind w:left="426" w:hanging="426"/>
        <w:jc w:val="both"/>
        <w:rPr>
          <w:rFonts w:ascii="Times New Roman" w:hAnsi="Times New Roman" w:cs="Times New Roman"/>
        </w:rPr>
      </w:pPr>
      <w:r w:rsidRPr="0023349B">
        <w:rPr>
          <w:rFonts w:ascii="Times New Roman" w:hAnsi="Times New Roman" w:cs="Times New Roman"/>
        </w:rPr>
        <w:t>–</w:t>
      </w:r>
      <w:r w:rsidR="001041B0" w:rsidRPr="0023349B">
        <w:rPr>
          <w:rFonts w:ascii="Times New Roman" w:hAnsi="Times New Roman" w:cs="Times New Roman"/>
        </w:rPr>
        <w:tab/>
      </w:r>
      <w:r w:rsidRPr="0023349B">
        <w:rPr>
          <w:rFonts w:ascii="Times New Roman" w:hAnsi="Times New Roman" w:cs="Times New Roman"/>
        </w:rPr>
        <w:t xml:space="preserve"> instalacja wodociągowa i kanalizacyjna – korozja elementów metalowych, degradacja materiałów uszczelniających.</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Ponadto, w okresie od 1995 r., kiedy powstawały budynki, które zostały wybudowane przy wykorzystaniu kredytu udzielonego przez </w:t>
      </w:r>
      <w:proofErr w:type="spellStart"/>
      <w:r w:rsidRPr="0023349B">
        <w:rPr>
          <w:rFonts w:ascii="Times New Roman" w:hAnsi="Times New Roman" w:cs="Times New Roman"/>
        </w:rPr>
        <w:t>BGKze</w:t>
      </w:r>
      <w:proofErr w:type="spellEnd"/>
      <w:r w:rsidRPr="0023349B">
        <w:rPr>
          <w:rFonts w:ascii="Times New Roman" w:hAnsi="Times New Roman" w:cs="Times New Roman"/>
        </w:rPr>
        <w:t xml:space="preserve"> środków KFM, radykalnie zmieniły się przepisy z zakresu prawa budowlanego, w tym w szczególności warunki techniczne określające za pomocą wartości współczynnika przenikania ciepła wymagania w zakresie izolacyjności cieplnej przegród budowlanych:</w:t>
      </w:r>
    </w:p>
    <w:tbl>
      <w:tblPr>
        <w:tblW w:w="0" w:type="auto"/>
        <w:tblInd w:w="-25" w:type="dxa"/>
        <w:tblLayout w:type="fixed"/>
        <w:tblLook w:val="0000" w:firstRow="0" w:lastRow="0" w:firstColumn="0" w:lastColumn="0" w:noHBand="0" w:noVBand="0"/>
      </w:tblPr>
      <w:tblGrid>
        <w:gridCol w:w="1431"/>
        <w:gridCol w:w="2111"/>
        <w:gridCol w:w="1843"/>
        <w:gridCol w:w="1842"/>
        <w:gridCol w:w="1895"/>
      </w:tblGrid>
      <w:tr w:rsidR="00DA3234" w:rsidRPr="0023349B">
        <w:trPr>
          <w:trHeight w:val="382"/>
        </w:trPr>
        <w:tc>
          <w:tcPr>
            <w:tcW w:w="1431"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p>
        </w:tc>
        <w:tc>
          <w:tcPr>
            <w:tcW w:w="2111"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ściany zewnętrzne</w:t>
            </w:r>
          </w:p>
        </w:tc>
        <w:tc>
          <w:tcPr>
            <w:tcW w:w="1843"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stropodach</w:t>
            </w:r>
          </w:p>
        </w:tc>
        <w:tc>
          <w:tcPr>
            <w:tcW w:w="1842"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okna</w:t>
            </w:r>
          </w:p>
        </w:tc>
        <w:tc>
          <w:tcPr>
            <w:tcW w:w="18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drzwi</w:t>
            </w:r>
          </w:p>
        </w:tc>
      </w:tr>
      <w:tr w:rsidR="00DA3234" w:rsidRPr="0023349B">
        <w:trPr>
          <w:trHeight w:val="382"/>
        </w:trPr>
        <w:tc>
          <w:tcPr>
            <w:tcW w:w="1431"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1991</w:t>
            </w:r>
            <w:r w:rsidR="00C47C60" w:rsidRPr="0023349B">
              <w:rPr>
                <w:rFonts w:ascii="Times New Roman" w:hAnsi="Times New Roman" w:cs="Times New Roman"/>
              </w:rPr>
              <w:t>–</w:t>
            </w:r>
            <w:r w:rsidRPr="0023349B">
              <w:rPr>
                <w:rFonts w:ascii="Times New Roman" w:hAnsi="Times New Roman" w:cs="Times New Roman"/>
              </w:rPr>
              <w:t>2002</w:t>
            </w:r>
          </w:p>
        </w:tc>
        <w:tc>
          <w:tcPr>
            <w:tcW w:w="2111"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0,55</w:t>
            </w:r>
          </w:p>
        </w:tc>
        <w:tc>
          <w:tcPr>
            <w:tcW w:w="1843"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0,3</w:t>
            </w:r>
          </w:p>
        </w:tc>
        <w:tc>
          <w:tcPr>
            <w:tcW w:w="1842"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2,0</w:t>
            </w:r>
          </w:p>
        </w:tc>
        <w:tc>
          <w:tcPr>
            <w:tcW w:w="18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2,6</w:t>
            </w:r>
          </w:p>
        </w:tc>
      </w:tr>
      <w:tr w:rsidR="00DA3234" w:rsidRPr="0023349B">
        <w:trPr>
          <w:trHeight w:val="382"/>
        </w:trPr>
        <w:tc>
          <w:tcPr>
            <w:tcW w:w="1431"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od 2021</w:t>
            </w:r>
          </w:p>
        </w:tc>
        <w:tc>
          <w:tcPr>
            <w:tcW w:w="2111"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0,2</w:t>
            </w:r>
          </w:p>
        </w:tc>
        <w:tc>
          <w:tcPr>
            <w:tcW w:w="1843"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0,15</w:t>
            </w:r>
          </w:p>
        </w:tc>
        <w:tc>
          <w:tcPr>
            <w:tcW w:w="1842" w:type="dxa"/>
            <w:tcBorders>
              <w:top w:val="single" w:sz="4" w:space="0" w:color="000000"/>
              <w:left w:val="single" w:sz="4" w:space="0" w:color="000000"/>
              <w:bottom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0,9</w:t>
            </w:r>
          </w:p>
        </w:tc>
        <w:tc>
          <w:tcPr>
            <w:tcW w:w="18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68CB" w:rsidRPr="0023349B" w:rsidRDefault="00C268CB" w:rsidP="0023349B">
            <w:pPr>
              <w:snapToGrid w:val="0"/>
              <w:spacing w:after="240" w:line="360" w:lineRule="auto"/>
              <w:jc w:val="both"/>
              <w:rPr>
                <w:rFonts w:ascii="Times New Roman" w:hAnsi="Times New Roman" w:cs="Times New Roman"/>
              </w:rPr>
            </w:pPr>
            <w:r w:rsidRPr="0023349B">
              <w:rPr>
                <w:rFonts w:ascii="Times New Roman" w:hAnsi="Times New Roman" w:cs="Times New Roman"/>
              </w:rPr>
              <w:t>1,3</w:t>
            </w:r>
          </w:p>
        </w:tc>
      </w:tr>
    </w:tbl>
    <w:p w:rsidR="00C268CB" w:rsidRPr="0023349B" w:rsidRDefault="00C268CB" w:rsidP="0023349B">
      <w:pPr>
        <w:spacing w:before="240" w:after="120" w:line="360" w:lineRule="auto"/>
        <w:jc w:val="both"/>
        <w:rPr>
          <w:rFonts w:ascii="Times New Roman" w:hAnsi="Times New Roman" w:cs="Times New Roman"/>
        </w:rPr>
      </w:pPr>
      <w:r w:rsidRPr="0023349B">
        <w:rPr>
          <w:rFonts w:ascii="Times New Roman" w:hAnsi="Times New Roman" w:cs="Times New Roman"/>
        </w:rPr>
        <w:t xml:space="preserve">Te nowe wymagania należy spełnić przeprowadzając „ważniejszą renowację” w rozumieniu dyrektywy Parlamentu Europejskiego i Rady nr 2010/31/UE w sprawie charakterystyki energetycznej budynków (ostatnia wersja skonsolidowana: 24.12.2018 r.). Przepisy tej dyrektywy w zakresie określenia wymagań dla budynków poddawanych ważniejszym renowacjom zostały wdrożone do krajowego porządku prawnego poprzez dodanie w </w:t>
      </w:r>
      <w:r w:rsidRPr="0023349B">
        <w:rPr>
          <w:rFonts w:ascii="Times New Roman" w:hAnsi="Times New Roman" w:cs="Times New Roman"/>
          <w:i/>
        </w:rPr>
        <w:t xml:space="preserve">Prawie budowlanym </w:t>
      </w:r>
      <w:r w:rsidRPr="0023349B">
        <w:rPr>
          <w:rFonts w:ascii="Times New Roman" w:hAnsi="Times New Roman" w:cs="Times New Roman"/>
        </w:rPr>
        <w:t>przepisu art. 5 ust. 2a, który wskazuje, że w przypadku robót budowlanych polegających na dociepleniu budynku, obejmujących ponad 25% powierzchni przegród zewnętrznych tego budynku, należy spełnić wymagania minimalne dotyczące energooszczędności.</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Wprowadzenie do obrotu prawnego przepisów proponowanych w przedkładanym projekcie </w:t>
      </w:r>
      <w:r w:rsidRPr="0023349B">
        <w:rPr>
          <w:rFonts w:ascii="Times New Roman" w:hAnsi="Times New Roman" w:cs="Times New Roman"/>
          <w:i/>
        </w:rPr>
        <w:t>ustawy</w:t>
      </w:r>
      <w:r w:rsidRPr="0023349B">
        <w:rPr>
          <w:rFonts w:ascii="Times New Roman" w:hAnsi="Times New Roman" w:cs="Times New Roman"/>
        </w:rPr>
        <w:t xml:space="preserve"> dla lokatorów będących stroną umowy partycypacji w kosztach budowy mieszkań,</w:t>
      </w:r>
      <w:r w:rsidR="00193AD6" w:rsidRPr="0023349B">
        <w:rPr>
          <w:rFonts w:ascii="Times New Roman" w:hAnsi="Times New Roman" w:cs="Times New Roman"/>
        </w:rPr>
        <w:t xml:space="preserve"> </w:t>
      </w:r>
      <w:r w:rsidRPr="0023349B">
        <w:rPr>
          <w:rFonts w:ascii="Times New Roman" w:hAnsi="Times New Roman" w:cs="Times New Roman"/>
        </w:rPr>
        <w:t xml:space="preserve">wprowadzających nowe zasady, na jakich będą mogły zostać rozliczone środki zaangażowane przez najemcę w budowę mieszkania, zgodnie z formułą częściowych „wakacji czynszowych”, może w istotnym stopniu dodatkowo ograniczyć możliwości prowadzenia przez towarzystwa budownictwa społecznego gospodarki finansowej dostosowanej do potrzeb modernizacyjno-remontowych. Środki finansowe „uwolnione” po spłacie ostatniej raty preferencyjnego kredytu zaciągniętego w BGK nie będą bowiem mogły zostać przeznaczone na spłaty rat kolejnego, już rynkowego kredytu, zaciągniętego na sfinansowanie tych potrzeb, jeśli będzie trzeba sfinansować „wakacje czynszowe” większej liczbie najemców. </w:t>
      </w:r>
    </w:p>
    <w:p w:rsidR="00C268CB" w:rsidRPr="0023349B" w:rsidRDefault="00C268CB" w:rsidP="0023349B">
      <w:pPr>
        <w:spacing w:after="360" w:line="360" w:lineRule="auto"/>
        <w:jc w:val="both"/>
        <w:rPr>
          <w:rFonts w:ascii="Times New Roman" w:hAnsi="Times New Roman" w:cs="Times New Roman"/>
          <w:kern w:val="0"/>
          <w:lang w:eastAsia="en-US" w:bidi="pl-PL"/>
        </w:rPr>
      </w:pPr>
      <w:r w:rsidRPr="0023349B">
        <w:rPr>
          <w:rFonts w:ascii="Times New Roman" w:hAnsi="Times New Roman" w:cs="Times New Roman"/>
        </w:rPr>
        <w:t xml:space="preserve">Biorąc powyższe pod uwagę, a także uwzględniając rolę towarzystw budownictwa społecznego w realizacji rozbudowy segmentu mieszkań czynszowych użytkowanych na zasadach najmu przez niezamożne gospodarstwa domowe, konieczne jest dodatkowe wsparcie dla towarzystw, które umożliwi im utrzymanie zasobu w odpowiednim stanie technicznym. Tym samy </w:t>
      </w:r>
      <w:r w:rsidRPr="0023349B">
        <w:rPr>
          <w:rFonts w:ascii="Times New Roman" w:hAnsi="Times New Roman" w:cs="Times New Roman"/>
          <w:b/>
        </w:rPr>
        <w:t>projekt przewiduje możliwość uzyskania premii remontowej przez TBS na spłatę części kredytu zaciągniętego na realizację przedsięwzięcia remontowego</w:t>
      </w:r>
      <w:r w:rsidRPr="0023349B">
        <w:rPr>
          <w:rFonts w:ascii="Times New Roman" w:hAnsi="Times New Roman" w:cs="Times New Roman"/>
        </w:rPr>
        <w:t>.</w:t>
      </w:r>
    </w:p>
    <w:p w:rsidR="00C268CB" w:rsidRPr="0023349B" w:rsidRDefault="00C268CB" w:rsidP="0023349B">
      <w:pPr>
        <w:widowControl/>
        <w:suppressAutoHyphens w:val="0"/>
        <w:spacing w:before="240" w:after="120" w:line="360" w:lineRule="auto"/>
        <w:jc w:val="both"/>
        <w:rPr>
          <w:rFonts w:ascii="Times New Roman" w:hAnsi="Times New Roman" w:cs="Times New Roman"/>
          <w:b/>
          <w:kern w:val="0"/>
          <w:u w:val="single"/>
          <w:lang w:eastAsia="en-US" w:bidi="pl-PL"/>
        </w:rPr>
      </w:pPr>
      <w:r w:rsidRPr="0023349B">
        <w:rPr>
          <w:rFonts w:ascii="Times New Roman" w:hAnsi="Times New Roman" w:cs="Times New Roman"/>
          <w:b/>
          <w:kern w:val="0"/>
          <w:u w:val="single"/>
          <w:lang w:eastAsia="en-US" w:bidi="pl-PL"/>
        </w:rPr>
        <w:t>Zmiany w zakresie książeczek mieszkaniowych</w:t>
      </w:r>
    </w:p>
    <w:p w:rsidR="00C268CB" w:rsidRPr="0023349B" w:rsidRDefault="00C268CB" w:rsidP="0023349B">
      <w:pPr>
        <w:widowControl/>
        <w:suppressAutoHyphens w:val="0"/>
        <w:spacing w:before="120" w:line="360" w:lineRule="auto"/>
        <w:jc w:val="both"/>
        <w:rPr>
          <w:rFonts w:ascii="Times New Roman" w:hAnsi="Times New Roman" w:cs="Times New Roman"/>
          <w:kern w:val="0"/>
          <w:lang w:eastAsia="en-US" w:bidi="pl-PL"/>
        </w:rPr>
      </w:pPr>
      <w:r w:rsidRPr="0023349B">
        <w:rPr>
          <w:rFonts w:ascii="Times New Roman" w:hAnsi="Times New Roman" w:cs="Times New Roman"/>
          <w:kern w:val="0"/>
          <w:lang w:eastAsia="en-US" w:bidi="pl-PL"/>
        </w:rPr>
        <w:t>Oprócz działań i instrumentów realizacji NPM, dokument wskazał na kluczowe dla realizacji programu</w:t>
      </w:r>
      <w:r w:rsidR="00193AD6" w:rsidRPr="0023349B">
        <w:rPr>
          <w:rFonts w:ascii="Times New Roman" w:hAnsi="Times New Roman" w:cs="Times New Roman"/>
          <w:kern w:val="0"/>
          <w:lang w:eastAsia="en-US" w:bidi="pl-PL"/>
        </w:rPr>
        <w:t xml:space="preserve"> </w:t>
      </w:r>
      <w:r w:rsidRPr="0023349B">
        <w:rPr>
          <w:rFonts w:ascii="Times New Roman" w:hAnsi="Times New Roman" w:cs="Times New Roman"/>
          <w:kern w:val="0"/>
          <w:lang w:eastAsia="en-US" w:bidi="pl-PL"/>
        </w:rPr>
        <w:t>obszary priorytetowe, zaliczając do nich m.in. zapewn</w:t>
      </w:r>
      <w:r w:rsidR="001041B0" w:rsidRPr="0023349B">
        <w:rPr>
          <w:rFonts w:ascii="Times New Roman" w:hAnsi="Times New Roman" w:cs="Times New Roman"/>
          <w:kern w:val="0"/>
          <w:lang w:eastAsia="en-US" w:bidi="pl-PL"/>
        </w:rPr>
        <w:t>ienie warunków dla stabilnego i </w:t>
      </w:r>
      <w:r w:rsidRPr="0023349B">
        <w:rPr>
          <w:rFonts w:ascii="Times New Roman" w:hAnsi="Times New Roman" w:cs="Times New Roman"/>
          <w:kern w:val="0"/>
          <w:lang w:eastAsia="en-US" w:bidi="pl-PL"/>
        </w:rPr>
        <w:t>efektywnego finansowania mieszkalnictwa. W ramach zapewn</w:t>
      </w:r>
      <w:r w:rsidR="001041B0" w:rsidRPr="0023349B">
        <w:rPr>
          <w:rFonts w:ascii="Times New Roman" w:hAnsi="Times New Roman" w:cs="Times New Roman"/>
          <w:kern w:val="0"/>
          <w:lang w:eastAsia="en-US" w:bidi="pl-PL"/>
        </w:rPr>
        <w:t>ienia stabilnego finansowania w </w:t>
      </w:r>
      <w:r w:rsidRPr="0023349B">
        <w:rPr>
          <w:rFonts w:ascii="Times New Roman" w:hAnsi="Times New Roman" w:cs="Times New Roman"/>
          <w:kern w:val="0"/>
          <w:lang w:eastAsia="en-US" w:bidi="pl-PL"/>
        </w:rPr>
        <w:t>NPM rząd wskazał na potrzebę dalszej racjonalizacji zasad wydatkowania środków budżetowych, przewidując –</w:t>
      </w:r>
      <w:r w:rsidRPr="0023349B">
        <w:rPr>
          <w:rFonts w:ascii="Times New Roman" w:hAnsi="Times New Roman" w:cs="Times New Roman"/>
          <w:b/>
          <w:kern w:val="0"/>
          <w:lang w:eastAsia="en-US" w:bidi="pl-PL"/>
        </w:rPr>
        <w:t xml:space="preserve"> w przypadku historycznych zobowiązań polityki mieszkaniowej związanych z systemem oszczędzania w okresie PRL na książeczkach mieszkaniowych – „określenie zamkniętych ram czasowych ponoszenia wydatków budżetowych z tytułu refundacji premii gwarancyjnych oraz wprowadzenia nowych tytułów wydatkowych w większym zakresie odnoszących się do poprawy efektywności energetycznej w istniejącym zasobie mieszkaniowym”</w:t>
      </w:r>
      <w:r w:rsidRPr="0023349B">
        <w:rPr>
          <w:rFonts w:ascii="Times New Roman" w:hAnsi="Times New Roman" w:cs="Times New Roman"/>
          <w:kern w:val="0"/>
          <w:lang w:eastAsia="en-US" w:bidi="pl-PL"/>
        </w:rPr>
        <w:t xml:space="preserve"> (str. 53 załącznika do uchwały Rady Ministrów z dnia 27 września 2016 r. w sprawie przyjęcia „Narodowego Programu Mieszkaniowego” /uchwała nr 115/216/). </w:t>
      </w:r>
      <w:r w:rsidRPr="0023349B">
        <w:rPr>
          <w:rFonts w:ascii="Times New Roman" w:hAnsi="Times New Roman" w:cs="Times New Roman"/>
          <w:b/>
          <w:kern w:val="0"/>
          <w:lang w:eastAsia="en-US" w:bidi="pl-PL"/>
        </w:rPr>
        <w:t>Rozwiązania proponowane w planowanym projekcie są propozycją wypełnienia ww. średniookresowej wytycznej NPM</w:t>
      </w:r>
      <w:r w:rsidRPr="0023349B">
        <w:rPr>
          <w:rFonts w:ascii="Times New Roman" w:hAnsi="Times New Roman" w:cs="Times New Roman"/>
          <w:kern w:val="0"/>
          <w:lang w:eastAsia="en-US" w:bidi="pl-PL"/>
        </w:rPr>
        <w:t xml:space="preserve">. </w:t>
      </w:r>
    </w:p>
    <w:p w:rsidR="00C268CB" w:rsidRPr="0023349B" w:rsidRDefault="00C268CB" w:rsidP="0023349B">
      <w:pPr>
        <w:widowControl/>
        <w:suppressAutoHyphens w:val="0"/>
        <w:spacing w:before="120" w:line="360" w:lineRule="auto"/>
        <w:jc w:val="both"/>
        <w:rPr>
          <w:rFonts w:ascii="Times New Roman" w:hAnsi="Times New Roman" w:cs="Times New Roman"/>
          <w:kern w:val="0"/>
          <w:lang w:eastAsia="en-US" w:bidi="pl-PL"/>
        </w:rPr>
      </w:pPr>
      <w:r w:rsidRPr="0023349B">
        <w:rPr>
          <w:rFonts w:ascii="Times New Roman" w:hAnsi="Times New Roman" w:cs="Times New Roman"/>
          <w:kern w:val="0"/>
          <w:lang w:eastAsia="en-US" w:bidi="pl-PL"/>
        </w:rPr>
        <w:t xml:space="preserve">Mieszkaniowe książeczki oszczędnościowe funkcjonują w polskim systemie bankowym od lat pięćdziesiątych ubiegłego stulecia. Celem systemu oszczędzania na książeczkach było gromadzenie przez osoby fizyczne wkładów pieniężnych z przeznaczeniem na cele mieszkaniowe. Książeczki były szczególną postacią umowy rachunku bankowego </w:t>
      </w:r>
      <w:r w:rsidRPr="0023349B">
        <w:rPr>
          <w:rFonts w:ascii="Times New Roman" w:hAnsi="Times New Roman" w:cs="Times New Roman"/>
          <w:kern w:val="0"/>
          <w:lang w:eastAsia="en-US" w:bidi="ar-SA"/>
        </w:rPr>
        <w:t xml:space="preserve">(art. </w:t>
      </w:r>
      <w:r w:rsidRPr="0023349B">
        <w:rPr>
          <w:rFonts w:ascii="Times New Roman" w:hAnsi="Times New Roman" w:cs="Times New Roman"/>
          <w:kern w:val="0"/>
          <w:lang w:eastAsia="en-US" w:bidi="pl-PL"/>
        </w:rPr>
        <w:t>725 k.c.), a utrzymanie realnej wartości wkładów na nich zgromadzonych miał zapewniać system udzielania tzw. premii gwarancyjnych, obowiązujący od dnia 17 kwietnia 1958 r. Do wypłaty premii zobowiązany został bank PKO, lecz wydatki z tego tytułu refundowane były z budżetu państwa. Zasady gromadzenia wkładów na książeczkach, ich oprocentowanie oraz warunki nabywania prawa do premii gwarancyjnej i zasady ustalania jej wysokości zmieniały się od tego czasu wielokrotnie wraz ze zmianami podstaw prawnych w tym przedmiocie.</w:t>
      </w:r>
    </w:p>
    <w:p w:rsidR="00C268CB" w:rsidRPr="0023349B" w:rsidRDefault="00C268CB" w:rsidP="0023349B">
      <w:pPr>
        <w:widowControl/>
        <w:suppressAutoHyphens w:val="0"/>
        <w:spacing w:before="120" w:line="360" w:lineRule="auto"/>
        <w:jc w:val="both"/>
        <w:rPr>
          <w:rFonts w:ascii="Times New Roman" w:hAnsi="Times New Roman" w:cs="Times New Roman"/>
          <w:kern w:val="0"/>
          <w:lang w:eastAsia="en-US" w:bidi="pl-PL"/>
        </w:rPr>
      </w:pPr>
      <w:r w:rsidRPr="0023349B">
        <w:rPr>
          <w:rFonts w:ascii="Times New Roman" w:hAnsi="Times New Roman" w:cs="Times New Roman"/>
          <w:kern w:val="0"/>
          <w:lang w:eastAsia="en-US" w:bidi="pl-PL"/>
        </w:rPr>
        <w:t xml:space="preserve">Aktualnie zagadnienia związane z realizacją praw przysługujących właścicielom książeczek mieszkaniowych, wystawionych do dnia 23 października 1990 r., w tym warunki wypłaty premii gwarancyjnej przy jej likwidacji regulują przepisy </w:t>
      </w:r>
      <w:r w:rsidRPr="0023349B">
        <w:rPr>
          <w:rFonts w:ascii="Times New Roman" w:hAnsi="Times New Roman" w:cs="Times New Roman"/>
          <w:i/>
          <w:kern w:val="0"/>
          <w:lang w:eastAsia="en-US" w:bidi="pl-PL"/>
        </w:rPr>
        <w:t>ustawy z dnia 30 listopada 1995 r. o</w:t>
      </w:r>
      <w:r w:rsidRPr="0023349B">
        <w:rPr>
          <w:rFonts w:ascii="Times New Roman" w:hAnsi="Times New Roman" w:cs="Times New Roman"/>
          <w:kern w:val="0"/>
          <w:lang w:eastAsia="en-US" w:bidi="pl-PL"/>
        </w:rPr>
        <w:t xml:space="preserve"> </w:t>
      </w:r>
      <w:r w:rsidRPr="0023349B">
        <w:rPr>
          <w:rFonts w:ascii="Times New Roman" w:hAnsi="Times New Roman" w:cs="Times New Roman"/>
          <w:i/>
          <w:iCs/>
          <w:kern w:val="0"/>
          <w:lang w:eastAsia="en-US" w:bidi="pl-PL"/>
        </w:rPr>
        <w:t>pomocy państwa w spłacie niektórych kredytów mieszkaniowych, udzielaniu premii gwarancyjnych oraz refundacji bankom wypłaconych premii gwarancyjnych</w:t>
      </w:r>
      <w:r w:rsidRPr="0023349B">
        <w:rPr>
          <w:rFonts w:ascii="Times New Roman" w:hAnsi="Times New Roman" w:cs="Times New Roman"/>
          <w:kern w:val="0"/>
          <w:lang w:eastAsia="en-US" w:bidi="pl-PL"/>
        </w:rPr>
        <w:t xml:space="preserve"> (</w:t>
      </w:r>
      <w:r w:rsidRPr="0023349B">
        <w:rPr>
          <w:rFonts w:ascii="Times New Roman" w:hAnsi="Times New Roman" w:cs="Times New Roman"/>
          <w:i/>
          <w:iCs/>
          <w:kern w:val="0"/>
          <w:lang w:eastAsia="en-US" w:bidi="pl-PL"/>
        </w:rPr>
        <w:t>Dz.U. z 2016 r. poz. 1779, z późn. zm.).</w:t>
      </w:r>
      <w:r w:rsidRPr="0023349B">
        <w:rPr>
          <w:rFonts w:ascii="Times New Roman" w:hAnsi="Times New Roman" w:cs="Times New Roman"/>
          <w:kern w:val="0"/>
          <w:lang w:eastAsia="en-US" w:bidi="pl-PL"/>
        </w:rPr>
        <w:t xml:space="preserve"> Zgodnie z ustawą właściciele książeczek mieszkaniowych mogą ubiegać się o wypłatę premii gwarancyjnej w przypadku realizacji jednego z 12 celów mieszkaniowych. Natomiast budżet państwa refunduje bankom wypłacone klientom premie gwarancyjne, w związku z likwidacją książeczki. Należy podkreślić, że ustawa była kilkakrotnie nowelizowana w celu poszerzenia katalogu czynności, w związku z którymi można ubiegać się o premię gwarancyjną. W wyniku zrealizowanych inicjatyw legislacyjnych premię gwarancyjną można uzyskać zarówno w związku z poniesieniem jednorazowo znaczących wydatków (uzyskanie prawa własności mieszkania), poprzez wniesienie wkładu własnego w przypadku zaciągania kredytu hipotecznego czy dokonanie wpłaty partycypacji do towarzystwa budownictwa społecznego, po – w przypadku osób mających już zaspokojone potrzeby mieszkaniowe – dokonanie remontu polegającego na wymianie okien, instalacji gazowej lub elektrycznej. </w:t>
      </w:r>
    </w:p>
    <w:p w:rsidR="00C268CB" w:rsidRPr="0023349B" w:rsidRDefault="00C268CB" w:rsidP="0023349B">
      <w:pPr>
        <w:suppressAutoHyphens w:val="0"/>
        <w:autoSpaceDE w:val="0"/>
        <w:autoSpaceDN w:val="0"/>
        <w:adjustRightInd w:val="0"/>
        <w:spacing w:before="120" w:line="360" w:lineRule="auto"/>
        <w:jc w:val="both"/>
        <w:rPr>
          <w:rFonts w:ascii="Times New Roman" w:eastAsia="Times New Roman" w:hAnsi="Times New Roman" w:cs="Times New Roman"/>
          <w:kern w:val="0"/>
          <w:lang w:eastAsia="pl-PL" w:bidi="ar-SA"/>
        </w:rPr>
      </w:pPr>
      <w:r w:rsidRPr="0023349B">
        <w:rPr>
          <w:rFonts w:ascii="Times New Roman" w:hAnsi="Times New Roman" w:cs="Times New Roman"/>
          <w:kern w:val="0"/>
          <w:lang w:eastAsia="en-US" w:bidi="ar-SA"/>
        </w:rPr>
        <w:t xml:space="preserve">Pomimo corocznie zmniejszającej się skali potencjalnych zobowiązań finansowych państwa wywodzących się jeszcze z okresu PRL, na dzień 31 grudnia 2019 r. nadal zarejestrowanych jest </w:t>
      </w:r>
      <w:r w:rsidRPr="0023349B">
        <w:rPr>
          <w:rFonts w:ascii="Times New Roman" w:hAnsi="Times New Roman" w:cs="Times New Roman"/>
        </w:rPr>
        <w:t>1.016.816</w:t>
      </w:r>
      <w:r w:rsidRPr="0023349B">
        <w:rPr>
          <w:rFonts w:ascii="Times New Roman" w:hAnsi="Times New Roman" w:cs="Times New Roman"/>
          <w:kern w:val="0"/>
          <w:lang w:eastAsia="en-US" w:bidi="ar-SA"/>
        </w:rPr>
        <w:t xml:space="preserve"> rachunków oszczędnościowych. Zgromadzone na tych rachunkach wkłady wynosiły na koniec ub. roku </w:t>
      </w:r>
      <w:r w:rsidRPr="0023349B">
        <w:rPr>
          <w:rFonts w:ascii="Times New Roman" w:hAnsi="Times New Roman" w:cs="Times New Roman"/>
        </w:rPr>
        <w:t>495,6</w:t>
      </w:r>
      <w:r w:rsidRPr="0023349B">
        <w:rPr>
          <w:rFonts w:ascii="Times New Roman" w:hAnsi="Times New Roman" w:cs="Times New Roman"/>
          <w:kern w:val="0"/>
          <w:lang w:eastAsia="en-US" w:bidi="ar-SA"/>
        </w:rPr>
        <w:t xml:space="preserve"> mln zł ze średnią premią gwarancyjną wynoszącą w </w:t>
      </w:r>
      <w:r w:rsidRPr="0023349B">
        <w:rPr>
          <w:rFonts w:ascii="Times New Roman" w:hAnsi="Times New Roman" w:cs="Times New Roman"/>
        </w:rPr>
        <w:t xml:space="preserve">2019 roku 10.213,9 zł, przy czym premia ta była nieco wyższa niż we wcześniejszych latach (w 2018 r. premia wynosiła 9.315,4, w 2017 r. </w:t>
      </w:r>
      <w:r w:rsidR="00C47C60" w:rsidRPr="0023349B">
        <w:rPr>
          <w:rFonts w:ascii="Times New Roman" w:hAnsi="Times New Roman" w:cs="Times New Roman"/>
        </w:rPr>
        <w:t>–</w:t>
      </w:r>
      <w:r w:rsidRPr="0023349B">
        <w:rPr>
          <w:rFonts w:ascii="Times New Roman" w:hAnsi="Times New Roman" w:cs="Times New Roman"/>
        </w:rPr>
        <w:t xml:space="preserve"> 8.793,7 zł, a w 2016 r. – 8.828,9 zł).</w:t>
      </w:r>
      <w:r w:rsidRPr="0023349B">
        <w:rPr>
          <w:rFonts w:ascii="Times New Roman" w:hAnsi="Times New Roman" w:cs="Times New Roman"/>
          <w:kern w:val="0"/>
          <w:lang w:eastAsia="en-US" w:bidi="ar-SA"/>
        </w:rPr>
        <w:t xml:space="preserve"> Rok 2019 był też kolejnym rokiem, w którym dało się zaobserwować tendencję spadkową w liczbie likwidowanych książeczek mieszkaniowych: w całym tym okresie zlikwidowano </w:t>
      </w:r>
      <w:r w:rsidRPr="0023349B">
        <w:rPr>
          <w:rFonts w:ascii="Times New Roman" w:hAnsi="Times New Roman" w:cs="Times New Roman"/>
        </w:rPr>
        <w:t>15.217 książeczek, z czego książeczki z wypłaconą premią gwarancyjną wynosiły 14.127 szt. (o ok. 3,3 tys. mniej niż w roku 2018)</w:t>
      </w:r>
      <w:r w:rsidRPr="0023349B">
        <w:rPr>
          <w:rFonts w:ascii="Times New Roman" w:hAnsi="Times New Roman" w:cs="Times New Roman"/>
          <w:kern w:val="0"/>
          <w:lang w:eastAsia="en-US" w:bidi="ar-SA"/>
        </w:rPr>
        <w:t xml:space="preserve">. Przewiduje się, że w kolejnych latach liczba likwidowanych książeczek przy utrzymaniu niezmienionych rozwiązań prawnych może nadal się zmniejszać. Prawdopodobnie przyczyną tego jest „wyczerpanie się” katalogu czynności uprawniających do realizacji książeczki. Większość pozycji w katalogu odnosi się do zaspokojenia potrzeb mieszkaniowych właściciela książeczki w formie zakupu mieszkania (lub uzyskania mieszkania w </w:t>
      </w:r>
      <w:proofErr w:type="spellStart"/>
      <w:r w:rsidRPr="0023349B">
        <w:rPr>
          <w:rFonts w:ascii="Times New Roman" w:hAnsi="Times New Roman" w:cs="Times New Roman"/>
          <w:kern w:val="0"/>
          <w:lang w:eastAsia="en-US" w:bidi="ar-SA"/>
        </w:rPr>
        <w:t>tbs</w:t>
      </w:r>
      <w:proofErr w:type="spellEnd"/>
      <w:r w:rsidRPr="0023349B">
        <w:rPr>
          <w:rFonts w:ascii="Times New Roman" w:hAnsi="Times New Roman" w:cs="Times New Roman"/>
          <w:kern w:val="0"/>
          <w:lang w:eastAsia="en-US" w:bidi="ar-SA"/>
        </w:rPr>
        <w:t>) i cel ten został w dużym stopniu osiągnięty, natomiast właściciele mieszkań będący w posiadaniu książeczek mają mocno ograniczone możliwości uzyskania premii gwarancyjnej. Obecnie mogą ubiegać się o premię jedynie w związku z wpłatą na fundusz remontowy, wymianą okien, instalacji elektrycznej lub gazowej. Katalog czynności umożliwiający ubieganie się o wypłatę premii gwarancyjnej nie był zmieniany od 2008 r.</w:t>
      </w:r>
      <w:r w:rsidR="00193AD6" w:rsidRPr="0023349B">
        <w:rPr>
          <w:rFonts w:ascii="Times New Roman" w:hAnsi="Times New Roman" w:cs="Times New Roman"/>
          <w:kern w:val="0"/>
          <w:lang w:eastAsia="en-US" w:bidi="ar-SA"/>
        </w:rPr>
        <w:t xml:space="preserve"> </w:t>
      </w:r>
    </w:p>
    <w:p w:rsidR="00C268CB" w:rsidRPr="0023349B" w:rsidRDefault="00C268CB" w:rsidP="0023349B">
      <w:pPr>
        <w:suppressAutoHyphens w:val="0"/>
        <w:autoSpaceDE w:val="0"/>
        <w:autoSpaceDN w:val="0"/>
        <w:adjustRightInd w:val="0"/>
        <w:spacing w:before="120" w:line="360" w:lineRule="auto"/>
        <w:jc w:val="both"/>
        <w:rPr>
          <w:rFonts w:ascii="Times New Roman" w:eastAsia="Times New Roman" w:hAnsi="Times New Roman" w:cs="Times New Roman"/>
          <w:kern w:val="0"/>
          <w:lang w:eastAsia="pl-PL" w:bidi="ar-SA"/>
        </w:rPr>
      </w:pPr>
      <w:r w:rsidRPr="0023349B">
        <w:rPr>
          <w:rFonts w:ascii="Times New Roman" w:eastAsia="Times New Roman" w:hAnsi="Times New Roman" w:cs="Times New Roman"/>
          <w:kern w:val="0"/>
          <w:lang w:eastAsia="pl-PL" w:bidi="ar-SA"/>
        </w:rPr>
        <w:t>Uwzględniając powyższe,</w:t>
      </w:r>
      <w:r w:rsidRPr="0023349B">
        <w:rPr>
          <w:rFonts w:ascii="Times New Roman" w:eastAsia="Times New Roman" w:hAnsi="Times New Roman" w:cs="Times New Roman"/>
          <w:b/>
          <w:kern w:val="0"/>
          <w:lang w:eastAsia="pl-PL" w:bidi="ar-SA"/>
        </w:rPr>
        <w:t xml:space="preserve"> pierwszą grupą zmian proponowanych w przedłożonym projekcie ustawy jest poszerzenie przypadków umożliwiających otrzymanie finansowej premii związanej z likwidacją książeczki mieszkaniowej, w związku z dokonaniem przez właściciela książeczki czynności związanej z poprawą jego sytuacji mieszkaniowej</w:t>
      </w:r>
      <w:r w:rsidRPr="0023349B">
        <w:rPr>
          <w:rFonts w:ascii="Times New Roman" w:eastAsia="Times New Roman" w:hAnsi="Times New Roman" w:cs="Times New Roman"/>
          <w:kern w:val="0"/>
          <w:lang w:eastAsia="pl-PL" w:bidi="ar-SA"/>
        </w:rPr>
        <w:t>.</w:t>
      </w:r>
      <w:r w:rsidR="00193AD6" w:rsidRPr="0023349B">
        <w:rPr>
          <w:rFonts w:ascii="Times New Roman" w:eastAsia="Times New Roman" w:hAnsi="Times New Roman" w:cs="Times New Roman"/>
          <w:kern w:val="0"/>
          <w:lang w:eastAsia="pl-PL" w:bidi="ar-SA"/>
        </w:rPr>
        <w:t xml:space="preserve"> </w:t>
      </w:r>
      <w:r w:rsidRPr="0023349B">
        <w:rPr>
          <w:rFonts w:ascii="Times New Roman" w:eastAsia="Times New Roman" w:hAnsi="Times New Roman" w:cs="Times New Roman"/>
          <w:kern w:val="0"/>
          <w:lang w:eastAsia="pl-PL" w:bidi="ar-SA"/>
        </w:rPr>
        <w:t>W tym kontekście, poza wypełnieniem kierunkowych wytycznych Narodowego Programu Mieszkaniowego, w pracach nad projektem uwzględnione zostały również postulaty kierowane do organów administracji rządowej oraz Parlamentu, przez właścicieli książeczek mieszkaniowych, którzy formułowali uwagi o nadmiernie ograniczonym katalogu wydatków mieszkaniowych, w związku z którymi można uzyskać premię gwarancyjną. Na problemy związane ze spadającą liczbą likwidowanych książeczek mieszkaniowych i propozycję rozważenia wprowadzenia nowych celów mieszkaniowych wskazywał również Rzecznik Praw Obywatelskich.</w:t>
      </w:r>
    </w:p>
    <w:p w:rsidR="00C268CB" w:rsidRPr="0023349B" w:rsidRDefault="00C268CB" w:rsidP="0023349B">
      <w:pPr>
        <w:suppressAutoHyphens w:val="0"/>
        <w:autoSpaceDE w:val="0"/>
        <w:autoSpaceDN w:val="0"/>
        <w:adjustRightInd w:val="0"/>
        <w:spacing w:before="120" w:line="360" w:lineRule="auto"/>
        <w:jc w:val="both"/>
        <w:rPr>
          <w:rFonts w:ascii="Times New Roman" w:eastAsia="Times New Roman" w:hAnsi="Times New Roman" w:cs="Times New Roman"/>
          <w:kern w:val="0"/>
          <w:szCs w:val="20"/>
          <w:lang w:eastAsia="pl-PL" w:bidi="pl-PL"/>
        </w:rPr>
      </w:pPr>
      <w:r w:rsidRPr="0023349B">
        <w:rPr>
          <w:rFonts w:ascii="Times New Roman" w:eastAsia="Times New Roman" w:hAnsi="Times New Roman" w:cs="Times New Roman"/>
          <w:kern w:val="0"/>
          <w:szCs w:val="20"/>
          <w:lang w:eastAsia="pl-PL" w:bidi="pl-PL"/>
        </w:rPr>
        <w:t>Rozwiązania planowane w projekcie zostały przedstawione po zakończeniu pierwszego okresu realizacji NPM, kluczowego pod względem przygotowania i wdrożenia najważniejszych zmian legislacyjnych, stymulujących w perspektywie długookresowej wieloletnie działania inwestycyjne</w:t>
      </w:r>
      <w:r w:rsidRPr="0023349B">
        <w:rPr>
          <w:rFonts w:ascii="Times New Roman" w:eastAsia="Times New Roman" w:hAnsi="Times New Roman" w:cs="Times New Roman"/>
          <w:kern w:val="0"/>
          <w:szCs w:val="20"/>
          <w:vertAlign w:val="superscript"/>
          <w:lang w:eastAsia="pl-PL" w:bidi="pl-PL"/>
        </w:rPr>
        <w:footnoteReference w:id="11"/>
      </w:r>
      <w:r w:rsidR="00F812BE" w:rsidRPr="0023349B">
        <w:rPr>
          <w:rFonts w:ascii="Times New Roman" w:hAnsi="Times New Roman"/>
          <w:bCs/>
          <w:vertAlign w:val="superscript"/>
        </w:rPr>
        <w:t>)</w:t>
      </w:r>
      <w:r w:rsidRPr="0023349B">
        <w:rPr>
          <w:rFonts w:ascii="Times New Roman" w:eastAsia="Times New Roman" w:hAnsi="Times New Roman" w:cs="Times New Roman"/>
          <w:kern w:val="0"/>
          <w:szCs w:val="20"/>
          <w:lang w:eastAsia="pl-PL" w:bidi="pl-PL"/>
        </w:rPr>
        <w:t>. Przyjęta chronologia pozwoliła całościowo uwzględnić tym samym dorobek rozwiązań wdrożonych w ramach dotychczasowego okresu</w:t>
      </w:r>
      <w:r w:rsidR="00193AD6" w:rsidRPr="0023349B">
        <w:rPr>
          <w:rFonts w:ascii="Times New Roman" w:eastAsia="Times New Roman" w:hAnsi="Times New Roman" w:cs="Times New Roman"/>
          <w:kern w:val="0"/>
          <w:szCs w:val="20"/>
          <w:lang w:eastAsia="pl-PL" w:bidi="pl-PL"/>
        </w:rPr>
        <w:t xml:space="preserve"> </w:t>
      </w:r>
      <w:r w:rsidRPr="0023349B">
        <w:rPr>
          <w:rFonts w:ascii="Times New Roman" w:eastAsia="Times New Roman" w:hAnsi="Times New Roman" w:cs="Times New Roman"/>
          <w:kern w:val="0"/>
          <w:szCs w:val="20"/>
          <w:lang w:eastAsia="pl-PL" w:bidi="pl-PL"/>
        </w:rPr>
        <w:t>realizacji NPM, co zapewnia spójność projektu z innymi działaniami i instrumentami NPM. W poszerzonym katalogu czynności uprawniających do ubiegania się o premię gwarancyjną zostały tym samym uwzględnione nowe tytuły wydatkowe korespondujące z:</w:t>
      </w:r>
    </w:p>
    <w:p w:rsidR="00C268CB" w:rsidRPr="0023349B" w:rsidRDefault="00C268CB" w:rsidP="0023349B">
      <w:pPr>
        <w:widowControl/>
        <w:numPr>
          <w:ilvl w:val="0"/>
          <w:numId w:val="29"/>
        </w:numPr>
        <w:suppressAutoHyphens w:val="0"/>
        <w:autoSpaceDE w:val="0"/>
        <w:autoSpaceDN w:val="0"/>
        <w:adjustRightInd w:val="0"/>
        <w:spacing w:before="120" w:line="360" w:lineRule="auto"/>
        <w:ind w:left="284" w:hanging="284"/>
        <w:jc w:val="both"/>
        <w:rPr>
          <w:rFonts w:ascii="Times New Roman" w:eastAsia="Times New Roman" w:hAnsi="Times New Roman" w:cs="Times New Roman"/>
          <w:kern w:val="0"/>
          <w:szCs w:val="20"/>
          <w:lang w:eastAsia="pl-PL" w:bidi="pl-PL"/>
        </w:rPr>
      </w:pPr>
      <w:r w:rsidRPr="0023349B">
        <w:rPr>
          <w:rFonts w:ascii="Times New Roman" w:eastAsia="Times New Roman" w:hAnsi="Times New Roman" w:cs="Times New Roman"/>
          <w:kern w:val="0"/>
          <w:szCs w:val="20"/>
          <w:lang w:eastAsia="pl-PL" w:bidi="pl-PL"/>
        </w:rPr>
        <w:t>instrumentami wspierania średniozamożnych rodzin w zaspokajaniu potrzeb mieszkaniowych w ramach dostępnych form najmu z dojściem do własności mieszkania („Mieszkanie+”);</w:t>
      </w:r>
    </w:p>
    <w:p w:rsidR="00C268CB" w:rsidRPr="0023349B" w:rsidRDefault="00C268CB" w:rsidP="0023349B">
      <w:pPr>
        <w:widowControl/>
        <w:numPr>
          <w:ilvl w:val="0"/>
          <w:numId w:val="29"/>
        </w:numPr>
        <w:suppressAutoHyphens w:val="0"/>
        <w:autoSpaceDE w:val="0"/>
        <w:autoSpaceDN w:val="0"/>
        <w:adjustRightInd w:val="0"/>
        <w:spacing w:before="120" w:line="360" w:lineRule="auto"/>
        <w:ind w:left="284" w:hanging="284"/>
        <w:jc w:val="both"/>
        <w:rPr>
          <w:rFonts w:ascii="Times New Roman" w:eastAsia="Times New Roman" w:hAnsi="Times New Roman" w:cs="Times New Roman"/>
          <w:kern w:val="0"/>
          <w:szCs w:val="20"/>
          <w:lang w:eastAsia="pl-PL" w:bidi="pl-PL"/>
        </w:rPr>
      </w:pPr>
      <w:r w:rsidRPr="0023349B">
        <w:rPr>
          <w:rFonts w:ascii="Times New Roman" w:eastAsia="Times New Roman" w:hAnsi="Times New Roman" w:cs="Times New Roman"/>
          <w:kern w:val="0"/>
          <w:szCs w:val="20"/>
          <w:lang w:eastAsia="pl-PL" w:bidi="pl-PL"/>
        </w:rPr>
        <w:t>szerokimi działaniami na rzecz poprawy stanu technicznego</w:t>
      </w:r>
      <w:r w:rsidR="00193AD6" w:rsidRPr="0023349B">
        <w:rPr>
          <w:rFonts w:ascii="Times New Roman" w:eastAsia="Times New Roman" w:hAnsi="Times New Roman" w:cs="Times New Roman"/>
          <w:kern w:val="0"/>
          <w:szCs w:val="20"/>
          <w:lang w:eastAsia="pl-PL" w:bidi="pl-PL"/>
        </w:rPr>
        <w:t xml:space="preserve"> </w:t>
      </w:r>
      <w:r w:rsidRPr="0023349B">
        <w:rPr>
          <w:rFonts w:ascii="Times New Roman" w:eastAsia="Times New Roman" w:hAnsi="Times New Roman" w:cs="Times New Roman"/>
          <w:kern w:val="0"/>
          <w:szCs w:val="20"/>
          <w:lang w:eastAsia="pl-PL" w:bidi="pl-PL"/>
        </w:rPr>
        <w:t>w istniejących zasobach mieszkaniowych;</w:t>
      </w:r>
    </w:p>
    <w:p w:rsidR="00C268CB" w:rsidRPr="0023349B" w:rsidRDefault="00C268CB" w:rsidP="0023349B">
      <w:pPr>
        <w:widowControl/>
        <w:numPr>
          <w:ilvl w:val="0"/>
          <w:numId w:val="29"/>
        </w:numPr>
        <w:suppressAutoHyphens w:val="0"/>
        <w:autoSpaceDE w:val="0"/>
        <w:autoSpaceDN w:val="0"/>
        <w:adjustRightInd w:val="0"/>
        <w:spacing w:before="120" w:line="360" w:lineRule="auto"/>
        <w:ind w:left="284" w:hanging="284"/>
        <w:jc w:val="both"/>
        <w:rPr>
          <w:rFonts w:ascii="Times New Roman" w:eastAsia="Times New Roman" w:hAnsi="Times New Roman" w:cs="Times New Roman"/>
          <w:kern w:val="0"/>
          <w:szCs w:val="20"/>
          <w:lang w:eastAsia="pl-PL" w:bidi="pl-PL"/>
        </w:rPr>
      </w:pPr>
      <w:r w:rsidRPr="0023349B">
        <w:rPr>
          <w:rFonts w:ascii="Times New Roman" w:eastAsia="Times New Roman" w:hAnsi="Times New Roman" w:cs="Times New Roman"/>
          <w:kern w:val="0"/>
          <w:szCs w:val="20"/>
          <w:lang w:eastAsia="pl-PL" w:bidi="pl-PL"/>
        </w:rPr>
        <w:t>systemową likwidacją użytkowania wieczystego w mieszkalnictwie.</w:t>
      </w:r>
    </w:p>
    <w:p w:rsidR="00C268CB" w:rsidRPr="0023349B" w:rsidRDefault="00C268CB" w:rsidP="0023349B">
      <w:pPr>
        <w:suppressAutoHyphens w:val="0"/>
        <w:autoSpaceDE w:val="0"/>
        <w:autoSpaceDN w:val="0"/>
        <w:adjustRightInd w:val="0"/>
        <w:spacing w:before="120" w:line="360" w:lineRule="auto"/>
        <w:jc w:val="both"/>
        <w:rPr>
          <w:rFonts w:ascii="Times New Roman" w:eastAsia="Times New Roman" w:hAnsi="Times New Roman" w:cs="Times New Roman"/>
          <w:kern w:val="0"/>
          <w:szCs w:val="20"/>
          <w:lang w:eastAsia="pl-PL" w:bidi="pl-PL"/>
        </w:rPr>
      </w:pPr>
      <w:r w:rsidRPr="0023349B">
        <w:rPr>
          <w:rFonts w:ascii="Times New Roman" w:eastAsia="Times New Roman" w:hAnsi="Times New Roman" w:cs="Times New Roman"/>
          <w:kern w:val="0"/>
          <w:szCs w:val="20"/>
          <w:lang w:eastAsia="pl-PL" w:bidi="ar-SA"/>
        </w:rPr>
        <w:t>Wprowadzenie dodatkowych możliwości uzyskania środków przyczyniających się do zaspokojenia potrzeb mieszkaniowych właścicieli książeczek</w:t>
      </w:r>
      <w:r w:rsidR="00193AD6" w:rsidRPr="0023349B">
        <w:rPr>
          <w:rFonts w:ascii="Times New Roman" w:eastAsia="Times New Roman" w:hAnsi="Times New Roman" w:cs="Times New Roman"/>
          <w:kern w:val="0"/>
          <w:szCs w:val="20"/>
          <w:lang w:eastAsia="pl-PL" w:bidi="ar-SA"/>
        </w:rPr>
        <w:t xml:space="preserve"> </w:t>
      </w:r>
      <w:r w:rsidRPr="0023349B">
        <w:rPr>
          <w:rFonts w:ascii="Times New Roman" w:eastAsia="Times New Roman" w:hAnsi="Times New Roman" w:cs="Times New Roman"/>
          <w:kern w:val="0"/>
          <w:szCs w:val="20"/>
          <w:lang w:eastAsia="pl-PL" w:bidi="ar-SA"/>
        </w:rPr>
        <w:t xml:space="preserve">powinno wpłynąć na wzrost liczby corocznie likwidowanych książeczek mieszkaniowych, przyczyniając się jednak również – w kontekście procesu racjonalizowania struktury wydatków budżetowych – do stopniowego kończenia się okresu </w:t>
      </w:r>
      <w:r w:rsidRPr="0023349B">
        <w:rPr>
          <w:rFonts w:ascii="Times New Roman" w:eastAsia="Times New Roman" w:hAnsi="Times New Roman" w:cs="Times New Roman"/>
          <w:kern w:val="0"/>
          <w:szCs w:val="20"/>
          <w:lang w:eastAsia="pl-PL" w:bidi="pl-PL"/>
        </w:rPr>
        <w:t xml:space="preserve">ponoszenia sztywnych zobowiązań budżetu z tytułu refundowania bankom wypłacanych premii. W tym kontekście, </w:t>
      </w:r>
      <w:r w:rsidRPr="0023349B">
        <w:rPr>
          <w:rFonts w:ascii="Times New Roman" w:eastAsia="Times New Roman" w:hAnsi="Times New Roman" w:cs="Times New Roman"/>
          <w:b/>
          <w:kern w:val="0"/>
          <w:szCs w:val="20"/>
          <w:lang w:eastAsia="pl-PL" w:bidi="pl-PL"/>
        </w:rPr>
        <w:t>drugą grupą rozwiązań zaproponowanych w przedłożonym projekcie ustawy będą przepisy</w:t>
      </w:r>
      <w:r w:rsidRPr="0023349B">
        <w:rPr>
          <w:rFonts w:ascii="Times New Roman" w:eastAsia="Times New Roman" w:hAnsi="Times New Roman" w:cs="Times New Roman"/>
          <w:b/>
          <w:kern w:val="0"/>
          <w:szCs w:val="20"/>
          <w:lang w:eastAsia="pl-PL" w:bidi="ar-SA"/>
        </w:rPr>
        <w:t xml:space="preserve"> pozwalające w przyszłości określić </w:t>
      </w:r>
      <w:r w:rsidRPr="0023349B">
        <w:rPr>
          <w:rFonts w:ascii="Times New Roman" w:eastAsia="Times New Roman" w:hAnsi="Times New Roman" w:cs="Times New Roman"/>
          <w:b/>
          <w:kern w:val="0"/>
          <w:szCs w:val="20"/>
          <w:lang w:eastAsia="pl-PL" w:bidi="pl-PL"/>
        </w:rPr>
        <w:t>zamknięte ramy czasowe ponoszenia wydatków budżetowych z tytułu refundacji premii gwarancyjnych</w:t>
      </w:r>
      <w:r w:rsidRPr="0023349B">
        <w:rPr>
          <w:rFonts w:ascii="Times New Roman" w:eastAsia="Times New Roman" w:hAnsi="Times New Roman" w:cs="Times New Roman"/>
          <w:kern w:val="0"/>
          <w:szCs w:val="20"/>
          <w:lang w:eastAsia="pl-PL" w:bidi="pl-PL"/>
        </w:rPr>
        <w:t xml:space="preserve">. </w:t>
      </w:r>
    </w:p>
    <w:p w:rsidR="00C268CB" w:rsidRPr="0023349B" w:rsidRDefault="00C268CB" w:rsidP="0023349B">
      <w:pPr>
        <w:spacing w:after="240" w:line="360" w:lineRule="auto"/>
        <w:jc w:val="both"/>
        <w:rPr>
          <w:rFonts w:ascii="Times New Roman" w:eastAsia="Times New Roman" w:hAnsi="Times New Roman" w:cs="Times New Roman"/>
          <w:b/>
          <w:i/>
          <w:u w:val="single"/>
        </w:rPr>
      </w:pPr>
    </w:p>
    <w:p w:rsidR="00C268CB" w:rsidRPr="0023349B" w:rsidRDefault="00C268CB" w:rsidP="0023349B">
      <w:pPr>
        <w:spacing w:after="240" w:line="360" w:lineRule="auto"/>
        <w:jc w:val="both"/>
        <w:rPr>
          <w:rFonts w:ascii="Times New Roman" w:eastAsia="Times New Roman" w:hAnsi="Times New Roman" w:cs="Times New Roman"/>
          <w:b/>
          <w:u w:val="single"/>
        </w:rPr>
      </w:pPr>
      <w:r w:rsidRPr="0023349B">
        <w:rPr>
          <w:rFonts w:ascii="Times New Roman" w:eastAsia="Times New Roman" w:hAnsi="Times New Roman" w:cs="Times New Roman"/>
          <w:b/>
          <w:u w:val="single"/>
        </w:rPr>
        <w:t xml:space="preserve">Rozwiązania mające na celu ochronę osób zamieszkujących </w:t>
      </w:r>
      <w:r w:rsidR="001041B0" w:rsidRPr="0023349B">
        <w:rPr>
          <w:rFonts w:ascii="Times New Roman" w:eastAsia="Times New Roman" w:hAnsi="Times New Roman" w:cs="Times New Roman"/>
          <w:b/>
          <w:u w:val="single"/>
        </w:rPr>
        <w:t>lokale mieszkalne na wynajem, w </w:t>
      </w:r>
      <w:r w:rsidRPr="0023349B">
        <w:rPr>
          <w:rFonts w:ascii="Times New Roman" w:eastAsia="Times New Roman" w:hAnsi="Times New Roman" w:cs="Times New Roman"/>
          <w:b/>
          <w:u w:val="single"/>
        </w:rPr>
        <w:t>tym system dodatków mieszkaniowych</w:t>
      </w:r>
    </w:p>
    <w:p w:rsidR="00C268CB" w:rsidRPr="0023349B" w:rsidRDefault="00C268CB" w:rsidP="0023349B">
      <w:pPr>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W celu ochrony osób zamieszkujących lokale mieszkalne na zasadach najmu, które zostały dotknięte skutkami gospodarczymi związanymi z rozprzestrzenianiem się koronawirusa wywołującego jednostkę chorobową oznaczaną jako COVID-19, proponuje się rozwiązania prawne i finansowe umożliwiające tym osobom zaspokajanie podstawowej potrzeby, jaką jest możliwość zamieszkiwania w zajmowanym dotychczas mieszkaniu. </w:t>
      </w:r>
    </w:p>
    <w:p w:rsidR="00C268CB" w:rsidRPr="0023349B" w:rsidRDefault="00C268CB" w:rsidP="0023349B">
      <w:pPr>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W projekcie </w:t>
      </w:r>
      <w:r w:rsidRPr="0023349B">
        <w:rPr>
          <w:rFonts w:ascii="Times New Roman" w:eastAsia="Times New Roman" w:hAnsi="Times New Roman" w:cs="Times New Roman"/>
          <w:i/>
          <w:iCs/>
        </w:rPr>
        <w:t xml:space="preserve">ustawy </w:t>
      </w:r>
      <w:r w:rsidRPr="0023349B">
        <w:rPr>
          <w:rFonts w:ascii="Times New Roman" w:eastAsia="Times New Roman" w:hAnsi="Times New Roman" w:cs="Times New Roman"/>
        </w:rPr>
        <w:t xml:space="preserve">wprowadzono zmiany do ustawy </w:t>
      </w:r>
      <w:r w:rsidRPr="0023349B">
        <w:rPr>
          <w:rFonts w:ascii="Times New Roman" w:eastAsia="Times New Roman" w:hAnsi="Times New Roman" w:cs="Times New Roman"/>
          <w:b/>
        </w:rPr>
        <w:t xml:space="preserve">z dnia 2 marca 2020 r. o szczególnych rozwiązaniach związanych z zapobieganiem, przeciwdziałaniem i zwalczaniem COVID-19, innych chorób zakaźnych oraz wywołanych nimi sytuacji </w:t>
      </w:r>
      <w:r w:rsidRPr="0023349B">
        <w:rPr>
          <w:rFonts w:ascii="Times New Roman" w:eastAsia="Times New Roman" w:hAnsi="Times New Roman" w:cs="Times New Roman"/>
        </w:rPr>
        <w:t>kryzysowych (Dz.U. z 2020 r. poz. 374, 567, 568 i 695).</w:t>
      </w:r>
      <w:r w:rsidRPr="0023349B">
        <w:rPr>
          <w:rFonts w:ascii="Times New Roman" w:eastAsia="Times New Roman" w:hAnsi="Times New Roman" w:cs="Times New Roman"/>
          <w:b/>
        </w:rPr>
        <w:t xml:space="preserve"> W ramach tych zmian określono</w:t>
      </w:r>
      <w:r w:rsidRPr="0023349B">
        <w:rPr>
          <w:rFonts w:ascii="Times New Roman" w:eastAsia="Times New Roman" w:hAnsi="Times New Roman" w:cs="Times New Roman"/>
        </w:rPr>
        <w:t xml:space="preserve"> zasady przyznawania dodatków mieszkaniowych powiększonych o dopłatę z Funduszu Przeciwdziałania COVID-19 najemcom, którzy utracili całkowicie lub częściowo dochody w wyniku epidemii COVID-19 (np. na skutek utraty pracy, czasowego zawieszenia działalności przedsiębiorstw, powodującego brak wynagrodzenia lub jego obniżenie), oraz sposób rozliczania środków na wypłatę tych dopłat. Przyjęte w projekcie ustawy rozwiązania zakładają, że dopłaty do dodatków mieszkaniowych będą finansowane ze środków z Funduszu Przeciwdziałania COVID-19.</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projekcie przewidziano także modyfikację przepisów </w:t>
      </w:r>
      <w:r w:rsidRPr="0023349B">
        <w:rPr>
          <w:rFonts w:ascii="Times New Roman" w:hAnsi="Times New Roman" w:cs="Times New Roman"/>
          <w:i/>
        </w:rPr>
        <w:t>ust</w:t>
      </w:r>
      <w:r w:rsidR="001041B0" w:rsidRPr="0023349B">
        <w:rPr>
          <w:rFonts w:ascii="Times New Roman" w:hAnsi="Times New Roman" w:cs="Times New Roman"/>
          <w:i/>
        </w:rPr>
        <w:t>awy z dnia 24 czerwca 1994 r. o </w:t>
      </w:r>
      <w:r w:rsidRPr="0023349B">
        <w:rPr>
          <w:rFonts w:ascii="Times New Roman" w:hAnsi="Times New Roman" w:cs="Times New Roman"/>
          <w:i/>
        </w:rPr>
        <w:t>własności lokali (Dz. U. z 2020 r. poz. 532 i 568)</w:t>
      </w:r>
      <w:r w:rsidRPr="0023349B">
        <w:rPr>
          <w:rFonts w:ascii="Times New Roman" w:hAnsi="Times New Roman" w:cs="Times New Roman"/>
        </w:rPr>
        <w:t xml:space="preserve"> w zakresie sposobu podejmowania uchwał przez zarząd wspólnoty mieszkaniowej.</w:t>
      </w:r>
    </w:p>
    <w:p w:rsidR="00C268CB" w:rsidRPr="0023349B" w:rsidRDefault="00C268CB" w:rsidP="0023349B">
      <w:pPr>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Projekt przewiduje także zmiany w </w:t>
      </w:r>
      <w:r w:rsidRPr="0023349B">
        <w:rPr>
          <w:rFonts w:ascii="Times New Roman" w:eastAsia="Times New Roman" w:hAnsi="Times New Roman" w:cs="Times New Roman"/>
          <w:i/>
        </w:rPr>
        <w:t>ustawie z dnia 31 mar</w:t>
      </w:r>
      <w:r w:rsidR="001041B0" w:rsidRPr="0023349B">
        <w:rPr>
          <w:rFonts w:ascii="Times New Roman" w:eastAsia="Times New Roman" w:hAnsi="Times New Roman" w:cs="Times New Roman"/>
          <w:i/>
        </w:rPr>
        <w:t>ca 2020 r. o zmianie ustawy o </w:t>
      </w:r>
      <w:r w:rsidRPr="0023349B">
        <w:rPr>
          <w:rFonts w:ascii="Times New Roman" w:eastAsia="Times New Roman" w:hAnsi="Times New Roman" w:cs="Times New Roman"/>
          <w:i/>
        </w:rPr>
        <w:t>szczególnych rozwiązaniach związanych z zapobieganiem, przeciwdziałaniem i zwalczaniem COVID-19, innych chorób zakaźnych oraz wywołanych nimi sytuacji kryzysowych oraz niektórych innych ustaw (Dz. U. poz. 568 i 695)</w:t>
      </w:r>
      <w:r w:rsidRPr="0023349B">
        <w:rPr>
          <w:rFonts w:ascii="Times New Roman" w:eastAsia="Times New Roman" w:hAnsi="Times New Roman" w:cs="Times New Roman"/>
        </w:rPr>
        <w:t>. Z uwagi na trwający stan epidemii i ograniczenie możliwości zorganizowania walnego zgromadzenia wynikające z art. 90 zmienianej ustawy nie istnieje możliwość wyboru składu nowej rady, w przypadku upływu kadencji dotychczasowej rady. W celu zapewnienia funkcjonowania organu nadzorczo-kontrolnego spółdzielni mieszkaniowej uzasadnione i niezbędne jest zatem przedłużenie kadencji istniejącej rady.</w:t>
      </w:r>
    </w:p>
    <w:p w:rsidR="00C268CB" w:rsidRPr="0023349B" w:rsidRDefault="00C268CB" w:rsidP="0023349B">
      <w:pPr>
        <w:tabs>
          <w:tab w:val="left" w:pos="540"/>
        </w:tabs>
        <w:spacing w:after="120" w:line="360" w:lineRule="auto"/>
        <w:jc w:val="both"/>
        <w:rPr>
          <w:rFonts w:ascii="Times New Roman" w:hAnsi="Times New Roman" w:cs="Times New Roman"/>
        </w:rPr>
      </w:pPr>
      <w:bookmarkStart w:id="0" w:name="_Hlk38390723"/>
      <w:r w:rsidRPr="0023349B">
        <w:rPr>
          <w:rFonts w:ascii="Times New Roman" w:hAnsi="Times New Roman" w:cs="Times New Roman"/>
        </w:rPr>
        <w:t xml:space="preserve">Ponadto w projekcie zaproponowano zmiany w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Zmiany wprowadzane do </w:t>
      </w:r>
      <w:proofErr w:type="spellStart"/>
      <w:r w:rsidRPr="0023349B">
        <w:rPr>
          <w:rFonts w:ascii="Times New Roman" w:hAnsi="Times New Roman" w:cs="Times New Roman"/>
        </w:rPr>
        <w:t>udm</w:t>
      </w:r>
      <w:proofErr w:type="spellEnd"/>
      <w:r w:rsidRPr="0023349B">
        <w:rPr>
          <w:rFonts w:ascii="Times New Roman" w:hAnsi="Times New Roman" w:cs="Times New Roman"/>
        </w:rPr>
        <w:t>, mają na celu usprawnienie funkcjonującego od 1994 r. sytemu dodatków mieszkaniowych, umożliwiając adekwatne do potrzeb adresowanie wsparcia, jakim jest uzyskanie dodatku mieszkaniowego. Dodatek ten stanowi pomoc finansową przeznaczoną na opłaty związane z utrzymaniem zajmowanego lokalu mieszkalnego. Pomoc ma charakter świadczenia pieniężnego w formie dopłaty, która pokrywa część obciążeń związanych z zaspokojeniem potrzeb mieszkaniowych obywateli. Zaproponowane w projekcie modyfikacje zmierzają do wyeliminowania wątpliwości interpretacyjnych, uporządkowania terminologii stosowanej w ustawie oraz racjonalizacji wydatków gmin na wypłaty dodatków mieszkaniowych.</w:t>
      </w:r>
    </w:p>
    <w:bookmarkEnd w:id="0"/>
    <w:p w:rsidR="00C268CB" w:rsidRPr="0023349B" w:rsidRDefault="00C268CB" w:rsidP="0023349B">
      <w:pPr>
        <w:tabs>
          <w:tab w:val="left" w:pos="540"/>
        </w:tabs>
        <w:spacing w:after="120" w:line="360" w:lineRule="auto"/>
        <w:jc w:val="both"/>
        <w:rPr>
          <w:rFonts w:ascii="Times New Roman" w:hAnsi="Times New Roman" w:cs="Times New Roman"/>
        </w:rPr>
      </w:pPr>
      <w:r w:rsidRPr="0023349B">
        <w:rPr>
          <w:rFonts w:ascii="Times New Roman" w:hAnsi="Times New Roman" w:cs="Times New Roman"/>
        </w:rPr>
        <w:t xml:space="preserve">W związku ze zmianą definicji dochodu w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wystąpiła konieczność wprowadzenia zmian w ustawach, które odwołują się w swej treści do definicji dochodu zawartej w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Wobec powyższego wprowadzono nową definicję dochodu w </w:t>
      </w:r>
      <w:r w:rsidRPr="0023349B">
        <w:rPr>
          <w:rFonts w:ascii="Times New Roman" w:hAnsi="Times New Roman" w:cs="Times New Roman"/>
          <w:i/>
        </w:rPr>
        <w:t>ustawie o finansowym wsparciu…</w:t>
      </w:r>
      <w:r w:rsidRPr="0023349B">
        <w:rPr>
          <w:rFonts w:ascii="Times New Roman" w:hAnsi="Times New Roman" w:cs="Times New Roman"/>
        </w:rPr>
        <w:t xml:space="preserve">, wskazując, że za dochód uważa się dochód w rozumieniu przepisów o świadczeniach rodzinnych (art. 7a ust. 4 ustawy o finansowym wsparciu). Z uwagi na powyższe w art. 7a ust. 1 pkt 2 </w:t>
      </w:r>
      <w:r w:rsidR="001041B0" w:rsidRPr="0023349B">
        <w:rPr>
          <w:rFonts w:ascii="Times New Roman" w:hAnsi="Times New Roman" w:cs="Times New Roman"/>
          <w:i/>
        </w:rPr>
        <w:t>ustawy o </w:t>
      </w:r>
      <w:r w:rsidRPr="0023349B">
        <w:rPr>
          <w:rFonts w:ascii="Times New Roman" w:hAnsi="Times New Roman" w:cs="Times New Roman"/>
          <w:i/>
        </w:rPr>
        <w:t>finansowym wsparciu…</w:t>
      </w:r>
      <w:r w:rsidRPr="0023349B">
        <w:rPr>
          <w:rFonts w:ascii="Times New Roman" w:hAnsi="Times New Roman" w:cs="Times New Roman"/>
        </w:rPr>
        <w:t xml:space="preserve"> wprowadzono korektę dotyczącą progów dochodowych.</w:t>
      </w:r>
    </w:p>
    <w:p w:rsidR="00C268CB" w:rsidRPr="0023349B" w:rsidRDefault="00C268CB" w:rsidP="0023349B">
      <w:pPr>
        <w:tabs>
          <w:tab w:val="left" w:pos="540"/>
        </w:tabs>
        <w:spacing w:after="120" w:line="360" w:lineRule="auto"/>
        <w:jc w:val="both"/>
        <w:rPr>
          <w:rFonts w:ascii="Times New Roman" w:hAnsi="Times New Roman" w:cs="Times New Roman"/>
        </w:rPr>
      </w:pPr>
      <w:r w:rsidRPr="0023349B">
        <w:rPr>
          <w:rFonts w:ascii="Times New Roman" w:hAnsi="Times New Roman" w:cs="Times New Roman"/>
        </w:rPr>
        <w:t xml:space="preserve">Zmiana definicji dochodu w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powoduje, iż konieczna jest również zmiana w </w:t>
      </w:r>
      <w:r w:rsidR="001041B0" w:rsidRPr="0023349B">
        <w:rPr>
          <w:rFonts w:ascii="Times New Roman" w:hAnsi="Times New Roman" w:cs="Times New Roman"/>
          <w:i/>
        </w:rPr>
        <w:t>ustawie o </w:t>
      </w:r>
      <w:r w:rsidRPr="0023349B">
        <w:rPr>
          <w:rFonts w:ascii="Times New Roman" w:hAnsi="Times New Roman" w:cs="Times New Roman"/>
          <w:i/>
        </w:rPr>
        <w:t>niektórych formach …</w:t>
      </w:r>
      <w:r w:rsidRPr="0023349B">
        <w:rPr>
          <w:rFonts w:ascii="Times New Roman" w:hAnsi="Times New Roman" w:cs="Times New Roman"/>
        </w:rPr>
        <w:t>.</w:t>
      </w:r>
    </w:p>
    <w:p w:rsidR="00C268CB" w:rsidRPr="0023349B" w:rsidRDefault="00C268CB" w:rsidP="0023349B">
      <w:pPr>
        <w:tabs>
          <w:tab w:val="left" w:pos="540"/>
        </w:tabs>
        <w:spacing w:after="120" w:line="360" w:lineRule="auto"/>
        <w:jc w:val="both"/>
        <w:rPr>
          <w:rFonts w:ascii="Times New Roman" w:hAnsi="Times New Roman" w:cs="Times New Roman"/>
        </w:rPr>
      </w:pPr>
      <w:r w:rsidRPr="0023349B">
        <w:rPr>
          <w:rFonts w:ascii="Times New Roman" w:hAnsi="Times New Roman" w:cs="Times New Roman"/>
        </w:rPr>
        <w:t xml:space="preserve">Projekt </w:t>
      </w:r>
      <w:r w:rsidRPr="0023349B">
        <w:rPr>
          <w:rFonts w:ascii="Times New Roman" w:hAnsi="Times New Roman" w:cs="Times New Roman"/>
          <w:i/>
        </w:rPr>
        <w:t>ustawy</w:t>
      </w:r>
      <w:r w:rsidRPr="0023349B">
        <w:rPr>
          <w:rFonts w:ascii="Times New Roman" w:hAnsi="Times New Roman" w:cs="Times New Roman"/>
        </w:rPr>
        <w:t xml:space="preserve"> przewiduje ponadto wyłączenie spod egzekucji administracyjnej i komorniczej dodatków mieszkaniowych oraz dodatków energetycznych. Rozwiązanie to determinowało zmianę art. 10 </w:t>
      </w:r>
      <w:r w:rsidRPr="0023349B">
        <w:rPr>
          <w:rFonts w:ascii="Times New Roman" w:hAnsi="Times New Roman" w:cs="Times New Roman"/>
          <w:i/>
        </w:rPr>
        <w:t>ustawy z dnia 17 czerwca 1966 r. o postępowaniu egzekuc</w:t>
      </w:r>
      <w:r w:rsidR="001041B0" w:rsidRPr="0023349B">
        <w:rPr>
          <w:rFonts w:ascii="Times New Roman" w:hAnsi="Times New Roman" w:cs="Times New Roman"/>
          <w:i/>
        </w:rPr>
        <w:t>yjnym w administracji (Dz. U. z </w:t>
      </w:r>
      <w:r w:rsidRPr="0023349B">
        <w:rPr>
          <w:rFonts w:ascii="Times New Roman" w:hAnsi="Times New Roman" w:cs="Times New Roman"/>
          <w:i/>
        </w:rPr>
        <w:t>2019 r. poz. 1438, z późn. zm.</w:t>
      </w:r>
      <w:r w:rsidRPr="00F812BE">
        <w:rPr>
          <w:rStyle w:val="Znakiprzypiswdolnych"/>
          <w:rFonts w:ascii="Times New Roman" w:hAnsi="Times New Roman" w:cs="Times New Roman"/>
        </w:rPr>
        <w:footnoteReference w:id="12"/>
      </w:r>
      <w:r w:rsidRPr="00F812BE">
        <w:rPr>
          <w:rFonts w:ascii="Times New Roman" w:hAnsi="Times New Roman" w:cs="Times New Roman"/>
          <w:vertAlign w:val="superscript"/>
        </w:rPr>
        <w:t>)</w:t>
      </w:r>
      <w:r w:rsidRPr="0023349B">
        <w:rPr>
          <w:rFonts w:ascii="Times New Roman" w:hAnsi="Times New Roman" w:cs="Times New Roman"/>
          <w:i/>
        </w:rPr>
        <w:t>)</w:t>
      </w:r>
      <w:r w:rsidRPr="0023349B">
        <w:rPr>
          <w:rFonts w:ascii="Times New Roman" w:hAnsi="Times New Roman" w:cs="Times New Roman"/>
        </w:rPr>
        <w:t xml:space="preserve">, zwanej dalej: </w:t>
      </w:r>
      <w:proofErr w:type="spellStart"/>
      <w:r w:rsidRPr="0023349B">
        <w:rPr>
          <w:rFonts w:ascii="Times New Roman" w:hAnsi="Times New Roman" w:cs="Times New Roman"/>
        </w:rPr>
        <w:t>upea</w:t>
      </w:r>
      <w:proofErr w:type="spellEnd"/>
      <w:r w:rsidRPr="0023349B">
        <w:rPr>
          <w:rFonts w:ascii="Times New Roman" w:hAnsi="Times New Roman" w:cs="Times New Roman"/>
        </w:rPr>
        <w:t>, oraz art. 833 § 6 ustawy z dnia 17 listopada 1964 r. – Kodeks postępowania cywilnego (Dz. U. Z 2019 r. poz. 1460, z późn. zm.</w:t>
      </w:r>
      <w:r w:rsidRPr="0023349B">
        <w:rPr>
          <w:rStyle w:val="Znakiprzypiswdolnych"/>
          <w:rFonts w:ascii="Times New Roman" w:hAnsi="Times New Roman" w:cs="Times New Roman"/>
        </w:rPr>
        <w:footnoteReference w:id="13"/>
      </w:r>
      <w:r w:rsidRPr="0023349B">
        <w:rPr>
          <w:rFonts w:ascii="Times New Roman" w:hAnsi="Times New Roman" w:cs="Times New Roman"/>
          <w:vertAlign w:val="superscript"/>
        </w:rPr>
        <w:t>)</w:t>
      </w:r>
      <w:r w:rsidRPr="0023349B">
        <w:rPr>
          <w:rFonts w:ascii="Times New Roman" w:hAnsi="Times New Roman" w:cs="Times New Roman"/>
        </w:rPr>
        <w:t>). Zaznaczyć należy, iż w obecnie obowiązującym stanie prawnym szereg świadczeń o charakterze publicznym, socjalnym podlega wyłączeniu spod egzekucji. Tym samym zaproponowana powyżej modyfikacja zmierza do ujednolicenia w tym zakresie istniejącego systemu oraz zapewnienia, że przyznane wsparcie posłuży celowi, na jaki zostało udzielone, tj. pokryciu kosztów zamieszkiwania w lokalu mieszkalnym, a nie innym celom.</w:t>
      </w:r>
    </w:p>
    <w:p w:rsidR="00C268CB" w:rsidRPr="0023349B" w:rsidRDefault="00C268CB" w:rsidP="0023349B">
      <w:pPr>
        <w:tabs>
          <w:tab w:val="left" w:pos="540"/>
        </w:tabs>
        <w:spacing w:after="240" w:line="360" w:lineRule="auto"/>
        <w:jc w:val="both"/>
        <w:rPr>
          <w:rFonts w:ascii="Times New Roman" w:hAnsi="Times New Roman" w:cs="Times New Roman"/>
        </w:rPr>
      </w:pPr>
      <w:r w:rsidRPr="0023349B">
        <w:rPr>
          <w:rFonts w:ascii="Times New Roman" w:hAnsi="Times New Roman" w:cs="Times New Roman"/>
        </w:rPr>
        <w:t xml:space="preserve">Ponadto projekt </w:t>
      </w:r>
      <w:r w:rsidRPr="0023349B">
        <w:rPr>
          <w:rFonts w:ascii="Times New Roman" w:hAnsi="Times New Roman" w:cs="Times New Roman"/>
          <w:i/>
        </w:rPr>
        <w:t>ustawy</w:t>
      </w:r>
      <w:r w:rsidRPr="0023349B">
        <w:rPr>
          <w:rFonts w:ascii="Times New Roman" w:hAnsi="Times New Roman" w:cs="Times New Roman"/>
        </w:rPr>
        <w:t xml:space="preserve"> przewiduje zmiany w </w:t>
      </w:r>
      <w:r w:rsidRPr="0023349B">
        <w:rPr>
          <w:rFonts w:ascii="Times New Roman" w:hAnsi="Times New Roman" w:cs="Times New Roman"/>
          <w:i/>
        </w:rPr>
        <w:t>ustawie</w:t>
      </w:r>
      <w:r w:rsidRPr="0023349B">
        <w:rPr>
          <w:rFonts w:ascii="Times New Roman" w:hAnsi="Times New Roman" w:cs="Times New Roman"/>
          <w:bCs/>
          <w:i/>
        </w:rPr>
        <w:t xml:space="preserve"> z dnia 21 czerwca 2001 r. o ochronie praw lokatorów, mieszkaniowym zasobie gminy i o zmianie Kodeksu </w:t>
      </w:r>
      <w:r w:rsidRPr="0023349B">
        <w:rPr>
          <w:rFonts w:ascii="Times New Roman" w:hAnsi="Times New Roman" w:cs="Times New Roman"/>
        </w:rPr>
        <w:t xml:space="preserve">cywilnego (Dz. U. z 2020 r. poz. 611).), zwanej dalej: </w:t>
      </w:r>
      <w:proofErr w:type="spellStart"/>
      <w:r w:rsidRPr="0023349B">
        <w:rPr>
          <w:rFonts w:ascii="Times New Roman" w:hAnsi="Times New Roman" w:cs="Times New Roman"/>
        </w:rPr>
        <w:t>uopl</w:t>
      </w:r>
      <w:proofErr w:type="spellEnd"/>
      <w:r w:rsidRPr="0023349B">
        <w:rPr>
          <w:rFonts w:ascii="Times New Roman" w:hAnsi="Times New Roman" w:cs="Times New Roman"/>
        </w:rPr>
        <w:t xml:space="preserve">. Konsekwencją zmiany definicji dochodu w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jest bowiem konieczność modyfikacji definicji tego pojęcia także w przepisach </w:t>
      </w:r>
      <w:proofErr w:type="spellStart"/>
      <w:r w:rsidRPr="0023349B">
        <w:rPr>
          <w:rFonts w:ascii="Times New Roman" w:hAnsi="Times New Roman" w:cs="Times New Roman"/>
        </w:rPr>
        <w:t>uopl</w:t>
      </w:r>
      <w:proofErr w:type="spellEnd"/>
      <w:r w:rsidRPr="0023349B">
        <w:rPr>
          <w:rFonts w:ascii="Times New Roman" w:hAnsi="Times New Roman" w:cs="Times New Roman"/>
        </w:rPr>
        <w:t xml:space="preserve">. Niezależnie od tego, zaproponowano wprowadzenie do </w:t>
      </w:r>
      <w:proofErr w:type="spellStart"/>
      <w:r w:rsidRPr="0023349B">
        <w:rPr>
          <w:rFonts w:ascii="Times New Roman" w:hAnsi="Times New Roman" w:cs="Times New Roman"/>
        </w:rPr>
        <w:t>uopl</w:t>
      </w:r>
      <w:proofErr w:type="spellEnd"/>
      <w:r w:rsidRPr="0023349B">
        <w:rPr>
          <w:rFonts w:ascii="Times New Roman" w:hAnsi="Times New Roman" w:cs="Times New Roman"/>
        </w:rPr>
        <w:t xml:space="preserve"> instrumentów pozwalających gminie na skuteczniejsze zarządzanie zasobem mieszkaniowym. </w:t>
      </w:r>
    </w:p>
    <w:p w:rsidR="00074074" w:rsidRPr="0023349B" w:rsidRDefault="00074074" w:rsidP="0023349B">
      <w:pPr>
        <w:tabs>
          <w:tab w:val="left" w:pos="540"/>
        </w:tabs>
        <w:spacing w:line="360" w:lineRule="auto"/>
        <w:jc w:val="both"/>
        <w:rPr>
          <w:rFonts w:ascii="Times New Roman" w:hAnsi="Times New Roman" w:cs="Times New Roman"/>
        </w:rPr>
      </w:pPr>
    </w:p>
    <w:p w:rsidR="00C268CB" w:rsidRPr="0023349B" w:rsidRDefault="00C268CB" w:rsidP="0023349B">
      <w:pPr>
        <w:numPr>
          <w:ilvl w:val="0"/>
          <w:numId w:val="1"/>
        </w:numPr>
        <w:tabs>
          <w:tab w:val="left" w:pos="0"/>
        </w:tabs>
        <w:spacing w:after="240" w:line="360" w:lineRule="auto"/>
        <w:ind w:left="426" w:hanging="426"/>
        <w:jc w:val="both"/>
        <w:rPr>
          <w:rFonts w:ascii="Times New Roman" w:eastAsia="Times New Roman" w:hAnsi="Times New Roman" w:cs="Times New Roman"/>
          <w:b/>
          <w:smallCaps/>
          <w:kern w:val="24"/>
          <w:sz w:val="28"/>
        </w:rPr>
      </w:pPr>
      <w:r w:rsidRPr="0023349B">
        <w:rPr>
          <w:rFonts w:ascii="Times New Roman" w:eastAsia="Times New Roman" w:hAnsi="Times New Roman" w:cs="Times New Roman"/>
          <w:b/>
          <w:smallCaps/>
          <w:kern w:val="24"/>
          <w:sz w:val="28"/>
        </w:rPr>
        <w:t xml:space="preserve"> </w:t>
      </w:r>
      <w:r w:rsidRPr="0023349B">
        <w:rPr>
          <w:rFonts w:ascii="Times New Roman" w:eastAsia="Times New Roman" w:hAnsi="Times New Roman" w:cs="Times New Roman"/>
          <w:smallCaps/>
          <w:kern w:val="24"/>
          <w:sz w:val="28"/>
        </w:rPr>
        <w:t>S</w:t>
      </w:r>
      <w:r w:rsidRPr="0023349B">
        <w:rPr>
          <w:rFonts w:ascii="Times New Roman" w:eastAsia="Times New Roman" w:hAnsi="Times New Roman" w:cs="Times New Roman"/>
          <w:b/>
          <w:smallCaps/>
          <w:kern w:val="24"/>
          <w:sz w:val="28"/>
        </w:rPr>
        <w:t>zczegółowe uzasadnienie proponowanych rozwiązań</w:t>
      </w:r>
    </w:p>
    <w:p w:rsidR="00C268CB" w:rsidRPr="0023349B" w:rsidRDefault="00C268CB" w:rsidP="0023349B">
      <w:pPr>
        <w:spacing w:after="120" w:line="360" w:lineRule="auto"/>
        <w:rPr>
          <w:rFonts w:ascii="Times New Roman" w:hAnsi="Times New Roman" w:cs="Times New Roman"/>
          <w:b/>
        </w:rPr>
      </w:pPr>
      <w:r w:rsidRPr="0023349B">
        <w:rPr>
          <w:rFonts w:ascii="Times New Roman" w:hAnsi="Times New Roman" w:cs="Times New Roman"/>
          <w:b/>
        </w:rPr>
        <w:t>Art. 1 – Zmiany w ustawie – Kodeks postępowania cywilnego</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W projektowanym </w:t>
      </w:r>
      <w:r w:rsidRPr="0023349B">
        <w:rPr>
          <w:rFonts w:ascii="Times New Roman" w:hAnsi="Times New Roman" w:cs="Times New Roman"/>
          <w:b/>
        </w:rPr>
        <w:t>art. 1 projektu ustawy</w:t>
      </w:r>
      <w:r w:rsidRPr="0023349B">
        <w:rPr>
          <w:rFonts w:ascii="Times New Roman" w:hAnsi="Times New Roman" w:cs="Times New Roman"/>
          <w:bCs/>
        </w:rPr>
        <w:t xml:space="preserve"> </w:t>
      </w:r>
      <w:r w:rsidR="00C65EED" w:rsidRPr="0023349B">
        <w:rPr>
          <w:rFonts w:ascii="Times New Roman" w:hAnsi="Times New Roman" w:cs="Times New Roman"/>
          <w:bCs/>
        </w:rPr>
        <w:t>wyłączano</w:t>
      </w:r>
      <w:r w:rsidRPr="0023349B">
        <w:rPr>
          <w:rFonts w:ascii="Times New Roman" w:hAnsi="Times New Roman" w:cs="Times New Roman"/>
          <w:bCs/>
        </w:rPr>
        <w:t xml:space="preserve"> spod egzekucji komorniczej dodatki mieszkaniowe oraz dodatki energetyczne. Mając na względzie socjalny charakter dodatku mieszkaniowego oraz energetycznego, niezasadnym jest, by środki te podlegały egzekucji komorniczej. Jak zaznaczono poniżej, są to świadczenia o</w:t>
      </w:r>
      <w:r w:rsidR="00074074" w:rsidRPr="0023349B">
        <w:rPr>
          <w:rFonts w:ascii="Times New Roman" w:hAnsi="Times New Roman" w:cs="Times New Roman"/>
          <w:bCs/>
        </w:rPr>
        <w:t xml:space="preserve"> charakterze publicznoprawnym i </w:t>
      </w:r>
      <w:r w:rsidRPr="0023349B">
        <w:rPr>
          <w:rFonts w:ascii="Times New Roman" w:hAnsi="Times New Roman" w:cs="Times New Roman"/>
          <w:bCs/>
        </w:rPr>
        <w:t>przysługują osobie, która spełnia warunki określone przepisami prawa. Zaproponowana powyżej modyfikacja zapewni, że przyznane wsparcie posłuży celowi, na jaki zostało udzielone, a nie innym celom.</w:t>
      </w:r>
    </w:p>
    <w:p w:rsidR="00C268CB" w:rsidRPr="0023349B" w:rsidRDefault="00C268CB" w:rsidP="0023349B">
      <w:pPr>
        <w:spacing w:after="240" w:line="360" w:lineRule="auto"/>
        <w:rPr>
          <w:rFonts w:ascii="Times New Roman" w:hAnsi="Times New Roman" w:cs="Times New Roman"/>
          <w:b/>
        </w:rPr>
      </w:pPr>
      <w:r w:rsidRPr="0023349B">
        <w:rPr>
          <w:rFonts w:ascii="Times New Roman" w:hAnsi="Times New Roman" w:cs="Times New Roman"/>
          <w:b/>
        </w:rPr>
        <w:t>Art. 2 – Zmiany w ustawie o postępowaniu egzekucyjnym w administracji</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W projektowanym </w:t>
      </w:r>
      <w:r w:rsidRPr="0023349B">
        <w:rPr>
          <w:rFonts w:ascii="Times New Roman" w:hAnsi="Times New Roman" w:cs="Times New Roman"/>
          <w:b/>
          <w:bCs/>
        </w:rPr>
        <w:t xml:space="preserve">art. 2 projektu </w:t>
      </w:r>
      <w:r w:rsidRPr="0023349B">
        <w:rPr>
          <w:rFonts w:ascii="Times New Roman" w:hAnsi="Times New Roman" w:cs="Times New Roman"/>
          <w:b/>
          <w:bCs/>
          <w:iCs/>
        </w:rPr>
        <w:t>ustawy</w:t>
      </w:r>
      <w:r w:rsidRPr="0023349B">
        <w:rPr>
          <w:rFonts w:ascii="Times New Roman" w:hAnsi="Times New Roman" w:cs="Times New Roman"/>
          <w:bCs/>
        </w:rPr>
        <w:t xml:space="preserve"> wyłączono spod egzekucji administracyjnej dodatki mieszkaniowe oraz dodatki energetyczne. Należy zauważyć, że w orzecznictwie dodatek mieszkaniowy określany jest jako rodzaj publicznoprawnego świadczenia pieniężnego przysługującego osobie, która spełnia określone prawem warunki. „Dodatek mieszkaniowy ma na celu pokrycie z funduszów publicznych (gminnych) części kosztów utrzymania mieszkania, jakie obowiązana jest ponosić osoba uprawniona do otrzymywania takiego dodatku. Jego przyznanie stanowi formę zwolnienia wnioskodawcy z obowiązku ponoszenia oznaczonej kwotowo części kosztów utrzymania zajmowanego przezeń mieszkania, a w określonych sytuacjach wnioskodawca uzyskuje ponadto także prawo do otrzymania tzw. ryczałtu na zakup opału" (zob. uchwała Sądu Najwyższego z dnia 9 października 1997 r., sygn. akt III ZP 23/97). </w:t>
      </w:r>
      <w:r w:rsidR="00074074" w:rsidRPr="0023349B">
        <w:rPr>
          <w:rFonts w:ascii="Times New Roman" w:hAnsi="Times New Roman" w:cs="Times New Roman"/>
          <w:bCs/>
        </w:rPr>
        <w:t>Ponadto zgodnie z art. 10 § 4 i </w:t>
      </w:r>
      <w:r w:rsidRPr="0023349B">
        <w:rPr>
          <w:rFonts w:ascii="Times New Roman" w:hAnsi="Times New Roman" w:cs="Times New Roman"/>
          <w:bCs/>
        </w:rPr>
        <w:t xml:space="preserve">5 </w:t>
      </w:r>
      <w:proofErr w:type="spellStart"/>
      <w:r w:rsidRPr="0023349B">
        <w:rPr>
          <w:rFonts w:ascii="Times New Roman" w:hAnsi="Times New Roman" w:cs="Times New Roman"/>
          <w:bCs/>
        </w:rPr>
        <w:t>upea</w:t>
      </w:r>
      <w:proofErr w:type="spellEnd"/>
      <w:r w:rsidRPr="0023349B">
        <w:rPr>
          <w:rFonts w:ascii="Times New Roman" w:hAnsi="Times New Roman" w:cs="Times New Roman"/>
          <w:bCs/>
        </w:rPr>
        <w:t xml:space="preserve"> nie podlegają egzekucji świadczenia alimentacyjne, św</w:t>
      </w:r>
      <w:r w:rsidR="00074074" w:rsidRPr="0023349B">
        <w:rPr>
          <w:rFonts w:ascii="Times New Roman" w:hAnsi="Times New Roman" w:cs="Times New Roman"/>
          <w:bCs/>
        </w:rPr>
        <w:t>iadczenia pieniężne wypłacane w </w:t>
      </w:r>
      <w:r w:rsidRPr="0023349B">
        <w:rPr>
          <w:rFonts w:ascii="Times New Roman" w:hAnsi="Times New Roman" w:cs="Times New Roman"/>
          <w:bCs/>
        </w:rPr>
        <w:t xml:space="preserve">przypadku bezskuteczności egzekucji alimentów, świadczenia rodzinne, dodatki rodzinne, pielęgnacyjne, porodowe, dla sierot zupełnych, zasiłki dla opiekunów, świadczenia z pomocy społecznej, świadczenie wychowawcze oraz jednorazowe świadczenie, o którym mowa w </w:t>
      </w:r>
      <w:hyperlink r:id="rId8" w:history="1">
        <w:r w:rsidRPr="0023349B">
          <w:rPr>
            <w:rStyle w:val="Hipercze"/>
            <w:rFonts w:ascii="Times New Roman" w:hAnsi="Times New Roman" w:cs="Times New Roman"/>
            <w:color w:val="auto"/>
            <w:u w:val="none"/>
          </w:rPr>
          <w:t>art. 10</w:t>
        </w:r>
      </w:hyperlink>
      <w:r w:rsidRPr="0023349B">
        <w:rPr>
          <w:rFonts w:ascii="Times New Roman" w:hAnsi="Times New Roman" w:cs="Times New Roman"/>
          <w:bCs/>
        </w:rPr>
        <w:t xml:space="preserve"> ustawy z dnia 4 listopada 2016 r. o wsparciu kobiet w ciąży i rodzin „Za życiem” (Dz. U. z 2019 r.</w:t>
      </w:r>
      <w:r w:rsidR="00193AD6" w:rsidRPr="0023349B">
        <w:rPr>
          <w:rFonts w:ascii="Times New Roman" w:hAnsi="Times New Roman" w:cs="Times New Roman"/>
          <w:bCs/>
        </w:rPr>
        <w:t xml:space="preserve"> </w:t>
      </w:r>
      <w:hyperlink r:id="rId9" w:history="1">
        <w:r w:rsidRPr="0023349B">
          <w:rPr>
            <w:rStyle w:val="Hipercze"/>
            <w:rFonts w:ascii="Times New Roman" w:hAnsi="Times New Roman" w:cs="Times New Roman"/>
            <w:color w:val="auto"/>
            <w:u w:val="none"/>
          </w:rPr>
          <w:t>poz. 473</w:t>
        </w:r>
      </w:hyperlink>
      <w:r w:rsidRPr="0023349B">
        <w:rPr>
          <w:rFonts w:ascii="Times New Roman" w:hAnsi="Times New Roman" w:cs="Times New Roman"/>
          <w:bCs/>
        </w:rPr>
        <w:t xml:space="preserve"> i 1818). Nie podlegają egzekucji świadczenia, dodatki i inne kwoty, o których mowa w </w:t>
      </w:r>
      <w:hyperlink r:id="rId10" w:history="1">
        <w:r w:rsidRPr="0023349B">
          <w:rPr>
            <w:rStyle w:val="Hipercze"/>
            <w:rFonts w:ascii="Times New Roman" w:hAnsi="Times New Roman" w:cs="Times New Roman"/>
            <w:color w:val="auto"/>
            <w:u w:val="none"/>
          </w:rPr>
          <w:t>art. 31 ust. 1</w:t>
        </w:r>
      </w:hyperlink>
      <w:r w:rsidRPr="0023349B">
        <w:rPr>
          <w:rFonts w:ascii="Times New Roman" w:hAnsi="Times New Roman" w:cs="Times New Roman"/>
          <w:bCs/>
        </w:rPr>
        <w:t xml:space="preserve">, </w:t>
      </w:r>
      <w:hyperlink r:id="rId11" w:history="1">
        <w:r w:rsidRPr="0023349B">
          <w:rPr>
            <w:rStyle w:val="Hipercze"/>
            <w:rFonts w:ascii="Times New Roman" w:hAnsi="Times New Roman" w:cs="Times New Roman"/>
            <w:color w:val="auto"/>
            <w:u w:val="none"/>
          </w:rPr>
          <w:t>art. 80 ust. 1 i 1a</w:t>
        </w:r>
      </w:hyperlink>
      <w:r w:rsidRPr="0023349B">
        <w:rPr>
          <w:rFonts w:ascii="Times New Roman" w:hAnsi="Times New Roman" w:cs="Times New Roman"/>
          <w:bCs/>
        </w:rPr>
        <w:t xml:space="preserve">, </w:t>
      </w:r>
      <w:hyperlink r:id="rId12" w:history="1">
        <w:r w:rsidRPr="0023349B">
          <w:rPr>
            <w:rStyle w:val="Hipercze"/>
            <w:rFonts w:ascii="Times New Roman" w:hAnsi="Times New Roman" w:cs="Times New Roman"/>
            <w:color w:val="auto"/>
            <w:u w:val="none"/>
          </w:rPr>
          <w:t>art. 81</w:t>
        </w:r>
      </w:hyperlink>
      <w:r w:rsidRPr="0023349B">
        <w:rPr>
          <w:rFonts w:ascii="Times New Roman" w:hAnsi="Times New Roman" w:cs="Times New Roman"/>
          <w:bCs/>
        </w:rPr>
        <w:t xml:space="preserve">, </w:t>
      </w:r>
      <w:hyperlink r:id="rId13" w:history="1">
        <w:r w:rsidRPr="0023349B">
          <w:rPr>
            <w:rStyle w:val="Hipercze"/>
            <w:rFonts w:ascii="Times New Roman" w:hAnsi="Times New Roman" w:cs="Times New Roman"/>
            <w:color w:val="auto"/>
            <w:u w:val="none"/>
          </w:rPr>
          <w:t>art. 83 ust. 1 i 4</w:t>
        </w:r>
      </w:hyperlink>
      <w:r w:rsidRPr="0023349B">
        <w:rPr>
          <w:rFonts w:ascii="Times New Roman" w:hAnsi="Times New Roman" w:cs="Times New Roman"/>
          <w:bCs/>
        </w:rPr>
        <w:t xml:space="preserve">, </w:t>
      </w:r>
      <w:hyperlink r:id="rId14" w:history="1">
        <w:r w:rsidRPr="0023349B">
          <w:rPr>
            <w:rStyle w:val="Hipercze"/>
            <w:rFonts w:ascii="Times New Roman" w:hAnsi="Times New Roman" w:cs="Times New Roman"/>
            <w:color w:val="auto"/>
            <w:u w:val="none"/>
          </w:rPr>
          <w:t>art. 84 pkt 2 i 3</w:t>
        </w:r>
      </w:hyperlink>
      <w:r w:rsidRPr="0023349B">
        <w:rPr>
          <w:rFonts w:ascii="Times New Roman" w:hAnsi="Times New Roman" w:cs="Times New Roman"/>
          <w:bCs/>
        </w:rPr>
        <w:t xml:space="preserve"> i </w:t>
      </w:r>
      <w:hyperlink r:id="rId15" w:history="1">
        <w:r w:rsidRPr="0023349B">
          <w:rPr>
            <w:rStyle w:val="Hipercze"/>
            <w:rFonts w:ascii="Times New Roman" w:hAnsi="Times New Roman" w:cs="Times New Roman"/>
            <w:color w:val="auto"/>
            <w:u w:val="none"/>
          </w:rPr>
          <w:t>art. 140 ust. 1 pkt 1</w:t>
        </w:r>
      </w:hyperlink>
      <w:r w:rsidR="00074074" w:rsidRPr="0023349B">
        <w:rPr>
          <w:rFonts w:ascii="Times New Roman" w:hAnsi="Times New Roman" w:cs="Times New Roman"/>
          <w:bCs/>
        </w:rPr>
        <w:t xml:space="preserve"> ustawy z </w:t>
      </w:r>
      <w:r w:rsidRPr="0023349B">
        <w:rPr>
          <w:rFonts w:ascii="Times New Roman" w:hAnsi="Times New Roman" w:cs="Times New Roman"/>
          <w:bCs/>
        </w:rPr>
        <w:t xml:space="preserve">dnia 9 czerwca 2011 r. o wspieraniu rodziny i systemie pieczy zastępczej (Dz.U. z 2020 r. </w:t>
      </w:r>
      <w:hyperlink r:id="rId16" w:history="1">
        <w:r w:rsidRPr="0023349B">
          <w:rPr>
            <w:rStyle w:val="Hipercze"/>
            <w:rFonts w:ascii="Times New Roman" w:hAnsi="Times New Roman" w:cs="Times New Roman"/>
            <w:color w:val="auto"/>
            <w:u w:val="none"/>
          </w:rPr>
          <w:t xml:space="preserve">poz. </w:t>
        </w:r>
      </w:hyperlink>
      <w:r w:rsidRPr="0023349B">
        <w:rPr>
          <w:rFonts w:ascii="Times New Roman" w:hAnsi="Times New Roman" w:cs="Times New Roman"/>
          <w:bCs/>
        </w:rPr>
        <w:t xml:space="preserve">821), oraz środki finansowe na utrzymanie lokalu mieszkalnego w budynku wielorodzinnym lub domu jednorodzinnego, o których mowa w </w:t>
      </w:r>
      <w:hyperlink r:id="rId17" w:history="1">
        <w:r w:rsidRPr="0023349B">
          <w:rPr>
            <w:rStyle w:val="Hipercze"/>
            <w:rFonts w:ascii="Times New Roman" w:hAnsi="Times New Roman" w:cs="Times New Roman"/>
            <w:color w:val="auto"/>
            <w:u w:val="none"/>
          </w:rPr>
          <w:t>art. 83 ust. 2</w:t>
        </w:r>
      </w:hyperlink>
      <w:r w:rsidRPr="0023349B">
        <w:rPr>
          <w:rFonts w:ascii="Times New Roman" w:hAnsi="Times New Roman" w:cs="Times New Roman"/>
          <w:bCs/>
        </w:rPr>
        <w:t xml:space="preserve"> i </w:t>
      </w:r>
      <w:hyperlink r:id="rId18" w:history="1">
        <w:r w:rsidRPr="0023349B">
          <w:rPr>
            <w:rStyle w:val="Hipercze"/>
            <w:rFonts w:ascii="Times New Roman" w:hAnsi="Times New Roman" w:cs="Times New Roman"/>
            <w:color w:val="auto"/>
            <w:u w:val="none"/>
          </w:rPr>
          <w:t>art. 84 pkt 1</w:t>
        </w:r>
      </w:hyperlink>
      <w:r w:rsidRPr="0023349B">
        <w:rPr>
          <w:rFonts w:ascii="Times New Roman" w:hAnsi="Times New Roman" w:cs="Times New Roman"/>
          <w:bCs/>
        </w:rPr>
        <w:t xml:space="preserve"> ustawy z dnia 9 czerwca 2011 r. o wspieraniu rodziny i systemie pieczy zastępczej, w części przysługującej na umieszczone w rodzinie zastępczej lub rodzinnym domu dziecka dzieci i osoby, które osiągnęły pełnoletność przebywając w pieczy zastępczej. Mając na względzie taki sam socjalny charakter dodatku mieszkaniowego, czy dodatku energetycznego, niezasadnym jest, by środki te podlegały egzekucji administracyjnej.</w:t>
      </w:r>
    </w:p>
    <w:p w:rsidR="00110A0B" w:rsidRPr="0023349B" w:rsidRDefault="00074074"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3 – Zmiany </w:t>
      </w:r>
      <w:r w:rsidR="00EC023F" w:rsidRPr="0023349B">
        <w:rPr>
          <w:rFonts w:ascii="Times New Roman" w:hAnsi="Times New Roman" w:cs="Times New Roman"/>
          <w:b/>
        </w:rPr>
        <w:t xml:space="preserve">w ustawie o </w:t>
      </w:r>
      <w:r w:rsidRPr="0023349B">
        <w:rPr>
          <w:rFonts w:ascii="Times New Roman" w:hAnsi="Times New Roman" w:cs="Times New Roman"/>
          <w:b/>
        </w:rPr>
        <w:t>Straży Granicznej</w:t>
      </w:r>
      <w:r w:rsidR="00110A0B" w:rsidRPr="0023349B">
        <w:rPr>
          <w:rFonts w:ascii="Times New Roman" w:hAnsi="Times New Roman" w:cs="Times New Roman"/>
          <w:b/>
        </w:rPr>
        <w:t xml:space="preserve"> i Art. 4 – Zmiany w ustawie o podatku dochodowym od osób prawnych</w:t>
      </w:r>
    </w:p>
    <w:p w:rsidR="00110A0B" w:rsidRPr="0023349B" w:rsidRDefault="00110A0B" w:rsidP="0023349B">
      <w:pPr>
        <w:spacing w:after="240" w:line="360" w:lineRule="auto"/>
        <w:jc w:val="both"/>
        <w:rPr>
          <w:rFonts w:ascii="Times New Roman" w:hAnsi="Times New Roman" w:cs="Times New Roman"/>
          <w:bCs/>
        </w:rPr>
      </w:pPr>
      <w:r w:rsidRPr="0023349B">
        <w:rPr>
          <w:rFonts w:ascii="Times New Roman" w:hAnsi="Times New Roman" w:cs="Times New Roman"/>
          <w:bCs/>
        </w:rPr>
        <w:t>Proponowana zmiana polega na zastąpieniu w ww. ustawach dotychczasowej nazwy „towarzystwa budownictwa społecznego” bardziej oddającym charakter tych podmiotów określeniem „społeczna inicjatywa mieszkaniowa”.</w:t>
      </w:r>
    </w:p>
    <w:p w:rsidR="00C268CB" w:rsidRPr="0023349B" w:rsidRDefault="00C268CB" w:rsidP="0023349B">
      <w:pPr>
        <w:spacing w:after="240" w:line="360" w:lineRule="auto"/>
        <w:rPr>
          <w:rFonts w:ascii="Times New Roman" w:hAnsi="Times New Roman" w:cs="Times New Roman"/>
          <w:b/>
        </w:rPr>
      </w:pPr>
      <w:r w:rsidRPr="0023349B">
        <w:rPr>
          <w:rFonts w:ascii="Times New Roman" w:hAnsi="Times New Roman" w:cs="Times New Roman"/>
          <w:b/>
        </w:rPr>
        <w:t xml:space="preserve">Art. </w:t>
      </w:r>
      <w:r w:rsidR="00074074" w:rsidRPr="0023349B">
        <w:rPr>
          <w:rFonts w:ascii="Times New Roman" w:hAnsi="Times New Roman" w:cs="Times New Roman"/>
          <w:b/>
        </w:rPr>
        <w:t>5</w:t>
      </w:r>
      <w:r w:rsidRPr="0023349B">
        <w:rPr>
          <w:rFonts w:ascii="Times New Roman" w:hAnsi="Times New Roman" w:cs="Times New Roman"/>
          <w:b/>
        </w:rPr>
        <w:t xml:space="preserve"> – Zmiany w ustawie o własności lokali</w:t>
      </w:r>
    </w:p>
    <w:p w:rsidR="00953E52" w:rsidRPr="0023349B" w:rsidRDefault="00C268CB" w:rsidP="0023349B">
      <w:pPr>
        <w:spacing w:after="240" w:line="360" w:lineRule="auto"/>
        <w:jc w:val="both"/>
        <w:rPr>
          <w:rFonts w:ascii="Times New Roman" w:hAnsi="Times New Roman" w:cs="Times New Roman"/>
          <w:b/>
        </w:rPr>
      </w:pPr>
      <w:r w:rsidRPr="0023349B">
        <w:rPr>
          <w:rFonts w:ascii="Times New Roman" w:hAnsi="Times New Roman" w:cs="Times New Roman"/>
          <w:bCs/>
        </w:rPr>
        <w:t>Proponowana zmiana w ustawie o własności lokali ma na celu usprawnienie funkcjonowania zarządów wspólnot mieszkaniowych, co przełoży się na lepsze f</w:t>
      </w:r>
      <w:r w:rsidR="00BE27DB" w:rsidRPr="0023349B">
        <w:rPr>
          <w:rFonts w:ascii="Times New Roman" w:hAnsi="Times New Roman" w:cs="Times New Roman"/>
          <w:bCs/>
        </w:rPr>
        <w:t>unkcjonowanie całych wspólnot i </w:t>
      </w:r>
      <w:r w:rsidRPr="0023349B">
        <w:rPr>
          <w:rFonts w:ascii="Times New Roman" w:hAnsi="Times New Roman" w:cs="Times New Roman"/>
          <w:bCs/>
        </w:rPr>
        <w:t>ich członków. Zmiana jest szczególnie istotna w kontekście</w:t>
      </w:r>
      <w:r w:rsidR="00BE27DB" w:rsidRPr="0023349B">
        <w:rPr>
          <w:rFonts w:ascii="Times New Roman" w:hAnsi="Times New Roman" w:cs="Times New Roman"/>
          <w:bCs/>
        </w:rPr>
        <w:t xml:space="preserve"> sprawnego działania zarządów w </w:t>
      </w:r>
      <w:r w:rsidRPr="0023349B">
        <w:rPr>
          <w:rFonts w:ascii="Times New Roman" w:hAnsi="Times New Roman" w:cs="Times New Roman"/>
          <w:bCs/>
        </w:rPr>
        <w:t>czasie stanu epidemii i po jego odwołaniu, tak by mieszkańcy wspólnot mieli zapewnioną szybką i efektywną obsługę, np. w kontekście uzyskiwania finans</w:t>
      </w:r>
      <w:r w:rsidR="00BE27DB" w:rsidRPr="0023349B">
        <w:rPr>
          <w:rFonts w:ascii="Times New Roman" w:hAnsi="Times New Roman" w:cs="Times New Roman"/>
          <w:bCs/>
        </w:rPr>
        <w:t>owego wsparcia przewidzianego w </w:t>
      </w:r>
      <w:r w:rsidRPr="0023349B">
        <w:rPr>
          <w:rFonts w:ascii="Times New Roman" w:hAnsi="Times New Roman" w:cs="Times New Roman"/>
          <w:bCs/>
        </w:rPr>
        <w:t xml:space="preserve">szczególnych rozwiązaniach związanych z gospodarczymi skutkami epidemii w tych przypadkach, gdzie potrzebne jest współdziałanie wspólnoty. Tytułem przykładu można wskazać potwierdzania wniosków o przyznanie dodatków mieszkaniowych, dodatków mieszkaniowych powiększonych o dopłatę, czy dodatków przyznawanych z mocą wsteczną. </w:t>
      </w:r>
    </w:p>
    <w:p w:rsidR="000B4247" w:rsidRPr="0023349B" w:rsidRDefault="00953E52" w:rsidP="0023349B">
      <w:pPr>
        <w:spacing w:after="240" w:line="360" w:lineRule="auto"/>
        <w:jc w:val="both"/>
        <w:rPr>
          <w:rFonts w:ascii="Times New Roman" w:hAnsi="Times New Roman" w:cs="Times New Roman"/>
          <w:b/>
          <w:i/>
        </w:rPr>
      </w:pPr>
      <w:r w:rsidRPr="0023349B">
        <w:rPr>
          <w:rFonts w:ascii="Times New Roman" w:hAnsi="Times New Roman" w:cs="Times New Roman"/>
          <w:b/>
        </w:rPr>
        <w:t xml:space="preserve">Art. </w:t>
      </w:r>
      <w:r w:rsidR="00110A0B" w:rsidRPr="0023349B">
        <w:rPr>
          <w:rFonts w:ascii="Times New Roman" w:hAnsi="Times New Roman" w:cs="Times New Roman"/>
          <w:b/>
        </w:rPr>
        <w:t>6</w:t>
      </w:r>
      <w:r w:rsidR="00EF640B" w:rsidRPr="0023349B">
        <w:rPr>
          <w:rFonts w:ascii="Times New Roman" w:hAnsi="Times New Roman" w:cs="Times New Roman"/>
          <w:b/>
        </w:rPr>
        <w:t xml:space="preserve"> –</w:t>
      </w:r>
      <w:r w:rsidRPr="0023349B">
        <w:rPr>
          <w:rFonts w:ascii="Times New Roman" w:hAnsi="Times New Roman" w:cs="Times New Roman"/>
          <w:b/>
        </w:rPr>
        <w:t xml:space="preserve"> Zmiany w </w:t>
      </w:r>
      <w:r w:rsidR="003817FD" w:rsidRPr="0023349B">
        <w:rPr>
          <w:rFonts w:ascii="Times New Roman" w:hAnsi="Times New Roman" w:cs="Times New Roman"/>
          <w:b/>
        </w:rPr>
        <w:t>ustawie – Prawo budowlane</w:t>
      </w:r>
    </w:p>
    <w:p w:rsidR="000B4247" w:rsidRPr="0023349B" w:rsidRDefault="00352EE5" w:rsidP="0023349B">
      <w:pPr>
        <w:spacing w:after="120" w:line="360" w:lineRule="auto"/>
        <w:jc w:val="both"/>
        <w:rPr>
          <w:rFonts w:ascii="Times New Roman" w:hAnsi="Times New Roman" w:cs="Times New Roman"/>
        </w:rPr>
      </w:pPr>
      <w:r w:rsidRPr="0023349B">
        <w:rPr>
          <w:rFonts w:ascii="Times New Roman" w:hAnsi="Times New Roman" w:cs="Times New Roman"/>
          <w:u w:val="single"/>
        </w:rPr>
        <w:t>Zmiana 1:</w:t>
      </w:r>
      <w:r w:rsidRPr="0023349B">
        <w:rPr>
          <w:rFonts w:ascii="Times New Roman" w:hAnsi="Times New Roman" w:cs="Times New Roman"/>
        </w:rPr>
        <w:t xml:space="preserve"> zmiana brzmienia art. 3 pkt 3a</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Proponowana zmiana definicji obiektu liniowego w art. 3 pkt 3a ustawy z dnia 7 lipca 1994 r. – Prawo budowlane doprecyzowuje, że nie tylko kable telekomunikacyjne zainstalowane w kanalizacji kablowej i kable zainstalowane w kanale technologicznym (aktualne brzmienie), lecz również kable telekomunikacyjne podwieszone do już istniejącej linii kablowej nadziemnej nie stanowią obiektu budowlanego lub jego części ani urządzenia budowlanego.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Proponowana zmiana ma na celu zmniejszenie kosztów zapewnienia powszechnego dostępu do bardzo szybkiego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przede wszystkim dzięki inwestycjom współfinansowanym ze środków publicznych. Powstanie infrastruktury szerokopasmowej dofinansowanej ze środków publicznych na obszarach tzw. „białych plam” będzie stanowiło także impuls rozwojowy dla tych obszarów. Ponieważ infrastruktura taka jest otwarta dla wszystkich operatorów telekomunikacyjnych (istnieje obowiązek zapewnienia hurtowego dostępu) stwarzana jest także szansa na rozwój sektora małych i średnich przedsiębiorstw telekomunikacyjnych.</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Zmiana ma także na celu uniknięcie sytuacji występowania różnic w opodatkowaniu w zależności od tego czy kabel umieszczany jest nad czy pod ziemią. Należy także podkreślić, że możliwość umieszczenia kabli w kanalizacji występuje przede wszystkim na obszarach zabudowanych. Na obszarach wiejskich wykorzystanie istniejącej infrastruktury w postaci podwieszenia kabla na istniejącej infrastrukturze energetycznej jest często jedynym rozsądnym sposobem zapewnienia zasięgu nowoczesnych sieci szerokopasmowych.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Warto zaznaczyć, że </w:t>
      </w:r>
      <w:r w:rsidR="00B61557" w:rsidRPr="0023349B">
        <w:rPr>
          <w:rFonts w:ascii="Times New Roman" w:hAnsi="Times New Roman" w:cs="Times New Roman"/>
        </w:rPr>
        <w:t>zmianę dotycząca kabli umieszczonych w kanalizacji wprowadzono w 2010 roku, kiedy planowana była przede wszystkim budowa sieci szkieletowo-dystrybucyjnych umieszczanych właśnie w kanalizacji doziemnej. W chwili obecnej wysiłki inwestycyjne skoncentrowane są na budowie sieci dostępowych, które docierają do użytkownika końcowego i które w niektórych obszarach będą musiały być oparte na liniach nadziemnych.</w:t>
      </w:r>
      <w:r w:rsidRPr="0023349B">
        <w:rPr>
          <w:rFonts w:ascii="Times New Roman" w:hAnsi="Times New Roman" w:cs="Times New Roman"/>
        </w:rPr>
        <w:t xml:space="preserve">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Dodatkowe opodatkowanie kabli podwieszanych na istniejącej infrastrukturze powodowałoby pogłębianie nierówności w zakresie dostępu do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i stanowiłoby nieracjonalną preferencję obszarów na których występują kanały technologiczne lub dostępna jest kanalizacja w której można umieścić kabel, który następnie nie podlega opodatkowaniu. Zaproponowana zmiana ma więc na celu zapewnienie równych warunków inwestycyjnych na terenie całego kraju i zapobiegnięcie rezygnacji z inwestycji w sieci szerokopasmowe na terenach wiejskich.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Należy przy tym zaznaczyć, że zarówno od kanalizacji jak i od linii nadziemnej naliczany jest już podatek od nieruchomości. Udostępnienie jednej i drugiej infrastruktury w celu umieszczenia kabla następuje natomiast za opłatą. W związku z tym w pełni zasadne jest potwierdzenie, że w obu przypadkach podejście do opodatkowania kabli umieszczanych w i na istniejącej infrastrukturze jest tożsame.</w:t>
      </w:r>
      <w:r w:rsidR="00B61557" w:rsidRPr="0023349B">
        <w:rPr>
          <w:rFonts w:ascii="Times New Roman" w:hAnsi="Times New Roman" w:cs="Times New Roman"/>
        </w:rPr>
        <w:t xml:space="preserve"> </w:t>
      </w:r>
      <w:r w:rsidRPr="0023349B">
        <w:rPr>
          <w:rFonts w:ascii="Times New Roman" w:hAnsi="Times New Roman" w:cs="Times New Roman"/>
        </w:rPr>
        <w:t xml:space="preserve">Tak więc zaproponowana zmiana doprowadza do zrównania warunków inwestycyjnych na różnych obszarach kraju i zrównuje podejście w zakresie opodatkowania tożsamych inwestycji.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Ponadto należy stanowczo podkreślić, że dodatkowe opodatkowanie </w:t>
      </w:r>
      <w:proofErr w:type="spellStart"/>
      <w:r w:rsidRPr="0023349B">
        <w:rPr>
          <w:rFonts w:ascii="Times New Roman" w:hAnsi="Times New Roman" w:cs="Times New Roman"/>
        </w:rPr>
        <w:t>dowieszanych</w:t>
      </w:r>
      <w:proofErr w:type="spellEnd"/>
      <w:r w:rsidRPr="0023349B">
        <w:rPr>
          <w:rFonts w:ascii="Times New Roman" w:hAnsi="Times New Roman" w:cs="Times New Roman"/>
        </w:rPr>
        <w:t xml:space="preserve"> kabli spowoduje wyższe opłaty za usługi telekomunikacyjne niż na obszarach miejskich, gdzie kable światłowodowe prowadzone są w kanalizacji kablowej i ponad wszelką wątpliwość nie podlegają opodatkowaniu podatkiem od nieruchomości. Tego rodzaju sytuacja byłaby szczególnie niesprawiedliwa dla mieszkańców obszarów słabo zurbanizowanych, głównie wiejskich, którzy nie tylko mają znacznie gorszy dostęp do nowoczesnej infrastruktury telekomunikacyjnej, ale też musieliby za usługi świadczone z wykorzystaniem takiej infrastruktury więcej płacić.</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Tworzenie stabilnego otoczenia inwestycyjnego dla budowy sieci szerokopasmowych jest niezwykle istotne bo rozwój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jest kluczową determinantą rozwoju gospodarczego w XXI wieku. Korzystanie z szybkiego dostępu do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ma kluczowe znaczenie dla poprawy efektywności niemal wszystkich gałęzi</w:t>
      </w:r>
      <w:r w:rsidR="00193AD6" w:rsidRPr="0023349B">
        <w:rPr>
          <w:rFonts w:ascii="Times New Roman" w:hAnsi="Times New Roman" w:cs="Times New Roman"/>
        </w:rPr>
        <w:t xml:space="preserve"> </w:t>
      </w:r>
      <w:r w:rsidRPr="0023349B">
        <w:rPr>
          <w:rFonts w:ascii="Times New Roman" w:hAnsi="Times New Roman" w:cs="Times New Roman"/>
        </w:rPr>
        <w:t xml:space="preserve">gospodarki. </w:t>
      </w:r>
      <w:proofErr w:type="spellStart"/>
      <w:r w:rsidRPr="0023349B">
        <w:rPr>
          <w:rFonts w:ascii="Times New Roman" w:hAnsi="Times New Roman" w:cs="Times New Roman"/>
        </w:rPr>
        <w:t>McKinsey</w:t>
      </w:r>
      <w:proofErr w:type="spellEnd"/>
      <w:r w:rsidRPr="0023349B">
        <w:rPr>
          <w:rFonts w:ascii="Times New Roman" w:hAnsi="Times New Roman" w:cs="Times New Roman"/>
        </w:rPr>
        <w:t xml:space="preserve"> Global </w:t>
      </w:r>
      <w:proofErr w:type="spellStart"/>
      <w:r w:rsidRPr="0023349B">
        <w:rPr>
          <w:rFonts w:ascii="Times New Roman" w:hAnsi="Times New Roman" w:cs="Times New Roman"/>
        </w:rPr>
        <w:t>Institute</w:t>
      </w:r>
      <w:proofErr w:type="spellEnd"/>
      <w:r w:rsidRPr="0023349B">
        <w:rPr>
          <w:rFonts w:ascii="Times New Roman" w:hAnsi="Times New Roman" w:cs="Times New Roman"/>
        </w:rPr>
        <w:t xml:space="preserve"> szacował w roku 2011, że rozwój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odpowiadał w ostatnich latach za 21% całkowitego wzrostu gospodarczego w krajach rozwiniętych.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Nie ulega wątpliwości, że rola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w najbliższych latach będzie jedynie rosła. Powszechny i szybki dostęp do sieci staje się warunkiem koniecznym dla realizacji koncepcji Przemysłu 4.0 i pełnego uczestnictwa w czwartej rewolucji przemysłowej. Usługi i produkty takie jak Internet rzeczy, smart-fabryki, smart-miasta czy pojazdy autonomiczne nie mają racji bytu bez powszechnego i niezawodnego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o bardzo wysokiej przepustowości i minimalnych opóźnieniach (szerzej można nazwać ten zestaw parametrów „jakością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jako dla poszczególnych usług istotne mogą być różne wskaźniki). Tym samym </w:t>
      </w:r>
      <w:proofErr w:type="spellStart"/>
      <w:r w:rsidRPr="0023349B">
        <w:rPr>
          <w:rFonts w:ascii="Times New Roman" w:hAnsi="Times New Roman" w:cs="Times New Roman"/>
        </w:rPr>
        <w:t>internet</w:t>
      </w:r>
      <w:proofErr w:type="spellEnd"/>
      <w:r w:rsidRPr="0023349B">
        <w:rPr>
          <w:rFonts w:ascii="Times New Roman" w:hAnsi="Times New Roman" w:cs="Times New Roman"/>
        </w:rPr>
        <w:t xml:space="preserve"> staje się już nie tylko podstawą funkcjonowania społeczeństwa i biznesu (GPT), lecz kluczowym narzędziem dla dynamicznego rozwoju gospodarczego. Według ekspertów Deloitte, upowszechnienie dostępu do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m.in. usprawnia przepływ informacji, stymuluje innowacje, ułatwia dostęp do finansowania i wzmacnia przedsiębiorczość. W rezultacie, zgodnie z ich analizami, zwiększenie dostępności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w państwach rozwijających się do poziomów charakterystycznych dla państw rozwiniętych, mogłoby spowodować wzrost ich produktywności o 25 proc., co przekładałoby się na zwiększenie globalnego PKB o 2,2 bln USD i stworzenie 140 milionów nowych miejsc pracy. Z kolei badania przeprowadzone na potrzeby Komisji Europejskiej wykazały, że zaadaptowanie technologii szerokopasmowego dostępu do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w firmach i w ramach usług publicznych wewnątrz dwóch regionów unijnych (</w:t>
      </w:r>
      <w:proofErr w:type="spellStart"/>
      <w:r w:rsidRPr="0023349B">
        <w:rPr>
          <w:rFonts w:ascii="Times New Roman" w:hAnsi="Times New Roman" w:cs="Times New Roman"/>
        </w:rPr>
        <w:t>Cornwall</w:t>
      </w:r>
      <w:proofErr w:type="spellEnd"/>
      <w:r w:rsidRPr="0023349B">
        <w:rPr>
          <w:rFonts w:ascii="Times New Roman" w:hAnsi="Times New Roman" w:cs="Times New Roman"/>
        </w:rPr>
        <w:t xml:space="preserve">, UK oraz Piemont we Włoszech) zwiększyło roczny wzrost gospodarczy o 10 proc. i wygenerowało dodatkowe 7 proc. wzrostu produktywności rocznie. Na horyzoncie jawi się również możliwość wykorzystania potencjału tkwiącego w najnowszych technologiach, takich jak 5G, której implementacja ma doprowadzić do wzrostu PKB Polski o ponad 63 mld PLN w perspektywie do 2028 roku oraz zwiększyć produktywność naszej gospodarki o 1 proc. Wniosek z tego jest oczywisty – powszechny dostęp do szybkiego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wykorzystujący najnowsze technologie, przekłada się wprost na produktywność firm, tempo wzrostu gospodarczego, a ostatecznie poziom zamożności społeczeństwa. Ma to również swoje znaczenie czysto lokalne – praktyka pokazuje, że firmy coraz rzadziej lokują nowe fabryki w miejscach, w których nie ma dostępu do sieci.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Analizy dla Polski wskazują, że wzrost dostępności Internetu szerokopasmowego znacząco stymuluje rozwój gospodarczy. Efektem są większe przychody dla Skarbu Państwa oraz samorządów terytorialnych. W 2018 roku prognozowane korzyści wyniosły odpowiednio 10,1 mld zł dla Skarbu Państwa oraz 219 mln zł dla jednostek samorządu terytorialnego. Doliczając korzyści dla konsumentów i przedsiębiorców szacuje się, że suma osiągnęła prognozowaną wartość 2,2 proc. polskiego PKB. Natomiast zakładając dalszy rozwój rynku telekomunikacyjnego w dotychczasowym tempie, czyli stagnację liczby łączy stacjonarnych, aktualne tempo wzrostu liczby łączy mobilnych przy stopniowym wzroście przepustowości łączy stacjonarnych oraz mobilnych, wartość tego wpływu w 2023 roku szacowana jest na kwotę ok. 19,6 mld złotych do Skarbu Państwa oraz 430 mln zł dla jednostek samorządu terytorialnego.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Należy zaznaczyć, że samorządy uzyskują dochody z lokalizowania sieci szerokopasmowych m.in. poprzez pobieranie opłat za zajęcie pasa drogowego.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Szacunki opłat za zajęcie pasa drogi ponoszone przez operatorów telekomunikacyjnych, wykonane na potrzeby aktualizacji Narodowego Planu Szerokopasmowego, wskazują że dzięki realizacji inwestycji mających doprowadzić do pełnego pokrycia Polski szybkimi sieciami szerokopasmowymi, jednostki samorządu terytorialnego będą miały możliwość osiągania wpływów z tego tytułu na poziomie ponad 220 milionów złotych rocznie (od 2025 roku).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Jak wykazano w dokumencie „Analiza korzyści JST ze wspierania inwestycji w infrastrukturę szerokopasmową”, przygotowanym w 2014 roku na zlecenie ówczesnego Ministerstwa Administracji i Cyfryzacji wskazano, że stymulowanie rozwoju lokalnych sieci szerokopasmowych, zapewnienie dostępności usług i rozwoju konkurencyjnego rynku lokalnego wpływa bezpośrednio na zwiększenie korzyści mieszkańców, rozwój regionu i wzrost dochodów gmin. Podkreślono także, że całkowicie błędnym jest podejście zgodnie z którym samorząd próbuje zarabiać na wysokim opodatkowaniu światłowodów. Już w tamtym czasie znane były przypadki operatorów, którzy rezygnowali z inwestycji w danej gminie lub pod presją wysokich kosztów lokalnych ograniczali swą aktywność w regionie – ze szkodą dla wszystkich pozostałych stron. Najwięcej w takich przypadkach tracą konsumenci, ale same gminy też w dłuższej perspektywie tracą finansowo.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Analiza ta wskazała także, że każde obniżenie opłat za światłowody należy traktować jako niezwykle rentowną inwestycję w przyszłość: analiza wskazuje że obniżenie opłat o 1 złotówkę powoduje zwiększenie spodziewanych przyszłych przychodów gminy o 4,45 zł!</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Korzyści dla gmin wspierających nowe inwestycje obejmują nie tylko bezpośrednie korzyści finansowe ale także korzyści społeczno-ekonomicznych, takie jak: </w:t>
      </w:r>
    </w:p>
    <w:p w:rsidR="0048012D" w:rsidRPr="0023349B" w:rsidRDefault="0048012D" w:rsidP="0023349B">
      <w:pPr>
        <w:pStyle w:val="Akapitzlist"/>
        <w:numPr>
          <w:ilvl w:val="0"/>
          <w:numId w:val="52"/>
        </w:numPr>
        <w:spacing w:after="120" w:line="360" w:lineRule="auto"/>
        <w:jc w:val="both"/>
        <w:rPr>
          <w:rFonts w:ascii="Times New Roman" w:hAnsi="Times New Roman" w:cs="Times New Roman"/>
        </w:rPr>
      </w:pPr>
      <w:r w:rsidRPr="0023349B">
        <w:rPr>
          <w:rFonts w:ascii="Times New Roman" w:hAnsi="Times New Roman" w:cs="Times New Roman"/>
        </w:rPr>
        <w:t>Dostęp do cyfrowych usług świadczonych przez jednostki samorządu terytorialnego;</w:t>
      </w:r>
    </w:p>
    <w:p w:rsidR="0048012D" w:rsidRPr="0023349B" w:rsidRDefault="0048012D" w:rsidP="0023349B">
      <w:pPr>
        <w:pStyle w:val="Akapitzlist"/>
        <w:numPr>
          <w:ilvl w:val="0"/>
          <w:numId w:val="52"/>
        </w:numPr>
        <w:spacing w:after="120" w:line="360" w:lineRule="auto"/>
        <w:jc w:val="both"/>
        <w:rPr>
          <w:rFonts w:ascii="Times New Roman" w:hAnsi="Times New Roman" w:cs="Times New Roman"/>
        </w:rPr>
      </w:pPr>
      <w:r w:rsidRPr="0023349B">
        <w:rPr>
          <w:rFonts w:ascii="Times New Roman" w:hAnsi="Times New Roman" w:cs="Times New Roman"/>
        </w:rPr>
        <w:t xml:space="preserve">Spadek poziomu bezrobocia dzięki lepszemu dostępowi do informacji o ofertach pracy, możliwości podejmowania zatrudnienia w formie telepracy oraz dzięki wzrostowi indywidualnej aktywności gospodarczej; </w:t>
      </w:r>
    </w:p>
    <w:p w:rsidR="0048012D" w:rsidRPr="0023349B" w:rsidRDefault="0048012D" w:rsidP="0023349B">
      <w:pPr>
        <w:pStyle w:val="Akapitzlist"/>
        <w:numPr>
          <w:ilvl w:val="0"/>
          <w:numId w:val="52"/>
        </w:numPr>
        <w:spacing w:after="120" w:line="360" w:lineRule="auto"/>
        <w:jc w:val="both"/>
        <w:rPr>
          <w:rFonts w:ascii="Times New Roman" w:hAnsi="Times New Roman" w:cs="Times New Roman"/>
        </w:rPr>
      </w:pPr>
      <w:r w:rsidRPr="0023349B">
        <w:rPr>
          <w:rFonts w:ascii="Times New Roman" w:hAnsi="Times New Roman" w:cs="Times New Roman"/>
        </w:rPr>
        <w:t xml:space="preserve">Wyrównanie szans edukacyjnych młodzieży poprzez zapewnienie dostępu do różnych form zdalnego nauczania i narzędzi samokształcenia; </w:t>
      </w:r>
    </w:p>
    <w:p w:rsidR="0048012D" w:rsidRPr="0023349B" w:rsidRDefault="0048012D" w:rsidP="0023349B">
      <w:pPr>
        <w:pStyle w:val="Akapitzlist"/>
        <w:numPr>
          <w:ilvl w:val="0"/>
          <w:numId w:val="52"/>
        </w:numPr>
        <w:spacing w:after="120" w:line="360" w:lineRule="auto"/>
        <w:jc w:val="both"/>
        <w:rPr>
          <w:rFonts w:ascii="Times New Roman" w:hAnsi="Times New Roman" w:cs="Times New Roman"/>
        </w:rPr>
      </w:pPr>
      <w:r w:rsidRPr="0023349B">
        <w:rPr>
          <w:rFonts w:ascii="Times New Roman" w:hAnsi="Times New Roman" w:cs="Times New Roman"/>
        </w:rPr>
        <w:t xml:space="preserve">Poprawa jakości życia mieszkańców poprzez udział w życiu kulturalnym w skali kraju i w skali globalnej; </w:t>
      </w:r>
    </w:p>
    <w:p w:rsidR="0048012D" w:rsidRPr="0023349B" w:rsidRDefault="0048012D" w:rsidP="0023349B">
      <w:pPr>
        <w:pStyle w:val="Akapitzlist"/>
        <w:numPr>
          <w:ilvl w:val="0"/>
          <w:numId w:val="52"/>
        </w:numPr>
        <w:spacing w:after="120" w:line="360" w:lineRule="auto"/>
        <w:jc w:val="both"/>
        <w:rPr>
          <w:rFonts w:ascii="Times New Roman" w:hAnsi="Times New Roman" w:cs="Times New Roman"/>
        </w:rPr>
      </w:pPr>
      <w:r w:rsidRPr="0023349B">
        <w:rPr>
          <w:rFonts w:ascii="Times New Roman" w:hAnsi="Times New Roman" w:cs="Times New Roman"/>
        </w:rPr>
        <w:t xml:space="preserve">Wzrost przychodów w pozostałych dziedzinach gospodarki w regionie (usługi, produkcja </w:t>
      </w:r>
      <w:r w:rsidR="00C47C60" w:rsidRPr="0023349B">
        <w:rPr>
          <w:rFonts w:ascii="Times New Roman" w:hAnsi="Times New Roman" w:cs="Times New Roman"/>
        </w:rPr>
        <w:t>–</w:t>
      </w:r>
      <w:r w:rsidRPr="0023349B">
        <w:rPr>
          <w:rFonts w:ascii="Times New Roman" w:hAnsi="Times New Roman" w:cs="Times New Roman"/>
        </w:rPr>
        <w:t xml:space="preserve"> zwłaszcza sektor SME) dzięki cyfryzacji procesów i zwiększonemu popytowi lokalnemu; </w:t>
      </w:r>
    </w:p>
    <w:p w:rsidR="0048012D" w:rsidRPr="0023349B" w:rsidRDefault="0048012D" w:rsidP="0023349B">
      <w:pPr>
        <w:pStyle w:val="Akapitzlist"/>
        <w:numPr>
          <w:ilvl w:val="0"/>
          <w:numId w:val="52"/>
        </w:numPr>
        <w:spacing w:after="240" w:line="360" w:lineRule="auto"/>
        <w:jc w:val="both"/>
        <w:rPr>
          <w:rFonts w:ascii="Times New Roman" w:hAnsi="Times New Roman" w:cs="Times New Roman"/>
        </w:rPr>
      </w:pPr>
      <w:r w:rsidRPr="0023349B">
        <w:rPr>
          <w:rFonts w:ascii="Times New Roman" w:hAnsi="Times New Roman" w:cs="Times New Roman"/>
        </w:rPr>
        <w:t xml:space="preserve">Wzrost dochodów mieszkańców regionu.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Znaczenie inwestycji w sieć telekomunikacyjną ujawniło się szczególnie wyraźnie w okresie pandemii COVID-19. Szerokopasmowa sieć telekomunikacyjna niejednokrotnie stanowiła warunek sine qua non wykonywania pracy czy uczestniczenia w zajęciach szkolnych czy akademickich. Brak dostępu do sieci telekomunikacyjnej wyłączał z tego rodzaju aktywności, czego skutkiem mogła być utrata pracy lub wykluczenie z dostępu do edukacji. Niedogodności tych doświadczyła w największym stopniu ta część społeczeństwa, która zamieszkuje na obszarach oddalonych od dużych skupisk ludności. „Zagęszczenie” szerokopasmowej sieci telekomunikacyjnej na tych obszarach jest jeszcze niewystarczające by osiągnąć strategiczne cele określone w Narodowym Planie Szerokopasmowym. </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Inwestycje w sieci telekomunikacyjne przewodowe na obszarach oddalonych od dużych skupisk ludności (zwłaszcza od miast) są ekonomicznie najmniej opłacalne dla operatorów telekomunikacyjnych. Liczba użytkowników nie jest znacząca, co w konsekwencji oznacza, iż operatorzy telekomunikacyjni nie osiągają istotnych wpływów z tytułu dostarczania sygnału telekomunikacyjnego do tego obszaru. Natomiast dotarcie do tej grupy użytkowników jest z technicznego punku widzenia kosztochłonne, gdyż wymaga wykonania długich i nie w pełni wykorzystanych odcinków sieci. Obserwuje się przy tym systematyczny spadek cen za usługi telekomunikacyjne, czego naturalną konsekwencją jest spadek przychodów osiąganych przez operatorów telekomunikacyjnych. Problemu relatywnie wysokich kosztów budowy infrastruktury telekomunikacyjnej w stosunku do nieproporcjonalnie niskich przychodów z tytułu świadczenia usług z wykorzystaniem tej infrastruktury na terenach słabo zurbanizowanych nie rozwiązuje do końca dofinansowanie ze środków unijnych. Ryzyko dodatkowego kosztu w postaci podatku od nieruchomości od kabla byłoby w wielu przypadkach na terenach zamieszkiwanych przez osoby o umiarkowanych dochodach czynnikiem decydującym o rezygnacji z realizacji linii kablowej, co w konsekwencji oznacza brak przewodowego dostępu do szerokopasmowych usług transmisji danych.</w:t>
      </w:r>
    </w:p>
    <w:p w:rsidR="0048012D" w:rsidRPr="0023349B" w:rsidRDefault="0048012D"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Mając powyższe na uwadze, należy stanowczo podkreślić, że wprowadzane unormowanie nie będzie miało negatywnego wpływu na budżety samorządów. Korzyści z dostępu do szybkich sieci szerokopasmowych, jak pokazują np. wskazane powyżej analizy, doprowadzą do wzrostu przychodów samorządów (z wielu źródeł). Obszary pozbawione dostępu do szybkiego </w:t>
      </w:r>
      <w:proofErr w:type="spellStart"/>
      <w:r w:rsidRPr="0023349B">
        <w:rPr>
          <w:rFonts w:ascii="Times New Roman" w:hAnsi="Times New Roman" w:cs="Times New Roman"/>
        </w:rPr>
        <w:t>internetu</w:t>
      </w:r>
      <w:proofErr w:type="spellEnd"/>
      <w:r w:rsidRPr="0023349B">
        <w:rPr>
          <w:rFonts w:ascii="Times New Roman" w:hAnsi="Times New Roman" w:cs="Times New Roman"/>
        </w:rPr>
        <w:t xml:space="preserve"> nie tylko nie uzyskają przychodów z tytułu posiadania na swoim obszarze takiej infrastruktury, ale muszą się także liczyć ze znaczącym spadkiem możliwości rozwojowych, brakiem zainteresowania ze strony inwestorów i wyludnianiem się danego obszaru. W konsekwencji brak szybkich sieci będzie negatywnie oddziaływał na daną jednostkę samorządu terytorialnego (w tym w zakresie finansowym).</w:t>
      </w:r>
    </w:p>
    <w:p w:rsidR="0048012D" w:rsidRPr="0023349B" w:rsidRDefault="0048012D"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Warto także zaznaczyć, że wyłączenie </w:t>
      </w:r>
      <w:proofErr w:type="spellStart"/>
      <w:r w:rsidRPr="0023349B">
        <w:rPr>
          <w:rFonts w:ascii="Times New Roman" w:hAnsi="Times New Roman" w:cs="Times New Roman"/>
        </w:rPr>
        <w:t>dowieszanych</w:t>
      </w:r>
      <w:proofErr w:type="spellEnd"/>
      <w:r w:rsidRPr="0023349B">
        <w:rPr>
          <w:rFonts w:ascii="Times New Roman" w:hAnsi="Times New Roman" w:cs="Times New Roman"/>
        </w:rPr>
        <w:t xml:space="preserve"> kabli telekomunikacyjnych z definicji obiektu liniowego, a w konsekwencji również z pojęcia budowli i obiektu budowlanego, nie pociąga za sobą nadmiernych </w:t>
      </w:r>
      <w:proofErr w:type="spellStart"/>
      <w:r w:rsidRPr="0023349B">
        <w:rPr>
          <w:rFonts w:ascii="Times New Roman" w:hAnsi="Times New Roman" w:cs="Times New Roman"/>
        </w:rPr>
        <w:t>ryzyk</w:t>
      </w:r>
      <w:proofErr w:type="spellEnd"/>
      <w:r w:rsidRPr="0023349B">
        <w:rPr>
          <w:rFonts w:ascii="Times New Roman" w:hAnsi="Times New Roman" w:cs="Times New Roman"/>
        </w:rPr>
        <w:t>. Instalacja tych kabli już teraz nie jest związana z koniecznością uzyskania pozwolenia na budowę lub dokonania zgłoszenia. Taki sam status od 10 lat mają kable, w tym również kable energetyczne, w kanalizacji kablowej i nie ujawniły się w tym czasie istotne ryzyka związane z ich wyłączeniem z zakresu Prawa budowlanego. Światłowodowe kable telekomunikacyjne nie stanowią istotnego zagrożenia dla ludzi i przyrody. Do zapewnienia należytej instalacji i utrzymania tych kabli wystarczą unormowania prawa cywilnego – umowy z dysponentami podbudowy nadziemnej, głównie kontrolowanymi przez Skarb Państwa przedsiębiorstwami energetycznymi, oraz przepisy regulujące ewentualną odpowiedzialność deliktową operatorów telekomunikacyjnych.</w:t>
      </w:r>
    </w:p>
    <w:p w:rsidR="00872563"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u w:val="single"/>
        </w:rPr>
        <w:t xml:space="preserve">Zmiana </w:t>
      </w:r>
      <w:r w:rsidR="00352EE5" w:rsidRPr="0023349B">
        <w:rPr>
          <w:rFonts w:ascii="Times New Roman" w:hAnsi="Times New Roman" w:cs="Times New Roman"/>
          <w:u w:val="single"/>
        </w:rPr>
        <w:t>2</w:t>
      </w:r>
      <w:r w:rsidRPr="0023349B">
        <w:rPr>
          <w:rFonts w:ascii="Times New Roman" w:hAnsi="Times New Roman" w:cs="Times New Roman"/>
          <w:u w:val="single"/>
        </w:rPr>
        <w:t>:</w:t>
      </w:r>
      <w:r w:rsidR="00953E52" w:rsidRPr="0023349B">
        <w:rPr>
          <w:rFonts w:ascii="Times New Roman" w:hAnsi="Times New Roman" w:cs="Times New Roman"/>
        </w:rPr>
        <w:t xml:space="preserve"> zmiana brzmienia art. 30 </w:t>
      </w:r>
      <w:r w:rsidR="00810CCB" w:rsidRPr="0023349B">
        <w:rPr>
          <w:rFonts w:ascii="Times New Roman" w:hAnsi="Times New Roman" w:cs="Times New Roman"/>
        </w:rPr>
        <w:t xml:space="preserve">ust. 5f i 5i </w:t>
      </w:r>
      <w:r w:rsidR="00953E52" w:rsidRPr="0023349B">
        <w:rPr>
          <w:rFonts w:ascii="Times New Roman" w:hAnsi="Times New Roman" w:cs="Times New Roman"/>
        </w:rPr>
        <w:t xml:space="preserve">oraz dodanie ust. 4d i 4e. </w:t>
      </w:r>
    </w:p>
    <w:p w:rsidR="00953E52" w:rsidRPr="0023349B" w:rsidRDefault="00016192" w:rsidP="0023349B">
      <w:pPr>
        <w:spacing w:after="120" w:line="360" w:lineRule="auto"/>
        <w:jc w:val="both"/>
        <w:rPr>
          <w:rFonts w:ascii="Times New Roman" w:hAnsi="Times New Roman" w:cs="Times New Roman"/>
        </w:rPr>
      </w:pPr>
      <w:r w:rsidRPr="0023349B">
        <w:rPr>
          <w:rFonts w:ascii="Times New Roman" w:hAnsi="Times New Roman" w:cs="Times New Roman"/>
        </w:rPr>
        <w:t>Proponowana z</w:t>
      </w:r>
      <w:r w:rsidR="00953E52" w:rsidRPr="0023349B">
        <w:rPr>
          <w:rFonts w:ascii="Times New Roman" w:hAnsi="Times New Roman" w:cs="Times New Roman"/>
        </w:rPr>
        <w:t>miana umożliwi dokonywanie zgłoszeń robót budowlanych przez Internet (z wyjątkiem tych zgłoszeń, do których konieczne jest dołączenie projektu zagospodarowania działki lub terenu lub projektu</w:t>
      </w:r>
      <w:r w:rsidR="00872563" w:rsidRPr="0023349B">
        <w:rPr>
          <w:rFonts w:ascii="Times New Roman" w:hAnsi="Times New Roman" w:cs="Times New Roman"/>
        </w:rPr>
        <w:t xml:space="preserve"> architektoniczno-budowlanego).</w:t>
      </w:r>
    </w:p>
    <w:p w:rsidR="00953E52" w:rsidRPr="0023349B" w:rsidRDefault="00953E52"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Zgłoszenie będzie można dokonać w łatwy sposób poprzez stronę rządową, na której będzie udostępniony tworzony w Głównym Urzędzie Nadzoru Budowlanego generator wniosków (generator obecnie jest już w fazie testowania). </w:t>
      </w:r>
    </w:p>
    <w:p w:rsidR="000B4247"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rPr>
        <w:t>Poprawka legislacyjna polegająca na zmianie brzmienia ust. 5f ma na celu wprowadzenie zmian redakcyjnych do ustawy z dnia 7 lipca 1994 r. – Prawo budowlane wynikających ze zmian wprowadzonych do tej ustawy ustawą z dnia 16 kwietnia 2020 r. o szczególnych instrumentach wsparcia w związku z rozprzestrzenianiem się wirusa SARS-CoV-2 (Dz. U. poz. 695). Wchodząca w dniu 19 września 2020 r. ustawa z dni 13 lutego 2020 r. o zmianie ustawy – Prawo budowlane oraz niektórych innych ustaw zmienia brzmienie art. 29 i 30 ustawy – Prawo budowlane. Zatem, w celu zachowania zmian przewidzianych ustawą z dnia 16 kwietnia 2020 r. w zakresie realizacji przenośnych masztów antenowych należy wprowadzić zaproponowane poprawki.</w:t>
      </w:r>
    </w:p>
    <w:p w:rsidR="000B4247"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rPr>
        <w:t>Poprawka legislacyjna polegająca na zmianie brzmienia ust. 5i ma na celu wprowadzenie zmian redakcyjnych do ustawy z dnia 7 lipca 1994 r. – Prawo budowlane wynikających ze zmian wprowadzonych do tej ustawy ustawą z dnia 19 czerwca 2020 r. o dopłatach do oprocentowania kredytów bankowych udzielanych przedsiębiorcom dotkniętym skutkami COVID-19 oraz o uproszczonym postępowaniu o zatwierdzenie układu w związku z wystąpieniem COVID-19 (Dz. U. poz. 1086). Wchodząca w dniu 19 września 2020 r. ustawa z dnia 13 lutego 2020 r. o zmianie ustawy – Prawo budowlane oraz niektórych innych ustaw zmienia brzmienie art. 29 i 30 Prawo budowlane. Zatem, w celu korekty odesłań do przepisów Prawa budowlanego przewidzianych w przepisach zmieniających Prawo budowlane w ustawie z dnia 19 czerwca 2020 r. w zakresie realizacji przenośnych masztów antenowych należy wprowadzić zaproponowaną poprawką.</w:t>
      </w:r>
    </w:p>
    <w:p w:rsidR="000B4247" w:rsidRPr="0023349B" w:rsidRDefault="003817FD" w:rsidP="0023349B">
      <w:pPr>
        <w:spacing w:after="240" w:line="360" w:lineRule="auto"/>
        <w:jc w:val="both"/>
        <w:rPr>
          <w:rFonts w:ascii="Times New Roman" w:hAnsi="Times New Roman" w:cs="Times New Roman"/>
        </w:rPr>
      </w:pPr>
      <w:r w:rsidRPr="0023349B">
        <w:rPr>
          <w:rFonts w:ascii="Times New Roman" w:hAnsi="Times New Roman" w:cs="Times New Roman"/>
          <w:u w:val="single"/>
        </w:rPr>
        <w:t xml:space="preserve">Zmiana </w:t>
      </w:r>
      <w:r w:rsidR="00352EE5" w:rsidRPr="0023349B">
        <w:rPr>
          <w:rFonts w:ascii="Times New Roman" w:hAnsi="Times New Roman" w:cs="Times New Roman"/>
          <w:u w:val="single"/>
        </w:rPr>
        <w:t>3</w:t>
      </w:r>
      <w:r w:rsidR="00970012" w:rsidRPr="0023349B">
        <w:rPr>
          <w:rFonts w:ascii="Times New Roman" w:hAnsi="Times New Roman" w:cs="Times New Roman"/>
          <w:u w:val="single"/>
        </w:rPr>
        <w:t xml:space="preserve">, </w:t>
      </w:r>
      <w:r w:rsidR="00352EE5" w:rsidRPr="0023349B">
        <w:rPr>
          <w:rFonts w:ascii="Times New Roman" w:hAnsi="Times New Roman" w:cs="Times New Roman"/>
          <w:u w:val="single"/>
        </w:rPr>
        <w:t>6</w:t>
      </w:r>
      <w:r w:rsidR="00112916" w:rsidRPr="0023349B">
        <w:rPr>
          <w:rFonts w:ascii="Times New Roman" w:hAnsi="Times New Roman" w:cs="Times New Roman"/>
          <w:u w:val="single"/>
        </w:rPr>
        <w:t xml:space="preserve"> i </w:t>
      </w:r>
      <w:r w:rsidR="00352EE5" w:rsidRPr="0023349B">
        <w:rPr>
          <w:rFonts w:ascii="Times New Roman" w:hAnsi="Times New Roman" w:cs="Times New Roman"/>
          <w:u w:val="single"/>
        </w:rPr>
        <w:t>7</w:t>
      </w:r>
      <w:r w:rsidRPr="0023349B">
        <w:rPr>
          <w:rFonts w:ascii="Times New Roman" w:hAnsi="Times New Roman" w:cs="Times New Roman"/>
          <w:u w:val="single"/>
        </w:rPr>
        <w:t>:</w:t>
      </w:r>
      <w:r w:rsidRPr="0023349B">
        <w:rPr>
          <w:rFonts w:ascii="Times New Roman" w:hAnsi="Times New Roman" w:cs="Times New Roman"/>
        </w:rPr>
        <w:t xml:space="preserve"> </w:t>
      </w:r>
      <w:r w:rsidR="00016192" w:rsidRPr="0023349B">
        <w:rPr>
          <w:rFonts w:ascii="Times New Roman" w:hAnsi="Times New Roman" w:cs="Times New Roman"/>
        </w:rPr>
        <w:t>dodanie art. 30b, uchylenie art. 33 ust. 4, zmiana brzmienia art. 39 ust. 2</w:t>
      </w:r>
    </w:p>
    <w:p w:rsidR="000B4247" w:rsidRPr="0023349B" w:rsidRDefault="00016192"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Dodanie art. 30b </w:t>
      </w:r>
      <w:r w:rsidR="003817FD" w:rsidRPr="0023349B">
        <w:rPr>
          <w:rFonts w:ascii="Times New Roman" w:hAnsi="Times New Roman" w:cs="Times New Roman"/>
        </w:rPr>
        <w:t>umożliwi składanie wniosków o pozwolenie na rozbiórkę przez Internet (za pomocą generatora wniosków). Aby jednak to uregulować, konieczne jest doregulowanie sprawy pozwolenia na rozbiórkę. Doregulowanie ma charakter redakcyjny i porządkowy. Nie zmienia merytorycznie spraw pozwolenia na rozbiórkę.</w:t>
      </w:r>
    </w:p>
    <w:p w:rsidR="000B4247" w:rsidRPr="0023349B" w:rsidRDefault="00970012"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Zmiany w pkt </w:t>
      </w:r>
      <w:r w:rsidR="00352EE5" w:rsidRPr="0023349B">
        <w:rPr>
          <w:rFonts w:ascii="Times New Roman" w:hAnsi="Times New Roman" w:cs="Times New Roman"/>
        </w:rPr>
        <w:t>6</w:t>
      </w:r>
      <w:r w:rsidR="00112916" w:rsidRPr="0023349B">
        <w:rPr>
          <w:rFonts w:ascii="Times New Roman" w:hAnsi="Times New Roman" w:cs="Times New Roman"/>
        </w:rPr>
        <w:t xml:space="preserve"> i 7</w:t>
      </w:r>
      <w:r w:rsidR="00016192" w:rsidRPr="0023349B">
        <w:rPr>
          <w:rFonts w:ascii="Times New Roman" w:hAnsi="Times New Roman" w:cs="Times New Roman"/>
        </w:rPr>
        <w:t>, tj. dotyczące art. 33 ust. 4</w:t>
      </w:r>
      <w:r w:rsidR="00112916" w:rsidRPr="0023349B">
        <w:rPr>
          <w:rFonts w:ascii="Times New Roman" w:hAnsi="Times New Roman" w:cs="Times New Roman"/>
        </w:rPr>
        <w:t xml:space="preserve"> oraz </w:t>
      </w:r>
      <w:r w:rsidR="00016192" w:rsidRPr="0023349B">
        <w:rPr>
          <w:rFonts w:ascii="Times New Roman" w:hAnsi="Times New Roman" w:cs="Times New Roman"/>
        </w:rPr>
        <w:t xml:space="preserve">art. 39 ust. 2 </w:t>
      </w:r>
      <w:r w:rsidRPr="0023349B">
        <w:rPr>
          <w:rFonts w:ascii="Times New Roman" w:hAnsi="Times New Roman" w:cs="Times New Roman"/>
        </w:rPr>
        <w:t xml:space="preserve">są konsekwencją zmiany </w:t>
      </w:r>
      <w:r w:rsidR="00112916" w:rsidRPr="0023349B">
        <w:rPr>
          <w:rFonts w:ascii="Times New Roman" w:hAnsi="Times New Roman" w:cs="Times New Roman"/>
        </w:rPr>
        <w:t>3</w:t>
      </w:r>
      <w:r w:rsidRPr="0023349B">
        <w:rPr>
          <w:rFonts w:ascii="Times New Roman" w:hAnsi="Times New Roman" w:cs="Times New Roman"/>
        </w:rPr>
        <w:t>.</w:t>
      </w:r>
    </w:p>
    <w:p w:rsidR="000B4247" w:rsidRPr="0023349B" w:rsidRDefault="003817FD" w:rsidP="0023349B">
      <w:pPr>
        <w:spacing w:after="240" w:line="360" w:lineRule="auto"/>
        <w:jc w:val="both"/>
        <w:rPr>
          <w:rFonts w:ascii="Times New Roman" w:hAnsi="Times New Roman" w:cs="Times New Roman"/>
        </w:rPr>
      </w:pPr>
      <w:r w:rsidRPr="0023349B">
        <w:rPr>
          <w:rFonts w:ascii="Times New Roman" w:hAnsi="Times New Roman" w:cs="Times New Roman"/>
          <w:u w:val="single"/>
        </w:rPr>
        <w:t xml:space="preserve">Zmiana </w:t>
      </w:r>
      <w:r w:rsidR="00352EE5" w:rsidRPr="0023349B">
        <w:rPr>
          <w:rFonts w:ascii="Times New Roman" w:hAnsi="Times New Roman" w:cs="Times New Roman"/>
          <w:u w:val="single"/>
        </w:rPr>
        <w:t>4</w:t>
      </w:r>
      <w:r w:rsidRPr="0023349B">
        <w:rPr>
          <w:rFonts w:ascii="Times New Roman" w:hAnsi="Times New Roman" w:cs="Times New Roman"/>
          <w:u w:val="single"/>
        </w:rPr>
        <w:t>:</w:t>
      </w:r>
      <w:r w:rsidRPr="0023349B">
        <w:rPr>
          <w:rFonts w:ascii="Times New Roman" w:hAnsi="Times New Roman" w:cs="Times New Roman"/>
        </w:rPr>
        <w:t xml:space="preserve"> zmiany </w:t>
      </w:r>
      <w:r w:rsidR="00A109C9" w:rsidRPr="0023349B">
        <w:rPr>
          <w:rFonts w:ascii="Times New Roman" w:hAnsi="Times New Roman" w:cs="Times New Roman"/>
        </w:rPr>
        <w:t xml:space="preserve">brzmienia </w:t>
      </w:r>
      <w:r w:rsidRPr="0023349B">
        <w:rPr>
          <w:rFonts w:ascii="Times New Roman" w:hAnsi="Times New Roman" w:cs="Times New Roman"/>
        </w:rPr>
        <w:t>art. 31</w:t>
      </w:r>
      <w:r w:rsidR="00016192" w:rsidRPr="0023349B">
        <w:rPr>
          <w:rFonts w:ascii="Times New Roman" w:hAnsi="Times New Roman" w:cs="Times New Roman"/>
        </w:rPr>
        <w:t xml:space="preserve"> ust</w:t>
      </w:r>
      <w:r w:rsidR="00112916" w:rsidRPr="0023349B">
        <w:rPr>
          <w:rFonts w:ascii="Times New Roman" w:hAnsi="Times New Roman" w:cs="Times New Roman"/>
        </w:rPr>
        <w:t>.</w:t>
      </w:r>
      <w:r w:rsidR="00016192" w:rsidRPr="0023349B">
        <w:rPr>
          <w:rFonts w:ascii="Times New Roman" w:hAnsi="Times New Roman" w:cs="Times New Roman"/>
        </w:rPr>
        <w:t xml:space="preserve"> 2 i 3, dodanie ust. 1a</w:t>
      </w:r>
      <w:r w:rsidR="00C47C60" w:rsidRPr="0023349B">
        <w:rPr>
          <w:rFonts w:ascii="Times New Roman" w:hAnsi="Times New Roman" w:cs="Times New Roman"/>
        </w:rPr>
        <w:t>–</w:t>
      </w:r>
      <w:r w:rsidR="00016192" w:rsidRPr="0023349B">
        <w:rPr>
          <w:rFonts w:ascii="Times New Roman" w:hAnsi="Times New Roman" w:cs="Times New Roman"/>
        </w:rPr>
        <w:t>1d, uchylenie ust. 2a i 5.</w:t>
      </w:r>
    </w:p>
    <w:p w:rsidR="000B4247" w:rsidRPr="0023349B" w:rsidRDefault="00CA09C4" w:rsidP="0023349B">
      <w:pPr>
        <w:spacing w:after="240" w:line="360" w:lineRule="auto"/>
        <w:jc w:val="both"/>
        <w:rPr>
          <w:rFonts w:ascii="Times New Roman" w:hAnsi="Times New Roman" w:cs="Times New Roman"/>
        </w:rPr>
      </w:pPr>
      <w:r w:rsidRPr="0023349B">
        <w:rPr>
          <w:rFonts w:ascii="Times New Roman" w:hAnsi="Times New Roman" w:cs="Times New Roman"/>
        </w:rPr>
        <w:t>Zmiany</w:t>
      </w:r>
      <w:r w:rsidR="003817FD" w:rsidRPr="0023349B">
        <w:rPr>
          <w:rFonts w:ascii="Times New Roman" w:hAnsi="Times New Roman" w:cs="Times New Roman"/>
        </w:rPr>
        <w:t xml:space="preserve"> umożliwi</w:t>
      </w:r>
      <w:r w:rsidR="00016192" w:rsidRPr="0023349B">
        <w:rPr>
          <w:rFonts w:ascii="Times New Roman" w:hAnsi="Times New Roman" w:cs="Times New Roman"/>
        </w:rPr>
        <w:t>ą</w:t>
      </w:r>
      <w:r w:rsidR="003817FD" w:rsidRPr="0023349B">
        <w:rPr>
          <w:rFonts w:ascii="Times New Roman" w:hAnsi="Times New Roman" w:cs="Times New Roman"/>
        </w:rPr>
        <w:t xml:space="preserve"> dokonywanie zgłoszeń rozbiórki przez Internet za pomocą generatora wniosków. Aby jednak to uregulować, konieczne są zmiany redakcyjne art. 31 dotyczącego zgłoszeń rozbiórki. Doregulowanie ma charakter redakcyjny i porządkowy. Nie zmienia merytorycznie spraw zgłoszenia rozbiórki.</w:t>
      </w:r>
    </w:p>
    <w:p w:rsidR="000B4247"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u w:val="single"/>
        </w:rPr>
        <w:t xml:space="preserve">Zmiana </w:t>
      </w:r>
      <w:r w:rsidR="00352EE5" w:rsidRPr="0023349B">
        <w:rPr>
          <w:rFonts w:ascii="Times New Roman" w:hAnsi="Times New Roman" w:cs="Times New Roman"/>
          <w:u w:val="single"/>
        </w:rPr>
        <w:t>5</w:t>
      </w:r>
      <w:r w:rsidR="00CA09C4" w:rsidRPr="0023349B">
        <w:rPr>
          <w:rFonts w:ascii="Times New Roman" w:hAnsi="Times New Roman" w:cs="Times New Roman"/>
          <w:u w:val="single"/>
        </w:rPr>
        <w:t xml:space="preserve"> i 1</w:t>
      </w:r>
      <w:r w:rsidR="00112916" w:rsidRPr="0023349B">
        <w:rPr>
          <w:rFonts w:ascii="Times New Roman" w:hAnsi="Times New Roman" w:cs="Times New Roman"/>
          <w:u w:val="single"/>
        </w:rPr>
        <w:t>2</w:t>
      </w:r>
      <w:r w:rsidRPr="0023349B">
        <w:rPr>
          <w:rFonts w:ascii="Times New Roman" w:hAnsi="Times New Roman" w:cs="Times New Roman"/>
          <w:u w:val="single"/>
        </w:rPr>
        <w:t>:</w:t>
      </w:r>
      <w:r w:rsidR="00953E52" w:rsidRPr="0023349B">
        <w:rPr>
          <w:rFonts w:ascii="Times New Roman" w:hAnsi="Times New Roman" w:cs="Times New Roman"/>
        </w:rPr>
        <w:t xml:space="preserve"> dodanie art. 31a</w:t>
      </w:r>
      <w:r w:rsidR="00CA09C4" w:rsidRPr="0023349B">
        <w:rPr>
          <w:rFonts w:ascii="Times New Roman" w:hAnsi="Times New Roman" w:cs="Times New Roman"/>
        </w:rPr>
        <w:t xml:space="preserve"> oraz zmiana brzmienia art. 93 pkt 3.</w:t>
      </w:r>
    </w:p>
    <w:p w:rsidR="000B4247" w:rsidRPr="0023349B" w:rsidRDefault="00CA09C4"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Zmiany są </w:t>
      </w:r>
      <w:r w:rsidR="00953E52" w:rsidRPr="0023349B">
        <w:rPr>
          <w:rFonts w:ascii="Times New Roman" w:hAnsi="Times New Roman" w:cs="Times New Roman"/>
        </w:rPr>
        <w:t>konsekwencją zmian w art. 30b i art. 31.</w:t>
      </w:r>
    </w:p>
    <w:p w:rsidR="00970012"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u w:val="single"/>
        </w:rPr>
        <w:t xml:space="preserve">Zmiana </w:t>
      </w:r>
      <w:r w:rsidR="00352EE5" w:rsidRPr="0023349B">
        <w:rPr>
          <w:rFonts w:ascii="Times New Roman" w:hAnsi="Times New Roman" w:cs="Times New Roman"/>
          <w:u w:val="single"/>
        </w:rPr>
        <w:t>8</w:t>
      </w:r>
      <w:r w:rsidRPr="0023349B">
        <w:rPr>
          <w:rFonts w:ascii="Times New Roman" w:hAnsi="Times New Roman" w:cs="Times New Roman"/>
          <w:u w:val="single"/>
        </w:rPr>
        <w:t>:</w:t>
      </w:r>
      <w:r w:rsidR="008A0DAF" w:rsidRPr="0023349B">
        <w:rPr>
          <w:rFonts w:ascii="Times New Roman" w:hAnsi="Times New Roman" w:cs="Times New Roman"/>
        </w:rPr>
        <w:t xml:space="preserve"> zmian</w:t>
      </w:r>
      <w:r w:rsidR="009A4155" w:rsidRPr="0023349B">
        <w:rPr>
          <w:rFonts w:ascii="Times New Roman" w:hAnsi="Times New Roman" w:cs="Times New Roman"/>
        </w:rPr>
        <w:t>a brzmienia</w:t>
      </w:r>
      <w:r w:rsidR="008A0DAF" w:rsidRPr="0023349B">
        <w:rPr>
          <w:rFonts w:ascii="Times New Roman" w:hAnsi="Times New Roman" w:cs="Times New Roman"/>
        </w:rPr>
        <w:t xml:space="preserve"> art. 40</w:t>
      </w:r>
      <w:r w:rsidR="009A4155" w:rsidRPr="0023349B">
        <w:rPr>
          <w:rFonts w:ascii="Times New Roman" w:hAnsi="Times New Roman" w:cs="Times New Roman"/>
        </w:rPr>
        <w:t xml:space="preserve"> ust. 2 i 4</w:t>
      </w:r>
      <w:r w:rsidR="00112916" w:rsidRPr="0023349B">
        <w:rPr>
          <w:rFonts w:ascii="Times New Roman" w:hAnsi="Times New Roman" w:cs="Times New Roman"/>
        </w:rPr>
        <w:t xml:space="preserve"> oraz </w:t>
      </w:r>
      <w:r w:rsidR="009A4155" w:rsidRPr="0023349B">
        <w:rPr>
          <w:rFonts w:ascii="Times New Roman" w:hAnsi="Times New Roman" w:cs="Times New Roman"/>
        </w:rPr>
        <w:t>dodanie ust. 5</w:t>
      </w:r>
      <w:r w:rsidR="00C47C60" w:rsidRPr="0023349B">
        <w:rPr>
          <w:rFonts w:ascii="Times New Roman" w:hAnsi="Times New Roman" w:cs="Times New Roman"/>
        </w:rPr>
        <w:t>–</w:t>
      </w:r>
      <w:r w:rsidR="009A4155" w:rsidRPr="0023349B">
        <w:rPr>
          <w:rFonts w:ascii="Times New Roman" w:hAnsi="Times New Roman" w:cs="Times New Roman"/>
        </w:rPr>
        <w:t>7</w:t>
      </w:r>
      <w:r w:rsidR="008A0DAF" w:rsidRPr="0023349B">
        <w:rPr>
          <w:rFonts w:ascii="Times New Roman" w:hAnsi="Times New Roman" w:cs="Times New Roman"/>
        </w:rPr>
        <w:t xml:space="preserve">. </w:t>
      </w:r>
    </w:p>
    <w:p w:rsidR="000B4247" w:rsidRPr="0023349B" w:rsidRDefault="00CA09C4" w:rsidP="0023349B">
      <w:pPr>
        <w:spacing w:line="360" w:lineRule="auto"/>
        <w:jc w:val="both"/>
        <w:rPr>
          <w:rFonts w:ascii="Times New Roman" w:hAnsi="Times New Roman" w:cs="Times New Roman"/>
        </w:rPr>
      </w:pPr>
      <w:r w:rsidRPr="0023349B">
        <w:rPr>
          <w:rFonts w:ascii="Times New Roman" w:hAnsi="Times New Roman" w:cs="Times New Roman"/>
        </w:rPr>
        <w:t>Proponowana zmiana</w:t>
      </w:r>
      <w:r w:rsidR="008A0DAF" w:rsidRPr="0023349B">
        <w:rPr>
          <w:rFonts w:ascii="Times New Roman" w:hAnsi="Times New Roman" w:cs="Times New Roman"/>
        </w:rPr>
        <w:t xml:space="preserve"> umożliwi składani</w:t>
      </w:r>
      <w:r w:rsidR="00AA4613" w:rsidRPr="0023349B">
        <w:rPr>
          <w:rFonts w:ascii="Times New Roman" w:hAnsi="Times New Roman" w:cs="Times New Roman"/>
        </w:rPr>
        <w:t>e</w:t>
      </w:r>
      <w:r w:rsidR="008A0DAF" w:rsidRPr="0023349B">
        <w:rPr>
          <w:rFonts w:ascii="Times New Roman" w:hAnsi="Times New Roman" w:cs="Times New Roman"/>
        </w:rPr>
        <w:t xml:space="preserve"> przez Internet wniosków o przeniesienie:</w:t>
      </w:r>
    </w:p>
    <w:p w:rsidR="000B4247" w:rsidRPr="0023349B" w:rsidRDefault="00970012" w:rsidP="0023349B">
      <w:pPr>
        <w:spacing w:line="360" w:lineRule="auto"/>
        <w:jc w:val="both"/>
        <w:rPr>
          <w:rFonts w:ascii="Times New Roman" w:hAnsi="Times New Roman" w:cs="Times New Roman"/>
        </w:rPr>
      </w:pPr>
      <w:r w:rsidRPr="0023349B">
        <w:rPr>
          <w:rFonts w:ascii="Times New Roman" w:hAnsi="Times New Roman" w:cs="Times New Roman"/>
        </w:rPr>
        <w:t xml:space="preserve">1) </w:t>
      </w:r>
      <w:r w:rsidR="008A0DAF" w:rsidRPr="0023349B">
        <w:rPr>
          <w:rFonts w:ascii="Times New Roman" w:hAnsi="Times New Roman" w:cs="Times New Roman"/>
        </w:rPr>
        <w:t>decyzji o pozwoleniu na budowę,</w:t>
      </w:r>
    </w:p>
    <w:p w:rsidR="000B4247" w:rsidRPr="0023349B" w:rsidRDefault="00970012" w:rsidP="0023349B">
      <w:pPr>
        <w:spacing w:line="360" w:lineRule="auto"/>
        <w:jc w:val="both"/>
        <w:rPr>
          <w:rFonts w:ascii="Times New Roman" w:hAnsi="Times New Roman" w:cs="Times New Roman"/>
        </w:rPr>
      </w:pPr>
      <w:r w:rsidRPr="0023349B">
        <w:rPr>
          <w:rFonts w:ascii="Times New Roman" w:hAnsi="Times New Roman" w:cs="Times New Roman"/>
        </w:rPr>
        <w:t>2)</w:t>
      </w:r>
      <w:r w:rsidR="009A4155" w:rsidRPr="0023349B">
        <w:rPr>
          <w:rFonts w:ascii="Times New Roman" w:hAnsi="Times New Roman" w:cs="Times New Roman"/>
        </w:rPr>
        <w:t xml:space="preserve"> </w:t>
      </w:r>
      <w:r w:rsidR="008A0DAF" w:rsidRPr="0023349B">
        <w:rPr>
          <w:rFonts w:ascii="Times New Roman" w:hAnsi="Times New Roman" w:cs="Times New Roman"/>
        </w:rPr>
        <w:t>decyzji o pozwoleniu na wznowienie robót budowlanych, o której mowa w art. 51 ust. 4,</w:t>
      </w:r>
    </w:p>
    <w:p w:rsidR="008A0DAF" w:rsidRPr="0023349B" w:rsidRDefault="00970012" w:rsidP="0023349B">
      <w:pPr>
        <w:spacing w:after="240" w:line="360" w:lineRule="auto"/>
        <w:jc w:val="both"/>
        <w:rPr>
          <w:rFonts w:ascii="Times New Roman" w:hAnsi="Times New Roman" w:cs="Times New Roman"/>
        </w:rPr>
      </w:pPr>
      <w:r w:rsidRPr="0023349B">
        <w:rPr>
          <w:rFonts w:ascii="Times New Roman" w:hAnsi="Times New Roman" w:cs="Times New Roman"/>
        </w:rPr>
        <w:t>3)</w:t>
      </w:r>
      <w:r w:rsidR="009A4155" w:rsidRPr="0023349B">
        <w:rPr>
          <w:rFonts w:ascii="Times New Roman" w:hAnsi="Times New Roman" w:cs="Times New Roman"/>
        </w:rPr>
        <w:t xml:space="preserve"> </w:t>
      </w:r>
      <w:r w:rsidR="008A0DAF" w:rsidRPr="0023349B">
        <w:rPr>
          <w:rFonts w:ascii="Times New Roman" w:hAnsi="Times New Roman" w:cs="Times New Roman"/>
        </w:rPr>
        <w:t>praw i obowiązków wynikających ze zgłoszenia, wobec którego organ nie wniósł sprzeciwu</w:t>
      </w:r>
    </w:p>
    <w:p w:rsidR="00970012" w:rsidRPr="0023349B" w:rsidRDefault="008A0DAF"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Jednocześnie doprecyzowuje się art. 40 ust. 2 i 4 poprzez odesłanie do ust. 1a. Jest to istotne </w:t>
      </w:r>
      <w:r w:rsidR="009A4155" w:rsidRPr="0023349B">
        <w:rPr>
          <w:rFonts w:ascii="Times New Roman" w:hAnsi="Times New Roman" w:cs="Times New Roman"/>
        </w:rPr>
        <w:t xml:space="preserve">dla prawidłowego stworzenia </w:t>
      </w:r>
      <w:r w:rsidRPr="0023349B">
        <w:rPr>
          <w:rFonts w:ascii="Times New Roman" w:hAnsi="Times New Roman" w:cs="Times New Roman"/>
        </w:rPr>
        <w:t>jednolitych elektronicznych formularzy dla tych wniosków.</w:t>
      </w:r>
    </w:p>
    <w:p w:rsidR="00970012"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u w:val="single"/>
        </w:rPr>
        <w:t xml:space="preserve">Zmiana </w:t>
      </w:r>
      <w:r w:rsidR="00352EE5" w:rsidRPr="0023349B">
        <w:rPr>
          <w:rFonts w:ascii="Times New Roman" w:hAnsi="Times New Roman" w:cs="Times New Roman"/>
          <w:u w:val="single"/>
        </w:rPr>
        <w:t>9</w:t>
      </w:r>
      <w:r w:rsidRPr="0023349B">
        <w:rPr>
          <w:rFonts w:ascii="Times New Roman" w:hAnsi="Times New Roman" w:cs="Times New Roman"/>
          <w:u w:val="single"/>
        </w:rPr>
        <w:t>:</w:t>
      </w:r>
      <w:r w:rsidR="008A0DAF" w:rsidRPr="0023349B">
        <w:rPr>
          <w:rFonts w:ascii="Times New Roman" w:hAnsi="Times New Roman" w:cs="Times New Roman"/>
        </w:rPr>
        <w:t xml:space="preserve"> </w:t>
      </w:r>
      <w:r w:rsidR="00AA4613" w:rsidRPr="0023349B">
        <w:rPr>
          <w:rFonts w:ascii="Times New Roman" w:hAnsi="Times New Roman" w:cs="Times New Roman"/>
        </w:rPr>
        <w:t xml:space="preserve">dodanie w art. 41 </w:t>
      </w:r>
      <w:r w:rsidR="009A4155" w:rsidRPr="0023349B">
        <w:rPr>
          <w:rFonts w:ascii="Times New Roman" w:hAnsi="Times New Roman" w:cs="Times New Roman"/>
        </w:rPr>
        <w:t>ust. 4b</w:t>
      </w:r>
      <w:r w:rsidR="00C47C60" w:rsidRPr="0023349B">
        <w:rPr>
          <w:rFonts w:ascii="Times New Roman" w:hAnsi="Times New Roman" w:cs="Times New Roman"/>
        </w:rPr>
        <w:t>–</w:t>
      </w:r>
      <w:r w:rsidR="009A4155" w:rsidRPr="0023349B">
        <w:rPr>
          <w:rFonts w:ascii="Times New Roman" w:hAnsi="Times New Roman" w:cs="Times New Roman"/>
        </w:rPr>
        <w:t>4d</w:t>
      </w:r>
      <w:r w:rsidR="00970012" w:rsidRPr="0023349B">
        <w:rPr>
          <w:rFonts w:ascii="Times New Roman" w:hAnsi="Times New Roman" w:cs="Times New Roman"/>
        </w:rPr>
        <w:t>.</w:t>
      </w:r>
    </w:p>
    <w:p w:rsidR="008A0DAF" w:rsidRPr="0023349B" w:rsidRDefault="00CA09C4" w:rsidP="0023349B">
      <w:pPr>
        <w:spacing w:after="240" w:line="360" w:lineRule="auto"/>
        <w:jc w:val="both"/>
        <w:rPr>
          <w:rFonts w:ascii="Times New Roman" w:hAnsi="Times New Roman" w:cs="Times New Roman"/>
        </w:rPr>
      </w:pPr>
      <w:r w:rsidRPr="0023349B">
        <w:rPr>
          <w:rFonts w:ascii="Times New Roman" w:hAnsi="Times New Roman" w:cs="Times New Roman"/>
        </w:rPr>
        <w:t>Zmiana</w:t>
      </w:r>
      <w:r w:rsidR="008A0DAF" w:rsidRPr="0023349B">
        <w:rPr>
          <w:rFonts w:ascii="Times New Roman" w:hAnsi="Times New Roman" w:cs="Times New Roman"/>
        </w:rPr>
        <w:t xml:space="preserve"> umożliwi dokonywanie zawiadomień o terminie rozpoczęcia robót budowlanych przez Internet (za pomocą generatora wniosków). </w:t>
      </w:r>
    </w:p>
    <w:p w:rsidR="000B4247"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u w:val="single"/>
        </w:rPr>
        <w:t>Zmiana 1</w:t>
      </w:r>
      <w:r w:rsidR="00AA4613" w:rsidRPr="0023349B">
        <w:rPr>
          <w:rFonts w:ascii="Times New Roman" w:hAnsi="Times New Roman" w:cs="Times New Roman"/>
          <w:u w:val="single"/>
        </w:rPr>
        <w:t>0</w:t>
      </w:r>
      <w:r w:rsidRPr="0023349B">
        <w:rPr>
          <w:rFonts w:ascii="Times New Roman" w:hAnsi="Times New Roman" w:cs="Times New Roman"/>
          <w:u w:val="single"/>
        </w:rPr>
        <w:t>:</w:t>
      </w:r>
      <w:r w:rsidR="00A36654" w:rsidRPr="0023349B">
        <w:rPr>
          <w:rFonts w:ascii="Times New Roman" w:hAnsi="Times New Roman" w:cs="Times New Roman"/>
        </w:rPr>
        <w:t xml:space="preserve"> </w:t>
      </w:r>
      <w:r w:rsidR="009A4155" w:rsidRPr="0023349B">
        <w:rPr>
          <w:rFonts w:ascii="Times New Roman" w:hAnsi="Times New Roman" w:cs="Times New Roman"/>
        </w:rPr>
        <w:t>dodanie w</w:t>
      </w:r>
      <w:r w:rsidR="00A36654" w:rsidRPr="0023349B">
        <w:rPr>
          <w:rFonts w:ascii="Times New Roman" w:hAnsi="Times New Roman" w:cs="Times New Roman"/>
        </w:rPr>
        <w:t xml:space="preserve"> art. 47</w:t>
      </w:r>
      <w:r w:rsidR="009A4155" w:rsidRPr="0023349B">
        <w:rPr>
          <w:rFonts w:ascii="Times New Roman" w:hAnsi="Times New Roman" w:cs="Times New Roman"/>
        </w:rPr>
        <w:t xml:space="preserve"> ust. 2a</w:t>
      </w:r>
      <w:r w:rsidR="00C47C60" w:rsidRPr="0023349B">
        <w:rPr>
          <w:rFonts w:ascii="Times New Roman" w:hAnsi="Times New Roman" w:cs="Times New Roman"/>
        </w:rPr>
        <w:t>–</w:t>
      </w:r>
      <w:r w:rsidR="009A4155" w:rsidRPr="0023349B">
        <w:rPr>
          <w:rFonts w:ascii="Times New Roman" w:hAnsi="Times New Roman" w:cs="Times New Roman"/>
        </w:rPr>
        <w:t>2c</w:t>
      </w:r>
      <w:r w:rsidR="00A36654" w:rsidRPr="0023349B">
        <w:rPr>
          <w:rFonts w:ascii="Times New Roman" w:hAnsi="Times New Roman" w:cs="Times New Roman"/>
        </w:rPr>
        <w:t>.</w:t>
      </w:r>
    </w:p>
    <w:p w:rsidR="000B4247" w:rsidRPr="0023349B" w:rsidRDefault="00CA09C4" w:rsidP="0023349B">
      <w:pPr>
        <w:spacing w:after="240" w:line="360" w:lineRule="auto"/>
        <w:jc w:val="both"/>
        <w:rPr>
          <w:rFonts w:ascii="Times New Roman" w:hAnsi="Times New Roman" w:cs="Times New Roman"/>
        </w:rPr>
      </w:pPr>
      <w:r w:rsidRPr="0023349B">
        <w:rPr>
          <w:rFonts w:ascii="Times New Roman" w:hAnsi="Times New Roman" w:cs="Times New Roman"/>
        </w:rPr>
        <w:t>Zmiana</w:t>
      </w:r>
      <w:r w:rsidR="00A36654" w:rsidRPr="0023349B">
        <w:rPr>
          <w:rFonts w:ascii="Times New Roman" w:hAnsi="Times New Roman" w:cs="Times New Roman"/>
        </w:rPr>
        <w:t xml:space="preserve"> umożliwi składanie wniosków o wydanie decyzji o niezbędności wejścia do sąsiedniego budynku, lokalu lub na teren sąsiedniej nieruchomości przez Internet (za pomocą generatora wniosków).</w:t>
      </w:r>
    </w:p>
    <w:p w:rsidR="00A36654" w:rsidRPr="0023349B" w:rsidRDefault="00CA09C4" w:rsidP="0023349B">
      <w:pPr>
        <w:spacing w:after="240" w:line="360" w:lineRule="auto"/>
        <w:jc w:val="both"/>
        <w:rPr>
          <w:rFonts w:ascii="Times New Roman" w:hAnsi="Times New Roman" w:cs="Times New Roman"/>
        </w:rPr>
      </w:pPr>
      <w:r w:rsidRPr="0023349B">
        <w:rPr>
          <w:rFonts w:ascii="Times New Roman" w:hAnsi="Times New Roman" w:cs="Times New Roman"/>
        </w:rPr>
        <w:t>Proponowana zmiana</w:t>
      </w:r>
      <w:r w:rsidR="00A36654" w:rsidRPr="0023349B">
        <w:rPr>
          <w:rFonts w:ascii="Times New Roman" w:hAnsi="Times New Roman" w:cs="Times New Roman"/>
        </w:rPr>
        <w:t xml:space="preserve"> umożliwi dokonywanie zgłoszeń zmiany sposobu użytkowania obiektu budowlanego lub jego części przez Internet (za pomocą generatora wniosków). </w:t>
      </w:r>
    </w:p>
    <w:p w:rsidR="000B4247" w:rsidRPr="0023349B" w:rsidRDefault="00A36654" w:rsidP="0023349B">
      <w:pPr>
        <w:spacing w:after="240" w:line="360" w:lineRule="auto"/>
        <w:jc w:val="both"/>
        <w:rPr>
          <w:rFonts w:ascii="Times New Roman" w:hAnsi="Times New Roman" w:cs="Times New Roman"/>
        </w:rPr>
      </w:pPr>
      <w:r w:rsidRPr="0023349B">
        <w:rPr>
          <w:rFonts w:ascii="Times New Roman" w:hAnsi="Times New Roman" w:cs="Times New Roman"/>
        </w:rPr>
        <w:t>Do zgłoszenia będzie można dołączać kopie wymaganych załączników, co likwiduje barierę braku posiadania przez inwestorów dokumentów w postaci elektronicznej (zwykle inwestorzy dysponują dokumentami papierowymi).</w:t>
      </w:r>
    </w:p>
    <w:p w:rsidR="000B4247" w:rsidRPr="0023349B" w:rsidRDefault="003817FD" w:rsidP="0023349B">
      <w:pPr>
        <w:spacing w:after="120" w:line="360" w:lineRule="auto"/>
        <w:jc w:val="both"/>
        <w:rPr>
          <w:rFonts w:ascii="Times New Roman" w:hAnsi="Times New Roman" w:cs="Times New Roman"/>
        </w:rPr>
      </w:pPr>
      <w:r w:rsidRPr="0023349B">
        <w:rPr>
          <w:rFonts w:ascii="Times New Roman" w:hAnsi="Times New Roman" w:cs="Times New Roman"/>
          <w:u w:val="single"/>
        </w:rPr>
        <w:t>Zmiana 1</w:t>
      </w:r>
      <w:r w:rsidR="00AA4613" w:rsidRPr="0023349B">
        <w:rPr>
          <w:rFonts w:ascii="Times New Roman" w:hAnsi="Times New Roman" w:cs="Times New Roman"/>
          <w:u w:val="single"/>
        </w:rPr>
        <w:t>1</w:t>
      </w:r>
      <w:r w:rsidRPr="0023349B">
        <w:rPr>
          <w:rFonts w:ascii="Times New Roman" w:hAnsi="Times New Roman" w:cs="Times New Roman"/>
          <w:u w:val="single"/>
        </w:rPr>
        <w:t>:</w:t>
      </w:r>
      <w:r w:rsidR="00A36654" w:rsidRPr="0023349B">
        <w:rPr>
          <w:rFonts w:ascii="Times New Roman" w:hAnsi="Times New Roman" w:cs="Times New Roman"/>
          <w:u w:val="single"/>
        </w:rPr>
        <w:t xml:space="preserve"> </w:t>
      </w:r>
      <w:r w:rsidRPr="0023349B">
        <w:rPr>
          <w:rFonts w:ascii="Times New Roman" w:hAnsi="Times New Roman" w:cs="Times New Roman"/>
        </w:rPr>
        <w:t>zmian</w:t>
      </w:r>
      <w:r w:rsidR="00C3428B" w:rsidRPr="0023349B">
        <w:rPr>
          <w:rFonts w:ascii="Times New Roman" w:hAnsi="Times New Roman" w:cs="Times New Roman"/>
        </w:rPr>
        <w:t xml:space="preserve">a brzmienia </w:t>
      </w:r>
      <w:r w:rsidRPr="0023349B">
        <w:rPr>
          <w:rFonts w:ascii="Times New Roman" w:hAnsi="Times New Roman" w:cs="Times New Roman"/>
        </w:rPr>
        <w:t>art. 71</w:t>
      </w:r>
      <w:r w:rsidR="00C3428B" w:rsidRPr="0023349B">
        <w:rPr>
          <w:rFonts w:ascii="Times New Roman" w:hAnsi="Times New Roman" w:cs="Times New Roman"/>
        </w:rPr>
        <w:t xml:space="preserve"> ust. 2 pkt 4</w:t>
      </w:r>
      <w:r w:rsidR="00C47C60" w:rsidRPr="0023349B">
        <w:rPr>
          <w:rFonts w:ascii="Times New Roman" w:hAnsi="Times New Roman" w:cs="Times New Roman"/>
        </w:rPr>
        <w:t>–</w:t>
      </w:r>
      <w:r w:rsidR="00C3428B" w:rsidRPr="0023349B">
        <w:rPr>
          <w:rFonts w:ascii="Times New Roman" w:hAnsi="Times New Roman" w:cs="Times New Roman"/>
        </w:rPr>
        <w:t>6 oraz dodanie ust. 2b</w:t>
      </w:r>
      <w:r w:rsidR="00C47C60" w:rsidRPr="0023349B">
        <w:rPr>
          <w:rFonts w:ascii="Times New Roman" w:hAnsi="Times New Roman" w:cs="Times New Roman"/>
        </w:rPr>
        <w:t>–</w:t>
      </w:r>
      <w:r w:rsidR="00C3428B" w:rsidRPr="0023349B">
        <w:rPr>
          <w:rFonts w:ascii="Times New Roman" w:hAnsi="Times New Roman" w:cs="Times New Roman"/>
        </w:rPr>
        <w:t>2d.</w:t>
      </w:r>
    </w:p>
    <w:p w:rsidR="00A36654" w:rsidRPr="0023349B" w:rsidRDefault="00CA09C4" w:rsidP="0023349B">
      <w:pPr>
        <w:spacing w:after="120" w:line="360" w:lineRule="auto"/>
        <w:jc w:val="both"/>
        <w:rPr>
          <w:rFonts w:ascii="Times New Roman" w:hAnsi="Times New Roman" w:cs="Times New Roman"/>
        </w:rPr>
      </w:pPr>
      <w:r w:rsidRPr="0023349B">
        <w:rPr>
          <w:rFonts w:ascii="Times New Roman" w:hAnsi="Times New Roman" w:cs="Times New Roman"/>
        </w:rPr>
        <w:t>Zmiana</w:t>
      </w:r>
      <w:r w:rsidR="003817FD" w:rsidRPr="0023349B">
        <w:rPr>
          <w:rFonts w:ascii="Times New Roman" w:hAnsi="Times New Roman" w:cs="Times New Roman"/>
        </w:rPr>
        <w:t xml:space="preserve"> umożliwi dokonywanie zgłoszeń zmiany sposobu użytkowania obiektu budowlanego lub jego części przez Internet (za pomocą generatora wniosków). </w:t>
      </w:r>
    </w:p>
    <w:p w:rsidR="000B4247" w:rsidRPr="0023349B" w:rsidRDefault="003817FD" w:rsidP="0023349B">
      <w:pPr>
        <w:spacing w:after="240" w:line="360" w:lineRule="auto"/>
        <w:jc w:val="both"/>
        <w:rPr>
          <w:rFonts w:ascii="Times New Roman" w:hAnsi="Times New Roman" w:cs="Times New Roman"/>
        </w:rPr>
      </w:pPr>
      <w:r w:rsidRPr="0023349B">
        <w:rPr>
          <w:rFonts w:ascii="Times New Roman" w:hAnsi="Times New Roman" w:cs="Times New Roman"/>
        </w:rPr>
        <w:t>Do zgłoszenia będzie można dołączać kopie wymaganych załączników, co likwiduje barierę braku posiadania przez inwestorów dokumentów w postaci elektronicznej (zwykle inwestorzy dysponują dokumentami papierowymi).</w:t>
      </w:r>
    </w:p>
    <w:p w:rsidR="00C268CB" w:rsidRPr="0023349B" w:rsidRDefault="00C268CB" w:rsidP="0023349B">
      <w:pPr>
        <w:spacing w:after="240" w:line="360" w:lineRule="auto"/>
        <w:rPr>
          <w:rFonts w:ascii="Times New Roman" w:hAnsi="Times New Roman" w:cs="Times New Roman"/>
          <w:b/>
        </w:rPr>
      </w:pPr>
      <w:r w:rsidRPr="0023349B">
        <w:rPr>
          <w:rFonts w:ascii="Times New Roman" w:hAnsi="Times New Roman" w:cs="Times New Roman"/>
          <w:b/>
        </w:rPr>
        <w:t xml:space="preserve">Art. </w:t>
      </w:r>
      <w:r w:rsidR="00BE27DB" w:rsidRPr="0023349B">
        <w:rPr>
          <w:rFonts w:ascii="Times New Roman" w:hAnsi="Times New Roman" w:cs="Times New Roman"/>
          <w:b/>
        </w:rPr>
        <w:t>7</w:t>
      </w:r>
      <w:r w:rsidR="00EF640B" w:rsidRPr="0023349B">
        <w:rPr>
          <w:rFonts w:ascii="Times New Roman" w:hAnsi="Times New Roman" w:cs="Times New Roman"/>
          <w:b/>
        </w:rPr>
        <w:t xml:space="preserve"> </w:t>
      </w:r>
      <w:r w:rsidRPr="0023349B">
        <w:rPr>
          <w:rFonts w:ascii="Times New Roman" w:hAnsi="Times New Roman" w:cs="Times New Roman"/>
          <w:b/>
        </w:rPr>
        <w:t>– Zmiany w ustawie o niektórych formach…</w:t>
      </w:r>
    </w:p>
    <w:p w:rsidR="00BE27DB" w:rsidRPr="0023349B" w:rsidRDefault="00C268CB" w:rsidP="0023349B">
      <w:pPr>
        <w:pStyle w:val="PKTpunkt"/>
        <w:spacing w:after="120"/>
        <w:ind w:left="0" w:firstLine="0"/>
        <w:rPr>
          <w:rFonts w:ascii="Times New Roman" w:hAnsi="Times New Roman" w:cs="Times New Roman"/>
          <w:u w:val="single"/>
        </w:rPr>
      </w:pPr>
      <w:r w:rsidRPr="0023349B">
        <w:rPr>
          <w:rFonts w:ascii="Times New Roman" w:hAnsi="Times New Roman" w:cs="Times New Roman"/>
          <w:u w:val="single"/>
        </w:rPr>
        <w:t>Zmiana 1:</w:t>
      </w:r>
      <w:r w:rsidR="00BE27DB" w:rsidRPr="0023349B">
        <w:rPr>
          <w:rFonts w:ascii="Times New Roman" w:hAnsi="Times New Roman" w:cs="Times New Roman"/>
          <w:u w:val="single"/>
        </w:rPr>
        <w:t xml:space="preserve"> w art. 1</w:t>
      </w:r>
    </w:p>
    <w:p w:rsidR="009014EB" w:rsidRPr="0023349B" w:rsidRDefault="009014EB" w:rsidP="0023349B">
      <w:pPr>
        <w:pStyle w:val="PKTpunkt"/>
        <w:spacing w:after="240"/>
        <w:ind w:left="0" w:firstLine="0"/>
        <w:rPr>
          <w:rFonts w:ascii="Times New Roman" w:hAnsi="Times New Roman" w:cs="Times New Roman"/>
        </w:rPr>
      </w:pPr>
      <w:r w:rsidRPr="0023349B">
        <w:rPr>
          <w:rFonts w:ascii="Times New Roman" w:hAnsi="Times New Roman" w:cs="Times New Roman"/>
        </w:rPr>
        <w:t>Zmianie ulegnie zakres przedmiotowy zmienianej ustawy. Rozszerzenie polegać będzie na dodaniu przepisów pozwalających na udzielanie gminom wsparcia w zakładaniu społecznych inicjatyw społecznych. Nowe przepisy dotyczące funkcjonowania Funduszu Mieszkalnictwa Samorządowego ujęte zostały w dodawanym rozdziale 4c. Pociąga to za sobą konieczność nowelizacji jej art. 1.</w:t>
      </w:r>
    </w:p>
    <w:p w:rsidR="00C93F09" w:rsidRPr="0023349B" w:rsidRDefault="00C93F09" w:rsidP="0023349B">
      <w:pPr>
        <w:pStyle w:val="PKTpunkt"/>
        <w:spacing w:after="120"/>
        <w:ind w:left="0" w:firstLine="0"/>
        <w:rPr>
          <w:rFonts w:ascii="Times New Roman" w:hAnsi="Times New Roman" w:cs="Times New Roman"/>
          <w:u w:val="single"/>
        </w:rPr>
      </w:pPr>
      <w:r w:rsidRPr="0023349B">
        <w:rPr>
          <w:rFonts w:ascii="Times New Roman" w:hAnsi="Times New Roman" w:cs="Times New Roman"/>
          <w:u w:val="single"/>
        </w:rPr>
        <w:t>Zmiana 2: w art. 15a ust. 2 pkt 1 i pkt 3 oraz ust. 3, w tytule rozdziału 4 oraz w art. 23 ust. 1</w:t>
      </w:r>
    </w:p>
    <w:p w:rsidR="00C93F09" w:rsidRPr="0023349B" w:rsidRDefault="00C93F09" w:rsidP="0023349B">
      <w:pPr>
        <w:pStyle w:val="PKTpunkt"/>
        <w:spacing w:after="240"/>
        <w:ind w:left="0" w:firstLine="0"/>
        <w:rPr>
          <w:rFonts w:ascii="Times New Roman" w:hAnsi="Times New Roman" w:cs="Times New Roman"/>
          <w:bCs w:val="0"/>
          <w:szCs w:val="24"/>
        </w:rPr>
      </w:pPr>
      <w:r w:rsidRPr="0023349B">
        <w:rPr>
          <w:rFonts w:ascii="Times New Roman" w:hAnsi="Times New Roman" w:cs="Times New Roman"/>
          <w:bCs w:val="0"/>
          <w:szCs w:val="24"/>
        </w:rPr>
        <w:t>Zmiana polega na zastąpieniu dotychczasowej nazwy „towarzystwa budownictwa społecznego” bardziej oddającym charakter tych podmiotów określeniem „społeczna inicjatywa mieszkaniowa”. Zmiana dotyczyć będzie jedynie podmiotów nowotworzonych. Istniejące towarzystwa budownictwa społecznego będą mogły pozostać przy dotychczasowej nazwie, która pozostanie dla nich zastrzeżona na zasadach dotychczasowych.</w:t>
      </w:r>
    </w:p>
    <w:p w:rsidR="00BE27DB" w:rsidRPr="0023349B" w:rsidRDefault="00C93F09" w:rsidP="0023349B">
      <w:pPr>
        <w:pStyle w:val="PKTpunkt"/>
        <w:spacing w:after="120"/>
        <w:rPr>
          <w:rFonts w:ascii="Times New Roman" w:hAnsi="Times New Roman" w:cs="Times New Roman"/>
          <w:bCs w:val="0"/>
          <w:szCs w:val="24"/>
        </w:rPr>
      </w:pPr>
      <w:r w:rsidRPr="0023349B">
        <w:rPr>
          <w:rFonts w:ascii="Times New Roman" w:hAnsi="Times New Roman" w:cs="Times New Roman"/>
          <w:u w:val="single"/>
        </w:rPr>
        <w:t xml:space="preserve">Zmiana 3: w art. </w:t>
      </w:r>
      <w:r w:rsidR="00925DB5" w:rsidRPr="0023349B">
        <w:rPr>
          <w:rFonts w:ascii="Times New Roman" w:hAnsi="Times New Roman" w:cs="Times New Roman"/>
          <w:bCs w:val="0"/>
          <w:szCs w:val="24"/>
          <w:u w:val="single"/>
        </w:rPr>
        <w:t>15a po ust. 4 dodaje się ust. 4a.</w:t>
      </w:r>
    </w:p>
    <w:p w:rsidR="00925DB5" w:rsidRPr="0023349B" w:rsidRDefault="00925DB5" w:rsidP="0023349B">
      <w:pPr>
        <w:pStyle w:val="PKTpunkt"/>
        <w:spacing w:after="240"/>
        <w:ind w:left="0" w:firstLine="0"/>
        <w:rPr>
          <w:rFonts w:ascii="Times New Roman" w:hAnsi="Times New Roman" w:cs="Times New Roman"/>
          <w:bCs w:val="0"/>
          <w:szCs w:val="24"/>
        </w:rPr>
      </w:pPr>
      <w:r w:rsidRPr="0023349B">
        <w:rPr>
          <w:rFonts w:ascii="Times New Roman" w:hAnsi="Times New Roman" w:cs="Times New Roman"/>
          <w:bCs w:val="0"/>
          <w:szCs w:val="24"/>
        </w:rPr>
        <w:t>Celem dodawanej regulacji oznakowanie realizowanej inwestycji ze wskazaniem źródła finansowania, którym jest Fundusz Dopłat zasilany ze środków budżetu państwa.</w:t>
      </w:r>
    </w:p>
    <w:p w:rsidR="00C268CB" w:rsidRPr="0023349B" w:rsidRDefault="00BC2DE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5A4E99" w:rsidRPr="0023349B">
        <w:rPr>
          <w:rFonts w:ascii="Times New Roman" w:hAnsi="Times New Roman" w:cs="Times New Roman"/>
          <w:u w:val="single"/>
        </w:rPr>
        <w:t>4</w:t>
      </w:r>
      <w:r w:rsidRPr="0023349B">
        <w:rPr>
          <w:rFonts w:ascii="Times New Roman" w:hAnsi="Times New Roman" w:cs="Times New Roman"/>
          <w:u w:val="single"/>
        </w:rPr>
        <w:t xml:space="preserve">: </w:t>
      </w:r>
      <w:r w:rsidR="00C268CB" w:rsidRPr="0023349B">
        <w:rPr>
          <w:rFonts w:ascii="Times New Roman" w:hAnsi="Times New Roman" w:cs="Times New Roman"/>
          <w:u w:val="single"/>
        </w:rPr>
        <w:t>art. 15e ust. 2</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Szczególne zasady wyodrębniania na własność lokali wybudowanych na wynajem przy wykorzystaniu kredytu udzielonego przez BGK po wejściu w życie projektowanych rozwiązań będzie nadal definiował poświęcony temu rozdział 4b ustawy. Po wprowadzeniu zmian rozdział ten w części będzie odnosił się jednak również do mieszkań wybudowanych w ramach finansowania zwrotnego w realizowanym od 2016 r. programie SBC. W konsekwencji, przepis </w:t>
      </w:r>
      <w:r w:rsidRPr="0023349B">
        <w:rPr>
          <w:rFonts w:ascii="Times New Roman" w:hAnsi="Times New Roman" w:cs="Times New Roman"/>
          <w:b/>
        </w:rPr>
        <w:t xml:space="preserve">art. </w:t>
      </w:r>
      <w:r w:rsidR="005A4E99" w:rsidRPr="0023349B">
        <w:rPr>
          <w:rFonts w:ascii="Times New Roman" w:hAnsi="Times New Roman" w:cs="Times New Roman"/>
          <w:b/>
        </w:rPr>
        <w:t>7</w:t>
      </w:r>
      <w:r w:rsidRPr="0023349B">
        <w:rPr>
          <w:rFonts w:ascii="Times New Roman" w:hAnsi="Times New Roman" w:cs="Times New Roman"/>
          <w:b/>
        </w:rPr>
        <w:t xml:space="preserve"> pkt </w:t>
      </w:r>
      <w:r w:rsidR="005A4E99" w:rsidRPr="0023349B">
        <w:rPr>
          <w:rFonts w:ascii="Times New Roman" w:hAnsi="Times New Roman" w:cs="Times New Roman"/>
          <w:b/>
        </w:rPr>
        <w:t>4</w:t>
      </w:r>
      <w:r w:rsidR="00193AD6" w:rsidRPr="0023349B">
        <w:rPr>
          <w:rFonts w:ascii="Times New Roman" w:hAnsi="Times New Roman" w:cs="Times New Roman"/>
          <w:b/>
        </w:rPr>
        <w:t xml:space="preserve"> </w:t>
      </w:r>
      <w:r w:rsidRPr="0023349B">
        <w:rPr>
          <w:rFonts w:ascii="Times New Roman" w:hAnsi="Times New Roman" w:cs="Times New Roman"/>
          <w:b/>
        </w:rPr>
        <w:t>projektu ustawy</w:t>
      </w:r>
      <w:r w:rsidRPr="0023349B">
        <w:rPr>
          <w:rFonts w:ascii="Times New Roman" w:hAnsi="Times New Roman" w:cs="Times New Roman"/>
        </w:rPr>
        <w:t xml:space="preserve"> uchyla bezwzględny zakaz wyodrębniania na własność lokali mieszkalnych wybudowanych przy wykorzystaniu preferencyjnego kredytu BGK w ramach programu SBC, sformułowany w </w:t>
      </w:r>
      <w:r w:rsidRPr="0023349B">
        <w:rPr>
          <w:rFonts w:ascii="Times New Roman" w:hAnsi="Times New Roman" w:cs="Times New Roman"/>
          <w:b/>
        </w:rPr>
        <w:t>art. 15e ust. 2</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Uchylenie tego ograniczenia wynika z określenia możliwości uzyskania prawa własności lokalu przez najemcę również w przypadku mieszkań wybudowanych w ramach programu SBC, a nie – jak to ma miejsce obecnie – wyłącznie w odniesieniu do zasobów starego programu KFM. </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Zmiana</w:t>
      </w:r>
      <w:r w:rsidR="005A4E99" w:rsidRPr="0023349B">
        <w:rPr>
          <w:rFonts w:ascii="Times New Roman" w:hAnsi="Times New Roman" w:cs="Times New Roman"/>
          <w:u w:val="single"/>
        </w:rPr>
        <w:t xml:space="preserve"> 5</w:t>
      </w:r>
      <w:r w:rsidRPr="0023349B">
        <w:rPr>
          <w:rFonts w:ascii="Times New Roman" w:hAnsi="Times New Roman" w:cs="Times New Roman"/>
          <w:u w:val="single"/>
        </w:rPr>
        <w:t>: art. 15g</w:t>
      </w:r>
    </w:p>
    <w:p w:rsidR="00C268CB" w:rsidRPr="0023349B" w:rsidRDefault="00C268CB" w:rsidP="0023349B">
      <w:pPr>
        <w:spacing w:after="240" w:line="360" w:lineRule="auto"/>
        <w:jc w:val="both"/>
        <w:rPr>
          <w:rFonts w:ascii="Times New Roman" w:hAnsi="Times New Roman" w:cs="Times New Roman"/>
          <w:i/>
        </w:rPr>
      </w:pPr>
      <w:r w:rsidRPr="0023349B">
        <w:rPr>
          <w:rFonts w:ascii="Times New Roman" w:hAnsi="Times New Roman" w:cs="Times New Roman"/>
          <w:b/>
        </w:rPr>
        <w:t>Art. 15g</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zobowiązuje ministra właściwego do spraw budownictwa, planowania i zagospodarowania przestrzennego oraz mieszkalnictwa, w terminie do 31 marca każdego roku, do przedłożenia Radzie Ministrów sprawozdania z realizacji rządowego programu popierania budownictwa mieszkaniowego wraz z oceną wdrażania i rekomendacjami na kolejny rok. Z uwagi na fakt, że informacje zawarte w ww. sprawozdaniu są również corocznie przedstawiane w Sprawozdaniu z realizacji działań w ramach Narodowego Programu Mieszkaniowego, a ponadto zgodnie z OSR do ustawy z dnia 10 września 2015 r. po zakończeniu rządowego programu popierania budownictwa mieszkaniowego (SBC) przeprowadzona zostanie ewaluacja ex post (tym samym po okresie realizacji 10-letniego pilotażu wnioski zostaną wykorzystane przy określeniu nowego instrumentu wsparcia), postanowiono w </w:t>
      </w:r>
      <w:r w:rsidRPr="0023349B">
        <w:rPr>
          <w:rFonts w:ascii="Times New Roman" w:hAnsi="Times New Roman" w:cs="Times New Roman"/>
          <w:b/>
        </w:rPr>
        <w:t xml:space="preserve">art. 4 pkt </w:t>
      </w:r>
      <w:r w:rsidR="005A4E99" w:rsidRPr="0023349B">
        <w:rPr>
          <w:rFonts w:ascii="Times New Roman" w:hAnsi="Times New Roman" w:cs="Times New Roman"/>
          <w:b/>
        </w:rPr>
        <w:t>5</w:t>
      </w:r>
      <w:r w:rsidR="00193AD6" w:rsidRPr="0023349B">
        <w:rPr>
          <w:rFonts w:ascii="Times New Roman" w:hAnsi="Times New Roman" w:cs="Times New Roman"/>
          <w:b/>
        </w:rPr>
        <w:t xml:space="preserve">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o uchyleniu przedmiotowego art. 15g </w:t>
      </w:r>
      <w:r w:rsidRPr="0023349B">
        <w:rPr>
          <w:rFonts w:ascii="Times New Roman" w:hAnsi="Times New Roman" w:cs="Times New Roman"/>
          <w:i/>
        </w:rPr>
        <w:t>ustawy o niektórych formach… .</w:t>
      </w:r>
    </w:p>
    <w:p w:rsidR="005A4E99"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5A4E99" w:rsidRPr="0023349B">
        <w:rPr>
          <w:rFonts w:ascii="Times New Roman" w:hAnsi="Times New Roman" w:cs="Times New Roman"/>
          <w:u w:val="single"/>
        </w:rPr>
        <w:t>6</w:t>
      </w:r>
      <w:r w:rsidRPr="0023349B">
        <w:rPr>
          <w:rFonts w:ascii="Times New Roman" w:hAnsi="Times New Roman" w:cs="Times New Roman"/>
          <w:u w:val="single"/>
        </w:rPr>
        <w:t xml:space="preserve">: </w:t>
      </w:r>
      <w:r w:rsidR="005A4E99" w:rsidRPr="0023349B">
        <w:rPr>
          <w:rFonts w:ascii="Times New Roman" w:hAnsi="Times New Roman" w:cs="Times New Roman"/>
          <w:u w:val="single"/>
        </w:rPr>
        <w:t>art. 23 ust. 2</w:t>
      </w:r>
    </w:p>
    <w:p w:rsidR="005A4E99" w:rsidRPr="0023349B" w:rsidRDefault="005A4E99" w:rsidP="0023349B">
      <w:pPr>
        <w:spacing w:after="240" w:line="360" w:lineRule="auto"/>
        <w:jc w:val="both"/>
        <w:rPr>
          <w:rFonts w:ascii="Times New Roman" w:hAnsi="Times New Roman" w:cs="Times New Roman"/>
        </w:rPr>
      </w:pPr>
      <w:r w:rsidRPr="0023349B">
        <w:rPr>
          <w:rFonts w:ascii="Times New Roman" w:hAnsi="Times New Roman" w:cs="Times New Roman"/>
        </w:rPr>
        <w:t>Zmiana polega na zastąpieniu w art. 23 ust. 2 wyrazów „towarzystwa budownictwa społecznego”, zwanego dalej „towarzystwem”” wyrazami „społecznej inicjatywy mieszkaniowej, zwanej dalej SIM”.</w:t>
      </w:r>
    </w:p>
    <w:p w:rsidR="00DD5F2F" w:rsidRPr="0023349B" w:rsidRDefault="00DD5F2F"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7: </w:t>
      </w:r>
      <w:r w:rsidR="00675FCC" w:rsidRPr="0023349B">
        <w:rPr>
          <w:rFonts w:ascii="Times New Roman" w:hAnsi="Times New Roman" w:cs="Times New Roman"/>
          <w:u w:val="single"/>
        </w:rPr>
        <w:t>art. 24 ust. 1 i 2,</w:t>
      </w:r>
      <w:r w:rsidRPr="0023349B">
        <w:rPr>
          <w:rFonts w:ascii="Times New Roman" w:hAnsi="Times New Roman" w:cs="Times New Roman"/>
          <w:u w:val="single"/>
        </w:rPr>
        <w:t xml:space="preserve"> art. 25 ust. 1 i ust. 2, </w:t>
      </w:r>
      <w:r w:rsidR="00675FCC" w:rsidRPr="0023349B">
        <w:rPr>
          <w:rFonts w:ascii="Times New Roman" w:hAnsi="Times New Roman" w:cs="Times New Roman"/>
          <w:u w:val="single"/>
        </w:rPr>
        <w:t>art. 27 ust. 1 i ust. 2 wstęp do wyliczenia i</w:t>
      </w:r>
      <w:r w:rsidRPr="0023349B">
        <w:rPr>
          <w:rFonts w:ascii="Times New Roman" w:hAnsi="Times New Roman" w:cs="Times New Roman"/>
          <w:u w:val="single"/>
        </w:rPr>
        <w:t xml:space="preserve"> pkt 3, art. 28 ust. 1, art. 29 ust. 1, ust. 2, ust. 2a , ust. 2b, ust. 2c ust. 2f, ust. 3, ust. 4 i ust. 5, art. 29a ust. 1 i ust. 5, art. 30 ust. 1, ust. 1a, ust. 3, ust. 3a, ust. 5 pkt 1 i pkt 4 oraz ust. 7, art. 30a ust. 1 i ust. 2, art. 31 ust. 1, art. 32 ust. 2, art. 32a, art. 33e ust. 1 i ust. 2, oraz art. 33f ust. 2</w:t>
      </w:r>
    </w:p>
    <w:p w:rsidR="00DD5F2F" w:rsidRPr="0023349B" w:rsidRDefault="00DD5F2F" w:rsidP="0023349B">
      <w:pPr>
        <w:spacing w:after="240" w:line="360" w:lineRule="auto"/>
        <w:jc w:val="both"/>
        <w:rPr>
          <w:rFonts w:ascii="Times New Roman" w:hAnsi="Times New Roman" w:cs="Times New Roman"/>
        </w:rPr>
      </w:pPr>
      <w:r w:rsidRPr="0023349B">
        <w:rPr>
          <w:rFonts w:ascii="Times New Roman" w:hAnsi="Times New Roman" w:cs="Times New Roman"/>
        </w:rPr>
        <w:t>Zmiana polega na zastąpieniu w różnej liczbie i przypadku wyrazu „towarzystwa” wyrazem „SIM” i jest konsekwencją wprowadzenia do ustawy nazewnictwa bardziej oddającego charakter podmiotów, których działalność skupia się na tworzeniu zasobu mieszkaniowego w segmencie budownictwa społecznego.</w:t>
      </w:r>
    </w:p>
    <w:p w:rsidR="00675FCC" w:rsidRPr="0023349B" w:rsidRDefault="00675FCC"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Zmiana 8: art. 24 ust. 2a, art. 33f ust. 3, art. 33h ust. 2 i ust. 3, art. 33i ust. 2, art. 33j ust. 1</w:t>
      </w:r>
    </w:p>
    <w:p w:rsidR="00721CAB" w:rsidRPr="0023349B" w:rsidRDefault="00721CAB" w:rsidP="0023349B">
      <w:pPr>
        <w:spacing w:after="240" w:line="360" w:lineRule="auto"/>
        <w:jc w:val="both"/>
        <w:rPr>
          <w:rFonts w:ascii="Times New Roman" w:hAnsi="Times New Roman" w:cs="Times New Roman"/>
        </w:rPr>
      </w:pPr>
      <w:r w:rsidRPr="0023349B">
        <w:rPr>
          <w:rFonts w:ascii="Times New Roman" w:hAnsi="Times New Roman" w:cs="Times New Roman"/>
        </w:rPr>
        <w:t>Zmiana polega na zastąpieniu w różnej liczbie i przypadku wyrazu „towarzystwa budownictwa społecznego” wyrazem „SIM” – jako konsekwencja zmian w nazewnictwie TBS.</w:t>
      </w:r>
    </w:p>
    <w:p w:rsidR="00675FCC" w:rsidRPr="0023349B" w:rsidRDefault="00675FCC"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9: w art. 24 dodaje się </w:t>
      </w:r>
      <w:r w:rsidR="001016A9" w:rsidRPr="0023349B">
        <w:rPr>
          <w:rFonts w:ascii="Times New Roman" w:hAnsi="Times New Roman" w:cs="Times New Roman"/>
          <w:u w:val="single"/>
        </w:rPr>
        <w:t xml:space="preserve">ust. </w:t>
      </w:r>
      <w:r w:rsidRPr="0023349B">
        <w:rPr>
          <w:rFonts w:ascii="Times New Roman" w:hAnsi="Times New Roman" w:cs="Times New Roman"/>
          <w:u w:val="single"/>
        </w:rPr>
        <w:t>3</w:t>
      </w:r>
      <w:r w:rsidR="00721CAB" w:rsidRPr="0023349B">
        <w:rPr>
          <w:rFonts w:ascii="Times New Roman" w:hAnsi="Times New Roman" w:cs="Times New Roman"/>
        </w:rPr>
        <w:t xml:space="preserve"> oraz </w:t>
      </w:r>
      <w:r w:rsidR="00721CAB" w:rsidRPr="0023349B">
        <w:rPr>
          <w:rFonts w:ascii="Times New Roman" w:hAnsi="Times New Roman" w:cs="Times New Roman"/>
          <w:u w:val="single"/>
        </w:rPr>
        <w:t>Zmiana 10: art. 26</w:t>
      </w:r>
    </w:p>
    <w:p w:rsidR="00675FCC" w:rsidRPr="0023349B" w:rsidRDefault="00721CAB" w:rsidP="0023349B">
      <w:pPr>
        <w:spacing w:after="240" w:line="360" w:lineRule="auto"/>
        <w:jc w:val="both"/>
        <w:rPr>
          <w:rFonts w:ascii="Times New Roman" w:hAnsi="Times New Roman" w:cs="Times New Roman"/>
        </w:rPr>
      </w:pPr>
      <w:r w:rsidRPr="0023349B">
        <w:rPr>
          <w:rFonts w:ascii="Times New Roman" w:hAnsi="Times New Roman" w:cs="Times New Roman"/>
        </w:rPr>
        <w:t>Zmiana polega na zastąpieniu dotychczasowej nazwy „towarzystwa budownictwa społecznego” bardziej oddającym charakter tych podmiotów określeniem „społeczna inicjatywa mieszkaniowa”. Zmiana dotyczyć będzie jedynie podmiotów nowotworzonych. Istniejące towarzystwa budownictwa społecznego będą mogły pozostać przy dotychczasowej nazwie, która pozostanie dla nich zastrzeżona na zasadach dotychczasowych.</w:t>
      </w:r>
    </w:p>
    <w:p w:rsidR="00C268CB" w:rsidRPr="0023349B" w:rsidRDefault="005A4E99"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Z</w:t>
      </w:r>
      <w:r w:rsidR="00721CAB" w:rsidRPr="0023349B">
        <w:rPr>
          <w:rFonts w:ascii="Times New Roman" w:hAnsi="Times New Roman" w:cs="Times New Roman"/>
          <w:u w:val="single"/>
        </w:rPr>
        <w:t>miana 11:</w:t>
      </w:r>
      <w:r w:rsidRPr="0023349B">
        <w:rPr>
          <w:rFonts w:ascii="Times New Roman" w:hAnsi="Times New Roman" w:cs="Times New Roman"/>
          <w:u w:val="single"/>
        </w:rPr>
        <w:t xml:space="preserve"> </w:t>
      </w:r>
      <w:r w:rsidR="00C268CB" w:rsidRPr="0023349B">
        <w:rPr>
          <w:rFonts w:ascii="Times New Roman" w:hAnsi="Times New Roman" w:cs="Times New Roman"/>
          <w:u w:val="single"/>
        </w:rPr>
        <w:t xml:space="preserve">art. 28 ust. 2 pkt 2, ust. 3, ust. 4 i 5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związku z wprowadzeniem w wyniku nowelizacji możliwości tworzenia przez KZN TBS lub przystępowania przez ten podmiot do TBS, w </w:t>
      </w:r>
      <w:r w:rsidRPr="0023349B">
        <w:rPr>
          <w:rFonts w:ascii="Times New Roman" w:hAnsi="Times New Roman" w:cs="Times New Roman"/>
          <w:b/>
        </w:rPr>
        <w:t>art. 28 ust. 2 pkt 2</w:t>
      </w:r>
      <w:r w:rsidRPr="0023349B">
        <w:rPr>
          <w:rFonts w:ascii="Times New Roman" w:hAnsi="Times New Roman" w:cs="Times New Roman"/>
        </w:rPr>
        <w:t xml:space="preserve"> </w:t>
      </w:r>
      <w:r w:rsidRPr="0023349B">
        <w:rPr>
          <w:rFonts w:ascii="Times New Roman" w:hAnsi="Times New Roman" w:cs="Times New Roman"/>
          <w:i/>
        </w:rPr>
        <w:t xml:space="preserve">ustawy o niektórych formach… </w:t>
      </w:r>
      <w:r w:rsidRPr="0023349B">
        <w:rPr>
          <w:rFonts w:ascii="Times New Roman" w:hAnsi="Times New Roman" w:cs="Times New Roman"/>
        </w:rPr>
        <w:t>(</w:t>
      </w:r>
      <w:r w:rsidRPr="0023349B">
        <w:rPr>
          <w:rFonts w:ascii="Times New Roman" w:hAnsi="Times New Roman" w:cs="Times New Roman"/>
          <w:b/>
        </w:rPr>
        <w:t xml:space="preserve">art. </w:t>
      </w:r>
      <w:r w:rsidR="00721CAB" w:rsidRPr="0023349B">
        <w:rPr>
          <w:rFonts w:ascii="Times New Roman" w:hAnsi="Times New Roman" w:cs="Times New Roman"/>
          <w:b/>
        </w:rPr>
        <w:t>7</w:t>
      </w:r>
      <w:r w:rsidRPr="0023349B">
        <w:rPr>
          <w:rFonts w:ascii="Times New Roman" w:hAnsi="Times New Roman" w:cs="Times New Roman"/>
          <w:b/>
        </w:rPr>
        <w:t xml:space="preserve"> pkt </w:t>
      </w:r>
      <w:r w:rsidR="00721CAB" w:rsidRPr="0023349B">
        <w:rPr>
          <w:rFonts w:ascii="Times New Roman" w:hAnsi="Times New Roman" w:cs="Times New Roman"/>
          <w:b/>
        </w:rPr>
        <w:t>11</w:t>
      </w:r>
      <w:r w:rsidR="00193AD6" w:rsidRPr="0023349B">
        <w:rPr>
          <w:rFonts w:ascii="Times New Roman" w:hAnsi="Times New Roman" w:cs="Times New Roman"/>
          <w:b/>
        </w:rPr>
        <w:t xml:space="preserve"> </w:t>
      </w:r>
      <w:r w:rsidRPr="0023349B">
        <w:rPr>
          <w:rFonts w:ascii="Times New Roman" w:hAnsi="Times New Roman" w:cs="Times New Roman"/>
          <w:b/>
        </w:rPr>
        <w:t>lit. a projektu ustawy</w:t>
      </w:r>
      <w:r w:rsidRPr="0023349B">
        <w:rPr>
          <w:rFonts w:ascii="Times New Roman" w:hAnsi="Times New Roman" w:cs="Times New Roman"/>
        </w:rPr>
        <w:t>) proponuje się, aby czynsz za najem lokali mieszkalnych w takim zasobie nie mógł przekraczać 5% wartości odtworzeniowej, obliczonej wg przepisów ustawy o ochronie praw lokatorów….</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Zmiany wprowadzone w </w:t>
      </w:r>
      <w:r w:rsidRPr="0023349B">
        <w:rPr>
          <w:rFonts w:ascii="Times New Roman" w:hAnsi="Times New Roman" w:cs="Times New Roman"/>
          <w:b/>
        </w:rPr>
        <w:t>art. 28 ust. 3</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w:t>
      </w:r>
      <w:r w:rsidRPr="0023349B">
        <w:rPr>
          <w:rFonts w:ascii="Times New Roman" w:hAnsi="Times New Roman" w:cs="Times New Roman"/>
          <w:b/>
        </w:rPr>
        <w:t xml:space="preserve">art. </w:t>
      </w:r>
      <w:r w:rsidR="00721CAB" w:rsidRPr="0023349B">
        <w:rPr>
          <w:rFonts w:ascii="Times New Roman" w:hAnsi="Times New Roman" w:cs="Times New Roman"/>
          <w:b/>
        </w:rPr>
        <w:t>7</w:t>
      </w:r>
      <w:r w:rsidRPr="0023349B">
        <w:rPr>
          <w:rFonts w:ascii="Times New Roman" w:hAnsi="Times New Roman" w:cs="Times New Roman"/>
          <w:b/>
        </w:rPr>
        <w:t xml:space="preserve"> pkt </w:t>
      </w:r>
      <w:r w:rsidR="00721CAB" w:rsidRPr="0023349B">
        <w:rPr>
          <w:rFonts w:ascii="Times New Roman" w:hAnsi="Times New Roman" w:cs="Times New Roman"/>
          <w:b/>
        </w:rPr>
        <w:t>11</w:t>
      </w:r>
      <w:r w:rsidRPr="0023349B">
        <w:rPr>
          <w:rFonts w:ascii="Times New Roman" w:hAnsi="Times New Roman" w:cs="Times New Roman"/>
          <w:b/>
        </w:rPr>
        <w:t xml:space="preserve"> lit. b projektu ustawy</w:t>
      </w:r>
      <w:r w:rsidRPr="0023349B">
        <w:rPr>
          <w:rFonts w:ascii="Times New Roman" w:hAnsi="Times New Roman" w:cs="Times New Roman"/>
        </w:rPr>
        <w:t xml:space="preserve">) modyfikują dotychczasowe zasady naliczania czynszu w zasobach mieszkalnych TBS. Proponuje się, aby wynajmujący (TBS) oprócz czynszu mógł pobierać od najemcy opłaty dodatkowe wpływające na obniżenie kosztów eksploatacji budynku lub zapewnienie/poprawę dostępności mieszkań dla osób ze szczególnymi potrzebami. Tym samym projektodawca chce umożliwić TBS-om pobieranie od najemców dodatkowych </w:t>
      </w:r>
      <w:r w:rsidR="00721CAB" w:rsidRPr="0023349B">
        <w:rPr>
          <w:rFonts w:ascii="Times New Roman" w:hAnsi="Times New Roman" w:cs="Times New Roman"/>
        </w:rPr>
        <w:t>opłat związanych z instalacją i </w:t>
      </w:r>
      <w:r w:rsidRPr="0023349B">
        <w:rPr>
          <w:rFonts w:ascii="Times New Roman" w:hAnsi="Times New Roman" w:cs="Times New Roman"/>
        </w:rPr>
        <w:t xml:space="preserve">konserwacją odnawialnych źródeł energii, budową wind, termomodernizacją – co niewątpliwie przyczyni się do poprawy stanu użytkowanych obiektów.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Doprecyzowano, że najemca oprócz czynszu będzie również ponosił opłaty z tytułu dodatkowych kosztów. Mając na uwadze obowiązujące limity wysokości czynszów w mieszkaniach TBS wybudowanych w ramach programów wsparcia proponuje się, aby kwota takich opłat nie przekroczyła w skali roku 1% wartości odtworzeniowej (</w:t>
      </w:r>
      <w:r w:rsidRPr="0023349B">
        <w:rPr>
          <w:rFonts w:ascii="Times New Roman" w:hAnsi="Times New Roman" w:cs="Times New Roman"/>
          <w:b/>
        </w:rPr>
        <w:t xml:space="preserve">art. </w:t>
      </w:r>
      <w:r w:rsidR="00721CAB" w:rsidRPr="0023349B">
        <w:rPr>
          <w:rFonts w:ascii="Times New Roman" w:hAnsi="Times New Roman" w:cs="Times New Roman"/>
          <w:b/>
        </w:rPr>
        <w:t>7</w:t>
      </w:r>
      <w:r w:rsidRPr="0023349B">
        <w:rPr>
          <w:rFonts w:ascii="Times New Roman" w:hAnsi="Times New Roman" w:cs="Times New Roman"/>
          <w:b/>
        </w:rPr>
        <w:t xml:space="preserve"> pkt </w:t>
      </w:r>
      <w:r w:rsidR="00721CAB" w:rsidRPr="0023349B">
        <w:rPr>
          <w:rFonts w:ascii="Times New Roman" w:hAnsi="Times New Roman" w:cs="Times New Roman"/>
          <w:b/>
        </w:rPr>
        <w:t>11</w:t>
      </w:r>
      <w:r w:rsidRPr="0023349B">
        <w:rPr>
          <w:rFonts w:ascii="Times New Roman" w:hAnsi="Times New Roman" w:cs="Times New Roman"/>
          <w:b/>
        </w:rPr>
        <w:t xml:space="preserve"> lit. c projektu </w:t>
      </w:r>
      <w:r w:rsidRPr="0023349B">
        <w:rPr>
          <w:rFonts w:ascii="Times New Roman" w:hAnsi="Times New Roman" w:cs="Times New Roman"/>
          <w:b/>
          <w:i/>
        </w:rPr>
        <w:t>ustawy</w:t>
      </w:r>
      <w:r w:rsidRPr="0023349B">
        <w:rPr>
          <w:rFonts w:ascii="Times New Roman" w:hAnsi="Times New Roman" w:cs="Times New Roman"/>
        </w:rPr>
        <w:t xml:space="preserve">). </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6D6FCE" w:rsidRPr="0023349B">
        <w:rPr>
          <w:rFonts w:ascii="Times New Roman" w:hAnsi="Times New Roman" w:cs="Times New Roman"/>
          <w:u w:val="single"/>
        </w:rPr>
        <w:t>12, 14 lit. c oraz 15</w:t>
      </w:r>
      <w:r w:rsidRPr="0023349B">
        <w:rPr>
          <w:rFonts w:ascii="Times New Roman" w:hAnsi="Times New Roman" w:cs="Times New Roman"/>
          <w:u w:val="single"/>
        </w:rPr>
        <w:t>: art. 29 ust. 1, art. 30a ust. 3 i art. 30b</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rPr>
        <w:t xml:space="preserve">Od początku </w:t>
      </w:r>
      <w:r w:rsidRPr="0023349B">
        <w:rPr>
          <w:rFonts w:ascii="Times New Roman" w:hAnsi="Times New Roman" w:cs="Times New Roman"/>
          <w:bCs/>
        </w:rPr>
        <w:t xml:space="preserve">realizowanych w Polsce programów wsparcia społecznego budownictwa czynszowego koncepcja partycypowania pracodawcy w kosztach budowy mieszkań TBS, w celu wskazania najemców będących pracownikami, była odzwierciedlona w przepisach ustawy. </w:t>
      </w:r>
      <w:r w:rsidRPr="0023349B">
        <w:rPr>
          <w:rFonts w:ascii="Times New Roman" w:hAnsi="Times New Roman" w:cs="Times New Roman"/>
        </w:rPr>
        <w:t xml:space="preserve">Art. 29 ust. 1 </w:t>
      </w:r>
      <w:r w:rsidRPr="0023349B">
        <w:rPr>
          <w:rFonts w:ascii="Times New Roman" w:hAnsi="Times New Roman" w:cs="Times New Roman"/>
          <w:i/>
        </w:rPr>
        <w:t>ustawy o niektórych formach…</w:t>
      </w:r>
      <w:r w:rsidRPr="0023349B">
        <w:rPr>
          <w:rFonts w:ascii="Times New Roman" w:hAnsi="Times New Roman" w:cs="Times New Roman"/>
        </w:rPr>
        <w:t xml:space="preserve"> stanowi podstawę prawną zawierania przez TBS umów w sprawie partycypacji w kosztach budowy lokali mieszkalnych. W obecnym stanie prawnym ustawodawca ograniczył krąg podmiotów uprawnionych do zawierania takich umów z TBS wskazując, że mogą to być wyłącznie spełniający określone warunki pracodawcy (działający w celu uzyskania lokali mieszkalnych przez wskazane przez nie osoby trzecie), a także inne osoby (mające interes w uzyskaniu lokali mieszkalnych przez wskazane przez nie osoby trzecie). Przy czym podmioty te są jedynie stroną umowy w sprawie partycypacji, stroną umowy najmu natomiast – pracownik albo inna osoba trzecia. </w:t>
      </w:r>
      <w:r w:rsidRPr="0023349B">
        <w:rPr>
          <w:rFonts w:ascii="Times New Roman" w:hAnsi="Times New Roman" w:cs="Times New Roman"/>
          <w:bCs/>
        </w:rPr>
        <w:t>Pomimo ponad 20</w:t>
      </w:r>
      <w:r w:rsidR="00193AD6" w:rsidRPr="0023349B">
        <w:rPr>
          <w:rFonts w:ascii="Times New Roman" w:hAnsi="Times New Roman" w:cs="Times New Roman"/>
          <w:bCs/>
        </w:rPr>
        <w:t xml:space="preserve"> </w:t>
      </w:r>
      <w:r w:rsidRPr="0023349B">
        <w:rPr>
          <w:rFonts w:ascii="Times New Roman" w:hAnsi="Times New Roman" w:cs="Times New Roman"/>
          <w:bCs/>
        </w:rPr>
        <w:t xml:space="preserve">lat funkcjonowania programu, ww. możliwość jest bardzo rzadko wykorzystywana. Aktualna formuła w ustawie jest ograniczona do partycypowania przez pracodawcę w kosztach budowy mieszkania, z prawem do wskazywania najemcy. Uzasadniona jest większa elastyczność tych rozwiązań, wykorzystująca nadal instrument partycypacji pracodawców.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Projekt nowelizacji (</w:t>
      </w:r>
      <w:r w:rsidRPr="0023349B">
        <w:rPr>
          <w:rFonts w:ascii="Times New Roman" w:hAnsi="Times New Roman" w:cs="Times New Roman"/>
          <w:b/>
        </w:rPr>
        <w:t xml:space="preserve">art. </w:t>
      </w:r>
      <w:r w:rsidR="006D6FCE" w:rsidRPr="0023349B">
        <w:rPr>
          <w:rFonts w:ascii="Times New Roman" w:hAnsi="Times New Roman" w:cs="Times New Roman"/>
          <w:b/>
        </w:rPr>
        <w:t>7</w:t>
      </w:r>
      <w:r w:rsidRPr="0023349B">
        <w:rPr>
          <w:rFonts w:ascii="Times New Roman" w:hAnsi="Times New Roman" w:cs="Times New Roman"/>
          <w:b/>
        </w:rPr>
        <w:t xml:space="preserve"> pkt </w:t>
      </w:r>
      <w:r w:rsidR="006D6FCE" w:rsidRPr="0023349B">
        <w:rPr>
          <w:rFonts w:ascii="Times New Roman" w:hAnsi="Times New Roman" w:cs="Times New Roman"/>
          <w:b/>
        </w:rPr>
        <w:t>12</w:t>
      </w:r>
      <w:r w:rsidRPr="0023349B">
        <w:rPr>
          <w:rFonts w:ascii="Times New Roman" w:hAnsi="Times New Roman" w:cs="Times New Roman"/>
          <w:b/>
        </w:rPr>
        <w:t xml:space="preserve"> projektu</w:t>
      </w:r>
      <w:r w:rsidRPr="0023349B">
        <w:rPr>
          <w:rFonts w:ascii="Times New Roman" w:hAnsi="Times New Roman" w:cs="Times New Roman"/>
          <w:b/>
          <w:i/>
        </w:rPr>
        <w:t xml:space="preserve"> ustawy</w:t>
      </w:r>
      <w:r w:rsidRPr="0023349B">
        <w:rPr>
          <w:rFonts w:ascii="Times New Roman" w:hAnsi="Times New Roman" w:cs="Times New Roman"/>
        </w:rPr>
        <w:t xml:space="preserve">) przewiduje w </w:t>
      </w:r>
      <w:r w:rsidRPr="0023349B">
        <w:rPr>
          <w:rFonts w:ascii="Times New Roman" w:hAnsi="Times New Roman" w:cs="Times New Roman"/>
          <w:b/>
        </w:rPr>
        <w:t>art. 29 ust. 1</w:t>
      </w:r>
      <w:r w:rsidRPr="0023349B">
        <w:rPr>
          <w:rFonts w:ascii="Times New Roman" w:hAnsi="Times New Roman" w:cs="Times New Roman"/>
        </w:rPr>
        <w:t xml:space="preserve"> </w:t>
      </w:r>
      <w:r w:rsidRPr="0023349B">
        <w:rPr>
          <w:rFonts w:ascii="Times New Roman" w:hAnsi="Times New Roman" w:cs="Times New Roman"/>
          <w:i/>
        </w:rPr>
        <w:t xml:space="preserve">ustawy o niektórych formach… </w:t>
      </w:r>
      <w:r w:rsidRPr="0023349B">
        <w:rPr>
          <w:rFonts w:ascii="Times New Roman" w:hAnsi="Times New Roman" w:cs="Times New Roman"/>
        </w:rPr>
        <w:t xml:space="preserve">poszerzyć katalog podmiotów uprawnionych do zawarcia z TBS umowy w sprawie partycypacji w kosztach budowy lokalu mieszkalnego o pracodawców niebędących osobami fizycznymi (np. spółka prawa handlowego, spółdzielnia), którzy działając w celu udostępnienia (np. na zasadzie umowy podnajmu, użyczenia, itp.) wynajętych przez siebie lokali mieszkalnych swoim pracownikom zawierają takie umowy. Założeniem projektodawcy tej regulacji jest więc zachowanie tożsamości po stronie </w:t>
      </w:r>
      <w:proofErr w:type="spellStart"/>
      <w:r w:rsidRPr="0023349B">
        <w:rPr>
          <w:rFonts w:ascii="Times New Roman" w:hAnsi="Times New Roman" w:cs="Times New Roman"/>
        </w:rPr>
        <w:t>partycypanta</w:t>
      </w:r>
      <w:proofErr w:type="spellEnd"/>
      <w:r w:rsidRPr="0023349B">
        <w:rPr>
          <w:rFonts w:ascii="Times New Roman" w:hAnsi="Times New Roman" w:cs="Times New Roman"/>
        </w:rPr>
        <w:t xml:space="preserve"> i najemcy. Będziemy tu więc mieli do czynienia z tzw. </w:t>
      </w:r>
      <w:r w:rsidRPr="0023349B">
        <w:rPr>
          <w:rFonts w:ascii="Times New Roman" w:hAnsi="Times New Roman" w:cs="Times New Roman"/>
          <w:i/>
        </w:rPr>
        <w:t xml:space="preserve">„instytucją partycypacji własnej pracodawcy” </w:t>
      </w:r>
      <w:r w:rsidRPr="0023349B">
        <w:rPr>
          <w:rFonts w:ascii="Times New Roman" w:hAnsi="Times New Roman" w:cs="Times New Roman"/>
        </w:rPr>
        <w:t xml:space="preserve">na wzór </w:t>
      </w:r>
      <w:r w:rsidRPr="0023349B">
        <w:rPr>
          <w:rFonts w:ascii="Times New Roman" w:hAnsi="Times New Roman" w:cs="Times New Roman"/>
          <w:i/>
        </w:rPr>
        <w:t xml:space="preserve">„instytucji partycypacji własnej najemcy” </w:t>
      </w:r>
      <w:r w:rsidRPr="0023349B">
        <w:rPr>
          <w:rFonts w:ascii="Times New Roman" w:hAnsi="Times New Roman" w:cs="Times New Roman"/>
        </w:rPr>
        <w:t xml:space="preserve">z art. 29a </w:t>
      </w:r>
      <w:r w:rsidRPr="0023349B">
        <w:rPr>
          <w:rFonts w:ascii="Times New Roman" w:hAnsi="Times New Roman" w:cs="Times New Roman"/>
          <w:i/>
        </w:rPr>
        <w:t>ustawy o niektórych formach…</w:t>
      </w:r>
      <w:r w:rsidRPr="0023349B">
        <w:rPr>
          <w:rFonts w:ascii="Times New Roman" w:hAnsi="Times New Roman" w:cs="Times New Roman"/>
        </w:rPr>
        <w:t xml:space="preserve">.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Możliwość wynajęcia przez TBS lokalu mieszkalnego pracodawcy niebędącemu osobą fizyczną w celu udostępnienia tego lokalu swojemu pracownikowi ustawodawca przewidział w projektowanym </w:t>
      </w:r>
      <w:r w:rsidRPr="0023349B">
        <w:rPr>
          <w:rFonts w:ascii="Times New Roman" w:hAnsi="Times New Roman" w:cs="Times New Roman"/>
          <w:b/>
        </w:rPr>
        <w:t>art. 30a ust. 3</w:t>
      </w:r>
      <w:r w:rsidRPr="0023349B">
        <w:rPr>
          <w:rFonts w:ascii="Times New Roman" w:hAnsi="Times New Roman" w:cs="Times New Roman"/>
        </w:rPr>
        <w:t xml:space="preserve"> </w:t>
      </w:r>
      <w:r w:rsidRPr="0023349B">
        <w:rPr>
          <w:rFonts w:ascii="Times New Roman" w:hAnsi="Times New Roman" w:cs="Times New Roman"/>
          <w:i/>
        </w:rPr>
        <w:t xml:space="preserve">ustawy o niektórych formach… </w:t>
      </w:r>
      <w:r w:rsidRPr="0023349B">
        <w:rPr>
          <w:rFonts w:ascii="Times New Roman" w:hAnsi="Times New Roman" w:cs="Times New Roman"/>
        </w:rPr>
        <w:t>(</w:t>
      </w:r>
      <w:r w:rsidRPr="0023349B">
        <w:rPr>
          <w:rFonts w:ascii="Times New Roman" w:hAnsi="Times New Roman" w:cs="Times New Roman"/>
          <w:b/>
        </w:rPr>
        <w:t xml:space="preserve">art. </w:t>
      </w:r>
      <w:r w:rsidR="006D6FCE" w:rsidRPr="0023349B">
        <w:rPr>
          <w:rFonts w:ascii="Times New Roman" w:hAnsi="Times New Roman" w:cs="Times New Roman"/>
          <w:b/>
        </w:rPr>
        <w:t>7</w:t>
      </w:r>
      <w:r w:rsidRPr="0023349B">
        <w:rPr>
          <w:rFonts w:ascii="Times New Roman" w:hAnsi="Times New Roman" w:cs="Times New Roman"/>
          <w:b/>
        </w:rPr>
        <w:t xml:space="preserve"> pkt </w:t>
      </w:r>
      <w:r w:rsidR="006D6FCE" w:rsidRPr="0023349B">
        <w:rPr>
          <w:rFonts w:ascii="Times New Roman" w:hAnsi="Times New Roman" w:cs="Times New Roman"/>
          <w:b/>
        </w:rPr>
        <w:t>14</w:t>
      </w:r>
      <w:r w:rsidRPr="0023349B">
        <w:rPr>
          <w:rFonts w:ascii="Times New Roman" w:hAnsi="Times New Roman" w:cs="Times New Roman"/>
          <w:b/>
        </w:rPr>
        <w:t xml:space="preserve"> lit. c projektu ustawy</w:t>
      </w:r>
      <w:r w:rsidRPr="0023349B">
        <w:rPr>
          <w:rFonts w:ascii="Times New Roman" w:hAnsi="Times New Roman" w:cs="Times New Roman"/>
        </w:rPr>
        <w:t>). Jednocześnie zawierając zastrzeżenie, w myśl którego pracodawca (będący najemcą) z tytułu udostępnienia tego lokalu pracownikowi będzie mógł pobierać wyłącznie opłaty pokrywające koszty tego najmu.</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nowoprojektowanym </w:t>
      </w:r>
      <w:r w:rsidRPr="0023349B">
        <w:rPr>
          <w:rFonts w:ascii="Times New Roman" w:hAnsi="Times New Roman" w:cs="Times New Roman"/>
          <w:b/>
        </w:rPr>
        <w:t>art. 30b ust. 2</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w:t>
      </w:r>
      <w:r w:rsidRPr="0023349B">
        <w:rPr>
          <w:rFonts w:ascii="Times New Roman" w:hAnsi="Times New Roman" w:cs="Times New Roman"/>
          <w:b/>
        </w:rPr>
        <w:t xml:space="preserve">art. </w:t>
      </w:r>
      <w:r w:rsidR="006D6FCE" w:rsidRPr="0023349B">
        <w:rPr>
          <w:rFonts w:ascii="Times New Roman" w:hAnsi="Times New Roman" w:cs="Times New Roman"/>
          <w:b/>
        </w:rPr>
        <w:t>7</w:t>
      </w:r>
      <w:r w:rsidRPr="0023349B">
        <w:rPr>
          <w:rFonts w:ascii="Times New Roman" w:hAnsi="Times New Roman" w:cs="Times New Roman"/>
          <w:b/>
        </w:rPr>
        <w:t xml:space="preserve"> pkt </w:t>
      </w:r>
      <w:r w:rsidR="006D6FCE" w:rsidRPr="0023349B">
        <w:rPr>
          <w:rFonts w:ascii="Times New Roman" w:hAnsi="Times New Roman" w:cs="Times New Roman"/>
          <w:b/>
        </w:rPr>
        <w:t>15</w:t>
      </w:r>
      <w:r w:rsidRPr="0023349B">
        <w:rPr>
          <w:rFonts w:ascii="Times New Roman" w:hAnsi="Times New Roman" w:cs="Times New Roman"/>
          <w:b/>
        </w:rPr>
        <w:t xml:space="preserve"> projektu ustawy</w:t>
      </w:r>
      <w:r w:rsidRPr="0023349B">
        <w:rPr>
          <w:rFonts w:ascii="Times New Roman" w:hAnsi="Times New Roman" w:cs="Times New Roman"/>
        </w:rPr>
        <w:t>) zawarte zostały przesłanki warunkujące możliwość wynajmu lokalu mieszkalnego pracodawcy niebędącemu osobą fizyczną działającemu w celu udostępnienia tego lokalu swojemu pracownikowi w sytuacji, gdy lokal mieszkalny został wybudowany przy wykorzystaniu kredytu udzielonego przez BGK na podstawie wniosków o kredyt złożonych do dnia 30 września 2009 r. lub przy wykorzystaniu finansowania zwrotnego. Warunkiem wynajmu takiego lokalu jest, aby:</w:t>
      </w:r>
    </w:p>
    <w:p w:rsidR="00C268CB" w:rsidRPr="0023349B" w:rsidRDefault="00C268CB" w:rsidP="0023349B">
      <w:pPr>
        <w:numPr>
          <w:ilvl w:val="0"/>
          <w:numId w:val="30"/>
        </w:numPr>
        <w:tabs>
          <w:tab w:val="left" w:pos="0"/>
        </w:tabs>
        <w:spacing w:after="120" w:line="360" w:lineRule="auto"/>
        <w:ind w:left="425" w:hanging="425"/>
        <w:jc w:val="both"/>
        <w:rPr>
          <w:rFonts w:ascii="Times New Roman" w:hAnsi="Times New Roman" w:cs="Times New Roman"/>
        </w:rPr>
      </w:pPr>
      <w:r w:rsidRPr="0023349B">
        <w:rPr>
          <w:rFonts w:ascii="Times New Roman" w:hAnsi="Times New Roman" w:cs="Times New Roman"/>
        </w:rPr>
        <w:t>łączna liczba lokali mieszkalnych wynajmowanych przez TBS pracodawcom niebędącym osobą fizyczną nie przekroczyła 10% wszystkich lokali wybudowanych przez to TBS z wykorzystaniem tego kredytu lub tego finansowania;</w:t>
      </w:r>
    </w:p>
    <w:p w:rsidR="00C268CB" w:rsidRPr="0023349B" w:rsidRDefault="00C268CB" w:rsidP="0023349B">
      <w:pPr>
        <w:numPr>
          <w:ilvl w:val="0"/>
          <w:numId w:val="30"/>
        </w:numPr>
        <w:tabs>
          <w:tab w:val="left" w:pos="0"/>
        </w:tabs>
        <w:spacing w:after="240" w:line="360" w:lineRule="auto"/>
        <w:ind w:left="426" w:hanging="426"/>
        <w:jc w:val="both"/>
        <w:rPr>
          <w:rFonts w:ascii="Times New Roman" w:hAnsi="Times New Roman" w:cs="Times New Roman"/>
        </w:rPr>
      </w:pPr>
      <w:r w:rsidRPr="0023349B">
        <w:rPr>
          <w:rFonts w:ascii="Times New Roman" w:hAnsi="Times New Roman" w:cs="Times New Roman"/>
        </w:rPr>
        <w:t xml:space="preserve">pracodawca niebędący osobą fizyczną był stroną zawartej z TBS umowy w sprawie partycypacji w kosztach budowy tego lokalu albo stał się stroną takiej umowy z dniem zawarcia umowy najmu takiego lokalu (nowoprojektowany art. 29 ust. 1 ustawy o niektórych formach…).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art. 30b ust. 3</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ustawodawca przewiduje wyjątek od zasady nieprzekroczenia 10% lokali wynajmowanych przez TBS pracodawcom niebędącym osobom fizyczną w przypadku, gdy wszyscy pracownicy będący najemcami spełniają kryterium dochodowe, o którym mowa w art. 30 ust. 1 pkt 2 ustawy o niektórych formach….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Projekt nowelizacji wyklucza natomiast całkowicie w </w:t>
      </w:r>
      <w:r w:rsidRPr="0023349B">
        <w:rPr>
          <w:rFonts w:ascii="Times New Roman" w:hAnsi="Times New Roman" w:cs="Times New Roman"/>
          <w:b/>
        </w:rPr>
        <w:t>art. 30b ust. 1</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możliwość wynajmu lokali mieszkalnych pracodawcom niebędącym osobą fizyczną działającym w celu udostępnienia tego lokalu swoim pracownikom, w sytuacji gdy mieszkania te zostały wybudowane przy wykorzystaniu finansowego wsparcia, o którym mowa w art. 5 ust. 1 </w:t>
      </w:r>
      <w:r w:rsidRPr="0023349B">
        <w:rPr>
          <w:rFonts w:ascii="Times New Roman" w:hAnsi="Times New Roman" w:cs="Times New Roman"/>
          <w:i/>
        </w:rPr>
        <w:t>ustawy o finansowym wsparciu…,</w:t>
      </w:r>
      <w:r w:rsidRPr="0023349B">
        <w:rPr>
          <w:rFonts w:ascii="Times New Roman" w:hAnsi="Times New Roman" w:cs="Times New Roman"/>
        </w:rPr>
        <w:t xml:space="preserve"> bowiem lokale mieszkalne powstałe przy udziale ww. wsparcia mogą być wynajmowane tylko osobie fizycznej, wskazanej przez gminę albo związek międzygminny, przy założeniu, że osoba taka spełnia kryterium braku mieszkania i kryterium dochodowe (art. 7a ust. 1 </w:t>
      </w:r>
      <w:r w:rsidRPr="0023349B">
        <w:rPr>
          <w:rFonts w:ascii="Times New Roman" w:hAnsi="Times New Roman" w:cs="Times New Roman"/>
          <w:i/>
        </w:rPr>
        <w:t>ustawy o finansowym wsparciu…</w:t>
      </w:r>
      <w:r w:rsidRPr="0023349B">
        <w:rPr>
          <w:rFonts w:ascii="Times New Roman" w:hAnsi="Times New Roman" w:cs="Times New Roman"/>
        </w:rPr>
        <w:t>).</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1F0110" w:rsidRPr="0023349B">
        <w:rPr>
          <w:rFonts w:ascii="Times New Roman" w:hAnsi="Times New Roman" w:cs="Times New Roman"/>
          <w:u w:val="single"/>
        </w:rPr>
        <w:t>13</w:t>
      </w:r>
      <w:r w:rsidRPr="0023349B">
        <w:rPr>
          <w:rFonts w:ascii="Times New Roman" w:hAnsi="Times New Roman" w:cs="Times New Roman"/>
          <w:u w:val="single"/>
        </w:rPr>
        <w:t>: art. 30 ust. 1</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Zmiana treści </w:t>
      </w:r>
      <w:r w:rsidRPr="0023349B">
        <w:rPr>
          <w:rFonts w:ascii="Times New Roman" w:hAnsi="Times New Roman" w:cs="Times New Roman"/>
          <w:b/>
        </w:rPr>
        <w:t>art. 30 ust. 1</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ma na celu doprecyzowanie tego przepisu w celu uniknięcia ewentualnych wątpliwości interpretacyjnych (</w:t>
      </w:r>
      <w:r w:rsidRPr="0023349B">
        <w:rPr>
          <w:rFonts w:ascii="Times New Roman" w:hAnsi="Times New Roman" w:cs="Times New Roman"/>
          <w:b/>
        </w:rPr>
        <w:t xml:space="preserve">art. </w:t>
      </w:r>
      <w:r w:rsidR="001F0110" w:rsidRPr="0023349B">
        <w:rPr>
          <w:rFonts w:ascii="Times New Roman" w:hAnsi="Times New Roman" w:cs="Times New Roman"/>
          <w:b/>
        </w:rPr>
        <w:t>7</w:t>
      </w:r>
      <w:r w:rsidRPr="0023349B">
        <w:rPr>
          <w:rFonts w:ascii="Times New Roman" w:hAnsi="Times New Roman" w:cs="Times New Roman"/>
          <w:b/>
        </w:rPr>
        <w:t xml:space="preserve"> pkt </w:t>
      </w:r>
      <w:r w:rsidR="001F0110" w:rsidRPr="0023349B">
        <w:rPr>
          <w:rFonts w:ascii="Times New Roman" w:hAnsi="Times New Roman" w:cs="Times New Roman"/>
          <w:b/>
        </w:rPr>
        <w:t>13</w:t>
      </w:r>
      <w:r w:rsidRPr="0023349B">
        <w:rPr>
          <w:rFonts w:ascii="Times New Roman" w:hAnsi="Times New Roman" w:cs="Times New Roman"/>
          <w:b/>
        </w:rPr>
        <w:t xml:space="preserve"> lit. a</w:t>
      </w:r>
      <w:r w:rsidRPr="0023349B">
        <w:rPr>
          <w:rFonts w:ascii="Times New Roman" w:hAnsi="Times New Roman" w:cs="Times New Roman"/>
        </w:rPr>
        <w:t xml:space="preserve">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W obecnym brzmieniu sformułowanie „towarzystwo może wynająć lokal mieszkalny… wyłącznie osobie fizycznej” (po spełnieniu określonych warunków) może sugerować, że mieszkalnia w zasobach TBS mogą być wynajmowane tylko osobom fizycznym (co oczywiście pozostaje w sprzeczności z treścią art. 30a ustawy). Sformułowanie </w:t>
      </w:r>
      <w:r w:rsidRPr="0023349B">
        <w:rPr>
          <w:rFonts w:ascii="Times New Roman" w:hAnsi="Times New Roman" w:cs="Times New Roman"/>
          <w:i/>
        </w:rPr>
        <w:t>„wyłącznie”</w:t>
      </w:r>
      <w:r w:rsidRPr="0023349B">
        <w:rPr>
          <w:rFonts w:ascii="Times New Roman" w:hAnsi="Times New Roman" w:cs="Times New Roman"/>
        </w:rPr>
        <w:t xml:space="preserve"> ma tutaj na celu podkreślenie, że osoby fizyczne mogą zostać najemcami lokali mieszkalnych w TBS, jeżeli spełniają dwa warunki, tj. brak tytułu prawnego do innego mieszkania i dochody na odpowiednim poziomie. Skreślenie wyrazu </w:t>
      </w:r>
      <w:r w:rsidRPr="0023349B">
        <w:rPr>
          <w:rFonts w:ascii="Times New Roman" w:hAnsi="Times New Roman" w:cs="Times New Roman"/>
          <w:i/>
        </w:rPr>
        <w:t>„wyłącznie”</w:t>
      </w:r>
      <w:r w:rsidRPr="0023349B">
        <w:rPr>
          <w:rFonts w:ascii="Times New Roman" w:hAnsi="Times New Roman" w:cs="Times New Roman"/>
        </w:rPr>
        <w:t xml:space="preserve"> w treści tego przepisu jednoznacznie doprecyzuje/wskaże na możliwość wynajmu mieszkań wybudowanych przy wykorzystaniu preferencyjnych kredytów BGK (programy SBC i b.</w:t>
      </w:r>
      <w:r w:rsidR="001F0110" w:rsidRPr="0023349B">
        <w:rPr>
          <w:rFonts w:ascii="Times New Roman" w:hAnsi="Times New Roman" w:cs="Times New Roman"/>
        </w:rPr>
        <w:t xml:space="preserve"> </w:t>
      </w:r>
      <w:r w:rsidRPr="0023349B">
        <w:rPr>
          <w:rFonts w:ascii="Times New Roman" w:hAnsi="Times New Roman" w:cs="Times New Roman"/>
        </w:rPr>
        <w:t>KFM) podmiotom innym niż osoby fizyczne.</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art. 30 w ust. 1 w pkt 2</w:t>
      </w:r>
      <w:r w:rsidRPr="0023349B">
        <w:rPr>
          <w:rFonts w:ascii="Times New Roman" w:hAnsi="Times New Roman" w:cs="Times New Roman"/>
        </w:rPr>
        <w:t xml:space="preserve"> i</w:t>
      </w:r>
      <w:r w:rsidRPr="0023349B">
        <w:rPr>
          <w:rFonts w:ascii="Times New Roman" w:hAnsi="Times New Roman" w:cs="Times New Roman"/>
          <w:b/>
        </w:rPr>
        <w:t xml:space="preserve"> 2a</w:t>
      </w:r>
      <w:r w:rsidRPr="0023349B">
        <w:rPr>
          <w:rFonts w:ascii="Times New Roman" w:hAnsi="Times New Roman" w:cs="Times New Roman"/>
        </w:rPr>
        <w:t xml:space="preserve"> (</w:t>
      </w:r>
      <w:r w:rsidRPr="0023349B">
        <w:rPr>
          <w:rFonts w:ascii="Times New Roman" w:hAnsi="Times New Roman" w:cs="Times New Roman"/>
          <w:b/>
        </w:rPr>
        <w:t xml:space="preserve">art. </w:t>
      </w:r>
      <w:r w:rsidR="001F0110" w:rsidRPr="0023349B">
        <w:rPr>
          <w:rFonts w:ascii="Times New Roman" w:hAnsi="Times New Roman" w:cs="Times New Roman"/>
          <w:b/>
        </w:rPr>
        <w:t>7</w:t>
      </w:r>
      <w:r w:rsidRPr="0023349B">
        <w:rPr>
          <w:rFonts w:ascii="Times New Roman" w:hAnsi="Times New Roman" w:cs="Times New Roman"/>
          <w:b/>
        </w:rPr>
        <w:t xml:space="preserve"> pkt </w:t>
      </w:r>
      <w:r w:rsidR="001F0110" w:rsidRPr="0023349B">
        <w:rPr>
          <w:rFonts w:ascii="Times New Roman" w:hAnsi="Times New Roman" w:cs="Times New Roman"/>
          <w:b/>
        </w:rPr>
        <w:t>13</w:t>
      </w:r>
      <w:r w:rsidRPr="0023349B">
        <w:rPr>
          <w:rFonts w:ascii="Times New Roman" w:hAnsi="Times New Roman" w:cs="Times New Roman"/>
          <w:b/>
        </w:rPr>
        <w:t xml:space="preserve"> lit. b i c projektu </w:t>
      </w:r>
      <w:r w:rsidRPr="0023349B">
        <w:rPr>
          <w:rFonts w:ascii="Times New Roman" w:hAnsi="Times New Roman" w:cs="Times New Roman"/>
          <w:b/>
          <w:i/>
        </w:rPr>
        <w:t>ustawy</w:t>
      </w:r>
      <w:r w:rsidRPr="0023349B">
        <w:rPr>
          <w:rFonts w:ascii="Times New Roman" w:hAnsi="Times New Roman" w:cs="Times New Roman"/>
        </w:rPr>
        <w:t xml:space="preserve">) dokonano podwyższenia wartości procentowych stanowiące podstawę do określenia progów dochodowych uprawniających osoby fizyczne do najmu lokalu mieszkalnego wybudowanego przy wykorzystaniu kredytu udzielonego przez BGK na podstawie wniosków o kredyt złożonych do dnia 30 września 2009 r. lub przy wykorzystaniu finansowania zwrotnego.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Średni miesięczny dochód gospodarstwa domowego w roku poprzedzającym rok, w którym jest zawierana umowa najmu ww. lokalu nie może przekroczyć określonego procentowo limitu dochodowego, uzależnionego od liczby członków gospodarstwa oraz wysokości ostatnio ogłoszonego przez Prezesa Głównego Urzędu Statystycznego przeciętnego miesięcznego wynagrodzenia brutto w gospodarce narodowej w danym województwie za ubiegły rok. Zasada ta ma za zadanie adresowanie mieszkań wybudowanych w ramach programu do odpowiedniej, docelowej grupy gospodarstw domowych, tj. osób o umiarkowanych dochodach, które zarabiają zbyt dużo, aby ubiegać się o lokal komunalny, ale za mało, by wynająć mieszkanie lub zaciągnąć kredyt hipoteczny na jego zakup na rynku komercyjnym.</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Zmiana definicji dochodu w ustawie o dodatkach mieszkaniowych powoduje, że konieczna jest również zmiana w ustawie o niektórych formach (…), tak aby faktyczny limit dochodów pozostał na dotychczasowym poziomie. Zmiana zaproponowana w tym zakresie ma zatem jedynie charakter techniczny związany ze zmianą definicji dochodu, a tym samym koniecznością dostosowania limitów, tak aby finalnym odbiorcą rządowych programów w zakresie społecznego budownictwa czynszowego pozostawała nadal ta sama, zdefiniowana wcześniej grupa. </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1F0110" w:rsidRPr="0023349B">
        <w:rPr>
          <w:rFonts w:ascii="Times New Roman" w:hAnsi="Times New Roman" w:cs="Times New Roman"/>
          <w:u w:val="single"/>
        </w:rPr>
        <w:t>14</w:t>
      </w:r>
      <w:r w:rsidRPr="0023349B">
        <w:rPr>
          <w:rFonts w:ascii="Times New Roman" w:hAnsi="Times New Roman" w:cs="Times New Roman"/>
          <w:u w:val="single"/>
        </w:rPr>
        <w:t>: art. 30a ust. 1 i 2</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Wymagane jest lepsze dostosowanie programu TBS do budowania dobrych praktyk z udziałem organizacji pożytku publicznego, również poprzez tworzenie przestrzeni dla wykorzystywania programu wsparcia społecznego budownictwa czynszowego w innych społecznych programach rządu. Szeroki i bardzo zróżnicowany zakres problemów społecznych, których skuteczne rozwiązywanie/profilaktyka może zakładać konieczność zabezpieczenia potrzeby mieszkaniowej, uzasadniają rozwiązania o większym poziomie elastyczności niż podlegające szczególnym zasadom przydziału mieszkalnictwo chronione. Mieszania w TBS w większym stopniu mogłyby stanowić bazę dla realizacji we współpracy TBS z sektorem NGO innowacji pilotażowych.</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Obiektywnie duży potencjał programu wsparcia SBC w zakresie dostarczania organizacjom pozarządowym, jak również gminom, mieszkań przeznaczonych do czasowego ich udostępniania w ramach dedykowanych danej problematyce społecznej misji, nie jest wykorzystywany. Aktualnie jest on ograniczony do możliwości prowadzenia mieszkań chronionych, zgodnie z przepisami o pomocy społecznej, lub możliwości wynajmu mieszkania czynszowego wybudowanego w ramach programu wsparcia organizacji pożytku publicznego w celu ulokowania w nim placówki opiekuńczo – wychowawczej dla nie więcej niż czternaściorga dzieci. Nie są to rozwiązania wystarczające.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zasobach objętych szczególnymi programami społecznymi (szeroko rozumiane mieszkania wspomagane, obsługujące np. programy wychodzenia z bezdomności) duże wyzwania stoją przed organizacjami pozarządowymi jako partnerami organizującymi i/lub świadczącymi usługi wsparcia dla mieszkańców tych zasobów. Organizacje pożytku publicznego są w stanie zabezpieczyć kadry i wolontariat, jak również pozyskiwać finansowanie na usługi opiekuńcze w mieszkaniach.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Proponowane w </w:t>
      </w:r>
      <w:r w:rsidRPr="0023349B">
        <w:rPr>
          <w:rFonts w:ascii="Times New Roman" w:hAnsi="Times New Roman" w:cs="Times New Roman"/>
          <w:b/>
        </w:rPr>
        <w:t xml:space="preserve">art. </w:t>
      </w:r>
      <w:r w:rsidR="001F0110" w:rsidRPr="0023349B">
        <w:rPr>
          <w:rFonts w:ascii="Times New Roman" w:hAnsi="Times New Roman" w:cs="Times New Roman"/>
          <w:b/>
        </w:rPr>
        <w:t>7</w:t>
      </w:r>
      <w:r w:rsidRPr="0023349B">
        <w:rPr>
          <w:rFonts w:ascii="Times New Roman" w:hAnsi="Times New Roman" w:cs="Times New Roman"/>
          <w:b/>
        </w:rPr>
        <w:t xml:space="preserve"> pkt </w:t>
      </w:r>
      <w:r w:rsidR="001F0110" w:rsidRPr="0023349B">
        <w:rPr>
          <w:rFonts w:ascii="Times New Roman" w:hAnsi="Times New Roman" w:cs="Times New Roman"/>
          <w:b/>
        </w:rPr>
        <w:t>14</w:t>
      </w:r>
      <w:r w:rsidRPr="0023349B">
        <w:rPr>
          <w:rFonts w:ascii="Times New Roman" w:hAnsi="Times New Roman" w:cs="Times New Roman"/>
          <w:b/>
        </w:rPr>
        <w:t xml:space="preserve"> lit. b projektu ustawy</w:t>
      </w:r>
      <w:r w:rsidRPr="0023349B">
        <w:rPr>
          <w:rFonts w:ascii="Times New Roman" w:hAnsi="Times New Roman" w:cs="Times New Roman"/>
        </w:rPr>
        <w:t xml:space="preserve"> zmiany mają na celu rozszerzenie sposobu dalszego wykorzystania wynajmowanego przez ww. podmioty lokalu mieszkalnego.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W przypadku organizacji pożytku publicznego zakłada się, aby kolejnym warunkiem najmu lokalu mieszkalnego było udostępnienie tego lokalu osobie lub osobom fizycznym w celu zaspokojenia potrzeb mieszkaniowych w ramach działalności</w:t>
      </w:r>
      <w:r w:rsidR="00193AD6" w:rsidRPr="0023349B">
        <w:rPr>
          <w:rFonts w:ascii="Times New Roman" w:hAnsi="Times New Roman" w:cs="Times New Roman"/>
        </w:rPr>
        <w:t xml:space="preserve"> </w:t>
      </w:r>
      <w:r w:rsidRPr="0023349B">
        <w:rPr>
          <w:rFonts w:ascii="Times New Roman" w:hAnsi="Times New Roman" w:cs="Times New Roman"/>
        </w:rPr>
        <w:t xml:space="preserve">prowadzonej przez tą organizację pożytku publicznego w zakresie zadań publicznych, o których mowa </w:t>
      </w:r>
      <w:r w:rsidRPr="0023349B">
        <w:rPr>
          <w:rFonts w:ascii="Times New Roman" w:hAnsi="Times New Roman" w:cs="Times New Roman"/>
          <w:b/>
          <w:bCs/>
        </w:rPr>
        <w:t>w art. 4 ust. 1 pkt 1</w:t>
      </w:r>
      <w:r w:rsidRPr="0023349B">
        <w:rPr>
          <w:rFonts w:ascii="Times New Roman" w:hAnsi="Times New Roman" w:cs="Times New Roman"/>
        </w:rPr>
        <w:t xml:space="preserve"> (pomoc społeczna, w tym pomoc rodzinom i osobom w trudnej sytuacji życiowej oraz wyrównywanie szans tych rodzin i osób), </w:t>
      </w:r>
      <w:r w:rsidRPr="0023349B">
        <w:rPr>
          <w:rFonts w:ascii="Times New Roman" w:hAnsi="Times New Roman" w:cs="Times New Roman"/>
          <w:b/>
          <w:bCs/>
        </w:rPr>
        <w:t>1a</w:t>
      </w:r>
      <w:r w:rsidRPr="0023349B">
        <w:rPr>
          <w:rFonts w:ascii="Times New Roman" w:hAnsi="Times New Roman" w:cs="Times New Roman"/>
        </w:rPr>
        <w:t xml:space="preserve"> (wspieranie rodziny i systemu pieczy zastępczej), </w:t>
      </w:r>
      <w:r w:rsidRPr="0023349B">
        <w:rPr>
          <w:rFonts w:ascii="Times New Roman" w:hAnsi="Times New Roman" w:cs="Times New Roman"/>
          <w:b/>
          <w:bCs/>
        </w:rPr>
        <w:t>2</w:t>
      </w:r>
      <w:r w:rsidRPr="0023349B">
        <w:rPr>
          <w:rFonts w:ascii="Times New Roman" w:hAnsi="Times New Roman" w:cs="Times New Roman"/>
        </w:rPr>
        <w:t xml:space="preserve"> (działalność na rzecz integracji i reintegracji zawodowej i społecznej osób zagrożonych wykluczeniem społecznym), </w:t>
      </w:r>
      <w:r w:rsidRPr="0023349B">
        <w:rPr>
          <w:rFonts w:ascii="Times New Roman" w:hAnsi="Times New Roman" w:cs="Times New Roman"/>
          <w:b/>
          <w:bCs/>
        </w:rPr>
        <w:t>5a</w:t>
      </w:r>
      <w:r w:rsidRPr="0023349B">
        <w:rPr>
          <w:rFonts w:ascii="Times New Roman" w:hAnsi="Times New Roman" w:cs="Times New Roman"/>
        </w:rPr>
        <w:t xml:space="preserve"> (działalność na rzecz integracji cudzoziemców), </w:t>
      </w:r>
      <w:r w:rsidRPr="0023349B">
        <w:rPr>
          <w:rFonts w:ascii="Times New Roman" w:hAnsi="Times New Roman" w:cs="Times New Roman"/>
          <w:b/>
          <w:bCs/>
        </w:rPr>
        <w:t>7</w:t>
      </w:r>
      <w:r w:rsidRPr="0023349B">
        <w:rPr>
          <w:rFonts w:ascii="Times New Roman" w:hAnsi="Times New Roman" w:cs="Times New Roman"/>
        </w:rPr>
        <w:t xml:space="preserve"> (działalność na rzecz osób niepełnosprawnych), </w:t>
      </w:r>
      <w:r w:rsidRPr="0023349B">
        <w:rPr>
          <w:rFonts w:ascii="Times New Roman" w:hAnsi="Times New Roman" w:cs="Times New Roman"/>
          <w:b/>
          <w:bCs/>
        </w:rPr>
        <w:t>24</w:t>
      </w:r>
      <w:r w:rsidRPr="0023349B">
        <w:rPr>
          <w:rFonts w:ascii="Times New Roman" w:hAnsi="Times New Roman" w:cs="Times New Roman"/>
        </w:rPr>
        <w:t xml:space="preserve"> (pomoc ofiarom katastrof, klęsk żywiołowych, konfliktów zbrojnych i wojen w kraju i za granicą), 28 (pomoc Polonii i Polakom za granicą), </w:t>
      </w:r>
      <w:r w:rsidRPr="0023349B">
        <w:rPr>
          <w:rFonts w:ascii="Times New Roman" w:hAnsi="Times New Roman" w:cs="Times New Roman"/>
          <w:b/>
          <w:bCs/>
        </w:rPr>
        <w:t>31</w:t>
      </w:r>
      <w:r w:rsidRPr="0023349B">
        <w:rPr>
          <w:rFonts w:ascii="Times New Roman" w:hAnsi="Times New Roman" w:cs="Times New Roman"/>
        </w:rPr>
        <w:t xml:space="preserve"> (działalność na rzecz rodziny, macierzyństwa, rodzicielstwa, upowszechniania i ochrony praw dziecka) oraz </w:t>
      </w:r>
      <w:r w:rsidRPr="0023349B">
        <w:rPr>
          <w:rFonts w:ascii="Times New Roman" w:hAnsi="Times New Roman" w:cs="Times New Roman"/>
          <w:b/>
          <w:bCs/>
        </w:rPr>
        <w:t>32</w:t>
      </w:r>
      <w:r w:rsidRPr="0023349B">
        <w:rPr>
          <w:rFonts w:ascii="Times New Roman" w:hAnsi="Times New Roman" w:cs="Times New Roman"/>
        </w:rPr>
        <w:t xml:space="preserve"> (przeciwdziałanie uzależnieniom i patologiom społecznym) ustawy z dnia 24 kwietnia 2003 r. o działalności pożytku publicznego i o wolontariacie (</w:t>
      </w:r>
      <w:r w:rsidRPr="0023349B">
        <w:rPr>
          <w:rFonts w:ascii="Times New Roman" w:hAnsi="Times New Roman" w:cs="Times New Roman"/>
          <w:b/>
        </w:rPr>
        <w:t xml:space="preserve">art. 30a ust. 2 pkt 3 </w:t>
      </w:r>
      <w:r w:rsidRPr="0023349B">
        <w:rPr>
          <w:rFonts w:ascii="Times New Roman" w:hAnsi="Times New Roman" w:cs="Times New Roman"/>
        </w:rPr>
        <w:t>ustawy).</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Ponadto poszerzono o jednoosobowe spółki gminne katalog podmiotów, którym towarzystwo może wynająć lokal mieszkalny w celu podnajmowania lokalu osobie fizycznej, prowadzenia w nim mieszkania chronionego, czy też ulokowania w nim placówki opiekuńczo-wychowawczej (</w:t>
      </w:r>
      <w:r w:rsidRPr="0023349B">
        <w:rPr>
          <w:rFonts w:ascii="Times New Roman" w:hAnsi="Times New Roman" w:cs="Times New Roman"/>
          <w:b/>
        </w:rPr>
        <w:t xml:space="preserve">art. </w:t>
      </w:r>
      <w:r w:rsidR="001F0110" w:rsidRPr="0023349B">
        <w:rPr>
          <w:rFonts w:ascii="Times New Roman" w:hAnsi="Times New Roman" w:cs="Times New Roman"/>
          <w:b/>
        </w:rPr>
        <w:t>7</w:t>
      </w:r>
      <w:r w:rsidRPr="0023349B">
        <w:rPr>
          <w:rFonts w:ascii="Times New Roman" w:hAnsi="Times New Roman" w:cs="Times New Roman"/>
          <w:b/>
        </w:rPr>
        <w:t xml:space="preserve"> pkt </w:t>
      </w:r>
      <w:r w:rsidR="001F0110" w:rsidRPr="0023349B">
        <w:rPr>
          <w:rFonts w:ascii="Times New Roman" w:hAnsi="Times New Roman" w:cs="Times New Roman"/>
          <w:b/>
        </w:rPr>
        <w:t>14</w:t>
      </w:r>
      <w:r w:rsidRPr="0023349B">
        <w:rPr>
          <w:rFonts w:ascii="Times New Roman" w:hAnsi="Times New Roman" w:cs="Times New Roman"/>
          <w:b/>
        </w:rPr>
        <w:t xml:space="preserve"> lit. a projektu ustawy</w:t>
      </w:r>
      <w:r w:rsidRPr="0023349B">
        <w:rPr>
          <w:rFonts w:ascii="Times New Roman" w:hAnsi="Times New Roman" w:cs="Times New Roman"/>
        </w:rPr>
        <w:t>). Potrzeba zmiany wynika przede wszystkim z faktu, że gmina może powierzyć realizację swoich zadań powołanej do tego jednoosobowej spółki gminnej. Niejednokrotnie powołane przez samorządy spółki zajmują się prowadzeniem w imieniu gminy lokalnej polityki mieszkaniowej.</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1F0110" w:rsidRPr="0023349B">
        <w:rPr>
          <w:rFonts w:ascii="Times New Roman" w:hAnsi="Times New Roman" w:cs="Times New Roman"/>
          <w:u w:val="single"/>
        </w:rPr>
        <w:t>16</w:t>
      </w:r>
      <w:r w:rsidRPr="0023349B">
        <w:rPr>
          <w:rFonts w:ascii="Times New Roman" w:hAnsi="Times New Roman" w:cs="Times New Roman"/>
          <w:u w:val="single"/>
        </w:rPr>
        <w:t>: art. 33</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art. 33 </w:t>
      </w:r>
      <w:r w:rsidRPr="0023349B">
        <w:rPr>
          <w:rFonts w:ascii="Times New Roman" w:hAnsi="Times New Roman" w:cs="Times New Roman"/>
          <w:i/>
        </w:rPr>
        <w:t>ustawy o niektórych formach</w:t>
      </w:r>
      <w:r w:rsidRPr="0023349B">
        <w:rPr>
          <w:rFonts w:ascii="Times New Roman" w:hAnsi="Times New Roman" w:cs="Times New Roman"/>
        </w:rPr>
        <w:t xml:space="preserve"> postanowiono, ż</w:t>
      </w:r>
      <w:r w:rsidR="002F6279" w:rsidRPr="0023349B">
        <w:rPr>
          <w:rFonts w:ascii="Times New Roman" w:hAnsi="Times New Roman" w:cs="Times New Roman"/>
        </w:rPr>
        <w:t>e w sprawach nieuregulowanych w </w:t>
      </w:r>
      <w:r w:rsidRPr="0023349B">
        <w:rPr>
          <w:rFonts w:ascii="Times New Roman" w:hAnsi="Times New Roman" w:cs="Times New Roman"/>
        </w:rPr>
        <w:t>rozdziale 4 i 4aa ustawy stosuje się odpowiednio przepisy ust</w:t>
      </w:r>
      <w:r w:rsidR="002F6279" w:rsidRPr="0023349B">
        <w:rPr>
          <w:rFonts w:ascii="Times New Roman" w:hAnsi="Times New Roman" w:cs="Times New Roman"/>
        </w:rPr>
        <w:t>awy z dnia 21 czerwca 2001 r. o </w:t>
      </w:r>
      <w:r w:rsidRPr="0023349B">
        <w:rPr>
          <w:rFonts w:ascii="Times New Roman" w:hAnsi="Times New Roman" w:cs="Times New Roman"/>
        </w:rPr>
        <w:t>ochronie praw lokatorów, mieszkaniowym zasobie gminy i o zmianie Kodeksu cywilnego oraz przepisy Kodeksu cywilnego o najmie.</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13375E" w:rsidRPr="0023349B">
        <w:rPr>
          <w:rFonts w:ascii="Times New Roman" w:hAnsi="Times New Roman" w:cs="Times New Roman"/>
          <w:u w:val="single"/>
        </w:rPr>
        <w:t>1</w:t>
      </w:r>
      <w:r w:rsidR="001F0110" w:rsidRPr="0023349B">
        <w:rPr>
          <w:rFonts w:ascii="Times New Roman" w:hAnsi="Times New Roman" w:cs="Times New Roman"/>
          <w:u w:val="single"/>
        </w:rPr>
        <w:t>7</w:t>
      </w:r>
      <w:bookmarkStart w:id="1" w:name="_Hlk38378340"/>
      <w:r w:rsidR="00193AD6" w:rsidRPr="0023349B">
        <w:rPr>
          <w:rFonts w:ascii="Times New Roman" w:hAnsi="Times New Roman" w:cs="Times New Roman"/>
          <w:u w:val="single"/>
        </w:rPr>
        <w:t>: art. 33da</w:t>
      </w:r>
      <w:r w:rsidRPr="0023349B">
        <w:rPr>
          <w:rFonts w:ascii="Times New Roman" w:hAnsi="Times New Roman" w:cs="Times New Roman"/>
          <w:u w:val="single"/>
        </w:rPr>
        <w:t>–</w:t>
      </w:r>
      <w:bookmarkEnd w:id="1"/>
      <w:r w:rsidRPr="0023349B">
        <w:rPr>
          <w:rFonts w:ascii="Times New Roman" w:hAnsi="Times New Roman" w:cs="Times New Roman"/>
          <w:u w:val="single"/>
        </w:rPr>
        <w:t>33d</w:t>
      </w:r>
      <w:r w:rsidR="00193AD6" w:rsidRPr="0023349B">
        <w:rPr>
          <w:rFonts w:ascii="Times New Roman" w:hAnsi="Times New Roman" w:cs="Times New Roman"/>
          <w:u w:val="single"/>
        </w:rPr>
        <w:t>m</w:t>
      </w:r>
      <w:r w:rsidRPr="0023349B">
        <w:rPr>
          <w:rFonts w:ascii="Times New Roman" w:hAnsi="Times New Roman" w:cs="Times New Roman"/>
          <w:u w:val="single"/>
        </w:rPr>
        <w:t xml:space="preserve">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W aktualnym stanie prawnym najemca, będący stroną umowy partycypacji w kosztach budowy, może odzyskać zwaloryzowaną kwotę wniesionych środków z tytułu partycypacji własnej </w:t>
      </w:r>
      <w:r w:rsidR="002F6279" w:rsidRPr="0023349B">
        <w:rPr>
          <w:rFonts w:ascii="Times New Roman" w:hAnsi="Times New Roman" w:cs="Times New Roman"/>
          <w:bCs/>
        </w:rPr>
        <w:t>co do </w:t>
      </w:r>
      <w:r w:rsidRPr="0023349B">
        <w:rPr>
          <w:rFonts w:ascii="Times New Roman" w:hAnsi="Times New Roman" w:cs="Times New Roman"/>
          <w:bCs/>
        </w:rPr>
        <w:t>zasady wyłącznie w okresie rozwiązania umowy najmu</w:t>
      </w:r>
      <w:r w:rsidR="00193AD6" w:rsidRPr="0023349B">
        <w:rPr>
          <w:rFonts w:ascii="Times New Roman" w:hAnsi="Times New Roman" w:cs="Times New Roman"/>
          <w:bCs/>
        </w:rPr>
        <w:t xml:space="preserve"> </w:t>
      </w:r>
      <w:r w:rsidRPr="0023349B">
        <w:rPr>
          <w:rFonts w:ascii="Times New Roman" w:hAnsi="Times New Roman" w:cs="Times New Roman"/>
          <w:bCs/>
        </w:rPr>
        <w:t>i opr</w:t>
      </w:r>
      <w:r w:rsidR="002F6279" w:rsidRPr="0023349B">
        <w:rPr>
          <w:rFonts w:ascii="Times New Roman" w:hAnsi="Times New Roman" w:cs="Times New Roman"/>
          <w:bCs/>
        </w:rPr>
        <w:t>óżnienia lokalu. Rozwiązanie to </w:t>
      </w:r>
      <w:r w:rsidRPr="0023349B">
        <w:rPr>
          <w:rFonts w:ascii="Times New Roman" w:hAnsi="Times New Roman" w:cs="Times New Roman"/>
          <w:bCs/>
        </w:rPr>
        <w:t>jest jedną z głównych przyczyn presji części lokatorów – nie mających alternatywy dotyczącej wynajmu lub zakupu innego mieszkania – na prywatyzację mieszkań w zw</w:t>
      </w:r>
      <w:r w:rsidR="002F6279" w:rsidRPr="0023349B">
        <w:rPr>
          <w:rFonts w:ascii="Times New Roman" w:hAnsi="Times New Roman" w:cs="Times New Roman"/>
          <w:bCs/>
        </w:rPr>
        <w:t>iązku z poniesionymi w </w:t>
      </w:r>
      <w:r w:rsidRPr="0023349B">
        <w:rPr>
          <w:rFonts w:ascii="Times New Roman" w:hAnsi="Times New Roman" w:cs="Times New Roman"/>
          <w:bCs/>
        </w:rPr>
        <w:t xml:space="preserve">przeszłości kosztami budowy.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Jest uzasadnione, aby rozwiązania mające na celu zrekompensowanie najemcy finansowego trudu współfinansowania budowy nie ograniczały się wyłącznie do możliwości zwrotu zwaloryzowanej partycypacji w momencie zakończenia umowy najmu. Bardziej uzasadnione jest poszukiwanie nowych możliwości rozliczenia partycypacji własnej pomiędzy lokatorem a TBS, bez konieczności opuszczenia lokalu lub wykupu mieszkania na własność, d</w:t>
      </w:r>
      <w:r w:rsidR="002F6279" w:rsidRPr="0023349B">
        <w:rPr>
          <w:rFonts w:ascii="Times New Roman" w:hAnsi="Times New Roman" w:cs="Times New Roman"/>
          <w:bCs/>
        </w:rPr>
        <w:t>ostosowanych do szczególnych na </w:t>
      </w:r>
      <w:r w:rsidRPr="0023349B">
        <w:rPr>
          <w:rFonts w:ascii="Times New Roman" w:hAnsi="Times New Roman" w:cs="Times New Roman"/>
          <w:bCs/>
        </w:rPr>
        <w:t>danym etapie życia potrzeb/aktualnej sytuacji życiowej lokatora.</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Tym samym w </w:t>
      </w:r>
      <w:r w:rsidRPr="0023349B">
        <w:rPr>
          <w:rFonts w:ascii="Times New Roman" w:hAnsi="Times New Roman" w:cs="Times New Roman"/>
          <w:b/>
        </w:rPr>
        <w:t xml:space="preserve">art. </w:t>
      </w:r>
      <w:r w:rsidR="002F6279" w:rsidRPr="0023349B">
        <w:rPr>
          <w:rFonts w:ascii="Times New Roman" w:hAnsi="Times New Roman" w:cs="Times New Roman"/>
          <w:b/>
        </w:rPr>
        <w:t>7</w:t>
      </w:r>
      <w:r w:rsidRPr="0023349B">
        <w:rPr>
          <w:rFonts w:ascii="Times New Roman" w:hAnsi="Times New Roman" w:cs="Times New Roman"/>
          <w:b/>
        </w:rPr>
        <w:t xml:space="preserve"> pkt </w:t>
      </w:r>
      <w:r w:rsidR="002F6279" w:rsidRPr="0023349B">
        <w:rPr>
          <w:rFonts w:ascii="Times New Roman" w:hAnsi="Times New Roman" w:cs="Times New Roman"/>
          <w:b/>
        </w:rPr>
        <w:t>17</w:t>
      </w:r>
      <w:r w:rsidRPr="0023349B">
        <w:rPr>
          <w:rFonts w:ascii="Times New Roman" w:hAnsi="Times New Roman" w:cs="Times New Roman"/>
          <w:b/>
        </w:rPr>
        <w:t xml:space="preserve"> projektu ustawy</w:t>
      </w:r>
      <w:r w:rsidRPr="0023349B">
        <w:rPr>
          <w:rFonts w:ascii="Times New Roman" w:hAnsi="Times New Roman" w:cs="Times New Roman"/>
        </w:rPr>
        <w:t xml:space="preserve"> proponuje się dla najemców będących stroną umowy partycypacji w kosztach budowy mieszkań wprowadzenie nowych zasad, na jakich będą mogły zostać rozliczone środki zaangażowane przez najemcę w budowę mieszkania, innych niż opuszczenie mieszkania lub zakup mieszkania przez najemcę – formuła okresowych</w:t>
      </w:r>
      <w:r w:rsidR="00193AD6" w:rsidRPr="0023349B">
        <w:rPr>
          <w:rFonts w:ascii="Times New Roman" w:hAnsi="Times New Roman" w:cs="Times New Roman"/>
        </w:rPr>
        <w:t xml:space="preserve"> </w:t>
      </w:r>
      <w:r w:rsidRPr="0023349B">
        <w:rPr>
          <w:rFonts w:ascii="Times New Roman" w:hAnsi="Times New Roman" w:cs="Times New Roman"/>
          <w:i/>
        </w:rPr>
        <w:t xml:space="preserve">„wakacji czynszowych”, </w:t>
      </w:r>
      <w:r w:rsidRPr="0023349B">
        <w:rPr>
          <w:rFonts w:ascii="Times New Roman" w:hAnsi="Times New Roman" w:cs="Times New Roman"/>
        </w:rPr>
        <w:t>niższego czynszu do końca trwania umowy najmy z osobą starszą oraz możliwość dojścia do własności w ramach umowy najmu instytucjonalnego z dojściem do własności.</w:t>
      </w:r>
      <w:r w:rsidR="00193AD6" w:rsidRPr="0023349B">
        <w:rPr>
          <w:rFonts w:ascii="Times New Roman" w:hAnsi="Times New Roman" w:cs="Times New Roman"/>
        </w:rPr>
        <w:t xml:space="preserve"> </w:t>
      </w:r>
      <w:r w:rsidRPr="0023349B">
        <w:rPr>
          <w:rFonts w:ascii="Times New Roman" w:hAnsi="Times New Roman" w:cs="Times New Roman"/>
        </w:rPr>
        <w:t>Dla czytelności tych rozwiązań zaproponowano ujęcie ich w jednym, nowym rozdziale i dedykowanie każdemu z nich osobnego oddziału, przy czym art. 33da</w:t>
      </w:r>
      <w:r w:rsidR="00C47C60" w:rsidRPr="0023349B">
        <w:rPr>
          <w:rFonts w:ascii="Times New Roman" w:hAnsi="Times New Roman" w:cs="Times New Roman"/>
        </w:rPr>
        <w:t>–</w:t>
      </w:r>
      <w:r w:rsidRPr="0023349B">
        <w:rPr>
          <w:rFonts w:ascii="Times New Roman" w:hAnsi="Times New Roman" w:cs="Times New Roman"/>
        </w:rPr>
        <w:t>33dc ujęto w jeden odział przepisów ogólnych, wspólnych dla każdej drogi rozliczania partycypacji.</w:t>
      </w:r>
      <w:r w:rsidR="00193AD6" w:rsidRPr="0023349B">
        <w:rPr>
          <w:rFonts w:ascii="Times New Roman" w:hAnsi="Times New Roman" w:cs="Times New Roman"/>
        </w:rPr>
        <w:t xml:space="preserve"> </w:t>
      </w:r>
    </w:p>
    <w:p w:rsidR="00C268CB" w:rsidRPr="0023349B" w:rsidRDefault="00C268CB" w:rsidP="0023349B">
      <w:pPr>
        <w:spacing w:after="120" w:line="360" w:lineRule="auto"/>
        <w:jc w:val="both"/>
        <w:rPr>
          <w:rFonts w:ascii="Times New Roman" w:eastAsia="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art. 33da</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zawiera ogólną zasadę, że </w:t>
      </w:r>
      <w:r w:rsidRPr="0023349B">
        <w:rPr>
          <w:rFonts w:ascii="Times New Roman" w:eastAsia="Times New Roman" w:hAnsi="Times New Roman" w:cs="Times New Roman"/>
        </w:rPr>
        <w:t xml:space="preserve">wpłacona przez osobę fizyczną partycypacja w kosztach budowy lokalu mieszkalnego wybudowanego przy wykorzystaniu finansowania zwrotnego albo wybudowanego przy wykorzystaniu kredytu udzielonego przez Bank Gospodarstwa Krajowego na podstawie wniosku złożonego do dnia 30 września 2009 r. podlegać będzie na wniosek najemcy rozliczeniu. Rozliczenie partycypacji będzie możliwe po dniu całkowitej spłaty kredytu, na zasadach określonych w umowie zawartej między towarzystwem a </w:t>
      </w:r>
      <w:proofErr w:type="spellStart"/>
      <w:r w:rsidRPr="0023349B">
        <w:rPr>
          <w:rFonts w:ascii="Times New Roman" w:eastAsia="Times New Roman" w:hAnsi="Times New Roman" w:cs="Times New Roman"/>
        </w:rPr>
        <w:t>partycypantem</w:t>
      </w:r>
      <w:proofErr w:type="spellEnd"/>
      <w:r w:rsidRPr="0023349B">
        <w:rPr>
          <w:rFonts w:ascii="Times New Roman" w:eastAsia="Times New Roman" w:hAnsi="Times New Roman" w:cs="Times New Roman"/>
        </w:rPr>
        <w:t xml:space="preserve"> i będzie mogło dokonać się na trzy sposoby: W ramach umowy:</w:t>
      </w:r>
    </w:p>
    <w:p w:rsidR="00C268CB" w:rsidRPr="0023349B" w:rsidRDefault="00C268CB" w:rsidP="0023349B">
      <w:pPr>
        <w:spacing w:after="120" w:line="360" w:lineRule="auto"/>
        <w:ind w:left="426"/>
        <w:jc w:val="both"/>
        <w:rPr>
          <w:rFonts w:ascii="Times New Roman" w:eastAsia="Times New Roman" w:hAnsi="Times New Roman" w:cs="Times New Roman"/>
        </w:rPr>
      </w:pPr>
      <w:r w:rsidRPr="0023349B">
        <w:rPr>
          <w:rFonts w:ascii="Times New Roman" w:eastAsia="Times New Roman" w:hAnsi="Times New Roman" w:cs="Times New Roman"/>
        </w:rPr>
        <w:t>1)</w:t>
      </w:r>
      <w:r w:rsidRPr="0023349B">
        <w:rPr>
          <w:rFonts w:ascii="Times New Roman" w:hAnsi="Times New Roman" w:cs="Times New Roman"/>
        </w:rPr>
        <w:t xml:space="preserve"> </w:t>
      </w:r>
      <w:r w:rsidRPr="0023349B">
        <w:rPr>
          <w:rFonts w:ascii="Times New Roman" w:hAnsi="Times New Roman" w:cs="Times New Roman"/>
        </w:rPr>
        <w:tab/>
      </w:r>
      <w:r w:rsidRPr="0023349B">
        <w:rPr>
          <w:rFonts w:ascii="Times New Roman" w:eastAsia="Times New Roman" w:hAnsi="Times New Roman" w:cs="Times New Roman"/>
        </w:rPr>
        <w:t>najmu uwzględniającej okresowe rozliczenie partycypacji,</w:t>
      </w:r>
    </w:p>
    <w:p w:rsidR="00C268CB" w:rsidRPr="0023349B" w:rsidRDefault="00C268CB" w:rsidP="0023349B">
      <w:pPr>
        <w:spacing w:after="120" w:line="360" w:lineRule="auto"/>
        <w:ind w:left="426"/>
        <w:jc w:val="both"/>
        <w:rPr>
          <w:rFonts w:ascii="Times New Roman" w:eastAsia="Times New Roman" w:hAnsi="Times New Roman" w:cs="Times New Roman"/>
        </w:rPr>
      </w:pPr>
      <w:r w:rsidRPr="0023349B">
        <w:rPr>
          <w:rFonts w:ascii="Times New Roman" w:eastAsia="Times New Roman" w:hAnsi="Times New Roman" w:cs="Times New Roman"/>
        </w:rPr>
        <w:t xml:space="preserve">2) </w:t>
      </w:r>
      <w:r w:rsidRPr="0023349B">
        <w:rPr>
          <w:rFonts w:ascii="Times New Roman" w:eastAsia="Times New Roman" w:hAnsi="Times New Roman" w:cs="Times New Roman"/>
        </w:rPr>
        <w:tab/>
        <w:t>najmu uwzględniającej całkowite rozliczenie partycypacji albo</w:t>
      </w:r>
    </w:p>
    <w:p w:rsidR="00C268CB" w:rsidRPr="0023349B" w:rsidRDefault="00C268CB" w:rsidP="0023349B">
      <w:pPr>
        <w:spacing w:after="120" w:line="360" w:lineRule="auto"/>
        <w:ind w:left="426"/>
        <w:jc w:val="both"/>
        <w:rPr>
          <w:rFonts w:ascii="Times New Roman" w:eastAsia="Times New Roman" w:hAnsi="Times New Roman" w:cs="Times New Roman"/>
        </w:rPr>
      </w:pPr>
      <w:r w:rsidRPr="0023349B">
        <w:rPr>
          <w:rFonts w:ascii="Times New Roman" w:eastAsia="Times New Roman" w:hAnsi="Times New Roman" w:cs="Times New Roman"/>
        </w:rPr>
        <w:t xml:space="preserve">3) </w:t>
      </w:r>
      <w:r w:rsidRPr="0023349B">
        <w:rPr>
          <w:rFonts w:ascii="Times New Roman" w:eastAsia="Times New Roman" w:hAnsi="Times New Roman" w:cs="Times New Roman"/>
        </w:rPr>
        <w:tab/>
        <w:t>najmu instytucjonalnego lokalu z dojściem do własności, o której mowa w art. 19k ustawy z dnia 21 czerwca 2001 r. o ochronie praw lokatorów, mieszkaniowym zasobie gminy i o zmianie Kodeksu cywilnego, uwzględniającej rozliczenie partycypacji, zwaną dalej „umową najmu instytucjonalnego z dojściem do własności.</w:t>
      </w:r>
    </w:p>
    <w:p w:rsidR="00C268CB" w:rsidRPr="0023349B" w:rsidRDefault="00C268CB" w:rsidP="0023349B">
      <w:pPr>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Przepisy </w:t>
      </w:r>
      <w:r w:rsidRPr="0023349B">
        <w:rPr>
          <w:rFonts w:ascii="Times New Roman" w:eastAsia="Times New Roman" w:hAnsi="Times New Roman" w:cs="Times New Roman"/>
          <w:b/>
        </w:rPr>
        <w:t>art. 33db</w:t>
      </w:r>
      <w:r w:rsidRPr="0023349B">
        <w:rPr>
          <w:rFonts w:ascii="Times New Roman" w:eastAsia="Times New Roman" w:hAnsi="Times New Roman" w:cs="Times New Roman"/>
        </w:rPr>
        <w:t xml:space="preserve"> regulują podstawowe warunki jakie musi spełnić najemca chcący rozliczenia partycypacji oraz podstawowy tryb postępowania z wnioskiem o to rozliczenie. Zgodnie z ust. 1 warunkiem złożenia wniosku będzie: </w:t>
      </w:r>
    </w:p>
    <w:p w:rsidR="00C268CB" w:rsidRPr="0023349B" w:rsidRDefault="00C268CB" w:rsidP="0023349B">
      <w:pPr>
        <w:spacing w:after="120" w:line="360" w:lineRule="auto"/>
        <w:ind w:left="426"/>
        <w:jc w:val="both"/>
        <w:rPr>
          <w:rFonts w:ascii="Times New Roman" w:eastAsia="Times New Roman" w:hAnsi="Times New Roman" w:cs="Times New Roman"/>
        </w:rPr>
      </w:pPr>
      <w:r w:rsidRPr="0023349B">
        <w:rPr>
          <w:rFonts w:ascii="Times New Roman" w:eastAsia="Times New Roman" w:hAnsi="Times New Roman" w:cs="Times New Roman"/>
        </w:rPr>
        <w:t xml:space="preserve">1) </w:t>
      </w:r>
      <w:r w:rsidRPr="0023349B">
        <w:rPr>
          <w:rFonts w:ascii="Times New Roman" w:eastAsia="Times New Roman" w:hAnsi="Times New Roman" w:cs="Times New Roman"/>
        </w:rPr>
        <w:tab/>
        <w:t xml:space="preserve">spłata kredytu udzielonego na realizację przedsięwzięcia inwestycyjno-budowlanego, </w:t>
      </w:r>
    </w:p>
    <w:p w:rsidR="00C268CB" w:rsidRPr="0023349B" w:rsidRDefault="00C268CB" w:rsidP="0023349B">
      <w:pPr>
        <w:spacing w:after="120" w:line="360" w:lineRule="auto"/>
        <w:ind w:left="426"/>
        <w:jc w:val="both"/>
        <w:rPr>
          <w:rFonts w:ascii="Times New Roman" w:eastAsia="Times New Roman" w:hAnsi="Times New Roman" w:cs="Times New Roman"/>
        </w:rPr>
      </w:pPr>
      <w:r w:rsidRPr="0023349B">
        <w:rPr>
          <w:rFonts w:ascii="Times New Roman" w:eastAsia="Times New Roman" w:hAnsi="Times New Roman" w:cs="Times New Roman"/>
        </w:rPr>
        <w:t xml:space="preserve">2) fakt bycia przez najemcę przez co najmniej 5 lat stroną obowiązującej umowy w sprawie partycypacji w kosztach budowy tego lokalu, oraz </w:t>
      </w:r>
    </w:p>
    <w:p w:rsidR="00C268CB" w:rsidRPr="0023349B" w:rsidRDefault="00C268CB" w:rsidP="0023349B">
      <w:pPr>
        <w:spacing w:after="120" w:line="360" w:lineRule="auto"/>
        <w:ind w:left="426"/>
        <w:jc w:val="both"/>
        <w:rPr>
          <w:rFonts w:ascii="Times New Roman" w:eastAsia="Times New Roman" w:hAnsi="Times New Roman" w:cs="Times New Roman"/>
        </w:rPr>
      </w:pPr>
      <w:r w:rsidRPr="0023349B">
        <w:rPr>
          <w:rFonts w:ascii="Times New Roman" w:eastAsia="Times New Roman" w:hAnsi="Times New Roman" w:cs="Times New Roman"/>
        </w:rPr>
        <w:t xml:space="preserve">3) </w:t>
      </w:r>
      <w:r w:rsidRPr="0023349B">
        <w:rPr>
          <w:rFonts w:ascii="Times New Roman" w:eastAsia="Times New Roman" w:hAnsi="Times New Roman" w:cs="Times New Roman"/>
        </w:rPr>
        <w:tab/>
        <w:t xml:space="preserve">niezaleganie z czynszem (i ew. wraz z opłatami dodatkowymi) za 1 miesiąc przez łączny okres nie dłuższy niż 3 miesiące. </w:t>
      </w:r>
    </w:p>
    <w:p w:rsidR="00C268CB" w:rsidRPr="0023349B" w:rsidRDefault="00C268CB" w:rsidP="0023349B">
      <w:pPr>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Tryb składania wniosku i związane z tym obowiązki TBS regulują ustępy 2</w:t>
      </w:r>
      <w:r w:rsidR="00C47C60" w:rsidRPr="0023349B">
        <w:rPr>
          <w:rFonts w:ascii="Times New Roman" w:eastAsia="Times New Roman" w:hAnsi="Times New Roman" w:cs="Times New Roman"/>
        </w:rPr>
        <w:t>–</w:t>
      </w:r>
      <w:r w:rsidRPr="0023349B">
        <w:rPr>
          <w:rFonts w:ascii="Times New Roman" w:eastAsia="Times New Roman" w:hAnsi="Times New Roman" w:cs="Times New Roman"/>
        </w:rPr>
        <w:t>4. Zgodnie z nimi:</w:t>
      </w:r>
    </w:p>
    <w:p w:rsidR="00C268CB" w:rsidRPr="0023349B" w:rsidRDefault="00C268CB" w:rsidP="0023349B">
      <w:pPr>
        <w:pStyle w:val="Akapitzlist"/>
        <w:numPr>
          <w:ilvl w:val="0"/>
          <w:numId w:val="53"/>
        </w:numPr>
        <w:spacing w:after="120" w:line="360" w:lineRule="auto"/>
        <w:ind w:left="426" w:hanging="284"/>
        <w:jc w:val="both"/>
        <w:rPr>
          <w:rFonts w:ascii="Times New Roman" w:eastAsia="Times New Roman" w:hAnsi="Times New Roman" w:cs="Times New Roman"/>
        </w:rPr>
      </w:pPr>
      <w:r w:rsidRPr="0023349B">
        <w:rPr>
          <w:rFonts w:ascii="Times New Roman" w:eastAsia="Times New Roman" w:hAnsi="Times New Roman" w:cs="Times New Roman"/>
        </w:rPr>
        <w:t xml:space="preserve">w terminie 30 dni od dnia otrzymania wniosku towarzystwo przedstawia najemcy na piśmie warunki umowy najmu uwzględniającej rozliczenie partycypacji i wyznacza mu termin, nie krótszy niż 30 dni od dnia otrzymania tych warunków, na ich przyjęcie albo zgłoszenie uwag na piśmie (art. 33db ust. 2 </w:t>
      </w:r>
      <w:r w:rsidRPr="0023349B">
        <w:rPr>
          <w:rFonts w:ascii="Times New Roman" w:eastAsia="Times New Roman" w:hAnsi="Times New Roman" w:cs="Times New Roman"/>
          <w:i/>
        </w:rPr>
        <w:t>ustawy o niektórych formach…</w:t>
      </w:r>
      <w:r w:rsidRPr="0023349B">
        <w:rPr>
          <w:rFonts w:ascii="Times New Roman" w:eastAsia="Times New Roman" w:hAnsi="Times New Roman" w:cs="Times New Roman"/>
        </w:rPr>
        <w:t xml:space="preserve">). Szczegółowe regulacje dotyczące tych warunków uregulowane zostały w przepisach dotyczący danego sposób rozliczenia partycypacji. </w:t>
      </w:r>
    </w:p>
    <w:p w:rsidR="00C268CB" w:rsidRPr="0023349B" w:rsidRDefault="00C268CB" w:rsidP="0023349B">
      <w:pPr>
        <w:pStyle w:val="Akapitzlist"/>
        <w:numPr>
          <w:ilvl w:val="0"/>
          <w:numId w:val="53"/>
        </w:numPr>
        <w:spacing w:after="120" w:line="360" w:lineRule="auto"/>
        <w:ind w:left="426" w:hanging="284"/>
        <w:jc w:val="both"/>
        <w:rPr>
          <w:rFonts w:ascii="Times New Roman" w:eastAsia="Times New Roman" w:hAnsi="Times New Roman" w:cs="Times New Roman"/>
        </w:rPr>
      </w:pPr>
      <w:r w:rsidRPr="0023349B">
        <w:rPr>
          <w:rFonts w:ascii="Times New Roman" w:eastAsia="Times New Roman" w:hAnsi="Times New Roman" w:cs="Times New Roman"/>
        </w:rPr>
        <w:t>TBS w terminie 14 dni od otrzymania uwag najemcy zajmuje na piśmie stanowisko w tym przedmiocie;</w:t>
      </w:r>
    </w:p>
    <w:p w:rsidR="00C268CB" w:rsidRPr="0023349B" w:rsidRDefault="00C268CB" w:rsidP="0023349B">
      <w:pPr>
        <w:pStyle w:val="Akapitzlist"/>
        <w:numPr>
          <w:ilvl w:val="0"/>
          <w:numId w:val="53"/>
        </w:numPr>
        <w:spacing w:after="120" w:line="360" w:lineRule="auto"/>
        <w:ind w:left="426" w:hanging="284"/>
        <w:jc w:val="both"/>
        <w:rPr>
          <w:rFonts w:ascii="Times New Roman" w:eastAsia="Times New Roman" w:hAnsi="Times New Roman" w:cs="Times New Roman"/>
        </w:rPr>
      </w:pPr>
      <w:r w:rsidRPr="0023349B">
        <w:rPr>
          <w:rFonts w:ascii="Times New Roman" w:eastAsia="Times New Roman" w:hAnsi="Times New Roman" w:cs="Times New Roman"/>
        </w:rPr>
        <w:t xml:space="preserve">najemca w terminie co najmniej 14 dni od otrzymania ww. stanowiska TBS ma możliwość przyjęcia nowych warunków, a ich nieprzyjęcie oznacza wycofanie wniosku, natomiast </w:t>
      </w:r>
      <w:r w:rsidRPr="0023349B">
        <w:rPr>
          <w:rFonts w:ascii="Times New Roman" w:hAnsi="Times New Roman" w:cs="Times New Roman"/>
        </w:rPr>
        <w:t>brak oświadczenia najemcy w wyznaczonym terminie o przyjęc</w:t>
      </w:r>
      <w:r w:rsidR="009B3F57" w:rsidRPr="0023349B">
        <w:rPr>
          <w:rFonts w:ascii="Times New Roman" w:hAnsi="Times New Roman" w:cs="Times New Roman"/>
        </w:rPr>
        <w:t>iu warunków jest równoznaczny z </w:t>
      </w:r>
      <w:r w:rsidRPr="0023349B">
        <w:rPr>
          <w:rFonts w:ascii="Times New Roman" w:hAnsi="Times New Roman" w:cs="Times New Roman"/>
        </w:rPr>
        <w:t>nieprzyjęciem warunków</w:t>
      </w:r>
      <w:r w:rsidRPr="0023349B">
        <w:rPr>
          <w:rFonts w:ascii="Times New Roman" w:eastAsia="Times New Roman" w:hAnsi="Times New Roman" w:cs="Times New Roman"/>
        </w:rPr>
        <w:t>;</w:t>
      </w:r>
    </w:p>
    <w:p w:rsidR="00C268CB" w:rsidRPr="0023349B" w:rsidRDefault="00C268CB" w:rsidP="0023349B">
      <w:pPr>
        <w:pStyle w:val="Akapitzlist"/>
        <w:numPr>
          <w:ilvl w:val="0"/>
          <w:numId w:val="53"/>
        </w:numPr>
        <w:spacing w:after="120" w:line="360" w:lineRule="auto"/>
        <w:ind w:left="426" w:hanging="284"/>
        <w:jc w:val="both"/>
        <w:rPr>
          <w:rFonts w:ascii="Times New Roman" w:eastAsia="Times New Roman" w:hAnsi="Times New Roman" w:cs="Times New Roman"/>
        </w:rPr>
      </w:pPr>
      <w:r w:rsidRPr="0023349B">
        <w:rPr>
          <w:rFonts w:ascii="Times New Roman" w:eastAsia="Times New Roman" w:hAnsi="Times New Roman" w:cs="Times New Roman"/>
        </w:rPr>
        <w:t>najemca po upływie 12 miesięcy od dnia wycofania</w:t>
      </w:r>
      <w:r w:rsidR="009B3F57" w:rsidRPr="0023349B">
        <w:rPr>
          <w:rFonts w:ascii="Times New Roman" w:eastAsia="Times New Roman" w:hAnsi="Times New Roman" w:cs="Times New Roman"/>
        </w:rPr>
        <w:t xml:space="preserve"> wniosku może wystąpić do TBS z </w:t>
      </w:r>
      <w:r w:rsidRPr="0023349B">
        <w:rPr>
          <w:rFonts w:ascii="Times New Roman" w:eastAsia="Times New Roman" w:hAnsi="Times New Roman" w:cs="Times New Roman"/>
        </w:rPr>
        <w:t>ponownym wnioskiem.</w:t>
      </w:r>
    </w:p>
    <w:p w:rsidR="00C268CB" w:rsidRPr="0023349B" w:rsidRDefault="00C268CB" w:rsidP="0023349B">
      <w:pPr>
        <w:spacing w:after="240" w:line="360" w:lineRule="auto"/>
        <w:jc w:val="both"/>
        <w:rPr>
          <w:rFonts w:ascii="Times New Roman" w:eastAsia="Times New Roman" w:hAnsi="Times New Roman" w:cs="Times New Roman"/>
          <w:i/>
        </w:rPr>
      </w:pPr>
      <w:r w:rsidRPr="0023349B">
        <w:rPr>
          <w:rFonts w:ascii="Times New Roman" w:eastAsia="Times New Roman" w:hAnsi="Times New Roman" w:cs="Times New Roman"/>
        </w:rPr>
        <w:t xml:space="preserve">W art. </w:t>
      </w:r>
      <w:r w:rsidRPr="0023349B">
        <w:rPr>
          <w:rFonts w:ascii="Times New Roman" w:eastAsia="Times New Roman" w:hAnsi="Times New Roman" w:cs="Times New Roman"/>
          <w:b/>
        </w:rPr>
        <w:t>33dc</w:t>
      </w:r>
      <w:r w:rsidRPr="0023349B">
        <w:rPr>
          <w:rFonts w:ascii="Times New Roman" w:eastAsia="Times New Roman" w:hAnsi="Times New Roman" w:cs="Times New Roman"/>
        </w:rPr>
        <w:t xml:space="preserve"> wprowadzono możliwość odrzucenia przez TBS wniosku o rozliczeni</w:t>
      </w:r>
      <w:r w:rsidR="009B3F57" w:rsidRPr="0023349B">
        <w:rPr>
          <w:rFonts w:ascii="Times New Roman" w:eastAsia="Times New Roman" w:hAnsi="Times New Roman" w:cs="Times New Roman"/>
        </w:rPr>
        <w:t>e partycypacji w </w:t>
      </w:r>
      <w:r w:rsidRPr="0023349B">
        <w:rPr>
          <w:rFonts w:ascii="Times New Roman" w:eastAsia="Times New Roman" w:hAnsi="Times New Roman" w:cs="Times New Roman"/>
        </w:rPr>
        <w:t xml:space="preserve">dwóch pierwszych wariantach (okresowego i całkowitego rozliczenia partycypacji w czynszu). Prawo takie będzie przysługiwać TBS w przypadku, gdy towarzystwo przez okres co najmniej 5 lat przed dniem spłaty kredytu udzielonego na realizację przedsięwzięcia inwestycyjno-budowlanego pobierało od najemcy (będącego jednocześnie </w:t>
      </w:r>
      <w:proofErr w:type="spellStart"/>
      <w:r w:rsidRPr="0023349B">
        <w:rPr>
          <w:rFonts w:ascii="Times New Roman" w:eastAsia="Times New Roman" w:hAnsi="Times New Roman" w:cs="Times New Roman"/>
        </w:rPr>
        <w:t>partycypantem</w:t>
      </w:r>
      <w:proofErr w:type="spellEnd"/>
      <w:r w:rsidRPr="0023349B">
        <w:rPr>
          <w:rFonts w:ascii="Times New Roman" w:eastAsia="Times New Roman" w:hAnsi="Times New Roman" w:cs="Times New Roman"/>
        </w:rPr>
        <w:t xml:space="preserve">) czynsz, który w skali roku nie przekroczył: 1. 3,5% wartości odtworzeniowej lokalu – w przypadku lokali mieszalnych, o których mowa w art. 28 ust. 2 pkt 1 ustawy o niektórych formach…, 2. 4,5% wartości odtworzeniowej lokalu – w przypadku lokali mieszalnych, o których mowa w art. 28 ust. 2 pkt 2 </w:t>
      </w:r>
      <w:r w:rsidR="009B3F57" w:rsidRPr="0023349B">
        <w:rPr>
          <w:rFonts w:ascii="Times New Roman" w:eastAsia="Times New Roman" w:hAnsi="Times New Roman" w:cs="Times New Roman"/>
          <w:i/>
        </w:rPr>
        <w:t>ustawy o </w:t>
      </w:r>
      <w:r w:rsidRPr="0023349B">
        <w:rPr>
          <w:rFonts w:ascii="Times New Roman" w:eastAsia="Times New Roman" w:hAnsi="Times New Roman" w:cs="Times New Roman"/>
          <w:i/>
        </w:rPr>
        <w:t xml:space="preserve">niektórych formach…. </w:t>
      </w:r>
    </w:p>
    <w:p w:rsidR="00C268CB" w:rsidRPr="0023349B" w:rsidRDefault="00C268CB" w:rsidP="0023349B">
      <w:pPr>
        <w:spacing w:after="240" w:line="360" w:lineRule="auto"/>
        <w:jc w:val="both"/>
        <w:rPr>
          <w:rFonts w:ascii="Times New Roman" w:eastAsia="Times New Roman" w:hAnsi="Times New Roman" w:cs="Times New Roman"/>
          <w:u w:val="single"/>
        </w:rPr>
      </w:pPr>
      <w:r w:rsidRPr="0023349B">
        <w:rPr>
          <w:rFonts w:ascii="Times New Roman" w:eastAsia="Times New Roman" w:hAnsi="Times New Roman" w:cs="Times New Roman"/>
          <w:u w:val="single"/>
        </w:rPr>
        <w:t>Umowa najmu</w:t>
      </w:r>
      <w:r w:rsidR="00193AD6" w:rsidRPr="0023349B">
        <w:rPr>
          <w:rFonts w:ascii="Times New Roman" w:eastAsia="Times New Roman" w:hAnsi="Times New Roman" w:cs="Times New Roman"/>
          <w:u w:val="single"/>
        </w:rPr>
        <w:t xml:space="preserve"> </w:t>
      </w:r>
      <w:r w:rsidRPr="0023349B">
        <w:rPr>
          <w:rFonts w:ascii="Times New Roman" w:eastAsia="Times New Roman" w:hAnsi="Times New Roman" w:cs="Times New Roman"/>
          <w:u w:val="single"/>
        </w:rPr>
        <w:t>lokalu mieszkalnego uwzględniająca okresowe rozliczenie partycypacji</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art. 33dd ust. 1</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rozliczenie partycypacji w ramach umowy najmu uwzględniającej okresowe rozliczenie partycypacji będzie następować w częściach zaliczanych na poczet czynszu miesięcznego najemcy przez okres określony w umowie uwzględniającej to rozliczenie. </w:t>
      </w:r>
    </w:p>
    <w:p w:rsidR="00C268CB" w:rsidRPr="0023349B" w:rsidRDefault="00C268CB" w:rsidP="0023349B">
      <w:pPr>
        <w:pStyle w:val="ZARTzmartartykuempunktem"/>
        <w:spacing w:after="120"/>
        <w:ind w:left="0" w:firstLine="0"/>
        <w:rPr>
          <w:rFonts w:ascii="Times New Roman" w:hAnsi="Times New Roman" w:cs="Times New Roman"/>
          <w:szCs w:val="24"/>
        </w:rPr>
      </w:pPr>
      <w:r w:rsidRPr="0023349B">
        <w:rPr>
          <w:rFonts w:ascii="Times New Roman" w:hAnsi="Times New Roman" w:cs="Times New Roman"/>
          <w:szCs w:val="24"/>
        </w:rPr>
        <w:t xml:space="preserve">W przedstawionych zgodnie z art. 33db ust. 2 </w:t>
      </w:r>
      <w:r w:rsidRPr="0023349B">
        <w:rPr>
          <w:rFonts w:ascii="Times New Roman" w:hAnsi="Times New Roman" w:cs="Times New Roman"/>
          <w:i/>
          <w:szCs w:val="24"/>
        </w:rPr>
        <w:t>ustawy o niektórych formach…</w:t>
      </w:r>
      <w:r w:rsidRPr="0023349B">
        <w:rPr>
          <w:rFonts w:ascii="Times New Roman" w:hAnsi="Times New Roman" w:cs="Times New Roman"/>
          <w:szCs w:val="24"/>
        </w:rPr>
        <w:t xml:space="preserve"> warunkach umowy najmu uwzględniającej okresowe rozliczenie partycypacji towarzystwo wskazuje: </w:t>
      </w:r>
    </w:p>
    <w:p w:rsidR="00C268CB" w:rsidRPr="0023349B" w:rsidRDefault="00C268CB" w:rsidP="0023349B">
      <w:pPr>
        <w:pStyle w:val="ZARTzmartartykuempunktem"/>
        <w:spacing w:after="120"/>
        <w:ind w:left="426" w:firstLine="0"/>
        <w:rPr>
          <w:rFonts w:ascii="Times New Roman" w:hAnsi="Times New Roman" w:cs="Times New Roman"/>
          <w:szCs w:val="24"/>
        </w:rPr>
      </w:pPr>
      <w:r w:rsidRPr="0023349B">
        <w:rPr>
          <w:rFonts w:ascii="Times New Roman" w:hAnsi="Times New Roman" w:cs="Times New Roman"/>
          <w:szCs w:val="24"/>
        </w:rPr>
        <w:t xml:space="preserve">1) </w:t>
      </w:r>
      <w:r w:rsidRPr="0023349B">
        <w:rPr>
          <w:rFonts w:ascii="Times New Roman" w:hAnsi="Times New Roman" w:cs="Times New Roman"/>
          <w:szCs w:val="24"/>
        </w:rPr>
        <w:tab/>
        <w:t xml:space="preserve">proponowaną wysokość części zaliczanej na poczet czynszu miesięcznego najemcy, przy czym nie może być ona niższa niż kwota ustalona według stanu na dzień złożenia wniosku, obliczoną według zaproponowanego wzoru, </w:t>
      </w:r>
    </w:p>
    <w:p w:rsidR="00C268CB" w:rsidRPr="0023349B" w:rsidRDefault="00C268CB" w:rsidP="0023349B">
      <w:pPr>
        <w:pStyle w:val="ZARTzmartartykuempunktem"/>
        <w:spacing w:after="120"/>
        <w:ind w:left="426" w:firstLine="0"/>
        <w:rPr>
          <w:rFonts w:ascii="Times New Roman" w:hAnsi="Times New Roman" w:cs="Times New Roman"/>
          <w:szCs w:val="24"/>
        </w:rPr>
      </w:pPr>
      <w:r w:rsidRPr="0023349B">
        <w:rPr>
          <w:rFonts w:ascii="Times New Roman" w:hAnsi="Times New Roman" w:cs="Times New Roman"/>
          <w:szCs w:val="24"/>
        </w:rPr>
        <w:t xml:space="preserve">2) </w:t>
      </w:r>
      <w:r w:rsidRPr="0023349B">
        <w:rPr>
          <w:rFonts w:ascii="Times New Roman" w:hAnsi="Times New Roman" w:cs="Times New Roman"/>
          <w:szCs w:val="24"/>
        </w:rPr>
        <w:tab/>
        <w:t>proponowany okres rozliczenia partycypacji w ramach umowy najmu uwzględniającej okresowe rozliczenie partycypacji, nie dłuższy niż 180 miesięcy, oraz</w:t>
      </w:r>
    </w:p>
    <w:p w:rsidR="00C268CB" w:rsidRPr="0023349B" w:rsidRDefault="00C268CB" w:rsidP="0023349B">
      <w:pPr>
        <w:pStyle w:val="ZARTzmartartykuempunktem"/>
        <w:spacing w:after="120"/>
        <w:ind w:left="426" w:firstLine="0"/>
        <w:rPr>
          <w:rFonts w:ascii="Times New Roman" w:hAnsi="Times New Roman" w:cs="Times New Roman"/>
          <w:szCs w:val="24"/>
        </w:rPr>
      </w:pPr>
      <w:r w:rsidRPr="0023349B">
        <w:rPr>
          <w:rFonts w:ascii="Times New Roman" w:hAnsi="Times New Roman" w:cs="Times New Roman"/>
          <w:szCs w:val="24"/>
        </w:rPr>
        <w:t xml:space="preserve">3) </w:t>
      </w:r>
      <w:r w:rsidRPr="0023349B">
        <w:rPr>
          <w:rFonts w:ascii="Times New Roman" w:hAnsi="Times New Roman" w:cs="Times New Roman"/>
          <w:szCs w:val="24"/>
        </w:rPr>
        <w:tab/>
        <w:t>proponowaną kwotę partycypacji w kosztach budowy lokalu mieszkalnego po upływie okresu rozliczenia partycypacji, obliczoną według zaproponowanego wzoru.</w:t>
      </w:r>
    </w:p>
    <w:p w:rsidR="00C268CB" w:rsidRPr="0023349B" w:rsidRDefault="00C268CB" w:rsidP="0023349B">
      <w:pPr>
        <w:pStyle w:val="ZARTzmartartykuempunktem"/>
        <w:spacing w:after="120"/>
        <w:ind w:left="0" w:firstLine="0"/>
        <w:rPr>
          <w:rFonts w:ascii="Times New Roman" w:hAnsi="Times New Roman" w:cs="Times New Roman"/>
          <w:szCs w:val="24"/>
        </w:rPr>
      </w:pPr>
      <w:r w:rsidRPr="0023349B">
        <w:rPr>
          <w:rFonts w:ascii="Times New Roman" w:hAnsi="Times New Roman" w:cs="Times New Roman"/>
          <w:szCs w:val="24"/>
        </w:rPr>
        <w:t xml:space="preserve">Po zmianie umowy najmu na umowę najmu uwzgledniającą okresowe rozliczenie partycypacji, nową kwotę partycypacji w kosztach budowy lokalu mieszkalnego po uwzględnieniu rozliczenia, zgodnie z projektowanym </w:t>
      </w:r>
      <w:r w:rsidRPr="0023349B">
        <w:rPr>
          <w:rFonts w:ascii="Times New Roman" w:hAnsi="Times New Roman" w:cs="Times New Roman"/>
          <w:b/>
          <w:szCs w:val="24"/>
        </w:rPr>
        <w:t>art.</w:t>
      </w:r>
      <w:r w:rsidRPr="0023349B">
        <w:rPr>
          <w:rFonts w:ascii="Times New Roman" w:hAnsi="Times New Roman" w:cs="Times New Roman"/>
          <w:szCs w:val="24"/>
        </w:rPr>
        <w:t xml:space="preserve"> </w:t>
      </w:r>
      <w:r w:rsidRPr="0023349B">
        <w:rPr>
          <w:rFonts w:ascii="Times New Roman" w:hAnsi="Times New Roman" w:cs="Times New Roman"/>
          <w:b/>
          <w:szCs w:val="24"/>
        </w:rPr>
        <w:t xml:space="preserve">33de </w:t>
      </w:r>
      <w:r w:rsidRPr="0023349B">
        <w:rPr>
          <w:rFonts w:ascii="Times New Roman" w:hAnsi="Times New Roman" w:cs="Times New Roman"/>
          <w:i/>
          <w:szCs w:val="24"/>
        </w:rPr>
        <w:t>ustawy o niektórych formach…</w:t>
      </w:r>
      <w:r w:rsidRPr="0023349B">
        <w:rPr>
          <w:rFonts w:ascii="Times New Roman" w:hAnsi="Times New Roman" w:cs="Times New Roman"/>
          <w:szCs w:val="24"/>
        </w:rPr>
        <w:t xml:space="preserve">, określa ta umowa. Kwota partycypacji obliczana jest według wzoru, o którym mowa w nowoprojektowanym art. 33dd ust. 2 pkt 3 </w:t>
      </w:r>
      <w:r w:rsidRPr="0023349B">
        <w:rPr>
          <w:rFonts w:ascii="Times New Roman" w:hAnsi="Times New Roman" w:cs="Times New Roman"/>
          <w:i/>
          <w:szCs w:val="24"/>
        </w:rPr>
        <w:t>ustawy o niektórych formach…</w:t>
      </w:r>
      <w:r w:rsidRPr="0023349B">
        <w:rPr>
          <w:rFonts w:ascii="Times New Roman" w:hAnsi="Times New Roman" w:cs="Times New Roman"/>
          <w:szCs w:val="24"/>
        </w:rPr>
        <w:t xml:space="preserve">, na podstawie określonych w tej umowie: </w:t>
      </w:r>
    </w:p>
    <w:p w:rsidR="00C268CB" w:rsidRPr="0023349B" w:rsidRDefault="00C268CB" w:rsidP="0023349B">
      <w:pPr>
        <w:pStyle w:val="ZARTzmartartykuempunktem"/>
        <w:spacing w:after="120"/>
        <w:ind w:left="426" w:firstLine="0"/>
        <w:rPr>
          <w:rFonts w:ascii="Times New Roman" w:hAnsi="Times New Roman" w:cs="Times New Roman"/>
          <w:szCs w:val="24"/>
        </w:rPr>
      </w:pPr>
      <w:r w:rsidRPr="0023349B">
        <w:rPr>
          <w:rFonts w:ascii="Times New Roman" w:hAnsi="Times New Roman" w:cs="Times New Roman"/>
          <w:szCs w:val="24"/>
        </w:rPr>
        <w:t xml:space="preserve">1) </w:t>
      </w:r>
      <w:r w:rsidRPr="0023349B">
        <w:rPr>
          <w:rFonts w:ascii="Times New Roman" w:hAnsi="Times New Roman" w:cs="Times New Roman"/>
          <w:szCs w:val="24"/>
        </w:rPr>
        <w:tab/>
        <w:t xml:space="preserve">wysokości miesięcznej kwoty partycypacji, jaka jest zaliczana przez towarzystwo na poczet czynszu miesięcznego najemcy oraz </w:t>
      </w:r>
    </w:p>
    <w:p w:rsidR="00C268CB" w:rsidRPr="0023349B" w:rsidRDefault="00C268CB" w:rsidP="0023349B">
      <w:pPr>
        <w:pStyle w:val="ZARTzmartartykuempunktem"/>
        <w:spacing w:after="120"/>
        <w:ind w:left="426" w:firstLine="0"/>
        <w:rPr>
          <w:rFonts w:ascii="Times New Roman" w:hAnsi="Times New Roman" w:cs="Times New Roman"/>
          <w:szCs w:val="24"/>
        </w:rPr>
      </w:pPr>
      <w:r w:rsidRPr="0023349B">
        <w:rPr>
          <w:rFonts w:ascii="Times New Roman" w:hAnsi="Times New Roman" w:cs="Times New Roman"/>
          <w:szCs w:val="24"/>
        </w:rPr>
        <w:t>2) liczby miesięcy w przyjętym okresie rozliczania partycypacji.</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W przypadku rozwiązania przez najemcę umowy najmu uwzględniającej okresowe rozliczenie partycypacji i opróżnienia lokalu:</w:t>
      </w:r>
    </w:p>
    <w:p w:rsidR="00C268CB" w:rsidRPr="0023349B" w:rsidRDefault="00C47C60" w:rsidP="0023349B">
      <w:pPr>
        <w:spacing w:after="120" w:line="360" w:lineRule="auto"/>
        <w:jc w:val="both"/>
        <w:rPr>
          <w:rFonts w:ascii="Times New Roman" w:hAnsi="Times New Roman" w:cs="Times New Roman"/>
        </w:rPr>
      </w:pPr>
      <w:r w:rsidRPr="0023349B">
        <w:rPr>
          <w:rFonts w:ascii="Times New Roman" w:hAnsi="Times New Roman" w:cs="Times New Roman"/>
        </w:rPr>
        <w:t>–</w:t>
      </w:r>
      <w:r w:rsidR="00C268CB" w:rsidRPr="0023349B">
        <w:rPr>
          <w:rFonts w:ascii="Times New Roman" w:hAnsi="Times New Roman" w:cs="Times New Roman"/>
        </w:rPr>
        <w:t xml:space="preserve"> po upływie okresu rozliczenia partycypacji, pozostała kwota partycypacji podlega zwrotowi najemcy nie później niż w terminie 12 miesięcy od dnia opróżnienia lokalu (</w:t>
      </w:r>
      <w:r w:rsidR="00C268CB" w:rsidRPr="0023349B">
        <w:rPr>
          <w:rFonts w:ascii="Times New Roman" w:hAnsi="Times New Roman" w:cs="Times New Roman"/>
          <w:b/>
        </w:rPr>
        <w:t>art.</w:t>
      </w:r>
      <w:r w:rsidR="00C268CB" w:rsidRPr="0023349B">
        <w:rPr>
          <w:rFonts w:ascii="Times New Roman" w:hAnsi="Times New Roman" w:cs="Times New Roman"/>
        </w:rPr>
        <w:t xml:space="preserve"> </w:t>
      </w:r>
      <w:r w:rsidR="00C268CB" w:rsidRPr="0023349B">
        <w:rPr>
          <w:rFonts w:ascii="Times New Roman" w:hAnsi="Times New Roman" w:cs="Times New Roman"/>
          <w:b/>
        </w:rPr>
        <w:t xml:space="preserve">33df ust. 1 </w:t>
      </w:r>
      <w:r w:rsidR="00C268CB" w:rsidRPr="0023349B">
        <w:rPr>
          <w:rFonts w:ascii="Times New Roman" w:hAnsi="Times New Roman" w:cs="Times New Roman"/>
          <w:i/>
        </w:rPr>
        <w:t>ustawy o niektórych formach…</w:t>
      </w:r>
      <w:r w:rsidR="00C268CB" w:rsidRPr="0023349B">
        <w:rPr>
          <w:rFonts w:ascii="Times New Roman" w:hAnsi="Times New Roman" w:cs="Times New Roman"/>
        </w:rPr>
        <w:t>);</w:t>
      </w:r>
    </w:p>
    <w:p w:rsidR="00C268CB" w:rsidRPr="0023349B" w:rsidRDefault="00C47C60" w:rsidP="0023349B">
      <w:pPr>
        <w:spacing w:after="120" w:line="360" w:lineRule="auto"/>
        <w:jc w:val="both"/>
        <w:rPr>
          <w:rFonts w:ascii="Times New Roman" w:hAnsi="Times New Roman" w:cs="Times New Roman"/>
        </w:rPr>
      </w:pPr>
      <w:r w:rsidRPr="0023349B">
        <w:rPr>
          <w:rFonts w:ascii="Times New Roman" w:hAnsi="Times New Roman" w:cs="Times New Roman"/>
        </w:rPr>
        <w:t>–</w:t>
      </w:r>
      <w:r w:rsidR="00C268CB" w:rsidRPr="0023349B">
        <w:rPr>
          <w:rFonts w:ascii="Times New Roman" w:hAnsi="Times New Roman" w:cs="Times New Roman"/>
        </w:rPr>
        <w:t xml:space="preserve"> przed upływem okresu rozliczania partycypacji, kwotę zwracanej najemcy partycypacji towarzystwo powiększa o łączną kwotę miesięcznych kwot partycypacji, jakie miały być zaliczane na poczet czynszu miesięcznego najemcy w pozostałych miesiącach okresu rozliczeniowego zgodnie z tą umową (</w:t>
      </w:r>
      <w:r w:rsidR="00C268CB" w:rsidRPr="0023349B">
        <w:rPr>
          <w:rFonts w:ascii="Times New Roman" w:hAnsi="Times New Roman" w:cs="Times New Roman"/>
          <w:b/>
        </w:rPr>
        <w:t>art.</w:t>
      </w:r>
      <w:r w:rsidR="00C268CB" w:rsidRPr="0023349B">
        <w:rPr>
          <w:rFonts w:ascii="Times New Roman" w:hAnsi="Times New Roman" w:cs="Times New Roman"/>
        </w:rPr>
        <w:t xml:space="preserve"> </w:t>
      </w:r>
      <w:r w:rsidR="00C268CB" w:rsidRPr="0023349B">
        <w:rPr>
          <w:rFonts w:ascii="Times New Roman" w:hAnsi="Times New Roman" w:cs="Times New Roman"/>
          <w:b/>
        </w:rPr>
        <w:t xml:space="preserve">33df ust. 2 </w:t>
      </w:r>
      <w:r w:rsidR="00C268CB" w:rsidRPr="0023349B">
        <w:rPr>
          <w:rFonts w:ascii="Times New Roman" w:hAnsi="Times New Roman" w:cs="Times New Roman"/>
          <w:i/>
        </w:rPr>
        <w:t>ustawy o niektórych formach…</w:t>
      </w:r>
      <w:r w:rsidR="00C268CB" w:rsidRPr="0023349B">
        <w:rPr>
          <w:rFonts w:ascii="Times New Roman" w:hAnsi="Times New Roman" w:cs="Times New Roman"/>
        </w:rPr>
        <w:t xml:space="preserve">). TBS będzie miało przewidzianą w </w:t>
      </w:r>
      <w:r w:rsidR="00C268CB" w:rsidRPr="0023349B">
        <w:rPr>
          <w:rFonts w:ascii="Times New Roman" w:hAnsi="Times New Roman" w:cs="Times New Roman"/>
          <w:b/>
        </w:rPr>
        <w:t xml:space="preserve">art. 33df ust. 3 </w:t>
      </w:r>
      <w:r w:rsidR="00C268CB" w:rsidRPr="0023349B">
        <w:rPr>
          <w:rFonts w:ascii="Times New Roman" w:hAnsi="Times New Roman" w:cs="Times New Roman"/>
          <w:i/>
        </w:rPr>
        <w:t>ustawy o niektórych formach…,</w:t>
      </w:r>
      <w:r w:rsidR="00C268CB" w:rsidRPr="0023349B">
        <w:rPr>
          <w:rFonts w:ascii="Times New Roman" w:hAnsi="Times New Roman" w:cs="Times New Roman"/>
        </w:rPr>
        <w:t xml:space="preserve"> możliwość pobrania od nowego najemcy opróżnionego lokalu partycypację w wysokości nie większej niż wypłacona poprzedniemu najemcy.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art. 33dg</w:t>
      </w:r>
      <w:r w:rsidRPr="0023349B">
        <w:rPr>
          <w:rFonts w:ascii="Times New Roman" w:hAnsi="Times New Roman" w:cs="Times New Roman"/>
        </w:rPr>
        <w:t xml:space="preserve"> postanowiono, że osoby wstępujące w najem po śmierci najemcy będącego stroną umowy najmu uwzględniającej okresowe rozliczenie partycypacji wstępują w ten najem na zasadach określonych w tej umowie.</w:t>
      </w:r>
    </w:p>
    <w:p w:rsidR="00C268CB" w:rsidRPr="0023349B" w:rsidRDefault="00C268CB" w:rsidP="0023349B">
      <w:pPr>
        <w:spacing w:after="120" w:line="360" w:lineRule="auto"/>
        <w:jc w:val="both"/>
        <w:rPr>
          <w:rFonts w:ascii="Times New Roman" w:eastAsia="Times New Roman" w:hAnsi="Times New Roman" w:cs="Times New Roman"/>
          <w:u w:val="single"/>
        </w:rPr>
      </w:pPr>
      <w:r w:rsidRPr="0023349B">
        <w:rPr>
          <w:rFonts w:ascii="Times New Roman" w:eastAsia="Times New Roman" w:hAnsi="Times New Roman" w:cs="Times New Roman"/>
          <w:u w:val="single"/>
        </w:rPr>
        <w:t>Umowa najmu lokalu mieszkalnego uwzględniająca całkowite rozliczenie partycypacji</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eastAsia="Times New Roman" w:hAnsi="Times New Roman" w:cs="Times New Roman"/>
        </w:rPr>
        <w:t xml:space="preserve">Nowoprojektowany </w:t>
      </w:r>
      <w:r w:rsidRPr="0023349B">
        <w:rPr>
          <w:rFonts w:ascii="Times New Roman" w:eastAsia="Times New Roman" w:hAnsi="Times New Roman" w:cs="Times New Roman"/>
          <w:b/>
        </w:rPr>
        <w:t>art. 33dh</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rPr>
        <w:t>ustawy o niektórych formach…,</w:t>
      </w:r>
      <w:r w:rsidRPr="0023349B">
        <w:rPr>
          <w:rFonts w:ascii="Times New Roman" w:eastAsia="Times New Roman" w:hAnsi="Times New Roman" w:cs="Times New Roman"/>
        </w:rPr>
        <w:t xml:space="preserve"> daje najemcy możliwość wystąpienia z wnioskiem o zamianę </w:t>
      </w:r>
      <w:r w:rsidRPr="0023349B">
        <w:rPr>
          <w:rFonts w:ascii="Times New Roman" w:hAnsi="Times New Roman" w:cs="Times New Roman"/>
        </w:rPr>
        <w:t>dotychczasowej umowy najmu na umowę najmu uwzgledniającą całkowite rozliczenie partycypacji. Poza ogólnymi warunkami określonymi w art. 33db ust. 1 warunkiem złożenia takiego wniosku będzie osiągnięcie przez najemcę wieku emerytalnego, o którym mowa w art. 24 ust. 1 ustawy z dnia 17 grudnia 1998 r. o emeryturach i rentach z Funduszu Ubezpieczeń Społecznych (Dz. U. z 2020 r. poz.53, 252 i 568).</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Zgodnie z projektowanym </w:t>
      </w:r>
      <w:r w:rsidRPr="0023349B">
        <w:rPr>
          <w:rFonts w:ascii="Times New Roman" w:hAnsi="Times New Roman" w:cs="Times New Roman"/>
          <w:b/>
        </w:rPr>
        <w:t xml:space="preserve">art. 33di </w:t>
      </w:r>
      <w:r w:rsidRPr="0023349B">
        <w:rPr>
          <w:rFonts w:ascii="Times New Roman" w:hAnsi="Times New Roman" w:cs="Times New Roman"/>
        </w:rPr>
        <w:t>rozliczenie partycypacji w ramach umowy najmu uwzgledniającej całkowite rozliczenie partycypacji następuje w częściach zaliczanych na poczet czynszu miesięcznego najemcy do dnia wygaśnięcia jego praw jako strony umowy najmu.</w:t>
      </w:r>
    </w:p>
    <w:p w:rsidR="00C268CB" w:rsidRPr="0023349B" w:rsidRDefault="00C268CB" w:rsidP="0023349B">
      <w:pPr>
        <w:pStyle w:val="ZARTzmartartykuempunktem"/>
        <w:spacing w:after="120"/>
        <w:ind w:left="0" w:firstLine="0"/>
        <w:rPr>
          <w:rFonts w:ascii="Times New Roman" w:hAnsi="Times New Roman" w:cs="Times New Roman"/>
          <w:szCs w:val="24"/>
        </w:rPr>
      </w:pPr>
      <w:r w:rsidRPr="0023349B">
        <w:rPr>
          <w:rFonts w:ascii="Times New Roman" w:hAnsi="Times New Roman" w:cs="Times New Roman"/>
          <w:szCs w:val="24"/>
        </w:rPr>
        <w:t xml:space="preserve">W przedstawionych zgodnie z art. 33db ust. 2 </w:t>
      </w:r>
      <w:r w:rsidRPr="0023349B">
        <w:rPr>
          <w:rFonts w:ascii="Times New Roman" w:hAnsi="Times New Roman" w:cs="Times New Roman"/>
          <w:i/>
          <w:szCs w:val="24"/>
        </w:rPr>
        <w:t>ustawy o niektórych formach…</w:t>
      </w:r>
      <w:r w:rsidRPr="0023349B">
        <w:rPr>
          <w:rFonts w:ascii="Times New Roman" w:hAnsi="Times New Roman" w:cs="Times New Roman"/>
          <w:szCs w:val="24"/>
        </w:rPr>
        <w:t xml:space="preserve"> warunkach umowy najmu uwzględniającej całkowite rozliczenie partycypacji towarzystwo wskazuje proponowaną wysokość części zaliczanej na poczet czynszu miesięcznego najemcy, nie niższą niż 80% ustalonej wg stanu na dzień złożenia wniosku kwoty obliczonej zgodnie z wzorem, o którym mowa w nowoprojektowanym art. </w:t>
      </w:r>
      <w:r w:rsidRPr="0023349B">
        <w:rPr>
          <w:rFonts w:ascii="Times New Roman" w:hAnsi="Times New Roman" w:cs="Times New Roman"/>
          <w:b/>
          <w:szCs w:val="24"/>
        </w:rPr>
        <w:t>33dd ust. 2 pkt 1</w:t>
      </w:r>
      <w:r w:rsidRPr="0023349B">
        <w:rPr>
          <w:rFonts w:ascii="Times New Roman" w:hAnsi="Times New Roman" w:cs="Times New Roman"/>
          <w:szCs w:val="24"/>
        </w:rPr>
        <w:t xml:space="preserve"> ustawy o niektórych formach…;</w:t>
      </w:r>
      <w:r w:rsidR="00193AD6" w:rsidRPr="0023349B">
        <w:rPr>
          <w:rFonts w:ascii="Times New Roman" w:hAnsi="Times New Roman" w:cs="Times New Roman"/>
          <w:szCs w:val="24"/>
        </w:rPr>
        <w:t xml:space="preserve">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Natomiast zgodnie z</w:t>
      </w:r>
      <w:r w:rsidRPr="0023349B">
        <w:rPr>
          <w:rFonts w:ascii="Times New Roman" w:hAnsi="Times New Roman" w:cs="Times New Roman"/>
          <w:b/>
        </w:rPr>
        <w:t xml:space="preserve"> art. 33dj</w:t>
      </w:r>
      <w:r w:rsidRPr="0023349B">
        <w:rPr>
          <w:rFonts w:ascii="Times New Roman" w:hAnsi="Times New Roman" w:cs="Times New Roman"/>
        </w:rPr>
        <w:t xml:space="preserve"> osoby wstępujące w najem po śmierci najemcy będącego stroną umowy najmu uwzględniającą całkowite rozliczenie partycypacji, będą wstępowały w ten najem na zasadach określonych w tej umowie (</w:t>
      </w:r>
      <w:r w:rsidRPr="0023349B">
        <w:rPr>
          <w:rFonts w:ascii="Times New Roman" w:hAnsi="Times New Roman" w:cs="Times New Roman"/>
          <w:b/>
        </w:rPr>
        <w:t>art.</w:t>
      </w:r>
      <w:r w:rsidRPr="0023349B">
        <w:rPr>
          <w:rFonts w:ascii="Times New Roman" w:hAnsi="Times New Roman" w:cs="Times New Roman"/>
        </w:rPr>
        <w:t xml:space="preserve"> </w:t>
      </w:r>
      <w:r w:rsidRPr="0023349B">
        <w:rPr>
          <w:rFonts w:ascii="Times New Roman" w:hAnsi="Times New Roman" w:cs="Times New Roman"/>
          <w:b/>
        </w:rPr>
        <w:t xml:space="preserve">33di ust. 1 </w:t>
      </w:r>
      <w:r w:rsidRPr="0023349B">
        <w:rPr>
          <w:rFonts w:ascii="Times New Roman" w:hAnsi="Times New Roman" w:cs="Times New Roman"/>
          <w:i/>
        </w:rPr>
        <w:t>ustawy o niektórych formach…</w:t>
      </w:r>
      <w:r w:rsidR="009B3F57" w:rsidRPr="0023349B">
        <w:rPr>
          <w:rFonts w:ascii="Times New Roman" w:hAnsi="Times New Roman" w:cs="Times New Roman"/>
        </w:rPr>
        <w:t>), wyłącznie w </w:t>
      </w:r>
      <w:r w:rsidRPr="0023349B">
        <w:rPr>
          <w:rFonts w:ascii="Times New Roman" w:hAnsi="Times New Roman" w:cs="Times New Roman"/>
        </w:rPr>
        <w:t>przypadku:</w:t>
      </w:r>
    </w:p>
    <w:p w:rsidR="00C268CB" w:rsidRPr="0023349B" w:rsidRDefault="00C268CB" w:rsidP="0023349B">
      <w:pPr>
        <w:pStyle w:val="Akapitzlist"/>
        <w:numPr>
          <w:ilvl w:val="0"/>
          <w:numId w:val="55"/>
        </w:numPr>
        <w:spacing w:after="120" w:line="360" w:lineRule="auto"/>
        <w:ind w:left="426" w:hanging="284"/>
        <w:jc w:val="both"/>
        <w:rPr>
          <w:rFonts w:ascii="Times New Roman" w:hAnsi="Times New Roman" w:cs="Times New Roman"/>
        </w:rPr>
      </w:pPr>
      <w:r w:rsidRPr="0023349B">
        <w:rPr>
          <w:rFonts w:ascii="Times New Roman" w:hAnsi="Times New Roman" w:cs="Times New Roman"/>
        </w:rPr>
        <w:t xml:space="preserve">zamieszkiwania przez takie osoby w lokalu będącym przedmiotem tej umowy przez cały okres jej obowiązywania oraz </w:t>
      </w:r>
    </w:p>
    <w:p w:rsidR="00C268CB" w:rsidRPr="0023349B" w:rsidRDefault="00C268CB" w:rsidP="0023349B">
      <w:pPr>
        <w:pStyle w:val="Akapitzlist"/>
        <w:numPr>
          <w:ilvl w:val="0"/>
          <w:numId w:val="55"/>
        </w:numPr>
        <w:spacing w:after="120" w:line="360" w:lineRule="auto"/>
        <w:ind w:left="426" w:hanging="284"/>
        <w:jc w:val="both"/>
        <w:rPr>
          <w:rFonts w:ascii="Times New Roman" w:hAnsi="Times New Roman" w:cs="Times New Roman"/>
        </w:rPr>
      </w:pPr>
      <w:r w:rsidRPr="0023349B">
        <w:rPr>
          <w:rFonts w:ascii="Times New Roman" w:hAnsi="Times New Roman" w:cs="Times New Roman"/>
        </w:rPr>
        <w:t>osiągniecia wieku emerytalnego w dniu jej zawarcia (</w:t>
      </w:r>
      <w:r w:rsidRPr="0023349B">
        <w:rPr>
          <w:rFonts w:ascii="Times New Roman" w:hAnsi="Times New Roman" w:cs="Times New Roman"/>
          <w:b/>
        </w:rPr>
        <w:t>art. 33df ust. 2</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innym przypadku osoba wstępująca w najem dokonywać tego będzie na zasadach ogólnych, </w:t>
      </w:r>
      <w:r w:rsidR="009B3F57" w:rsidRPr="0023349B">
        <w:rPr>
          <w:rFonts w:ascii="Times New Roman" w:hAnsi="Times New Roman" w:cs="Times New Roman"/>
        </w:rPr>
        <w:t>a </w:t>
      </w:r>
      <w:r w:rsidRPr="0023349B">
        <w:rPr>
          <w:rFonts w:ascii="Times New Roman" w:hAnsi="Times New Roman" w:cs="Times New Roman"/>
        </w:rPr>
        <w:t>partycypacja uznana będzie za rozliczoną.</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Umowa najmu instytucjonalnego z dojściem do własności uwzględniającej rozliczenie partycypacji</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Zgodnie z art. </w:t>
      </w:r>
      <w:r w:rsidRPr="0023349B">
        <w:rPr>
          <w:rFonts w:ascii="Times New Roman" w:hAnsi="Times New Roman" w:cs="Times New Roman"/>
          <w:b/>
        </w:rPr>
        <w:t>33dk</w:t>
      </w:r>
      <w:r w:rsidRPr="0023349B">
        <w:rPr>
          <w:rFonts w:ascii="Times New Roman" w:hAnsi="Times New Roman" w:cs="Times New Roman"/>
        </w:rPr>
        <w:t xml:space="preserve"> ust. 1 </w:t>
      </w:r>
      <w:r w:rsidRPr="0023349B">
        <w:rPr>
          <w:rFonts w:ascii="Times New Roman" w:hAnsi="Times New Roman" w:cs="Times New Roman"/>
          <w:i/>
        </w:rPr>
        <w:t>ustawy o niektórych formach…</w:t>
      </w:r>
      <w:r w:rsidRPr="0023349B">
        <w:rPr>
          <w:rFonts w:ascii="Times New Roman" w:hAnsi="Times New Roman" w:cs="Times New Roman"/>
        </w:rPr>
        <w:t xml:space="preserve"> najemc</w:t>
      </w:r>
      <w:r w:rsidR="009B3F57" w:rsidRPr="0023349B">
        <w:rPr>
          <w:rFonts w:ascii="Times New Roman" w:hAnsi="Times New Roman" w:cs="Times New Roman"/>
        </w:rPr>
        <w:t>a będzie mógł wystąpić do TBS z </w:t>
      </w:r>
      <w:r w:rsidRPr="0023349B">
        <w:rPr>
          <w:rFonts w:ascii="Times New Roman" w:hAnsi="Times New Roman" w:cs="Times New Roman"/>
        </w:rPr>
        <w:t xml:space="preserve">wnioskiem o rozwiązanie umowy w sprawie partycypacji w kosztach budowy lokalu mieszkalnego z jednoczesną zmianą umowy najmu na umowę najmu instytucjonalnego z dojściem do własności uwzględniającą rozliczenie partycypacji, jeżeli poza spełnieniem warunków, o których mowa w art. art. 33db ust. 1, partycypował w kosztach budowy mieszkania w najwyższym dopuszczalnym poziomie. Progi partycypacji uprawniające do złożenia takiego wniosku ustalono na poziomie 20% </w:t>
      </w:r>
      <w:r w:rsidR="00C47C60" w:rsidRPr="0023349B">
        <w:rPr>
          <w:rFonts w:ascii="Times New Roman" w:hAnsi="Times New Roman" w:cs="Times New Roman"/>
        </w:rPr>
        <w:t>–</w:t>
      </w:r>
      <w:r w:rsidRPr="0023349B">
        <w:rPr>
          <w:rFonts w:ascii="Times New Roman" w:hAnsi="Times New Roman" w:cs="Times New Roman"/>
        </w:rPr>
        <w:t xml:space="preserve"> dla mniejszych i 25% </w:t>
      </w:r>
      <w:r w:rsidR="00C47C60" w:rsidRPr="0023349B">
        <w:rPr>
          <w:rFonts w:ascii="Times New Roman" w:hAnsi="Times New Roman" w:cs="Times New Roman"/>
        </w:rPr>
        <w:t>–</w:t>
      </w:r>
      <w:r w:rsidRPr="0023349B">
        <w:rPr>
          <w:rFonts w:ascii="Times New Roman" w:hAnsi="Times New Roman" w:cs="Times New Roman"/>
        </w:rPr>
        <w:t xml:space="preserve"> dla większych miejscowości (będących siedzibą wojewody lub sejmiku województwa albo miasta na prawach powiatu liczącego powyżej 100 tys. mieszkańców). Różnica wynika po pierwsze z większej dos</w:t>
      </w:r>
      <w:r w:rsidR="009B3F57" w:rsidRPr="0023349B">
        <w:rPr>
          <w:rFonts w:ascii="Times New Roman" w:hAnsi="Times New Roman" w:cs="Times New Roman"/>
        </w:rPr>
        <w:t>tępności mieszkań na własność w </w:t>
      </w:r>
      <w:r w:rsidRPr="0023349B">
        <w:rPr>
          <w:rFonts w:ascii="Times New Roman" w:hAnsi="Times New Roman" w:cs="Times New Roman"/>
        </w:rPr>
        <w:t xml:space="preserve">dużych aglomeracjach a po drugie z wyższych kosztów realizacji inwestycji na terenach dużych miast i wynikającej z tego faktu konieczności zaangażowania większych środków pochodzących z partycypacji. Przepis przewiduje jednak ustalenie w statucie TBS niższych progów partycypacji uprawniających do jej rozliczenia w formule dojścia do własności.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art. 33dl</w:t>
      </w:r>
      <w:r w:rsidRPr="0023349B">
        <w:rPr>
          <w:rFonts w:ascii="Times New Roman" w:hAnsi="Times New Roman" w:cs="Times New Roman"/>
        </w:rPr>
        <w:t xml:space="preserve"> rozliczenie partycypacji w ramach umowy najmu instytucjonalnego z dojściem do własności będzie dokonywane w częściach zaliczanych na poczet comiesięcznych rat, wliczanych w cenę lokalu mieszkalnego płatną w comiesięcznych ratach. Rozliczenie partycypacji nastąpi z dniem, w którym łączna, zaliczona w tym trybie na poczet partycypacji kwota osiągnie równowartość kwoty tej partycypacji.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Cenę lokalu w przypadku zmiany umowy najmu na umowę najmu </w:t>
      </w:r>
      <w:r w:rsidR="009B3F57" w:rsidRPr="0023349B">
        <w:rPr>
          <w:rFonts w:ascii="Times New Roman" w:hAnsi="Times New Roman" w:cs="Times New Roman"/>
        </w:rPr>
        <w:t>instytucjonalnego z dojściem do </w:t>
      </w:r>
      <w:r w:rsidRPr="0023349B">
        <w:rPr>
          <w:rFonts w:ascii="Times New Roman" w:hAnsi="Times New Roman" w:cs="Times New Roman"/>
        </w:rPr>
        <w:t>własności stanowi wartość rynkowa tego lokalu ustalona zgodni</w:t>
      </w:r>
      <w:r w:rsidR="009B3F57" w:rsidRPr="0023349B">
        <w:rPr>
          <w:rFonts w:ascii="Times New Roman" w:hAnsi="Times New Roman" w:cs="Times New Roman"/>
        </w:rPr>
        <w:t>e z przepisami ustawy z dnia 21 </w:t>
      </w:r>
      <w:r w:rsidRPr="0023349B">
        <w:rPr>
          <w:rFonts w:ascii="Times New Roman" w:hAnsi="Times New Roman" w:cs="Times New Roman"/>
        </w:rPr>
        <w:t>sierpnia 1997 r. o gospodarce nieruchomościami, jednak nie wyższa niż obliczana wg wzoru zawartego w ust. 3 tego przepisu.</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Zgodnie z art. 33dl ust. 3 </w:t>
      </w:r>
      <w:r w:rsidRPr="0023349B">
        <w:rPr>
          <w:rFonts w:ascii="Times New Roman" w:hAnsi="Times New Roman" w:cs="Times New Roman"/>
          <w:i/>
        </w:rPr>
        <w:t>ustawy o niektórych formach…</w:t>
      </w:r>
      <w:r w:rsidRPr="0023349B">
        <w:rPr>
          <w:rFonts w:ascii="Times New Roman" w:hAnsi="Times New Roman" w:cs="Times New Roman"/>
        </w:rPr>
        <w:t xml:space="preserve"> określony w zawieranej umowie najmu instytucjonalnego termin dojścia do własności może upłynąć wcześniej niż 10 lat od dnia zawarcia umowy wyłącznie z inicjatywy wnioskodawcy. Natomiast w </w:t>
      </w:r>
      <w:r w:rsidR="009B3F57" w:rsidRPr="0023349B">
        <w:rPr>
          <w:rFonts w:ascii="Times New Roman" w:hAnsi="Times New Roman" w:cs="Times New Roman"/>
        </w:rPr>
        <w:t>przypadku lokalu wybudowanego w </w:t>
      </w:r>
      <w:r w:rsidRPr="0023349B">
        <w:rPr>
          <w:rFonts w:ascii="Times New Roman" w:hAnsi="Times New Roman" w:cs="Times New Roman"/>
        </w:rPr>
        <w:t xml:space="preserve">ramach przedsięwzięcia inwestycyjno-budowlanego, z którego realizacją było związane zawarcie umowy, o której mowa w art. 5 ust. 2 </w:t>
      </w:r>
      <w:r w:rsidRPr="0023349B">
        <w:rPr>
          <w:rFonts w:ascii="Times New Roman" w:hAnsi="Times New Roman" w:cs="Times New Roman"/>
          <w:i/>
        </w:rPr>
        <w:t>ustawy o finansowym wsparciu…</w:t>
      </w:r>
      <w:r w:rsidRPr="0023349B">
        <w:rPr>
          <w:rFonts w:ascii="Times New Roman" w:hAnsi="Times New Roman" w:cs="Times New Roman"/>
        </w:rPr>
        <w:t xml:space="preserve"> </w:t>
      </w:r>
      <w:r w:rsidR="00C47C60" w:rsidRPr="0023349B">
        <w:rPr>
          <w:rFonts w:ascii="Times New Roman" w:hAnsi="Times New Roman" w:cs="Times New Roman"/>
        </w:rPr>
        <w:t>–</w:t>
      </w:r>
      <w:r w:rsidRPr="0023349B">
        <w:rPr>
          <w:rFonts w:ascii="Times New Roman" w:hAnsi="Times New Roman" w:cs="Times New Roman"/>
        </w:rPr>
        <w:t xml:space="preserve"> nie może upłynąć wcześniej niż przed upływem 15 lat, licząc od dnia przekazania przez gminę albo związek międzygminny Bankowi oświadczenia inwestora o kosztach realizacji przedsięwzięcia inwestycyjno-budowlanego oraz kwocie udziału wpłaconej przez beneficjenta wsparcia (art. 33dl ust. 4 </w:t>
      </w:r>
      <w:r w:rsidRPr="0023349B">
        <w:rPr>
          <w:rFonts w:ascii="Times New Roman" w:hAnsi="Times New Roman" w:cs="Times New Roman"/>
          <w:i/>
        </w:rPr>
        <w:t>ustawy o niektórych formach…</w:t>
      </w:r>
      <w:r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art. </w:t>
      </w:r>
      <w:r w:rsidRPr="0023349B">
        <w:rPr>
          <w:rFonts w:ascii="Times New Roman" w:hAnsi="Times New Roman" w:cs="Times New Roman"/>
          <w:b/>
        </w:rPr>
        <w:t>33d</w:t>
      </w:r>
      <w:r w:rsidR="00193AD6" w:rsidRPr="0023349B">
        <w:rPr>
          <w:rFonts w:ascii="Times New Roman" w:hAnsi="Times New Roman" w:cs="Times New Roman"/>
          <w:b/>
        </w:rPr>
        <w:t>m</w:t>
      </w:r>
      <w:r w:rsidRPr="0023349B">
        <w:rPr>
          <w:rFonts w:ascii="Times New Roman" w:hAnsi="Times New Roman" w:cs="Times New Roman"/>
        </w:rPr>
        <w:t xml:space="preserve"> zawarto regulację doprecyzowującą, że w zakresie nieo</w:t>
      </w:r>
      <w:r w:rsidR="009B3F57" w:rsidRPr="0023349B">
        <w:rPr>
          <w:rFonts w:ascii="Times New Roman" w:hAnsi="Times New Roman" w:cs="Times New Roman"/>
        </w:rPr>
        <w:t>bjętym przepisami oddziału 4, w </w:t>
      </w:r>
      <w:r w:rsidRPr="0023349B">
        <w:rPr>
          <w:rFonts w:ascii="Times New Roman" w:hAnsi="Times New Roman" w:cs="Times New Roman"/>
        </w:rPr>
        <w:t>przypadku ustanowienia odrębnej własności lokalu na skutek zmiany umowy najmu na umowę najmu instytucjonalnego z dojściem do własności uwzględniającą rozliczenie partycypacji, stosować się będzie odpowiednio przepisy art. 33e</w:t>
      </w:r>
      <w:r w:rsidR="00C47C60" w:rsidRPr="0023349B">
        <w:rPr>
          <w:rFonts w:ascii="Times New Roman" w:hAnsi="Times New Roman" w:cs="Times New Roman"/>
        </w:rPr>
        <w:t xml:space="preserve"> – art. </w:t>
      </w:r>
      <w:r w:rsidRPr="0023349B">
        <w:rPr>
          <w:rFonts w:ascii="Times New Roman" w:hAnsi="Times New Roman" w:cs="Times New Roman"/>
        </w:rPr>
        <w:t>33j</w:t>
      </w:r>
      <w:r w:rsidR="00193AD6" w:rsidRPr="0023349B">
        <w:rPr>
          <w:rFonts w:ascii="Times New Roman" w:hAnsi="Times New Roman" w:cs="Times New Roman"/>
        </w:rPr>
        <w:t xml:space="preserve"> </w:t>
      </w:r>
      <w:r w:rsidRPr="0023349B">
        <w:rPr>
          <w:rFonts w:ascii="Times New Roman" w:hAnsi="Times New Roman" w:cs="Times New Roman"/>
        </w:rPr>
        <w:t>(m.in. w zakresie części umorzenia kredytu, zwrotu nadwyżki).</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Zmiany </w:t>
      </w:r>
      <w:r w:rsidR="009B3F57" w:rsidRPr="0023349B">
        <w:rPr>
          <w:rFonts w:ascii="Times New Roman" w:hAnsi="Times New Roman" w:cs="Times New Roman"/>
          <w:u w:val="single"/>
        </w:rPr>
        <w:t>18</w:t>
      </w:r>
      <w:r w:rsidR="00C47C60" w:rsidRPr="0023349B">
        <w:rPr>
          <w:rFonts w:ascii="Times New Roman" w:hAnsi="Times New Roman" w:cs="Times New Roman"/>
          <w:bCs/>
          <w:u w:val="single"/>
        </w:rPr>
        <w:t>–</w:t>
      </w:r>
      <w:r w:rsidR="009B3F57" w:rsidRPr="0023349B">
        <w:rPr>
          <w:rFonts w:ascii="Times New Roman" w:hAnsi="Times New Roman" w:cs="Times New Roman"/>
          <w:u w:val="single"/>
        </w:rPr>
        <w:t>21</w:t>
      </w:r>
      <w:r w:rsidRPr="0023349B">
        <w:rPr>
          <w:rFonts w:ascii="Times New Roman" w:hAnsi="Times New Roman" w:cs="Times New Roman"/>
          <w:u w:val="single"/>
        </w:rPr>
        <w:t xml:space="preserve">: art. 33e, </w:t>
      </w:r>
      <w:r w:rsidR="00C47C60" w:rsidRPr="0023349B">
        <w:rPr>
          <w:rFonts w:ascii="Times New Roman" w:hAnsi="Times New Roman" w:cs="Times New Roman"/>
          <w:u w:val="single"/>
        </w:rPr>
        <w:t xml:space="preserve">art. </w:t>
      </w:r>
      <w:r w:rsidRPr="0023349B">
        <w:rPr>
          <w:rFonts w:ascii="Times New Roman" w:hAnsi="Times New Roman" w:cs="Times New Roman"/>
          <w:u w:val="single"/>
        </w:rPr>
        <w:t xml:space="preserve">33f, </w:t>
      </w:r>
      <w:r w:rsidR="00C47C60" w:rsidRPr="0023349B">
        <w:rPr>
          <w:rFonts w:ascii="Times New Roman" w:hAnsi="Times New Roman" w:cs="Times New Roman"/>
          <w:u w:val="single"/>
        </w:rPr>
        <w:t xml:space="preserve">art. </w:t>
      </w:r>
      <w:r w:rsidRPr="0023349B">
        <w:rPr>
          <w:rFonts w:ascii="Times New Roman" w:hAnsi="Times New Roman" w:cs="Times New Roman"/>
          <w:u w:val="single"/>
        </w:rPr>
        <w:t>33j i art. 33k</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Zmiany w rozdziale 4b. Wyodrębnianie na własność lokali mieszkalnych</w:t>
      </w:r>
      <w:r w:rsidR="006B2BF6" w:rsidRPr="0023349B">
        <w:rPr>
          <w:rFonts w:ascii="Times New Roman" w:hAnsi="Times New Roman" w:cs="Times New Roman"/>
        </w:rPr>
        <w:t xml:space="preserve"> wraz z pomieszczeniami przynależnymi</w:t>
      </w:r>
      <w:r w:rsidRPr="0023349B">
        <w:rPr>
          <w:rFonts w:ascii="Times New Roman" w:hAnsi="Times New Roman" w:cs="Times New Roman"/>
        </w:rPr>
        <w:t xml:space="preserve"> wybudowanych na wynajem przy wykorzystaniu kredytu udzielonego przez BGK, </w:t>
      </w:r>
      <w:r w:rsidRPr="0023349B">
        <w:rPr>
          <w:rFonts w:ascii="Times New Roman" w:hAnsi="Times New Roman" w:cs="Times New Roman"/>
          <w:i/>
        </w:rPr>
        <w:t>ustawy o niektórych formach…,</w:t>
      </w:r>
      <w:r w:rsidRPr="0023349B">
        <w:rPr>
          <w:rFonts w:ascii="Times New Roman" w:hAnsi="Times New Roman" w:cs="Times New Roman"/>
        </w:rPr>
        <w:t xml:space="preserve"> które znalazły odzwierciedlenie w </w:t>
      </w:r>
      <w:r w:rsidRPr="0023349B">
        <w:rPr>
          <w:rFonts w:ascii="Times New Roman" w:hAnsi="Times New Roman" w:cs="Times New Roman"/>
          <w:b/>
        </w:rPr>
        <w:t xml:space="preserve">art. </w:t>
      </w:r>
      <w:r w:rsidR="009B3F57" w:rsidRPr="0023349B">
        <w:rPr>
          <w:rFonts w:ascii="Times New Roman" w:hAnsi="Times New Roman" w:cs="Times New Roman"/>
          <w:b/>
        </w:rPr>
        <w:t>7</w:t>
      </w:r>
      <w:r w:rsidRPr="0023349B">
        <w:rPr>
          <w:rFonts w:ascii="Times New Roman" w:hAnsi="Times New Roman" w:cs="Times New Roman"/>
          <w:b/>
        </w:rPr>
        <w:t xml:space="preserve"> pkt </w:t>
      </w:r>
      <w:r w:rsidR="009B3F57" w:rsidRPr="0023349B">
        <w:rPr>
          <w:rFonts w:ascii="Times New Roman" w:hAnsi="Times New Roman" w:cs="Times New Roman"/>
          <w:b/>
        </w:rPr>
        <w:t>18</w:t>
      </w:r>
      <w:r w:rsidR="00C47C60" w:rsidRPr="0023349B">
        <w:rPr>
          <w:rFonts w:ascii="Times New Roman" w:hAnsi="Times New Roman" w:cs="Times New Roman"/>
          <w:bCs/>
        </w:rPr>
        <w:t>–</w:t>
      </w:r>
      <w:r w:rsidR="009B3F57" w:rsidRPr="0023349B">
        <w:rPr>
          <w:rFonts w:ascii="Times New Roman" w:hAnsi="Times New Roman" w:cs="Times New Roman"/>
          <w:b/>
        </w:rPr>
        <w:t>21</w:t>
      </w:r>
      <w:r w:rsidRPr="0023349B">
        <w:rPr>
          <w:rFonts w:ascii="Times New Roman" w:hAnsi="Times New Roman" w:cs="Times New Roman"/>
          <w:b/>
        </w:rPr>
        <w:t xml:space="preserve"> projektu ustawy</w:t>
      </w:r>
      <w:r w:rsidRPr="0023349B">
        <w:rPr>
          <w:rFonts w:ascii="Times New Roman" w:hAnsi="Times New Roman" w:cs="Times New Roman"/>
        </w:rPr>
        <w:t xml:space="preserve"> są efektem uwzględnienia wieloletnich oczekiwań o charakterze prywatyzacyjnym.</w:t>
      </w:r>
      <w:r w:rsidR="00193AD6" w:rsidRPr="0023349B">
        <w:rPr>
          <w:rFonts w:ascii="Times New Roman" w:hAnsi="Times New Roman" w:cs="Times New Roman"/>
        </w:rPr>
        <w:t xml:space="preserve">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Postanowiono, że przeniesienie przez TBS na najemcę własności lokalu mieszkalnego</w:t>
      </w:r>
      <w:r w:rsidR="006B2BF6" w:rsidRPr="0023349B">
        <w:rPr>
          <w:rFonts w:ascii="Times New Roman" w:hAnsi="Times New Roman" w:cs="Times New Roman"/>
        </w:rPr>
        <w:t xml:space="preserve"> wraz z pomieszczeniami przynależnymi</w:t>
      </w:r>
      <w:r w:rsidR="009B3F57" w:rsidRPr="0023349B">
        <w:rPr>
          <w:rFonts w:ascii="Times New Roman" w:hAnsi="Times New Roman" w:cs="Times New Roman"/>
        </w:rPr>
        <w:t xml:space="preserve"> </w:t>
      </w:r>
      <w:r w:rsidRPr="0023349B">
        <w:rPr>
          <w:rFonts w:ascii="Times New Roman" w:hAnsi="Times New Roman" w:cs="Times New Roman"/>
        </w:rPr>
        <w:t>będzie możliwe nie tylko, jak ma to miejsce obecnie w przypadku lokali wybudowanych ze środków b. KFM, ale również w przypadku lokali powstałych przy udziale preferencyjnego kredytu zwrotnego. Z możliwości wykupu będą mogły skorzystać wyłącznie osoby fizyczne będące przez co najmniej 5 lat stroną obowiązującej umowy w sprawie partycypacji w kosztach budowy wynajmowanego przez siebie mieszkania (</w:t>
      </w:r>
      <w:r w:rsidRPr="0023349B">
        <w:rPr>
          <w:rFonts w:ascii="Times New Roman" w:hAnsi="Times New Roman" w:cs="Times New Roman"/>
          <w:b/>
        </w:rPr>
        <w:t>art. 33e ust. 1 i 2</w:t>
      </w:r>
      <w:r w:rsidRPr="0023349B">
        <w:rPr>
          <w:rFonts w:ascii="Times New Roman" w:hAnsi="Times New Roman" w:cs="Times New Roman"/>
        </w:rPr>
        <w:t xml:space="preserve"> </w:t>
      </w:r>
      <w:r w:rsidRPr="0023349B">
        <w:rPr>
          <w:rFonts w:ascii="Times New Roman" w:hAnsi="Times New Roman" w:cs="Times New Roman"/>
          <w:i/>
        </w:rPr>
        <w:t>ustawy</w:t>
      </w:r>
      <w:r w:rsidRPr="0023349B">
        <w:rPr>
          <w:rFonts w:ascii="Times New Roman" w:hAnsi="Times New Roman" w:cs="Times New Roman"/>
        </w:rPr>
        <w:t>). Ponadto w</w:t>
      </w:r>
      <w:r w:rsidR="00193AD6" w:rsidRPr="0023349B">
        <w:rPr>
          <w:rFonts w:ascii="Times New Roman" w:hAnsi="Times New Roman" w:cs="Times New Roman"/>
        </w:rPr>
        <w:t xml:space="preserve"> </w:t>
      </w:r>
      <w:r w:rsidRPr="0023349B">
        <w:rPr>
          <w:rFonts w:ascii="Times New Roman" w:hAnsi="Times New Roman" w:cs="Times New Roman"/>
          <w:b/>
        </w:rPr>
        <w:t xml:space="preserve">ust. </w:t>
      </w:r>
      <w:r w:rsidR="006B2BF6" w:rsidRPr="0023349B">
        <w:rPr>
          <w:rFonts w:ascii="Times New Roman" w:hAnsi="Times New Roman" w:cs="Times New Roman"/>
          <w:b/>
        </w:rPr>
        <w:t xml:space="preserve">3 </w:t>
      </w:r>
      <w:r w:rsidRPr="0023349B">
        <w:rPr>
          <w:rFonts w:ascii="Times New Roman" w:hAnsi="Times New Roman" w:cs="Times New Roman"/>
        </w:rPr>
        <w:t xml:space="preserve">w </w:t>
      </w:r>
      <w:r w:rsidRPr="0023349B">
        <w:rPr>
          <w:rFonts w:ascii="Times New Roman" w:hAnsi="Times New Roman" w:cs="Times New Roman"/>
          <w:b/>
        </w:rPr>
        <w:t>art. 33e</w:t>
      </w:r>
      <w:r w:rsidRPr="0023349B">
        <w:rPr>
          <w:rFonts w:ascii="Times New Roman" w:hAnsi="Times New Roman" w:cs="Times New Roman"/>
        </w:rPr>
        <w:t xml:space="preserve"> doprecyzowano, że przeniesienie na najemcę własności lokalu mieszkalnego wybudowanego przy wykorzystaniu kredytu udzielonego przez Bank Gospodarstwa Krajowego na podstawie wniosku złożonego do dnia 30 września 2009 r. obejmuje przeniesienie na najemcę własności pomieszczenia przynależnego do tego lokalu</w:t>
      </w:r>
      <w:r w:rsidR="006B2BF6" w:rsidRPr="0023349B">
        <w:rPr>
          <w:rFonts w:ascii="Times New Roman" w:hAnsi="Times New Roman" w:cs="Times New Roman"/>
        </w:rPr>
        <w:t>. W kolejnych ustępach art. 33e doprecyzowano, że przeniesienie na najemcę własności lokalu mieszkalnego wybudowanego przy wykorzystaniu finansowania zwrotnego obejmuje przeniesienie na najemcę własności pomieszczenia przynależnego</w:t>
      </w:r>
      <w:r w:rsidRPr="0023349B">
        <w:rPr>
          <w:rFonts w:ascii="Times New Roman" w:hAnsi="Times New Roman" w:cs="Times New Roman"/>
        </w:rPr>
        <w:t xml:space="preserve"> chyba że towarzystwo i najemca zdecydują inaczej</w:t>
      </w:r>
      <w:r w:rsidR="006B2BF6" w:rsidRPr="0023349B">
        <w:rPr>
          <w:rFonts w:ascii="Times New Roman" w:hAnsi="Times New Roman" w:cs="Times New Roman"/>
        </w:rPr>
        <w:t xml:space="preserve"> (ust.4). Natomiast zgodnie z ust. 5 przeniesienie na najemcę własności garażu lub udziału w garażu wielostanowiskowym</w:t>
      </w:r>
      <w:r w:rsidR="001230C6" w:rsidRPr="0023349B">
        <w:rPr>
          <w:rFonts w:ascii="Times New Roman" w:hAnsi="Times New Roman" w:cs="Times New Roman"/>
        </w:rPr>
        <w:t xml:space="preserve">, wybudowanego przy wykorzystaniu finansowania zwrotnego uzależnione jest od uprzedniej spłaty części zadłużenia kredytowego, przypadającego na ten garaż lub udział w garażu wielostanowiskowym, z uwzględnieniem art. 33f ust. 3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art. 33f</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w:t>
      </w:r>
      <w:r w:rsidRPr="0023349B">
        <w:rPr>
          <w:rFonts w:ascii="Times New Roman" w:hAnsi="Times New Roman" w:cs="Times New Roman"/>
          <w:b/>
        </w:rPr>
        <w:t xml:space="preserve">art. </w:t>
      </w:r>
      <w:r w:rsidR="009B3F57" w:rsidRPr="0023349B">
        <w:rPr>
          <w:rFonts w:ascii="Times New Roman" w:hAnsi="Times New Roman" w:cs="Times New Roman"/>
          <w:b/>
        </w:rPr>
        <w:t>7</w:t>
      </w:r>
      <w:r w:rsidRPr="0023349B">
        <w:rPr>
          <w:rFonts w:ascii="Times New Roman" w:hAnsi="Times New Roman" w:cs="Times New Roman"/>
          <w:b/>
        </w:rPr>
        <w:t xml:space="preserve"> pkt </w:t>
      </w:r>
      <w:r w:rsidR="009B3F57" w:rsidRPr="0023349B">
        <w:rPr>
          <w:rFonts w:ascii="Times New Roman" w:hAnsi="Times New Roman" w:cs="Times New Roman"/>
          <w:b/>
        </w:rPr>
        <w:t>19</w:t>
      </w:r>
      <w:r w:rsidRPr="0023349B">
        <w:rPr>
          <w:rFonts w:ascii="Times New Roman" w:hAnsi="Times New Roman" w:cs="Times New Roman"/>
          <w:b/>
        </w:rPr>
        <w:t xml:space="preserve"> lit. b projektu </w:t>
      </w:r>
      <w:r w:rsidRPr="0023349B">
        <w:rPr>
          <w:rFonts w:ascii="Times New Roman" w:hAnsi="Times New Roman" w:cs="Times New Roman"/>
          <w:b/>
          <w:i/>
        </w:rPr>
        <w:t>ustawy</w:t>
      </w:r>
      <w:r w:rsidRPr="0023349B">
        <w:rPr>
          <w:rFonts w:ascii="Times New Roman" w:hAnsi="Times New Roman" w:cs="Times New Roman"/>
        </w:rPr>
        <w:t>) wprowadzono możliwość przeniesienia prawa własności mieszkania wybudowanego w ramach rządowych programów wsparcia nie tylko w przypadku mieszkań wybudowanych w ramach byłego programu KFM, ale także w przypadku mieszkań wybudowanych w ramach programu SBC (najemca może wystąpić z wnioskiem o przeniesienie własności lokalu po upływie 5 lat od oddania</w:t>
      </w:r>
      <w:r w:rsidR="001230C6" w:rsidRPr="0023349B">
        <w:rPr>
          <w:rFonts w:ascii="Times New Roman" w:hAnsi="Times New Roman" w:cs="Times New Roman"/>
        </w:rPr>
        <w:t>, w którym wydano pozwolenie</w:t>
      </w:r>
      <w:r w:rsidRPr="0023349B">
        <w:rPr>
          <w:rFonts w:ascii="Times New Roman" w:hAnsi="Times New Roman" w:cs="Times New Roman"/>
        </w:rPr>
        <w:t xml:space="preserve"> na użytkowanie budynku</w:t>
      </w:r>
      <w:r w:rsidR="001230C6" w:rsidRPr="0023349B">
        <w:rPr>
          <w:rFonts w:ascii="Times New Roman" w:hAnsi="Times New Roman" w:cs="Times New Roman"/>
        </w:rPr>
        <w:t>, w którym znajduje się ten lokal</w:t>
      </w:r>
      <w:r w:rsidRPr="0023349B">
        <w:rPr>
          <w:rFonts w:ascii="Times New Roman" w:hAnsi="Times New Roman" w:cs="Times New Roman"/>
        </w:rPr>
        <w:t xml:space="preserve">) i wybudowanego przy wsparciu grantu – art. 5 ust. 1 </w:t>
      </w:r>
      <w:r w:rsidRPr="0023349B">
        <w:rPr>
          <w:rFonts w:ascii="Times New Roman" w:hAnsi="Times New Roman" w:cs="Times New Roman"/>
          <w:i/>
        </w:rPr>
        <w:t>ustawy o finansowym wsparciu…</w:t>
      </w:r>
      <w:r w:rsidRPr="0023349B">
        <w:rPr>
          <w:rFonts w:ascii="Times New Roman" w:hAnsi="Times New Roman" w:cs="Times New Roman"/>
        </w:rPr>
        <w:t xml:space="preserve"> (po upływie 15 lat od dnia rozliczenia kosztów przedsięwzięcia). Ostateczna decyzja o ewentualnej sprzedaży będzie nadal uzależniona od właściciela zasobu. Cena natomiast będzie rozliczana wg wartości rynkowej mieszkania. </w:t>
      </w:r>
    </w:p>
    <w:p w:rsidR="00C268CB" w:rsidRPr="0023349B" w:rsidRDefault="00C268CB" w:rsidP="0023349B">
      <w:pPr>
        <w:spacing w:after="120" w:line="360" w:lineRule="auto"/>
        <w:jc w:val="both"/>
        <w:rPr>
          <w:rFonts w:ascii="Times New Roman" w:hAnsi="Times New Roman" w:cs="Times New Roman"/>
          <w:i/>
        </w:rPr>
      </w:pPr>
      <w:r w:rsidRPr="0023349B">
        <w:rPr>
          <w:rFonts w:ascii="Times New Roman" w:hAnsi="Times New Roman" w:cs="Times New Roman"/>
        </w:rPr>
        <w:t xml:space="preserve">Zarząd nieruchomością wspólną stanowiącą współwłasność TBS w myśl </w:t>
      </w:r>
      <w:r w:rsidRPr="0023349B">
        <w:rPr>
          <w:rFonts w:ascii="Times New Roman" w:hAnsi="Times New Roman" w:cs="Times New Roman"/>
          <w:b/>
        </w:rPr>
        <w:t>art. 33j ust. 3</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będzie nadal wykonywany przez TBS jako zarząd powierzony. Ustawodawca postanowił jednak w </w:t>
      </w:r>
      <w:r w:rsidRPr="0023349B">
        <w:rPr>
          <w:rFonts w:ascii="Times New Roman" w:hAnsi="Times New Roman" w:cs="Times New Roman"/>
          <w:b/>
        </w:rPr>
        <w:t xml:space="preserve">art. </w:t>
      </w:r>
      <w:r w:rsidR="009B3F57" w:rsidRPr="0023349B">
        <w:rPr>
          <w:rFonts w:ascii="Times New Roman" w:hAnsi="Times New Roman" w:cs="Times New Roman"/>
          <w:b/>
        </w:rPr>
        <w:t>7</w:t>
      </w:r>
      <w:r w:rsidRPr="0023349B">
        <w:rPr>
          <w:rFonts w:ascii="Times New Roman" w:hAnsi="Times New Roman" w:cs="Times New Roman"/>
          <w:b/>
        </w:rPr>
        <w:t xml:space="preserve"> pkt </w:t>
      </w:r>
      <w:r w:rsidR="009B3F57" w:rsidRPr="0023349B">
        <w:rPr>
          <w:rFonts w:ascii="Times New Roman" w:hAnsi="Times New Roman" w:cs="Times New Roman"/>
          <w:b/>
        </w:rPr>
        <w:t>20</w:t>
      </w:r>
      <w:r w:rsidRPr="0023349B">
        <w:rPr>
          <w:rFonts w:ascii="Times New Roman" w:hAnsi="Times New Roman" w:cs="Times New Roman"/>
          <w:b/>
        </w:rPr>
        <w:t xml:space="preserve"> projektu </w:t>
      </w:r>
      <w:r w:rsidRPr="0023349B">
        <w:rPr>
          <w:rFonts w:ascii="Times New Roman" w:hAnsi="Times New Roman" w:cs="Times New Roman"/>
          <w:b/>
          <w:i/>
        </w:rPr>
        <w:t>ustawy</w:t>
      </w:r>
      <w:r w:rsidRPr="0023349B">
        <w:rPr>
          <w:rFonts w:ascii="Times New Roman" w:hAnsi="Times New Roman" w:cs="Times New Roman"/>
        </w:rPr>
        <w:t xml:space="preserve"> wyłączyć stosowanie zasad z art. 23 ust. 2a i ust. 2b </w:t>
      </w:r>
      <w:r w:rsidRPr="0023349B">
        <w:rPr>
          <w:rFonts w:ascii="Times New Roman" w:hAnsi="Times New Roman" w:cs="Times New Roman"/>
          <w:i/>
        </w:rPr>
        <w:t>ustawy o własności lokali:</w:t>
      </w:r>
    </w:p>
    <w:p w:rsidR="00C268CB" w:rsidRPr="0023349B" w:rsidRDefault="008B4357" w:rsidP="0023349B">
      <w:pPr>
        <w:spacing w:after="120" w:line="360" w:lineRule="auto"/>
        <w:ind w:left="709" w:hanging="283"/>
        <w:jc w:val="both"/>
        <w:rPr>
          <w:rFonts w:ascii="Times New Roman" w:eastAsia="Times New Roman" w:hAnsi="Times New Roman" w:cs="Times New Roman"/>
        </w:rPr>
      </w:pPr>
      <w:r w:rsidRPr="0023349B">
        <w:rPr>
          <w:rFonts w:ascii="Times New Roman" w:eastAsia="Times New Roman" w:hAnsi="Times New Roman" w:cs="Times New Roman"/>
        </w:rPr>
        <w:t>–</w:t>
      </w:r>
      <w:r w:rsidRPr="0023349B">
        <w:rPr>
          <w:rFonts w:ascii="Times New Roman" w:eastAsia="Times New Roman" w:hAnsi="Times New Roman" w:cs="Times New Roman"/>
        </w:rPr>
        <w:tab/>
      </w:r>
      <w:r w:rsidR="00C268CB" w:rsidRPr="0023349B">
        <w:rPr>
          <w:rFonts w:ascii="Times New Roman" w:eastAsia="Times New Roman" w:hAnsi="Times New Roman" w:cs="Times New Roman"/>
        </w:rPr>
        <w:t>jeżeli suma udziałów w nieruchomości wspólnej nie jest równa 1 albo większość udziałów należy do jednego właściciela bądź, gdy obydwa te warunki spełnione są łącznie, głosowanie według zasady, że na każdego właściciela przypada jeden głos, wprowadza się na każde żądanie właścicieli lokali posiadających łącznie co najmniej 1/5 udziałów w nieruchomości wspólnej;</w:t>
      </w:r>
    </w:p>
    <w:p w:rsidR="00C268CB" w:rsidRPr="0023349B" w:rsidRDefault="00C268CB" w:rsidP="0023349B">
      <w:pPr>
        <w:spacing w:after="120" w:line="360" w:lineRule="auto"/>
        <w:ind w:left="709" w:hanging="283"/>
        <w:jc w:val="both"/>
        <w:rPr>
          <w:rFonts w:ascii="Times New Roman" w:eastAsia="Times New Roman" w:hAnsi="Times New Roman" w:cs="Times New Roman"/>
        </w:rPr>
      </w:pPr>
      <w:bookmarkStart w:id="2" w:name="mip48590350"/>
      <w:bookmarkEnd w:id="2"/>
      <w:r w:rsidRPr="0023349B">
        <w:rPr>
          <w:rFonts w:ascii="Times New Roman" w:eastAsia="Times New Roman" w:hAnsi="Times New Roman" w:cs="Times New Roman"/>
        </w:rPr>
        <w:t>–</w:t>
      </w:r>
      <w:r w:rsidR="008B4357" w:rsidRPr="0023349B">
        <w:rPr>
          <w:rFonts w:ascii="Times New Roman" w:eastAsia="Times New Roman" w:hAnsi="Times New Roman" w:cs="Times New Roman"/>
        </w:rPr>
        <w:tab/>
      </w:r>
      <w:r w:rsidRPr="0023349B">
        <w:rPr>
          <w:rFonts w:ascii="Times New Roman" w:eastAsia="Times New Roman" w:hAnsi="Times New Roman" w:cs="Times New Roman"/>
        </w:rPr>
        <w:t>jeżeli lokal jest przedmiotem współwłasności w częściach ułamkowych, współwłaściciele celem oddania głosu przypadającego na ich lokal w głosowaniu prowadzonym według zasady, że na każdego właściciela przypada jeden głos, obowiązani są ustanowić w formie pisemnej pełnomocnika. Ustanowienia pełnomocnika współwłaściciele lokalu dokonują większością głosów liczoną według wielkości udziałów we współwłasności lokalu.</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Doprecyzowano </w:t>
      </w:r>
      <w:r w:rsidRPr="0023349B">
        <w:rPr>
          <w:rFonts w:ascii="Times New Roman" w:hAnsi="Times New Roman" w:cs="Times New Roman"/>
          <w:b/>
        </w:rPr>
        <w:t>art. 33k</w:t>
      </w:r>
      <w:r w:rsidRPr="0023349B">
        <w:rPr>
          <w:rFonts w:ascii="Times New Roman" w:hAnsi="Times New Roman" w:cs="Times New Roman"/>
        </w:rPr>
        <w:t xml:space="preserve"> </w:t>
      </w:r>
      <w:r w:rsidRPr="0023349B">
        <w:rPr>
          <w:rFonts w:ascii="Times New Roman" w:hAnsi="Times New Roman" w:cs="Times New Roman"/>
          <w:i/>
        </w:rPr>
        <w:t>ustawy o niektórych formach…,</w:t>
      </w:r>
      <w:r w:rsidRPr="0023349B">
        <w:rPr>
          <w:rFonts w:ascii="Times New Roman" w:hAnsi="Times New Roman" w:cs="Times New Roman"/>
        </w:rPr>
        <w:t xml:space="preserve"> w taki sposób, aby do wyodrębniania lokali mieszkalnych wybudowanych na wynajem przez spółdzielnie mieszkaniowe oraz spółki gminne przy wykorzystaniu finansowania zwrotnego stosować odpowiednio przepisy art. 33e</w:t>
      </w:r>
      <w:r w:rsidR="00C47C60" w:rsidRPr="0023349B">
        <w:rPr>
          <w:rFonts w:ascii="Times New Roman" w:hAnsi="Times New Roman" w:cs="Times New Roman"/>
        </w:rPr>
        <w:t xml:space="preserve"> </w:t>
      </w:r>
      <w:r w:rsidR="00C47C60" w:rsidRPr="0023349B">
        <w:rPr>
          <w:rFonts w:ascii="Times New Roman" w:hAnsi="Times New Roman" w:cs="Times New Roman"/>
          <w:bCs/>
        </w:rPr>
        <w:t>– art.</w:t>
      </w:r>
      <w:r w:rsidR="00C47C60" w:rsidRPr="0023349B">
        <w:rPr>
          <w:rFonts w:ascii="Times New Roman" w:hAnsi="Times New Roman" w:cs="Times New Roman"/>
        </w:rPr>
        <w:t xml:space="preserve"> </w:t>
      </w:r>
      <w:r w:rsidRPr="0023349B">
        <w:rPr>
          <w:rFonts w:ascii="Times New Roman" w:hAnsi="Times New Roman" w:cs="Times New Roman"/>
        </w:rPr>
        <w:t xml:space="preserve">33j </w:t>
      </w:r>
      <w:r w:rsidRPr="0023349B">
        <w:rPr>
          <w:rFonts w:ascii="Times New Roman" w:hAnsi="Times New Roman" w:cs="Times New Roman"/>
          <w:i/>
        </w:rPr>
        <w:t>ustawy o niektórych formach…</w:t>
      </w:r>
      <w:r w:rsidRPr="0023349B">
        <w:rPr>
          <w:rFonts w:ascii="Times New Roman" w:hAnsi="Times New Roman" w:cs="Times New Roman"/>
        </w:rPr>
        <w:t xml:space="preserve"> (</w:t>
      </w:r>
      <w:r w:rsidRPr="0023349B">
        <w:rPr>
          <w:rFonts w:ascii="Times New Roman" w:hAnsi="Times New Roman" w:cs="Times New Roman"/>
          <w:b/>
        </w:rPr>
        <w:t xml:space="preserve">art. </w:t>
      </w:r>
      <w:r w:rsidR="009B3F57" w:rsidRPr="0023349B">
        <w:rPr>
          <w:rFonts w:ascii="Times New Roman" w:hAnsi="Times New Roman" w:cs="Times New Roman"/>
          <w:b/>
        </w:rPr>
        <w:t>7</w:t>
      </w:r>
      <w:r w:rsidRPr="0023349B">
        <w:rPr>
          <w:rFonts w:ascii="Times New Roman" w:hAnsi="Times New Roman" w:cs="Times New Roman"/>
          <w:b/>
        </w:rPr>
        <w:t xml:space="preserve"> pkt </w:t>
      </w:r>
      <w:r w:rsidR="009B3F57" w:rsidRPr="0023349B">
        <w:rPr>
          <w:rFonts w:ascii="Times New Roman" w:hAnsi="Times New Roman" w:cs="Times New Roman"/>
          <w:b/>
        </w:rPr>
        <w:t>21</w:t>
      </w:r>
      <w:r w:rsidRPr="0023349B">
        <w:rPr>
          <w:rFonts w:ascii="Times New Roman" w:hAnsi="Times New Roman" w:cs="Times New Roman"/>
          <w:b/>
        </w:rPr>
        <w:t xml:space="preserve"> projektu </w:t>
      </w:r>
      <w:r w:rsidRPr="0023349B">
        <w:rPr>
          <w:rFonts w:ascii="Times New Roman" w:hAnsi="Times New Roman" w:cs="Times New Roman"/>
          <w:b/>
          <w:i/>
        </w:rPr>
        <w:t>ustawy</w:t>
      </w:r>
      <w:r w:rsidRPr="0023349B">
        <w:rPr>
          <w:rFonts w:ascii="Times New Roman" w:hAnsi="Times New Roman" w:cs="Times New Roman"/>
        </w:rPr>
        <w:t>).</w:t>
      </w:r>
    </w:p>
    <w:p w:rsidR="009C66B2" w:rsidRPr="0023349B" w:rsidRDefault="009C66B2"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Zmiana 22: po art. 33k dodaje się rozdział 4c w brzmieniu</w:t>
      </w:r>
    </w:p>
    <w:p w:rsidR="001A0CC0" w:rsidRPr="0023349B" w:rsidRDefault="001A0CC0"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Zmiana polega na rozszerzeniu ustawy o przepisy pozwalające na udzielanie gminom wsparcia w zakładaniu społecznych inicjatyw mieszkaniowych/towarzystw budownictwa społecznego. Obecna sytuacja spowodowana epidemią znacząco zmniejszyła wpływy do budżetu samorządów, czego efektem może stać się ograniczenie ich aktywności we wspieraniu towarzystw budownictwa społecznego. Przygotowane rozwiązanie polegać będzie na utworzeniu w Banku Gospodarstwa </w:t>
      </w:r>
      <w:r w:rsidR="001C6BDB" w:rsidRPr="0023349B">
        <w:rPr>
          <w:rFonts w:ascii="Times New Roman" w:hAnsi="Times New Roman" w:cs="Times New Roman"/>
        </w:rPr>
        <w:t>Rządowego Funduszu Rozwoju Mieszkalnictwa</w:t>
      </w:r>
      <w:r w:rsidRPr="0023349B">
        <w:rPr>
          <w:rFonts w:ascii="Times New Roman" w:hAnsi="Times New Roman" w:cs="Times New Roman"/>
        </w:rPr>
        <w:t xml:space="preserve">, zasilonego środkami działającego już Funduszu Przeciwdziałania COVID-19. </w:t>
      </w:r>
    </w:p>
    <w:p w:rsidR="001A0CC0" w:rsidRPr="0023349B" w:rsidRDefault="001A0CC0" w:rsidP="0023349B">
      <w:pPr>
        <w:spacing w:after="120" w:line="360" w:lineRule="auto"/>
        <w:jc w:val="both"/>
        <w:rPr>
          <w:rFonts w:ascii="Times New Roman" w:hAnsi="Times New Roman" w:cs="Times New Roman"/>
        </w:rPr>
      </w:pPr>
      <w:r w:rsidRPr="0023349B">
        <w:rPr>
          <w:rFonts w:ascii="Times New Roman" w:hAnsi="Times New Roman" w:cs="Times New Roman"/>
        </w:rPr>
        <w:t>Środki Funduszu Rozwoju Mieszkalnictwa będą służyły sfinansowaniu części lub całości wydatków gminy na objęcie udziałów lub akcji w tworzonej lub działającej spółce społecznego budownictwa czynszowego (Społeczna Inicjatywa Mieszkaniowa /SIM/). Wysokość wsparcia udzielonego gminie będzie mogła wynosić jednorazowo dla nowotworzonej spółki maksymalnie 3 mln zł, a w przypadku działającej spółki w powiązaniu z daną planowaną inwestycją mieszkaniową maksymalnie do 10% wartości jej kosztów.</w:t>
      </w:r>
    </w:p>
    <w:p w:rsidR="001A0CC0" w:rsidRPr="0023349B" w:rsidRDefault="001A0CC0"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Ponieważ </w:t>
      </w:r>
      <w:r w:rsidR="00C47C60" w:rsidRPr="0023349B">
        <w:rPr>
          <w:rFonts w:ascii="Times New Roman" w:hAnsi="Times New Roman" w:cs="Times New Roman"/>
        </w:rPr>
        <w:t>–</w:t>
      </w:r>
      <w:r w:rsidRPr="0023349B">
        <w:rPr>
          <w:rFonts w:ascii="Times New Roman" w:hAnsi="Times New Roman" w:cs="Times New Roman"/>
        </w:rPr>
        <w:t xml:space="preserve"> w oparciu o aktualny stan prawny </w:t>
      </w:r>
      <w:r w:rsidR="00C47C60" w:rsidRPr="0023349B">
        <w:rPr>
          <w:rFonts w:ascii="Times New Roman" w:hAnsi="Times New Roman" w:cs="Times New Roman"/>
        </w:rPr>
        <w:t>–</w:t>
      </w:r>
      <w:r w:rsidRPr="0023349B">
        <w:rPr>
          <w:rFonts w:ascii="Times New Roman" w:hAnsi="Times New Roman" w:cs="Times New Roman"/>
        </w:rPr>
        <w:t xml:space="preserve"> wprowadzona nowelizacją nazwa Społecznych Inicjatyw Mieszkaniowych co do zasady odnosiła się będzie do aktualnego segmentu TBS, dla oszacowania wydatków przyjęto, że punktem odniesienia jest segment działających TBS. Przyjęto poniższe założenia:</w:t>
      </w:r>
    </w:p>
    <w:p w:rsidR="001A0CC0" w:rsidRPr="0023349B" w:rsidRDefault="001A0CC0" w:rsidP="0023349B">
      <w:pPr>
        <w:pStyle w:val="Akapitzlist"/>
        <w:numPr>
          <w:ilvl w:val="0"/>
          <w:numId w:val="57"/>
        </w:numPr>
        <w:spacing w:line="360" w:lineRule="auto"/>
        <w:ind w:left="714" w:hanging="357"/>
        <w:jc w:val="both"/>
        <w:rPr>
          <w:rFonts w:ascii="Times New Roman" w:hAnsi="Times New Roman" w:cs="Times New Roman"/>
        </w:rPr>
      </w:pPr>
      <w:r w:rsidRPr="0023349B">
        <w:rPr>
          <w:rFonts w:ascii="Times New Roman" w:hAnsi="Times New Roman" w:cs="Times New Roman"/>
        </w:rPr>
        <w:t>w ramach wsparcia udzielanego gminom w związku nowotworzonymi spółkami działającymi w formule SIM wsparcie uzyska 120 projektów utworzenia nowych spółek (zwiększenie aktualnego segmentu TBS o ok. 50% aktualnej liczby (aktualnie ok. 248 spółek TBS wg danych MR);</w:t>
      </w:r>
    </w:p>
    <w:p w:rsidR="001A0CC0" w:rsidRPr="0023349B" w:rsidRDefault="001A0CC0" w:rsidP="0023349B">
      <w:pPr>
        <w:pStyle w:val="Akapitzlist"/>
        <w:numPr>
          <w:ilvl w:val="0"/>
          <w:numId w:val="57"/>
        </w:numPr>
        <w:spacing w:line="360" w:lineRule="auto"/>
        <w:ind w:left="714" w:hanging="357"/>
        <w:jc w:val="both"/>
        <w:rPr>
          <w:rFonts w:ascii="Times New Roman" w:hAnsi="Times New Roman" w:cs="Times New Roman"/>
        </w:rPr>
      </w:pPr>
      <w:r w:rsidRPr="0023349B">
        <w:rPr>
          <w:rFonts w:ascii="Times New Roman" w:hAnsi="Times New Roman" w:cs="Times New Roman"/>
        </w:rPr>
        <w:t>jednostkowe wsparcie związane z nowotworzonymi SIM jest udzielane w maksymalnej wysokości 3 mln zł;</w:t>
      </w:r>
    </w:p>
    <w:p w:rsidR="001A0CC0" w:rsidRPr="0023349B" w:rsidRDefault="001A0CC0" w:rsidP="0023349B">
      <w:pPr>
        <w:pStyle w:val="Akapitzlist"/>
        <w:numPr>
          <w:ilvl w:val="0"/>
          <w:numId w:val="57"/>
        </w:numPr>
        <w:spacing w:line="360" w:lineRule="auto"/>
        <w:ind w:left="714" w:hanging="357"/>
        <w:jc w:val="both"/>
        <w:rPr>
          <w:rFonts w:ascii="Times New Roman" w:hAnsi="Times New Roman" w:cs="Times New Roman"/>
        </w:rPr>
      </w:pPr>
      <w:r w:rsidRPr="0023349B">
        <w:rPr>
          <w:rFonts w:ascii="Times New Roman" w:hAnsi="Times New Roman" w:cs="Times New Roman"/>
        </w:rPr>
        <w:t>w ramach wsparcia udzielanego gminom na dokapitalizowanie działających SIM w związku z planowaną inwestycją dofinansowanie uzyska 248 projektów (100% spółek TBS);</w:t>
      </w:r>
    </w:p>
    <w:p w:rsidR="001A0CC0" w:rsidRPr="0023349B" w:rsidRDefault="001A0CC0" w:rsidP="0023349B">
      <w:pPr>
        <w:pStyle w:val="Akapitzlist"/>
        <w:numPr>
          <w:ilvl w:val="0"/>
          <w:numId w:val="57"/>
        </w:numPr>
        <w:spacing w:line="360" w:lineRule="auto"/>
        <w:ind w:left="714" w:hanging="357"/>
        <w:jc w:val="both"/>
        <w:rPr>
          <w:rFonts w:ascii="Times New Roman" w:hAnsi="Times New Roman" w:cs="Times New Roman"/>
        </w:rPr>
      </w:pPr>
      <w:r w:rsidRPr="0023349B">
        <w:rPr>
          <w:rFonts w:ascii="Times New Roman" w:hAnsi="Times New Roman" w:cs="Times New Roman"/>
        </w:rPr>
        <w:t>w ramach jednostkowego projektu powstanie 50 lokali mieszkalnych, o średniej powierzchni 50 m2 i koszcie budowy w przeliczeniu na 1m2 powierzchni użytkowej na poziomie 6 tys. zł. W każdym przypadku wsparcie będzie dotyczyło 10% kosztów;</w:t>
      </w:r>
    </w:p>
    <w:p w:rsidR="001A0CC0" w:rsidRPr="0023349B" w:rsidRDefault="001A0CC0" w:rsidP="0023349B">
      <w:pPr>
        <w:pStyle w:val="Akapitzlist"/>
        <w:numPr>
          <w:ilvl w:val="0"/>
          <w:numId w:val="57"/>
        </w:numPr>
        <w:spacing w:line="360" w:lineRule="auto"/>
        <w:ind w:left="714" w:hanging="357"/>
        <w:jc w:val="both"/>
        <w:rPr>
          <w:rFonts w:ascii="Times New Roman" w:hAnsi="Times New Roman" w:cs="Times New Roman"/>
        </w:rPr>
      </w:pPr>
      <w:r w:rsidRPr="0023349B">
        <w:rPr>
          <w:rFonts w:ascii="Times New Roman" w:hAnsi="Times New Roman" w:cs="Times New Roman"/>
        </w:rPr>
        <w:t>uruchomione w 2020 r. wsparcie ma charakter interwencyjny, związany z przeciwdziałaniem negatywnym skutkom COVID-19. Jako jednorazowe zasilenie utworzonego Funduszu będzie w całości sfinansowane środkami Funduszu Przeciwdziałania COVID-19. Przyjęto, że wsparcie zostanie w całości udzielone gminom w pierwszych trzech latach po uruchomieniu w poniższym rozkładzie: 20% kwoty RFRM w pierwszym roku, 60% w drugim roku oraz 20% w trzecim roku;</w:t>
      </w:r>
    </w:p>
    <w:p w:rsidR="001A0CC0" w:rsidRPr="0023349B" w:rsidRDefault="001A0CC0" w:rsidP="0023349B">
      <w:pPr>
        <w:pStyle w:val="Akapitzlist"/>
        <w:numPr>
          <w:ilvl w:val="0"/>
          <w:numId w:val="57"/>
        </w:numPr>
        <w:spacing w:after="240" w:line="360" w:lineRule="auto"/>
        <w:jc w:val="both"/>
        <w:rPr>
          <w:rFonts w:ascii="Times New Roman" w:hAnsi="Times New Roman" w:cs="Times New Roman"/>
        </w:rPr>
      </w:pPr>
      <w:r w:rsidRPr="0023349B">
        <w:rPr>
          <w:rFonts w:ascii="Times New Roman" w:hAnsi="Times New Roman" w:cs="Times New Roman"/>
        </w:rPr>
        <w:t>ewentualne, wynikające z zawartych umów wynagrodzenie dla KZN i BGK związane z operacyjnym zarządzeniem Funduszem oraz wykonywaniem czynności z tytułu przyjmowania i rozpatrywania wniosków gmin, nie przekroczy maks. 1,6% środków udzielonego wsparcia. (zostanie ono tym samym w całości sfinansowane środkami RFRM).</w:t>
      </w:r>
    </w:p>
    <w:p w:rsidR="001A0CC0" w:rsidRPr="0023349B" w:rsidRDefault="001A0CC0" w:rsidP="0023349B">
      <w:pPr>
        <w:spacing w:after="360" w:line="360" w:lineRule="auto"/>
        <w:jc w:val="both"/>
        <w:rPr>
          <w:rFonts w:ascii="Times New Roman" w:hAnsi="Times New Roman" w:cs="Times New Roman"/>
        </w:rPr>
      </w:pPr>
      <w:r w:rsidRPr="0023349B">
        <w:rPr>
          <w:rFonts w:ascii="Times New Roman" w:hAnsi="Times New Roman" w:cs="Times New Roman"/>
        </w:rPr>
        <w:t>Zasilenie Funduszu Rozwoju Mieszkalnictwa planowane jest w 2020 r. Kwotą 1,5 mld zł. Środki</w:t>
      </w:r>
      <w:r w:rsidR="00193AD6" w:rsidRPr="0023349B">
        <w:rPr>
          <w:rFonts w:ascii="Times New Roman" w:hAnsi="Times New Roman" w:cs="Times New Roman"/>
        </w:rPr>
        <w:t xml:space="preserve"> wydatkowane będą w latach 2020</w:t>
      </w:r>
      <w:r w:rsidRPr="0023349B">
        <w:rPr>
          <w:rFonts w:ascii="Times New Roman" w:hAnsi="Times New Roman" w:cs="Times New Roman"/>
        </w:rPr>
        <w:t xml:space="preserve">–2022. Wypłata środków z nowo utworzonego funduszu dokonywana będzie na wniosek gmin zamierzających wesprzeć tworzenie lub działanie istniejących towarzystwa budownictwa społecznego poprzez obejmowanie w nich udziałów. </w:t>
      </w:r>
    </w:p>
    <w:p w:rsidR="00C268CB" w:rsidRPr="0023349B" w:rsidRDefault="00C268CB" w:rsidP="0023349B">
      <w:pPr>
        <w:spacing w:after="120" w:line="360" w:lineRule="auto"/>
        <w:jc w:val="both"/>
        <w:rPr>
          <w:rFonts w:ascii="Times New Roman" w:hAnsi="Times New Roman" w:cs="Times New Roman"/>
          <w:b/>
        </w:rPr>
      </w:pPr>
      <w:r w:rsidRPr="0023349B">
        <w:rPr>
          <w:rFonts w:ascii="Times New Roman" w:hAnsi="Times New Roman" w:cs="Times New Roman"/>
          <w:b/>
        </w:rPr>
        <w:t xml:space="preserve">Art. </w:t>
      </w:r>
      <w:r w:rsidR="001A0CC0" w:rsidRPr="0023349B">
        <w:rPr>
          <w:rFonts w:ascii="Times New Roman" w:hAnsi="Times New Roman" w:cs="Times New Roman"/>
          <w:b/>
        </w:rPr>
        <w:t xml:space="preserve">8 – </w:t>
      </w:r>
      <w:r w:rsidRPr="0023349B">
        <w:rPr>
          <w:rFonts w:ascii="Times New Roman" w:hAnsi="Times New Roman" w:cs="Times New Roman"/>
          <w:b/>
        </w:rPr>
        <w:t>Zmiany w ustawie o pomocy państwa w spłacie niektórych kredytów mieszkaniowych, udzielaniu premii gwarancyjnych oraz refundacji bankom wypłaconych premii gwarancyjnych</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 xml:space="preserve">W </w:t>
      </w:r>
      <w:r w:rsidRPr="0023349B">
        <w:rPr>
          <w:rFonts w:ascii="Times New Roman" w:eastAsia="Times New Roman" w:hAnsi="Times New Roman" w:cs="Times New Roman"/>
          <w:szCs w:val="20"/>
          <w:u w:val="single"/>
          <w:lang w:eastAsia="pl-PL"/>
        </w:rPr>
        <w:t xml:space="preserve">art. </w:t>
      </w:r>
      <w:r w:rsidR="001A0CC0" w:rsidRPr="0023349B">
        <w:rPr>
          <w:rFonts w:ascii="Times New Roman" w:eastAsia="Times New Roman" w:hAnsi="Times New Roman" w:cs="Times New Roman"/>
          <w:szCs w:val="20"/>
          <w:u w:val="single"/>
          <w:lang w:eastAsia="pl-PL"/>
        </w:rPr>
        <w:t xml:space="preserve">8 </w:t>
      </w:r>
      <w:r w:rsidRPr="0023349B">
        <w:rPr>
          <w:rFonts w:ascii="Times New Roman" w:eastAsia="Times New Roman" w:hAnsi="Times New Roman" w:cs="Times New Roman"/>
          <w:szCs w:val="20"/>
          <w:u w:val="single"/>
          <w:lang w:eastAsia="pl-PL"/>
        </w:rPr>
        <w:t xml:space="preserve">pkt 1 lit. a </w:t>
      </w:r>
      <w:r w:rsidRPr="0023349B">
        <w:rPr>
          <w:rFonts w:ascii="Times New Roman" w:eastAsia="Times New Roman" w:hAnsi="Times New Roman" w:cs="Times New Roman"/>
          <w:szCs w:val="20"/>
          <w:lang w:eastAsia="pl-PL"/>
        </w:rPr>
        <w:t xml:space="preserve">proponuje się modyfikację obecnego brzmienia </w:t>
      </w:r>
      <w:r w:rsidR="001A0CC0" w:rsidRPr="0023349B">
        <w:rPr>
          <w:rFonts w:ascii="Times New Roman" w:eastAsia="Times New Roman" w:hAnsi="Times New Roman" w:cs="Times New Roman"/>
          <w:szCs w:val="20"/>
          <w:lang w:eastAsia="pl-PL"/>
        </w:rPr>
        <w:t>art. 3 ust. 1 pkt 2</w:t>
      </w:r>
      <w:r w:rsidR="00C47C60" w:rsidRPr="0023349B">
        <w:rPr>
          <w:rFonts w:ascii="Times New Roman" w:eastAsia="Times New Roman" w:hAnsi="Times New Roman" w:cs="Times New Roman"/>
          <w:szCs w:val="20"/>
          <w:lang w:eastAsia="pl-PL"/>
        </w:rPr>
        <w:t>–</w:t>
      </w:r>
      <w:r w:rsidR="001A0CC0" w:rsidRPr="0023349B">
        <w:rPr>
          <w:rFonts w:ascii="Times New Roman" w:eastAsia="Times New Roman" w:hAnsi="Times New Roman" w:cs="Times New Roman"/>
          <w:szCs w:val="20"/>
          <w:lang w:eastAsia="pl-PL"/>
        </w:rPr>
        <w:t>3 ustawy. W </w:t>
      </w:r>
      <w:r w:rsidRPr="0023349B">
        <w:rPr>
          <w:rFonts w:ascii="Times New Roman" w:eastAsia="Times New Roman" w:hAnsi="Times New Roman" w:cs="Times New Roman"/>
          <w:szCs w:val="20"/>
          <w:lang w:eastAsia="pl-PL"/>
        </w:rPr>
        <w:t xml:space="preserve">wyniku wprowadzonej zmiany możliwe będzie uzyskanie </w:t>
      </w:r>
      <w:r w:rsidR="001A0CC0" w:rsidRPr="0023349B">
        <w:rPr>
          <w:rFonts w:ascii="Times New Roman" w:eastAsia="Times New Roman" w:hAnsi="Times New Roman" w:cs="Times New Roman"/>
          <w:szCs w:val="20"/>
          <w:lang w:eastAsia="pl-PL"/>
        </w:rPr>
        <w:t>premii gwarancyjnej w związku z </w:t>
      </w:r>
      <w:r w:rsidRPr="0023349B">
        <w:rPr>
          <w:rFonts w:ascii="Times New Roman" w:eastAsia="Times New Roman" w:hAnsi="Times New Roman" w:cs="Times New Roman"/>
          <w:szCs w:val="20"/>
          <w:lang w:eastAsia="pl-PL"/>
        </w:rPr>
        <w:t>zakupem mieszkania lub domu jednorodzinnego na rynku wtórnym również w części ułamkowej, pod warunkiem, że nabyte w części ułamkowej spółdzielcze własnościowe prawo lub prawo własności wynosiło będzie co najmniej 1/4. Wprowadzona zmiana uwzględnia postulaty środowisk zrzeszających właścicieli książeczek, które w toku konsultacji społecznych zwracały uwagę na potrzebę likwidacji ograniczenia wyłączającego dzisiaj możliwość uzyskania premii w przypadku nabycia ułamkowej części prawa. Ograniczenie to pozbawia możliwości uzyskania premii przy zakupie mieszkań np. przez osoby wspólnie zamieszkujące, ale pozbawione prawa nabycia mieszkania na zasadach współwłasności łącznej, przez rodziców dla więcej niż jednego dziecka lub osoby posiadające rozdzielność majątkową. Podzielając zasadność przedstawianej argumentacji projekt proponuje jednak dla posiadania uprawnienia do likwidacji książeczki wprowadzenie minimalnej ułamkowej części nabywanego prawa (1/4). Przyjęte rozwiązanie zabezpieczało będzie przed występowaniem praktyk polegających na w pewnym sensie pozorowanych transakcjach nabywania nawet przez kilku właścicieli książeczek małej ułamkowej części prawa do jednego mieszkania (np. 1/99) jedynie w celu likwidacji książeczki (jako zorganizowana praktyka oferowania za wynagrodzeniem właścicielom książeczek).</w:t>
      </w:r>
      <w:r w:rsidR="00193AD6" w:rsidRPr="0023349B">
        <w:rPr>
          <w:rFonts w:ascii="Times New Roman" w:eastAsia="Times New Roman" w:hAnsi="Times New Roman" w:cs="Times New Roman"/>
          <w:szCs w:val="20"/>
          <w:lang w:eastAsia="pl-PL"/>
        </w:rPr>
        <w:t xml:space="preserve"> </w:t>
      </w:r>
      <w:r w:rsidRPr="0023349B">
        <w:rPr>
          <w:rFonts w:ascii="Times New Roman" w:eastAsia="Times New Roman" w:hAnsi="Times New Roman" w:cs="Times New Roman"/>
          <w:szCs w:val="20"/>
          <w:lang w:eastAsia="pl-PL"/>
        </w:rPr>
        <w:t>W przeszłości podobne jednostkowe praktyki, nie mające nic wspólnego z zaspokajaniem potrzeby mieszkaniowej, były uzasadnieniem dla wprowadzenia dzisiaj obowiązującego wyłączenia. Jako radykalne rozwiązanie wykluczające wydaje się ono jednak w obecnej formule zbyt restrykcyjne. W związku z brakiem przypadków ustawowych przekształceń spółdzielczego lokatorskiego prawa w spółdzielcze własnościowe prawo doprecyzowano jednocześnie brzmienie pkt 2, wykreślając przypadek nabycia spółdzielczego własnościowego prawa w drodze zamiany. Wprowadzona zmiana nie będzie miała wpływu na podjęte już czynności, wobec czego nie przewiduje się wprowadzenia przepisów przejściowych.</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 xml:space="preserve">Zgodnie z </w:t>
      </w:r>
      <w:r w:rsidRPr="0023349B">
        <w:rPr>
          <w:rFonts w:ascii="Times New Roman" w:eastAsia="Times New Roman" w:hAnsi="Times New Roman" w:cs="Times New Roman"/>
          <w:szCs w:val="20"/>
          <w:u w:val="single"/>
          <w:lang w:eastAsia="pl-PL"/>
        </w:rPr>
        <w:t xml:space="preserve">art. </w:t>
      </w:r>
      <w:r w:rsidR="001A0CC0" w:rsidRPr="0023349B">
        <w:rPr>
          <w:rFonts w:ascii="Times New Roman" w:eastAsia="Times New Roman" w:hAnsi="Times New Roman" w:cs="Times New Roman"/>
          <w:szCs w:val="20"/>
          <w:u w:val="single"/>
          <w:lang w:eastAsia="pl-PL"/>
        </w:rPr>
        <w:t xml:space="preserve">8 </w:t>
      </w:r>
      <w:r w:rsidRPr="0023349B">
        <w:rPr>
          <w:rFonts w:ascii="Times New Roman" w:eastAsia="Times New Roman" w:hAnsi="Times New Roman" w:cs="Times New Roman"/>
          <w:szCs w:val="20"/>
          <w:u w:val="single"/>
          <w:lang w:eastAsia="pl-PL"/>
        </w:rPr>
        <w:t>pkt 1 lit. b</w:t>
      </w:r>
      <w:r w:rsidRPr="0023349B">
        <w:rPr>
          <w:rFonts w:ascii="Times New Roman" w:eastAsia="Times New Roman" w:hAnsi="Times New Roman" w:cs="Times New Roman"/>
          <w:szCs w:val="20"/>
          <w:lang w:eastAsia="pl-PL"/>
        </w:rPr>
        <w:t xml:space="preserve">, w art. 3 ust. 1 ustawy proponuje się dodanie nowego punktu dającego możliwość uzyskania premii z tytułu wydatków związanych z zawarciem umowy najmu mieszkania. Aktualnie w katalogu wydatków uprawniających do uzyskania premii gwarancyjnej występują już tytuły wydatkowe wiążące przesłankę zaspokojenia potrzeby mieszkaniowej z rynkiem najmu. Premię można uzyskać m.in. w związku z dokonaniem przez właściciela książeczki (a) wpłaty kaucji zabezpieczającej zobowiązania z tytułu zawarcia umowy najmu lokalu mieszkalnego w budynku wielorodzinnym wybudowanym w ramach społecznego budownictwa czynszowego lub (b) wpłaty partycypacji w </w:t>
      </w:r>
      <w:proofErr w:type="spellStart"/>
      <w:r w:rsidRPr="0023349B">
        <w:rPr>
          <w:rFonts w:ascii="Times New Roman" w:eastAsia="Times New Roman" w:hAnsi="Times New Roman" w:cs="Times New Roman"/>
          <w:szCs w:val="20"/>
          <w:lang w:eastAsia="pl-PL"/>
        </w:rPr>
        <w:t>tbs</w:t>
      </w:r>
      <w:proofErr w:type="spellEnd"/>
      <w:r w:rsidRPr="0023349B">
        <w:rPr>
          <w:rFonts w:ascii="Times New Roman" w:eastAsia="Times New Roman" w:hAnsi="Times New Roman" w:cs="Times New Roman"/>
          <w:szCs w:val="20"/>
          <w:lang w:eastAsia="pl-PL"/>
        </w:rPr>
        <w:t xml:space="preserve"> (również społeczne budownictwo czynszowe) w wysokości nie niższej niż 10% ostatecznych kosztów budowy przypadających na lokal. </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 xml:space="preserve">Proponuje się, aby premia gwarancyjna przysługiwała właścicielowi książeczki na szczególnych zasadach również w związku z poniesieniem wydatków mieszkaniowych na podstawie zawartej umowy najmu instytucjonalnego z dojściem do własności (premia przekazywana byłaby w tych przypadkach przed uzyskaniem własności wynajmowanego mieszkania tytułem spłaty części kapitałowej). Wprowadzone rozwiązanie uwzględniało będzie możliwość zaspokajania potrzeb mieszkaniowych w oparciu o wykorzystanie nowej formuły najmu mieszkania, tj. rozwiązań wprowadzonych do porządku prawnego w 2017 r. w wyniku nowelizacji </w:t>
      </w:r>
      <w:r w:rsidRPr="0023349B">
        <w:rPr>
          <w:rFonts w:ascii="Times New Roman" w:eastAsia="Times New Roman" w:hAnsi="Times New Roman" w:cs="Times New Roman"/>
          <w:bCs/>
          <w:szCs w:val="20"/>
          <w:lang w:eastAsia="pl-PL"/>
        </w:rPr>
        <w:t>ustawy z dnia 21 czerwca 2001 r. o ochronie praw lokatorów, mieszkaniowym zasobie gminy i o zmianie Kodeksu cywilnego</w:t>
      </w:r>
      <w:r w:rsidRPr="0023349B">
        <w:rPr>
          <w:rFonts w:ascii="Times New Roman" w:eastAsia="Times New Roman" w:hAnsi="Times New Roman" w:cs="Times New Roman"/>
          <w:szCs w:val="20"/>
          <w:lang w:eastAsia="pl-PL"/>
        </w:rPr>
        <w:t xml:space="preserve"> (Dz. U. z 2019 r. poz. 1182 i 1309). Przepisy te stanowią ważny pakiet regulacji systemowych, które są wykorzystywane w rządowym programie rozwoju dostępnego budownictwa na wynajem „Mieszkanie+”.</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 xml:space="preserve">Proponuje się, aby premia przysługiwała właścicielowi książeczki mieszkaniowej po zapłacie – na podstawie umowy najmu instytucjonalnego – części ceny mieszkania w łącznej równowartości nie niższej niż 3% wartości odtworzeniowej lokalu. Analogiczny kwotowo warunek dotyczy dzisiaj, zgodnie z art. 3 ust. 1 pkt 8 ustawy, premii gwarancyjnej wypłacanej w związku z wpłatą kaucji zabezpieczającej umowę najmu mieszkań wybudowanych w ramach programu wsparcia społecznego budownictwa czynszowego w oparciu o preferencyjne kredyty udzielane przez BGK. </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W celu uniknięcia sytuacji, gdy umowy najmu instytucjonalnego zawierane byłyby na krótki okres czasu „fikcyjnie” (bez zamiaru ostatecznego zakupu mieszkania), w przepisie wprowadzony zostałby warunek, zgodnie z którym uprawnienie do likwidacji książeczki i uzyskania premii będzie wymagało co najmniej 12 miesięcy trwania umowy najmu instytucjonalnego mieszkania.</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Kolejną zmianą poszerzającą aktualny katalog zdarzeń uprawniających do ubiegania się o premię jest wprowadzenie do katalogu czynności, w związku z którymi można ubiegać się o premię gwarancyjną, nowych przedsięwzięć (</w:t>
      </w:r>
      <w:r w:rsidRPr="0023349B">
        <w:rPr>
          <w:rFonts w:ascii="Times New Roman" w:eastAsia="Times New Roman" w:hAnsi="Times New Roman" w:cs="Times New Roman"/>
          <w:szCs w:val="20"/>
          <w:u w:val="single"/>
          <w:lang w:eastAsia="pl-PL"/>
        </w:rPr>
        <w:t xml:space="preserve">art. </w:t>
      </w:r>
      <w:r w:rsidR="001A0CC0" w:rsidRPr="0023349B">
        <w:rPr>
          <w:rFonts w:ascii="Times New Roman" w:eastAsia="Times New Roman" w:hAnsi="Times New Roman" w:cs="Times New Roman"/>
          <w:szCs w:val="20"/>
          <w:u w:val="single"/>
          <w:lang w:eastAsia="pl-PL"/>
        </w:rPr>
        <w:t xml:space="preserve">8 </w:t>
      </w:r>
      <w:r w:rsidRPr="0023349B">
        <w:rPr>
          <w:rFonts w:ascii="Times New Roman" w:eastAsia="Times New Roman" w:hAnsi="Times New Roman" w:cs="Times New Roman"/>
          <w:szCs w:val="20"/>
          <w:u w:val="single"/>
          <w:lang w:eastAsia="pl-PL"/>
        </w:rPr>
        <w:t>pkt 1 lit c</w:t>
      </w:r>
      <w:r w:rsidRPr="0023349B">
        <w:rPr>
          <w:rFonts w:ascii="Times New Roman" w:eastAsia="Times New Roman" w:hAnsi="Times New Roman" w:cs="Times New Roman"/>
          <w:szCs w:val="20"/>
          <w:lang w:eastAsia="pl-PL"/>
        </w:rPr>
        <w:t>).</w:t>
      </w:r>
      <w:r w:rsidRPr="0023349B">
        <w:rPr>
          <w:rFonts w:ascii="Times New Roman" w:hAnsi="Times New Roman" w:cs="Times New Roman"/>
        </w:rPr>
        <w:t xml:space="preserve"> </w:t>
      </w:r>
      <w:r w:rsidRPr="0023349B">
        <w:rPr>
          <w:rFonts w:ascii="Times New Roman" w:eastAsia="Times New Roman" w:hAnsi="Times New Roman" w:cs="Times New Roman"/>
          <w:szCs w:val="20"/>
          <w:lang w:eastAsia="pl-PL"/>
        </w:rPr>
        <w:t xml:space="preserve">Obecnie właściciele książeczek mieszkaniowych mogą ubiegać się o premię jedynie w związku z wymianą okien, instalacji elektrycznej lub gazowej. Proponuje się poszerzyć katalog wydatków o nowe przedsięwzięcia, których celem będzie poprawa stanu technicznego mieszkania lub domu, polegająca na montażu, wymianie lub modernizacji instalacji elektrycznej, gazowej lub instalacji wodno-kanalizacyjnej. Ponadto proponuje się rezygnację z pojęcia „remont”. Pojęcie to zostało zdefiniowane w ustawie z dnia 7 lipca 1994 r. – Prawo budowlane (Dz. U. z 2019 r. poz. 1186, z późn. zm.), a w ramach niniejszej ustawy zakres przedsięwzięć został rozszerzony i ich realizacja może powodować podejmowanie działań wykraczających poza definicję „remontu”. </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u w:val="single"/>
          <w:lang w:eastAsia="pl-PL"/>
        </w:rPr>
        <w:t xml:space="preserve">W art. </w:t>
      </w:r>
      <w:r w:rsidR="001A0CC0" w:rsidRPr="0023349B">
        <w:rPr>
          <w:rFonts w:ascii="Times New Roman" w:eastAsia="Times New Roman" w:hAnsi="Times New Roman" w:cs="Times New Roman"/>
          <w:szCs w:val="20"/>
          <w:u w:val="single"/>
          <w:lang w:eastAsia="pl-PL"/>
        </w:rPr>
        <w:t xml:space="preserve">8 </w:t>
      </w:r>
      <w:r w:rsidRPr="0023349B">
        <w:rPr>
          <w:rFonts w:ascii="Times New Roman" w:eastAsia="Times New Roman" w:hAnsi="Times New Roman" w:cs="Times New Roman"/>
          <w:szCs w:val="20"/>
          <w:u w:val="single"/>
          <w:lang w:eastAsia="pl-PL"/>
        </w:rPr>
        <w:t>pkt 1 lit. d</w:t>
      </w:r>
      <w:r w:rsidR="00193AD6" w:rsidRPr="0023349B">
        <w:rPr>
          <w:rFonts w:ascii="Times New Roman" w:eastAsia="Times New Roman" w:hAnsi="Times New Roman" w:cs="Times New Roman"/>
          <w:szCs w:val="20"/>
          <w:u w:val="single"/>
          <w:lang w:eastAsia="pl-PL"/>
        </w:rPr>
        <w:t xml:space="preserve"> </w:t>
      </w:r>
      <w:r w:rsidRPr="0023349B">
        <w:rPr>
          <w:rFonts w:ascii="Times New Roman" w:eastAsia="Times New Roman" w:hAnsi="Times New Roman" w:cs="Times New Roman"/>
          <w:szCs w:val="20"/>
          <w:lang w:eastAsia="pl-PL"/>
        </w:rPr>
        <w:t>wprowadza się możliwość ubiegania o premię gwarancyjną w związku z wydatkami związanymi z realizacją przedsięwzięć termomodernizacyjnych. Rozwiązanie to jest realizacją zapisów NPM, w którym zapowiedziano powiązanie realizacji dawnych zobowiązań państwa z działaniami na rzecz zwiększenia efektywności energetycznej budynków. Będą to wydatki ponoszone zarówno w związku z działaniami mającymi na celu instalację ekologicznego źródła ciepła, jak również przedsięwzięcia podejmowane w ramach realizacji inwestycji termomodernizacyjnych. W związku z powiązaniem tych wydatków z wykazem określonym w przepisach wydanych na podstawie art. 26h ust. 10 ustawy z dnia 26 lipca 1991 r. o podatku dochodowym od osób fizycznych (Dz. U. z 2019 r. poz. 1387 z późn. zm.) określona została minimalna wartość przedsięwzięcia. Kwota ta została określona na poziomie połowy średniej wartości przedsięwzięcia termomodernizacyjnego realizowanego ze wsparciem udzielonym ze środków Funduszu Termomodernizacji i Remontów, która według stanu na 30 czerwca 2019 r. wyniosła 13 687 zł.</w:t>
      </w:r>
      <w:r w:rsidR="00193AD6" w:rsidRPr="0023349B">
        <w:rPr>
          <w:rFonts w:ascii="Times New Roman" w:eastAsia="Times New Roman" w:hAnsi="Times New Roman" w:cs="Times New Roman"/>
          <w:szCs w:val="20"/>
          <w:lang w:eastAsia="pl-PL"/>
        </w:rPr>
        <w:t xml:space="preserve"> </w:t>
      </w:r>
      <w:r w:rsidRPr="0023349B">
        <w:rPr>
          <w:rFonts w:ascii="Times New Roman" w:eastAsia="Times New Roman" w:hAnsi="Times New Roman" w:cs="Times New Roman"/>
          <w:szCs w:val="20"/>
          <w:lang w:eastAsia="pl-PL"/>
        </w:rPr>
        <w:t>Szacuje się, że za połowę tej kwoty można nabyć kocioł klasy 5 na paliwo stałe o mocy odpowiedniej dla domu jednorodzinnego o przeciętnej wielkości. Koszty związane z montażem styropianu i elewacji domu na powierzchni 50 m.kw. wynoszą w granicach 6000–6750 zł.</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W projekcie ustawy proponuje się również, aby możliwość uzyskania premii gwarancyjnej przysługiwała w związku z wniesieniem opłaty z tytułu przekształcenia prawa użytkowania wieczystego w prawo własności</w:t>
      </w:r>
      <w:r w:rsidRPr="0023349B">
        <w:rPr>
          <w:rFonts w:ascii="Times New Roman" w:eastAsia="Times New Roman" w:hAnsi="Times New Roman" w:cs="Times New Roman"/>
          <w:b/>
          <w:szCs w:val="20"/>
          <w:lang w:eastAsia="pl-PL"/>
        </w:rPr>
        <w:t xml:space="preserve"> </w:t>
      </w:r>
      <w:r w:rsidRPr="0023349B">
        <w:rPr>
          <w:rFonts w:ascii="Times New Roman" w:eastAsia="Times New Roman" w:hAnsi="Times New Roman" w:cs="Times New Roman"/>
          <w:szCs w:val="20"/>
          <w:lang w:eastAsia="pl-PL"/>
        </w:rPr>
        <w:t>(</w:t>
      </w:r>
      <w:r w:rsidRPr="0023349B">
        <w:rPr>
          <w:rFonts w:ascii="Times New Roman" w:eastAsia="Times New Roman" w:hAnsi="Times New Roman" w:cs="Times New Roman"/>
          <w:szCs w:val="20"/>
          <w:u w:val="single"/>
          <w:lang w:eastAsia="pl-PL"/>
        </w:rPr>
        <w:t xml:space="preserve">art. </w:t>
      </w:r>
      <w:r w:rsidR="001A0CC0" w:rsidRPr="0023349B">
        <w:rPr>
          <w:rFonts w:ascii="Times New Roman" w:eastAsia="Times New Roman" w:hAnsi="Times New Roman" w:cs="Times New Roman"/>
          <w:szCs w:val="20"/>
          <w:u w:val="single"/>
          <w:lang w:eastAsia="pl-PL"/>
        </w:rPr>
        <w:t xml:space="preserve">8 </w:t>
      </w:r>
      <w:r w:rsidRPr="0023349B">
        <w:rPr>
          <w:rFonts w:ascii="Times New Roman" w:eastAsia="Times New Roman" w:hAnsi="Times New Roman" w:cs="Times New Roman"/>
          <w:szCs w:val="20"/>
          <w:u w:val="single"/>
          <w:lang w:eastAsia="pl-PL"/>
        </w:rPr>
        <w:t>pkt 1 lit. e</w:t>
      </w:r>
      <w:r w:rsidRPr="0023349B">
        <w:rPr>
          <w:rFonts w:ascii="Times New Roman" w:eastAsia="Times New Roman" w:hAnsi="Times New Roman" w:cs="Times New Roman"/>
          <w:szCs w:val="20"/>
          <w:lang w:eastAsia="pl-PL"/>
        </w:rPr>
        <w:t xml:space="preserve">), w związku z wejściem w życie ustawy z dnia 20 lipca 2018 r. o przekształceniu prawa użytkowania wieczystego gruntów zabudowanych na cele mieszkaniowe w prawo własności tych gruntów (Dz. U. z 2019 r. poz. 916 i 1309). Premia gwarancyjna przysługiwałaby właścicielowi książeczki z tytułu wnoszenia opłaty </w:t>
      </w:r>
      <w:proofErr w:type="spellStart"/>
      <w:r w:rsidRPr="0023349B">
        <w:rPr>
          <w:rFonts w:ascii="Times New Roman" w:eastAsia="Times New Roman" w:hAnsi="Times New Roman" w:cs="Times New Roman"/>
          <w:szCs w:val="20"/>
          <w:lang w:eastAsia="pl-PL"/>
        </w:rPr>
        <w:t>przekształceniowej</w:t>
      </w:r>
      <w:proofErr w:type="spellEnd"/>
      <w:r w:rsidRPr="0023349B">
        <w:rPr>
          <w:rFonts w:ascii="Times New Roman" w:eastAsia="Times New Roman" w:hAnsi="Times New Roman" w:cs="Times New Roman"/>
          <w:szCs w:val="20"/>
          <w:lang w:eastAsia="pl-PL"/>
        </w:rPr>
        <w:t xml:space="preserve"> płaconej przez okres 5 lat związanej z ustawowym przekształceniem prawa użytkowania wieczystego w prawo własności mieszkania, do którego właścicielowi książeczki mieszkaniowej przysługuje aktualnie prawo własności.</w:t>
      </w:r>
    </w:p>
    <w:p w:rsidR="00C268CB" w:rsidRPr="0023349B" w:rsidRDefault="00C268CB" w:rsidP="0023349B">
      <w:pPr>
        <w:autoSpaceDE w:val="0"/>
        <w:autoSpaceDN w:val="0"/>
        <w:adjustRightInd w:val="0"/>
        <w:spacing w:after="12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bidi="pl-PL"/>
        </w:rPr>
        <w:t xml:space="preserve">Mając na uwadze wytyczną NPM, w </w:t>
      </w:r>
      <w:r w:rsidRPr="0023349B">
        <w:rPr>
          <w:rFonts w:ascii="Times New Roman" w:eastAsia="Times New Roman" w:hAnsi="Times New Roman" w:cs="Times New Roman"/>
          <w:szCs w:val="20"/>
          <w:u w:val="single"/>
          <w:lang w:eastAsia="pl-PL" w:bidi="pl-PL"/>
        </w:rPr>
        <w:t xml:space="preserve">art. </w:t>
      </w:r>
      <w:r w:rsidR="001A0CC0" w:rsidRPr="0023349B">
        <w:rPr>
          <w:rFonts w:ascii="Times New Roman" w:eastAsia="Times New Roman" w:hAnsi="Times New Roman" w:cs="Times New Roman"/>
          <w:szCs w:val="20"/>
          <w:u w:val="single"/>
          <w:lang w:eastAsia="pl-PL" w:bidi="pl-PL"/>
        </w:rPr>
        <w:t xml:space="preserve">8 </w:t>
      </w:r>
      <w:r w:rsidRPr="0023349B">
        <w:rPr>
          <w:rFonts w:ascii="Times New Roman" w:eastAsia="Times New Roman" w:hAnsi="Times New Roman" w:cs="Times New Roman"/>
          <w:szCs w:val="20"/>
          <w:u w:val="single"/>
          <w:lang w:eastAsia="pl-PL" w:bidi="pl-PL"/>
        </w:rPr>
        <w:t xml:space="preserve">pkt </w:t>
      </w:r>
      <w:r w:rsidR="007B544E" w:rsidRPr="0023349B">
        <w:rPr>
          <w:rFonts w:ascii="Times New Roman" w:eastAsia="Times New Roman" w:hAnsi="Times New Roman" w:cs="Times New Roman"/>
          <w:szCs w:val="20"/>
          <w:u w:val="single"/>
          <w:lang w:eastAsia="pl-PL" w:bidi="pl-PL"/>
        </w:rPr>
        <w:t xml:space="preserve">2 </w:t>
      </w:r>
      <w:r w:rsidRPr="0023349B">
        <w:rPr>
          <w:rFonts w:ascii="Times New Roman" w:eastAsia="Times New Roman" w:hAnsi="Times New Roman" w:cs="Times New Roman"/>
          <w:szCs w:val="20"/>
          <w:u w:val="single"/>
          <w:lang w:eastAsia="pl-PL" w:bidi="pl-PL"/>
        </w:rPr>
        <w:t xml:space="preserve">projektu ustawy </w:t>
      </w:r>
      <w:r w:rsidRPr="0023349B">
        <w:rPr>
          <w:rFonts w:ascii="Times New Roman" w:eastAsia="Times New Roman" w:hAnsi="Times New Roman" w:cs="Times New Roman"/>
          <w:szCs w:val="20"/>
          <w:lang w:eastAsia="pl-PL" w:bidi="pl-PL"/>
        </w:rPr>
        <w:t>proponuje się wprowadzenie rozwiązania polegającego na</w:t>
      </w:r>
      <w:r w:rsidRPr="0023349B">
        <w:rPr>
          <w:rFonts w:ascii="Times New Roman" w:eastAsia="Times New Roman" w:hAnsi="Times New Roman" w:cs="Times New Roman"/>
          <w:szCs w:val="20"/>
          <w:lang w:eastAsia="pl-PL"/>
        </w:rPr>
        <w:t xml:space="preserve"> rejestracji książeczki mieszkaniowej w banku prowadzącym obsługę rachunku, co pozwoli zweryfikować liczbę rzeczywiście istniejących książeczek i oszacować kwotę łącznych zobowiązań budżetowych, które wynikać mogą z faktycznie „czynnych” rachunków. Mimo braku daty wyznaczającej koniec terminu rejestracji książeczek, wprowadzono sankcję dla właścicieli rejestrujących książeczki w terminie późniejszym niż </w:t>
      </w:r>
      <w:r w:rsidRPr="0023349B">
        <w:rPr>
          <w:rFonts w:ascii="Times New Roman" w:eastAsia="Times New Roman" w:hAnsi="Times New Roman" w:cs="Times New Roman"/>
          <w:b/>
          <w:szCs w:val="20"/>
          <w:lang w:eastAsia="pl-PL"/>
        </w:rPr>
        <w:t>31 grudnia 2022 r.</w:t>
      </w:r>
      <w:r w:rsidRPr="0023349B">
        <w:rPr>
          <w:rFonts w:ascii="Times New Roman" w:eastAsia="Times New Roman" w:hAnsi="Times New Roman" w:cs="Times New Roman"/>
          <w:szCs w:val="20"/>
          <w:lang w:eastAsia="pl-PL"/>
        </w:rPr>
        <w:t xml:space="preserve"> Osoby rejestrujące książeczki po 1 stycznia 2023 r. będą mogły ubiegać się o wypłatę premii gwarancyjnej dopiero w roku następującym po rejestracji książeczki. W związku z tym przepisem oraz w związku z art. 3 ust. 4 ustawy (tj. ogólną zasadą składania wniosku o likwidację książeczki mieszkaniowej i wypłatę premii gwarancyjnej w terminie 90 dni od dnia dokonania czynności uprawniającej do uzyskania premii objętej refundacją) dookreślono, że dla osób dokonujących rejestracji książeczki od 2023 r. termin 90-dniowy liczy się od dnia uzyskania uprawnienia do złożenia wniosku o likwidację książeczki mieszkaniowej i wypłatę premii gwarancyjnej, czyli od 1 stycznia roku następującego po rejestracji książeczki mieszkaniowej. Ponadto, zgodnie z art. </w:t>
      </w:r>
      <w:r w:rsidR="007B544E" w:rsidRPr="0023349B">
        <w:rPr>
          <w:rFonts w:ascii="Times New Roman" w:eastAsia="Times New Roman" w:hAnsi="Times New Roman" w:cs="Times New Roman"/>
          <w:szCs w:val="20"/>
          <w:lang w:eastAsia="pl-PL"/>
        </w:rPr>
        <w:t xml:space="preserve">33 </w:t>
      </w:r>
      <w:r w:rsidRPr="0023349B">
        <w:rPr>
          <w:rFonts w:ascii="Times New Roman" w:eastAsia="Times New Roman" w:hAnsi="Times New Roman" w:cs="Times New Roman"/>
          <w:szCs w:val="20"/>
          <w:lang w:eastAsia="pl-PL"/>
        </w:rPr>
        <w:t xml:space="preserve">informacja o liczbie zarejestrowanych książeczek mieszkaniowych wg stanu na </w:t>
      </w:r>
      <w:r w:rsidRPr="0023349B">
        <w:rPr>
          <w:rFonts w:ascii="Times New Roman" w:eastAsia="Times New Roman" w:hAnsi="Times New Roman" w:cs="Times New Roman"/>
          <w:b/>
          <w:szCs w:val="20"/>
          <w:lang w:eastAsia="pl-PL"/>
        </w:rPr>
        <w:t>31 grudnia 2022 r.</w:t>
      </w:r>
      <w:r w:rsidRPr="0023349B">
        <w:rPr>
          <w:rFonts w:ascii="Times New Roman" w:eastAsia="Times New Roman" w:hAnsi="Times New Roman" w:cs="Times New Roman"/>
          <w:szCs w:val="20"/>
          <w:lang w:eastAsia="pl-PL"/>
        </w:rPr>
        <w:t xml:space="preserve"> zostanie przekazana przez banki do ministra właściwego do spraw budownictwa, planowania i zagospodarowania przestrzennego oraz mieszkalnictwa i na jej podstawie zostanie przeprowadzona analiza dotycząca możliwości podjęcia dalszych rozwiązań w celu przyśpieszenia realizacji procesu likwidacji książeczek mieszkaniowych.</w:t>
      </w:r>
      <w:r w:rsidR="00193AD6" w:rsidRPr="0023349B">
        <w:rPr>
          <w:rFonts w:ascii="Times New Roman" w:eastAsia="Times New Roman" w:hAnsi="Times New Roman" w:cs="Times New Roman"/>
          <w:szCs w:val="20"/>
          <w:lang w:eastAsia="pl-PL"/>
        </w:rPr>
        <w:t xml:space="preserve"> </w:t>
      </w:r>
    </w:p>
    <w:p w:rsidR="00C268CB" w:rsidRPr="0023349B" w:rsidRDefault="00C268CB" w:rsidP="0023349B">
      <w:pPr>
        <w:autoSpaceDE w:val="0"/>
        <w:autoSpaceDN w:val="0"/>
        <w:adjustRightInd w:val="0"/>
        <w:spacing w:after="36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Minister właściwy do spraw budownictwa, planowania i zagospodarowania przestrzennego oraz mieszkalnictwa uzyskał również uprawnienie do występowania, nie częściej niż raz na dwa lata, do banków prowadzących obsługę rachunków z wkładami oszczędnościowymi gromadzonymi na cele mieszkaniowe o informację o liczbie nowych zarejestrowanych książeczek mieszkaniowych. Pozwoli to na aktualizację danych dotyczących liczby zarejestrowanych książeczek. Przepis będzie obowiązywać od 1 stycznia 2023 r.</w:t>
      </w:r>
      <w:r w:rsidR="00193AD6" w:rsidRPr="0023349B">
        <w:rPr>
          <w:rFonts w:ascii="Times New Roman" w:eastAsia="Times New Roman" w:hAnsi="Times New Roman" w:cs="Times New Roman"/>
          <w:szCs w:val="20"/>
          <w:lang w:eastAsia="pl-PL"/>
        </w:rPr>
        <w:t xml:space="preserve"> </w:t>
      </w:r>
    </w:p>
    <w:p w:rsidR="00C65EED" w:rsidRPr="0023349B" w:rsidRDefault="00C65EED" w:rsidP="0023349B">
      <w:pPr>
        <w:spacing w:after="240" w:line="360" w:lineRule="auto"/>
        <w:jc w:val="both"/>
        <w:rPr>
          <w:rFonts w:ascii="Times New Roman" w:hAnsi="Times New Roman" w:cs="Times New Roman"/>
          <w:b/>
        </w:rPr>
      </w:pPr>
      <w:r w:rsidRPr="0023349B">
        <w:rPr>
          <w:rFonts w:ascii="Times New Roman" w:hAnsi="Times New Roman" w:cs="Times New Roman"/>
          <w:b/>
        </w:rPr>
        <w:t xml:space="preserve">Art. </w:t>
      </w:r>
      <w:r w:rsidR="001A0CC0" w:rsidRPr="0023349B">
        <w:rPr>
          <w:rFonts w:ascii="Times New Roman" w:hAnsi="Times New Roman" w:cs="Times New Roman"/>
          <w:b/>
        </w:rPr>
        <w:t xml:space="preserve">9 – </w:t>
      </w:r>
      <w:r w:rsidRPr="0023349B">
        <w:rPr>
          <w:rFonts w:ascii="Times New Roman" w:hAnsi="Times New Roman" w:cs="Times New Roman"/>
          <w:b/>
        </w:rPr>
        <w:t xml:space="preserve">Zmiany w ustawie o gospodarce nieruchomościami </w:t>
      </w:r>
    </w:p>
    <w:p w:rsidR="00C65EED" w:rsidRPr="0023349B" w:rsidRDefault="00C65EED" w:rsidP="0023349B">
      <w:pPr>
        <w:autoSpaceDE w:val="0"/>
        <w:autoSpaceDN w:val="0"/>
        <w:adjustRightInd w:val="0"/>
        <w:spacing w:after="36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szCs w:val="20"/>
          <w:lang w:eastAsia="pl-PL"/>
        </w:rPr>
        <w:t xml:space="preserve">Zmiana art. 51a ustawy z dnia 21 sierpnia 1997 r. o gospodarce nieruchomościami ma na celu uporządkowanie przepisów związanych z wyposażeniem i doposażeniem państwowych osób prawnych oraz państwowych jednostek organizacyjnych w nieruchomości niezbędne do ich działalności i jednoznaczne przesadzenie o ich treści. </w:t>
      </w:r>
      <w:r w:rsidR="00E53395" w:rsidRPr="0023349B">
        <w:rPr>
          <w:rFonts w:ascii="Times New Roman" w:eastAsia="Times New Roman" w:hAnsi="Times New Roman" w:cs="Times New Roman"/>
          <w:szCs w:val="20"/>
          <w:lang w:eastAsia="pl-PL"/>
        </w:rPr>
        <w:t>Z</w:t>
      </w:r>
      <w:r w:rsidRPr="0023349B">
        <w:rPr>
          <w:rFonts w:ascii="Times New Roman" w:eastAsia="Times New Roman" w:hAnsi="Times New Roman" w:cs="Times New Roman"/>
          <w:szCs w:val="20"/>
          <w:lang w:eastAsia="pl-PL"/>
        </w:rPr>
        <w:t xml:space="preserve">akłada, że zarówno wyposażenie, jak i doposażenie, w nieruchomości Skarbu Państwa, polegające na przeniesieniu własności nieruchomości następuje pod tytułem </w:t>
      </w:r>
      <w:proofErr w:type="spellStart"/>
      <w:r w:rsidRPr="0023349B">
        <w:rPr>
          <w:rFonts w:ascii="Times New Roman" w:eastAsia="Times New Roman" w:hAnsi="Times New Roman" w:cs="Times New Roman"/>
          <w:szCs w:val="20"/>
          <w:lang w:eastAsia="pl-PL"/>
        </w:rPr>
        <w:t>darmym</w:t>
      </w:r>
      <w:proofErr w:type="spellEnd"/>
      <w:r w:rsidRPr="0023349B">
        <w:rPr>
          <w:rFonts w:ascii="Times New Roman" w:eastAsia="Times New Roman" w:hAnsi="Times New Roman" w:cs="Times New Roman"/>
          <w:szCs w:val="20"/>
          <w:lang w:eastAsia="pl-PL"/>
        </w:rPr>
        <w:t xml:space="preserve"> (w przypadku ustanowienia użytkowania wieczystego bez pobierania pierwszej opłaty), co znajduje uzasadnienie zarówno w </w:t>
      </w:r>
      <w:r w:rsidRPr="0023349B">
        <w:rPr>
          <w:rFonts w:ascii="Times New Roman" w:eastAsia="Times New Roman" w:hAnsi="Times New Roman" w:cs="Times New Roman"/>
          <w:i/>
          <w:szCs w:val="20"/>
          <w:lang w:eastAsia="pl-PL"/>
        </w:rPr>
        <w:t>ratio legis</w:t>
      </w:r>
      <w:r w:rsidRPr="0023349B">
        <w:rPr>
          <w:rFonts w:ascii="Times New Roman" w:eastAsia="Times New Roman" w:hAnsi="Times New Roman" w:cs="Times New Roman"/>
          <w:szCs w:val="20"/>
          <w:lang w:eastAsia="pl-PL"/>
        </w:rPr>
        <w:t xml:space="preserve"> tych rozwiązań jak i dotychczasowej praktyce stosowania przepisów. Konsekwencją nowelizacji będzie jednoznaczne określenie doposażenia polegającego na przeniesieniu własności nieruchomości jako doposażenia nieodpłatnego (w przypadku ustanowienia użytkowania wieczystego bez pobierania pierwszej opłaty). Poszerzenie odesłania do art. 51 pozwoli też nadać normatywny wymiar przesłance niezbędności nieruchomości dla działalności jednostki. </w:t>
      </w:r>
    </w:p>
    <w:p w:rsidR="00C268CB" w:rsidRPr="0023349B" w:rsidRDefault="00C268CB" w:rsidP="0023349B">
      <w:pPr>
        <w:spacing w:after="120" w:line="360" w:lineRule="auto"/>
        <w:rPr>
          <w:rFonts w:ascii="Times New Roman" w:hAnsi="Times New Roman" w:cs="Times New Roman"/>
          <w:b/>
          <w:i/>
        </w:rPr>
      </w:pPr>
      <w:r w:rsidRPr="0023349B">
        <w:rPr>
          <w:rFonts w:ascii="Times New Roman" w:hAnsi="Times New Roman" w:cs="Times New Roman"/>
          <w:b/>
        </w:rPr>
        <w:t xml:space="preserve">Art. </w:t>
      </w:r>
      <w:bookmarkStart w:id="3" w:name="_Hlk38384529"/>
      <w:r w:rsidR="001A0CC0" w:rsidRPr="0023349B">
        <w:rPr>
          <w:rFonts w:ascii="Times New Roman" w:hAnsi="Times New Roman" w:cs="Times New Roman"/>
          <w:b/>
        </w:rPr>
        <w:t>10</w:t>
      </w:r>
      <w:r w:rsidR="001451F5" w:rsidRPr="0023349B">
        <w:rPr>
          <w:rFonts w:ascii="Times New Roman" w:hAnsi="Times New Roman" w:cs="Times New Roman"/>
          <w:b/>
        </w:rPr>
        <w:t xml:space="preserve"> </w:t>
      </w:r>
      <w:r w:rsidRPr="0023349B">
        <w:rPr>
          <w:rFonts w:ascii="Times New Roman" w:hAnsi="Times New Roman" w:cs="Times New Roman"/>
          <w:b/>
        </w:rPr>
        <w:t>–</w:t>
      </w:r>
      <w:bookmarkEnd w:id="3"/>
      <w:r w:rsidRPr="0023349B">
        <w:rPr>
          <w:rFonts w:ascii="Times New Roman" w:hAnsi="Times New Roman" w:cs="Times New Roman"/>
          <w:b/>
        </w:rPr>
        <w:t xml:space="preserve"> Zmiany w </w:t>
      </w:r>
      <w:r w:rsidRPr="0023349B">
        <w:rPr>
          <w:rFonts w:ascii="Times New Roman" w:hAnsi="Times New Roman" w:cs="Times New Roman"/>
          <w:b/>
          <w:i/>
        </w:rPr>
        <w:t>ustawie o spółdzielniach mieszkaniowych</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związku z propozycją umożliwienia wyodrębniania lokali mieszkalnych wybudowanych przy wykorzystaniu finansowania zwrotnego, zachodzi konieczność dokonania odpowiednich zmian również w przepisach </w:t>
      </w:r>
      <w:r w:rsidRPr="0023349B">
        <w:rPr>
          <w:rFonts w:ascii="Times New Roman" w:hAnsi="Times New Roman" w:cs="Times New Roman"/>
          <w:i/>
        </w:rPr>
        <w:t>ustawy o spółdzielniach mieszkaniowych</w:t>
      </w:r>
      <w:r w:rsidRPr="0023349B">
        <w:rPr>
          <w:rFonts w:ascii="Times New Roman" w:hAnsi="Times New Roman" w:cs="Times New Roman"/>
        </w:rPr>
        <w:t>, gdzie w art. 12</w:t>
      </w:r>
      <w:r w:rsidRPr="0023349B">
        <w:rPr>
          <w:rFonts w:ascii="Times New Roman" w:hAnsi="Times New Roman" w:cs="Times New Roman"/>
          <w:vertAlign w:val="superscript"/>
        </w:rPr>
        <w:t>3</w:t>
      </w:r>
      <w:r w:rsidRPr="0023349B">
        <w:rPr>
          <w:rFonts w:ascii="Times New Roman" w:hAnsi="Times New Roman" w:cs="Times New Roman"/>
        </w:rPr>
        <w:t xml:space="preserve"> funkcjonuje taki zakaz w odniesieniu do lokali mieszkalnych oraz innych części przedsięwzięcia inwestycyjno-budowlanego, powstałych przy wykorzystaniu tego wsparcia. </w:t>
      </w:r>
      <w:r w:rsidR="001A0CC0" w:rsidRPr="0023349B">
        <w:rPr>
          <w:rFonts w:ascii="Times New Roman" w:hAnsi="Times New Roman" w:cs="Times New Roman"/>
        </w:rPr>
        <w:t>Tym samym, proponowana zmiana w </w:t>
      </w:r>
      <w:r w:rsidRPr="0023349B">
        <w:rPr>
          <w:rFonts w:ascii="Times New Roman" w:hAnsi="Times New Roman" w:cs="Times New Roman"/>
          <w:b/>
        </w:rPr>
        <w:t xml:space="preserve">art. </w:t>
      </w:r>
      <w:r w:rsidR="001A0CC0" w:rsidRPr="0023349B">
        <w:rPr>
          <w:rFonts w:ascii="Times New Roman" w:hAnsi="Times New Roman" w:cs="Times New Roman"/>
          <w:b/>
        </w:rPr>
        <w:t xml:space="preserve">10 </w:t>
      </w:r>
      <w:r w:rsidRPr="0023349B">
        <w:rPr>
          <w:rFonts w:ascii="Times New Roman" w:hAnsi="Times New Roman" w:cs="Times New Roman"/>
          <w:b/>
        </w:rPr>
        <w:t xml:space="preserve">pkt 2 projektu </w:t>
      </w:r>
      <w:r w:rsidRPr="0023349B">
        <w:rPr>
          <w:rFonts w:ascii="Times New Roman" w:hAnsi="Times New Roman" w:cs="Times New Roman"/>
          <w:b/>
          <w:i/>
        </w:rPr>
        <w:t>ustawy</w:t>
      </w:r>
      <w:r w:rsidRPr="0023349B">
        <w:rPr>
          <w:rFonts w:ascii="Times New Roman" w:hAnsi="Times New Roman" w:cs="Times New Roman"/>
        </w:rPr>
        <w:t>, która uchyla art. 12</w:t>
      </w:r>
      <w:r w:rsidRPr="0023349B">
        <w:rPr>
          <w:rFonts w:ascii="Times New Roman" w:hAnsi="Times New Roman" w:cs="Times New Roman"/>
          <w:vertAlign w:val="superscript"/>
        </w:rPr>
        <w:t xml:space="preserve">3 </w:t>
      </w:r>
      <w:r w:rsidRPr="0023349B">
        <w:rPr>
          <w:rFonts w:ascii="Times New Roman" w:hAnsi="Times New Roman" w:cs="Times New Roman"/>
          <w:i/>
        </w:rPr>
        <w:t>ustawy o spółdzielniach mieszkaniowych</w:t>
      </w:r>
      <w:r w:rsidRPr="0023349B">
        <w:rPr>
          <w:rFonts w:ascii="Times New Roman" w:hAnsi="Times New Roman" w:cs="Times New Roman"/>
        </w:rPr>
        <w:t>, w brzmieniu: „Lokale mieszkalne oraz inne części przedsięwzię</w:t>
      </w:r>
      <w:r w:rsidR="001A0CC0" w:rsidRPr="0023349B">
        <w:rPr>
          <w:rFonts w:ascii="Times New Roman" w:hAnsi="Times New Roman" w:cs="Times New Roman"/>
        </w:rPr>
        <w:t>cia inwestycyjno-budowlanego, w </w:t>
      </w:r>
      <w:r w:rsidRPr="0023349B">
        <w:rPr>
          <w:rFonts w:ascii="Times New Roman" w:hAnsi="Times New Roman" w:cs="Times New Roman"/>
        </w:rPr>
        <w:t>szczególności garaże i miejsca postojowe w garażu wielostanowiskowym, wybudowane przy wykorzystaniu finansowania zwrotnego, o którym mowa w przep</w:t>
      </w:r>
      <w:r w:rsidR="001A0CC0" w:rsidRPr="0023349B">
        <w:rPr>
          <w:rFonts w:ascii="Times New Roman" w:hAnsi="Times New Roman" w:cs="Times New Roman"/>
        </w:rPr>
        <w:t>isach ustawy niektórych formach </w:t>
      </w:r>
      <w:r w:rsidRPr="0023349B">
        <w:rPr>
          <w:rFonts w:ascii="Times New Roman" w:hAnsi="Times New Roman" w:cs="Times New Roman"/>
        </w:rPr>
        <w:t>…, nie mogą być, pod rygorem nieważności, wyodrębniane na własność ani zbywane jako udziały we współwłasności nieruchomości, na której zrealizowano przedsięwzięcie inwestycyjno-budowlane.”.</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Jednocześnie w art.</w:t>
      </w:r>
      <w:r w:rsidR="001A0CC0" w:rsidRPr="0023349B">
        <w:rPr>
          <w:rFonts w:ascii="Times New Roman" w:hAnsi="Times New Roman" w:cs="Times New Roman"/>
        </w:rPr>
        <w:t>10</w:t>
      </w:r>
      <w:r w:rsidRPr="0023349B">
        <w:rPr>
          <w:rFonts w:ascii="Times New Roman" w:hAnsi="Times New Roman" w:cs="Times New Roman"/>
        </w:rPr>
        <w:t xml:space="preserve">6 pkt 1 projektu ustawy dodano w </w:t>
      </w:r>
      <w:r w:rsidRPr="0023349B">
        <w:rPr>
          <w:rFonts w:ascii="Times New Roman" w:hAnsi="Times New Roman" w:cs="Times New Roman"/>
          <w:i/>
        </w:rPr>
        <w:t xml:space="preserve">ustawie o spółdzielniach mieszkaniowych </w:t>
      </w:r>
      <w:r w:rsidRPr="0023349B">
        <w:rPr>
          <w:rFonts w:ascii="Times New Roman" w:hAnsi="Times New Roman" w:cs="Times New Roman"/>
        </w:rPr>
        <w:t>art. 9</w:t>
      </w:r>
      <w:r w:rsidRPr="0023349B">
        <w:rPr>
          <w:rFonts w:ascii="Times New Roman" w:hAnsi="Times New Roman" w:cs="Times New Roman"/>
          <w:vertAlign w:val="superscript"/>
        </w:rPr>
        <w:t>2</w:t>
      </w:r>
      <w:r w:rsidRPr="0023349B">
        <w:rPr>
          <w:rFonts w:ascii="Times New Roman" w:hAnsi="Times New Roman" w:cs="Times New Roman"/>
        </w:rPr>
        <w:t>, gdzie dopuszczono wyodrębnianie mieszkań wybudowanych z wykorzystaniem finansowania zwrotnego, do których przysługuje spółdzielcze lokatorskie prawa do lokalu mieszkalnego. Wyodrębnienie takie nie może nastąpić przed upływem 5 lat od dnia uzyskania pozwolenia na użytkowanie budynku. Zgodę na wyodrębnienie na własność lokali w danej nieruchomości podejmuje walne zgromadzenie spółdzielni w formie uchwały.</w:t>
      </w:r>
    </w:p>
    <w:p w:rsidR="00C268CB" w:rsidRPr="0023349B" w:rsidRDefault="00C268CB" w:rsidP="0023349B">
      <w:pPr>
        <w:spacing w:after="360" w:line="360" w:lineRule="auto"/>
        <w:jc w:val="both"/>
        <w:rPr>
          <w:rFonts w:ascii="Times New Roman" w:hAnsi="Times New Roman" w:cs="Times New Roman"/>
        </w:rPr>
      </w:pPr>
      <w:r w:rsidRPr="0023349B">
        <w:rPr>
          <w:rFonts w:ascii="Times New Roman" w:hAnsi="Times New Roman" w:cs="Times New Roman"/>
        </w:rPr>
        <w:t>Ponadto postanowiono, aby przepis art. 38 § 1 pkt 5 ustawy z dnia 16 września 1982 r. – Prawo spółdzielcze nie stosować do ustanawiania prawa odrębnej własności lokali i przeniesienia własności lokali, domów jednorodzinnych oraz miejsc postojowych w garażach wielostanowiskowych, z zastrzeżeniem art. 9</w:t>
      </w:r>
      <w:r w:rsidRPr="0023349B">
        <w:rPr>
          <w:rFonts w:ascii="Times New Roman" w:hAnsi="Times New Roman" w:cs="Times New Roman"/>
          <w:vertAlign w:val="superscript"/>
        </w:rPr>
        <w:t>2</w:t>
      </w:r>
      <w:r w:rsidRPr="0023349B">
        <w:rPr>
          <w:rFonts w:ascii="Times New Roman" w:hAnsi="Times New Roman" w:cs="Times New Roman"/>
        </w:rPr>
        <w:t xml:space="preserve"> ust. 3.</w:t>
      </w:r>
    </w:p>
    <w:p w:rsidR="00C268CB" w:rsidRPr="0023349B" w:rsidRDefault="00C268CB" w:rsidP="0023349B">
      <w:pPr>
        <w:spacing w:after="240" w:line="360" w:lineRule="auto"/>
        <w:rPr>
          <w:rFonts w:ascii="Times New Roman" w:hAnsi="Times New Roman" w:cs="Times New Roman"/>
          <w:b/>
          <w:i/>
        </w:rPr>
      </w:pPr>
      <w:bookmarkStart w:id="4" w:name="_Hlk38392369"/>
      <w:r w:rsidRPr="0023349B">
        <w:rPr>
          <w:rFonts w:ascii="Times New Roman" w:hAnsi="Times New Roman" w:cs="Times New Roman"/>
          <w:b/>
        </w:rPr>
        <w:t xml:space="preserve">Art. </w:t>
      </w:r>
      <w:r w:rsidR="001A0CC0" w:rsidRPr="0023349B">
        <w:rPr>
          <w:rFonts w:ascii="Times New Roman" w:hAnsi="Times New Roman" w:cs="Times New Roman"/>
          <w:b/>
        </w:rPr>
        <w:t>11</w:t>
      </w:r>
      <w:r w:rsidR="001451F5" w:rsidRPr="0023349B">
        <w:rPr>
          <w:rFonts w:ascii="Times New Roman" w:hAnsi="Times New Roman" w:cs="Times New Roman"/>
          <w:b/>
        </w:rPr>
        <w:t xml:space="preserve"> </w:t>
      </w:r>
      <w:r w:rsidRPr="0023349B">
        <w:rPr>
          <w:rFonts w:ascii="Times New Roman" w:hAnsi="Times New Roman" w:cs="Times New Roman"/>
          <w:b/>
        </w:rPr>
        <w:t>– Zmiany w ustawie o dodatkach mieszkaniowych</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1: w art. 2 </w:t>
      </w:r>
      <w:proofErr w:type="spellStart"/>
      <w:r w:rsidRPr="0023349B">
        <w:rPr>
          <w:rFonts w:ascii="Times New Roman" w:hAnsi="Times New Roman" w:cs="Times New Roman"/>
          <w:u w:val="single"/>
        </w:rPr>
        <w:t>udm</w:t>
      </w:r>
      <w:proofErr w:type="spellEnd"/>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1A0CC0" w:rsidRPr="0023349B">
        <w:rPr>
          <w:rFonts w:ascii="Times New Roman" w:hAnsi="Times New Roman" w:cs="Times New Roman"/>
          <w:b/>
        </w:rPr>
        <w:t>11</w:t>
      </w:r>
      <w:r w:rsidRPr="0023349B">
        <w:rPr>
          <w:rFonts w:ascii="Times New Roman" w:hAnsi="Times New Roman" w:cs="Times New Roman"/>
          <w:b/>
        </w:rPr>
        <w:t xml:space="preserve"> pkt 1 lit. a</w:t>
      </w:r>
      <w:r w:rsidRPr="0023349B">
        <w:rPr>
          <w:rFonts w:ascii="Times New Roman" w:hAnsi="Times New Roman" w:cs="Times New Roman"/>
          <w:bCs/>
        </w:rPr>
        <w:t xml:space="preserve"> oraz </w:t>
      </w:r>
      <w:r w:rsidRPr="0023349B">
        <w:rPr>
          <w:rFonts w:ascii="Times New Roman" w:hAnsi="Times New Roman" w:cs="Times New Roman"/>
          <w:b/>
        </w:rPr>
        <w:t>b</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art. 2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okre</w:t>
      </w:r>
      <w:r w:rsidR="001A0CC0" w:rsidRPr="0023349B">
        <w:rPr>
          <w:rFonts w:ascii="Times New Roman" w:hAnsi="Times New Roman" w:cs="Times New Roman"/>
          <w:bCs/>
        </w:rPr>
        <w:t>śla katalog tytułów prawnych do </w:t>
      </w:r>
      <w:r w:rsidRPr="0023349B">
        <w:rPr>
          <w:rFonts w:ascii="Times New Roman" w:hAnsi="Times New Roman" w:cs="Times New Roman"/>
          <w:bCs/>
        </w:rPr>
        <w:t>lokalu mieszkalnego uprawniających do ubiegania się o przyz</w:t>
      </w:r>
      <w:r w:rsidR="001A0CC0" w:rsidRPr="0023349B">
        <w:rPr>
          <w:rFonts w:ascii="Times New Roman" w:hAnsi="Times New Roman" w:cs="Times New Roman"/>
          <w:bCs/>
        </w:rPr>
        <w:t>nanie dodatku mieszkaniowego. W </w:t>
      </w:r>
      <w:r w:rsidRPr="0023349B">
        <w:rPr>
          <w:rFonts w:ascii="Times New Roman" w:hAnsi="Times New Roman" w:cs="Times New Roman"/>
          <w:bCs/>
        </w:rPr>
        <w:t>przypadku osób mieszkających w lokalach mieszkal</w:t>
      </w:r>
      <w:r w:rsidR="001A0CC0" w:rsidRPr="0023349B">
        <w:rPr>
          <w:rFonts w:ascii="Times New Roman" w:hAnsi="Times New Roman" w:cs="Times New Roman"/>
          <w:bCs/>
        </w:rPr>
        <w:t>nych, do których przysługuje im </w:t>
      </w:r>
      <w:r w:rsidRPr="0023349B">
        <w:rPr>
          <w:rFonts w:ascii="Times New Roman" w:hAnsi="Times New Roman" w:cs="Times New Roman"/>
          <w:bCs/>
        </w:rPr>
        <w:t>spółdzielcze prawo do lokalu mieszkalnego przepis jasno określ</w:t>
      </w:r>
      <w:r w:rsidR="001A0CC0" w:rsidRPr="0023349B">
        <w:rPr>
          <w:rFonts w:ascii="Times New Roman" w:hAnsi="Times New Roman" w:cs="Times New Roman"/>
          <w:bCs/>
        </w:rPr>
        <w:t>a, że są to osoby mieszkające w </w:t>
      </w:r>
      <w:r w:rsidRPr="0023349B">
        <w:rPr>
          <w:rFonts w:ascii="Times New Roman" w:hAnsi="Times New Roman" w:cs="Times New Roman"/>
          <w:bCs/>
        </w:rPr>
        <w:t>lokalach. Podobnie jest w przypadku osób</w:t>
      </w:r>
      <w:bookmarkStart w:id="5" w:name="mip37681812"/>
      <w:r w:rsidRPr="0023349B">
        <w:rPr>
          <w:rFonts w:ascii="Times New Roman" w:hAnsi="Times New Roman" w:cs="Times New Roman"/>
          <w:bCs/>
        </w:rPr>
        <w:t xml:space="preserve"> zamieszkujących w lokalach mieszkalnych znajdujących się w budynkach stanowiących ich własność i właścicieli samodzielnych lokali mieszkalnych. Inne osoby mające tytuł prawny do lokalu mieszkalnego wymienione w tym przepisie również muszą zajmować lokal mieszkalny, co zostało jasno określone, zaś w przypadku najemców i podnajemców brak wskazania, że muszą to być osoby zamieszkujące w tych lokalach.</w:t>
      </w:r>
      <w:r w:rsidR="00193AD6" w:rsidRPr="0023349B">
        <w:rPr>
          <w:rFonts w:ascii="Times New Roman" w:hAnsi="Times New Roman" w:cs="Times New Roman"/>
          <w:bCs/>
        </w:rPr>
        <w:t xml:space="preserve"> </w:t>
      </w:r>
      <w:r w:rsidRPr="0023349B">
        <w:rPr>
          <w:rFonts w:ascii="Times New Roman" w:hAnsi="Times New Roman" w:cs="Times New Roman"/>
          <w:bCs/>
        </w:rPr>
        <w:t>Przepis ten sugeruje, że najemcy oraz podnajemcy lokali mieszkalnych nie muszą w nich zamieszkiwać – wystarczające jest, żeby posiadali tytuł prawny do lokalu, aby uzyskać dodatek mieszkaniowy. Wobec powyższego niezbędne jest doprecyzowanie brzmienia przepisu dotyczącego tej kategorii wnioskodawców w katalogu tytułów wymienionych w art. 2 ustawy umożliwiających ubieganie się o przyznanie dodatku mieszkaniowego, w szcze</w:t>
      </w:r>
      <w:r w:rsidR="001A0CC0" w:rsidRPr="0023349B">
        <w:rPr>
          <w:rFonts w:ascii="Times New Roman" w:hAnsi="Times New Roman" w:cs="Times New Roman"/>
          <w:bCs/>
        </w:rPr>
        <w:t>gólności dotyczących najemców i </w:t>
      </w:r>
      <w:r w:rsidRPr="0023349B">
        <w:rPr>
          <w:rFonts w:ascii="Times New Roman" w:hAnsi="Times New Roman" w:cs="Times New Roman"/>
          <w:bCs/>
        </w:rPr>
        <w:t>podnajemców, przez dodanie wyrazów „zamieszkującym w tych lokalach”. Takie brzmienie przepisu wyeliminuje wątpliwości dotyczące faktycznego zamieszkiwania w lokalu najemców oraz podnajemców lokali mieszkalnych. Dodatkowo doprecyzowano aktualne brzmienie przepisu poprzez wskazanie, że dodatek mieszkaniowy przysługuje tylko do</w:t>
      </w:r>
      <w:r w:rsidR="001A0CC0" w:rsidRPr="0023349B">
        <w:rPr>
          <w:rFonts w:ascii="Times New Roman" w:hAnsi="Times New Roman" w:cs="Times New Roman"/>
          <w:bCs/>
        </w:rPr>
        <w:t xml:space="preserve"> jednego lokalu mieszkalnego na </w:t>
      </w:r>
      <w:r w:rsidRPr="0023349B">
        <w:rPr>
          <w:rFonts w:ascii="Times New Roman" w:hAnsi="Times New Roman" w:cs="Times New Roman"/>
          <w:bCs/>
        </w:rPr>
        <w:t>podstawie tytułów prawnych wymienionych w ust. 1. Doprecyzowanie to ma na celu wykluczenie pojawiających się wątpliwości czy ta sama osoba może ubiegać się o przyznanie dodatku mieszkaniowego na podstawie więcej niż jednego tytułu prawnego do tego samego mieszkania. Proponowane brzmienie przepisu jednoznacznie przesądza, że można pobierać dodatek mieszkaniowy tylko do jednego lokalu, ale na podstawie kilku tytułów prawnych, jeśli danemu wnioskodawcy przysługują różne tytuły prawne do zajmowanego lokalu. Taka sytuacja może mieć przykładowo miejsce w przypadku, gdy nastąpiły zmiany własnościowe w wyniku dziedziczenia – wnioskodawca może w części być właścicielem zajmowanego miesz</w:t>
      </w:r>
      <w:r w:rsidR="001A0CC0" w:rsidRPr="0023349B">
        <w:rPr>
          <w:rFonts w:ascii="Times New Roman" w:hAnsi="Times New Roman" w:cs="Times New Roman"/>
          <w:bCs/>
        </w:rPr>
        <w:t>kania, a w części – korzystać z </w:t>
      </w:r>
      <w:r w:rsidRPr="0023349B">
        <w:rPr>
          <w:rFonts w:ascii="Times New Roman" w:hAnsi="Times New Roman" w:cs="Times New Roman"/>
          <w:bCs/>
        </w:rPr>
        <w:t>niego na podstawie np. użyczenia (pozostały udział w prawie własności mogły odziedziczyć inne osoby, np. dzieci, rodzeństwo).</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1A0CC0" w:rsidRPr="0023349B">
        <w:rPr>
          <w:rFonts w:ascii="Times New Roman" w:hAnsi="Times New Roman" w:cs="Times New Roman"/>
          <w:b/>
        </w:rPr>
        <w:t>11</w:t>
      </w:r>
      <w:r w:rsidRPr="0023349B">
        <w:rPr>
          <w:rFonts w:ascii="Times New Roman" w:hAnsi="Times New Roman" w:cs="Times New Roman"/>
          <w:b/>
        </w:rPr>
        <w:t xml:space="preserve"> pkt 1 lit. c</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jednoznaczne wskazanie na brak możliwości ubiegania się o przyznanie dodatku mieszkaniowego w stosunku do osób, które przebywają w instytucjach zapewniających im nieodpłatnie pełne całodobowe utrzymanie. Są to instytucje takie jak: domy pomocy społecznej, młodzieżowe ośrodki wychowawcze, schroniska dla nieletnich, zakłady poprawcze, zakłady karne, szkoły (w tym szkoły wojskowe), jeżeli instytucje te zapewniają pełne całodobowe utrzymanie.</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2: art. 3 </w:t>
      </w:r>
      <w:proofErr w:type="spellStart"/>
      <w:r w:rsidRPr="0023349B">
        <w:rPr>
          <w:rFonts w:ascii="Times New Roman" w:hAnsi="Times New Roman" w:cs="Times New Roman"/>
          <w:bCs/>
          <w:u w:val="single"/>
        </w:rPr>
        <w:t>udm</w:t>
      </w:r>
      <w:proofErr w:type="spellEnd"/>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1A0CC0" w:rsidRPr="0023349B">
        <w:rPr>
          <w:rFonts w:ascii="Times New Roman" w:hAnsi="Times New Roman" w:cs="Times New Roman"/>
          <w:b/>
        </w:rPr>
        <w:t>11</w:t>
      </w:r>
      <w:r w:rsidRPr="0023349B">
        <w:rPr>
          <w:rFonts w:ascii="Times New Roman" w:hAnsi="Times New Roman" w:cs="Times New Roman"/>
          <w:b/>
        </w:rPr>
        <w:t xml:space="preserve"> pkt 2 lit. a</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w art. 3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określono, że dodatek mieszkaniowy przysługuje, jeżeli średni miesięczny dochód przypadający na członka gospodarstwa domowego wnioskodawcy w okresie 3 miesięcy poprzedzających datę złożenia wniosku o przyznanie dodatku mieszkaniowego nie przekroczył:</w:t>
      </w:r>
    </w:p>
    <w:p w:rsidR="00C268CB" w:rsidRPr="0023349B" w:rsidRDefault="00C268CB" w:rsidP="0023349B">
      <w:pPr>
        <w:pStyle w:val="Akapitzlist"/>
        <w:numPr>
          <w:ilvl w:val="0"/>
          <w:numId w:val="58"/>
        </w:numPr>
        <w:spacing w:after="240" w:line="360" w:lineRule="auto"/>
        <w:jc w:val="both"/>
        <w:rPr>
          <w:rFonts w:ascii="Times New Roman" w:hAnsi="Times New Roman" w:cs="Times New Roman"/>
          <w:bCs/>
        </w:rPr>
      </w:pPr>
      <w:r w:rsidRPr="0023349B">
        <w:rPr>
          <w:rFonts w:ascii="Times New Roman" w:hAnsi="Times New Roman" w:cs="Times New Roman"/>
          <w:bCs/>
        </w:rPr>
        <w:t>w gospodarstwie jednoosobowym 40%;</w:t>
      </w:r>
    </w:p>
    <w:p w:rsidR="00C268CB" w:rsidRPr="0023349B" w:rsidRDefault="00C268CB" w:rsidP="0023349B">
      <w:pPr>
        <w:pStyle w:val="Akapitzlist"/>
        <w:numPr>
          <w:ilvl w:val="0"/>
          <w:numId w:val="58"/>
        </w:numPr>
        <w:spacing w:after="240" w:line="360" w:lineRule="auto"/>
        <w:jc w:val="both"/>
        <w:rPr>
          <w:rFonts w:ascii="Times New Roman" w:hAnsi="Times New Roman" w:cs="Times New Roman"/>
          <w:bCs/>
        </w:rPr>
      </w:pPr>
      <w:r w:rsidRPr="0023349B">
        <w:rPr>
          <w:rFonts w:ascii="Times New Roman" w:hAnsi="Times New Roman" w:cs="Times New Roman"/>
          <w:bCs/>
        </w:rPr>
        <w:t>w gospodarstwie wieloosobowym 30%</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przeciętnego wynagrodzenia w gospodarce narodowej obowiązującego w dniu złożenia wniosku ostatnio ogłoszonego przez Prezesa Głównego Urzędu Statystycznego na podstawie art. 20 pkt 1 lit. a </w:t>
      </w:r>
      <w:r w:rsidRPr="0023349B">
        <w:rPr>
          <w:rFonts w:ascii="Times New Roman" w:hAnsi="Times New Roman" w:cs="Times New Roman"/>
          <w:bCs/>
          <w:i/>
        </w:rPr>
        <w:t>ustawy z dnia 17 grudnia 1998 r. o emeryturach i rentach z Funduszu Ubezpieczeń Społecznych</w:t>
      </w:r>
      <w:r w:rsidRPr="0023349B">
        <w:rPr>
          <w:rFonts w:ascii="Times New Roman" w:hAnsi="Times New Roman" w:cs="Times New Roman"/>
          <w:bCs/>
        </w:rPr>
        <w:t>.</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W powyższej zmianie przyjęto, że przy wydawaniu decyzji o przyznaniu dodatku mieszkaniowego należy bazować na kwocie przeciętnego wynagrodzenia w gospodarce narodowej obowiązującego w dniu złożenia wniosku ostatnio ogłoszonego przez Prezesa Głównego Urzędu Statystycznego w oparciu o art. 20 pkt 1 lit. a ustawy </w:t>
      </w:r>
      <w:r w:rsidRPr="0023349B">
        <w:rPr>
          <w:rFonts w:ascii="Times New Roman" w:hAnsi="Times New Roman" w:cs="Times New Roman"/>
          <w:bCs/>
          <w:i/>
        </w:rPr>
        <w:t>z dnia 17 grudnia 1998 r.</w:t>
      </w:r>
      <w:r w:rsidRPr="0023349B">
        <w:rPr>
          <w:rFonts w:ascii="Times New Roman" w:hAnsi="Times New Roman" w:cs="Times New Roman"/>
          <w:bCs/>
        </w:rPr>
        <w:t xml:space="preserve"> o emeryturach i rentach z Funduszu Ubezpieczeń Społecznych. Tym samym zrezygnowano z dotychczasowego wskaźnika dla wyliczenia wysokości dochodu, tj. kwoty najniższej emerytury. Przyjęcie jako podstawy do wyliczeń progu dochodowego przeciętnego wynagrodzenia w gospodarce narodowej zmierza do ujednolicenia wskaźnika stosowanego w innych ustawach mieszkaniowych, np. w </w:t>
      </w:r>
      <w:r w:rsidRPr="0023349B">
        <w:rPr>
          <w:rFonts w:ascii="Times New Roman" w:hAnsi="Times New Roman" w:cs="Times New Roman"/>
          <w:i/>
        </w:rPr>
        <w:t>ustawie o pomocy państwa…</w:t>
      </w:r>
      <w:r w:rsidRPr="0023349B">
        <w:rPr>
          <w:rFonts w:ascii="Times New Roman" w:hAnsi="Times New Roman" w:cs="Times New Roman"/>
          <w:bCs/>
        </w:rPr>
        <w:t xml:space="preserve">. Jednocześnie odpowiednia korekta wskaźników procentowych ustalających progi dochodowe, o których mowa w </w:t>
      </w:r>
      <w:r w:rsidRPr="0023349B">
        <w:rPr>
          <w:rFonts w:ascii="Times New Roman" w:hAnsi="Times New Roman" w:cs="Times New Roman"/>
          <w:b/>
        </w:rPr>
        <w:t xml:space="preserve">art. 3 ust. 1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zapewni, że sytuacja beneficjentów systemu dodatków mieszkaniowych nie ulegnie zmianie </w:t>
      </w:r>
      <w:r w:rsidR="00C47C60" w:rsidRPr="0023349B">
        <w:rPr>
          <w:rFonts w:ascii="Times New Roman" w:hAnsi="Times New Roman" w:cs="Times New Roman"/>
          <w:bCs/>
        </w:rPr>
        <w:t>–</w:t>
      </w:r>
      <w:r w:rsidRPr="0023349B">
        <w:rPr>
          <w:rFonts w:ascii="Times New Roman" w:hAnsi="Times New Roman" w:cs="Times New Roman"/>
          <w:bCs/>
        </w:rPr>
        <w:t xml:space="preserve"> osoby dotychczas spełniające kryterium dochodowe uprawniające do dodatku mieszkaniowego, po zmianie definicji dochodu i wskaźnika dla wyliczenia jego wysokości, dalej będą je spełniały. Należy przy tym dodać, że wskaźnik przeciętnego wynagrodzenia w gospodarce narodowej w najlepszy sposób odwzorowuje stopień zamożności społeczeństwa, dlatego też najlepiej nadaje się do wykorzystania przy ustalaniu progu dochodowego decydującego o prawie do otrzymania przez obywatela pomocy finansowej np. w postaci dodatku mieszkaniowego. </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Jednocześnie wprowadzono nową definicję dochodu wskazując, że za dochód uważa się dochód w rozumieniu przepisów o świadczeniach rodzinnych.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Dotychczasowa regulacja opierała się na przyjęciu, że za dochód uważa się wszelkie przychody po odliczeniu kosztów ich uzyskania oraz po odliczeniu składek na ubezpieczenie emerytalne i rentowe oraz na ubezpieczenie chorobowe, określonych w przepisach o systemie ubezpieczeń społecznych, chyba że zostały już zaliczone do kosztów uzyskania przychodu i katalogu wyłączeń, których nie wliczano do dochodu (aktualnie do dochodu nie wlicza się świadczeń pomocy materialnej dla uczniów, dodatków dla sierot zupełnych, jednorazowych zapomóg z tytułu urodzenia się dziecka, dodatku z tytułu urodzenia dziecka, pomocy w zakresie dożywiania, zasiłków pielęgnacyjnych, zasiłków okresowych z pomocy społecznej, jednorazowych świadczeń pieniężnych i świadczeń w naturze z pomocy społecznej, dodatku mieszkaniowego, dodatku energetycznego, zapomogi pieniężnej, o której mowa w przepisach o zapomodze pieniężnej dla niektórych emerytów, rencistów i osób pobierających świadczenie przedemerytalne albo zasiłek przedemerytalny w 2007 r., świadczenia pieniężnego i pomocy pieniężnej, o których mowa w przepisach ustawy z dnia 20 marca 2015 r. o działaczach opozycji antykomunistycznej oraz osobach represjonowanych z powodów politycznych, świadczenia wychowawczego, o którym mowa w ustawie z dnia 11 lutego 2016 r. o pomocy państwa w wychowywaniu dzieci, dodatku wychowawczego, o którym mowa w</w:t>
      </w:r>
      <w:r w:rsidR="00193AD6" w:rsidRPr="0023349B">
        <w:rPr>
          <w:rFonts w:ascii="Times New Roman" w:hAnsi="Times New Roman" w:cs="Times New Roman"/>
          <w:bCs/>
        </w:rPr>
        <w:t xml:space="preserve"> </w:t>
      </w:r>
      <w:r w:rsidRPr="0023349B">
        <w:rPr>
          <w:rFonts w:ascii="Times New Roman" w:hAnsi="Times New Roman" w:cs="Times New Roman"/>
          <w:bCs/>
        </w:rPr>
        <w:t>ustawie z dnia 9 czerwca 2011 r. o wspieraniu rodziny i systemie pieczy zastępczej, dopłaty do czynszu, o której mowa w </w:t>
      </w:r>
      <w:r w:rsidRPr="0023349B">
        <w:rPr>
          <w:rFonts w:ascii="Times New Roman" w:hAnsi="Times New Roman" w:cs="Times New Roman"/>
          <w:i/>
        </w:rPr>
        <w:t>ustawie o pomocy państwa…</w:t>
      </w:r>
      <w:r w:rsidRPr="0023349B">
        <w:rPr>
          <w:rFonts w:ascii="Times New Roman" w:hAnsi="Times New Roman" w:cs="Times New Roman"/>
          <w:bCs/>
        </w:rPr>
        <w:t xml:space="preserve">, świadczenia pieniężnego przyznawanego na podstawie art. 9 ustawy z dnia 22 listopada 2018 r. o grobach weteranów walk o wolność i niepodległość Polski oraz świadczenia uzupełniającego przyznanego na podstawie ustawy z dnia 31 lipca 2019 r. o świadczeniu uzupełniającym dla osób niezdolnych do samodzielnej egzystencji. W praktyce stosowanie obecnej regulacji doprowadziło do rozbieżności w orzecznictwie sądowym i trudności interpretacyjnych, jakie świadczenia należy zaliczać do dochodu. Tytułem przykładu można wskazać na orzeczenie Trybunału Konstytucyjnego z dnia 21 lipca 2004 r., sygn. akt K 16/03, wydane po rozpoznaniu wniosku Rzecznika Praw Obywatelskich. W orzeczeniu tym Trybunał nie zakwestionował zgodności z Konstytucją art. 3 ust. 3 ustawy, który określa definicję dochodu. Rzecznik Praw Obywatelskich w swoim wniosku kwestionował właśnie wliczanie do dochodu dodatku pielęgnacyjnego. W uzasadnieniu do tego wyroku Trybunał Konstytucyjny wyjaśnił, że regulacja polegająca na wyłączeniu z dochodu, obliczanego w celu ustalenia uprawnienia do dodatku mieszkaniowego zasiłku pielęgnacyjnego, określonego w art. 16 ustawy z dnia 28 listopada 2003 r. o świadczeniach rodzinnych (Dz. U. z 2020 r. poz. 111) przy jednoczesnym niewyłączeniu z tego dochodu dodatku pielęgnacyjnego, określonego w art. 75 ustawy z dnia 17 grudnia 1998 r. o emeryturach i rentach z Funduszu Ubezpieczeń Społecznych, nie jest regulacją niekonstytucyjną. Tymczasem Naczelny Sąd Administracyjny w dniu 10 grudnia 2009 r., sygn. akt I OPS 8/09, podjął uchwałę, że dodatku pielęgnacyjnego nie należy wliczać do dochodu. Jednocześnie należy zauważyć, że zgodnie z art. 269 § l ustawy z dnia 30 sierpnia 2002 r. </w:t>
      </w:r>
      <w:r w:rsidR="00C47C60" w:rsidRPr="0023349B">
        <w:rPr>
          <w:rFonts w:ascii="Times New Roman" w:hAnsi="Times New Roman" w:cs="Times New Roman"/>
          <w:bCs/>
        </w:rPr>
        <w:t>–</w:t>
      </w:r>
      <w:r w:rsidRPr="0023349B">
        <w:rPr>
          <w:rFonts w:ascii="Times New Roman" w:hAnsi="Times New Roman" w:cs="Times New Roman"/>
          <w:bCs/>
        </w:rPr>
        <w:t xml:space="preserve"> Prawo o postępowaniu przed sądami administracyjnymi (Dz. U. z 2019 r. poz. 2325, z późn. zm.), jeżeli jakikolwiek skład sądu administracyjnego rozpoznający sprawę nie podziela stanowiska zajętego w uchwale składu siedmiu sędziów, całej Izby albo w uchwale pełnego składu Naczelnego Sądu Administracyjnego, przedstawia powstałe zagadnienie prawne do rozstrzygnięcia odpowiedniemu składowi. Oznacza to, że kolejne rozstrzygnięcia sądów administracyjnych będą zgodne z treścią uchwały Naczelnego Sądu Administracyjnego z dnia 10 grudnia 2009 r., o ile nie zapadnie inna uchwała.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Ponadto przedmiotowa regulacja jest też przede wszystkim niejasna dla adresatów, którzy mają trudności z ustaleniem wysokości swojego dochodu. W ramach obecnie obowiązującej regulacji przy ustalaniu progu dochodowego dla dodatków mieszkaniowych brany pod uwagę jest dochód, który jest de facto wartością mieszczącą się pomiędzy dochodem brutto a dochodem netto. Zaproponowane zmiany zastępują obecną definicję dochodu definicją stosowaną w ustawie z dnia 28 listopada 2003 r. o świadczeniach rodzinnych rozumianą jako „przychody podlegające opodatkowaniu na zasadach określonych w art. 27, art. 30b, art. 30c, art. 30e i art. 30f ustawy z dnia 26 lipca 1991 r. o podatku dochodowym od osób fizycznych (Dz.U. z 2019 r. poz. 1387, z późn. zm.)</w:t>
      </w:r>
      <w:r w:rsidRPr="0023349B">
        <w:rPr>
          <w:rStyle w:val="Znakiprzypiswdolnych"/>
          <w:rFonts w:ascii="Times New Roman" w:hAnsi="Times New Roman" w:cs="Times New Roman"/>
          <w:bCs/>
        </w:rPr>
        <w:footnoteReference w:id="14"/>
      </w:r>
      <w:r w:rsidR="00F812BE" w:rsidRPr="0023349B">
        <w:rPr>
          <w:rFonts w:ascii="Times New Roman" w:hAnsi="Times New Roman"/>
          <w:bCs/>
          <w:vertAlign w:val="superscript"/>
        </w:rPr>
        <w:t>)</w:t>
      </w:r>
      <w:r w:rsidRPr="0023349B">
        <w:rPr>
          <w:rFonts w:ascii="Times New Roman" w:hAnsi="Times New Roman" w:cs="Times New Roman"/>
          <w:bCs/>
        </w:rPr>
        <w:t xml:space="preserve">, pomniejszone o koszty uzyskania przychodu, należny podatek dochodowy od osób fizycznych, składki na ubezpieczenia społeczne niezaliczone do kosztów uzyskania przychodu oraz składki na ubezpieczenie zdrowotne” czyli dochód netto. Warto podkreślić, że ta definicja jest obecnie coraz powszechniej stosowana, m.in. przy dopłatach do czynszu udzielanych na podstawie </w:t>
      </w:r>
      <w:r w:rsidRPr="0023349B">
        <w:rPr>
          <w:rFonts w:ascii="Times New Roman" w:hAnsi="Times New Roman" w:cs="Times New Roman"/>
          <w:i/>
        </w:rPr>
        <w:t>ustawy o pomocy państwa</w:t>
      </w:r>
      <w:r w:rsidRPr="0023349B">
        <w:rPr>
          <w:rFonts w:ascii="Times New Roman" w:hAnsi="Times New Roman" w:cs="Times New Roman"/>
          <w:bCs/>
        </w:rPr>
        <w:t xml:space="preserve"> w ponoszeniu wydatków mieszkaniowych w pierwszych latach najmu mieszkania.</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Jednocześnie należy podkreślić, że ww. zmiana została odpowiednio uwzględniona przy przeliczaniu dotychczasowych parametrów z 175% i 125% kwoty najniższej emerytury na 40% i 30% przeciętnego wynagrodzenia w gospodarce narodowej, co zapewni, że osoby, które dotychczas spełniały kryterium dochodowe uprawniające do otrzymywania dodatku mieszkaniowego, po zmianie definicji dalej będą go otrzymywały. Jednocześnie zmiany nie spowodują istotnych zmian wydatków samorządu terytorialnego na obsługę systemu dodatków mieszkaniowych.</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Prognozowane skutki finansowe projektowanych zmian wynikające wyłącznie z zastosowania niewielkich zaokrągleń w wartościach procentowych progów dochodowych będą niewielkie i pomijalne w kontekście analizy skutków finansowych dla gmin.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1A0CC0" w:rsidRPr="0023349B">
        <w:rPr>
          <w:rFonts w:ascii="Times New Roman" w:hAnsi="Times New Roman" w:cs="Times New Roman"/>
          <w:b/>
        </w:rPr>
        <w:t>11</w:t>
      </w:r>
      <w:r w:rsidRPr="0023349B">
        <w:rPr>
          <w:rFonts w:ascii="Times New Roman" w:hAnsi="Times New Roman" w:cs="Times New Roman"/>
          <w:b/>
        </w:rPr>
        <w:t xml:space="preserve"> pkt 2 lit. b</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jednocześnie w </w:t>
      </w:r>
      <w:r w:rsidRPr="0023349B">
        <w:rPr>
          <w:rFonts w:ascii="Times New Roman" w:hAnsi="Times New Roman" w:cs="Times New Roman"/>
          <w:b/>
        </w:rPr>
        <w:t>ust. 3a</w:t>
      </w:r>
      <w:r w:rsidRPr="0023349B">
        <w:rPr>
          <w:rFonts w:ascii="Times New Roman" w:hAnsi="Times New Roman" w:cs="Times New Roman"/>
          <w:bCs/>
        </w:rPr>
        <w:t xml:space="preserve"> jednoznacznie przesądzono, że przy wyliczeniu dochodu danego gospodarstwa domowego nie uwzględnia się osoby zmarłej, osoby przebywającej w: domu pomocy społecznej, młodzieżowym ośrodku wychowawczym, schronisku dla nieletnich, zakładzie poprawczym, zakładzie karnym, szkole (w tym w szkole wojskowej), o ile instytucje te zapewniają pełne całodobowe utrzymanie, albo osoby, która wyprowadziła się z danego lokalu mieszkalnego. Przedmiotowa regulacja ma zapewnić, że przy wyliczeniu dochodu danego gospodarstwa domowego będą uwzględniane wyłącznie osoby, które rzeczywiście w chwili składaniu wniosku na stałe zamieszkują dany lokal mieszkalny.</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2 lit. c</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zgodnie z </w:t>
      </w:r>
      <w:r w:rsidRPr="0023349B">
        <w:rPr>
          <w:rFonts w:ascii="Times New Roman" w:hAnsi="Times New Roman" w:cs="Times New Roman"/>
          <w:b/>
        </w:rPr>
        <w:t xml:space="preserve">art. 3 ust. 4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dochód z prowadzenia gospodarstwa rolnego ustala się na podstawie powierzchni gruntów w hektarach przeliczeniowych i przeciętnego dochodu z 1 hektara przeliczeniowego, ostatnio ogłaszanego przez Prezesa Głównego Urzędu Statystycznego, na podstawie </w:t>
      </w:r>
      <w:hyperlink r:id="rId19" w:history="1">
        <w:r w:rsidRPr="0023349B">
          <w:rPr>
            <w:rStyle w:val="Hipercze"/>
            <w:rFonts w:ascii="Times New Roman" w:hAnsi="Times New Roman" w:cs="Times New Roman"/>
            <w:color w:val="auto"/>
          </w:rPr>
          <w:t>art. 18</w:t>
        </w:r>
      </w:hyperlink>
      <w:r w:rsidRPr="0023349B">
        <w:rPr>
          <w:rFonts w:ascii="Times New Roman" w:hAnsi="Times New Roman" w:cs="Times New Roman"/>
          <w:bCs/>
        </w:rPr>
        <w:t xml:space="preserve"> us</w:t>
      </w:r>
      <w:bookmarkStart w:id="6" w:name="highlightHit_40"/>
      <w:r w:rsidRPr="0023349B">
        <w:rPr>
          <w:rFonts w:ascii="Times New Roman" w:hAnsi="Times New Roman" w:cs="Times New Roman"/>
          <w:bCs/>
        </w:rPr>
        <w:t>tawy z dnia 15 listopada 1984 r. o podatku rolnym (Dz. U z 2020 r. poz. 333). Zgodnie z literalnym brzmieniem przedmiotowy przepis dotyczy wyłącznie osób uzyskujących dochód „z prowadzenia gospodarstwa rolnego”. W praktyce orzeczniczej pojawiło się rozbieżne interpretowanie pojęcia „prowadzenia gospodarstwa rolnego”. Tytułem przykładu można tu wskazać wyrok Wojewódzkiego Sądu Administracyjnego w Szczecinie z dnia 25 października 2007 r. (sygn. akt II SA/</w:t>
      </w:r>
      <w:proofErr w:type="spellStart"/>
      <w:r w:rsidRPr="0023349B">
        <w:rPr>
          <w:rFonts w:ascii="Times New Roman" w:hAnsi="Times New Roman" w:cs="Times New Roman"/>
          <w:bCs/>
        </w:rPr>
        <w:t>Sz</w:t>
      </w:r>
      <w:proofErr w:type="spellEnd"/>
      <w:r w:rsidRPr="0023349B">
        <w:rPr>
          <w:rFonts w:ascii="Times New Roman" w:hAnsi="Times New Roman" w:cs="Times New Roman"/>
          <w:bCs/>
        </w:rPr>
        <w:t xml:space="preserve"> 414/07), w którym sąd stanął na stanowisku, że przy ustalaniu prawa do dodatku mieszkaniowego sytuacja, w której określona osoba jest wprawdzie właścicielem (współwłaścicielem) lub posiadaczem gospodarstwa rolnego, ale gospodarstwa tego nie prowadzi, nie upoważnia do wliczania do jej dochodu, dochodu z prowadzenia gospodarstwa rolnego. Odmienne stanowiska zajął Naczelny Sąd Administracyjny w wyroku z dnia 13 czerwca 2017 r. (sygn. akt I OSK 37/17), gdzie wskazał, że określony w przepisie art. 3 ust. 4 ustawy z dnia 21 czerwca 2001 r. o dodatkach mieszkaniowych dochód z prowadzenia gospodarstwa rolnego ma charakter ryczałtowy i jest ustalany niezależnie od faktycznych dochodów, jakie przynosi dane gospodarstwo. Bez względu na fakt czy ziemia uprawiana jest bezpośrednio przez właściciela, czy oddana w dzierżawę, dochód ustala się tak samo biorąc pod uwagę wielkość gospodarstwa rolnego.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Mając na względzie powyższe w celu wykluczenia rozbieżnej interpretacji przepisów, która może skutkować różnym potraktowaniem wniosku o dodatek mieszkaniowy osób znajdujących się w podobnej sytuacji (posiadającym gospodarstwo rolne), konieczne jest jednoznaczne przesądzenie, że w przypadku posiadania tytułu prawnego do gospodarstwa rolnego, dochód ustala się na podstawie powierzchni gruntów w hektarach przeliczeniowych i przeciętnego dochodu z 1 hektara przeliczeniowego, ostatnio ogłaszanego przez Prezesa Głównego Urzędu Statystycznego, na podstawie art. 18 ustawy z dnia 15 listopada 1984 r. o podatku rolnym. Projektowane brzmienie przepisu będzie przy tym zgodne z przyjętą linią orzeczniczą Naczelnego Sądu Administracyjnego.</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2 lit. d</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biorąc pod uwagę różne formy rozliczania się przed urzędem skarbowym osób prowadzących działalność gospodarczą proponuje się wprowadzenie do ustawy regulacji dotyczących ustalania dochodu z tego rodzaju działalności przez dodanie przepisów, które pozwolą organowi zweryfikować informacje podawane w oświadczeniu i pozwolą na uzyskanie stosownego potwierdzenia przez organ podatkowy. Dotyczy to szczególnie osób prowadzących działalność na zasadach ogólnych. W przypadku zaś pozostałej grupy podatników zwolnionych z obowiązku prowadzenia ewidencji oraz opłacających podatek dochodowy według stawek kwotowych niezależnie od wysokości osiągniętego</w:t>
      </w:r>
      <w:r w:rsidR="00193AD6" w:rsidRPr="0023349B">
        <w:rPr>
          <w:rFonts w:ascii="Times New Roman" w:hAnsi="Times New Roman" w:cs="Times New Roman"/>
          <w:bCs/>
        </w:rPr>
        <w:t xml:space="preserve"> </w:t>
      </w:r>
      <w:r w:rsidRPr="0023349B">
        <w:rPr>
          <w:rFonts w:ascii="Times New Roman" w:hAnsi="Times New Roman" w:cs="Times New Roman"/>
          <w:bCs/>
        </w:rPr>
        <w:t>dochodu, proponuje się wprowadzenie regulacji, do której odsyła definicja dochodu zawarta w ustawie o pomocy państwa w wychowywaniu dzieci, zgodnie z którą w przypadku ustalania dochodu z działalności podlegającej opodatkowaniu na podstawie przepisów o zryczałtowanym podatku dochodowym od niektórych przychodów osiąganych przez osoby fizyczne, organ właściwy przyjmie dochód ogłaszany corocznie w drodze obwieszczenia przez ministra właściwego do spraw rodziny w Dzienniku Urzędowym RP „Monitor Polski”. Pierwsze obwieszczenie zostało już wydane w terminie do 1 sierpnia 2017 r. Obecnie ustawa o dodatkach mieszkaniowych w ww. zakresie nie odsyła do żadnych przepisów. Osoby prowadzące działalność gospodarczą składają, nie podlegające weryfikacji oświadczenie, w którym deklarują wysokość swojego dochodu z ww. działalności, a są nim wszelkie przychody po odliczeniu kosztów ich uzyskania oraz po odliczeniu składek na ubezpieczenie emerytalne i rentowe oraz na ubezpieczenie chorobowe, określonych w przepisach o systemie ubezpieczeń społecznych, chyba że zostały już zaliczone do kosztów uzyskania przychodu. Najprościej jest ustalić dochód z prowadzonej działalności gospodarczej w przypadku osób opodatkowanych na zasadach ogólnych. Podatnicy opodatkowani w tej formie muszą m.in.:</w:t>
      </w:r>
    </w:p>
    <w:p w:rsidR="00C268CB" w:rsidRPr="0023349B" w:rsidRDefault="00C268CB" w:rsidP="0023349B">
      <w:pPr>
        <w:numPr>
          <w:ilvl w:val="2"/>
          <w:numId w:val="31"/>
        </w:numPr>
        <w:tabs>
          <w:tab w:val="clear" w:pos="1440"/>
          <w:tab w:val="left" w:pos="993"/>
        </w:tabs>
        <w:spacing w:after="120" w:line="360" w:lineRule="auto"/>
        <w:ind w:left="993" w:hanging="426"/>
        <w:jc w:val="both"/>
        <w:rPr>
          <w:rFonts w:ascii="Times New Roman" w:hAnsi="Times New Roman" w:cs="Times New Roman"/>
          <w:bCs/>
        </w:rPr>
      </w:pPr>
      <w:r w:rsidRPr="0023349B">
        <w:rPr>
          <w:rFonts w:ascii="Times New Roman" w:hAnsi="Times New Roman" w:cs="Times New Roman"/>
          <w:bCs/>
        </w:rPr>
        <w:t xml:space="preserve"> ustalać przychody;</w:t>
      </w:r>
    </w:p>
    <w:p w:rsidR="00C268CB" w:rsidRPr="0023349B" w:rsidRDefault="00C268CB" w:rsidP="0023349B">
      <w:pPr>
        <w:numPr>
          <w:ilvl w:val="2"/>
          <w:numId w:val="31"/>
        </w:numPr>
        <w:tabs>
          <w:tab w:val="clear" w:pos="1440"/>
          <w:tab w:val="left" w:pos="993"/>
        </w:tabs>
        <w:spacing w:after="120" w:line="360" w:lineRule="auto"/>
        <w:ind w:left="993" w:hanging="426"/>
        <w:jc w:val="both"/>
        <w:rPr>
          <w:rFonts w:ascii="Times New Roman" w:hAnsi="Times New Roman" w:cs="Times New Roman"/>
          <w:bCs/>
        </w:rPr>
      </w:pPr>
      <w:r w:rsidRPr="0023349B">
        <w:rPr>
          <w:rFonts w:ascii="Times New Roman" w:hAnsi="Times New Roman" w:cs="Times New Roman"/>
          <w:bCs/>
        </w:rPr>
        <w:t xml:space="preserve"> ustalać koszty uzyskania przychodów;</w:t>
      </w:r>
    </w:p>
    <w:p w:rsidR="00C268CB" w:rsidRPr="0023349B" w:rsidRDefault="00C268CB" w:rsidP="0023349B">
      <w:pPr>
        <w:numPr>
          <w:ilvl w:val="2"/>
          <w:numId w:val="31"/>
        </w:numPr>
        <w:tabs>
          <w:tab w:val="clear" w:pos="1440"/>
          <w:tab w:val="left" w:pos="993"/>
        </w:tabs>
        <w:spacing w:after="120" w:line="360" w:lineRule="auto"/>
        <w:ind w:left="993" w:hanging="426"/>
        <w:jc w:val="both"/>
        <w:rPr>
          <w:rFonts w:ascii="Times New Roman" w:hAnsi="Times New Roman" w:cs="Times New Roman"/>
          <w:bCs/>
        </w:rPr>
      </w:pPr>
      <w:r w:rsidRPr="0023349B">
        <w:rPr>
          <w:rFonts w:ascii="Times New Roman" w:hAnsi="Times New Roman" w:cs="Times New Roman"/>
          <w:bCs/>
        </w:rPr>
        <w:t xml:space="preserve"> wyliczać dochód stanowiący podstawę opodatkowania;</w:t>
      </w:r>
    </w:p>
    <w:p w:rsidR="00C268CB" w:rsidRPr="0023349B" w:rsidRDefault="00C268CB" w:rsidP="0023349B">
      <w:pPr>
        <w:numPr>
          <w:ilvl w:val="2"/>
          <w:numId w:val="31"/>
        </w:numPr>
        <w:tabs>
          <w:tab w:val="clear" w:pos="1440"/>
          <w:tab w:val="left" w:pos="993"/>
        </w:tabs>
        <w:spacing w:after="120" w:line="360" w:lineRule="auto"/>
        <w:ind w:left="993" w:hanging="426"/>
        <w:jc w:val="both"/>
        <w:rPr>
          <w:rFonts w:ascii="Times New Roman" w:hAnsi="Times New Roman" w:cs="Times New Roman"/>
          <w:bCs/>
        </w:rPr>
      </w:pPr>
      <w:r w:rsidRPr="0023349B">
        <w:rPr>
          <w:rFonts w:ascii="Times New Roman" w:hAnsi="Times New Roman" w:cs="Times New Roman"/>
          <w:bCs/>
        </w:rPr>
        <w:t xml:space="preserve"> prowadzić dokumentację podatkową bądź w formie podatkowej księgi przychodów i rozchodów, bądź w formie ksiąg rachunkowych;</w:t>
      </w:r>
    </w:p>
    <w:p w:rsidR="00C268CB" w:rsidRPr="0023349B" w:rsidRDefault="00C268CB" w:rsidP="0023349B">
      <w:pPr>
        <w:numPr>
          <w:ilvl w:val="2"/>
          <w:numId w:val="31"/>
        </w:numPr>
        <w:tabs>
          <w:tab w:val="clear" w:pos="1440"/>
          <w:tab w:val="left" w:pos="993"/>
        </w:tabs>
        <w:spacing w:after="120" w:line="360" w:lineRule="auto"/>
        <w:ind w:left="993" w:hanging="426"/>
        <w:jc w:val="both"/>
        <w:rPr>
          <w:rFonts w:ascii="Times New Roman" w:hAnsi="Times New Roman" w:cs="Times New Roman"/>
          <w:bCs/>
        </w:rPr>
      </w:pPr>
      <w:r w:rsidRPr="0023349B">
        <w:rPr>
          <w:rFonts w:ascii="Times New Roman" w:hAnsi="Times New Roman" w:cs="Times New Roman"/>
          <w:bCs/>
        </w:rPr>
        <w:t xml:space="preserve"> składać deklaracje rozliczeniowe.</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Osoby prowadzące działalność gospodarczą opodatkowane na zasadach ogólnych przy ubieganiu się o dodatek mieszkaniowy deklarują dochód według prowadzonej dokumentacji (księgi przychodów i rozchodów bądź ksiąg rachunkowych).</w:t>
      </w:r>
    </w:p>
    <w:p w:rsidR="00C268CB" w:rsidRPr="0023349B" w:rsidRDefault="00C268CB" w:rsidP="0023349B">
      <w:pPr>
        <w:spacing w:after="120" w:line="360" w:lineRule="auto"/>
        <w:rPr>
          <w:rFonts w:ascii="Times New Roman" w:hAnsi="Times New Roman" w:cs="Times New Roman"/>
          <w:bCs/>
          <w:u w:val="single"/>
        </w:rPr>
      </w:pPr>
      <w:r w:rsidRPr="0023349B">
        <w:rPr>
          <w:rFonts w:ascii="Times New Roman" w:hAnsi="Times New Roman" w:cs="Times New Roman"/>
          <w:bCs/>
          <w:u w:val="single"/>
        </w:rPr>
        <w:t xml:space="preserve">Zmiana 3: art. 4 </w:t>
      </w:r>
      <w:proofErr w:type="spellStart"/>
      <w:r w:rsidRPr="0023349B">
        <w:rPr>
          <w:rFonts w:ascii="Times New Roman" w:hAnsi="Times New Roman" w:cs="Times New Roman"/>
          <w:bCs/>
          <w:u w:val="single"/>
        </w:rPr>
        <w:t>udm</w:t>
      </w:r>
      <w:proofErr w:type="spellEnd"/>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3</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niezaliczanie do członków gospodarstwa domowego osób przebywających w instytucji zapewniającej pełne całodobowe utrzymanie jest uzasadnione z uwagi na fakt, że osoby te nie zamieszkują w lokalu mieszkalnym, a ich bieżące koszty utrzymania pokrywane są przez instytucje, w których przebywają. W myśl dodanego przepisu art. 2 ust. 2a ustawy o dodatkach mieszkaniowych instytucja zapewniająca pełne całodobowe utrzymanie oznacza dom pomocy społecznej, młodzieżowy ośrodek wychowawczy, schronisko dla nieletnich, zakład poprawczy, zakład karny, szkołę w tym szkołę wojskową, jeżeli instytucje te zapewniają pełne całodobowe utrzymanie. Przedmiotowe wyłączenie nie będzie dotyczyło sytuacji, gdy dana osoba lub jej rodzina pokrywa w całości lub części koszty pobytu w danej placówce, gdyż w świetle powyższego, placówka ta nie jest instytucją zapewniającą pełne całodobowe utrzymanie. Nie wyłącza to tym samym możliwości przyznania dodatku mieszkaniowego w takim przypadku. </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4: art. 5 </w:t>
      </w:r>
      <w:proofErr w:type="spellStart"/>
      <w:r w:rsidRPr="0023349B">
        <w:rPr>
          <w:rFonts w:ascii="Times New Roman" w:hAnsi="Times New Roman" w:cs="Times New Roman"/>
          <w:bCs/>
          <w:u w:val="single"/>
        </w:rPr>
        <w:t>udm</w:t>
      </w:r>
      <w:proofErr w:type="spellEnd"/>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4 lit. a</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Cs/>
        </w:rPr>
        <w:t xml:space="preserve"> wprowadzenie regulacji jednoznacznie normującej kwestię możliwości powiększenia normy powierzchni lokalu o 15 m</w:t>
      </w:r>
      <w:r w:rsidRPr="0023349B">
        <w:rPr>
          <w:rFonts w:ascii="Times New Roman" w:hAnsi="Times New Roman" w:cs="Times New Roman"/>
          <w:bCs/>
          <w:vertAlign w:val="superscript"/>
        </w:rPr>
        <w:t>2</w:t>
      </w:r>
      <w:r w:rsidRPr="0023349B">
        <w:rPr>
          <w:rFonts w:ascii="Times New Roman" w:hAnsi="Times New Roman" w:cs="Times New Roman"/>
          <w:bCs/>
        </w:rPr>
        <w:t xml:space="preserve"> osobie niepełnosprawnej w przypadku, gdy zamieszkuje ona sama w lokalu. Dotychczasowy przepis uprawniający do dodatkowej powierzchni budził wątpliwości, czy osoba niepełnosprawna zamieszkująca samotnie i prowadząca jednoosobowe gospodarstwo ma również prawo do powiększonej powierzchni lokalu o dodatkowe 15 m</w:t>
      </w:r>
      <w:r w:rsidRPr="0023349B">
        <w:rPr>
          <w:rFonts w:ascii="Times New Roman" w:hAnsi="Times New Roman" w:cs="Times New Roman"/>
          <w:bCs/>
          <w:vertAlign w:val="superscript"/>
        </w:rPr>
        <w:t>2</w:t>
      </w:r>
      <w:r w:rsidRPr="0023349B">
        <w:rPr>
          <w:rFonts w:ascii="Times New Roman" w:hAnsi="Times New Roman" w:cs="Times New Roman"/>
          <w:bCs/>
        </w:rPr>
        <w:t xml:space="preserve">, czy prawo to jedynie przysługuje w przypadku, gdy osoba niepełnosprawna zaliczana jest do gospodarstwa wieloosobowego.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4 lit. b</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 do </w:t>
      </w:r>
      <w:r w:rsidRPr="0023349B">
        <w:rPr>
          <w:rFonts w:ascii="Times New Roman" w:hAnsi="Times New Roman" w:cs="Times New Roman"/>
          <w:b/>
        </w:rPr>
        <w:t xml:space="preserve">dodanego ust. 4a </w:t>
      </w:r>
      <w:r w:rsidRPr="0023349B">
        <w:rPr>
          <w:rFonts w:ascii="Times New Roman" w:hAnsi="Times New Roman" w:cs="Times New Roman"/>
          <w:bCs/>
        </w:rPr>
        <w:t xml:space="preserve">przeniesiono przepis z rozporządzenia dotyczący przeliczania wydatków naliczanych za okres dłuższy niż trzy miesiące. Eliminacja przez Trybunał Konstytucyjny z porządku prawnego </w:t>
      </w:r>
      <w:r w:rsidRPr="0023349B">
        <w:rPr>
          <w:rFonts w:ascii="Times New Roman" w:hAnsi="Times New Roman" w:cs="Times New Roman"/>
          <w:b/>
        </w:rPr>
        <w:t>art. 9 ust. 1 pkt 1</w:t>
      </w:r>
      <w:r w:rsidRPr="0023349B">
        <w:rPr>
          <w:rFonts w:ascii="Times New Roman" w:hAnsi="Times New Roman" w:cs="Times New Roman"/>
          <w:bCs/>
        </w:rPr>
        <w:t xml:space="preserve">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odwołującego się do pojęcia „wydatków za zajmowany lokal mieszkalny, stanowiących podstawę obliczania dodatku mieszkaniowego” oraz przepisu rozporządzenia w sprawie dodatków mieszkaniowych powoduje, że obowiązuje wyłącznie stan prawny przewidziany w ustawie o dodatkach mieszkaniowych, wskazane zatem jest dodanie w projekcie przepisu dotyczącego przeliczania wysokości poniesionych wydatków za lokal mieszkalny, co umożliwi czytelność przepisów i wyeliminowanie wątpliwości interpretacyjnych.</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11</w:t>
      </w:r>
      <w:r w:rsidRPr="0023349B">
        <w:rPr>
          <w:rFonts w:ascii="Times New Roman" w:hAnsi="Times New Roman" w:cs="Times New Roman"/>
          <w:b/>
          <w:bCs/>
        </w:rPr>
        <w:t xml:space="preserve"> pkt 4 lit. c</w:t>
      </w:r>
      <w:r w:rsidRPr="0023349B">
        <w:rPr>
          <w:rFonts w:ascii="Times New Roman" w:hAnsi="Times New Roman" w:cs="Times New Roman"/>
          <w:bCs/>
        </w:rPr>
        <w:t xml:space="preserve"> projektu </w:t>
      </w:r>
      <w:r w:rsidRPr="0023349B">
        <w:rPr>
          <w:rFonts w:ascii="Times New Roman" w:hAnsi="Times New Roman" w:cs="Times New Roman"/>
          <w:bCs/>
          <w:i/>
          <w:iCs/>
        </w:rPr>
        <w:t>ustawy</w:t>
      </w:r>
      <w:r w:rsidRPr="0023349B">
        <w:rPr>
          <w:rFonts w:ascii="Times New Roman" w:hAnsi="Times New Roman" w:cs="Times New Roman"/>
          <w:bCs/>
        </w:rPr>
        <w:t xml:space="preserve"> – w </w:t>
      </w:r>
      <w:r w:rsidRPr="0023349B">
        <w:rPr>
          <w:rFonts w:ascii="Times New Roman" w:hAnsi="Times New Roman" w:cs="Times New Roman"/>
          <w:b/>
          <w:bCs/>
        </w:rPr>
        <w:t>dodanym ust. 6</w:t>
      </w:r>
      <w:r w:rsidRPr="0023349B">
        <w:rPr>
          <w:rFonts w:ascii="Times New Roman" w:hAnsi="Times New Roman" w:cs="Times New Roman"/>
          <w:bCs/>
        </w:rPr>
        <w:t xml:space="preserve"> proponuje się rozwiązanie, zgodnie z którym rada danej gminy będzie miała możliwość podwyższenia maksymalnej normatywnej powierzchni, o której mowa w art. 5 ust. 1lub maksymalnego dopuszczalnego stopnia przekroczenia powierzchni, o którym mowa w art. 5 ust. 5.</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4 lit. b</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 w </w:t>
      </w:r>
      <w:r w:rsidRPr="0023349B">
        <w:rPr>
          <w:rFonts w:ascii="Times New Roman" w:hAnsi="Times New Roman" w:cs="Times New Roman"/>
          <w:b/>
        </w:rPr>
        <w:t>dodanym ust. 4b</w:t>
      </w:r>
      <w:r w:rsidRPr="0023349B">
        <w:rPr>
          <w:rFonts w:ascii="Times New Roman" w:hAnsi="Times New Roman" w:cs="Times New Roman"/>
          <w:bCs/>
        </w:rPr>
        <w:t xml:space="preserve"> uregulowano kwestię możliwości zaliczania wydatków ponoszonych za lokal mieszkalny zajmowany przez wnioskodawcę proporcjonalnie w stosunku do powierzchni zajmowanego mieszkania. Zasadą jest, że przyjmuje się powierzchnię wynikającą z posiadanego tytułu prawnego do lokalu. Podstawę przyznania dodatku mieszkaniowego stanowią wydatki ponoszone w związku z zajmowaniem lokalu mieszkalnego, do których zaliczamy czynsz liczony od powierzchni użytkowej lokalu wynikającej z zawartej umowy. Powierzchnia ta wpisywana jest we wniosku, a wniosek w tej części potwierdza – z wyjątkiem właścicieli domów jednorodzinnych – zarządca. Trzeba jednak mieć na uwadze, że częstokroć wnioskodawcy posiadają tytuł prawny tylko do części lokalu. Powoduje do konieczność jednoznacznego uregulowania sposobu kalkulacji wysokości opłat w takich przypadkach </w:t>
      </w:r>
      <w:r w:rsidR="00C47C60" w:rsidRPr="0023349B">
        <w:rPr>
          <w:rFonts w:ascii="Times New Roman" w:hAnsi="Times New Roman" w:cs="Times New Roman"/>
          <w:bCs/>
        </w:rPr>
        <w:t>–</w:t>
      </w:r>
      <w:r w:rsidRPr="0023349B">
        <w:rPr>
          <w:rFonts w:ascii="Times New Roman" w:hAnsi="Times New Roman" w:cs="Times New Roman"/>
          <w:bCs/>
        </w:rPr>
        <w:t xml:space="preserve"> wówczas wydatki za lokal będą przeliczane proporcjonalnie do zajmowanej zgodnie z tytułem prawnym powierzchni lokalu. </w:t>
      </w:r>
    </w:p>
    <w:p w:rsidR="00C268CB" w:rsidRPr="0023349B" w:rsidRDefault="00C268CB" w:rsidP="0023349B">
      <w:pPr>
        <w:spacing w:after="120" w:line="360" w:lineRule="auto"/>
        <w:rPr>
          <w:rFonts w:ascii="Times New Roman" w:hAnsi="Times New Roman" w:cs="Times New Roman"/>
          <w:bCs/>
          <w:u w:val="single"/>
        </w:rPr>
      </w:pPr>
      <w:r w:rsidRPr="0023349B">
        <w:rPr>
          <w:rFonts w:ascii="Times New Roman" w:hAnsi="Times New Roman" w:cs="Times New Roman"/>
          <w:bCs/>
          <w:u w:val="single"/>
        </w:rPr>
        <w:t xml:space="preserve">Zmiana 5: art. 6 </w:t>
      </w:r>
      <w:proofErr w:type="spellStart"/>
      <w:r w:rsidRPr="0023349B">
        <w:rPr>
          <w:rFonts w:ascii="Times New Roman" w:hAnsi="Times New Roman" w:cs="Times New Roman"/>
          <w:bCs/>
          <w:u w:val="single"/>
        </w:rPr>
        <w:t>udm</w:t>
      </w:r>
      <w:proofErr w:type="spellEnd"/>
      <w:r w:rsidRPr="0023349B">
        <w:rPr>
          <w:rFonts w:ascii="Times New Roman" w:hAnsi="Times New Roman" w:cs="Times New Roman"/>
          <w:bCs/>
          <w:u w:val="single"/>
        </w:rPr>
        <w:t xml:space="preserve">: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5 lit. a, b oraz f</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 uchylenie </w:t>
      </w:r>
      <w:r w:rsidRPr="0023349B">
        <w:rPr>
          <w:rFonts w:ascii="Times New Roman" w:hAnsi="Times New Roman" w:cs="Times New Roman"/>
          <w:b/>
        </w:rPr>
        <w:t xml:space="preserve">ust. 2 w art. 6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zmierza do uproszczenia sposobu obliczania wysokości dodatku mieszkaniowego poprzez wyeliminowanie dodatkowych wskaźników procentowych tzw. udziałów dochodów gospodarstwa w wydatkach potrzebnych do obliczenia wysokości dodatku. Wysokość dodatku mieszkaniowego stanowi różnicę między wydatkami ponoszonymi okresowo przez gospodarstwo domowe w związku z zajmowaniem lokalu mieszkalnego, przypadającymi na normatywną powierzchnię użytkową zajmowanego lokalu mieszkalnego, a kwotą stanowiącą wydatki poniesione przez osobę ubiegającą się o dodatek w wysokości odpowiedniego procenta dochodów gospodarstwa domowego – w gospodarstwie jednoosobowym lub wieloosobowym.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Procent dochodów kształtuje się następująco:</w:t>
      </w:r>
    </w:p>
    <w:p w:rsidR="00C268CB" w:rsidRPr="0023349B" w:rsidRDefault="00C268CB" w:rsidP="0023349B">
      <w:pPr>
        <w:numPr>
          <w:ilvl w:val="0"/>
          <w:numId w:val="32"/>
        </w:numPr>
        <w:tabs>
          <w:tab w:val="left" w:pos="0"/>
        </w:tabs>
        <w:spacing w:after="120" w:line="360" w:lineRule="auto"/>
        <w:jc w:val="both"/>
        <w:rPr>
          <w:rFonts w:ascii="Times New Roman" w:hAnsi="Times New Roman" w:cs="Times New Roman"/>
          <w:bCs/>
        </w:rPr>
      </w:pPr>
      <w:r w:rsidRPr="0023349B">
        <w:rPr>
          <w:rFonts w:ascii="Times New Roman" w:hAnsi="Times New Roman" w:cs="Times New Roman"/>
          <w:bCs/>
        </w:rPr>
        <w:t xml:space="preserve">15% dochodów gospodarstwa domowego </w:t>
      </w:r>
      <w:r w:rsidR="00C47C60" w:rsidRPr="0023349B">
        <w:rPr>
          <w:rFonts w:ascii="Times New Roman" w:hAnsi="Times New Roman" w:cs="Times New Roman"/>
          <w:bCs/>
        </w:rPr>
        <w:t>–</w:t>
      </w:r>
      <w:r w:rsidRPr="0023349B">
        <w:rPr>
          <w:rFonts w:ascii="Times New Roman" w:hAnsi="Times New Roman" w:cs="Times New Roman"/>
          <w:bCs/>
        </w:rPr>
        <w:t xml:space="preserve"> w gospodarstwie jednoosobowym;</w:t>
      </w:r>
    </w:p>
    <w:p w:rsidR="00C268CB" w:rsidRPr="0023349B" w:rsidRDefault="00C268CB" w:rsidP="0023349B">
      <w:pPr>
        <w:numPr>
          <w:ilvl w:val="0"/>
          <w:numId w:val="32"/>
        </w:numPr>
        <w:tabs>
          <w:tab w:val="left" w:pos="0"/>
        </w:tabs>
        <w:spacing w:after="120" w:line="360" w:lineRule="auto"/>
        <w:jc w:val="both"/>
        <w:rPr>
          <w:rFonts w:ascii="Times New Roman" w:hAnsi="Times New Roman" w:cs="Times New Roman"/>
          <w:bCs/>
        </w:rPr>
      </w:pPr>
      <w:r w:rsidRPr="0023349B">
        <w:rPr>
          <w:rFonts w:ascii="Times New Roman" w:hAnsi="Times New Roman" w:cs="Times New Roman"/>
          <w:bCs/>
        </w:rPr>
        <w:t xml:space="preserve">12% dochodów gospodarstwa domowego </w:t>
      </w:r>
      <w:r w:rsidR="00C47C60" w:rsidRPr="0023349B">
        <w:rPr>
          <w:rFonts w:ascii="Times New Roman" w:hAnsi="Times New Roman" w:cs="Times New Roman"/>
          <w:bCs/>
        </w:rPr>
        <w:t>–</w:t>
      </w:r>
      <w:r w:rsidRPr="0023349B">
        <w:rPr>
          <w:rFonts w:ascii="Times New Roman" w:hAnsi="Times New Roman" w:cs="Times New Roman"/>
          <w:bCs/>
        </w:rPr>
        <w:t xml:space="preserve"> w gospodarstwie 2</w:t>
      </w:r>
      <w:r w:rsidR="00C47C60" w:rsidRPr="0023349B">
        <w:rPr>
          <w:rFonts w:ascii="Times New Roman" w:hAnsi="Times New Roman" w:cs="Times New Roman"/>
          <w:bCs/>
        </w:rPr>
        <w:t>–</w:t>
      </w:r>
      <w:r w:rsidRPr="0023349B">
        <w:rPr>
          <w:rFonts w:ascii="Times New Roman" w:hAnsi="Times New Roman" w:cs="Times New Roman"/>
          <w:bCs/>
        </w:rPr>
        <w:t>4-osobowym;</w:t>
      </w:r>
    </w:p>
    <w:p w:rsidR="00C268CB" w:rsidRPr="0023349B" w:rsidRDefault="00C268CB" w:rsidP="0023349B">
      <w:pPr>
        <w:numPr>
          <w:ilvl w:val="0"/>
          <w:numId w:val="32"/>
        </w:numPr>
        <w:tabs>
          <w:tab w:val="left" w:pos="0"/>
        </w:tabs>
        <w:spacing w:after="120" w:line="360" w:lineRule="auto"/>
        <w:jc w:val="both"/>
        <w:rPr>
          <w:rFonts w:ascii="Times New Roman" w:hAnsi="Times New Roman" w:cs="Times New Roman"/>
          <w:bCs/>
        </w:rPr>
      </w:pPr>
      <w:r w:rsidRPr="0023349B">
        <w:rPr>
          <w:rFonts w:ascii="Times New Roman" w:hAnsi="Times New Roman" w:cs="Times New Roman"/>
          <w:bCs/>
        </w:rPr>
        <w:t xml:space="preserve">10% dochodów gospodarstwa domowego </w:t>
      </w:r>
      <w:r w:rsidR="00C47C60" w:rsidRPr="0023349B">
        <w:rPr>
          <w:rFonts w:ascii="Times New Roman" w:hAnsi="Times New Roman" w:cs="Times New Roman"/>
          <w:bCs/>
        </w:rPr>
        <w:t>–</w:t>
      </w:r>
      <w:r w:rsidRPr="0023349B">
        <w:rPr>
          <w:rFonts w:ascii="Times New Roman" w:hAnsi="Times New Roman" w:cs="Times New Roman"/>
          <w:bCs/>
        </w:rPr>
        <w:t xml:space="preserve"> w gospodarstwie 5-osobowym i większym.</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Ponadto, jak zaznaczono powyżej, obecnie ustawa (</w:t>
      </w:r>
      <w:r w:rsidRPr="0023349B">
        <w:rPr>
          <w:rFonts w:ascii="Times New Roman" w:hAnsi="Times New Roman" w:cs="Times New Roman"/>
          <w:b/>
        </w:rPr>
        <w:t xml:space="preserve">art. 6 ust. 2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przewiduje dodatkowy poziom procentowy dochodów w zależności od wysokości dochodów o których mowa </w:t>
      </w:r>
      <w:r w:rsidRPr="0023349B">
        <w:rPr>
          <w:rFonts w:ascii="Times New Roman" w:hAnsi="Times New Roman" w:cs="Times New Roman"/>
          <w:b/>
        </w:rPr>
        <w:t>w art. 3 ust. 1.</w:t>
      </w:r>
      <w:r w:rsidRPr="0023349B">
        <w:rPr>
          <w:rFonts w:ascii="Times New Roman" w:hAnsi="Times New Roman" w:cs="Times New Roman"/>
          <w:bCs/>
        </w:rPr>
        <w:t xml:space="preserve"> Jeżeli dochód jest równy lub wyższy od 150% kwoty najniższej emerytury w gospodarstwie jednoosobowym i 100% tej kwoty w gospodarstwie wieloosobowym, lecz nie przekracza odpowiednich wysokości średnich miesięcznych dochodów wymienionych w </w:t>
      </w:r>
      <w:r w:rsidRPr="0023349B">
        <w:rPr>
          <w:rFonts w:ascii="Times New Roman" w:hAnsi="Times New Roman" w:cs="Times New Roman"/>
          <w:b/>
        </w:rPr>
        <w:t>art. 3 ust. 1</w:t>
      </w:r>
      <w:r w:rsidRPr="0023349B">
        <w:rPr>
          <w:rFonts w:ascii="Times New Roman" w:hAnsi="Times New Roman" w:cs="Times New Roman"/>
          <w:bCs/>
        </w:rPr>
        <w:t>, (tj. aktualnie mieści się w progu od 1544,7 zł</w:t>
      </w:r>
      <w:r w:rsidR="00193AD6" w:rsidRPr="0023349B">
        <w:rPr>
          <w:rFonts w:ascii="Times New Roman" w:hAnsi="Times New Roman" w:cs="Times New Roman"/>
          <w:bCs/>
        </w:rPr>
        <w:t xml:space="preserve"> </w:t>
      </w:r>
      <w:r w:rsidRPr="0023349B">
        <w:rPr>
          <w:rFonts w:ascii="Times New Roman" w:hAnsi="Times New Roman" w:cs="Times New Roman"/>
          <w:bCs/>
        </w:rPr>
        <w:t>– 1802,15 zł</w:t>
      </w:r>
      <w:r w:rsidR="00193AD6" w:rsidRPr="0023349B">
        <w:rPr>
          <w:rFonts w:ascii="Times New Roman" w:hAnsi="Times New Roman" w:cs="Times New Roman"/>
          <w:bCs/>
        </w:rPr>
        <w:t xml:space="preserve"> </w:t>
      </w:r>
      <w:r w:rsidRPr="0023349B">
        <w:rPr>
          <w:rFonts w:ascii="Times New Roman" w:hAnsi="Times New Roman" w:cs="Times New Roman"/>
          <w:bCs/>
        </w:rPr>
        <w:t>dla gospodarstwa jednoosobowego oraz od 1029,80 zł – do 1287,25 zł w gospodarstwie wieloosobowym,</w:t>
      </w:r>
      <w:r w:rsidR="00193AD6" w:rsidRPr="0023349B">
        <w:rPr>
          <w:rFonts w:ascii="Times New Roman" w:hAnsi="Times New Roman" w:cs="Times New Roman"/>
          <w:bCs/>
        </w:rPr>
        <w:t xml:space="preserve"> </w:t>
      </w:r>
      <w:r w:rsidRPr="0023349B">
        <w:rPr>
          <w:rFonts w:ascii="Times New Roman" w:hAnsi="Times New Roman" w:cs="Times New Roman"/>
          <w:bCs/>
        </w:rPr>
        <w:t>dla celów obliczania dodatku mieszkaniowego przyjmuje się wydatki poniesione przez osobę otrzymującą dodatek w wysokości:</w:t>
      </w:r>
    </w:p>
    <w:p w:rsidR="00C268CB" w:rsidRPr="0023349B" w:rsidRDefault="00C47C60" w:rsidP="0023349B">
      <w:pPr>
        <w:numPr>
          <w:ilvl w:val="0"/>
          <w:numId w:val="33"/>
        </w:numPr>
        <w:tabs>
          <w:tab w:val="left" w:pos="0"/>
        </w:tabs>
        <w:spacing w:after="120" w:line="360" w:lineRule="auto"/>
        <w:ind w:left="851"/>
        <w:jc w:val="both"/>
        <w:rPr>
          <w:rFonts w:ascii="Times New Roman" w:hAnsi="Times New Roman" w:cs="Times New Roman"/>
          <w:bCs/>
        </w:rPr>
      </w:pPr>
      <w:r w:rsidRPr="0023349B">
        <w:rPr>
          <w:rFonts w:ascii="Times New Roman" w:hAnsi="Times New Roman" w:cs="Times New Roman"/>
          <w:bCs/>
        </w:rPr>
        <w:t>–</w:t>
      </w:r>
      <w:r w:rsidR="00C268CB" w:rsidRPr="0023349B">
        <w:rPr>
          <w:rFonts w:ascii="Times New Roman" w:hAnsi="Times New Roman" w:cs="Times New Roman"/>
          <w:bCs/>
        </w:rPr>
        <w:t xml:space="preserve"> 20% dochodów gospodarstwa domowego </w:t>
      </w:r>
      <w:r w:rsidRPr="0023349B">
        <w:rPr>
          <w:rFonts w:ascii="Times New Roman" w:hAnsi="Times New Roman" w:cs="Times New Roman"/>
          <w:bCs/>
        </w:rPr>
        <w:t>–</w:t>
      </w:r>
      <w:r w:rsidR="00C268CB" w:rsidRPr="0023349B">
        <w:rPr>
          <w:rFonts w:ascii="Times New Roman" w:hAnsi="Times New Roman" w:cs="Times New Roman"/>
          <w:bCs/>
        </w:rPr>
        <w:t xml:space="preserve"> w gospodarstwie jednoosobowym;</w:t>
      </w:r>
    </w:p>
    <w:p w:rsidR="00C268CB" w:rsidRPr="0023349B" w:rsidRDefault="00C47C60" w:rsidP="0023349B">
      <w:pPr>
        <w:numPr>
          <w:ilvl w:val="0"/>
          <w:numId w:val="33"/>
        </w:numPr>
        <w:tabs>
          <w:tab w:val="left" w:pos="0"/>
        </w:tabs>
        <w:spacing w:after="120" w:line="360" w:lineRule="auto"/>
        <w:ind w:left="851"/>
        <w:jc w:val="both"/>
        <w:rPr>
          <w:rFonts w:ascii="Times New Roman" w:hAnsi="Times New Roman" w:cs="Times New Roman"/>
          <w:bCs/>
        </w:rPr>
      </w:pPr>
      <w:r w:rsidRPr="0023349B">
        <w:rPr>
          <w:rFonts w:ascii="Times New Roman" w:hAnsi="Times New Roman" w:cs="Times New Roman"/>
          <w:bCs/>
        </w:rPr>
        <w:t>–</w:t>
      </w:r>
      <w:r w:rsidR="00C268CB" w:rsidRPr="0023349B">
        <w:rPr>
          <w:rFonts w:ascii="Times New Roman" w:hAnsi="Times New Roman" w:cs="Times New Roman"/>
          <w:bCs/>
        </w:rPr>
        <w:t xml:space="preserve"> 15% dochodów gospodarstwa domowego </w:t>
      </w:r>
      <w:r w:rsidRPr="0023349B">
        <w:rPr>
          <w:rFonts w:ascii="Times New Roman" w:hAnsi="Times New Roman" w:cs="Times New Roman"/>
          <w:bCs/>
        </w:rPr>
        <w:t>–</w:t>
      </w:r>
      <w:r w:rsidR="00C268CB" w:rsidRPr="0023349B">
        <w:rPr>
          <w:rFonts w:ascii="Times New Roman" w:hAnsi="Times New Roman" w:cs="Times New Roman"/>
          <w:bCs/>
        </w:rPr>
        <w:t xml:space="preserve"> w gospodarstwie 2</w:t>
      </w:r>
      <w:r w:rsidRPr="0023349B">
        <w:rPr>
          <w:rFonts w:ascii="Times New Roman" w:hAnsi="Times New Roman" w:cs="Times New Roman"/>
          <w:bCs/>
        </w:rPr>
        <w:t>–</w:t>
      </w:r>
      <w:r w:rsidR="00C268CB" w:rsidRPr="0023349B">
        <w:rPr>
          <w:rFonts w:ascii="Times New Roman" w:hAnsi="Times New Roman" w:cs="Times New Roman"/>
          <w:bCs/>
        </w:rPr>
        <w:t>4-osobowym;</w:t>
      </w:r>
    </w:p>
    <w:p w:rsidR="00C268CB" w:rsidRPr="0023349B" w:rsidRDefault="00C47C60" w:rsidP="0023349B">
      <w:pPr>
        <w:numPr>
          <w:ilvl w:val="0"/>
          <w:numId w:val="33"/>
        </w:numPr>
        <w:tabs>
          <w:tab w:val="left" w:pos="0"/>
        </w:tabs>
        <w:spacing w:after="120" w:line="360" w:lineRule="auto"/>
        <w:ind w:left="851"/>
        <w:jc w:val="both"/>
        <w:rPr>
          <w:rFonts w:ascii="Times New Roman" w:hAnsi="Times New Roman" w:cs="Times New Roman"/>
          <w:bCs/>
        </w:rPr>
      </w:pPr>
      <w:r w:rsidRPr="0023349B">
        <w:rPr>
          <w:rFonts w:ascii="Times New Roman" w:hAnsi="Times New Roman" w:cs="Times New Roman"/>
          <w:bCs/>
        </w:rPr>
        <w:t>–</w:t>
      </w:r>
      <w:r w:rsidR="00C268CB" w:rsidRPr="0023349B">
        <w:rPr>
          <w:rFonts w:ascii="Times New Roman" w:hAnsi="Times New Roman" w:cs="Times New Roman"/>
          <w:bCs/>
        </w:rPr>
        <w:t xml:space="preserve"> 12% dochodów gospodarstwa domowego </w:t>
      </w:r>
      <w:r w:rsidRPr="0023349B">
        <w:rPr>
          <w:rFonts w:ascii="Times New Roman" w:hAnsi="Times New Roman" w:cs="Times New Roman"/>
          <w:bCs/>
        </w:rPr>
        <w:t>–</w:t>
      </w:r>
      <w:r w:rsidR="00C268CB" w:rsidRPr="0023349B">
        <w:rPr>
          <w:rFonts w:ascii="Times New Roman" w:hAnsi="Times New Roman" w:cs="Times New Roman"/>
          <w:bCs/>
        </w:rPr>
        <w:t xml:space="preserve"> w gospodarstwie 5-osobowym i większym.</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Należy podkreślić, że powyższe różne poziomy procentowe wprowadzają trudności interpretacyjne, natomiast nieznacznie wpływają na ustalanie wysokości dodatku mieszkaniowego. Dlatego też uproszczono przepisy poprzez wykreślenie regulacji dodatkowo warunkujących poziomy dochodów gospodarstwa domowego, które uzależniają udział własny dochodów w wydatkach tego gospodarstwa.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11</w:t>
      </w:r>
      <w:r w:rsidRPr="0023349B">
        <w:rPr>
          <w:rFonts w:ascii="Times New Roman" w:hAnsi="Times New Roman" w:cs="Times New Roman"/>
          <w:b/>
        </w:rPr>
        <w:t xml:space="preserve"> pkt 5 lit. c</w:t>
      </w:r>
      <w:r w:rsidRPr="0023349B">
        <w:rPr>
          <w:rFonts w:ascii="Times New Roman" w:hAnsi="Times New Roman" w:cs="Times New Roman"/>
          <w:bCs/>
        </w:rPr>
        <w:t xml:space="preserve"> oraz </w:t>
      </w:r>
      <w:r w:rsidRPr="0023349B">
        <w:rPr>
          <w:rFonts w:ascii="Times New Roman" w:hAnsi="Times New Roman" w:cs="Times New Roman"/>
          <w:b/>
        </w:rPr>
        <w:t>d</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 zmiana polega na dodaniu do katalogu wydatków ponoszonych przez osobę ubiegającą się o dodatek mieszkaniowy (</w:t>
      </w:r>
      <w:r w:rsidRPr="0023349B">
        <w:rPr>
          <w:rFonts w:ascii="Times New Roman" w:hAnsi="Times New Roman" w:cs="Times New Roman"/>
          <w:b/>
          <w:bCs/>
        </w:rPr>
        <w:t>dodanie pkt 1a</w:t>
      </w:r>
      <w:r w:rsidRPr="0023349B">
        <w:rPr>
          <w:rFonts w:ascii="Times New Roman" w:hAnsi="Times New Roman" w:cs="Times New Roman"/>
          <w:bCs/>
        </w:rPr>
        <w:t xml:space="preserve">) kosztów, o których mowa w art. 28 ust. 3 pkt 2 </w:t>
      </w:r>
      <w:r w:rsidRPr="0023349B">
        <w:rPr>
          <w:rFonts w:ascii="Times New Roman" w:hAnsi="Times New Roman" w:cs="Times New Roman"/>
          <w:bCs/>
          <w:i/>
          <w:iCs/>
        </w:rPr>
        <w:t>ustawy o niektórych formach....</w:t>
      </w:r>
      <w:r w:rsidRPr="0023349B">
        <w:rPr>
          <w:rFonts w:ascii="Times New Roman" w:hAnsi="Times New Roman" w:cs="Times New Roman"/>
          <w:bCs/>
        </w:rPr>
        <w:t xml:space="preserve"> Ponadto zmiana </w:t>
      </w:r>
      <w:r w:rsidRPr="0023349B">
        <w:rPr>
          <w:rFonts w:ascii="Times New Roman" w:hAnsi="Times New Roman" w:cs="Times New Roman"/>
          <w:b/>
        </w:rPr>
        <w:t>w ust. 4 pkt 6</w:t>
      </w:r>
      <w:r w:rsidRPr="0023349B">
        <w:rPr>
          <w:rFonts w:ascii="Times New Roman" w:hAnsi="Times New Roman" w:cs="Times New Roman"/>
          <w:bCs/>
        </w:rPr>
        <w:t xml:space="preserve"> ma na celu ujednolicenie terminologii stosowanej w przepisach prawa, tj. w ustawie z dnia 13 września 1996 r. o utrzymaniu czystości i porządku w gminach (Dz. U. z 2019 r. poz. 2010, z późn. zm.)</w:t>
      </w:r>
      <w:r w:rsidRPr="0023349B">
        <w:rPr>
          <w:rStyle w:val="Znakiprzypiswdolnych"/>
          <w:rFonts w:ascii="Times New Roman" w:hAnsi="Times New Roman" w:cs="Times New Roman"/>
          <w:bCs/>
        </w:rPr>
        <w:footnoteReference w:id="15"/>
      </w:r>
      <w:r w:rsidR="00F812BE" w:rsidRPr="0023349B">
        <w:rPr>
          <w:rFonts w:ascii="Times New Roman" w:hAnsi="Times New Roman"/>
          <w:bCs/>
          <w:vertAlign w:val="superscript"/>
        </w:rPr>
        <w:t>)</w:t>
      </w:r>
      <w:r w:rsidRPr="0023349B">
        <w:rPr>
          <w:rFonts w:ascii="Times New Roman" w:hAnsi="Times New Roman" w:cs="Times New Roman"/>
          <w:bCs/>
        </w:rPr>
        <w:t xml:space="preserve">. Z kolei </w:t>
      </w:r>
      <w:r w:rsidRPr="0023349B">
        <w:rPr>
          <w:rFonts w:ascii="Times New Roman" w:hAnsi="Times New Roman" w:cs="Times New Roman"/>
          <w:b/>
        </w:rPr>
        <w:t>w ust. 4a</w:t>
      </w:r>
      <w:r w:rsidRPr="0023349B">
        <w:rPr>
          <w:rFonts w:ascii="Times New Roman" w:hAnsi="Times New Roman" w:cs="Times New Roman"/>
          <w:bCs/>
        </w:rPr>
        <w:t xml:space="preserve"> uzupełniono katalog wydatków o roczne opłaty </w:t>
      </w:r>
      <w:proofErr w:type="spellStart"/>
      <w:r w:rsidRPr="0023349B">
        <w:rPr>
          <w:rFonts w:ascii="Times New Roman" w:hAnsi="Times New Roman" w:cs="Times New Roman"/>
          <w:bCs/>
        </w:rPr>
        <w:t>przekształceniowe</w:t>
      </w:r>
      <w:proofErr w:type="spellEnd"/>
      <w:r w:rsidRPr="0023349B">
        <w:rPr>
          <w:rFonts w:ascii="Times New Roman" w:hAnsi="Times New Roman" w:cs="Times New Roman"/>
          <w:bCs/>
        </w:rPr>
        <w:t xml:space="preserve">, o których mowa w ustawie z dnia 20 lipca 2018 r. o przekształceniu prawa użytkowania wieczystego gruntów zabudowanych na cele mieszkaniowe w prawo własności tych gruntów (Dz. U. z 2020 r. poz. 139, 568, 695).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5 lit. e</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proponuje się, aby określanie wysokości ceny 1 kWh energii elektrycznej niezbędnej do obliczenia wysokości ryczałtów za brak instalacji wymienionych </w:t>
      </w:r>
      <w:r w:rsidRPr="0023349B">
        <w:rPr>
          <w:rFonts w:ascii="Times New Roman" w:hAnsi="Times New Roman" w:cs="Times New Roman"/>
          <w:b/>
        </w:rPr>
        <w:t>w art. 6 ust. 7</w:t>
      </w:r>
      <w:r w:rsidRPr="0023349B">
        <w:rPr>
          <w:rFonts w:ascii="Times New Roman" w:hAnsi="Times New Roman" w:cs="Times New Roman"/>
          <w:bCs/>
        </w:rPr>
        <w:t xml:space="preserve"> następowało na podstawie średniej ceny 1 kWh energii elektrycznej dla odbiorcy w gospodarstwie domowym uwzględniającej opłatę za świadczenie usługi dystrybucji energii elektrycznej ogłaszanej w terminie do dnia 31 marca każdego roku przez Prezesa Urzędu Regulacji Energetyki na podstawie z art. 23 ust. 2 pkt 18 lit. d ustawy z dnia 10 kwietnia 1997 r. </w:t>
      </w:r>
      <w:r w:rsidR="00C47C60" w:rsidRPr="0023349B">
        <w:rPr>
          <w:rFonts w:ascii="Times New Roman" w:hAnsi="Times New Roman" w:cs="Times New Roman"/>
          <w:bCs/>
        </w:rPr>
        <w:t>–</w:t>
      </w:r>
      <w:r w:rsidRPr="0023349B">
        <w:rPr>
          <w:rFonts w:ascii="Times New Roman" w:hAnsi="Times New Roman" w:cs="Times New Roman"/>
          <w:bCs/>
        </w:rPr>
        <w:t xml:space="preserve"> Prawo </w:t>
      </w:r>
      <w:r w:rsidR="00193AD6" w:rsidRPr="0023349B">
        <w:rPr>
          <w:rFonts w:ascii="Times New Roman" w:hAnsi="Times New Roman" w:cs="Times New Roman"/>
          <w:bCs/>
        </w:rPr>
        <w:t>e</w:t>
      </w:r>
      <w:r w:rsidRPr="0023349B">
        <w:rPr>
          <w:rFonts w:ascii="Times New Roman" w:hAnsi="Times New Roman" w:cs="Times New Roman"/>
          <w:bCs/>
        </w:rPr>
        <w:t>nergetyczne (Dz. U. z 2020 r. poz. 833 i 843)</w:t>
      </w:r>
      <w:r w:rsidR="00970407" w:rsidRPr="0023349B">
        <w:rPr>
          <w:rFonts w:ascii="Times New Roman" w:hAnsi="Times New Roman" w:cs="Times New Roman"/>
          <w:bCs/>
        </w:rPr>
        <w:t>, powiększonej o podatek VAT</w:t>
      </w:r>
      <w:r w:rsidRPr="0023349B">
        <w:rPr>
          <w:rFonts w:ascii="Times New Roman" w:hAnsi="Times New Roman" w:cs="Times New Roman"/>
          <w:bCs/>
        </w:rPr>
        <w:t>. Dotychczasowy sposób ustalania wysokości ceny 1 kWh energii na podstawie dostarczanego przez wnioskodawcę rachunku za energię elektryczną sprawiał trudności w sytuacji gdy wnioskodawca nie posiadał rachunku („odcięty dopływ energii”). Ponadto ustalanie ceny 1 kWh energii z rachunku budziło wiele kontrowersji, ze względu na różne rodzaje opłat figurujące na rachunku dostarczanym przez odbiorcę pobierającego energię elektryczną. Działalności te są prowadzone przez dwa różne przedsiębiorstwa: sprzedawcę i operatora systemu dystrybucyjnego (dystrybutora). Odbiorca najczęściej otrzymuje jedną fakturę (w przypadku zawartej umowy kompleksowej), na której jednocześnie znajdują się opłaty za sprzedaż energii oraz opłaty za usługi dystrybucyjne.</w:t>
      </w:r>
      <w:r w:rsidR="00DF24D8" w:rsidRPr="0023349B">
        <w:rPr>
          <w:rFonts w:ascii="Times New Roman" w:hAnsi="Times New Roman" w:cs="Times New Roman"/>
          <w:bCs/>
        </w:rPr>
        <w:t xml:space="preserve"> Konieczność powiększenia ww. średniej ceny energii elektrycznej o podatek VAT wynika z faktu, iż beneficjent dodatków mieszkaniowych opłaca rachunki za energię elektryczną w kwocie brutto (czyli z podatkiem VAT), tymczasem ww. wskaźnik średniej ceny 1 kWh ogłaszany przez Prezesa URE nie zawiera podatku VAT.</w:t>
      </w:r>
    </w:p>
    <w:p w:rsidR="00C268CB" w:rsidRPr="0023349B" w:rsidRDefault="00C268CB" w:rsidP="0023349B">
      <w:pPr>
        <w:spacing w:after="120" w:line="360" w:lineRule="auto"/>
        <w:rPr>
          <w:rFonts w:ascii="Times New Roman" w:hAnsi="Times New Roman" w:cs="Times New Roman"/>
          <w:bCs/>
          <w:u w:val="single"/>
        </w:rPr>
      </w:pPr>
      <w:r w:rsidRPr="0023349B">
        <w:rPr>
          <w:rFonts w:ascii="Times New Roman" w:hAnsi="Times New Roman" w:cs="Times New Roman"/>
          <w:bCs/>
          <w:u w:val="single"/>
        </w:rPr>
        <w:t xml:space="preserve">Zmiana 6: art. 6a </w:t>
      </w:r>
      <w:proofErr w:type="spellStart"/>
      <w:r w:rsidRPr="0023349B">
        <w:rPr>
          <w:rFonts w:ascii="Times New Roman" w:hAnsi="Times New Roman" w:cs="Times New Roman"/>
          <w:bCs/>
          <w:u w:val="single"/>
        </w:rPr>
        <w:t>udm</w:t>
      </w:r>
      <w:proofErr w:type="spellEnd"/>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6</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dodanym </w:t>
      </w:r>
      <w:r w:rsidRPr="0023349B">
        <w:rPr>
          <w:rFonts w:ascii="Times New Roman" w:hAnsi="Times New Roman" w:cs="Times New Roman"/>
          <w:b/>
        </w:rPr>
        <w:t>art. 6a</w:t>
      </w:r>
      <w:r w:rsidRPr="0023349B">
        <w:rPr>
          <w:rFonts w:ascii="Times New Roman" w:hAnsi="Times New Roman" w:cs="Times New Roman"/>
          <w:bCs/>
        </w:rPr>
        <w:t xml:space="preserve"> uregulowano sytuację, gdy lokal nie jest wyposażony odpowiednio w: instalację doprowadzającą energię cieplną do celów ogrzewania, instalację ciepłej wody, instalację gazu przewodowego. We wszystkich tych przypadkach osobie ubiegającej się o dodatek mieszkaniowy powinien przysługiwać ryczałt związany z koniecznością samodzielnego zapewnienia dostarczenia do mieszkania określonego medium. W projekcie przewiduje się, że jeżeli lokal mieszkalny nie jest wyposażony w instalację doprowadzającą energię cieplną do celów ogrzewania, za wydatek, stanowiący podstawę obliczania ryczałtu na zakup opału, uznaje się równowartość 5 kilowatogodzin (kWh) energii elektrycznej według średniej ceny 1 kWh energii elektrycznej, o której mowa </w:t>
      </w:r>
      <w:r w:rsidRPr="0023349B">
        <w:rPr>
          <w:rFonts w:ascii="Times New Roman" w:hAnsi="Times New Roman" w:cs="Times New Roman"/>
          <w:b/>
        </w:rPr>
        <w:t>w art. 6 ust. 7a</w:t>
      </w:r>
      <w:r w:rsidRPr="0023349B">
        <w:rPr>
          <w:rFonts w:ascii="Times New Roman" w:hAnsi="Times New Roman" w:cs="Times New Roman"/>
          <w:bCs/>
        </w:rPr>
        <w:t>, na 1 m</w:t>
      </w:r>
      <w:r w:rsidRPr="0023349B">
        <w:rPr>
          <w:rFonts w:ascii="Times New Roman" w:hAnsi="Times New Roman" w:cs="Times New Roman"/>
          <w:bCs/>
          <w:vertAlign w:val="superscript"/>
        </w:rPr>
        <w:t>2</w:t>
      </w:r>
      <w:r w:rsidRPr="0023349B">
        <w:rPr>
          <w:rFonts w:ascii="Times New Roman" w:hAnsi="Times New Roman" w:cs="Times New Roman"/>
          <w:bCs/>
        </w:rPr>
        <w:t xml:space="preserve"> normatywnej powierzchni użytkowej, o której mowa </w:t>
      </w:r>
      <w:r w:rsidRPr="0023349B">
        <w:rPr>
          <w:rFonts w:ascii="Times New Roman" w:hAnsi="Times New Roman" w:cs="Times New Roman"/>
          <w:b/>
        </w:rPr>
        <w:t>w art. 5</w:t>
      </w:r>
      <w:r w:rsidRPr="0023349B">
        <w:rPr>
          <w:rFonts w:ascii="Times New Roman" w:hAnsi="Times New Roman" w:cs="Times New Roman"/>
          <w:bCs/>
        </w:rPr>
        <w:t xml:space="preserve">, z uwzględnieniem </w:t>
      </w:r>
      <w:r w:rsidRPr="0023349B">
        <w:rPr>
          <w:rFonts w:ascii="Times New Roman" w:hAnsi="Times New Roman" w:cs="Times New Roman"/>
          <w:b/>
        </w:rPr>
        <w:t>art. 6 ust. 9</w:t>
      </w:r>
      <w:r w:rsidRPr="0023349B">
        <w:rPr>
          <w:rFonts w:ascii="Times New Roman" w:hAnsi="Times New Roman" w:cs="Times New Roman"/>
          <w:bCs/>
        </w:rPr>
        <w:t xml:space="preserve">. W przypadku gdy lokal nie jest wyposażony w instalację ciepłej wody, za wydatek, stanowiący podstawę obliczania ryczałtu na zakup opału, uznaje się równowartość 20 kilowatogodzin energii elektrycznej, według średniej ceny 1 kWh energii elektrycznej, o której mowa </w:t>
      </w:r>
      <w:r w:rsidRPr="0023349B">
        <w:rPr>
          <w:rFonts w:ascii="Times New Roman" w:hAnsi="Times New Roman" w:cs="Times New Roman"/>
          <w:b/>
        </w:rPr>
        <w:t>w art. 6 ust. 7a</w:t>
      </w:r>
      <w:r w:rsidRPr="0023349B">
        <w:rPr>
          <w:rFonts w:ascii="Times New Roman" w:hAnsi="Times New Roman" w:cs="Times New Roman"/>
          <w:bCs/>
        </w:rPr>
        <w:t xml:space="preserve">, na każdego członka gospodarstwa, powiększonej o podatek VAT (co jest uzasadnione faktem, że osoby ubiegające się o dodatek mieszkaniowy ponoszą wydatki na energię elektryczną z uwzględnieniem podatku VAT). Podobnie, jeżeli lokal mieszkalny nie jest wyposażony w instalację gazu przewodowego, za wydatek, stanowiący podstawę obliczania ryczałtu na zakup opału, uznaje się równowartość 10 kilowatogodzin energii elektrycznej w gospodarstwie jednoosobowym według średniej ceny 1 kWh energii elektrycznej, o której mowa </w:t>
      </w:r>
      <w:r w:rsidRPr="0023349B">
        <w:rPr>
          <w:rFonts w:ascii="Times New Roman" w:hAnsi="Times New Roman" w:cs="Times New Roman"/>
          <w:b/>
        </w:rPr>
        <w:t>w art. 6 ust. 7a</w:t>
      </w:r>
      <w:r w:rsidRPr="0023349B">
        <w:rPr>
          <w:rFonts w:ascii="Times New Roman" w:hAnsi="Times New Roman" w:cs="Times New Roman"/>
          <w:bCs/>
        </w:rPr>
        <w:t xml:space="preserve"> oraz równowartości 2 kilowatogodzin na każdą dodatkową osobę.</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W</w:t>
      </w:r>
      <w:r w:rsidRPr="0023349B">
        <w:rPr>
          <w:rFonts w:ascii="Times New Roman" w:hAnsi="Times New Roman" w:cs="Times New Roman"/>
          <w:b/>
        </w:rPr>
        <w:t xml:space="preserve"> ust. 2 i 3</w:t>
      </w:r>
      <w:r w:rsidRPr="0023349B">
        <w:rPr>
          <w:rFonts w:ascii="Times New Roman" w:hAnsi="Times New Roman" w:cs="Times New Roman"/>
          <w:bCs/>
        </w:rPr>
        <w:t xml:space="preserve"> zawarto regulację dotyczącą zasad wyliczania wysokości ryczałtu, przyjmując, że w przypadku ustalenia wysokości ryczałtu na zakup opału, wydatki wnioskodawcy, o których mowa </w:t>
      </w:r>
      <w:r w:rsidRPr="0023349B">
        <w:rPr>
          <w:rFonts w:ascii="Times New Roman" w:hAnsi="Times New Roman" w:cs="Times New Roman"/>
          <w:b/>
        </w:rPr>
        <w:t>w art. 6 ust. 3</w:t>
      </w:r>
      <w:r w:rsidRPr="0023349B">
        <w:rPr>
          <w:rFonts w:ascii="Times New Roman" w:hAnsi="Times New Roman" w:cs="Times New Roman"/>
          <w:bCs/>
        </w:rPr>
        <w:t xml:space="preserve">, sumuje się z wydatkami, o których mowa </w:t>
      </w:r>
      <w:r w:rsidRPr="0023349B">
        <w:rPr>
          <w:rFonts w:ascii="Times New Roman" w:hAnsi="Times New Roman" w:cs="Times New Roman"/>
          <w:b/>
        </w:rPr>
        <w:t>w art. 6a ust. 1</w:t>
      </w:r>
      <w:r w:rsidRPr="0023349B">
        <w:rPr>
          <w:rFonts w:ascii="Times New Roman" w:hAnsi="Times New Roman" w:cs="Times New Roman"/>
          <w:bCs/>
        </w:rPr>
        <w:t>, a następnie oblicza się wskaźnik procentowy odpowiadający udziałowi wydatków, o których mowa w ust. 1, w łącznej kwocie wydatków.</w:t>
      </w:r>
      <w:bookmarkStart w:id="7" w:name="mip10448361"/>
      <w:r w:rsidRPr="0023349B">
        <w:rPr>
          <w:rFonts w:ascii="Times New Roman" w:hAnsi="Times New Roman" w:cs="Times New Roman"/>
          <w:bCs/>
        </w:rPr>
        <w:t xml:space="preserve"> Kwota ryczałtu na zakup opału będąca częścią dodatku mieszkaniowego, która jest wypłacana do rąk wnioskodawcy, stanowi iloczyn obliczonego dodatku mieszkaniowego i wskaźnika procentowego, o którym mowa </w:t>
      </w:r>
      <w:r w:rsidRPr="0023349B">
        <w:rPr>
          <w:rFonts w:ascii="Times New Roman" w:hAnsi="Times New Roman" w:cs="Times New Roman"/>
          <w:b/>
        </w:rPr>
        <w:t>ust. 2</w:t>
      </w:r>
      <w:r w:rsidRPr="0023349B">
        <w:rPr>
          <w:rFonts w:ascii="Times New Roman" w:hAnsi="Times New Roman" w:cs="Times New Roman"/>
          <w:bCs/>
        </w:rPr>
        <w:t>.</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Regulacje zawarte </w:t>
      </w:r>
      <w:r w:rsidRPr="0023349B">
        <w:rPr>
          <w:rFonts w:ascii="Times New Roman" w:hAnsi="Times New Roman" w:cs="Times New Roman"/>
          <w:b/>
        </w:rPr>
        <w:t>w art. 6a</w:t>
      </w:r>
      <w:r w:rsidRPr="0023349B">
        <w:rPr>
          <w:rFonts w:ascii="Times New Roman" w:hAnsi="Times New Roman" w:cs="Times New Roman"/>
          <w:bCs/>
        </w:rPr>
        <w:t xml:space="preserve"> dotychczas znajdowały się w rozporządzeniu Rady Ministrów wydanym na podstawie ustawy o dodatkach mieszkaniowych. Przeniesienie tych regulacji do ustawy związane jest z wyrokiem Trybunału Konstytucyjnego z dnia 9 maja 2006 r. (sygn. akt P 4/05). W uzasadnieniu do tego wyroku Trybunał m.in. wskazał, że rozporządzenie nie może bez wyraźnego upoważnienia ustawy wkraczać w sferę materii prawnych regulowanych ustawami; w rozporządzeniu mogą się znajdować jedynie normy o charakterze wykonawczym.</w:t>
      </w:r>
    </w:p>
    <w:p w:rsidR="00C268CB" w:rsidRPr="0023349B" w:rsidRDefault="00C268CB" w:rsidP="0023349B">
      <w:pPr>
        <w:spacing w:after="120" w:line="360" w:lineRule="auto"/>
        <w:rPr>
          <w:rFonts w:ascii="Times New Roman" w:hAnsi="Times New Roman" w:cs="Times New Roman"/>
          <w:bCs/>
          <w:u w:val="single"/>
        </w:rPr>
      </w:pPr>
      <w:r w:rsidRPr="0023349B">
        <w:rPr>
          <w:rFonts w:ascii="Times New Roman" w:hAnsi="Times New Roman" w:cs="Times New Roman"/>
          <w:bCs/>
          <w:u w:val="single"/>
        </w:rPr>
        <w:t xml:space="preserve">Zmiana 7: art. 7 </w:t>
      </w:r>
      <w:proofErr w:type="spellStart"/>
      <w:r w:rsidRPr="0023349B">
        <w:rPr>
          <w:rFonts w:ascii="Times New Roman" w:hAnsi="Times New Roman" w:cs="Times New Roman"/>
          <w:bCs/>
          <w:u w:val="single"/>
        </w:rPr>
        <w:t>udm</w:t>
      </w:r>
      <w:proofErr w:type="spellEnd"/>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a</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regulacji </w:t>
      </w:r>
      <w:r w:rsidRPr="0023349B">
        <w:rPr>
          <w:rFonts w:ascii="Times New Roman" w:hAnsi="Times New Roman" w:cs="Times New Roman"/>
          <w:b/>
        </w:rPr>
        <w:t>art. 7 ust. 1</w:t>
      </w:r>
      <w:r w:rsidRPr="0023349B">
        <w:rPr>
          <w:rFonts w:ascii="Times New Roman" w:hAnsi="Times New Roman" w:cs="Times New Roman"/>
          <w:bCs/>
        </w:rPr>
        <w:t xml:space="preserve"> uzupełniono katalog dokumentów składanych przez osobę ubiegającą się o przyznanie dodatku mieszkaniowego. Zgodnie z projektowanym brzmieniem przepisu do wniosku o przyznanie dodatku mieszkaniowego, oprócz deklaracji o dochodach gospodarstwa domowego za okres 3 miesięcy kalendarzowych poprzedzających dzień złożenia wniosku, załączać będzie się także dokumenty potwierdzające wydatki związane z utrzymaniem lokalu. Głównym celem przyznawania dodatku mieszkaniowego jest zrekompensowanie osobom uzyskującym niskie dochody, które nie są w stanie ponieść pełnych kosztów utrzymania mieszkania, skutków większego obciążenia ich budżetów domowych, wynikających ze zwiększonych wydatków na mieszkanie i podwyżki czynszów. Świadczenie to ma zatem pomóc osobie znajdującej się w trudnej sytuacji materialnej, a spełniającej wymogi ustawy w pokryciu kosztów utrzymania lokalu, w którym osoba ta zamieszkuje. Konieczne jest zatem zapewnienie organowi rozpatrującemu wniosek informacji o wydatkach związanych z utrzymaniem danego lokalu mieszkalnego. Ponadto uzupełnienie dotychczasowej regulacji o dokumenty potwierdzające wydatki związane z zajmowaniem lokalu wynika z konieczności zapewnienia spójności </w:t>
      </w:r>
      <w:r w:rsidRPr="0023349B">
        <w:rPr>
          <w:rFonts w:ascii="Times New Roman" w:hAnsi="Times New Roman" w:cs="Times New Roman"/>
          <w:b/>
        </w:rPr>
        <w:t xml:space="preserve">z art. 5 </w:t>
      </w:r>
      <w:r w:rsidRPr="0023349B">
        <w:rPr>
          <w:rFonts w:ascii="Times New Roman" w:hAnsi="Times New Roman" w:cs="Times New Roman"/>
          <w:bCs/>
        </w:rPr>
        <w:t xml:space="preserve">ustawy.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b</w:t>
      </w:r>
      <w:r w:rsidRPr="0023349B">
        <w:rPr>
          <w:rFonts w:ascii="Times New Roman" w:hAnsi="Times New Roman" w:cs="Times New Roman"/>
          <w:bCs/>
        </w:rPr>
        <w:t xml:space="preserve"> projektu </w:t>
      </w:r>
      <w:r w:rsidRPr="0023349B">
        <w:rPr>
          <w:rFonts w:ascii="Times New Roman" w:hAnsi="Times New Roman" w:cs="Times New Roman"/>
          <w:bCs/>
          <w:i/>
          <w:iCs/>
        </w:rPr>
        <w:t>ustawy</w:t>
      </w:r>
      <w:r w:rsidRPr="0023349B">
        <w:rPr>
          <w:rFonts w:ascii="Times New Roman" w:hAnsi="Times New Roman" w:cs="Times New Roman"/>
          <w:bCs/>
        </w:rPr>
        <w:t xml:space="preserve"> – w </w:t>
      </w:r>
      <w:r w:rsidRPr="0023349B">
        <w:rPr>
          <w:rFonts w:ascii="Times New Roman" w:hAnsi="Times New Roman" w:cs="Times New Roman"/>
          <w:b/>
          <w:bCs/>
        </w:rPr>
        <w:t>dodanym ust. 1b</w:t>
      </w:r>
      <w:r w:rsidRPr="0023349B">
        <w:rPr>
          <w:rFonts w:ascii="Times New Roman" w:hAnsi="Times New Roman" w:cs="Times New Roman"/>
          <w:bCs/>
        </w:rPr>
        <w:t xml:space="preserve"> wskazano, iż na żądanie wnioskodawcy, zarządca budynku albo inna osoba uprawniona do pobierania należności za lokal mieszkalny będzie potwierdzać określone informacje zawarte we wniosku o przyznanie dodatku mieszkaniowego. Natomiast w </w:t>
      </w:r>
      <w:r w:rsidRPr="0023349B">
        <w:rPr>
          <w:rFonts w:ascii="Times New Roman" w:hAnsi="Times New Roman" w:cs="Times New Roman"/>
          <w:b/>
        </w:rPr>
        <w:t xml:space="preserve">dodanych ust. 1c i 1d do art. 7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określono szczegółowo jakie informacje i dane, dotyczące wnioskodawcy i członków jego gospodarstwa domowego, powinny zostać wskazane we wniosku o przyznanie dodatku mieszkaniowego oraz w deklaracji o dochodach gospodarstwa domowego.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Jednocześnie </w:t>
      </w:r>
      <w:r w:rsidRPr="0023349B">
        <w:rPr>
          <w:rFonts w:ascii="Times New Roman" w:hAnsi="Times New Roman" w:cs="Times New Roman"/>
          <w:b/>
        </w:rPr>
        <w:t>w ust. 1c</w:t>
      </w:r>
      <w:r w:rsidRPr="0023349B">
        <w:rPr>
          <w:rFonts w:ascii="Times New Roman" w:hAnsi="Times New Roman" w:cs="Times New Roman"/>
          <w:bCs/>
        </w:rPr>
        <w:t xml:space="preserve"> wskazane zostało, które z informacji przekazanych przez wnioskodawcę we wniosku o przyznanie dodatku mieszkaniowego muszą zostać potwierdzone przez zarządcę albo inną osobę uprawnioną do pobierania należności za lokal mieszkalny.</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Odnosząc się do konieczności wskazania w deklaracji o dochodach gospodarstwa domowego stopnia pokrewieństwa osób wchodzących w skład gospodarstwa domowego z wnioskodawcą, należy mieć na uwadze, że podstawową informacją niezbędną do rozpatrzenia wniosku o dodatek mieszkaniowy jest skład osobowy gospodarstwa domowego. W skład gospodarstwa domowego wnioskodawcy wchodzą osoby zamieszkujące wspólnie z wnioskodawcą i wspólnie z nim gospodarujące. Zgodnie z orzecznictwem sądów, jeśli osoby gospodarują wspólnie, oznacza to, że razem czymś zarządzają, dysponują. W rozpatrywanym kontekście chodzi więc o przyczynianie się do funkcjonowania wspólnoty poprzez wykonywanie na jej rzecz jakichkolwiek czynności. Możliwość zarządzania oznacza w istocie uprawnienie do współdecydowania o przeznaczeniu dochodu rodziny, wykonywanie części czynności związanych z codziennymi zajęciami, jak sprzątanie, gotowanie, pranie itp. Wspólne gospodarowanie nie ogranicza się do partycypacji finansowej w kosztach utrzymania domu, ale polega na wzajemnej, aktywnej pomocy w prowadzeniu gospodarstwa domowego.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b</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proponuje się </w:t>
      </w:r>
      <w:r w:rsidRPr="0023349B">
        <w:rPr>
          <w:rFonts w:ascii="Times New Roman" w:hAnsi="Times New Roman" w:cs="Times New Roman"/>
          <w:b/>
        </w:rPr>
        <w:t xml:space="preserve">dodanie do art. 7 </w:t>
      </w:r>
      <w:proofErr w:type="spellStart"/>
      <w:r w:rsidRPr="0023349B">
        <w:rPr>
          <w:rFonts w:ascii="Times New Roman" w:hAnsi="Times New Roman" w:cs="Times New Roman"/>
          <w:b/>
        </w:rPr>
        <w:t>udm</w:t>
      </w:r>
      <w:proofErr w:type="spellEnd"/>
      <w:r w:rsidRPr="0023349B">
        <w:rPr>
          <w:rFonts w:ascii="Times New Roman" w:hAnsi="Times New Roman" w:cs="Times New Roman"/>
          <w:b/>
        </w:rPr>
        <w:t xml:space="preserve"> ust. 1d,</w:t>
      </w:r>
      <w:r w:rsidRPr="0023349B">
        <w:rPr>
          <w:rFonts w:ascii="Times New Roman" w:hAnsi="Times New Roman" w:cs="Times New Roman"/>
          <w:bCs/>
        </w:rPr>
        <w:t xml:space="preserve"> zgodnie z którym wzór wniosku o przyznanie dodatku mieszkaniowego oraz wzór deklaracji o dochodach gospodarstwa domowego określa rada gminy w drodze uchwały. Mając na uwadze, iż procedura rozpoznania wniosku o przyznanie dodatku mieszkaniowego, a następnie jego ewentualna wypłata, leży w gestii gminy, słusznym rozwiązaniem wydaje się przekazanie gminom uprawnienia do przygotowania wzorów powyższych dokumentów we własnym zakresie.</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c</w:t>
      </w:r>
      <w:r w:rsidRPr="0023349B">
        <w:rPr>
          <w:rFonts w:ascii="Times New Roman" w:hAnsi="Times New Roman" w:cs="Times New Roman"/>
          <w:bCs/>
        </w:rPr>
        <w:t xml:space="preserve"> </w:t>
      </w:r>
      <w:r w:rsidRPr="0023349B">
        <w:rPr>
          <w:rFonts w:ascii="Times New Roman" w:hAnsi="Times New Roman" w:cs="Times New Roman"/>
          <w:b/>
          <w:bCs/>
        </w:rPr>
        <w:t>projektu</w:t>
      </w:r>
      <w:r w:rsidRPr="0023349B">
        <w:rPr>
          <w:rFonts w:ascii="Times New Roman" w:hAnsi="Times New Roman" w:cs="Times New Roman"/>
          <w:b/>
          <w:bCs/>
          <w:i/>
          <w:iCs/>
        </w:rPr>
        <w:t xml:space="preserve"> ustawy</w:t>
      </w:r>
      <w:r w:rsidRPr="0023349B">
        <w:rPr>
          <w:rFonts w:ascii="Times New Roman" w:hAnsi="Times New Roman" w:cs="Times New Roman"/>
          <w:bCs/>
        </w:rPr>
        <w:t xml:space="preserve"> – zauważyć należy, że dotychczas wypełniona przez stronę deklaracja dochodowa złożona w toku postępowania w sprawie dodatku mieszkaniowego nie jest dokumentem urzędowym stanowiącym dowód tego, co zostało w nim urzędowo stwierdzone, opisanym w przepisie </w:t>
      </w:r>
      <w:r w:rsidRPr="0023349B">
        <w:rPr>
          <w:rFonts w:ascii="Times New Roman" w:hAnsi="Times New Roman" w:cs="Times New Roman"/>
          <w:b/>
        </w:rPr>
        <w:t>art. 76 § 1 i § 2 k.p.a</w:t>
      </w:r>
      <w:r w:rsidRPr="0023349B">
        <w:rPr>
          <w:rFonts w:ascii="Times New Roman" w:hAnsi="Times New Roman" w:cs="Times New Roman"/>
          <w:bCs/>
        </w:rPr>
        <w:t xml:space="preserve">. Jest własnoręcznym oświadczeniem pochodzącym od strony, które musi być ocenione przez organ co do jego zgodności ze stanem faktycznym. Mając na względzie powyższe, w celu zapewnienia prawdziwości nie tylko oświadczenia składanego przez osobę ubiegającą się o przyznanie dodatku mieszkaniowego, ale także wszelkich informacji przedstawionych we wniosku i oświadczeniu, proponuje się </w:t>
      </w:r>
      <w:r w:rsidRPr="0023349B">
        <w:rPr>
          <w:rFonts w:ascii="Times New Roman" w:hAnsi="Times New Roman" w:cs="Times New Roman"/>
          <w:b/>
        </w:rPr>
        <w:t>nadanie nowego brzmienia</w:t>
      </w:r>
      <w:r w:rsidRPr="0023349B">
        <w:rPr>
          <w:rFonts w:ascii="Times New Roman" w:hAnsi="Times New Roman" w:cs="Times New Roman"/>
          <w:bCs/>
        </w:rPr>
        <w:t xml:space="preserve"> </w:t>
      </w:r>
      <w:r w:rsidRPr="0023349B">
        <w:rPr>
          <w:rFonts w:ascii="Times New Roman" w:hAnsi="Times New Roman" w:cs="Times New Roman"/>
          <w:b/>
        </w:rPr>
        <w:t>ust. 2a</w:t>
      </w:r>
      <w:r w:rsidRPr="0023349B">
        <w:rPr>
          <w:rFonts w:ascii="Times New Roman" w:hAnsi="Times New Roman" w:cs="Times New Roman"/>
          <w:bCs/>
        </w:rPr>
        <w:t>, przewidującemu zmianę zakresu odpowiedzialności karnej za składanie fałszywych oświadczeń przez rozszerzenie tej odpowiedzialności także na informacje przedstawione we wniosku.</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d</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przepisy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przewidują, że organ przyznający dodatek mieszkaniowy uprawniony jest do przeprowadzenia wywiadu środowiskowego. Wynik przeprowadzonego wywiadu środowiskowego może zaważyć na ustaleniu, czy wnioskodawca jest uprawniony do otrzymania dodatku mieszkaniowego. W obecnym brzmieniu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brak jest natomiast przepisu, który regulowałby przypadek odmowy przeprowadzenia wywiadu środowiskowego. Dlatego proponuje się </w:t>
      </w:r>
      <w:r w:rsidRPr="0023349B">
        <w:rPr>
          <w:rFonts w:ascii="Times New Roman" w:hAnsi="Times New Roman" w:cs="Times New Roman"/>
          <w:b/>
        </w:rPr>
        <w:t>dodanie ust. 3a do art. 7</w:t>
      </w:r>
      <w:r w:rsidRPr="0023349B">
        <w:rPr>
          <w:rFonts w:ascii="Times New Roman" w:hAnsi="Times New Roman" w:cs="Times New Roman"/>
          <w:bCs/>
        </w:rPr>
        <w:t>, który przewiduje, że niewyrażenie zgody na przeprowadzenie wywiadu środowiskowego stanowić będzie podstawę do odmowy przyznania dodatku mieszkaniowego.</w:t>
      </w:r>
    </w:p>
    <w:p w:rsidR="00041710"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e</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w:t>
      </w:r>
      <w:r w:rsidR="00C469A0" w:rsidRPr="0023349B">
        <w:rPr>
          <w:rFonts w:ascii="Times New Roman" w:hAnsi="Times New Roman" w:cs="Times New Roman"/>
          <w:bCs/>
        </w:rPr>
        <w:t xml:space="preserve"> </w:t>
      </w:r>
      <w:r w:rsidR="00A33607" w:rsidRPr="0023349B">
        <w:rPr>
          <w:rFonts w:ascii="Times New Roman" w:hAnsi="Times New Roman" w:cs="Times New Roman"/>
          <w:bCs/>
        </w:rPr>
        <w:t>proponuje się rozwiązanie, zgodnie z którym dodatku mieszkaniowego nie będzie się przyznawać, jeżeli</w:t>
      </w:r>
      <w:r w:rsidR="00193AD6" w:rsidRPr="0023349B">
        <w:rPr>
          <w:rFonts w:ascii="Times New Roman" w:hAnsi="Times New Roman" w:cs="Times New Roman"/>
          <w:bCs/>
        </w:rPr>
        <w:t xml:space="preserve"> </w:t>
      </w:r>
      <w:r w:rsidR="00A33607" w:rsidRPr="0023349B">
        <w:rPr>
          <w:rFonts w:ascii="Times New Roman" w:hAnsi="Times New Roman" w:cs="Times New Roman"/>
          <w:bCs/>
        </w:rPr>
        <w:t>jego kwota byłaby niższa niż 0,5% kwoty przeciętnego wynagrodzenia w gospodarce narodowej, obowiązującego w dniu wydania decyzji.</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11 </w:t>
      </w:r>
      <w:r w:rsidRPr="0023349B">
        <w:rPr>
          <w:rFonts w:ascii="Times New Roman" w:hAnsi="Times New Roman" w:cs="Times New Roman"/>
          <w:b/>
          <w:bCs/>
        </w:rPr>
        <w:t>pkt 7 lit. f</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obowiązujący system dodatków mieszkaniowych jest powiązany z udziałem osób trzecich, tj. właścicieli, zarządców nieruchomości, osób wchodzących w skład zarządów wspólnot mieszkaniowych, osób fizycznych. Są to podmioty zewnętrzne wobec stron stosunku administracyjnego, tj. organu administracji publicznej oraz osoby uprawnionej na podstawie decyzji administracyjnej do dodatku mieszkaniowego. Dyspozycja </w:t>
      </w:r>
      <w:r w:rsidRPr="0023349B">
        <w:rPr>
          <w:rFonts w:ascii="Times New Roman" w:hAnsi="Times New Roman" w:cs="Times New Roman"/>
          <w:b/>
        </w:rPr>
        <w:t xml:space="preserve">art. 7 ust. 7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zgodnie z którą decyzja w sprawie dodatku mieszkaniowego powinna być wydana w ciągu miesiąca od dnia złożenia wniosku, została wprowadzona, aby zarządca nieruchomości w określonym czasie uzyskał informację, z jakiego tytułu, w jakiej wysokości i na czyją rzecz wpływają kwoty dodatków mieszkaniowych. Od dnia 1 stycznia 2014 r., tj. od kiedy weszły w życie przypisy ustawy z dnia 13 czerwca 2013 r. o zmianie ustaw regulujących wykonywanie niektórych zawodów (Dz. U. z 2013 r., poz. 829), zmieniono zasady wykonywania m.in. zawodu zarządcy nieruchomości. Oznacza to, że licencja zawodowa do wykonywania czynności z zakresu zarządzania nieruchomościami przestała być wydawana i nie jest już wymagana od osób wykonujących ten zawód. Sytuacja ta powoduje, że decyzje w sprawie dodatków mieszkaniowych mogą otrzymywać osoby, które nie podlegają odpowiedzialności zawodowej i ich przechowywanie może być nie zawsze zgodne ze standardami postępowania z danymi osobowymi, które dotyczyć mogą także danych mieszkańców budynków będących w posiadaniu ich zarządców (zarządców i zarządów wspólnot mieszkaniowych, spółdzielni mieszkaniowych, właścicieli lub wynajmujących lokale). Biorąc powyższe pod uwagę konieczne jest zabezpieczenie interesu osób otrzymujących dodatki mieszkaniowe w zakresie ochrony ich danych osobowych, w tym danych wrażliwych, wobec czego niezbędna jest regulacja wprost wskazująca, że decyzję w sprawie przyznania dodatku mieszkaniowego będzie otrzymywał tylko wnioskodawca. Zarządca budynku (albo inna osoba pobierająca należności, np. wynajmujący lokal) otrzyma natomiast jedynie informację o wysokości dodatku oraz okresie, na jaki został przyznany.</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g</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t>
      </w:r>
      <w:r w:rsidRPr="0023349B">
        <w:rPr>
          <w:rFonts w:ascii="Times New Roman" w:hAnsi="Times New Roman" w:cs="Times New Roman"/>
          <w:b/>
        </w:rPr>
        <w:t xml:space="preserve">dodanie ust. 7a do art. 7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Z uwagi na ww. </w:t>
      </w:r>
      <w:r w:rsidRPr="0023349B">
        <w:rPr>
          <w:rFonts w:ascii="Times New Roman" w:hAnsi="Times New Roman" w:cs="Times New Roman"/>
          <w:b/>
        </w:rPr>
        <w:t>zmianę wprowadzoną w ust. 7</w:t>
      </w:r>
      <w:r w:rsidRPr="0023349B">
        <w:rPr>
          <w:rFonts w:ascii="Times New Roman" w:hAnsi="Times New Roman" w:cs="Times New Roman"/>
          <w:bCs/>
        </w:rPr>
        <w:t xml:space="preserve">, w celu zapewnienia właściwej ochrony danych osobowych osób, które otrzymały dodatek mieszkaniowy </w:t>
      </w:r>
      <w:r w:rsidRPr="0023349B">
        <w:rPr>
          <w:rFonts w:ascii="Times New Roman" w:hAnsi="Times New Roman" w:cs="Times New Roman"/>
          <w:b/>
        </w:rPr>
        <w:t>w dodawanym ust. 7a</w:t>
      </w:r>
      <w:r w:rsidRPr="0023349B">
        <w:rPr>
          <w:rFonts w:ascii="Times New Roman" w:hAnsi="Times New Roman" w:cs="Times New Roman"/>
          <w:bCs/>
        </w:rPr>
        <w:t xml:space="preserve"> ograniczono informacje przekazywane zarządcy albo innej osobie pobierającej należności tylko do informacji o wysokości dodatku i okresie na jaki został on przyznany.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g</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t>
      </w:r>
      <w:r w:rsidRPr="0023349B">
        <w:rPr>
          <w:rFonts w:ascii="Times New Roman" w:hAnsi="Times New Roman" w:cs="Times New Roman"/>
          <w:b/>
        </w:rPr>
        <w:t xml:space="preserve">dodanie ust. 7b do art. 7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Potrzeba wprowadzenia definicji „innej osoby uprawnionej do pobierania należności za lokal mieszkalny” została podyktowana pojawiającymi się niejednokrotnie wątpliwościami kogo należy uznać za taką osobę. Zgodnie z proponowaną zmianą powinna być to osoba, z którą wnioskodawcę łączy stosunek prawny uprawniający do używania lokalu, np. właściciel lokalu (współwłaściciela), wynajmujący, czy posiadacz lokalu. Osobą uprawnioną do pobierania części należności za lokal może być też usługodawca, z którym wnioskodawca rozlicza się z tytułu korzystania z mediów dostarczanych do lokalu.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 xml:space="preserve">pkt 7 lit. h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projekcie uchylono dotychczasowy </w:t>
      </w:r>
      <w:r w:rsidRPr="0023349B">
        <w:rPr>
          <w:rFonts w:ascii="Times New Roman" w:hAnsi="Times New Roman" w:cs="Times New Roman"/>
          <w:b/>
        </w:rPr>
        <w:t>art. 7 ust. 12</w:t>
      </w:r>
      <w:r w:rsidRPr="0023349B">
        <w:rPr>
          <w:rFonts w:ascii="Times New Roman" w:hAnsi="Times New Roman" w:cs="Times New Roman"/>
          <w:bCs/>
        </w:rPr>
        <w:t xml:space="preserve"> ustawy, zgodnie z którym osoba, w stosunku do której z powodu nieuregulowania należności za zajmowany lokal mieszkalny wygasła decyzja o przyznaniu dodatku mieszkaniowego, może wystąpić ponownie o jego przyznanie po uregulowaniu zaległości powstałych w okresie obowiązywania tej decyzji. </w:t>
      </w:r>
      <w:r w:rsidRPr="0023349B">
        <w:rPr>
          <w:rFonts w:ascii="Times New Roman" w:hAnsi="Times New Roman" w:cs="Times New Roman"/>
          <w:b/>
        </w:rPr>
        <w:t>Przepis ust. 12</w:t>
      </w:r>
      <w:r w:rsidRPr="0023349B">
        <w:rPr>
          <w:rFonts w:ascii="Times New Roman" w:hAnsi="Times New Roman" w:cs="Times New Roman"/>
          <w:bCs/>
        </w:rPr>
        <w:t xml:space="preserve"> budzi wątpliwości w praktyce, gdyż może być rozumiany i stosowany jako podstawa do ponownego przyznania wstrzymanego i wygasłego dodatku mieszkaniowego pod warunkiem, że osoba, która z dodatku korzystała, ureguluje zaległą należność po upływie trzech miesięcy od doręczenia jej decyzji wstrzymującej wypłatę i złoży wniosek o ponowne przyznanie decyzją tego wygasłego dodatku mieszkaniowego oraz jako podstawa prawna odmowy przyznania dodatku mieszkaniowego na wniosek złożony na kolejny okres 6 miesięcy. </w:t>
      </w:r>
      <w:r w:rsidRPr="0023349B">
        <w:rPr>
          <w:rFonts w:ascii="Times New Roman" w:hAnsi="Times New Roman" w:cs="Times New Roman"/>
          <w:b/>
        </w:rPr>
        <w:t>Art. 7 ust. 12</w:t>
      </w:r>
      <w:r w:rsidRPr="0023349B">
        <w:rPr>
          <w:rFonts w:ascii="Times New Roman" w:hAnsi="Times New Roman" w:cs="Times New Roman"/>
          <w:bCs/>
        </w:rPr>
        <w:t xml:space="preserve"> miał spełniać rolę jedynie zachęty do uregulowania zaległości z poprzedniego okresu lub okresów korzystania z dodatku mieszkaniowego, a nie być przepisem sankcyjnym za zaległości z przeszłego okresu korzystania z dodatku. Mając na względzie wątpliwości, jakie w praktyce budzi stosowanie przedmiotowej regulacji, zasadnym jest </w:t>
      </w:r>
      <w:r w:rsidRPr="0023349B">
        <w:rPr>
          <w:rFonts w:ascii="Times New Roman" w:hAnsi="Times New Roman" w:cs="Times New Roman"/>
          <w:b/>
        </w:rPr>
        <w:t>uchylenie ust. 12</w:t>
      </w:r>
      <w:r w:rsidRPr="0023349B">
        <w:rPr>
          <w:rFonts w:ascii="Times New Roman" w:hAnsi="Times New Roman" w:cs="Times New Roman"/>
          <w:bCs/>
        </w:rPr>
        <w:t>.</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11 </w:t>
      </w:r>
      <w:r w:rsidRPr="0023349B">
        <w:rPr>
          <w:rFonts w:ascii="Times New Roman" w:hAnsi="Times New Roman" w:cs="Times New Roman"/>
          <w:b/>
        </w:rPr>
        <w:t>pkt 7 lit. i</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t>
      </w:r>
      <w:r w:rsidRPr="0023349B">
        <w:rPr>
          <w:rFonts w:ascii="Times New Roman" w:hAnsi="Times New Roman" w:cs="Times New Roman"/>
          <w:b/>
        </w:rPr>
        <w:t>w ust. 13</w:t>
      </w:r>
      <w:r w:rsidRPr="0023349B">
        <w:rPr>
          <w:rFonts w:ascii="Times New Roman" w:hAnsi="Times New Roman" w:cs="Times New Roman"/>
          <w:bCs/>
        </w:rPr>
        <w:t xml:space="preserve"> dodano przepis, zgodnie z którym organ uprawniony do przyznania dodatku mieszkaniowego będzie miał możliwość zobowiązania wnioskodawcy do przekazania innych dodatkowych dokumentów, potwierdzających informacje i dane zawarte we wniosku, w deklaracji oraz w oświadczeniu, o którym mowa w ust. 2. W tym celu organ, o którym mowa powyżej, wyznaczy termin do przekazania określonych dokumentów, przy czym termin ten nie może być krótszy niż 14 dni. Niedostarczenie wskazanych dokumentów w wyznaczonym terminie będzie podstawą do odmowy przyznania dodatku mieszkaniowego. Jak wynika z treści obecnie obowiązującego </w:t>
      </w:r>
      <w:hyperlink r:id="rId20" w:history="1">
        <w:r w:rsidRPr="0023349B">
          <w:rPr>
            <w:rStyle w:val="Hipercze"/>
            <w:rFonts w:ascii="Times New Roman" w:hAnsi="Times New Roman" w:cs="Times New Roman"/>
            <w:color w:val="auto"/>
          </w:rPr>
          <w:t>art. 7 ust. 13</w:t>
        </w:r>
      </w:hyperlink>
      <w:r w:rsidRPr="0023349B">
        <w:rPr>
          <w:rFonts w:ascii="Times New Roman" w:hAnsi="Times New Roman" w:cs="Times New Roman"/>
          <w:bCs/>
        </w:rPr>
        <w:t xml:space="preserve"> ustawy na żądanie organu przyznającego dodatek mieszkaniowy osoba pobierająca dodatek jest obowiązana udostępnić dokumenty potwierdzające wysokość dochodów wykazanych w deklaracji, o której mowa </w:t>
      </w:r>
      <w:r w:rsidRPr="0023349B">
        <w:rPr>
          <w:rFonts w:ascii="Times New Roman" w:hAnsi="Times New Roman" w:cs="Times New Roman"/>
          <w:b/>
        </w:rPr>
        <w:t>w ust. 1</w:t>
      </w:r>
      <w:r w:rsidRPr="0023349B">
        <w:rPr>
          <w:rFonts w:ascii="Times New Roman" w:hAnsi="Times New Roman" w:cs="Times New Roman"/>
          <w:bCs/>
        </w:rPr>
        <w:t xml:space="preserve">. Dotychczas jednak nieprzedłożenie tych dokumentów nie łączyło się z żadnymi konsekwencjami dla wnioskodawcy. Organ rozpatrujący wniosek nie miał bowiem podstaw do odmowy przyznania dodatku i wydania stosownej decyzji administracyjnej z powodu nieprzedłożenia przez wnioskodawcę żądanych dokumentów. Zaproponowana </w:t>
      </w:r>
      <w:r w:rsidRPr="0023349B">
        <w:rPr>
          <w:rFonts w:ascii="Times New Roman" w:hAnsi="Times New Roman" w:cs="Times New Roman"/>
          <w:b/>
        </w:rPr>
        <w:t>zmiana ust. 13</w:t>
      </w:r>
      <w:r w:rsidRPr="0023349B">
        <w:rPr>
          <w:rFonts w:ascii="Times New Roman" w:hAnsi="Times New Roman" w:cs="Times New Roman"/>
          <w:bCs/>
        </w:rPr>
        <w:t xml:space="preserve"> jednoznacznie wskazuje więc, że w takim przypadku będzie to podstawa do wydania decyzji odmownej. </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Zmiana 8: art. 7a i 7b</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11 </w:t>
      </w:r>
      <w:r w:rsidRPr="0023349B">
        <w:rPr>
          <w:rFonts w:ascii="Times New Roman" w:hAnsi="Times New Roman" w:cs="Times New Roman"/>
          <w:b/>
          <w:bCs/>
        </w:rPr>
        <w:t>pkt 8</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t>
      </w:r>
      <w:r w:rsidRPr="0023349B">
        <w:rPr>
          <w:rFonts w:ascii="Times New Roman" w:hAnsi="Times New Roman" w:cs="Times New Roman"/>
          <w:b/>
          <w:bCs/>
        </w:rPr>
        <w:t>dodany art. 7a</w:t>
      </w:r>
      <w:r w:rsidRPr="0023349B">
        <w:rPr>
          <w:rFonts w:ascii="Times New Roman" w:hAnsi="Times New Roman" w:cs="Times New Roman"/>
          <w:bCs/>
        </w:rPr>
        <w:t xml:space="preserve"> przewiduje, że określone informacje zawarte we wniosku o przyznanie dodatku mieszkaniowego będą wymagały potwierdzenia – w formie pisemnego oświadczenia </w:t>
      </w:r>
      <w:r w:rsidR="00C47C60" w:rsidRPr="0023349B">
        <w:rPr>
          <w:rFonts w:ascii="Times New Roman" w:hAnsi="Times New Roman" w:cs="Times New Roman"/>
          <w:bCs/>
        </w:rPr>
        <w:t>–</w:t>
      </w:r>
      <w:r w:rsidRPr="0023349B">
        <w:rPr>
          <w:rFonts w:ascii="Times New Roman" w:hAnsi="Times New Roman" w:cs="Times New Roman"/>
          <w:bCs/>
        </w:rPr>
        <w:t xml:space="preserve"> przez osobę uprawnioną do pobierania należności za lokal mieszkalny, inną niż zarządca domu. Oświadczenie to osoba ubiegająca się o dodatek mieszkaniowy będzie składać do gminy wraz z wnioskiem o przyznanie tego dodatku. Jednocześnie zastrzeżono, że ww.</w:t>
      </w:r>
      <w:r w:rsidR="00193AD6" w:rsidRPr="0023349B">
        <w:rPr>
          <w:rFonts w:ascii="Times New Roman" w:hAnsi="Times New Roman" w:cs="Times New Roman"/>
          <w:bCs/>
        </w:rPr>
        <w:t xml:space="preserve"> </w:t>
      </w:r>
      <w:r w:rsidRPr="0023349B">
        <w:rPr>
          <w:rFonts w:ascii="Times New Roman" w:hAnsi="Times New Roman" w:cs="Times New Roman"/>
          <w:bCs/>
        </w:rPr>
        <w:t>rozwiązanie znajdzie zastosowanie, o ile zarządca domu nie potwierdził powyższych informacji na wniosku o przyznanie dodatku mieszkaniowego. Zmiana ta podyktowana jest potrzebą zapewnienia wsparcia osobom w trudnej sytuacji i sprawnego funkcjonowania systemu dopłat i dodatków mieszkaniowych. Informacje na temat wysokości opłat związanych z umową najmu posiadają strony tej umowy, tj. wynajmujący i najemca. Dlatego też informacje wynikające ze stosunku najmu potwierdzić może osoba uprawniona do pobierania opłat za dany lokal mieszkalny (czyli wynajmujący), a nie zarządca. Dlatego proponuje się, aby te informacje mogły być potwierdzane również przez inne niż zarządca osoby uprawnione do pobierania należności za lokal mieszkalny, np. w przypadku umów najmu przez wynajmującego.</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Natomiast w </w:t>
      </w:r>
      <w:r w:rsidRPr="0023349B">
        <w:rPr>
          <w:rFonts w:ascii="Times New Roman" w:hAnsi="Times New Roman" w:cs="Times New Roman"/>
          <w:b/>
          <w:bCs/>
        </w:rPr>
        <w:t>dodanym art 7b</w:t>
      </w:r>
      <w:r w:rsidRPr="0023349B">
        <w:rPr>
          <w:rFonts w:ascii="Times New Roman" w:hAnsi="Times New Roman" w:cs="Times New Roman"/>
          <w:bCs/>
        </w:rPr>
        <w:t xml:space="preserve"> przyjęto rozwiązanie, które zakłada, że w celu zweryfikowania informacji i danych zawartych w deklaracji, o której mowa w art. 7 ust. 1, gmina może przetwarzać dane osobowe i informacje dotyczące osoby ubiegającej się o dodatek mieszkaniowy, pozyskane w toku innych postępowań prowadzonych przez gminę lub jej jednostki organizacyjne. Należy zaznaczyć, iż dodatki mieszkaniowe wypłacane są ze środków publicznych. Celem tego świadczenia jest wsparcie finansowe osób najbardziej potrzebujących, mających trudności w ponoszeniu wydatków związanych z zajmowanym mieszkaniem. Z uwagi na powyższe istotne jest, aby pomoc ta trafiła do osób, do których w świetle przepisów ustawy jest skierowana. Bez wątpienia ww. uprawnienie pozwoli organowi rozpoznającemu wniosek o przyznanie dodatku dokonać prawidłowych ustaleń w zakresie zaistnienia przesłanek uzasadniających przyznanie tego dodatku. Z tego powodu projekt dopuszcza przez gminę wykorzystanie przy ocenie wniosku o przyznanie dodatku mieszkaniowego informacji pozyskanych w innym celu, w trakcie innych postępowań administracyjnych.</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9: art. 8 </w:t>
      </w:r>
      <w:proofErr w:type="spellStart"/>
      <w:r w:rsidRPr="0023349B">
        <w:rPr>
          <w:rFonts w:ascii="Times New Roman" w:hAnsi="Times New Roman" w:cs="Times New Roman"/>
          <w:bCs/>
          <w:u w:val="single"/>
        </w:rPr>
        <w:t>udm</w:t>
      </w:r>
      <w:proofErr w:type="spellEnd"/>
      <w:r w:rsidRPr="0023349B">
        <w:rPr>
          <w:rFonts w:ascii="Times New Roman" w:hAnsi="Times New Roman" w:cs="Times New Roman"/>
          <w:bCs/>
          <w:u w:val="single"/>
        </w:rPr>
        <w:t xml:space="preserve">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11 </w:t>
      </w:r>
      <w:r w:rsidRPr="0023349B">
        <w:rPr>
          <w:rFonts w:ascii="Times New Roman" w:hAnsi="Times New Roman" w:cs="Times New Roman"/>
          <w:b/>
          <w:bCs/>
        </w:rPr>
        <w:t>pkt 9 lit. a</w:t>
      </w:r>
      <w:r w:rsidRPr="0023349B">
        <w:rPr>
          <w:rFonts w:ascii="Times New Roman" w:hAnsi="Times New Roman" w:cs="Times New Roman"/>
          <w:bCs/>
        </w:rPr>
        <w:t xml:space="preserve"> oraz</w:t>
      </w:r>
      <w:r w:rsidRPr="0023349B">
        <w:rPr>
          <w:rFonts w:ascii="Times New Roman" w:hAnsi="Times New Roman" w:cs="Times New Roman"/>
          <w:b/>
          <w:bCs/>
        </w:rPr>
        <w:t xml:space="preserve"> b</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wprowadzenie do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pojęcia „inna osoba uprawniona do pobierania należności za lokal mieszkalny”, powoduje </w:t>
      </w:r>
      <w:r w:rsidRPr="0023349B">
        <w:rPr>
          <w:rFonts w:ascii="Times New Roman" w:hAnsi="Times New Roman" w:cs="Times New Roman"/>
          <w:b/>
        </w:rPr>
        <w:t>konieczn</w:t>
      </w:r>
      <w:r w:rsidR="0023349B" w:rsidRPr="0023349B">
        <w:rPr>
          <w:rFonts w:ascii="Times New Roman" w:hAnsi="Times New Roman" w:cs="Times New Roman"/>
          <w:b/>
        </w:rPr>
        <w:t>ość zmiany przepisu art. 8 ust. </w:t>
      </w:r>
      <w:r w:rsidRPr="0023349B">
        <w:rPr>
          <w:rFonts w:ascii="Times New Roman" w:hAnsi="Times New Roman" w:cs="Times New Roman"/>
          <w:b/>
        </w:rPr>
        <w:t>1 i 3</w:t>
      </w:r>
      <w:r w:rsidRPr="0023349B">
        <w:rPr>
          <w:rFonts w:ascii="Times New Roman" w:hAnsi="Times New Roman" w:cs="Times New Roman"/>
          <w:bCs/>
        </w:rPr>
        <w:t xml:space="preserve"> w celu ujednolicenia pojęć.</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11 </w:t>
      </w:r>
      <w:r w:rsidRPr="0023349B">
        <w:rPr>
          <w:rFonts w:ascii="Times New Roman" w:hAnsi="Times New Roman" w:cs="Times New Roman"/>
          <w:b/>
          <w:bCs/>
        </w:rPr>
        <w:t>pkt 9 lit. c</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wyeliminowanie </w:t>
      </w:r>
      <w:r w:rsidRPr="0023349B">
        <w:rPr>
          <w:rFonts w:ascii="Times New Roman" w:hAnsi="Times New Roman" w:cs="Times New Roman"/>
          <w:b/>
        </w:rPr>
        <w:t xml:space="preserve">nieścisłości brzmienia przepisu art. 8 </w:t>
      </w:r>
      <w:r w:rsidR="0023349B" w:rsidRPr="0023349B">
        <w:rPr>
          <w:rFonts w:ascii="Times New Roman" w:hAnsi="Times New Roman" w:cs="Times New Roman"/>
          <w:b/>
        </w:rPr>
        <w:t>ust. </w:t>
      </w:r>
      <w:r w:rsidRPr="0023349B">
        <w:rPr>
          <w:rFonts w:ascii="Times New Roman" w:hAnsi="Times New Roman" w:cs="Times New Roman"/>
          <w:b/>
        </w:rPr>
        <w:t>4</w:t>
      </w:r>
      <w:r w:rsidRPr="0023349B">
        <w:rPr>
          <w:rFonts w:ascii="Times New Roman" w:hAnsi="Times New Roman" w:cs="Times New Roman"/>
          <w:bCs/>
        </w:rPr>
        <w:t xml:space="preserve"> przez zastąpienie wyrazu „pobierający” zwrotem „zarządca albo inna osoba uprawniona do pobierania należności za lokal mieszkalny”. Przepis nakładający na „pobierającego” obowiązek niezwłocznego zawiadomienia organu przyznającego dodatek mieszkaniowy o wystąpieniu zaległości obejmujących co najmniej 2 miesiące zawarty w </w:t>
      </w:r>
      <w:r w:rsidRPr="0023349B">
        <w:rPr>
          <w:rFonts w:ascii="Times New Roman" w:hAnsi="Times New Roman" w:cs="Times New Roman"/>
          <w:b/>
        </w:rPr>
        <w:t>art. 8 ust. 4</w:t>
      </w:r>
      <w:r w:rsidRPr="0023349B">
        <w:rPr>
          <w:rFonts w:ascii="Times New Roman" w:hAnsi="Times New Roman" w:cs="Times New Roman"/>
          <w:bCs/>
        </w:rPr>
        <w:t xml:space="preserve"> ustawy o dodatkach mieszkaniowych nie precyzował o jaką osobę tutaj chodzi. Proponowana zmiana ujednolici używaną w tym przepisie terminologię z innymi przepisami ustawy.</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10: art. 8a </w:t>
      </w:r>
      <w:proofErr w:type="spellStart"/>
      <w:r w:rsidRPr="0023349B">
        <w:rPr>
          <w:rFonts w:ascii="Times New Roman" w:hAnsi="Times New Roman" w:cs="Times New Roman"/>
          <w:bCs/>
          <w:u w:val="single"/>
        </w:rPr>
        <w:t>udm</w:t>
      </w:r>
      <w:proofErr w:type="spellEnd"/>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11 </w:t>
      </w:r>
      <w:r w:rsidRPr="0023349B">
        <w:rPr>
          <w:rFonts w:ascii="Times New Roman" w:hAnsi="Times New Roman" w:cs="Times New Roman"/>
          <w:b/>
          <w:bCs/>
        </w:rPr>
        <w:t>pkt 10</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projekcie przewiduje się również wprowadzenie sankcji dla zarządców i innych osób pobierających należności za lokal w sytuacji, gdy nie poinformują organu uprawnionego do przyznania dodatku odpowiednio wcześnie o powstałych bieżących zaległościach z tytułu opłat związanych z utrzymaniem lokalu, które wnioskodawca powinien regulować w trakcie otrzymywania dodatku mieszkaniowego. Wysokość kary wyniesie 500 zł, a jej egzekucja będzie przeprowadzana w drodze postępowania egzekucyjnego w administracji. Obecna regulacja nakłada na zarządcę albo osobę uprawnioną do pobierania zaległości obowiązek niezwłocznego</w:t>
      </w:r>
      <w:r w:rsidRPr="0023349B">
        <w:rPr>
          <w:rStyle w:val="Znakiprzypiswdolnych"/>
          <w:rFonts w:ascii="Times New Roman" w:hAnsi="Times New Roman" w:cs="Times New Roman"/>
        </w:rPr>
        <w:footnoteReference w:id="16"/>
      </w:r>
      <w:r w:rsidR="0023349B" w:rsidRPr="0023349B">
        <w:rPr>
          <w:rFonts w:ascii="Times New Roman" w:hAnsi="Times New Roman" w:cs="Times New Roman"/>
          <w:bCs/>
          <w:vertAlign w:val="superscript"/>
        </w:rPr>
        <w:t>)</w:t>
      </w:r>
      <w:r w:rsidRPr="0023349B">
        <w:rPr>
          <w:rFonts w:ascii="Times New Roman" w:hAnsi="Times New Roman" w:cs="Times New Roman"/>
          <w:bCs/>
        </w:rPr>
        <w:t xml:space="preserve"> zawiadomienia organu przyznającego dodatek mieszkaniowy o wystąpieniu zaległości w opłatach bieżących, obejmujących pełne 2 miesiące. W razie niedopełnienia tego obowiązku pobierający zwraca organowi przyznającemu dodatek mieszkaniowy kwoty dodatków wypłacone za miesiące, w których występowały zaległości w tych opłatach. Obowiązek informowania organu gminy o zaległościach wynika wprost z tego przepisu i powstaje dopiero w chwili wystąpienia zaległości, a zatem organ nie ma podstaw prawnych do żądania składania przez zarządców cyklicznych raportów o niezaleganiu w opłatach czynszowych. Nałożona sankcja w postaci kary 500 zł będzie obligowała zarządców i inne osoby pobierające należności za lokal do informowania o powstałych zaległościach obejmujących dwa pełne miesiące rozliczeniowe. Należy zauważyć, że jednym z często używanych pojęć nieostrych na gruncie prawa cywilnego jest zwrot: „niezwłocznie”. W praktyce definiuje się to pojęcie jako: „bez zbędnej zwłoki” – nie jest to jednak wyjaśnienie, zatem trudno jest ustalić czy strona postępowania prawidłowo i niezwłocznie podjęła wymagane czynności. Wobec tych wątpliwości proponuje się zawrzeć 14-dniowy termin informowania organu o powstałych zaległościach, o których wyżej mowa</w:t>
      </w:r>
      <w:r w:rsidRPr="0023349B">
        <w:rPr>
          <w:rStyle w:val="Znakiprzypiswdolnych"/>
          <w:rFonts w:ascii="Times New Roman" w:hAnsi="Times New Roman" w:cs="Times New Roman"/>
        </w:rPr>
        <w:footnoteReference w:id="17"/>
      </w:r>
      <w:r w:rsidR="0023349B" w:rsidRPr="0023349B">
        <w:rPr>
          <w:rFonts w:ascii="Times New Roman" w:hAnsi="Times New Roman" w:cs="Times New Roman"/>
          <w:bCs/>
          <w:vertAlign w:val="superscript"/>
        </w:rPr>
        <w:t>)</w:t>
      </w:r>
      <w:r w:rsidRPr="0023349B">
        <w:rPr>
          <w:rFonts w:ascii="Times New Roman" w:hAnsi="Times New Roman" w:cs="Times New Roman"/>
          <w:bCs/>
        </w:rPr>
        <w:t xml:space="preserve">. </w:t>
      </w:r>
    </w:p>
    <w:p w:rsidR="00C268CB" w:rsidRPr="0023349B" w:rsidRDefault="00C268CB" w:rsidP="0023349B">
      <w:pPr>
        <w:keepNext/>
        <w:keepLines/>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11: art. 9 </w:t>
      </w:r>
      <w:proofErr w:type="spellStart"/>
      <w:r w:rsidRPr="0023349B">
        <w:rPr>
          <w:rFonts w:ascii="Times New Roman" w:hAnsi="Times New Roman" w:cs="Times New Roman"/>
          <w:bCs/>
          <w:u w:val="single"/>
        </w:rPr>
        <w:t>udm</w:t>
      </w:r>
      <w:proofErr w:type="spellEnd"/>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11 </w:t>
      </w:r>
      <w:r w:rsidRPr="0023349B">
        <w:rPr>
          <w:rFonts w:ascii="Times New Roman" w:hAnsi="Times New Roman" w:cs="Times New Roman"/>
          <w:b/>
          <w:bCs/>
        </w:rPr>
        <w:t>pkt 11</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wyroku z dnia 9 maja 2006 r. Trybunał Konstytucyjny (sygn. akt P 4/05) orzekł, że art. 9 ust. 1 pkt 1 ustawy z dnia 21 czerwca 2001 r. o dodatkach mieszkaniowych (Dz. U. Nr 71, poz. 734, z późn. zm.) jest niezgodny z art. 92 ust. 1 Konstytucji, natomiast § 2 ust. 2 rozporządzenia Rady Ministrów z dnia 28 grudnia 2001 r. w sprawie dodatków mieszkaniowych (Dz. U. Nr 156, poz. 1817) jest niezgodny z art. 6 ust. 1 ustawy o dodatkach mieszkaniowych. Art. 9 ust. 1 pkt 1 ustawy o dodatkach mieszkaniowych </w:t>
      </w:r>
      <w:r w:rsidR="00C47C60" w:rsidRPr="0023349B">
        <w:rPr>
          <w:rFonts w:ascii="Times New Roman" w:hAnsi="Times New Roman" w:cs="Times New Roman"/>
          <w:bCs/>
        </w:rPr>
        <w:t>–</w:t>
      </w:r>
      <w:r w:rsidRPr="0023349B">
        <w:rPr>
          <w:rFonts w:ascii="Times New Roman" w:hAnsi="Times New Roman" w:cs="Times New Roman"/>
          <w:bCs/>
        </w:rPr>
        <w:t xml:space="preserve"> w zaskarżonym zakresie – nakazywał Radzie Ministrów określić, w drodze rozporządzenia, m.in. "wysokość wydatków za zajmowany lokal mieszkalny, stanowiących podstawę obliczania dodatku mieszkaniowego". W ust. 2 tego artykułu zawarte zostały w pkt 1</w:t>
      </w:r>
      <w:r w:rsidR="00C47C60" w:rsidRPr="0023349B">
        <w:rPr>
          <w:rFonts w:ascii="Times New Roman" w:hAnsi="Times New Roman" w:cs="Times New Roman"/>
          <w:bCs/>
        </w:rPr>
        <w:t>–</w:t>
      </w:r>
      <w:r w:rsidRPr="0023349B">
        <w:rPr>
          <w:rFonts w:ascii="Times New Roman" w:hAnsi="Times New Roman" w:cs="Times New Roman"/>
          <w:bCs/>
        </w:rPr>
        <w:t>4 wytyczne, którymi należało się kierować, wydając rozporządzenie. Jednakże wytyczne te nie określały wysokości wydatków za zajmowany lokal, stanowiących podstawę obliczania dodatku mieszkaniowego, a jedynie podmioty, dla których należy określić rodzaje wydatków w gospodarstwach domowych. W opinii Trybunału Konstytucyjnego analiza art. 9 ust. 1 ustawy o dodatkach mieszkaniowych prowadzi do wniosku, że nie zawiera on wytycznych dotyczących treści rozporządzenia i dlatego przepis ten został uznany za niezgodny z Konstytucją. Trybunał wskazał również, że § 2 ust. 2 rozporządzenia Rady Ministrów z dnia 28 grudnia 2001 r. w sprawie dodatków mieszkaniowych jest niezgodny z art. 6 ust. 1 ustawy z dnia 21 czerwca 2001 r. o dodatkach mieszkaniowych. Zakwestionowany przepis rozporządzenia stwierdza, że podstawę obliczenia dodatku mieszkaniowego stanowią wydatki w wysokości 90% naliczonych i ponoszonych wydatków. Zdaniem Trybunału Konstytucyjnego celem tej regulacji jest zmniejszenie kwoty przyznawanych dodatków mieszkaniowych przez ograniczenie wydatków będących podstawą obliczenia dodatku mieszkaniowego o 10%, które to ograniczenie nie ma podstaw w przepisach ustawy o dodatkach mieszkaniowych. Rozporządzenie nie może bez wyraźnego upoważnienia ustawy wkraczać w sferę materii prawnych regulowanych ustawami, dlatego omawiany przepis rozporządzenia został przez Trybunał uznany za niezgodny z art. 6 ust. 1 ustawy o dodatkach mieszkaniowych. Eliminacja z porządku prawnego art. 9 ust. 1 pkt 1 ustawy o dodatkach mieszkaniowych odwołującego się do pojęcia „wydatków za zajmowany lokal mieszkalny, stanowiących podstawę obliczania dodatku mieszkaniowego” oraz zaskarżonego przepisu rozporządzenia w sprawie dodatków mieszkaniowych powoduje, że obowiązuje wyłącznie stan prawny przewidziany w ustawie o dodatkach mieszkaniowych, która w sposób wyczerpujący reguluje kwestie ustalania wydatków za zajmowany lokal mieszkalny na potrzeby ustalania dodatku mieszkaniowego. Sposób przeliczania wydatków na normatywną powierzchnię lokalu określony został w art. 5 ust. 4 ustawy, zaś określenia rodzaju wydatków podlegających zaliczeniu do podstawy obliczenia dodatku dokonano w art. 6 ust. 3</w:t>
      </w:r>
      <w:r w:rsidR="00C47C60" w:rsidRPr="0023349B">
        <w:rPr>
          <w:rFonts w:ascii="Times New Roman" w:hAnsi="Times New Roman" w:cs="Times New Roman"/>
          <w:bCs/>
        </w:rPr>
        <w:t>–</w:t>
      </w:r>
      <w:r w:rsidRPr="0023349B">
        <w:rPr>
          <w:rFonts w:ascii="Times New Roman" w:hAnsi="Times New Roman" w:cs="Times New Roman"/>
          <w:bCs/>
        </w:rPr>
        <w:t>7. Utrata mocy art. 9 ust. 1 pkt 1 ustawy o dodatkach mieszkaniowych spowodowała, że rozporządzenie wykonawcze w części przestało obowiązywać, co wynika wprost z treści omawianego wyroku Trybunału. Rola uchylonego przepisu przewidującego wydanie rozporządzenia nie polegała na uzupełnieniu regulacji ustawowej w określonym zakresie, ale na upoważnieniu Rady Ministrów do wprowadzenia odstępstw od regulacji ustawowej, co uznane zostało przez Trybunał za naruszenie określonej konstytucyjnie hierarchii źródeł prawa.</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Ponadto w projektowanej ustawie przewidziano, że wzór wniosku o przyznanie dodatku mieszkaniowego oraz wzór deklaracji o dochodach gospodarstwa domowego określać będzie rada gminy w drodze uchwały. Mając na względzie powyższe, zaproponowano uchylenie art. 9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w:t>
      </w:r>
    </w:p>
    <w:bookmarkEnd w:id="4"/>
    <w:p w:rsidR="00C268CB" w:rsidRPr="0023349B" w:rsidRDefault="00C268CB" w:rsidP="0023349B">
      <w:pPr>
        <w:spacing w:after="240" w:line="360" w:lineRule="auto"/>
        <w:jc w:val="both"/>
        <w:rPr>
          <w:rFonts w:ascii="Times New Roman" w:hAnsi="Times New Roman" w:cs="Times New Roman"/>
          <w:b/>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00C47C60" w:rsidRPr="0023349B">
        <w:rPr>
          <w:rFonts w:ascii="Times New Roman" w:hAnsi="Times New Roman" w:cs="Times New Roman"/>
          <w:b/>
          <w:bCs/>
        </w:rPr>
        <w:t>–</w:t>
      </w:r>
      <w:r w:rsidRPr="0023349B">
        <w:rPr>
          <w:rFonts w:ascii="Times New Roman" w:hAnsi="Times New Roman" w:cs="Times New Roman"/>
          <w:b/>
          <w:bCs/>
        </w:rPr>
        <w:t xml:space="preserve"> Zmiany w ustawie o ochronie praw lokatorów, </w:t>
      </w:r>
      <w:r w:rsidR="00B258CF" w:rsidRPr="0023349B">
        <w:rPr>
          <w:rFonts w:ascii="Times New Roman" w:hAnsi="Times New Roman" w:cs="Times New Roman"/>
          <w:b/>
          <w:bCs/>
        </w:rPr>
        <w:t>mieszkaniowym zasobie gminy i o </w:t>
      </w:r>
      <w:r w:rsidRPr="0023349B">
        <w:rPr>
          <w:rFonts w:ascii="Times New Roman" w:hAnsi="Times New Roman" w:cs="Times New Roman"/>
          <w:b/>
          <w:bCs/>
        </w:rPr>
        <w:t>zmianie Kodeksu cywilnego</w:t>
      </w:r>
    </w:p>
    <w:p w:rsidR="001016A9" w:rsidRPr="0023349B" w:rsidRDefault="00C268CB" w:rsidP="0023349B">
      <w:pPr>
        <w:spacing w:after="120" w:line="360" w:lineRule="auto"/>
        <w:rPr>
          <w:rFonts w:ascii="Times New Roman" w:hAnsi="Times New Roman" w:cs="Times New Roman"/>
          <w:u w:val="single"/>
        </w:rPr>
      </w:pPr>
      <w:r w:rsidRPr="0023349B">
        <w:rPr>
          <w:rFonts w:ascii="Times New Roman" w:hAnsi="Times New Roman" w:cs="Times New Roman"/>
          <w:u w:val="single"/>
        </w:rPr>
        <w:t>Zmiana 1</w:t>
      </w:r>
      <w:r w:rsidR="00C72C7F" w:rsidRPr="0023349B">
        <w:rPr>
          <w:rFonts w:ascii="Times New Roman" w:hAnsi="Times New Roman" w:cs="Times New Roman"/>
          <w:u w:val="single"/>
        </w:rPr>
        <w:t xml:space="preserve"> i 2 </w:t>
      </w:r>
      <w:r w:rsidRPr="0023349B">
        <w:rPr>
          <w:rFonts w:ascii="Times New Roman" w:hAnsi="Times New Roman" w:cs="Times New Roman"/>
          <w:u w:val="single"/>
        </w:rPr>
        <w:t xml:space="preserve">: </w:t>
      </w:r>
      <w:r w:rsidR="001016A9" w:rsidRPr="0023349B">
        <w:rPr>
          <w:rFonts w:ascii="Times New Roman" w:hAnsi="Times New Roman" w:cs="Times New Roman"/>
          <w:u w:val="single"/>
        </w:rPr>
        <w:t>art. 2</w:t>
      </w:r>
      <w:r w:rsidR="00C72C7F" w:rsidRPr="0023349B">
        <w:rPr>
          <w:rFonts w:ascii="Times New Roman" w:hAnsi="Times New Roman" w:cs="Times New Roman"/>
          <w:u w:val="single"/>
        </w:rPr>
        <w:t>, 9a, 11, 14</w:t>
      </w:r>
      <w:r w:rsidR="001016A9" w:rsidRPr="0023349B">
        <w:rPr>
          <w:rFonts w:ascii="Times New Roman" w:hAnsi="Times New Roman" w:cs="Times New Roman"/>
          <w:u w:val="single"/>
        </w:rPr>
        <w:t xml:space="preserve"> </w:t>
      </w:r>
      <w:proofErr w:type="spellStart"/>
      <w:r w:rsidR="001016A9" w:rsidRPr="0023349B">
        <w:rPr>
          <w:rFonts w:ascii="Times New Roman" w:hAnsi="Times New Roman" w:cs="Times New Roman"/>
          <w:u w:val="single"/>
        </w:rPr>
        <w:t>uopl</w:t>
      </w:r>
      <w:proofErr w:type="spellEnd"/>
      <w:r w:rsidR="001016A9" w:rsidRPr="0023349B">
        <w:rPr>
          <w:rFonts w:ascii="Times New Roman" w:hAnsi="Times New Roman" w:cs="Times New Roman"/>
          <w:u w:val="single"/>
        </w:rPr>
        <w:t>:</w:t>
      </w:r>
    </w:p>
    <w:p w:rsidR="001016A9" w:rsidRPr="0023349B" w:rsidRDefault="001016A9" w:rsidP="0023349B">
      <w:pPr>
        <w:spacing w:after="120" w:line="360" w:lineRule="auto"/>
        <w:rPr>
          <w:rFonts w:ascii="Times New Roman" w:hAnsi="Times New Roman" w:cs="Times New Roman"/>
        </w:rPr>
      </w:pPr>
      <w:r w:rsidRPr="0023349B">
        <w:rPr>
          <w:rFonts w:ascii="Times New Roman" w:hAnsi="Times New Roman" w:cs="Times New Roman"/>
        </w:rPr>
        <w:t>W związku ze zmian</w:t>
      </w:r>
      <w:r w:rsidR="00C72C7F" w:rsidRPr="0023349B">
        <w:rPr>
          <w:rFonts w:ascii="Times New Roman" w:hAnsi="Times New Roman" w:cs="Times New Roman"/>
        </w:rPr>
        <w:t>ami wprowadzanymi do ustawy o niektórych formach popierania budownictwa mieszkaniowego (art. 7 projektu ustawy – pkt 6, 7, 8, 9 i kolejne)</w:t>
      </w:r>
      <w:r w:rsidRPr="0023349B">
        <w:rPr>
          <w:rFonts w:ascii="Times New Roman" w:hAnsi="Times New Roman" w:cs="Times New Roman"/>
        </w:rPr>
        <w:t xml:space="preserve"> </w:t>
      </w:r>
      <w:r w:rsidR="00C72C7F" w:rsidRPr="0023349B">
        <w:rPr>
          <w:rFonts w:ascii="Times New Roman" w:hAnsi="Times New Roman" w:cs="Times New Roman"/>
        </w:rPr>
        <w:t>d</w:t>
      </w:r>
      <w:r w:rsidRPr="0023349B">
        <w:rPr>
          <w:rFonts w:ascii="Times New Roman" w:hAnsi="Times New Roman" w:cs="Times New Roman"/>
        </w:rPr>
        <w:t xml:space="preserve">o słowniczka </w:t>
      </w:r>
      <w:proofErr w:type="spellStart"/>
      <w:r w:rsidRPr="0023349B">
        <w:rPr>
          <w:rFonts w:ascii="Times New Roman" w:hAnsi="Times New Roman" w:cs="Times New Roman"/>
        </w:rPr>
        <w:t>uopl</w:t>
      </w:r>
      <w:proofErr w:type="spellEnd"/>
      <w:r w:rsidRPr="0023349B">
        <w:rPr>
          <w:rFonts w:ascii="Times New Roman" w:hAnsi="Times New Roman" w:cs="Times New Roman"/>
        </w:rPr>
        <w:t xml:space="preserve"> proponuje się dodanie </w:t>
      </w:r>
      <w:r w:rsidR="00C72C7F" w:rsidRPr="0023349B">
        <w:rPr>
          <w:rFonts w:ascii="Times New Roman" w:hAnsi="Times New Roman" w:cs="Times New Roman"/>
        </w:rPr>
        <w:t>definicji „społecznej inicjatywy mieszkaniowej”, przez którą rozumieć się będzie również towarzystwo budownictwa społecznego. Ponadto korekty wymagają jednostki redakcyjne, w których do tej pory mowa była o towarzystwach budownictwa społecznego</w:t>
      </w:r>
      <w:r w:rsidR="0033287E" w:rsidRPr="0023349B">
        <w:rPr>
          <w:rFonts w:ascii="Times New Roman" w:hAnsi="Times New Roman" w:cs="Times New Roman"/>
        </w:rPr>
        <w:t xml:space="preserve"> (</w:t>
      </w:r>
      <w:r w:rsidR="00273120" w:rsidRPr="0023349B">
        <w:rPr>
          <w:rFonts w:ascii="Times New Roman" w:hAnsi="Times New Roman" w:cs="Times New Roman"/>
        </w:rPr>
        <w:t xml:space="preserve">zmiany odpowiednio w </w:t>
      </w:r>
      <w:r w:rsidR="0033287E" w:rsidRPr="0023349B">
        <w:rPr>
          <w:rFonts w:ascii="Times New Roman" w:hAnsi="Times New Roman" w:cs="Times New Roman"/>
        </w:rPr>
        <w:t>art. 2 pkt 10, art. 9a ust. 1 i 2, art. 11 ust. 11, art. 14 ust. 7)</w:t>
      </w:r>
      <w:r w:rsidR="00C72C7F" w:rsidRPr="0023349B">
        <w:rPr>
          <w:rFonts w:ascii="Times New Roman" w:hAnsi="Times New Roman" w:cs="Times New Roman"/>
        </w:rPr>
        <w:t>.</w:t>
      </w:r>
    </w:p>
    <w:p w:rsidR="00C268CB" w:rsidRPr="0023349B" w:rsidRDefault="001016A9" w:rsidP="0023349B">
      <w:pPr>
        <w:spacing w:after="120" w:line="360" w:lineRule="auto"/>
        <w:rPr>
          <w:rFonts w:ascii="Times New Roman" w:hAnsi="Times New Roman" w:cs="Times New Roman"/>
          <w:u w:val="single"/>
        </w:rPr>
      </w:pPr>
      <w:r w:rsidRPr="0023349B">
        <w:rPr>
          <w:rFonts w:ascii="Times New Roman" w:hAnsi="Times New Roman" w:cs="Times New Roman"/>
          <w:u w:val="single"/>
        </w:rPr>
        <w:t xml:space="preserve">Zmiana 3: </w:t>
      </w:r>
      <w:r w:rsidR="00C268CB" w:rsidRPr="0023349B">
        <w:rPr>
          <w:rFonts w:ascii="Times New Roman" w:hAnsi="Times New Roman" w:cs="Times New Roman"/>
          <w:u w:val="single"/>
        </w:rPr>
        <w:t xml:space="preserve">art. 7 </w:t>
      </w:r>
      <w:proofErr w:type="spellStart"/>
      <w:r w:rsidR="00C268CB" w:rsidRPr="0023349B">
        <w:rPr>
          <w:rFonts w:ascii="Times New Roman" w:hAnsi="Times New Roman" w:cs="Times New Roman"/>
          <w:u w:val="single"/>
        </w:rPr>
        <w:t>uopl</w:t>
      </w:r>
      <w:proofErr w:type="spellEnd"/>
      <w:r w:rsidR="00C268CB" w:rsidRPr="0023349B">
        <w:rPr>
          <w:rFonts w:ascii="Times New Roman" w:hAnsi="Times New Roman" w:cs="Times New Roman"/>
          <w:u w:val="single"/>
        </w:rPr>
        <w:t>:</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12 </w:t>
      </w:r>
      <w:r w:rsidRPr="0023349B">
        <w:rPr>
          <w:rFonts w:ascii="Times New Roman" w:hAnsi="Times New Roman" w:cs="Times New Roman"/>
          <w:b/>
        </w:rPr>
        <w:t>pkt 1</w:t>
      </w:r>
      <w:r w:rsidRPr="0023349B">
        <w:rPr>
          <w:rFonts w:ascii="Times New Roman" w:hAnsi="Times New Roman" w:cs="Times New Roman"/>
          <w:bCs/>
        </w:rPr>
        <w:t xml:space="preserve"> </w:t>
      </w:r>
      <w:r w:rsidRPr="0023349B">
        <w:rPr>
          <w:rFonts w:ascii="Times New Roman" w:hAnsi="Times New Roman" w:cs="Times New Roman"/>
          <w:b/>
          <w:bCs/>
        </w:rPr>
        <w:t>projektu</w:t>
      </w:r>
      <w:r w:rsidRPr="0023349B">
        <w:rPr>
          <w:rFonts w:ascii="Times New Roman" w:hAnsi="Times New Roman" w:cs="Times New Roman"/>
          <w:b/>
          <w:bCs/>
          <w:i/>
          <w:iCs/>
        </w:rPr>
        <w:t xml:space="preserve"> ustawy</w:t>
      </w:r>
      <w:r w:rsidRPr="0023349B">
        <w:rPr>
          <w:rFonts w:ascii="Times New Roman" w:hAnsi="Times New Roman" w:cs="Times New Roman"/>
          <w:bCs/>
        </w:rPr>
        <w:t xml:space="preserve"> – w dotychczas obowiązującym </w:t>
      </w:r>
      <w:r w:rsidRPr="0023349B">
        <w:rPr>
          <w:rFonts w:ascii="Times New Roman" w:hAnsi="Times New Roman" w:cs="Times New Roman"/>
          <w:b/>
        </w:rPr>
        <w:t xml:space="preserve">art. 7 ust. 5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 xml:space="preserve"> ustawodawca odwoływał się do dochodu w rozumieniu przepisów o dodatkach mieszkaniowych. W związku ze zmianą definicji dochodu w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konieczna jest także zmiana </w:t>
      </w:r>
      <w:r w:rsidRPr="0023349B">
        <w:rPr>
          <w:rFonts w:ascii="Times New Roman" w:hAnsi="Times New Roman" w:cs="Times New Roman"/>
          <w:b/>
        </w:rPr>
        <w:t xml:space="preserve">art. 7 ust. 5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 xml:space="preserve"> poprzez odwołanie się bezpośrednio do dochodu w rozumieniu przepisów o świadczeniach rodzinnych.</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w:t>
      </w:r>
      <w:r w:rsidR="0033287E" w:rsidRPr="0023349B">
        <w:rPr>
          <w:rFonts w:ascii="Times New Roman" w:hAnsi="Times New Roman" w:cs="Times New Roman"/>
          <w:bCs/>
          <w:u w:val="single"/>
        </w:rPr>
        <w:t>4</w:t>
      </w:r>
      <w:r w:rsidRPr="0023349B">
        <w:rPr>
          <w:rFonts w:ascii="Times New Roman" w:hAnsi="Times New Roman" w:cs="Times New Roman"/>
          <w:bCs/>
          <w:u w:val="single"/>
        </w:rPr>
        <w:t>: art. 20</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Przewiduje wprowadzenie zmian w </w:t>
      </w:r>
      <w:r w:rsidRPr="0023349B">
        <w:rPr>
          <w:rFonts w:ascii="Times New Roman" w:hAnsi="Times New Roman" w:cs="Times New Roman"/>
          <w:b/>
        </w:rPr>
        <w:t>art. 20 ustawy</w:t>
      </w:r>
      <w:r w:rsidRPr="0023349B">
        <w:rPr>
          <w:rFonts w:ascii="Times New Roman" w:hAnsi="Times New Roman" w:cs="Times New Roman"/>
          <w:bCs/>
        </w:rPr>
        <w:t xml:space="preserve"> o ochronie praw lokatorów, mieszkaniowym zasobie gminy i o zmianie Kodeksu cywilnego, modyfikujących obecną zasadę:</w:t>
      </w:r>
    </w:p>
    <w:p w:rsidR="00C268CB" w:rsidRPr="0023349B" w:rsidRDefault="00C268CB" w:rsidP="0023349B">
      <w:pPr>
        <w:numPr>
          <w:ilvl w:val="0"/>
          <w:numId w:val="34"/>
        </w:numPr>
        <w:tabs>
          <w:tab w:val="left" w:pos="0"/>
        </w:tabs>
        <w:spacing w:after="120" w:line="360" w:lineRule="auto"/>
        <w:jc w:val="both"/>
        <w:rPr>
          <w:rFonts w:ascii="Times New Roman" w:hAnsi="Times New Roman" w:cs="Times New Roman"/>
          <w:bCs/>
        </w:rPr>
      </w:pPr>
      <w:r w:rsidRPr="0023349B">
        <w:rPr>
          <w:rFonts w:ascii="Times New Roman" w:hAnsi="Times New Roman" w:cs="Times New Roman"/>
          <w:bCs/>
        </w:rPr>
        <w:t xml:space="preserve">pobierania przez gminę od podnajemców lokali mieszkalnych, które w związku z realizacją własnych zadań w zakresie mieszkalnictwa gmina wynajmuje od innych właścicieli, czynszu według stawek czynszu obowiązujących w mieszkaniowym zasobie gminy (art. </w:t>
      </w:r>
      <w:r w:rsidRPr="0023349B">
        <w:rPr>
          <w:rFonts w:ascii="Times New Roman" w:hAnsi="Times New Roman" w:cs="Times New Roman"/>
          <w:b/>
        </w:rPr>
        <w:t>20 ust 2b</w:t>
      </w:r>
      <w:r w:rsidRPr="0023349B">
        <w:rPr>
          <w:rFonts w:ascii="Times New Roman" w:hAnsi="Times New Roman" w:cs="Times New Roman"/>
          <w:bCs/>
        </w:rPr>
        <w:t>),</w:t>
      </w:r>
    </w:p>
    <w:p w:rsidR="00C268CB" w:rsidRPr="0023349B" w:rsidRDefault="00C268CB" w:rsidP="0023349B">
      <w:pPr>
        <w:numPr>
          <w:ilvl w:val="0"/>
          <w:numId w:val="34"/>
        </w:numPr>
        <w:tabs>
          <w:tab w:val="left" w:pos="0"/>
        </w:tabs>
        <w:spacing w:after="120" w:line="360" w:lineRule="auto"/>
        <w:jc w:val="both"/>
        <w:rPr>
          <w:rFonts w:ascii="Times New Roman" w:hAnsi="Times New Roman" w:cs="Times New Roman"/>
          <w:bCs/>
        </w:rPr>
      </w:pPr>
      <w:bookmarkStart w:id="8" w:name="mip49480171"/>
      <w:bookmarkEnd w:id="8"/>
      <w:r w:rsidRPr="0023349B">
        <w:rPr>
          <w:rFonts w:ascii="Times New Roman" w:hAnsi="Times New Roman" w:cs="Times New Roman"/>
          <w:bCs/>
        </w:rPr>
        <w:t>odnoszenia do takich lokali odpowiednio przepisów dotyczących lokali w mieszkaniowym zasobie gminy (</w:t>
      </w:r>
      <w:r w:rsidRPr="0023349B">
        <w:rPr>
          <w:rFonts w:ascii="Times New Roman" w:hAnsi="Times New Roman" w:cs="Times New Roman"/>
          <w:b/>
        </w:rPr>
        <w:t>art. 20 ust. 2c</w:t>
      </w:r>
      <w:r w:rsidRPr="0023349B">
        <w:rPr>
          <w:rFonts w:ascii="Times New Roman" w:hAnsi="Times New Roman" w:cs="Times New Roman"/>
          <w:bCs/>
        </w:rPr>
        <w:t>).</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Proponuje się, aby powyższe warunki nie miały zastosowania dla lokali mieszkalnych wynajmowanych przez gminę w celu podnajmu w przypadku, gdy odrębne przepisy przewidywały będą stosowne wyłączenie.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Zgodnie z dodanym </w:t>
      </w:r>
      <w:r w:rsidRPr="0023349B">
        <w:rPr>
          <w:rFonts w:ascii="Times New Roman" w:hAnsi="Times New Roman" w:cs="Times New Roman"/>
          <w:b/>
        </w:rPr>
        <w:t>w art. 20</w:t>
      </w:r>
      <w:r w:rsidRPr="0023349B">
        <w:rPr>
          <w:rFonts w:ascii="Times New Roman" w:hAnsi="Times New Roman" w:cs="Times New Roman"/>
          <w:bCs/>
        </w:rPr>
        <w:t xml:space="preserve"> przepisem </w:t>
      </w:r>
      <w:r w:rsidRPr="0023349B">
        <w:rPr>
          <w:rFonts w:ascii="Times New Roman" w:hAnsi="Times New Roman" w:cs="Times New Roman"/>
          <w:b/>
        </w:rPr>
        <w:t>ust. 2d</w:t>
      </w:r>
      <w:r w:rsidRPr="0023349B">
        <w:rPr>
          <w:rFonts w:ascii="Times New Roman" w:hAnsi="Times New Roman" w:cs="Times New Roman"/>
          <w:bCs/>
        </w:rPr>
        <w:t>, w przypadku występowania w odrębnych przepisach ww. wyłączenia gmina pobierałaby od podnajemcy czynsz równy czynszowi płaconemu przez gminę właścicielowi lokalu. Czynsz ten mógłby być również niższy, jeżeli rada gminy określiłaby w drodze uchwały zasady pobierania czynszu za podnajem lokalu w niższej wysokości (</w:t>
      </w: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Pr="0023349B">
        <w:rPr>
          <w:rFonts w:ascii="Times New Roman" w:hAnsi="Times New Roman" w:cs="Times New Roman"/>
          <w:b/>
          <w:bCs/>
        </w:rPr>
        <w:t>pkt 2 lit. b projektu ustawy</w:t>
      </w:r>
      <w:r w:rsidRPr="0023349B">
        <w:rPr>
          <w:rFonts w:ascii="Times New Roman" w:hAnsi="Times New Roman" w:cs="Times New Roman"/>
          <w:bCs/>
        </w:rPr>
        <w:t xml:space="preserve">).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W konsekwencji wprowadzenia tej propozycji zmianie uległby również </w:t>
      </w:r>
      <w:r w:rsidRPr="0023349B">
        <w:rPr>
          <w:rFonts w:ascii="Times New Roman" w:hAnsi="Times New Roman" w:cs="Times New Roman"/>
          <w:b/>
        </w:rPr>
        <w:t>art. 20 ust. 2a</w:t>
      </w:r>
      <w:r w:rsidRPr="0023349B">
        <w:rPr>
          <w:rFonts w:ascii="Times New Roman" w:hAnsi="Times New Roman" w:cs="Times New Roman"/>
          <w:bCs/>
        </w:rPr>
        <w:t xml:space="preserve"> ustawy o ochronie praw lokatorów… – zgodnie z </w:t>
      </w: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Pr="0023349B">
        <w:rPr>
          <w:rFonts w:ascii="Times New Roman" w:hAnsi="Times New Roman" w:cs="Times New Roman"/>
          <w:b/>
          <w:bCs/>
        </w:rPr>
        <w:t>pkt 2 lit. a projektu</w:t>
      </w:r>
      <w:r w:rsidRPr="0023349B">
        <w:rPr>
          <w:rFonts w:ascii="Times New Roman" w:hAnsi="Times New Roman" w:cs="Times New Roman"/>
          <w:bCs/>
        </w:rPr>
        <w:t xml:space="preserve"> ustawy wykreślony byłby w tym przepisie obowiązujący dzisiaj wymóg podnajmowania lokali wynajmowanych przez gminę wyłącznie „osobom, których gospodarstwa domowe osiągają niski dochód”, jako ograniczenie spójne z bezwzględnie obecnie stosowanymi przepisami </w:t>
      </w:r>
      <w:r w:rsidRPr="0023349B">
        <w:rPr>
          <w:rFonts w:ascii="Times New Roman" w:hAnsi="Times New Roman" w:cs="Times New Roman"/>
          <w:b/>
        </w:rPr>
        <w:t>art. 20 ust. 2a</w:t>
      </w:r>
      <w:r w:rsidR="00C47C60" w:rsidRPr="0023349B">
        <w:rPr>
          <w:rFonts w:ascii="Times New Roman" w:hAnsi="Times New Roman" w:cs="Times New Roman"/>
          <w:b/>
        </w:rPr>
        <w:t>–</w:t>
      </w:r>
      <w:r w:rsidRPr="0023349B">
        <w:rPr>
          <w:rFonts w:ascii="Times New Roman" w:hAnsi="Times New Roman" w:cs="Times New Roman"/>
          <w:b/>
        </w:rPr>
        <w:t>2c</w:t>
      </w:r>
      <w:r w:rsidRPr="0023349B">
        <w:rPr>
          <w:rFonts w:ascii="Times New Roman" w:hAnsi="Times New Roman" w:cs="Times New Roman"/>
          <w:bCs/>
        </w:rPr>
        <w:t xml:space="preserve">.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Zmiany proponowane w </w:t>
      </w: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Pr="0023349B">
        <w:rPr>
          <w:rFonts w:ascii="Times New Roman" w:hAnsi="Times New Roman" w:cs="Times New Roman"/>
          <w:b/>
          <w:bCs/>
        </w:rPr>
        <w:t>pkt 2 projektu</w:t>
      </w:r>
      <w:r w:rsidRPr="0023349B">
        <w:rPr>
          <w:rFonts w:ascii="Times New Roman" w:hAnsi="Times New Roman" w:cs="Times New Roman"/>
          <w:bCs/>
        </w:rPr>
        <w:t xml:space="preserve"> dawały będą gminom większą swobodę w racjonalnym kształtowaniu zasad przeznaczania mieszkań wynajmowanych przez JST na rynku w przypadku, gdy:</w:t>
      </w:r>
    </w:p>
    <w:p w:rsidR="00C268CB" w:rsidRPr="0023349B" w:rsidRDefault="00C268CB" w:rsidP="0023349B">
      <w:pPr>
        <w:numPr>
          <w:ilvl w:val="0"/>
          <w:numId w:val="35"/>
        </w:numPr>
        <w:tabs>
          <w:tab w:val="left" w:pos="0"/>
        </w:tabs>
        <w:spacing w:after="120" w:line="360" w:lineRule="auto"/>
        <w:jc w:val="both"/>
        <w:rPr>
          <w:rFonts w:ascii="Times New Roman" w:hAnsi="Times New Roman" w:cs="Times New Roman"/>
          <w:bCs/>
        </w:rPr>
      </w:pPr>
      <w:r w:rsidRPr="0023349B">
        <w:rPr>
          <w:rFonts w:ascii="Times New Roman" w:hAnsi="Times New Roman" w:cs="Times New Roman"/>
          <w:bCs/>
        </w:rPr>
        <w:t>określone w odrębnych przepisach instrumenty wsparcia przewidują takie odstępstwa, oraz</w:t>
      </w:r>
    </w:p>
    <w:p w:rsidR="00C268CB" w:rsidRPr="0023349B" w:rsidRDefault="00C268CB" w:rsidP="0023349B">
      <w:pPr>
        <w:numPr>
          <w:ilvl w:val="0"/>
          <w:numId w:val="35"/>
        </w:numPr>
        <w:tabs>
          <w:tab w:val="left" w:pos="0"/>
        </w:tabs>
        <w:spacing w:after="120" w:line="360" w:lineRule="auto"/>
        <w:jc w:val="both"/>
        <w:rPr>
          <w:rFonts w:ascii="Times New Roman" w:hAnsi="Times New Roman" w:cs="Times New Roman"/>
          <w:bCs/>
        </w:rPr>
      </w:pPr>
      <w:r w:rsidRPr="0023349B">
        <w:rPr>
          <w:rFonts w:ascii="Times New Roman" w:hAnsi="Times New Roman" w:cs="Times New Roman"/>
          <w:bCs/>
        </w:rPr>
        <w:t xml:space="preserve">uwarunkowania lokalnej polityki mieszkaniowej uzasadniają ich zastosowanie przez JST.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Cs/>
        </w:rPr>
        <w:t xml:space="preserve">Z punktu widzenia całości zmian zawartych w przedłożonym projekcie ustawy, propozycje </w:t>
      </w:r>
      <w:r w:rsidRPr="0023349B">
        <w:rPr>
          <w:rFonts w:ascii="Times New Roman" w:hAnsi="Times New Roman" w:cs="Times New Roman"/>
          <w:b/>
        </w:rPr>
        <w:t xml:space="preserve">art. </w:t>
      </w:r>
      <w:r w:rsidR="00B258CF" w:rsidRPr="0023349B">
        <w:rPr>
          <w:rFonts w:ascii="Times New Roman" w:hAnsi="Times New Roman" w:cs="Times New Roman"/>
          <w:b/>
        </w:rPr>
        <w:t>12</w:t>
      </w:r>
      <w:r w:rsidR="00193AD6" w:rsidRPr="0023349B">
        <w:rPr>
          <w:rFonts w:ascii="Times New Roman" w:hAnsi="Times New Roman" w:cs="Times New Roman"/>
          <w:bCs/>
        </w:rPr>
        <w:t xml:space="preserve"> </w:t>
      </w:r>
      <w:r w:rsidRPr="0023349B">
        <w:rPr>
          <w:rFonts w:ascii="Times New Roman" w:hAnsi="Times New Roman" w:cs="Times New Roman"/>
          <w:bCs/>
        </w:rPr>
        <w:t>są komplementarne z:</w:t>
      </w:r>
    </w:p>
    <w:p w:rsidR="00C268CB" w:rsidRPr="0023349B" w:rsidRDefault="00C268CB" w:rsidP="0023349B">
      <w:pPr>
        <w:numPr>
          <w:ilvl w:val="0"/>
          <w:numId w:val="36"/>
        </w:numPr>
        <w:tabs>
          <w:tab w:val="left" w:pos="0"/>
        </w:tabs>
        <w:spacing w:after="120" w:line="360" w:lineRule="auto"/>
        <w:jc w:val="both"/>
        <w:rPr>
          <w:rFonts w:ascii="Times New Roman" w:hAnsi="Times New Roman" w:cs="Times New Roman"/>
          <w:bCs/>
        </w:rPr>
      </w:pPr>
      <w:r w:rsidRPr="0023349B">
        <w:rPr>
          <w:rFonts w:ascii="Times New Roman" w:hAnsi="Times New Roman" w:cs="Times New Roman"/>
          <w:bCs/>
        </w:rPr>
        <w:t xml:space="preserve">dodanym art. </w:t>
      </w:r>
      <w:r w:rsidRPr="0023349B">
        <w:rPr>
          <w:rFonts w:ascii="Times New Roman" w:hAnsi="Times New Roman" w:cs="Times New Roman"/>
          <w:b/>
        </w:rPr>
        <w:t>29b</w:t>
      </w:r>
      <w:r w:rsidRPr="0023349B">
        <w:rPr>
          <w:rFonts w:ascii="Times New Roman" w:hAnsi="Times New Roman" w:cs="Times New Roman"/>
          <w:bCs/>
        </w:rPr>
        <w:t xml:space="preserve"> w ustawie o niektórych formach popierania budownictwa mieszkaniowego (przypadek podnajmu przez gminę lokalu, którego gmina stała się najemcą w wyniku cesji praw z umowy w sprawie partycypacji własnej);</w:t>
      </w:r>
    </w:p>
    <w:p w:rsidR="00C268CB" w:rsidRPr="0023349B" w:rsidRDefault="00C268CB" w:rsidP="0023349B">
      <w:pPr>
        <w:numPr>
          <w:ilvl w:val="0"/>
          <w:numId w:val="36"/>
        </w:numPr>
        <w:tabs>
          <w:tab w:val="left" w:pos="0"/>
        </w:tabs>
        <w:spacing w:after="24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20</w:t>
      </w:r>
      <w:r w:rsidRPr="0023349B">
        <w:rPr>
          <w:rFonts w:ascii="Times New Roman" w:hAnsi="Times New Roman" w:cs="Times New Roman"/>
          <w:bCs/>
        </w:rPr>
        <w:t xml:space="preserve"> projektu, tj. zmianą przewidującą objęcie wsparciem w formie dopłat do czynszów również podnajemców lokali mieszkalnych wynajmujących mieszkanie od gminy, przy założeniu spełnienia innych warunków programu „Mieszkanie na start” (omówione w dalszej części uzasadnienia).</w:t>
      </w:r>
    </w:p>
    <w:p w:rsidR="00C268CB" w:rsidRPr="0023349B" w:rsidRDefault="00C268CB" w:rsidP="0023349B">
      <w:pPr>
        <w:spacing w:after="120" w:line="360" w:lineRule="auto"/>
        <w:rPr>
          <w:rFonts w:ascii="Times New Roman" w:hAnsi="Times New Roman" w:cs="Times New Roman"/>
          <w:u w:val="single"/>
        </w:rPr>
      </w:pPr>
      <w:r w:rsidRPr="0023349B">
        <w:rPr>
          <w:rFonts w:ascii="Times New Roman" w:hAnsi="Times New Roman" w:cs="Times New Roman"/>
          <w:u w:val="single"/>
        </w:rPr>
        <w:t xml:space="preserve">Zmiana </w:t>
      </w:r>
      <w:r w:rsidR="0033287E" w:rsidRPr="0023349B">
        <w:rPr>
          <w:rFonts w:ascii="Times New Roman" w:hAnsi="Times New Roman" w:cs="Times New Roman"/>
          <w:u w:val="single"/>
        </w:rPr>
        <w:t>5</w:t>
      </w:r>
      <w:r w:rsidRPr="0023349B">
        <w:rPr>
          <w:rFonts w:ascii="Times New Roman" w:hAnsi="Times New Roman" w:cs="Times New Roman"/>
          <w:u w:val="single"/>
        </w:rPr>
        <w:t xml:space="preserve">: w art. 21 </w:t>
      </w:r>
      <w:proofErr w:type="spellStart"/>
      <w:r w:rsidRPr="0023349B">
        <w:rPr>
          <w:rFonts w:ascii="Times New Roman" w:hAnsi="Times New Roman" w:cs="Times New Roman"/>
          <w:u w:val="single"/>
        </w:rPr>
        <w:t>uopl</w:t>
      </w:r>
      <w:proofErr w:type="spellEnd"/>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Pr="0023349B">
        <w:rPr>
          <w:rFonts w:ascii="Times New Roman" w:hAnsi="Times New Roman" w:cs="Times New Roman"/>
          <w:b/>
          <w:bCs/>
        </w:rPr>
        <w:t>pkt 3</w:t>
      </w:r>
      <w:r w:rsidRPr="0023349B">
        <w:rPr>
          <w:rFonts w:ascii="Times New Roman" w:hAnsi="Times New Roman" w:cs="Times New Roman"/>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rPr>
        <w:t xml:space="preserve"> – </w:t>
      </w:r>
      <w:r w:rsidRPr="0023349B">
        <w:rPr>
          <w:rFonts w:ascii="Times New Roman" w:hAnsi="Times New Roman" w:cs="Times New Roman"/>
          <w:b/>
          <w:bCs/>
        </w:rPr>
        <w:t>w ust. 4a</w:t>
      </w:r>
      <w:r w:rsidRPr="0023349B">
        <w:rPr>
          <w:rFonts w:ascii="Times New Roman" w:hAnsi="Times New Roman" w:cs="Times New Roman"/>
        </w:rPr>
        <w:t xml:space="preserve"> wyrażenie „powierzchnia lokalu” zastąpiono wyrażeniem „powierzchnia użytkowa lokalu”. Zmiana powyższa ma na celu ujednolicenie pojęć, którymi ustawodawca posługuje się w treści ustawy oraz wyeliminowanie wątpliwości interpretacyjnych.</w:t>
      </w:r>
    </w:p>
    <w:p w:rsidR="00C268CB" w:rsidRPr="0023349B" w:rsidRDefault="00C268CB" w:rsidP="0023349B">
      <w:pPr>
        <w:spacing w:after="120" w:line="360" w:lineRule="auto"/>
        <w:rPr>
          <w:rFonts w:ascii="Times New Roman" w:hAnsi="Times New Roman" w:cs="Times New Roman"/>
          <w:u w:val="single"/>
        </w:rPr>
      </w:pPr>
      <w:r w:rsidRPr="0023349B">
        <w:rPr>
          <w:rFonts w:ascii="Times New Roman" w:hAnsi="Times New Roman" w:cs="Times New Roman"/>
          <w:u w:val="single"/>
        </w:rPr>
        <w:t xml:space="preserve">Zmiana </w:t>
      </w:r>
      <w:r w:rsidR="0033287E" w:rsidRPr="0023349B">
        <w:rPr>
          <w:rFonts w:ascii="Times New Roman" w:hAnsi="Times New Roman" w:cs="Times New Roman"/>
          <w:u w:val="single"/>
        </w:rPr>
        <w:t>6</w:t>
      </w:r>
      <w:r w:rsidRPr="0023349B">
        <w:rPr>
          <w:rFonts w:ascii="Times New Roman" w:hAnsi="Times New Roman" w:cs="Times New Roman"/>
          <w:u w:val="single"/>
        </w:rPr>
        <w:t xml:space="preserve">: w art. 21b </w:t>
      </w:r>
      <w:proofErr w:type="spellStart"/>
      <w:r w:rsidRPr="0023349B">
        <w:rPr>
          <w:rFonts w:ascii="Times New Roman" w:hAnsi="Times New Roman" w:cs="Times New Roman"/>
          <w:u w:val="single"/>
        </w:rPr>
        <w:t>uopl</w:t>
      </w:r>
      <w:proofErr w:type="spellEnd"/>
      <w:r w:rsidRPr="0023349B">
        <w:rPr>
          <w:rFonts w:ascii="Times New Roman" w:hAnsi="Times New Roman" w:cs="Times New Roman"/>
          <w:u w:val="single"/>
        </w:rPr>
        <w:t>:</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12 </w:t>
      </w:r>
      <w:r w:rsidRPr="0023349B">
        <w:rPr>
          <w:rFonts w:ascii="Times New Roman" w:hAnsi="Times New Roman" w:cs="Times New Roman"/>
          <w:b/>
        </w:rPr>
        <w:t>pkt 4 lit. a</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projektowany </w:t>
      </w:r>
      <w:r w:rsidRPr="0023349B">
        <w:rPr>
          <w:rFonts w:ascii="Times New Roman" w:hAnsi="Times New Roman" w:cs="Times New Roman"/>
          <w:b/>
        </w:rPr>
        <w:t xml:space="preserve">ust. 1a w art. 21b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 xml:space="preserve">, przewiduje uprawnienie dla gminy w postaci możliwości wezwania osoby ubiegającej się o pomoc mieszkaniową do udostępnienia dokumentów potwierdzających wysokość dochodów wykazanych w deklaracji, o której mowa </w:t>
      </w:r>
      <w:r w:rsidRPr="0023349B">
        <w:rPr>
          <w:rFonts w:ascii="Times New Roman" w:hAnsi="Times New Roman" w:cs="Times New Roman"/>
          <w:b/>
        </w:rPr>
        <w:t xml:space="preserve">w art. 21b ust. 1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 xml:space="preserve">, w tym zaświadczenia naczelnika właściwego miejscowo urzędu skarbowego o wysokości dochodów uzyskanych przez osobę ubiegającą się o pomoc mieszkaniową oraz innych członków jej gospodarstwa domowego, w razie wątpliwości co do wiarygodności informacji i danych zawartych w tej deklaracji. Termin udostępnienia dokumentów wyznaczany będzie przez gminę, przy czym nie może on być krótszy niż 30 dni od dnia otrzymania wezwania. </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12 </w:t>
      </w:r>
      <w:r w:rsidRPr="0023349B">
        <w:rPr>
          <w:rFonts w:ascii="Times New Roman" w:hAnsi="Times New Roman" w:cs="Times New Roman"/>
          <w:b/>
        </w:rPr>
        <w:t>pkt 4 lit. a</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dodanym </w:t>
      </w:r>
      <w:r w:rsidRPr="0023349B">
        <w:rPr>
          <w:rFonts w:ascii="Times New Roman" w:hAnsi="Times New Roman" w:cs="Times New Roman"/>
          <w:b/>
        </w:rPr>
        <w:t>ust. 1b</w:t>
      </w:r>
      <w:r w:rsidRPr="0023349B">
        <w:rPr>
          <w:rFonts w:ascii="Times New Roman" w:hAnsi="Times New Roman" w:cs="Times New Roman"/>
          <w:bCs/>
        </w:rPr>
        <w:t xml:space="preserve"> przyjęto rozwiązanie, które zakłada, że w celu zweryfikowania informacji i danych zawartych w deklaracji o wysokości dochodów członków gospodarstwa domowego, gmina może przetwarzać dane osobowe i informacje dotyczące osoby ubiegającej się o zawarcie umowy najmu lub podnajmu lokalu i najmu socjalnego lokalu wchodzącego w skład mieszkaniowego zasobu gminy, pozyskane w toku innych postępowań prowadzonych przez gminę lub jej jednostki organizacyjne. Należy zaznaczyć, iż przepis ten odnosi się do kwestii przyznania przez gminę lokalu wchodzącego w skład mieszkaniowego zasobu gminy. Zasób ten jest ograniczony, dlatego tak ważne jest, aby umowa wskazana w art. 21b ust. 1 </w:t>
      </w:r>
      <w:proofErr w:type="spellStart"/>
      <w:r w:rsidRPr="0023349B">
        <w:rPr>
          <w:rFonts w:ascii="Times New Roman" w:hAnsi="Times New Roman" w:cs="Times New Roman"/>
          <w:bCs/>
        </w:rPr>
        <w:t>uopl</w:t>
      </w:r>
      <w:proofErr w:type="spellEnd"/>
      <w:r w:rsidRPr="0023349B">
        <w:rPr>
          <w:rFonts w:ascii="Times New Roman" w:hAnsi="Times New Roman" w:cs="Times New Roman"/>
          <w:bCs/>
        </w:rPr>
        <w:t xml:space="preserve"> (tj. umowa najmu lub podnajmu lokalu i najmu socjalnego lokalu wchodzącego w skład mieszkaniowego zasobu gminy) zawarta została z osobą, która w świetle przepisów ustawy jest do tego uprawniona. Bez wątpienia zaproponowane rozwiązanie pozwoli gminie dokonać prawidłowych ustaleń (jak również przyspieszy całą procedurę weryfikacyjną) w zakresie istnienia przesłanek uzasadniających zawarcie takiej umowy. Z tego powodu projekt dopuszcza przez gminę wykorzystanie przy ocenie wniosku o przyznanie mieszkania informacji pozyskanych w innym celu, w trakcie innyc</w:t>
      </w:r>
      <w:r w:rsidR="00B258CF" w:rsidRPr="0023349B">
        <w:rPr>
          <w:rFonts w:ascii="Times New Roman" w:hAnsi="Times New Roman" w:cs="Times New Roman"/>
          <w:bCs/>
        </w:rPr>
        <w:t>h postępowań administracyjnych.</w:t>
      </w:r>
    </w:p>
    <w:p w:rsidR="00C268CB" w:rsidRPr="0023349B" w:rsidRDefault="00C268CB" w:rsidP="0023349B">
      <w:pPr>
        <w:spacing w:after="120" w:line="360" w:lineRule="auto"/>
        <w:jc w:val="both"/>
        <w:rPr>
          <w:rFonts w:ascii="Times New Roman" w:hAnsi="Times New Roman" w:cs="Times New Roman"/>
          <w:b/>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12 </w:t>
      </w:r>
      <w:r w:rsidRPr="0023349B">
        <w:rPr>
          <w:rFonts w:ascii="Times New Roman" w:hAnsi="Times New Roman" w:cs="Times New Roman"/>
          <w:b/>
        </w:rPr>
        <w:t>pkt 4 lit. a</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projekcie ustawy zaproponowano </w:t>
      </w:r>
      <w:r w:rsidRPr="0023349B">
        <w:rPr>
          <w:rFonts w:ascii="Times New Roman" w:hAnsi="Times New Roman" w:cs="Times New Roman"/>
          <w:b/>
        </w:rPr>
        <w:t>dodanie ust. 1c</w:t>
      </w:r>
      <w:r w:rsidRPr="0023349B">
        <w:rPr>
          <w:rFonts w:ascii="Times New Roman" w:hAnsi="Times New Roman" w:cs="Times New Roman"/>
          <w:bCs/>
        </w:rPr>
        <w:t xml:space="preserve">, zgodnie z którym w celu zweryfikowania informacji i danych zawartych w deklaracji oraz oświadczeniu o stanie majątkowym, o których mowa </w:t>
      </w:r>
      <w:r w:rsidRPr="0023349B">
        <w:rPr>
          <w:rFonts w:ascii="Times New Roman" w:hAnsi="Times New Roman" w:cs="Times New Roman"/>
          <w:b/>
        </w:rPr>
        <w:t>w ust. 1</w:t>
      </w:r>
      <w:r w:rsidRPr="0023349B">
        <w:rPr>
          <w:rFonts w:ascii="Times New Roman" w:hAnsi="Times New Roman" w:cs="Times New Roman"/>
          <w:bCs/>
        </w:rPr>
        <w:t xml:space="preserve">, gmina będzie uprawniona do przeprowadzenia wywiadu środowiskowego u osoby ubiegającej się o zawarcie umowy najmu lub podnajmu lokalu i najmu socjalnego lokalu wchodzącego w skład mieszkaniowego zasobu gminy. W przypadku przeprowadzenia wywiadu środowiskowego, zastosowanie znajdzie przepis </w:t>
      </w:r>
      <w:r w:rsidRPr="0023349B">
        <w:rPr>
          <w:rFonts w:ascii="Times New Roman" w:hAnsi="Times New Roman" w:cs="Times New Roman"/>
          <w:b/>
        </w:rPr>
        <w:t xml:space="preserve">art. 7 ust. 8 </w:t>
      </w:r>
      <w:proofErr w:type="spellStart"/>
      <w:r w:rsidRPr="0023349B">
        <w:rPr>
          <w:rFonts w:ascii="Times New Roman" w:hAnsi="Times New Roman" w:cs="Times New Roman"/>
          <w:b/>
        </w:rPr>
        <w:t>uopl</w:t>
      </w:r>
      <w:proofErr w:type="spellEnd"/>
      <w:r w:rsidRPr="0023349B">
        <w:rPr>
          <w:rFonts w:ascii="Times New Roman" w:hAnsi="Times New Roman" w:cs="Times New Roman"/>
          <w:b/>
        </w:rPr>
        <w:t>.</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12 </w:t>
      </w:r>
      <w:r w:rsidRPr="0023349B">
        <w:rPr>
          <w:rFonts w:ascii="Times New Roman" w:hAnsi="Times New Roman" w:cs="Times New Roman"/>
          <w:b/>
        </w:rPr>
        <w:t>pkt 4 lit. a</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w </w:t>
      </w:r>
      <w:r w:rsidRPr="0023349B">
        <w:rPr>
          <w:rFonts w:ascii="Times New Roman" w:hAnsi="Times New Roman" w:cs="Times New Roman"/>
          <w:b/>
        </w:rPr>
        <w:t>dodanym ust. 1d</w:t>
      </w:r>
      <w:r w:rsidRPr="0023349B">
        <w:rPr>
          <w:rFonts w:ascii="Times New Roman" w:hAnsi="Times New Roman" w:cs="Times New Roman"/>
          <w:bCs/>
        </w:rPr>
        <w:t xml:space="preserve"> przewiduje się, że nieudostępnienie w terminie żądanych przez gminę dokumentów lub niewyrażenie zgody na przeprowadzenie wywiadu środowiskowego przez osoby, o których mowa w projektowanym </w:t>
      </w:r>
      <w:r w:rsidRPr="0023349B">
        <w:rPr>
          <w:rFonts w:ascii="Times New Roman" w:hAnsi="Times New Roman" w:cs="Times New Roman"/>
          <w:b/>
        </w:rPr>
        <w:t>ust. 1c</w:t>
      </w:r>
      <w:r w:rsidRPr="0023349B">
        <w:rPr>
          <w:rFonts w:ascii="Times New Roman" w:hAnsi="Times New Roman" w:cs="Times New Roman"/>
          <w:bCs/>
        </w:rPr>
        <w:t xml:space="preserve">, stanowić będzie podstawę do odmowy zawarcia umowy, o której mowa w </w:t>
      </w:r>
      <w:r w:rsidRPr="0023349B">
        <w:rPr>
          <w:rFonts w:ascii="Times New Roman" w:hAnsi="Times New Roman" w:cs="Times New Roman"/>
          <w:b/>
        </w:rPr>
        <w:t xml:space="preserve">art. 21b ust. 1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w:t>
      </w:r>
    </w:p>
    <w:p w:rsidR="00C268CB" w:rsidRPr="0023349B" w:rsidRDefault="00C268CB" w:rsidP="0023349B">
      <w:pPr>
        <w:spacing w:after="240" w:line="360" w:lineRule="auto"/>
        <w:jc w:val="both"/>
        <w:rPr>
          <w:rFonts w:ascii="Times New Roman" w:hAnsi="Times New Roman" w:cs="Times New Roman"/>
          <w:b/>
        </w:rPr>
      </w:pPr>
      <w:r w:rsidRPr="0023349B">
        <w:rPr>
          <w:rFonts w:ascii="Times New Roman" w:hAnsi="Times New Roman" w:cs="Times New Roman"/>
          <w:b/>
        </w:rPr>
        <w:t xml:space="preserve">Art. </w:t>
      </w:r>
      <w:r w:rsidR="00B258CF" w:rsidRPr="0023349B">
        <w:rPr>
          <w:rFonts w:ascii="Times New Roman" w:hAnsi="Times New Roman" w:cs="Times New Roman"/>
          <w:b/>
        </w:rPr>
        <w:t xml:space="preserve">12 </w:t>
      </w:r>
      <w:r w:rsidRPr="0023349B">
        <w:rPr>
          <w:rFonts w:ascii="Times New Roman" w:hAnsi="Times New Roman" w:cs="Times New Roman"/>
          <w:b/>
        </w:rPr>
        <w:t>pkt 4 lit. b</w:t>
      </w:r>
      <w:r w:rsidRPr="0023349B">
        <w:rPr>
          <w:rFonts w:ascii="Times New Roman" w:hAnsi="Times New Roman" w:cs="Times New Roman"/>
          <w:bCs/>
        </w:rPr>
        <w:t xml:space="preserve"> </w:t>
      </w:r>
      <w:r w:rsidRPr="0023349B">
        <w:rPr>
          <w:rFonts w:ascii="Times New Roman" w:hAnsi="Times New Roman" w:cs="Times New Roman"/>
          <w:b/>
          <w:bCs/>
        </w:rPr>
        <w:t xml:space="preserve">projektu </w:t>
      </w:r>
      <w:r w:rsidRPr="0023349B">
        <w:rPr>
          <w:rFonts w:ascii="Times New Roman" w:hAnsi="Times New Roman" w:cs="Times New Roman"/>
          <w:b/>
          <w:bCs/>
          <w:i/>
          <w:iCs/>
        </w:rPr>
        <w:t>ustawy</w:t>
      </w:r>
      <w:r w:rsidRPr="0023349B">
        <w:rPr>
          <w:rFonts w:ascii="Times New Roman" w:hAnsi="Times New Roman" w:cs="Times New Roman"/>
          <w:bCs/>
        </w:rPr>
        <w:t xml:space="preserve"> – z uwagi na uchylenie przepisu </w:t>
      </w:r>
      <w:r w:rsidRPr="0023349B">
        <w:rPr>
          <w:rFonts w:ascii="Times New Roman" w:hAnsi="Times New Roman" w:cs="Times New Roman"/>
          <w:b/>
        </w:rPr>
        <w:t xml:space="preserve">art. 9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oraz przyjęcie w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że wzór wniosku o przyznanie dodatku mieszkaniowego oraz wzór deklaracji o dochodach gospodarstwa domowego określać będzie rada gminy w drodze uchwały, konieczna jest również zmiana </w:t>
      </w:r>
      <w:r w:rsidRPr="0023349B">
        <w:rPr>
          <w:rFonts w:ascii="Times New Roman" w:hAnsi="Times New Roman" w:cs="Times New Roman"/>
          <w:b/>
        </w:rPr>
        <w:t>art. 21b ust. 2.</w:t>
      </w:r>
      <w:r w:rsidRPr="0023349B">
        <w:rPr>
          <w:rFonts w:ascii="Times New Roman" w:hAnsi="Times New Roman" w:cs="Times New Roman"/>
          <w:bCs/>
        </w:rPr>
        <w:t xml:space="preserve"> Przepis ten odwoływał się bowiem do deklaracji o dochodach gospodarstwa, stanowiącej wzór określony w przepisach wykonawczych wydanych na podstawie </w:t>
      </w:r>
      <w:r w:rsidRPr="0023349B">
        <w:rPr>
          <w:rFonts w:ascii="Times New Roman" w:hAnsi="Times New Roman" w:cs="Times New Roman"/>
          <w:b/>
        </w:rPr>
        <w:t xml:space="preserve">art. 9 </w:t>
      </w:r>
      <w:proofErr w:type="spellStart"/>
      <w:r w:rsidRPr="0023349B">
        <w:rPr>
          <w:rFonts w:ascii="Times New Roman" w:hAnsi="Times New Roman" w:cs="Times New Roman"/>
          <w:b/>
        </w:rPr>
        <w:t>udm</w:t>
      </w:r>
      <w:proofErr w:type="spellEnd"/>
      <w:r w:rsidRPr="0023349B">
        <w:rPr>
          <w:rFonts w:ascii="Times New Roman" w:hAnsi="Times New Roman" w:cs="Times New Roman"/>
          <w:b/>
        </w:rPr>
        <w:t>.</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w:t>
      </w:r>
      <w:r w:rsidR="0033287E" w:rsidRPr="0023349B">
        <w:rPr>
          <w:rFonts w:ascii="Times New Roman" w:hAnsi="Times New Roman" w:cs="Times New Roman"/>
          <w:bCs/>
          <w:u w:val="single"/>
        </w:rPr>
        <w:t>7</w:t>
      </w:r>
      <w:r w:rsidRPr="0023349B">
        <w:rPr>
          <w:rFonts w:ascii="Times New Roman" w:hAnsi="Times New Roman" w:cs="Times New Roman"/>
          <w:bCs/>
          <w:u w:val="single"/>
        </w:rPr>
        <w:t xml:space="preserve">: art. 21c </w:t>
      </w:r>
      <w:proofErr w:type="spellStart"/>
      <w:r w:rsidRPr="0023349B">
        <w:rPr>
          <w:rFonts w:ascii="Times New Roman" w:hAnsi="Times New Roman" w:cs="Times New Roman"/>
          <w:bCs/>
          <w:u w:val="single"/>
        </w:rPr>
        <w:t>uopl</w:t>
      </w:r>
      <w:proofErr w:type="spellEnd"/>
      <w:r w:rsidRPr="0023349B">
        <w:rPr>
          <w:rFonts w:ascii="Times New Roman" w:hAnsi="Times New Roman" w:cs="Times New Roman"/>
          <w:bCs/>
          <w:u w:val="single"/>
        </w:rPr>
        <w:t>:</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Pr="0023349B">
        <w:rPr>
          <w:rFonts w:ascii="Times New Roman" w:hAnsi="Times New Roman" w:cs="Times New Roman"/>
          <w:b/>
          <w:bCs/>
        </w:rPr>
        <w:t xml:space="preserve">pkt 5 lit. a projektu </w:t>
      </w:r>
      <w:r w:rsidRPr="0023349B">
        <w:rPr>
          <w:rFonts w:ascii="Times New Roman" w:hAnsi="Times New Roman" w:cs="Times New Roman"/>
          <w:b/>
          <w:bCs/>
          <w:i/>
          <w:iCs/>
        </w:rPr>
        <w:t>ustawy</w:t>
      </w:r>
      <w:r w:rsidRPr="0023349B">
        <w:rPr>
          <w:rFonts w:ascii="Times New Roman" w:hAnsi="Times New Roman" w:cs="Times New Roman"/>
          <w:b/>
          <w:bCs/>
        </w:rPr>
        <w:t xml:space="preserve"> –</w:t>
      </w:r>
      <w:r w:rsidRPr="0023349B">
        <w:rPr>
          <w:rFonts w:ascii="Times New Roman" w:hAnsi="Times New Roman" w:cs="Times New Roman"/>
          <w:bCs/>
        </w:rPr>
        <w:t xml:space="preserve"> </w:t>
      </w:r>
      <w:r w:rsidRPr="0023349B">
        <w:rPr>
          <w:rFonts w:ascii="Times New Roman" w:hAnsi="Times New Roman" w:cs="Times New Roman"/>
          <w:b/>
        </w:rPr>
        <w:t>zmiana art. 21c ust. 2</w:t>
      </w:r>
      <w:r w:rsidRPr="0023349B">
        <w:rPr>
          <w:rFonts w:ascii="Times New Roman" w:hAnsi="Times New Roman" w:cs="Times New Roman"/>
          <w:bCs/>
        </w:rPr>
        <w:t xml:space="preserve"> podyktowana jest </w:t>
      </w:r>
      <w:r w:rsidRPr="0023349B">
        <w:rPr>
          <w:rFonts w:ascii="Times New Roman" w:hAnsi="Times New Roman" w:cs="Times New Roman"/>
          <w:b/>
        </w:rPr>
        <w:t xml:space="preserve">uchyleniem art. 9 </w:t>
      </w:r>
      <w:proofErr w:type="spellStart"/>
      <w:r w:rsidRPr="0023349B">
        <w:rPr>
          <w:rFonts w:ascii="Times New Roman" w:hAnsi="Times New Roman" w:cs="Times New Roman"/>
          <w:b/>
        </w:rPr>
        <w:t>udm</w:t>
      </w:r>
      <w:proofErr w:type="spellEnd"/>
      <w:r w:rsidRPr="0023349B">
        <w:rPr>
          <w:rFonts w:ascii="Times New Roman" w:hAnsi="Times New Roman" w:cs="Times New Roman"/>
          <w:bCs/>
        </w:rPr>
        <w:t xml:space="preserve"> oraz przyjęciem w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że wzór wniosku o przyznanie dodatku mieszkaniowego oraz wzór deklaracji o dochodach gospodarstwa domowego określać będzie rada gminy w drodze uchwały.</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Pr="0023349B">
        <w:rPr>
          <w:rFonts w:ascii="Times New Roman" w:hAnsi="Times New Roman" w:cs="Times New Roman"/>
          <w:b/>
          <w:bCs/>
        </w:rPr>
        <w:t xml:space="preserve">pkt 5 lit. b projektu </w:t>
      </w:r>
      <w:r w:rsidRPr="0023349B">
        <w:rPr>
          <w:rFonts w:ascii="Times New Roman" w:hAnsi="Times New Roman" w:cs="Times New Roman"/>
          <w:b/>
          <w:bCs/>
          <w:i/>
          <w:iCs/>
        </w:rPr>
        <w:t>ustawy</w:t>
      </w:r>
      <w:r w:rsidRPr="0023349B">
        <w:rPr>
          <w:rFonts w:ascii="Times New Roman" w:hAnsi="Times New Roman" w:cs="Times New Roman"/>
          <w:b/>
          <w:bCs/>
        </w:rPr>
        <w:t xml:space="preserve"> –</w:t>
      </w:r>
      <w:r w:rsidRPr="0023349B">
        <w:rPr>
          <w:rFonts w:ascii="Times New Roman" w:hAnsi="Times New Roman" w:cs="Times New Roman"/>
          <w:bCs/>
        </w:rPr>
        <w:t xml:space="preserve"> projektowany </w:t>
      </w:r>
      <w:r w:rsidRPr="0023349B">
        <w:rPr>
          <w:rFonts w:ascii="Times New Roman" w:hAnsi="Times New Roman" w:cs="Times New Roman"/>
          <w:b/>
        </w:rPr>
        <w:t xml:space="preserve">ust. 2a w art. 21c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 przewiduje, iż w razie wątpliwości co do wiarygodności informacji i danych zawartych w deklaracji, o której mowa w ust. 2, gmina może wezwać najemcę do udostępnienia w określonym terminie, nie krótszym niż 30 dni od dnia otrzymania wezwania, dokumentów potwierdzających wysokość dochodów wykazanych w tej deklaracji, w tym zaświadczenie naczelnika właściwego miejscowo urzędu skarbowego o wysokości dochodów uzyskanych przez najemcę oraz innych członków jego gospodarstwa domowego. W przypadku nieudostępnienia żądanych dokumentów gmina może podwyższyć czynsz do kwoty 8% wartości odtworzeniowej w skali roku.</w:t>
      </w:r>
    </w:p>
    <w:p w:rsidR="00C268CB" w:rsidRPr="0023349B" w:rsidRDefault="00C268CB" w:rsidP="0023349B">
      <w:pPr>
        <w:spacing w:after="360" w:line="360" w:lineRule="auto"/>
        <w:jc w:val="both"/>
        <w:rPr>
          <w:rFonts w:ascii="Times New Roman" w:hAnsi="Times New Roman" w:cs="Times New Roman"/>
          <w:bCs/>
        </w:rPr>
      </w:pPr>
      <w:r w:rsidRPr="0023349B">
        <w:rPr>
          <w:rFonts w:ascii="Times New Roman" w:hAnsi="Times New Roman" w:cs="Times New Roman"/>
          <w:b/>
          <w:bCs/>
        </w:rPr>
        <w:t xml:space="preserve">Art. </w:t>
      </w:r>
      <w:r w:rsidR="00B258CF" w:rsidRPr="0023349B">
        <w:rPr>
          <w:rFonts w:ascii="Times New Roman" w:hAnsi="Times New Roman" w:cs="Times New Roman"/>
          <w:b/>
          <w:bCs/>
        </w:rPr>
        <w:t xml:space="preserve">12 </w:t>
      </w:r>
      <w:r w:rsidRPr="0023349B">
        <w:rPr>
          <w:rFonts w:ascii="Times New Roman" w:hAnsi="Times New Roman" w:cs="Times New Roman"/>
          <w:b/>
          <w:bCs/>
        </w:rPr>
        <w:t xml:space="preserve">pkt 5 lit. c projektu </w:t>
      </w:r>
      <w:r w:rsidRPr="0023349B">
        <w:rPr>
          <w:rFonts w:ascii="Times New Roman" w:hAnsi="Times New Roman" w:cs="Times New Roman"/>
          <w:b/>
          <w:bCs/>
          <w:i/>
          <w:iCs/>
        </w:rPr>
        <w:t>ustawy</w:t>
      </w:r>
      <w:r w:rsidRPr="0023349B">
        <w:rPr>
          <w:rFonts w:ascii="Times New Roman" w:hAnsi="Times New Roman" w:cs="Times New Roman"/>
          <w:b/>
          <w:bCs/>
        </w:rPr>
        <w:t xml:space="preserve"> –</w:t>
      </w:r>
      <w:r w:rsidRPr="0023349B">
        <w:rPr>
          <w:rFonts w:ascii="Times New Roman" w:hAnsi="Times New Roman" w:cs="Times New Roman"/>
          <w:bCs/>
        </w:rPr>
        <w:t xml:space="preserve"> </w:t>
      </w:r>
      <w:r w:rsidRPr="0023349B">
        <w:rPr>
          <w:rFonts w:ascii="Times New Roman" w:hAnsi="Times New Roman" w:cs="Times New Roman"/>
          <w:b/>
        </w:rPr>
        <w:t xml:space="preserve">zmiana art. 21c ust, 4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 xml:space="preserve"> podyktowana jest </w:t>
      </w:r>
      <w:r w:rsidRPr="0023349B">
        <w:rPr>
          <w:rFonts w:ascii="Times New Roman" w:hAnsi="Times New Roman" w:cs="Times New Roman"/>
          <w:b/>
        </w:rPr>
        <w:t xml:space="preserve">dodaniem ust. 2a do art. 21c </w:t>
      </w:r>
      <w:proofErr w:type="spellStart"/>
      <w:r w:rsidRPr="0023349B">
        <w:rPr>
          <w:rFonts w:ascii="Times New Roman" w:hAnsi="Times New Roman" w:cs="Times New Roman"/>
          <w:b/>
        </w:rPr>
        <w:t>uopl</w:t>
      </w:r>
      <w:proofErr w:type="spellEnd"/>
      <w:r w:rsidRPr="0023349B">
        <w:rPr>
          <w:rFonts w:ascii="Times New Roman" w:hAnsi="Times New Roman" w:cs="Times New Roman"/>
          <w:bCs/>
        </w:rPr>
        <w:t xml:space="preserve"> i polega na przyjęciu, że w przypadku złożenia żądanych dokumentów po upływie wyznaczonego przez gminę terminu, przepisy ust. 5</w:t>
      </w:r>
      <w:r w:rsidRPr="0023349B">
        <w:rPr>
          <w:rFonts w:ascii="Times New Roman" w:hAnsi="Times New Roman" w:cs="Times New Roman"/>
        </w:rPr>
        <w:t>–</w:t>
      </w:r>
      <w:r w:rsidRPr="0023349B">
        <w:rPr>
          <w:rFonts w:ascii="Times New Roman" w:hAnsi="Times New Roman" w:cs="Times New Roman"/>
          <w:bCs/>
        </w:rPr>
        <w:t>13, dotyczące zmiany wysokości czynszu, stosuje się odpowiednio.</w:t>
      </w:r>
    </w:p>
    <w:p w:rsidR="00C268CB" w:rsidRPr="0023349B" w:rsidRDefault="00C268CB" w:rsidP="0023349B">
      <w:pPr>
        <w:spacing w:after="240" w:line="360" w:lineRule="auto"/>
        <w:jc w:val="both"/>
        <w:rPr>
          <w:rFonts w:ascii="Times New Roman" w:hAnsi="Times New Roman" w:cs="Times New Roman"/>
          <w:b/>
        </w:rPr>
      </w:pPr>
      <w:r w:rsidRPr="0023349B">
        <w:rPr>
          <w:rFonts w:ascii="Times New Roman" w:hAnsi="Times New Roman" w:cs="Times New Roman"/>
          <w:b/>
        </w:rPr>
        <w:t xml:space="preserve">Art. </w:t>
      </w:r>
      <w:bookmarkStart w:id="9" w:name="_Hlk38474482"/>
      <w:r w:rsidR="00B258CF" w:rsidRPr="0023349B">
        <w:rPr>
          <w:rFonts w:ascii="Times New Roman" w:hAnsi="Times New Roman" w:cs="Times New Roman"/>
          <w:b/>
        </w:rPr>
        <w:t>13</w:t>
      </w:r>
      <w:r w:rsidRPr="0023349B">
        <w:rPr>
          <w:rFonts w:ascii="Times New Roman" w:hAnsi="Times New Roman" w:cs="Times New Roman"/>
          <w:b/>
        </w:rPr>
        <w:t xml:space="preserve"> –</w:t>
      </w:r>
      <w:bookmarkEnd w:id="9"/>
      <w:r w:rsidRPr="0023349B">
        <w:rPr>
          <w:rFonts w:ascii="Times New Roman" w:hAnsi="Times New Roman" w:cs="Times New Roman"/>
          <w:b/>
        </w:rPr>
        <w:t xml:space="preserve"> Zmiany w </w:t>
      </w:r>
      <w:r w:rsidR="008B4357" w:rsidRPr="0023349B">
        <w:rPr>
          <w:rFonts w:ascii="Times New Roman" w:hAnsi="Times New Roman" w:cs="Times New Roman"/>
          <w:b/>
        </w:rPr>
        <w:t>ustawie o finansowym wsparciu</w:t>
      </w:r>
      <w:r w:rsidRPr="0023349B">
        <w:rPr>
          <w:rFonts w:ascii="Times New Roman" w:hAnsi="Times New Roman" w:cs="Times New Roman"/>
          <w:b/>
        </w:rPr>
        <w:t>…</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 xml:space="preserve">art. </w:t>
      </w:r>
      <w:r w:rsidR="00CF3BB6" w:rsidRPr="0023349B">
        <w:rPr>
          <w:rFonts w:ascii="Times New Roman" w:hAnsi="Times New Roman" w:cs="Times New Roman"/>
          <w:b/>
        </w:rPr>
        <w:t>13</w:t>
      </w:r>
      <w:r w:rsidRPr="0023349B">
        <w:rPr>
          <w:rFonts w:ascii="Times New Roman" w:hAnsi="Times New Roman" w:cs="Times New Roman"/>
          <w:b/>
        </w:rPr>
        <w:t xml:space="preserve"> projektu </w:t>
      </w:r>
      <w:r w:rsidRPr="0023349B">
        <w:rPr>
          <w:rFonts w:ascii="Times New Roman" w:hAnsi="Times New Roman" w:cs="Times New Roman"/>
          <w:b/>
          <w:i/>
        </w:rPr>
        <w:t>ustawy</w:t>
      </w:r>
      <w:r w:rsidRPr="0023349B">
        <w:rPr>
          <w:rFonts w:ascii="Times New Roman" w:hAnsi="Times New Roman" w:cs="Times New Roman"/>
        </w:rPr>
        <w:t xml:space="preserve"> przewiduje się wprowadzenie zmian w przepisach </w:t>
      </w:r>
      <w:r w:rsidRPr="0023349B">
        <w:rPr>
          <w:rFonts w:ascii="Times New Roman" w:hAnsi="Times New Roman" w:cs="Times New Roman"/>
          <w:i/>
        </w:rPr>
        <w:t xml:space="preserve">ustawy o finansowym wsparciu…. </w:t>
      </w:r>
      <w:r w:rsidRPr="0023349B">
        <w:rPr>
          <w:rFonts w:ascii="Times New Roman" w:hAnsi="Times New Roman" w:cs="Times New Roman"/>
        </w:rPr>
        <w:t xml:space="preserve">Zmiany dotyczą głównie przepisów określających zasady finansowania, wysokości finansowego wsparcia na przedsięwzięcia realizowane na podstawie </w:t>
      </w:r>
      <w:r w:rsidRPr="0023349B">
        <w:rPr>
          <w:rFonts w:ascii="Times New Roman" w:hAnsi="Times New Roman" w:cs="Times New Roman"/>
          <w:i/>
        </w:rPr>
        <w:t>ustawy o finansowym wsparciu</w:t>
      </w:r>
      <w:r w:rsidRPr="0023349B">
        <w:rPr>
          <w:rFonts w:ascii="Times New Roman" w:hAnsi="Times New Roman" w:cs="Times New Roman"/>
        </w:rPr>
        <w:t xml:space="preserve">… oraz gospodarowania lokalami mieszkalnymi utworzonymi w ramach przedsięwzięć prowadzonych we współpracy z prywatnym inwestorem. W takiej sytuacji beneficjenci finansowego wsparcia (gmina albo związek międzygminny, mają prawo wskazywania najemców lokali mieszkalnych. Projekt zawiera również szereg innych rozwiązań, w tym: rozszerzenie zakresu przedmiotowego ustawy o modernizację i remonty istniejącego zasobu mieszkaniowego, który ze względu na zły stan techniczny nie może być wykorzystywany, wprowadzenie dodatkowego instrumentu finansowego wsparcia dla beneficjentów tworzących lokale mieszkalne oraz powierzchnie wspólne dla seniorów, etc.), o których mowa poniżej. </w:t>
      </w:r>
    </w:p>
    <w:p w:rsidR="00C268CB" w:rsidRPr="0023349B" w:rsidRDefault="00C268CB" w:rsidP="0023349B">
      <w:pPr>
        <w:pStyle w:val="Akapitzlist2"/>
        <w:keepNext/>
        <w:keepLines/>
        <w:spacing w:after="120" w:line="360" w:lineRule="auto"/>
        <w:ind w:left="0"/>
        <w:jc w:val="both"/>
        <w:rPr>
          <w:rFonts w:ascii="Times New Roman" w:hAnsi="Times New Roman" w:cs="Times New Roman"/>
          <w:u w:val="single"/>
        </w:rPr>
      </w:pPr>
      <w:r w:rsidRPr="0023349B">
        <w:rPr>
          <w:rFonts w:ascii="Times New Roman" w:hAnsi="Times New Roman" w:cs="Times New Roman"/>
          <w:u w:val="single"/>
        </w:rPr>
        <w:t xml:space="preserve">Zmiana 1: obejmuje pełną treść </w:t>
      </w:r>
      <w:r w:rsidRPr="0023349B">
        <w:rPr>
          <w:rFonts w:ascii="Times New Roman" w:hAnsi="Times New Roman" w:cs="Times New Roman"/>
          <w:i/>
          <w:u w:val="single"/>
        </w:rPr>
        <w:t>ustawy o finansowym wsparciu</w:t>
      </w:r>
      <w:r w:rsidR="0023349B" w:rsidRPr="0023349B">
        <w:rPr>
          <w:rFonts w:ascii="Times New Roman" w:hAnsi="Times New Roman" w:cs="Times New Roman"/>
          <w:i/>
          <w:u w:val="single"/>
        </w:rPr>
        <w:t>…</w:t>
      </w:r>
    </w:p>
    <w:p w:rsidR="00C268CB" w:rsidRPr="0023349B" w:rsidRDefault="00C268CB" w:rsidP="0023349B">
      <w:pPr>
        <w:pStyle w:val="Akapitzlist2"/>
        <w:spacing w:after="120" w:line="360" w:lineRule="auto"/>
        <w:ind w:left="0"/>
        <w:jc w:val="both"/>
        <w:rPr>
          <w:rFonts w:ascii="Times New Roman" w:hAnsi="Times New Roman" w:cs="Times New Roman"/>
        </w:rPr>
      </w:pPr>
      <w:r w:rsidRPr="0023349B">
        <w:rPr>
          <w:rFonts w:ascii="Times New Roman" w:hAnsi="Times New Roman" w:cs="Times New Roman"/>
          <w:b/>
        </w:rPr>
        <w:t xml:space="preserve">Art. </w:t>
      </w:r>
      <w:r w:rsidR="00CF3BB6" w:rsidRPr="0023349B">
        <w:rPr>
          <w:rFonts w:ascii="Times New Roman" w:hAnsi="Times New Roman" w:cs="Times New Roman"/>
          <w:b/>
        </w:rPr>
        <w:t xml:space="preserve">13 </w:t>
      </w:r>
      <w:r w:rsidRPr="0023349B">
        <w:rPr>
          <w:rFonts w:ascii="Times New Roman" w:hAnsi="Times New Roman" w:cs="Times New Roman"/>
          <w:b/>
        </w:rPr>
        <w:t xml:space="preserve">pkt 1 projektu </w:t>
      </w:r>
      <w:r w:rsidRPr="0023349B">
        <w:rPr>
          <w:rFonts w:ascii="Times New Roman" w:hAnsi="Times New Roman" w:cs="Times New Roman"/>
          <w:b/>
          <w:i/>
        </w:rPr>
        <w:t>ustawy</w:t>
      </w:r>
      <w:r w:rsidRPr="0023349B">
        <w:rPr>
          <w:rFonts w:ascii="Times New Roman" w:hAnsi="Times New Roman" w:cs="Times New Roman"/>
          <w:b/>
        </w:rPr>
        <w:t xml:space="preserve"> </w:t>
      </w:r>
      <w:r w:rsidRPr="0023349B">
        <w:rPr>
          <w:rFonts w:ascii="Times New Roman" w:hAnsi="Times New Roman" w:cs="Times New Roman"/>
        </w:rPr>
        <w:t>wprowadza zmiany</w:t>
      </w:r>
      <w:r w:rsidRPr="0023349B">
        <w:rPr>
          <w:rFonts w:ascii="Times New Roman" w:hAnsi="Times New Roman" w:cs="Times New Roman"/>
          <w:b/>
        </w:rPr>
        <w:t xml:space="preserve"> </w:t>
      </w:r>
      <w:r w:rsidRPr="0023349B">
        <w:rPr>
          <w:rFonts w:ascii="Times New Roman" w:hAnsi="Times New Roman" w:cs="Times New Roman"/>
        </w:rPr>
        <w:t>mające na celu</w:t>
      </w:r>
      <w:r w:rsidRPr="0023349B">
        <w:rPr>
          <w:rFonts w:ascii="Times New Roman" w:hAnsi="Times New Roman" w:cs="Times New Roman"/>
          <w:b/>
        </w:rPr>
        <w:t xml:space="preserve"> zastąpienie </w:t>
      </w:r>
      <w:r w:rsidRPr="0023349B">
        <w:rPr>
          <w:rFonts w:ascii="Times New Roman" w:eastAsia="Times New Roman" w:hAnsi="Times New Roman" w:cs="Times New Roman"/>
        </w:rPr>
        <w:t xml:space="preserve">wyrazów „schronisko dla bezdomnych” wyrazami „schronisko dla osób bezdomnych” w treści całej </w:t>
      </w:r>
      <w:r w:rsidRPr="0023349B">
        <w:rPr>
          <w:rFonts w:ascii="Times New Roman" w:eastAsia="Times New Roman" w:hAnsi="Times New Roman" w:cs="Times New Roman"/>
          <w:i/>
        </w:rPr>
        <w:t>ustawy o finansowym wsparciu…</w:t>
      </w:r>
      <w:r w:rsidRPr="0023349B">
        <w:rPr>
          <w:rFonts w:ascii="Times New Roman" w:eastAsia="Times New Roman" w:hAnsi="Times New Roman" w:cs="Times New Roman"/>
        </w:rPr>
        <w:t xml:space="preserve">, zgodnie z nazewnictwem </w:t>
      </w:r>
      <w:r w:rsidRPr="0023349B">
        <w:rPr>
          <w:rFonts w:ascii="Times New Roman" w:eastAsia="Times New Roman" w:hAnsi="Times New Roman" w:cs="Times New Roman"/>
          <w:i/>
        </w:rPr>
        <w:t>ustawy</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rPr>
        <w:t>o pomocy społecznej</w:t>
      </w:r>
      <w:r w:rsidRPr="0023349B">
        <w:rPr>
          <w:rFonts w:ascii="Times New Roman" w:eastAsia="Times New Roman" w:hAnsi="Times New Roman" w:cs="Times New Roman"/>
        </w:rPr>
        <w:t>.</w:t>
      </w:r>
      <w:r w:rsidR="00193AD6" w:rsidRPr="0023349B">
        <w:rPr>
          <w:rFonts w:ascii="Times New Roman" w:eastAsia="Times New Roman" w:hAnsi="Times New Roman" w:cs="Times New Roman"/>
        </w:rPr>
        <w:t xml:space="preserve"> </w:t>
      </w:r>
      <w:r w:rsidRPr="0023349B">
        <w:rPr>
          <w:rFonts w:ascii="Times New Roman" w:hAnsi="Times New Roman" w:cs="Times New Roman"/>
        </w:rPr>
        <w:t xml:space="preserve">Zmiany obejmą tytuł ustawy, </w:t>
      </w:r>
      <w:r w:rsidRPr="0023349B">
        <w:rPr>
          <w:rFonts w:ascii="Times New Roman" w:eastAsia="Times New Roman" w:hAnsi="Times New Roman" w:cs="Times New Roman"/>
          <w:b/>
        </w:rPr>
        <w:t>art. 1 pkt 1 lit. c, art. 2 pkt 5 lit. e, art. 4 ust. 3, art. 15 ust. 2</w:t>
      </w:r>
      <w:r w:rsidR="00C47C60" w:rsidRPr="0023349B">
        <w:rPr>
          <w:rFonts w:ascii="Times New Roman" w:eastAsia="Times New Roman" w:hAnsi="Times New Roman" w:cs="Times New Roman"/>
          <w:b/>
        </w:rPr>
        <w:t>–</w:t>
      </w:r>
      <w:r w:rsidRPr="0023349B">
        <w:rPr>
          <w:rFonts w:ascii="Times New Roman" w:eastAsia="Times New Roman" w:hAnsi="Times New Roman" w:cs="Times New Roman"/>
          <w:b/>
        </w:rPr>
        <w:t>3 oraz art. 21 ust. 1 pkt 1, ust. 2, ust. 6 pkt 2 i ust. 10 pkt 4</w:t>
      </w:r>
      <w:r w:rsidR="00842529" w:rsidRPr="0023349B">
        <w:rPr>
          <w:rFonts w:ascii="Times New Roman" w:hAnsi="Times New Roman" w:cs="Times New Roman"/>
          <w:bCs/>
        </w:rPr>
        <w:t>–</w:t>
      </w:r>
      <w:r w:rsidRPr="0023349B">
        <w:rPr>
          <w:rFonts w:ascii="Times New Roman" w:eastAsia="Times New Roman" w:hAnsi="Times New Roman" w:cs="Times New Roman"/>
          <w:b/>
        </w:rPr>
        <w:t xml:space="preserve">6 </w:t>
      </w:r>
      <w:r w:rsidRPr="0023349B">
        <w:rPr>
          <w:rFonts w:ascii="Times New Roman" w:hAnsi="Times New Roman" w:cs="Times New Roman"/>
          <w:b/>
          <w:i/>
        </w:rPr>
        <w:t>ustawy o finansowym wsparciu…</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hAnsi="Times New Roman" w:cs="Times New Roman"/>
          <w:spacing w:val="4"/>
        </w:rPr>
      </w:pPr>
      <w:r w:rsidRPr="0023349B">
        <w:rPr>
          <w:rFonts w:ascii="Times New Roman" w:eastAsia="Times New Roman" w:hAnsi="Times New Roman" w:cs="Times New Roman"/>
        </w:rPr>
        <w:t>Legitymacją do ww. zmian był wniosek</w:t>
      </w:r>
      <w:r w:rsidRPr="0023349B">
        <w:rPr>
          <w:rStyle w:val="Znakiprzypiswdolnych"/>
          <w:rFonts w:ascii="Times New Roman" w:hAnsi="Times New Roman" w:cs="Times New Roman"/>
        </w:rPr>
        <w:footnoteReference w:id="18"/>
      </w:r>
      <w:r w:rsidRPr="0023349B">
        <w:rPr>
          <w:rFonts w:ascii="Times New Roman" w:eastAsia="Times New Roman" w:hAnsi="Times New Roman" w:cs="Times New Roman"/>
          <w:vertAlign w:val="superscript"/>
        </w:rPr>
        <w:t>)</w:t>
      </w:r>
      <w:r w:rsidRPr="0023349B">
        <w:rPr>
          <w:rFonts w:ascii="Times New Roman" w:eastAsia="Times New Roman" w:hAnsi="Times New Roman" w:cs="Times New Roman"/>
        </w:rPr>
        <w:t xml:space="preserve"> Ministra Rodziny, Pracy i Polityki Społecznej, skierowany jeszcze na etapie prac legislacyjnych ustawy z dnia 22 marca 2018 r. </w:t>
      </w:r>
      <w:r w:rsidRPr="0023349B">
        <w:rPr>
          <w:rFonts w:ascii="Times New Roman" w:eastAsia="Times New Roman" w:hAnsi="Times New Roman" w:cs="Times New Roman"/>
          <w:i/>
        </w:rPr>
        <w:t xml:space="preserve">o zmianie ustawy </w:t>
      </w:r>
      <w:r w:rsidRPr="0023349B">
        <w:rPr>
          <w:rFonts w:ascii="Times New Roman" w:hAnsi="Times New Roman" w:cs="Times New Roman"/>
          <w:i/>
        </w:rPr>
        <w:t>o finansowym wsparciu tworzenia lokali socjalnych, mieszkań chronionych, noclegowni i domów dla bezdomnych, ustawy o ochronie praw lokatorów, mieszkaniowym zasobie gminy i o zmianie Kodeksu cywilnego oraz niektórych innych ustaw</w:t>
      </w:r>
      <w:r w:rsidRPr="0023349B">
        <w:rPr>
          <w:rFonts w:ascii="Times New Roman" w:hAnsi="Times New Roman" w:cs="Times New Roman"/>
        </w:rPr>
        <w:t xml:space="preserve">. Mając wówczas </w:t>
      </w:r>
      <w:r w:rsidRPr="0023349B">
        <w:rPr>
          <w:rFonts w:ascii="Times New Roman" w:hAnsi="Times New Roman" w:cs="Times New Roman"/>
          <w:spacing w:val="4"/>
        </w:rPr>
        <w:t xml:space="preserve">na uwadze jednoczesne procedowanie nowelizacji </w:t>
      </w:r>
      <w:r w:rsidRPr="0023349B">
        <w:rPr>
          <w:rFonts w:ascii="Times New Roman" w:hAnsi="Times New Roman" w:cs="Times New Roman"/>
          <w:i/>
          <w:spacing w:val="4"/>
        </w:rPr>
        <w:t>ustawy o finansowym wsparciu</w:t>
      </w:r>
      <w:r w:rsidRPr="0023349B">
        <w:rPr>
          <w:rFonts w:ascii="Times New Roman" w:hAnsi="Times New Roman" w:cs="Times New Roman"/>
          <w:spacing w:val="4"/>
        </w:rPr>
        <w:t xml:space="preserve"> oraz </w:t>
      </w:r>
      <w:r w:rsidRPr="0023349B">
        <w:rPr>
          <w:rFonts w:ascii="Times New Roman" w:hAnsi="Times New Roman" w:cs="Times New Roman"/>
          <w:i/>
          <w:spacing w:val="4"/>
        </w:rPr>
        <w:t>ustawy o pomocy społecznej</w:t>
      </w:r>
      <w:r w:rsidRPr="0023349B">
        <w:rPr>
          <w:rFonts w:ascii="Times New Roman" w:hAnsi="Times New Roman" w:cs="Times New Roman"/>
          <w:spacing w:val="4"/>
        </w:rPr>
        <w:t xml:space="preserve">, zadeklarowano uwzględnienie propozycji </w:t>
      </w:r>
      <w:proofErr w:type="spellStart"/>
      <w:r w:rsidRPr="0023349B">
        <w:rPr>
          <w:rFonts w:ascii="Times New Roman" w:hAnsi="Times New Roman" w:cs="Times New Roman"/>
          <w:spacing w:val="4"/>
        </w:rPr>
        <w:t>MRPiPS</w:t>
      </w:r>
      <w:proofErr w:type="spellEnd"/>
      <w:r w:rsidRPr="0023349B">
        <w:rPr>
          <w:rFonts w:ascii="Times New Roman" w:hAnsi="Times New Roman" w:cs="Times New Roman"/>
          <w:spacing w:val="4"/>
        </w:rPr>
        <w:t xml:space="preserve"> przy kolejnej nowelizacji </w:t>
      </w:r>
      <w:r w:rsidRPr="0023349B">
        <w:rPr>
          <w:rFonts w:ascii="Times New Roman" w:hAnsi="Times New Roman" w:cs="Times New Roman"/>
          <w:i/>
          <w:spacing w:val="4"/>
        </w:rPr>
        <w:t xml:space="preserve">ustawy o finansowym wsparciu, </w:t>
      </w:r>
      <w:r w:rsidRPr="0023349B">
        <w:rPr>
          <w:rFonts w:ascii="Times New Roman" w:hAnsi="Times New Roman" w:cs="Times New Roman"/>
          <w:spacing w:val="4"/>
        </w:rPr>
        <w:t xml:space="preserve">co jest przedmiotem niniejszego projektu </w:t>
      </w:r>
      <w:r w:rsidRPr="0023349B">
        <w:rPr>
          <w:rFonts w:ascii="Times New Roman" w:hAnsi="Times New Roman" w:cs="Times New Roman"/>
          <w:i/>
          <w:spacing w:val="4"/>
        </w:rPr>
        <w:t>ustawy</w:t>
      </w:r>
      <w:r w:rsidRPr="0023349B">
        <w:rPr>
          <w:rFonts w:ascii="Times New Roman" w:hAnsi="Times New Roman" w:cs="Times New Roman"/>
          <w:spacing w:val="4"/>
        </w:rPr>
        <w:t>.</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eastAsia="Times New Roman" w:hAnsi="Times New Roman" w:cs="Times New Roman"/>
          <w:u w:val="single"/>
        </w:rPr>
        <w:t xml:space="preserve">Zmiana 2: </w:t>
      </w:r>
      <w:r w:rsidRPr="0023349B">
        <w:rPr>
          <w:rFonts w:ascii="Times New Roman" w:hAnsi="Times New Roman" w:cs="Times New Roman"/>
          <w:u w:val="single"/>
        </w:rPr>
        <w:t xml:space="preserve">art. 1 pkt 1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b/>
        </w:rPr>
        <w:t xml:space="preserve">Art. </w:t>
      </w:r>
      <w:r w:rsidR="00CF3BB6" w:rsidRPr="0023349B">
        <w:rPr>
          <w:rFonts w:ascii="Times New Roman" w:hAnsi="Times New Roman" w:cs="Times New Roman"/>
          <w:b/>
        </w:rPr>
        <w:t xml:space="preserve">13 </w:t>
      </w:r>
      <w:r w:rsidRPr="0023349B">
        <w:rPr>
          <w:rFonts w:ascii="Times New Roman" w:hAnsi="Times New Roman" w:cs="Times New Roman"/>
          <w:b/>
        </w:rPr>
        <w:t xml:space="preserve">pkt 2 projektu </w:t>
      </w:r>
      <w:r w:rsidRPr="0023349B">
        <w:rPr>
          <w:rFonts w:ascii="Times New Roman" w:hAnsi="Times New Roman" w:cs="Times New Roman"/>
          <w:b/>
          <w:i/>
        </w:rPr>
        <w:t>ustawy</w:t>
      </w:r>
      <w:r w:rsidRPr="0023349B">
        <w:rPr>
          <w:rFonts w:ascii="Times New Roman" w:hAnsi="Times New Roman" w:cs="Times New Roman"/>
          <w:b/>
        </w:rPr>
        <w:t xml:space="preserve">, </w:t>
      </w:r>
      <w:r w:rsidRPr="0023349B">
        <w:rPr>
          <w:rFonts w:ascii="Times New Roman" w:hAnsi="Times New Roman" w:cs="Times New Roman"/>
        </w:rPr>
        <w:t xml:space="preserve">w zakresie </w:t>
      </w:r>
      <w:r w:rsidRPr="0023349B">
        <w:rPr>
          <w:rFonts w:ascii="Times New Roman" w:hAnsi="Times New Roman" w:cs="Times New Roman"/>
          <w:b/>
        </w:rPr>
        <w:t xml:space="preserve">art. 1 pkt 1 </w:t>
      </w:r>
      <w:r w:rsidRPr="0023349B">
        <w:rPr>
          <w:rFonts w:ascii="Times New Roman" w:hAnsi="Times New Roman" w:cs="Times New Roman"/>
          <w:b/>
          <w:i/>
        </w:rPr>
        <w:t>ustawy o finansowym wsparciu…</w:t>
      </w:r>
      <w:r w:rsidRPr="0023349B">
        <w:rPr>
          <w:rFonts w:ascii="Times New Roman" w:hAnsi="Times New Roman" w:cs="Times New Roman"/>
          <w:i/>
        </w:rPr>
        <w:t xml:space="preserve">, </w:t>
      </w:r>
      <w:r w:rsidRPr="0023349B">
        <w:rPr>
          <w:rFonts w:ascii="Times New Roman" w:hAnsi="Times New Roman" w:cs="Times New Roman"/>
        </w:rPr>
        <w:t>dotyczy rozszerzenia zakresu przedmiotowego ustawy o modernizację i remonty istniejącego zasobu mieszkaniowego.</w:t>
      </w:r>
      <w:r w:rsidRPr="0023349B">
        <w:rPr>
          <w:rFonts w:ascii="Times New Roman" w:hAnsi="Times New Roman" w:cs="Times New Roman"/>
          <w:b/>
        </w:rPr>
        <w:t xml:space="preserve"> </w:t>
      </w:r>
      <w:r w:rsidRPr="0023349B">
        <w:rPr>
          <w:rFonts w:ascii="Times New Roman" w:hAnsi="Times New Roman" w:cs="Times New Roman"/>
        </w:rPr>
        <w:t xml:space="preserve">W zmienianym art. 1 </w:t>
      </w:r>
      <w:r w:rsidRPr="0023349B">
        <w:rPr>
          <w:rFonts w:ascii="Times New Roman" w:hAnsi="Times New Roman" w:cs="Times New Roman"/>
          <w:i/>
        </w:rPr>
        <w:t>ustawy o finansowym wsparciu…</w:t>
      </w:r>
      <w:r w:rsidRPr="0023349B">
        <w:rPr>
          <w:rFonts w:ascii="Times New Roman" w:hAnsi="Times New Roman" w:cs="Times New Roman"/>
        </w:rPr>
        <w:t xml:space="preserve"> został zawarty przepis ogólny, w którym został określony zakres spraw regulowanych ustawą i podmiotów, których ona dotyczy. Obecny zakres przedmiotowy </w:t>
      </w:r>
      <w:r w:rsidRPr="0023349B">
        <w:rPr>
          <w:rFonts w:ascii="Times New Roman" w:hAnsi="Times New Roman" w:cs="Times New Roman"/>
          <w:i/>
        </w:rPr>
        <w:t>ustawy o finansowym wsparciu…,</w:t>
      </w:r>
      <w:r w:rsidRPr="0023349B">
        <w:rPr>
          <w:rFonts w:ascii="Times New Roman" w:hAnsi="Times New Roman" w:cs="Times New Roman"/>
        </w:rPr>
        <w:t xml:space="preserve"> obejmujący tworzenie „nowych” lokali mieszkalnych na wynajem o ograniczonym czynszu, okazał się niewystarczającym narzędziem dla rozwiązania problemu zaspokojenia potrzeb mieszkaniowych, z jakim mierzą się gminy. Aktualne rozwiązania nie dają możliwości sfinansowania z Funduszu Dopłat remontu istniejących, lecz bezużytecznych z uwagi na zły stan techniczny, lokali mieszkalnych znajdujących się w budynkach mieszkalnych. Zaproponowane w projekcie ustawy zmiany wprowadzą możliwość udzielenia finansowego wsparcia na realizację przedsięwzięć polegających na remoncie takich lokali, które nie są zajmowane przez lokatora na podstawie obowiązującej umowy najmu. Wyjątkiem od tej zasady będą przedsięwzięcia </w:t>
      </w:r>
      <w:r w:rsidRPr="0023349B">
        <w:rPr>
          <w:rStyle w:val="Pogrubienie2"/>
          <w:rFonts w:ascii="Times New Roman" w:eastAsia="font278" w:hAnsi="Times New Roman" w:cs="Times New Roman"/>
        </w:rPr>
        <w:t xml:space="preserve">polegające na remoncie lokali mieszkalnych przy udziale premii remontowej </w:t>
      </w:r>
      <w:r w:rsidRPr="0023349B">
        <w:rPr>
          <w:rFonts w:ascii="Times New Roman" w:hAnsi="Times New Roman" w:cs="Times New Roman"/>
        </w:rPr>
        <w:t>(szczegółowe omówienie w zakresie zmiany 5).</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Wystąpiła zatem konieczność rozszerzenia zakresu przedmiotowego </w:t>
      </w:r>
      <w:r w:rsidRPr="0023349B">
        <w:rPr>
          <w:rFonts w:ascii="Times New Roman" w:hAnsi="Times New Roman" w:cs="Times New Roman"/>
          <w:i/>
        </w:rPr>
        <w:t>ustawy o finansowym wsparciu…</w:t>
      </w:r>
      <w:r w:rsidRPr="0023349B">
        <w:rPr>
          <w:rFonts w:ascii="Times New Roman" w:hAnsi="Times New Roman" w:cs="Times New Roman"/>
        </w:rPr>
        <w:t xml:space="preserve"> tak, by umożliwić udzielanie finansowego wsparcia z Funduszu Dopłat podmiotom realizującym przedsięwzięcia polegające nie tylko na tworzeniu, lecz także modernizacji lokali mieszkalnych. Przepis art. 1 pkt 1 </w:t>
      </w:r>
      <w:r w:rsidRPr="0023349B">
        <w:rPr>
          <w:rFonts w:ascii="Times New Roman" w:hAnsi="Times New Roman" w:cs="Times New Roman"/>
          <w:i/>
        </w:rPr>
        <w:t>ustawy o finansowym wsparciu</w:t>
      </w:r>
      <w:r w:rsidRPr="0023349B">
        <w:rPr>
          <w:rFonts w:ascii="Times New Roman" w:hAnsi="Times New Roman" w:cs="Times New Roman"/>
        </w:rPr>
        <w:t xml:space="preserve"> … zostanie uzupełniony w sposób ogólny o „modernizację” rozumianą jako unowocześnienie i usprawnienie czegoś, by dać wyraz rozszerzenia przedmiotowego regulacji. Natomiast w art. 3</w:t>
      </w:r>
      <w:r w:rsidR="00C47C60" w:rsidRPr="0023349B">
        <w:rPr>
          <w:rFonts w:ascii="Times New Roman" w:hAnsi="Times New Roman" w:cs="Times New Roman"/>
        </w:rPr>
        <w:t>–</w:t>
      </w:r>
      <w:r w:rsidRPr="0023349B">
        <w:rPr>
          <w:rFonts w:ascii="Times New Roman" w:hAnsi="Times New Roman" w:cs="Times New Roman"/>
        </w:rPr>
        <w:t xml:space="preserve">5 </w:t>
      </w:r>
      <w:r w:rsidRPr="0023349B">
        <w:rPr>
          <w:rFonts w:ascii="Times New Roman" w:hAnsi="Times New Roman" w:cs="Times New Roman"/>
          <w:i/>
        </w:rPr>
        <w:t>ustawy o finansowym wsparciu…</w:t>
      </w:r>
      <w:r w:rsidRPr="0023349B">
        <w:rPr>
          <w:rFonts w:ascii="Times New Roman" w:hAnsi="Times New Roman" w:cs="Times New Roman"/>
        </w:rPr>
        <w:t xml:space="preserve"> zostały doprecyzowane rodzaje przedsięwzięć, które są objęte finansowym wsparciem. Transfer części wydatków budżetowych, zaplanowanych na realizację programu BSK, </w:t>
      </w:r>
      <w:r w:rsidRPr="0023349B">
        <w:rPr>
          <w:rFonts w:ascii="Times New Roman" w:hAnsi="Times New Roman" w:cs="Times New Roman"/>
          <w:b/>
          <w:bCs/>
        </w:rPr>
        <w:t>na r</w:t>
      </w:r>
      <w:r w:rsidRPr="0023349B">
        <w:rPr>
          <w:rStyle w:val="Pogrubienie2"/>
          <w:rFonts w:ascii="Times New Roman" w:eastAsia="font278" w:hAnsi="Times New Roman" w:cs="Times New Roman"/>
        </w:rPr>
        <w:t>emonty istniejącego zasobu budynków komunalnych, wypełni „lukę remontową” w zasobach komunalnych i wpłynie na rozwiązanie sytuacji pustostanów znajdujących się w tych zasobach.</w:t>
      </w:r>
    </w:p>
    <w:p w:rsidR="00C268CB" w:rsidRPr="0023349B" w:rsidRDefault="00C268CB" w:rsidP="0023349B">
      <w:pPr>
        <w:pStyle w:val="Akapitzlist2"/>
        <w:spacing w:after="120" w:line="360" w:lineRule="auto"/>
        <w:ind w:left="0"/>
        <w:jc w:val="both"/>
        <w:rPr>
          <w:rFonts w:ascii="Times New Roman" w:eastAsia="Times New Roman" w:hAnsi="Times New Roman" w:cs="Times New Roman"/>
          <w:u w:val="single"/>
        </w:rPr>
      </w:pPr>
      <w:r w:rsidRPr="0023349B">
        <w:rPr>
          <w:rFonts w:ascii="Times New Roman" w:hAnsi="Times New Roman" w:cs="Times New Roman"/>
          <w:u w:val="single"/>
        </w:rPr>
        <w:t xml:space="preserve">Zmiana 3 i 4: art. 1a, </w:t>
      </w:r>
      <w:r w:rsidRPr="0023349B">
        <w:rPr>
          <w:rFonts w:ascii="Times New Roman" w:eastAsia="Times New Roman" w:hAnsi="Times New Roman" w:cs="Times New Roman"/>
          <w:u w:val="single"/>
        </w:rPr>
        <w:t>art. 2 pkt 3 i pkt 5a</w:t>
      </w:r>
    </w:p>
    <w:p w:rsidR="00C268CB" w:rsidRPr="0023349B" w:rsidRDefault="00C268CB" w:rsidP="0023349B">
      <w:pPr>
        <w:pStyle w:val="Akapitzlist2"/>
        <w:spacing w:after="120" w:line="360" w:lineRule="auto"/>
        <w:ind w:left="0"/>
        <w:jc w:val="both"/>
        <w:rPr>
          <w:rFonts w:ascii="Times New Roman" w:hAnsi="Times New Roman" w:cs="Times New Roman"/>
        </w:rPr>
      </w:pPr>
      <w:r w:rsidRPr="0023349B">
        <w:rPr>
          <w:rFonts w:ascii="Times New Roman" w:hAnsi="Times New Roman" w:cs="Times New Roman"/>
          <w:b/>
        </w:rPr>
        <w:t xml:space="preserve">Art. </w:t>
      </w:r>
      <w:r w:rsidR="00CF3BB6" w:rsidRPr="0023349B">
        <w:rPr>
          <w:rFonts w:ascii="Times New Roman" w:hAnsi="Times New Roman" w:cs="Times New Roman"/>
          <w:b/>
        </w:rPr>
        <w:t xml:space="preserve">13 </w:t>
      </w:r>
      <w:r w:rsidRPr="0023349B">
        <w:rPr>
          <w:rFonts w:ascii="Times New Roman" w:hAnsi="Times New Roman" w:cs="Times New Roman"/>
          <w:b/>
        </w:rPr>
        <w:t xml:space="preserve">pkt 4 lit. a projektu </w:t>
      </w:r>
      <w:r w:rsidRPr="0023349B">
        <w:rPr>
          <w:rFonts w:ascii="Times New Roman" w:hAnsi="Times New Roman" w:cs="Times New Roman"/>
          <w:b/>
          <w:i/>
        </w:rPr>
        <w:t>ustawy</w:t>
      </w:r>
      <w:r w:rsidRPr="0023349B">
        <w:rPr>
          <w:rFonts w:ascii="Times New Roman" w:hAnsi="Times New Roman" w:cs="Times New Roman"/>
        </w:rPr>
        <w:t xml:space="preserve"> wprowadza zmiany w zakresie </w:t>
      </w:r>
      <w:r w:rsidRPr="0023349B">
        <w:rPr>
          <w:rFonts w:ascii="Times New Roman" w:hAnsi="Times New Roman" w:cs="Times New Roman"/>
          <w:b/>
        </w:rPr>
        <w:t xml:space="preserve">art. 2 pkt 3 </w:t>
      </w:r>
      <w:r w:rsidRPr="0023349B">
        <w:rPr>
          <w:rFonts w:ascii="Times New Roman" w:hAnsi="Times New Roman" w:cs="Times New Roman"/>
          <w:b/>
          <w:i/>
        </w:rPr>
        <w:t>ustawy o finansowym wsparciu…</w:t>
      </w:r>
      <w:r w:rsidRPr="0023349B">
        <w:rPr>
          <w:rFonts w:ascii="Times New Roman" w:hAnsi="Times New Roman" w:cs="Times New Roman"/>
        </w:rPr>
        <w:t>, polegające na zmianie definicji pojęcia</w:t>
      </w:r>
      <w:r w:rsidRPr="0023349B">
        <w:rPr>
          <w:rFonts w:ascii="Times New Roman" w:hAnsi="Times New Roman" w:cs="Times New Roman"/>
          <w:i/>
        </w:rPr>
        <w:t xml:space="preserve"> schronisko dla bezdomnych,</w:t>
      </w:r>
      <w:r w:rsidRPr="0023349B">
        <w:rPr>
          <w:rFonts w:ascii="Times New Roman" w:hAnsi="Times New Roman" w:cs="Times New Roman"/>
        </w:rPr>
        <w:t xml:space="preserve"> </w:t>
      </w:r>
      <w:r w:rsidRPr="0023349B">
        <w:rPr>
          <w:rFonts w:ascii="Times New Roman" w:hAnsi="Times New Roman" w:cs="Times New Roman"/>
          <w:spacing w:val="4"/>
        </w:rPr>
        <w:t xml:space="preserve">poprzez odniesienie się do przepisów </w:t>
      </w:r>
      <w:r w:rsidRPr="0023349B">
        <w:rPr>
          <w:rFonts w:ascii="Times New Roman" w:hAnsi="Times New Roman" w:cs="Times New Roman"/>
          <w:i/>
          <w:spacing w:val="4"/>
        </w:rPr>
        <w:t>ustawy</w:t>
      </w:r>
      <w:r w:rsidRPr="0023349B">
        <w:rPr>
          <w:rFonts w:ascii="Times New Roman" w:hAnsi="Times New Roman" w:cs="Times New Roman"/>
          <w:spacing w:val="4"/>
        </w:rPr>
        <w:t xml:space="preserve"> </w:t>
      </w:r>
      <w:r w:rsidRPr="0023349B">
        <w:rPr>
          <w:rFonts w:ascii="Times New Roman" w:hAnsi="Times New Roman" w:cs="Times New Roman"/>
          <w:i/>
          <w:spacing w:val="4"/>
        </w:rPr>
        <w:t xml:space="preserve">o pomocy społecznej. </w:t>
      </w:r>
      <w:r w:rsidRPr="0023349B">
        <w:rPr>
          <w:rFonts w:ascii="Times New Roman" w:hAnsi="Times New Roman" w:cs="Times New Roman"/>
          <w:spacing w:val="4"/>
        </w:rPr>
        <w:t xml:space="preserve">Zgodnie z ustawą z dnia 8 lutego 2018 r. </w:t>
      </w:r>
      <w:r w:rsidRPr="0023349B">
        <w:rPr>
          <w:rFonts w:ascii="Times New Roman" w:hAnsi="Times New Roman" w:cs="Times New Roman"/>
          <w:i/>
          <w:spacing w:val="4"/>
        </w:rPr>
        <w:t>o zmianie ustawy o pomocy społecznej</w:t>
      </w:r>
      <w:r w:rsidRPr="0023349B">
        <w:rPr>
          <w:rFonts w:ascii="Times New Roman" w:hAnsi="Times New Roman" w:cs="Times New Roman"/>
          <w:spacing w:val="4"/>
        </w:rPr>
        <w:t xml:space="preserve"> (Dz. U. poz. 700), </w:t>
      </w:r>
      <w:r w:rsidRPr="0023349B">
        <w:rPr>
          <w:rFonts w:ascii="Times New Roman" w:hAnsi="Times New Roman" w:cs="Times New Roman"/>
          <w:bCs/>
        </w:rPr>
        <w:t>do treści a</w:t>
      </w:r>
      <w:r w:rsidRPr="0023349B">
        <w:rPr>
          <w:rFonts w:ascii="Times New Roman" w:eastAsia="Courier New" w:hAnsi="Times New Roman" w:cs="Times New Roman"/>
        </w:rPr>
        <w:t xml:space="preserve">rt. </w:t>
      </w:r>
      <w:r w:rsidRPr="0023349B">
        <w:rPr>
          <w:rFonts w:ascii="Times New Roman" w:hAnsi="Times New Roman" w:cs="Times New Roman"/>
          <w:bCs/>
        </w:rPr>
        <w:t>48a</w:t>
      </w:r>
      <w:r w:rsidRPr="0023349B">
        <w:rPr>
          <w:rFonts w:ascii="Times New Roman" w:hAnsi="Times New Roman" w:cs="Times New Roman"/>
        </w:rPr>
        <w:t xml:space="preserve"> </w:t>
      </w:r>
      <w:r w:rsidRPr="0023349B">
        <w:rPr>
          <w:rFonts w:ascii="Times New Roman" w:hAnsi="Times New Roman" w:cs="Times New Roman"/>
          <w:bCs/>
          <w:i/>
        </w:rPr>
        <w:t>ustawy z dnia 12 marca 2004 r. o pomocy społecznej</w:t>
      </w:r>
      <w:r w:rsidRPr="0023349B">
        <w:rPr>
          <w:rFonts w:ascii="Times New Roman" w:hAnsi="Times New Roman" w:cs="Times New Roman"/>
          <w:bCs/>
        </w:rPr>
        <w:t xml:space="preserve"> (Dz. U. z 2019 r. poz. 1509, 1622, 1690, 1818 i 2473) dodano regulację</w:t>
      </w:r>
      <w:r w:rsidRPr="0023349B">
        <w:rPr>
          <w:rFonts w:ascii="Times New Roman" w:eastAsia="Times New Roman" w:hAnsi="Times New Roman" w:cs="Times New Roman"/>
        </w:rPr>
        <w:t xml:space="preserve">, która wprowadza nową formę placówki </w:t>
      </w:r>
      <w:r w:rsidRPr="0023349B">
        <w:rPr>
          <w:rFonts w:ascii="Times New Roman" w:eastAsia="Courier New" w:hAnsi="Times New Roman" w:cs="Times New Roman"/>
        </w:rPr>
        <w:t>udzielającej tymczasowego schronienia</w:t>
      </w:r>
      <w:r w:rsidRPr="0023349B">
        <w:rPr>
          <w:rFonts w:ascii="Times New Roman" w:hAnsi="Times New Roman" w:cs="Times New Roman"/>
          <w:bCs/>
        </w:rPr>
        <w:t xml:space="preserve">: </w:t>
      </w:r>
      <w:r w:rsidRPr="0023349B">
        <w:rPr>
          <w:rFonts w:ascii="Times New Roman" w:eastAsia="Times New Roman" w:hAnsi="Times New Roman" w:cs="Times New Roman"/>
          <w:i/>
        </w:rPr>
        <w:t>schronisko dla osób bezdomnych z usługami opiekuńczymi</w:t>
      </w:r>
      <w:r w:rsidRPr="0023349B">
        <w:rPr>
          <w:rFonts w:ascii="Times New Roman" w:eastAsia="Times New Roman" w:hAnsi="Times New Roman" w:cs="Times New Roman"/>
        </w:rPr>
        <w:t xml:space="preserve">. Aktualnie </w:t>
      </w:r>
      <w:r w:rsidRPr="0023349B">
        <w:rPr>
          <w:rFonts w:ascii="Times New Roman" w:hAnsi="Times New Roman" w:cs="Times New Roman"/>
        </w:rPr>
        <w:t>zastosowana w </w:t>
      </w:r>
      <w:r w:rsidRPr="0023349B">
        <w:rPr>
          <w:rFonts w:ascii="Times New Roman" w:hAnsi="Times New Roman" w:cs="Times New Roman"/>
          <w:i/>
        </w:rPr>
        <w:t>ustawie o finansowym wsparciu…</w:t>
      </w:r>
      <w:r w:rsidRPr="0023349B">
        <w:rPr>
          <w:rFonts w:ascii="Times New Roman" w:hAnsi="Times New Roman" w:cs="Times New Roman"/>
        </w:rPr>
        <w:t xml:space="preserve"> definicja </w:t>
      </w:r>
      <w:r w:rsidRPr="0023349B">
        <w:rPr>
          <w:rFonts w:ascii="Times New Roman" w:hAnsi="Times New Roman" w:cs="Times New Roman"/>
          <w:i/>
        </w:rPr>
        <w:t>schroniska dla bezdomnych</w:t>
      </w:r>
      <w:r w:rsidRPr="0023349B">
        <w:rPr>
          <w:rFonts w:ascii="Times New Roman" w:hAnsi="Times New Roman" w:cs="Times New Roman"/>
        </w:rPr>
        <w:t xml:space="preserve"> rozpatrywana jest w kontekście realizowanego przedsięwzięcia w rozumieniu tej ustawy i interpretowana jest w szerszym zakresie, tj. zarówno w kontekście obowiązującego art. 48a ust. 2, jak i art. 48a ust. 2b </w:t>
      </w:r>
      <w:r w:rsidRPr="0023349B">
        <w:rPr>
          <w:rFonts w:ascii="Times New Roman" w:hAnsi="Times New Roman" w:cs="Times New Roman"/>
          <w:i/>
        </w:rPr>
        <w:t>ustawy z dnia 12 marca 2004 r. o pomocy społecznej</w:t>
      </w:r>
      <w:r w:rsidRPr="0023349B">
        <w:rPr>
          <w:rFonts w:ascii="Times New Roman" w:hAnsi="Times New Roman" w:cs="Times New Roman"/>
        </w:rPr>
        <w:t>.</w:t>
      </w:r>
      <w:r w:rsidR="009634B9" w:rsidRPr="0023349B">
        <w:rPr>
          <w:rFonts w:ascii="Times New Roman" w:hAnsi="Times New Roman" w:cs="Times New Roman"/>
        </w:rPr>
        <w:t xml:space="preserve"> Zmiana proponowana w art. 2 pkt 3a jest konsekwencją zmiany w pkt 3, gdzie jako pierwsza powołana została ustawa o pomocy społecznej, tym samym przywołanie Dziennika Ustaw w tej jednostce redakcyjnej nie jest już konieczne.</w:t>
      </w:r>
    </w:p>
    <w:p w:rsidR="00C268CB" w:rsidRPr="0023349B" w:rsidRDefault="00C268CB" w:rsidP="0023349B">
      <w:pPr>
        <w:pStyle w:val="Akapitzlist2"/>
        <w:spacing w:after="120" w:line="360" w:lineRule="auto"/>
        <w:ind w:left="0"/>
        <w:jc w:val="both"/>
        <w:rPr>
          <w:rFonts w:ascii="Times New Roman" w:hAnsi="Times New Roman" w:cs="Times New Roman"/>
        </w:rPr>
      </w:pPr>
      <w:r w:rsidRPr="0023349B">
        <w:rPr>
          <w:rFonts w:ascii="Times New Roman" w:hAnsi="Times New Roman" w:cs="Times New Roman"/>
          <w:spacing w:val="4"/>
        </w:rPr>
        <w:t xml:space="preserve">Mając na uwadze deklarację zrealizowania wniosku </w:t>
      </w:r>
      <w:proofErr w:type="spellStart"/>
      <w:r w:rsidRPr="0023349B">
        <w:rPr>
          <w:rFonts w:ascii="Times New Roman" w:hAnsi="Times New Roman" w:cs="Times New Roman"/>
          <w:spacing w:val="4"/>
        </w:rPr>
        <w:t>MRPiPS</w:t>
      </w:r>
      <w:proofErr w:type="spellEnd"/>
      <w:r w:rsidRPr="0023349B">
        <w:rPr>
          <w:rFonts w:ascii="Times New Roman" w:hAnsi="Times New Roman" w:cs="Times New Roman"/>
          <w:spacing w:val="4"/>
        </w:rPr>
        <w:t xml:space="preserve">, w pełni zasadnym jest doprecyzowanie przepisów </w:t>
      </w:r>
      <w:r w:rsidRPr="0023349B">
        <w:rPr>
          <w:rFonts w:ascii="Times New Roman" w:hAnsi="Times New Roman" w:cs="Times New Roman"/>
          <w:i/>
          <w:spacing w:val="4"/>
        </w:rPr>
        <w:t>ustawy o finansowym wsparciu…</w:t>
      </w:r>
      <w:r w:rsidRPr="0023349B">
        <w:rPr>
          <w:rFonts w:ascii="Times New Roman" w:hAnsi="Times New Roman" w:cs="Times New Roman"/>
          <w:spacing w:val="4"/>
        </w:rPr>
        <w:t xml:space="preserve">, w celu ujednolicenia systemu prawa. Stąd w niniejszym projekcie ustawy doprecyzowano, że finansowym wsparciem objęte są placówki </w:t>
      </w:r>
      <w:r w:rsidRPr="0023349B">
        <w:rPr>
          <w:rFonts w:ascii="Times New Roman" w:hAnsi="Times New Roman" w:cs="Times New Roman"/>
        </w:rPr>
        <w:t xml:space="preserve">udzielające tymczasowego schronienia </w:t>
      </w:r>
      <w:r w:rsidRPr="0023349B">
        <w:rPr>
          <w:rFonts w:ascii="Times New Roman" w:hAnsi="Times New Roman" w:cs="Times New Roman"/>
          <w:spacing w:val="4"/>
        </w:rPr>
        <w:t xml:space="preserve">osobom bezdomnym </w:t>
      </w:r>
      <w:r w:rsidRPr="0023349B">
        <w:rPr>
          <w:rFonts w:ascii="Times New Roman" w:hAnsi="Times New Roman" w:cs="Times New Roman"/>
        </w:rPr>
        <w:t>w schronisku dla osób bezdomnych albo w schronisku dla osób bezdomnych z usługami opiekuńczymi.</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b/>
        </w:rPr>
        <w:t xml:space="preserve">Art. </w:t>
      </w:r>
      <w:r w:rsidR="00CF3BB6" w:rsidRPr="0023349B">
        <w:rPr>
          <w:rFonts w:ascii="Times New Roman" w:hAnsi="Times New Roman" w:cs="Times New Roman"/>
          <w:b/>
        </w:rPr>
        <w:t xml:space="preserve">13 </w:t>
      </w:r>
      <w:r w:rsidRPr="0023349B">
        <w:rPr>
          <w:rFonts w:ascii="Times New Roman" w:hAnsi="Times New Roman" w:cs="Times New Roman"/>
          <w:b/>
        </w:rPr>
        <w:t xml:space="preserve">pkt 4 lit. b projektu </w:t>
      </w:r>
      <w:r w:rsidRPr="0023349B">
        <w:rPr>
          <w:rFonts w:ascii="Times New Roman" w:hAnsi="Times New Roman" w:cs="Times New Roman"/>
          <w:b/>
          <w:i/>
        </w:rPr>
        <w:t>ustawy</w:t>
      </w:r>
      <w:r w:rsidRPr="0023349B">
        <w:rPr>
          <w:rFonts w:ascii="Times New Roman" w:hAnsi="Times New Roman" w:cs="Times New Roman"/>
          <w:b/>
        </w:rPr>
        <w:t xml:space="preserve"> </w:t>
      </w:r>
      <w:r w:rsidRPr="0023349B">
        <w:rPr>
          <w:rFonts w:ascii="Times New Roman" w:eastAsia="Times New Roman" w:hAnsi="Times New Roman" w:cs="Times New Roman"/>
        </w:rPr>
        <w:t xml:space="preserve">wprowadza zmiany w </w:t>
      </w:r>
      <w:r w:rsidRPr="0023349B">
        <w:rPr>
          <w:rFonts w:ascii="Times New Roman" w:eastAsia="Times New Roman" w:hAnsi="Times New Roman" w:cs="Times New Roman"/>
          <w:b/>
        </w:rPr>
        <w:t xml:space="preserve">art. 2 pkt 5a </w:t>
      </w:r>
      <w:r w:rsidRPr="0023349B">
        <w:rPr>
          <w:rFonts w:ascii="Times New Roman" w:eastAsia="Times New Roman" w:hAnsi="Times New Roman" w:cs="Times New Roman"/>
          <w:b/>
          <w:i/>
        </w:rPr>
        <w:t>ustawy o finansowym wsparciu…</w:t>
      </w:r>
      <w:r w:rsidRPr="0023349B">
        <w:rPr>
          <w:rFonts w:ascii="Times New Roman" w:eastAsia="Times New Roman" w:hAnsi="Times New Roman" w:cs="Times New Roman"/>
        </w:rPr>
        <w:t xml:space="preserve">, w którym zdefiniowane jest pojęcie beneficjenta wsparcia. Aktualnie wśród podmiotów, które mogą być beneficjentami finansowego wsparcia, występuje </w:t>
      </w:r>
      <w:r w:rsidRPr="0023349B">
        <w:rPr>
          <w:rFonts w:ascii="Times New Roman" w:hAnsi="Times New Roman" w:cs="Times New Roman"/>
        </w:rPr>
        <w:t xml:space="preserve">spółka celowa, o której mowa w art. 7 ustawy z dnia 20 lipca 2017 r. </w:t>
      </w:r>
      <w:r w:rsidRPr="0023349B">
        <w:rPr>
          <w:rFonts w:ascii="Times New Roman" w:hAnsi="Times New Roman" w:cs="Times New Roman"/>
          <w:i/>
        </w:rPr>
        <w:t>o Krajowym Zasobie Nieruchomości</w:t>
      </w:r>
      <w:r w:rsidRPr="0023349B">
        <w:rPr>
          <w:rFonts w:ascii="Times New Roman" w:hAnsi="Times New Roman" w:cs="Times New Roman"/>
        </w:rPr>
        <w:t>, w przypadku gdy Krajowy Zasób Nieruchomości tworzy ją wyłącznie z jednostkami samorządu terytorialnego, a jej wspólnikami, udziałowcami lub akcjonariuszami są wyłącznie Krajowy Zasób Nieruchomości lub jednostki samorządu terytorialnego (dalej zwana:</w:t>
      </w:r>
      <w:r w:rsidR="00193AD6" w:rsidRPr="0023349B">
        <w:rPr>
          <w:rFonts w:ascii="Times New Roman" w:hAnsi="Times New Roman" w:cs="Times New Roman"/>
        </w:rPr>
        <w:t xml:space="preserve"> </w:t>
      </w:r>
      <w:r w:rsidRPr="0023349B">
        <w:rPr>
          <w:rFonts w:ascii="Times New Roman" w:hAnsi="Times New Roman" w:cs="Times New Roman"/>
          <w:i/>
        </w:rPr>
        <w:t>spółką celową</w:t>
      </w:r>
      <w:r w:rsidRPr="0023349B">
        <w:rPr>
          <w:rFonts w:ascii="Times New Roman" w:hAnsi="Times New Roman" w:cs="Times New Roman"/>
        </w:rPr>
        <w:t xml:space="preserve">). </w:t>
      </w:r>
      <w:r w:rsidRPr="0023349B">
        <w:rPr>
          <w:rFonts w:ascii="Times New Roman" w:eastAsia="Times New Roman" w:hAnsi="Times New Roman" w:cs="Times New Roman"/>
        </w:rPr>
        <w:t xml:space="preserve">W </w:t>
      </w:r>
      <w:r w:rsidRPr="0023349B">
        <w:rPr>
          <w:rFonts w:ascii="Times New Roman" w:eastAsia="Times New Roman" w:hAnsi="Times New Roman" w:cs="Times New Roman"/>
          <w:b/>
        </w:rPr>
        <w:t xml:space="preserve">art. </w:t>
      </w:r>
      <w:r w:rsidR="00CF3BB6" w:rsidRPr="0023349B">
        <w:rPr>
          <w:rFonts w:ascii="Times New Roman" w:eastAsia="Times New Roman" w:hAnsi="Times New Roman" w:cs="Times New Roman"/>
          <w:b/>
        </w:rPr>
        <w:t>13</w:t>
      </w:r>
      <w:r w:rsidRPr="0023349B">
        <w:rPr>
          <w:rFonts w:ascii="Times New Roman" w:eastAsia="Times New Roman" w:hAnsi="Times New Roman" w:cs="Times New Roman"/>
          <w:b/>
        </w:rPr>
        <w:t xml:space="preserve"> pkt 4 lit. b </w:t>
      </w:r>
      <w:proofErr w:type="spellStart"/>
      <w:r w:rsidRPr="0023349B">
        <w:rPr>
          <w:rFonts w:ascii="Times New Roman" w:eastAsia="Times New Roman" w:hAnsi="Times New Roman" w:cs="Times New Roman"/>
          <w:b/>
        </w:rPr>
        <w:t>tiret</w:t>
      </w:r>
      <w:proofErr w:type="spellEnd"/>
      <w:r w:rsidRPr="0023349B">
        <w:rPr>
          <w:rFonts w:ascii="Times New Roman" w:eastAsia="Times New Roman" w:hAnsi="Times New Roman" w:cs="Times New Roman"/>
          <w:b/>
        </w:rPr>
        <w:t xml:space="preserve"> pierwsze projektu </w:t>
      </w:r>
      <w:r w:rsidRPr="0023349B">
        <w:rPr>
          <w:rFonts w:ascii="Times New Roman" w:eastAsia="Times New Roman" w:hAnsi="Times New Roman" w:cs="Times New Roman"/>
          <w:b/>
          <w:i/>
        </w:rPr>
        <w:t>ustawy</w:t>
      </w:r>
      <w:r w:rsidRPr="0023349B">
        <w:rPr>
          <w:rFonts w:ascii="Times New Roman" w:eastAsia="Times New Roman" w:hAnsi="Times New Roman" w:cs="Times New Roman"/>
        </w:rPr>
        <w:t xml:space="preserve"> uchyla się </w:t>
      </w:r>
      <w:r w:rsidRPr="0023349B">
        <w:rPr>
          <w:rFonts w:ascii="Times New Roman" w:eastAsia="Times New Roman" w:hAnsi="Times New Roman" w:cs="Times New Roman"/>
          <w:b/>
        </w:rPr>
        <w:t>lit. f w art. 2 w pkt 5a</w:t>
      </w:r>
      <w:r w:rsidRPr="0023349B">
        <w:rPr>
          <w:rFonts w:ascii="Times New Roman" w:eastAsia="Times New Roman" w:hAnsi="Times New Roman" w:cs="Times New Roman"/>
        </w:rPr>
        <w:t xml:space="preserve">, gdzie wymieniona została </w:t>
      </w:r>
      <w:r w:rsidRPr="0023349B">
        <w:rPr>
          <w:rFonts w:ascii="Times New Roman" w:eastAsia="Times New Roman" w:hAnsi="Times New Roman" w:cs="Times New Roman"/>
          <w:i/>
        </w:rPr>
        <w:t>spółka celowa</w:t>
      </w:r>
      <w:r w:rsidRPr="0023349B">
        <w:rPr>
          <w:rFonts w:ascii="Times New Roman" w:eastAsia="Times New Roman" w:hAnsi="Times New Roman" w:cs="Times New Roman"/>
        </w:rPr>
        <w:t>. Obecnie spółka celowa może ubiegać się o środki na tworzenie mieszkaniowego zasobu gminy. Mając jednak na uwadze z</w:t>
      </w:r>
      <w:r w:rsidR="00CF3BB6" w:rsidRPr="0023349B">
        <w:rPr>
          <w:rFonts w:ascii="Times New Roman" w:eastAsia="Times New Roman" w:hAnsi="Times New Roman" w:cs="Times New Roman"/>
        </w:rPr>
        <w:t>miany dokonane ustawą z dnia 13 </w:t>
      </w:r>
      <w:r w:rsidRPr="0023349B">
        <w:rPr>
          <w:rFonts w:ascii="Times New Roman" w:eastAsia="Times New Roman" w:hAnsi="Times New Roman" w:cs="Times New Roman"/>
        </w:rPr>
        <w:t xml:space="preserve">czerwca 2019 r. </w:t>
      </w:r>
      <w:r w:rsidRPr="0023349B">
        <w:rPr>
          <w:rFonts w:ascii="Times New Roman" w:eastAsia="Times New Roman" w:hAnsi="Times New Roman" w:cs="Times New Roman"/>
          <w:i/>
        </w:rPr>
        <w:t xml:space="preserve">o zmianie ustawy o Krajowym Zasobie Nieruchomości oraz niektórych innych </w:t>
      </w:r>
      <w:r w:rsidRPr="0023349B">
        <w:rPr>
          <w:rFonts w:ascii="Times New Roman" w:eastAsia="Times New Roman" w:hAnsi="Times New Roman" w:cs="Times New Roman"/>
        </w:rPr>
        <w:t xml:space="preserve">ustaw </w:t>
      </w:r>
      <w:hyperlink r:id="rId21" w:history="1">
        <w:r w:rsidRPr="0023349B">
          <w:rPr>
            <w:rStyle w:val="Hipercze"/>
            <w:rFonts w:ascii="Times New Roman" w:hAnsi="Times New Roman" w:cs="Times New Roman"/>
            <w:color w:val="auto"/>
            <w:u w:val="none"/>
          </w:rPr>
          <w:t>(Dz. U. z 2019 r. poz. 1309)</w:t>
        </w:r>
      </w:hyperlink>
      <w:r w:rsidRPr="0023349B">
        <w:rPr>
          <w:rFonts w:ascii="Times New Roman" w:eastAsia="Times New Roman" w:hAnsi="Times New Roman" w:cs="Times New Roman"/>
        </w:rPr>
        <w:t>, w ramach których z mieszkaniowego zasobu gminy wykluczone zostały lokale mieszkalne utworzone przez spółki celowe, konieczne jest odpowiednie dostosowanie przepisów ustawy o finansowym wsparciu…. Zmiany w tym zakresie dotyczą również treści art. 1a ustawy o finansowym wsparciu…. Art. 1 pkt 3 projektu ustawy dotyczy uchylenia</w:t>
      </w:r>
      <w:r w:rsidRPr="0023349B">
        <w:rPr>
          <w:rFonts w:ascii="Times New Roman" w:hAnsi="Times New Roman" w:cs="Times New Roman"/>
        </w:rPr>
        <w:t xml:space="preserve"> </w:t>
      </w:r>
      <w:r w:rsidRPr="0023349B">
        <w:rPr>
          <w:rFonts w:ascii="Times New Roman" w:hAnsi="Times New Roman" w:cs="Times New Roman"/>
          <w:b/>
        </w:rPr>
        <w:t xml:space="preserve">art. 1a </w:t>
      </w:r>
      <w:r w:rsidRPr="0023349B">
        <w:rPr>
          <w:rFonts w:ascii="Times New Roman" w:hAnsi="Times New Roman" w:cs="Times New Roman"/>
          <w:b/>
          <w:i/>
        </w:rPr>
        <w:t>ustawy o finansowym wsparciu…</w:t>
      </w:r>
      <w:r w:rsidRPr="0023349B">
        <w:rPr>
          <w:rFonts w:ascii="Times New Roman" w:hAnsi="Times New Roman" w:cs="Times New Roman"/>
        </w:rPr>
        <w:t xml:space="preserve">, w którym uregulowano kwestię stosowania przepisów tej ustawy do lokali mieszkalnych tworzonych przez </w:t>
      </w:r>
      <w:r w:rsidRPr="0023349B">
        <w:rPr>
          <w:rFonts w:ascii="Times New Roman" w:hAnsi="Times New Roman" w:cs="Times New Roman"/>
          <w:i/>
        </w:rPr>
        <w:t>spółki celowe</w:t>
      </w:r>
      <w:r w:rsidR="00CF3BB6" w:rsidRPr="0023349B">
        <w:rPr>
          <w:rFonts w:ascii="Times New Roman" w:hAnsi="Times New Roman" w:cs="Times New Roman"/>
        </w:rPr>
        <w:t>.</w:t>
      </w:r>
      <w:r w:rsidR="00193AD6" w:rsidRPr="0023349B">
        <w:rPr>
          <w:rFonts w:ascii="Times New Roman" w:hAnsi="Times New Roman" w:cs="Times New Roman"/>
        </w:rPr>
        <w:t xml:space="preserve"> </w:t>
      </w:r>
      <w:r w:rsidR="00CF3BB6" w:rsidRPr="0023349B">
        <w:rPr>
          <w:rFonts w:ascii="Times New Roman" w:hAnsi="Times New Roman" w:cs="Times New Roman"/>
        </w:rPr>
        <w:t>Z uwagi na </w:t>
      </w:r>
      <w:r w:rsidRPr="0023349B">
        <w:rPr>
          <w:rFonts w:ascii="Times New Roman" w:hAnsi="Times New Roman" w:cs="Times New Roman"/>
        </w:rPr>
        <w:t xml:space="preserve">zaproponowane w projekcie uchylenie </w:t>
      </w:r>
      <w:r w:rsidRPr="0023349B">
        <w:rPr>
          <w:rFonts w:ascii="Times New Roman" w:eastAsia="Times New Roman" w:hAnsi="Times New Roman" w:cs="Times New Roman"/>
        </w:rPr>
        <w:t xml:space="preserve">lit. f w art. 2 w pkt 5a </w:t>
      </w:r>
      <w:r w:rsidRPr="0023349B">
        <w:rPr>
          <w:rFonts w:ascii="Times New Roman" w:hAnsi="Times New Roman" w:cs="Times New Roman"/>
          <w:i/>
        </w:rPr>
        <w:t>ustawy o finansowym wsparciu…</w:t>
      </w:r>
      <w:r w:rsidRPr="0023349B">
        <w:rPr>
          <w:rFonts w:ascii="Times New Roman" w:eastAsia="Times New Roman" w:hAnsi="Times New Roman" w:cs="Times New Roman"/>
        </w:rPr>
        <w:t xml:space="preserve">, gdzie wymieniona została </w:t>
      </w:r>
      <w:r w:rsidRPr="0023349B">
        <w:rPr>
          <w:rFonts w:ascii="Times New Roman" w:eastAsia="Times New Roman" w:hAnsi="Times New Roman" w:cs="Times New Roman"/>
          <w:i/>
        </w:rPr>
        <w:t>spółka celowa</w:t>
      </w:r>
      <w:r w:rsidRPr="0023349B">
        <w:rPr>
          <w:rFonts w:ascii="Times New Roman" w:eastAsia="Times New Roman" w:hAnsi="Times New Roman" w:cs="Times New Roman"/>
        </w:rPr>
        <w:t xml:space="preserve">, </w:t>
      </w:r>
      <w:r w:rsidRPr="0023349B">
        <w:rPr>
          <w:rFonts w:ascii="Times New Roman" w:hAnsi="Times New Roman" w:cs="Times New Roman"/>
        </w:rPr>
        <w:t>przepis art. 1a stanie się bezprzedmiotowy.</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rPr>
      </w:pPr>
      <w:r w:rsidRPr="0023349B">
        <w:rPr>
          <w:rFonts w:ascii="Times New Roman" w:hAnsi="Times New Roman" w:cs="Times New Roman"/>
          <w:b/>
        </w:rPr>
        <w:t xml:space="preserve">Art. </w:t>
      </w:r>
      <w:r w:rsidR="00CF3BB6" w:rsidRPr="0023349B">
        <w:rPr>
          <w:rFonts w:ascii="Times New Roman" w:hAnsi="Times New Roman" w:cs="Times New Roman"/>
          <w:b/>
        </w:rPr>
        <w:t xml:space="preserve">13 </w:t>
      </w:r>
      <w:r w:rsidRPr="0023349B">
        <w:rPr>
          <w:rFonts w:ascii="Times New Roman" w:hAnsi="Times New Roman" w:cs="Times New Roman"/>
          <w:b/>
        </w:rPr>
        <w:t xml:space="preserve">pkt 4 lit. b </w:t>
      </w:r>
      <w:proofErr w:type="spellStart"/>
      <w:r w:rsidRPr="0023349B">
        <w:rPr>
          <w:rFonts w:ascii="Times New Roman" w:hAnsi="Times New Roman" w:cs="Times New Roman"/>
          <w:b/>
        </w:rPr>
        <w:t>tiret</w:t>
      </w:r>
      <w:proofErr w:type="spellEnd"/>
      <w:r w:rsidRPr="0023349B">
        <w:rPr>
          <w:rFonts w:ascii="Times New Roman" w:hAnsi="Times New Roman" w:cs="Times New Roman"/>
          <w:b/>
        </w:rPr>
        <w:t xml:space="preserve"> drugie projektu ustawy</w:t>
      </w:r>
      <w:r w:rsidRPr="0023349B">
        <w:rPr>
          <w:rFonts w:ascii="Times New Roman" w:hAnsi="Times New Roman" w:cs="Times New Roman"/>
        </w:rPr>
        <w:t xml:space="preserve">, w zakresie </w:t>
      </w:r>
      <w:r w:rsidRPr="0023349B">
        <w:rPr>
          <w:rFonts w:ascii="Times New Roman" w:hAnsi="Times New Roman" w:cs="Times New Roman"/>
          <w:b/>
        </w:rPr>
        <w:t xml:space="preserve">art. 2 pkt 5a lit. g i h </w:t>
      </w:r>
      <w:r w:rsidRPr="0023349B">
        <w:rPr>
          <w:rFonts w:ascii="Times New Roman" w:hAnsi="Times New Roman" w:cs="Times New Roman"/>
          <w:b/>
          <w:i/>
        </w:rPr>
        <w:t>ustawy o finansowym wsparciu…</w:t>
      </w:r>
      <w:r w:rsidRPr="0023349B">
        <w:rPr>
          <w:rFonts w:ascii="Times New Roman" w:hAnsi="Times New Roman" w:cs="Times New Roman"/>
          <w:i/>
        </w:rPr>
        <w:t xml:space="preserve">, </w:t>
      </w:r>
      <w:r w:rsidRPr="0023349B">
        <w:rPr>
          <w:rFonts w:ascii="Times New Roman" w:hAnsi="Times New Roman" w:cs="Times New Roman"/>
        </w:rPr>
        <w:t xml:space="preserve">dotyczy rozszerzenia katalogu beneficjentów programu. </w:t>
      </w:r>
      <w:r w:rsidRPr="0023349B">
        <w:rPr>
          <w:rFonts w:ascii="Times New Roman" w:eastAsia="Times New Roman" w:hAnsi="Times New Roman" w:cs="Times New Roman"/>
        </w:rPr>
        <w:t>Zaproponowane zmiany w </w:t>
      </w:r>
      <w:r w:rsidRPr="0023349B">
        <w:rPr>
          <w:rFonts w:ascii="Times New Roman" w:eastAsia="Times New Roman" w:hAnsi="Times New Roman" w:cs="Times New Roman"/>
          <w:i/>
        </w:rPr>
        <w:t>ustawie o finansowym wsparciu…</w:t>
      </w:r>
      <w:r w:rsidRPr="0023349B">
        <w:rPr>
          <w:rFonts w:ascii="Times New Roman" w:eastAsia="Times New Roman" w:hAnsi="Times New Roman" w:cs="Times New Roman"/>
        </w:rPr>
        <w:t xml:space="preserve"> wprowadzają możliwość uzyskania dofinansowania ze środków Funduszu Dopłat organizacjom pozarządowym oraz podmiotom, o których mowa w art. 3 ust. 3 ustawy z dnia 24 kwietnia 2003 r. </w:t>
      </w:r>
      <w:r w:rsidRPr="0023349B">
        <w:rPr>
          <w:rFonts w:ascii="Times New Roman" w:eastAsia="Times New Roman" w:hAnsi="Times New Roman" w:cs="Times New Roman"/>
          <w:i/>
        </w:rPr>
        <w:t>o działalności pożytku publicznego i o wolontariacie</w:t>
      </w:r>
      <w:r w:rsidRPr="0023349B">
        <w:rPr>
          <w:rFonts w:ascii="Times New Roman" w:eastAsia="Times New Roman" w:hAnsi="Times New Roman" w:cs="Times New Roman"/>
        </w:rPr>
        <w:t xml:space="preserve">. Celem zaproponowanych zmian jest likwidacja dotychczasowej bariery prawnej w dostępie do środków Funduszu Dopłat BGK na dofinansowanie inwestycji związanych z rozwiązywaniem problemu bezdomności podmiotom świadczącym taką pomoc. Jednocześnie zrezygnowano w </w:t>
      </w:r>
      <w:r w:rsidRPr="0023349B">
        <w:rPr>
          <w:rFonts w:ascii="Times New Roman" w:eastAsia="Times New Roman" w:hAnsi="Times New Roman" w:cs="Times New Roman"/>
          <w:i/>
        </w:rPr>
        <w:t>ustawie</w:t>
      </w:r>
      <w:r w:rsidR="00193AD6" w:rsidRPr="0023349B">
        <w:rPr>
          <w:rFonts w:ascii="Times New Roman" w:eastAsia="Times New Roman" w:hAnsi="Times New Roman" w:cs="Times New Roman"/>
          <w:i/>
        </w:rPr>
        <w:t xml:space="preserve"> </w:t>
      </w:r>
      <w:r w:rsidRPr="0023349B">
        <w:rPr>
          <w:rFonts w:ascii="Times New Roman" w:eastAsia="Times New Roman" w:hAnsi="Times New Roman" w:cs="Times New Roman"/>
        </w:rPr>
        <w:t xml:space="preserve">z posługiwania się w odniesieniu do beneficjenta wsparcia pojęciem „organizacja pożytku publicznego” z uwagi na fakt, że występujące w ustawie pojęcie „organizacja pozarządowa” oraz „podmiot, o którym mowa w art. 3 ust. 3 </w:t>
      </w:r>
      <w:r w:rsidRPr="0023349B">
        <w:rPr>
          <w:rFonts w:ascii="Times New Roman" w:eastAsia="Times New Roman" w:hAnsi="Times New Roman" w:cs="Times New Roman"/>
          <w:i/>
        </w:rPr>
        <w:t>ustawy o działalności pożytku publicznego</w:t>
      </w:r>
      <w:r w:rsidRPr="0023349B">
        <w:rPr>
          <w:rFonts w:ascii="Times New Roman" w:eastAsia="Times New Roman" w:hAnsi="Times New Roman" w:cs="Times New Roman"/>
        </w:rPr>
        <w:t xml:space="preserve"> obejmuje swoim zakresem również </w:t>
      </w:r>
      <w:proofErr w:type="spellStart"/>
      <w:r w:rsidRPr="0023349B">
        <w:rPr>
          <w:rFonts w:ascii="Times New Roman" w:eastAsia="Times New Roman" w:hAnsi="Times New Roman" w:cs="Times New Roman"/>
        </w:rPr>
        <w:t>opp</w:t>
      </w:r>
      <w:proofErr w:type="spellEnd"/>
      <w:r w:rsidRPr="0023349B">
        <w:rPr>
          <w:rFonts w:ascii="Times New Roman" w:eastAsia="Times New Roman" w:hAnsi="Times New Roman" w:cs="Times New Roman"/>
        </w:rPr>
        <w:t>.</w:t>
      </w:r>
      <w:r w:rsidR="00B40567" w:rsidRPr="0023349B">
        <w:rPr>
          <w:rFonts w:ascii="Times New Roman" w:eastAsia="Times New Roman" w:hAnsi="Times New Roman" w:cs="Times New Roman"/>
        </w:rPr>
        <w:t xml:space="preserve"> </w:t>
      </w:r>
      <w:r w:rsidRPr="0023349B">
        <w:rPr>
          <w:rFonts w:ascii="Times New Roman" w:eastAsia="Times New Roman" w:hAnsi="Times New Roman" w:cs="Times New Roman"/>
        </w:rPr>
        <w:t xml:space="preserve">Oprócz organizacji pozarządowych, zgodnie z rekomendacjami Rady Działalności Pożytku Publicznego, katalog beneficjentów wsparcia zostanie poszerzony także o podmioty, o których mowa w art. 3 ust. 3 </w:t>
      </w:r>
      <w:r w:rsidRPr="0023349B">
        <w:rPr>
          <w:rFonts w:ascii="Times New Roman" w:hAnsi="Times New Roman" w:cs="Times New Roman"/>
        </w:rPr>
        <w:t xml:space="preserve">ustawy z dnia 24 kwietnia 2003 r. </w:t>
      </w:r>
      <w:r w:rsidRPr="0023349B">
        <w:rPr>
          <w:rFonts w:ascii="Times New Roman" w:hAnsi="Times New Roman" w:cs="Times New Roman"/>
          <w:i/>
        </w:rPr>
        <w:t xml:space="preserve">o działalności pożytku publicznego i o wolontariacie. </w:t>
      </w:r>
      <w:r w:rsidRPr="0023349B">
        <w:rPr>
          <w:rFonts w:ascii="Times New Roman" w:hAnsi="Times New Roman" w:cs="Times New Roman"/>
        </w:rPr>
        <w:t>Będą to:</w:t>
      </w:r>
    </w:p>
    <w:p w:rsidR="00C268CB" w:rsidRPr="0023349B" w:rsidRDefault="00C268CB" w:rsidP="0023349B">
      <w:pPr>
        <w:numPr>
          <w:ilvl w:val="0"/>
          <w:numId w:val="37"/>
        </w:numPr>
        <w:tabs>
          <w:tab w:val="left" w:pos="0"/>
        </w:tabs>
        <w:spacing w:after="120" w:line="360" w:lineRule="auto"/>
        <w:ind w:left="568" w:hanging="284"/>
        <w:jc w:val="both"/>
        <w:rPr>
          <w:rFonts w:ascii="Times New Roman" w:eastAsia="Times New Roman" w:hAnsi="Times New Roman" w:cs="Times New Roman"/>
        </w:rPr>
      </w:pPr>
      <w:r w:rsidRPr="0023349B">
        <w:rPr>
          <w:rFonts w:ascii="Times New Roman" w:eastAsia="Times New Roman" w:hAnsi="Times New Roman" w:cs="Times New Roman"/>
        </w:rPr>
        <w:t>osoby prawne i jednostki organizacyjne działające na podstawie przepisów o stosunku Państwa do Kościoła Katolickiego w Rzeczypospolitej Polskiej, o stosunku Państwa do innych kościołów i związków wyznaniowych oraz o gwarancjach wolności sumienia i wyznania, jeżeli ich cele statutowe obejmują prowadzenie działalności pożytku publicznego,</w:t>
      </w:r>
    </w:p>
    <w:p w:rsidR="00C268CB" w:rsidRPr="0023349B" w:rsidRDefault="00C268CB" w:rsidP="0023349B">
      <w:pPr>
        <w:numPr>
          <w:ilvl w:val="0"/>
          <w:numId w:val="37"/>
        </w:numPr>
        <w:tabs>
          <w:tab w:val="left" w:pos="0"/>
        </w:tabs>
        <w:spacing w:after="120" w:line="360" w:lineRule="auto"/>
        <w:ind w:left="568" w:hanging="284"/>
        <w:jc w:val="both"/>
        <w:rPr>
          <w:rFonts w:ascii="Times New Roman" w:eastAsia="Times New Roman" w:hAnsi="Times New Roman" w:cs="Times New Roman"/>
        </w:rPr>
      </w:pPr>
      <w:r w:rsidRPr="0023349B">
        <w:rPr>
          <w:rFonts w:ascii="Times New Roman" w:eastAsia="Times New Roman" w:hAnsi="Times New Roman" w:cs="Times New Roman"/>
        </w:rPr>
        <w:t>stowarzyszenia jednostek samorządu terytorialnego,</w:t>
      </w:r>
    </w:p>
    <w:p w:rsidR="00CF3BB6" w:rsidRPr="0023349B" w:rsidRDefault="00C268CB" w:rsidP="0023349B">
      <w:pPr>
        <w:numPr>
          <w:ilvl w:val="0"/>
          <w:numId w:val="37"/>
        </w:numPr>
        <w:tabs>
          <w:tab w:val="left" w:pos="0"/>
        </w:tabs>
        <w:spacing w:after="120" w:line="360" w:lineRule="auto"/>
        <w:ind w:left="568" w:hanging="284"/>
        <w:jc w:val="both"/>
        <w:rPr>
          <w:rFonts w:ascii="Times New Roman" w:eastAsia="Times New Roman" w:hAnsi="Times New Roman" w:cs="Times New Roman"/>
        </w:rPr>
      </w:pPr>
      <w:r w:rsidRPr="0023349B">
        <w:rPr>
          <w:rFonts w:ascii="Times New Roman" w:eastAsia="Times New Roman" w:hAnsi="Times New Roman" w:cs="Times New Roman"/>
        </w:rPr>
        <w:t>spółdzielnie socjalne,</w:t>
      </w:r>
    </w:p>
    <w:p w:rsidR="00C268CB" w:rsidRPr="0023349B" w:rsidRDefault="00C268CB" w:rsidP="0023349B">
      <w:pPr>
        <w:numPr>
          <w:ilvl w:val="0"/>
          <w:numId w:val="37"/>
        </w:numPr>
        <w:tabs>
          <w:tab w:val="left" w:pos="0"/>
        </w:tabs>
        <w:spacing w:after="120" w:line="360" w:lineRule="auto"/>
        <w:ind w:left="568" w:hanging="284"/>
        <w:jc w:val="both"/>
        <w:rPr>
          <w:rFonts w:ascii="Times New Roman" w:eastAsia="Times New Roman" w:hAnsi="Times New Roman" w:cs="Times New Roman"/>
        </w:rPr>
      </w:pPr>
      <w:r w:rsidRPr="0023349B">
        <w:rPr>
          <w:rFonts w:ascii="Times New Roman" w:eastAsia="Times New Roman" w:hAnsi="Times New Roman" w:cs="Times New Roman"/>
        </w:rPr>
        <w:t>spółki akcyjne i spółki z ograniczoną odpowiedzialnością oraz kluby sportowe będące spółkami działającymi na podstawie przepisów ustawy z dnia 25 czerwca 2010 r. o sporcie (Dz. U. z 2019 r. poz. 1468, 1495 i 2251), które nie działają w celu osiągnięcia zysku oraz przeznaczają całość dochodu na realizację celów statutowych oraz nie przeznaczają zysku do podziału między swoich udziałowców, akcjonariuszy i pracowników.</w:t>
      </w:r>
    </w:p>
    <w:p w:rsidR="00F16616" w:rsidRPr="0023349B" w:rsidRDefault="00F16616" w:rsidP="0023349B">
      <w:pPr>
        <w:spacing w:after="240" w:line="360" w:lineRule="auto"/>
        <w:jc w:val="both"/>
        <w:rPr>
          <w:rFonts w:ascii="Times New Roman" w:eastAsia="Times New Roman" w:hAnsi="Times New Roman" w:cs="Times New Roman"/>
        </w:rPr>
      </w:pPr>
      <w:r w:rsidRPr="0023349B">
        <w:rPr>
          <w:rFonts w:ascii="Times New Roman" w:hAnsi="Times New Roman" w:cs="Times New Roman"/>
          <w:b/>
        </w:rPr>
        <w:t>Art. 13 pkt 4 lit. c projektu ustawy</w:t>
      </w:r>
      <w:r w:rsidRPr="0023349B">
        <w:rPr>
          <w:rFonts w:ascii="Times New Roman" w:hAnsi="Times New Roman" w:cs="Times New Roman"/>
        </w:rPr>
        <w:t xml:space="preserve">, w zakresie </w:t>
      </w:r>
      <w:r w:rsidRPr="0023349B">
        <w:rPr>
          <w:rFonts w:ascii="Times New Roman" w:hAnsi="Times New Roman" w:cs="Times New Roman"/>
          <w:b/>
        </w:rPr>
        <w:t xml:space="preserve">art. 2 pkt 7 </w:t>
      </w:r>
      <w:r w:rsidRPr="0023349B">
        <w:rPr>
          <w:rFonts w:ascii="Times New Roman" w:hAnsi="Times New Roman" w:cs="Times New Roman"/>
          <w:b/>
          <w:i/>
        </w:rPr>
        <w:t>ustawy o finansowym wsparciu…,</w:t>
      </w:r>
      <w:r w:rsidR="00193AD6" w:rsidRPr="0023349B">
        <w:rPr>
          <w:rFonts w:ascii="Times New Roman" w:hAnsi="Times New Roman" w:cs="Times New Roman"/>
          <w:b/>
          <w:i/>
        </w:rPr>
        <w:t xml:space="preserve"> </w:t>
      </w:r>
      <w:r w:rsidRPr="0023349B">
        <w:rPr>
          <w:rFonts w:ascii="Times New Roman" w:hAnsi="Times New Roman" w:cs="Times New Roman"/>
        </w:rPr>
        <w:t xml:space="preserve">dotyczy zastąpienia dotychczasowej nazwy „towarzystwa budownictwa społecznego” bardziej oddającym charakter tych podmiotów określeniem „społeczna inicjatywa mieszkaniowa”. </w:t>
      </w:r>
    </w:p>
    <w:p w:rsidR="00F16616" w:rsidRPr="0023349B" w:rsidRDefault="00F16616"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Zmiana 5: art. 2 pkt 5a lit. b i pkt 7a, art. 5a ust. 1 i ust. 2, art. 6 ust. 3 pkt 1</w:t>
      </w:r>
    </w:p>
    <w:p w:rsidR="00F16616" w:rsidRPr="0023349B" w:rsidRDefault="00F16616"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Zmiana jest konsekwencją wprowadzenia do </w:t>
      </w:r>
      <w:r w:rsidRPr="0023349B">
        <w:rPr>
          <w:rFonts w:ascii="Times New Roman" w:hAnsi="Times New Roman" w:cs="Times New Roman"/>
          <w:i/>
        </w:rPr>
        <w:t>ustawy</w:t>
      </w:r>
      <w:r w:rsidRPr="0023349B">
        <w:rPr>
          <w:rFonts w:ascii="Times New Roman" w:hAnsi="Times New Roman" w:cs="Times New Roman"/>
        </w:rPr>
        <w:t xml:space="preserve"> </w:t>
      </w:r>
      <w:r w:rsidRPr="0023349B">
        <w:rPr>
          <w:rFonts w:ascii="Times New Roman" w:hAnsi="Times New Roman" w:cs="Times New Roman"/>
          <w:i/>
        </w:rPr>
        <w:t>o niektórych formach…</w:t>
      </w:r>
      <w:r w:rsidRPr="0023349B">
        <w:rPr>
          <w:rFonts w:ascii="Times New Roman" w:hAnsi="Times New Roman" w:cs="Times New Roman"/>
        </w:rPr>
        <w:t xml:space="preserve"> nazewnictwa bardziej oddającego charakter podmiotów, których działalność skupia się na tworzeniu zasobu mieszkaniowego w segmencie budownictwa społecznego. W związku z powyższym nastąpiła konieczność dostosowania nazewnictwa zastosowanego w </w:t>
      </w:r>
      <w:r w:rsidRPr="0023349B">
        <w:rPr>
          <w:rFonts w:ascii="Times New Roman" w:hAnsi="Times New Roman" w:cs="Times New Roman"/>
          <w:i/>
        </w:rPr>
        <w:t xml:space="preserve">ustawie o finansowym wsparciu… </w:t>
      </w:r>
      <w:r w:rsidRPr="0023349B">
        <w:rPr>
          <w:rFonts w:ascii="Times New Roman" w:hAnsi="Times New Roman" w:cs="Times New Roman"/>
        </w:rPr>
        <w:t>Użyte w różnej liczbie i przypadku wyrazy „towarzystwa budownictwa społecznego” zastępuje się użytymi w odpowiedniej liczbie i odpowiednim przypadku wyrazami „społeczna inicjatywa mieszkaniowa.</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16616" w:rsidRPr="0023349B">
        <w:rPr>
          <w:rFonts w:ascii="Times New Roman" w:hAnsi="Times New Roman" w:cs="Times New Roman"/>
          <w:u w:val="single"/>
        </w:rPr>
        <w:t>6</w:t>
      </w:r>
      <w:r w:rsidRPr="0023349B">
        <w:rPr>
          <w:rFonts w:ascii="Times New Roman" w:hAnsi="Times New Roman" w:cs="Times New Roman"/>
          <w:u w:val="single"/>
        </w:rPr>
        <w:t>: art. 3 ust. 1 i 4</w:t>
      </w:r>
    </w:p>
    <w:p w:rsidR="00C268CB" w:rsidRPr="0023349B" w:rsidRDefault="00C268CB" w:rsidP="0023349B">
      <w:pPr>
        <w:pStyle w:val="Akapitzlist2"/>
        <w:spacing w:after="120" w:line="360" w:lineRule="auto"/>
        <w:ind w:left="0"/>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 xml:space="preserve">art. </w:t>
      </w:r>
      <w:r w:rsidR="00CF3BB6" w:rsidRPr="0023349B">
        <w:rPr>
          <w:rFonts w:ascii="Times New Roman" w:hAnsi="Times New Roman" w:cs="Times New Roman"/>
          <w:b/>
        </w:rPr>
        <w:t xml:space="preserve">13 </w:t>
      </w:r>
      <w:r w:rsidRPr="0023349B">
        <w:rPr>
          <w:rFonts w:ascii="Times New Roman" w:hAnsi="Times New Roman" w:cs="Times New Roman"/>
          <w:b/>
        </w:rPr>
        <w:t xml:space="preserve">pkt 5 lit. a projektu </w:t>
      </w:r>
      <w:r w:rsidRPr="0023349B">
        <w:rPr>
          <w:rFonts w:ascii="Times New Roman" w:hAnsi="Times New Roman" w:cs="Times New Roman"/>
          <w:b/>
          <w:i/>
        </w:rPr>
        <w:t>ustawy</w:t>
      </w:r>
      <w:r w:rsidRPr="0023349B">
        <w:rPr>
          <w:rFonts w:ascii="Times New Roman" w:hAnsi="Times New Roman" w:cs="Times New Roman"/>
        </w:rPr>
        <w:t xml:space="preserve"> zostały zawarte zmiany w zakresie </w:t>
      </w:r>
      <w:r w:rsidRPr="0023349B">
        <w:rPr>
          <w:rFonts w:ascii="Times New Roman" w:hAnsi="Times New Roman" w:cs="Times New Roman"/>
          <w:b/>
        </w:rPr>
        <w:t xml:space="preserve">art. 3 ust. 1 wstęp do wyliczenia oraz pkt </w:t>
      </w:r>
      <w:r w:rsidRPr="0023349B">
        <w:rPr>
          <w:rFonts w:ascii="Times New Roman" w:hAnsi="Times New Roman" w:cs="Times New Roman"/>
          <w:bCs/>
        </w:rPr>
        <w:t>1</w:t>
      </w:r>
      <w:r w:rsidRPr="0023349B">
        <w:rPr>
          <w:rFonts w:ascii="Times New Roman" w:hAnsi="Times New Roman" w:cs="Times New Roman"/>
        </w:rPr>
        <w:t>–</w:t>
      </w:r>
      <w:r w:rsidRPr="0023349B">
        <w:rPr>
          <w:rFonts w:ascii="Times New Roman" w:hAnsi="Times New Roman" w:cs="Times New Roman"/>
          <w:bCs/>
        </w:rPr>
        <w:t>4</w:t>
      </w:r>
      <w:r w:rsidRPr="0023349B">
        <w:rPr>
          <w:rFonts w:ascii="Times New Roman" w:hAnsi="Times New Roman" w:cs="Times New Roman"/>
          <w:b/>
        </w:rPr>
        <w:t xml:space="preserve"> </w:t>
      </w:r>
      <w:r w:rsidRPr="0023349B">
        <w:rPr>
          <w:rFonts w:ascii="Times New Roman" w:hAnsi="Times New Roman" w:cs="Times New Roman"/>
          <w:b/>
          <w:i/>
        </w:rPr>
        <w:t>ustawy o finansowym wsparciu…</w:t>
      </w:r>
      <w:r w:rsidRPr="0023349B">
        <w:rPr>
          <w:rFonts w:ascii="Times New Roman" w:hAnsi="Times New Roman" w:cs="Times New Roman"/>
          <w:i/>
        </w:rPr>
        <w:t xml:space="preserve">. </w:t>
      </w:r>
      <w:r w:rsidRPr="0023349B">
        <w:rPr>
          <w:rFonts w:ascii="Times New Roman" w:hAnsi="Times New Roman" w:cs="Times New Roman"/>
        </w:rPr>
        <w:t xml:space="preserve">Zmiany związane są z rozszerzeniem zakresu przedmiotowego </w:t>
      </w:r>
      <w:r w:rsidRPr="0023349B">
        <w:rPr>
          <w:rFonts w:ascii="Times New Roman" w:hAnsi="Times New Roman" w:cs="Times New Roman"/>
          <w:i/>
        </w:rPr>
        <w:t>ustawy o finansowym wsparciu</w:t>
      </w:r>
      <w:r w:rsidRPr="0023349B">
        <w:rPr>
          <w:rFonts w:ascii="Times New Roman" w:hAnsi="Times New Roman" w:cs="Times New Roman"/>
        </w:rPr>
        <w:t>…o modernizację istniejącego zasobu mieszkaniowego.</w:t>
      </w:r>
    </w:p>
    <w:p w:rsidR="00C268CB" w:rsidRPr="0023349B" w:rsidRDefault="00C268CB" w:rsidP="0023349B">
      <w:pPr>
        <w:pStyle w:val="Akapitzlist2"/>
        <w:spacing w:after="240" w:line="360" w:lineRule="auto"/>
        <w:ind w:left="0"/>
        <w:jc w:val="both"/>
        <w:rPr>
          <w:rFonts w:ascii="Times New Roman" w:hAnsi="Times New Roman" w:cs="Times New Roman"/>
        </w:rPr>
      </w:pPr>
      <w:r w:rsidRPr="0023349B">
        <w:rPr>
          <w:rFonts w:ascii="Times New Roman" w:hAnsi="Times New Roman" w:cs="Times New Roman"/>
        </w:rPr>
        <w:t xml:space="preserve">Aktualnie </w:t>
      </w:r>
      <w:r w:rsidRPr="0023349B">
        <w:rPr>
          <w:rFonts w:ascii="Times New Roman" w:hAnsi="Times New Roman" w:cs="Times New Roman"/>
          <w:i/>
        </w:rPr>
        <w:t>ustawa o finansowym wsparciu…</w:t>
      </w:r>
      <w:r w:rsidRPr="0023349B">
        <w:rPr>
          <w:rFonts w:ascii="Times New Roman" w:hAnsi="Times New Roman" w:cs="Times New Roman"/>
        </w:rPr>
        <w:t xml:space="preserve"> przewiduje uzyskanie finansowego wsparcia na przedsięwzięcie polegające na remoncie lub przebudowie:</w:t>
      </w:r>
    </w:p>
    <w:p w:rsidR="00C268CB" w:rsidRPr="0023349B" w:rsidRDefault="00C268CB" w:rsidP="0023349B">
      <w:pPr>
        <w:pStyle w:val="Default"/>
        <w:numPr>
          <w:ilvl w:val="0"/>
          <w:numId w:val="38"/>
        </w:numPr>
        <w:tabs>
          <w:tab w:val="left" w:pos="0"/>
        </w:tabs>
        <w:spacing w:after="120" w:line="360" w:lineRule="auto"/>
        <w:ind w:left="284" w:hanging="284"/>
        <w:jc w:val="both"/>
        <w:rPr>
          <w:rFonts w:ascii="Times New Roman" w:hAnsi="Times New Roman" w:cs="Times New Roman"/>
          <w:color w:val="auto"/>
        </w:rPr>
      </w:pPr>
      <w:r w:rsidRPr="0023349B">
        <w:rPr>
          <w:rFonts w:ascii="Times New Roman" w:hAnsi="Times New Roman" w:cs="Times New Roman"/>
          <w:color w:val="auto"/>
        </w:rPr>
        <w:t xml:space="preserve">budynku niemieszkalnego przeznaczonego na pobyt ludzi albo części takiego budynku, </w:t>
      </w:r>
    </w:p>
    <w:p w:rsidR="00C268CB" w:rsidRPr="0023349B" w:rsidRDefault="00C268CB" w:rsidP="0023349B">
      <w:pPr>
        <w:pStyle w:val="Default"/>
        <w:numPr>
          <w:ilvl w:val="0"/>
          <w:numId w:val="38"/>
        </w:numPr>
        <w:tabs>
          <w:tab w:val="left" w:pos="0"/>
        </w:tabs>
        <w:spacing w:after="120" w:line="360" w:lineRule="auto"/>
        <w:ind w:left="284" w:hanging="284"/>
        <w:jc w:val="both"/>
        <w:rPr>
          <w:rFonts w:ascii="Times New Roman" w:hAnsi="Times New Roman" w:cs="Times New Roman"/>
          <w:color w:val="auto"/>
        </w:rPr>
      </w:pPr>
      <w:r w:rsidRPr="0023349B">
        <w:rPr>
          <w:rFonts w:ascii="Times New Roman" w:hAnsi="Times New Roman" w:cs="Times New Roman"/>
          <w:color w:val="auto"/>
        </w:rPr>
        <w:t>budynku mieszkalnego albo części takiego budynku, jeżeli budynek mieszkalny albo jego część, ze względu na stan techniczny, został wyłączony z użytkowania albo zakazano jego użytkowania na podstawie art. 66 ust. 2 albo art. 68 pkt 1 Prawa budowlanego.</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Obserwacja programu BSK wykazuje, że gminy posiadają lokale, które ze względu na zły stan techniczny nie mogą być wykorzystywane na cele mieszkaniowe. </w:t>
      </w:r>
      <w:r w:rsidRPr="0023349B">
        <w:rPr>
          <w:rFonts w:ascii="Times New Roman" w:eastAsia="Times New Roman" w:hAnsi="Times New Roman" w:cs="Times New Roman"/>
          <w:bCs/>
        </w:rPr>
        <w:t xml:space="preserve">Istotną rolę w zaspokajaniu potrzeb mieszkaniowych, obok nowych inwestycji, może odegrać modernizacja istniejącego zasobu mieszkaniowego gmin, który z uwagi na dewastację nie jest wykorzystywany. </w:t>
      </w:r>
      <w:r w:rsidRPr="0023349B">
        <w:rPr>
          <w:rFonts w:ascii="Times New Roman" w:hAnsi="Times New Roman" w:cs="Times New Roman"/>
        </w:rPr>
        <w:t>Według danych Głównego Urzędu Statystycznego na koniec 2018 r. pustostany stanowiły ok. 6,5% wszystkich mieszkań gminnych (ponad 54 tysiące mieszkań niezasiedlonych).</w:t>
      </w:r>
    </w:p>
    <w:p w:rsidR="00C268CB" w:rsidRPr="0023349B" w:rsidRDefault="00C268CB" w:rsidP="0023349B">
      <w:pPr>
        <w:spacing w:after="120" w:line="360" w:lineRule="auto"/>
        <w:jc w:val="both"/>
        <w:rPr>
          <w:rFonts w:ascii="Times New Roman" w:eastAsia="Times New Roman" w:hAnsi="Times New Roman" w:cs="Times New Roman"/>
          <w:bCs/>
        </w:rPr>
      </w:pPr>
      <w:r w:rsidRPr="0023349B">
        <w:rPr>
          <w:rFonts w:ascii="Times New Roman" w:eastAsia="Times New Roman" w:hAnsi="Times New Roman" w:cs="Times New Roman"/>
          <w:bCs/>
        </w:rPr>
        <w:t xml:space="preserve">Warto zwrócić uwagę, że pomimo systematycznego wzrostu nowo oddawanych mieszkań w strukturze zasobu mieszkaniowego w Polsce mieszkania przeznaczone dla osób o niższych dochodach stanowiły w 2019 r. jedynie 2,2% liczby nowo wybudowanych mieszkań. Oznacza to, że wzrost liczby oddawanych do użytku mieszkań nie poprawia w znaczący sposób dostępności mieszkań dla osób o dochodach zbyt niskich, by nabyć lub wynająć mieszkanie na zasadach rynkowych, a jednocześnie zbyt wysokich, aby móc ubiegać się o najem mieszkania komunalnego. </w:t>
      </w:r>
    </w:p>
    <w:p w:rsidR="00C268CB" w:rsidRPr="0023349B" w:rsidRDefault="00C268CB" w:rsidP="0023349B">
      <w:pPr>
        <w:tabs>
          <w:tab w:val="left" w:pos="284"/>
        </w:tabs>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bCs/>
        </w:rPr>
        <w:t xml:space="preserve">Wnioski płynące z realizacji programu BSK wskazują, że barierą w korzystaniu z programu jest konieczność pozyskiwania decyzji powiatowego inspektora nadzoru budowlanego (PINB) w trybie art. 66 albo art. 68 Prawa budowlanego o wyłączeniu zasobu z użytkowania albo o zakazie użytkowania. </w:t>
      </w:r>
      <w:r w:rsidRPr="0023349B">
        <w:rPr>
          <w:rFonts w:ascii="Times New Roman" w:eastAsia="Times New Roman" w:hAnsi="Times New Roman" w:cs="Times New Roman"/>
        </w:rPr>
        <w:t xml:space="preserve">W projekcie ustawy zaproponowano modyfikację przedmiotowego instrumentu, polegającą na rezygnacji z wymogu pozyskania decyzji PINB. W zamian dofinansowaniem objęte będą przedsięwzięcia polegające na remoncie </w:t>
      </w:r>
      <w:r w:rsidRPr="0023349B">
        <w:rPr>
          <w:rFonts w:ascii="Times New Roman" w:hAnsi="Times New Roman" w:cs="Times New Roman"/>
          <w:bCs/>
        </w:rPr>
        <w:t>lub przebudowie budynku mieszkalnego albo części takiego budynku, jeżeli remont lub przebudowa nie dotyczy lokalu mieszkalnego zajmowanego przez lokatora na podstawie obowiązującej umowy najmu.</w:t>
      </w:r>
      <w:r w:rsidR="00193AD6" w:rsidRPr="0023349B">
        <w:rPr>
          <w:rFonts w:ascii="Times New Roman" w:hAnsi="Times New Roman" w:cs="Times New Roman"/>
          <w:bCs/>
        </w:rPr>
        <w:t xml:space="preserve"> </w:t>
      </w:r>
      <w:r w:rsidRPr="0023349B">
        <w:rPr>
          <w:rFonts w:ascii="Times New Roman" w:eastAsia="Times New Roman" w:hAnsi="Times New Roman" w:cs="Times New Roman"/>
        </w:rPr>
        <w:t xml:space="preserve">Pozwoli to na odzyskanie zdewastowanego, niezamieszkanego zasobu przez przywrócenie jego funkcjonalności (chodzi o zasoby o bardzo niskim standardzie, np. mieszkania bez indywidualnych węzłów sanitarnych, ale także zasoby zniszczone przez upływ czasu lub żywioł, np. pożar lub wiatr), a tym samym przyczyni się do zmniejszenia kolejki oczekujących na lokale komunalne. </w:t>
      </w:r>
    </w:p>
    <w:p w:rsidR="00C268CB" w:rsidRPr="0023349B" w:rsidRDefault="00C268CB" w:rsidP="0023349B">
      <w:pPr>
        <w:tabs>
          <w:tab w:val="left" w:pos="284"/>
        </w:tabs>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Ponadto zmiany w zakresie </w:t>
      </w:r>
      <w:r w:rsidRPr="0023349B">
        <w:rPr>
          <w:rFonts w:ascii="Times New Roman" w:hAnsi="Times New Roman" w:cs="Times New Roman"/>
        </w:rPr>
        <w:t>art. 3 ust. 1 pkt 1</w:t>
      </w:r>
      <w:r w:rsidRPr="0023349B">
        <w:rPr>
          <w:rFonts w:ascii="Times New Roman" w:hAnsi="Times New Roman" w:cs="Times New Roman"/>
          <w:bCs/>
        </w:rPr>
        <w:t>–</w:t>
      </w:r>
      <w:r w:rsidRPr="0023349B">
        <w:rPr>
          <w:rFonts w:ascii="Times New Roman" w:hAnsi="Times New Roman" w:cs="Times New Roman"/>
        </w:rPr>
        <w:t xml:space="preserve">4 </w:t>
      </w:r>
      <w:r w:rsidRPr="0023349B">
        <w:rPr>
          <w:rFonts w:ascii="Times New Roman" w:hAnsi="Times New Roman" w:cs="Times New Roman"/>
          <w:i/>
        </w:rPr>
        <w:t xml:space="preserve">ustawy o finansowym wsparciu … </w:t>
      </w:r>
      <w:r w:rsidRPr="0023349B">
        <w:rPr>
          <w:rFonts w:ascii="Times New Roman" w:hAnsi="Times New Roman" w:cs="Times New Roman"/>
        </w:rPr>
        <w:t>dotyczą uzupełniających rozwiązań zawartych w projekcie ustawy, związanych z</w:t>
      </w:r>
      <w:r w:rsidRPr="0023349B">
        <w:rPr>
          <w:rFonts w:ascii="Times New Roman" w:hAnsi="Times New Roman" w:cs="Times New Roman"/>
          <w:b/>
        </w:rPr>
        <w:t xml:space="preserve"> </w:t>
      </w:r>
      <w:r w:rsidRPr="0023349B">
        <w:rPr>
          <w:rFonts w:ascii="Times New Roman" w:eastAsia="Times New Roman" w:hAnsi="Times New Roman" w:cs="Times New Roman"/>
        </w:rPr>
        <w:t xml:space="preserve">uchyleniem wśród beneficjentów wsparcia </w:t>
      </w:r>
      <w:r w:rsidRPr="0023349B">
        <w:rPr>
          <w:rFonts w:ascii="Times New Roman" w:eastAsia="Times New Roman" w:hAnsi="Times New Roman" w:cs="Times New Roman"/>
          <w:i/>
        </w:rPr>
        <w:t>spółki celowej</w:t>
      </w:r>
      <w:r w:rsidRPr="0023349B">
        <w:rPr>
          <w:rFonts w:ascii="Times New Roman" w:eastAsia="Times New Roman" w:hAnsi="Times New Roman" w:cs="Times New Roman"/>
        </w:rPr>
        <w:t>.</w:t>
      </w:r>
    </w:p>
    <w:p w:rsidR="00C268CB" w:rsidRPr="0023349B" w:rsidRDefault="00C268CB" w:rsidP="0023349B">
      <w:pPr>
        <w:pStyle w:val="Akapitzlist2"/>
        <w:spacing w:after="120" w:line="360" w:lineRule="auto"/>
        <w:ind w:left="0"/>
        <w:jc w:val="both"/>
        <w:rPr>
          <w:rFonts w:ascii="Times New Roman" w:eastAsia="Times New Roman" w:hAnsi="Times New Roman" w:cs="Times New Roman"/>
        </w:rPr>
      </w:pPr>
      <w:r w:rsidRPr="0023349B">
        <w:rPr>
          <w:rFonts w:ascii="Times New Roman" w:hAnsi="Times New Roman" w:cs="Times New Roman"/>
          <w:b/>
        </w:rPr>
        <w:t xml:space="preserve">W art. </w:t>
      </w:r>
      <w:r w:rsidR="00F16616" w:rsidRPr="0023349B">
        <w:rPr>
          <w:rFonts w:ascii="Times New Roman" w:hAnsi="Times New Roman" w:cs="Times New Roman"/>
          <w:b/>
        </w:rPr>
        <w:t xml:space="preserve">13 </w:t>
      </w:r>
      <w:r w:rsidRPr="0023349B">
        <w:rPr>
          <w:rFonts w:ascii="Times New Roman" w:hAnsi="Times New Roman" w:cs="Times New Roman"/>
          <w:b/>
        </w:rPr>
        <w:t xml:space="preserve">pkt </w:t>
      </w:r>
      <w:r w:rsidR="00F16616" w:rsidRPr="0023349B">
        <w:rPr>
          <w:rFonts w:ascii="Times New Roman" w:hAnsi="Times New Roman" w:cs="Times New Roman"/>
          <w:b/>
        </w:rPr>
        <w:t xml:space="preserve">6 </w:t>
      </w:r>
      <w:r w:rsidRPr="0023349B">
        <w:rPr>
          <w:rFonts w:ascii="Times New Roman" w:hAnsi="Times New Roman" w:cs="Times New Roman"/>
          <w:b/>
        </w:rPr>
        <w:t xml:space="preserve">lit. b projektu ustawy </w:t>
      </w:r>
      <w:r w:rsidRPr="0023349B">
        <w:rPr>
          <w:rFonts w:ascii="Times New Roman" w:hAnsi="Times New Roman" w:cs="Times New Roman"/>
        </w:rPr>
        <w:t xml:space="preserve">dodaje się </w:t>
      </w:r>
      <w:r w:rsidRPr="0023349B">
        <w:rPr>
          <w:rFonts w:ascii="Times New Roman" w:hAnsi="Times New Roman" w:cs="Times New Roman"/>
          <w:b/>
        </w:rPr>
        <w:t xml:space="preserve">w art. 3 ust. 4 </w:t>
      </w:r>
      <w:r w:rsidRPr="0023349B">
        <w:rPr>
          <w:rFonts w:ascii="Times New Roman" w:hAnsi="Times New Roman" w:cs="Times New Roman"/>
          <w:b/>
          <w:i/>
        </w:rPr>
        <w:t>ustawy o finansowym wsparciu…</w:t>
      </w:r>
      <w:r w:rsidRPr="0023349B">
        <w:rPr>
          <w:rFonts w:ascii="Times New Roman" w:hAnsi="Times New Roman" w:cs="Times New Roman"/>
        </w:rPr>
        <w:t xml:space="preserve"> w związku z rozszerzeniem zakresu przedmiotowego ustawy o modernizację i remonty istniejącego zasobu mieszkaniowego. </w:t>
      </w:r>
      <w:r w:rsidRPr="0023349B">
        <w:rPr>
          <w:rFonts w:ascii="Times New Roman" w:eastAsia="Times New Roman" w:hAnsi="Times New Roman" w:cs="Times New Roman"/>
        </w:rPr>
        <w:t xml:space="preserve">W niniejszym projekcie ustawy zaproponowano, by dzięki pomocy państwa, z uwzględnieniem ustawy </w:t>
      </w:r>
      <w:r w:rsidRPr="0023349B">
        <w:rPr>
          <w:rFonts w:ascii="Times New Roman" w:hAnsi="Times New Roman" w:cs="Times New Roman"/>
        </w:rPr>
        <w:t xml:space="preserve">z dnia 21 listopada 2008 r. </w:t>
      </w:r>
      <w:r w:rsidRPr="0023349B">
        <w:rPr>
          <w:rFonts w:ascii="Times New Roman" w:hAnsi="Times New Roman" w:cs="Times New Roman"/>
          <w:i/>
        </w:rPr>
        <w:t xml:space="preserve">o wspieraniu termomodernizacji i remontów (Dz. U. z 2020 r. poz. 22, 284 i 412, </w:t>
      </w:r>
      <w:r w:rsidRPr="0023349B">
        <w:rPr>
          <w:rFonts w:ascii="Times New Roman" w:eastAsia="Times New Roman" w:hAnsi="Times New Roman" w:cs="Times New Roman"/>
        </w:rPr>
        <w:t xml:space="preserve">zwana dalej: </w:t>
      </w:r>
      <w:r w:rsidRPr="0023349B">
        <w:rPr>
          <w:rFonts w:ascii="Times New Roman" w:eastAsia="Times New Roman" w:hAnsi="Times New Roman" w:cs="Times New Roman"/>
          <w:i/>
        </w:rPr>
        <w:t>ustawą</w:t>
      </w:r>
      <w:r w:rsidRPr="0023349B">
        <w:rPr>
          <w:rFonts w:ascii="Times New Roman" w:eastAsia="Times New Roman" w:hAnsi="Times New Roman" w:cs="Times New Roman"/>
        </w:rPr>
        <w:t xml:space="preserve"> </w:t>
      </w:r>
      <w:r w:rsidRPr="0023349B">
        <w:rPr>
          <w:rFonts w:ascii="Times New Roman" w:hAnsi="Times New Roman" w:cs="Times New Roman"/>
          <w:i/>
        </w:rPr>
        <w:t>o wspieraniu termomodernizacji i remontów</w:t>
      </w:r>
      <w:r w:rsidRPr="0023349B">
        <w:rPr>
          <w:rFonts w:ascii="Times New Roman" w:eastAsia="Times New Roman" w:hAnsi="Times New Roman" w:cs="Times New Roman"/>
        </w:rPr>
        <w:t xml:space="preserve">, wesprzeć przedsięwzięcia poprawiające stan techniczny najstarszego zasobu komunalnych budynków wielorodzinnych oddanych do użytkowania przed dniem 14 sierpnia 1961 r. Sygnalizowany przez gminy stały niedobór środków na przeprowadzanie remontów i modernizację budynków powodował bowiem pogarszanie stanu technicznego posiadanego zasobu, co w konsekwencji doprowadziło do rezygnacji z przeprowadzania remontów i konieczności podejmowania decyzji o ich wyłączeniu z użytkowania. </w:t>
      </w:r>
    </w:p>
    <w:p w:rsidR="00C268CB" w:rsidRPr="0023349B" w:rsidRDefault="00C268CB" w:rsidP="0023349B">
      <w:pPr>
        <w:tabs>
          <w:tab w:val="left" w:pos="284"/>
        </w:tabs>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Wyjaśnić należy, że ostatnia nowelizacja </w:t>
      </w:r>
      <w:r w:rsidRPr="0023349B">
        <w:rPr>
          <w:rFonts w:ascii="Times New Roman" w:eastAsia="Times New Roman" w:hAnsi="Times New Roman" w:cs="Times New Roman"/>
          <w:i/>
        </w:rPr>
        <w:t>ustawy</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rPr>
        <w:t>o wspieraniu termomodernizacji i remontów</w:t>
      </w:r>
      <w:r w:rsidRPr="0023349B">
        <w:rPr>
          <w:rStyle w:val="Znakiprzypiswdolnych"/>
          <w:rFonts w:ascii="Times New Roman" w:hAnsi="Times New Roman" w:cs="Times New Roman"/>
        </w:rPr>
        <w:footnoteReference w:id="19"/>
      </w:r>
      <w:r w:rsidRPr="0023349B">
        <w:rPr>
          <w:rFonts w:ascii="Times New Roman" w:eastAsia="Times New Roman" w:hAnsi="Times New Roman" w:cs="Times New Roman"/>
          <w:vertAlign w:val="superscript"/>
        </w:rPr>
        <w:t>)</w:t>
      </w:r>
      <w:r w:rsidRPr="0023349B">
        <w:rPr>
          <w:rFonts w:ascii="Times New Roman" w:eastAsia="Times New Roman" w:hAnsi="Times New Roman" w:cs="Times New Roman"/>
        </w:rPr>
        <w:t xml:space="preserve">, wprowadziła zmiany polegające na poszerzenie katalogu podmiotowego inwestorów uprawnionych do ubiegania się o premię remontową </w:t>
      </w:r>
      <w:r w:rsidR="00C47C60" w:rsidRPr="0023349B">
        <w:rPr>
          <w:rFonts w:ascii="Times New Roman" w:eastAsia="Times New Roman" w:hAnsi="Times New Roman" w:cs="Times New Roman"/>
        </w:rPr>
        <w:t>–</w:t>
      </w:r>
      <w:r w:rsidRPr="0023349B">
        <w:rPr>
          <w:rFonts w:ascii="Times New Roman" w:eastAsia="Times New Roman" w:hAnsi="Times New Roman" w:cs="Times New Roman"/>
        </w:rPr>
        <w:t xml:space="preserve"> o gminy. Odtąd samorządy gminne mogą ubiegać się o dofinansowanie przedsięwzięcia remontowego budynku wielorodzinnego, którego użytkowanie rozpoczęło się przed dniem 14 sierpnia </w:t>
      </w:r>
      <w:r w:rsidRPr="0023349B">
        <w:rPr>
          <w:rFonts w:ascii="Times New Roman" w:hAnsi="Times New Roman" w:cs="Times New Roman"/>
        </w:rPr>
        <w:t>1961 r</w:t>
      </w:r>
      <w:r w:rsidRPr="0023349B">
        <w:rPr>
          <w:rFonts w:ascii="Times New Roman" w:eastAsia="Times New Roman" w:hAnsi="Times New Roman" w:cs="Times New Roman"/>
        </w:rPr>
        <w:t xml:space="preserve">. W ten sposób uzupełnione zostało instrumentarium systemu wsparcia termomodernizacji i remontów o nowy instrument wsparcia samorządów gminnych. </w:t>
      </w:r>
    </w:p>
    <w:p w:rsidR="00C268CB" w:rsidRPr="0023349B" w:rsidRDefault="00C268CB" w:rsidP="0023349B">
      <w:pPr>
        <w:tabs>
          <w:tab w:val="left" w:pos="284"/>
        </w:tabs>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Powyższe zmiany mają na celu m.in. poprawę warunków udzielania wsparcia jednostkom samorządu terytorialnego, które podejmą się modernizacji komunalnych zasobów mieszkaniowych, poprzez wprowadzenie instrumentu wspierającego przedsięwzięcia poprawiające stan techniczny komunalnych budynków wielorodzinnych z ich jednoczesną termomodernizacją. Należy zaznaczyć, że premia remontowa nie może być przyznawana m.in. na remont lokali mieszkalnych, z wyjątkiem wymiany okien lub remontu balkonów. Aby w pełni poprawić stan mieszkaniowego zasobu gminy, w przedłożonym projekcie ustawy zaproponowano umożliwienie udzielania z Funduszu Dopłat finansowego wsparcia na przedsięwzięcia polegające na remoncie lokali mieszkalnych podmiotom realizującym przedsięwzięcia przy udziale premii remontowej, o której mowa w art. 7 ustawy </w:t>
      </w:r>
      <w:r w:rsidRPr="0023349B">
        <w:rPr>
          <w:rFonts w:ascii="Times New Roman" w:eastAsia="Times New Roman" w:hAnsi="Times New Roman" w:cs="Times New Roman"/>
          <w:i/>
        </w:rPr>
        <w:t>o wspieraniu termomodernizacji i remontów</w:t>
      </w:r>
      <w:r w:rsidRPr="0023349B">
        <w:rPr>
          <w:rFonts w:ascii="Times New Roman" w:eastAsia="Times New Roman" w:hAnsi="Times New Roman" w:cs="Times New Roman"/>
        </w:rPr>
        <w:t xml:space="preserve">. Dofinansowaniem objęte zostaną remonty lub przebudowy lokali mieszkalnych, nawet jeśli są one zajmowane na podstawie obowiązującej umowy najmu. Będzie to uzależnione od uzyskania przez beneficjenta wsparcia prawa do premii remontowej oraz realizacji przedsięwzięcia remontowego, o którym mowa w art. 2 pkt 3 </w:t>
      </w:r>
      <w:r w:rsidRPr="0023349B">
        <w:rPr>
          <w:rFonts w:ascii="Times New Roman" w:eastAsia="Times New Roman" w:hAnsi="Times New Roman" w:cs="Times New Roman"/>
          <w:i/>
        </w:rPr>
        <w:t>ustawy</w:t>
      </w:r>
      <w:r w:rsidRPr="0023349B">
        <w:rPr>
          <w:rFonts w:ascii="Times New Roman" w:eastAsia="Times New Roman" w:hAnsi="Times New Roman" w:cs="Times New Roman"/>
        </w:rPr>
        <w:t xml:space="preserve"> </w:t>
      </w:r>
      <w:r w:rsidRPr="0023349B">
        <w:rPr>
          <w:rFonts w:ascii="Times New Roman" w:hAnsi="Times New Roman" w:cs="Times New Roman"/>
          <w:i/>
        </w:rPr>
        <w:t>o wspieraniu termomodernizacji i remontów</w:t>
      </w:r>
      <w:r w:rsidRPr="0023349B">
        <w:rPr>
          <w:rFonts w:ascii="Times New Roman" w:eastAsia="Times New Roman" w:hAnsi="Times New Roman" w:cs="Times New Roman"/>
        </w:rPr>
        <w:t>, w budynku, w którym znajdują się te lokale mieszkalne. Rozwiązanie takie pozwoli samorządom gminnym gospodarującym najstarszymi zasobami budynków komunalnych na przeprowadzenie kompleksowych remontów i modernizacji posiadanego zasobu. Należy zaznaczyć, że beneficjentami zaproponowanego nowego instrumentu będą gminy i jednoosobowe spółki gminne, które realizowałyby przedsięwzięcie remontowe budynków komunalnych.</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eastAsia="Times New Roman" w:hAnsi="Times New Roman" w:cs="Times New Roman"/>
          <w:u w:val="single"/>
        </w:rPr>
        <w:t xml:space="preserve">Zmiana </w:t>
      </w:r>
      <w:r w:rsidR="00F16616" w:rsidRPr="0023349B">
        <w:rPr>
          <w:rFonts w:ascii="Times New Roman" w:eastAsia="Times New Roman" w:hAnsi="Times New Roman" w:cs="Times New Roman"/>
          <w:u w:val="single"/>
        </w:rPr>
        <w:t>7</w:t>
      </w:r>
      <w:r w:rsidRPr="0023349B">
        <w:rPr>
          <w:rFonts w:ascii="Times New Roman" w:eastAsia="Times New Roman" w:hAnsi="Times New Roman" w:cs="Times New Roman"/>
          <w:u w:val="single"/>
        </w:rPr>
        <w:t xml:space="preserve">: </w:t>
      </w:r>
      <w:r w:rsidRPr="0023349B">
        <w:rPr>
          <w:rFonts w:ascii="Times New Roman" w:hAnsi="Times New Roman" w:cs="Times New Roman"/>
          <w:u w:val="single"/>
        </w:rPr>
        <w:t>art. 4 ust. 1, 2, 4 i 5</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 xml:space="preserve">art. </w:t>
      </w:r>
      <w:r w:rsidR="00F16616" w:rsidRPr="0023349B">
        <w:rPr>
          <w:rFonts w:ascii="Times New Roman" w:hAnsi="Times New Roman" w:cs="Times New Roman"/>
          <w:b/>
        </w:rPr>
        <w:t xml:space="preserve">13 </w:t>
      </w:r>
      <w:r w:rsidRPr="0023349B">
        <w:rPr>
          <w:rFonts w:ascii="Times New Roman" w:hAnsi="Times New Roman" w:cs="Times New Roman"/>
          <w:b/>
        </w:rPr>
        <w:t xml:space="preserve">pkt </w:t>
      </w:r>
      <w:r w:rsidR="00F16616" w:rsidRPr="0023349B">
        <w:rPr>
          <w:rFonts w:ascii="Times New Roman" w:hAnsi="Times New Roman" w:cs="Times New Roman"/>
          <w:b/>
        </w:rPr>
        <w:t xml:space="preserve">7 </w:t>
      </w:r>
      <w:r w:rsidRPr="0023349B">
        <w:rPr>
          <w:rFonts w:ascii="Times New Roman" w:hAnsi="Times New Roman" w:cs="Times New Roman"/>
          <w:b/>
        </w:rPr>
        <w:t xml:space="preserve">lit. a i lit. b projektu </w:t>
      </w:r>
      <w:r w:rsidRPr="0023349B">
        <w:rPr>
          <w:rFonts w:ascii="Times New Roman" w:hAnsi="Times New Roman" w:cs="Times New Roman"/>
          <w:b/>
          <w:i/>
        </w:rPr>
        <w:t>ustawy</w:t>
      </w:r>
      <w:r w:rsidRPr="0023349B">
        <w:rPr>
          <w:rFonts w:ascii="Times New Roman" w:hAnsi="Times New Roman" w:cs="Times New Roman"/>
        </w:rPr>
        <w:t xml:space="preserve"> zostały zawarte zmiany mające na celu wdrożenie rozwiązań skierowanych do podmiotów prowadzących interwencyjny zasób mieszkaniowy. Aktualnie o finansowe wsparcie na przedsięwzięcia polegające na tworzeniu noclegowni lub schronisk dla bezdomnych mogą aplikować </w:t>
      </w:r>
      <w:r w:rsidRPr="0023349B">
        <w:rPr>
          <w:rFonts w:ascii="Times New Roman" w:eastAsia="Times New Roman" w:hAnsi="Times New Roman" w:cs="Times New Roman"/>
        </w:rPr>
        <w:t>gminy, jednoosobowe spółki gminne, związki międzygminne albo organizacje pożytku publicznego.</w:t>
      </w:r>
      <w:r w:rsidRPr="0023349B">
        <w:rPr>
          <w:rFonts w:ascii="Times New Roman" w:hAnsi="Times New Roman" w:cs="Times New Roman"/>
        </w:rPr>
        <w:t xml:space="preserve"> Zaproponowane w niniejszym projekcie ustawy zmiany w tym zakresie polegają przede wszystkim na rozszerzeniu katalogu beneficjentów programu o organizacje pozarządowe oraz podmioty, o których mowa w art. 3 ust. 3 ustawy z dnia 24 kwietnia 2003 r. </w:t>
      </w:r>
      <w:r w:rsidRPr="0023349B">
        <w:rPr>
          <w:rFonts w:ascii="Times New Roman" w:hAnsi="Times New Roman" w:cs="Times New Roman"/>
          <w:i/>
        </w:rPr>
        <w:t>o działalności pożytku publicznego i o wolontariacie</w:t>
      </w:r>
      <w:r w:rsidRPr="0023349B">
        <w:rPr>
          <w:rFonts w:ascii="Times New Roman" w:hAnsi="Times New Roman" w:cs="Times New Roman"/>
        </w:rPr>
        <w:t xml:space="preserve">. </w:t>
      </w:r>
      <w:r w:rsidR="00B37B94" w:rsidRPr="0023349B">
        <w:rPr>
          <w:rFonts w:ascii="Times New Roman" w:hAnsi="Times New Roman" w:cs="Times New Roman"/>
        </w:rPr>
        <w:t xml:space="preserve">O wskazanie ww. podmiotów uzupełniono tym samym </w:t>
      </w:r>
      <w:r w:rsidRPr="0023349B">
        <w:rPr>
          <w:rFonts w:ascii="Times New Roman" w:hAnsi="Times New Roman" w:cs="Times New Roman"/>
          <w:b/>
        </w:rPr>
        <w:t xml:space="preserve">art. 4 ust. 1, 4 i 5 </w:t>
      </w:r>
      <w:r w:rsidRPr="0023349B">
        <w:rPr>
          <w:rFonts w:ascii="Times New Roman" w:hAnsi="Times New Roman" w:cs="Times New Roman"/>
          <w:b/>
          <w:i/>
        </w:rPr>
        <w:t>ustawy o finansowym</w:t>
      </w:r>
      <w:r w:rsidRPr="0023349B">
        <w:rPr>
          <w:rFonts w:ascii="Times New Roman" w:hAnsi="Times New Roman" w:cs="Times New Roman"/>
          <w:i/>
        </w:rPr>
        <w:t xml:space="preserve"> </w:t>
      </w:r>
      <w:r w:rsidRPr="0023349B">
        <w:rPr>
          <w:rFonts w:ascii="Times New Roman" w:hAnsi="Times New Roman" w:cs="Times New Roman"/>
          <w:b/>
          <w:i/>
        </w:rPr>
        <w:t xml:space="preserve">wsparciu </w:t>
      </w:r>
      <w:r w:rsidRPr="0023349B">
        <w:rPr>
          <w:rFonts w:ascii="Times New Roman" w:hAnsi="Times New Roman" w:cs="Times New Roman"/>
          <w:i/>
        </w:rPr>
        <w:t>…</w:t>
      </w:r>
      <w:r w:rsidRPr="0023349B">
        <w:rPr>
          <w:rFonts w:ascii="Times New Roman" w:hAnsi="Times New Roman" w:cs="Times New Roman"/>
        </w:rPr>
        <w:t xml:space="preserve"> Ponadto zaproponowano modyfikacje w tym zakresie. W aktualnym stanie prawnym przepis ten zawiera rozwiązania dotyczące przedsięwzięcia polegającego na dostosowaniu istniejących noclegowni, ogrzewalni i schronisk dla osób bezdomnych do standardów, o których mowa w przepisach wykonawczych wydanych na podstawie art. 48a ust. 14 </w:t>
      </w:r>
      <w:r w:rsidRPr="0023349B">
        <w:rPr>
          <w:rFonts w:ascii="Times New Roman" w:hAnsi="Times New Roman" w:cs="Times New Roman"/>
          <w:i/>
        </w:rPr>
        <w:t>ustawy o pomocy społecznej</w:t>
      </w:r>
      <w:r w:rsidRPr="0023349B">
        <w:rPr>
          <w:rFonts w:ascii="Times New Roman" w:hAnsi="Times New Roman" w:cs="Times New Roman"/>
        </w:rPr>
        <w:t>. Przedsięwzięcie takie obecnie może być realizowane w wyniku remontu lub przebudowy. Z obserwacji programu BSK wynika, że często dostosowanie powierzchni istniejących noclegowni, schronisk dla osób bezdomnych czy ogrzewalni wymusza wykonanie robót budowlanych polegających również na rozbudowie lub nadbudowie (o części np. jadalni, pomieszczeń biurowych, które nie generują nowej powierzchni mieszkalnej, ale są niezbędne do funkcjonowania placówki). W niniejszym projekcie zaproponowano, aby finansowym wsparciem objęte były roboty budowlane w placówkach świadczących usługi dla osób bezdomnych, w jak najszerszym koniecznym zakresie.</w:t>
      </w:r>
    </w:p>
    <w:p w:rsidR="00C268CB" w:rsidRPr="0023349B" w:rsidRDefault="00C268CB" w:rsidP="0023349B">
      <w:pPr>
        <w:spacing w:after="240" w:line="360" w:lineRule="auto"/>
        <w:jc w:val="both"/>
        <w:rPr>
          <w:rFonts w:ascii="Times New Roman" w:hAnsi="Times New Roman" w:cs="Times New Roman"/>
          <w:i/>
          <w:spacing w:val="4"/>
        </w:rPr>
      </w:pPr>
      <w:r w:rsidRPr="0023349B">
        <w:rPr>
          <w:rFonts w:ascii="Times New Roman" w:hAnsi="Times New Roman" w:cs="Times New Roman"/>
        </w:rPr>
        <w:t>W ww. przepisach zastosowano także pojęcie</w:t>
      </w:r>
      <w:r w:rsidRPr="0023349B">
        <w:rPr>
          <w:rFonts w:ascii="Times New Roman" w:hAnsi="Times New Roman" w:cs="Times New Roman"/>
          <w:i/>
        </w:rPr>
        <w:t xml:space="preserve"> schronisko dla osób bezdomnych,</w:t>
      </w:r>
      <w:r w:rsidRPr="0023349B">
        <w:rPr>
          <w:rFonts w:ascii="Times New Roman" w:hAnsi="Times New Roman" w:cs="Times New Roman"/>
        </w:rPr>
        <w:t xml:space="preserve"> </w:t>
      </w:r>
      <w:r w:rsidRPr="0023349B">
        <w:rPr>
          <w:rFonts w:ascii="Times New Roman" w:hAnsi="Times New Roman" w:cs="Times New Roman"/>
          <w:spacing w:val="4"/>
        </w:rPr>
        <w:t xml:space="preserve">zgodnie z nomenklaturą </w:t>
      </w:r>
      <w:r w:rsidRPr="0023349B">
        <w:rPr>
          <w:rFonts w:ascii="Times New Roman" w:hAnsi="Times New Roman" w:cs="Times New Roman"/>
          <w:i/>
          <w:spacing w:val="4"/>
        </w:rPr>
        <w:t>ustawy</w:t>
      </w:r>
      <w:r w:rsidRPr="0023349B">
        <w:rPr>
          <w:rFonts w:ascii="Times New Roman" w:hAnsi="Times New Roman" w:cs="Times New Roman"/>
          <w:spacing w:val="4"/>
        </w:rPr>
        <w:t xml:space="preserve"> </w:t>
      </w:r>
      <w:r w:rsidRPr="0023349B">
        <w:rPr>
          <w:rFonts w:ascii="Times New Roman" w:hAnsi="Times New Roman" w:cs="Times New Roman"/>
          <w:i/>
          <w:spacing w:val="4"/>
        </w:rPr>
        <w:t>o pomocy społecznej.</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16616" w:rsidRPr="0023349B">
        <w:rPr>
          <w:rFonts w:ascii="Times New Roman" w:hAnsi="Times New Roman" w:cs="Times New Roman"/>
          <w:u w:val="single"/>
        </w:rPr>
        <w:t>8</w:t>
      </w:r>
      <w:r w:rsidRPr="0023349B">
        <w:rPr>
          <w:rFonts w:ascii="Times New Roman" w:hAnsi="Times New Roman" w:cs="Times New Roman"/>
          <w:u w:val="single"/>
        </w:rPr>
        <w:t>: w zakresie dodawanego art. 5b</w:t>
      </w:r>
    </w:p>
    <w:p w:rsidR="00C268CB" w:rsidRPr="0023349B" w:rsidRDefault="00C268CB" w:rsidP="0023349B">
      <w:pPr>
        <w:pStyle w:val="Akapitzlist2"/>
        <w:tabs>
          <w:tab w:val="left" w:pos="284"/>
        </w:tabs>
        <w:spacing w:after="120" w:line="360" w:lineRule="auto"/>
        <w:ind w:left="0"/>
        <w:jc w:val="both"/>
        <w:rPr>
          <w:rFonts w:ascii="Times New Roman" w:eastAsia="Times New Roman" w:hAnsi="Times New Roman" w:cs="Times New Roman"/>
        </w:rPr>
      </w:pPr>
      <w:r w:rsidRPr="0023349B">
        <w:rPr>
          <w:rFonts w:ascii="Times New Roman" w:eastAsia="Times New Roman" w:hAnsi="Times New Roman" w:cs="Times New Roman"/>
        </w:rPr>
        <w:t xml:space="preserve">W </w:t>
      </w:r>
      <w:r w:rsidRPr="0023349B">
        <w:rPr>
          <w:rFonts w:ascii="Times New Roman" w:eastAsia="Times New Roman" w:hAnsi="Times New Roman" w:cs="Times New Roman"/>
          <w:b/>
        </w:rPr>
        <w:t xml:space="preserve">art. </w:t>
      </w:r>
      <w:r w:rsidR="00F16616" w:rsidRPr="0023349B">
        <w:rPr>
          <w:rFonts w:ascii="Times New Roman" w:eastAsia="Times New Roman" w:hAnsi="Times New Roman" w:cs="Times New Roman"/>
          <w:b/>
        </w:rPr>
        <w:t xml:space="preserve">13 </w:t>
      </w:r>
      <w:r w:rsidRPr="0023349B">
        <w:rPr>
          <w:rFonts w:ascii="Times New Roman" w:eastAsia="Times New Roman" w:hAnsi="Times New Roman" w:cs="Times New Roman"/>
          <w:b/>
        </w:rPr>
        <w:t xml:space="preserve">pkt </w:t>
      </w:r>
      <w:r w:rsidR="00F16616" w:rsidRPr="0023349B">
        <w:rPr>
          <w:rFonts w:ascii="Times New Roman" w:eastAsia="Times New Roman" w:hAnsi="Times New Roman" w:cs="Times New Roman"/>
          <w:b/>
        </w:rPr>
        <w:t xml:space="preserve">8 </w:t>
      </w:r>
      <w:r w:rsidRPr="0023349B">
        <w:rPr>
          <w:rFonts w:ascii="Times New Roman" w:eastAsia="Times New Roman" w:hAnsi="Times New Roman" w:cs="Times New Roman"/>
          <w:b/>
        </w:rPr>
        <w:t>projektu ustawy</w:t>
      </w:r>
      <w:r w:rsidRPr="0023349B">
        <w:rPr>
          <w:rFonts w:ascii="Times New Roman" w:eastAsia="Times New Roman" w:hAnsi="Times New Roman" w:cs="Times New Roman"/>
        </w:rPr>
        <w:t xml:space="preserve"> proponuje się dodanie </w:t>
      </w:r>
      <w:r w:rsidRPr="0023349B">
        <w:rPr>
          <w:rFonts w:ascii="Times New Roman" w:eastAsia="Times New Roman" w:hAnsi="Times New Roman" w:cs="Times New Roman"/>
          <w:b/>
        </w:rPr>
        <w:t xml:space="preserve">art. 5b ust. 1 </w:t>
      </w:r>
      <w:r w:rsidRPr="0023349B">
        <w:rPr>
          <w:rFonts w:ascii="Times New Roman" w:eastAsia="Times New Roman" w:hAnsi="Times New Roman" w:cs="Times New Roman"/>
          <w:b/>
          <w:i/>
        </w:rPr>
        <w:t>ustawy o finansowym wsparciu …</w:t>
      </w:r>
      <w:r w:rsidRPr="0023349B">
        <w:rPr>
          <w:rFonts w:ascii="Times New Roman" w:eastAsia="Times New Roman" w:hAnsi="Times New Roman" w:cs="Times New Roman"/>
          <w:i/>
        </w:rPr>
        <w:t>,</w:t>
      </w:r>
      <w:r w:rsidRPr="0023349B">
        <w:rPr>
          <w:rFonts w:ascii="Times New Roman" w:eastAsia="Times New Roman" w:hAnsi="Times New Roman" w:cs="Times New Roman"/>
        </w:rPr>
        <w:t xml:space="preserve"> który ma na celu umożliwienie finansowania budowy dodatkowych powierzchni użytkowych, które będą służyły zaspokajaniu potrzeb osób starszych (np. pomieszczeń rekreacyjnych, ambulatoryjnych), jak również będą mogły być wykorzystywane przez pozostałych najemców lokali mieszkalnych. Uzyskanie finansowego wsparcia </w:t>
      </w:r>
      <w:r w:rsidRPr="0023349B">
        <w:rPr>
          <w:rFonts w:ascii="Times New Roman" w:hAnsi="Times New Roman" w:cs="Times New Roman"/>
        </w:rPr>
        <w:t xml:space="preserve">na utworzenie dodatkowych powierzchni użytkowych przeznaczonych na zaspokajanie potrzeb osób starszych będzie uwarunkowane od przeznaczania lokali mieszkalnych, których docelową grupę najemców będą stanowić osoby starsze w rozumieniu art. 4 pkt 1 ustawy z dnia 11 września 2015 r. </w:t>
      </w:r>
      <w:r w:rsidRPr="0023349B">
        <w:rPr>
          <w:rFonts w:ascii="Times New Roman" w:hAnsi="Times New Roman" w:cs="Times New Roman"/>
          <w:i/>
        </w:rPr>
        <w:t>o osobach starszych</w:t>
      </w:r>
      <w:r w:rsidRPr="0023349B">
        <w:rPr>
          <w:rFonts w:ascii="Times New Roman" w:hAnsi="Times New Roman" w:cs="Times New Roman"/>
        </w:rPr>
        <w:t xml:space="preserve"> (Dz. U. poz. 1705).</w:t>
      </w:r>
      <w:r w:rsidR="00193AD6" w:rsidRPr="0023349B">
        <w:rPr>
          <w:rFonts w:ascii="Times New Roman" w:hAnsi="Times New Roman" w:cs="Times New Roman"/>
        </w:rPr>
        <w:t xml:space="preserve"> </w:t>
      </w:r>
      <w:r w:rsidRPr="0023349B">
        <w:rPr>
          <w:rFonts w:ascii="Times New Roman" w:eastAsia="Times New Roman" w:hAnsi="Times New Roman" w:cs="Times New Roman"/>
        </w:rPr>
        <w:t>Beneficjenci wsparcia będą przekazywać we wniosku o finansowe wsparcie informacje o liczbie lokali mieszkalnych, których pierwszymi najemcami będą osoby starsze w rozumieniu tej ustawy (rozwiązania przewidziane w planowanej zmianie aktu wykonawczego).</w:t>
      </w:r>
    </w:p>
    <w:p w:rsidR="00C268CB" w:rsidRPr="0023349B" w:rsidRDefault="00C268CB" w:rsidP="0023349B">
      <w:pPr>
        <w:pStyle w:val="Akapitzlist2"/>
        <w:tabs>
          <w:tab w:val="left" w:pos="284"/>
        </w:tabs>
        <w:spacing w:after="240" w:line="360" w:lineRule="auto"/>
        <w:ind w:left="0"/>
        <w:jc w:val="both"/>
        <w:rPr>
          <w:rFonts w:ascii="Times New Roman" w:hAnsi="Times New Roman" w:cs="Times New Roman"/>
        </w:rPr>
      </w:pPr>
      <w:r w:rsidRPr="0023349B">
        <w:rPr>
          <w:rFonts w:ascii="Times New Roman" w:hAnsi="Times New Roman" w:cs="Times New Roman"/>
        </w:rPr>
        <w:t xml:space="preserve">Ponadto zaproponowano uregulowanie kwestii ponoszenia kosztów związanych z utrzymaniem </w:t>
      </w:r>
      <w:r w:rsidRPr="0023349B">
        <w:rPr>
          <w:rFonts w:ascii="Times New Roman" w:eastAsia="Times New Roman" w:hAnsi="Times New Roman" w:cs="Times New Roman"/>
        </w:rPr>
        <w:t xml:space="preserve">dodatkowych powierzchni użytkowych w przypadku przedsięwzięć realizowanych na podstawie art. 5 </w:t>
      </w:r>
      <w:r w:rsidRPr="0023349B">
        <w:rPr>
          <w:rFonts w:ascii="Times New Roman" w:eastAsia="Times New Roman" w:hAnsi="Times New Roman" w:cs="Times New Roman"/>
          <w:i/>
        </w:rPr>
        <w:t>ustawy o finansowym wsparciu …</w:t>
      </w:r>
      <w:r w:rsidRPr="0023349B">
        <w:rPr>
          <w:rFonts w:ascii="Times New Roman" w:eastAsia="Times New Roman" w:hAnsi="Times New Roman" w:cs="Times New Roman"/>
        </w:rPr>
        <w:t xml:space="preserve">. Przedmiotowe przedsięwzięcia realizowane są przez prywatnych inwestorów, w ramach umowy zawartej z gminą (związkiem międzygminnym), a najemcami powstałych tak lokali mieszkalnych są osoby wskazane przez gminę (związek międzygminny), </w:t>
      </w:r>
      <w:r w:rsidRPr="0023349B">
        <w:rPr>
          <w:rFonts w:ascii="Times New Roman" w:hAnsi="Times New Roman" w:cs="Times New Roman"/>
        </w:rPr>
        <w:t>które uzyskują dochody zbyt niskie, by zaspokajać potrzeby mieszkaniowe w warunkach komercyjnych, a zarazem zbyt wysokie, by ubiegać się o lokal komunalny</w:t>
      </w:r>
      <w:r w:rsidRPr="0023349B">
        <w:rPr>
          <w:rFonts w:ascii="Times New Roman" w:eastAsia="Times New Roman" w:hAnsi="Times New Roman" w:cs="Times New Roman"/>
        </w:rPr>
        <w:t>.</w:t>
      </w:r>
      <w:r w:rsidRPr="0023349B">
        <w:rPr>
          <w:rFonts w:ascii="Times New Roman" w:hAnsi="Times New Roman" w:cs="Times New Roman"/>
        </w:rPr>
        <w:t xml:space="preserve"> Zgodnie z </w:t>
      </w:r>
      <w:r w:rsidRPr="0023349B">
        <w:rPr>
          <w:rFonts w:ascii="Times New Roman" w:hAnsi="Times New Roman" w:cs="Times New Roman"/>
          <w:bCs/>
        </w:rPr>
        <w:t>ust. 2</w:t>
      </w:r>
      <w:r w:rsidRPr="0023349B">
        <w:rPr>
          <w:rFonts w:ascii="Times New Roman" w:hAnsi="Times New Roman" w:cs="Times New Roman"/>
          <w:b/>
          <w:bCs/>
        </w:rPr>
        <w:t xml:space="preserve"> </w:t>
      </w:r>
      <w:r w:rsidRPr="0023349B">
        <w:rPr>
          <w:rFonts w:ascii="Times New Roman" w:hAnsi="Times New Roman" w:cs="Times New Roman"/>
        </w:rPr>
        <w:t xml:space="preserve">nowo projektowanego artykułu, koszty te będą ponosić najemcy w częściach równych. </w:t>
      </w:r>
    </w:p>
    <w:p w:rsidR="00C268CB" w:rsidRPr="0023349B" w:rsidRDefault="00C268CB" w:rsidP="0023349B">
      <w:pPr>
        <w:pStyle w:val="Akapitzlist2"/>
        <w:tabs>
          <w:tab w:val="left" w:pos="284"/>
        </w:tabs>
        <w:spacing w:after="120" w:line="360" w:lineRule="auto"/>
        <w:ind w:left="0"/>
        <w:jc w:val="both"/>
        <w:rPr>
          <w:rFonts w:ascii="Times New Roman" w:eastAsia="Times New Roman" w:hAnsi="Times New Roman" w:cs="Times New Roman"/>
          <w:u w:val="single"/>
        </w:rPr>
      </w:pPr>
      <w:r w:rsidRPr="0023349B">
        <w:rPr>
          <w:rFonts w:ascii="Times New Roman" w:eastAsia="Times New Roman" w:hAnsi="Times New Roman" w:cs="Times New Roman"/>
          <w:u w:val="single"/>
        </w:rPr>
        <w:t xml:space="preserve">Zmiana </w:t>
      </w:r>
      <w:r w:rsidR="000F2D1F" w:rsidRPr="0023349B">
        <w:rPr>
          <w:rFonts w:ascii="Times New Roman" w:eastAsia="Times New Roman" w:hAnsi="Times New Roman" w:cs="Times New Roman"/>
          <w:u w:val="single"/>
        </w:rPr>
        <w:t>9</w:t>
      </w:r>
      <w:r w:rsidRPr="0023349B">
        <w:rPr>
          <w:rFonts w:ascii="Times New Roman" w:eastAsia="Times New Roman" w:hAnsi="Times New Roman" w:cs="Times New Roman"/>
          <w:u w:val="single"/>
        </w:rPr>
        <w:t>: w zakresie art. 6 ust. 1</w:t>
      </w:r>
    </w:p>
    <w:p w:rsidR="00C268CB" w:rsidRPr="0023349B" w:rsidRDefault="00C268CB" w:rsidP="0023349B">
      <w:pPr>
        <w:pStyle w:val="Akapitzlist2"/>
        <w:tabs>
          <w:tab w:val="left" w:pos="284"/>
        </w:tabs>
        <w:spacing w:after="240" w:line="360" w:lineRule="auto"/>
        <w:ind w:left="0"/>
        <w:jc w:val="both"/>
        <w:rPr>
          <w:rFonts w:ascii="Times New Roman" w:eastAsia="Times New Roman" w:hAnsi="Times New Roman" w:cs="Times New Roman"/>
        </w:rPr>
      </w:pPr>
      <w:r w:rsidRPr="0023349B">
        <w:rPr>
          <w:rFonts w:ascii="Times New Roman" w:eastAsia="Times New Roman" w:hAnsi="Times New Roman" w:cs="Times New Roman"/>
          <w:b/>
        </w:rPr>
        <w:t xml:space="preserve">Art. </w:t>
      </w:r>
      <w:r w:rsidR="000F2D1F" w:rsidRPr="0023349B">
        <w:rPr>
          <w:rFonts w:ascii="Times New Roman" w:eastAsia="Times New Roman" w:hAnsi="Times New Roman" w:cs="Times New Roman"/>
          <w:b/>
        </w:rPr>
        <w:t>13</w:t>
      </w:r>
      <w:r w:rsidRPr="0023349B">
        <w:rPr>
          <w:rFonts w:ascii="Times New Roman" w:eastAsia="Times New Roman" w:hAnsi="Times New Roman" w:cs="Times New Roman"/>
          <w:b/>
        </w:rPr>
        <w:t xml:space="preserve">pkt </w:t>
      </w:r>
      <w:r w:rsidR="000F2D1F" w:rsidRPr="0023349B">
        <w:rPr>
          <w:rFonts w:ascii="Times New Roman" w:eastAsia="Times New Roman" w:hAnsi="Times New Roman" w:cs="Times New Roman"/>
          <w:b/>
        </w:rPr>
        <w:t>9</w:t>
      </w:r>
      <w:r w:rsidR="000F2D1F" w:rsidRPr="0023349B">
        <w:rPr>
          <w:rFonts w:ascii="Times New Roman" w:eastAsia="Times New Roman" w:hAnsi="Times New Roman" w:cs="Times New Roman"/>
        </w:rPr>
        <w:t xml:space="preserve"> </w:t>
      </w:r>
      <w:r w:rsidRPr="0023349B">
        <w:rPr>
          <w:rFonts w:ascii="Times New Roman" w:eastAsia="Times New Roman" w:hAnsi="Times New Roman" w:cs="Times New Roman"/>
        </w:rPr>
        <w:t>wskazuje, że finansowego wsparcia, o którym mowa w art. 3 ust. 1, udziela się również gminie, jednoosobowej spółce gminnej, powiatowi, organizacji pozarządowej posiadającej status organizacji pożytku publicznego albo podmiotowi, o którym mowa w art. 3 ust. 3 ustawy z dnia 24 kwietnia 2003 r. o działalności pożytku publicznego i o wolontariacie posiadającemu status organizacji pożytku publicznego, jako beneficjentowi wsparcia, jeżeli pozyskane w ten sposób lokale mieszkalne będą służyć wykonywaniu zadań z zakresu pomocy społecznej w formie mieszkań chronionych.</w:t>
      </w:r>
    </w:p>
    <w:p w:rsidR="00C268CB" w:rsidRPr="0023349B" w:rsidRDefault="00C268CB" w:rsidP="0023349B">
      <w:pPr>
        <w:pStyle w:val="Akapitzlist2"/>
        <w:tabs>
          <w:tab w:val="left" w:pos="284"/>
        </w:tabs>
        <w:spacing w:after="120" w:line="360" w:lineRule="auto"/>
        <w:ind w:left="0"/>
        <w:jc w:val="both"/>
        <w:rPr>
          <w:rFonts w:ascii="Times New Roman" w:eastAsia="Times New Roman" w:hAnsi="Times New Roman" w:cs="Times New Roman"/>
          <w:u w:val="single"/>
        </w:rPr>
      </w:pPr>
      <w:r w:rsidRPr="0023349B">
        <w:rPr>
          <w:rFonts w:ascii="Times New Roman" w:eastAsia="Times New Roman" w:hAnsi="Times New Roman" w:cs="Times New Roman"/>
          <w:u w:val="single"/>
        </w:rPr>
        <w:t xml:space="preserve">Zmiana </w:t>
      </w:r>
      <w:r w:rsidR="000F2D1F" w:rsidRPr="0023349B">
        <w:rPr>
          <w:rFonts w:ascii="Times New Roman" w:eastAsia="Times New Roman" w:hAnsi="Times New Roman" w:cs="Times New Roman"/>
          <w:u w:val="single"/>
        </w:rPr>
        <w:t>10</w:t>
      </w:r>
      <w:r w:rsidRPr="0023349B">
        <w:rPr>
          <w:rFonts w:ascii="Times New Roman" w:eastAsia="Times New Roman" w:hAnsi="Times New Roman" w:cs="Times New Roman"/>
          <w:u w:val="single"/>
        </w:rPr>
        <w:t>: w zakresie art. 6b</w:t>
      </w:r>
    </w:p>
    <w:p w:rsidR="00C268CB" w:rsidRPr="0023349B" w:rsidRDefault="00925DB5" w:rsidP="0023349B">
      <w:pPr>
        <w:pStyle w:val="Akapitzlist2"/>
        <w:tabs>
          <w:tab w:val="left" w:pos="284"/>
        </w:tabs>
        <w:spacing w:after="240" w:line="360" w:lineRule="auto"/>
        <w:ind w:left="0"/>
        <w:jc w:val="both"/>
        <w:rPr>
          <w:rFonts w:ascii="Times New Roman" w:eastAsia="Times New Roman" w:hAnsi="Times New Roman" w:cs="Times New Roman"/>
        </w:rPr>
      </w:pPr>
      <w:r w:rsidRPr="0023349B">
        <w:rPr>
          <w:rFonts w:ascii="Times New Roman" w:eastAsia="Times New Roman" w:hAnsi="Times New Roman" w:cs="Times New Roman"/>
        </w:rPr>
        <w:t xml:space="preserve">Ze względu na dodanie art. 5b (zmiana </w:t>
      </w:r>
      <w:r w:rsidR="000F2D1F" w:rsidRPr="0023349B">
        <w:rPr>
          <w:rFonts w:ascii="Times New Roman" w:eastAsia="Times New Roman" w:hAnsi="Times New Roman" w:cs="Times New Roman"/>
        </w:rPr>
        <w:t>8</w:t>
      </w:r>
      <w:r w:rsidRPr="0023349B">
        <w:rPr>
          <w:rFonts w:ascii="Times New Roman" w:eastAsia="Times New Roman" w:hAnsi="Times New Roman" w:cs="Times New Roman"/>
        </w:rPr>
        <w:t>), konieczne jest</w:t>
      </w:r>
      <w:r w:rsidR="00193AD6" w:rsidRPr="0023349B">
        <w:rPr>
          <w:rFonts w:ascii="Times New Roman" w:eastAsia="Times New Roman" w:hAnsi="Times New Roman" w:cs="Times New Roman"/>
        </w:rPr>
        <w:t xml:space="preserve"> </w:t>
      </w:r>
      <w:r w:rsidR="00C268CB" w:rsidRPr="0023349B">
        <w:rPr>
          <w:rFonts w:ascii="Times New Roman" w:eastAsia="Times New Roman" w:hAnsi="Times New Roman" w:cs="Times New Roman"/>
        </w:rPr>
        <w:t>doprecyzow</w:t>
      </w:r>
      <w:r w:rsidRPr="0023349B">
        <w:rPr>
          <w:rFonts w:ascii="Times New Roman" w:eastAsia="Times New Roman" w:hAnsi="Times New Roman" w:cs="Times New Roman"/>
        </w:rPr>
        <w:t>anie</w:t>
      </w:r>
      <w:r w:rsidR="00C268CB" w:rsidRPr="0023349B">
        <w:rPr>
          <w:rFonts w:ascii="Times New Roman" w:eastAsia="Times New Roman" w:hAnsi="Times New Roman" w:cs="Times New Roman"/>
        </w:rPr>
        <w:t>, polegając</w:t>
      </w:r>
      <w:r w:rsidR="000F2D1F" w:rsidRPr="0023349B">
        <w:rPr>
          <w:rFonts w:ascii="Times New Roman" w:eastAsia="Times New Roman" w:hAnsi="Times New Roman" w:cs="Times New Roman"/>
        </w:rPr>
        <w:t>e</w:t>
      </w:r>
      <w:r w:rsidR="00C268CB" w:rsidRPr="0023349B">
        <w:rPr>
          <w:rFonts w:ascii="Times New Roman" w:eastAsia="Times New Roman" w:hAnsi="Times New Roman" w:cs="Times New Roman"/>
        </w:rPr>
        <w:t xml:space="preserve"> na tym, że w art. 6b we wprowadzeniu do wyliczenia wyrazy "art. 5</w:t>
      </w:r>
      <w:r w:rsidR="00C47C60" w:rsidRPr="0023349B">
        <w:rPr>
          <w:rFonts w:ascii="Times New Roman" w:eastAsia="Times New Roman" w:hAnsi="Times New Roman" w:cs="Times New Roman"/>
        </w:rPr>
        <w:t>–</w:t>
      </w:r>
      <w:r w:rsidR="00C268CB" w:rsidRPr="0023349B">
        <w:rPr>
          <w:rFonts w:ascii="Times New Roman" w:eastAsia="Times New Roman" w:hAnsi="Times New Roman" w:cs="Times New Roman"/>
        </w:rPr>
        <w:t>6" zastępuje się wyrazami "art. 5, 5a i 6</w:t>
      </w:r>
      <w:r w:rsidRPr="0023349B">
        <w:rPr>
          <w:rFonts w:ascii="Times New Roman" w:eastAsia="Times New Roman" w:hAnsi="Times New Roman" w:cs="Times New Roman"/>
        </w:rPr>
        <w:t>”</w:t>
      </w:r>
      <w:r w:rsidR="000F2D1F" w:rsidRPr="0023349B">
        <w:rPr>
          <w:rFonts w:ascii="Times New Roman" w:eastAsia="Times New Roman" w:hAnsi="Times New Roman" w:cs="Times New Roman"/>
        </w:rPr>
        <w:t>.</w:t>
      </w:r>
    </w:p>
    <w:p w:rsidR="000F2D1F" w:rsidRPr="0023349B" w:rsidRDefault="00C268CB" w:rsidP="0023349B">
      <w:pPr>
        <w:pStyle w:val="Akapitzlist"/>
        <w:widowControl/>
        <w:suppressAutoHyphens w:val="0"/>
        <w:spacing w:after="120" w:line="360" w:lineRule="auto"/>
        <w:ind w:left="0"/>
        <w:jc w:val="both"/>
        <w:rPr>
          <w:rFonts w:ascii="Times New Roman" w:eastAsia="Times New Roman" w:hAnsi="Times New Roman" w:cs="Times New Roman"/>
          <w:szCs w:val="24"/>
        </w:rPr>
      </w:pPr>
      <w:r w:rsidRPr="0023349B">
        <w:rPr>
          <w:rFonts w:ascii="Times New Roman" w:hAnsi="Times New Roman" w:cs="Times New Roman"/>
          <w:u w:val="single"/>
        </w:rPr>
        <w:t xml:space="preserve">Zmiana </w:t>
      </w:r>
      <w:r w:rsidR="000F2D1F" w:rsidRPr="0023349B">
        <w:rPr>
          <w:rFonts w:ascii="Times New Roman" w:hAnsi="Times New Roman" w:cs="Times New Roman"/>
          <w:u w:val="single"/>
        </w:rPr>
        <w:t>11</w:t>
      </w:r>
      <w:r w:rsidRPr="0023349B">
        <w:rPr>
          <w:rFonts w:ascii="Times New Roman" w:hAnsi="Times New Roman" w:cs="Times New Roman"/>
          <w:u w:val="single"/>
        </w:rPr>
        <w:t xml:space="preserve">: </w:t>
      </w:r>
      <w:r w:rsidR="000163DC" w:rsidRPr="0023349B">
        <w:rPr>
          <w:rFonts w:ascii="Times New Roman" w:eastAsia="Times New Roman" w:hAnsi="Times New Roman" w:cs="Times New Roman"/>
          <w:szCs w:val="24"/>
        </w:rPr>
        <w:t>w zakresie dodania art. 6c</w:t>
      </w:r>
    </w:p>
    <w:p w:rsidR="00925DB5" w:rsidRPr="0023349B" w:rsidRDefault="00925DB5" w:rsidP="0023349B">
      <w:pPr>
        <w:pStyle w:val="Akapitzlist"/>
        <w:widowControl/>
        <w:suppressAutoHyphens w:val="0"/>
        <w:spacing w:after="200" w:line="360" w:lineRule="auto"/>
        <w:ind w:left="0"/>
        <w:jc w:val="both"/>
        <w:rPr>
          <w:rFonts w:ascii="Times New Roman" w:eastAsia="Times New Roman" w:hAnsi="Times New Roman" w:cs="Times New Roman"/>
          <w:szCs w:val="24"/>
        </w:rPr>
      </w:pPr>
      <w:r w:rsidRPr="0023349B">
        <w:rPr>
          <w:rFonts w:ascii="Times New Roman" w:eastAsia="Times New Roman" w:hAnsi="Times New Roman" w:cs="Times New Roman"/>
          <w:szCs w:val="24"/>
        </w:rPr>
        <w:t>Celem regulacji jest wprowadzenie obowiązkowego oznakowania inwestycji współfinansowanych</w:t>
      </w:r>
      <w:r w:rsidR="00193AD6" w:rsidRPr="0023349B">
        <w:rPr>
          <w:rFonts w:ascii="Times New Roman" w:eastAsia="Times New Roman" w:hAnsi="Times New Roman" w:cs="Times New Roman"/>
          <w:szCs w:val="24"/>
        </w:rPr>
        <w:t xml:space="preserve"> </w:t>
      </w:r>
      <w:r w:rsidRPr="0023349B">
        <w:rPr>
          <w:rFonts w:ascii="Times New Roman" w:eastAsia="Times New Roman" w:hAnsi="Times New Roman" w:cs="Times New Roman"/>
          <w:szCs w:val="24"/>
        </w:rPr>
        <w:t>z Funduszu Dopłat zasilanego z budżetu państwa w ramach programu bezzwrotnego finansowego wsparcia budownictwa socjalnego i komunalnego.</w:t>
      </w:r>
    </w:p>
    <w:p w:rsidR="00C268CB" w:rsidRPr="0023349B" w:rsidRDefault="000163DC" w:rsidP="0023349B">
      <w:pPr>
        <w:pStyle w:val="Akapitzlist2"/>
        <w:tabs>
          <w:tab w:val="left" w:pos="284"/>
        </w:tabs>
        <w:spacing w:after="120" w:line="360" w:lineRule="auto"/>
        <w:ind w:left="0"/>
        <w:jc w:val="both"/>
        <w:rPr>
          <w:rFonts w:ascii="Times New Roman" w:hAnsi="Times New Roman" w:cs="Times New Roman"/>
          <w:u w:val="single"/>
        </w:rPr>
      </w:pPr>
      <w:r w:rsidRPr="0023349B">
        <w:rPr>
          <w:rFonts w:ascii="Times New Roman" w:eastAsia="Times New Roman" w:hAnsi="Times New Roman" w:cs="Times New Roman"/>
          <w:u w:val="single"/>
        </w:rPr>
        <w:t xml:space="preserve">Zmiana </w:t>
      </w:r>
      <w:r w:rsidR="000F2D1F" w:rsidRPr="0023349B">
        <w:rPr>
          <w:rFonts w:ascii="Times New Roman" w:eastAsia="Times New Roman" w:hAnsi="Times New Roman" w:cs="Times New Roman"/>
          <w:u w:val="single"/>
        </w:rPr>
        <w:t>12</w:t>
      </w:r>
      <w:r w:rsidRPr="0023349B">
        <w:rPr>
          <w:rFonts w:ascii="Times New Roman" w:eastAsia="Times New Roman" w:hAnsi="Times New Roman" w:cs="Times New Roman"/>
          <w:u w:val="single"/>
        </w:rPr>
        <w:t>:</w:t>
      </w:r>
      <w:r w:rsidRPr="0023349B">
        <w:rPr>
          <w:rFonts w:ascii="Times New Roman" w:hAnsi="Times New Roman" w:cs="Times New Roman"/>
          <w:u w:val="single"/>
        </w:rPr>
        <w:t xml:space="preserve"> </w:t>
      </w:r>
      <w:r w:rsidR="00C268CB" w:rsidRPr="0023349B">
        <w:rPr>
          <w:rFonts w:ascii="Times New Roman" w:hAnsi="Times New Roman" w:cs="Times New Roman"/>
          <w:u w:val="single"/>
        </w:rPr>
        <w:t xml:space="preserve">w zakresie dodania w art. 7 ust. 2 </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hAnsi="Times New Roman" w:cs="Times New Roman"/>
          <w:b/>
        </w:rPr>
        <w:t xml:space="preserve">Art. </w:t>
      </w:r>
      <w:r w:rsidR="000F2D1F" w:rsidRPr="0023349B">
        <w:rPr>
          <w:rFonts w:ascii="Times New Roman" w:hAnsi="Times New Roman" w:cs="Times New Roman"/>
          <w:b/>
        </w:rPr>
        <w:t xml:space="preserve">13 </w:t>
      </w:r>
      <w:r w:rsidRPr="0023349B">
        <w:rPr>
          <w:rFonts w:ascii="Times New Roman" w:hAnsi="Times New Roman" w:cs="Times New Roman"/>
          <w:b/>
        </w:rPr>
        <w:t xml:space="preserve">pkt </w:t>
      </w:r>
      <w:r w:rsidR="000F2D1F" w:rsidRPr="0023349B">
        <w:rPr>
          <w:rFonts w:ascii="Times New Roman" w:hAnsi="Times New Roman" w:cs="Times New Roman"/>
          <w:b/>
        </w:rPr>
        <w:t xml:space="preserve">12 </w:t>
      </w:r>
      <w:r w:rsidRPr="0023349B">
        <w:rPr>
          <w:rFonts w:ascii="Times New Roman" w:hAnsi="Times New Roman" w:cs="Times New Roman"/>
          <w:b/>
        </w:rPr>
        <w:t>projektu ustawy</w:t>
      </w:r>
      <w:r w:rsidRPr="0023349B">
        <w:rPr>
          <w:rFonts w:ascii="Times New Roman" w:hAnsi="Times New Roman" w:cs="Times New Roman"/>
        </w:rPr>
        <w:t xml:space="preserve"> ma na celu uregulowanie kwestii </w:t>
      </w:r>
      <w:r w:rsidRPr="0023349B">
        <w:rPr>
          <w:rFonts w:ascii="Times New Roman" w:eastAsia="Times New Roman" w:hAnsi="Times New Roman" w:cs="Times New Roman"/>
        </w:rPr>
        <w:t xml:space="preserve">finansowania tych samych inwestycji ze środków Funduszu Termomodernizacji i Remontów oraz Funduszu Dopłat. </w:t>
      </w:r>
      <w:r w:rsidRPr="0023349B">
        <w:rPr>
          <w:rFonts w:ascii="Times New Roman" w:hAnsi="Times New Roman" w:cs="Times New Roman"/>
        </w:rPr>
        <w:t xml:space="preserve">Dodany </w:t>
      </w:r>
      <w:r w:rsidRPr="0023349B">
        <w:rPr>
          <w:rFonts w:ascii="Times New Roman" w:hAnsi="Times New Roman" w:cs="Times New Roman"/>
          <w:b/>
        </w:rPr>
        <w:t>w art. 7</w:t>
      </w:r>
      <w:r w:rsidRPr="0023349B">
        <w:rPr>
          <w:rFonts w:ascii="Times New Roman" w:hAnsi="Times New Roman" w:cs="Times New Roman"/>
        </w:rPr>
        <w:t xml:space="preserve"> </w:t>
      </w:r>
      <w:r w:rsidRPr="0023349B">
        <w:rPr>
          <w:rFonts w:ascii="Times New Roman" w:hAnsi="Times New Roman" w:cs="Times New Roman"/>
          <w:b/>
        </w:rPr>
        <w:t xml:space="preserve">ust. 2 </w:t>
      </w:r>
      <w:r w:rsidRPr="0023349B">
        <w:rPr>
          <w:rFonts w:ascii="Times New Roman" w:hAnsi="Times New Roman" w:cs="Times New Roman"/>
        </w:rPr>
        <w:t xml:space="preserve">doprecyzowuje, że finansowe wsparcie nie może być udzielone na pokrycie tych kosztów przedsięwzięcia, które są już finansowane kredytem, o którym mowa w </w:t>
      </w:r>
      <w:r w:rsidRPr="0023349B">
        <w:rPr>
          <w:rFonts w:ascii="Times New Roman" w:eastAsia="Times New Roman" w:hAnsi="Times New Roman" w:cs="Times New Roman"/>
        </w:rPr>
        <w:t xml:space="preserve">art. 7 </w:t>
      </w:r>
      <w:r w:rsidRPr="0023349B">
        <w:rPr>
          <w:rFonts w:ascii="Times New Roman" w:eastAsia="Times New Roman" w:hAnsi="Times New Roman" w:cs="Times New Roman"/>
          <w:i/>
        </w:rPr>
        <w:t>ustawy</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rPr>
        <w:t xml:space="preserve">o wspieraniu termomodernizacji i remontów. </w:t>
      </w:r>
      <w:r w:rsidRPr="0023349B">
        <w:rPr>
          <w:rFonts w:ascii="Times New Roman" w:eastAsia="Times New Roman" w:hAnsi="Times New Roman" w:cs="Times New Roman"/>
        </w:rPr>
        <w:t>Przepis zagwarantuje, że wsparcie z budżetu państwa nie będzie dublowane.</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u w:val="single"/>
        </w:rPr>
      </w:pPr>
      <w:r w:rsidRPr="0023349B">
        <w:rPr>
          <w:rFonts w:ascii="Times New Roman" w:eastAsia="Times New Roman" w:hAnsi="Times New Roman" w:cs="Times New Roman"/>
          <w:u w:val="single"/>
        </w:rPr>
        <w:t xml:space="preserve">Zmiana </w:t>
      </w:r>
      <w:r w:rsidR="000F2D1F" w:rsidRPr="0023349B">
        <w:rPr>
          <w:rFonts w:ascii="Times New Roman" w:eastAsia="Times New Roman" w:hAnsi="Times New Roman" w:cs="Times New Roman"/>
          <w:u w:val="single"/>
        </w:rPr>
        <w:t>13</w:t>
      </w:r>
      <w:r w:rsidRPr="0023349B">
        <w:rPr>
          <w:rFonts w:ascii="Times New Roman" w:eastAsia="Times New Roman" w:hAnsi="Times New Roman" w:cs="Times New Roman"/>
          <w:u w:val="single"/>
        </w:rPr>
        <w:t>:</w:t>
      </w:r>
      <w:r w:rsidRPr="0023349B">
        <w:rPr>
          <w:rFonts w:ascii="Times New Roman" w:hAnsi="Times New Roman" w:cs="Times New Roman"/>
          <w:u w:val="single"/>
        </w:rPr>
        <w:t xml:space="preserve"> art. 7a</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b/>
        </w:rPr>
        <w:t xml:space="preserve">Art. </w:t>
      </w:r>
      <w:r w:rsidR="000F2D1F" w:rsidRPr="0023349B">
        <w:rPr>
          <w:rFonts w:ascii="Times New Roman" w:hAnsi="Times New Roman" w:cs="Times New Roman"/>
          <w:b/>
        </w:rPr>
        <w:t xml:space="preserve">13 </w:t>
      </w:r>
      <w:r w:rsidRPr="0023349B">
        <w:rPr>
          <w:rFonts w:ascii="Times New Roman" w:hAnsi="Times New Roman" w:cs="Times New Roman"/>
          <w:b/>
        </w:rPr>
        <w:t xml:space="preserve">pkt </w:t>
      </w:r>
      <w:r w:rsidR="000F2D1F" w:rsidRPr="0023349B">
        <w:rPr>
          <w:rFonts w:ascii="Times New Roman" w:hAnsi="Times New Roman" w:cs="Times New Roman"/>
          <w:b/>
        </w:rPr>
        <w:t xml:space="preserve">13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zawiera zmiany dotyczące </w:t>
      </w:r>
      <w:r w:rsidRPr="0023349B">
        <w:rPr>
          <w:rFonts w:ascii="Times New Roman" w:hAnsi="Times New Roman" w:cs="Times New Roman"/>
          <w:b/>
        </w:rPr>
        <w:t>art. 7a ust. 4 ustawy o finansowym wsparciu …</w:t>
      </w:r>
      <w:r w:rsidRPr="0023349B">
        <w:rPr>
          <w:rFonts w:ascii="Times New Roman" w:hAnsi="Times New Roman" w:cs="Times New Roman"/>
        </w:rPr>
        <w:t xml:space="preserve">, które polegają na modyfikacji definicji dochodu oraz </w:t>
      </w:r>
      <w:r w:rsidRPr="0023349B">
        <w:rPr>
          <w:rFonts w:ascii="Times New Roman" w:hAnsi="Times New Roman" w:cs="Times New Roman"/>
          <w:b/>
        </w:rPr>
        <w:t>art. 7a ust. 1 pkt 2</w:t>
      </w:r>
      <w:r w:rsidRPr="0023349B">
        <w:rPr>
          <w:rFonts w:ascii="Times New Roman" w:hAnsi="Times New Roman" w:cs="Times New Roman"/>
        </w:rPr>
        <w:t xml:space="preserve"> zawierającego parametry stanowiące podstawę do określenia progów dochodowych uprawniających do najmu lokalu mieszkalnego wybudowanego przy udziale finansowego wsparcia, o którym mowa w art. 5 </w:t>
      </w:r>
      <w:r w:rsidRPr="0023349B">
        <w:rPr>
          <w:rFonts w:ascii="Times New Roman" w:hAnsi="Times New Roman" w:cs="Times New Roman"/>
          <w:i/>
        </w:rPr>
        <w:t>ustawy o finansowym wsparciu ….</w:t>
      </w:r>
      <w:r w:rsidRPr="0023349B">
        <w:rPr>
          <w:rFonts w:ascii="Times New Roman" w:hAnsi="Times New Roman" w:cs="Times New Roman"/>
        </w:rPr>
        <w:t xml:space="preserve">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Należy wyjaśnić, że w treści </w:t>
      </w:r>
      <w:r w:rsidRPr="0023349B">
        <w:rPr>
          <w:rFonts w:ascii="Times New Roman" w:hAnsi="Times New Roman" w:cs="Times New Roman"/>
          <w:i/>
        </w:rPr>
        <w:t>ustawy o finansowym wsparciu…</w:t>
      </w:r>
      <w:r w:rsidRPr="0023349B">
        <w:rPr>
          <w:rFonts w:ascii="Times New Roman" w:hAnsi="Times New Roman" w:cs="Times New Roman"/>
        </w:rPr>
        <w:t xml:space="preserve"> zostały zawarte przepisy, zgodnie z którymi średni miesięczny dochód gospodarstwa domowego w roku poprzedzającym rok objęcia lokalu nie może przekraczać określonego procentowo limitu dochodowego, uzależnionego od liczby członków gospodarstwa oraz wysokości ostatnio ogłoszonego przez Prezesa Głównego Urzędu Statystycznego przeciętnego wynagrodzenia miesięcznego brutto w gospodarce narodowej w danym województwie. Zasada ta ma zapewnić właściwe adresowanie mieszkań przeznaczonych docelowo dla gospodarstw domowych o niższych dochodach. W obecnym stanie prawnym regulacja art. 7a ust. 4 opiera się na przyjęciu, że za dochód uważa się dochód w rozumieniu art. 3 ust. 3 ustawy o dodatkach mieszkaniowych.</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W związku ze zmianami przedmiotowego przepisu ustawy o dodatkach mieszkaniowych wystąpiła konieczność wprowadzenia nowej definicji dochodu wskazując, że za dochód uważa się dochód w rozumieniu przepisów art. 3 pkt 1 ustawy o świadczeniach rodzinnych (</w:t>
      </w:r>
      <w:r w:rsidRPr="0023349B">
        <w:rPr>
          <w:rFonts w:ascii="Times New Roman" w:hAnsi="Times New Roman" w:cs="Times New Roman"/>
          <w:b/>
        </w:rPr>
        <w:t xml:space="preserve">art. 7a ust. 4 </w:t>
      </w:r>
      <w:r w:rsidRPr="0023349B">
        <w:rPr>
          <w:rFonts w:ascii="Times New Roman" w:hAnsi="Times New Roman" w:cs="Times New Roman"/>
          <w:b/>
          <w:i/>
        </w:rPr>
        <w:t>ustawy o finansowym wsparciu …</w:t>
      </w:r>
      <w:r w:rsidRPr="0023349B">
        <w:rPr>
          <w:rFonts w:ascii="Times New Roman" w:hAnsi="Times New Roman" w:cs="Times New Roman"/>
        </w:rPr>
        <w:t xml:space="preserve">). Jednocześnie w związku z ww. zmianą definicji dochodu, wprowadzono w art. </w:t>
      </w:r>
      <w:r w:rsidRPr="0023349B">
        <w:rPr>
          <w:rFonts w:ascii="Times New Roman" w:hAnsi="Times New Roman" w:cs="Times New Roman"/>
          <w:b/>
        </w:rPr>
        <w:t xml:space="preserve">7a ust. 1 pkt 2 </w:t>
      </w:r>
      <w:r w:rsidRPr="0023349B">
        <w:rPr>
          <w:rFonts w:ascii="Times New Roman" w:hAnsi="Times New Roman" w:cs="Times New Roman"/>
          <w:b/>
          <w:i/>
        </w:rPr>
        <w:t>ustawy o finansowym wsparciu …</w:t>
      </w:r>
      <w:r w:rsidRPr="0023349B">
        <w:rPr>
          <w:rFonts w:ascii="Times New Roman" w:hAnsi="Times New Roman" w:cs="Times New Roman"/>
        </w:rPr>
        <w:t xml:space="preserve"> korektę dotyczącą progów dochodowych. Zmiana zapewni, że osoby dotychczas spełniające kryterium dochodowe uprawniające do najmu lokalu mieszkalnego wybudowanego przy udziale finansowego wsparcia, o którym mowa w art. 5 </w:t>
      </w:r>
      <w:r w:rsidRPr="0023349B">
        <w:rPr>
          <w:rFonts w:ascii="Times New Roman" w:hAnsi="Times New Roman" w:cs="Times New Roman"/>
          <w:i/>
        </w:rPr>
        <w:t>ustawy o finansowym wsparciu…,</w:t>
      </w:r>
      <w:r w:rsidRPr="0023349B">
        <w:rPr>
          <w:rFonts w:ascii="Times New Roman" w:hAnsi="Times New Roman" w:cs="Times New Roman"/>
        </w:rPr>
        <w:t xml:space="preserve"> po zmianie definicji dochodu dalej będą je spełniały.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Zmiany wartości procentowych w art. 7a ust. 1 pkt 2 </w:t>
      </w:r>
      <w:r w:rsidR="00C47C60" w:rsidRPr="0023349B">
        <w:rPr>
          <w:rFonts w:ascii="Times New Roman" w:hAnsi="Times New Roman" w:cs="Times New Roman"/>
        </w:rPr>
        <w:t>–</w:t>
      </w:r>
      <w:r w:rsidRPr="0023349B">
        <w:rPr>
          <w:rFonts w:ascii="Times New Roman" w:hAnsi="Times New Roman" w:cs="Times New Roman"/>
        </w:rPr>
        <w:t xml:space="preserve"> średni miesięczny dochód gospodarstwa domowego w roku poprzedzającym rok, w którym zawierana jest umowa najmu lokalu mieszkalnego, nie przekracza:</w:t>
      </w:r>
    </w:p>
    <w:p w:rsidR="00C268CB" w:rsidRPr="0023349B" w:rsidRDefault="00C268CB" w:rsidP="0023349B">
      <w:pPr>
        <w:numPr>
          <w:ilvl w:val="0"/>
          <w:numId w:val="39"/>
        </w:numPr>
        <w:tabs>
          <w:tab w:val="left" w:pos="0"/>
        </w:tabs>
        <w:spacing w:after="120" w:line="360" w:lineRule="auto"/>
        <w:ind w:left="709" w:hanging="425"/>
        <w:jc w:val="both"/>
        <w:rPr>
          <w:rFonts w:ascii="Times New Roman" w:hAnsi="Times New Roman" w:cs="Times New Roman"/>
        </w:rPr>
      </w:pPr>
      <w:r w:rsidRPr="0023349B">
        <w:rPr>
          <w:rFonts w:ascii="Times New Roman" w:hAnsi="Times New Roman" w:cs="Times New Roman"/>
        </w:rPr>
        <w:t>95% w jednoosobowym gospodarstwie domowym (było 80%),</w:t>
      </w:r>
    </w:p>
    <w:p w:rsidR="00C268CB" w:rsidRPr="0023349B" w:rsidRDefault="00C268CB" w:rsidP="0023349B">
      <w:pPr>
        <w:numPr>
          <w:ilvl w:val="0"/>
          <w:numId w:val="39"/>
        </w:numPr>
        <w:tabs>
          <w:tab w:val="left" w:pos="0"/>
        </w:tabs>
        <w:spacing w:after="120" w:line="360" w:lineRule="auto"/>
        <w:ind w:left="709" w:hanging="425"/>
        <w:jc w:val="both"/>
        <w:rPr>
          <w:rFonts w:ascii="Times New Roman" w:hAnsi="Times New Roman" w:cs="Times New Roman"/>
        </w:rPr>
      </w:pPr>
      <w:r w:rsidRPr="0023349B">
        <w:rPr>
          <w:rFonts w:ascii="Times New Roman" w:hAnsi="Times New Roman" w:cs="Times New Roman"/>
        </w:rPr>
        <w:t>140% w dwuosobowym gospodarstwie domowym (było 120%),</w:t>
      </w:r>
    </w:p>
    <w:p w:rsidR="00C268CB" w:rsidRPr="0023349B" w:rsidRDefault="00C268CB" w:rsidP="0023349B">
      <w:pPr>
        <w:numPr>
          <w:ilvl w:val="0"/>
          <w:numId w:val="39"/>
        </w:numPr>
        <w:tabs>
          <w:tab w:val="left" w:pos="0"/>
        </w:tabs>
        <w:spacing w:after="120" w:line="360" w:lineRule="auto"/>
        <w:ind w:left="709" w:hanging="425"/>
        <w:jc w:val="both"/>
        <w:rPr>
          <w:rFonts w:ascii="Times New Roman" w:hAnsi="Times New Roman" w:cs="Times New Roman"/>
        </w:rPr>
      </w:pPr>
      <w:r w:rsidRPr="0023349B">
        <w:rPr>
          <w:rFonts w:ascii="Times New Roman" w:hAnsi="Times New Roman" w:cs="Times New Roman"/>
        </w:rPr>
        <w:t>190% w trzyosobowym gospodarstwie domowym (było 165%),</w:t>
      </w:r>
    </w:p>
    <w:p w:rsidR="00C268CB" w:rsidRPr="0023349B" w:rsidRDefault="00C268CB" w:rsidP="0023349B">
      <w:pPr>
        <w:numPr>
          <w:ilvl w:val="0"/>
          <w:numId w:val="39"/>
        </w:numPr>
        <w:tabs>
          <w:tab w:val="left" w:pos="0"/>
        </w:tabs>
        <w:spacing w:after="120" w:line="360" w:lineRule="auto"/>
        <w:ind w:left="709" w:hanging="425"/>
        <w:jc w:val="both"/>
        <w:rPr>
          <w:rFonts w:ascii="Times New Roman" w:hAnsi="Times New Roman" w:cs="Times New Roman"/>
        </w:rPr>
      </w:pPr>
      <w:r w:rsidRPr="0023349B">
        <w:rPr>
          <w:rFonts w:ascii="Times New Roman" w:hAnsi="Times New Roman" w:cs="Times New Roman"/>
        </w:rPr>
        <w:t>230% w czteroosobowym gospodarstwie domowym (było 200%),</w:t>
      </w:r>
    </w:p>
    <w:p w:rsidR="00C268CB" w:rsidRPr="0023349B" w:rsidRDefault="00C268CB" w:rsidP="0023349B">
      <w:pPr>
        <w:numPr>
          <w:ilvl w:val="0"/>
          <w:numId w:val="39"/>
        </w:numPr>
        <w:tabs>
          <w:tab w:val="left" w:pos="0"/>
        </w:tabs>
        <w:spacing w:after="240" w:line="360" w:lineRule="auto"/>
        <w:ind w:left="709" w:hanging="426"/>
        <w:jc w:val="both"/>
        <w:rPr>
          <w:rFonts w:ascii="Times New Roman" w:hAnsi="Times New Roman" w:cs="Times New Roman"/>
        </w:rPr>
      </w:pPr>
      <w:r w:rsidRPr="0023349B">
        <w:rPr>
          <w:rFonts w:ascii="Times New Roman" w:hAnsi="Times New Roman" w:cs="Times New Roman"/>
        </w:rPr>
        <w:t>230% w gospodarstwie domowym większym niż czteroosobowe, powiększone o dodatkowe 50% na każdą kolejną osobę w gospodarstwie domowym (było 200% powiększone o dodatkowe 40%)</w:t>
      </w:r>
    </w:p>
    <w:p w:rsidR="00C268CB" w:rsidRPr="0023349B" w:rsidRDefault="00C47C60" w:rsidP="0023349B">
      <w:pPr>
        <w:spacing w:after="240" w:line="360" w:lineRule="auto"/>
        <w:jc w:val="both"/>
        <w:rPr>
          <w:rFonts w:ascii="Times New Roman" w:hAnsi="Times New Roman" w:cs="Times New Roman"/>
        </w:rPr>
      </w:pPr>
      <w:r w:rsidRPr="0023349B">
        <w:rPr>
          <w:rFonts w:ascii="Times New Roman" w:hAnsi="Times New Roman" w:cs="Times New Roman"/>
        </w:rPr>
        <w:t>–</w:t>
      </w:r>
      <w:r w:rsidR="00C268CB" w:rsidRPr="0023349B">
        <w:rPr>
          <w:rFonts w:ascii="Times New Roman" w:hAnsi="Times New Roman" w:cs="Times New Roman"/>
        </w:rPr>
        <w:t xml:space="preserve"> iloczynu wysokości ostatnio ogłoszonego przeciętnego wynagrodzenia miesięcznego brutto w gospodarce narodowej w województwie, na terenie którego położony jest lokal mieszkalny, oraz współczynnika 1,2.</w:t>
      </w:r>
    </w:p>
    <w:p w:rsidR="00C268CB" w:rsidRPr="0023349B" w:rsidRDefault="00C268CB" w:rsidP="0023349B">
      <w:pPr>
        <w:pStyle w:val="Default"/>
        <w:keepNext/>
        <w:keepLines/>
        <w:spacing w:after="120" w:line="360" w:lineRule="auto"/>
        <w:jc w:val="both"/>
        <w:rPr>
          <w:rFonts w:ascii="Times New Roman" w:hAnsi="Times New Roman" w:cs="Times New Roman"/>
          <w:color w:val="auto"/>
          <w:u w:val="single"/>
        </w:rPr>
      </w:pPr>
      <w:r w:rsidRPr="0023349B">
        <w:rPr>
          <w:rFonts w:ascii="Times New Roman" w:hAnsi="Times New Roman" w:cs="Times New Roman"/>
          <w:color w:val="auto"/>
          <w:u w:val="single"/>
        </w:rPr>
        <w:t xml:space="preserve">Zmiana </w:t>
      </w:r>
      <w:r w:rsidR="000F2D1F" w:rsidRPr="0023349B">
        <w:rPr>
          <w:rFonts w:ascii="Times New Roman" w:hAnsi="Times New Roman" w:cs="Times New Roman"/>
          <w:color w:val="auto"/>
          <w:u w:val="single"/>
        </w:rPr>
        <w:t>14</w:t>
      </w:r>
      <w:r w:rsidRPr="0023349B">
        <w:rPr>
          <w:rFonts w:ascii="Times New Roman" w:hAnsi="Times New Roman" w:cs="Times New Roman"/>
          <w:color w:val="auto"/>
          <w:u w:val="single"/>
        </w:rPr>
        <w:t>: art. 7d</w:t>
      </w:r>
    </w:p>
    <w:p w:rsidR="00C268CB" w:rsidRPr="0023349B" w:rsidRDefault="00C268CB" w:rsidP="0023349B">
      <w:pPr>
        <w:pStyle w:val="Default"/>
        <w:spacing w:after="240" w:line="360" w:lineRule="auto"/>
        <w:jc w:val="both"/>
        <w:rPr>
          <w:rFonts w:ascii="Times New Roman" w:hAnsi="Times New Roman" w:cs="Times New Roman"/>
          <w:color w:val="auto"/>
        </w:rPr>
      </w:pPr>
      <w:r w:rsidRPr="0023349B">
        <w:rPr>
          <w:rFonts w:ascii="Times New Roman" w:hAnsi="Times New Roman" w:cs="Times New Roman"/>
          <w:color w:val="auto"/>
        </w:rPr>
        <w:t xml:space="preserve">W </w:t>
      </w:r>
      <w:r w:rsidRPr="0023349B">
        <w:rPr>
          <w:rFonts w:ascii="Times New Roman" w:hAnsi="Times New Roman" w:cs="Times New Roman"/>
          <w:b/>
          <w:color w:val="auto"/>
        </w:rPr>
        <w:t xml:space="preserve">art. </w:t>
      </w:r>
      <w:r w:rsidR="000F2D1F" w:rsidRPr="0023349B">
        <w:rPr>
          <w:rFonts w:ascii="Times New Roman" w:hAnsi="Times New Roman" w:cs="Times New Roman"/>
          <w:b/>
          <w:color w:val="auto"/>
        </w:rPr>
        <w:t xml:space="preserve">13 </w:t>
      </w:r>
      <w:r w:rsidRPr="0023349B">
        <w:rPr>
          <w:rFonts w:ascii="Times New Roman" w:hAnsi="Times New Roman" w:cs="Times New Roman"/>
          <w:b/>
          <w:color w:val="auto"/>
        </w:rPr>
        <w:t xml:space="preserve">pkt </w:t>
      </w:r>
      <w:r w:rsidR="000F2D1F" w:rsidRPr="0023349B">
        <w:rPr>
          <w:rFonts w:ascii="Times New Roman" w:hAnsi="Times New Roman" w:cs="Times New Roman"/>
          <w:b/>
          <w:color w:val="auto"/>
        </w:rPr>
        <w:t xml:space="preserve">14 </w:t>
      </w:r>
      <w:r w:rsidRPr="0023349B">
        <w:rPr>
          <w:rFonts w:ascii="Times New Roman" w:hAnsi="Times New Roman" w:cs="Times New Roman"/>
          <w:b/>
          <w:color w:val="auto"/>
        </w:rPr>
        <w:t xml:space="preserve">projektu </w:t>
      </w:r>
      <w:r w:rsidRPr="0023349B">
        <w:rPr>
          <w:rFonts w:ascii="Times New Roman" w:hAnsi="Times New Roman" w:cs="Times New Roman"/>
          <w:b/>
          <w:i/>
          <w:color w:val="auto"/>
        </w:rPr>
        <w:t>ustawy</w:t>
      </w:r>
      <w:r w:rsidRPr="0023349B">
        <w:rPr>
          <w:rFonts w:ascii="Times New Roman" w:hAnsi="Times New Roman" w:cs="Times New Roman"/>
          <w:color w:val="auto"/>
        </w:rPr>
        <w:t xml:space="preserve"> zmodyfikowano brzmienie </w:t>
      </w:r>
      <w:r w:rsidRPr="0023349B">
        <w:rPr>
          <w:rFonts w:ascii="Times New Roman" w:hAnsi="Times New Roman" w:cs="Times New Roman"/>
          <w:b/>
          <w:color w:val="auto"/>
        </w:rPr>
        <w:t xml:space="preserve">art. 7d </w:t>
      </w:r>
      <w:r w:rsidRPr="0023349B">
        <w:rPr>
          <w:rFonts w:ascii="Times New Roman" w:hAnsi="Times New Roman" w:cs="Times New Roman"/>
          <w:b/>
          <w:i/>
          <w:color w:val="auto"/>
        </w:rPr>
        <w:t>ustawy o finansowym wsparciu …</w:t>
      </w:r>
      <w:r w:rsidRPr="0023349B">
        <w:rPr>
          <w:rFonts w:ascii="Times New Roman" w:hAnsi="Times New Roman" w:cs="Times New Roman"/>
          <w:color w:val="auto"/>
        </w:rPr>
        <w:t xml:space="preserve">, w celu wykluczenia wątpliwości interpretacyjnych co do stosowania przepisów </w:t>
      </w:r>
      <w:r w:rsidRPr="0023349B">
        <w:rPr>
          <w:rFonts w:ascii="Times New Roman" w:hAnsi="Times New Roman" w:cs="Times New Roman"/>
          <w:i/>
          <w:color w:val="auto"/>
        </w:rPr>
        <w:t>ustawy o finansowym wsparciu…</w:t>
      </w:r>
      <w:r w:rsidRPr="0023349B">
        <w:rPr>
          <w:rFonts w:ascii="Times New Roman" w:hAnsi="Times New Roman" w:cs="Times New Roman"/>
          <w:color w:val="auto"/>
        </w:rPr>
        <w:t xml:space="preserve"> w przypadku przedsięwzięć realizowanych na podstawie art. 5 oraz przy wykorzystaniu finansowania zwrotnego, o którym mowa w rozdziale 2a </w:t>
      </w:r>
      <w:r w:rsidRPr="0023349B">
        <w:rPr>
          <w:rFonts w:ascii="Times New Roman" w:hAnsi="Times New Roman" w:cs="Times New Roman"/>
          <w:i/>
          <w:color w:val="auto"/>
        </w:rPr>
        <w:t>ustawy</w:t>
      </w:r>
      <w:r w:rsidRPr="0023349B">
        <w:rPr>
          <w:rFonts w:ascii="Times New Roman" w:hAnsi="Times New Roman" w:cs="Times New Roman"/>
          <w:color w:val="auto"/>
        </w:rPr>
        <w:t xml:space="preserve"> </w:t>
      </w:r>
      <w:r w:rsidRPr="0023349B">
        <w:rPr>
          <w:rFonts w:ascii="Times New Roman" w:hAnsi="Times New Roman" w:cs="Times New Roman"/>
          <w:i/>
          <w:color w:val="auto"/>
        </w:rPr>
        <w:t>o niektórych formach …</w:t>
      </w:r>
      <w:r w:rsidRPr="0023349B">
        <w:rPr>
          <w:rFonts w:ascii="Times New Roman" w:hAnsi="Times New Roman" w:cs="Times New Roman"/>
          <w:color w:val="auto"/>
        </w:rPr>
        <w:t>. Doprecyzowano, że w przypadku gospodarowania takimi lokalami mieszkalnymi maj</w:t>
      </w:r>
      <w:r w:rsidR="00842529" w:rsidRPr="0023349B">
        <w:rPr>
          <w:rFonts w:ascii="Times New Roman" w:hAnsi="Times New Roman" w:cs="Times New Roman"/>
          <w:color w:val="auto"/>
        </w:rPr>
        <w:t>ą zastosowanie przepisy art. 7a</w:t>
      </w:r>
      <w:r w:rsidRPr="0023349B">
        <w:rPr>
          <w:rFonts w:ascii="Times New Roman" w:hAnsi="Times New Roman" w:cs="Times New Roman"/>
          <w:color w:val="auto"/>
        </w:rPr>
        <w:t>–7c ustawy o finansowym wsparciu ….</w:t>
      </w:r>
    </w:p>
    <w:p w:rsidR="00C268CB" w:rsidRPr="0023349B" w:rsidRDefault="00C268CB" w:rsidP="0023349B">
      <w:pPr>
        <w:pStyle w:val="Default"/>
        <w:spacing w:after="120" w:line="360" w:lineRule="auto"/>
        <w:jc w:val="both"/>
        <w:rPr>
          <w:rFonts w:ascii="Times New Roman" w:hAnsi="Times New Roman" w:cs="Times New Roman"/>
          <w:color w:val="auto"/>
          <w:u w:val="single"/>
        </w:rPr>
      </w:pPr>
      <w:r w:rsidRPr="0023349B">
        <w:rPr>
          <w:rFonts w:ascii="Times New Roman" w:hAnsi="Times New Roman" w:cs="Times New Roman"/>
          <w:color w:val="auto"/>
          <w:u w:val="single"/>
        </w:rPr>
        <w:t xml:space="preserve">Zmiana </w:t>
      </w:r>
      <w:r w:rsidR="000F2D1F" w:rsidRPr="0023349B">
        <w:rPr>
          <w:rFonts w:ascii="Times New Roman" w:hAnsi="Times New Roman" w:cs="Times New Roman"/>
          <w:color w:val="auto"/>
          <w:u w:val="single"/>
        </w:rPr>
        <w:t>15</w:t>
      </w:r>
      <w:r w:rsidRPr="0023349B">
        <w:rPr>
          <w:rFonts w:ascii="Times New Roman" w:hAnsi="Times New Roman" w:cs="Times New Roman"/>
          <w:color w:val="auto"/>
          <w:u w:val="single"/>
        </w:rPr>
        <w:t>: art. 7e</w:t>
      </w:r>
    </w:p>
    <w:p w:rsidR="00C268CB" w:rsidRPr="0023349B" w:rsidRDefault="00C268CB" w:rsidP="0023349B">
      <w:pPr>
        <w:pStyle w:val="Default"/>
        <w:spacing w:after="240" w:line="360" w:lineRule="auto"/>
        <w:jc w:val="both"/>
        <w:rPr>
          <w:rFonts w:ascii="Times New Roman" w:hAnsi="Times New Roman" w:cs="Times New Roman"/>
          <w:color w:val="auto"/>
        </w:rPr>
      </w:pPr>
      <w:r w:rsidRPr="0023349B">
        <w:rPr>
          <w:rFonts w:ascii="Times New Roman" w:hAnsi="Times New Roman" w:cs="Times New Roman"/>
          <w:color w:val="auto"/>
        </w:rPr>
        <w:t xml:space="preserve">W </w:t>
      </w:r>
      <w:r w:rsidRPr="0023349B">
        <w:rPr>
          <w:rFonts w:ascii="Times New Roman" w:hAnsi="Times New Roman" w:cs="Times New Roman"/>
          <w:b/>
          <w:color w:val="auto"/>
        </w:rPr>
        <w:t xml:space="preserve">art. </w:t>
      </w:r>
      <w:r w:rsidR="000F2D1F" w:rsidRPr="0023349B">
        <w:rPr>
          <w:rFonts w:ascii="Times New Roman" w:hAnsi="Times New Roman" w:cs="Times New Roman"/>
          <w:b/>
          <w:color w:val="auto"/>
        </w:rPr>
        <w:t xml:space="preserve">13 </w:t>
      </w:r>
      <w:r w:rsidRPr="0023349B">
        <w:rPr>
          <w:rFonts w:ascii="Times New Roman" w:hAnsi="Times New Roman" w:cs="Times New Roman"/>
          <w:b/>
          <w:color w:val="auto"/>
        </w:rPr>
        <w:t xml:space="preserve">pkt </w:t>
      </w:r>
      <w:r w:rsidR="000F2D1F" w:rsidRPr="0023349B">
        <w:rPr>
          <w:rFonts w:ascii="Times New Roman" w:hAnsi="Times New Roman" w:cs="Times New Roman"/>
          <w:b/>
          <w:color w:val="auto"/>
        </w:rPr>
        <w:t xml:space="preserve">15 </w:t>
      </w:r>
      <w:r w:rsidRPr="0023349B">
        <w:rPr>
          <w:rFonts w:ascii="Times New Roman" w:hAnsi="Times New Roman" w:cs="Times New Roman"/>
          <w:b/>
          <w:color w:val="auto"/>
        </w:rPr>
        <w:t xml:space="preserve">projektu </w:t>
      </w:r>
      <w:r w:rsidRPr="0023349B">
        <w:rPr>
          <w:rFonts w:ascii="Times New Roman" w:hAnsi="Times New Roman" w:cs="Times New Roman"/>
          <w:b/>
          <w:i/>
          <w:color w:val="auto"/>
        </w:rPr>
        <w:t>ustawy</w:t>
      </w:r>
      <w:r w:rsidRPr="0023349B">
        <w:rPr>
          <w:rFonts w:ascii="Times New Roman" w:hAnsi="Times New Roman" w:cs="Times New Roman"/>
          <w:color w:val="auto"/>
        </w:rPr>
        <w:t xml:space="preserve"> zmiana </w:t>
      </w:r>
      <w:r w:rsidRPr="0023349B">
        <w:rPr>
          <w:rFonts w:ascii="Times New Roman" w:hAnsi="Times New Roman" w:cs="Times New Roman"/>
          <w:b/>
          <w:color w:val="auto"/>
        </w:rPr>
        <w:t xml:space="preserve">art. 7e </w:t>
      </w:r>
      <w:r w:rsidRPr="0023349B">
        <w:rPr>
          <w:rFonts w:ascii="Times New Roman" w:hAnsi="Times New Roman" w:cs="Times New Roman"/>
          <w:b/>
          <w:i/>
          <w:color w:val="auto"/>
        </w:rPr>
        <w:t>ustawy o finansowym wsparciu …</w:t>
      </w:r>
      <w:r w:rsidRPr="0023349B">
        <w:rPr>
          <w:rFonts w:ascii="Times New Roman" w:hAnsi="Times New Roman" w:cs="Times New Roman"/>
          <w:color w:val="auto"/>
        </w:rPr>
        <w:t xml:space="preserve"> polega na likwidacji zasady, zgodnie z którą lokale mieszkalne utworzone przez inwestora prywatnego przy wykorzystaniu nowego instrumentu wsparcia gmin (grant na partycypację) muszą być użytkowane docelowo na zasadach najmu – pomimo, że objęty rekompensatą okres świadczenia usługi wynajmu mieszkań na warunkach niższego czynszu wynosi 15 lat. W to miejsce proponuje się wprowadzenie warunku, że mieszkania takie nie mogą być wyodrębnione na własność wcześniej, niż po upływie 15 lat licząc od dnia rozliczenia kosztów przedsięwzięcia.</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u w:val="single"/>
        </w:rPr>
      </w:pPr>
      <w:r w:rsidRPr="0023349B">
        <w:rPr>
          <w:rFonts w:ascii="Times New Roman" w:hAnsi="Times New Roman" w:cs="Times New Roman"/>
          <w:u w:val="single"/>
        </w:rPr>
        <w:t xml:space="preserve">Zmiana </w:t>
      </w:r>
      <w:r w:rsidR="000F2D1F" w:rsidRPr="0023349B">
        <w:rPr>
          <w:rFonts w:ascii="Times New Roman" w:hAnsi="Times New Roman" w:cs="Times New Roman"/>
          <w:u w:val="single"/>
        </w:rPr>
        <w:t>16</w:t>
      </w:r>
      <w:r w:rsidRPr="0023349B">
        <w:rPr>
          <w:rFonts w:ascii="Times New Roman" w:hAnsi="Times New Roman" w:cs="Times New Roman"/>
          <w:u w:val="single"/>
        </w:rPr>
        <w:t>: w zakresie art. 13</w:t>
      </w:r>
    </w:p>
    <w:p w:rsidR="00C268CB" w:rsidRPr="0023349B" w:rsidRDefault="00C268CB" w:rsidP="0023349B">
      <w:pPr>
        <w:pStyle w:val="Akapitzlist2"/>
        <w:tabs>
          <w:tab w:val="left" w:pos="284"/>
        </w:tabs>
        <w:spacing w:after="240" w:line="360" w:lineRule="auto"/>
        <w:ind w:left="0"/>
        <w:jc w:val="both"/>
        <w:rPr>
          <w:rFonts w:ascii="Times New Roman" w:hAnsi="Times New Roman" w:cs="Times New Roman"/>
        </w:rPr>
      </w:pPr>
      <w:r w:rsidRPr="0023349B">
        <w:rPr>
          <w:rFonts w:ascii="Times New Roman" w:hAnsi="Times New Roman" w:cs="Times New Roman"/>
        </w:rPr>
        <w:t xml:space="preserve">Zmiany zaproponowane w </w:t>
      </w:r>
      <w:r w:rsidRPr="0023349B">
        <w:rPr>
          <w:rFonts w:ascii="Times New Roman" w:hAnsi="Times New Roman" w:cs="Times New Roman"/>
          <w:b/>
        </w:rPr>
        <w:t xml:space="preserve">art. </w:t>
      </w:r>
      <w:r w:rsidR="000F2D1F" w:rsidRPr="0023349B">
        <w:rPr>
          <w:rFonts w:ascii="Times New Roman" w:hAnsi="Times New Roman" w:cs="Times New Roman"/>
          <w:b/>
        </w:rPr>
        <w:t xml:space="preserve">13 </w:t>
      </w:r>
      <w:r w:rsidRPr="0023349B">
        <w:rPr>
          <w:rFonts w:ascii="Times New Roman" w:hAnsi="Times New Roman" w:cs="Times New Roman"/>
          <w:b/>
        </w:rPr>
        <w:t xml:space="preserve">pkt </w:t>
      </w:r>
      <w:r w:rsidR="000F2D1F" w:rsidRPr="0023349B">
        <w:rPr>
          <w:rFonts w:ascii="Times New Roman" w:hAnsi="Times New Roman" w:cs="Times New Roman"/>
          <w:b/>
        </w:rPr>
        <w:t xml:space="preserve">16 </w:t>
      </w:r>
      <w:r w:rsidRPr="0023349B">
        <w:rPr>
          <w:rFonts w:ascii="Times New Roman" w:hAnsi="Times New Roman" w:cs="Times New Roman"/>
          <w:b/>
        </w:rPr>
        <w:t xml:space="preserve">lit. a i b projektu </w:t>
      </w:r>
      <w:r w:rsidRPr="0023349B">
        <w:rPr>
          <w:rFonts w:ascii="Times New Roman" w:hAnsi="Times New Roman" w:cs="Times New Roman"/>
          <w:b/>
          <w:i/>
        </w:rPr>
        <w:t>ustawy</w:t>
      </w:r>
      <w:r w:rsidRPr="0023349B">
        <w:rPr>
          <w:rFonts w:ascii="Times New Roman" w:hAnsi="Times New Roman" w:cs="Times New Roman"/>
        </w:rPr>
        <w:t xml:space="preserve"> dotyczą </w:t>
      </w:r>
      <w:r w:rsidRPr="0023349B">
        <w:rPr>
          <w:rFonts w:ascii="Times New Roman" w:hAnsi="Times New Roman" w:cs="Times New Roman"/>
          <w:bCs/>
        </w:rPr>
        <w:t xml:space="preserve">zwiększenia intensywności wsparcia samorządów gminnych realizujących przedsięwzięcia w ramach programu BSK (modyfikacja art. 13 ust. 1 i 1a </w:t>
      </w:r>
      <w:r w:rsidRPr="0023349B">
        <w:rPr>
          <w:rFonts w:ascii="Times New Roman" w:hAnsi="Times New Roman" w:cs="Times New Roman"/>
          <w:bCs/>
          <w:i/>
        </w:rPr>
        <w:t>ustawy o finansowym wsparciu…</w:t>
      </w:r>
      <w:r w:rsidRPr="0023349B">
        <w:rPr>
          <w:rFonts w:ascii="Times New Roman" w:hAnsi="Times New Roman" w:cs="Times New Roman"/>
          <w:bCs/>
        </w:rPr>
        <w:t xml:space="preserve">). </w:t>
      </w:r>
      <w:r w:rsidRPr="0023349B">
        <w:rPr>
          <w:rFonts w:ascii="Times New Roman" w:eastAsia="Times New Roman" w:hAnsi="Times New Roman" w:cs="Times New Roman"/>
        </w:rPr>
        <w:t>W celu zwiększenia atrakcyjności programu BSK oraz mając na uwadze zmianę sytuacji ekonomicznej beneficjentów wsparcia spowodowaną wzrostem cen materiałów budowlanych, kosztów zatrudnienia pracowników i tym samym realizacji przewidzianych w </w:t>
      </w:r>
      <w:r w:rsidRPr="0023349B">
        <w:rPr>
          <w:rFonts w:ascii="Times New Roman" w:eastAsia="Times New Roman" w:hAnsi="Times New Roman" w:cs="Times New Roman"/>
          <w:i/>
        </w:rPr>
        <w:t>ustawie o finansowym wsparciu…</w:t>
      </w:r>
      <w:r w:rsidRPr="0023349B">
        <w:rPr>
          <w:rFonts w:ascii="Times New Roman" w:eastAsia="Times New Roman" w:hAnsi="Times New Roman" w:cs="Times New Roman"/>
        </w:rPr>
        <w:t xml:space="preserve"> przedsięwzięć – zaproponowano podniesienie progów wysokości udzielanego wsparcia z Funduszu Dopłat na poszczególne przedsięwzięcia. Zakres planowanego wzrostu dofinansowania </w:t>
      </w:r>
      <w:r w:rsidRPr="0023349B">
        <w:rPr>
          <w:rFonts w:ascii="Times New Roman" w:hAnsi="Times New Roman" w:cs="Times New Roman"/>
        </w:rPr>
        <w:t>przedstawia poniższa tabela:</w:t>
      </w:r>
    </w:p>
    <w:tbl>
      <w:tblPr>
        <w:tblW w:w="9739" w:type="dxa"/>
        <w:tblInd w:w="108" w:type="dxa"/>
        <w:tblLayout w:type="fixed"/>
        <w:tblLook w:val="0000" w:firstRow="0" w:lastRow="0" w:firstColumn="0" w:lastColumn="0" w:noHBand="0" w:noVBand="0"/>
      </w:tblPr>
      <w:tblGrid>
        <w:gridCol w:w="2153"/>
        <w:gridCol w:w="5213"/>
        <w:gridCol w:w="2373"/>
      </w:tblGrid>
      <w:tr w:rsidR="00DA3234" w:rsidRPr="0023349B" w:rsidTr="0023349B">
        <w:trPr>
          <w:trHeight w:val="382"/>
        </w:trPr>
        <w:tc>
          <w:tcPr>
            <w:tcW w:w="2153" w:type="dxa"/>
            <w:tcBorders>
              <w:top w:val="single" w:sz="8" w:space="0" w:color="000000"/>
              <w:left w:val="single" w:sz="8" w:space="0" w:color="000000"/>
              <w:bottom w:val="single" w:sz="8" w:space="0" w:color="000000"/>
            </w:tcBorders>
            <w:shd w:val="clear" w:color="auto" w:fill="D9D9D9"/>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Aktualna wysokość wsparcia</w:t>
            </w:r>
          </w:p>
        </w:tc>
        <w:tc>
          <w:tcPr>
            <w:tcW w:w="5213" w:type="dxa"/>
            <w:tcBorders>
              <w:top w:val="single" w:sz="8" w:space="0" w:color="000000"/>
              <w:left w:val="single" w:sz="8" w:space="0" w:color="000000"/>
              <w:bottom w:val="single" w:sz="8" w:space="0" w:color="000000"/>
            </w:tcBorders>
            <w:shd w:val="clear" w:color="auto" w:fill="D9D9D9"/>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Rodzaj przedsięwzięcia</w:t>
            </w:r>
          </w:p>
        </w:tc>
        <w:tc>
          <w:tcPr>
            <w:tcW w:w="2373" w:type="dxa"/>
            <w:tcBorders>
              <w:top w:val="single" w:sz="8" w:space="0" w:color="000000"/>
              <w:left w:val="single" w:sz="8" w:space="0" w:color="000000"/>
              <w:bottom w:val="single" w:sz="8" w:space="0" w:color="000000"/>
              <w:right w:val="single" w:sz="8" w:space="0" w:color="000000"/>
            </w:tcBorders>
            <w:shd w:val="clear" w:color="auto" w:fill="D9D9D9"/>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Proponowana wysokość wsparcia</w:t>
            </w:r>
          </w:p>
        </w:tc>
      </w:tr>
      <w:tr w:rsidR="00DA3234" w:rsidRPr="0023349B" w:rsidTr="0023349B">
        <w:trPr>
          <w:trHeight w:val="382"/>
        </w:trPr>
        <w:tc>
          <w:tcPr>
            <w:tcW w:w="2153" w:type="dxa"/>
            <w:vMerge w:val="restart"/>
            <w:tcBorders>
              <w:top w:val="single" w:sz="8" w:space="0" w:color="000000"/>
              <w:left w:val="single" w:sz="8" w:space="0" w:color="000000"/>
              <w:bottom w:val="single" w:sz="8" w:space="0" w:color="000000"/>
            </w:tcBorders>
            <w:shd w:val="clear" w:color="auto" w:fill="FFFFFF"/>
            <w:vAlign w:val="center"/>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35%</w:t>
            </w: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Budowa budynku komunalnego</w:t>
            </w:r>
          </w:p>
        </w:tc>
        <w:tc>
          <w:tcPr>
            <w:tcW w:w="2373"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50%</w:t>
            </w:r>
          </w:p>
        </w:tc>
      </w:tr>
      <w:tr w:rsidR="00DA3234" w:rsidRPr="0023349B" w:rsidTr="0023349B">
        <w:trPr>
          <w:trHeight w:val="382"/>
        </w:trPr>
        <w:tc>
          <w:tcPr>
            <w:tcW w:w="2153" w:type="dxa"/>
            <w:vMerge/>
            <w:tcBorders>
              <w:top w:val="single" w:sz="8" w:space="0" w:color="000000"/>
              <w:left w:val="single" w:sz="8" w:space="0" w:color="000000"/>
              <w:bottom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Zakup lokali mieszkalnych (z przeznaczeniem na komunalne)</w:t>
            </w:r>
          </w:p>
        </w:tc>
        <w:tc>
          <w:tcPr>
            <w:tcW w:w="2373"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r>
      <w:tr w:rsidR="00DA3234" w:rsidRPr="0023349B" w:rsidTr="0023349B">
        <w:trPr>
          <w:trHeight w:val="382"/>
        </w:trPr>
        <w:tc>
          <w:tcPr>
            <w:tcW w:w="2153" w:type="dxa"/>
            <w:vMerge w:val="restart"/>
            <w:tcBorders>
              <w:top w:val="single" w:sz="8" w:space="0" w:color="000000"/>
              <w:left w:val="single" w:sz="8" w:space="0" w:color="000000"/>
              <w:bottom w:val="single" w:sz="8" w:space="0" w:color="000000"/>
            </w:tcBorders>
            <w:shd w:val="clear" w:color="auto" w:fill="FFFFFF"/>
            <w:vAlign w:val="center"/>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45%</w:t>
            </w: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Remont zasobu komunalnego (niemieszkalnego/wyłączonego z użytkowania)</w:t>
            </w:r>
          </w:p>
        </w:tc>
        <w:tc>
          <w:tcPr>
            <w:tcW w:w="2373"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50%</w:t>
            </w:r>
          </w:p>
        </w:tc>
      </w:tr>
      <w:tr w:rsidR="00DA3234" w:rsidRPr="0023349B" w:rsidTr="0023349B">
        <w:trPr>
          <w:trHeight w:val="382"/>
        </w:trPr>
        <w:tc>
          <w:tcPr>
            <w:tcW w:w="2153" w:type="dxa"/>
            <w:vMerge/>
            <w:tcBorders>
              <w:top w:val="single" w:sz="8" w:space="0" w:color="000000"/>
              <w:left w:val="single" w:sz="8" w:space="0" w:color="000000"/>
              <w:bottom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Budowa zasobu quasi komunalnego (w TBS)</w:t>
            </w:r>
          </w:p>
        </w:tc>
        <w:tc>
          <w:tcPr>
            <w:tcW w:w="2373"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r>
      <w:tr w:rsidR="00DA3234" w:rsidRPr="0023349B" w:rsidTr="0023349B">
        <w:trPr>
          <w:trHeight w:val="382"/>
        </w:trPr>
        <w:tc>
          <w:tcPr>
            <w:tcW w:w="2153" w:type="dxa"/>
            <w:vMerge/>
            <w:tcBorders>
              <w:top w:val="single" w:sz="8" w:space="0" w:color="000000"/>
              <w:left w:val="single" w:sz="8" w:space="0" w:color="000000"/>
              <w:bottom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Noclegownie, schroniska dla osób bezdomnych, ogrzewalnie</w:t>
            </w:r>
          </w:p>
        </w:tc>
        <w:tc>
          <w:tcPr>
            <w:tcW w:w="2373"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r>
      <w:tr w:rsidR="00DA3234" w:rsidRPr="0023349B" w:rsidTr="0023349B">
        <w:trPr>
          <w:trHeight w:val="382"/>
        </w:trPr>
        <w:tc>
          <w:tcPr>
            <w:tcW w:w="2153" w:type="dxa"/>
            <w:vMerge w:val="restart"/>
            <w:tcBorders>
              <w:top w:val="single" w:sz="8" w:space="0" w:color="000000"/>
              <w:left w:val="single" w:sz="8" w:space="0" w:color="000000"/>
              <w:bottom w:val="single" w:sz="8" w:space="0" w:color="000000"/>
            </w:tcBorders>
            <w:shd w:val="clear" w:color="auto" w:fill="FFFFFF"/>
            <w:vAlign w:val="center"/>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50%</w:t>
            </w: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Zakup byłych mieszkań zakładowych</w:t>
            </w:r>
          </w:p>
        </w:tc>
        <w:tc>
          <w:tcPr>
            <w:tcW w:w="2373"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50%</w:t>
            </w:r>
          </w:p>
        </w:tc>
      </w:tr>
      <w:tr w:rsidR="00DA3234" w:rsidRPr="0023349B" w:rsidTr="0023349B">
        <w:trPr>
          <w:trHeight w:val="382"/>
        </w:trPr>
        <w:tc>
          <w:tcPr>
            <w:tcW w:w="2153" w:type="dxa"/>
            <w:vMerge/>
            <w:tcBorders>
              <w:top w:val="single" w:sz="8" w:space="0" w:color="000000"/>
              <w:left w:val="single" w:sz="8" w:space="0" w:color="000000"/>
              <w:bottom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 xml:space="preserve">Remont budynku we współpracy z TBS, z przeznaczeniem na zasób quasi komunalny </w:t>
            </w:r>
          </w:p>
        </w:tc>
        <w:tc>
          <w:tcPr>
            <w:tcW w:w="2373"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snapToGrid w:val="0"/>
              <w:spacing w:after="240" w:line="360" w:lineRule="auto"/>
              <w:rPr>
                <w:rFonts w:ascii="Times New Roman" w:hAnsi="Times New Roman" w:cs="Times New Roman"/>
              </w:rPr>
            </w:pPr>
          </w:p>
        </w:tc>
      </w:tr>
      <w:tr w:rsidR="00DA3234" w:rsidRPr="0023349B" w:rsidTr="0023349B">
        <w:trPr>
          <w:trHeight w:val="382"/>
        </w:trPr>
        <w:tc>
          <w:tcPr>
            <w:tcW w:w="215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55%</w:t>
            </w:r>
          </w:p>
        </w:tc>
        <w:tc>
          <w:tcPr>
            <w:tcW w:w="5213" w:type="dxa"/>
            <w:tcBorders>
              <w:top w:val="single" w:sz="8" w:space="0" w:color="000000"/>
              <w:left w:val="single" w:sz="8" w:space="0" w:color="000000"/>
              <w:bottom w:val="single" w:sz="8" w:space="0" w:color="000000"/>
            </w:tcBorders>
            <w:shd w:val="clear" w:color="auto" w:fill="FFFFFF"/>
          </w:tcPr>
          <w:p w:rsidR="00C268CB" w:rsidRPr="0023349B" w:rsidRDefault="00C268CB" w:rsidP="0023349B">
            <w:pPr>
              <w:pStyle w:val="Akapitzlist2"/>
              <w:snapToGrid w:val="0"/>
              <w:spacing w:after="240" w:line="360" w:lineRule="auto"/>
              <w:ind w:left="0"/>
              <w:rPr>
                <w:rStyle w:val="Pogrubienie2"/>
                <w:rFonts w:ascii="Times New Roman" w:hAnsi="Times New Roman" w:cs="Times New Roman"/>
              </w:rPr>
            </w:pPr>
            <w:r w:rsidRPr="0023349B">
              <w:rPr>
                <w:rStyle w:val="Pogrubienie2"/>
                <w:rFonts w:ascii="Times New Roman" w:hAnsi="Times New Roman" w:cs="Times New Roman"/>
              </w:rPr>
              <w:t>Remont noclegowni, schronisk dla osób bezdomnych, ogrzewalni</w:t>
            </w:r>
          </w:p>
        </w:tc>
        <w:tc>
          <w:tcPr>
            <w:tcW w:w="237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C268CB" w:rsidRPr="0023349B" w:rsidRDefault="00C268CB" w:rsidP="0023349B">
            <w:pPr>
              <w:pStyle w:val="Akapitzlist2"/>
              <w:snapToGrid w:val="0"/>
              <w:spacing w:after="240" w:line="360" w:lineRule="auto"/>
              <w:ind w:left="0"/>
              <w:jc w:val="center"/>
              <w:rPr>
                <w:rStyle w:val="Pogrubienie2"/>
                <w:rFonts w:ascii="Times New Roman" w:hAnsi="Times New Roman" w:cs="Times New Roman"/>
              </w:rPr>
            </w:pPr>
            <w:r w:rsidRPr="0023349B">
              <w:rPr>
                <w:rStyle w:val="Pogrubienie2"/>
                <w:rFonts w:ascii="Times New Roman" w:hAnsi="Times New Roman" w:cs="Times New Roman"/>
              </w:rPr>
              <w:t>60%</w:t>
            </w:r>
          </w:p>
        </w:tc>
      </w:tr>
    </w:tbl>
    <w:p w:rsidR="00C268CB" w:rsidRPr="0023349B" w:rsidRDefault="00C268CB" w:rsidP="0023349B">
      <w:pPr>
        <w:spacing w:after="240" w:line="360" w:lineRule="auto"/>
        <w:jc w:val="both"/>
        <w:rPr>
          <w:rFonts w:ascii="Times New Roman" w:hAnsi="Times New Roman" w:cs="Times New Roman"/>
        </w:rPr>
      </w:pP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Zmiana w </w:t>
      </w:r>
      <w:r w:rsidRPr="0023349B">
        <w:rPr>
          <w:rFonts w:ascii="Times New Roman" w:hAnsi="Times New Roman" w:cs="Times New Roman"/>
          <w:b/>
        </w:rPr>
        <w:t xml:space="preserve">art. </w:t>
      </w:r>
      <w:r w:rsidR="000F2D1F" w:rsidRPr="0023349B">
        <w:rPr>
          <w:rFonts w:ascii="Times New Roman" w:hAnsi="Times New Roman" w:cs="Times New Roman"/>
          <w:b/>
        </w:rPr>
        <w:t xml:space="preserve">13 </w:t>
      </w:r>
      <w:r w:rsidRPr="0023349B">
        <w:rPr>
          <w:rFonts w:ascii="Times New Roman" w:hAnsi="Times New Roman" w:cs="Times New Roman"/>
          <w:b/>
        </w:rPr>
        <w:t xml:space="preserve">pkt </w:t>
      </w:r>
      <w:r w:rsidR="000F2D1F" w:rsidRPr="0023349B">
        <w:rPr>
          <w:rFonts w:ascii="Times New Roman" w:hAnsi="Times New Roman" w:cs="Times New Roman"/>
          <w:b/>
        </w:rPr>
        <w:t xml:space="preserve">16 </w:t>
      </w:r>
      <w:r w:rsidRPr="0023349B">
        <w:rPr>
          <w:rFonts w:ascii="Times New Roman" w:hAnsi="Times New Roman" w:cs="Times New Roman"/>
          <w:b/>
        </w:rPr>
        <w:t xml:space="preserve">lit. a projektu </w:t>
      </w:r>
      <w:r w:rsidRPr="0023349B">
        <w:rPr>
          <w:rFonts w:ascii="Times New Roman" w:hAnsi="Times New Roman" w:cs="Times New Roman"/>
          <w:b/>
          <w:i/>
        </w:rPr>
        <w:t>ustawy</w:t>
      </w:r>
      <w:r w:rsidRPr="0023349B">
        <w:rPr>
          <w:rFonts w:ascii="Times New Roman" w:hAnsi="Times New Roman" w:cs="Times New Roman"/>
        </w:rPr>
        <w:t xml:space="preserve"> dotyczy również </w:t>
      </w:r>
      <w:r w:rsidRPr="0023349B">
        <w:rPr>
          <w:rFonts w:ascii="Times New Roman" w:hAnsi="Times New Roman" w:cs="Times New Roman"/>
          <w:b/>
        </w:rPr>
        <w:t xml:space="preserve">art. 13 ust. 1 pkt 1 </w:t>
      </w:r>
      <w:r w:rsidRPr="0023349B">
        <w:rPr>
          <w:rFonts w:ascii="Times New Roman" w:hAnsi="Times New Roman" w:cs="Times New Roman"/>
          <w:b/>
          <w:i/>
        </w:rPr>
        <w:t>ustawy o finansowym wsparciu…</w:t>
      </w:r>
      <w:r w:rsidRPr="0023349B">
        <w:rPr>
          <w:rFonts w:ascii="Times New Roman" w:hAnsi="Times New Roman" w:cs="Times New Roman"/>
        </w:rPr>
        <w:t xml:space="preserve">, w którym określona została maksymalna wysokość finansowego wsparcia, jaka może zostać udzielona na realizację przedsięwzięcia polegającego na tworzeniu lokali mieszkalnych na podstawie art. 5 </w:t>
      </w:r>
      <w:r w:rsidRPr="0023349B">
        <w:rPr>
          <w:rFonts w:ascii="Times New Roman" w:hAnsi="Times New Roman" w:cs="Times New Roman"/>
          <w:i/>
        </w:rPr>
        <w:t>ustawy o finansowym wsparciu….</w:t>
      </w:r>
      <w:r w:rsidRPr="0023349B">
        <w:rPr>
          <w:rFonts w:ascii="Times New Roman" w:hAnsi="Times New Roman" w:cs="Times New Roman"/>
        </w:rPr>
        <w:t xml:space="preserve"> Proponuje się podwyższenie finansowego wsparcia dla gmin partycypujących w kosztach budowy na podstawie umowy zawartej pomiędzy JST a inwestorem (w tym TBS) z 20% do maksymalnie nawet 35% kosztów inwestycji bezzwrotnego wsparcia z Funduszu Dopłat.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Podstawową zasadą będzie udzielanie finansowego wsparcia na realizację przedsięwzięcia na podstawie art. 5 </w:t>
      </w:r>
      <w:r w:rsidRPr="0023349B">
        <w:rPr>
          <w:rFonts w:ascii="Times New Roman" w:hAnsi="Times New Roman" w:cs="Times New Roman"/>
          <w:i/>
        </w:rPr>
        <w:t>ustawy o finansowym wsparciu …</w:t>
      </w:r>
      <w:r w:rsidRPr="0023349B">
        <w:rPr>
          <w:rFonts w:ascii="Times New Roman" w:hAnsi="Times New Roman" w:cs="Times New Roman"/>
        </w:rPr>
        <w:t xml:space="preserve"> w wysokości nie przekraczającej 25% kosztów przedsięwzięcia. Ponadto, wprowadza się możliwość uzyskania zwiększonego wsparcia (maksymalnie do 35% kosztów przedsięwzięcia), przy czym udział gminy albo związku gminnego będzie pokrywany do wysokości odpowiadającej wartości gruntu inwestora, na którym realizowane będzie przedsięwzięcie.</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Analogiczna zmiana została wprowadzona również w </w:t>
      </w:r>
      <w:r w:rsidRPr="0023349B">
        <w:rPr>
          <w:rFonts w:ascii="Times New Roman" w:hAnsi="Times New Roman" w:cs="Times New Roman"/>
          <w:b/>
        </w:rPr>
        <w:t xml:space="preserve">art. </w:t>
      </w:r>
      <w:r w:rsidR="000F2D1F" w:rsidRPr="0023349B">
        <w:rPr>
          <w:rFonts w:ascii="Times New Roman" w:hAnsi="Times New Roman" w:cs="Times New Roman"/>
          <w:b/>
        </w:rPr>
        <w:t xml:space="preserve">13 </w:t>
      </w:r>
      <w:r w:rsidRPr="0023349B">
        <w:rPr>
          <w:rFonts w:ascii="Times New Roman" w:hAnsi="Times New Roman" w:cs="Times New Roman"/>
          <w:b/>
        </w:rPr>
        <w:t xml:space="preserve">pkt </w:t>
      </w:r>
      <w:r w:rsidR="000F2D1F" w:rsidRPr="0023349B">
        <w:rPr>
          <w:rFonts w:ascii="Times New Roman" w:hAnsi="Times New Roman" w:cs="Times New Roman"/>
          <w:b/>
        </w:rPr>
        <w:t xml:space="preserve">16 </w:t>
      </w:r>
      <w:r w:rsidRPr="0023349B">
        <w:rPr>
          <w:rFonts w:ascii="Times New Roman" w:hAnsi="Times New Roman" w:cs="Times New Roman"/>
          <w:b/>
        </w:rPr>
        <w:t xml:space="preserve">lit. b </w:t>
      </w:r>
      <w:r w:rsidRPr="0023349B">
        <w:rPr>
          <w:rFonts w:ascii="Times New Roman" w:hAnsi="Times New Roman" w:cs="Times New Roman"/>
          <w:b/>
          <w:i/>
        </w:rPr>
        <w:t>projektu ustawy</w:t>
      </w:r>
      <w:r w:rsidRPr="0023349B">
        <w:rPr>
          <w:rFonts w:ascii="Times New Roman" w:hAnsi="Times New Roman" w:cs="Times New Roman"/>
        </w:rPr>
        <w:t xml:space="preserve"> i dotyczy </w:t>
      </w:r>
      <w:r w:rsidRPr="0023349B">
        <w:rPr>
          <w:rFonts w:ascii="Times New Roman" w:hAnsi="Times New Roman" w:cs="Times New Roman"/>
          <w:b/>
        </w:rPr>
        <w:t xml:space="preserve">art. 13 ust. 1a pkt 1 </w:t>
      </w:r>
      <w:r w:rsidRPr="0023349B">
        <w:rPr>
          <w:rFonts w:ascii="Times New Roman" w:hAnsi="Times New Roman" w:cs="Times New Roman"/>
          <w:b/>
          <w:i/>
        </w:rPr>
        <w:t>ustawy o finansowym wsparciu…</w:t>
      </w:r>
      <w:r w:rsidRPr="0023349B">
        <w:rPr>
          <w:rFonts w:ascii="Times New Roman" w:hAnsi="Times New Roman" w:cs="Times New Roman"/>
        </w:rPr>
        <w:t>, który reguluje sytuację, gdy dane przedsięwzięcie obejmuje koszty, do których mają zastosowanie różne limity wysokości finansowego wsparcia.</w:t>
      </w:r>
    </w:p>
    <w:p w:rsidR="00C268CB" w:rsidRPr="0023349B" w:rsidRDefault="00C268CB" w:rsidP="0023349B">
      <w:pPr>
        <w:tabs>
          <w:tab w:val="left" w:pos="284"/>
        </w:tabs>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W </w:t>
      </w:r>
      <w:r w:rsidRPr="0023349B">
        <w:rPr>
          <w:rFonts w:ascii="Times New Roman" w:eastAsia="Times New Roman" w:hAnsi="Times New Roman" w:cs="Times New Roman"/>
          <w:b/>
        </w:rPr>
        <w:t xml:space="preserve">art. </w:t>
      </w:r>
      <w:r w:rsidR="000F2D1F" w:rsidRPr="0023349B">
        <w:rPr>
          <w:rFonts w:ascii="Times New Roman" w:eastAsia="Times New Roman" w:hAnsi="Times New Roman" w:cs="Times New Roman"/>
          <w:b/>
        </w:rPr>
        <w:t xml:space="preserve">13 </w:t>
      </w:r>
      <w:r w:rsidRPr="0023349B">
        <w:rPr>
          <w:rFonts w:ascii="Times New Roman" w:eastAsia="Times New Roman" w:hAnsi="Times New Roman" w:cs="Times New Roman"/>
          <w:b/>
        </w:rPr>
        <w:t xml:space="preserve">pkt </w:t>
      </w:r>
      <w:r w:rsidR="000F2D1F" w:rsidRPr="0023349B">
        <w:rPr>
          <w:rFonts w:ascii="Times New Roman" w:eastAsia="Times New Roman" w:hAnsi="Times New Roman" w:cs="Times New Roman"/>
          <w:b/>
        </w:rPr>
        <w:t xml:space="preserve">16 </w:t>
      </w:r>
      <w:r w:rsidRPr="0023349B">
        <w:rPr>
          <w:rFonts w:ascii="Times New Roman" w:eastAsia="Times New Roman" w:hAnsi="Times New Roman" w:cs="Times New Roman"/>
          <w:b/>
        </w:rPr>
        <w:t xml:space="preserve">lit. e projektu </w:t>
      </w:r>
      <w:r w:rsidRPr="0023349B">
        <w:rPr>
          <w:rFonts w:ascii="Times New Roman" w:eastAsia="Times New Roman" w:hAnsi="Times New Roman" w:cs="Times New Roman"/>
          <w:b/>
          <w:i/>
        </w:rPr>
        <w:t>ustawy</w:t>
      </w:r>
      <w:r w:rsidRPr="0023349B">
        <w:rPr>
          <w:rFonts w:ascii="Times New Roman" w:eastAsia="Times New Roman" w:hAnsi="Times New Roman" w:cs="Times New Roman"/>
        </w:rPr>
        <w:t xml:space="preserve">, </w:t>
      </w:r>
      <w:r w:rsidRPr="0023349B">
        <w:rPr>
          <w:rFonts w:ascii="Times New Roman" w:hAnsi="Times New Roman" w:cs="Times New Roman"/>
        </w:rPr>
        <w:t xml:space="preserve">w zakresie dodanego do </w:t>
      </w:r>
      <w:r w:rsidRPr="0023349B">
        <w:rPr>
          <w:rFonts w:ascii="Times New Roman" w:hAnsi="Times New Roman" w:cs="Times New Roman"/>
          <w:b/>
        </w:rPr>
        <w:t xml:space="preserve">art. 13 ust. 5 </w:t>
      </w:r>
      <w:r w:rsidRPr="0023349B">
        <w:rPr>
          <w:rFonts w:ascii="Times New Roman" w:hAnsi="Times New Roman" w:cs="Times New Roman"/>
          <w:b/>
          <w:i/>
        </w:rPr>
        <w:t>ustawy o finansowym wsparciu…</w:t>
      </w:r>
      <w:r w:rsidRPr="0023349B">
        <w:rPr>
          <w:rFonts w:ascii="Times New Roman" w:hAnsi="Times New Roman" w:cs="Times New Roman"/>
        </w:rPr>
        <w:t>,</w:t>
      </w:r>
      <w:r w:rsidRPr="0023349B">
        <w:rPr>
          <w:rFonts w:ascii="Times New Roman" w:eastAsia="Times New Roman" w:hAnsi="Times New Roman" w:cs="Times New Roman"/>
          <w:b/>
        </w:rPr>
        <w:t xml:space="preserve"> </w:t>
      </w:r>
      <w:r w:rsidRPr="0023349B">
        <w:rPr>
          <w:rFonts w:ascii="Times New Roman" w:eastAsia="Times New Roman" w:hAnsi="Times New Roman" w:cs="Times New Roman"/>
        </w:rPr>
        <w:t>zaproponowano,</w:t>
      </w:r>
      <w:r w:rsidRPr="0023349B">
        <w:rPr>
          <w:rFonts w:ascii="Times New Roman" w:eastAsia="Times New Roman" w:hAnsi="Times New Roman" w:cs="Times New Roman"/>
          <w:b/>
        </w:rPr>
        <w:t xml:space="preserve"> </w:t>
      </w:r>
      <w:r w:rsidRPr="0023349B">
        <w:rPr>
          <w:rFonts w:ascii="Times New Roman" w:eastAsia="Times New Roman" w:hAnsi="Times New Roman" w:cs="Times New Roman"/>
        </w:rPr>
        <w:t>aby w przypadku przedsięwzięć</w:t>
      </w:r>
      <w:r w:rsidRPr="0023349B">
        <w:rPr>
          <w:rStyle w:val="Pogrubienie2"/>
          <w:rFonts w:ascii="Times New Roman" w:eastAsia="font278" w:hAnsi="Times New Roman" w:cs="Times New Roman"/>
        </w:rPr>
        <w:t xml:space="preserve"> realizowanych przy udziale premii remontowej (dodany art. 3 ust. 4) </w:t>
      </w:r>
      <w:r w:rsidRPr="0023349B">
        <w:rPr>
          <w:rFonts w:ascii="Times New Roman" w:eastAsia="Times New Roman" w:hAnsi="Times New Roman" w:cs="Times New Roman"/>
        </w:rPr>
        <w:t>wysokość finansowego wsparcia była dodatkowo podwyższana o 10 pkt procentowych, jeżeli budynek jest wpisany do rejestru zabytków lub znajduje się na obszarze wpisanym do rejestru zabytków. Związane jest to z faktem, że przedsięwzięcia remontowe w takich budynkach wymagają dodatkowych nakładów wynikających z zaleceń konserwatora. Najczęściej remontu takiego budynku nie można zrealizować tradycyjnym sposobem i należy zastosować inne, bardziej kosztowne techniki, wymagające również zatrudnienia wyspecjalizowanych firm budowlanych, których usługi są droższe.</w:t>
      </w:r>
      <w:r w:rsidR="00193AD6" w:rsidRPr="0023349B">
        <w:rPr>
          <w:rFonts w:ascii="Times New Roman" w:eastAsia="Times New Roman" w:hAnsi="Times New Roman" w:cs="Times New Roman"/>
        </w:rPr>
        <w:t xml:space="preserve"> </w:t>
      </w:r>
    </w:p>
    <w:p w:rsidR="00C268CB" w:rsidRPr="0023349B" w:rsidRDefault="00C268CB" w:rsidP="0023349B">
      <w:pPr>
        <w:tabs>
          <w:tab w:val="left" w:pos="284"/>
        </w:tabs>
        <w:spacing w:after="240" w:line="360" w:lineRule="auto"/>
        <w:jc w:val="both"/>
        <w:rPr>
          <w:rFonts w:ascii="Times New Roman" w:hAnsi="Times New Roman" w:cs="Times New Roman"/>
        </w:rPr>
      </w:pPr>
      <w:r w:rsidRPr="0023349B">
        <w:rPr>
          <w:rFonts w:ascii="Times New Roman" w:eastAsia="Times New Roman" w:hAnsi="Times New Roman" w:cs="Times New Roman"/>
        </w:rPr>
        <w:t xml:space="preserve">Zmiany zaproponowane w </w:t>
      </w:r>
      <w:r w:rsidRPr="0023349B">
        <w:rPr>
          <w:rFonts w:ascii="Times New Roman" w:eastAsia="Times New Roman" w:hAnsi="Times New Roman" w:cs="Times New Roman"/>
          <w:b/>
        </w:rPr>
        <w:t xml:space="preserve">art. </w:t>
      </w:r>
      <w:r w:rsidR="000F2D1F" w:rsidRPr="0023349B">
        <w:rPr>
          <w:rFonts w:ascii="Times New Roman" w:eastAsia="Times New Roman" w:hAnsi="Times New Roman" w:cs="Times New Roman"/>
          <w:b/>
        </w:rPr>
        <w:t xml:space="preserve">13 </w:t>
      </w:r>
      <w:r w:rsidRPr="0023349B">
        <w:rPr>
          <w:rFonts w:ascii="Times New Roman" w:eastAsia="Times New Roman" w:hAnsi="Times New Roman" w:cs="Times New Roman"/>
          <w:b/>
        </w:rPr>
        <w:t xml:space="preserve">pkt </w:t>
      </w:r>
      <w:r w:rsidR="000F2D1F" w:rsidRPr="0023349B">
        <w:rPr>
          <w:rFonts w:ascii="Times New Roman" w:eastAsia="Times New Roman" w:hAnsi="Times New Roman" w:cs="Times New Roman"/>
          <w:b/>
        </w:rPr>
        <w:t xml:space="preserve">16 </w:t>
      </w:r>
      <w:r w:rsidRPr="0023349B">
        <w:rPr>
          <w:rFonts w:ascii="Times New Roman" w:eastAsia="Times New Roman" w:hAnsi="Times New Roman" w:cs="Times New Roman"/>
          <w:b/>
        </w:rPr>
        <w:t>lit. c i d</w:t>
      </w:r>
      <w:r w:rsidRPr="0023349B">
        <w:rPr>
          <w:rFonts w:ascii="Times New Roman" w:eastAsia="Times New Roman" w:hAnsi="Times New Roman" w:cs="Times New Roman"/>
        </w:rPr>
        <w:t xml:space="preserve"> związane są z uchyleniem ust. 2 w art. 13 </w:t>
      </w:r>
      <w:r w:rsidRPr="0023349B">
        <w:rPr>
          <w:rFonts w:ascii="Times New Roman" w:eastAsia="Times New Roman" w:hAnsi="Times New Roman" w:cs="Times New Roman"/>
          <w:i/>
        </w:rPr>
        <w:t>ustawy o finansowym wsparciu…</w:t>
      </w:r>
      <w:r w:rsidRPr="0023349B">
        <w:rPr>
          <w:rFonts w:ascii="Times New Roman" w:eastAsia="Times New Roman" w:hAnsi="Times New Roman" w:cs="Times New Roman"/>
        </w:rPr>
        <w:t xml:space="preserve">, w którym uregulowana została kwestia maksymalnej wysokości finansowego wsparcia na przedsięwzięcie realizowane przez beneficjenta wsparcia w porozumieniu z towarzystwem budownictwa społecznego. W obecnym stanie prawnym wysokość wsparcia w takim przypadku nie może przekroczyć </w:t>
      </w:r>
      <w:r w:rsidRPr="0023349B">
        <w:rPr>
          <w:rFonts w:ascii="Times New Roman" w:hAnsi="Times New Roman" w:cs="Times New Roman"/>
        </w:rPr>
        <w:t>połowy udziału gminy, związku międzygminnego albo powiatu w kosztach przedsięwzięcia. W niniejszym projekcie ustawy zaproponowano rezygnację z powyższego ograniczenia.</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u w:val="single"/>
        </w:rPr>
      </w:pPr>
      <w:r w:rsidRPr="0023349B">
        <w:rPr>
          <w:rFonts w:ascii="Times New Roman" w:hAnsi="Times New Roman" w:cs="Times New Roman"/>
          <w:u w:val="single"/>
        </w:rPr>
        <w:t xml:space="preserve">Zmiana </w:t>
      </w:r>
      <w:r w:rsidR="000F2D1F" w:rsidRPr="0023349B">
        <w:rPr>
          <w:rFonts w:ascii="Times New Roman" w:hAnsi="Times New Roman" w:cs="Times New Roman"/>
          <w:u w:val="single"/>
        </w:rPr>
        <w:t>17</w:t>
      </w:r>
      <w:r w:rsidRPr="0023349B">
        <w:rPr>
          <w:rFonts w:ascii="Times New Roman" w:hAnsi="Times New Roman" w:cs="Times New Roman"/>
          <w:u w:val="single"/>
        </w:rPr>
        <w:t>: art. 14</w:t>
      </w:r>
    </w:p>
    <w:p w:rsidR="00C268CB" w:rsidRPr="0023349B" w:rsidRDefault="00C268CB" w:rsidP="0023349B">
      <w:pPr>
        <w:pStyle w:val="Akapitzlist2"/>
        <w:tabs>
          <w:tab w:val="left" w:pos="284"/>
        </w:tabs>
        <w:spacing w:after="120" w:line="360" w:lineRule="auto"/>
        <w:ind w:left="0"/>
        <w:jc w:val="both"/>
        <w:rPr>
          <w:rFonts w:ascii="Times New Roman" w:eastAsia="Times New Roman" w:hAnsi="Times New Roman" w:cs="Times New Roman"/>
        </w:rPr>
      </w:pPr>
      <w:r w:rsidRPr="0023349B">
        <w:rPr>
          <w:rFonts w:ascii="Times New Roman" w:hAnsi="Times New Roman" w:cs="Times New Roman"/>
          <w:bCs/>
        </w:rPr>
        <w:t xml:space="preserve">W </w:t>
      </w:r>
      <w:r w:rsidRPr="0023349B">
        <w:rPr>
          <w:rFonts w:ascii="Times New Roman" w:hAnsi="Times New Roman" w:cs="Times New Roman"/>
          <w:b/>
          <w:bCs/>
        </w:rPr>
        <w:t xml:space="preserve">art. </w:t>
      </w:r>
      <w:r w:rsidR="000F2D1F" w:rsidRPr="0023349B">
        <w:rPr>
          <w:rFonts w:ascii="Times New Roman" w:hAnsi="Times New Roman" w:cs="Times New Roman"/>
          <w:b/>
          <w:bCs/>
        </w:rPr>
        <w:t xml:space="preserve">13 </w:t>
      </w:r>
      <w:r w:rsidRPr="0023349B">
        <w:rPr>
          <w:rFonts w:ascii="Times New Roman" w:hAnsi="Times New Roman" w:cs="Times New Roman"/>
          <w:b/>
          <w:bCs/>
        </w:rPr>
        <w:t xml:space="preserve">pkt </w:t>
      </w:r>
      <w:r w:rsidR="009768BE" w:rsidRPr="0023349B">
        <w:rPr>
          <w:rFonts w:ascii="Times New Roman" w:hAnsi="Times New Roman" w:cs="Times New Roman"/>
          <w:b/>
          <w:bCs/>
        </w:rPr>
        <w:t xml:space="preserve">17 </w:t>
      </w:r>
      <w:r w:rsidRPr="0023349B">
        <w:rPr>
          <w:rFonts w:ascii="Times New Roman" w:hAnsi="Times New Roman" w:cs="Times New Roman"/>
          <w:b/>
          <w:bCs/>
        </w:rPr>
        <w:t xml:space="preserve">projektu </w:t>
      </w:r>
      <w:r w:rsidRPr="0023349B">
        <w:rPr>
          <w:rFonts w:ascii="Times New Roman" w:hAnsi="Times New Roman" w:cs="Times New Roman"/>
          <w:b/>
          <w:bCs/>
          <w:i/>
        </w:rPr>
        <w:t>ustawy</w:t>
      </w:r>
      <w:r w:rsidRPr="0023349B">
        <w:rPr>
          <w:rFonts w:ascii="Times New Roman" w:hAnsi="Times New Roman" w:cs="Times New Roman"/>
          <w:bCs/>
        </w:rPr>
        <w:t xml:space="preserve"> zawarta została zmiana dotycząca </w:t>
      </w:r>
      <w:r w:rsidRPr="0023349B">
        <w:rPr>
          <w:rFonts w:ascii="Times New Roman" w:eastAsia="Times New Roman" w:hAnsi="Times New Roman" w:cs="Times New Roman"/>
        </w:rPr>
        <w:t xml:space="preserve">poszerzenia katalogu kosztów kwalifikowanych przedsięwzięć realizowanych przy udziale finansowego wsparcia. Zmiana w </w:t>
      </w:r>
      <w:r w:rsidRPr="0023349B">
        <w:rPr>
          <w:rFonts w:ascii="Times New Roman" w:eastAsia="Times New Roman" w:hAnsi="Times New Roman" w:cs="Times New Roman"/>
          <w:b/>
        </w:rPr>
        <w:t xml:space="preserve">art. </w:t>
      </w:r>
      <w:r w:rsidR="009768BE" w:rsidRPr="0023349B">
        <w:rPr>
          <w:rFonts w:ascii="Times New Roman" w:eastAsia="Times New Roman" w:hAnsi="Times New Roman" w:cs="Times New Roman"/>
          <w:b/>
        </w:rPr>
        <w:t xml:space="preserve">13 </w:t>
      </w:r>
      <w:r w:rsidRPr="0023349B">
        <w:rPr>
          <w:rFonts w:ascii="Times New Roman" w:eastAsia="Times New Roman" w:hAnsi="Times New Roman" w:cs="Times New Roman"/>
          <w:b/>
        </w:rPr>
        <w:t xml:space="preserve">pkt </w:t>
      </w:r>
      <w:r w:rsidR="009768BE" w:rsidRPr="0023349B">
        <w:rPr>
          <w:rFonts w:ascii="Times New Roman" w:eastAsia="Times New Roman" w:hAnsi="Times New Roman" w:cs="Times New Roman"/>
          <w:b/>
        </w:rPr>
        <w:t xml:space="preserve">17 </w:t>
      </w:r>
      <w:r w:rsidRPr="0023349B">
        <w:rPr>
          <w:rFonts w:ascii="Times New Roman" w:eastAsia="Times New Roman" w:hAnsi="Times New Roman" w:cs="Times New Roman"/>
          <w:b/>
        </w:rPr>
        <w:t xml:space="preserve">lit. a projektu </w:t>
      </w:r>
      <w:r w:rsidRPr="0023349B">
        <w:rPr>
          <w:rFonts w:ascii="Times New Roman" w:eastAsia="Times New Roman" w:hAnsi="Times New Roman" w:cs="Times New Roman"/>
          <w:b/>
          <w:i/>
        </w:rPr>
        <w:t>ustawy</w:t>
      </w:r>
      <w:r w:rsidRPr="0023349B">
        <w:rPr>
          <w:rFonts w:ascii="Times New Roman" w:eastAsia="Times New Roman" w:hAnsi="Times New Roman" w:cs="Times New Roman"/>
        </w:rPr>
        <w:t xml:space="preserve"> w zakresie </w:t>
      </w:r>
      <w:r w:rsidRPr="0023349B">
        <w:rPr>
          <w:rFonts w:ascii="Times New Roman" w:eastAsia="Times New Roman" w:hAnsi="Times New Roman" w:cs="Times New Roman"/>
          <w:b/>
        </w:rPr>
        <w:t xml:space="preserve">art. 14 pkt 1 lit. a </w:t>
      </w:r>
      <w:proofErr w:type="spellStart"/>
      <w:r w:rsidRPr="0023349B">
        <w:rPr>
          <w:rFonts w:ascii="Times New Roman" w:eastAsia="Times New Roman" w:hAnsi="Times New Roman" w:cs="Times New Roman"/>
          <w:b/>
        </w:rPr>
        <w:t>tiret</w:t>
      </w:r>
      <w:proofErr w:type="spellEnd"/>
      <w:r w:rsidRPr="0023349B">
        <w:rPr>
          <w:rFonts w:ascii="Times New Roman" w:eastAsia="Times New Roman" w:hAnsi="Times New Roman" w:cs="Times New Roman"/>
          <w:b/>
        </w:rPr>
        <w:t xml:space="preserve"> drugie </w:t>
      </w:r>
      <w:r w:rsidRPr="0023349B">
        <w:rPr>
          <w:rFonts w:ascii="Times New Roman" w:eastAsia="Times New Roman" w:hAnsi="Times New Roman" w:cs="Times New Roman"/>
          <w:b/>
          <w:i/>
        </w:rPr>
        <w:t>ustawy o finansowym wsparciu…</w:t>
      </w:r>
      <w:r w:rsidRPr="0023349B">
        <w:rPr>
          <w:rFonts w:ascii="Times New Roman" w:eastAsia="Times New Roman" w:hAnsi="Times New Roman" w:cs="Times New Roman"/>
        </w:rPr>
        <w:t xml:space="preserve"> polega na zastąpieniu wyrazów „place postojowe” wyrazami „stanowiska postojowe”. Ma to na celu zapewnienie spójności przepisów ustawy z rozporządzeniem Ministra Infrastruktury z dnia 12 kwietnia 2002 roku </w:t>
      </w:r>
      <w:r w:rsidRPr="0023349B">
        <w:rPr>
          <w:rFonts w:ascii="Times New Roman" w:eastAsia="Times New Roman" w:hAnsi="Times New Roman" w:cs="Times New Roman"/>
          <w:i/>
        </w:rPr>
        <w:t xml:space="preserve">w sprawie warunków technicznych, jakim powinny odpowiadać budynki i ich usytuowanie </w:t>
      </w:r>
      <w:r w:rsidRPr="0023349B">
        <w:rPr>
          <w:rFonts w:ascii="Times New Roman" w:eastAsia="Times New Roman" w:hAnsi="Times New Roman" w:cs="Times New Roman"/>
        </w:rPr>
        <w:t>(Dz. U. z 2019 r. poz. 1065), w którym od dnia 1 stycznia 2018 r. ujednolicono nazewnictwo poprzez wprowadzenie pojęcia parkingu oraz zrezygnowano z pojęcia „miejsce postojowe”.</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rPr>
      </w:pPr>
      <w:r w:rsidRPr="0023349B">
        <w:rPr>
          <w:rFonts w:ascii="Times New Roman" w:eastAsia="Times New Roman" w:hAnsi="Times New Roman" w:cs="Times New Roman"/>
        </w:rPr>
        <w:t xml:space="preserve">Dodatkowo do katalogu kosztów kwalifikowanych zaproponowano zaliczyć koszt wykonania garaży dla samochodów osobowych oraz </w:t>
      </w:r>
      <w:r w:rsidRPr="0023349B">
        <w:rPr>
          <w:rFonts w:ascii="Times New Roman" w:hAnsi="Times New Roman" w:cs="Times New Roman"/>
        </w:rPr>
        <w:t xml:space="preserve">koszty wykonania niezbędnego uzbrojenia terenu </w:t>
      </w:r>
      <w:r w:rsidRPr="0023349B">
        <w:rPr>
          <w:rFonts w:ascii="Times New Roman" w:eastAsia="Times New Roman" w:hAnsi="Times New Roman" w:cs="Times New Roman"/>
        </w:rPr>
        <w:t>(</w:t>
      </w:r>
      <w:r w:rsidRPr="0023349B">
        <w:rPr>
          <w:rFonts w:ascii="Times New Roman" w:eastAsia="Times New Roman" w:hAnsi="Times New Roman" w:cs="Times New Roman"/>
          <w:b/>
        </w:rPr>
        <w:t xml:space="preserve">art. </w:t>
      </w:r>
      <w:r w:rsidR="009768BE" w:rsidRPr="0023349B">
        <w:rPr>
          <w:rFonts w:ascii="Times New Roman" w:eastAsia="Times New Roman" w:hAnsi="Times New Roman" w:cs="Times New Roman"/>
          <w:b/>
        </w:rPr>
        <w:t>13</w:t>
      </w:r>
      <w:r w:rsidRPr="0023349B">
        <w:rPr>
          <w:rFonts w:ascii="Times New Roman" w:eastAsia="Times New Roman" w:hAnsi="Times New Roman" w:cs="Times New Roman"/>
          <w:b/>
        </w:rPr>
        <w:t xml:space="preserve">pkt </w:t>
      </w:r>
      <w:r w:rsidR="009768BE" w:rsidRPr="0023349B">
        <w:rPr>
          <w:rFonts w:ascii="Times New Roman" w:eastAsia="Times New Roman" w:hAnsi="Times New Roman" w:cs="Times New Roman"/>
          <w:b/>
        </w:rPr>
        <w:t xml:space="preserve">17 </w:t>
      </w:r>
      <w:r w:rsidRPr="0023349B">
        <w:rPr>
          <w:rFonts w:ascii="Times New Roman" w:eastAsia="Times New Roman" w:hAnsi="Times New Roman" w:cs="Times New Roman"/>
          <w:b/>
        </w:rPr>
        <w:t xml:space="preserve">lit. b projektu </w:t>
      </w:r>
      <w:r w:rsidRPr="0023349B">
        <w:rPr>
          <w:rFonts w:ascii="Times New Roman" w:eastAsia="Times New Roman" w:hAnsi="Times New Roman" w:cs="Times New Roman"/>
          <w:b/>
          <w:i/>
        </w:rPr>
        <w:t>ustawy</w:t>
      </w:r>
      <w:r w:rsidRPr="0023349B">
        <w:rPr>
          <w:rFonts w:ascii="Times New Roman" w:eastAsia="Times New Roman" w:hAnsi="Times New Roman" w:cs="Times New Roman"/>
          <w:b/>
        </w:rPr>
        <w:t>)</w:t>
      </w:r>
      <w:r w:rsidRPr="0023349B">
        <w:rPr>
          <w:rFonts w:ascii="Times New Roman" w:hAnsi="Times New Roman" w:cs="Times New Roman"/>
        </w:rPr>
        <w:t>.</w:t>
      </w:r>
    </w:p>
    <w:p w:rsidR="00C268CB" w:rsidRPr="0023349B" w:rsidRDefault="00C268CB" w:rsidP="0023349B">
      <w:pPr>
        <w:spacing w:after="120" w:line="360" w:lineRule="auto"/>
        <w:jc w:val="both"/>
        <w:rPr>
          <w:rFonts w:ascii="Times New Roman" w:eastAsia="Times New Roman" w:hAnsi="Times New Roman" w:cs="Times New Roman"/>
        </w:rPr>
      </w:pPr>
      <w:r w:rsidRPr="0023349B">
        <w:rPr>
          <w:rFonts w:ascii="Times New Roman" w:eastAsia="Times New Roman" w:hAnsi="Times New Roman" w:cs="Times New Roman"/>
        </w:rPr>
        <w:t>Co do objęcia kosztami kwalifikowanymi koszt wykonania garaży, pozwoli to na objęcie finansowym wsparciem inwestycji, w których ze względu na brak wystarczającego miejsca projektowane są garaże podziemne. Takie sytuacje są bardzo częstym zjawiskiem szczególnie na terenach miejskich.</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Powyższe zmiany stanowią jednocześnie ujednolicenie katalogu kosztów kwalifikowanych z katalogiem kosztów w programie społecznego budownictwa czynszowego realizowanego na podstawie przepisów </w:t>
      </w:r>
      <w:r w:rsidRPr="0023349B">
        <w:rPr>
          <w:rFonts w:ascii="Times New Roman" w:eastAsia="Times New Roman" w:hAnsi="Times New Roman" w:cs="Times New Roman"/>
          <w:i/>
        </w:rPr>
        <w:t>ustawy</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rPr>
        <w:t>o niektórych formach…</w:t>
      </w:r>
      <w:r w:rsidRPr="0023349B">
        <w:rPr>
          <w:rFonts w:ascii="Times New Roman" w:eastAsia="Times New Roman" w:hAnsi="Times New Roman" w:cs="Times New Roman"/>
        </w:rPr>
        <w:t xml:space="preserve">. Na konieczność taką wskazywał BGK, jak również beneficjenci obu programów, z których wsparcie po zmianach wprowadzonych ustawą z dnia 22 marca 2018 r. </w:t>
      </w:r>
      <w:r w:rsidRPr="0023349B">
        <w:rPr>
          <w:rFonts w:ascii="Times New Roman" w:eastAsia="Times New Roman" w:hAnsi="Times New Roman" w:cs="Times New Roman"/>
          <w:i/>
        </w:rPr>
        <w:t xml:space="preserve">o zmianie ustawy o finansowym wsparciu tworzenia lokali socjalnych, </w:t>
      </w:r>
      <w:r w:rsidRPr="0023349B">
        <w:rPr>
          <w:rFonts w:ascii="Times New Roman" w:hAnsi="Times New Roman" w:cs="Times New Roman"/>
          <w:i/>
        </w:rPr>
        <w:t>mieszkań chronionych, noclegowni i domów dla bezdomnych, ustawy o ochronie praw lokatorów, mieszkaniowym zasobie gminy i o zmianie Kodeksu cywilnego oraz niektórych innych ustaw</w:t>
      </w:r>
      <w:r w:rsidRPr="0023349B">
        <w:rPr>
          <w:rFonts w:ascii="Times New Roman" w:hAnsi="Times New Roman" w:cs="Times New Roman"/>
        </w:rPr>
        <w:t>,</w:t>
      </w:r>
      <w:r w:rsidRPr="0023349B">
        <w:rPr>
          <w:rFonts w:ascii="Times New Roman" w:eastAsia="Times New Roman" w:hAnsi="Times New Roman" w:cs="Times New Roman"/>
        </w:rPr>
        <w:t xml:space="preserve"> może być łączone w ramach jednego przedsięwzięcia inwestycyjnego. </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u w:val="single"/>
        </w:rPr>
      </w:pPr>
      <w:r w:rsidRPr="0023349B">
        <w:rPr>
          <w:rFonts w:ascii="Times New Roman" w:hAnsi="Times New Roman" w:cs="Times New Roman"/>
          <w:u w:val="single"/>
        </w:rPr>
        <w:t xml:space="preserve">Zmiana </w:t>
      </w:r>
      <w:r w:rsidR="009768BE" w:rsidRPr="0023349B">
        <w:rPr>
          <w:rFonts w:ascii="Times New Roman" w:hAnsi="Times New Roman" w:cs="Times New Roman"/>
          <w:u w:val="single"/>
        </w:rPr>
        <w:t>18</w:t>
      </w:r>
      <w:r w:rsidRPr="0023349B">
        <w:rPr>
          <w:rFonts w:ascii="Times New Roman" w:hAnsi="Times New Roman" w:cs="Times New Roman"/>
          <w:u w:val="single"/>
        </w:rPr>
        <w:t>: w zakresie art. 15 ust. 3</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rPr>
      </w:pPr>
      <w:r w:rsidRPr="0023349B">
        <w:rPr>
          <w:rFonts w:ascii="Times New Roman" w:hAnsi="Times New Roman" w:cs="Times New Roman"/>
          <w:b/>
        </w:rPr>
        <w:t xml:space="preserve">Art. </w:t>
      </w:r>
      <w:r w:rsidR="009768BE" w:rsidRPr="0023349B">
        <w:rPr>
          <w:rFonts w:ascii="Times New Roman" w:hAnsi="Times New Roman" w:cs="Times New Roman"/>
          <w:b/>
        </w:rPr>
        <w:t xml:space="preserve">13 </w:t>
      </w:r>
      <w:r w:rsidRPr="0023349B">
        <w:rPr>
          <w:rFonts w:ascii="Times New Roman" w:hAnsi="Times New Roman" w:cs="Times New Roman"/>
          <w:b/>
        </w:rPr>
        <w:t xml:space="preserve">pkt </w:t>
      </w:r>
      <w:r w:rsidR="009768BE" w:rsidRPr="0023349B">
        <w:rPr>
          <w:rFonts w:ascii="Times New Roman" w:hAnsi="Times New Roman" w:cs="Times New Roman"/>
          <w:b/>
        </w:rPr>
        <w:t xml:space="preserve">18 </w:t>
      </w:r>
      <w:r w:rsidRPr="0023349B">
        <w:rPr>
          <w:rFonts w:ascii="Times New Roman" w:hAnsi="Times New Roman" w:cs="Times New Roman"/>
          <w:b/>
        </w:rPr>
        <w:t>projektu ustawy</w:t>
      </w:r>
      <w:r w:rsidRPr="0023349B">
        <w:rPr>
          <w:rFonts w:ascii="Times New Roman" w:hAnsi="Times New Roman" w:cs="Times New Roman"/>
        </w:rPr>
        <w:t xml:space="preserve"> wprowadza zmiany w zakresie </w:t>
      </w:r>
      <w:r w:rsidRPr="0023349B">
        <w:rPr>
          <w:rFonts w:ascii="Times New Roman" w:hAnsi="Times New Roman" w:cs="Times New Roman"/>
          <w:b/>
        </w:rPr>
        <w:t>art. 15 ust. 3</w:t>
      </w:r>
      <w:r w:rsidRPr="0023349B">
        <w:rPr>
          <w:rFonts w:ascii="Times New Roman" w:hAnsi="Times New Roman" w:cs="Times New Roman"/>
          <w:b/>
          <w:i/>
        </w:rPr>
        <w:t xml:space="preserve"> ustawy o finansowym wsparciu…</w:t>
      </w:r>
      <w:r w:rsidRPr="0023349B">
        <w:rPr>
          <w:rFonts w:ascii="Times New Roman" w:hAnsi="Times New Roman" w:cs="Times New Roman"/>
        </w:rPr>
        <w:t xml:space="preserve">, mające na celu ujednolicenie terminologii dotyczącej placówek udzielających schronienia osobom bezdomnym. Zmiana została wprowadzona na etapie uzgodnień międzyresortowych. Uwagę zgłosił Minister Rodziny, Pracy i Polityki Społecznej. Zaproponowano, aby w obowiązującej </w:t>
      </w:r>
      <w:r w:rsidRPr="0023349B">
        <w:rPr>
          <w:rFonts w:ascii="Times New Roman" w:hAnsi="Times New Roman" w:cs="Times New Roman"/>
          <w:b/>
          <w:i/>
        </w:rPr>
        <w:t>ustawie o finansowym wsparciu…</w:t>
      </w:r>
      <w:r w:rsidRPr="0023349B">
        <w:rPr>
          <w:rFonts w:ascii="Times New Roman" w:hAnsi="Times New Roman" w:cs="Times New Roman"/>
        </w:rPr>
        <w:t xml:space="preserve"> zastąpić w zakresie noclegowni sformułowania „sypialnia” </w:t>
      </w:r>
      <w:r w:rsidR="00842529" w:rsidRPr="0023349B">
        <w:rPr>
          <w:rFonts w:ascii="Times New Roman" w:hAnsi="Times New Roman" w:cs="Times New Roman"/>
          <w:bCs/>
        </w:rPr>
        <w:t>–</w:t>
      </w:r>
      <w:r w:rsidRPr="0023349B">
        <w:rPr>
          <w:rFonts w:ascii="Times New Roman" w:hAnsi="Times New Roman" w:cs="Times New Roman"/>
        </w:rPr>
        <w:t xml:space="preserve"> „pomieszczeniem noclegowym” oraz stosowanie terminu „pomieszczenie mieszkalne” lub „pomieszczenia mieszkalne” wyłącznie w odniesieniu do</w:t>
      </w:r>
      <w:r w:rsidR="00842529" w:rsidRPr="0023349B">
        <w:rPr>
          <w:rFonts w:ascii="Times New Roman" w:hAnsi="Times New Roman" w:cs="Times New Roman"/>
        </w:rPr>
        <w:t xml:space="preserve"> schronisk dla osób bezdomnych </w:t>
      </w:r>
      <w:r w:rsidR="00842529" w:rsidRPr="0023349B">
        <w:rPr>
          <w:rFonts w:ascii="Times New Roman" w:hAnsi="Times New Roman" w:cs="Times New Roman"/>
          <w:bCs/>
        </w:rPr>
        <w:t>–</w:t>
      </w:r>
      <w:r w:rsidRPr="0023349B">
        <w:rPr>
          <w:rFonts w:ascii="Times New Roman" w:hAnsi="Times New Roman" w:cs="Times New Roman"/>
        </w:rPr>
        <w:t xml:space="preserve"> zgodnie z rozporządzeniem Ministra Rodziny, Pracy i Polityki Społecznej z dnia 27 kwietnia 2018 r. w sprawie minimalnych standardów noclegowni, schronisk dla osób bezdomnych, schronisk dla osób bezdomnych z usługami opiekuńczymi i ogrzewalni (Dz. U. poz. 896). Powyższe wynika bowiem ze specyfiki działalności prowadzonej przez ww. placówki i zostało uregulowane w przywołanym rozporządzeniu.</w:t>
      </w:r>
    </w:p>
    <w:p w:rsidR="00C268CB" w:rsidRPr="0023349B" w:rsidRDefault="00C268CB" w:rsidP="0023349B">
      <w:pPr>
        <w:pStyle w:val="Akapitzlist2"/>
        <w:tabs>
          <w:tab w:val="left" w:pos="284"/>
        </w:tabs>
        <w:spacing w:after="240" w:line="360" w:lineRule="auto"/>
        <w:ind w:left="0"/>
        <w:jc w:val="both"/>
        <w:rPr>
          <w:rFonts w:ascii="Times New Roman" w:hAnsi="Times New Roman" w:cs="Times New Roman"/>
        </w:rPr>
      </w:pPr>
      <w:r w:rsidRPr="0023349B">
        <w:rPr>
          <w:rFonts w:ascii="Times New Roman" w:hAnsi="Times New Roman" w:cs="Times New Roman"/>
        </w:rPr>
        <w:t xml:space="preserve">Analogiczną zmianą objęto w art. </w:t>
      </w:r>
      <w:r w:rsidR="009768BE" w:rsidRPr="0023349B">
        <w:rPr>
          <w:rFonts w:ascii="Times New Roman" w:hAnsi="Times New Roman" w:cs="Times New Roman"/>
        </w:rPr>
        <w:t xml:space="preserve">13 </w:t>
      </w:r>
      <w:r w:rsidRPr="0023349B">
        <w:rPr>
          <w:rFonts w:ascii="Times New Roman" w:hAnsi="Times New Roman" w:cs="Times New Roman"/>
        </w:rPr>
        <w:t xml:space="preserve">w pkt </w:t>
      </w:r>
      <w:r w:rsidR="009768BE" w:rsidRPr="0023349B">
        <w:rPr>
          <w:rFonts w:ascii="Times New Roman" w:hAnsi="Times New Roman" w:cs="Times New Roman"/>
        </w:rPr>
        <w:t>7</w:t>
      </w:r>
      <w:r w:rsidR="00CA13BE" w:rsidRPr="0023349B">
        <w:rPr>
          <w:rFonts w:ascii="Times New Roman" w:hAnsi="Times New Roman" w:cs="Times New Roman"/>
        </w:rPr>
        <w:t xml:space="preserve"> </w:t>
      </w:r>
      <w:r w:rsidRPr="0023349B">
        <w:rPr>
          <w:rFonts w:ascii="Times New Roman" w:hAnsi="Times New Roman" w:cs="Times New Roman"/>
        </w:rPr>
        <w:t xml:space="preserve">w lit. a projektowanej ustawy w zmienianym art. 4 ust. 1 </w:t>
      </w:r>
      <w:r w:rsidRPr="0023349B">
        <w:rPr>
          <w:rFonts w:ascii="Times New Roman" w:hAnsi="Times New Roman" w:cs="Times New Roman"/>
          <w:b/>
          <w:i/>
        </w:rPr>
        <w:t>ustawy o finansowym wsparciu…</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u w:val="single"/>
        </w:rPr>
      </w:pPr>
      <w:r w:rsidRPr="0023349B">
        <w:rPr>
          <w:rFonts w:ascii="Times New Roman" w:hAnsi="Times New Roman" w:cs="Times New Roman"/>
          <w:u w:val="single"/>
        </w:rPr>
        <w:t xml:space="preserve">Zmiana </w:t>
      </w:r>
      <w:r w:rsidR="009768BE" w:rsidRPr="0023349B">
        <w:rPr>
          <w:rFonts w:ascii="Times New Roman" w:hAnsi="Times New Roman" w:cs="Times New Roman"/>
          <w:u w:val="single"/>
        </w:rPr>
        <w:t>19</w:t>
      </w:r>
      <w:r w:rsidRPr="0023349B">
        <w:rPr>
          <w:rFonts w:ascii="Times New Roman" w:hAnsi="Times New Roman" w:cs="Times New Roman"/>
          <w:u w:val="single"/>
        </w:rPr>
        <w:t>: w zakresie art. 16</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rPr>
      </w:pPr>
      <w:r w:rsidRPr="0023349B">
        <w:rPr>
          <w:rFonts w:ascii="Times New Roman" w:hAnsi="Times New Roman" w:cs="Times New Roman"/>
          <w:b/>
        </w:rPr>
        <w:t xml:space="preserve">Art. </w:t>
      </w:r>
      <w:r w:rsidR="009768BE" w:rsidRPr="0023349B">
        <w:rPr>
          <w:rFonts w:ascii="Times New Roman" w:hAnsi="Times New Roman" w:cs="Times New Roman"/>
          <w:b/>
        </w:rPr>
        <w:t xml:space="preserve">13 </w:t>
      </w:r>
      <w:r w:rsidRPr="0023349B">
        <w:rPr>
          <w:rFonts w:ascii="Times New Roman" w:hAnsi="Times New Roman" w:cs="Times New Roman"/>
          <w:b/>
        </w:rPr>
        <w:t xml:space="preserve">pkt </w:t>
      </w:r>
      <w:r w:rsidR="009768BE" w:rsidRPr="0023349B">
        <w:rPr>
          <w:rFonts w:ascii="Times New Roman" w:hAnsi="Times New Roman" w:cs="Times New Roman"/>
          <w:b/>
        </w:rPr>
        <w:t xml:space="preserve">19 </w:t>
      </w:r>
      <w:r w:rsidRPr="0023349B">
        <w:rPr>
          <w:rFonts w:ascii="Times New Roman" w:hAnsi="Times New Roman" w:cs="Times New Roman"/>
          <w:b/>
        </w:rPr>
        <w:t xml:space="preserve">lit. a projektu </w:t>
      </w:r>
      <w:r w:rsidRPr="0023349B">
        <w:rPr>
          <w:rFonts w:ascii="Times New Roman" w:hAnsi="Times New Roman" w:cs="Times New Roman"/>
          <w:b/>
          <w:i/>
        </w:rPr>
        <w:t>ustawy</w:t>
      </w:r>
      <w:r w:rsidRPr="0023349B">
        <w:rPr>
          <w:rFonts w:ascii="Times New Roman" w:hAnsi="Times New Roman" w:cs="Times New Roman"/>
        </w:rPr>
        <w:t xml:space="preserve"> wprowadza zmiany w zakresie </w:t>
      </w:r>
      <w:r w:rsidRPr="0023349B">
        <w:rPr>
          <w:rFonts w:ascii="Times New Roman" w:hAnsi="Times New Roman" w:cs="Times New Roman"/>
          <w:b/>
        </w:rPr>
        <w:t xml:space="preserve">art. 16 ust. 1 i 1a </w:t>
      </w:r>
      <w:r w:rsidRPr="0023349B">
        <w:rPr>
          <w:rFonts w:ascii="Times New Roman" w:hAnsi="Times New Roman" w:cs="Times New Roman"/>
          <w:b/>
          <w:i/>
        </w:rPr>
        <w:t>ustawy o finansowym wsparciu…</w:t>
      </w:r>
      <w:r w:rsidRPr="0023349B">
        <w:rPr>
          <w:rFonts w:ascii="Times New Roman" w:hAnsi="Times New Roman" w:cs="Times New Roman"/>
        </w:rPr>
        <w:t xml:space="preserve">, mające na celu </w:t>
      </w:r>
      <w:r w:rsidRPr="0023349B">
        <w:rPr>
          <w:rFonts w:ascii="Times New Roman" w:hAnsi="Times New Roman" w:cs="Times New Roman"/>
          <w:bCs/>
        </w:rPr>
        <w:t xml:space="preserve">umożliwienie dofinansowania przedsięwzięć rozpoczętych, </w:t>
      </w:r>
      <w:r w:rsidRPr="0023349B">
        <w:rPr>
          <w:rFonts w:ascii="Times New Roman" w:hAnsi="Times New Roman" w:cs="Times New Roman"/>
        </w:rPr>
        <w:t>ale nie zakończonych przed dniem złożenia do BGK wniosku o finansowe wsparcie. Wprowadzenie ww. modyfikacji umożliwi uzyskanie finansowego wsparcia na inwestycje, które zostały rozpoczęte ze względu na upływający termin wygaśnięcia decyzji o pozwoleniu na budowę. Podjęcie robót budowlanych przed zawarciem umowy pomiędzy gminą a BGK skutkowało brakiem możliwości ubiegania się o finansowe wsparcie, co stanowiło barierę dla potencjalnych beneficjentów programu BSK.</w:t>
      </w:r>
    </w:p>
    <w:p w:rsidR="00C268CB" w:rsidRPr="0023349B" w:rsidRDefault="00C268CB" w:rsidP="0023349B">
      <w:pPr>
        <w:pStyle w:val="Akapitzlist2"/>
        <w:tabs>
          <w:tab w:val="left" w:pos="284"/>
        </w:tabs>
        <w:spacing w:after="120" w:line="360" w:lineRule="auto"/>
        <w:ind w:left="0"/>
        <w:jc w:val="both"/>
        <w:rPr>
          <w:rFonts w:ascii="Times New Roman" w:hAnsi="Times New Roman" w:cs="Times New Roman"/>
        </w:rPr>
      </w:pPr>
      <w:r w:rsidRPr="0023349B">
        <w:rPr>
          <w:rFonts w:ascii="Times New Roman" w:hAnsi="Times New Roman" w:cs="Times New Roman"/>
        </w:rPr>
        <w:t>Natomiast w przypadku przedsięwzięć polegających na kupnie lokali mieszkalnych, finansowe wsparcie będzie mogło być udzielone na przedsięwzięcie zakończone, jeżeli wniosek o finansowe wsparcie zostanie złożony przez beneficjenta wsparcia przed upływem 12 miesięcy od dnia rozpoczęcia przedsięwzięcia.</w:t>
      </w:r>
    </w:p>
    <w:p w:rsidR="00C268CB" w:rsidRPr="0023349B" w:rsidRDefault="00C268CB" w:rsidP="0023349B">
      <w:pPr>
        <w:pStyle w:val="Akapitzlist2"/>
        <w:tabs>
          <w:tab w:val="left" w:pos="284"/>
        </w:tabs>
        <w:spacing w:after="240" w:line="360" w:lineRule="auto"/>
        <w:ind w:left="0"/>
        <w:jc w:val="both"/>
        <w:rPr>
          <w:rFonts w:ascii="Times New Roman" w:eastAsia="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 xml:space="preserve">art. </w:t>
      </w:r>
      <w:r w:rsidR="009768BE" w:rsidRPr="0023349B">
        <w:rPr>
          <w:rFonts w:ascii="Times New Roman" w:hAnsi="Times New Roman" w:cs="Times New Roman"/>
          <w:b/>
        </w:rPr>
        <w:t xml:space="preserve">13 </w:t>
      </w:r>
      <w:r w:rsidRPr="0023349B">
        <w:rPr>
          <w:rFonts w:ascii="Times New Roman" w:hAnsi="Times New Roman" w:cs="Times New Roman"/>
          <w:b/>
        </w:rPr>
        <w:t xml:space="preserve">pkt </w:t>
      </w:r>
      <w:r w:rsidR="009768BE" w:rsidRPr="0023349B">
        <w:rPr>
          <w:rFonts w:ascii="Times New Roman" w:hAnsi="Times New Roman" w:cs="Times New Roman"/>
          <w:b/>
        </w:rPr>
        <w:t xml:space="preserve">19 </w:t>
      </w:r>
      <w:r w:rsidRPr="0023349B">
        <w:rPr>
          <w:rFonts w:ascii="Times New Roman" w:hAnsi="Times New Roman" w:cs="Times New Roman"/>
          <w:b/>
        </w:rPr>
        <w:t xml:space="preserve">lit. b projektu </w:t>
      </w:r>
      <w:r w:rsidRPr="0023349B">
        <w:rPr>
          <w:rFonts w:ascii="Times New Roman" w:hAnsi="Times New Roman" w:cs="Times New Roman"/>
          <w:b/>
          <w:i/>
        </w:rPr>
        <w:t>ustawy</w:t>
      </w:r>
      <w:r w:rsidRPr="0023349B">
        <w:rPr>
          <w:rFonts w:ascii="Times New Roman" w:hAnsi="Times New Roman" w:cs="Times New Roman"/>
        </w:rPr>
        <w:t xml:space="preserve"> proponuje się zmiany w zakresie </w:t>
      </w:r>
      <w:r w:rsidRPr="0023349B">
        <w:rPr>
          <w:rFonts w:ascii="Times New Roman" w:hAnsi="Times New Roman" w:cs="Times New Roman"/>
          <w:b/>
        </w:rPr>
        <w:t xml:space="preserve">art. 16 ust. 3 </w:t>
      </w:r>
      <w:r w:rsidRPr="0023349B">
        <w:rPr>
          <w:rFonts w:ascii="Times New Roman" w:hAnsi="Times New Roman" w:cs="Times New Roman"/>
          <w:b/>
          <w:i/>
        </w:rPr>
        <w:t>ustawy o finansowym wsparciu…</w:t>
      </w:r>
      <w:r w:rsidRPr="0023349B">
        <w:rPr>
          <w:rFonts w:ascii="Times New Roman" w:hAnsi="Times New Roman" w:cs="Times New Roman"/>
          <w:bCs/>
        </w:rPr>
        <w:t>, dotyczące u</w:t>
      </w:r>
      <w:r w:rsidRPr="0023349B">
        <w:rPr>
          <w:rFonts w:ascii="Times New Roman" w:eastAsia="Times New Roman" w:hAnsi="Times New Roman" w:cs="Times New Roman"/>
        </w:rPr>
        <w:t>jednolicenia terminu realizacji przedsięwzięcia dla wszystkich beneficjentów wsparcia. Obecnie termin na zakończenie realizacji przedsięwzięcia co do zasady wynosi 24 miesiące. Termin 36 miesięcy obowiązuje wyłącznie organizacje pożytku publicznego, ze względu na fakt, że dla organizacji opierających się w dużej mierze na wolontariacie, termin 24 miesięcy był terminem za krótkim, tym samym organizacje te często rezygnowały z realizacji przedsięwzięć w ramach programu BSK.</w:t>
      </w:r>
      <w:r w:rsidR="00193AD6" w:rsidRPr="0023349B">
        <w:rPr>
          <w:rFonts w:ascii="Times New Roman" w:eastAsia="Times New Roman" w:hAnsi="Times New Roman" w:cs="Times New Roman"/>
        </w:rPr>
        <w:t xml:space="preserve"> </w:t>
      </w:r>
      <w:r w:rsidRPr="0023349B">
        <w:rPr>
          <w:rFonts w:ascii="Times New Roman" w:eastAsia="Times New Roman" w:hAnsi="Times New Roman" w:cs="Times New Roman"/>
        </w:rPr>
        <w:t xml:space="preserve">BGK, jak również beneficjenci wsparcia, wskazują jednak, że termin ten powinien być wydłużony dla wszystkich beneficjentów wsparcia. Jest to szczególnie istotne w przypadku inwestycji wieloetapowych/wielobudynkowych. Zaproponowana zmiana powinna przyczynić się do zwiększenia zainteresowania programem przez wszystkich jego beneficjentów. </w:t>
      </w:r>
    </w:p>
    <w:p w:rsidR="00C268CB" w:rsidRPr="0023349B" w:rsidRDefault="00C268CB" w:rsidP="0023349B">
      <w:pPr>
        <w:spacing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w:t>
      </w:r>
      <w:r w:rsidR="009768BE" w:rsidRPr="0023349B">
        <w:rPr>
          <w:rFonts w:ascii="Times New Roman" w:hAnsi="Times New Roman" w:cs="Times New Roman"/>
          <w:bCs/>
          <w:u w:val="single"/>
        </w:rPr>
        <w:t>20</w:t>
      </w:r>
      <w:r w:rsidRPr="0023349B">
        <w:rPr>
          <w:rFonts w:ascii="Times New Roman" w:hAnsi="Times New Roman" w:cs="Times New Roman"/>
          <w:bCs/>
          <w:u w:val="single"/>
        </w:rPr>
        <w:t xml:space="preserve">: art. 17 </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 kolei zmiana w </w:t>
      </w:r>
      <w:r w:rsidRPr="0023349B">
        <w:rPr>
          <w:rFonts w:ascii="Times New Roman" w:hAnsi="Times New Roman" w:cs="Times New Roman"/>
          <w:b/>
        </w:rPr>
        <w:t xml:space="preserve">art. </w:t>
      </w:r>
      <w:r w:rsidR="009768BE" w:rsidRPr="0023349B">
        <w:rPr>
          <w:rFonts w:ascii="Times New Roman" w:hAnsi="Times New Roman" w:cs="Times New Roman"/>
          <w:b/>
        </w:rPr>
        <w:t xml:space="preserve">13 </w:t>
      </w:r>
      <w:r w:rsidRPr="0023349B">
        <w:rPr>
          <w:rFonts w:ascii="Times New Roman" w:hAnsi="Times New Roman" w:cs="Times New Roman"/>
          <w:b/>
        </w:rPr>
        <w:t xml:space="preserve">pkt </w:t>
      </w:r>
      <w:r w:rsidR="009768BE" w:rsidRPr="0023349B">
        <w:rPr>
          <w:rFonts w:ascii="Times New Roman" w:hAnsi="Times New Roman" w:cs="Times New Roman"/>
          <w:b/>
        </w:rPr>
        <w:t xml:space="preserve">20 </w:t>
      </w:r>
      <w:r w:rsidRPr="0023349B">
        <w:rPr>
          <w:rFonts w:ascii="Times New Roman" w:hAnsi="Times New Roman" w:cs="Times New Roman"/>
          <w:b/>
        </w:rPr>
        <w:t xml:space="preserve">lit. a projektu </w:t>
      </w:r>
      <w:r w:rsidRPr="0023349B">
        <w:rPr>
          <w:rFonts w:ascii="Times New Roman" w:hAnsi="Times New Roman" w:cs="Times New Roman"/>
          <w:b/>
          <w:i/>
        </w:rPr>
        <w:t>ustawy</w:t>
      </w:r>
      <w:r w:rsidRPr="0023349B">
        <w:rPr>
          <w:rFonts w:ascii="Times New Roman" w:hAnsi="Times New Roman" w:cs="Times New Roman"/>
        </w:rPr>
        <w:t xml:space="preserve"> wprowadzająca modyfikację do </w:t>
      </w:r>
      <w:r w:rsidRPr="0023349B">
        <w:rPr>
          <w:rFonts w:ascii="Times New Roman" w:hAnsi="Times New Roman" w:cs="Times New Roman"/>
          <w:b/>
        </w:rPr>
        <w:t xml:space="preserve">art. 17 ust. 3 </w:t>
      </w:r>
      <w:r w:rsidRPr="0023349B">
        <w:rPr>
          <w:rFonts w:ascii="Times New Roman" w:hAnsi="Times New Roman" w:cs="Times New Roman"/>
          <w:b/>
          <w:i/>
        </w:rPr>
        <w:t>ustawy o finansowym wsparciu…</w:t>
      </w:r>
      <w:r w:rsidRPr="0023349B">
        <w:rPr>
          <w:rFonts w:ascii="Times New Roman" w:hAnsi="Times New Roman" w:cs="Times New Roman"/>
        </w:rPr>
        <w:t xml:space="preserve"> i dotyczy zmiany obecnie obowiązującej zasady uruchomienia środków wsparcia dla JST z Funduszu Dopłat. Aktualnie grant refinansuje wydatki już poniesione przez gminę w ramach partycypacji w kosztach budowy, wymagając uprzednio zapewnienia odpowiednich środków w budżecie JST. Projekt przewiduje, że grant z FD będzie bezpośrednio finansował część/całość (różne przypadki wchodzą w grę) partycypacji JST, tj. będzie uruchamiany bezpośrednio pokrywając koszt budowy.</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Projektodawca przewidział również sankcje na wypadek, gdy finansowe wsparcie nie zostanie wykorzystane zgodnie z celem, na jaki zostało przekazane zmiana w </w:t>
      </w:r>
      <w:r w:rsidRPr="0023349B">
        <w:rPr>
          <w:rFonts w:ascii="Times New Roman" w:hAnsi="Times New Roman" w:cs="Times New Roman"/>
          <w:b/>
        </w:rPr>
        <w:t xml:space="preserve">art. </w:t>
      </w:r>
      <w:r w:rsidR="009768BE" w:rsidRPr="0023349B">
        <w:rPr>
          <w:rFonts w:ascii="Times New Roman" w:hAnsi="Times New Roman" w:cs="Times New Roman"/>
          <w:b/>
        </w:rPr>
        <w:t xml:space="preserve">13 </w:t>
      </w:r>
      <w:r w:rsidRPr="0023349B">
        <w:rPr>
          <w:rFonts w:ascii="Times New Roman" w:hAnsi="Times New Roman" w:cs="Times New Roman"/>
          <w:b/>
        </w:rPr>
        <w:t xml:space="preserve">pkt </w:t>
      </w:r>
      <w:r w:rsidR="009768BE" w:rsidRPr="0023349B">
        <w:rPr>
          <w:rFonts w:ascii="Times New Roman" w:hAnsi="Times New Roman" w:cs="Times New Roman"/>
          <w:b/>
        </w:rPr>
        <w:t xml:space="preserve">20 </w:t>
      </w:r>
      <w:r w:rsidRPr="0023349B">
        <w:rPr>
          <w:rFonts w:ascii="Times New Roman" w:hAnsi="Times New Roman" w:cs="Times New Roman"/>
          <w:b/>
        </w:rPr>
        <w:t xml:space="preserve">lit. b projektu </w:t>
      </w:r>
      <w:r w:rsidRPr="0023349B">
        <w:rPr>
          <w:rFonts w:ascii="Times New Roman" w:hAnsi="Times New Roman" w:cs="Times New Roman"/>
          <w:b/>
          <w:i/>
        </w:rPr>
        <w:t>ustawy</w:t>
      </w:r>
      <w:r w:rsidRPr="0023349B">
        <w:rPr>
          <w:rFonts w:ascii="Times New Roman" w:hAnsi="Times New Roman" w:cs="Times New Roman"/>
        </w:rPr>
        <w:t xml:space="preserve"> dodająca </w:t>
      </w:r>
      <w:r w:rsidRPr="0023349B">
        <w:rPr>
          <w:rFonts w:ascii="Times New Roman" w:hAnsi="Times New Roman" w:cs="Times New Roman"/>
          <w:b/>
        </w:rPr>
        <w:t>art. 17 ust. 4 ustawy o finansowym wsparciu…</w:t>
      </w:r>
      <w:r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Finansowe wsparcie będzie podlegało zwrotowi w przypadku, gdy beneficjent świadczenia (gmina) w ciągu 6 lat od otrzymania wsparcia nie przekaże go na rzecz inwestora, a także w sytuacji niezakończenia przez inwestora przedsięwzięcia, odpowiednio w ciągu 5 lat od dnia przekazania finansowego wsparcia na rachunek beneficjenta (budowa budynku) i 2 lat (remont lub przebudowa budynku niemieszkalnego przeznaczonego na pobyt ludzi albo jego części, a także zmiana sposobu użytkowania budynku albo części budynku, wymagająca dokonania remontu lub przebudowy).</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bCs/>
          <w:u w:val="single"/>
        </w:rPr>
        <w:t xml:space="preserve">Zmiana </w:t>
      </w:r>
      <w:r w:rsidR="009768BE" w:rsidRPr="0023349B">
        <w:rPr>
          <w:rFonts w:ascii="Times New Roman" w:hAnsi="Times New Roman" w:cs="Times New Roman"/>
          <w:bCs/>
          <w:u w:val="single"/>
        </w:rPr>
        <w:t>21</w:t>
      </w:r>
      <w:r w:rsidRPr="0023349B">
        <w:rPr>
          <w:rFonts w:ascii="Times New Roman" w:hAnsi="Times New Roman" w:cs="Times New Roman"/>
          <w:bCs/>
          <w:u w:val="single"/>
        </w:rPr>
        <w:t>:</w:t>
      </w:r>
      <w:r w:rsidRPr="0023349B">
        <w:rPr>
          <w:rFonts w:ascii="Times New Roman" w:hAnsi="Times New Roman" w:cs="Times New Roman"/>
          <w:u w:val="single"/>
        </w:rPr>
        <w:t xml:space="preserve"> art. 21 ust. 6 pkt 1</w:t>
      </w:r>
    </w:p>
    <w:p w:rsidR="00C268CB" w:rsidRPr="0023349B" w:rsidRDefault="00C268CB" w:rsidP="0023349B">
      <w:pPr>
        <w:spacing w:after="120" w:line="360" w:lineRule="auto"/>
        <w:jc w:val="both"/>
        <w:rPr>
          <w:rFonts w:ascii="Times New Roman" w:hAnsi="Times New Roman" w:cs="Times New Roman"/>
          <w:bCs/>
        </w:rPr>
      </w:pPr>
      <w:r w:rsidRPr="0023349B">
        <w:rPr>
          <w:rFonts w:ascii="Times New Roman" w:hAnsi="Times New Roman" w:cs="Times New Roman"/>
        </w:rPr>
        <w:t xml:space="preserve">W </w:t>
      </w:r>
      <w:r w:rsidRPr="0023349B">
        <w:rPr>
          <w:rFonts w:ascii="Times New Roman" w:hAnsi="Times New Roman" w:cs="Times New Roman"/>
          <w:b/>
        </w:rPr>
        <w:t xml:space="preserve">art. </w:t>
      </w:r>
      <w:r w:rsidR="009768BE" w:rsidRPr="0023349B">
        <w:rPr>
          <w:rFonts w:ascii="Times New Roman" w:hAnsi="Times New Roman" w:cs="Times New Roman"/>
          <w:b/>
        </w:rPr>
        <w:t xml:space="preserve">13 </w:t>
      </w:r>
      <w:r w:rsidRPr="0023349B">
        <w:rPr>
          <w:rFonts w:ascii="Times New Roman" w:hAnsi="Times New Roman" w:cs="Times New Roman"/>
          <w:b/>
        </w:rPr>
        <w:t xml:space="preserve">pkt </w:t>
      </w:r>
      <w:r w:rsidR="009768BE" w:rsidRPr="0023349B">
        <w:rPr>
          <w:rFonts w:ascii="Times New Roman" w:hAnsi="Times New Roman" w:cs="Times New Roman"/>
          <w:b/>
        </w:rPr>
        <w:t xml:space="preserve">21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proponuje się zmianę w zakresie </w:t>
      </w:r>
      <w:r w:rsidRPr="0023349B">
        <w:rPr>
          <w:rFonts w:ascii="Times New Roman" w:hAnsi="Times New Roman" w:cs="Times New Roman"/>
          <w:b/>
        </w:rPr>
        <w:t xml:space="preserve">art. 21 ust. 6 pkt 1 </w:t>
      </w:r>
      <w:r w:rsidRPr="0023349B">
        <w:rPr>
          <w:rFonts w:ascii="Times New Roman" w:hAnsi="Times New Roman" w:cs="Times New Roman"/>
          <w:b/>
          <w:i/>
        </w:rPr>
        <w:t>ustawy o finansowym wsparciu…</w:t>
      </w:r>
      <w:r w:rsidRPr="0023349B">
        <w:rPr>
          <w:rFonts w:ascii="Times New Roman" w:hAnsi="Times New Roman" w:cs="Times New Roman"/>
        </w:rPr>
        <w:t>. Zmiana</w:t>
      </w:r>
      <w:r w:rsidRPr="0023349B">
        <w:rPr>
          <w:rFonts w:ascii="Times New Roman" w:eastAsia="Times New Roman" w:hAnsi="Times New Roman" w:cs="Times New Roman"/>
          <w:b/>
        </w:rPr>
        <w:t xml:space="preserve"> </w:t>
      </w:r>
      <w:r w:rsidRPr="0023349B">
        <w:rPr>
          <w:rFonts w:ascii="Times New Roman" w:eastAsia="Times New Roman" w:hAnsi="Times New Roman" w:cs="Times New Roman"/>
        </w:rPr>
        <w:t>d</w:t>
      </w:r>
      <w:r w:rsidRPr="0023349B">
        <w:rPr>
          <w:rFonts w:ascii="Times New Roman" w:hAnsi="Times New Roman" w:cs="Times New Roman"/>
          <w:bCs/>
        </w:rPr>
        <w:t>otyczy złagodzenia rygorów dotyczących utrzymania zasobu utworzonego przy udziale finansowego wsparcia.</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W przedłożonym projekcie zaproponowano, by przepis art. 21 ust. 6 </w:t>
      </w:r>
      <w:r w:rsidRPr="0023349B">
        <w:rPr>
          <w:rFonts w:ascii="Times New Roman" w:eastAsia="Times New Roman" w:hAnsi="Times New Roman" w:cs="Times New Roman"/>
          <w:i/>
          <w:iCs/>
        </w:rPr>
        <w:t>ustawy o finansowym wsparciu…</w:t>
      </w:r>
      <w:r w:rsidRPr="0023349B">
        <w:rPr>
          <w:rFonts w:ascii="Times New Roman" w:eastAsia="Times New Roman" w:hAnsi="Times New Roman" w:cs="Times New Roman"/>
        </w:rPr>
        <w:t xml:space="preserve"> nakazywał utrzymanie powstałych lokali nie w odniesieniu do liczby lokali, lecz do łącznej powierzchni użytkowej utworzonej przy wykorzystaniu finansowego wsparcia. Część lokali utworzonych z udziałem finansowego wsparcia obecnie stanowi już zasób </w:t>
      </w:r>
      <w:proofErr w:type="spellStart"/>
      <w:r w:rsidRPr="0023349B">
        <w:rPr>
          <w:rFonts w:ascii="Times New Roman" w:eastAsia="Times New Roman" w:hAnsi="Times New Roman" w:cs="Times New Roman"/>
        </w:rPr>
        <w:t>substandardowy</w:t>
      </w:r>
      <w:proofErr w:type="spellEnd"/>
      <w:r w:rsidRPr="0023349B">
        <w:rPr>
          <w:rFonts w:ascii="Times New Roman" w:eastAsia="Times New Roman" w:hAnsi="Times New Roman" w:cs="Times New Roman"/>
        </w:rPr>
        <w:t>, w którym nikt nie chce zamieszkać, pomimo licznej kolejki oczekujących na lokal z mieszkaniowego zasobu gminy. Lokale takie wymagają nie tylko gruntownego remontu, ale również przebudowy i wyposażenia w odpowiednie węzły sanitarne. Zaproponowane rozwiązanie pozwoli dotychczasowym beneficjentom programu BSK na podniesienie standardu utworzonych lokali i przyczyni się do rozładowania kolejki oczekujących m.in. na najem socjalny.</w:t>
      </w:r>
    </w:p>
    <w:p w:rsidR="00C268CB" w:rsidRPr="0023349B" w:rsidRDefault="00C268CB" w:rsidP="0023349B">
      <w:pPr>
        <w:spacing w:after="120" w:line="360" w:lineRule="auto"/>
        <w:jc w:val="both"/>
        <w:rPr>
          <w:rFonts w:ascii="Times New Roman" w:eastAsia="Times New Roman" w:hAnsi="Times New Roman" w:cs="Times New Roman"/>
          <w:u w:val="single"/>
        </w:rPr>
      </w:pPr>
      <w:r w:rsidRPr="0023349B">
        <w:rPr>
          <w:rFonts w:ascii="Times New Roman" w:eastAsia="Times New Roman" w:hAnsi="Times New Roman" w:cs="Times New Roman"/>
          <w:u w:val="single"/>
        </w:rPr>
        <w:t xml:space="preserve">Zmiana </w:t>
      </w:r>
      <w:r w:rsidR="009768BE" w:rsidRPr="0023349B">
        <w:rPr>
          <w:rFonts w:ascii="Times New Roman" w:eastAsia="Times New Roman" w:hAnsi="Times New Roman" w:cs="Times New Roman"/>
          <w:u w:val="single"/>
        </w:rPr>
        <w:t>22</w:t>
      </w:r>
      <w:r w:rsidRPr="0023349B">
        <w:rPr>
          <w:rFonts w:ascii="Times New Roman" w:eastAsia="Times New Roman" w:hAnsi="Times New Roman" w:cs="Times New Roman"/>
          <w:u w:val="single"/>
        </w:rPr>
        <w:t>: w zakresie art. 22</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 xml:space="preserve">art. </w:t>
      </w:r>
      <w:r w:rsidR="009768BE" w:rsidRPr="0023349B">
        <w:rPr>
          <w:rFonts w:ascii="Times New Roman" w:hAnsi="Times New Roman" w:cs="Times New Roman"/>
          <w:b/>
        </w:rPr>
        <w:t xml:space="preserve">13 </w:t>
      </w:r>
      <w:r w:rsidRPr="0023349B">
        <w:rPr>
          <w:rFonts w:ascii="Times New Roman" w:hAnsi="Times New Roman" w:cs="Times New Roman"/>
          <w:b/>
        </w:rPr>
        <w:t xml:space="preserve">pkt </w:t>
      </w:r>
      <w:r w:rsidR="009768BE" w:rsidRPr="0023349B">
        <w:rPr>
          <w:rFonts w:ascii="Times New Roman" w:hAnsi="Times New Roman" w:cs="Times New Roman"/>
          <w:b/>
        </w:rPr>
        <w:t xml:space="preserve">22 </w:t>
      </w:r>
      <w:r w:rsidRPr="0023349B">
        <w:rPr>
          <w:rFonts w:ascii="Times New Roman" w:hAnsi="Times New Roman" w:cs="Times New Roman"/>
          <w:b/>
        </w:rPr>
        <w:t xml:space="preserve">projektu ustawy </w:t>
      </w:r>
      <w:r w:rsidRPr="0023349B">
        <w:rPr>
          <w:rFonts w:ascii="Times New Roman" w:hAnsi="Times New Roman" w:cs="Times New Roman"/>
        </w:rPr>
        <w:t xml:space="preserve">wprowadza się zmiany w zakresie art. 22 ustawy </w:t>
      </w:r>
      <w:r w:rsidRPr="0023349B">
        <w:rPr>
          <w:rFonts w:ascii="Times New Roman" w:hAnsi="Times New Roman" w:cs="Times New Roman"/>
          <w:b/>
          <w:i/>
        </w:rPr>
        <w:t>o finansowym wsparciu…</w:t>
      </w:r>
      <w:r w:rsidRPr="0023349B">
        <w:rPr>
          <w:rFonts w:ascii="Times New Roman" w:hAnsi="Times New Roman" w:cs="Times New Roman"/>
        </w:rPr>
        <w:t>, mające na celu dostosowanie treści przepisu do zmian zaproponowanych w niniejszym projekcie. W obecnym stanie prawnym regulacja zawarta w art. 22 wiąże się z art. 7, który wyklucza możliwości współfinansowania tych samych kosztów przedsięwzięcia środkami finansowego wsparcia i środkami UE. Przedmiotowy projekt w dodanym art. 7 ust. 2</w:t>
      </w:r>
      <w:r w:rsidRPr="0023349B">
        <w:rPr>
          <w:rFonts w:ascii="Times New Roman" w:hAnsi="Times New Roman" w:cs="Times New Roman"/>
          <w:b/>
        </w:rPr>
        <w:t xml:space="preserve"> </w:t>
      </w:r>
      <w:r w:rsidRPr="0023349B">
        <w:rPr>
          <w:rFonts w:ascii="Times New Roman" w:hAnsi="Times New Roman" w:cs="Times New Roman"/>
        </w:rPr>
        <w:t xml:space="preserve">doprecyzowuje, że finansowe wsparcie nie może być udzielone na pokrycie tych kosztów przedsięwzięcia, które są już finansowane kredytem, o którym mowa w </w:t>
      </w:r>
      <w:r w:rsidRPr="0023349B">
        <w:rPr>
          <w:rFonts w:ascii="Times New Roman" w:eastAsia="Times New Roman" w:hAnsi="Times New Roman" w:cs="Times New Roman"/>
        </w:rPr>
        <w:t xml:space="preserve">art. 7 </w:t>
      </w:r>
      <w:r w:rsidRPr="0023349B">
        <w:rPr>
          <w:rFonts w:ascii="Times New Roman" w:eastAsia="Times New Roman" w:hAnsi="Times New Roman" w:cs="Times New Roman"/>
          <w:i/>
        </w:rPr>
        <w:t>ustawy</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rPr>
        <w:t xml:space="preserve">o wspieraniu termomodernizacji i remontów. </w:t>
      </w:r>
      <w:r w:rsidRPr="0023349B">
        <w:rPr>
          <w:rFonts w:ascii="Times New Roman" w:eastAsia="Times New Roman" w:hAnsi="Times New Roman" w:cs="Times New Roman"/>
        </w:rPr>
        <w:t>W związku z powyższym w art. 22 zaproponowano zredagowanie przepisu, w ten sposób, aby regulował on także sankcje w przypadku przedsięwzięć współfinansowanych z kredytu, o którym mowa w art. 7</w:t>
      </w:r>
      <w:r w:rsidRPr="0023349B">
        <w:rPr>
          <w:rFonts w:ascii="Times New Roman" w:hAnsi="Times New Roman" w:cs="Times New Roman"/>
        </w:rPr>
        <w:t xml:space="preserve"> ustawy </w:t>
      </w:r>
      <w:r w:rsidRPr="0023349B">
        <w:rPr>
          <w:rFonts w:ascii="Times New Roman" w:hAnsi="Times New Roman" w:cs="Times New Roman"/>
          <w:i/>
        </w:rPr>
        <w:t xml:space="preserve">o wspieraniu termomodernizacji i remontów, </w:t>
      </w:r>
      <w:r w:rsidRPr="0023349B">
        <w:rPr>
          <w:rFonts w:ascii="Times New Roman" w:hAnsi="Times New Roman" w:cs="Times New Roman"/>
        </w:rPr>
        <w:t xml:space="preserve">tj. zwrot finansowego wsparcia w przypadku wykorzystania niezgodnie z art. 7 ust. 2 </w:t>
      </w:r>
      <w:r w:rsidRPr="0023349B">
        <w:rPr>
          <w:rFonts w:ascii="Times New Roman" w:hAnsi="Times New Roman" w:cs="Times New Roman"/>
          <w:b/>
          <w:i/>
        </w:rPr>
        <w:t>ustawy o finansowym wsparciu…</w:t>
      </w:r>
    </w:p>
    <w:p w:rsidR="00C268CB" w:rsidRPr="0023349B" w:rsidRDefault="00C268CB" w:rsidP="0023349B">
      <w:pPr>
        <w:spacing w:after="120" w:line="360" w:lineRule="auto"/>
        <w:jc w:val="both"/>
        <w:rPr>
          <w:rFonts w:ascii="Times New Roman" w:hAnsi="Times New Roman" w:cs="Times New Roman"/>
          <w:b/>
          <w:i/>
        </w:rPr>
      </w:pPr>
      <w:r w:rsidRPr="0023349B">
        <w:rPr>
          <w:rFonts w:ascii="Times New Roman" w:eastAsia="Times New Roman" w:hAnsi="Times New Roman" w:cs="Times New Roman"/>
        </w:rPr>
        <w:t xml:space="preserve"> </w:t>
      </w:r>
      <w:r w:rsidRPr="0023349B">
        <w:rPr>
          <w:rFonts w:ascii="Times New Roman" w:hAnsi="Times New Roman" w:cs="Times New Roman"/>
          <w:b/>
        </w:rPr>
        <w:t xml:space="preserve">Art. </w:t>
      </w:r>
      <w:r w:rsidR="009768BE" w:rsidRPr="0023349B">
        <w:rPr>
          <w:rFonts w:ascii="Times New Roman" w:hAnsi="Times New Roman" w:cs="Times New Roman"/>
          <w:b/>
        </w:rPr>
        <w:t xml:space="preserve">14 </w:t>
      </w:r>
      <w:r w:rsidRPr="0023349B">
        <w:rPr>
          <w:rFonts w:ascii="Times New Roman" w:hAnsi="Times New Roman" w:cs="Times New Roman"/>
          <w:b/>
        </w:rPr>
        <w:t>– Zmiany w ustawie o wspieraniu termomodernizacji i remontów</w:t>
      </w:r>
    </w:p>
    <w:p w:rsidR="00C268CB" w:rsidRPr="0023349B" w:rsidRDefault="00C268CB" w:rsidP="0023349B">
      <w:pPr>
        <w:spacing w:after="120" w:line="360" w:lineRule="auto"/>
        <w:jc w:val="both"/>
        <w:rPr>
          <w:rFonts w:ascii="Times New Roman" w:hAnsi="Times New Roman" w:cs="Times New Roman"/>
        </w:rPr>
      </w:pPr>
      <w:r w:rsidRPr="0023349B">
        <w:rPr>
          <w:rFonts w:ascii="Times New Roman" w:hAnsi="Times New Roman" w:cs="Times New Roman"/>
        </w:rPr>
        <w:t xml:space="preserve">Zmiana w </w:t>
      </w:r>
      <w:r w:rsidRPr="0023349B">
        <w:rPr>
          <w:rFonts w:ascii="Times New Roman" w:hAnsi="Times New Roman" w:cs="Times New Roman"/>
          <w:b/>
        </w:rPr>
        <w:t xml:space="preserve">art. </w:t>
      </w:r>
      <w:r w:rsidR="009768BE" w:rsidRPr="0023349B">
        <w:rPr>
          <w:rFonts w:ascii="Times New Roman" w:hAnsi="Times New Roman" w:cs="Times New Roman"/>
          <w:b/>
        </w:rPr>
        <w:t xml:space="preserve">14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dotyczy </w:t>
      </w:r>
      <w:r w:rsidRPr="0023349B">
        <w:rPr>
          <w:rFonts w:ascii="Times New Roman" w:hAnsi="Times New Roman" w:cs="Times New Roman"/>
          <w:b/>
        </w:rPr>
        <w:t xml:space="preserve">art. 6 ust. 1 </w:t>
      </w:r>
      <w:r w:rsidRPr="0023349B">
        <w:rPr>
          <w:rFonts w:ascii="Times New Roman" w:hAnsi="Times New Roman" w:cs="Times New Roman"/>
          <w:b/>
          <w:i/>
        </w:rPr>
        <w:t>ustawy z dnia 21 listopada 2008 r. o wspieraniu termomodernizacji i remontów</w:t>
      </w:r>
      <w:r w:rsidRPr="0023349B">
        <w:rPr>
          <w:rFonts w:ascii="Times New Roman" w:hAnsi="Times New Roman" w:cs="Times New Roman"/>
        </w:rPr>
        <w:t xml:space="preserve">. Proponuje się umożliwienie TBS-om ubiegania się o dodatkowe finansowe wsparcie w utrzymaniu ich zasobów mieszkaniowych wybudowanych z udziałem lokatorów będących stroną umowy partycypacji w kosztach budowy mieszkań. Proponuje się, aby wsparcie to miało formę </w:t>
      </w:r>
      <w:r w:rsidRPr="0023349B">
        <w:rPr>
          <w:rFonts w:ascii="Times New Roman" w:hAnsi="Times New Roman" w:cs="Times New Roman"/>
          <w:b/>
        </w:rPr>
        <w:t>tzw. premii remontowej</w:t>
      </w:r>
      <w:r w:rsidRPr="0023349B">
        <w:rPr>
          <w:rFonts w:ascii="Times New Roman" w:hAnsi="Times New Roman" w:cs="Times New Roman"/>
        </w:rPr>
        <w:t xml:space="preserve"> na spłatę części kredytu zaciągniętego na realizację przedsięwzięcia remontowego, udzielanej na zasadach określonych w </w:t>
      </w:r>
      <w:r w:rsidRPr="0023349B">
        <w:rPr>
          <w:rFonts w:ascii="Times New Roman" w:hAnsi="Times New Roman" w:cs="Times New Roman"/>
          <w:i/>
        </w:rPr>
        <w:t>ustawie o wspieraniu termomodernizacji i remontów</w:t>
      </w:r>
      <w:r w:rsidRPr="0023349B">
        <w:rPr>
          <w:rFonts w:ascii="Times New Roman" w:hAnsi="Times New Roman" w:cs="Times New Roman"/>
        </w:rPr>
        <w:t xml:space="preserve">. </w:t>
      </w:r>
      <w:proofErr w:type="spellStart"/>
      <w:r w:rsidRPr="0023349B">
        <w:rPr>
          <w:rFonts w:ascii="Times New Roman" w:hAnsi="Times New Roman" w:cs="Times New Roman"/>
        </w:rPr>
        <w:t>TBSy</w:t>
      </w:r>
      <w:proofErr w:type="spellEnd"/>
      <w:r w:rsidRPr="0023349B">
        <w:rPr>
          <w:rFonts w:ascii="Times New Roman" w:hAnsi="Times New Roman" w:cs="Times New Roman"/>
        </w:rPr>
        <w:t xml:space="preserve"> będą mogły ubiegać się o ww. premię dla budynków, których użytkowanie rozpoczęto co najmniej 25 lat przed dniem</w:t>
      </w:r>
      <w:r w:rsidR="00193AD6" w:rsidRPr="0023349B">
        <w:rPr>
          <w:rFonts w:ascii="Times New Roman" w:hAnsi="Times New Roman" w:cs="Times New Roman"/>
        </w:rPr>
        <w:t xml:space="preserve"> </w:t>
      </w:r>
      <w:r w:rsidRPr="0023349B">
        <w:rPr>
          <w:rFonts w:ascii="Times New Roman" w:hAnsi="Times New Roman" w:cs="Times New Roman"/>
        </w:rPr>
        <w:t xml:space="preserve">złożenia wniosku o przyznanie premii (co do zasady obecnie możliwość taka istnieje pod warunkiem, że użytkowanie budynku rozpoczęło się przed 14 sierpnia 1961 r. – natomiast pierwsze towarzystwa budownictwa społecznego zostały powołane </w:t>
      </w:r>
      <w:r w:rsidRPr="0023349B">
        <w:rPr>
          <w:rFonts w:ascii="Times New Roman" w:hAnsi="Times New Roman" w:cs="Times New Roman"/>
          <w:i/>
        </w:rPr>
        <w:t>ustawą o niektórych formach</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Przy czym, zgodnie z ustawą o zmianie ustawy o wspieraniu termomodernizacji i remontów, uchwaloną w dniu 23 stycznia br., premia remontowa przysługuje, jeżeli kwota kredytu zaciągniętego na realizację przedsięwzięcia remontowego stanowi co najmniej 50% kosztów przedsięwzięcia remontowego, natomiast jej wysokość stanowi 15% kosztów przedsięwzięcia remontowego. </w:t>
      </w:r>
    </w:p>
    <w:p w:rsidR="009768BE" w:rsidRPr="0023349B" w:rsidRDefault="009768BE" w:rsidP="0023349B">
      <w:pPr>
        <w:spacing w:after="240" w:line="360" w:lineRule="auto"/>
        <w:jc w:val="both"/>
        <w:rPr>
          <w:rFonts w:ascii="Times New Roman" w:hAnsi="Times New Roman" w:cs="Times New Roman"/>
          <w:b/>
          <w:u w:val="single"/>
        </w:rPr>
      </w:pPr>
      <w:r w:rsidRPr="0023349B">
        <w:rPr>
          <w:rFonts w:ascii="Times New Roman" w:hAnsi="Times New Roman" w:cs="Times New Roman"/>
          <w:b/>
        </w:rPr>
        <w:t>Art. 15 – Zmiany w ustawie o Agencji Mienia Wojskowego, Art. 16 – Zmiany w ustawie o wsparciu kredytobiorców, którzy zaciągnęli kredyt mieszkaniowy i znajdują się w trudnej sytuacji finansowej,</w:t>
      </w:r>
      <w:r w:rsidR="00193AD6" w:rsidRPr="0023349B">
        <w:rPr>
          <w:rFonts w:ascii="Times New Roman" w:hAnsi="Times New Roman" w:cs="Times New Roman"/>
          <w:b/>
        </w:rPr>
        <w:t xml:space="preserve"> </w:t>
      </w:r>
      <w:r w:rsidRPr="0023349B">
        <w:rPr>
          <w:rFonts w:ascii="Times New Roman" w:hAnsi="Times New Roman" w:cs="Times New Roman"/>
          <w:b/>
        </w:rPr>
        <w:t xml:space="preserve">Art. 17 – Zmiany w ustawie </w:t>
      </w:r>
      <w:r w:rsidRPr="0023349B">
        <w:rPr>
          <w:rFonts w:ascii="Times New Roman" w:hAnsi="Times New Roman" w:cs="Times New Roman"/>
          <w:b/>
          <w:u w:val="single"/>
        </w:rPr>
        <w:t>o rewitalizacji</w:t>
      </w:r>
      <w:r w:rsidR="0057314B" w:rsidRPr="0023349B">
        <w:rPr>
          <w:rFonts w:ascii="Times New Roman" w:hAnsi="Times New Roman" w:cs="Times New Roman"/>
          <w:b/>
          <w:u w:val="single"/>
        </w:rPr>
        <w:t>, Art. 19 – Zmiany w ustawie o służbie ochrony państwa</w:t>
      </w:r>
    </w:p>
    <w:p w:rsidR="009768BE" w:rsidRPr="0023349B" w:rsidRDefault="009768BE"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Zmiany w ww. ustawach są konsekwencją wprowadzenia do </w:t>
      </w:r>
      <w:r w:rsidRPr="0023349B">
        <w:rPr>
          <w:rFonts w:ascii="Times New Roman" w:hAnsi="Times New Roman" w:cs="Times New Roman"/>
          <w:i/>
        </w:rPr>
        <w:t>ustawy o niektórych formach…</w:t>
      </w:r>
      <w:r w:rsidRPr="0023349B">
        <w:rPr>
          <w:rFonts w:ascii="Times New Roman" w:hAnsi="Times New Roman" w:cs="Times New Roman"/>
        </w:rPr>
        <w:t xml:space="preserve"> nazewnictwa </w:t>
      </w:r>
      <w:r w:rsidR="0057314B" w:rsidRPr="0023349B">
        <w:rPr>
          <w:rFonts w:ascii="Times New Roman" w:hAnsi="Times New Roman" w:cs="Times New Roman"/>
        </w:rPr>
        <w:t xml:space="preserve">„społeczna inicjatywa mieszkaniowa” </w:t>
      </w:r>
      <w:r w:rsidRPr="0023349B">
        <w:rPr>
          <w:rFonts w:ascii="Times New Roman" w:hAnsi="Times New Roman" w:cs="Times New Roman"/>
        </w:rPr>
        <w:t>bardziej oddającego charakter podmiotów, kt</w:t>
      </w:r>
      <w:r w:rsidR="0057314B" w:rsidRPr="0023349B">
        <w:rPr>
          <w:rFonts w:ascii="Times New Roman" w:hAnsi="Times New Roman" w:cs="Times New Roman"/>
        </w:rPr>
        <w:t>órych działalność skupia się na </w:t>
      </w:r>
      <w:r w:rsidRPr="0023349B">
        <w:rPr>
          <w:rFonts w:ascii="Times New Roman" w:hAnsi="Times New Roman" w:cs="Times New Roman"/>
        </w:rPr>
        <w:t>tworzeniu zasobu mieszkaniowego w seg</w:t>
      </w:r>
      <w:r w:rsidR="0057314B" w:rsidRPr="0023349B">
        <w:rPr>
          <w:rFonts w:ascii="Times New Roman" w:hAnsi="Times New Roman" w:cs="Times New Roman"/>
        </w:rPr>
        <w:t>mencie budownictwa społecznego.</w:t>
      </w:r>
    </w:p>
    <w:p w:rsidR="00C268CB" w:rsidRPr="0023349B" w:rsidRDefault="00C268CB" w:rsidP="0023349B">
      <w:pPr>
        <w:spacing w:after="240" w:line="360" w:lineRule="auto"/>
        <w:rPr>
          <w:rFonts w:ascii="Times New Roman" w:hAnsi="Times New Roman" w:cs="Times New Roman"/>
          <w:b/>
          <w:i/>
        </w:rPr>
      </w:pPr>
      <w:r w:rsidRPr="0023349B">
        <w:rPr>
          <w:rFonts w:ascii="Times New Roman" w:hAnsi="Times New Roman" w:cs="Times New Roman"/>
          <w:b/>
        </w:rPr>
        <w:t xml:space="preserve">Art. </w:t>
      </w:r>
      <w:r w:rsidR="0057314B" w:rsidRPr="0023349B">
        <w:rPr>
          <w:rFonts w:ascii="Times New Roman" w:hAnsi="Times New Roman" w:cs="Times New Roman"/>
          <w:b/>
        </w:rPr>
        <w:t xml:space="preserve">18 </w:t>
      </w:r>
      <w:r w:rsidR="00C47C60" w:rsidRPr="0023349B">
        <w:rPr>
          <w:rFonts w:ascii="Times New Roman" w:hAnsi="Times New Roman" w:cs="Times New Roman"/>
          <w:b/>
        </w:rPr>
        <w:t>–</w:t>
      </w:r>
      <w:r w:rsidRPr="0023349B">
        <w:rPr>
          <w:rFonts w:ascii="Times New Roman" w:hAnsi="Times New Roman" w:cs="Times New Roman"/>
          <w:b/>
        </w:rPr>
        <w:t xml:space="preserve"> Zmiany w ustawie o Krajowym Zasobie Nieruchomości</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Głównym celem nowelizacji </w:t>
      </w:r>
      <w:r w:rsidRPr="0023349B">
        <w:rPr>
          <w:rFonts w:ascii="Times New Roman" w:hAnsi="Times New Roman" w:cs="Times New Roman"/>
          <w:i/>
        </w:rPr>
        <w:t>ustawy z dnia 20 lipca 2017 r. o Krajowym Zasobie Nieruchomości</w:t>
      </w:r>
      <w:r w:rsidRPr="0023349B">
        <w:rPr>
          <w:rFonts w:ascii="Times New Roman" w:hAnsi="Times New Roman" w:cs="Times New Roman"/>
        </w:rPr>
        <w:t xml:space="preserve"> jest rozszerzenie możliwości działania podejmowanego przez KZN w ramach gospodarowania Zasobem, o tworzenie i przystępowanie do istniejących towarzystw budownictwa społecznego. Dotychczasowe regulacje nie przewidywały tej formy działania KZN. Z uwagi na fakt, że jednym z podstawowych zadań KZN jest podejmowanie działań w celu realizacji inwestycji mieszkaniowych, w tym mieszkań na wynajem, zasadnym jest wprowadzenie możliwości tworzenia przez KZN towarzystw budownictwa społecznego lub przystępowania do już istniejących.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Dodatkowo w nowelizacji przewiduje się utworzenie Funduszu Rozwoju Społecznego Budownictwa Czynszowego. Celem Funduszu jest zabezpieczenie środków finansowych, które będą przeznaczone wyłącznie na: tworzenie przez KZN towarzystw budownictwa społecznego lub obejmowanie udziałów w towarzystwach budownictwa społecznego.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Pozostałe zmiany w przepisach ustawy z dnia 20 lipca 2017 r. o Krajowym Zasobie Nieruchomości mają na celu doprecyzowanie regulacji dotyczących funkcjonowania Krajowego Zasobu Nieruchomości, których stosowanie w praktyce powodowało problemy w realizacji zadań inwestycyjnych przez Krajowy Zasób Nieruchomości.</w:t>
      </w:r>
    </w:p>
    <w:p w:rsidR="00D21B94" w:rsidRPr="0023349B" w:rsidRDefault="00D21B94"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Zmian</w:t>
      </w:r>
      <w:r w:rsidR="00E560BD" w:rsidRPr="0023349B">
        <w:rPr>
          <w:rFonts w:ascii="Times New Roman" w:hAnsi="Times New Roman" w:cs="Times New Roman"/>
          <w:u w:val="single"/>
        </w:rPr>
        <w:t>y</w:t>
      </w:r>
      <w:r w:rsidRPr="0023349B">
        <w:rPr>
          <w:rFonts w:ascii="Times New Roman" w:hAnsi="Times New Roman" w:cs="Times New Roman"/>
          <w:u w:val="single"/>
        </w:rPr>
        <w:t xml:space="preserve"> 1</w:t>
      </w:r>
      <w:r w:rsidR="00E560BD" w:rsidRPr="0023349B">
        <w:rPr>
          <w:rFonts w:ascii="Times New Roman" w:hAnsi="Times New Roman" w:cs="Times New Roman"/>
          <w:u w:val="single"/>
        </w:rPr>
        <w:t xml:space="preserve">, </w:t>
      </w:r>
      <w:r w:rsidR="0087520A" w:rsidRPr="0023349B">
        <w:rPr>
          <w:rFonts w:ascii="Times New Roman" w:hAnsi="Times New Roman" w:cs="Times New Roman"/>
          <w:u w:val="single"/>
        </w:rPr>
        <w:t>2</w:t>
      </w:r>
      <w:r w:rsidR="00E560BD" w:rsidRPr="0023349B">
        <w:rPr>
          <w:rFonts w:ascii="Times New Roman" w:hAnsi="Times New Roman" w:cs="Times New Roman"/>
          <w:u w:val="single"/>
        </w:rPr>
        <w:t>, 7, 8, 9</w:t>
      </w:r>
      <w:r w:rsidRPr="0023349B">
        <w:rPr>
          <w:rFonts w:ascii="Times New Roman" w:hAnsi="Times New Roman" w:cs="Times New Roman"/>
          <w:u w:val="single"/>
        </w:rPr>
        <w:t>:</w:t>
      </w:r>
      <w:r w:rsidR="0087520A" w:rsidRPr="0023349B">
        <w:rPr>
          <w:rFonts w:ascii="Times New Roman" w:hAnsi="Times New Roman" w:cs="Times New Roman"/>
          <w:u w:val="single"/>
        </w:rPr>
        <w:t xml:space="preserve"> art. 1 pkt 1 lit. a, art. 3 ust. 1 pkt 12</w:t>
      </w:r>
      <w:r w:rsidR="00E560BD" w:rsidRPr="0023349B">
        <w:rPr>
          <w:rFonts w:ascii="Times New Roman" w:hAnsi="Times New Roman" w:cs="Times New Roman"/>
          <w:u w:val="single"/>
        </w:rPr>
        <w:t>, art. 10 w ust. 5, art. 12 ust. 1 dodawany się pkt 2a, art. 27 ust. 1 pkt 4</w:t>
      </w:r>
    </w:p>
    <w:p w:rsidR="0087520A" w:rsidRPr="0023349B" w:rsidRDefault="0087520A" w:rsidP="0023349B">
      <w:pPr>
        <w:spacing w:after="240" w:line="360" w:lineRule="auto"/>
        <w:jc w:val="both"/>
        <w:rPr>
          <w:rFonts w:ascii="Times New Roman" w:hAnsi="Times New Roman" w:cs="Times New Roman"/>
        </w:rPr>
      </w:pPr>
      <w:r w:rsidRPr="0023349B">
        <w:rPr>
          <w:rFonts w:ascii="Times New Roman" w:hAnsi="Times New Roman" w:cs="Times New Roman"/>
        </w:rPr>
        <w:t>Proponuje się wprowadzenie przepisów mających na celu objęcie przepisami zmienianej ustawy nieruchomości stanowiących własność Skarbu Państwa a zarządzanych przez Państwowe Gospodarstwo Leśne Lasy Państwowe. Rozwiązanie takie stanowi powrót do pierwotnego brzmienia ustawy z dnia 20 lipca 2017 r. o Krajowym Zasobie Nieruchomości. Projektowana zmiana ma na celu zapewnienie Krajowemu Zasobowi Nieru</w:t>
      </w:r>
      <w:r w:rsidR="00E560BD" w:rsidRPr="0023349B">
        <w:rPr>
          <w:rFonts w:ascii="Times New Roman" w:hAnsi="Times New Roman" w:cs="Times New Roman"/>
        </w:rPr>
        <w:t>chomości koniecznego dostępu do </w:t>
      </w:r>
      <w:r w:rsidRPr="0023349B">
        <w:rPr>
          <w:rFonts w:ascii="Times New Roman" w:hAnsi="Times New Roman" w:cs="Times New Roman"/>
        </w:rPr>
        <w:t>gruntów Skarbu Państwa w celu ich wykorzystania pod budownictwo społeczne.</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D21B94" w:rsidRPr="0023349B">
        <w:rPr>
          <w:rFonts w:ascii="Times New Roman" w:hAnsi="Times New Roman" w:cs="Times New Roman"/>
          <w:u w:val="single"/>
        </w:rPr>
        <w:t>3</w:t>
      </w:r>
      <w:r w:rsidRPr="0023349B">
        <w:rPr>
          <w:rFonts w:ascii="Times New Roman" w:hAnsi="Times New Roman" w:cs="Times New Roman"/>
          <w:u w:val="single"/>
        </w:rPr>
        <w:t xml:space="preserve">: art. 4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Przepisy ustawy z dnia 20 lipca 2017 r. o Krajowym Zasobie Nieruchomości, dotyczące tworzenia spółek Skarbu Państwa w celu realizacji inwestycji mieszkaniowych lub uzbrojenia technicznego, wprowadzone w wyniku nowelizacji ustawy o Krajowym Zasobie Nieruchomości, która weszła w życie 15 sierpnia 2019 r., rodzą liczne wątpliwości interpretacyjne. Dotyczą one wykładni art. 7 ust. 1 ustawy o Krajowym Zasobie Nieruchomości i relacji tego przepisu do przepisów ustawy z dnia 16 grudnia 2016 r. o zasadach zarządzania mieniem państwowym. Literalne brzmienie art. 7 ust. 1 pkt 1 ustawy o Krajowym Zasobie Nieruchomości nie wyjaśnia kwestii reprezentacji Skarbu Państwa przy tworzeniu spółki celowej na podstawie tego przepisu. Aktualnie obowiązujący art. 7 ust. 1 ustawy o Krajowym Zasobie Nieruchomości, wyraźnie stanowi, że określona w nim, a dokonywana przez KZN czynność ma polegać na „złożeniu w imieniu Skarbu Państwa oświadczenia woli o utworzeniu spółki”. KZN nie występuje zatem w procesie utworzenia spółki celowej we własnym imieniu, wobec czego nie jest założycielem (wspólnikiem) tej spółki. Przy dokonywaniu czynności założycielskich działa jako reprezentant Skarbu Państwa, umocowany do działania na podstawie art. 7 ust. 1 ustawy o Krajowym Zasobie Nieruchomości (reprezentacja ustawowa). Posłużenie się w art. 7 ust. 1 ustawy o Krajowym Zasobie Nieruchomości sformułowaniem „w imieniu Skarbu Państwa” nie pozwala przyjąć, że w procesie tworzenia spółki celowej KZN działa jako zastępca pośredni albo jako innego rodzaju powiernik Skarbu Państwa, gdyż istotą tych instytucji jest działanie przez określony podmiot (powiernika, zastępcę pośredniego) w imieniu własnym, ale na rachunek (na rzecz) innej osoby. Względy systemowe przemawiają jednak za takim rozumieniem art. 7 ust. 1 pkt 1 ustawy o Krajowym Zasobie Nieruchomości, zgodnie z którym utworzenie spółki celowej w omawianym przypadku następuje w wyniku złożenia jednego oświadczenia woli w formie aktu założycielskiego (art. 4 § 2 </w:t>
      </w:r>
      <w:proofErr w:type="spellStart"/>
      <w:r w:rsidRPr="0023349B">
        <w:rPr>
          <w:rFonts w:ascii="Times New Roman" w:hAnsi="Times New Roman" w:cs="Times New Roman"/>
        </w:rPr>
        <w:t>k.s.h</w:t>
      </w:r>
      <w:proofErr w:type="spellEnd"/>
      <w:r w:rsidRPr="0023349B">
        <w:rPr>
          <w:rFonts w:ascii="Times New Roman" w:hAnsi="Times New Roman" w:cs="Times New Roman"/>
        </w:rPr>
        <w:t xml:space="preserve">.), w konsekwencji czego dochodzi do zawiązania jednoosobowej spółki kapitałowej Skarbu Państwa. Przepisy ustawy o Krajowym Zasobie Nieruchomości powinny regulować to w sposób jednoznaczny. W tym celu znowelizowano brzmienie </w:t>
      </w:r>
      <w:r w:rsidRPr="0023349B">
        <w:rPr>
          <w:rFonts w:ascii="Times New Roman" w:hAnsi="Times New Roman" w:cs="Times New Roman"/>
          <w:b/>
        </w:rPr>
        <w:t>art. 4 ust. 4a</w:t>
      </w:r>
      <w:r w:rsidRPr="0023349B">
        <w:rPr>
          <w:rFonts w:ascii="Times New Roman" w:hAnsi="Times New Roman" w:cs="Times New Roman"/>
        </w:rPr>
        <w:t xml:space="preserve"> ustawy o Krajowym Zasobie Nieruchomości poprzez jednoznaczne przesądzenie, że w przypadku wniesienia przez KZN nieruchomości aportem do spółki celowej o której mowa w art. 7 ust. 1 ustawy lub towarzystwa budownictwa społecznego, prawa z udziałów i akcji należących do Skarbu Państwa wykonuje KZN, o ile</w:t>
      </w:r>
      <w:r w:rsidR="00193AD6" w:rsidRPr="0023349B">
        <w:rPr>
          <w:rFonts w:ascii="Times New Roman" w:hAnsi="Times New Roman" w:cs="Times New Roman"/>
        </w:rPr>
        <w:t xml:space="preserve"> </w:t>
      </w:r>
      <w:r w:rsidRPr="0023349B">
        <w:rPr>
          <w:rFonts w:ascii="Times New Roman" w:hAnsi="Times New Roman" w:cs="Times New Roman"/>
        </w:rPr>
        <w:t xml:space="preserve">Rada Ministrów nie powierzy ich wykonywania innemu, wskazanemu podmiotowi, o którym mowa w art. 9 pkt 1, 3 i 5 ustawy z dnia 27 sierpnia 2009 r. o finansach publicznych. </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4</w:t>
      </w:r>
      <w:r w:rsidRPr="0023349B">
        <w:rPr>
          <w:rFonts w:ascii="Times New Roman" w:hAnsi="Times New Roman" w:cs="Times New Roman"/>
          <w:u w:val="single"/>
        </w:rPr>
        <w:t>: art. 5 ust. 1 pkt 5</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Zmiana wprowadzana jest</w:t>
      </w:r>
      <w:r w:rsidR="00193AD6" w:rsidRPr="0023349B">
        <w:rPr>
          <w:rFonts w:ascii="Times New Roman" w:hAnsi="Times New Roman" w:cs="Times New Roman"/>
        </w:rPr>
        <w:t xml:space="preserve"> </w:t>
      </w:r>
      <w:r w:rsidRPr="0023349B">
        <w:rPr>
          <w:rFonts w:ascii="Times New Roman" w:hAnsi="Times New Roman" w:cs="Times New Roman"/>
        </w:rPr>
        <w:t>z uwagi na konieczność uwzględnienia zadania KZN polegającego na wspieraniu rozwoju społecznego budownictwa czynszowego i komunalnego, w ramach którego przedsięwzięcie budowlane realizowane jest przez towarzystwo budownictwa społecznego, którego udziałowcem jest jednostka samorządu terytorialnego lub skarb państwa, lub przedsięwzięcia budowlanego realizowanego przy wsparciu środkami publicznymi.</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5</w:t>
      </w:r>
      <w:r w:rsidRPr="0023349B">
        <w:rPr>
          <w:rFonts w:ascii="Times New Roman" w:hAnsi="Times New Roman" w:cs="Times New Roman"/>
          <w:u w:val="single"/>
        </w:rPr>
        <w:t>: art. 7 ust. 1</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rPr>
        <w:t xml:space="preserve">Zmiana </w:t>
      </w:r>
      <w:r w:rsidRPr="0023349B">
        <w:rPr>
          <w:rFonts w:ascii="Times New Roman" w:hAnsi="Times New Roman" w:cs="Times New Roman"/>
          <w:b/>
        </w:rPr>
        <w:t>art. 7 ust. 1</w:t>
      </w:r>
      <w:r w:rsidRPr="0023349B">
        <w:rPr>
          <w:rFonts w:ascii="Times New Roman" w:hAnsi="Times New Roman" w:cs="Times New Roman"/>
        </w:rPr>
        <w:t xml:space="preserve"> jest wynikiem analizy działalności KZN. W ramach dotychczasowej działalności KZN nawiązał współpracę z kilkoma podmiotami, tytułem przykładu Polskie Domy Drewniane Spółka Akcyjna, które nie mieszczą w katalogu określonym w art. 7 ust. 1 ustawy o KZN. Podmioty te są bowiem spółkami z większościowym udziałem państwowych osób prawnych. Mając na względzie powyższe </w:t>
      </w:r>
      <w:r w:rsidRPr="0023349B">
        <w:rPr>
          <w:rFonts w:ascii="Times New Roman" w:hAnsi="Times New Roman" w:cs="Times New Roman"/>
          <w:b/>
        </w:rPr>
        <w:t>konieczna jest modyfikacja katalogu podmiotów zawartego w ust. 1 art. 7 ustawy</w:t>
      </w:r>
      <w:r w:rsidRPr="0023349B">
        <w:rPr>
          <w:rFonts w:ascii="Times New Roman" w:hAnsi="Times New Roman" w:cs="Times New Roman"/>
        </w:rPr>
        <w:t xml:space="preserve">. Ponadto, w celu wykluczenia wątpliwości interpretacyjnych w </w:t>
      </w:r>
      <w:r w:rsidRPr="0023349B">
        <w:rPr>
          <w:rFonts w:ascii="Times New Roman" w:hAnsi="Times New Roman" w:cs="Times New Roman"/>
          <w:b/>
        </w:rPr>
        <w:t>ust. 1 pkt 1</w:t>
      </w:r>
      <w:r w:rsidRPr="0023349B">
        <w:rPr>
          <w:rFonts w:ascii="Times New Roman" w:hAnsi="Times New Roman" w:cs="Times New Roman"/>
        </w:rPr>
        <w:t xml:space="preserve"> doprecyzowano, że KZN może tworzyć spółki celowe ze Skarbem Państwa w formie jednoosobowej spółki kapitałowej z udziałem Skarbu Państwa. Biorąc pod uwagę wątpliwości interpretacyjne dotyczące utworzenia przez KZN spółki celowej ze Skarbem Państwa stosownie do dyspozycji </w:t>
      </w:r>
      <w:r w:rsidRPr="0023349B">
        <w:rPr>
          <w:rFonts w:ascii="Times New Roman" w:hAnsi="Times New Roman" w:cs="Times New Roman"/>
          <w:b/>
        </w:rPr>
        <w:t>art. 7 ust. 1 pkt 1</w:t>
      </w:r>
      <w:r w:rsidRPr="0023349B">
        <w:rPr>
          <w:rFonts w:ascii="Times New Roman" w:hAnsi="Times New Roman" w:cs="Times New Roman"/>
        </w:rPr>
        <w:t xml:space="preserve"> ustawy o KZN, który interpretowano w ten sposób, że w istocie chodzi o utworzenie jednoosobowej spółki kapitałowej z udziałem Skarbu Państwa, proponuje się jednoznaczne doprecyzowanie, że KZN może tworzyć spółki celowe ze Skarbem Państwa w formie jednoosobowej spółki kapitałowej z udziałem Skarbu Państwa.</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6</w:t>
      </w:r>
      <w:r w:rsidRPr="0023349B">
        <w:rPr>
          <w:rFonts w:ascii="Times New Roman" w:hAnsi="Times New Roman" w:cs="Times New Roman"/>
          <w:u w:val="single"/>
        </w:rPr>
        <w:t xml:space="preserve">: art. 7a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dodawanym </w:t>
      </w:r>
      <w:r w:rsidRPr="0023349B">
        <w:rPr>
          <w:rFonts w:ascii="Times New Roman" w:hAnsi="Times New Roman" w:cs="Times New Roman"/>
          <w:b/>
        </w:rPr>
        <w:t xml:space="preserve">art. 7a </w:t>
      </w:r>
      <w:r w:rsidRPr="0023349B">
        <w:rPr>
          <w:rFonts w:ascii="Times New Roman" w:hAnsi="Times New Roman" w:cs="Times New Roman"/>
        </w:rPr>
        <w:t>ustawy o Krajowym Zasobie Nieruchomości poszerzono katalog podmiotów, które może tworzyć Krajowy Zasób Nieruchomości lub do nich przystępować o towarzystwa budownictwa społecznego. Przewiduje się, że Krajowy Zasób Nieruchomości będzie mógł, za zgodą ministra właściwego do spraw budownictwa, planowania i zagospodarowania przestrzennego oraz mieszkalnictwa tworzyć towarzystwo budownictwa społecznego, w formach, o których mowa w art. 23 ust. 1 pkt 1 i pkt 2 ustawy z dnia 26 października 1995 r. o niektórych formach popierania budownictwa mieszkaniowego (Dz.U. z 2019 r. poz. 2195) albo przystępować do tych towarzystw budownictwa społecznego. Jednocześnie w projekcie nowelizacji zaproponowano, że członek Rady Nadzorczej, który będzie reprezentował KZN, otrzyma wynagrodzenie wypłacane przez KZN. Przedmiotowa regulacja ma na celu nieobciążanie TBS wynagrodzeniem członka Rady Nadzorczej, który będzie reprezentował KZN. Wskazać przy tym należy, że nie przewidziano tu ograniczenia z art. 7, przewidującego obejmowanie udziałów w spółkach celowych tylko w zamian za wkłady niepieniężne. W przypadku tworzenia przez KZN TBS lub przystępowania przez KZN do już istniejącego TBS objęcia udziałów będzie mogło następować zarówna za wkład niepieniężny (nieruchomość należąca do Zasobu KZN) jak i wkłady pieniężne – pochodzące z Funduszu.</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10</w:t>
      </w:r>
      <w:r w:rsidRPr="0023349B">
        <w:rPr>
          <w:rFonts w:ascii="Times New Roman" w:hAnsi="Times New Roman" w:cs="Times New Roman"/>
          <w:u w:val="single"/>
        </w:rPr>
        <w:t>: art. 32</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ust. 1</w:t>
      </w:r>
      <w:r w:rsidRPr="0023349B">
        <w:rPr>
          <w:rFonts w:ascii="Times New Roman" w:hAnsi="Times New Roman" w:cs="Times New Roman"/>
        </w:rPr>
        <w:t xml:space="preserve"> proponuje się, aby Rada Nadzorcza składała się z 6 członków.</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11</w:t>
      </w:r>
      <w:r w:rsidRPr="0023349B">
        <w:rPr>
          <w:rFonts w:ascii="Times New Roman" w:hAnsi="Times New Roman" w:cs="Times New Roman"/>
          <w:u w:val="single"/>
        </w:rPr>
        <w:t>: art. 33 ust. 1 pkt 1</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Wieloletnia strategia działania KZN w swojej treści zawiera szereg kierunków działań, mających na celu takie ukierunkowanie działalności państwowej osoby prawnej, aby swoje zadania realizować w sposób płynny i uporządkowany. Jednocześnie strategia musi uwzględniać system monitoringu, oceny, ewaluacji oraz sposób wprowadzania modyfikacji w reakcji na zmiany w otoczeniu. Obecny zapis obliguje Prezesa KZN, aby raz na 5 lat przedstawił do zatwierdzenia projekt strategii. Brak możliwości wprowadzania zmian spowoduje po pewnym czasie dezaktualizację jej treści, mając jednocześnie na względzie obszar działalności KZN i dynamiczne zmiany na rynku nieruchomości, zmiany społeczno-gospodarcze, a także zmiany w obszarze prawnym. W związku z powyższym koniczne jest uchylenie wymogu zatwierdzania strategii działania KZN raz na 5 lat.</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12</w:t>
      </w:r>
      <w:r w:rsidRPr="0023349B">
        <w:rPr>
          <w:rFonts w:ascii="Times New Roman" w:hAnsi="Times New Roman" w:cs="Times New Roman"/>
          <w:u w:val="single"/>
        </w:rPr>
        <w:t>: art. 35</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Zaproponowana zmiana </w:t>
      </w:r>
      <w:r w:rsidRPr="0023349B">
        <w:rPr>
          <w:rFonts w:ascii="Times New Roman" w:hAnsi="Times New Roman" w:cs="Times New Roman"/>
          <w:b/>
          <w:bCs/>
        </w:rPr>
        <w:t>pkt 2 w art. 35</w:t>
      </w:r>
      <w:r w:rsidRPr="0023349B">
        <w:rPr>
          <w:rFonts w:ascii="Times New Roman" w:hAnsi="Times New Roman" w:cs="Times New Roman"/>
        </w:rPr>
        <w:t xml:space="preserve"> ustawy o KZN ma na celu usprawnienie procesu nietrwałego rozdysponowania nieruchomości wchodzących w skład Zasobu, w szczególności w zakresie ich bieżącego gospodarowania, w tym możliwości szybkiego reagowania KZN wykonującego uprawnienia właściciela w przypadku udostępniania terenu pod budowę infrastruktury technicznej (w tym inwestycji celu publicznego).</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związku z umożliwieniem KZN tworzenia albo przystępowania do istniejących już TBS, konieczne jest uzupełnienie katalogu czynności wymagających pisemnej zgody ministra właściwego do spraw budownictwa, planowania i zagospodarowania przestrzennego oraz mieszkalnictwa o: tworzenie przez KZN towarzystw budownictwa społecznego; obejmowanie udziałów w towarzystwach budownictwa społecznego (dodawane </w:t>
      </w:r>
      <w:r w:rsidRPr="0023349B">
        <w:rPr>
          <w:rFonts w:ascii="Times New Roman" w:hAnsi="Times New Roman" w:cs="Times New Roman"/>
          <w:b/>
          <w:bCs/>
        </w:rPr>
        <w:t>pkt 9–10 w art. 35</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13</w:t>
      </w:r>
      <w:r w:rsidRPr="0023349B">
        <w:rPr>
          <w:rFonts w:ascii="Times New Roman" w:hAnsi="Times New Roman" w:cs="Times New Roman"/>
          <w:u w:val="single"/>
        </w:rPr>
        <w:t>: art. 36 ust. 1</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Projektowana zmiana dotyczy wyeliminowania nadmiarowego obowiązku opiniowania przez Radę Nadzorczą KZN kandydata na Prezesa (</w:t>
      </w:r>
      <w:r w:rsidRPr="0023349B">
        <w:rPr>
          <w:rFonts w:ascii="Times New Roman" w:hAnsi="Times New Roman" w:cs="Times New Roman"/>
          <w:b/>
          <w:bCs/>
        </w:rPr>
        <w:t>zmiana art. 36 ust. 1</w:t>
      </w:r>
      <w:r w:rsidRPr="0023349B">
        <w:rPr>
          <w:rFonts w:ascii="Times New Roman" w:hAnsi="Times New Roman" w:cs="Times New Roman"/>
        </w:rPr>
        <w:t xml:space="preserve">), bowiem </w:t>
      </w:r>
      <w:r w:rsidRPr="0023349B">
        <w:rPr>
          <w:rFonts w:ascii="Times New Roman" w:hAnsi="Times New Roman" w:cs="Times New Roman"/>
          <w:b/>
          <w:bCs/>
        </w:rPr>
        <w:t>zgodnie z art. 37 ust. 8</w:t>
      </w:r>
      <w:r w:rsidRPr="0023349B">
        <w:rPr>
          <w:rFonts w:ascii="Times New Roman" w:hAnsi="Times New Roman" w:cs="Times New Roman"/>
        </w:rPr>
        <w:t xml:space="preserve"> </w:t>
      </w:r>
      <w:r w:rsidR="00C47C60" w:rsidRPr="0023349B">
        <w:rPr>
          <w:rFonts w:ascii="Times New Roman" w:hAnsi="Times New Roman" w:cs="Times New Roman"/>
        </w:rPr>
        <w:t>–</w:t>
      </w:r>
      <w:r w:rsidRPr="0023349B">
        <w:rPr>
          <w:rFonts w:ascii="Times New Roman" w:hAnsi="Times New Roman" w:cs="Times New Roman"/>
        </w:rPr>
        <w:t xml:space="preserve"> w toku naboru Rada Nadzorcza wyłania nie więcej niż 3 kandydatów, których przedstawia ministrowi właściwemu do spraw budownictwa, planowania i zagospodarowania przestrzennego oraz mieszkalnictwa w celu dokonania wyboru jednego kandydata. Tym samym, ponowne opiniowanie przez Radę Nadzorczą KZN kandydata na Prezesa (który został wcześniej wyłoniony przez Radę Nadzorczą jako 1 z maksymalnie 3 kandydatów), wydaje się nieuzasadnione.</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14</w:t>
      </w:r>
      <w:r w:rsidRPr="0023349B">
        <w:rPr>
          <w:rFonts w:ascii="Times New Roman" w:hAnsi="Times New Roman" w:cs="Times New Roman"/>
          <w:u w:val="single"/>
        </w:rPr>
        <w:t>: art. 37 ust. pkt 6</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rPr>
        <w:t>Projektowana zmiana związana jest z interpretacją pojęcia staż pracy (</w:t>
      </w:r>
      <w:r w:rsidRPr="0023349B">
        <w:rPr>
          <w:rFonts w:ascii="Times New Roman" w:hAnsi="Times New Roman" w:cs="Times New Roman"/>
          <w:b/>
          <w:bCs/>
        </w:rPr>
        <w:t>art. 37 ust. 1 pkt 6</w:t>
      </w:r>
      <w:r w:rsidRPr="0023349B">
        <w:rPr>
          <w:rFonts w:ascii="Times New Roman" w:hAnsi="Times New Roman" w:cs="Times New Roman"/>
        </w:rPr>
        <w:t xml:space="preserve">). O ile w przepisach prawa nie ma mowy wprost o stażu pracy w rozumieniu przepisów prawa pracy, dopuszczalne jest przyjęcie szerszej wykładni pojęcia staż pracy i zaliczanie do niego także doświadczenia zdobytego np. na podstawie umów cywilnoprawnych, a w konsekwencji nie dyskryminowanie osób świadczących swoje usługi w ramach innych rodzajów działalności/umów niż umowy o pracę. W związku z powyższym </w:t>
      </w:r>
      <w:r w:rsidRPr="0023349B">
        <w:rPr>
          <w:rFonts w:ascii="Times New Roman" w:hAnsi="Times New Roman" w:cs="Times New Roman"/>
          <w:b/>
          <w:bCs/>
        </w:rPr>
        <w:t>zaproponowano zmianę art. 37 ust. 1 pkt 6</w:t>
      </w:r>
      <w:r w:rsidRPr="0023349B">
        <w:rPr>
          <w:rFonts w:ascii="Times New Roman" w:hAnsi="Times New Roman" w:cs="Times New Roman"/>
        </w:rPr>
        <w:t xml:space="preserve">, która doprecyzowuje wymóg posiadania stażu pracy również rozumiany jako </w:t>
      </w:r>
      <w:r w:rsidRPr="0023349B">
        <w:rPr>
          <w:rFonts w:ascii="Times New Roman" w:hAnsi="Times New Roman" w:cs="Times New Roman"/>
          <w:u w:val="single"/>
        </w:rPr>
        <w:t>doświadczenie zdobyte na podstawie umów cywilnoprawnych.</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 xml:space="preserve">15 </w:t>
      </w:r>
      <w:r w:rsidRPr="0023349B">
        <w:rPr>
          <w:rFonts w:ascii="Times New Roman" w:hAnsi="Times New Roman" w:cs="Times New Roman"/>
          <w:u w:val="single"/>
        </w:rPr>
        <w:t xml:space="preserve">i </w:t>
      </w:r>
      <w:r w:rsidR="00F41204" w:rsidRPr="0023349B">
        <w:rPr>
          <w:rFonts w:ascii="Times New Roman" w:hAnsi="Times New Roman" w:cs="Times New Roman"/>
          <w:u w:val="single"/>
        </w:rPr>
        <w:t>19</w:t>
      </w:r>
      <w:r w:rsidRPr="0023349B">
        <w:rPr>
          <w:rFonts w:ascii="Times New Roman" w:hAnsi="Times New Roman" w:cs="Times New Roman"/>
          <w:u w:val="single"/>
        </w:rPr>
        <w:t>: art. 43 ust. 2 pkt 3a i art. 48</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rPr>
        <w:t xml:space="preserve">W art. 48 ust. 1 po pkt 3 dodaje się pkt 4 o utworzeniu kolejnego funduszu KZN. W nowelizacji ustawy z dnia 20 lipca 2017 r. o Krajowym Zasobie Nieruchomości przewiduje się rozszerzenie możliwości działania podejmowanego przez KZN w ramach gospodarowania Zasobem, o tworzenie i przystępowanie do istniejących towarzystw budownictwa społecznego. KZN będzie mógł wnosić do TBS grunty. Jednakże z uwagi na fakt, że samo pozyskanie gruntu może być niewystarczające i nie zapewni źródeł finansowania, w projekcie przewidziano utworzenie w ramach KZN specjalnego funduszu </w:t>
      </w:r>
      <w:r w:rsidR="00C47C60" w:rsidRPr="0023349B">
        <w:rPr>
          <w:rFonts w:ascii="Times New Roman" w:hAnsi="Times New Roman" w:cs="Times New Roman"/>
        </w:rPr>
        <w:t>–</w:t>
      </w:r>
      <w:r w:rsidRPr="0023349B">
        <w:rPr>
          <w:rFonts w:ascii="Times New Roman" w:hAnsi="Times New Roman" w:cs="Times New Roman"/>
        </w:rPr>
        <w:t xml:space="preserve"> Funduszu Rozwoju Społecznego Budownictwa Czynszowego.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Głównym źródłem przychodów Funduszu (</w:t>
      </w:r>
      <w:r w:rsidRPr="0023349B">
        <w:rPr>
          <w:rFonts w:ascii="Times New Roman" w:hAnsi="Times New Roman" w:cs="Times New Roman"/>
          <w:b/>
        </w:rPr>
        <w:t>art. 48 ust. 5a</w:t>
      </w:r>
      <w:r w:rsidRPr="0023349B">
        <w:rPr>
          <w:rFonts w:ascii="Times New Roman" w:hAnsi="Times New Roman" w:cs="Times New Roman"/>
        </w:rPr>
        <w:t xml:space="preserve">) będą wpłaty KZN pochodzące z tytułu sprzedaży, oddawania w użytkowanie wieczyste lub dzierżawy nieruchomości wchodzących w skład Zasobu. KZN będzie zobowiązany przeznaczyć 60% przychodu z tych transakcji na Fundusz, zaś 20% w przypadku zbycia nieruchomości, o których mowa w art. 46 ust. 1 pkt 4 i pkt 8.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związku z wprowadzeniem specjalnego funduszu </w:t>
      </w:r>
      <w:r w:rsidR="00C47C60" w:rsidRPr="0023349B">
        <w:rPr>
          <w:rFonts w:ascii="Times New Roman" w:hAnsi="Times New Roman" w:cs="Times New Roman"/>
          <w:bCs/>
        </w:rPr>
        <w:t>–</w:t>
      </w:r>
      <w:r w:rsidRPr="0023349B">
        <w:rPr>
          <w:rFonts w:ascii="Times New Roman" w:hAnsi="Times New Roman" w:cs="Times New Roman"/>
        </w:rPr>
        <w:t xml:space="preserve"> Funduszu Rozwoju Społecznego Budownictwa Czynszowego, w art. 43 ust. 2, po pkt 3 dodaje się pkt 3a określający obowiązek wyodrębnienia w rocznym planie finansowym KZN również środków zgromadzonych na Funduszu Społecznego Budownictwa Czynszowego.</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16</w:t>
      </w:r>
      <w:r w:rsidRPr="0023349B">
        <w:rPr>
          <w:rFonts w:ascii="Times New Roman" w:hAnsi="Times New Roman" w:cs="Times New Roman"/>
          <w:u w:val="single"/>
        </w:rPr>
        <w:t>: art. 44</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projekcie nowelizacji zrezygnowano z regulowania na poziomie rozporządzenia szczegółowych kwestii związanych z prowadzeniem gospodarki finansowej przez KZN. Zauważyć należy, że większość kwestii związanych ze sporządzaniem projektu planu finansowego, jego modyfikacją oraz późniejszym opracowaniem sprawozdań finansowych jest już uregulowana na poziomie ustawy. W instytucjach podobnych do KZN w całości uregulowano kwestię prowadzenia gospodarki finansowej na poziomie ustawowym (ustawa z dnia 30 kwietnia 2010 r. o Narodowym Centrum Badań i Rozwoju (Dz. U. z 2019 r. poz. 1770 i 2020 oraz z 2020 r. poz. 284 i 695); ustawa z dnia 10 lutego 2017 r. o Krajowym Ośrodku Wsparcia Rolnictwa (Dz. U. z 2020 r. poz. 481)). Mając na względzie, że zasadnicza część regulacji dotyczących prowadzenia gospodarki finansowej jest już uregulowana w ustawie o Krajowym Zasobie Nieruchomości zasadnym jest przeniesienie pozostałych regulacji zawartych w rozporządzeniu wydanym na podstawie art. 50 do ustawy i uregulowanie całości gospodarki finansowej KZN na poziomie ustawowym, jak ma to miejsce w przypadku innych podmiotów państwowych. Obowiązujące przepisy </w:t>
      </w:r>
      <w:r w:rsidRPr="0023349B">
        <w:rPr>
          <w:rFonts w:ascii="Times New Roman" w:hAnsi="Times New Roman" w:cs="Times New Roman"/>
          <w:b/>
          <w:bCs/>
        </w:rPr>
        <w:t>art. 44</w:t>
      </w:r>
      <w:r w:rsidRPr="0023349B">
        <w:rPr>
          <w:rFonts w:ascii="Times New Roman" w:hAnsi="Times New Roman" w:cs="Times New Roman"/>
        </w:rPr>
        <w:t xml:space="preserve"> ustawy dotyczące opracowywania rocznego planu finansowego KZN uzupełniono o dotychczasowe regulacje dotyczące opiniowania przez Radę Nadzorczą projektu rocznego planu finansowego KZN.</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17</w:t>
      </w:r>
      <w:r w:rsidRPr="0023349B">
        <w:rPr>
          <w:rFonts w:ascii="Times New Roman" w:hAnsi="Times New Roman" w:cs="Times New Roman"/>
          <w:u w:val="single"/>
        </w:rPr>
        <w:t xml:space="preserve">: art. 45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art. 45</w:t>
      </w:r>
      <w:r w:rsidRPr="0023349B">
        <w:rPr>
          <w:rFonts w:ascii="Times New Roman" w:hAnsi="Times New Roman" w:cs="Times New Roman"/>
        </w:rPr>
        <w:t xml:space="preserve"> dodano </w:t>
      </w:r>
      <w:r w:rsidRPr="0023349B">
        <w:rPr>
          <w:rFonts w:ascii="Times New Roman" w:hAnsi="Times New Roman" w:cs="Times New Roman"/>
          <w:b/>
        </w:rPr>
        <w:t>ust. 3–11</w:t>
      </w:r>
      <w:r w:rsidRPr="0023349B">
        <w:rPr>
          <w:rFonts w:ascii="Times New Roman" w:hAnsi="Times New Roman" w:cs="Times New Roman"/>
        </w:rPr>
        <w:t xml:space="preserve"> określające obowiązkową zawartość kwartalnego sprawozdania finansowego oraz sposób ich wskazania.</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18</w:t>
      </w:r>
      <w:r w:rsidRPr="0023349B">
        <w:rPr>
          <w:rFonts w:ascii="Times New Roman" w:hAnsi="Times New Roman" w:cs="Times New Roman"/>
          <w:u w:val="single"/>
        </w:rPr>
        <w:t xml:space="preserve">: art. 46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Zmiana w art. 46 ust. 1 pkt 1 doprecyzowano, że źródłem przychodów KZN mogą być dotacje celowe z budżetu państwa, które mogą być udzielane do wysokości określanej corocznie w ustawie budżetowej i przeznaczane wyłącznie na pokrycie kosztów związanych bezpośrednio z wnoszeniem nieruchomości wchodzących w skład Zasobu jako aport do spółek, o których mowa w art. 7 ust. 1 oraz do towarzystw budownictwa społecznego, w tym kosztów podatku od towarów i usług ponoszonych w związku z tym wnoszeniem.</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Zmiany w </w:t>
      </w:r>
      <w:r w:rsidRPr="0023349B">
        <w:rPr>
          <w:rFonts w:ascii="Times New Roman" w:hAnsi="Times New Roman" w:cs="Times New Roman"/>
          <w:b/>
        </w:rPr>
        <w:t>art. 46 ust. 2 pkt 1</w:t>
      </w:r>
      <w:r w:rsidRPr="0023349B">
        <w:rPr>
          <w:rFonts w:ascii="Times New Roman" w:hAnsi="Times New Roman" w:cs="Times New Roman"/>
        </w:rPr>
        <w:t xml:space="preserve"> i 2 mają charakter dostosowujący, wynikający z uchylenia art. 62a.</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20</w:t>
      </w:r>
      <w:r w:rsidRPr="0023349B">
        <w:rPr>
          <w:rFonts w:ascii="Times New Roman" w:hAnsi="Times New Roman" w:cs="Times New Roman"/>
          <w:u w:val="single"/>
        </w:rPr>
        <w:t>: art. 49</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Celem Funduszu jest zabezpieczenie środków finansowych, które będą przeznaczone wyłącznie na rozwój tworzenia przez KZN spółek, o których mowa w art. 7 ust. 1, oraz tworzenia i przystępowania do towarzystw budownictwa społecznego </w:t>
      </w:r>
      <w:r w:rsidRPr="0023349B">
        <w:rPr>
          <w:rFonts w:ascii="Times New Roman" w:hAnsi="Times New Roman" w:cs="Times New Roman"/>
          <w:b/>
        </w:rPr>
        <w:t>(art. 49 ust. 1 pkt 1 lit. ba)</w:t>
      </w:r>
      <w:r w:rsidRPr="0023349B">
        <w:rPr>
          <w:rFonts w:ascii="Times New Roman" w:hAnsi="Times New Roman" w:cs="Times New Roman"/>
        </w:rPr>
        <w:t xml:space="preserve"> lub obejmowania udziałów w towarzystwach budownictwa społecznego</w:t>
      </w:r>
      <w:r w:rsidRPr="0023349B">
        <w:rPr>
          <w:rFonts w:ascii="Times New Roman" w:hAnsi="Times New Roman" w:cs="Times New Roman"/>
          <w:b/>
        </w:rPr>
        <w:t>.(art. 49 ust. 1 pkt 1 lit aa)</w:t>
      </w:r>
      <w:r w:rsidRPr="0023349B">
        <w:rPr>
          <w:rFonts w:ascii="Times New Roman" w:hAnsi="Times New Roman" w:cs="Times New Roman"/>
        </w:rPr>
        <w:t xml:space="preserve"> Należy podkreślić, że celem Funduszu, jest tylko zapewnienie środków finansowych na tworzenie spółek, o których mowa w art. 7 ust. 1 oraz TBS i przystępowanie przez KZN do TBS. Ze środków Funduszu nie może być finansowana więc pozostała działalność KZN, w tym także w zakresie budownictwa mieszkaniowego</w:t>
      </w:r>
      <w:r w:rsidR="00193AD6" w:rsidRPr="0023349B">
        <w:rPr>
          <w:rFonts w:ascii="Times New Roman" w:hAnsi="Times New Roman" w:cs="Times New Roman"/>
        </w:rPr>
        <w:t xml:space="preserve"> </w:t>
      </w:r>
      <w:r w:rsidRPr="0023349B">
        <w:rPr>
          <w:rFonts w:ascii="Times New Roman" w:hAnsi="Times New Roman" w:cs="Times New Roman"/>
        </w:rPr>
        <w:t xml:space="preserve">prowadzona przez KZN w innych formach. </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21</w:t>
      </w:r>
      <w:r w:rsidRPr="0023349B">
        <w:rPr>
          <w:rFonts w:ascii="Times New Roman" w:hAnsi="Times New Roman" w:cs="Times New Roman"/>
          <w:u w:val="single"/>
        </w:rPr>
        <w:t>: art. 49b</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dodawanym art. 49b ust. 1 wskazano, że KZN może zaciągać zobowiązania do wysokości środków ujętych w planie finansowym KZN.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 projektowanym ust. 2 wskazano zasady jakimi musi kierować się KZN przy gospodarowaniu środkami finansowymi.</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22</w:t>
      </w:r>
      <w:r w:rsidRPr="0023349B">
        <w:rPr>
          <w:rFonts w:ascii="Times New Roman" w:hAnsi="Times New Roman" w:cs="Times New Roman"/>
          <w:u w:val="single"/>
        </w:rPr>
        <w:t>: art. 50</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projekcie nowelizacji zrezygnowano z regulowania na poziomie rozporządzenia szczegółowych kwestii związanych z prowadzeniem gospodarki finansowej przez KZN. Zauważyć należy, że większość kwestii związanych ze sporządzaniem projektu planu finansowego, jego modyfikacją oraz późniejszym opracowaniem sprawozdań finansowych jest już uregulowana na poziomie ustawy. W instytucjach podobnych do KZN w całości uregulowano kwestię prowadzenia gospodarki finansowej na poziomie ustawowych (ustawa z dnia 30 kwietnia 2010 r. o Narodowym Centrum Badań i Rozwoju </w:t>
      </w:r>
      <w:r w:rsidR="00C47C60" w:rsidRPr="0023349B">
        <w:rPr>
          <w:rFonts w:ascii="Times New Roman" w:hAnsi="Times New Roman" w:cs="Times New Roman"/>
        </w:rPr>
        <w:t>–</w:t>
      </w:r>
      <w:r w:rsidRPr="0023349B">
        <w:rPr>
          <w:rFonts w:ascii="Times New Roman" w:hAnsi="Times New Roman" w:cs="Times New Roman"/>
        </w:rPr>
        <w:t xml:space="preserve"> Dz. U. z 2019 r. poz. 1770; ustawa z dnia 10 lutego 2017 r. o Krajowym Ośrodku Wsparcia Rolnictwa </w:t>
      </w:r>
      <w:r w:rsidR="00C47C60" w:rsidRPr="0023349B">
        <w:rPr>
          <w:rFonts w:ascii="Times New Roman" w:hAnsi="Times New Roman" w:cs="Times New Roman"/>
        </w:rPr>
        <w:t>–</w:t>
      </w:r>
      <w:r w:rsidRPr="0023349B">
        <w:rPr>
          <w:rFonts w:ascii="Times New Roman" w:hAnsi="Times New Roman" w:cs="Times New Roman"/>
        </w:rPr>
        <w:t xml:space="preserve"> Dz. U. z 2018 r. poz. 1154, z późn. zm.). Mając na względzie, że zasadnicza część regulacji dotyczącej prowadzenie gospodarki finansowej jest już uregulowana w ustawie o Krajowym Zasobie Nieruchomości zasadnym jest przeniesienie pozostałych regulacji zawartych w rozporządzeniu wydanym na podstawie art. 50 do ustawy i uregulowanie całości gospodarki finansowej KZN na poziomie ustawowym, jak ma to miejsce w przypadku innych podmiotów państwowych. W związku z powyższym w projekcie uchylono upoważnienie ustawowe dla Rady Ministrów do określenia w drodze rozporządzenia szczegółowego sposobu prowadzenia gospodarki finansowej KZN oraz gospodarki finansowej Zasobu.</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23</w:t>
      </w:r>
      <w:r w:rsidRPr="0023349B">
        <w:rPr>
          <w:rFonts w:ascii="Times New Roman" w:hAnsi="Times New Roman" w:cs="Times New Roman"/>
          <w:u w:val="single"/>
        </w:rPr>
        <w:t>: art. 51</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projektowanym brzmieniu </w:t>
      </w:r>
      <w:r w:rsidRPr="0023349B">
        <w:rPr>
          <w:rFonts w:ascii="Times New Roman" w:hAnsi="Times New Roman" w:cs="Times New Roman"/>
          <w:b/>
        </w:rPr>
        <w:t>art. 51</w:t>
      </w:r>
      <w:r w:rsidRPr="0023349B">
        <w:rPr>
          <w:rFonts w:ascii="Times New Roman" w:hAnsi="Times New Roman" w:cs="Times New Roman"/>
        </w:rPr>
        <w:t xml:space="preserve"> ustawy o Krajowym Zasobie Nieruchomości (nowe </w:t>
      </w:r>
      <w:r w:rsidRPr="0023349B">
        <w:rPr>
          <w:rFonts w:ascii="Times New Roman" w:hAnsi="Times New Roman" w:cs="Times New Roman"/>
          <w:b/>
        </w:rPr>
        <w:t>ust. 5</w:t>
      </w:r>
      <w:r w:rsidRPr="0023349B">
        <w:rPr>
          <w:rFonts w:ascii="Times New Roman" w:hAnsi="Times New Roman" w:cs="Times New Roman"/>
        </w:rPr>
        <w:t xml:space="preserve"> i </w:t>
      </w:r>
      <w:r w:rsidRPr="0023349B">
        <w:rPr>
          <w:rFonts w:ascii="Times New Roman" w:hAnsi="Times New Roman" w:cs="Times New Roman"/>
          <w:b/>
        </w:rPr>
        <w:t>6</w:t>
      </w:r>
      <w:r w:rsidRPr="0023349B">
        <w:rPr>
          <w:rFonts w:ascii="Times New Roman" w:hAnsi="Times New Roman" w:cs="Times New Roman"/>
        </w:rPr>
        <w:t xml:space="preserve">) dookreślono treść wniosku i katalog dokumentów, jakie muszą być przedłożone przez KZN w przypadku wystąpienia o zgodę ministra właściwego do spraw budownictwa, planowania i zagospodarowania przestrzennego oraz mieszkalnictwa, na sprzedaż lub oddanie w użytkowanie wieczyste nieruchomości wchodzących w skład Zasobu. W praktyce stosowania tych przepisów związanych z nadzorem sprawowanym przez ministra właściwego do spraw budownictwa, planowania i zagospodarowania przestrzennego oraz mieszkalnictwa nad KZN i udzielania zgody na zawieranie przez KZN konkretnych umów, powstała konieczność dookreślenia minimalnej zawartości wniosku przedkładanego ministrowi oraz dokumentów pozwalających na ocenę zasadności wniosku. Katalog dokumentów określony w </w:t>
      </w:r>
      <w:r w:rsidRPr="0023349B">
        <w:rPr>
          <w:rFonts w:ascii="Times New Roman" w:hAnsi="Times New Roman" w:cs="Times New Roman"/>
          <w:b/>
        </w:rPr>
        <w:t>art. 51 ust. 5</w:t>
      </w:r>
      <w:r w:rsidRPr="0023349B">
        <w:rPr>
          <w:rFonts w:ascii="Times New Roman" w:hAnsi="Times New Roman" w:cs="Times New Roman"/>
        </w:rPr>
        <w:t xml:space="preserve"> ma charakter otwarty, w celu umożliwienia wystąpienia przez ministra właściwego do spraw budownictwa, planowania i zagospodarowania przestrzennego oraz mieszkalnictwa o przedłożenie także innych dokumentów, które w jego ocenie będą konieczne do wydania zgody na dokonanie przez KZN konkretnych czynności prawnych.</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24</w:t>
      </w:r>
      <w:r w:rsidRPr="0023349B">
        <w:rPr>
          <w:rFonts w:ascii="Times New Roman" w:hAnsi="Times New Roman" w:cs="Times New Roman"/>
          <w:u w:val="single"/>
        </w:rPr>
        <w:t>: art. 51a ust. 3</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Zmodyfikowano brzmienie </w:t>
      </w:r>
      <w:r w:rsidRPr="0023349B">
        <w:rPr>
          <w:rFonts w:ascii="Times New Roman" w:hAnsi="Times New Roman" w:cs="Times New Roman"/>
          <w:b/>
        </w:rPr>
        <w:t>art. 51a ust. 3</w:t>
      </w:r>
      <w:r w:rsidRPr="0023349B">
        <w:rPr>
          <w:rFonts w:ascii="Times New Roman" w:hAnsi="Times New Roman" w:cs="Times New Roman"/>
        </w:rPr>
        <w:t>, w celu wykluczenia wątpliwości interpretacyjnych związanych z katalogiem nieruchomości, które mogą być zbyte przez KZN za zgodą Ministra w trybie bezprzetargowym. W punktach wskazano, że zgoda ta może być udzielona tylko i wyłącznie na zbycie nieruchomości: 1) pod budownictwo mieszkaniowe, 2) na realizację uzbrojenia technicznego, albo 3) na cele publiczne związane z budownictwem mieszkaniowym.</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25</w:t>
      </w:r>
      <w:r w:rsidRPr="0023349B">
        <w:rPr>
          <w:rFonts w:ascii="Times New Roman" w:hAnsi="Times New Roman" w:cs="Times New Roman"/>
          <w:u w:val="single"/>
        </w:rPr>
        <w:t>: art. 52b</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dodawanym </w:t>
      </w:r>
      <w:r w:rsidRPr="0023349B">
        <w:rPr>
          <w:rFonts w:ascii="Times New Roman" w:hAnsi="Times New Roman" w:cs="Times New Roman"/>
          <w:b/>
        </w:rPr>
        <w:t>art. 52b</w:t>
      </w:r>
      <w:r w:rsidRPr="0023349B">
        <w:rPr>
          <w:rFonts w:ascii="Times New Roman" w:hAnsi="Times New Roman" w:cs="Times New Roman"/>
        </w:rPr>
        <w:t xml:space="preserve"> określono podobnie, jak ma to miejsce w przypadku umowy spółki celowej, podstawowe elementy umowy utworzenia przez KZN towarzystwa budownictwa społecznego albo objęcia udziałów w istniejącym towarzystwie budownictwa społecznego. Umowa taka będzie określała w szczególności: oznaczenie nieruchomości wnoszonej przez KZN jako aport do spółki; planowaną liczbę lokali mieszkalnych, które zostaną utworzone w wyniku realizacji przedsięwzięcia inwestycyjno-budowlanego; planowaną liczbę lokali mieszkalnych, które zostaną utworzone w wyniku realizacji przedsięwzięcia inwestycyjno-budowlanego, których pierwszymi najemcami będą osoby wychowujące przynajmniej jedno własne lub przysposobione dziecko, o którym mowa w art. 7 ust. 1a ustawy z dnia 27 września 2013 r. o pomocy państwa w nabyciu pierwszego mieszkania przez młodych ludzi (Dz.U. z 2019 r. poz. 1116); planowaną liczbę lokali mieszkalnych, które zostaną utworzone w wyniku realizacji przedsięwzięcia inwestycyjno-budowlanego, których pierwszymi najemcami będą osoby starsze w rozumieniu art. 4 pkt 1 ustawy z dnia 11 września 2015 r. o osobach starszych; cel spółki związany z realizacją inwestycji mieszkaniowej lub uzbrojenia technicznego; zobowiązanie towarzystwa budownictwa społecznego do wykorzystania nieruchomości będącej przedmiotem aportu na cel związany z realizacją inwestycji mieszkaniowej, w której co najmniej 80% powierzchni użytkowej mieszkań będą stanowiły mieszkania na wynajem; termin realizacji inwestycji mieszkaniowej lub uzbrojenia technicznego; postanowienia przewidujące ograniczenia w zbyciu nieruchomości wnoszonej jako aport do towarzystw budownictwa społecznego.</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26</w:t>
      </w:r>
      <w:r w:rsidRPr="0023349B">
        <w:rPr>
          <w:rFonts w:ascii="Times New Roman" w:hAnsi="Times New Roman" w:cs="Times New Roman"/>
          <w:u w:val="single"/>
        </w:rPr>
        <w:t>: art. 62a</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 projekcie nowelizacji uchylono art. 62a, który przewidywał, że w przypadku zbycia przez KZN nieruchomości przekazanej do Zasobu przez Krajowy Ośrodek Wsparcia Rolnictwa lub Agencję Mienia Wojskowego, KZN wypłaca tym podmiotom rekompensatę w wysokości odpowiadającej 90% dochodu uzyskanego przez KZN ze zbycia tej nieruchomości. W związku z wprowadzeniem regulacji przewidującej przekazanie przez KZN 80% przychodów ze sprzedaży, oddanie w użytkowanie wieczyste lub dzierżawę nieruchomości będących z Zasobie, niezasadnym jest dalsze utrzymanie regulacji przewidującej przekazywanie 90% uzyskanego w ten sposób dochodu do Krajowego Ośrodka Wsparcia Rolnictwa lub Agencji Mienia Wojskowego. Zauważyć bowiem trzeba, że środki pozyskane przez KZN w ramach gospodarowania Zasobem powinny być przeznaczone na cele mieszkaniowe, w tym przede wszystkim na rozwój budownictwa pod wynajem. Zadanie to nie jest realizowane w przypadku gdy środki te są przekazywane do Krajowego Ośrodka Wsparcia Rolnictwa lub Agencji Mienia Wojskowego.</w:t>
      </w:r>
    </w:p>
    <w:p w:rsidR="00C268CB" w:rsidRPr="0023349B" w:rsidRDefault="00C268CB"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F41204" w:rsidRPr="0023349B">
        <w:rPr>
          <w:rFonts w:ascii="Times New Roman" w:hAnsi="Times New Roman" w:cs="Times New Roman"/>
          <w:u w:val="single"/>
        </w:rPr>
        <w:t>27</w:t>
      </w:r>
      <w:r w:rsidRPr="0023349B">
        <w:rPr>
          <w:rFonts w:ascii="Times New Roman" w:hAnsi="Times New Roman" w:cs="Times New Roman"/>
          <w:u w:val="single"/>
        </w:rPr>
        <w:t>: art. 133</w:t>
      </w:r>
    </w:p>
    <w:p w:rsidR="00C268CB" w:rsidRPr="0023349B" w:rsidRDefault="00C268CB" w:rsidP="0023349B">
      <w:pPr>
        <w:widowControl/>
        <w:suppressAutoHyphens w:val="0"/>
        <w:spacing w:after="360" w:line="360" w:lineRule="auto"/>
        <w:jc w:val="both"/>
        <w:rPr>
          <w:rFonts w:ascii="Times New Roman" w:hAnsi="Times New Roman" w:cs="Times New Roman"/>
        </w:rPr>
      </w:pPr>
      <w:r w:rsidRPr="0023349B">
        <w:rPr>
          <w:rFonts w:ascii="Times New Roman" w:hAnsi="Times New Roman" w:cs="Times New Roman"/>
        </w:rPr>
        <w:t>W związku ze zmianą sposobu finansowania funkcjonowania Krajowego Zasobu Nieruchomości, który ma być finansowany z dotacji pochodzącej z budżetu państwa, konieczne jest uchylenia art. 133, przewidującego finansowanie Krajowego Zasobu Nieruchomości z budżetu państwa do czasu osiągnięcia przez KZN przychodów niezbędnych do pokrycia kosztów jego funkcjonowania.</w:t>
      </w:r>
    </w:p>
    <w:p w:rsidR="00C268CB" w:rsidRPr="0023349B" w:rsidRDefault="00C268CB" w:rsidP="0023349B">
      <w:pPr>
        <w:spacing w:after="240" w:line="360" w:lineRule="auto"/>
        <w:jc w:val="both"/>
        <w:rPr>
          <w:rFonts w:ascii="Times New Roman" w:hAnsi="Times New Roman" w:cs="Times New Roman"/>
          <w:b/>
          <w:i/>
        </w:rPr>
      </w:pPr>
      <w:r w:rsidRPr="0023349B">
        <w:rPr>
          <w:rFonts w:ascii="Times New Roman" w:hAnsi="Times New Roman" w:cs="Times New Roman"/>
          <w:b/>
        </w:rPr>
        <w:t xml:space="preserve">Art. </w:t>
      </w:r>
      <w:r w:rsidR="0057314B" w:rsidRPr="0023349B">
        <w:rPr>
          <w:rFonts w:ascii="Times New Roman" w:hAnsi="Times New Roman" w:cs="Times New Roman"/>
          <w:b/>
        </w:rPr>
        <w:t xml:space="preserve">20 </w:t>
      </w:r>
      <w:r w:rsidRPr="0023349B">
        <w:rPr>
          <w:rFonts w:ascii="Times New Roman" w:hAnsi="Times New Roman" w:cs="Times New Roman"/>
          <w:b/>
        </w:rPr>
        <w:t>– Zmiany w ustawie o pomocy państwa w ponoszeniu wydatków mieszkaniowych w pierwszych latach najmu mieszkania</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Jak wskazano w</w:t>
      </w:r>
      <w:r w:rsidR="00193AD6" w:rsidRPr="0023349B">
        <w:rPr>
          <w:rFonts w:ascii="Times New Roman" w:hAnsi="Times New Roman" w:cs="Times New Roman"/>
        </w:rPr>
        <w:t xml:space="preserve"> </w:t>
      </w:r>
      <w:r w:rsidRPr="0023349B">
        <w:rPr>
          <w:rFonts w:ascii="Times New Roman" w:hAnsi="Times New Roman" w:cs="Times New Roman"/>
        </w:rPr>
        <w:t>części wprowadzającej, zmiany w ustawie o pomocy państwa w ponoszeniu wydatków mieszkaniowych w pierwszych latach najmu mieszkania (</w:t>
      </w:r>
      <w:r w:rsidRPr="0023349B">
        <w:rPr>
          <w:rFonts w:ascii="Times New Roman" w:hAnsi="Times New Roman" w:cs="Times New Roman"/>
          <w:b/>
        </w:rPr>
        <w:t xml:space="preserve">art. </w:t>
      </w:r>
      <w:r w:rsidR="0057314B" w:rsidRPr="0023349B">
        <w:rPr>
          <w:rFonts w:ascii="Times New Roman" w:hAnsi="Times New Roman" w:cs="Times New Roman"/>
          <w:b/>
        </w:rPr>
        <w:t xml:space="preserve">20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poszerzają zakres podmiotowy wsparcia udzielanego w formie dopłat do czynszów w programie „Mieszkanie na start” o podnajemców mieszkań – jeżeli stroną umowy podnajmu jest gmina, która wynajmuje mieszkanie wybudowane na zasadach programu bezpośrednio od inwestora, a także o najemców mieszkań znajdujących się w budynkach poddanym rewitalizacji, ale znajdujących się również poza obszarem Specjalnej Strefy Rewitalizacji. </w:t>
      </w:r>
    </w:p>
    <w:p w:rsidR="00C268CB" w:rsidRPr="0023349B" w:rsidRDefault="00C268CB" w:rsidP="0023349B">
      <w:pPr>
        <w:keepNext/>
        <w:keepLines/>
        <w:spacing w:after="240" w:line="360" w:lineRule="auto"/>
        <w:jc w:val="both"/>
        <w:rPr>
          <w:rFonts w:ascii="Times New Roman" w:hAnsi="Times New Roman" w:cs="Times New Roman"/>
        </w:rPr>
      </w:pPr>
      <w:r w:rsidRPr="0023349B">
        <w:rPr>
          <w:rFonts w:ascii="Times New Roman" w:hAnsi="Times New Roman" w:cs="Times New Roman"/>
        </w:rPr>
        <w:t>Wprowadzeniu tych rozwiązań służy:</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Zmiany 1</w:t>
      </w:r>
      <w:r w:rsidRPr="0023349B">
        <w:rPr>
          <w:rFonts w:ascii="Times New Roman" w:hAnsi="Times New Roman" w:cs="Times New Roman"/>
          <w:b/>
          <w:u w:val="single"/>
        </w:rPr>
        <w:t>–</w:t>
      </w:r>
      <w:r w:rsidRPr="0023349B">
        <w:rPr>
          <w:rFonts w:ascii="Times New Roman" w:hAnsi="Times New Roman" w:cs="Times New Roman"/>
          <w:u w:val="single"/>
        </w:rPr>
        <w:t>3: art. 2 pkt 6 lit. c, pkt 6 lit. d, pkt 9 i pkt 11, art. 3, art. 4 ust. 5 i zmiany 7, 11, 12 lit. b, 13, 16: art. 9 ust. 2, art. 14 ust. 3 pkt 1, art. 15 ust. 6, art. 17 ust. 3, art. 24</w:t>
      </w:r>
    </w:p>
    <w:p w:rsidR="00C268CB" w:rsidRPr="0023349B" w:rsidRDefault="00C268CB" w:rsidP="0023349B">
      <w:pPr>
        <w:numPr>
          <w:ilvl w:val="0"/>
          <w:numId w:val="40"/>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zmianę w </w:t>
      </w:r>
      <w:r w:rsidRPr="0023349B">
        <w:rPr>
          <w:rFonts w:ascii="Times New Roman" w:hAnsi="Times New Roman" w:cs="Times New Roman"/>
          <w:b/>
        </w:rPr>
        <w:t>art. 2 pkt 6 lit. c</w:t>
      </w:r>
      <w:r w:rsidRPr="0023349B">
        <w:rPr>
          <w:rFonts w:ascii="Times New Roman" w:hAnsi="Times New Roman" w:cs="Times New Roman"/>
        </w:rPr>
        <w:t xml:space="preserve"> poprzez zmianę jego brzmienia i dodanie w </w:t>
      </w:r>
      <w:r w:rsidRPr="0023349B">
        <w:rPr>
          <w:rFonts w:ascii="Times New Roman" w:hAnsi="Times New Roman" w:cs="Times New Roman"/>
          <w:b/>
        </w:rPr>
        <w:t>art. 2</w:t>
      </w:r>
      <w:r w:rsidRPr="0023349B">
        <w:rPr>
          <w:rFonts w:ascii="Times New Roman" w:hAnsi="Times New Roman" w:cs="Times New Roman"/>
        </w:rPr>
        <w:t xml:space="preserve"> </w:t>
      </w:r>
      <w:r w:rsidRPr="0023349B">
        <w:rPr>
          <w:rFonts w:ascii="Times New Roman" w:hAnsi="Times New Roman" w:cs="Times New Roman"/>
          <w:b/>
          <w:bCs/>
        </w:rPr>
        <w:t>w pkt 6</w:t>
      </w:r>
      <w:r w:rsidRPr="0023349B">
        <w:rPr>
          <w:rFonts w:ascii="Times New Roman" w:hAnsi="Times New Roman" w:cs="Times New Roman"/>
        </w:rPr>
        <w:t xml:space="preserve"> </w:t>
      </w:r>
      <w:r w:rsidRPr="0023349B">
        <w:rPr>
          <w:rFonts w:ascii="Times New Roman" w:hAnsi="Times New Roman" w:cs="Times New Roman"/>
          <w:b/>
        </w:rPr>
        <w:t>lit. d</w:t>
      </w:r>
      <w:r w:rsidRPr="0023349B">
        <w:rPr>
          <w:rFonts w:ascii="Times New Roman" w:hAnsi="Times New Roman" w:cs="Times New Roman"/>
        </w:rPr>
        <w:t xml:space="preserve"> (</w:t>
      </w:r>
      <w:r w:rsidRPr="0023349B">
        <w:rPr>
          <w:rFonts w:ascii="Times New Roman" w:hAnsi="Times New Roman" w:cs="Times New Roman"/>
          <w:b/>
        </w:rPr>
        <w:t xml:space="preserve">art. </w:t>
      </w:r>
      <w:r w:rsidR="007B544E" w:rsidRPr="0023349B">
        <w:rPr>
          <w:rFonts w:ascii="Times New Roman" w:hAnsi="Times New Roman" w:cs="Times New Roman"/>
          <w:b/>
        </w:rPr>
        <w:t xml:space="preserve">20 </w:t>
      </w:r>
      <w:r w:rsidRPr="0023349B">
        <w:rPr>
          <w:rFonts w:ascii="Times New Roman" w:hAnsi="Times New Roman" w:cs="Times New Roman"/>
          <w:b/>
        </w:rPr>
        <w:t xml:space="preserve">pkt 1 lit. a </w:t>
      </w:r>
      <w:proofErr w:type="spellStart"/>
      <w:r w:rsidR="00193AD6" w:rsidRPr="0023349B">
        <w:rPr>
          <w:rFonts w:ascii="Times New Roman" w:hAnsi="Times New Roman" w:cs="Times New Roman"/>
          <w:b/>
        </w:rPr>
        <w:t>tiret</w:t>
      </w:r>
      <w:proofErr w:type="spellEnd"/>
      <w:r w:rsidR="00193AD6" w:rsidRPr="0023349B">
        <w:rPr>
          <w:rFonts w:ascii="Times New Roman" w:hAnsi="Times New Roman" w:cs="Times New Roman"/>
          <w:b/>
        </w:rPr>
        <w:t xml:space="preserve"> pierwsze i drugie</w:t>
      </w:r>
      <w:r w:rsidRPr="0023349B">
        <w:rPr>
          <w:rFonts w:ascii="Times New Roman" w:hAnsi="Times New Roman" w:cs="Times New Roman"/>
        </w:rPr>
        <w:t xml:space="preserve">), która spowoduje rozszerzenie obszaru, na którym najemcom mieszkań znajdujących się w budynkach poddanym rewitalizacji przysługują dopłaty do czynszu. Obecnie taka możliwość dotyczy wyłącznie najemców mieszkań znajdujących się w budynkach poddanym rewitalizacji, położonych na obszarze Specjalnej Strefy Rewitalizacji (dalej: SSR). Zapis ten ogranicza stosowanie dopłat wobec najemców zamieszkujących budynki położone na obszarze gminy będącym w stanie kryzysowym, ale położonych poza SSR. Poza tym przepisy ustawy o rewitalizacji </w:t>
      </w:r>
      <w:r w:rsidRPr="0023349B">
        <w:rPr>
          <w:rFonts w:ascii="Times New Roman" w:hAnsi="Times New Roman" w:cs="Times New Roman"/>
          <w:i/>
          <w:iCs/>
        </w:rPr>
        <w:t>(art. 52 ust. 1</w:t>
      </w:r>
      <w:r w:rsidRPr="0023349B">
        <w:rPr>
          <w:rFonts w:ascii="Times New Roman" w:hAnsi="Times New Roman" w:cs="Times New Roman"/>
        </w:rPr>
        <w:t>) dopuszczają do końca 2023 r. realizację przedsięwzięć wynikających z programu zawierającego działania służące wyprowadzeniu obszaru zdegradowanego ze stanu kryzysowego, przyjmowanego uchwałą rady gminy (lokalny program rewitalizacji), bez uchwalania gminnego programu rewitalizacji, a w jego ramach nie przewiduje się wyodrębniania SSR. Oznacza to, że obecnie gminy prowadzące działania rewitalizacyjne na podstawie lokalnych programów rewitalizacji, nie będą mogły zaoferować mieszkańcom zamieszkujących wyremontowane budynki przystąpienia do programu dopłat do czynszu. Zaproponowana zmiana pozwoli na ubieganie się o dopłaty do czynszu najemcom mieszkań położonych na całym obszarze rewitalizacji oraz realizowanych do końca 2023 r. w ramach przedsięwzięć wynikających z programu zawierającego działania służące wyprowadzeniu obszaru zdegradowanego ze stanu kryzysowego, przyjmowanego uchwałą rady gminy;</w:t>
      </w:r>
    </w:p>
    <w:p w:rsidR="00C268CB" w:rsidRPr="0023349B" w:rsidRDefault="00C268CB" w:rsidP="0023349B">
      <w:pPr>
        <w:numPr>
          <w:ilvl w:val="0"/>
          <w:numId w:val="41"/>
        </w:numPr>
        <w:tabs>
          <w:tab w:val="left" w:pos="0"/>
        </w:tabs>
        <w:spacing w:after="240" w:line="360" w:lineRule="auto"/>
        <w:jc w:val="both"/>
        <w:rPr>
          <w:rFonts w:ascii="Times New Roman" w:hAnsi="Times New Roman" w:cs="Times New Roman"/>
        </w:rPr>
      </w:pPr>
      <w:r w:rsidRPr="0023349B">
        <w:rPr>
          <w:rFonts w:ascii="Times New Roman" w:hAnsi="Times New Roman" w:cs="Times New Roman"/>
          <w:b/>
        </w:rPr>
        <w:t>art. 2 pkt 9</w:t>
      </w:r>
      <w:r w:rsidRPr="0023349B">
        <w:rPr>
          <w:rFonts w:ascii="Times New Roman" w:hAnsi="Times New Roman" w:cs="Times New Roman"/>
        </w:rPr>
        <w:t xml:space="preserve"> ustawy zmiana definicji najemcy, poszerzająca obecny zakres definicyjny o podnajemców mieszkania lub osoby ubiegające się o zawarcie umowy podnajmu (</w:t>
      </w:r>
      <w:r w:rsidRPr="0023349B">
        <w:rPr>
          <w:rFonts w:ascii="Times New Roman" w:hAnsi="Times New Roman" w:cs="Times New Roman"/>
          <w:b/>
        </w:rPr>
        <w:t xml:space="preserve">art. </w:t>
      </w:r>
      <w:r w:rsidR="008C05E6" w:rsidRPr="0023349B">
        <w:rPr>
          <w:rFonts w:ascii="Times New Roman" w:hAnsi="Times New Roman" w:cs="Times New Roman"/>
          <w:b/>
        </w:rPr>
        <w:t xml:space="preserve">20 </w:t>
      </w:r>
      <w:r w:rsidRPr="0023349B">
        <w:rPr>
          <w:rFonts w:ascii="Times New Roman" w:hAnsi="Times New Roman" w:cs="Times New Roman"/>
          <w:b/>
        </w:rPr>
        <w:t xml:space="preserve">pkt 1 lit. </w:t>
      </w:r>
      <w:r w:rsidR="00193AD6" w:rsidRPr="0023349B">
        <w:rPr>
          <w:rFonts w:ascii="Times New Roman" w:hAnsi="Times New Roman" w:cs="Times New Roman"/>
          <w:b/>
        </w:rPr>
        <w:t>b</w:t>
      </w:r>
      <w:r w:rsidRPr="0023349B">
        <w:rPr>
          <w:rFonts w:ascii="Times New Roman" w:hAnsi="Times New Roman" w:cs="Times New Roman"/>
        </w:rPr>
        <w:t xml:space="preserve">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w:t>
      </w:r>
    </w:p>
    <w:p w:rsidR="00C268CB" w:rsidRPr="0023349B" w:rsidRDefault="00C268CB" w:rsidP="0023349B">
      <w:pPr>
        <w:numPr>
          <w:ilvl w:val="0"/>
          <w:numId w:val="41"/>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art. 2 pkt 11</w:t>
      </w:r>
      <w:r w:rsidRPr="0023349B">
        <w:rPr>
          <w:rFonts w:ascii="Times New Roman" w:hAnsi="Times New Roman" w:cs="Times New Roman"/>
        </w:rPr>
        <w:t xml:space="preserve"> modyfikacja pojęcia pierwszego zasiedlenia lokalu, w celu objęcia tym zakresem – na potrzeby programu dopłat do czynszów – przypadku oddania do używania mieszkania podnajemcy, jako pierwszemu faktycznemu użytkownikowi po zakończeniu inwestycji, na podstawie umowy zawartej z gminą, jeżeli gmina wynajmuje mieszkanie bezpośrednio od inwestora lub od podmiotu, który nabył to mieszkanie w celu najmu (</w:t>
      </w:r>
      <w:r w:rsidRPr="0023349B">
        <w:rPr>
          <w:rFonts w:ascii="Times New Roman" w:hAnsi="Times New Roman" w:cs="Times New Roman"/>
          <w:b/>
        </w:rPr>
        <w:t xml:space="preserve">art. </w:t>
      </w:r>
      <w:r w:rsidR="008C05E6" w:rsidRPr="0023349B">
        <w:rPr>
          <w:rFonts w:ascii="Times New Roman" w:hAnsi="Times New Roman" w:cs="Times New Roman"/>
          <w:b/>
        </w:rPr>
        <w:t xml:space="preserve">20 </w:t>
      </w:r>
      <w:r w:rsidRPr="0023349B">
        <w:rPr>
          <w:rFonts w:ascii="Times New Roman" w:hAnsi="Times New Roman" w:cs="Times New Roman"/>
          <w:b/>
        </w:rPr>
        <w:t>pkt 1 lit</w:t>
      </w:r>
      <w:r w:rsidR="00193AD6" w:rsidRPr="0023349B">
        <w:rPr>
          <w:rFonts w:ascii="Times New Roman" w:hAnsi="Times New Roman" w:cs="Times New Roman"/>
          <w:b/>
        </w:rPr>
        <w:t>.</w:t>
      </w:r>
      <w:r w:rsidRPr="0023349B">
        <w:rPr>
          <w:rFonts w:ascii="Times New Roman" w:hAnsi="Times New Roman" w:cs="Times New Roman"/>
          <w:b/>
        </w:rPr>
        <w:t xml:space="preserve"> </w:t>
      </w:r>
      <w:r w:rsidR="00193AD6" w:rsidRPr="0023349B">
        <w:rPr>
          <w:rFonts w:ascii="Times New Roman" w:hAnsi="Times New Roman" w:cs="Times New Roman"/>
          <w:b/>
        </w:rPr>
        <w:t>c</w:t>
      </w:r>
      <w:r w:rsidRPr="0023349B">
        <w:rPr>
          <w:rFonts w:ascii="Times New Roman" w:hAnsi="Times New Roman" w:cs="Times New Roman"/>
        </w:rPr>
        <w:t xml:space="preserve"> </w:t>
      </w:r>
      <w:r w:rsidRPr="0023349B">
        <w:rPr>
          <w:rFonts w:ascii="Times New Roman" w:hAnsi="Times New Roman" w:cs="Times New Roman"/>
          <w:b/>
        </w:rPr>
        <w:t>projektu ustawy</w:t>
      </w:r>
      <w:r w:rsidRPr="0023349B">
        <w:rPr>
          <w:rFonts w:ascii="Times New Roman" w:hAnsi="Times New Roman" w:cs="Times New Roman"/>
        </w:rPr>
        <w:t>);</w:t>
      </w:r>
    </w:p>
    <w:p w:rsidR="00C268CB" w:rsidRPr="0023349B" w:rsidRDefault="00C268CB" w:rsidP="0023349B">
      <w:pPr>
        <w:numPr>
          <w:ilvl w:val="0"/>
          <w:numId w:val="41"/>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art. 3</w:t>
      </w:r>
      <w:r w:rsidRPr="0023349B">
        <w:rPr>
          <w:rFonts w:ascii="Times New Roman" w:hAnsi="Times New Roman" w:cs="Times New Roman"/>
        </w:rPr>
        <w:t xml:space="preserve"> ustawy bezpośrednie poszerzenie zakresu stosowania dopłat do czynszów o podnajemców mieszkań (</w:t>
      </w:r>
      <w:r w:rsidRPr="0023349B">
        <w:rPr>
          <w:rFonts w:ascii="Times New Roman" w:hAnsi="Times New Roman" w:cs="Times New Roman"/>
          <w:b/>
        </w:rPr>
        <w:t xml:space="preserve">art. </w:t>
      </w:r>
      <w:r w:rsidR="008C05E6" w:rsidRPr="0023349B">
        <w:rPr>
          <w:rFonts w:ascii="Times New Roman" w:hAnsi="Times New Roman" w:cs="Times New Roman"/>
          <w:b/>
        </w:rPr>
        <w:t xml:space="preserve">20 </w:t>
      </w:r>
      <w:r w:rsidRPr="0023349B">
        <w:rPr>
          <w:rFonts w:ascii="Times New Roman" w:hAnsi="Times New Roman" w:cs="Times New Roman"/>
          <w:b/>
        </w:rPr>
        <w:t>pkt 2</w:t>
      </w:r>
      <w:r w:rsidRPr="0023349B">
        <w:rPr>
          <w:rFonts w:ascii="Times New Roman" w:hAnsi="Times New Roman" w:cs="Times New Roman"/>
        </w:rPr>
        <w:t xml:space="preserve">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w:t>
      </w:r>
    </w:p>
    <w:p w:rsidR="00C268CB" w:rsidRPr="0023349B" w:rsidRDefault="00C268CB" w:rsidP="0023349B">
      <w:pPr>
        <w:numPr>
          <w:ilvl w:val="0"/>
          <w:numId w:val="41"/>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art. 4 ust. 5</w:t>
      </w:r>
      <w:r w:rsidRPr="0023349B">
        <w:rPr>
          <w:rFonts w:ascii="Times New Roman" w:hAnsi="Times New Roman" w:cs="Times New Roman"/>
        </w:rPr>
        <w:t xml:space="preserve"> ustawy zawężenie zasady informowania przez gminę inwestora o wstrzymaniu wypłaty dopłat dla najemcy do przypadku dopłat uzyskiwanych przez najemcę użytkującego mieszkanie na podstawie umowy z inwestorem (</w:t>
      </w:r>
      <w:r w:rsidRPr="0023349B">
        <w:rPr>
          <w:rFonts w:ascii="Times New Roman" w:hAnsi="Times New Roman" w:cs="Times New Roman"/>
          <w:b/>
        </w:rPr>
        <w:t xml:space="preserve">art. </w:t>
      </w:r>
      <w:r w:rsidR="008C05E6" w:rsidRPr="0023349B">
        <w:rPr>
          <w:rFonts w:ascii="Times New Roman" w:hAnsi="Times New Roman" w:cs="Times New Roman"/>
          <w:b/>
        </w:rPr>
        <w:t xml:space="preserve">20 </w:t>
      </w:r>
      <w:r w:rsidRPr="0023349B">
        <w:rPr>
          <w:rFonts w:ascii="Times New Roman" w:hAnsi="Times New Roman" w:cs="Times New Roman"/>
          <w:b/>
        </w:rPr>
        <w:t>pkt 3</w:t>
      </w:r>
      <w:r w:rsidRPr="0023349B">
        <w:rPr>
          <w:rFonts w:ascii="Times New Roman" w:hAnsi="Times New Roman" w:cs="Times New Roman"/>
        </w:rPr>
        <w:t xml:space="preserve">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Zasada informowania inwestora byłaby ograniczona do obecnego zakresu beneficjentów programu, ponieważ w przypadku podnajmu inwestor otrzymywał będzie czynsz bezpośrednio od gminy. Ewentualne skutki wstrzymania beneficjentowi programu dopłat do czynszu odczuje gmina, posiadająca – jako organ właściwy – wiedzę o tym fakcie;</w:t>
      </w:r>
    </w:p>
    <w:p w:rsidR="00C268CB" w:rsidRPr="0023349B" w:rsidRDefault="00C268CB" w:rsidP="0023349B">
      <w:pPr>
        <w:numPr>
          <w:ilvl w:val="0"/>
          <w:numId w:val="42"/>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9 ust. 2, art. 14 ust. 3 pkt 1, art. 15 ust. 6, art. 17 ust. 3, art. 24</w:t>
      </w:r>
      <w:r w:rsidRPr="0023349B">
        <w:rPr>
          <w:rFonts w:ascii="Times New Roman" w:hAnsi="Times New Roman" w:cs="Times New Roman"/>
        </w:rPr>
        <w:t xml:space="preserve"> ustawy stosowne modyfikacje lub odniesienia pojęciowe uwzględniające nowy przypadek, polegające m.in. na uzupełnieniu przepisu o przypadek podnajemcy lub na zamianie pojęć na bardziej ogólne sformułowania (np. „wynajmujący” w miejsce inwestora w celu objęcia przypadku, gdy stroną umowy najmu jest gmina) – </w:t>
      </w:r>
      <w:r w:rsidRPr="0023349B">
        <w:rPr>
          <w:rFonts w:ascii="Times New Roman" w:hAnsi="Times New Roman" w:cs="Times New Roman"/>
          <w:b/>
        </w:rPr>
        <w:t xml:space="preserve">art. </w:t>
      </w:r>
      <w:r w:rsidR="008C05E6" w:rsidRPr="0023349B">
        <w:rPr>
          <w:rFonts w:ascii="Times New Roman" w:hAnsi="Times New Roman" w:cs="Times New Roman"/>
          <w:b/>
        </w:rPr>
        <w:t xml:space="preserve">20 </w:t>
      </w:r>
      <w:r w:rsidRPr="0023349B">
        <w:rPr>
          <w:rFonts w:ascii="Times New Roman" w:hAnsi="Times New Roman" w:cs="Times New Roman"/>
          <w:b/>
        </w:rPr>
        <w:t xml:space="preserve">pkt 7, 11, 12, 13, 16 projektu </w:t>
      </w:r>
      <w:r w:rsidRPr="0023349B">
        <w:rPr>
          <w:rFonts w:ascii="Times New Roman" w:hAnsi="Times New Roman" w:cs="Times New Roman"/>
          <w:b/>
          <w:i/>
        </w:rPr>
        <w:t>ustawy</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Zmiany 4: art. 7 oraz zmiany 8 i 9 lit. c oraz lit.</w:t>
      </w:r>
      <w:r w:rsidR="00193AD6" w:rsidRPr="0023349B">
        <w:rPr>
          <w:rFonts w:ascii="Times New Roman" w:hAnsi="Times New Roman" w:cs="Times New Roman"/>
          <w:u w:val="single"/>
        </w:rPr>
        <w:t xml:space="preserve"> </w:t>
      </w:r>
      <w:r w:rsidRPr="0023349B">
        <w:rPr>
          <w:rFonts w:ascii="Times New Roman" w:hAnsi="Times New Roman" w:cs="Times New Roman"/>
          <w:u w:val="single"/>
        </w:rPr>
        <w:t>d, 14, 16: art. 12 ust. 2 pkt 2a, art. 13 ust. 4 oraz ust. 6 i 7, art. 23 ust. 1 i 2, art. 31 ust. 5</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Ważną grupą rozwiązań związanych z propozycją objęcia dopłatami do czynszu podnajemców mieszkania byłby – stosowany na zasadach wyjątku – brak obowiązku posiadania przez podnajemców mieszkań od gminy „zdolności czynszowej” (</w:t>
      </w:r>
      <w:r w:rsidRPr="0023349B">
        <w:rPr>
          <w:rFonts w:ascii="Times New Roman" w:hAnsi="Times New Roman" w:cs="Times New Roman"/>
          <w:b/>
        </w:rPr>
        <w:t xml:space="preserve">art. </w:t>
      </w:r>
      <w:r w:rsidR="008C05E6" w:rsidRPr="0023349B">
        <w:rPr>
          <w:rFonts w:ascii="Times New Roman" w:hAnsi="Times New Roman" w:cs="Times New Roman"/>
          <w:b/>
        </w:rPr>
        <w:t xml:space="preserve">20 </w:t>
      </w:r>
      <w:r w:rsidRPr="0023349B">
        <w:rPr>
          <w:rFonts w:ascii="Times New Roman" w:hAnsi="Times New Roman" w:cs="Times New Roman"/>
          <w:b/>
        </w:rPr>
        <w:t>pkt 4</w:t>
      </w:r>
      <w:r w:rsidRPr="0023349B">
        <w:rPr>
          <w:rFonts w:ascii="Times New Roman" w:hAnsi="Times New Roman" w:cs="Times New Roman"/>
        </w:rPr>
        <w:t xml:space="preserve">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Propozycja ta uwzględnia fakt, że obowiązek bieżącego pokrywania opłat czynszowych dla inwestora w całości będzie spoczywał w tym przypadku na gminie, a więc ryzyko zaległości z punktu widzenia inwestora będzie bliskie zeru. Jednocześnie, w stosunku do grupy podnajemców, będzie to dodatkowa forma preferencji w dostępie do programu – warunki minimalnego dochodu lub minimalnej kaucji (alternatywne formy zdefiniowania „zdolności czynszowej”) nie będą w tych przypadkach musiały obejmować użytkownika mieszkania.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Gmina otrzyma również dodatkowe narzędzie pomocy lokatorom o dzisiaj dobrej, ale z różnych przyczyn niepewnej sytuacji dochodowej. Uzasadnienie dla braku bezwzględnego zastosowania warunku posiadania przez najemcę zdolności czynszowej może dotyczyć np. byłych lokatorów mieszkaniowego zasobu gminy, którym gmina zamierza zaoferować nowe lokale /np. łańcuch przeprowadzek/).</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Dodatkowo z obecnego brzmienia art. 7 (nowego art. 7 ust. 1) w związku z przeprowadzoną analizą obecnych przepisów proponuje się uchylenie pkt 6. Uchylany przepis odwołuje się do przepisów powszechnie obowiązujących (akt prawa miejscowego), ponadto nie powoduje skutków prawnych. Niewskazanie kryteriów pierwszeństwa w umowie między inwestorem a gminą nie będzie miało wpływu na zawieranie umów najmu ani na uprawnienia najemców do dopłat. Ponadto należy zauważyć, że art. 7 określa minimalny zakres umowy. Jeżeli strony umowy uznają za niezbędne zawarcie w niej innych elementów, np. kryteriów pierwszeństwa określonych w uchwale rady gminy, mogą to uczynić zgodnie z zasadą swobody umów. Wprowadzona zmiana nie będzie miała wpływu na zawarte już umowy, wobec czego nie przewiduje się wprowadzenia przepisów przejściowych.</w:t>
      </w:r>
    </w:p>
    <w:p w:rsidR="00C268CB" w:rsidRPr="0023349B" w:rsidRDefault="00C268CB" w:rsidP="0023349B">
      <w:pPr>
        <w:spacing w:after="240" w:line="360" w:lineRule="auto"/>
        <w:jc w:val="both"/>
        <w:rPr>
          <w:rFonts w:ascii="Times New Roman" w:hAnsi="Times New Roman" w:cs="Times New Roman"/>
          <w:u w:val="single"/>
        </w:rPr>
      </w:pPr>
      <w:r w:rsidRPr="0023349B">
        <w:rPr>
          <w:rFonts w:ascii="Times New Roman" w:hAnsi="Times New Roman" w:cs="Times New Roman"/>
          <w:u w:val="single"/>
        </w:rPr>
        <w:t>Zmiana 5 i 6: art. 7a i art. 8</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 projekcie ustawy proponuje się wprowadzenie rozwiązań pozwalających w większym stopniu powiązać sytuację osoby nadal będącej posiadaczem książeczki mieszkaniowej z możliwością taniego wynajmu nowego mieszkania (w przyszłości własnego, tj. również w modelu dojścia do własności) przez uwzględnienie właścicieli książeczek mieszkaniowych w kryteriach pierwszeństwa przy przeprowadzaniu naboru wniosków o zawarcie umowy najmu mieszkania w programie „Mieszkanie na Start”. W związku z tym proponuje się wprowadzić do ustawy z dnia 20 lipca 2018 r. o pomocy państwa w ponoszeniu wydatków mieszkaniowych w pierwszych latach najmu mieszkania (Dz. U. z 2020 r. poz. 551) obowiązkowego kryterium pierwszeństwa (jako art. 7a). Tym kryterium byłoby posiadanie przez kandydata na najemcę mieszkania książeczki mieszkaniowej z prawem do premii gwarancyjnej. Zatem gmina określając w drodze uchwały rady gminy, stanowiącej akt prawa miejscowego, m.in. zasady przeprowadzania naboru wniosków o zawarcie umowy najmu mieszkania, uwzględniałaby w niej zawsze nowe kryterium pierwszeństwa. Ponadto gmina byłaby zobowiązana do określenia wartości punktowej temu kryterium, aby musiało podlegać ocenie w procesie naboru wniosków o zawarcie umowy najmu mieszkania. Jednocześnie brak posiadania książeczki mieszkaniowej nie dyskwalifikowałby kandydata na najemcę z możliwości zawarcia umowy najmu, jedynie nie dawałby mu dodatkowych punktów w procesie naboru.</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Wprowadzenie obowiązkowego kryterium pierwszeństwa spowodowało konieczność dookreślenia, że pozostałe wymienione w art. 8 ust. 2 ustawy kryteria pierwszeństwa, spośród których gmina może wybierać przy przeprowadzaniu naboru wniosków o zawarciu umowy najmu mieszkań, stały się dodatkowymi kryteriami pierwszeństwa. Zmiana ta polegająca na zastąpieniu dotychczasowych „kryteriów pierwszeństwa” przez „dodatkowe kryteria pierwszeństwa” spowodowała konieczność zmiany brzmienia art. 8 ust. 1 pkt 1, wstępu do wyliczenia w ust. 2 oraz ust. 3 (art. </w:t>
      </w:r>
      <w:r w:rsidR="008C05E6" w:rsidRPr="0023349B">
        <w:rPr>
          <w:rFonts w:ascii="Times New Roman" w:hAnsi="Times New Roman" w:cs="Times New Roman"/>
        </w:rPr>
        <w:t xml:space="preserve">20 </w:t>
      </w:r>
      <w:r w:rsidRPr="0023349B">
        <w:rPr>
          <w:rFonts w:ascii="Times New Roman" w:hAnsi="Times New Roman" w:cs="Times New Roman"/>
        </w:rPr>
        <w:t>pkt 6 lit. a</w:t>
      </w:r>
      <w:r w:rsidR="00C47C60" w:rsidRPr="0023349B">
        <w:rPr>
          <w:rFonts w:ascii="Times New Roman" w:hAnsi="Times New Roman" w:cs="Times New Roman"/>
        </w:rPr>
        <w:t>–</w:t>
      </w:r>
      <w:r w:rsidRPr="0023349B">
        <w:rPr>
          <w:rFonts w:ascii="Times New Roman" w:hAnsi="Times New Roman" w:cs="Times New Roman"/>
        </w:rPr>
        <w:t>c projektu ustawy).</w:t>
      </w:r>
    </w:p>
    <w:p w:rsidR="00C268CB" w:rsidRPr="0023349B" w:rsidRDefault="00C268CB" w:rsidP="0023349B">
      <w:pPr>
        <w:keepNext/>
        <w:keepLines/>
        <w:spacing w:after="240" w:line="360" w:lineRule="auto"/>
        <w:jc w:val="both"/>
        <w:rPr>
          <w:rFonts w:ascii="Times New Roman" w:hAnsi="Times New Roman" w:cs="Times New Roman"/>
          <w:u w:val="single"/>
        </w:rPr>
      </w:pPr>
      <w:r w:rsidRPr="0023349B">
        <w:rPr>
          <w:rFonts w:ascii="Times New Roman" w:hAnsi="Times New Roman" w:cs="Times New Roman"/>
          <w:u w:val="single"/>
        </w:rPr>
        <w:t>Zmiany 8, 10 lit. a oraz lit. b, 11 i 12 lit. a oraz 14: art. 11, 13 ust. 1 i ust. 1a, 14 ust. 3 pkt 1, 15 ust. 4 i 19 ust.4</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Propozycje zmian w </w:t>
      </w:r>
      <w:r w:rsidRPr="0023349B">
        <w:rPr>
          <w:rFonts w:ascii="Times New Roman" w:hAnsi="Times New Roman" w:cs="Times New Roman"/>
          <w:b/>
        </w:rPr>
        <w:t>art.</w:t>
      </w:r>
      <w:r w:rsidRPr="0023349B">
        <w:rPr>
          <w:rFonts w:ascii="Times New Roman" w:hAnsi="Times New Roman" w:cs="Times New Roman"/>
        </w:rPr>
        <w:t xml:space="preserve"> </w:t>
      </w:r>
      <w:r w:rsidRPr="0023349B">
        <w:rPr>
          <w:rFonts w:ascii="Times New Roman" w:hAnsi="Times New Roman" w:cs="Times New Roman"/>
          <w:b/>
        </w:rPr>
        <w:t>11</w:t>
      </w:r>
      <w:r w:rsidRPr="0023349B">
        <w:rPr>
          <w:rFonts w:ascii="Times New Roman" w:hAnsi="Times New Roman" w:cs="Times New Roman"/>
        </w:rPr>
        <w:t xml:space="preserve"> i </w:t>
      </w:r>
      <w:r w:rsidRPr="0023349B">
        <w:rPr>
          <w:rFonts w:ascii="Times New Roman" w:hAnsi="Times New Roman" w:cs="Times New Roman"/>
          <w:b/>
        </w:rPr>
        <w:t>13–15</w:t>
      </w:r>
      <w:r w:rsidRPr="0023349B">
        <w:rPr>
          <w:rFonts w:ascii="Times New Roman" w:hAnsi="Times New Roman" w:cs="Times New Roman"/>
        </w:rPr>
        <w:t xml:space="preserve"> </w:t>
      </w:r>
      <w:r w:rsidRPr="0023349B">
        <w:rPr>
          <w:rFonts w:ascii="Times New Roman" w:hAnsi="Times New Roman" w:cs="Times New Roman"/>
          <w:i/>
        </w:rPr>
        <w:t>ustawy</w:t>
      </w:r>
      <w:r w:rsidR="00F2188C" w:rsidRPr="0023349B">
        <w:rPr>
          <w:rFonts w:ascii="Times New Roman" w:hAnsi="Times New Roman" w:cs="Times New Roman"/>
          <w:i/>
        </w:rPr>
        <w:t xml:space="preserve"> </w:t>
      </w:r>
      <w:proofErr w:type="spellStart"/>
      <w:r w:rsidR="00F2188C" w:rsidRPr="0023349B">
        <w:rPr>
          <w:rFonts w:ascii="Times New Roman" w:hAnsi="Times New Roman" w:cs="Times New Roman"/>
          <w:i/>
        </w:rPr>
        <w:t>MnS</w:t>
      </w:r>
      <w:proofErr w:type="spellEnd"/>
      <w:r w:rsidRPr="0023349B">
        <w:rPr>
          <w:rFonts w:ascii="Times New Roman" w:hAnsi="Times New Roman" w:cs="Times New Roman"/>
        </w:rPr>
        <w:t xml:space="preserve"> dotyczą procedury wyboru najemcy oraz zawarcia umowy najmu mieszkania. Uwzględniają one dwutorowy, po wprowadzeniu przypadku podnajmu mieszkania, tryb kwalifikacji i zawierania umów (</w:t>
      </w:r>
      <w:r w:rsidRPr="0023349B">
        <w:rPr>
          <w:rFonts w:ascii="Times New Roman" w:hAnsi="Times New Roman" w:cs="Times New Roman"/>
          <w:b/>
        </w:rPr>
        <w:t xml:space="preserve">art. </w:t>
      </w:r>
      <w:r w:rsidR="009852F5" w:rsidRPr="0023349B">
        <w:rPr>
          <w:rFonts w:ascii="Times New Roman" w:hAnsi="Times New Roman" w:cs="Times New Roman"/>
          <w:b/>
        </w:rPr>
        <w:t>20</w:t>
      </w:r>
      <w:r w:rsidRPr="0023349B">
        <w:rPr>
          <w:rFonts w:ascii="Times New Roman" w:hAnsi="Times New Roman" w:cs="Times New Roman"/>
          <w:b/>
        </w:rPr>
        <w:t xml:space="preserve"> pkt 8,</w:t>
      </w:r>
      <w:r w:rsidRPr="0023349B">
        <w:rPr>
          <w:rFonts w:ascii="Times New Roman" w:hAnsi="Times New Roman" w:cs="Times New Roman"/>
        </w:rPr>
        <w:t xml:space="preserve"> 10</w:t>
      </w:r>
      <w:r w:rsidRPr="0023349B">
        <w:rPr>
          <w:rFonts w:ascii="Times New Roman" w:hAnsi="Times New Roman" w:cs="Times New Roman"/>
          <w:b/>
        </w:rPr>
        <w:t xml:space="preserve"> lit. a oraz lit. b, 11, 12 lit. a projektu </w:t>
      </w:r>
      <w:r w:rsidRPr="0023349B">
        <w:rPr>
          <w:rFonts w:ascii="Times New Roman" w:hAnsi="Times New Roman" w:cs="Times New Roman"/>
          <w:b/>
          <w:i/>
        </w:rPr>
        <w:t>ustawy</w:t>
      </w:r>
      <w:r w:rsidRPr="0023349B">
        <w:rPr>
          <w:rFonts w:ascii="Times New Roman" w:hAnsi="Times New Roman" w:cs="Times New Roman"/>
        </w:rPr>
        <w:t xml:space="preserve">). W powiązaniu z trybem, jaki w stosunku do zasad użytkowania mieszkań wynajmowanych przez gminę w celu podnajmu wprowadza art. 2 projektu ustawy, dodany w </w:t>
      </w:r>
      <w:r w:rsidRPr="0023349B">
        <w:rPr>
          <w:rFonts w:ascii="Times New Roman" w:hAnsi="Times New Roman" w:cs="Times New Roman"/>
          <w:b/>
        </w:rPr>
        <w:t>art. 13</w:t>
      </w:r>
      <w:r w:rsidRPr="0023349B">
        <w:rPr>
          <w:rFonts w:ascii="Times New Roman" w:hAnsi="Times New Roman" w:cs="Times New Roman"/>
        </w:rPr>
        <w:t xml:space="preserve"> przepis </w:t>
      </w:r>
      <w:r w:rsidRPr="0023349B">
        <w:rPr>
          <w:rFonts w:ascii="Times New Roman" w:hAnsi="Times New Roman" w:cs="Times New Roman"/>
          <w:b/>
        </w:rPr>
        <w:t>ust. 1a</w:t>
      </w:r>
      <w:r w:rsidRPr="0023349B">
        <w:rPr>
          <w:rFonts w:ascii="Times New Roman" w:hAnsi="Times New Roman" w:cs="Times New Roman"/>
        </w:rPr>
        <w:t xml:space="preserve"> uchylał będzie w stosunku do podnajmowanych mieszka</w:t>
      </w:r>
      <w:r w:rsidR="00C47C60" w:rsidRPr="0023349B">
        <w:rPr>
          <w:rFonts w:ascii="Times New Roman" w:hAnsi="Times New Roman" w:cs="Times New Roman"/>
        </w:rPr>
        <w:t>ń ogólne zasady art. 20 ust. 2b</w:t>
      </w:r>
      <w:r w:rsidRPr="0023349B">
        <w:rPr>
          <w:rFonts w:ascii="Times New Roman" w:hAnsi="Times New Roman" w:cs="Times New Roman"/>
          <w:b/>
        </w:rPr>
        <w:t>–</w:t>
      </w:r>
      <w:r w:rsidRPr="0023349B">
        <w:rPr>
          <w:rFonts w:ascii="Times New Roman" w:hAnsi="Times New Roman" w:cs="Times New Roman"/>
        </w:rPr>
        <w:t xml:space="preserve">2c </w:t>
      </w:r>
      <w:r w:rsidRPr="0023349B">
        <w:rPr>
          <w:rFonts w:ascii="Times New Roman" w:hAnsi="Times New Roman" w:cs="Times New Roman"/>
          <w:i/>
        </w:rPr>
        <w:t>ustawy o ochronie praw lokatorów</w:t>
      </w:r>
      <w:r w:rsidRPr="0023349B">
        <w:rPr>
          <w:rFonts w:ascii="Times New Roman" w:hAnsi="Times New Roman" w:cs="Times New Roman"/>
        </w:rPr>
        <w:t xml:space="preserve">. W związku z podnajmem tych mieszkań nie będą musiały być pobierane stawki czynszu obowiązujące stawkom w mieszkaniowym zasobie gminy, a mieszkania nie będą objęte obowiązkiem odpowiedniego stosowania przepisów dotyczących lokali w mieszkaniowym zasobie gminy. Wyjątkiem od tej zasady będzie oddanie do użytkowania mieszkania na zasadach podnajmu od gminy, jeżeli lokal został wybudowany w ramach partycypacji gminy z prawem podnajmu, na zasadach programu wsparcia budownictwa dla najuboższych, objętego bezzwrotnym dofinansowaniem z Funduszu Dopłat.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Ponadto, w przypadku dopłat wypłacanych najemcom, którzy zawarli umowy najmu, wydłuża się termin</w:t>
      </w:r>
      <w:r w:rsidRPr="0023349B">
        <w:rPr>
          <w:rFonts w:ascii="Times New Roman" w:eastAsia="Times New Roman" w:hAnsi="Times New Roman" w:cs="Times New Roman"/>
        </w:rPr>
        <w:t xml:space="preserve"> przekazywania dopłaty na rachunek inwestora do 5 dni roboczych od dnia otrzymania środków z Banku Gospodarstwa Krajowego.</w:t>
      </w:r>
      <w:r w:rsidRPr="0023349B">
        <w:rPr>
          <w:rFonts w:ascii="Times New Roman" w:hAnsi="Times New Roman" w:cs="Times New Roman"/>
        </w:rPr>
        <w:t xml:space="preserve"> </w:t>
      </w:r>
    </w:p>
    <w:p w:rsidR="000B4247" w:rsidRPr="0023349B" w:rsidRDefault="00E72A2A" w:rsidP="0023349B">
      <w:pPr>
        <w:widowControl/>
        <w:suppressAutoHyphens w:val="0"/>
        <w:spacing w:before="120" w:after="240" w:line="360" w:lineRule="auto"/>
        <w:jc w:val="both"/>
        <w:rPr>
          <w:rStyle w:val="Kkursywa"/>
          <w:rFonts w:ascii="Times New Roman" w:hAnsi="Times New Roman" w:cs="Times New Roman"/>
          <w:b/>
          <w:i w:val="0"/>
        </w:rPr>
      </w:pPr>
      <w:bookmarkStart w:id="11" w:name="mip39180669"/>
      <w:bookmarkStart w:id="12" w:name="mip39180671"/>
      <w:bookmarkStart w:id="13" w:name="mip39180672"/>
      <w:bookmarkStart w:id="14" w:name="mip39180673"/>
      <w:bookmarkStart w:id="15" w:name="mip39180674"/>
      <w:bookmarkStart w:id="16" w:name="mip39180675"/>
      <w:bookmarkStart w:id="17" w:name="mip39180676"/>
      <w:bookmarkEnd w:id="11"/>
      <w:bookmarkEnd w:id="12"/>
      <w:bookmarkEnd w:id="13"/>
      <w:bookmarkEnd w:id="14"/>
      <w:bookmarkEnd w:id="15"/>
      <w:bookmarkEnd w:id="16"/>
      <w:bookmarkEnd w:id="17"/>
      <w:r w:rsidRPr="0023349B">
        <w:rPr>
          <w:rStyle w:val="Kkursywa"/>
          <w:rFonts w:ascii="Times New Roman" w:hAnsi="Times New Roman" w:cs="Times New Roman"/>
          <w:b/>
          <w:i w:val="0"/>
        </w:rPr>
        <w:t xml:space="preserve">Art. </w:t>
      </w:r>
      <w:r w:rsidR="009852F5" w:rsidRPr="0023349B">
        <w:rPr>
          <w:rStyle w:val="Kkursywa"/>
          <w:rFonts w:ascii="Times New Roman" w:hAnsi="Times New Roman" w:cs="Times New Roman"/>
          <w:b/>
          <w:i w:val="0"/>
        </w:rPr>
        <w:t>21</w:t>
      </w:r>
      <w:r w:rsidRPr="0023349B">
        <w:rPr>
          <w:rStyle w:val="Kkursywa"/>
          <w:rFonts w:ascii="Times New Roman" w:hAnsi="Times New Roman" w:cs="Times New Roman"/>
          <w:b/>
          <w:i w:val="0"/>
        </w:rPr>
        <w:t xml:space="preserve"> </w:t>
      </w:r>
      <w:r w:rsidR="009852F5" w:rsidRPr="0023349B">
        <w:rPr>
          <w:rStyle w:val="Kkursywa"/>
          <w:rFonts w:ascii="Times New Roman" w:hAnsi="Times New Roman" w:cs="Times New Roman"/>
          <w:b/>
          <w:i w:val="0"/>
        </w:rPr>
        <w:t>– Z</w:t>
      </w:r>
      <w:r w:rsidRPr="0023349B">
        <w:rPr>
          <w:rStyle w:val="Kkursywa"/>
          <w:rFonts w:ascii="Times New Roman" w:hAnsi="Times New Roman" w:cs="Times New Roman"/>
          <w:b/>
          <w:i w:val="0"/>
        </w:rPr>
        <w:t>miany w ustawie z dnia 13 lutego 2020 r. o zmianie ustawy – Prawo budowlane oraz niektórych innych ustaw</w:t>
      </w:r>
    </w:p>
    <w:p w:rsidR="00BB210A" w:rsidRPr="0023349B" w:rsidRDefault="003817FD" w:rsidP="0023349B">
      <w:pPr>
        <w:widowControl/>
        <w:suppressAutoHyphens w:val="0"/>
        <w:spacing w:before="120" w:after="120" w:line="360" w:lineRule="auto"/>
        <w:jc w:val="both"/>
        <w:rPr>
          <w:rFonts w:ascii="Times New Roman" w:hAnsi="Times New Roman" w:cs="Times New Roman"/>
        </w:rPr>
      </w:pPr>
      <w:r w:rsidRPr="0023349B">
        <w:rPr>
          <w:rFonts w:ascii="Times New Roman" w:hAnsi="Times New Roman" w:cs="Times New Roman"/>
          <w:u w:val="single"/>
        </w:rPr>
        <w:t>Zmiana 1</w:t>
      </w:r>
      <w:r w:rsidR="00BB210A" w:rsidRPr="0023349B">
        <w:rPr>
          <w:rFonts w:ascii="Times New Roman" w:hAnsi="Times New Roman" w:cs="Times New Roman"/>
          <w:u w:val="single"/>
        </w:rPr>
        <w:t>:</w:t>
      </w:r>
      <w:r w:rsidR="00460C68" w:rsidRPr="0023349B">
        <w:rPr>
          <w:rFonts w:ascii="Times New Roman" w:hAnsi="Times New Roman" w:cs="Times New Roman"/>
          <w:u w:val="single"/>
        </w:rPr>
        <w:t xml:space="preserve"> w</w:t>
      </w:r>
      <w:r w:rsidRPr="0023349B">
        <w:rPr>
          <w:rFonts w:ascii="Times New Roman" w:hAnsi="Times New Roman" w:cs="Times New Roman"/>
          <w:u w:val="single"/>
        </w:rPr>
        <w:t xml:space="preserve"> </w:t>
      </w:r>
      <w:r w:rsidRPr="0023349B">
        <w:rPr>
          <w:rStyle w:val="Kkursywa"/>
          <w:rFonts w:ascii="Times New Roman" w:hAnsi="Times New Roman" w:cs="Times New Roman"/>
          <w:i w:val="0"/>
          <w:u w:val="single"/>
        </w:rPr>
        <w:t>art. 1 w pkt 8 w art. 29 ust. 4 pkt 1 lit. a</w:t>
      </w:r>
    </w:p>
    <w:p w:rsidR="000B4247" w:rsidRPr="0023349B" w:rsidRDefault="00460C68" w:rsidP="0023349B">
      <w:pPr>
        <w:widowControl/>
        <w:suppressAutoHyphens w:val="0"/>
        <w:spacing w:before="120" w:after="240" w:line="360" w:lineRule="auto"/>
        <w:jc w:val="both"/>
        <w:rPr>
          <w:rFonts w:ascii="Times New Roman" w:hAnsi="Times New Roman" w:cs="Times New Roman"/>
        </w:rPr>
      </w:pPr>
      <w:r w:rsidRPr="0023349B">
        <w:rPr>
          <w:rFonts w:ascii="Times New Roman" w:hAnsi="Times New Roman" w:cs="Times New Roman"/>
        </w:rPr>
        <w:t xml:space="preserve">Poprawka </w:t>
      </w:r>
      <w:r w:rsidR="00E72A2A" w:rsidRPr="0023349B">
        <w:rPr>
          <w:rFonts w:ascii="Times New Roman" w:hAnsi="Times New Roman" w:cs="Times New Roman"/>
        </w:rPr>
        <w:t>polega na dodaniu brakującego przecinka po wyrazach „budynków mieszkalnych jednorodzinnych”. Brak przecinka powoduje, że z pozwolenia na budowę oraz zgłoszenia zwolnione byłyby roboty budowlane polegające na przebudowie przegród zewnętrznych i elementów konstrukcyjnych w budynkach, których budowa wymaga uzyskania decyzji o pozwoleniu na budowę. Jednak w</w:t>
      </w:r>
      <w:r w:rsidR="00193AD6" w:rsidRPr="0023349B">
        <w:rPr>
          <w:rFonts w:ascii="Times New Roman" w:hAnsi="Times New Roman" w:cs="Times New Roman"/>
        </w:rPr>
        <w:t xml:space="preserve"> </w:t>
      </w:r>
      <w:r w:rsidR="00E72A2A" w:rsidRPr="0023349B">
        <w:rPr>
          <w:rFonts w:ascii="Times New Roman" w:hAnsi="Times New Roman" w:cs="Times New Roman"/>
        </w:rPr>
        <w:t>tym zakresie projektodawca nie zakładał wprowadzenia</w:t>
      </w:r>
      <w:r w:rsidR="00193AD6" w:rsidRPr="0023349B">
        <w:rPr>
          <w:rFonts w:ascii="Times New Roman" w:hAnsi="Times New Roman" w:cs="Times New Roman"/>
        </w:rPr>
        <w:t xml:space="preserve"> </w:t>
      </w:r>
      <w:r w:rsidR="00E72A2A" w:rsidRPr="0023349B">
        <w:rPr>
          <w:rFonts w:ascii="Times New Roman" w:hAnsi="Times New Roman" w:cs="Times New Roman"/>
        </w:rPr>
        <w:t xml:space="preserve">zmian w odniesieniu do obowiązującego stanu prawnego, zgodnie z którym z pozwolenia na budowę oraz zgłoszenia zwolnione są roboty budowlane polegające na przebudowie budynków, których budowa wymaga uzyskania pozwolenia na budowę, oraz budynków jednorodzinnych, ale w obu przypadkach nie dotyczy to przebudowy przegród zewnętrznych i elementów konstrukcyjnych tych budynków. </w:t>
      </w:r>
    </w:p>
    <w:p w:rsidR="00460C68" w:rsidRPr="0023349B" w:rsidRDefault="003817FD"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Zmiana 2</w:t>
      </w:r>
      <w:r w:rsidR="00BB210A" w:rsidRPr="0023349B">
        <w:rPr>
          <w:rFonts w:ascii="Times New Roman" w:hAnsi="Times New Roman" w:cs="Times New Roman"/>
          <w:u w:val="single"/>
        </w:rPr>
        <w:t>:</w:t>
      </w:r>
      <w:r w:rsidRPr="0023349B">
        <w:rPr>
          <w:rFonts w:ascii="Times New Roman" w:hAnsi="Times New Roman" w:cs="Times New Roman"/>
          <w:u w:val="single"/>
        </w:rPr>
        <w:t xml:space="preserve"> w art. 1 w pkt 8 w art. 29</w:t>
      </w:r>
    </w:p>
    <w:p w:rsidR="00E72A2A" w:rsidRPr="0023349B" w:rsidRDefault="00460C68" w:rsidP="0023349B">
      <w:pPr>
        <w:spacing w:before="120" w:after="240" w:line="360" w:lineRule="auto"/>
        <w:jc w:val="both"/>
        <w:rPr>
          <w:rFonts w:ascii="Times New Roman" w:hAnsi="Times New Roman" w:cs="Times New Roman"/>
        </w:rPr>
      </w:pPr>
      <w:r w:rsidRPr="0023349B">
        <w:rPr>
          <w:rFonts w:ascii="Times New Roman" w:hAnsi="Times New Roman" w:cs="Times New Roman"/>
        </w:rPr>
        <w:t xml:space="preserve">Poprawka </w:t>
      </w:r>
      <w:r w:rsidR="00E72A2A" w:rsidRPr="0023349B">
        <w:rPr>
          <w:rFonts w:ascii="Times New Roman" w:hAnsi="Times New Roman" w:cs="Times New Roman"/>
        </w:rPr>
        <w:t xml:space="preserve">polega na dodaniu </w:t>
      </w:r>
      <w:r w:rsidR="003817FD" w:rsidRPr="0023349B">
        <w:rPr>
          <w:rFonts w:ascii="Times New Roman" w:hAnsi="Times New Roman" w:cs="Times New Roman"/>
        </w:rPr>
        <w:t>po ust. 7 ust. 8</w:t>
      </w:r>
      <w:r w:rsidR="00E72A2A" w:rsidRPr="0023349B">
        <w:rPr>
          <w:rFonts w:ascii="Times New Roman" w:hAnsi="Times New Roman" w:cs="Times New Roman"/>
        </w:rPr>
        <w:t>.</w:t>
      </w:r>
      <w:r w:rsidR="003817FD" w:rsidRPr="0023349B">
        <w:rPr>
          <w:rFonts w:ascii="Times New Roman" w:hAnsi="Times New Roman" w:cs="Times New Roman"/>
        </w:rPr>
        <w:t xml:space="preserve"> </w:t>
      </w:r>
      <w:r w:rsidR="00E72A2A" w:rsidRPr="0023349B">
        <w:rPr>
          <w:rFonts w:ascii="Times New Roman" w:hAnsi="Times New Roman" w:cs="Times New Roman"/>
        </w:rPr>
        <w:t>Poprawka legislacyjna</w:t>
      </w:r>
      <w:r w:rsidR="00BB210A" w:rsidRPr="0023349B">
        <w:rPr>
          <w:rFonts w:ascii="Times New Roman" w:hAnsi="Times New Roman" w:cs="Times New Roman"/>
        </w:rPr>
        <w:t xml:space="preserve"> mająca </w:t>
      </w:r>
      <w:r w:rsidR="00E72A2A" w:rsidRPr="0023349B">
        <w:rPr>
          <w:rFonts w:ascii="Times New Roman" w:hAnsi="Times New Roman" w:cs="Times New Roman"/>
        </w:rPr>
        <w:t>na celu wprowadzenie zmian redakcyjnych do ustawy z dnia 7 lipca 1994 r. – Prawo budowlane wynikających ze zmian wprowadzonych do tej ustawy ustawą z dnia 16 kwietnia 2020 r. o szczególnych instrumentach wsparcia w związku z rozprzestrzenianiem się wirusa SARS-CoV-2 (Dz. U. poz. 695). Wchodząca w dniu 19 września 2020 r. ustawa z dnia 13 lutego 2020 r. o zmianie ustawy – Prawo budowlane oraz niektórych innych ustaw zmienia brzmienie art. 29 Prawo budowlane. Zatem, w celu zachowania zmian przewidzianych ustawą z dnia 16 kwietnia 2020 r. w zakresie realizacji przenośnych masztów antenowych należy wprowadzić zaproponowaną poprawką</w:t>
      </w:r>
      <w:r w:rsidR="00AB1E73" w:rsidRPr="0023349B">
        <w:rPr>
          <w:rFonts w:ascii="Times New Roman" w:hAnsi="Times New Roman" w:cs="Times New Roman"/>
        </w:rPr>
        <w:t>.</w:t>
      </w:r>
    </w:p>
    <w:p w:rsidR="00AB1E73" w:rsidRPr="0023349B" w:rsidRDefault="003817FD"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Zmiana 3</w:t>
      </w:r>
      <w:r w:rsidR="00BB210A" w:rsidRPr="0023349B">
        <w:rPr>
          <w:rFonts w:ascii="Times New Roman" w:hAnsi="Times New Roman" w:cs="Times New Roman"/>
          <w:u w:val="single"/>
        </w:rPr>
        <w:t>:</w:t>
      </w:r>
      <w:r w:rsidR="00AB1E73" w:rsidRPr="0023349B">
        <w:rPr>
          <w:rFonts w:ascii="Times New Roman" w:hAnsi="Times New Roman" w:cs="Times New Roman"/>
          <w:u w:val="single"/>
        </w:rPr>
        <w:t xml:space="preserve"> w art. 1 w pkt 10 </w:t>
      </w:r>
      <w:r w:rsidR="00746AD7" w:rsidRPr="0023349B">
        <w:rPr>
          <w:rFonts w:ascii="Times New Roman" w:hAnsi="Times New Roman" w:cs="Times New Roman"/>
          <w:u w:val="single"/>
        </w:rPr>
        <w:t>lit. d w art. 30 ust. 2a pkt 3</w:t>
      </w:r>
    </w:p>
    <w:p w:rsidR="00AB1E73" w:rsidRPr="0023349B" w:rsidRDefault="00AB1E73" w:rsidP="0023349B">
      <w:pPr>
        <w:spacing w:before="120" w:after="240" w:line="360" w:lineRule="auto"/>
        <w:jc w:val="both"/>
        <w:rPr>
          <w:rFonts w:ascii="Times New Roman" w:hAnsi="Times New Roman" w:cs="Times New Roman"/>
        </w:rPr>
      </w:pPr>
      <w:r w:rsidRPr="0023349B">
        <w:rPr>
          <w:rFonts w:ascii="Times New Roman" w:hAnsi="Times New Roman" w:cs="Times New Roman"/>
        </w:rPr>
        <w:t>Poprawka ma na celu nadać nowe brzmienie art. 30 ust. 2a pkt</w:t>
      </w:r>
      <w:r w:rsidR="007471B1" w:rsidRPr="0023349B">
        <w:rPr>
          <w:rFonts w:ascii="Times New Roman" w:hAnsi="Times New Roman" w:cs="Times New Roman"/>
        </w:rPr>
        <w:t xml:space="preserve"> </w:t>
      </w:r>
      <w:r w:rsidRPr="0023349B">
        <w:rPr>
          <w:rFonts w:ascii="Times New Roman" w:hAnsi="Times New Roman" w:cs="Times New Roman"/>
        </w:rPr>
        <w:t>3. Przepis ten wskazuje katalog dokumentów, jakie należy dołączyć do zgłoszenia. Projektowana zmiana pozwoli na dołączanie do zgłoszenia kopii pozwoleń, uzgodnień, opinii i innych dokumentów, co w konsekwencji pozwoli m.in. na ich elektroniczne przekazywanie do organu w postaci np. skanów tych dokumentów.</w:t>
      </w:r>
    </w:p>
    <w:p w:rsidR="00AB1E73" w:rsidRPr="0023349B" w:rsidRDefault="00AB1E73"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Zmiana 4: w art. 1 pkt 12 lit. a</w:t>
      </w:r>
      <w:r w:rsidR="00746AD7" w:rsidRPr="0023349B">
        <w:rPr>
          <w:rFonts w:ascii="Times New Roman" w:hAnsi="Times New Roman" w:cs="Times New Roman"/>
          <w:u w:val="single"/>
        </w:rPr>
        <w:t xml:space="preserve"> w art. 31 ust. 1</w:t>
      </w:r>
    </w:p>
    <w:p w:rsidR="00AB1E73" w:rsidRPr="0023349B" w:rsidRDefault="00AB1E73" w:rsidP="0023349B">
      <w:pPr>
        <w:spacing w:before="120" w:after="120" w:line="360" w:lineRule="auto"/>
        <w:jc w:val="both"/>
        <w:rPr>
          <w:rFonts w:ascii="Times New Roman" w:hAnsi="Times New Roman" w:cs="Times New Roman"/>
        </w:rPr>
      </w:pPr>
      <w:r w:rsidRPr="0023349B">
        <w:rPr>
          <w:rFonts w:ascii="Times New Roman" w:hAnsi="Times New Roman" w:cs="Times New Roman"/>
        </w:rPr>
        <w:t>Poprawka ma na celu nadać nowe brzmienie art. 31 ust. 1. Jest to zmiana redakcyjna dotycząca pozwolenia na rozbiórkę.</w:t>
      </w:r>
    </w:p>
    <w:p w:rsidR="007471B1" w:rsidRPr="0023349B" w:rsidRDefault="00AB1E73"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Zmiana 5:</w:t>
      </w:r>
      <w:r w:rsidR="007471B1" w:rsidRPr="0023349B">
        <w:rPr>
          <w:rFonts w:ascii="Times New Roman" w:hAnsi="Times New Roman" w:cs="Times New Roman"/>
          <w:u w:val="single"/>
        </w:rPr>
        <w:t xml:space="preserve"> w art. 1 pkt 23 lit. a</w:t>
      </w:r>
      <w:r w:rsidR="00746AD7" w:rsidRPr="0023349B">
        <w:rPr>
          <w:rFonts w:ascii="Times New Roman" w:hAnsi="Times New Roman" w:cs="Times New Roman"/>
          <w:u w:val="single"/>
        </w:rPr>
        <w:t xml:space="preserve"> w art. 40 ust. 1 pkt 2</w:t>
      </w:r>
    </w:p>
    <w:p w:rsidR="007471B1" w:rsidRPr="0023349B" w:rsidRDefault="007471B1" w:rsidP="0023349B">
      <w:pPr>
        <w:spacing w:before="120" w:after="240" w:line="360" w:lineRule="auto"/>
        <w:jc w:val="both"/>
        <w:rPr>
          <w:rFonts w:ascii="Times New Roman" w:hAnsi="Times New Roman" w:cs="Times New Roman"/>
        </w:rPr>
      </w:pPr>
      <w:r w:rsidRPr="0023349B">
        <w:rPr>
          <w:rFonts w:ascii="Times New Roman" w:hAnsi="Times New Roman" w:cs="Times New Roman"/>
        </w:rPr>
        <w:t>Poprawka ma na celu nadać nowe brzmienie art. 40 ust. 1 pkt 2. Zmiana wprowadzana w pkt 5 pozwoli na przekazywanie do organu kopii zgody dotychczasowego inwestora, na rzecz którego decyzja została wydana,</w:t>
      </w:r>
      <w:r w:rsidR="00193AD6" w:rsidRPr="0023349B">
        <w:rPr>
          <w:rFonts w:ascii="Times New Roman" w:hAnsi="Times New Roman" w:cs="Times New Roman"/>
        </w:rPr>
        <w:t xml:space="preserve"> </w:t>
      </w:r>
      <w:r w:rsidRPr="0023349B">
        <w:rPr>
          <w:rFonts w:ascii="Times New Roman" w:hAnsi="Times New Roman" w:cs="Times New Roman"/>
        </w:rPr>
        <w:t>co w konsekwencji pozwoli m.in. na elektroniczne przekazywanie do organu np. skanu tego dokumentu.</w:t>
      </w:r>
    </w:p>
    <w:p w:rsidR="00460C68" w:rsidRPr="0023349B" w:rsidRDefault="007471B1"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6: </w:t>
      </w:r>
      <w:r w:rsidR="003817FD" w:rsidRPr="0023349B">
        <w:rPr>
          <w:rFonts w:ascii="Times New Roman" w:hAnsi="Times New Roman" w:cs="Times New Roman"/>
          <w:u w:val="single"/>
        </w:rPr>
        <w:t xml:space="preserve">art. 1 </w:t>
      </w:r>
      <w:r w:rsidR="00460C68" w:rsidRPr="0023349B">
        <w:rPr>
          <w:rFonts w:ascii="Times New Roman" w:hAnsi="Times New Roman" w:cs="Times New Roman"/>
          <w:u w:val="single"/>
        </w:rPr>
        <w:t xml:space="preserve">w </w:t>
      </w:r>
      <w:r w:rsidR="003817FD" w:rsidRPr="0023349B">
        <w:rPr>
          <w:rFonts w:ascii="Times New Roman" w:hAnsi="Times New Roman" w:cs="Times New Roman"/>
          <w:u w:val="single"/>
        </w:rPr>
        <w:t>pkt 25 lit. a</w:t>
      </w:r>
    </w:p>
    <w:p w:rsidR="00E72A2A" w:rsidRPr="0023349B" w:rsidRDefault="00460C68" w:rsidP="0023349B">
      <w:pPr>
        <w:spacing w:before="120" w:after="240" w:line="360" w:lineRule="auto"/>
        <w:jc w:val="both"/>
        <w:rPr>
          <w:rFonts w:ascii="Times New Roman" w:hAnsi="Times New Roman" w:cs="Times New Roman"/>
        </w:rPr>
      </w:pPr>
      <w:r w:rsidRPr="0023349B">
        <w:rPr>
          <w:rFonts w:ascii="Times New Roman" w:hAnsi="Times New Roman" w:cs="Times New Roman"/>
        </w:rPr>
        <w:t>Poprawka</w:t>
      </w:r>
      <w:r w:rsidR="00E72A2A" w:rsidRPr="0023349B">
        <w:rPr>
          <w:rFonts w:ascii="Times New Roman" w:hAnsi="Times New Roman" w:cs="Times New Roman"/>
        </w:rPr>
        <w:t xml:space="preserve"> ma na celu nadać nowe brzmienie art. 41 ust. 4 Prawa budowlanego. Przepis ten dotyczy zawiadomienia o terminie rozpoczęcia robót budowlanych. W trakcie prac legislacyjnych nad tą ustawą pojawił się przepis wyłączający stosowanie art. 41 ust. 4 Prawa budowlanego w stosunku do budynków mieszkalnych jednorodzinnych. Z uwagi na to, że takie rozwiązanie spotkało się z dużą krytyką, wykreślono to wyłączenie. Jednak aby wykreślenie wyłączenia miało sens, konieczne byłoby jednocześnie odesłać w art. 41 ust. 4 do art. 29 ust. 1 pkt 1 Prawa budowlanego, mówiącego o budynkach mieszkalnych jednorodzinnych. </w:t>
      </w:r>
    </w:p>
    <w:p w:rsidR="00746AD7" w:rsidRPr="0023349B" w:rsidRDefault="003817FD"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746AD7" w:rsidRPr="0023349B">
        <w:rPr>
          <w:rFonts w:ascii="Times New Roman" w:hAnsi="Times New Roman" w:cs="Times New Roman"/>
          <w:u w:val="single"/>
        </w:rPr>
        <w:t>7: w art. 1 w pkt 25 lit. b w art. 41 ust. 4a</w:t>
      </w:r>
    </w:p>
    <w:p w:rsidR="00746AD7" w:rsidRPr="0023349B" w:rsidRDefault="00746AD7" w:rsidP="0023349B">
      <w:pPr>
        <w:spacing w:before="120" w:after="240" w:line="360" w:lineRule="auto"/>
        <w:jc w:val="both"/>
        <w:rPr>
          <w:rFonts w:ascii="Times New Roman" w:hAnsi="Times New Roman" w:cs="Times New Roman"/>
        </w:rPr>
      </w:pPr>
      <w:r w:rsidRPr="0023349B">
        <w:rPr>
          <w:rFonts w:ascii="Times New Roman" w:hAnsi="Times New Roman" w:cs="Times New Roman"/>
        </w:rPr>
        <w:t>Projektowaną zmianą zastępuje się pojęcie „zawiadomienia o zamierzonym terminie rozpoczęcia robót budowlanych” pojęciem „zawiadomienia organu nadzoru budowlanego o zamierzonym terminie rozpoczęcia robót budowlanych”. Ponadto dopuszcza się możliwość dostarczenia kopię oświadczenia projektanta i projektanta sprawdzającego.</w:t>
      </w:r>
    </w:p>
    <w:p w:rsidR="00746AD7" w:rsidRPr="0023349B" w:rsidRDefault="00746AD7"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Zmiana 8</w:t>
      </w:r>
      <w:r w:rsidR="00BB210A" w:rsidRPr="0023349B">
        <w:rPr>
          <w:rFonts w:ascii="Times New Roman" w:hAnsi="Times New Roman" w:cs="Times New Roman"/>
          <w:u w:val="single"/>
        </w:rPr>
        <w:t>:</w:t>
      </w:r>
      <w:r w:rsidR="003817FD" w:rsidRPr="0023349B">
        <w:rPr>
          <w:rFonts w:ascii="Times New Roman" w:hAnsi="Times New Roman" w:cs="Times New Roman"/>
          <w:u w:val="single"/>
        </w:rPr>
        <w:t xml:space="preserve"> </w:t>
      </w:r>
      <w:r w:rsidRPr="0023349B">
        <w:rPr>
          <w:rFonts w:ascii="Times New Roman" w:hAnsi="Times New Roman" w:cs="Times New Roman"/>
          <w:u w:val="single"/>
        </w:rPr>
        <w:t xml:space="preserve">w art. 1 </w:t>
      </w:r>
      <w:r w:rsidR="0010316D" w:rsidRPr="0023349B">
        <w:rPr>
          <w:rFonts w:ascii="Times New Roman" w:hAnsi="Times New Roman" w:cs="Times New Roman"/>
          <w:u w:val="single"/>
        </w:rPr>
        <w:t>pkt 26 lit. a w art. 42</w:t>
      </w:r>
      <w:r w:rsidR="00180371" w:rsidRPr="0023349B">
        <w:rPr>
          <w:rFonts w:ascii="Times New Roman" w:hAnsi="Times New Roman" w:cs="Times New Roman"/>
          <w:u w:val="single"/>
        </w:rPr>
        <w:t xml:space="preserve"> </w:t>
      </w:r>
      <w:r w:rsidR="0010316D" w:rsidRPr="0023349B">
        <w:rPr>
          <w:rFonts w:ascii="Times New Roman" w:hAnsi="Times New Roman" w:cs="Times New Roman"/>
          <w:u w:val="single"/>
        </w:rPr>
        <w:t>ust. 1</w:t>
      </w:r>
      <w:r w:rsidRPr="0023349B">
        <w:rPr>
          <w:rFonts w:ascii="Times New Roman" w:hAnsi="Times New Roman" w:cs="Times New Roman"/>
          <w:u w:val="single"/>
        </w:rPr>
        <w:t>pkt 2</w:t>
      </w:r>
    </w:p>
    <w:p w:rsidR="00746AD7" w:rsidRPr="0023349B" w:rsidRDefault="00746AD7" w:rsidP="0023349B">
      <w:pPr>
        <w:spacing w:before="120" w:after="240" w:line="360" w:lineRule="auto"/>
        <w:jc w:val="both"/>
        <w:rPr>
          <w:rFonts w:ascii="Times New Roman" w:hAnsi="Times New Roman" w:cs="Times New Roman"/>
        </w:rPr>
      </w:pPr>
      <w:r w:rsidRPr="0023349B">
        <w:rPr>
          <w:rFonts w:ascii="Times New Roman" w:hAnsi="Times New Roman" w:cs="Times New Roman"/>
        </w:rPr>
        <w:t>Projektowana zmiana uzupełnia katalog robót wymagających ustanowienia kierownika budowy o rozbiórki objęte decyzją o pozwoleniu na rozbiórkę.</w:t>
      </w:r>
    </w:p>
    <w:p w:rsidR="00460C68" w:rsidRPr="0023349B" w:rsidRDefault="00746AD7"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9: </w:t>
      </w:r>
      <w:r w:rsidR="003817FD" w:rsidRPr="0023349B">
        <w:rPr>
          <w:rFonts w:ascii="Times New Roman" w:hAnsi="Times New Roman" w:cs="Times New Roman"/>
          <w:u w:val="single"/>
        </w:rPr>
        <w:t>w art. 1 pkt 29</w:t>
      </w:r>
    </w:p>
    <w:p w:rsidR="00C61C5F" w:rsidRPr="0023349B" w:rsidRDefault="00C61C5F" w:rsidP="0023349B">
      <w:pPr>
        <w:spacing w:before="120" w:after="120" w:line="360" w:lineRule="auto"/>
        <w:jc w:val="both"/>
        <w:rPr>
          <w:rFonts w:ascii="Times New Roman" w:hAnsi="Times New Roman" w:cs="Times New Roman"/>
        </w:rPr>
      </w:pPr>
      <w:r w:rsidRPr="0023349B">
        <w:rPr>
          <w:rFonts w:ascii="Times New Roman" w:hAnsi="Times New Roman" w:cs="Times New Roman"/>
        </w:rPr>
        <w:t>Zmiana w art. 1 pkt 29 ustaw z dnia 13 lutego 2020 r. o zmianie ustawy – Prawo budowlane oraz niektórych innych ustaw (Dz. U. z 2020 r. poz. 471) przewiduje m.in. dodanie art. 45a Prawa budowlanego regulującego niektóre obowiązki kierownika budowy przed rozpoczęciem robót budowlanych.</w:t>
      </w:r>
    </w:p>
    <w:p w:rsidR="00C61C5F" w:rsidRPr="0023349B" w:rsidRDefault="00C61C5F" w:rsidP="0023349B">
      <w:pPr>
        <w:spacing w:before="120" w:after="120" w:line="360" w:lineRule="auto"/>
        <w:jc w:val="both"/>
        <w:rPr>
          <w:rFonts w:ascii="Times New Roman" w:hAnsi="Times New Roman" w:cs="Times New Roman"/>
        </w:rPr>
      </w:pPr>
      <w:r w:rsidRPr="0023349B">
        <w:rPr>
          <w:rFonts w:ascii="Times New Roman" w:hAnsi="Times New Roman" w:cs="Times New Roman"/>
        </w:rPr>
        <w:t xml:space="preserve">Przewiduje on m.in. obowiązek potwierdzenia wpisem w dzienniku budowy otrzymania od inwestora zatwierdzonego projektu budowlanego oraz, o ile jest wymagany </w:t>
      </w:r>
      <w:r w:rsidR="00C47C60" w:rsidRPr="0023349B">
        <w:rPr>
          <w:rFonts w:ascii="Times New Roman" w:hAnsi="Times New Roman" w:cs="Times New Roman"/>
        </w:rPr>
        <w:t>–</w:t>
      </w:r>
      <w:r w:rsidRPr="0023349B">
        <w:rPr>
          <w:rFonts w:ascii="Times New Roman" w:hAnsi="Times New Roman" w:cs="Times New Roman"/>
        </w:rPr>
        <w:t xml:space="preserve"> projektu technicznego, a także umieszczenia na terenie budowy, w widocznym miejscu, tablicy informacyjnej.</w:t>
      </w:r>
    </w:p>
    <w:p w:rsidR="00C61C5F" w:rsidRPr="0023349B" w:rsidRDefault="00C61C5F" w:rsidP="0023349B">
      <w:pPr>
        <w:spacing w:before="120" w:after="120" w:line="360" w:lineRule="auto"/>
        <w:jc w:val="both"/>
        <w:rPr>
          <w:rFonts w:ascii="Times New Roman" w:hAnsi="Times New Roman" w:cs="Times New Roman"/>
        </w:rPr>
      </w:pPr>
      <w:r w:rsidRPr="0023349B">
        <w:rPr>
          <w:rFonts w:ascii="Times New Roman" w:hAnsi="Times New Roman" w:cs="Times New Roman"/>
        </w:rPr>
        <w:t>Pierwotnie w trakcie prac legislacyjnych nie było mowy w dodawanym art. 45a ust. 1 o obowiązku potwierdzania wpisem otrzymania projektu budowlanego. Obowiązek ten wynikał z rozporządzenia w sprawie prowadzenia dziennika budowy. Jednocześnie od samego początku w art. 45a był ustęp wyłączający w części obowiązki z art. 45a ust. 1 w określonych wypadkach.</w:t>
      </w:r>
    </w:p>
    <w:p w:rsidR="00C61C5F" w:rsidRPr="0023349B" w:rsidRDefault="00C61C5F" w:rsidP="0023349B">
      <w:pPr>
        <w:spacing w:before="120" w:after="240" w:line="360" w:lineRule="auto"/>
        <w:jc w:val="both"/>
        <w:rPr>
          <w:rFonts w:ascii="Times New Roman" w:hAnsi="Times New Roman" w:cs="Times New Roman"/>
        </w:rPr>
      </w:pPr>
      <w:r w:rsidRPr="0023349B">
        <w:rPr>
          <w:rFonts w:ascii="Times New Roman" w:hAnsi="Times New Roman" w:cs="Times New Roman"/>
        </w:rPr>
        <w:t xml:space="preserve">W trakcie prac legislacyjnych nad ustawą dodano w art. 45a ust. 1 obowiązek w zakresie ww. wpisu. Jednocześnie pozostało wyłączenie w ust. 3 dotyczącym obiektów liniowych. Wydaje się, że o ile odnośnie obiektów liniowych powinno pozostać wyłączenie co do tablicy informacyjnej, o tyle nie powinno być wyłączenia odnośnie omawianego wpisu w dzienniku budowy, zwłaszcza że taki obowiązek de facto wynika z przepisów o dzienniku budowy. Dla czystości legislacyjnej proponuje się tak sformułować przepisy wyłączające art. 45a ust. 1, aby wyłączenie dotyczące obiektów liniowych dotyczyło tablicy informacyjnej, ale nie obowiązku potwierdzenia wpisem w dzienniku budowy otrzymania od inwestora zatwierdzonego projektu budowlanego oraz, o ile jest wymagany </w:t>
      </w:r>
      <w:r w:rsidR="00C47C60" w:rsidRPr="0023349B">
        <w:rPr>
          <w:rFonts w:ascii="Times New Roman" w:hAnsi="Times New Roman" w:cs="Times New Roman"/>
        </w:rPr>
        <w:t>–</w:t>
      </w:r>
      <w:r w:rsidRPr="0023349B">
        <w:rPr>
          <w:rFonts w:ascii="Times New Roman" w:hAnsi="Times New Roman" w:cs="Times New Roman"/>
        </w:rPr>
        <w:t xml:space="preserve"> projektu technicznego.</w:t>
      </w:r>
    </w:p>
    <w:p w:rsidR="00460C68" w:rsidRPr="0023349B" w:rsidRDefault="003817FD" w:rsidP="0023349B">
      <w:pPr>
        <w:spacing w:before="120" w:after="120" w:line="360" w:lineRule="auto"/>
        <w:jc w:val="both"/>
        <w:rPr>
          <w:rFonts w:ascii="Times New Roman" w:hAnsi="Times New Roman" w:cs="Times New Roman"/>
          <w:u w:val="single"/>
        </w:rPr>
      </w:pPr>
      <w:r w:rsidRPr="0023349B">
        <w:rPr>
          <w:rFonts w:ascii="Times New Roman" w:hAnsi="Times New Roman" w:cs="Times New Roman"/>
          <w:u w:val="single"/>
        </w:rPr>
        <w:t xml:space="preserve">Zmiana </w:t>
      </w:r>
      <w:r w:rsidR="00746AD7" w:rsidRPr="0023349B">
        <w:rPr>
          <w:rFonts w:ascii="Times New Roman" w:hAnsi="Times New Roman" w:cs="Times New Roman"/>
          <w:u w:val="single"/>
        </w:rPr>
        <w:t>10</w:t>
      </w:r>
      <w:r w:rsidR="00BB210A" w:rsidRPr="0023349B">
        <w:rPr>
          <w:rFonts w:ascii="Times New Roman" w:hAnsi="Times New Roman" w:cs="Times New Roman"/>
          <w:u w:val="single"/>
        </w:rPr>
        <w:t>:</w:t>
      </w:r>
      <w:r w:rsidR="00C61C5F" w:rsidRPr="0023349B">
        <w:rPr>
          <w:rFonts w:ascii="Times New Roman" w:hAnsi="Times New Roman" w:cs="Times New Roman"/>
          <w:u w:val="single"/>
        </w:rPr>
        <w:t xml:space="preserve"> </w:t>
      </w:r>
      <w:r w:rsidRPr="0023349B">
        <w:rPr>
          <w:rFonts w:ascii="Times New Roman" w:hAnsi="Times New Roman" w:cs="Times New Roman"/>
          <w:u w:val="single"/>
        </w:rPr>
        <w:t>w art. 1 w pkt 48 w dodawanym art. 59i w ust. 1</w:t>
      </w:r>
    </w:p>
    <w:p w:rsidR="00E72A2A" w:rsidRPr="0023349B" w:rsidRDefault="00460C68" w:rsidP="0023349B">
      <w:pPr>
        <w:spacing w:before="120" w:after="240" w:line="360" w:lineRule="auto"/>
        <w:jc w:val="both"/>
        <w:rPr>
          <w:rFonts w:ascii="Times New Roman" w:hAnsi="Times New Roman" w:cs="Times New Roman"/>
        </w:rPr>
      </w:pPr>
      <w:r w:rsidRPr="0023349B">
        <w:rPr>
          <w:rFonts w:ascii="Times New Roman" w:hAnsi="Times New Roman" w:cs="Times New Roman"/>
        </w:rPr>
        <w:t xml:space="preserve">Poprawka legislacyjna </w:t>
      </w:r>
      <w:r w:rsidR="00E72A2A" w:rsidRPr="0023349B">
        <w:rPr>
          <w:rFonts w:ascii="Times New Roman" w:hAnsi="Times New Roman" w:cs="Times New Roman"/>
        </w:rPr>
        <w:t>ma na celu poprawienie oczywistej omyłki zawartej w art. 1 w pkt 48 ustawie z dnia 13 lutego 2020 r. o zmianie ustawy – Prawo budowlane oraz niektórych innych ustaw (Dz. U. z 2020 r. poz. 471) dotyczącej art. 59i ust. 1 Prawa budowlanego.</w:t>
      </w:r>
      <w:r w:rsidR="00BB210A" w:rsidRPr="0023349B">
        <w:rPr>
          <w:rFonts w:ascii="Times New Roman" w:hAnsi="Times New Roman" w:cs="Times New Roman"/>
        </w:rPr>
        <w:t xml:space="preserve"> </w:t>
      </w:r>
      <w:r w:rsidR="00E72A2A" w:rsidRPr="0023349B">
        <w:rPr>
          <w:rFonts w:ascii="Times New Roman" w:hAnsi="Times New Roman" w:cs="Times New Roman"/>
        </w:rPr>
        <w:t>Przytoczony przepis posługuje się zwrotem „zawiadomienia o zakończeniu robót budowlanych”, podczas gdy Prawo budowlane posługuje się zwrotem „zawiadomienie o zakończeniu budowy”.</w:t>
      </w:r>
      <w:r w:rsidR="00193AD6" w:rsidRPr="0023349B">
        <w:rPr>
          <w:rFonts w:ascii="Times New Roman" w:hAnsi="Times New Roman" w:cs="Times New Roman"/>
        </w:rPr>
        <w:t xml:space="preserve"> </w:t>
      </w:r>
      <w:r w:rsidR="00E72A2A" w:rsidRPr="0023349B">
        <w:rPr>
          <w:rFonts w:ascii="Times New Roman" w:hAnsi="Times New Roman" w:cs="Times New Roman"/>
        </w:rPr>
        <w:t>W konsekwencji również art. 59i ust. 1 Prawa budowlanego powinien posługiwać się tym zwrotem.</w:t>
      </w:r>
    </w:p>
    <w:p w:rsidR="00460C68" w:rsidRPr="0023349B" w:rsidRDefault="003817FD" w:rsidP="0023349B">
      <w:pPr>
        <w:spacing w:before="120"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w:t>
      </w:r>
      <w:r w:rsidR="00746AD7" w:rsidRPr="0023349B">
        <w:rPr>
          <w:rFonts w:ascii="Times New Roman" w:hAnsi="Times New Roman" w:cs="Times New Roman"/>
          <w:bCs/>
          <w:u w:val="single"/>
        </w:rPr>
        <w:t>11</w:t>
      </w:r>
      <w:r w:rsidR="00BB210A" w:rsidRPr="0023349B">
        <w:rPr>
          <w:rFonts w:ascii="Times New Roman" w:hAnsi="Times New Roman" w:cs="Times New Roman"/>
          <w:bCs/>
          <w:u w:val="single"/>
        </w:rPr>
        <w:t>:</w:t>
      </w:r>
      <w:r w:rsidR="00193AD6" w:rsidRPr="0023349B">
        <w:rPr>
          <w:rFonts w:ascii="Times New Roman" w:hAnsi="Times New Roman" w:cs="Times New Roman"/>
          <w:bCs/>
          <w:u w:val="single"/>
        </w:rPr>
        <w:t xml:space="preserve"> </w:t>
      </w:r>
      <w:r w:rsidRPr="0023349B">
        <w:rPr>
          <w:rFonts w:ascii="Times New Roman" w:hAnsi="Times New Roman" w:cs="Times New Roman"/>
          <w:u w:val="single"/>
        </w:rPr>
        <w:t>w art. 16</w:t>
      </w:r>
    </w:p>
    <w:p w:rsidR="00E72A2A" w:rsidRPr="0023349B" w:rsidRDefault="00460C68" w:rsidP="0023349B">
      <w:pPr>
        <w:spacing w:before="120" w:after="240" w:line="360" w:lineRule="auto"/>
        <w:jc w:val="both"/>
        <w:rPr>
          <w:rStyle w:val="Kkursywa"/>
          <w:rFonts w:ascii="Times New Roman" w:hAnsi="Times New Roman" w:cs="Times New Roman"/>
          <w:i w:val="0"/>
        </w:rPr>
      </w:pPr>
      <w:r w:rsidRPr="0023349B">
        <w:rPr>
          <w:rFonts w:ascii="Times New Roman" w:hAnsi="Times New Roman" w:cs="Times New Roman"/>
          <w:bCs/>
        </w:rPr>
        <w:t>Poprawka legislacyjna</w:t>
      </w:r>
      <w:r w:rsidRPr="0023349B">
        <w:rPr>
          <w:rFonts w:ascii="Times New Roman" w:hAnsi="Times New Roman" w:cs="Times New Roman"/>
        </w:rPr>
        <w:t xml:space="preserve"> </w:t>
      </w:r>
      <w:r w:rsidR="00E72A2A" w:rsidRPr="0023349B">
        <w:rPr>
          <w:rFonts w:ascii="Times New Roman" w:hAnsi="Times New Roman" w:cs="Times New Roman"/>
          <w:bCs/>
        </w:rPr>
        <w:t>ma charakter uzupełniający</w:t>
      </w:r>
      <w:r w:rsidR="00193AD6" w:rsidRPr="0023349B">
        <w:rPr>
          <w:rFonts w:ascii="Times New Roman" w:hAnsi="Times New Roman" w:cs="Times New Roman"/>
          <w:bCs/>
        </w:rPr>
        <w:t xml:space="preserve"> </w:t>
      </w:r>
      <w:r w:rsidR="00E72A2A" w:rsidRPr="0023349B">
        <w:rPr>
          <w:rFonts w:ascii="Times New Roman" w:hAnsi="Times New Roman" w:cs="Times New Roman"/>
          <w:bCs/>
        </w:rPr>
        <w:t xml:space="preserve">i polega na dodaniu w art. 16 </w:t>
      </w:r>
      <w:r w:rsidR="00E72A2A" w:rsidRPr="0023349B">
        <w:rPr>
          <w:rStyle w:val="Kkursywa"/>
          <w:rFonts w:ascii="Times New Roman" w:hAnsi="Times New Roman" w:cs="Times New Roman"/>
          <w:i w:val="0"/>
        </w:rPr>
        <w:t>ustawy z dnia 13 lutego 2020 r. o zmianie ustawy – Prawo budowlane oraz niektórych innych ustaw wprowadzającym zmiany w</w:t>
      </w:r>
      <w:r w:rsidR="00E72A2A" w:rsidRPr="0023349B">
        <w:rPr>
          <w:rFonts w:ascii="Times New Roman" w:hAnsi="Times New Roman" w:cs="Times New Roman"/>
          <w:bCs/>
        </w:rPr>
        <w:t xml:space="preserve"> ustawie z dnia 12 lutego 2009 r. o szczególnych zasadach przygotowania i realizacji inwestycji w zakresie lotnisk użytku publicznego (Dz. U. z 2018 r. poz. 1380) zmiany w art. 8 ust. 1 pkt 7 wynikającej ze zmian wprowadzanych</w:t>
      </w:r>
      <w:r w:rsidR="00193AD6" w:rsidRPr="0023349B">
        <w:rPr>
          <w:rFonts w:ascii="Times New Roman" w:hAnsi="Times New Roman" w:cs="Times New Roman"/>
          <w:bCs/>
        </w:rPr>
        <w:t xml:space="preserve"> </w:t>
      </w:r>
      <w:r w:rsidR="00E72A2A" w:rsidRPr="0023349B">
        <w:rPr>
          <w:rStyle w:val="Kkursywa"/>
          <w:rFonts w:ascii="Times New Roman" w:hAnsi="Times New Roman" w:cs="Times New Roman"/>
          <w:i w:val="0"/>
        </w:rPr>
        <w:t xml:space="preserve">ustawą z dnia 13 lutego 2020 r. o zmianie ustawy – Prawo budowlane oraz niektórych innych ustaw dotyczących podziału projektu budowlanego na projekt zagospodarowania działki lub terenu, projekt architektoniczno-budowlany i projekt techniczny. </w:t>
      </w:r>
    </w:p>
    <w:p w:rsidR="00C61C5F" w:rsidRPr="0023349B" w:rsidRDefault="003817FD" w:rsidP="0023349B">
      <w:pPr>
        <w:spacing w:before="120" w:after="120" w:line="360" w:lineRule="auto"/>
        <w:jc w:val="both"/>
        <w:rPr>
          <w:rFonts w:ascii="Times New Roman" w:hAnsi="Times New Roman" w:cs="Times New Roman"/>
          <w:bCs/>
          <w:u w:val="single"/>
        </w:rPr>
      </w:pPr>
      <w:r w:rsidRPr="0023349B">
        <w:rPr>
          <w:rFonts w:ascii="Times New Roman" w:hAnsi="Times New Roman" w:cs="Times New Roman"/>
          <w:bCs/>
          <w:u w:val="single"/>
        </w:rPr>
        <w:t xml:space="preserve">Zmiana </w:t>
      </w:r>
      <w:r w:rsidR="00746AD7" w:rsidRPr="0023349B">
        <w:rPr>
          <w:rFonts w:ascii="Times New Roman" w:hAnsi="Times New Roman" w:cs="Times New Roman"/>
          <w:bCs/>
          <w:u w:val="single"/>
        </w:rPr>
        <w:t>12</w:t>
      </w:r>
      <w:r w:rsidR="00BB210A" w:rsidRPr="0023349B">
        <w:rPr>
          <w:rFonts w:ascii="Times New Roman" w:hAnsi="Times New Roman" w:cs="Times New Roman"/>
          <w:bCs/>
          <w:u w:val="single"/>
        </w:rPr>
        <w:t>:</w:t>
      </w:r>
      <w:r w:rsidRPr="0023349B">
        <w:rPr>
          <w:rFonts w:ascii="Times New Roman" w:hAnsi="Times New Roman" w:cs="Times New Roman"/>
          <w:bCs/>
          <w:u w:val="single"/>
        </w:rPr>
        <w:t xml:space="preserve"> dodani</w:t>
      </w:r>
      <w:r w:rsidR="00C61C5F" w:rsidRPr="0023349B">
        <w:rPr>
          <w:rFonts w:ascii="Times New Roman" w:hAnsi="Times New Roman" w:cs="Times New Roman"/>
          <w:bCs/>
          <w:u w:val="single"/>
        </w:rPr>
        <w:t>e</w:t>
      </w:r>
      <w:r w:rsidRPr="0023349B">
        <w:rPr>
          <w:rFonts w:ascii="Times New Roman" w:hAnsi="Times New Roman" w:cs="Times New Roman"/>
          <w:bCs/>
          <w:u w:val="single"/>
        </w:rPr>
        <w:t xml:space="preserve"> art. 21a</w:t>
      </w:r>
    </w:p>
    <w:p w:rsidR="001016A9" w:rsidRPr="0023349B" w:rsidRDefault="00E72A2A" w:rsidP="0023349B">
      <w:pPr>
        <w:spacing w:before="120" w:after="240" w:line="360" w:lineRule="auto"/>
        <w:rPr>
          <w:rFonts w:ascii="Times New Roman" w:hAnsi="Times New Roman" w:cs="Times New Roman"/>
          <w:bCs/>
        </w:rPr>
      </w:pPr>
      <w:r w:rsidRPr="0023349B">
        <w:rPr>
          <w:rFonts w:ascii="Times New Roman" w:hAnsi="Times New Roman" w:cs="Times New Roman"/>
          <w:bCs/>
        </w:rPr>
        <w:t>Poprawka legislacyjna ma charakter uzupełniający</w:t>
      </w:r>
      <w:r w:rsidR="00193AD6" w:rsidRPr="0023349B">
        <w:rPr>
          <w:rFonts w:ascii="Times New Roman" w:hAnsi="Times New Roman" w:cs="Times New Roman"/>
          <w:bCs/>
        </w:rPr>
        <w:t xml:space="preserve"> </w:t>
      </w:r>
      <w:r w:rsidRPr="0023349B">
        <w:rPr>
          <w:rFonts w:ascii="Times New Roman" w:hAnsi="Times New Roman" w:cs="Times New Roman"/>
          <w:bCs/>
        </w:rPr>
        <w:t xml:space="preserve">i polega na dodaniu w ustawie </w:t>
      </w:r>
      <w:r w:rsidRPr="0023349B">
        <w:rPr>
          <w:rStyle w:val="Kkursywa"/>
          <w:rFonts w:ascii="Times New Roman" w:hAnsi="Times New Roman" w:cs="Times New Roman"/>
          <w:i w:val="0"/>
        </w:rPr>
        <w:t>z dnia 13 lutego 2020 r. o zmianie ustawy – Prawo budowlane oraz niektórych innych ustaw art. 2</w:t>
      </w:r>
      <w:r w:rsidR="00C61C5F" w:rsidRPr="0023349B">
        <w:rPr>
          <w:rStyle w:val="Kkursywa"/>
          <w:rFonts w:ascii="Times New Roman" w:hAnsi="Times New Roman" w:cs="Times New Roman"/>
          <w:i w:val="0"/>
        </w:rPr>
        <w:t>1</w:t>
      </w:r>
      <w:r w:rsidRPr="0023349B">
        <w:rPr>
          <w:rStyle w:val="Kkursywa"/>
          <w:rFonts w:ascii="Times New Roman" w:hAnsi="Times New Roman" w:cs="Times New Roman"/>
          <w:i w:val="0"/>
        </w:rPr>
        <w:t xml:space="preserve">a wprowadzającego zmianę w ustawie z dnia 20 lipca 2017 r. o Krajowym Zasobie Nieruchomości polegającą na zmianie brzmienia art. 10 ust. 2 pkt 8 tej ustawy </w:t>
      </w:r>
      <w:r w:rsidRPr="0023349B">
        <w:rPr>
          <w:rFonts w:ascii="Times New Roman" w:hAnsi="Times New Roman" w:cs="Times New Roman"/>
          <w:bCs/>
        </w:rPr>
        <w:t>wynikającą ze zmian wprowadzanych</w:t>
      </w:r>
      <w:r w:rsidR="00193AD6" w:rsidRPr="0023349B">
        <w:rPr>
          <w:rFonts w:ascii="Times New Roman" w:hAnsi="Times New Roman" w:cs="Times New Roman"/>
          <w:bCs/>
        </w:rPr>
        <w:t xml:space="preserve"> </w:t>
      </w:r>
      <w:r w:rsidRPr="0023349B">
        <w:rPr>
          <w:rStyle w:val="Kkursywa"/>
          <w:rFonts w:ascii="Times New Roman" w:hAnsi="Times New Roman" w:cs="Times New Roman"/>
          <w:i w:val="0"/>
        </w:rPr>
        <w:t>ustawą z dnia 13 lutego 2020 r. o zmianie ustawy – Prawo budowlane oraz niektórych innych ustaw</w:t>
      </w:r>
      <w:r w:rsidRPr="0023349B">
        <w:rPr>
          <w:rFonts w:ascii="Times New Roman" w:hAnsi="Times New Roman" w:cs="Times New Roman"/>
          <w:bCs/>
        </w:rPr>
        <w:t xml:space="preserve">. </w:t>
      </w:r>
    </w:p>
    <w:p w:rsidR="00C268CB" w:rsidRPr="0023349B" w:rsidRDefault="00C268CB" w:rsidP="0023349B">
      <w:pPr>
        <w:spacing w:before="120" w:after="240" w:line="360" w:lineRule="auto"/>
        <w:rPr>
          <w:rFonts w:ascii="Times New Roman" w:hAnsi="Times New Roman" w:cs="Times New Roman"/>
          <w:b/>
        </w:rPr>
      </w:pPr>
      <w:r w:rsidRPr="0023349B">
        <w:rPr>
          <w:rFonts w:ascii="Times New Roman" w:hAnsi="Times New Roman" w:cs="Times New Roman"/>
          <w:b/>
        </w:rPr>
        <w:t xml:space="preserve">Art. </w:t>
      </w:r>
      <w:r w:rsidR="000E525D" w:rsidRPr="0023349B">
        <w:rPr>
          <w:rFonts w:ascii="Times New Roman" w:hAnsi="Times New Roman" w:cs="Times New Roman"/>
          <w:b/>
        </w:rPr>
        <w:t>22</w:t>
      </w:r>
      <w:r w:rsidRPr="0023349B">
        <w:rPr>
          <w:rFonts w:ascii="Times New Roman" w:hAnsi="Times New Roman" w:cs="Times New Roman"/>
          <w:b/>
        </w:rPr>
        <w:t xml:space="preserve"> – Zmiany w </w:t>
      </w:r>
      <w:r w:rsidRPr="0023349B">
        <w:rPr>
          <w:rFonts w:ascii="Times New Roman" w:hAnsi="Times New Roman" w:cs="Times New Roman"/>
          <w:b/>
          <w:i/>
        </w:rPr>
        <w:t xml:space="preserve">ustawie </w:t>
      </w:r>
      <w:r w:rsidRPr="0023349B">
        <w:rPr>
          <w:rFonts w:ascii="Times New Roman" w:hAnsi="Times New Roman" w:cs="Times New Roman"/>
          <w:b/>
        </w:rPr>
        <w:t>o szczególnych rozwiązaniach związanych z zapobieganiem, przeciwdziałaniem i zwalczaniem COVID-19</w:t>
      </w:r>
    </w:p>
    <w:p w:rsidR="00A73DC0" w:rsidRPr="0023349B" w:rsidRDefault="00A73DC0"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Zmiany 1 i 2: art. 15ja i art. 15jd</w:t>
      </w:r>
    </w:p>
    <w:p w:rsidR="00A73DC0" w:rsidRPr="0023349B" w:rsidRDefault="00A73DC0"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Zmiana </w:t>
      </w:r>
      <w:r w:rsidRPr="0023349B">
        <w:rPr>
          <w:rFonts w:ascii="Times New Roman" w:hAnsi="Times New Roman" w:cs="Times New Roman"/>
          <w:b/>
        </w:rPr>
        <w:t>art. 15ja</w:t>
      </w:r>
      <w:r w:rsidRPr="0023349B">
        <w:rPr>
          <w:rFonts w:ascii="Times New Roman" w:hAnsi="Times New Roman" w:cs="Times New Roman"/>
        </w:rPr>
        <w:t xml:space="preserve"> ma celu oddanie, adekwatnie do intencji ustawodawcy, że pomniejszenie opłaty za 2020 r. dotyczy nieruchomości Skarbu Państwa, którymi gospodaruje (zgodnie z ustawą o gospodarce nieruchomościami) starosta lub prezydent miasta na prawach powiatu, a nie nieruchomości stanowiącej zasób nieruchomości Skarbu Państwa. Zgodnie z art. 21 ustawy o gospodarce nieruchomościami do zasobu nieruchomości Skarbu Państwa wchodzą nieruchomości, które stanowią przedmiot własności Skarbu Państwa i nie zostały oddane w użytkowanie wieczyste. W sposób oczywisty art. 15ja nie odnosi się więc do nieruchomości wchodzących w skład zasobu nieruchomości Skarbu Państwa, gdyż reguluje on kwestie związane z nieruchomościami Skarbu Państwa oddanymi w użytkowanie wieczyste. Zmiana ma charakter doprecyzowujący i, w konsekwencji, obejmuje także </w:t>
      </w:r>
      <w:r w:rsidRPr="0023349B">
        <w:rPr>
          <w:rFonts w:ascii="Times New Roman" w:hAnsi="Times New Roman" w:cs="Times New Roman"/>
          <w:b/>
        </w:rPr>
        <w:t>art. 15jd</w:t>
      </w:r>
      <w:r w:rsidRPr="0023349B">
        <w:rPr>
          <w:rFonts w:ascii="Times New Roman" w:hAnsi="Times New Roman" w:cs="Times New Roman"/>
        </w:rPr>
        <w:t xml:space="preserve"> ust. 1 pkt 1 przedmiotowej ustawy, gdyż w skład gminnego, powiatowego i wojewódzkiego zasobu nieruchomości nie wchodzą nieruchomości oddane w użytkowanie wieczyste. Ingerencji ustawodawcy nie wymaga art. 15jb oraz art. 15jd pkt 2, które w sposób prawidłowy odwołują się do zasobu nieruchomości Skarbu Państwa oraz odpowiednio do gminnego, powiatowego i wojewódzkiego zasobu nieruchomości. </w:t>
      </w:r>
    </w:p>
    <w:p w:rsidR="00A73DC0" w:rsidRPr="0023349B" w:rsidRDefault="00A73DC0" w:rsidP="0023349B">
      <w:pPr>
        <w:spacing w:after="120" w:line="360" w:lineRule="auto"/>
        <w:jc w:val="both"/>
        <w:rPr>
          <w:rFonts w:ascii="Times New Roman" w:hAnsi="Times New Roman" w:cs="Times New Roman"/>
          <w:u w:val="single"/>
        </w:rPr>
      </w:pPr>
      <w:r w:rsidRPr="0023349B">
        <w:rPr>
          <w:rFonts w:ascii="Times New Roman" w:hAnsi="Times New Roman" w:cs="Times New Roman"/>
          <w:u w:val="single"/>
        </w:rPr>
        <w:t>Zmiany w pkt 3: art. 15zzzic–15zzzi</w:t>
      </w:r>
      <w:r w:rsidR="008315D7" w:rsidRPr="0023349B">
        <w:rPr>
          <w:rFonts w:ascii="Times New Roman" w:hAnsi="Times New Roman" w:cs="Times New Roman"/>
          <w:u w:val="single"/>
        </w:rPr>
        <w:t>h</w:t>
      </w:r>
      <w:r w:rsidRPr="0023349B">
        <w:rPr>
          <w:rFonts w:ascii="Times New Roman" w:hAnsi="Times New Roman" w:cs="Times New Roman"/>
          <w:u w:val="single"/>
        </w:rPr>
        <w:t>:</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Art. 15zzzic</w:t>
      </w:r>
      <w:r w:rsidRPr="0023349B">
        <w:rPr>
          <w:rFonts w:ascii="Times New Roman" w:hAnsi="Times New Roman" w:cs="Times New Roman"/>
        </w:rPr>
        <w:t xml:space="preserve"> </w:t>
      </w:r>
      <w:r w:rsidR="00C47C60" w:rsidRPr="0023349B">
        <w:rPr>
          <w:rFonts w:ascii="Times New Roman" w:hAnsi="Times New Roman" w:cs="Times New Roman"/>
        </w:rPr>
        <w:t>–</w:t>
      </w:r>
      <w:r w:rsidRPr="0023349B">
        <w:rPr>
          <w:rFonts w:ascii="Times New Roman" w:hAnsi="Times New Roman" w:cs="Times New Roman"/>
        </w:rPr>
        <w:t xml:space="preserve"> wskazuje zakres podmiotowy </w:t>
      </w:r>
      <w:r w:rsidRPr="0023349B">
        <w:rPr>
          <w:rFonts w:ascii="Times New Roman" w:hAnsi="Times New Roman" w:cs="Times New Roman"/>
          <w:b/>
        </w:rPr>
        <w:t>projektu</w:t>
      </w:r>
      <w:r w:rsidRPr="0023349B">
        <w:rPr>
          <w:rFonts w:ascii="Times New Roman" w:hAnsi="Times New Roman" w:cs="Times New Roman"/>
        </w:rPr>
        <w:t xml:space="preserve"> </w:t>
      </w:r>
      <w:r w:rsidRPr="0023349B">
        <w:rPr>
          <w:rFonts w:ascii="Times New Roman" w:hAnsi="Times New Roman" w:cs="Times New Roman"/>
          <w:i/>
        </w:rPr>
        <w:t>ustawy</w:t>
      </w:r>
      <w:r w:rsidRPr="0023349B">
        <w:rPr>
          <w:rFonts w:ascii="Times New Roman" w:hAnsi="Times New Roman" w:cs="Times New Roman"/>
        </w:rPr>
        <w:t>. Zgodnie z projektowanym przepisem, dodatek mieszkaniowy powiększony o dopłatę</w:t>
      </w:r>
      <w:r w:rsidR="00C31B52" w:rsidRPr="0023349B">
        <w:rPr>
          <w:rFonts w:ascii="Times New Roman" w:hAnsi="Times New Roman" w:cs="Times New Roman"/>
        </w:rPr>
        <w:t xml:space="preserve"> z Funduszu Przeciwdziałania COVID-19</w:t>
      </w:r>
      <w:r w:rsidR="00193AD6" w:rsidRPr="0023349B">
        <w:rPr>
          <w:rFonts w:ascii="Times New Roman" w:hAnsi="Times New Roman" w:cs="Times New Roman"/>
        </w:rPr>
        <w:t xml:space="preserve"> </w:t>
      </w:r>
      <w:r w:rsidRPr="0023349B">
        <w:rPr>
          <w:rFonts w:ascii="Times New Roman" w:hAnsi="Times New Roman" w:cs="Times New Roman"/>
        </w:rPr>
        <w:t xml:space="preserve">(dalej: dopłata do czynszu) może zostać przyznany najemcom oraz podnajemcom lokali mieszkalnych. Ponadto przepis określa wysokość dopłaty do czynszu. Zgodnie z przyjętym rozwiązaniem dodatek </w:t>
      </w:r>
      <w:r w:rsidR="00C31B52" w:rsidRPr="0023349B">
        <w:rPr>
          <w:rFonts w:ascii="Times New Roman" w:hAnsi="Times New Roman" w:cs="Times New Roman"/>
        </w:rPr>
        <w:t xml:space="preserve">powiększony o dopłatę do czynszu </w:t>
      </w:r>
      <w:r w:rsidRPr="0023349B">
        <w:rPr>
          <w:rFonts w:ascii="Times New Roman" w:hAnsi="Times New Roman" w:cs="Times New Roman"/>
        </w:rPr>
        <w:t xml:space="preserve">ma stanowić 75% miesięcznego czynszu opłaconego przez najemcę za zajmowany lokal, przy czym nie więcej niż 1.500 zł miesięcznie. Wysokość dopłaty stanowić ma różnicę między kwotą dodatku mieszkaniowego przyznanego na zasadach projektowanej ustawy a kwotą dodatku mieszkaniowego jaka zostałaby przyznana na zasadach </w:t>
      </w:r>
      <w:proofErr w:type="spellStart"/>
      <w:r w:rsidRPr="0023349B">
        <w:rPr>
          <w:rFonts w:ascii="Times New Roman" w:hAnsi="Times New Roman" w:cs="Times New Roman"/>
        </w:rPr>
        <w:t>udm</w:t>
      </w:r>
      <w:proofErr w:type="spellEnd"/>
      <w:r w:rsidRPr="0023349B">
        <w:rPr>
          <w:rFonts w:ascii="Times New Roman" w:hAnsi="Times New Roman" w:cs="Times New Roman"/>
        </w:rPr>
        <w:t>. Kwota dopłaty ma być wyszczególniana w decyzji przyznającej dodatek mieszkaniowy powiększony o tę dopłatę. Rozwiązanie to ma ułatwić rozliczenie środków przekazywanych gminie na wypłatę dopłat oraz ewentualne dochodzenie zwrotu kwoty dopłaty w przypadku stwierdzenia, że została przyznana nienależnie.</w:t>
      </w:r>
      <w:r w:rsidR="00193AD6"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Art. 15zzzid</w:t>
      </w:r>
      <w:r w:rsidRPr="0023349B">
        <w:rPr>
          <w:rFonts w:ascii="Times New Roman" w:hAnsi="Times New Roman" w:cs="Times New Roman"/>
        </w:rPr>
        <w:t xml:space="preserve"> – określa warunki uzyskania dodatku mieszkaniowego powiększonego o dopłatę do czynszu. Będzie on przysługiwać, jeżeli:</w:t>
      </w:r>
    </w:p>
    <w:p w:rsidR="00C268CB" w:rsidRPr="0023349B" w:rsidRDefault="00C268CB" w:rsidP="0023349B">
      <w:pPr>
        <w:numPr>
          <w:ilvl w:val="0"/>
          <w:numId w:val="19"/>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średni miesięczny dochód na jednego członka gospodarstwa domowego najemcy</w:t>
      </w:r>
      <w:r w:rsidR="00C31B52" w:rsidRPr="0023349B">
        <w:rPr>
          <w:rFonts w:ascii="Times New Roman" w:hAnsi="Times New Roman" w:cs="Times New Roman"/>
        </w:rPr>
        <w:t xml:space="preserve"> lub podnajemcy</w:t>
      </w:r>
      <w:r w:rsidRPr="0023349B">
        <w:rPr>
          <w:rFonts w:ascii="Times New Roman" w:hAnsi="Times New Roman" w:cs="Times New Roman"/>
        </w:rPr>
        <w:t xml:space="preserve"> w okresie 3 miesięcy poprzedzających datę złożenia wniosku o przyznanie dodatku mieszkaniowego jest co najmniej o 25% niższy niż średni miesięczny dochód na jednego członka gospodarstwa domowego osiągnięty w roku 2019; </w:t>
      </w:r>
    </w:p>
    <w:p w:rsidR="00C268CB" w:rsidRPr="0023349B" w:rsidRDefault="00C31B52" w:rsidP="0023349B">
      <w:pPr>
        <w:numPr>
          <w:ilvl w:val="0"/>
          <w:numId w:val="19"/>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ubiegający się </w:t>
      </w:r>
      <w:r w:rsidR="00C268CB" w:rsidRPr="0023349B">
        <w:rPr>
          <w:rFonts w:ascii="Times New Roman" w:hAnsi="Times New Roman" w:cs="Times New Roman"/>
        </w:rPr>
        <w:t xml:space="preserve">najemca był najemcą </w:t>
      </w:r>
      <w:r w:rsidRPr="0023349B">
        <w:rPr>
          <w:rFonts w:ascii="Times New Roman" w:hAnsi="Times New Roman" w:cs="Times New Roman"/>
        </w:rPr>
        <w:t xml:space="preserve">albo podnajemcą </w:t>
      </w:r>
      <w:r w:rsidR="00C268CB" w:rsidRPr="0023349B">
        <w:rPr>
          <w:rFonts w:ascii="Times New Roman" w:hAnsi="Times New Roman" w:cs="Times New Roman"/>
        </w:rPr>
        <w:t>lokalu mieszkalnego przed dniem 14 marca 2020 r. oraz</w:t>
      </w:r>
    </w:p>
    <w:p w:rsidR="00C268CB" w:rsidRPr="0023349B" w:rsidRDefault="00C31B52" w:rsidP="0023349B">
      <w:pPr>
        <w:numPr>
          <w:ilvl w:val="0"/>
          <w:numId w:val="19"/>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ubiegającemu się </w:t>
      </w:r>
      <w:r w:rsidR="00C268CB" w:rsidRPr="0023349B">
        <w:rPr>
          <w:rFonts w:ascii="Times New Roman" w:hAnsi="Times New Roman" w:cs="Times New Roman"/>
        </w:rPr>
        <w:t xml:space="preserve">najemcy nie przysługiwał wcześniej dodatek mieszkaniowy powiększony o dopłatę do czynszu.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Art. 15zzzie</w:t>
      </w:r>
      <w:r w:rsidRPr="0023349B">
        <w:rPr>
          <w:rFonts w:ascii="Times New Roman" w:hAnsi="Times New Roman" w:cs="Times New Roman"/>
        </w:rPr>
        <w:t xml:space="preserve"> – w rozumieniu projektowanej ustawy dodatek mieszkaniowy powiększony o dopłatę do czynszu pozostaje dodatkiem mieszkaniowym w rozumieniu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i tym samym nie wymaga wprowadzenia innego sposobu jego przyznawania jak decyzją administracyjną, o której mowa </w:t>
      </w:r>
      <w:r w:rsidRPr="0023349B">
        <w:rPr>
          <w:rFonts w:ascii="Times New Roman" w:hAnsi="Times New Roman" w:cs="Times New Roman"/>
          <w:b/>
          <w:bCs/>
        </w:rPr>
        <w:t xml:space="preserve">w art. 7 ust. 1 tej </w:t>
      </w:r>
      <w:r w:rsidRPr="0023349B">
        <w:rPr>
          <w:rFonts w:ascii="Times New Roman" w:hAnsi="Times New Roman" w:cs="Times New Roman"/>
          <w:b/>
          <w:bCs/>
          <w:i/>
        </w:rPr>
        <w:t>ustawy</w:t>
      </w:r>
      <w:r w:rsidRPr="0023349B">
        <w:rPr>
          <w:rFonts w:ascii="Times New Roman" w:hAnsi="Times New Roman" w:cs="Times New Roman"/>
        </w:rPr>
        <w:t>. Jedyny dodawany projektowaną ustawą wymóg, to wymóg umieszczenia na wniosku o dodatek mieszkaniowy adnotacji</w:t>
      </w:r>
      <w:r w:rsidR="00C31B52" w:rsidRPr="0023349B">
        <w:rPr>
          <w:rFonts w:ascii="Times New Roman" w:hAnsi="Times New Roman" w:cs="Times New Roman"/>
        </w:rPr>
        <w:t xml:space="preserve"> „wniosek o dodatek mieszkaniowy powiększony o dopłatę do czynszu” (dalej: adnotacja)</w:t>
      </w:r>
      <w:r w:rsidRPr="0023349B">
        <w:rPr>
          <w:rFonts w:ascii="Times New Roman" w:hAnsi="Times New Roman" w:cs="Times New Roman"/>
        </w:rPr>
        <w:t xml:space="preserve"> pozwalającej prowadzącemu postępowanie stwierdzić, że wnioskodawca ubiega się o dodatek powiększony o dopłatę, a nie o zwykły dodatek mieszkaniowy. Przesądzono także, że dodatek powiększony o dopłatę będzie przyznawany na podstawie wniosków złożonych do 31 grudnia 2020 r. Ponadto przyjęto rozwiązanie, zgodnie z którym dodatek mieszkaniowy powiększony o dopłatę do czynszu przyznawany będzie z mocą wsteczną, o ile będą zachodzić przesłanki przyznania dodatku mieszkaniowego z mocą wsteczną, o których mowa w ustawie o dopłatach do oprocentowania kredytów bankowych udzielanych na zapewnienie płynności finansowej przedsiębiorcom dotkniętym skutkami COVID-19 oraz o zmianie niektórych innych ustaw.</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W ust. 2</w:t>
      </w:r>
      <w:r w:rsidRPr="0023349B">
        <w:rPr>
          <w:rFonts w:ascii="Times New Roman" w:hAnsi="Times New Roman" w:cs="Times New Roman"/>
        </w:rPr>
        <w:t xml:space="preserve"> przepis określa ponadto dodatkowe dokumenty jakie osoba ubiegająca się o dodatek powiększony o dopłatę będzie musiała dołączyć do wniosku. Będzie to: </w:t>
      </w:r>
    </w:p>
    <w:p w:rsidR="00C268CB" w:rsidRPr="0023349B" w:rsidRDefault="00C268CB" w:rsidP="0023349B">
      <w:pPr>
        <w:numPr>
          <w:ilvl w:val="0"/>
          <w:numId w:val="24"/>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oświadczenie o średnim miesięcznym dochodzie przypadającym na jednego członka gospodarstwa domowego najemcy w roku 2019;</w:t>
      </w:r>
    </w:p>
    <w:p w:rsidR="00C268CB" w:rsidRPr="0023349B" w:rsidRDefault="00C268CB" w:rsidP="0023349B">
      <w:pPr>
        <w:numPr>
          <w:ilvl w:val="0"/>
          <w:numId w:val="24"/>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oświadczenie o spełnianiu przez najemcę warunków przysługiwania dopłaty do dodatku mieszkaniowego, o których mowa w projektowanym </w:t>
      </w:r>
      <w:r w:rsidRPr="0023349B">
        <w:rPr>
          <w:rFonts w:ascii="Times New Roman" w:hAnsi="Times New Roman" w:cs="Times New Roman"/>
          <w:b/>
          <w:bCs/>
        </w:rPr>
        <w:t>art. 3 ust. 1 pkt 2 i 3</w:t>
      </w:r>
      <w:r w:rsidRPr="0023349B">
        <w:rPr>
          <w:rFonts w:ascii="Times New Roman" w:hAnsi="Times New Roman" w:cs="Times New Roman"/>
        </w:rPr>
        <w:t>;</w:t>
      </w:r>
    </w:p>
    <w:p w:rsidR="00C268CB" w:rsidRPr="0023349B" w:rsidRDefault="00C268CB" w:rsidP="0023349B">
      <w:pPr>
        <w:numPr>
          <w:ilvl w:val="0"/>
          <w:numId w:val="24"/>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dokumenty potwierdzające wysokość miesięcznego czynszu płaconego przez najemcę.</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Zgodnie z ust. 5</w:t>
      </w:r>
      <w:r w:rsidRPr="0023349B">
        <w:rPr>
          <w:rFonts w:ascii="Times New Roman" w:hAnsi="Times New Roman" w:cs="Times New Roman"/>
        </w:rPr>
        <w:t xml:space="preserve"> oświadczenia składane będę pod rygorem odpowiedzialności karnej co jest rozwiązaniem spójnym z rozwiązaniami przyjętymi w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przepisie, </w:t>
      </w:r>
      <w:r w:rsidRPr="0023349B">
        <w:rPr>
          <w:rFonts w:ascii="Times New Roman" w:hAnsi="Times New Roman" w:cs="Times New Roman"/>
          <w:b/>
          <w:bCs/>
        </w:rPr>
        <w:t>zgodnie z ust. 3</w:t>
      </w:r>
      <w:r w:rsidRPr="0023349B">
        <w:rPr>
          <w:rFonts w:ascii="Times New Roman" w:hAnsi="Times New Roman" w:cs="Times New Roman"/>
        </w:rPr>
        <w:t>, wskazano, że warunek wynajmowania lokalu mieszkalnego przed dniem 14 marca 2020 r. będzie uznany za spełniony jeżeli najemca wynajmował w tym czasie inny lokal. Ma to na celu objęcie prawem do dodatku mieszkaniowego powiększonego o dopłatę osób, które w czasie obowiązywania stanu zagrożenia epidemiologicznego oraz stanu epidemii przeprowadziły się do innego, np. tańszego lokalu.</w:t>
      </w:r>
      <w:r w:rsidR="00193AD6"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W ust. 4</w:t>
      </w:r>
      <w:r w:rsidRPr="0023349B">
        <w:rPr>
          <w:rFonts w:ascii="Times New Roman" w:hAnsi="Times New Roman" w:cs="Times New Roman"/>
        </w:rPr>
        <w:t xml:space="preserve"> rozstrzygnięto również, że </w:t>
      </w:r>
      <w:r w:rsidR="00C31B52" w:rsidRPr="0023349B">
        <w:rPr>
          <w:rFonts w:ascii="Times New Roman" w:hAnsi="Times New Roman" w:cs="Times New Roman"/>
        </w:rPr>
        <w:t xml:space="preserve">jeżeli </w:t>
      </w:r>
      <w:r w:rsidR="00C31B52" w:rsidRPr="0023349B">
        <w:rPr>
          <w:rFonts w:ascii="Times New Roman" w:eastAsia="Times New Roman" w:hAnsi="Times New Roman" w:cs="Times New Roman"/>
          <w:kern w:val="0"/>
          <w:szCs w:val="20"/>
          <w:lang w:eastAsia="pl-PL" w:bidi="ar-SA"/>
        </w:rPr>
        <w:t>wysokość miesięcznego czynszu opłacanego w dniu 14 marca 2020 r. jest niższa niż wysokość miesięcznego czynszu opłacanego w dniu składania wniosku o dodatek z adnotacją, wysokość miesięcznego czynszu będącą podstawą obliczenia dodatku mieszkaniowego powiększonego o dopłatę do czynszu ustala się według stanu na dzień 14 marca 2020 r. W takim przypadku ubiegający się o dodatek mieszkaniowy powiększony o dopłatę do czynszu składa dokumenty potwierdzające wysokość miesięcznego czynszu według stanu na dzień 14 marca 2020 r.</w:t>
      </w:r>
      <w:r w:rsidR="00C31B52" w:rsidRPr="0023349B">
        <w:rPr>
          <w:rFonts w:ascii="Times New Roman" w:hAnsi="Times New Roman" w:cs="Times New Roman"/>
        </w:rPr>
        <w:t xml:space="preserve"> </w:t>
      </w:r>
      <w:r w:rsidRPr="0023349B">
        <w:rPr>
          <w:rFonts w:ascii="Times New Roman" w:hAnsi="Times New Roman" w:cs="Times New Roman"/>
        </w:rPr>
        <w:t xml:space="preserve">Rozwiązanie to ma zapobiegać celowemu podnoszeniu czynszu w celu uzyskania wyższego dodatku mieszkaniowego.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W ust. 6</w:t>
      </w:r>
      <w:r w:rsidRPr="0023349B">
        <w:rPr>
          <w:rFonts w:ascii="Times New Roman" w:hAnsi="Times New Roman" w:cs="Times New Roman"/>
        </w:rPr>
        <w:t xml:space="preserve"> wprowadzono rozstrzygnięcie ewentualnych wątpliwości, co do przyznawania dodatku mieszkaniowego w wysokości określonej w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w sytuacji gdy ubiegający się o dodatek mieszkaniowy powiększony o dopłatę spełnia warunki przyznania zwykłego dodatku mieszkaniowego a nie spełnia warunków przyznania dodatku powiększonego o dopłatę. W sytuacji takiej organ przyznawać będzie dodatek mieszkaniowy w wysokości wynikającej z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Art. 15zzzif</w:t>
      </w:r>
      <w:r w:rsidRPr="0023349B">
        <w:rPr>
          <w:rFonts w:ascii="Times New Roman" w:hAnsi="Times New Roman" w:cs="Times New Roman"/>
        </w:rPr>
        <w:t xml:space="preserve"> – określa sposób finansowania środków na dopłaty. Zgodnie z tym przepisem wypłata dopłaty do dodatku mieszkaniowego stanowić będzie zadanie związane z przeciwdziałaniem COVID-19 w rozumieniu art. 2 ust. 2 ustawy z dnia 2 marca 2020 r. o szczególnych rozwiązaniach związanych z zapobieganiem, przeciwdziałaniem i zwalczaniem COVID-19, innych chorób zakaźnych oraz wywołanych nimi sytuacji kryzysowych.</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Ponadto przewiduje się, że środki na wypłatę dopłat do dodatków mieszkaniowych przekazywane będą gminie na jej wniosek. Organem przekazującym te środki będzie wojewoda. W ww. wniosku gmina zobowiązana będzie wskazać wysokość szacunkowego zapotrzebowania na środki z rozbiciem na poszczególne miesiące półrocza. Środki, o których mowa powyżej, wojewoda będzie przekazywał gminie w miesięcznych ratach, do 5 dnia każdego miesiąca. Rozliczenie środków otrzymanych w danym miesiącu gmina przekazywać będzie wojewodzie w terminie do 15 dnia miesiąca następnego. Niewykorzystane w danym miesiącu środki zaliczane będą na poczet środków wypłacanych w miesiącu następnym albo będą podlegać zwrotowi wojewodzie. Powyższe terminy ustalono z uwzględnieniem terminów wypłaty dodatków mieszkaniowych, które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wyznacza do 10 dnia miesiąca.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W ust. 3</w:t>
      </w:r>
      <w:r w:rsidRPr="0023349B">
        <w:rPr>
          <w:rFonts w:ascii="Times New Roman" w:hAnsi="Times New Roman" w:cs="Times New Roman"/>
        </w:rPr>
        <w:t xml:space="preserve"> ustalono wysokość kosztów realizacji zadania przez gminy, która zostanie pokryta ze środków przekazywanych przez wojewodę. Wysokość tych kosztów ustalono na poziomie 1% przekazywanych środków. Koszt ten odzwierciadla nakład pracy i kosztów ponoszonych głównie z koniecznością dodatkowych czynności sprawdzających przeprowadzanych w ramach postępowania o przyznanie dodatku mieszkaniowego oraz obsługi dokumentacji rozliczeniowej i wniosków o środki na dopłaty.</w:t>
      </w:r>
      <w:r w:rsidR="00193AD6"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ust. 7 wskazano, że środki stanowią dochód jednostek samorządu terytorialnego w rozumieniu </w:t>
      </w:r>
      <w:r w:rsidRPr="0023349B">
        <w:rPr>
          <w:rFonts w:ascii="Times New Roman" w:hAnsi="Times New Roman" w:cs="Times New Roman"/>
          <w:i/>
        </w:rPr>
        <w:t>ustawy z dnia 13 listopada 2003 r. o dochodach jednostek samorządu terytorialnego</w:t>
      </w:r>
      <w:r w:rsidRPr="0023349B">
        <w:rPr>
          <w:rFonts w:ascii="Times New Roman" w:hAnsi="Times New Roman" w:cs="Times New Roman"/>
        </w:rPr>
        <w:t xml:space="preserve"> (Dz. U. z 2020 r. poz. 23, 374).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Art. 15zzzig</w:t>
      </w:r>
      <w:r w:rsidRPr="0023349B">
        <w:rPr>
          <w:rFonts w:ascii="Times New Roman" w:hAnsi="Times New Roman" w:cs="Times New Roman"/>
        </w:rPr>
        <w:t xml:space="preserve"> – określa źródło finansowania środków na dopłaty. Projekt przewiduje, iż środki na dopłaty pochodzić będą z Funduszu Przeciwdziałania COVID-19, o którym mowa w art. 65 </w:t>
      </w:r>
      <w:r w:rsidRPr="0023349B">
        <w:rPr>
          <w:rFonts w:ascii="Times New Roman" w:hAnsi="Times New Roman" w:cs="Times New Roman"/>
          <w:i/>
        </w:rPr>
        <w:t>ustawy z dnia 31 marca 2020 r. o zmianie ustawy o szczególnych rozwiązaniach związanych z zapobieganiem, przeciwdziałaniem i zwalczaniem COVID-19</w:t>
      </w:r>
      <w:r w:rsidRPr="0023349B">
        <w:rPr>
          <w:rFonts w:ascii="Times New Roman" w:hAnsi="Times New Roman" w:cs="Times New Roman"/>
        </w:rPr>
        <w:t>,</w:t>
      </w:r>
      <w:r w:rsidRPr="0023349B">
        <w:rPr>
          <w:rFonts w:ascii="Times New Roman" w:hAnsi="Times New Roman" w:cs="Times New Roman"/>
          <w:i/>
          <w:iCs/>
        </w:rPr>
        <w:t xml:space="preserve"> innych chorób zakaźnych oraz wywołanych nimi sytuacji kryzysowych oraz niektórych innych ustaw</w:t>
      </w:r>
      <w:r w:rsidRPr="0023349B">
        <w:rPr>
          <w:rFonts w:ascii="Times New Roman" w:hAnsi="Times New Roman" w:cs="Times New Roman"/>
        </w:rPr>
        <w:t xml:space="preserve">. Zgodnie z przyjętą w projekcie procedurą, środki dla gmin na ww. dopłaty przekazywane będą wojewodzie z Funduszu Przeciwdziałania COVID-19 na jego wniosek, złożony do ministra właściwego do spraw budownictwa, planowania i zagospodarowania przestrzennego oraz mieszkalnictwa. We wniosku wojewoda zobowiązany będzie wskazać wysokość szacunkowego zapotrzebowania na środki z rozbiciem na poszczególne gminy. Wniosek, o którym mowa powyżej, wojewoda powinien złożyć w terminie </w:t>
      </w:r>
      <w:r w:rsidR="003817FD" w:rsidRPr="0023349B">
        <w:rPr>
          <w:rFonts w:ascii="Times New Roman" w:hAnsi="Times New Roman" w:cs="Times New Roman"/>
        </w:rPr>
        <w:t>nie później niż na 21 dni przed pierwszym dniem półrocza</w:t>
      </w:r>
      <w:r w:rsidRPr="0023349B">
        <w:rPr>
          <w:rFonts w:ascii="Times New Roman" w:hAnsi="Times New Roman" w:cs="Times New Roman"/>
        </w:rPr>
        <w:t xml:space="preserve">, w którym dokonywane mają być wypłaty.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Rozliczenie środków dla gmin otrzymanych w danym kwartale wojewoda przekazywać będzie ministrowi właściwemu do spraw budownictwa, planowania i zagospodarowania przestrzennego oraz mieszkalnictwa </w:t>
      </w:r>
      <w:r w:rsidR="003817FD" w:rsidRPr="0023349B">
        <w:rPr>
          <w:rFonts w:ascii="Times New Roman" w:hAnsi="Times New Roman" w:cs="Times New Roman"/>
        </w:rPr>
        <w:t>w terminie do ostatniego dnia kwartału następującego po kwartale</w:t>
      </w:r>
      <w:r w:rsidRPr="0023349B">
        <w:rPr>
          <w:rFonts w:ascii="Times New Roman" w:hAnsi="Times New Roman" w:cs="Times New Roman"/>
        </w:rPr>
        <w:t xml:space="preserve">, w którym dokonywane miały być wypłaty. Niewykorzystane w danym kwartale środki wojewoda przeznaczać będzie do przekazania gminom na wypłaty dopłat do dodatku mieszkaniowego w kwartale następnym albo zwracać do Funduszu Przeciwdziałania COVID-19.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Art. 15zzzih</w:t>
      </w:r>
      <w:r w:rsidRPr="0023349B">
        <w:rPr>
          <w:rFonts w:ascii="Times New Roman" w:hAnsi="Times New Roman" w:cs="Times New Roman"/>
        </w:rPr>
        <w:t xml:space="preserve"> – przewiduje możliwość złożenia przez gminę korekty wniosku o przekazanie jej środków na wypłatę dopłat do czynszu. Ponadto przepis ten umożliwia wojewodzie wystąpienie z wnioskiem o dodatkowe środki dla gmin, w przypadku gdy przekazane wojewodzie środki dla gmin są niewystarczające do pokrycia wyższego na nie zapotrzebowania. Przepis ten ma na celu możliwość uruchomienia dodatkowych środków w przypadku gdy zapotrzebowanie na nie przerośnie pierwotne prognozy. </w:t>
      </w:r>
    </w:p>
    <w:p w:rsidR="00C268CB" w:rsidRPr="0023349B" w:rsidRDefault="00C268CB" w:rsidP="0023349B">
      <w:pPr>
        <w:spacing w:after="240" w:line="360" w:lineRule="auto"/>
        <w:jc w:val="both"/>
        <w:rPr>
          <w:rFonts w:ascii="Times New Roman" w:hAnsi="Times New Roman" w:cs="Times New Roman"/>
          <w:b/>
          <w:bCs/>
        </w:rPr>
      </w:pPr>
      <w:r w:rsidRPr="0023349B">
        <w:rPr>
          <w:rFonts w:ascii="Times New Roman" w:hAnsi="Times New Roman" w:cs="Times New Roman"/>
          <w:b/>
          <w:bCs/>
        </w:rPr>
        <w:t xml:space="preserve">Art. </w:t>
      </w:r>
      <w:r w:rsidR="000E525D" w:rsidRPr="0023349B">
        <w:rPr>
          <w:rFonts w:ascii="Times New Roman" w:hAnsi="Times New Roman" w:cs="Times New Roman"/>
          <w:b/>
          <w:bCs/>
        </w:rPr>
        <w:t>23</w:t>
      </w:r>
      <w:r w:rsidRPr="0023349B">
        <w:rPr>
          <w:rFonts w:ascii="Times New Roman" w:hAnsi="Times New Roman" w:cs="Times New Roman"/>
          <w:b/>
          <w:bCs/>
        </w:rPr>
        <w:t xml:space="preserve"> </w:t>
      </w:r>
      <w:r w:rsidR="00C47C60" w:rsidRPr="0023349B">
        <w:rPr>
          <w:rFonts w:ascii="Times New Roman" w:hAnsi="Times New Roman" w:cs="Times New Roman"/>
          <w:b/>
          <w:bCs/>
        </w:rPr>
        <w:t>–</w:t>
      </w:r>
      <w:r w:rsidR="000E525D" w:rsidRPr="0023349B">
        <w:rPr>
          <w:rFonts w:ascii="Times New Roman" w:hAnsi="Times New Roman" w:cs="Times New Roman"/>
          <w:b/>
          <w:bCs/>
        </w:rPr>
        <w:t xml:space="preserve"> Z</w:t>
      </w:r>
      <w:r w:rsidRPr="0023349B">
        <w:rPr>
          <w:rFonts w:ascii="Times New Roman" w:hAnsi="Times New Roman" w:cs="Times New Roman"/>
          <w:b/>
          <w:bCs/>
        </w:rPr>
        <w:t>miana ustawy z dnia 31 marca 2020 r.</w:t>
      </w:r>
      <w:r w:rsidRPr="0023349B">
        <w:rPr>
          <w:rFonts w:ascii="Times New Roman" w:hAnsi="Times New Roman" w:cs="Times New Roman"/>
          <w:b/>
          <w:bCs/>
          <w:i/>
        </w:rPr>
        <w:t xml:space="preserve"> </w:t>
      </w:r>
      <w:r w:rsidRPr="0023349B">
        <w:rPr>
          <w:rFonts w:ascii="Times New Roman" w:hAnsi="Times New Roman" w:cs="Times New Roman"/>
          <w:b/>
          <w:bCs/>
        </w:rPr>
        <w:t xml:space="preserve">o zmianie ustawy o szczególnych rozwiązaniach związanych z zapobieganiem, przeciwdziałaniem i zwalczaniem </w:t>
      </w:r>
      <w:bookmarkStart w:id="18" w:name="highlightHit_2"/>
      <w:bookmarkEnd w:id="18"/>
      <w:r w:rsidRPr="0023349B">
        <w:rPr>
          <w:rFonts w:ascii="Times New Roman" w:hAnsi="Times New Roman" w:cs="Times New Roman"/>
          <w:b/>
          <w:bCs/>
        </w:rPr>
        <w:t>COVID-</w:t>
      </w:r>
      <w:bookmarkStart w:id="19" w:name="highlightHit_3"/>
      <w:bookmarkEnd w:id="19"/>
      <w:r w:rsidRPr="0023349B">
        <w:rPr>
          <w:rFonts w:ascii="Times New Roman" w:hAnsi="Times New Roman" w:cs="Times New Roman"/>
          <w:b/>
          <w:bCs/>
        </w:rPr>
        <w:t>19, innych chorób zakaźnych oraz wywołanych nimi sytuacji kryzysowych oraz niektórych innych ustaw</w:t>
      </w:r>
    </w:p>
    <w:p w:rsidR="00C268CB" w:rsidRPr="0023349B" w:rsidRDefault="00D2714B" w:rsidP="0023349B">
      <w:pPr>
        <w:spacing w:after="240" w:line="360" w:lineRule="auto"/>
        <w:jc w:val="both"/>
        <w:rPr>
          <w:rFonts w:ascii="Times New Roman" w:hAnsi="Times New Roman" w:cs="Times New Roman"/>
          <w:bCs/>
        </w:rPr>
      </w:pPr>
      <w:r w:rsidRPr="0023349B">
        <w:rPr>
          <w:rFonts w:ascii="Times New Roman" w:hAnsi="Times New Roman" w:cs="Times New Roman"/>
          <w:bCs/>
        </w:rPr>
        <w:t>Z</w:t>
      </w:r>
      <w:r w:rsidR="00C268CB" w:rsidRPr="0023349B">
        <w:rPr>
          <w:rFonts w:ascii="Times New Roman" w:hAnsi="Times New Roman" w:cs="Times New Roman"/>
          <w:bCs/>
        </w:rPr>
        <w:t xml:space="preserve">godnie </w:t>
      </w:r>
      <w:r w:rsidR="00C268CB" w:rsidRPr="0023349B">
        <w:rPr>
          <w:rFonts w:ascii="Times New Roman" w:hAnsi="Times New Roman" w:cs="Times New Roman"/>
          <w:b/>
        </w:rPr>
        <w:t xml:space="preserve">z art. 8² ust. 4 </w:t>
      </w:r>
      <w:r w:rsidR="00C268CB" w:rsidRPr="0023349B">
        <w:rPr>
          <w:rFonts w:ascii="Times New Roman" w:hAnsi="Times New Roman" w:cs="Times New Roman"/>
          <w:b/>
          <w:i/>
        </w:rPr>
        <w:t>ustawy z dnia 15 grudnia 2000 r. o spółdzielniach mieszkaniowych</w:t>
      </w:r>
      <w:r w:rsidR="00C268CB" w:rsidRPr="0023349B">
        <w:rPr>
          <w:rFonts w:ascii="Times New Roman" w:hAnsi="Times New Roman" w:cs="Times New Roman"/>
          <w:bCs/>
        </w:rPr>
        <w:t xml:space="preserve"> (Dz. U. z 2018 r. poz. 845) kadencja rady nadzorczej nie może trwać dłużej niż 3 lata. Członków rady nadzorczej, stosownie do </w:t>
      </w:r>
      <w:r w:rsidR="00C268CB" w:rsidRPr="0023349B">
        <w:rPr>
          <w:rFonts w:ascii="Times New Roman" w:hAnsi="Times New Roman" w:cs="Times New Roman"/>
          <w:b/>
        </w:rPr>
        <w:t xml:space="preserve">art. 45 § 1 ustawy z dnia 16 września 1982 r. </w:t>
      </w:r>
      <w:r w:rsidR="00C47C60" w:rsidRPr="0023349B">
        <w:rPr>
          <w:rFonts w:ascii="Times New Roman" w:hAnsi="Times New Roman" w:cs="Times New Roman"/>
          <w:b/>
        </w:rPr>
        <w:t>–</w:t>
      </w:r>
      <w:r w:rsidR="00C268CB" w:rsidRPr="0023349B">
        <w:rPr>
          <w:rFonts w:ascii="Times New Roman" w:hAnsi="Times New Roman" w:cs="Times New Roman"/>
          <w:b/>
        </w:rPr>
        <w:t xml:space="preserve"> </w:t>
      </w:r>
      <w:r w:rsidR="00C268CB" w:rsidRPr="0023349B">
        <w:rPr>
          <w:rFonts w:ascii="Times New Roman" w:hAnsi="Times New Roman" w:cs="Times New Roman"/>
          <w:b/>
          <w:i/>
        </w:rPr>
        <w:t>Prawo spółdzielcze</w:t>
      </w:r>
      <w:r w:rsidRPr="0023349B">
        <w:rPr>
          <w:rFonts w:ascii="Times New Roman" w:hAnsi="Times New Roman" w:cs="Times New Roman"/>
          <w:bCs/>
        </w:rPr>
        <w:t xml:space="preserve"> (Dz. </w:t>
      </w:r>
      <w:r w:rsidR="00C268CB" w:rsidRPr="0023349B">
        <w:rPr>
          <w:rFonts w:ascii="Times New Roman" w:hAnsi="Times New Roman" w:cs="Times New Roman"/>
          <w:bCs/>
        </w:rPr>
        <w:t>U. z 2020 r. poz. 275.) wybiera walne zgromadzenie. Z uwagi na trwający stan epidemii i</w:t>
      </w:r>
      <w:r w:rsidRPr="0023349B">
        <w:rPr>
          <w:rFonts w:ascii="Times New Roman" w:hAnsi="Times New Roman" w:cs="Times New Roman"/>
          <w:bCs/>
        </w:rPr>
        <w:t> </w:t>
      </w:r>
      <w:r w:rsidR="00C268CB" w:rsidRPr="0023349B">
        <w:rPr>
          <w:rFonts w:ascii="Times New Roman" w:hAnsi="Times New Roman" w:cs="Times New Roman"/>
          <w:bCs/>
        </w:rPr>
        <w:t xml:space="preserve">ograniczenie możliwości zorganizowania walnego zgromadzenia wynikające </w:t>
      </w:r>
      <w:r w:rsidRPr="0023349B">
        <w:rPr>
          <w:rFonts w:ascii="Times New Roman" w:hAnsi="Times New Roman" w:cs="Times New Roman"/>
          <w:b/>
        </w:rPr>
        <w:t>z art. 90 ustawy z </w:t>
      </w:r>
      <w:r w:rsidR="00C268CB" w:rsidRPr="0023349B">
        <w:rPr>
          <w:rFonts w:ascii="Times New Roman" w:hAnsi="Times New Roman" w:cs="Times New Roman"/>
          <w:b/>
        </w:rPr>
        <w:t>dnia 31 marca 2020 r. o zmianie ustawy o szczegól</w:t>
      </w:r>
      <w:r w:rsidRPr="0023349B">
        <w:rPr>
          <w:rFonts w:ascii="Times New Roman" w:hAnsi="Times New Roman" w:cs="Times New Roman"/>
          <w:b/>
        </w:rPr>
        <w:t>nych rozwiązaniach związanych z </w:t>
      </w:r>
      <w:r w:rsidR="00C268CB" w:rsidRPr="0023349B">
        <w:rPr>
          <w:rFonts w:ascii="Times New Roman" w:hAnsi="Times New Roman" w:cs="Times New Roman"/>
          <w:b/>
        </w:rPr>
        <w:t>zapobieganiem, przeciwdziałaniem i zwalczaniem COVID-19, innych chorób zakaźnych oraz wywołanych nimi sytuacji kryzysowych oraz niektórych innych ustaw</w:t>
      </w:r>
      <w:r w:rsidR="00C268CB" w:rsidRPr="0023349B">
        <w:rPr>
          <w:rFonts w:ascii="Times New Roman" w:hAnsi="Times New Roman" w:cs="Times New Roman"/>
          <w:bCs/>
        </w:rPr>
        <w:t xml:space="preserve"> (Dz. U. Poz. 568) nie istnieje możliwości wyboru składu nowej rady, w przypadku upływu kadencji dotychczasowej rady. W celu zapewnienia funkcjonowania organu nadzorczo-kontrolnego spółdzielni mieszkaniowej uzasadnione i niezbędne jest zatem przedłużenie kadencji istniejącej rady do czasu zwołania walnego zgromadzenia nie dłużej niż </w:t>
      </w:r>
      <w:r w:rsidR="00E57972" w:rsidRPr="0023349B">
        <w:rPr>
          <w:rFonts w:ascii="Times New Roman" w:hAnsi="Times New Roman" w:cs="Times New Roman"/>
          <w:bCs/>
        </w:rPr>
        <w:t>o 3 miesią</w:t>
      </w:r>
      <w:r w:rsidR="007338A2" w:rsidRPr="0023349B">
        <w:rPr>
          <w:rFonts w:ascii="Times New Roman" w:hAnsi="Times New Roman" w:cs="Times New Roman"/>
          <w:bCs/>
        </w:rPr>
        <w:t xml:space="preserve">ce </w:t>
      </w:r>
      <w:r w:rsidR="00C268CB" w:rsidRPr="0023349B">
        <w:rPr>
          <w:rFonts w:ascii="Times New Roman" w:hAnsi="Times New Roman" w:cs="Times New Roman"/>
          <w:bCs/>
        </w:rPr>
        <w:t xml:space="preserve">od dnia odwołania stanu zagrożenia epidemicznego albo stanu epidemii. </w:t>
      </w:r>
    </w:p>
    <w:p w:rsidR="00E25124" w:rsidRPr="0023349B" w:rsidRDefault="00E25124" w:rsidP="0023349B">
      <w:pPr>
        <w:spacing w:after="240" w:line="360" w:lineRule="auto"/>
        <w:jc w:val="both"/>
        <w:rPr>
          <w:rFonts w:ascii="Times New Roman" w:hAnsi="Times New Roman" w:cs="Times New Roman"/>
          <w:b/>
          <w:bCs/>
        </w:rPr>
      </w:pPr>
      <w:r w:rsidRPr="0023349B">
        <w:rPr>
          <w:rFonts w:ascii="Times New Roman" w:hAnsi="Times New Roman" w:cs="Times New Roman"/>
          <w:b/>
          <w:bCs/>
        </w:rPr>
        <w:t xml:space="preserve">Art. </w:t>
      </w:r>
      <w:r w:rsidR="00D2714B" w:rsidRPr="0023349B">
        <w:rPr>
          <w:rFonts w:ascii="Times New Roman" w:hAnsi="Times New Roman" w:cs="Times New Roman"/>
          <w:b/>
          <w:bCs/>
        </w:rPr>
        <w:t>24</w:t>
      </w:r>
      <w:r w:rsidRPr="0023349B">
        <w:rPr>
          <w:rFonts w:ascii="Times New Roman" w:hAnsi="Times New Roman" w:cs="Times New Roman"/>
          <w:b/>
          <w:bCs/>
        </w:rPr>
        <w:t xml:space="preserve"> projektu ustawy</w:t>
      </w:r>
      <w:r w:rsidRPr="0023349B">
        <w:rPr>
          <w:rFonts w:ascii="Times New Roman" w:hAnsi="Times New Roman" w:cs="Times New Roman"/>
          <w:bCs/>
        </w:rPr>
        <w:t xml:space="preserve"> </w:t>
      </w:r>
      <w:r w:rsidR="00C47C60" w:rsidRPr="0023349B">
        <w:rPr>
          <w:rFonts w:ascii="Times New Roman" w:hAnsi="Times New Roman" w:cs="Times New Roman"/>
          <w:bCs/>
        </w:rPr>
        <w:t>–</w:t>
      </w:r>
      <w:r w:rsidRPr="0023349B">
        <w:rPr>
          <w:rFonts w:ascii="Times New Roman" w:hAnsi="Times New Roman" w:cs="Times New Roman"/>
          <w:b/>
          <w:bCs/>
        </w:rPr>
        <w:t xml:space="preserve"> Zmiany ustawy z dnia </w:t>
      </w:r>
      <w:r w:rsidR="0049276A" w:rsidRPr="0023349B">
        <w:rPr>
          <w:rFonts w:ascii="Times New Roman" w:hAnsi="Times New Roman" w:cs="Times New Roman"/>
          <w:b/>
          <w:bCs/>
        </w:rPr>
        <w:t>15 lipca 2020 r.</w:t>
      </w:r>
      <w:r w:rsidR="00193AD6" w:rsidRPr="0023349B">
        <w:rPr>
          <w:rFonts w:ascii="Times New Roman" w:hAnsi="Times New Roman" w:cs="Times New Roman"/>
          <w:b/>
          <w:bCs/>
        </w:rPr>
        <w:t xml:space="preserve"> </w:t>
      </w:r>
      <w:r w:rsidRPr="0023349B">
        <w:rPr>
          <w:rFonts w:ascii="Times New Roman" w:hAnsi="Times New Roman" w:cs="Times New Roman"/>
          <w:b/>
          <w:bCs/>
        </w:rPr>
        <w:t>o zmianie ustawy o zasadach prowadzenia polityki rozwoju oraz niektórych innych ustaw</w:t>
      </w:r>
    </w:p>
    <w:p w:rsidR="00E25124" w:rsidRPr="0023349B" w:rsidRDefault="00E25124"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Przepisy art. 8c i art. 8d ust. 1 ustawy z dnia 27 marca 2003 r. o planowaniu i zagospodarowaniu przestrzennym odsyłają do ramowych studiów uwarunkowań i kierunków zagospodarowania przestrzennego związku metropolitalnego, które to akty zostaną zniesione ustawą o zmianie ustawy o zasadach prowadzenia polityki rozwoju oraz niektórych innych ustaw </w:t>
      </w:r>
      <w:r w:rsidR="0049276A" w:rsidRPr="0023349B">
        <w:rPr>
          <w:rFonts w:ascii="Times New Roman" w:hAnsi="Times New Roman" w:cs="Times New Roman"/>
          <w:bCs/>
        </w:rPr>
        <w:t>(ustawa po podpisaniu przez Prezydenta czeka na publikację w Dz.U.)</w:t>
      </w:r>
      <w:r w:rsidRPr="0023349B">
        <w:rPr>
          <w:rFonts w:ascii="Times New Roman" w:hAnsi="Times New Roman" w:cs="Times New Roman"/>
          <w:bCs/>
        </w:rPr>
        <w:t>. Dlatego konieczna jest nowelizacja, która do ustawy o zmianie ustawy o zasadach prowadzenia polityki rozwoju oraz niektórych innych ustaw wprowadzi konsekwencje uchylenia przepisów o ramowych studiach uwarunkowań i kierunków zagospodarowania przestrzennego związków metropolitalnych.</w:t>
      </w:r>
    </w:p>
    <w:p w:rsidR="00E25124" w:rsidRPr="0023349B" w:rsidRDefault="00E25124" w:rsidP="0023349B">
      <w:pPr>
        <w:spacing w:after="240" w:line="360" w:lineRule="auto"/>
        <w:jc w:val="both"/>
        <w:rPr>
          <w:rFonts w:ascii="Times New Roman" w:hAnsi="Times New Roman" w:cs="Times New Roman"/>
          <w:bCs/>
        </w:rPr>
      </w:pPr>
      <w:r w:rsidRPr="0023349B">
        <w:rPr>
          <w:rFonts w:ascii="Times New Roman" w:hAnsi="Times New Roman" w:cs="Times New Roman"/>
          <w:bCs/>
        </w:rPr>
        <w:t xml:space="preserve">Art. </w:t>
      </w:r>
      <w:r w:rsidR="0049276A" w:rsidRPr="0023349B">
        <w:rPr>
          <w:rFonts w:ascii="Times New Roman" w:hAnsi="Times New Roman" w:cs="Times New Roman"/>
          <w:bCs/>
        </w:rPr>
        <w:t>24</w:t>
      </w:r>
      <w:r w:rsidRPr="0023349B">
        <w:rPr>
          <w:rFonts w:ascii="Times New Roman" w:hAnsi="Times New Roman" w:cs="Times New Roman"/>
          <w:bCs/>
        </w:rPr>
        <w:t xml:space="preserve"> nowelizuje ustawę z dnia </w:t>
      </w:r>
      <w:r w:rsidR="0049276A" w:rsidRPr="0023349B">
        <w:rPr>
          <w:rFonts w:ascii="Times New Roman" w:hAnsi="Times New Roman" w:cs="Times New Roman"/>
          <w:bCs/>
        </w:rPr>
        <w:t>15 lipca 2020 r.</w:t>
      </w:r>
      <w:r w:rsidR="00193AD6" w:rsidRPr="0023349B">
        <w:rPr>
          <w:rFonts w:ascii="Times New Roman" w:hAnsi="Times New Roman" w:cs="Times New Roman"/>
          <w:bCs/>
        </w:rPr>
        <w:t xml:space="preserve"> </w:t>
      </w:r>
      <w:r w:rsidRPr="0023349B">
        <w:rPr>
          <w:rFonts w:ascii="Times New Roman" w:hAnsi="Times New Roman" w:cs="Times New Roman"/>
          <w:bCs/>
        </w:rPr>
        <w:t>o zmianie ustawy o zasadach prowadzenia polityki rozwoju oraz niektórych innych ustaw w okresie jej vacatio legis, co umożliwi jednoczesne wejście w życie przepisów uchylających ramowe studia uwarunkowań i kierunków zagospodarowania przestrzennego związku metropolitalnego oraz ich konsekwencji.</w:t>
      </w:r>
    </w:p>
    <w:p w:rsidR="00E25124" w:rsidRPr="0023349B" w:rsidRDefault="00D2714B" w:rsidP="0023349B">
      <w:pPr>
        <w:spacing w:after="360" w:line="360" w:lineRule="auto"/>
        <w:jc w:val="both"/>
        <w:rPr>
          <w:rFonts w:ascii="Times New Roman" w:hAnsi="Times New Roman" w:cs="Times New Roman"/>
          <w:bCs/>
        </w:rPr>
      </w:pPr>
      <w:r w:rsidRPr="0023349B">
        <w:rPr>
          <w:rFonts w:ascii="Times New Roman" w:hAnsi="Times New Roman" w:cs="Times New Roman"/>
        </w:rPr>
        <w:t>Proponowana</w:t>
      </w:r>
      <w:r w:rsidR="00E25124" w:rsidRPr="0023349B">
        <w:rPr>
          <w:rFonts w:ascii="Times New Roman" w:hAnsi="Times New Roman" w:cs="Times New Roman"/>
        </w:rPr>
        <w:t xml:space="preserve"> zmiana zakłada, że ustawa o zmianie niektórych ustaw wspierających rozwój mieszkalnictwa wejdzie w życie przed ustawą z dnia </w:t>
      </w:r>
      <w:r w:rsidR="0049276A" w:rsidRPr="0023349B">
        <w:rPr>
          <w:rFonts w:ascii="Times New Roman" w:hAnsi="Times New Roman" w:cs="Times New Roman"/>
        </w:rPr>
        <w:t>15 lipca 2020 r.</w:t>
      </w:r>
      <w:r w:rsidR="00193AD6" w:rsidRPr="0023349B">
        <w:rPr>
          <w:rFonts w:ascii="Times New Roman" w:hAnsi="Times New Roman" w:cs="Times New Roman"/>
        </w:rPr>
        <w:t xml:space="preserve"> </w:t>
      </w:r>
      <w:r w:rsidR="00E25124" w:rsidRPr="0023349B">
        <w:rPr>
          <w:rFonts w:ascii="Times New Roman" w:hAnsi="Times New Roman" w:cs="Times New Roman"/>
        </w:rPr>
        <w:t xml:space="preserve">o zmianie ustawy o zasadach prowadzenia polityki rozwoju oraz niektórych innych ustaw. </w:t>
      </w:r>
    </w:p>
    <w:p w:rsidR="00C268CB" w:rsidRPr="0023349B" w:rsidRDefault="00C268CB" w:rsidP="0023349B">
      <w:pPr>
        <w:spacing w:after="240" w:line="360" w:lineRule="auto"/>
        <w:jc w:val="both"/>
        <w:rPr>
          <w:rFonts w:ascii="Times New Roman" w:hAnsi="Times New Roman" w:cs="Times New Roman"/>
          <w:b/>
          <w:lang w:eastAsia="pl-PL" w:bidi="pl-PL"/>
        </w:rPr>
      </w:pPr>
      <w:r w:rsidRPr="0023349B">
        <w:rPr>
          <w:rFonts w:ascii="Times New Roman" w:hAnsi="Times New Roman" w:cs="Times New Roman"/>
          <w:b/>
          <w:lang w:eastAsia="pl-PL" w:bidi="pl-PL"/>
        </w:rPr>
        <w:t>IV. Przepisy końcowe i pozostałe informacje</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w:t>
      </w:r>
      <w:r w:rsidRPr="0023349B">
        <w:rPr>
          <w:rFonts w:ascii="Times New Roman" w:hAnsi="Times New Roman" w:cs="Times New Roman"/>
          <w:b/>
        </w:rPr>
        <w:t xml:space="preserve">art. </w:t>
      </w:r>
      <w:r w:rsidR="00D2714B" w:rsidRPr="0023349B">
        <w:rPr>
          <w:rFonts w:ascii="Times New Roman" w:hAnsi="Times New Roman" w:cs="Times New Roman"/>
          <w:b/>
        </w:rPr>
        <w:t xml:space="preserve">25 </w:t>
      </w:r>
      <w:r w:rsidRPr="0023349B">
        <w:rPr>
          <w:rFonts w:ascii="Times New Roman" w:hAnsi="Times New Roman" w:cs="Times New Roman"/>
          <w:b/>
        </w:rPr>
        <w:t xml:space="preserve">ust. 1 projektu </w:t>
      </w:r>
      <w:r w:rsidRPr="0023349B">
        <w:rPr>
          <w:rFonts w:ascii="Times New Roman" w:hAnsi="Times New Roman" w:cs="Times New Roman"/>
          <w:b/>
          <w:i/>
        </w:rPr>
        <w:t>ustawy</w:t>
      </w:r>
      <w:r w:rsidRPr="0023349B">
        <w:rPr>
          <w:rFonts w:ascii="Times New Roman" w:hAnsi="Times New Roman" w:cs="Times New Roman"/>
        </w:rPr>
        <w:t xml:space="preserve"> przewiduje, że do umów w sprawie partycypacji </w:t>
      </w:r>
      <w:r w:rsidRPr="0023349B">
        <w:rPr>
          <w:rFonts w:ascii="Times New Roman" w:hAnsi="Times New Roman" w:cs="Times New Roman"/>
        </w:rPr>
        <w:br/>
        <w:t xml:space="preserve">w kosztach budowy lokalu mieszkalnego zawartych przez towarzystwo budownictwa społecznego z najemcą przed dniem wejścia w życie niniejszej ustawy stosować się będą przepisy oddziałów 1-3 rozdziału 4aa, z wyłączeniem art. 33da ust. 3 pkt 3 ustawy zmienianej w art. </w:t>
      </w:r>
      <w:r w:rsidR="00D2714B" w:rsidRPr="0023349B">
        <w:rPr>
          <w:rFonts w:ascii="Times New Roman" w:hAnsi="Times New Roman" w:cs="Times New Roman"/>
        </w:rPr>
        <w:t xml:space="preserve">7 </w:t>
      </w:r>
      <w:r w:rsidRPr="0023349B">
        <w:rPr>
          <w:rFonts w:ascii="Times New Roman" w:hAnsi="Times New Roman" w:cs="Times New Roman"/>
        </w:rPr>
        <w:t xml:space="preserve">w brzmieniu nadanym niniejszą </w:t>
      </w:r>
      <w:r w:rsidRPr="0023349B">
        <w:rPr>
          <w:rFonts w:ascii="Times New Roman" w:hAnsi="Times New Roman" w:cs="Times New Roman"/>
          <w:i/>
        </w:rPr>
        <w:t>ustawą.</w:t>
      </w:r>
      <w:r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Proponuje się jednak, aby nie później niż 2 lata przed dniem spłaty kredytu udzielonego na realizację przedsięwzięcia inwestycyjno-budowlanego lub przed wejścia w życie art. </w:t>
      </w:r>
      <w:r w:rsidR="00D2714B" w:rsidRPr="0023349B">
        <w:rPr>
          <w:rFonts w:ascii="Times New Roman" w:hAnsi="Times New Roman" w:cs="Times New Roman"/>
        </w:rPr>
        <w:t xml:space="preserve">7 </w:t>
      </w:r>
      <w:r w:rsidRPr="0023349B">
        <w:rPr>
          <w:rFonts w:ascii="Times New Roman" w:hAnsi="Times New Roman" w:cs="Times New Roman"/>
        </w:rPr>
        <w:t>pkt 9 ustawy, zgromadzenie wspólników, walne zgromadzenie akcjonariuszy albo walne zgromadzenie wspólników mogło podjąć obowiązującą od tego dnia „uchwałę w sprawie wyłączenia rozliczenia partycypacji” (</w:t>
      </w:r>
      <w:r w:rsidRPr="0023349B">
        <w:rPr>
          <w:rFonts w:ascii="Times New Roman" w:hAnsi="Times New Roman" w:cs="Times New Roman"/>
          <w:b/>
        </w:rPr>
        <w:t xml:space="preserve">art. </w:t>
      </w:r>
      <w:r w:rsidR="00D2714B" w:rsidRPr="0023349B">
        <w:rPr>
          <w:rFonts w:ascii="Times New Roman" w:hAnsi="Times New Roman" w:cs="Times New Roman"/>
          <w:b/>
        </w:rPr>
        <w:t xml:space="preserve">25 </w:t>
      </w:r>
      <w:r w:rsidRPr="0023349B">
        <w:rPr>
          <w:rFonts w:ascii="Times New Roman" w:hAnsi="Times New Roman" w:cs="Times New Roman"/>
          <w:b/>
        </w:rPr>
        <w:t>ust. 2 projektu ustawy</w:t>
      </w:r>
      <w:r w:rsidRPr="0023349B">
        <w:rPr>
          <w:rFonts w:ascii="Times New Roman" w:hAnsi="Times New Roman" w:cs="Times New Roman"/>
        </w:rPr>
        <w:t xml:space="preserve">). Przedmiotowe wyłączenie będzie mogło dotyczyć jedynie umów w sprawie partycypacji w kosztach budowy lokalu mieszkalnego zawartych z TBS przed dniem wejścia ustawy nowelizującej. Ustawodawca w projektowanym rozwiązaniu chce dać TBS swobodę w zakresie podjęcia decyzji w przedmiocie zarówno uzyskiwania niższych wpływów z tytułu czynszów za najem mieszkania, jak i „niewyzbywania” się docelowo mieszkań znajdujących się w jego zasobach.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Uchwała w sprawie wyłączenia rozliczenia partycypacji będzie nieważna w dwóch przypadkach, przewidzianych w </w:t>
      </w:r>
      <w:r w:rsidRPr="0023349B">
        <w:rPr>
          <w:rFonts w:ascii="Times New Roman" w:hAnsi="Times New Roman" w:cs="Times New Roman"/>
          <w:b/>
        </w:rPr>
        <w:t xml:space="preserve">art. </w:t>
      </w:r>
      <w:r w:rsidR="00BA5477" w:rsidRPr="0023349B">
        <w:rPr>
          <w:rFonts w:ascii="Times New Roman" w:hAnsi="Times New Roman" w:cs="Times New Roman"/>
          <w:b/>
        </w:rPr>
        <w:t xml:space="preserve">25 </w:t>
      </w:r>
      <w:r w:rsidRPr="0023349B">
        <w:rPr>
          <w:rFonts w:ascii="Times New Roman" w:hAnsi="Times New Roman" w:cs="Times New Roman"/>
          <w:b/>
        </w:rPr>
        <w:t>ust. 3 projektu ustawy</w:t>
      </w:r>
      <w:r w:rsidRPr="0023349B">
        <w:rPr>
          <w:rFonts w:ascii="Times New Roman" w:hAnsi="Times New Roman" w:cs="Times New Roman"/>
        </w:rPr>
        <w:t xml:space="preserve">, tj. w sytuacji, gdy w kosztach realizowanego przez TBS przedsięwzięcia partycypuje gmina, której na pokrycie części kosztów tego przedsięwzięcia udzielono finansowego wsparcia na nowych (korzystniejszych) zasadach wprowadzonych w </w:t>
      </w:r>
      <w:r w:rsidRPr="0023349B">
        <w:rPr>
          <w:rFonts w:ascii="Times New Roman" w:hAnsi="Times New Roman" w:cs="Times New Roman"/>
          <w:i/>
        </w:rPr>
        <w:t>ustawie o finansowym wsparciu…</w:t>
      </w:r>
      <w:r w:rsidRPr="0023349B">
        <w:rPr>
          <w:rFonts w:ascii="Times New Roman" w:hAnsi="Times New Roman" w:cs="Times New Roman"/>
        </w:rPr>
        <w:t xml:space="preserve"> przedmiotową nowelizacją oraz gdy udziałowcem TBS jest lub był KZN.</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Natomiast w przypadku podjęcia ważnej uchwały w sprawie wyłączenia rozliczenia partycypacji, zgodnie z </w:t>
      </w:r>
      <w:r w:rsidRPr="0023349B">
        <w:rPr>
          <w:rFonts w:ascii="Times New Roman" w:hAnsi="Times New Roman" w:cs="Times New Roman"/>
          <w:b/>
        </w:rPr>
        <w:t xml:space="preserve">art. </w:t>
      </w:r>
      <w:r w:rsidR="00BA5477" w:rsidRPr="0023349B">
        <w:rPr>
          <w:rFonts w:ascii="Times New Roman" w:hAnsi="Times New Roman" w:cs="Times New Roman"/>
          <w:b/>
        </w:rPr>
        <w:t xml:space="preserve">25 </w:t>
      </w:r>
      <w:r w:rsidRPr="0023349B">
        <w:rPr>
          <w:rFonts w:ascii="Times New Roman" w:hAnsi="Times New Roman" w:cs="Times New Roman"/>
          <w:b/>
        </w:rPr>
        <w:t>ust. 4</w:t>
      </w:r>
      <w:r w:rsidRPr="0023349B">
        <w:rPr>
          <w:rFonts w:ascii="Times New Roman" w:hAnsi="Times New Roman" w:cs="Times New Roman"/>
        </w:rPr>
        <w:t xml:space="preserve"> projektu ustawy przez okres obowiązywania tej uchwały (co oznacza, że musi ona mieć charakter terminowy) oraz 3 lat od dnia utraty przez nią mocy obowiązującej, TBS nie będzie mógł korzystać z „korzyści”, jakie niesie ze sobą przedmiotowa nowelizacja. Do takiego TBS:</w:t>
      </w:r>
    </w:p>
    <w:p w:rsidR="00C268CB" w:rsidRPr="0023349B" w:rsidRDefault="00C268CB" w:rsidP="0023349B">
      <w:pPr>
        <w:numPr>
          <w:ilvl w:val="0"/>
          <w:numId w:val="43"/>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przepis art. 28 </w:t>
      </w:r>
      <w:r w:rsidRPr="0023349B">
        <w:rPr>
          <w:rFonts w:ascii="Times New Roman" w:hAnsi="Times New Roman" w:cs="Times New Roman"/>
          <w:i/>
        </w:rPr>
        <w:t>ustawy o niektórych formach …</w:t>
      </w:r>
      <w:r w:rsidRPr="0023349B">
        <w:rPr>
          <w:rFonts w:ascii="Times New Roman" w:hAnsi="Times New Roman" w:cs="Times New Roman"/>
        </w:rPr>
        <w:t xml:space="preserve"> będzie miał zastosowanie w brzmieniu dotychczasowym;</w:t>
      </w:r>
    </w:p>
    <w:p w:rsidR="00C268CB" w:rsidRPr="0023349B" w:rsidRDefault="00C268CB" w:rsidP="0023349B">
      <w:pPr>
        <w:numPr>
          <w:ilvl w:val="0"/>
          <w:numId w:val="43"/>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 xml:space="preserve">gminie partycypującej w kosztach przedsięwzięcia, którego inwestorem jest TBS, będzie się udzielać finansowego wsparcia na zasadach obowiązujących </w:t>
      </w:r>
      <w:r w:rsidRPr="0023349B">
        <w:rPr>
          <w:rFonts w:ascii="Times New Roman" w:hAnsi="Times New Roman" w:cs="Times New Roman"/>
          <w:i/>
        </w:rPr>
        <w:t xml:space="preserve">w ustawie o finansowym wsparciu </w:t>
      </w:r>
      <w:r w:rsidRPr="0023349B">
        <w:rPr>
          <w:rFonts w:ascii="Times New Roman" w:hAnsi="Times New Roman" w:cs="Times New Roman"/>
        </w:rPr>
        <w:t xml:space="preserve">…, w dniu poprzedzającym wejście w życie art. 8 niniejszej ustawy; </w:t>
      </w:r>
    </w:p>
    <w:p w:rsidR="00C268CB" w:rsidRPr="0023349B" w:rsidRDefault="00C268CB" w:rsidP="0023349B">
      <w:pPr>
        <w:numPr>
          <w:ilvl w:val="0"/>
          <w:numId w:val="43"/>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TBS nie będzie mógł skorzystać z premii remontowej, a ponadto</w:t>
      </w:r>
    </w:p>
    <w:p w:rsidR="00C268CB" w:rsidRPr="0023349B" w:rsidRDefault="00C268CB" w:rsidP="0023349B">
      <w:pPr>
        <w:numPr>
          <w:ilvl w:val="0"/>
          <w:numId w:val="43"/>
        </w:numPr>
        <w:tabs>
          <w:tab w:val="left" w:pos="0"/>
        </w:tabs>
        <w:spacing w:after="240" w:line="360" w:lineRule="auto"/>
        <w:jc w:val="both"/>
        <w:rPr>
          <w:rFonts w:ascii="Times New Roman" w:hAnsi="Times New Roman" w:cs="Times New Roman"/>
        </w:rPr>
      </w:pPr>
      <w:r w:rsidRPr="0023349B">
        <w:rPr>
          <w:rFonts w:ascii="Times New Roman" w:hAnsi="Times New Roman" w:cs="Times New Roman"/>
        </w:rPr>
        <w:t>nie będzie miał zastosowania przepis pozwalający KZN przystępować do TBS (znowelizowany art. 7a ustawy o KZN).</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Natomiast w przypadku, gdy TBS skorzystało już z ww. „korzyści”, jakie niesie ze sobą przedmiotowa nowelizacja, proponuje się, aby nie było możliwości podjęcia uchwały </w:t>
      </w:r>
      <w:r w:rsidRPr="0023349B">
        <w:rPr>
          <w:rFonts w:ascii="Times New Roman" w:hAnsi="Times New Roman" w:cs="Times New Roman"/>
        </w:rPr>
        <w:br/>
        <w:t>w sprawie wyłączenia rozliczenia partycypacji, a w razie jej podjęcia, aby z była ona nieważna z mocy praw (</w:t>
      </w:r>
      <w:r w:rsidRPr="0023349B">
        <w:rPr>
          <w:rFonts w:ascii="Times New Roman" w:hAnsi="Times New Roman" w:cs="Times New Roman"/>
          <w:b/>
        </w:rPr>
        <w:t xml:space="preserve">art. </w:t>
      </w:r>
      <w:r w:rsidR="00BA5477" w:rsidRPr="0023349B">
        <w:rPr>
          <w:rFonts w:ascii="Times New Roman" w:hAnsi="Times New Roman" w:cs="Times New Roman"/>
          <w:b/>
        </w:rPr>
        <w:t>25</w:t>
      </w:r>
      <w:r w:rsidRPr="0023349B">
        <w:rPr>
          <w:rFonts w:ascii="Times New Roman" w:hAnsi="Times New Roman" w:cs="Times New Roman"/>
          <w:b/>
        </w:rPr>
        <w:t xml:space="preserve">ust. 5 projektu </w:t>
      </w:r>
      <w:r w:rsidRPr="0023349B">
        <w:rPr>
          <w:rFonts w:ascii="Times New Roman" w:hAnsi="Times New Roman" w:cs="Times New Roman"/>
          <w:b/>
          <w:i/>
        </w:rPr>
        <w:t>ustawy</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 xml:space="preserve">art. </w:t>
      </w:r>
      <w:r w:rsidR="00BA5477" w:rsidRPr="0023349B">
        <w:rPr>
          <w:rFonts w:ascii="Times New Roman" w:hAnsi="Times New Roman" w:cs="Times New Roman"/>
          <w:b/>
        </w:rPr>
        <w:t xml:space="preserve">25 </w:t>
      </w:r>
      <w:r w:rsidRPr="0023349B">
        <w:rPr>
          <w:rFonts w:ascii="Times New Roman" w:hAnsi="Times New Roman" w:cs="Times New Roman"/>
          <w:b/>
        </w:rPr>
        <w:t xml:space="preserve">ust. 6 i 7 projektu </w:t>
      </w:r>
      <w:r w:rsidRPr="0023349B">
        <w:rPr>
          <w:rFonts w:ascii="Times New Roman" w:hAnsi="Times New Roman" w:cs="Times New Roman"/>
          <w:b/>
          <w:i/>
        </w:rPr>
        <w:t>ustawy</w:t>
      </w:r>
      <w:r w:rsidRPr="0023349B">
        <w:rPr>
          <w:rFonts w:ascii="Times New Roman" w:hAnsi="Times New Roman" w:cs="Times New Roman"/>
        </w:rPr>
        <w:t>, TBS który podejmie uchwałę w sprawie wyłączenia rozliczenia partycypacji, będzie miał obowiązek przekazać ministrowi właściwemu do spraw budownictwa, planowania i zagospodarowania przestrzennego oraz mieszkalnictwa kopię niniejszej uchwały (w terminie 14 dni od jej podjęcia). Minister natomiast będzie miał obowiązek podać do publicznej wiadomości listę takich towarzystw. Dzięki temu rozwiązaniu BGK, gminy, KZN oraz lokatorzy, będą mieli zapewniony dostęp do informacji o tym czy wyłączenia przewidziane w art. 14 ust. 4 obejmują dany TBS.</w:t>
      </w:r>
    </w:p>
    <w:p w:rsidR="00BA5477" w:rsidRPr="0023349B" w:rsidRDefault="00BA5477"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 xml:space="preserve">art. 26 projektu </w:t>
      </w:r>
      <w:r w:rsidRPr="0023349B">
        <w:rPr>
          <w:rFonts w:ascii="Times New Roman" w:hAnsi="Times New Roman" w:cs="Times New Roman"/>
          <w:b/>
          <w:i/>
        </w:rPr>
        <w:t>ustawy</w:t>
      </w:r>
      <w:r w:rsidRPr="0023349B">
        <w:rPr>
          <w:rFonts w:ascii="Times New Roman" w:hAnsi="Times New Roman" w:cs="Times New Roman"/>
        </w:rPr>
        <w:t xml:space="preserve"> </w:t>
      </w:r>
      <w:r w:rsidR="00687BB4" w:rsidRPr="0023349B">
        <w:rPr>
          <w:rFonts w:ascii="Times New Roman" w:hAnsi="Times New Roman" w:cs="Times New Roman"/>
        </w:rPr>
        <w:t>zmiany polegające na zastąpieniu dotychczasowej nazwy „towarzystwa budownictwa społecznego” określeniem „społeczna inicjatywa mieszkaniowa” dotyczyć będzie jedynie podmiotów nowotworzonych. Istniejące towarzystwa budownictwa społecznego będą mogły pozostać przy dotychczasowej nazwie, która pozostanie dla nich zastrzeżona na zasadach dotychczasowych, chyba że z własnej inicjatywy dokonają tej zmiany na zgodną z art. 26 ustawy zmienianej w art. 7 w brzmieniu nadanym niniejszą ustawą. Do czasu zmiany nazwy towarzystwa budownictwa społecznego, do towarzystw tych art. 26 ustawy zmienianej w art. 7 stosuje się w brzmieniu dotychczasowym.</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 xml:space="preserve">art. </w:t>
      </w:r>
      <w:r w:rsidR="00687BB4" w:rsidRPr="0023349B">
        <w:rPr>
          <w:rFonts w:ascii="Times New Roman" w:hAnsi="Times New Roman" w:cs="Times New Roman"/>
          <w:b/>
        </w:rPr>
        <w:t xml:space="preserve">27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do przenoszenia własności lokali mieszkalnych wybudowanych w ramach przedsięwzięć inwestycyjno-budowlanych, których dotyczą wnioski o udzielenie finansowania zwrotnego złożone przed dniem wejścia w życie przedmiotowej nowelizacji, stosuje się przepisy nowe (zmiana ma na celu objęcie możliwością sprzedaży także lokali mieszkalnych już wybudowanych w ramach finansowania zwrotnego).</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 xml:space="preserve">art. </w:t>
      </w:r>
      <w:r w:rsidR="00687BB4" w:rsidRPr="0023349B">
        <w:rPr>
          <w:rFonts w:ascii="Times New Roman" w:hAnsi="Times New Roman" w:cs="Times New Roman"/>
          <w:b/>
        </w:rPr>
        <w:t xml:space="preserve">28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w:t>
      </w:r>
      <w:r w:rsidR="002905E9" w:rsidRPr="0023349B">
        <w:rPr>
          <w:rFonts w:ascii="Times New Roman" w:hAnsi="Times New Roman" w:cs="Times New Roman"/>
        </w:rPr>
        <w:t xml:space="preserve">do umów w sprawie partycypacji w kosztach budowy lokali mieszkalnych wybudowanych w ramach przedsięwzięć, których dotyczyły wnioski o preferencyjny kredyt złożone w BGK przed dniem w życie przepisów umożliwiających zawieranie umów najmu instytucjonalnego z dojściem do własności (czyli przed dniem 1 stycznia 2022 r.) nie będą miały zastosowania </w:t>
      </w:r>
      <w:r w:rsidRPr="0023349B">
        <w:rPr>
          <w:rFonts w:ascii="Times New Roman" w:hAnsi="Times New Roman" w:cs="Times New Roman"/>
        </w:rPr>
        <w:t>przepis</w:t>
      </w:r>
      <w:r w:rsidR="002905E9" w:rsidRPr="0023349B">
        <w:rPr>
          <w:rFonts w:ascii="Times New Roman" w:hAnsi="Times New Roman" w:cs="Times New Roman"/>
        </w:rPr>
        <w:t>y</w:t>
      </w:r>
      <w:r w:rsidRPr="0023349B">
        <w:rPr>
          <w:rFonts w:ascii="Times New Roman" w:hAnsi="Times New Roman" w:cs="Times New Roman"/>
        </w:rPr>
        <w:t xml:space="preserve"> dot. możliwości zamiany umowy najmu na umowę najmu instytucjonalnego z dojściem do własności</w:t>
      </w:r>
      <w:r w:rsidR="002905E9" w:rsidRPr="0023349B">
        <w:rPr>
          <w:rFonts w:ascii="Times New Roman" w:hAnsi="Times New Roman" w:cs="Times New Roman"/>
        </w:rPr>
        <w:t>. Przepisy umożliwiające taką zamianę będą</w:t>
      </w:r>
      <w:r w:rsidR="00193AD6" w:rsidRPr="0023349B">
        <w:rPr>
          <w:rFonts w:ascii="Times New Roman" w:hAnsi="Times New Roman" w:cs="Times New Roman"/>
        </w:rPr>
        <w:t xml:space="preserve"> </w:t>
      </w:r>
      <w:r w:rsidRPr="0023349B">
        <w:rPr>
          <w:rFonts w:ascii="Times New Roman" w:hAnsi="Times New Roman" w:cs="Times New Roman"/>
        </w:rPr>
        <w:t>stosowan</w:t>
      </w:r>
      <w:r w:rsidR="002905E9" w:rsidRPr="0023349B">
        <w:rPr>
          <w:rFonts w:ascii="Times New Roman" w:hAnsi="Times New Roman" w:cs="Times New Roman"/>
        </w:rPr>
        <w:t>e</w:t>
      </w:r>
      <w:r w:rsidRPr="0023349B">
        <w:rPr>
          <w:rFonts w:ascii="Times New Roman" w:hAnsi="Times New Roman" w:cs="Times New Roman"/>
        </w:rPr>
        <w:t xml:space="preserve"> wyłącznie do przedsięwzięć inwestycyjno-budowlanych, których dotyczą wnioski o udzielenie finansowania zwrotnego złożone po dniu wejścia w życie projektowanych rozwiązań.</w:t>
      </w:r>
    </w:p>
    <w:p w:rsidR="00687BB4" w:rsidRPr="0023349B" w:rsidRDefault="00687BB4"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w:t>
      </w:r>
      <w:r w:rsidRPr="0023349B">
        <w:rPr>
          <w:rFonts w:ascii="Times New Roman" w:hAnsi="Times New Roman" w:cs="Times New Roman"/>
          <w:b/>
        </w:rPr>
        <w:t xml:space="preserve">art. 29 projektu </w:t>
      </w:r>
      <w:r w:rsidRPr="0023349B">
        <w:rPr>
          <w:rFonts w:ascii="Times New Roman" w:hAnsi="Times New Roman" w:cs="Times New Roman"/>
          <w:b/>
          <w:i/>
        </w:rPr>
        <w:t>ustawy</w:t>
      </w:r>
      <w:r w:rsidRPr="0023349B">
        <w:rPr>
          <w:rFonts w:ascii="Times New Roman" w:hAnsi="Times New Roman" w:cs="Times New Roman"/>
        </w:rPr>
        <w:t xml:space="preserve"> w Banku Gospodarstwa Krajowego tworzy się </w:t>
      </w:r>
      <w:r w:rsidR="00EA015F" w:rsidRPr="0023349B">
        <w:rPr>
          <w:rFonts w:ascii="Times New Roman" w:hAnsi="Times New Roman" w:cs="Times New Roman"/>
        </w:rPr>
        <w:t xml:space="preserve">Rządowy Fundusz Rozwoju Mieszkalnictwa. Zgodnie z </w:t>
      </w:r>
      <w:r w:rsidR="00EA015F" w:rsidRPr="0023349B">
        <w:rPr>
          <w:rFonts w:ascii="Times New Roman" w:hAnsi="Times New Roman" w:cs="Times New Roman"/>
          <w:b/>
        </w:rPr>
        <w:t xml:space="preserve">art. 30 projektu </w:t>
      </w:r>
      <w:r w:rsidR="00EA015F" w:rsidRPr="0023349B">
        <w:rPr>
          <w:rFonts w:ascii="Times New Roman" w:hAnsi="Times New Roman" w:cs="Times New Roman"/>
          <w:b/>
          <w:i/>
        </w:rPr>
        <w:t>ustawy</w:t>
      </w:r>
      <w:r w:rsidR="00EA015F" w:rsidRPr="0023349B">
        <w:rPr>
          <w:rFonts w:ascii="Times New Roman" w:hAnsi="Times New Roman" w:cs="Times New Roman"/>
        </w:rPr>
        <w:t xml:space="preserve"> </w:t>
      </w:r>
      <w:r w:rsidR="00393882" w:rsidRPr="0023349B">
        <w:rPr>
          <w:rFonts w:ascii="Times New Roman" w:hAnsi="Times New Roman" w:cs="Times New Roman"/>
        </w:rPr>
        <w:t xml:space="preserve">plan finansowy Rządowego Funduszu Rozwoju Mieszkalnictwa na rok 2020 zostanie opracowany </w:t>
      </w:r>
      <w:r w:rsidR="00EA015F" w:rsidRPr="0023349B">
        <w:rPr>
          <w:rFonts w:ascii="Times New Roman" w:hAnsi="Times New Roman" w:cs="Times New Roman"/>
        </w:rPr>
        <w:t>w terminie 30 dni od dnia wejścia w życie niniejszego przepisu Bank Gospodarstwa Krajowego, w porozumieniu z ministrem właściwym do spraw budownictwa, planowania i zagospodarowania przestrzennego oraz mieszkalnictwa oraz ministrem właściwy</w:t>
      </w:r>
      <w:r w:rsidR="008C6B8A" w:rsidRPr="0023349B">
        <w:rPr>
          <w:rFonts w:ascii="Times New Roman" w:hAnsi="Times New Roman" w:cs="Times New Roman"/>
        </w:rPr>
        <w:t>m do spraw finansów publicznych</w:t>
      </w:r>
      <w:r w:rsidR="00EA015F" w:rsidRPr="0023349B">
        <w:rPr>
          <w:rFonts w:ascii="Times New Roman" w:hAnsi="Times New Roman" w:cs="Times New Roman"/>
        </w:rPr>
        <w:t>.</w:t>
      </w:r>
      <w:r w:rsidR="008C6B8A" w:rsidRPr="0023349B">
        <w:rPr>
          <w:rFonts w:ascii="Times New Roman" w:hAnsi="Times New Roman" w:cs="Times New Roman"/>
        </w:rPr>
        <w:t xml:space="preserve"> Fundusz zasilony zostanie środkami działającego już Funduszu Przeciwdziałania COVID-19.</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rPr>
        <w:t xml:space="preserve">W art. </w:t>
      </w:r>
      <w:r w:rsidR="00687BB4" w:rsidRPr="0023349B">
        <w:rPr>
          <w:rFonts w:ascii="Times New Roman" w:hAnsi="Times New Roman" w:cs="Times New Roman"/>
          <w:b/>
        </w:rPr>
        <w:t xml:space="preserve">31 </w:t>
      </w:r>
      <w:r w:rsidRPr="0023349B">
        <w:rPr>
          <w:rFonts w:ascii="Times New Roman" w:hAnsi="Times New Roman" w:cs="Times New Roman"/>
          <w:b/>
        </w:rPr>
        <w:t>projektu</w:t>
      </w:r>
      <w:r w:rsidRPr="0023349B">
        <w:rPr>
          <w:rFonts w:ascii="Times New Roman" w:hAnsi="Times New Roman" w:cs="Times New Roman"/>
        </w:rPr>
        <w:t xml:space="preserve"> ustawy zaproponowano wprowadzenie maksymalnego limitu wydatków budżetu państwa na refundację bankom wypłaty premii gwarancyjnych. Warto podkreślić, że zaproponowane limity dotyczą poziomu wydatków przeznaczonych na refundację premii gwarancyjnych realizowanych na podstawie dotychczasowych tytułów wydatkowych,</w:t>
      </w:r>
      <w:r w:rsidR="00193AD6" w:rsidRPr="0023349B">
        <w:rPr>
          <w:rFonts w:ascii="Times New Roman" w:hAnsi="Times New Roman" w:cs="Times New Roman"/>
        </w:rPr>
        <w:t xml:space="preserve"> </w:t>
      </w:r>
      <w:r w:rsidRPr="0023349B">
        <w:rPr>
          <w:rFonts w:ascii="Times New Roman" w:hAnsi="Times New Roman" w:cs="Times New Roman"/>
        </w:rPr>
        <w:t xml:space="preserve">jak i nowo wprowadzanych zmian wprowadzających nowe cele, na podstawie których będzie można ubiegać się o premie gwarancyjne. Organem monitorującym wykorzystanie limitu wydatków jest minister właściwy do spraw budownictwa, planowania i zagospodarowania przestrzennego oraz mieszkalnictwa.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Wprowadzony został również mechanizm korygujący w przypadku przekroczenia limitu wydatków określonych w ustawie budżetowej na dany rok. W przypadku złożenia wniosku o likwidację książeczki mieszkaniowej i wypłatę premii gwarancyjnej w sytuacji, gdy środki na realizację tego zadania określone w ustawie budżetowej na dany rok osiągną równowartość 95%, wypłata premii gwarancyjnej następuje w roku kolejnym.</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rPr>
        <w:t xml:space="preserve">W art. </w:t>
      </w:r>
      <w:r w:rsidR="00424F5E" w:rsidRPr="0023349B">
        <w:rPr>
          <w:rFonts w:ascii="Times New Roman" w:hAnsi="Times New Roman" w:cs="Times New Roman"/>
          <w:b/>
        </w:rPr>
        <w:t xml:space="preserve">32 </w:t>
      </w:r>
      <w:r w:rsidRPr="0023349B">
        <w:rPr>
          <w:rFonts w:ascii="Times New Roman" w:hAnsi="Times New Roman" w:cs="Times New Roman"/>
          <w:b/>
        </w:rPr>
        <w:t>projektu</w:t>
      </w:r>
      <w:r w:rsidRPr="0023349B">
        <w:rPr>
          <w:rFonts w:ascii="Times New Roman" w:hAnsi="Times New Roman" w:cs="Times New Roman"/>
        </w:rPr>
        <w:t>, w związku z celem nowelizacji przepisów, jakim jest finalizacja systemu refundacji wypłaconych premii gwarancyjnych, proponuje się wprowadzenie przepisu, na podstawie którego banki, prowadzące obsługę książeczek mieszkaniowych, poinformują ich właścicieli o warunkach i zasadach uzyskania premii gwarancyjnej określonych w niniejszej nowelizacji. W przepisie zaznaczono, że banki informują właścicieli książeczek mieszkaniowych w szczególności o zmianach przepisów obowiązujących w zakresie realizacji uprawnień do wypłaty premii gwarancyjnej.</w:t>
      </w:r>
      <w:r w:rsidR="00193AD6" w:rsidRPr="0023349B">
        <w:rPr>
          <w:rFonts w:ascii="Times New Roman" w:hAnsi="Times New Roman" w:cs="Times New Roman"/>
        </w:rPr>
        <w:t xml:space="preserve"> </w:t>
      </w:r>
      <w:r w:rsidRPr="0023349B">
        <w:rPr>
          <w:rFonts w:ascii="Times New Roman" w:hAnsi="Times New Roman" w:cs="Times New Roman"/>
        </w:rPr>
        <w:t>Informacja powinna obejmować przede wszystkim zasady ubiegania się o premię gwarancyjną, w tym nowe tytuły wydatkowe, jakie wiążą się z możliwością ubiegania się o premie, oraz terminy w jakich powinny zostać złożone dokumenty niezbędne do wypłaty premii. Ponadto powinna przedstawiać mechanizm rejestracji książeczki mieszkaniowej, ponieważ stanowi on nowość w trwającym ponad 20 lat systemie realizacji uprawnienia w postaci premii gwarancyjnej. Przedstawiony powinien zostać przede wszystkim tryb rejestracji książeczki mieszkaniowej oraz konsekwencje związane z dokonaniem tej czynności po 31 grudnia 2022 r. Pozostawia się dowolność co do formy przedstawienia informacji, przyjmując, że może zostać ona zrealizowana zarówno w sposób tradycyjny (np. poprzez placówki banku), jak i za pośrednictwem kanałów elektronicznych (np. poprzez stronę internetową), wskazując, że powinna zostać ona udostępniona co najmniej za pośrednictwem strony internetowej banku.</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rPr>
        <w:t xml:space="preserve">W art. </w:t>
      </w:r>
      <w:r w:rsidR="00424F5E" w:rsidRPr="0023349B">
        <w:rPr>
          <w:rFonts w:ascii="Times New Roman" w:hAnsi="Times New Roman" w:cs="Times New Roman"/>
          <w:b/>
        </w:rPr>
        <w:t xml:space="preserve">33 </w:t>
      </w:r>
      <w:r w:rsidRPr="0023349B">
        <w:rPr>
          <w:rFonts w:ascii="Times New Roman" w:hAnsi="Times New Roman" w:cs="Times New Roman"/>
          <w:b/>
        </w:rPr>
        <w:t>projektu</w:t>
      </w:r>
      <w:r w:rsidRPr="0023349B">
        <w:rPr>
          <w:rFonts w:ascii="Times New Roman" w:hAnsi="Times New Roman" w:cs="Times New Roman"/>
        </w:rPr>
        <w:t xml:space="preserve"> zakłada się, że wprowadzony mechanizm rejestrowania w banku książeczki mieszkaniowej zweryfikuje liczbę rzeczywiście istniejących książeczek i pozwoli oszacować kwotę łącznych zobowiązań budżetowych, które wynikać mogą z faktycznie „czynnych” rachunków. Ocenia się bowiem, że istotna część książeczek mieszkaniowych na przestrzeni lat uległa zniszczeniu, zagubieniu itp., przez co liczba rachunków nadal ujętych w ewidencjach instytucji finansowych może być istotnie wyższa od rzeczywistej skali książeczek, jakie nadal mogą podlegać likwidacji. Zgodnie z art. </w:t>
      </w:r>
      <w:r w:rsidR="00424F5E" w:rsidRPr="0023349B">
        <w:rPr>
          <w:rFonts w:ascii="Times New Roman" w:hAnsi="Times New Roman" w:cs="Times New Roman"/>
        </w:rPr>
        <w:t xml:space="preserve">33 </w:t>
      </w:r>
      <w:r w:rsidRPr="0023349B">
        <w:rPr>
          <w:rFonts w:ascii="Times New Roman" w:hAnsi="Times New Roman" w:cs="Times New Roman"/>
        </w:rPr>
        <w:t>projektu ustawy, informacje dotyczące liczby faktycznie istniejących książeczek wraz z oszacowaną kwotą potencjalnych łącznych zobowiązań budżetowych, zostaną przedstawione ministrowi właściwemu do spraw budownictwa, planowania i zagospodarowania przestrzennego oraz mieszkalnictwa w I połowie 2023 r. Uzyskane dane będą podstawą dla przeprowadzenia w II połowie 2023 r. całościowej analizy programu, w tym ewentualnego przygotowania propozycji nowych działań, w zależności od rozmiarów pozostałych do likwidacji rachunków oraz</w:t>
      </w:r>
      <w:r w:rsidR="00193AD6" w:rsidRPr="0023349B">
        <w:rPr>
          <w:rFonts w:ascii="Times New Roman" w:hAnsi="Times New Roman" w:cs="Times New Roman"/>
        </w:rPr>
        <w:t xml:space="preserve"> </w:t>
      </w:r>
      <w:r w:rsidRPr="0023349B">
        <w:rPr>
          <w:rFonts w:ascii="Times New Roman" w:hAnsi="Times New Roman" w:cs="Times New Roman"/>
        </w:rPr>
        <w:t>po wzięciu pod uwagę oceny efektów zmian zawartych obecnie w projekcie ustawy (poszerzenie katalogu wydatków o dodatkowe tytuły).</w:t>
      </w:r>
    </w:p>
    <w:p w:rsidR="00C268CB" w:rsidRPr="0023349B" w:rsidRDefault="00C268CB" w:rsidP="0023349B">
      <w:pPr>
        <w:autoSpaceDE w:val="0"/>
        <w:autoSpaceDN w:val="0"/>
        <w:adjustRightInd w:val="0"/>
        <w:spacing w:after="240" w:line="360" w:lineRule="auto"/>
        <w:jc w:val="both"/>
        <w:rPr>
          <w:rFonts w:ascii="Times New Roman" w:eastAsia="Times New Roman" w:hAnsi="Times New Roman" w:cs="Times New Roman"/>
          <w:szCs w:val="20"/>
          <w:lang w:eastAsia="pl-PL"/>
        </w:rPr>
      </w:pPr>
      <w:r w:rsidRPr="0023349B">
        <w:rPr>
          <w:rFonts w:ascii="Times New Roman" w:eastAsia="Times New Roman" w:hAnsi="Times New Roman" w:cs="Times New Roman"/>
          <w:b/>
          <w:szCs w:val="20"/>
          <w:lang w:eastAsia="pl-PL"/>
        </w:rPr>
        <w:t xml:space="preserve">W art. </w:t>
      </w:r>
      <w:r w:rsidR="00424F5E" w:rsidRPr="0023349B">
        <w:rPr>
          <w:rFonts w:ascii="Times New Roman" w:eastAsia="Times New Roman" w:hAnsi="Times New Roman" w:cs="Times New Roman"/>
          <w:b/>
          <w:szCs w:val="20"/>
          <w:lang w:eastAsia="pl-PL"/>
        </w:rPr>
        <w:t xml:space="preserve">34 </w:t>
      </w:r>
      <w:r w:rsidRPr="0023349B">
        <w:rPr>
          <w:rFonts w:ascii="Times New Roman" w:eastAsia="Times New Roman" w:hAnsi="Times New Roman" w:cs="Times New Roman"/>
          <w:b/>
          <w:szCs w:val="20"/>
          <w:lang w:eastAsia="pl-PL"/>
        </w:rPr>
        <w:t>projektu ustawy</w:t>
      </w:r>
      <w:r w:rsidRPr="0023349B">
        <w:rPr>
          <w:rFonts w:ascii="Times New Roman" w:eastAsia="Times New Roman" w:hAnsi="Times New Roman" w:cs="Times New Roman"/>
          <w:szCs w:val="20"/>
          <w:lang w:eastAsia="pl-PL"/>
        </w:rPr>
        <w:t xml:space="preserve"> przewiduje, że w związku z możliwością złożenia wniosku o likwidację książeczki mieszkaniowej i wypłatę premii gwarancyjnej w okresie 90 dni od dokonania jednej z czynności uprawniających do otrzymania premii oraz wprowadzeniem przepisu uzależniającego, od 1 stycznia 2023 r., posiadanie uprawnienia do wystąpienia z powyższym wnioskiem z początkiem kolejnego roku po roku w którym nastąpiła rejestracja książeczki mieszkaniowej, wprowadza się przepis ochronny dla osób, które – nie mając zarejestrowanej książeczki mieszkaniowej – dokonają czynność uprawniającą do wypłaty premii przed 2023 r. (art. 3e ust. 2 nie będzie jeszcze obowiązywał), a 90-dniowy ustawowy termin od dokonania czynności na złożenie wniosku o likwidację książeczki i wypłatę premii będzie przypadał na okres po 1 stycznia 2023 r. (i w tym też okresie, już w 2023 r., złożyliby oni ewentualny wniosek o rejestrację książeczki). Osób tych nie będzie dotyczył warunek, że o wypłatę premii gwarancyjnej mogą wystąpić w roku następującym po roku zarejestrowania książeczki. Przepis intertemporalny zabezpieczał więc będzie interesy osób, które uzyskają uprawnienie do uzyskania premii gwarancyjnej na podstawie obowiązujących przepisów, ale z powodu zmiany przepisów ze względów formalnych zostałyby tej możliwości pozbawione. Przepis będzie obowiązywał od 1 stycznia 2023 r.</w:t>
      </w:r>
    </w:p>
    <w:p w:rsidR="00C268CB" w:rsidRPr="0023349B" w:rsidRDefault="00C268CB" w:rsidP="0023349B">
      <w:pPr>
        <w:spacing w:after="240" w:line="360" w:lineRule="auto"/>
        <w:jc w:val="both"/>
        <w:rPr>
          <w:rFonts w:ascii="Times New Roman" w:hAnsi="Times New Roman" w:cs="Times New Roman"/>
          <w:b/>
        </w:rPr>
      </w:pPr>
      <w:r w:rsidRPr="0023349B">
        <w:rPr>
          <w:rFonts w:ascii="Times New Roman" w:hAnsi="Times New Roman" w:cs="Times New Roman"/>
        </w:rPr>
        <w:t>W</w:t>
      </w:r>
      <w:r w:rsidRPr="0023349B">
        <w:rPr>
          <w:rFonts w:ascii="Times New Roman" w:hAnsi="Times New Roman" w:cs="Times New Roman"/>
          <w:b/>
          <w:bCs/>
        </w:rPr>
        <w:t xml:space="preserve"> art. </w:t>
      </w:r>
      <w:r w:rsidR="00424F5E" w:rsidRPr="0023349B">
        <w:rPr>
          <w:rFonts w:ascii="Times New Roman" w:hAnsi="Times New Roman" w:cs="Times New Roman"/>
          <w:b/>
          <w:bCs/>
        </w:rPr>
        <w:t xml:space="preserve">35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b/>
          <w:bCs/>
        </w:rPr>
        <w:t xml:space="preserve"> </w:t>
      </w:r>
      <w:r w:rsidR="00C47C60" w:rsidRPr="0023349B">
        <w:rPr>
          <w:rFonts w:ascii="Times New Roman" w:hAnsi="Times New Roman" w:cs="Times New Roman"/>
          <w:b/>
          <w:bCs/>
        </w:rPr>
        <w:t>–</w:t>
      </w:r>
      <w:r w:rsidRPr="0023349B">
        <w:rPr>
          <w:rFonts w:ascii="Times New Roman" w:hAnsi="Times New Roman" w:cs="Times New Roman"/>
          <w:b/>
          <w:bCs/>
        </w:rPr>
        <w:t xml:space="preserve"> </w:t>
      </w:r>
      <w:r w:rsidRPr="0023349B">
        <w:rPr>
          <w:rFonts w:ascii="Times New Roman" w:hAnsi="Times New Roman" w:cs="Times New Roman"/>
          <w:bCs/>
        </w:rPr>
        <w:t xml:space="preserve">mając na względzie konstytucyjną zasadę ochrony interesów w toku, oraz zasadę zaufania do państwa i stanowionego przez nie prawa przewidziano, że sprawy o przyznanie dodatku mieszkaniowego wszczęte i niezakończone przed dniem wejścia w życie ustawy będą podlegały przepisom dotychczasowym. Jednocześnie przyjęto, </w:t>
      </w:r>
      <w:r w:rsidRPr="0023349B">
        <w:rPr>
          <w:rFonts w:ascii="Times New Roman" w:hAnsi="Times New Roman" w:cs="Times New Roman"/>
        </w:rPr>
        <w:t xml:space="preserve">że </w:t>
      </w:r>
      <w:r w:rsidRPr="0023349B">
        <w:rPr>
          <w:rFonts w:ascii="Times New Roman" w:hAnsi="Times New Roman" w:cs="Times New Roman"/>
          <w:b/>
          <w:bCs/>
        </w:rPr>
        <w:t>d</w:t>
      </w:r>
      <w:r w:rsidRPr="0023349B">
        <w:rPr>
          <w:rFonts w:ascii="Times New Roman" w:hAnsi="Times New Roman" w:cs="Times New Roman"/>
          <w:b/>
        </w:rPr>
        <w:t>o spraw o przyznanie dodatku mieszkaniowego, wszczętych i niezakończonych przed dniem wejścia w życie art.</w:t>
      </w:r>
      <w:r w:rsidR="00193AD6" w:rsidRPr="0023349B">
        <w:rPr>
          <w:rFonts w:ascii="Times New Roman" w:hAnsi="Times New Roman" w:cs="Times New Roman"/>
          <w:b/>
        </w:rPr>
        <w:t xml:space="preserve"> </w:t>
      </w:r>
      <w:r w:rsidR="00424F5E" w:rsidRPr="0023349B">
        <w:rPr>
          <w:rFonts w:ascii="Times New Roman" w:hAnsi="Times New Roman" w:cs="Times New Roman"/>
          <w:b/>
        </w:rPr>
        <w:t>11</w:t>
      </w:r>
      <w:r w:rsidRPr="0023349B">
        <w:rPr>
          <w:rFonts w:ascii="Times New Roman" w:hAnsi="Times New Roman" w:cs="Times New Roman"/>
          <w:b/>
        </w:rPr>
        <w:t xml:space="preserve">projektowanej ustawy, stosuje się przepisy </w:t>
      </w:r>
      <w:proofErr w:type="spellStart"/>
      <w:r w:rsidRPr="0023349B">
        <w:rPr>
          <w:rFonts w:ascii="Times New Roman" w:hAnsi="Times New Roman" w:cs="Times New Roman"/>
          <w:b/>
        </w:rPr>
        <w:t>udm</w:t>
      </w:r>
      <w:proofErr w:type="spellEnd"/>
      <w:r w:rsidRPr="0023349B">
        <w:rPr>
          <w:rFonts w:ascii="Times New Roman" w:hAnsi="Times New Roman" w:cs="Times New Roman"/>
          <w:b/>
        </w:rPr>
        <w:t xml:space="preserve"> w brzmieniu dotychczasowym.</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rPr>
        <w:t>W</w:t>
      </w:r>
      <w:r w:rsidRPr="0023349B">
        <w:rPr>
          <w:rFonts w:ascii="Times New Roman" w:hAnsi="Times New Roman" w:cs="Times New Roman"/>
          <w:b/>
          <w:bCs/>
        </w:rPr>
        <w:t xml:space="preserve"> art. </w:t>
      </w:r>
      <w:r w:rsidR="00424F5E" w:rsidRPr="0023349B">
        <w:rPr>
          <w:rFonts w:ascii="Times New Roman" w:hAnsi="Times New Roman" w:cs="Times New Roman"/>
          <w:b/>
          <w:bCs/>
        </w:rPr>
        <w:t xml:space="preserve">36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b/>
        </w:rPr>
        <w:t xml:space="preserve"> </w:t>
      </w:r>
      <w:r w:rsidR="00C47C60" w:rsidRPr="0023349B">
        <w:rPr>
          <w:rFonts w:ascii="Times New Roman" w:hAnsi="Times New Roman" w:cs="Times New Roman"/>
          <w:b/>
        </w:rPr>
        <w:t>–</w:t>
      </w:r>
      <w:r w:rsidRPr="0023349B">
        <w:rPr>
          <w:rFonts w:ascii="Times New Roman" w:hAnsi="Times New Roman" w:cs="Times New Roman"/>
          <w:b/>
        </w:rPr>
        <w:t xml:space="preserve"> </w:t>
      </w:r>
      <w:r w:rsidRPr="0023349B">
        <w:rPr>
          <w:rFonts w:ascii="Times New Roman" w:hAnsi="Times New Roman" w:cs="Times New Roman"/>
          <w:bCs/>
        </w:rPr>
        <w:t xml:space="preserve">zastrzeżono, że gminy w terminie do dnia 21 kwietnia 2021 r. podejmą uchwały, o których mowa w dodanym art. 7 ust. 1e </w:t>
      </w:r>
      <w:proofErr w:type="spellStart"/>
      <w:r w:rsidRPr="0023349B">
        <w:rPr>
          <w:rFonts w:ascii="Times New Roman" w:hAnsi="Times New Roman" w:cs="Times New Roman"/>
          <w:bCs/>
        </w:rPr>
        <w:t>udm</w:t>
      </w:r>
      <w:proofErr w:type="spellEnd"/>
      <w:r w:rsidRPr="0023349B">
        <w:rPr>
          <w:rFonts w:ascii="Times New Roman" w:hAnsi="Times New Roman" w:cs="Times New Roman"/>
          <w:bCs/>
        </w:rPr>
        <w:t xml:space="preserve">, określające wzór wniosku o przyznanie dodatku mieszkaniowego oraz wzór deklaracji o dochodach gospodarstwa domowego. Przy czym wskazano, że uchwały te zaczną obowiązywać od dnia 21 kwietnia 2021 r., tj. od dnia, kiedy przestanie obowiązywać rozporządzenie Rady Ministrów z dnia 28 grudnia 2001 r. w sprawie dodatków mieszkaniowych (Dz. U. poz. 1817, z późn. zm.). </w:t>
      </w:r>
    </w:p>
    <w:p w:rsidR="00C268CB" w:rsidRPr="0023349B" w:rsidRDefault="00C268CB" w:rsidP="0023349B">
      <w:pPr>
        <w:spacing w:after="240" w:line="360" w:lineRule="auto"/>
        <w:jc w:val="both"/>
        <w:rPr>
          <w:rFonts w:ascii="Times New Roman" w:hAnsi="Times New Roman" w:cs="Times New Roman"/>
          <w:bCs/>
        </w:rPr>
      </w:pPr>
      <w:r w:rsidRPr="0023349B">
        <w:rPr>
          <w:rFonts w:ascii="Times New Roman" w:hAnsi="Times New Roman" w:cs="Times New Roman"/>
          <w:b/>
          <w:bCs/>
        </w:rPr>
        <w:t xml:space="preserve">W art. </w:t>
      </w:r>
      <w:r w:rsidR="00424F5E" w:rsidRPr="0023349B">
        <w:rPr>
          <w:rFonts w:ascii="Times New Roman" w:hAnsi="Times New Roman" w:cs="Times New Roman"/>
          <w:b/>
          <w:bCs/>
        </w:rPr>
        <w:t xml:space="preserve">37 </w:t>
      </w:r>
      <w:r w:rsidRPr="0023349B">
        <w:rPr>
          <w:rFonts w:ascii="Times New Roman" w:hAnsi="Times New Roman" w:cs="Times New Roman"/>
          <w:b/>
          <w:bCs/>
        </w:rPr>
        <w:t>projektu</w:t>
      </w:r>
      <w:r w:rsidRPr="0023349B">
        <w:rPr>
          <w:rFonts w:ascii="Times New Roman" w:hAnsi="Times New Roman" w:cs="Times New Roman"/>
          <w:bCs/>
        </w:rPr>
        <w:t xml:space="preserve"> ustawy mając na uwadze zmianę w </w:t>
      </w:r>
      <w:proofErr w:type="spellStart"/>
      <w:r w:rsidRPr="0023349B">
        <w:rPr>
          <w:rFonts w:ascii="Times New Roman" w:hAnsi="Times New Roman" w:cs="Times New Roman"/>
          <w:bCs/>
        </w:rPr>
        <w:t>uopl</w:t>
      </w:r>
      <w:proofErr w:type="spellEnd"/>
      <w:r w:rsidRPr="0023349B">
        <w:rPr>
          <w:rFonts w:ascii="Times New Roman" w:hAnsi="Times New Roman" w:cs="Times New Roman"/>
          <w:bCs/>
        </w:rPr>
        <w:t xml:space="preserve">, polegającą na odwołaniu się bezpośrednio do dochodu w rozumieniu przepisów o świadczeniach rodzinnych, wskazano, że w terminie 3 miesięcy od dnia wejścia w życie art. </w:t>
      </w:r>
      <w:r w:rsidR="00424F5E" w:rsidRPr="0023349B">
        <w:rPr>
          <w:rFonts w:ascii="Times New Roman" w:hAnsi="Times New Roman" w:cs="Times New Roman"/>
          <w:bCs/>
        </w:rPr>
        <w:t>12</w:t>
      </w:r>
      <w:r w:rsidRPr="0023349B">
        <w:rPr>
          <w:rFonts w:ascii="Times New Roman" w:hAnsi="Times New Roman" w:cs="Times New Roman"/>
          <w:bCs/>
        </w:rPr>
        <w:t xml:space="preserve"> ustawy rady gmin dokonają zmian uchwał podjętych na podstawie art. 21 ust. 1 pkt 2 </w:t>
      </w:r>
      <w:proofErr w:type="spellStart"/>
      <w:r w:rsidRPr="0023349B">
        <w:rPr>
          <w:rFonts w:ascii="Times New Roman" w:hAnsi="Times New Roman" w:cs="Times New Roman"/>
          <w:bCs/>
        </w:rPr>
        <w:t>uopl</w:t>
      </w:r>
      <w:proofErr w:type="spellEnd"/>
      <w:r w:rsidRPr="0023349B">
        <w:rPr>
          <w:rFonts w:ascii="Times New Roman" w:hAnsi="Times New Roman" w:cs="Times New Roman"/>
          <w:bCs/>
        </w:rPr>
        <w:t>, stosownie do zmian wprowadzonych niniejszą ustawą.</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Do umów podnajmu lokali mieszkalnych, których najemcą jest gmina zawartych przez tę gminę z podnajemcą przed dniem wejścia w życie przedmiotowej nowelizacji będą miały zastosowanie przepisy dotychczasowe (</w:t>
      </w:r>
      <w:r w:rsidRPr="0023349B">
        <w:rPr>
          <w:rFonts w:ascii="Times New Roman" w:hAnsi="Times New Roman" w:cs="Times New Roman"/>
          <w:b/>
        </w:rPr>
        <w:t xml:space="preserve">art. </w:t>
      </w:r>
      <w:r w:rsidR="00424F5E" w:rsidRPr="0023349B">
        <w:rPr>
          <w:rFonts w:ascii="Times New Roman" w:hAnsi="Times New Roman" w:cs="Times New Roman"/>
          <w:b/>
        </w:rPr>
        <w:t xml:space="preserve">38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Przepisy nowe będą również miały zastosowanie bezwzględnie do:</w:t>
      </w:r>
    </w:p>
    <w:p w:rsidR="00C268CB" w:rsidRPr="0023349B" w:rsidRDefault="00C268CB" w:rsidP="0023349B">
      <w:pPr>
        <w:numPr>
          <w:ilvl w:val="0"/>
          <w:numId w:val="44"/>
        </w:numPr>
        <w:tabs>
          <w:tab w:val="left" w:pos="0"/>
        </w:tabs>
        <w:spacing w:after="240" w:line="360" w:lineRule="auto"/>
        <w:ind w:left="709" w:hanging="425"/>
        <w:jc w:val="both"/>
        <w:rPr>
          <w:rFonts w:ascii="Times New Roman" w:hAnsi="Times New Roman" w:cs="Times New Roman"/>
        </w:rPr>
      </w:pPr>
      <w:r w:rsidRPr="0023349B">
        <w:rPr>
          <w:rFonts w:ascii="Times New Roman" w:hAnsi="Times New Roman" w:cs="Times New Roman"/>
        </w:rPr>
        <w:t>przedsięwzięć niezakończonych przed dniem wejścia w życie ustawy, na które udzielono finansowego wsparcia (tj. BGK zawarł umowy o udzielenie finansowego wsparcia z beneficjentem wsparcia), na podstawie wniosków złożonych po dniu uchwalenia niniejszej ustawy, a przed dniem jej wejścia w życie</w:t>
      </w:r>
      <w:r w:rsidR="00193AD6" w:rsidRPr="0023349B">
        <w:rPr>
          <w:rFonts w:ascii="Times New Roman" w:hAnsi="Times New Roman" w:cs="Times New Roman"/>
        </w:rPr>
        <w:t xml:space="preserve"> </w:t>
      </w:r>
      <w:r w:rsidRPr="0023349B">
        <w:rPr>
          <w:rFonts w:ascii="Times New Roman" w:hAnsi="Times New Roman" w:cs="Times New Roman"/>
        </w:rPr>
        <w:t>(</w:t>
      </w:r>
      <w:r w:rsidRPr="0023349B">
        <w:rPr>
          <w:rFonts w:ascii="Times New Roman" w:hAnsi="Times New Roman" w:cs="Times New Roman"/>
          <w:b/>
        </w:rPr>
        <w:t xml:space="preserve">art. </w:t>
      </w:r>
      <w:r w:rsidR="00424F5E" w:rsidRPr="0023349B">
        <w:rPr>
          <w:rFonts w:ascii="Times New Roman" w:hAnsi="Times New Roman" w:cs="Times New Roman"/>
          <w:b/>
        </w:rPr>
        <w:t xml:space="preserve">39 </w:t>
      </w:r>
      <w:r w:rsidRPr="0023349B">
        <w:rPr>
          <w:rFonts w:ascii="Times New Roman" w:hAnsi="Times New Roman" w:cs="Times New Roman"/>
          <w:b/>
        </w:rPr>
        <w:t>ust. 1 projektu ustawy, dotyczący ustawy o finansowym wsparciu…</w:t>
      </w:r>
      <w:r w:rsidRPr="0023349B">
        <w:rPr>
          <w:rFonts w:ascii="Times New Roman" w:hAnsi="Times New Roman" w:cs="Times New Roman"/>
        </w:rPr>
        <w:t xml:space="preserve">); </w:t>
      </w:r>
    </w:p>
    <w:p w:rsidR="00C268CB" w:rsidRPr="0023349B" w:rsidRDefault="00C268CB" w:rsidP="0023349B">
      <w:pPr>
        <w:pStyle w:val="Akapitzlist3"/>
        <w:numPr>
          <w:ilvl w:val="0"/>
          <w:numId w:val="44"/>
        </w:numPr>
        <w:tabs>
          <w:tab w:val="left" w:pos="0"/>
        </w:tabs>
        <w:spacing w:after="240" w:line="360" w:lineRule="auto"/>
        <w:ind w:left="709" w:hanging="425"/>
        <w:jc w:val="both"/>
        <w:rPr>
          <w:rFonts w:ascii="Times New Roman" w:eastAsia="Times New Roman" w:hAnsi="Times New Roman" w:cs="Times New Roman"/>
          <w:i/>
        </w:rPr>
      </w:pPr>
      <w:r w:rsidRPr="0023349B">
        <w:rPr>
          <w:rFonts w:ascii="Times New Roman" w:eastAsia="Times New Roman" w:hAnsi="Times New Roman" w:cs="Times New Roman"/>
        </w:rPr>
        <w:t xml:space="preserve">wniosków o udzielenie finansowego wsparcia złożonych i nierozpatrzonych przed dniem wejścia w życie niniejszej </w:t>
      </w:r>
      <w:r w:rsidRPr="0023349B">
        <w:rPr>
          <w:rFonts w:ascii="Times New Roman" w:eastAsia="Times New Roman" w:hAnsi="Times New Roman" w:cs="Times New Roman"/>
          <w:i/>
        </w:rPr>
        <w:t xml:space="preserve">ustawy </w:t>
      </w:r>
      <w:r w:rsidRPr="0023349B">
        <w:rPr>
          <w:rFonts w:ascii="Times New Roman" w:eastAsia="Times New Roman" w:hAnsi="Times New Roman" w:cs="Times New Roman"/>
        </w:rPr>
        <w:t>(</w:t>
      </w:r>
      <w:r w:rsidRPr="0023349B">
        <w:rPr>
          <w:rFonts w:ascii="Times New Roman" w:eastAsia="Times New Roman" w:hAnsi="Times New Roman" w:cs="Times New Roman"/>
          <w:b/>
        </w:rPr>
        <w:t xml:space="preserve">art. </w:t>
      </w:r>
      <w:r w:rsidR="00424F5E" w:rsidRPr="0023349B">
        <w:rPr>
          <w:rFonts w:ascii="Times New Roman" w:eastAsia="Times New Roman" w:hAnsi="Times New Roman" w:cs="Times New Roman"/>
          <w:b/>
        </w:rPr>
        <w:t xml:space="preserve">39 </w:t>
      </w:r>
      <w:r w:rsidRPr="0023349B">
        <w:rPr>
          <w:rFonts w:ascii="Times New Roman" w:eastAsia="Times New Roman" w:hAnsi="Times New Roman" w:cs="Times New Roman"/>
          <w:b/>
        </w:rPr>
        <w:t xml:space="preserve">ust. 2 projektu </w:t>
      </w:r>
      <w:r w:rsidRPr="0023349B">
        <w:rPr>
          <w:rFonts w:ascii="Times New Roman" w:eastAsia="Times New Roman" w:hAnsi="Times New Roman" w:cs="Times New Roman"/>
          <w:b/>
          <w:i/>
        </w:rPr>
        <w:t>ustawy)</w:t>
      </w:r>
      <w:r w:rsidRPr="0023349B">
        <w:rPr>
          <w:rFonts w:ascii="Times New Roman" w:eastAsia="Times New Roman" w:hAnsi="Times New Roman" w:cs="Times New Roman"/>
          <w:i/>
        </w:rPr>
        <w:t>;</w:t>
      </w:r>
    </w:p>
    <w:p w:rsidR="00C268CB" w:rsidRPr="0023349B" w:rsidRDefault="00C268CB" w:rsidP="0023349B">
      <w:pPr>
        <w:pStyle w:val="Akapitzlist3"/>
        <w:numPr>
          <w:ilvl w:val="0"/>
          <w:numId w:val="44"/>
        </w:numPr>
        <w:tabs>
          <w:tab w:val="left" w:pos="0"/>
        </w:tabs>
        <w:spacing w:after="240" w:line="360" w:lineRule="auto"/>
        <w:ind w:left="709" w:hanging="425"/>
        <w:jc w:val="both"/>
        <w:rPr>
          <w:rFonts w:ascii="Times New Roman" w:hAnsi="Times New Roman" w:cs="Times New Roman"/>
          <w:b/>
        </w:rPr>
      </w:pPr>
      <w:r w:rsidRPr="0023349B">
        <w:rPr>
          <w:rFonts w:ascii="Times New Roman" w:hAnsi="Times New Roman" w:cs="Times New Roman"/>
        </w:rPr>
        <w:t xml:space="preserve">przedsięwzięć, co do których zawarto umowy o udzielenie finansowego wsparcia, na podstawie wniosków złożonych w okresie od dnia uchwalenia niniejszej ustawy, a przed dniem jej wejścia w życie oraz do wniosków złożonych i nierozpatrzonych przed dniem wejścia w życie niniejszej ustawy, </w:t>
      </w:r>
      <w:r w:rsidRPr="0023349B">
        <w:rPr>
          <w:rFonts w:ascii="Times New Roman" w:hAnsi="Times New Roman" w:cs="Times New Roman"/>
          <w:b/>
        </w:rPr>
        <w:t xml:space="preserve">w przypadku, gdy wnioskodawcą jest spółka celowa, o której mowa w art. 7 ustawy zmienianej w art. </w:t>
      </w:r>
      <w:r w:rsidR="00740F90" w:rsidRPr="0023349B">
        <w:rPr>
          <w:rFonts w:ascii="Times New Roman" w:hAnsi="Times New Roman" w:cs="Times New Roman"/>
          <w:b/>
        </w:rPr>
        <w:t xml:space="preserve">18 </w:t>
      </w:r>
      <w:r w:rsidRPr="0023349B">
        <w:rPr>
          <w:rFonts w:ascii="Times New Roman" w:hAnsi="Times New Roman" w:cs="Times New Roman"/>
          <w:b/>
        </w:rPr>
        <w:t xml:space="preserve">(art. </w:t>
      </w:r>
      <w:r w:rsidR="00740F90" w:rsidRPr="0023349B">
        <w:rPr>
          <w:rFonts w:ascii="Times New Roman" w:hAnsi="Times New Roman" w:cs="Times New Roman"/>
          <w:b/>
        </w:rPr>
        <w:t xml:space="preserve">39 </w:t>
      </w:r>
      <w:r w:rsidRPr="0023349B">
        <w:rPr>
          <w:rFonts w:ascii="Times New Roman" w:hAnsi="Times New Roman" w:cs="Times New Roman"/>
          <w:b/>
        </w:rPr>
        <w:t>ust. 3).</w:t>
      </w:r>
      <w:r w:rsidRPr="0023349B">
        <w:rPr>
          <w:rFonts w:ascii="Times New Roman" w:hAnsi="Times New Roman" w:cs="Times New Roman"/>
        </w:rPr>
        <w:t xml:space="preserve"> Intencją projektodawcy jest, aby spółki celowe, które złożyły już wnioski/rozpoczęły przedsięwzięcie mogły skorzystać z finansowego wsparcia, w tym na korzystniejszych zasadach.</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Natomiast zgodnie z </w:t>
      </w:r>
      <w:r w:rsidRPr="0023349B">
        <w:rPr>
          <w:rFonts w:ascii="Times New Roman" w:eastAsia="Times New Roman" w:hAnsi="Times New Roman" w:cs="Times New Roman"/>
          <w:b/>
        </w:rPr>
        <w:t xml:space="preserve">art. </w:t>
      </w:r>
      <w:r w:rsidR="00740F90" w:rsidRPr="0023349B">
        <w:rPr>
          <w:rFonts w:ascii="Times New Roman" w:eastAsia="Times New Roman" w:hAnsi="Times New Roman" w:cs="Times New Roman"/>
          <w:b/>
        </w:rPr>
        <w:t>40 i 41</w:t>
      </w:r>
      <w:r w:rsidRPr="0023349B">
        <w:rPr>
          <w:rFonts w:ascii="Times New Roman" w:eastAsia="Times New Roman" w:hAnsi="Times New Roman" w:cs="Times New Roman"/>
          <w:b/>
        </w:rPr>
        <w:t xml:space="preserve"> projektu </w:t>
      </w:r>
      <w:r w:rsidRPr="0023349B">
        <w:rPr>
          <w:rFonts w:ascii="Times New Roman" w:eastAsia="Times New Roman" w:hAnsi="Times New Roman" w:cs="Times New Roman"/>
          <w:b/>
          <w:i/>
        </w:rPr>
        <w:t>ustawy</w:t>
      </w:r>
      <w:r w:rsidRPr="0023349B">
        <w:rPr>
          <w:rFonts w:ascii="Times New Roman" w:eastAsia="Times New Roman" w:hAnsi="Times New Roman" w:cs="Times New Roman"/>
        </w:rPr>
        <w:t xml:space="preserve"> proponuje się, aby do lokali mieszkalnych, mieszkań chronionych i tymczasowych pomieszczeń utworzonych lub będących w trakcie tworzenia przy wykorzystaniu finansowego wsparcia udzielonego na podstawie dotychczasowych przepisów, a także w przypadku lokali mieszkalnych utworzonych w ramach tzw. ustawy pilotażowej (ustawa z dnia 29 kwietnia 2004 r. </w:t>
      </w:r>
      <w:bookmarkStart w:id="20" w:name="__DdeLink__931_4276503800"/>
      <w:r w:rsidRPr="0023349B">
        <w:rPr>
          <w:rFonts w:ascii="Times New Roman" w:eastAsia="Times New Roman" w:hAnsi="Times New Roman" w:cs="Times New Roman"/>
        </w:rPr>
        <w:t>o finansowym wsparciu tworzenia w latach 2004</w:t>
      </w:r>
      <w:r w:rsidR="00C47C60" w:rsidRPr="0023349B">
        <w:rPr>
          <w:rFonts w:ascii="Times New Roman" w:eastAsia="Times New Roman" w:hAnsi="Times New Roman" w:cs="Times New Roman"/>
        </w:rPr>
        <w:t>–</w:t>
      </w:r>
      <w:r w:rsidRPr="0023349B">
        <w:rPr>
          <w:rFonts w:ascii="Times New Roman" w:eastAsia="Times New Roman" w:hAnsi="Times New Roman" w:cs="Times New Roman"/>
        </w:rPr>
        <w:t>2006 lokali socjalnych, noclegowni i domów dla bezdomnych</w:t>
      </w:r>
      <w:bookmarkEnd w:id="20"/>
      <w:r w:rsidRPr="0023349B">
        <w:rPr>
          <w:rFonts w:ascii="Times New Roman" w:eastAsia="Times New Roman" w:hAnsi="Times New Roman" w:cs="Times New Roman"/>
        </w:rPr>
        <w:t xml:space="preserve"> (Dz. U. poz. 1533 oraz z 2005 r. poz. 1241), zastosowanie miało nowe brzmienie przepisu art. 21 ust. 6 pkt 1 </w:t>
      </w:r>
      <w:r w:rsidRPr="0023349B">
        <w:rPr>
          <w:rFonts w:ascii="Times New Roman" w:eastAsia="Times New Roman" w:hAnsi="Times New Roman" w:cs="Times New Roman"/>
          <w:i/>
        </w:rPr>
        <w:t>ustawy o finansowym wsparciu…</w:t>
      </w:r>
      <w:r w:rsidRPr="0023349B">
        <w:rPr>
          <w:rFonts w:ascii="Times New Roman" w:eastAsia="Times New Roman" w:hAnsi="Times New Roman" w:cs="Times New Roman"/>
        </w:rPr>
        <w:t>, zgodnie z którym beneficjent wsparcia, w przypadku zbycia lub zmiany przeznaczenia lokali sfinansowanych z wykorzystanie finansowego wsparcia, będzie musiał utworzyć lokale o tej samej powierzchni, ale już nie liczbie – co pozwoli na bardziej elastyczne gospodarowanie zasobem mieszkaniowym gminy.</w:t>
      </w:r>
      <w:r w:rsidRPr="0023349B">
        <w:rPr>
          <w:rFonts w:ascii="Times New Roman" w:hAnsi="Times New Roman" w:cs="Times New Roman"/>
        </w:rPr>
        <w:t xml:space="preserve"> </w:t>
      </w:r>
      <w:r w:rsidRPr="0023349B">
        <w:rPr>
          <w:rFonts w:ascii="Times New Roman" w:eastAsia="Times New Roman" w:hAnsi="Times New Roman" w:cs="Times New Roman"/>
        </w:rPr>
        <w:t>Projektodawca ma tu na myśli lokale utworzone w ramach ustawy tzw. pilotażowej, którym nadal nie minął 15-letni okres, kiedy gmina nie może z nimi nic zrobić.</w:t>
      </w:r>
      <w:r w:rsidR="00193AD6"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Zgodnie z </w:t>
      </w:r>
      <w:r w:rsidRPr="0023349B">
        <w:rPr>
          <w:rFonts w:ascii="Times New Roman" w:eastAsia="Times New Roman" w:hAnsi="Times New Roman" w:cs="Times New Roman"/>
          <w:b/>
        </w:rPr>
        <w:t xml:space="preserve">art. </w:t>
      </w:r>
      <w:r w:rsidR="00740F90" w:rsidRPr="0023349B">
        <w:rPr>
          <w:rFonts w:ascii="Times New Roman" w:eastAsia="Times New Roman" w:hAnsi="Times New Roman" w:cs="Times New Roman"/>
          <w:b/>
        </w:rPr>
        <w:t xml:space="preserve">42 </w:t>
      </w:r>
      <w:r w:rsidRPr="0023349B">
        <w:rPr>
          <w:rFonts w:ascii="Times New Roman" w:eastAsia="Times New Roman" w:hAnsi="Times New Roman" w:cs="Times New Roman"/>
          <w:b/>
        </w:rPr>
        <w:t>projektu ustawy</w:t>
      </w:r>
      <w:r w:rsidRPr="0023349B">
        <w:rPr>
          <w:rFonts w:ascii="Times New Roman" w:eastAsia="Times New Roman" w:hAnsi="Times New Roman" w:cs="Times New Roman"/>
        </w:rPr>
        <w:t xml:space="preserve"> proponuje się, aby dotychczasowe przepisy wykonawcze, wydane na podstawie art. 12a i art. 19 ustawy o finansowym wsparciu (rozporządzenie Ministra Inwestycji i Rozwoju z dnia 27 kwietnia 2018 r. </w:t>
      </w:r>
      <w:r w:rsidRPr="0023349B">
        <w:rPr>
          <w:rFonts w:ascii="Times New Roman" w:eastAsia="Times New Roman" w:hAnsi="Times New Roman" w:cs="Times New Roman"/>
          <w:i/>
          <w:iCs/>
        </w:rPr>
        <w:t>w sprawie finansowego wsparcia na tworzenie lokali mieszkalnych na wynajem, mieszkań chronionych, noclegowni, schronisk dla bezdomnych, ogrzewalni i tymczasowych pomieszczeń</w:t>
      </w:r>
      <w:r w:rsidRPr="0023349B">
        <w:rPr>
          <w:rFonts w:ascii="Times New Roman" w:eastAsia="Times New Roman" w:hAnsi="Times New Roman" w:cs="Times New Roman"/>
        </w:rPr>
        <w:t xml:space="preserve"> (Dz. U. poz. 823, oraz z 2020 r. poz. 777) oraz rozporządzenie Ministra Inwestycji i Rozwoju z dnia 18 grudnia</w:t>
      </w:r>
      <w:r w:rsidR="00193AD6" w:rsidRPr="0023349B">
        <w:rPr>
          <w:rFonts w:ascii="Times New Roman" w:eastAsia="Times New Roman" w:hAnsi="Times New Roman" w:cs="Times New Roman"/>
        </w:rPr>
        <w:t xml:space="preserve"> </w:t>
      </w:r>
      <w:r w:rsidRPr="0023349B">
        <w:rPr>
          <w:rFonts w:ascii="Times New Roman" w:eastAsia="Times New Roman" w:hAnsi="Times New Roman" w:cs="Times New Roman"/>
        </w:rPr>
        <w:t xml:space="preserve">2018 r. </w:t>
      </w:r>
      <w:r w:rsidRPr="0023349B">
        <w:rPr>
          <w:rFonts w:ascii="Times New Roman" w:eastAsia="Times New Roman" w:hAnsi="Times New Roman" w:cs="Times New Roman"/>
          <w:i/>
          <w:iCs/>
        </w:rPr>
        <w:t>w sprawie</w:t>
      </w:r>
      <w:r w:rsidRPr="0023349B">
        <w:rPr>
          <w:rFonts w:ascii="Times New Roman" w:eastAsia="Times New Roman" w:hAnsi="Times New Roman" w:cs="Times New Roman"/>
        </w:rPr>
        <w:t xml:space="preserve"> </w:t>
      </w:r>
      <w:r w:rsidRPr="0023349B">
        <w:rPr>
          <w:rFonts w:ascii="Times New Roman" w:eastAsia="Times New Roman" w:hAnsi="Times New Roman" w:cs="Times New Roman"/>
          <w:i/>
          <w:iCs/>
        </w:rPr>
        <w:t xml:space="preserve">wzorów formularzy, na których Bank Gospodarstwa Krajowego przekazuje informacje o udzielonym finansowym wsparciu oraz finansowym wsparciu możliwym do udzielenia z Funduszu Dopłat </w:t>
      </w:r>
      <w:r w:rsidRPr="0023349B">
        <w:rPr>
          <w:rFonts w:ascii="Times New Roman" w:eastAsia="Times New Roman" w:hAnsi="Times New Roman" w:cs="Times New Roman"/>
        </w:rPr>
        <w:t>(Dz. U. poz. 2464)), zachowały moc do dnia wejścia w życie nowych przepisów wykonawczych wydanych na podstawie art. 12a i art. 19 ustawy zmienianej w art. 8, w brzmieniu nadanym niniejszą ustawą (uwzględniających zmiany dokonywane w ustawie o finansowym wsparciu), lecz nie dłużej niż do dnia 31 marca 2021 r. Przyjęty termin, uwzględniając zaproponowane w projekcie ustawy vacatio legis, powinien być wystarczający do dokonania odpowiednich zmian w przepisach wykonawczych. Przy czym wprowadzone zmiany nie spowodują konieczności modyfikacji rozporządzenia określającego standardy.</w:t>
      </w:r>
    </w:p>
    <w:p w:rsidR="0048592B" w:rsidRPr="0023349B" w:rsidRDefault="00D47796"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Projektowany a</w:t>
      </w:r>
      <w:r w:rsidR="00C268CB" w:rsidRPr="0023349B">
        <w:rPr>
          <w:rFonts w:ascii="Times New Roman" w:eastAsia="Times New Roman" w:hAnsi="Times New Roman" w:cs="Times New Roman"/>
        </w:rPr>
        <w:t xml:space="preserve">rt. </w:t>
      </w:r>
      <w:r w:rsidR="007F14FE" w:rsidRPr="0023349B">
        <w:rPr>
          <w:rFonts w:ascii="Times New Roman" w:eastAsia="Times New Roman" w:hAnsi="Times New Roman" w:cs="Times New Roman"/>
        </w:rPr>
        <w:t xml:space="preserve">43 projektu </w:t>
      </w:r>
      <w:r w:rsidRPr="0023349B">
        <w:rPr>
          <w:rFonts w:ascii="Times New Roman" w:eastAsia="Times New Roman" w:hAnsi="Times New Roman" w:cs="Times New Roman"/>
        </w:rPr>
        <w:t xml:space="preserve">ustawy ma na celu przedłużenie kadencji rad nadzorczych, które wygasają </w:t>
      </w:r>
      <w:r w:rsidR="007D02A3" w:rsidRPr="0023349B">
        <w:rPr>
          <w:rFonts w:ascii="Times New Roman" w:eastAsia="Times New Roman" w:hAnsi="Times New Roman" w:cs="Times New Roman"/>
        </w:rPr>
        <w:t xml:space="preserve">w czasie wprowadzonego staniu epidemii dotyczącej COVID-19 </w:t>
      </w:r>
      <w:r w:rsidRPr="0023349B">
        <w:rPr>
          <w:rFonts w:ascii="Times New Roman" w:eastAsia="Times New Roman" w:hAnsi="Times New Roman" w:cs="Times New Roman"/>
        </w:rPr>
        <w:t xml:space="preserve">lub wygasły przed dniem wejścia w życie projektowanej ustawy. </w:t>
      </w:r>
      <w:r w:rsidR="0048592B" w:rsidRPr="0023349B">
        <w:rPr>
          <w:rFonts w:ascii="Times New Roman" w:hAnsi="Times New Roman" w:cs="Times New Roman"/>
        </w:rPr>
        <w:t>Ciągłość funkcjonowania tego organu jest niezbędna w celu zapewnienia płynności działania spółdzielni mieszkaniowych. Do właściwości rady nadzorczej należy bowiem podejmowanie uchwał w istotnych dla członków sprawach, jak np. uchwalanie planów gospodarczych, w tym ustalanie wysokości stawek opłat związanych z utrzymaniem lokali, badanie sprawozdań finansowych, rozpatrywanie skarg członków, podejmowanie uchwał w sprawie nabywania nieruchomości.</w:t>
      </w:r>
    </w:p>
    <w:p w:rsidR="00C268CB" w:rsidRPr="0023349B" w:rsidRDefault="00C268CB" w:rsidP="0023349B">
      <w:pPr>
        <w:spacing w:after="240" w:line="360" w:lineRule="auto"/>
        <w:jc w:val="both"/>
        <w:rPr>
          <w:rFonts w:ascii="Times New Roman" w:eastAsia="Times New Roman" w:hAnsi="Times New Roman" w:cs="Times New Roman"/>
        </w:rPr>
      </w:pPr>
      <w:r w:rsidRPr="0023349B">
        <w:rPr>
          <w:rFonts w:ascii="Times New Roman" w:eastAsia="Times New Roman" w:hAnsi="Times New Roman" w:cs="Times New Roman"/>
        </w:rPr>
        <w:t xml:space="preserve">W </w:t>
      </w:r>
      <w:r w:rsidRPr="0023349B">
        <w:rPr>
          <w:rFonts w:ascii="Times New Roman" w:eastAsia="Times New Roman" w:hAnsi="Times New Roman" w:cs="Times New Roman"/>
          <w:b/>
        </w:rPr>
        <w:t xml:space="preserve">projektowanym art. </w:t>
      </w:r>
      <w:r w:rsidR="007F14FE" w:rsidRPr="0023349B">
        <w:rPr>
          <w:rFonts w:ascii="Times New Roman" w:eastAsia="Times New Roman" w:hAnsi="Times New Roman" w:cs="Times New Roman"/>
          <w:b/>
        </w:rPr>
        <w:t>44</w:t>
      </w:r>
      <w:r w:rsidR="007F14FE" w:rsidRPr="0023349B">
        <w:rPr>
          <w:rFonts w:ascii="Times New Roman" w:eastAsia="Times New Roman" w:hAnsi="Times New Roman" w:cs="Times New Roman"/>
        </w:rPr>
        <w:t xml:space="preserve"> </w:t>
      </w:r>
      <w:r w:rsidRPr="0023349B">
        <w:rPr>
          <w:rFonts w:ascii="Times New Roman" w:eastAsia="Times New Roman" w:hAnsi="Times New Roman" w:cs="Times New Roman"/>
        </w:rPr>
        <w:t>ustawy zawarto przepis dostosowawczy określający termin wyłonienia do Rady Nadzorczej KZN nowego członka.</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W dodawanym </w:t>
      </w:r>
      <w:r w:rsidRPr="0023349B">
        <w:rPr>
          <w:rFonts w:ascii="Times New Roman" w:hAnsi="Times New Roman" w:cs="Times New Roman"/>
          <w:b/>
        </w:rPr>
        <w:t xml:space="preserve">art. </w:t>
      </w:r>
      <w:r w:rsidR="007F14FE" w:rsidRPr="0023349B">
        <w:rPr>
          <w:rFonts w:ascii="Times New Roman" w:hAnsi="Times New Roman" w:cs="Times New Roman"/>
          <w:b/>
        </w:rPr>
        <w:t xml:space="preserve">45 </w:t>
      </w:r>
      <w:r w:rsidRPr="0023349B">
        <w:rPr>
          <w:rFonts w:ascii="Times New Roman" w:hAnsi="Times New Roman" w:cs="Times New Roman"/>
          <w:b/>
        </w:rPr>
        <w:t>projektu ustawy</w:t>
      </w:r>
      <w:r w:rsidRPr="0023349B">
        <w:rPr>
          <w:rFonts w:ascii="Times New Roman" w:hAnsi="Times New Roman" w:cs="Times New Roman"/>
        </w:rPr>
        <w:t xml:space="preserve"> wprowadzono odrębną regułę wydatkową określającą maksymalny limit środków budżetu państwa, do wysokości których mogą być udzielone KZN dotacje, o </w:t>
      </w:r>
      <w:proofErr w:type="spellStart"/>
      <w:r w:rsidRPr="0023349B">
        <w:rPr>
          <w:rFonts w:ascii="Times New Roman" w:hAnsi="Times New Roman" w:cs="Times New Roman"/>
        </w:rPr>
        <w:t>kt</w:t>
      </w:r>
      <w:proofErr w:type="spellEnd"/>
      <w:r w:rsidRPr="0023349B">
        <w:rPr>
          <w:rFonts w:ascii="Times New Roman" w:hAnsi="Times New Roman" w:cs="Times New Roman"/>
          <w:lang w:val="es-ES_tradnl"/>
        </w:rPr>
        <w:t>ó</w:t>
      </w:r>
      <w:proofErr w:type="spellStart"/>
      <w:r w:rsidRPr="0023349B">
        <w:rPr>
          <w:rFonts w:ascii="Times New Roman" w:hAnsi="Times New Roman" w:cs="Times New Roman"/>
        </w:rPr>
        <w:t>rych</w:t>
      </w:r>
      <w:proofErr w:type="spellEnd"/>
      <w:r w:rsidRPr="0023349B">
        <w:rPr>
          <w:rFonts w:ascii="Times New Roman" w:hAnsi="Times New Roman" w:cs="Times New Roman"/>
        </w:rPr>
        <w:t xml:space="preserve"> mowa w art. 43 ust. 2 pkt 2 i art. 46 ust. 1 pkt 1 i 2, w latach 2020</w:t>
      </w:r>
      <w:r w:rsidR="00C47C60" w:rsidRPr="0023349B">
        <w:rPr>
          <w:rFonts w:ascii="Times New Roman" w:hAnsi="Times New Roman" w:cs="Times New Roman"/>
          <w:bCs/>
        </w:rPr>
        <w:t>–</w:t>
      </w:r>
      <w:r w:rsidRPr="0023349B">
        <w:rPr>
          <w:rFonts w:ascii="Times New Roman" w:hAnsi="Times New Roman" w:cs="Times New Roman"/>
        </w:rPr>
        <w:t>2030.</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rPr>
        <w:t xml:space="preserve">Dodawany art. </w:t>
      </w:r>
      <w:r w:rsidR="007F14FE" w:rsidRPr="0023349B">
        <w:rPr>
          <w:rFonts w:ascii="Times New Roman" w:hAnsi="Times New Roman" w:cs="Times New Roman"/>
          <w:b/>
        </w:rPr>
        <w:t>46</w:t>
      </w:r>
      <w:r w:rsidR="007F14FE" w:rsidRPr="0023349B">
        <w:rPr>
          <w:rFonts w:ascii="Times New Roman" w:hAnsi="Times New Roman" w:cs="Times New Roman"/>
        </w:rPr>
        <w:t xml:space="preserve"> </w:t>
      </w:r>
      <w:r w:rsidRPr="0023349B">
        <w:rPr>
          <w:rFonts w:ascii="Times New Roman" w:hAnsi="Times New Roman" w:cs="Times New Roman"/>
        </w:rPr>
        <w:t xml:space="preserve">projektu ustawy związany jest ze zmianą ustawy z dnia 20 lipca 2018 r. o pomocy państwa w ponoszeniu wydatków mieszkaniowych w pierwszych latach najmu mieszkania. Zobowiązuje on gminę do dostosowania uchwały, o której mowa w art. 8 ust. 1 ustawy o pomocy państwa w ponoszeniu wydatków mieszkaniowych w pierwszych latach najmu mieszkania, wydanej przed dniem wejścia w życie niniejszej ustawy, do wprowadzanych zmian, w terminie 6 miesięcy od dnia wejścia w życie ustawy zmienianej w art. </w:t>
      </w:r>
      <w:r w:rsidR="007F14FE" w:rsidRPr="0023349B">
        <w:rPr>
          <w:rFonts w:ascii="Times New Roman" w:hAnsi="Times New Roman" w:cs="Times New Roman"/>
        </w:rPr>
        <w:t>20</w:t>
      </w:r>
      <w:r w:rsidRPr="0023349B">
        <w:rPr>
          <w:rFonts w:ascii="Times New Roman" w:hAnsi="Times New Roman" w:cs="Times New Roman"/>
        </w:rPr>
        <w:t>. Brak dostosowania uchwały w określonym terminie może spowodować powstanie po stronie potencjalnych najemców roszczenia wobec gminy.</w:t>
      </w:r>
      <w:r w:rsidR="00193AD6"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b/>
          <w:bCs/>
        </w:rPr>
        <w:t xml:space="preserve">Art. </w:t>
      </w:r>
      <w:r w:rsidR="007F14FE" w:rsidRPr="0023349B">
        <w:rPr>
          <w:rFonts w:ascii="Times New Roman" w:hAnsi="Times New Roman" w:cs="Times New Roman"/>
          <w:b/>
          <w:bCs/>
        </w:rPr>
        <w:t>47</w:t>
      </w:r>
      <w:r w:rsidRPr="0023349B">
        <w:rPr>
          <w:rFonts w:ascii="Times New Roman" w:hAnsi="Times New Roman" w:cs="Times New Roman"/>
        </w:rPr>
        <w:t>– w przepisie określono tryb i terminy wypłaty środków z tytułu dopłat do czynszu na drugie półrocze 2020 r. Zgodnie z zaproponowanym w projekcie rozwiązaniem, wniosek o przekazanie środków na drugie półrocze 2020 r. gmina składać będzie w terminie 21 dni od dnia wejścia w życie tego przepisu. Z kolei środki zostaną przekazane będą gminie do w terminie 45 dni od dnia wejścia w życie tego przepisu. Natomiast wniosek o przekazanie środków dla gmin wojewoda składać będzie składał w terminie 28 dni od dnia wejścia w życie przepisu. Środki dla gmin przekazywane będą wojewodzie w ciągu 35 dni od dnia wejścia przepisu w życie.</w:t>
      </w:r>
      <w:r w:rsidR="00193AD6" w:rsidRPr="0023349B">
        <w:rPr>
          <w:rFonts w:ascii="Times New Roman" w:hAnsi="Times New Roman" w:cs="Times New Roman"/>
        </w:rPr>
        <w:t xml:space="preserve"> </w:t>
      </w:r>
    </w:p>
    <w:p w:rsidR="00C268CB" w:rsidRPr="0023349B" w:rsidRDefault="00C268CB" w:rsidP="0023349B">
      <w:pPr>
        <w:spacing w:after="240" w:line="360" w:lineRule="auto"/>
        <w:jc w:val="both"/>
        <w:rPr>
          <w:rFonts w:ascii="Times New Roman" w:hAnsi="Times New Roman" w:cs="Times New Roman"/>
          <w:b/>
          <w:bCs/>
        </w:rPr>
      </w:pPr>
      <w:r w:rsidRPr="0023349B">
        <w:rPr>
          <w:rFonts w:ascii="Times New Roman" w:hAnsi="Times New Roman" w:cs="Times New Roman"/>
        </w:rPr>
        <w:t>W</w:t>
      </w:r>
      <w:r w:rsidRPr="0023349B">
        <w:rPr>
          <w:rFonts w:ascii="Times New Roman" w:hAnsi="Times New Roman" w:cs="Times New Roman"/>
          <w:b/>
          <w:bCs/>
        </w:rPr>
        <w:t xml:space="preserve"> art. </w:t>
      </w:r>
      <w:r w:rsidR="00A81A7E" w:rsidRPr="0023349B">
        <w:rPr>
          <w:rFonts w:ascii="Times New Roman" w:hAnsi="Times New Roman" w:cs="Times New Roman"/>
          <w:b/>
          <w:bCs/>
        </w:rPr>
        <w:t xml:space="preserve">48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przewiduje się, że dodany do </w:t>
      </w:r>
      <w:proofErr w:type="spellStart"/>
      <w:r w:rsidRPr="0023349B">
        <w:rPr>
          <w:rFonts w:ascii="Times New Roman" w:hAnsi="Times New Roman" w:cs="Times New Roman"/>
        </w:rPr>
        <w:t>udm</w:t>
      </w:r>
      <w:proofErr w:type="spellEnd"/>
      <w:r w:rsidRPr="0023349B">
        <w:rPr>
          <w:rFonts w:ascii="Times New Roman" w:hAnsi="Times New Roman" w:cs="Times New Roman"/>
        </w:rPr>
        <w:t xml:space="preserve"> </w:t>
      </w:r>
      <w:r w:rsidRPr="0023349B">
        <w:rPr>
          <w:rFonts w:ascii="Times New Roman" w:hAnsi="Times New Roman" w:cs="Times New Roman"/>
          <w:b/>
          <w:bCs/>
        </w:rPr>
        <w:t>przepis art. 7a traci moc z dniem 21 kwietnia 2021 r.</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Zgodnie z zamierzeniem projektodawcy wyrażonym w </w:t>
      </w:r>
      <w:r w:rsidRPr="0023349B">
        <w:rPr>
          <w:rFonts w:ascii="Times New Roman" w:hAnsi="Times New Roman" w:cs="Times New Roman"/>
          <w:b/>
        </w:rPr>
        <w:t xml:space="preserve">art. </w:t>
      </w:r>
      <w:r w:rsidR="009668A7" w:rsidRPr="0023349B">
        <w:rPr>
          <w:rFonts w:ascii="Times New Roman" w:hAnsi="Times New Roman" w:cs="Times New Roman"/>
          <w:b/>
        </w:rPr>
        <w:t xml:space="preserve">49 </w:t>
      </w:r>
      <w:r w:rsidRPr="0023349B">
        <w:rPr>
          <w:rFonts w:ascii="Times New Roman" w:hAnsi="Times New Roman" w:cs="Times New Roman"/>
          <w:b/>
        </w:rPr>
        <w:t xml:space="preserve">projektu </w:t>
      </w:r>
      <w:r w:rsidRPr="0023349B">
        <w:rPr>
          <w:rFonts w:ascii="Times New Roman" w:hAnsi="Times New Roman" w:cs="Times New Roman"/>
          <w:b/>
          <w:i/>
        </w:rPr>
        <w:t>ustawy</w:t>
      </w:r>
      <w:r w:rsidRPr="0023349B">
        <w:rPr>
          <w:rFonts w:ascii="Times New Roman" w:hAnsi="Times New Roman" w:cs="Times New Roman"/>
        </w:rPr>
        <w:t xml:space="preserve">, ustawa o zmianie niektórych ustaw wspierających rozwój społecznego budownictwa czynszowego ma wejść w życie po upływie 14 dni od dnia ogłoszenia. </w:t>
      </w:r>
    </w:p>
    <w:p w:rsidR="00C268CB" w:rsidRPr="0023349B" w:rsidRDefault="00C268CB" w:rsidP="0023349B">
      <w:pPr>
        <w:spacing w:line="360" w:lineRule="auto"/>
        <w:jc w:val="both"/>
        <w:rPr>
          <w:rFonts w:ascii="Times New Roman" w:hAnsi="Times New Roman" w:cs="Times New Roman"/>
        </w:rPr>
      </w:pPr>
      <w:r w:rsidRPr="0023349B">
        <w:rPr>
          <w:rFonts w:ascii="Times New Roman" w:hAnsi="Times New Roman" w:cs="Times New Roman"/>
        </w:rPr>
        <w:t>Wyjątek stanowić mają przepisy:</w:t>
      </w:r>
    </w:p>
    <w:p w:rsidR="009A187C" w:rsidRPr="0023349B" w:rsidRDefault="009A187C" w:rsidP="0023349B">
      <w:pPr>
        <w:pStyle w:val="PKTpunkt"/>
        <w:numPr>
          <w:ilvl w:val="0"/>
          <w:numId w:val="45"/>
        </w:numPr>
        <w:ind w:left="567" w:hanging="567"/>
        <w:rPr>
          <w:rFonts w:ascii="Times New Roman" w:hAnsi="Times New Roman" w:cs="Times New Roman"/>
        </w:rPr>
      </w:pPr>
      <w:r w:rsidRPr="0023349B">
        <w:rPr>
          <w:rFonts w:ascii="Times New Roman" w:hAnsi="Times New Roman" w:cs="Times New Roman"/>
        </w:rPr>
        <w:t xml:space="preserve">art. </w:t>
      </w:r>
      <w:r w:rsidR="00D219B5" w:rsidRPr="0023349B">
        <w:rPr>
          <w:rFonts w:ascii="Times New Roman" w:hAnsi="Times New Roman" w:cs="Times New Roman"/>
        </w:rPr>
        <w:t>6</w:t>
      </w:r>
      <w:r w:rsidRPr="0023349B">
        <w:rPr>
          <w:rFonts w:ascii="Times New Roman" w:hAnsi="Times New Roman" w:cs="Times New Roman"/>
          <w:szCs w:val="24"/>
        </w:rPr>
        <w:t xml:space="preserve"> i art. </w:t>
      </w:r>
      <w:r w:rsidR="0016123A" w:rsidRPr="0023349B">
        <w:rPr>
          <w:rFonts w:ascii="Times New Roman" w:hAnsi="Times New Roman" w:cs="Times New Roman"/>
          <w:szCs w:val="24"/>
        </w:rPr>
        <w:t>21</w:t>
      </w:r>
      <w:r w:rsidRPr="0023349B">
        <w:rPr>
          <w:rFonts w:ascii="Times New Roman" w:hAnsi="Times New Roman" w:cs="Times New Roman"/>
        </w:rPr>
        <w:t>, które</w:t>
      </w:r>
      <w:r w:rsidR="0016123A" w:rsidRPr="0023349B">
        <w:rPr>
          <w:rFonts w:ascii="Times New Roman" w:hAnsi="Times New Roman" w:cs="Times New Roman"/>
        </w:rPr>
        <w:t xml:space="preserve"> wchodzą</w:t>
      </w:r>
      <w:r w:rsidRPr="0023349B">
        <w:rPr>
          <w:rFonts w:ascii="Times New Roman" w:hAnsi="Times New Roman" w:cs="Times New Roman"/>
        </w:rPr>
        <w:t xml:space="preserve"> w życie z dniem 19 września 2020 r.;</w:t>
      </w:r>
    </w:p>
    <w:p w:rsidR="00C268CB" w:rsidRPr="0023349B" w:rsidRDefault="00C268CB" w:rsidP="0023349B">
      <w:pPr>
        <w:pStyle w:val="PKTpunkt"/>
        <w:numPr>
          <w:ilvl w:val="0"/>
          <w:numId w:val="45"/>
        </w:numPr>
        <w:ind w:left="567" w:hanging="567"/>
        <w:rPr>
          <w:rFonts w:ascii="Times New Roman" w:hAnsi="Times New Roman" w:cs="Times New Roman"/>
        </w:rPr>
      </w:pPr>
      <w:r w:rsidRPr="0023349B">
        <w:rPr>
          <w:rFonts w:ascii="Times New Roman" w:hAnsi="Times New Roman" w:cs="Times New Roman"/>
        </w:rPr>
        <w:t xml:space="preserve">art. </w:t>
      </w:r>
      <w:r w:rsidR="009A187C" w:rsidRPr="0023349B">
        <w:rPr>
          <w:rFonts w:ascii="Times New Roman" w:hAnsi="Times New Roman" w:cs="Times New Roman"/>
        </w:rPr>
        <w:t>7</w:t>
      </w:r>
      <w:r w:rsidRPr="0023349B">
        <w:rPr>
          <w:rFonts w:ascii="Times New Roman" w:hAnsi="Times New Roman" w:cs="Times New Roman"/>
        </w:rPr>
        <w:t xml:space="preserve"> pkt </w:t>
      </w:r>
      <w:r w:rsidR="009A187C" w:rsidRPr="0023349B">
        <w:rPr>
          <w:rFonts w:ascii="Times New Roman" w:hAnsi="Times New Roman" w:cs="Times New Roman"/>
        </w:rPr>
        <w:t>4,</w:t>
      </w:r>
      <w:r w:rsidR="00C47C60" w:rsidRPr="0023349B">
        <w:rPr>
          <w:rFonts w:ascii="Times New Roman" w:hAnsi="Times New Roman" w:cs="Times New Roman"/>
        </w:rPr>
        <w:t xml:space="preserve"> </w:t>
      </w:r>
      <w:r w:rsidR="009A187C" w:rsidRPr="0023349B">
        <w:rPr>
          <w:rFonts w:ascii="Times New Roman" w:hAnsi="Times New Roman" w:cs="Times New Roman"/>
        </w:rPr>
        <w:t>5,</w:t>
      </w:r>
      <w:r w:rsidR="00C47C60" w:rsidRPr="0023349B">
        <w:rPr>
          <w:rFonts w:ascii="Times New Roman" w:hAnsi="Times New Roman" w:cs="Times New Roman"/>
        </w:rPr>
        <w:t xml:space="preserve"> </w:t>
      </w:r>
      <w:r w:rsidR="009A187C" w:rsidRPr="0023349B">
        <w:rPr>
          <w:rFonts w:ascii="Times New Roman" w:hAnsi="Times New Roman" w:cs="Times New Roman"/>
        </w:rPr>
        <w:t>11</w:t>
      </w:r>
      <w:r w:rsidR="00C47C60" w:rsidRPr="0023349B">
        <w:rPr>
          <w:rFonts w:ascii="Times New Roman" w:hAnsi="Times New Roman" w:cs="Times New Roman"/>
        </w:rPr>
        <w:t>–</w:t>
      </w:r>
      <w:r w:rsidR="009A187C" w:rsidRPr="0023349B">
        <w:rPr>
          <w:rFonts w:ascii="Times New Roman" w:hAnsi="Times New Roman" w:cs="Times New Roman"/>
        </w:rPr>
        <w:t>16</w:t>
      </w:r>
      <w:r w:rsidRPr="0023349B">
        <w:rPr>
          <w:rFonts w:ascii="Times New Roman" w:hAnsi="Times New Roman" w:cs="Times New Roman"/>
        </w:rPr>
        <w:t xml:space="preserve"> i </w:t>
      </w:r>
      <w:r w:rsidR="009A187C" w:rsidRPr="0023349B">
        <w:rPr>
          <w:rFonts w:ascii="Times New Roman" w:hAnsi="Times New Roman" w:cs="Times New Roman"/>
        </w:rPr>
        <w:t>18</w:t>
      </w:r>
      <w:r w:rsidR="00C47C60" w:rsidRPr="0023349B">
        <w:rPr>
          <w:rFonts w:ascii="Times New Roman" w:hAnsi="Times New Roman" w:cs="Times New Roman"/>
        </w:rPr>
        <w:t>–</w:t>
      </w:r>
      <w:r w:rsidR="009A187C" w:rsidRPr="0023349B">
        <w:rPr>
          <w:rFonts w:ascii="Times New Roman" w:hAnsi="Times New Roman" w:cs="Times New Roman"/>
        </w:rPr>
        <w:t>21</w:t>
      </w:r>
      <w:r w:rsidRPr="0023349B">
        <w:rPr>
          <w:rFonts w:ascii="Times New Roman" w:hAnsi="Times New Roman" w:cs="Times New Roman"/>
        </w:rPr>
        <w:t xml:space="preserve">, art. </w:t>
      </w:r>
      <w:r w:rsidR="009A187C" w:rsidRPr="0023349B">
        <w:rPr>
          <w:rFonts w:ascii="Times New Roman" w:hAnsi="Times New Roman" w:cs="Times New Roman"/>
        </w:rPr>
        <w:t>8</w:t>
      </w:r>
      <w:r w:rsidRPr="0023349B">
        <w:rPr>
          <w:rFonts w:ascii="Times New Roman" w:hAnsi="Times New Roman" w:cs="Times New Roman"/>
        </w:rPr>
        <w:t xml:space="preserve"> z wyjątkiem pkt </w:t>
      </w:r>
      <w:r w:rsidR="009A187C" w:rsidRPr="0023349B">
        <w:rPr>
          <w:rFonts w:ascii="Times New Roman" w:hAnsi="Times New Roman" w:cs="Times New Roman"/>
        </w:rPr>
        <w:t>2</w:t>
      </w:r>
      <w:r w:rsidRPr="0023349B">
        <w:rPr>
          <w:rFonts w:ascii="Times New Roman" w:hAnsi="Times New Roman" w:cs="Times New Roman"/>
        </w:rPr>
        <w:t xml:space="preserve"> w części dotyczącej art. 3e ust. 2 i 3, art. </w:t>
      </w:r>
      <w:r w:rsidR="009A187C" w:rsidRPr="0023349B">
        <w:rPr>
          <w:rFonts w:ascii="Times New Roman" w:hAnsi="Times New Roman" w:cs="Times New Roman"/>
        </w:rPr>
        <w:t>10</w:t>
      </w:r>
      <w:r w:rsidRPr="0023349B">
        <w:rPr>
          <w:rFonts w:ascii="Times New Roman" w:hAnsi="Times New Roman" w:cs="Times New Roman"/>
        </w:rPr>
        <w:t xml:space="preserve"> i art. </w:t>
      </w:r>
      <w:r w:rsidR="009A187C" w:rsidRPr="0023349B">
        <w:rPr>
          <w:rFonts w:ascii="Times New Roman" w:hAnsi="Times New Roman" w:cs="Times New Roman"/>
        </w:rPr>
        <w:t>14</w:t>
      </w:r>
      <w:r w:rsidRPr="0023349B">
        <w:rPr>
          <w:rFonts w:ascii="Times New Roman" w:hAnsi="Times New Roman" w:cs="Times New Roman"/>
        </w:rPr>
        <w:t xml:space="preserve">, art. </w:t>
      </w:r>
      <w:r w:rsidR="009A187C" w:rsidRPr="0023349B">
        <w:rPr>
          <w:rFonts w:ascii="Times New Roman" w:hAnsi="Times New Roman" w:cs="Times New Roman"/>
        </w:rPr>
        <w:t>20</w:t>
      </w:r>
      <w:r w:rsidRPr="0023349B">
        <w:rPr>
          <w:rFonts w:ascii="Times New Roman" w:hAnsi="Times New Roman" w:cs="Times New Roman"/>
        </w:rPr>
        <w:t xml:space="preserve">, art. </w:t>
      </w:r>
      <w:r w:rsidR="009A187C" w:rsidRPr="0023349B">
        <w:rPr>
          <w:rFonts w:ascii="Times New Roman" w:hAnsi="Times New Roman" w:cs="Times New Roman"/>
        </w:rPr>
        <w:t>27</w:t>
      </w:r>
      <w:r w:rsidRPr="0023349B">
        <w:rPr>
          <w:rFonts w:ascii="Times New Roman" w:hAnsi="Times New Roman" w:cs="Times New Roman"/>
        </w:rPr>
        <w:t xml:space="preserve">, </w:t>
      </w:r>
      <w:r w:rsidR="00C5337E" w:rsidRPr="0023349B">
        <w:rPr>
          <w:rFonts w:ascii="Times New Roman" w:hAnsi="Times New Roman" w:cs="Times New Roman"/>
        </w:rPr>
        <w:t xml:space="preserve">oraz </w:t>
      </w:r>
      <w:r w:rsidRPr="0023349B">
        <w:rPr>
          <w:rFonts w:ascii="Times New Roman" w:hAnsi="Times New Roman" w:cs="Times New Roman"/>
        </w:rPr>
        <w:t xml:space="preserve">art. </w:t>
      </w:r>
      <w:r w:rsidR="009A187C" w:rsidRPr="0023349B">
        <w:rPr>
          <w:rFonts w:ascii="Times New Roman" w:hAnsi="Times New Roman" w:cs="Times New Roman"/>
        </w:rPr>
        <w:t>31</w:t>
      </w:r>
      <w:r w:rsidR="003B2367" w:rsidRPr="0023349B">
        <w:rPr>
          <w:rFonts w:ascii="Times New Roman" w:hAnsi="Times New Roman" w:cs="Times New Roman"/>
          <w:bCs w:val="0"/>
        </w:rPr>
        <w:t>–</w:t>
      </w:r>
      <w:r w:rsidR="009A187C" w:rsidRPr="0023349B">
        <w:rPr>
          <w:rFonts w:ascii="Times New Roman" w:hAnsi="Times New Roman" w:cs="Times New Roman"/>
        </w:rPr>
        <w:t>33</w:t>
      </w:r>
      <w:r w:rsidRPr="0023349B">
        <w:rPr>
          <w:rFonts w:ascii="Times New Roman" w:hAnsi="Times New Roman" w:cs="Times New Roman"/>
        </w:rPr>
        <w:t>, które wchodzą w życie z dniem 1 stycznia 2021 r.;</w:t>
      </w:r>
    </w:p>
    <w:p w:rsidR="00C268CB" w:rsidRPr="0023349B" w:rsidRDefault="00C268CB" w:rsidP="0023349B">
      <w:pPr>
        <w:pStyle w:val="PKTpunkt"/>
        <w:numPr>
          <w:ilvl w:val="0"/>
          <w:numId w:val="45"/>
        </w:numPr>
        <w:tabs>
          <w:tab w:val="left" w:pos="348"/>
        </w:tabs>
        <w:ind w:left="567" w:hanging="567"/>
        <w:rPr>
          <w:rFonts w:ascii="Times New Roman" w:hAnsi="Times New Roman" w:cs="Times New Roman"/>
        </w:rPr>
      </w:pPr>
      <w:r w:rsidRPr="0023349B">
        <w:rPr>
          <w:rFonts w:ascii="Times New Roman" w:hAnsi="Times New Roman" w:cs="Times New Roman"/>
        </w:rPr>
        <w:t xml:space="preserve">art. </w:t>
      </w:r>
      <w:r w:rsidR="009A187C" w:rsidRPr="0023349B">
        <w:rPr>
          <w:rFonts w:ascii="Times New Roman" w:hAnsi="Times New Roman" w:cs="Times New Roman"/>
        </w:rPr>
        <w:t>7</w:t>
      </w:r>
      <w:r w:rsidRPr="0023349B">
        <w:rPr>
          <w:rFonts w:ascii="Times New Roman" w:hAnsi="Times New Roman" w:cs="Times New Roman"/>
        </w:rPr>
        <w:t xml:space="preserve"> pkt </w:t>
      </w:r>
      <w:r w:rsidR="009A187C" w:rsidRPr="0023349B">
        <w:rPr>
          <w:rFonts w:ascii="Times New Roman" w:hAnsi="Times New Roman" w:cs="Times New Roman"/>
        </w:rPr>
        <w:t>17</w:t>
      </w:r>
      <w:r w:rsidRPr="0023349B">
        <w:rPr>
          <w:rFonts w:ascii="Times New Roman" w:hAnsi="Times New Roman" w:cs="Times New Roman"/>
        </w:rPr>
        <w:t xml:space="preserve">, art. </w:t>
      </w:r>
      <w:r w:rsidR="009A187C" w:rsidRPr="0023349B">
        <w:rPr>
          <w:rFonts w:ascii="Times New Roman" w:hAnsi="Times New Roman" w:cs="Times New Roman"/>
        </w:rPr>
        <w:t>25</w:t>
      </w:r>
      <w:r w:rsidRPr="0023349B">
        <w:rPr>
          <w:rFonts w:ascii="Times New Roman" w:hAnsi="Times New Roman" w:cs="Times New Roman"/>
        </w:rPr>
        <w:t xml:space="preserve"> ust. 1 i art. </w:t>
      </w:r>
      <w:r w:rsidR="009A187C" w:rsidRPr="0023349B">
        <w:rPr>
          <w:rFonts w:ascii="Times New Roman" w:hAnsi="Times New Roman" w:cs="Times New Roman"/>
        </w:rPr>
        <w:t>28</w:t>
      </w:r>
      <w:r w:rsidRPr="0023349B">
        <w:rPr>
          <w:rFonts w:ascii="Times New Roman" w:hAnsi="Times New Roman" w:cs="Times New Roman"/>
        </w:rPr>
        <w:t>, które wchodzą w życie z dniem 1 stycznia 2022 r.;</w:t>
      </w:r>
    </w:p>
    <w:p w:rsidR="00C268CB" w:rsidRPr="0023349B" w:rsidRDefault="00C268CB" w:rsidP="0023349B">
      <w:pPr>
        <w:pStyle w:val="PKTpunkt"/>
        <w:numPr>
          <w:ilvl w:val="0"/>
          <w:numId w:val="45"/>
        </w:numPr>
        <w:tabs>
          <w:tab w:val="left" w:pos="348"/>
        </w:tabs>
        <w:ind w:left="567" w:hanging="567"/>
        <w:rPr>
          <w:rFonts w:ascii="Times New Roman" w:hAnsi="Times New Roman" w:cs="Times New Roman"/>
        </w:rPr>
      </w:pPr>
      <w:r w:rsidRPr="0023349B">
        <w:rPr>
          <w:rFonts w:ascii="Times New Roman" w:hAnsi="Times New Roman" w:cs="Times New Roman"/>
        </w:rPr>
        <w:t xml:space="preserve">art. </w:t>
      </w:r>
      <w:r w:rsidR="009A187C" w:rsidRPr="0023349B">
        <w:rPr>
          <w:rFonts w:ascii="Times New Roman" w:hAnsi="Times New Roman" w:cs="Times New Roman"/>
        </w:rPr>
        <w:t>8</w:t>
      </w:r>
      <w:r w:rsidRPr="0023349B">
        <w:rPr>
          <w:rFonts w:ascii="Times New Roman" w:hAnsi="Times New Roman" w:cs="Times New Roman"/>
        </w:rPr>
        <w:t xml:space="preserve"> pkt </w:t>
      </w:r>
      <w:r w:rsidR="009A187C" w:rsidRPr="0023349B">
        <w:rPr>
          <w:rFonts w:ascii="Times New Roman" w:hAnsi="Times New Roman" w:cs="Times New Roman"/>
        </w:rPr>
        <w:t>2</w:t>
      </w:r>
      <w:r w:rsidRPr="0023349B">
        <w:rPr>
          <w:rFonts w:ascii="Times New Roman" w:hAnsi="Times New Roman" w:cs="Times New Roman"/>
        </w:rPr>
        <w:t xml:space="preserve"> w części dotyczącej art. 3e ust. 2 i 3 oraz art. </w:t>
      </w:r>
      <w:r w:rsidR="009A187C" w:rsidRPr="0023349B">
        <w:rPr>
          <w:rFonts w:ascii="Times New Roman" w:hAnsi="Times New Roman" w:cs="Times New Roman"/>
        </w:rPr>
        <w:t>34</w:t>
      </w:r>
      <w:r w:rsidRPr="0023349B">
        <w:rPr>
          <w:rFonts w:ascii="Times New Roman" w:hAnsi="Times New Roman" w:cs="Times New Roman"/>
        </w:rPr>
        <w:t>, które wchodzą w życie z dniem 1 stycznia 2023 r.;</w:t>
      </w:r>
    </w:p>
    <w:p w:rsidR="00C268CB" w:rsidRPr="0023349B" w:rsidRDefault="00C268CB" w:rsidP="0023349B">
      <w:pPr>
        <w:pStyle w:val="PKTpunkt"/>
        <w:numPr>
          <w:ilvl w:val="0"/>
          <w:numId w:val="45"/>
        </w:numPr>
        <w:tabs>
          <w:tab w:val="left" w:pos="348"/>
        </w:tabs>
        <w:ind w:left="567" w:hanging="567"/>
        <w:rPr>
          <w:rFonts w:ascii="Times New Roman" w:hAnsi="Times New Roman" w:cs="Times New Roman"/>
        </w:rPr>
      </w:pPr>
      <w:r w:rsidRPr="0023349B">
        <w:rPr>
          <w:rFonts w:ascii="Times New Roman" w:hAnsi="Times New Roman" w:cs="Times New Roman"/>
        </w:rPr>
        <w:t xml:space="preserve">art. </w:t>
      </w:r>
      <w:r w:rsidR="009A187C" w:rsidRPr="0023349B">
        <w:rPr>
          <w:rFonts w:ascii="Times New Roman" w:hAnsi="Times New Roman" w:cs="Times New Roman"/>
        </w:rPr>
        <w:t>11</w:t>
      </w:r>
      <w:r w:rsidRPr="0023349B">
        <w:rPr>
          <w:rFonts w:ascii="Times New Roman" w:hAnsi="Times New Roman" w:cs="Times New Roman"/>
        </w:rPr>
        <w:t xml:space="preserve">, który wchodzi w życie z dniem 21 kwietnia 2021 r., z wyłączeniem pkt 4 lit. c, pkt 7 lit. b w zakresie art. 7 ust. 1e ustawy zmienianej w art. 7, oraz pkt 8, które wchodzą w życie z dniem następującym po dniu ogłoszenia; </w:t>
      </w:r>
    </w:p>
    <w:p w:rsidR="00C268CB" w:rsidRPr="0023349B" w:rsidRDefault="00C268CB" w:rsidP="0023349B">
      <w:pPr>
        <w:pStyle w:val="PKTpunkt"/>
        <w:numPr>
          <w:ilvl w:val="0"/>
          <w:numId w:val="45"/>
        </w:numPr>
        <w:tabs>
          <w:tab w:val="left" w:pos="348"/>
        </w:tabs>
        <w:ind w:left="567" w:hanging="567"/>
        <w:rPr>
          <w:rFonts w:ascii="Times New Roman" w:hAnsi="Times New Roman" w:cs="Times New Roman"/>
          <w:bCs w:val="0"/>
          <w:szCs w:val="24"/>
        </w:rPr>
      </w:pPr>
      <w:r w:rsidRPr="0023349B">
        <w:rPr>
          <w:rFonts w:ascii="Times New Roman" w:hAnsi="Times New Roman" w:cs="Times New Roman"/>
        </w:rPr>
        <w:t xml:space="preserve">art. </w:t>
      </w:r>
      <w:r w:rsidR="009A187C" w:rsidRPr="0023349B">
        <w:rPr>
          <w:rFonts w:ascii="Times New Roman" w:hAnsi="Times New Roman" w:cs="Times New Roman"/>
        </w:rPr>
        <w:t>12</w:t>
      </w:r>
      <w:r w:rsidRPr="0023349B">
        <w:rPr>
          <w:rFonts w:ascii="Times New Roman" w:hAnsi="Times New Roman" w:cs="Times New Roman"/>
        </w:rPr>
        <w:t xml:space="preserve"> i </w:t>
      </w:r>
      <w:r w:rsidR="00C5337E" w:rsidRPr="0023349B">
        <w:rPr>
          <w:rFonts w:ascii="Times New Roman" w:hAnsi="Times New Roman" w:cs="Times New Roman"/>
        </w:rPr>
        <w:t>13</w:t>
      </w:r>
      <w:r w:rsidRPr="0023349B">
        <w:rPr>
          <w:rFonts w:ascii="Times New Roman" w:hAnsi="Times New Roman" w:cs="Times New Roman"/>
        </w:rPr>
        <w:t xml:space="preserve"> oraz art. </w:t>
      </w:r>
      <w:r w:rsidR="009A187C" w:rsidRPr="0023349B">
        <w:rPr>
          <w:rFonts w:ascii="Times New Roman" w:hAnsi="Times New Roman" w:cs="Times New Roman"/>
        </w:rPr>
        <w:t>39</w:t>
      </w:r>
      <w:r w:rsidR="002772AF" w:rsidRPr="0023349B">
        <w:rPr>
          <w:rFonts w:ascii="Times New Roman" w:hAnsi="Times New Roman" w:cs="Times New Roman"/>
        </w:rPr>
        <w:t>–</w:t>
      </w:r>
      <w:r w:rsidR="009A187C" w:rsidRPr="0023349B">
        <w:rPr>
          <w:rFonts w:ascii="Times New Roman" w:hAnsi="Times New Roman" w:cs="Times New Roman"/>
        </w:rPr>
        <w:t>42</w:t>
      </w:r>
      <w:r w:rsidRPr="0023349B">
        <w:rPr>
          <w:rFonts w:ascii="Times New Roman" w:hAnsi="Times New Roman" w:cs="Times New Roman"/>
        </w:rPr>
        <w:t xml:space="preserve">, które wchodzą w życie po upływie 3 miesięcy od dnia ogłoszenia, z wyłączeniem art. </w:t>
      </w:r>
      <w:r w:rsidR="009A187C" w:rsidRPr="0023349B">
        <w:rPr>
          <w:rFonts w:ascii="Times New Roman" w:hAnsi="Times New Roman" w:cs="Times New Roman"/>
        </w:rPr>
        <w:t>12</w:t>
      </w:r>
      <w:r w:rsidRPr="0023349B">
        <w:rPr>
          <w:rFonts w:ascii="Times New Roman" w:hAnsi="Times New Roman" w:cs="Times New Roman"/>
        </w:rPr>
        <w:t xml:space="preserve"> pkt </w:t>
      </w:r>
      <w:r w:rsidR="009A187C" w:rsidRPr="0023349B">
        <w:rPr>
          <w:rFonts w:ascii="Times New Roman" w:hAnsi="Times New Roman" w:cs="Times New Roman"/>
        </w:rPr>
        <w:t>6</w:t>
      </w:r>
      <w:r w:rsidRPr="0023349B">
        <w:rPr>
          <w:rFonts w:ascii="Times New Roman" w:hAnsi="Times New Roman" w:cs="Times New Roman"/>
        </w:rPr>
        <w:t xml:space="preserve"> lit. b oraz art. </w:t>
      </w:r>
      <w:r w:rsidR="009A187C" w:rsidRPr="0023349B">
        <w:rPr>
          <w:rFonts w:ascii="Times New Roman" w:hAnsi="Times New Roman" w:cs="Times New Roman"/>
        </w:rPr>
        <w:t>12</w:t>
      </w:r>
      <w:r w:rsidRPr="0023349B">
        <w:rPr>
          <w:rFonts w:ascii="Times New Roman" w:hAnsi="Times New Roman" w:cs="Times New Roman"/>
        </w:rPr>
        <w:t xml:space="preserve"> pkt </w:t>
      </w:r>
      <w:r w:rsidR="009A187C" w:rsidRPr="0023349B">
        <w:rPr>
          <w:rFonts w:ascii="Times New Roman" w:hAnsi="Times New Roman" w:cs="Times New Roman"/>
        </w:rPr>
        <w:t>7</w:t>
      </w:r>
      <w:r w:rsidRPr="0023349B">
        <w:rPr>
          <w:rFonts w:ascii="Times New Roman" w:hAnsi="Times New Roman" w:cs="Times New Roman"/>
        </w:rPr>
        <w:t xml:space="preserve"> lit. a, które wchodzą w życie z dniem 21 kwietnia 2021 r.;</w:t>
      </w:r>
    </w:p>
    <w:p w:rsidR="00C268CB" w:rsidRPr="0023349B" w:rsidRDefault="008A47DF" w:rsidP="0023349B">
      <w:pPr>
        <w:pStyle w:val="PKTpunkt"/>
        <w:numPr>
          <w:ilvl w:val="0"/>
          <w:numId w:val="45"/>
        </w:numPr>
        <w:ind w:left="567" w:hanging="567"/>
        <w:rPr>
          <w:rFonts w:ascii="Times New Roman" w:hAnsi="Times New Roman" w:cs="Times New Roman"/>
          <w:bCs w:val="0"/>
          <w:szCs w:val="24"/>
        </w:rPr>
      </w:pPr>
      <w:r w:rsidRPr="0023349B">
        <w:rPr>
          <w:rFonts w:ascii="Times New Roman" w:hAnsi="Times New Roman" w:cs="Times New Roman"/>
        </w:rPr>
        <w:t>art.</w:t>
      </w:r>
      <w:r w:rsidR="00C268CB" w:rsidRPr="0023349B">
        <w:rPr>
          <w:rFonts w:ascii="Times New Roman" w:hAnsi="Times New Roman" w:cs="Times New Roman"/>
          <w:bCs w:val="0"/>
          <w:szCs w:val="24"/>
        </w:rPr>
        <w:t xml:space="preserve"> </w:t>
      </w:r>
      <w:r w:rsidR="009A187C" w:rsidRPr="0023349B">
        <w:rPr>
          <w:rFonts w:ascii="Times New Roman" w:hAnsi="Times New Roman" w:cs="Times New Roman"/>
          <w:bCs w:val="0"/>
          <w:szCs w:val="24"/>
        </w:rPr>
        <w:t>22, 23 i 47</w:t>
      </w:r>
      <w:r w:rsidR="009A187C" w:rsidRPr="0023349B" w:rsidDel="009A187C">
        <w:rPr>
          <w:rFonts w:ascii="Times New Roman" w:hAnsi="Times New Roman" w:cs="Times New Roman"/>
          <w:bCs w:val="0"/>
          <w:szCs w:val="24"/>
        </w:rPr>
        <w:t xml:space="preserve"> </w:t>
      </w:r>
      <w:r w:rsidR="00C268CB" w:rsidRPr="0023349B">
        <w:rPr>
          <w:rFonts w:ascii="Times New Roman" w:hAnsi="Times New Roman" w:cs="Times New Roman"/>
          <w:bCs w:val="0"/>
          <w:szCs w:val="24"/>
        </w:rPr>
        <w:t xml:space="preserve">(zmiany w ustawie szczególnych rozwiązaniach związanych </w:t>
      </w:r>
      <w:r w:rsidR="00C268CB" w:rsidRPr="0023349B">
        <w:rPr>
          <w:rFonts w:ascii="Times New Roman" w:hAnsi="Times New Roman" w:cs="Times New Roman"/>
          <w:bCs w:val="0"/>
          <w:szCs w:val="24"/>
        </w:rPr>
        <w:br/>
        <w:t xml:space="preserve">z zapobieganiem, przeciwdziałaniem i zwalczaniem COVID-19) ma wejść w życie </w:t>
      </w:r>
      <w:r w:rsidR="00C268CB" w:rsidRPr="0023349B">
        <w:rPr>
          <w:rFonts w:ascii="Times New Roman" w:hAnsi="Times New Roman" w:cs="Times New Roman"/>
          <w:bCs w:val="0"/>
          <w:szCs w:val="24"/>
        </w:rPr>
        <w:br/>
        <w:t>z dniem następującym po dniu ogłoszenia, z uwagi na potrzebę jak najszybszego uruchomienia procedury wypłaty środków na dopłaty dodatków mieszkaniowych</w:t>
      </w:r>
      <w:r w:rsidR="00366326" w:rsidRPr="0023349B">
        <w:rPr>
          <w:rFonts w:ascii="Times New Roman" w:hAnsi="Times New Roman" w:cs="Times New Roman"/>
          <w:bCs w:val="0"/>
          <w:szCs w:val="24"/>
        </w:rPr>
        <w:t>, a także konieczność korekty przepisów w zakresie pomniejszeń opłaty z tytułu użytkowania wieczystego</w:t>
      </w:r>
      <w:r w:rsidR="00DB02A3" w:rsidRPr="0023349B">
        <w:rPr>
          <w:rFonts w:ascii="Times New Roman" w:hAnsi="Times New Roman" w:cs="Times New Roman"/>
          <w:bCs w:val="0"/>
          <w:szCs w:val="24"/>
        </w:rPr>
        <w:t>;</w:t>
      </w:r>
    </w:p>
    <w:p w:rsidR="00C268CB" w:rsidRPr="0023349B" w:rsidRDefault="00C268CB" w:rsidP="0023349B">
      <w:pPr>
        <w:spacing w:after="240" w:line="360" w:lineRule="auto"/>
        <w:jc w:val="both"/>
        <w:rPr>
          <w:rFonts w:ascii="Times New Roman" w:hAnsi="Times New Roman" w:cs="Times New Roman"/>
        </w:rPr>
      </w:pP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Projektowana ustawa nie będzie miała finansowego wpływu na działalność mikro-, małych </w:t>
      </w:r>
      <w:r w:rsidRPr="0023349B">
        <w:rPr>
          <w:rFonts w:ascii="Times New Roman" w:hAnsi="Times New Roman" w:cs="Times New Roman"/>
        </w:rPr>
        <w:br/>
        <w:t>i średnich przedsiębiorców. Będzie miała natomiast wpływ na wykonywanie działalności gospodarczej tych podmiotów, w kontekście nowych obowiązków administracyjnych, w związku z koniecznością przeprowadzania przez TBS procedury związanej z rozpatrzeniem wniosku najemcy o zmianę umowy najmu uwzględniającą okresowe/całkowite rozliczenie partycypacji oraz wniosku najemcy o rozwiązanie umowy w sprawie partycypacji w kosztach budowy lokalu z jednoczesną zmianą umowy najmu na umowę najmu instytucjonalnego z dojściem do własności uwzgledniającą rozliczenie partycypacji. Przeprowadzenie przez TBS takiej procedury (w ramach, której będzie zachodziła m.in. konieczność rejestracji wniosku, dokonania jego oceny formalnej) jest konieczna do osiągnięcia celu ustawodawcy, wynikającego z przedmiotowej regulacji. To TBS, jako strona umowy partycypacji oraz umowy najmu oraz podmiot będący jednocześnie właścicielem wynajmowanego lokalu, jest właściwy i władny do przeprowadzenia, na podstawie posiadanych dokumentów, takiej procedury.</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Projektowana ustawa nie podlega procedurze notyfikacji zgodnie z przepisami rozporządzenia Rady Ministrów z dnia 23 grudnia 2002 r. w sprawie sposobu funkcjonowania krajowego systemu notyfikacji norm i aktów prawnych (Dz. U. poz. 2039, z późn. zm.).</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Zgodnie z art. 5 ustawy z dnia 7 lipca 2005 r. o działalności lobbingowej w procesie stanowienia prawa (Dz. U. z 2017 r. poz. 248) oraz § 52 uchw</w:t>
      </w:r>
      <w:r w:rsidR="009668A7" w:rsidRPr="0023349B">
        <w:rPr>
          <w:rFonts w:ascii="Times New Roman" w:hAnsi="Times New Roman" w:cs="Times New Roman"/>
        </w:rPr>
        <w:t xml:space="preserve">ały nr 190 Rady Ministrów </w:t>
      </w:r>
      <w:r w:rsidRPr="0023349B">
        <w:rPr>
          <w:rFonts w:ascii="Times New Roman" w:hAnsi="Times New Roman" w:cs="Times New Roman"/>
        </w:rPr>
        <w:t>z dnia 29 października 2013 r. – Reg</w:t>
      </w:r>
      <w:r w:rsidR="002772AF" w:rsidRPr="0023349B">
        <w:rPr>
          <w:rFonts w:ascii="Times New Roman" w:hAnsi="Times New Roman" w:cs="Times New Roman"/>
        </w:rPr>
        <w:t>ulamin pracy Rady Ministrów (M.</w:t>
      </w:r>
      <w:r w:rsidRPr="0023349B">
        <w:rPr>
          <w:rFonts w:ascii="Times New Roman" w:hAnsi="Times New Roman" w:cs="Times New Roman"/>
        </w:rPr>
        <w:t xml:space="preserve">P. z 2016 r. poz. 1006, z późn. zm.) projekt ustawy został udostępniony w Biuletynie Informacji Publicznej Ministerstwa Rozwoju oraz na stronie podmiotowej Rządowego Centrum Legislacji w serwisie Rządowy Proces Legislacyjny. </w:t>
      </w:r>
      <w:r w:rsidRPr="0023349B">
        <w:rPr>
          <w:rFonts w:ascii="Times New Roman" w:hAnsi="Times New Roman" w:cs="Times New Roman"/>
          <w:spacing w:val="-2"/>
        </w:rPr>
        <w:t xml:space="preserve">W trakcie konsultacji żaden podmiot nie zgłosił zainteresowania </w:t>
      </w:r>
      <w:r w:rsidRPr="0023349B">
        <w:rPr>
          <w:rFonts w:ascii="Times New Roman" w:hAnsi="Times New Roman" w:cs="Times New Roman"/>
        </w:rPr>
        <w:t>pracami nad projektem w trybie przepisów o działalności lobbingowej w procesie stanowienia prawa.</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 xml:space="preserve">Projektowana ustawa </w:t>
      </w:r>
      <w:r w:rsidR="00E8583C" w:rsidRPr="0023349B">
        <w:rPr>
          <w:rFonts w:ascii="Times New Roman" w:hAnsi="Times New Roman" w:cs="Times New Roman"/>
        </w:rPr>
        <w:t xml:space="preserve">nie </w:t>
      </w:r>
      <w:r w:rsidRPr="0023349B">
        <w:rPr>
          <w:rFonts w:ascii="Times New Roman" w:hAnsi="Times New Roman" w:cs="Times New Roman"/>
        </w:rPr>
        <w:t xml:space="preserve">jest </w:t>
      </w:r>
      <w:r w:rsidR="007D02A3" w:rsidRPr="0023349B">
        <w:rPr>
          <w:rFonts w:ascii="Times New Roman" w:hAnsi="Times New Roman" w:cs="Times New Roman"/>
        </w:rPr>
        <w:t xml:space="preserve">sprzeczna </w:t>
      </w:r>
      <w:r w:rsidRPr="0023349B">
        <w:rPr>
          <w:rFonts w:ascii="Times New Roman" w:hAnsi="Times New Roman" w:cs="Times New Roman"/>
        </w:rPr>
        <w:t>z prawem Unii Europejskiej.</w:t>
      </w:r>
    </w:p>
    <w:p w:rsidR="00C268CB" w:rsidRPr="0023349B" w:rsidRDefault="00C268CB" w:rsidP="0023349B">
      <w:pPr>
        <w:spacing w:after="240" w:line="360" w:lineRule="auto"/>
        <w:jc w:val="both"/>
        <w:rPr>
          <w:rFonts w:ascii="Times New Roman" w:hAnsi="Times New Roman" w:cs="Times New Roman"/>
        </w:rPr>
      </w:pPr>
      <w:r w:rsidRPr="0023349B">
        <w:rPr>
          <w:rFonts w:ascii="Times New Roman" w:hAnsi="Times New Roman" w:cs="Times New Roman"/>
        </w:rPr>
        <w:t>Projekt nie wymaga przedstawienia właściwym organom i instytucjom Unii Europejskiej, w tym Europejskiemu Bankowi Centralnemu, w celu uzyskania opinii, dokonania powiadomienia, konsultacji albo uzgodnienia.</w:t>
      </w:r>
      <w:bookmarkEnd w:id="5"/>
      <w:bookmarkEnd w:id="6"/>
      <w:bookmarkEnd w:id="7"/>
    </w:p>
    <w:sectPr w:rsidR="00C268CB" w:rsidRPr="0023349B" w:rsidSect="00193AD6">
      <w:footerReference w:type="default" r:id="rId22"/>
      <w:pgSz w:w="11906" w:h="16838"/>
      <w:pgMar w:top="1134" w:right="1134" w:bottom="709" w:left="1134" w:header="709" w:footer="709" w:gutter="0"/>
      <w:cols w:space="708"/>
      <w:titlePg/>
      <w:docGrid w:linePitch="360" w:charSpace="3276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C2DAFFB" w16cid:durableId="0000000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49B" w:rsidRDefault="0023349B">
      <w:r>
        <w:separator/>
      </w:r>
    </w:p>
  </w:endnote>
  <w:endnote w:type="continuationSeparator" w:id="0">
    <w:p w:rsidR="0023349B" w:rsidRDefault="00233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font278">
    <w:altName w:val="Segoe Print"/>
    <w:charset w:val="EE"/>
    <w:family w:val="auto"/>
    <w:pitch w:val="default"/>
    <w:sig w:usb0="00000000" w:usb1="00000000" w:usb2="00000000"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49B" w:rsidRPr="00193AD6" w:rsidRDefault="0023349B" w:rsidP="00193AD6">
    <w:pPr>
      <w:pStyle w:val="Stopka"/>
      <w:spacing w:before="120"/>
      <w:jc w:val="center"/>
      <w:rPr>
        <w:rFonts w:ascii="Times New Roman" w:hAnsi="Times New Roman" w:cs="Times New Roman"/>
      </w:rPr>
    </w:pPr>
    <w:r w:rsidRPr="00193AD6">
      <w:rPr>
        <w:rFonts w:ascii="Times New Roman" w:hAnsi="Times New Roman" w:cs="Times New Roman"/>
      </w:rPr>
      <w:fldChar w:fldCharType="begin"/>
    </w:r>
    <w:r w:rsidRPr="00193AD6">
      <w:rPr>
        <w:rFonts w:ascii="Times New Roman" w:hAnsi="Times New Roman" w:cs="Times New Roman"/>
      </w:rPr>
      <w:instrText>PAGE   \* MERGEFORMAT</w:instrText>
    </w:r>
    <w:r w:rsidRPr="00193AD6">
      <w:rPr>
        <w:rFonts w:ascii="Times New Roman" w:hAnsi="Times New Roman" w:cs="Times New Roman"/>
      </w:rPr>
      <w:fldChar w:fldCharType="separate"/>
    </w:r>
    <w:r w:rsidR="00F812BE" w:rsidRPr="00F812BE">
      <w:rPr>
        <w:rFonts w:ascii="Times New Roman" w:hAnsi="Times New Roman" w:cs="Times New Roman"/>
        <w:noProof/>
        <w:lang w:val="pl-PL"/>
      </w:rPr>
      <w:t>98</w:t>
    </w:r>
    <w:r w:rsidRPr="00193AD6">
      <w:rPr>
        <w:rFonts w:ascii="Times New Roman" w:hAnsi="Times New Roman" w:cs="Times New Roman"/>
        <w:noProof/>
        <w:lang w:val="pl-P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49B" w:rsidRDefault="0023349B">
      <w:r>
        <w:separator/>
      </w:r>
    </w:p>
  </w:footnote>
  <w:footnote w:type="continuationSeparator" w:id="0">
    <w:p w:rsidR="0023349B" w:rsidRDefault="0023349B">
      <w:r>
        <w:continuationSeparator/>
      </w:r>
    </w:p>
  </w:footnote>
  <w:footnote w:id="1">
    <w:p w:rsidR="0023349B" w:rsidRPr="0023349B" w:rsidRDefault="0023349B" w:rsidP="00193AD6">
      <w:pPr>
        <w:pStyle w:val="Tekstprzypisudolnego1"/>
        <w:spacing w:line="100" w:lineRule="atLeast"/>
        <w:jc w:val="both"/>
        <w:rPr>
          <w:rFonts w:ascii="Times New Roman" w:hAnsi="Times New Roman" w:cs="Times New Roman"/>
          <w:iCs/>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w:t>
      </w:r>
      <w:r w:rsidRPr="0023349B">
        <w:rPr>
          <w:rFonts w:ascii="Times New Roman" w:hAnsi="Times New Roman" w:cs="Times New Roman"/>
          <w:iCs/>
          <w:lang w:val="pl-PL"/>
        </w:rPr>
        <w:t>Gmina występuje m.in. jako pośredni lub bezpośredni beneficjent wsparcia dla społecznego budownictwa czynszowego (w szczególności komunalnego) lub podmiot współpracujący z funduszem inwestycyjnym, jako właściciel spółek zaangażowanych w inwestycję (spółki gminne, w tym TBS-y) czy strona umowy z inwestorem, wymaganej dla włączenia inwestycji do programu „Mieszkanie na start”.</w:t>
      </w:r>
    </w:p>
  </w:footnote>
  <w:footnote w:id="2">
    <w:p w:rsidR="0023349B" w:rsidRPr="0023349B" w:rsidRDefault="0023349B">
      <w:pPr>
        <w:spacing w:line="100" w:lineRule="atLeast"/>
        <w:jc w:val="both"/>
        <w:rPr>
          <w:rFonts w:ascii="Times New Roman" w:hAnsi="Times New Roman" w:cs="Times New Roman"/>
          <w:iCs/>
          <w:sz w:val="20"/>
          <w:szCs w:val="20"/>
        </w:rPr>
      </w:pPr>
      <w:r w:rsidRPr="0023349B">
        <w:rPr>
          <w:rStyle w:val="Znakiprzypiswdolnych"/>
          <w:rFonts w:ascii="Times New Roman" w:hAnsi="Times New Roman" w:cs="Times New Roman"/>
        </w:rPr>
        <w:footnoteRef/>
      </w:r>
      <w:r w:rsidRPr="0023349B">
        <w:rPr>
          <w:rFonts w:ascii="Times New Roman" w:hAnsi="Times New Roman" w:cs="Times New Roman"/>
          <w:iCs/>
          <w:sz w:val="20"/>
          <w:szCs w:val="20"/>
          <w:vertAlign w:val="superscript"/>
        </w:rPr>
        <w:t>)</w:t>
      </w:r>
      <w:r w:rsidRPr="0023349B">
        <w:rPr>
          <w:rFonts w:ascii="Times New Roman" w:hAnsi="Times New Roman" w:cs="Times New Roman"/>
          <w:iCs/>
          <w:sz w:val="20"/>
          <w:szCs w:val="20"/>
        </w:rPr>
        <w:t xml:space="preserve"> Podstawą prawną realizacji programu „Mieszkanie na start” jest ustawa z dnia 20 lipca 2018 r. o pomocy państwa w ponoszeniu wydatków mieszkaniowych w pierwszych latach najmu mieszkani</w:t>
      </w:r>
      <w:r>
        <w:rPr>
          <w:rFonts w:ascii="Times New Roman" w:hAnsi="Times New Roman" w:cs="Times New Roman"/>
          <w:iCs/>
          <w:sz w:val="20"/>
          <w:szCs w:val="20"/>
        </w:rPr>
        <w:t>a (Dz. U. z 2020 r. poz. 551)</w:t>
      </w:r>
      <w:r w:rsidRPr="0023349B">
        <w:rPr>
          <w:rFonts w:ascii="Times New Roman" w:hAnsi="Times New Roman" w:cs="Times New Roman"/>
          <w:iCs/>
          <w:sz w:val="20"/>
          <w:szCs w:val="20"/>
        </w:rPr>
        <w:t>.</w:t>
      </w:r>
    </w:p>
  </w:footnote>
  <w:footnote w:id="3">
    <w:p w:rsidR="0023349B" w:rsidRPr="0023349B" w:rsidRDefault="0023349B" w:rsidP="00193AD6">
      <w:pPr>
        <w:pStyle w:val="Tekstprzypisudolnego1"/>
        <w:jc w:val="both"/>
        <w:rPr>
          <w:rStyle w:val="Odwoanieprzypisudolnego1"/>
          <w:rFonts w:ascii="Times New Roman" w:hAnsi="Times New Roman" w:cs="Times New Roman"/>
          <w:vertAlign w:val="baseline"/>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Przy obowiązującym ograniczeniu, zgodnie z którym w przypadku mieszkań sfinansowanych środkami KFM czynsz ma co do zasady nie przekraczać 4% wartości odtworzeniowej mieszkania /ok. 50% stawki rynkowej. Pomimo tego, część najemców podnosiło argument, że kredyt spłacany był de facto przez lokatorów, a więc konsekwentnie powinni uzyskiwać oni prawo do mieszkania przysługujące kredytobiorcy.</w:t>
      </w:r>
    </w:p>
  </w:footnote>
  <w:footnote w:id="4">
    <w:p w:rsidR="0023349B" w:rsidRPr="0023349B" w:rsidRDefault="0023349B" w:rsidP="00193AD6">
      <w:pPr>
        <w:pStyle w:val="Tekstprzypisudolnego1"/>
        <w:spacing w:line="100" w:lineRule="atLeast"/>
        <w:jc w:val="both"/>
        <w:rPr>
          <w:rStyle w:val="Odwoanieprzypisudolnego1"/>
          <w:rFonts w:ascii="Times New Roman" w:hAnsi="Times New Roman" w:cs="Times New Roman"/>
          <w:vertAlign w:val="baseline"/>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Rola tego instrumentu w finansowaniu nowych inwestycji nadal jest duża, ponieważ w 2019 r. ponownie zwiększono maksymalny limit partycypacji własnej nawet do 30% kosztów budowy.</w:t>
      </w:r>
    </w:p>
  </w:footnote>
  <w:footnote w:id="5">
    <w:p w:rsidR="0023349B" w:rsidRPr="0023349B" w:rsidRDefault="0023349B" w:rsidP="00193AD6">
      <w:pPr>
        <w:pStyle w:val="Tekstprzypisudolnego1"/>
        <w:jc w:val="both"/>
        <w:rPr>
          <w:rStyle w:val="Odwoanieprzypisudolnego1"/>
          <w:rFonts w:ascii="Times New Roman" w:hAnsi="Times New Roman" w:cs="Times New Roman"/>
          <w:vertAlign w:val="baseline"/>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Przykładem omawiane na Kongresie Polityki Miejskiej wstępne rekomendacje eksperckie w panelu poświęconym mieszkalnictwu (Raport roboczy grupy eksperckiej kongresu polityki miejskiej ds. mieszkalnictwa, Obserwatorium Polityki Miejskiej </w:t>
      </w:r>
      <w:proofErr w:type="spellStart"/>
      <w:r w:rsidRPr="0023349B">
        <w:rPr>
          <w:rFonts w:ascii="Times New Roman" w:hAnsi="Times New Roman" w:cs="Times New Roman"/>
          <w:lang w:val="pl-PL"/>
        </w:rPr>
        <w:t>IRMiR</w:t>
      </w:r>
      <w:proofErr w:type="spellEnd"/>
      <w:r w:rsidRPr="0023349B">
        <w:rPr>
          <w:rFonts w:ascii="Times New Roman" w:hAnsi="Times New Roman" w:cs="Times New Roman"/>
          <w:lang w:val="pl-PL"/>
        </w:rPr>
        <w:t>, listopad 2019 r.).</w:t>
      </w:r>
    </w:p>
  </w:footnote>
  <w:footnote w:id="6">
    <w:p w:rsidR="0023349B" w:rsidRPr="0023349B" w:rsidRDefault="0023349B">
      <w:pPr>
        <w:pStyle w:val="Tekstprzypisudolnego1"/>
        <w:rPr>
          <w:rStyle w:val="Odwoanieprzypisudolnego1"/>
          <w:rFonts w:ascii="Times New Roman" w:hAnsi="Times New Roman" w:cs="Times New Roman"/>
          <w:vertAlign w:val="baseline"/>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Raport NIK z dnia 27 lutego 2019 r., KAP.430.018.2018, nr ewidencyjny 181/2018/P/18/005/KAP.</w:t>
      </w:r>
    </w:p>
  </w:footnote>
  <w:footnote w:id="7">
    <w:p w:rsidR="0023349B" w:rsidRPr="0023349B" w:rsidRDefault="0023349B" w:rsidP="00193AD6">
      <w:pPr>
        <w:pStyle w:val="ODNONIKtreodnonika"/>
        <w:ind w:left="0" w:firstLine="0"/>
        <w:rPr>
          <w:rStyle w:val="Odwoanieprzypisudolnego1"/>
          <w:rFonts w:ascii="Times New Roman" w:hAnsi="Times New Roman" w:cs="Times New Roman"/>
          <w:vertAlign w:val="baseline"/>
        </w:rPr>
      </w:pPr>
      <w:r w:rsidRPr="0023349B">
        <w:rPr>
          <w:rStyle w:val="Znakiprzypiswdolnych"/>
          <w:rFonts w:ascii="Times New Roman" w:hAnsi="Times New Roman" w:cs="Times New Roman"/>
        </w:rPr>
        <w:footnoteRef/>
      </w:r>
      <w:r w:rsidRPr="0023349B">
        <w:rPr>
          <w:rStyle w:val="IGindeksgrny"/>
          <w:rFonts w:ascii="Times New Roman" w:hAnsi="Times New Roman" w:cs="Times New Roman"/>
        </w:rPr>
        <w:t xml:space="preserve">) </w:t>
      </w:r>
      <w:r w:rsidRPr="0023349B">
        <w:rPr>
          <w:rFonts w:ascii="Times New Roman" w:hAnsi="Times New Roman" w:cs="Times New Roman"/>
        </w:rPr>
        <w:t>Zmiany tekstu jednolitego wymienionej ustawy zostały ogłoszone w Dz. U. z 2019 r. poz. 1309, 1524, 1696, 1712, 1815, 2166 i 2170 oraz z 2020 r. poz. 148, 471, 695 i 782).</w:t>
      </w:r>
    </w:p>
  </w:footnote>
  <w:footnote w:id="8">
    <w:p w:rsidR="0023349B" w:rsidRPr="0023349B" w:rsidRDefault="0023349B" w:rsidP="00193AD6">
      <w:pPr>
        <w:pStyle w:val="Tekstprzypisudolnego1"/>
        <w:rPr>
          <w:rStyle w:val="Odwoanieprzypisudolnego1"/>
          <w:rFonts w:ascii="Times New Roman" w:hAnsi="Times New Roman" w:cs="Times New Roman"/>
          <w:vertAlign w:val="baseline"/>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https://www.gov.pl/web/rozwoj/raport-o-stanie-mieszkalnictwa</w:t>
      </w:r>
    </w:p>
  </w:footnote>
  <w:footnote w:id="9">
    <w:p w:rsidR="0023349B" w:rsidRPr="0023349B" w:rsidRDefault="0023349B">
      <w:pPr>
        <w:pStyle w:val="Tekstprzypisudolnego1"/>
        <w:spacing w:line="100" w:lineRule="atLeast"/>
        <w:jc w:val="both"/>
        <w:rPr>
          <w:rFonts w:ascii="Times New Roman" w:hAnsi="Times New Roman" w:cs="Times New Roman"/>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 xml:space="preserve">) </w:t>
      </w:r>
      <w:r w:rsidRPr="0023349B">
        <w:rPr>
          <w:rFonts w:ascii="Times New Roman" w:hAnsi="Times New Roman" w:cs="Times New Roman"/>
          <w:lang w:val="pl-PL"/>
        </w:rPr>
        <w:t>Zmiany tekstu jednolitego wymienionej ustawy zostały ogłoszone w Dz. U. poz. 1507, 1622, 1690, 1818 i 2473.</w:t>
      </w:r>
    </w:p>
  </w:footnote>
  <w:footnote w:id="10">
    <w:p w:rsidR="0023349B" w:rsidRPr="0023349B" w:rsidRDefault="0023349B" w:rsidP="00193AD6">
      <w:pPr>
        <w:pStyle w:val="Tekstprzypisudolnego1"/>
        <w:ind w:left="284" w:hanging="284"/>
        <w:jc w:val="both"/>
        <w:rPr>
          <w:rStyle w:val="Odwoanieprzypisudolnego1"/>
          <w:rFonts w:ascii="Times New Roman" w:hAnsi="Times New Roman" w:cs="Times New Roman"/>
          <w:i/>
          <w:vertAlign w:val="baseline"/>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Dane ze Sprawozdania MRPiPS-03 za 2018 rok oraz </w:t>
      </w:r>
      <w:r w:rsidRPr="0023349B">
        <w:rPr>
          <w:rFonts w:ascii="Times New Roman" w:hAnsi="Times New Roman" w:cs="Times New Roman"/>
          <w:i/>
          <w:lang w:val="pl-PL"/>
        </w:rPr>
        <w:t>Sprawozdania z realizacji działań na rzecz osób bezdomnych w województwach w roku 2018.</w:t>
      </w:r>
    </w:p>
  </w:footnote>
  <w:footnote w:id="11">
    <w:p w:rsidR="0023349B" w:rsidRPr="0023349B" w:rsidRDefault="0023349B">
      <w:pPr>
        <w:pStyle w:val="Tekstprzypisudolnego"/>
        <w:jc w:val="both"/>
        <w:rPr>
          <w:rFonts w:ascii="Times New Roman" w:hAnsi="Times New Roman" w:cs="Times New Roman"/>
        </w:rPr>
      </w:pPr>
      <w:r w:rsidRPr="0023349B">
        <w:rPr>
          <w:rStyle w:val="Odwoanieprzypisudolnego"/>
          <w:rFonts w:ascii="Times New Roman" w:hAnsi="Times New Roman" w:cs="Times New Roman"/>
        </w:rPr>
        <w:footnoteRef/>
      </w:r>
      <w:r w:rsidRPr="0023349B">
        <w:rPr>
          <w:rFonts w:ascii="Times New Roman" w:hAnsi="Times New Roman" w:cs="Times New Roman"/>
          <w:vertAlign w:val="superscript"/>
        </w:rPr>
        <w:t>)</w:t>
      </w:r>
      <w:r w:rsidRPr="0023349B">
        <w:rPr>
          <w:rFonts w:ascii="Times New Roman" w:hAnsi="Times New Roman" w:cs="Times New Roman"/>
        </w:rPr>
        <w:t xml:space="preserve"> </w:t>
      </w:r>
      <w:r w:rsidRPr="0023349B">
        <w:rPr>
          <w:rFonts w:ascii="Times New Roman" w:eastAsia="Times New Roman" w:hAnsi="Times New Roman" w:cs="Times New Roman"/>
          <w:lang w:eastAsia="pl-PL" w:bidi="pl-PL"/>
        </w:rPr>
        <w:t>Dnia 15 sierpnia 2019 r. weszła w życie ostatnia z podstawowych ustaw wdrażających docelowe ramy prawne, w oparciu o które realizowany jest program „Mieszkanie+”, kończąc etap przygotowania całości podstaw legislacyjnych działań poprawiających dostępność mieszkań poprzez pobudzenie nowych inwestycji mieszkaniowych w ramach pakietu „Mieszkanie+” (u</w:t>
      </w:r>
      <w:r w:rsidRPr="0023349B">
        <w:rPr>
          <w:rFonts w:ascii="Times New Roman" w:hAnsi="Times New Roman" w:cs="Times New Roman"/>
        </w:rPr>
        <w:t>stawa o zmianie ustawy o Krajowym Zasobie Nieruchomości oraz niektórych innych ustaw /Dz. U. poz. 1309/).</w:t>
      </w:r>
    </w:p>
  </w:footnote>
  <w:footnote w:id="12">
    <w:p w:rsidR="0023349B" w:rsidRPr="0023349B" w:rsidRDefault="0023349B">
      <w:pPr>
        <w:pStyle w:val="Tekstprzypisudolnego1"/>
        <w:rPr>
          <w:rFonts w:ascii="Times New Roman" w:hAnsi="Times New Roman" w:cs="Times New Roman"/>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Zmiany tekstu jednolitego wymienionej ustawy zostały ogłoszone w Dz. U. z 2019 r. poz. 1495, 1501, 1553, 1579, 1655, 1798, 1901 i 2070 oraz z 2020 r. poz. 288.</w:t>
      </w:r>
    </w:p>
  </w:footnote>
  <w:footnote w:id="13">
    <w:p w:rsidR="0023349B" w:rsidRPr="0023349B" w:rsidRDefault="0023349B">
      <w:pPr>
        <w:pStyle w:val="Tekstprzypisudolnego"/>
        <w:rPr>
          <w:rFonts w:ascii="Times New Roman" w:hAnsi="Times New Roman" w:cs="Times New Roman"/>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rPr>
        <w:t xml:space="preserve">) </w:t>
      </w:r>
      <w:r w:rsidRPr="0023349B">
        <w:rPr>
          <w:rFonts w:ascii="Times New Roman" w:hAnsi="Times New Roman" w:cs="Times New Roman"/>
        </w:rPr>
        <w:t>Zmiany tekstu jednolitego wymienionej ustawy zostały ogłoszone w Dz. U. Z 2019 r. poz. 1469, 1495, 1649, 1655, 1798, 1802, 1818, 2070, 2089, 2128, 2217 oraz z 2020 r. poz. 288, 462i 875.</w:t>
      </w:r>
    </w:p>
  </w:footnote>
  <w:footnote w:id="14">
    <w:p w:rsidR="0023349B" w:rsidRPr="0023349B" w:rsidRDefault="0023349B">
      <w:pPr>
        <w:pStyle w:val="Tekstprzypisudolnego"/>
        <w:rPr>
          <w:rFonts w:ascii="Times New Roman" w:hAnsi="Times New Roman" w:cs="Times New Roman"/>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rPr>
        <w:t>)</w:t>
      </w:r>
      <w:r w:rsidRPr="0023349B">
        <w:rPr>
          <w:rFonts w:ascii="Times New Roman" w:hAnsi="Times New Roman" w:cs="Times New Roman"/>
        </w:rPr>
        <w:t xml:space="preserve"> Zmiany tekstu jednolitego wymienionej ustawy zostały ogłoszone w Dz. U. z 2019 r. poz. 1358, 1394, 1495, 1622, 1649, 1655, 1726, 1798, 1818, 1834, 1835, 1978, 2020, 2166, 2200, 2473 oraz z 2020 r. poz. 179, 183, 284, 288, 568, 695 i 875.</w:t>
      </w:r>
    </w:p>
  </w:footnote>
  <w:footnote w:id="15">
    <w:p w:rsidR="0023349B" w:rsidRPr="0023349B" w:rsidRDefault="0023349B">
      <w:pPr>
        <w:pStyle w:val="Tekstprzypisudolnego"/>
        <w:rPr>
          <w:rFonts w:ascii="Times New Roman" w:hAnsi="Times New Roman" w:cs="Times New Roman"/>
          <w:bCs/>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rPr>
        <w:t xml:space="preserve">) </w:t>
      </w:r>
      <w:r w:rsidRPr="0023349B">
        <w:rPr>
          <w:rFonts w:ascii="Times New Roman" w:hAnsi="Times New Roman" w:cs="Times New Roman"/>
          <w:bCs/>
        </w:rPr>
        <w:t xml:space="preserve">Zmiany tekstu jednolitego wymienionej ustawy zostały ogłoszone w Dz. U. z 2019 r. poz.2020 oraz z 2020 r. poz. 150, 284. </w:t>
      </w:r>
    </w:p>
  </w:footnote>
  <w:footnote w:id="16">
    <w:p w:rsidR="0023349B" w:rsidRPr="0023349B" w:rsidRDefault="0023349B">
      <w:pPr>
        <w:pStyle w:val="NormalWeb1"/>
        <w:spacing w:line="240" w:lineRule="exact"/>
        <w:jc w:val="both"/>
        <w:rPr>
          <w:rStyle w:val="Uwydatnienie"/>
          <w:rFonts w:cs="Times New Roman"/>
          <w:sz w:val="20"/>
          <w:szCs w:val="20"/>
        </w:rPr>
      </w:pPr>
      <w:r w:rsidRPr="0023349B">
        <w:rPr>
          <w:rStyle w:val="Znakiprzypiswdolnych"/>
          <w:rFonts w:cs="Times New Roman"/>
          <w:sz w:val="20"/>
          <w:szCs w:val="20"/>
        </w:rPr>
        <w:footnoteRef/>
      </w:r>
      <w:r w:rsidRPr="0023349B">
        <w:rPr>
          <w:rStyle w:val="WW-Znakiprzypiswdolnych"/>
          <w:rFonts w:cs="Times New Roman"/>
          <w:sz w:val="20"/>
          <w:szCs w:val="20"/>
          <w:vertAlign w:val="superscript"/>
        </w:rPr>
        <w:t>)</w:t>
      </w:r>
      <w:r w:rsidRPr="0023349B">
        <w:rPr>
          <w:rStyle w:val="WW-Znakiprzypiswdolnych"/>
          <w:rFonts w:cs="Times New Roman"/>
          <w:sz w:val="20"/>
          <w:szCs w:val="20"/>
        </w:rPr>
        <w:t xml:space="preserve"> </w:t>
      </w:r>
      <w:r w:rsidRPr="0023349B">
        <w:rPr>
          <w:rFonts w:cs="Times New Roman"/>
          <w:sz w:val="20"/>
          <w:szCs w:val="20"/>
        </w:rPr>
        <w:t>Termin „niezwłocznie” pojawia się w treści art. 455 Kodeksu cywilnego - jeżeli termin spełnienia świadczenia nie jest oznaczony ani nie wynika z właściwości zobowiązania, świadczenie powinno być spełnione niezwłocznie po wezwaniu dłużnika do wykonania. W wyroku z dnia 13 grudnia 2006 r. (sygn. akt II CSK 293/06) Sąd Najwyższy zauważa, że użytego w art. 455 k.c. terminu „niezwłocznie" nie należy utożsamiać z terminem natychmiastowym, termin „niezwłocznie" oznacza bowiem termin realny, mający na względzie okoliczności miejsca i czasu, a także regulacje zawarte w art. 354 i art. 355 k.c. (Dłużnik powinien wykonać zobowiązanie zgodnie z jego treścią i w sposób odpowiadający jego celowi społeczno-gospodarczemu oraz zasadom współżycia społecznego, a jeżeli istnieją w tym zakresie ustalone zwyczaje - także w sposób odpowiadający tym zwyczajom. W taki sam sposób powinien współdziałać przy wykonaniu zobowiązania wierzyciel. Dłużnik obowiązany jest do staranności ogólnie wymaganej w stosunkach danego rodzaju. Należytą staranność dłużnika w zakresie prowadzonej przez niego działalności gospodarczej określa się przy uwzględnieniu zawodowego charakteru tej działalności). Pojęcie „niezwłocznie” jest zatem rozszyfrowywane na podstawie wszystkich okoliczności sprawy, a przede wszystkim w oparciu o sytuację osoby zobowiązanej do wykonania określonej czynności prawnej w takim właśnie terminie. W glosie do uchwały Sądu Najwyższego z dnia 19 maja 1992 r. (sygn. akt III CZP 56/92), K</w:t>
      </w:r>
      <w:r w:rsidRPr="0023349B">
        <w:rPr>
          <w:rFonts w:cs="Times New Roman"/>
          <w:i/>
          <w:sz w:val="20"/>
          <w:szCs w:val="20"/>
        </w:rPr>
        <w:t xml:space="preserve">. </w:t>
      </w:r>
      <w:proofErr w:type="spellStart"/>
      <w:r w:rsidRPr="0023349B">
        <w:rPr>
          <w:rFonts w:cs="Times New Roman"/>
          <w:sz w:val="20"/>
          <w:szCs w:val="20"/>
        </w:rPr>
        <w:t>Korzan</w:t>
      </w:r>
      <w:proofErr w:type="spellEnd"/>
      <w:r w:rsidRPr="0023349B">
        <w:rPr>
          <w:rFonts w:cs="Times New Roman"/>
          <w:sz w:val="20"/>
          <w:szCs w:val="20"/>
        </w:rPr>
        <w:t xml:space="preserve"> </w:t>
      </w:r>
      <w:r w:rsidRPr="0023349B">
        <w:rPr>
          <w:rFonts w:cs="Times New Roman"/>
          <w:i/>
          <w:sz w:val="20"/>
          <w:szCs w:val="20"/>
        </w:rPr>
        <w:t>zaznaczył, że „</w:t>
      </w:r>
      <w:r w:rsidRPr="0023349B">
        <w:rPr>
          <w:rStyle w:val="Uwydatnienie"/>
          <w:rFonts w:cs="Times New Roman"/>
          <w:bCs/>
          <w:sz w:val="20"/>
          <w:szCs w:val="20"/>
        </w:rPr>
        <w:t xml:space="preserve">niezwłoczność” </w:t>
      </w:r>
      <w:r w:rsidRPr="0023349B">
        <w:rPr>
          <w:rStyle w:val="Uwydatnienie"/>
          <w:rFonts w:cs="Times New Roman"/>
          <w:sz w:val="20"/>
          <w:szCs w:val="20"/>
        </w:rPr>
        <w:t>oznacza konieczność respektowania czasu potrzebnego dłużnikowi do zabezpieczenia prawidłowego wykonania zobowiązania. Długość tego czasu zależna jest od istniejących w obrocie cywilnym stosunków w odniesieniu do skonkretyzowanego zobowiązania. Czasu potrzebnego do niezwłocznego wykonania zobowiązania nie da się oznaczyć sztywno określoną liczbą dni czy tygodni. Przyjmuje się, że w sytuacjach typowych, gdy dłużnik dokonuje prostych czynności polegających na zwykłym przeliczeniu towaru, sprawdzeniu faktury jako dokumentu rozliczeniowego, wysłaniu należności przekazem pocztowym, na dokonanie tych czynności z reguły wystarcza dłużnikowi około dwóch tygodni”.</w:t>
      </w:r>
    </w:p>
  </w:footnote>
  <w:footnote w:id="17">
    <w:p w:rsidR="0023349B" w:rsidRPr="0023349B" w:rsidRDefault="0023349B" w:rsidP="00193AD6">
      <w:pPr>
        <w:pStyle w:val="NormalWeb1"/>
        <w:spacing w:before="0" w:after="280"/>
        <w:rPr>
          <w:rFonts w:cs="Times New Roman"/>
          <w:sz w:val="20"/>
          <w:szCs w:val="20"/>
        </w:rPr>
      </w:pPr>
      <w:r w:rsidRPr="0023349B">
        <w:rPr>
          <w:rStyle w:val="Znakiprzypiswdolnych"/>
          <w:rFonts w:cs="Times New Roman"/>
          <w:sz w:val="20"/>
          <w:szCs w:val="20"/>
        </w:rPr>
        <w:footnoteRef/>
      </w:r>
      <w:r w:rsidRPr="0023349B">
        <w:rPr>
          <w:rFonts w:cs="Times New Roman"/>
          <w:sz w:val="20"/>
          <w:szCs w:val="20"/>
          <w:vertAlign w:val="superscript"/>
        </w:rPr>
        <w:t>)</w:t>
      </w:r>
      <w:r w:rsidRPr="0023349B">
        <w:rPr>
          <w:rFonts w:cs="Times New Roman"/>
          <w:sz w:val="20"/>
          <w:szCs w:val="20"/>
        </w:rPr>
        <w:t xml:space="preserve"> Kpa  wskazuje przykładowo następujące terminy: </w:t>
      </w:r>
      <w:r w:rsidRPr="0023349B">
        <w:rPr>
          <w:rFonts w:cs="Times New Roman"/>
          <w:sz w:val="20"/>
          <w:szCs w:val="20"/>
        </w:rPr>
        <w:br/>
        <w:t xml:space="preserve">• 14-dniowy termin do złożenia wniosku o uzupełnienie decyzji (art. 111 k.p.a.), </w:t>
      </w:r>
      <w:r w:rsidRPr="0023349B">
        <w:rPr>
          <w:rFonts w:cs="Times New Roman"/>
          <w:sz w:val="20"/>
          <w:szCs w:val="20"/>
        </w:rPr>
        <w:br/>
        <w:t xml:space="preserve">• 7-dniowy termin do złożenia wniosku o przywrócenie terminu, </w:t>
      </w:r>
      <w:r w:rsidRPr="0023349B">
        <w:rPr>
          <w:rFonts w:cs="Times New Roman"/>
          <w:sz w:val="20"/>
          <w:szCs w:val="20"/>
        </w:rPr>
        <w:br/>
        <w:t>• 14-dniowy termin do wniesienia odwołania lub 7-dniowy do złożenia zażalenia (art. 129 § 2 i art. 114 § 2 k.p.a.),</w:t>
      </w:r>
      <w:r w:rsidRPr="0023349B">
        <w:rPr>
          <w:rFonts w:cs="Times New Roman"/>
          <w:sz w:val="20"/>
          <w:szCs w:val="20"/>
        </w:rPr>
        <w:br/>
        <w:t xml:space="preserve">• dwutygodniowy termin na zajęcie stanowiska (art. 106 § 3 k.p.a.), </w:t>
      </w:r>
      <w:r w:rsidRPr="0023349B">
        <w:rPr>
          <w:rFonts w:cs="Times New Roman"/>
          <w:sz w:val="20"/>
          <w:szCs w:val="20"/>
        </w:rPr>
        <w:br/>
        <w:t xml:space="preserve">• jednomiesięczny termin na złożenie skargi o wznowienie postępowania, również po orzeczeniu Trybunału Konstytucyjnego (art. 145a § 2 i art. 148 k.p.a.). </w:t>
      </w:r>
    </w:p>
  </w:footnote>
  <w:footnote w:id="18">
    <w:p w:rsidR="0023349B" w:rsidRPr="0023349B" w:rsidRDefault="0023349B" w:rsidP="00193AD6">
      <w:pPr>
        <w:pStyle w:val="Tekstprzypisudolnego1"/>
        <w:rPr>
          <w:rFonts w:ascii="Times New Roman" w:hAnsi="Times New Roman" w:cs="Times New Roman"/>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w:t>
      </w:r>
      <w:r w:rsidRPr="0023349B">
        <w:rPr>
          <w:rFonts w:ascii="Times New Roman" w:hAnsi="Times New Roman" w:cs="Times New Roman"/>
          <w:lang w:val="pl-PL"/>
        </w:rPr>
        <w:t xml:space="preserve"> pismo z dnia 24 listopada 2017 r., znak: DPC.IV.5110.3.15.2017.AK.</w:t>
      </w:r>
    </w:p>
  </w:footnote>
  <w:footnote w:id="19">
    <w:p w:rsidR="0023349B" w:rsidRPr="0023349B" w:rsidRDefault="0023349B" w:rsidP="00193AD6">
      <w:pPr>
        <w:pStyle w:val="Tekstprzypisudolnego1"/>
        <w:rPr>
          <w:rFonts w:ascii="Times New Roman" w:hAnsi="Times New Roman" w:cs="Times New Roman"/>
          <w:lang w:val="pl-PL"/>
        </w:rPr>
      </w:pPr>
      <w:r w:rsidRPr="0023349B">
        <w:rPr>
          <w:rStyle w:val="Znakiprzypiswdolnych"/>
          <w:rFonts w:ascii="Times New Roman" w:hAnsi="Times New Roman" w:cs="Times New Roman"/>
        </w:rPr>
        <w:footnoteRef/>
      </w:r>
      <w:r w:rsidRPr="0023349B">
        <w:rPr>
          <w:rFonts w:ascii="Times New Roman" w:hAnsi="Times New Roman" w:cs="Times New Roman"/>
          <w:vertAlign w:val="superscript"/>
          <w:lang w:val="pl-PL"/>
        </w:rPr>
        <w:t xml:space="preserve">) </w:t>
      </w:r>
      <w:r w:rsidRPr="0023349B">
        <w:rPr>
          <w:rFonts w:ascii="Times New Roman" w:hAnsi="Times New Roman" w:cs="Times New Roman"/>
          <w:lang w:val="pl-PL"/>
        </w:rPr>
        <w:t>Ustawa z dnia 23 stycznia 2020 r. o zmianie ustawy o wspieraniu termomodernizacji i remontów (Dz. U. poz. 412).</w:t>
      </w:r>
      <w:bookmarkStart w:id="10" w:name="_GoBack"/>
      <w:bookmarkEnd w:id="10"/>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Wingdings" w:hAnsi="Wingding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Wingdings" w:hAnsi="Wingding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7"/>
    <w:multiLevelType w:val="multilevel"/>
    <w:tmpl w:val="D7EE725E"/>
    <w:lvl w:ilvl="0">
      <w:start w:val="1"/>
      <w:numFmt w:val="upperRoman"/>
      <w:lvlText w:val="%1."/>
      <w:lvlJc w:val="left"/>
      <w:pPr>
        <w:tabs>
          <w:tab w:val="num" w:pos="0"/>
        </w:tabs>
        <w:ind w:left="1080" w:hanging="720"/>
      </w:pPr>
      <w:rPr>
        <w:b/>
        <w:i w:val="0"/>
        <w:sz w:val="28"/>
        <w:szCs w:val="28"/>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15:restartNumberingAfterBreak="0">
    <w:nsid w:val="00000008"/>
    <w:multiLevelType w:val="multilevel"/>
    <w:tmpl w:val="0000000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2" w15:restartNumberingAfterBreak="0">
    <w:nsid w:val="0000000D"/>
    <w:multiLevelType w:val="multilevel"/>
    <w:tmpl w:val="0000000D"/>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lvl w:ilvl="0">
      <w:start w:val="1"/>
      <w:numFmt w:val="bullet"/>
      <w:lvlText w:val=""/>
      <w:lvlJc w:val="left"/>
      <w:pPr>
        <w:tabs>
          <w:tab w:val="num" w:pos="0"/>
        </w:tabs>
        <w:ind w:left="1004" w:hanging="360"/>
      </w:pPr>
      <w:rPr>
        <w:rFonts w:ascii="Symbol" w:hAnsi="Symbol"/>
      </w:rPr>
    </w:lvl>
    <w:lvl w:ilvl="1">
      <w:start w:val="1"/>
      <w:numFmt w:val="bullet"/>
      <w:lvlText w:val="o"/>
      <w:lvlJc w:val="left"/>
      <w:pPr>
        <w:tabs>
          <w:tab w:val="num" w:pos="0"/>
        </w:tabs>
        <w:ind w:left="1724" w:hanging="360"/>
      </w:pPr>
      <w:rPr>
        <w:rFonts w:ascii="Courier New" w:hAnsi="Courier New" w:cs="Courier New"/>
      </w:rPr>
    </w:lvl>
    <w:lvl w:ilvl="2">
      <w:start w:val="1"/>
      <w:numFmt w:val="bullet"/>
      <w:lvlText w:val=""/>
      <w:lvlJc w:val="left"/>
      <w:pPr>
        <w:tabs>
          <w:tab w:val="num" w:pos="0"/>
        </w:tabs>
        <w:ind w:left="2444" w:hanging="360"/>
      </w:pPr>
      <w:rPr>
        <w:rFonts w:ascii="Wingdings" w:hAnsi="Wingdings"/>
      </w:rPr>
    </w:lvl>
    <w:lvl w:ilvl="3">
      <w:start w:val="1"/>
      <w:numFmt w:val="bullet"/>
      <w:lvlText w:val=""/>
      <w:lvlJc w:val="left"/>
      <w:pPr>
        <w:tabs>
          <w:tab w:val="num" w:pos="0"/>
        </w:tabs>
        <w:ind w:left="3164" w:hanging="360"/>
      </w:pPr>
      <w:rPr>
        <w:rFonts w:ascii="Symbol" w:hAnsi="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rPr>
    </w:lvl>
    <w:lvl w:ilvl="6">
      <w:start w:val="1"/>
      <w:numFmt w:val="bullet"/>
      <w:lvlText w:val=""/>
      <w:lvlJc w:val="left"/>
      <w:pPr>
        <w:tabs>
          <w:tab w:val="num" w:pos="0"/>
        </w:tabs>
        <w:ind w:left="5324" w:hanging="360"/>
      </w:pPr>
      <w:rPr>
        <w:rFonts w:ascii="Symbol" w:hAnsi="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rPr>
    </w:lvl>
  </w:abstractNum>
  <w:abstractNum w:abstractNumId="14" w15:restartNumberingAfterBreak="0">
    <w:nsid w:val="0000000F"/>
    <w:multiLevelType w:val="multilevel"/>
    <w:tmpl w:val="8B9081FA"/>
    <w:lvl w:ilvl="0">
      <w:start w:val="1"/>
      <w:numFmt w:val="decimal"/>
      <w:lvlText w:val="%1."/>
      <w:lvlJc w:val="left"/>
      <w:pPr>
        <w:tabs>
          <w:tab w:val="num" w:pos="0"/>
        </w:tabs>
        <w:ind w:left="644" w:hanging="360"/>
      </w:pPr>
      <w:rPr>
        <w:b w:val="0"/>
        <w:i w:val="0"/>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5" w15:restartNumberingAfterBreak="0">
    <w:nsid w:val="00000010"/>
    <w:multiLevelType w:val="multilevel"/>
    <w:tmpl w:val="00000010"/>
    <w:lvl w:ilvl="0">
      <w:start w:val="1"/>
      <w:numFmt w:val="lowerLetter"/>
      <w:lvlText w:val="%1)"/>
      <w:lvlJc w:val="left"/>
      <w:pPr>
        <w:tabs>
          <w:tab w:val="num" w:pos="0"/>
        </w:tabs>
        <w:ind w:left="426" w:hanging="360"/>
      </w:pPr>
    </w:lvl>
    <w:lvl w:ilvl="1">
      <w:start w:val="1"/>
      <w:numFmt w:val="lowerLetter"/>
      <w:lvlText w:val="%2."/>
      <w:lvlJc w:val="left"/>
      <w:pPr>
        <w:tabs>
          <w:tab w:val="num" w:pos="0"/>
        </w:tabs>
        <w:ind w:left="1146" w:hanging="360"/>
      </w:pPr>
    </w:lvl>
    <w:lvl w:ilvl="2">
      <w:start w:val="1"/>
      <w:numFmt w:val="lowerRoman"/>
      <w:lvlText w:val="%2.%3."/>
      <w:lvlJc w:val="left"/>
      <w:pPr>
        <w:tabs>
          <w:tab w:val="num" w:pos="0"/>
        </w:tabs>
        <w:ind w:left="1866" w:hanging="180"/>
      </w:pPr>
    </w:lvl>
    <w:lvl w:ilvl="3">
      <w:start w:val="1"/>
      <w:numFmt w:val="decimal"/>
      <w:lvlText w:val="%2.%3.%4."/>
      <w:lvlJc w:val="left"/>
      <w:pPr>
        <w:tabs>
          <w:tab w:val="num" w:pos="0"/>
        </w:tabs>
        <w:ind w:left="2586" w:hanging="360"/>
      </w:pPr>
    </w:lvl>
    <w:lvl w:ilvl="4">
      <w:start w:val="1"/>
      <w:numFmt w:val="lowerLetter"/>
      <w:lvlText w:val="%2.%3.%4.%5."/>
      <w:lvlJc w:val="left"/>
      <w:pPr>
        <w:tabs>
          <w:tab w:val="num" w:pos="0"/>
        </w:tabs>
        <w:ind w:left="3306" w:hanging="360"/>
      </w:pPr>
    </w:lvl>
    <w:lvl w:ilvl="5">
      <w:start w:val="1"/>
      <w:numFmt w:val="lowerRoman"/>
      <w:lvlText w:val="%2.%3.%4.%5.%6."/>
      <w:lvlJc w:val="left"/>
      <w:pPr>
        <w:tabs>
          <w:tab w:val="num" w:pos="0"/>
        </w:tabs>
        <w:ind w:left="4026" w:hanging="180"/>
      </w:pPr>
    </w:lvl>
    <w:lvl w:ilvl="6">
      <w:start w:val="1"/>
      <w:numFmt w:val="decimal"/>
      <w:lvlText w:val="%2.%3.%4.%5.%6.%7."/>
      <w:lvlJc w:val="left"/>
      <w:pPr>
        <w:tabs>
          <w:tab w:val="num" w:pos="0"/>
        </w:tabs>
        <w:ind w:left="4746" w:hanging="360"/>
      </w:pPr>
    </w:lvl>
    <w:lvl w:ilvl="7">
      <w:start w:val="1"/>
      <w:numFmt w:val="lowerLetter"/>
      <w:lvlText w:val="%2.%3.%4.%5.%6.%7.%8."/>
      <w:lvlJc w:val="left"/>
      <w:pPr>
        <w:tabs>
          <w:tab w:val="num" w:pos="0"/>
        </w:tabs>
        <w:ind w:left="5466" w:hanging="360"/>
      </w:pPr>
    </w:lvl>
    <w:lvl w:ilvl="8">
      <w:start w:val="1"/>
      <w:numFmt w:val="lowerRoman"/>
      <w:lvlText w:val="%2.%3.%4.%5.%6.%7.%8.%9."/>
      <w:lvlJc w:val="left"/>
      <w:pPr>
        <w:tabs>
          <w:tab w:val="num" w:pos="0"/>
        </w:tabs>
        <w:ind w:left="6186" w:hanging="180"/>
      </w:pPr>
    </w:lvl>
  </w:abstractNum>
  <w:abstractNum w:abstractNumId="16" w15:restartNumberingAfterBreak="0">
    <w:nsid w:val="00000011"/>
    <w:multiLevelType w:val="multilevel"/>
    <w:tmpl w:val="00000011"/>
    <w:lvl w:ilvl="0">
      <w:start w:val="1"/>
      <w:numFmt w:val="lowerLetter"/>
      <w:lvlText w:val="%1)"/>
      <w:lvlJc w:val="left"/>
      <w:pPr>
        <w:tabs>
          <w:tab w:val="num" w:pos="0"/>
        </w:tabs>
        <w:ind w:left="786" w:hanging="360"/>
      </w:pPr>
    </w:lvl>
    <w:lvl w:ilvl="1">
      <w:start w:val="1"/>
      <w:numFmt w:val="lowerLetter"/>
      <w:lvlText w:val="%2."/>
      <w:lvlJc w:val="left"/>
      <w:pPr>
        <w:tabs>
          <w:tab w:val="num" w:pos="0"/>
        </w:tabs>
        <w:ind w:left="1146" w:hanging="360"/>
      </w:pPr>
    </w:lvl>
    <w:lvl w:ilvl="2">
      <w:start w:val="1"/>
      <w:numFmt w:val="lowerRoman"/>
      <w:lvlText w:val="%2.%3."/>
      <w:lvlJc w:val="left"/>
      <w:pPr>
        <w:tabs>
          <w:tab w:val="num" w:pos="0"/>
        </w:tabs>
        <w:ind w:left="1866" w:hanging="180"/>
      </w:pPr>
    </w:lvl>
    <w:lvl w:ilvl="3">
      <w:start w:val="1"/>
      <w:numFmt w:val="decimal"/>
      <w:lvlText w:val="%2.%3.%4."/>
      <w:lvlJc w:val="left"/>
      <w:pPr>
        <w:tabs>
          <w:tab w:val="num" w:pos="0"/>
        </w:tabs>
        <w:ind w:left="2586" w:hanging="360"/>
      </w:pPr>
    </w:lvl>
    <w:lvl w:ilvl="4">
      <w:start w:val="1"/>
      <w:numFmt w:val="lowerLetter"/>
      <w:lvlText w:val="%2.%3.%4.%5."/>
      <w:lvlJc w:val="left"/>
      <w:pPr>
        <w:tabs>
          <w:tab w:val="num" w:pos="0"/>
        </w:tabs>
        <w:ind w:left="3306" w:hanging="360"/>
      </w:pPr>
    </w:lvl>
    <w:lvl w:ilvl="5">
      <w:start w:val="1"/>
      <w:numFmt w:val="lowerRoman"/>
      <w:lvlText w:val="%2.%3.%4.%5.%6."/>
      <w:lvlJc w:val="left"/>
      <w:pPr>
        <w:tabs>
          <w:tab w:val="num" w:pos="0"/>
        </w:tabs>
        <w:ind w:left="4026" w:hanging="180"/>
      </w:pPr>
    </w:lvl>
    <w:lvl w:ilvl="6">
      <w:start w:val="1"/>
      <w:numFmt w:val="decimal"/>
      <w:lvlText w:val="%2.%3.%4.%5.%6.%7."/>
      <w:lvlJc w:val="left"/>
      <w:pPr>
        <w:tabs>
          <w:tab w:val="num" w:pos="0"/>
        </w:tabs>
        <w:ind w:left="4746" w:hanging="360"/>
      </w:pPr>
    </w:lvl>
    <w:lvl w:ilvl="7">
      <w:start w:val="1"/>
      <w:numFmt w:val="lowerLetter"/>
      <w:lvlText w:val="%2.%3.%4.%5.%6.%7.%8."/>
      <w:lvlJc w:val="left"/>
      <w:pPr>
        <w:tabs>
          <w:tab w:val="num" w:pos="0"/>
        </w:tabs>
        <w:ind w:left="5466" w:hanging="360"/>
      </w:pPr>
    </w:lvl>
    <w:lvl w:ilvl="8">
      <w:start w:val="1"/>
      <w:numFmt w:val="lowerRoman"/>
      <w:lvlText w:val="%2.%3.%4.%5.%6.%7.%8.%9."/>
      <w:lvlJc w:val="left"/>
      <w:pPr>
        <w:tabs>
          <w:tab w:val="num" w:pos="0"/>
        </w:tabs>
        <w:ind w:left="6186" w:hanging="180"/>
      </w:pPr>
    </w:lvl>
  </w:abstractNum>
  <w:abstractNum w:abstractNumId="17" w15:restartNumberingAfterBreak="0">
    <w:nsid w:val="00000012"/>
    <w:multiLevelType w:val="multilevel"/>
    <w:tmpl w:val="000000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8" w15:restartNumberingAfterBreak="0">
    <w:nsid w:val="00000013"/>
    <w:multiLevelType w:val="multilevel"/>
    <w:tmpl w:val="0000001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1" w15:restartNumberingAfterBreak="0">
    <w:nsid w:val="00000016"/>
    <w:multiLevelType w:val="multilevel"/>
    <w:tmpl w:val="00000016"/>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000000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8"/>
    <w:multiLevelType w:val="multilevel"/>
    <w:tmpl w:val="000000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19"/>
    <w:multiLevelType w:val="multilevel"/>
    <w:tmpl w:val="00000019"/>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25" w15:restartNumberingAfterBreak="0">
    <w:nsid w:val="0000001A"/>
    <w:multiLevelType w:val="multilevel"/>
    <w:tmpl w:val="0000001A"/>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1B"/>
    <w:multiLevelType w:val="multilevel"/>
    <w:tmpl w:val="0000001B"/>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27" w15:restartNumberingAfterBreak="0">
    <w:nsid w:val="0000001C"/>
    <w:multiLevelType w:val="multilevel"/>
    <w:tmpl w:val="0000001C"/>
    <w:lvl w:ilvl="0">
      <w:start w:val="1"/>
      <w:numFmt w:val="bullet"/>
      <w:lvlText w:val=""/>
      <w:lvlJc w:val="left"/>
      <w:pPr>
        <w:tabs>
          <w:tab w:val="num" w:pos="0"/>
        </w:tabs>
        <w:ind w:left="643" w:hanging="360"/>
      </w:pPr>
      <w:rPr>
        <w:rFonts w:ascii="Symbol" w:hAnsi="Symbol"/>
      </w:rPr>
    </w:lvl>
    <w:lvl w:ilvl="1">
      <w:start w:val="1"/>
      <w:numFmt w:val="bullet"/>
      <w:lvlText w:val="o"/>
      <w:lvlJc w:val="left"/>
      <w:pPr>
        <w:tabs>
          <w:tab w:val="num" w:pos="0"/>
        </w:tabs>
        <w:ind w:left="1363" w:hanging="360"/>
      </w:pPr>
      <w:rPr>
        <w:rFonts w:ascii="Courier New" w:hAnsi="Courier New" w:cs="Courier New"/>
      </w:rPr>
    </w:lvl>
    <w:lvl w:ilvl="2">
      <w:start w:val="1"/>
      <w:numFmt w:val="bullet"/>
      <w:lvlText w:val=""/>
      <w:lvlJc w:val="left"/>
      <w:pPr>
        <w:tabs>
          <w:tab w:val="num" w:pos="0"/>
        </w:tabs>
        <w:ind w:left="2083" w:hanging="360"/>
      </w:pPr>
      <w:rPr>
        <w:rFonts w:ascii="Wingdings" w:hAnsi="Wingdings"/>
      </w:rPr>
    </w:lvl>
    <w:lvl w:ilvl="3">
      <w:start w:val="1"/>
      <w:numFmt w:val="bullet"/>
      <w:lvlText w:val=""/>
      <w:lvlJc w:val="left"/>
      <w:pPr>
        <w:tabs>
          <w:tab w:val="num" w:pos="0"/>
        </w:tabs>
        <w:ind w:left="2803" w:hanging="360"/>
      </w:pPr>
      <w:rPr>
        <w:rFonts w:ascii="Symbol" w:hAnsi="Symbol"/>
      </w:rPr>
    </w:lvl>
    <w:lvl w:ilvl="4">
      <w:start w:val="1"/>
      <w:numFmt w:val="bullet"/>
      <w:lvlText w:val="o"/>
      <w:lvlJc w:val="left"/>
      <w:pPr>
        <w:tabs>
          <w:tab w:val="num" w:pos="0"/>
        </w:tabs>
        <w:ind w:left="3523" w:hanging="360"/>
      </w:pPr>
      <w:rPr>
        <w:rFonts w:ascii="Courier New" w:hAnsi="Courier New" w:cs="Courier New"/>
      </w:rPr>
    </w:lvl>
    <w:lvl w:ilvl="5">
      <w:start w:val="1"/>
      <w:numFmt w:val="bullet"/>
      <w:lvlText w:val=""/>
      <w:lvlJc w:val="left"/>
      <w:pPr>
        <w:tabs>
          <w:tab w:val="num" w:pos="0"/>
        </w:tabs>
        <w:ind w:left="4243" w:hanging="360"/>
      </w:pPr>
      <w:rPr>
        <w:rFonts w:ascii="Wingdings" w:hAnsi="Wingdings"/>
      </w:rPr>
    </w:lvl>
    <w:lvl w:ilvl="6">
      <w:start w:val="1"/>
      <w:numFmt w:val="bullet"/>
      <w:lvlText w:val=""/>
      <w:lvlJc w:val="left"/>
      <w:pPr>
        <w:tabs>
          <w:tab w:val="num" w:pos="0"/>
        </w:tabs>
        <w:ind w:left="4963" w:hanging="360"/>
      </w:pPr>
      <w:rPr>
        <w:rFonts w:ascii="Symbol" w:hAnsi="Symbol"/>
      </w:rPr>
    </w:lvl>
    <w:lvl w:ilvl="7">
      <w:start w:val="1"/>
      <w:numFmt w:val="bullet"/>
      <w:lvlText w:val="o"/>
      <w:lvlJc w:val="left"/>
      <w:pPr>
        <w:tabs>
          <w:tab w:val="num" w:pos="0"/>
        </w:tabs>
        <w:ind w:left="5683" w:hanging="360"/>
      </w:pPr>
      <w:rPr>
        <w:rFonts w:ascii="Courier New" w:hAnsi="Courier New" w:cs="Courier New"/>
      </w:rPr>
    </w:lvl>
    <w:lvl w:ilvl="8">
      <w:start w:val="1"/>
      <w:numFmt w:val="bullet"/>
      <w:lvlText w:val=""/>
      <w:lvlJc w:val="left"/>
      <w:pPr>
        <w:tabs>
          <w:tab w:val="num" w:pos="0"/>
        </w:tabs>
        <w:ind w:left="6403" w:hanging="360"/>
      </w:pPr>
      <w:rPr>
        <w:rFonts w:ascii="Wingdings" w:hAnsi="Wingdings"/>
      </w:rPr>
    </w:lvl>
  </w:abstractNum>
  <w:abstractNum w:abstractNumId="28" w15:restartNumberingAfterBreak="0">
    <w:nsid w:val="0000001D"/>
    <w:multiLevelType w:val="multilevel"/>
    <w:tmpl w:val="0000001D"/>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9" w15:restartNumberingAfterBreak="0">
    <w:nsid w:val="0000001E"/>
    <w:multiLevelType w:val="multilevel"/>
    <w:tmpl w:val="0000001E"/>
    <w:lvl w:ilvl="0">
      <w:start w:val="1"/>
      <w:numFmt w:val="bullet"/>
      <w:lvlText w:val=""/>
      <w:lvlJc w:val="left"/>
      <w:pPr>
        <w:tabs>
          <w:tab w:val="num" w:pos="0"/>
        </w:tabs>
        <w:ind w:left="1211"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0" w15:restartNumberingAfterBreak="0">
    <w:nsid w:val="0000001F"/>
    <w:multiLevelType w:val="multilevel"/>
    <w:tmpl w:val="0000001F"/>
    <w:lvl w:ilvl="0">
      <w:start w:val="1"/>
      <w:numFmt w:val="bullet"/>
      <w:lvlText w:val=""/>
      <w:lvlJc w:val="left"/>
      <w:pPr>
        <w:tabs>
          <w:tab w:val="num" w:pos="0"/>
        </w:tabs>
        <w:ind w:left="720" w:hanging="360"/>
      </w:pPr>
      <w:rPr>
        <w:rFonts w:ascii="Symbol" w:hAnsi="Symbol" w:cs="Symbol"/>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1" w15:restartNumberingAfterBreak="0">
    <w:nsid w:val="00000020"/>
    <w:multiLevelType w:val="multilevel"/>
    <w:tmpl w:val="00000020"/>
    <w:lvl w:ilvl="0">
      <w:start w:val="1"/>
      <w:numFmt w:val="bullet"/>
      <w:lvlText w:val=""/>
      <w:lvlJc w:val="left"/>
      <w:pPr>
        <w:tabs>
          <w:tab w:val="num" w:pos="0"/>
        </w:tabs>
        <w:ind w:left="720" w:hanging="360"/>
      </w:pPr>
      <w:rPr>
        <w:rFonts w:ascii="Symbol" w:hAnsi="Symbol" w:cs="Symbol"/>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2" w15:restartNumberingAfterBreak="0">
    <w:nsid w:val="00000021"/>
    <w:multiLevelType w:val="multilevel"/>
    <w:tmpl w:val="32A07D1C"/>
    <w:lvl w:ilvl="0">
      <w:start w:val="1"/>
      <w:numFmt w:val="decimal"/>
      <w:lvlText w:val="%1."/>
      <w:lvlJc w:val="left"/>
      <w:pPr>
        <w:tabs>
          <w:tab w:val="num" w:pos="0"/>
        </w:tabs>
        <w:ind w:left="720" w:hanging="360"/>
      </w:pPr>
      <w:rPr>
        <w:b/>
        <w:i w:val="0"/>
        <w:sz w:val="24"/>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3" w15:restartNumberingAfterBreak="0">
    <w:nsid w:val="00000022"/>
    <w:multiLevelType w:val="multilevel"/>
    <w:tmpl w:val="00000022"/>
    <w:lvl w:ilvl="0">
      <w:start w:val="1"/>
      <w:numFmt w:val="decimal"/>
      <w:lvlText w:val="%1)"/>
      <w:lvlJc w:val="left"/>
      <w:pPr>
        <w:tabs>
          <w:tab w:val="num" w:pos="0"/>
        </w:tabs>
        <w:ind w:left="1080" w:hanging="360"/>
      </w:pPr>
      <w:rPr>
        <w:rFonts w:cs="Times New Roman"/>
        <w:i w:val="0"/>
        <w:sz w:val="24"/>
        <w:szCs w:val="24"/>
      </w:r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34" w15:restartNumberingAfterBreak="0">
    <w:nsid w:val="00000023"/>
    <w:multiLevelType w:val="multilevel"/>
    <w:tmpl w:val="00000023"/>
    <w:lvl w:ilvl="0">
      <w:start w:val="1"/>
      <w:numFmt w:val="decimal"/>
      <w:lvlText w:val="%1)"/>
      <w:lvlJc w:val="left"/>
      <w:pPr>
        <w:tabs>
          <w:tab w:val="num" w:pos="0"/>
        </w:tabs>
        <w:ind w:left="720" w:hanging="360"/>
      </w:pPr>
      <w:rPr>
        <w:rFonts w:cs="Times New Roman"/>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5" w15:restartNumberingAfterBreak="0">
    <w:nsid w:val="00000024"/>
    <w:multiLevelType w:val="multilevel"/>
    <w:tmpl w:val="00000024"/>
    <w:lvl w:ilvl="0">
      <w:start w:val="1"/>
      <w:numFmt w:val="bullet"/>
      <w:lvlText w:val=""/>
      <w:lvlJc w:val="left"/>
      <w:pPr>
        <w:tabs>
          <w:tab w:val="num" w:pos="0"/>
        </w:tabs>
        <w:ind w:left="720" w:hanging="360"/>
      </w:pPr>
      <w:rPr>
        <w:rFonts w:ascii="Symbol" w:hAnsi="Symbol" w:cs="Symbol"/>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6" w15:restartNumberingAfterBreak="0">
    <w:nsid w:val="00000025"/>
    <w:multiLevelType w:val="multilevel"/>
    <w:tmpl w:val="000000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7" w15:restartNumberingAfterBreak="0">
    <w:nsid w:val="00000026"/>
    <w:multiLevelType w:val="multilevel"/>
    <w:tmpl w:val="000000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8" w15:restartNumberingAfterBreak="0">
    <w:nsid w:val="00000027"/>
    <w:multiLevelType w:val="multilevel"/>
    <w:tmpl w:val="00000027"/>
    <w:lvl w:ilvl="0">
      <w:start w:val="1"/>
      <w:numFmt w:val="bullet"/>
      <w:lvlText w:val=""/>
      <w:lvlJc w:val="left"/>
      <w:pPr>
        <w:tabs>
          <w:tab w:val="num" w:pos="0"/>
        </w:tabs>
        <w:ind w:left="643" w:hanging="360"/>
      </w:pPr>
      <w:rPr>
        <w:rFonts w:ascii="Symbol" w:hAnsi="Symbol"/>
      </w:rPr>
    </w:lvl>
    <w:lvl w:ilvl="1">
      <w:start w:val="1"/>
      <w:numFmt w:val="bullet"/>
      <w:lvlText w:val="o"/>
      <w:lvlJc w:val="left"/>
      <w:pPr>
        <w:tabs>
          <w:tab w:val="num" w:pos="0"/>
        </w:tabs>
        <w:ind w:left="1363" w:hanging="360"/>
      </w:pPr>
      <w:rPr>
        <w:rFonts w:ascii="Courier New" w:hAnsi="Courier New" w:cs="Courier New"/>
      </w:rPr>
    </w:lvl>
    <w:lvl w:ilvl="2">
      <w:start w:val="1"/>
      <w:numFmt w:val="bullet"/>
      <w:lvlText w:val=""/>
      <w:lvlJc w:val="left"/>
      <w:pPr>
        <w:tabs>
          <w:tab w:val="num" w:pos="0"/>
        </w:tabs>
        <w:ind w:left="2083" w:hanging="360"/>
      </w:pPr>
      <w:rPr>
        <w:rFonts w:ascii="Wingdings" w:hAnsi="Wingdings"/>
      </w:rPr>
    </w:lvl>
    <w:lvl w:ilvl="3">
      <w:start w:val="1"/>
      <w:numFmt w:val="bullet"/>
      <w:lvlText w:val=""/>
      <w:lvlJc w:val="left"/>
      <w:pPr>
        <w:tabs>
          <w:tab w:val="num" w:pos="0"/>
        </w:tabs>
        <w:ind w:left="2803" w:hanging="360"/>
      </w:pPr>
      <w:rPr>
        <w:rFonts w:ascii="Symbol" w:hAnsi="Symbol"/>
      </w:rPr>
    </w:lvl>
    <w:lvl w:ilvl="4">
      <w:start w:val="1"/>
      <w:numFmt w:val="bullet"/>
      <w:lvlText w:val="o"/>
      <w:lvlJc w:val="left"/>
      <w:pPr>
        <w:tabs>
          <w:tab w:val="num" w:pos="0"/>
        </w:tabs>
        <w:ind w:left="3523" w:hanging="360"/>
      </w:pPr>
      <w:rPr>
        <w:rFonts w:ascii="Courier New" w:hAnsi="Courier New" w:cs="Courier New"/>
      </w:rPr>
    </w:lvl>
    <w:lvl w:ilvl="5">
      <w:start w:val="1"/>
      <w:numFmt w:val="bullet"/>
      <w:lvlText w:val=""/>
      <w:lvlJc w:val="left"/>
      <w:pPr>
        <w:tabs>
          <w:tab w:val="num" w:pos="0"/>
        </w:tabs>
        <w:ind w:left="4243" w:hanging="360"/>
      </w:pPr>
      <w:rPr>
        <w:rFonts w:ascii="Wingdings" w:hAnsi="Wingdings"/>
      </w:rPr>
    </w:lvl>
    <w:lvl w:ilvl="6">
      <w:start w:val="1"/>
      <w:numFmt w:val="bullet"/>
      <w:lvlText w:val=""/>
      <w:lvlJc w:val="left"/>
      <w:pPr>
        <w:tabs>
          <w:tab w:val="num" w:pos="0"/>
        </w:tabs>
        <w:ind w:left="4963" w:hanging="360"/>
      </w:pPr>
      <w:rPr>
        <w:rFonts w:ascii="Symbol" w:hAnsi="Symbol"/>
      </w:rPr>
    </w:lvl>
    <w:lvl w:ilvl="7">
      <w:start w:val="1"/>
      <w:numFmt w:val="bullet"/>
      <w:lvlText w:val="o"/>
      <w:lvlJc w:val="left"/>
      <w:pPr>
        <w:tabs>
          <w:tab w:val="num" w:pos="0"/>
        </w:tabs>
        <w:ind w:left="5683" w:hanging="360"/>
      </w:pPr>
      <w:rPr>
        <w:rFonts w:ascii="Courier New" w:hAnsi="Courier New" w:cs="Courier New"/>
      </w:rPr>
    </w:lvl>
    <w:lvl w:ilvl="8">
      <w:start w:val="1"/>
      <w:numFmt w:val="bullet"/>
      <w:lvlText w:val=""/>
      <w:lvlJc w:val="left"/>
      <w:pPr>
        <w:tabs>
          <w:tab w:val="num" w:pos="0"/>
        </w:tabs>
        <w:ind w:left="6403" w:hanging="360"/>
      </w:pPr>
      <w:rPr>
        <w:rFonts w:ascii="Wingdings" w:hAnsi="Wingdings"/>
      </w:rPr>
    </w:lvl>
  </w:abstractNum>
  <w:abstractNum w:abstractNumId="39" w15:restartNumberingAfterBreak="0">
    <w:nsid w:val="00000028"/>
    <w:multiLevelType w:val="multilevel"/>
    <w:tmpl w:val="0000002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0" w15:restartNumberingAfterBreak="0">
    <w:nsid w:val="00000029"/>
    <w:multiLevelType w:val="multilevel"/>
    <w:tmpl w:val="00000029"/>
    <w:lvl w:ilvl="0">
      <w:start w:val="1"/>
      <w:numFmt w:val="bullet"/>
      <w:lvlText w:val=""/>
      <w:lvlJc w:val="left"/>
      <w:pPr>
        <w:tabs>
          <w:tab w:val="num" w:pos="0"/>
        </w:tabs>
        <w:ind w:left="720" w:hanging="360"/>
      </w:pPr>
      <w:rPr>
        <w:rFonts w:ascii="Wingdings" w:hAnsi="Wingdings"/>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41" w15:restartNumberingAfterBreak="0">
    <w:nsid w:val="0000002A"/>
    <w:multiLevelType w:val="multilevel"/>
    <w:tmpl w:val="0000002A"/>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2B"/>
    <w:multiLevelType w:val="multilevel"/>
    <w:tmpl w:val="0000002B"/>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3" w15:restartNumberingAfterBreak="0">
    <w:nsid w:val="0000002C"/>
    <w:multiLevelType w:val="multilevel"/>
    <w:tmpl w:val="0000002C"/>
    <w:lvl w:ilvl="0">
      <w:start w:val="1"/>
      <w:numFmt w:val="bullet"/>
      <w:lvlText w:val=""/>
      <w:lvlJc w:val="left"/>
      <w:pPr>
        <w:tabs>
          <w:tab w:val="num" w:pos="348"/>
        </w:tabs>
        <w:ind w:left="1068" w:hanging="360"/>
      </w:pPr>
      <w:rPr>
        <w:rFonts w:ascii="Symbol" w:hAnsi="Symbol" w:hint="default"/>
      </w:rPr>
    </w:lvl>
    <w:lvl w:ilvl="1">
      <w:start w:val="1"/>
      <w:numFmt w:val="bullet"/>
      <w:lvlText w:val="o"/>
      <w:lvlJc w:val="left"/>
      <w:pPr>
        <w:tabs>
          <w:tab w:val="num" w:pos="348"/>
        </w:tabs>
        <w:ind w:left="1788" w:hanging="360"/>
      </w:pPr>
      <w:rPr>
        <w:rFonts w:ascii="Courier New" w:hAnsi="Courier New" w:cs="Courier New"/>
      </w:rPr>
    </w:lvl>
    <w:lvl w:ilvl="2">
      <w:start w:val="1"/>
      <w:numFmt w:val="bullet"/>
      <w:lvlText w:val=""/>
      <w:lvlJc w:val="left"/>
      <w:pPr>
        <w:tabs>
          <w:tab w:val="num" w:pos="348"/>
        </w:tabs>
        <w:ind w:left="2508" w:hanging="360"/>
      </w:pPr>
      <w:rPr>
        <w:rFonts w:ascii="Wingdings" w:hAnsi="Wingdings"/>
      </w:rPr>
    </w:lvl>
    <w:lvl w:ilvl="3">
      <w:start w:val="1"/>
      <w:numFmt w:val="bullet"/>
      <w:lvlText w:val=""/>
      <w:lvlJc w:val="left"/>
      <w:pPr>
        <w:tabs>
          <w:tab w:val="num" w:pos="348"/>
        </w:tabs>
        <w:ind w:left="3228" w:hanging="360"/>
      </w:pPr>
      <w:rPr>
        <w:rFonts w:ascii="Symbol" w:hAnsi="Symbol"/>
      </w:rPr>
    </w:lvl>
    <w:lvl w:ilvl="4">
      <w:start w:val="1"/>
      <w:numFmt w:val="bullet"/>
      <w:lvlText w:val="o"/>
      <w:lvlJc w:val="left"/>
      <w:pPr>
        <w:tabs>
          <w:tab w:val="num" w:pos="348"/>
        </w:tabs>
        <w:ind w:left="3948" w:hanging="360"/>
      </w:pPr>
      <w:rPr>
        <w:rFonts w:ascii="Courier New" w:hAnsi="Courier New" w:cs="Courier New"/>
      </w:rPr>
    </w:lvl>
    <w:lvl w:ilvl="5">
      <w:start w:val="1"/>
      <w:numFmt w:val="bullet"/>
      <w:lvlText w:val=""/>
      <w:lvlJc w:val="left"/>
      <w:pPr>
        <w:tabs>
          <w:tab w:val="num" w:pos="348"/>
        </w:tabs>
        <w:ind w:left="4668" w:hanging="360"/>
      </w:pPr>
      <w:rPr>
        <w:rFonts w:ascii="Wingdings" w:hAnsi="Wingdings"/>
      </w:rPr>
    </w:lvl>
    <w:lvl w:ilvl="6">
      <w:start w:val="1"/>
      <w:numFmt w:val="bullet"/>
      <w:lvlText w:val=""/>
      <w:lvlJc w:val="left"/>
      <w:pPr>
        <w:tabs>
          <w:tab w:val="num" w:pos="348"/>
        </w:tabs>
        <w:ind w:left="5388" w:hanging="360"/>
      </w:pPr>
      <w:rPr>
        <w:rFonts w:ascii="Symbol" w:hAnsi="Symbol"/>
      </w:rPr>
    </w:lvl>
    <w:lvl w:ilvl="7">
      <w:start w:val="1"/>
      <w:numFmt w:val="bullet"/>
      <w:lvlText w:val="o"/>
      <w:lvlJc w:val="left"/>
      <w:pPr>
        <w:tabs>
          <w:tab w:val="num" w:pos="348"/>
        </w:tabs>
        <w:ind w:left="6108" w:hanging="360"/>
      </w:pPr>
      <w:rPr>
        <w:rFonts w:ascii="Courier New" w:hAnsi="Courier New" w:cs="Courier New"/>
      </w:rPr>
    </w:lvl>
    <w:lvl w:ilvl="8">
      <w:start w:val="1"/>
      <w:numFmt w:val="bullet"/>
      <w:lvlText w:val=""/>
      <w:lvlJc w:val="left"/>
      <w:pPr>
        <w:tabs>
          <w:tab w:val="num" w:pos="348"/>
        </w:tabs>
        <w:ind w:left="6828" w:hanging="360"/>
      </w:pPr>
      <w:rPr>
        <w:rFonts w:ascii="Wingdings" w:hAnsi="Wingdings"/>
      </w:rPr>
    </w:lvl>
  </w:abstractNum>
  <w:abstractNum w:abstractNumId="44" w15:restartNumberingAfterBreak="0">
    <w:nsid w:val="0C875334"/>
    <w:multiLevelType w:val="hybridMultilevel"/>
    <w:tmpl w:val="7FEE409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0D354DDD"/>
    <w:multiLevelType w:val="hybridMultilevel"/>
    <w:tmpl w:val="E1D2C988"/>
    <w:lvl w:ilvl="0" w:tplc="E8627AAE">
      <w:start w:val="1"/>
      <w:numFmt w:val="decimal"/>
      <w:lvlText w:val="%1)"/>
      <w:lvlJc w:val="left"/>
      <w:pPr>
        <w:ind w:left="72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0F9D3AE1"/>
    <w:multiLevelType w:val="multilevel"/>
    <w:tmpl w:val="0F9D3AE1"/>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47" w15:restartNumberingAfterBreak="0">
    <w:nsid w:val="22DF7F28"/>
    <w:multiLevelType w:val="hybridMultilevel"/>
    <w:tmpl w:val="FC6EC666"/>
    <w:lvl w:ilvl="0" w:tplc="E444AB2A">
      <w:numFmt w:val="bullet"/>
      <w:lvlText w:val="•"/>
      <w:lvlJc w:val="left"/>
      <w:pPr>
        <w:ind w:left="1068" w:hanging="708"/>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E536F77"/>
    <w:multiLevelType w:val="hybridMultilevel"/>
    <w:tmpl w:val="7A3E0CB2"/>
    <w:lvl w:ilvl="0" w:tplc="58147D54">
      <w:numFmt w:val="bullet"/>
      <w:lvlText w:val="•"/>
      <w:lvlJc w:val="left"/>
      <w:pPr>
        <w:ind w:left="1070" w:hanging="71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CAB3D03"/>
    <w:multiLevelType w:val="hybridMultilevel"/>
    <w:tmpl w:val="B9FA39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CF07EA2"/>
    <w:multiLevelType w:val="hybridMultilevel"/>
    <w:tmpl w:val="E49E1468"/>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1" w15:restartNumberingAfterBreak="0">
    <w:nsid w:val="42156F93"/>
    <w:multiLevelType w:val="hybridMultilevel"/>
    <w:tmpl w:val="49FE09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370745E"/>
    <w:multiLevelType w:val="hybridMultilevel"/>
    <w:tmpl w:val="19C630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8BE61BA"/>
    <w:multiLevelType w:val="hybridMultilevel"/>
    <w:tmpl w:val="BCB601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66F3701"/>
    <w:multiLevelType w:val="hybridMultilevel"/>
    <w:tmpl w:val="B2969E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54142E2"/>
    <w:multiLevelType w:val="hybridMultilevel"/>
    <w:tmpl w:val="35F8F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DD97AD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3AD0B67"/>
    <w:multiLevelType w:val="hybridMultilevel"/>
    <w:tmpl w:val="4DB81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7473349F"/>
    <w:multiLevelType w:val="hybridMultilevel"/>
    <w:tmpl w:val="844CF4C0"/>
    <w:lvl w:ilvl="0" w:tplc="6930E9E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 w:numId="8">
    <w:abstractNumId w:val="10"/>
  </w:num>
  <w:num w:numId="9">
    <w:abstractNumId w:val="7"/>
  </w:num>
  <w:num w:numId="10">
    <w:abstractNumId w:val="8"/>
  </w:num>
  <w:num w:numId="11">
    <w:abstractNumId w:val="9"/>
  </w:num>
  <w:num w:numId="12">
    <w:abstractNumId w:val="11"/>
  </w:num>
  <w:num w:numId="13">
    <w:abstractNumId w:val="12"/>
  </w:num>
  <w:num w:numId="14">
    <w:abstractNumId w:val="14"/>
  </w:num>
  <w:num w:numId="15">
    <w:abstractNumId w:val="15"/>
  </w:num>
  <w:num w:numId="16">
    <w:abstractNumId w:val="16"/>
  </w:num>
  <w:num w:numId="17">
    <w:abstractNumId w:val="17"/>
  </w:num>
  <w:num w:numId="18">
    <w:abstractNumId w:val="13"/>
  </w:num>
  <w:num w:numId="19">
    <w:abstractNumId w:val="30"/>
  </w:num>
  <w:num w:numId="20">
    <w:abstractNumId w:val="33"/>
  </w:num>
  <w:num w:numId="21">
    <w:abstractNumId w:val="32"/>
  </w:num>
  <w:num w:numId="22">
    <w:abstractNumId w:val="18"/>
  </w:num>
  <w:num w:numId="23">
    <w:abstractNumId w:val="34"/>
  </w:num>
  <w:num w:numId="24">
    <w:abstractNumId w:val="31"/>
  </w:num>
  <w:num w:numId="25">
    <w:abstractNumId w:val="20"/>
  </w:num>
  <w:num w:numId="26">
    <w:abstractNumId w:val="19"/>
  </w:num>
  <w:num w:numId="27">
    <w:abstractNumId w:val="21"/>
  </w:num>
  <w:num w:numId="28">
    <w:abstractNumId w:val="22"/>
  </w:num>
  <w:num w:numId="29">
    <w:abstractNumId w:val="46"/>
  </w:num>
  <w:num w:numId="30">
    <w:abstractNumId w:val="23"/>
  </w:num>
  <w:num w:numId="31">
    <w:abstractNumId w:val="40"/>
  </w:num>
  <w:num w:numId="32">
    <w:abstractNumId w:val="41"/>
  </w:num>
  <w:num w:numId="33">
    <w:abstractNumId w:val="42"/>
  </w:num>
  <w:num w:numId="34">
    <w:abstractNumId w:val="24"/>
  </w:num>
  <w:num w:numId="35">
    <w:abstractNumId w:val="26"/>
  </w:num>
  <w:num w:numId="36">
    <w:abstractNumId w:val="25"/>
  </w:num>
  <w:num w:numId="37">
    <w:abstractNumId w:val="35"/>
  </w:num>
  <w:num w:numId="38">
    <w:abstractNumId w:val="36"/>
  </w:num>
  <w:num w:numId="39">
    <w:abstractNumId w:val="37"/>
  </w:num>
  <w:num w:numId="40">
    <w:abstractNumId w:val="39"/>
  </w:num>
  <w:num w:numId="41">
    <w:abstractNumId w:val="38"/>
  </w:num>
  <w:num w:numId="42">
    <w:abstractNumId w:val="27"/>
  </w:num>
  <w:num w:numId="43">
    <w:abstractNumId w:val="28"/>
  </w:num>
  <w:num w:numId="44">
    <w:abstractNumId w:val="29"/>
  </w:num>
  <w:num w:numId="45">
    <w:abstractNumId w:val="43"/>
  </w:num>
  <w:num w:numId="46">
    <w:abstractNumId w:val="56"/>
  </w:num>
  <w:num w:numId="47">
    <w:abstractNumId w:val="45"/>
  </w:num>
  <w:num w:numId="48">
    <w:abstractNumId w:val="58"/>
  </w:num>
  <w:num w:numId="49">
    <w:abstractNumId w:val="54"/>
  </w:num>
  <w:num w:numId="50">
    <w:abstractNumId w:val="47"/>
  </w:num>
  <w:num w:numId="51">
    <w:abstractNumId w:val="50"/>
  </w:num>
  <w:num w:numId="52">
    <w:abstractNumId w:val="53"/>
  </w:num>
  <w:num w:numId="53">
    <w:abstractNumId w:val="57"/>
  </w:num>
  <w:num w:numId="54">
    <w:abstractNumId w:val="48"/>
  </w:num>
  <w:num w:numId="55">
    <w:abstractNumId w:val="55"/>
  </w:num>
  <w:num w:numId="56">
    <w:abstractNumId w:val="51"/>
  </w:num>
  <w:num w:numId="57">
    <w:abstractNumId w:val="52"/>
  </w:num>
  <w:num w:numId="58">
    <w:abstractNumId w:val="49"/>
  </w:num>
  <w:num w:numId="59">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fillcolor="white">
      <v:fill color="white"/>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EB3"/>
    <w:rsid w:val="00016192"/>
    <w:rsid w:val="000163DC"/>
    <w:rsid w:val="00023041"/>
    <w:rsid w:val="00023464"/>
    <w:rsid w:val="00024DA8"/>
    <w:rsid w:val="0004111F"/>
    <w:rsid w:val="00041710"/>
    <w:rsid w:val="000430F2"/>
    <w:rsid w:val="00043272"/>
    <w:rsid w:val="000449CF"/>
    <w:rsid w:val="00074074"/>
    <w:rsid w:val="00091E9D"/>
    <w:rsid w:val="000B1A1F"/>
    <w:rsid w:val="000B4247"/>
    <w:rsid w:val="000B6C74"/>
    <w:rsid w:val="000E02D2"/>
    <w:rsid w:val="000E525D"/>
    <w:rsid w:val="000F063B"/>
    <w:rsid w:val="000F1709"/>
    <w:rsid w:val="000F2D1F"/>
    <w:rsid w:val="001016A9"/>
    <w:rsid w:val="001029DE"/>
    <w:rsid w:val="0010316D"/>
    <w:rsid w:val="00103381"/>
    <w:rsid w:val="001041B0"/>
    <w:rsid w:val="001055EA"/>
    <w:rsid w:val="00110A0B"/>
    <w:rsid w:val="00112916"/>
    <w:rsid w:val="001230C6"/>
    <w:rsid w:val="00123FF1"/>
    <w:rsid w:val="0013375E"/>
    <w:rsid w:val="00142D96"/>
    <w:rsid w:val="001451F5"/>
    <w:rsid w:val="0014582A"/>
    <w:rsid w:val="001524EE"/>
    <w:rsid w:val="00154475"/>
    <w:rsid w:val="0016123A"/>
    <w:rsid w:val="00162236"/>
    <w:rsid w:val="00162812"/>
    <w:rsid w:val="00162F59"/>
    <w:rsid w:val="00170F1A"/>
    <w:rsid w:val="00172640"/>
    <w:rsid w:val="00180371"/>
    <w:rsid w:val="00193AD6"/>
    <w:rsid w:val="001A0CC0"/>
    <w:rsid w:val="001A56C1"/>
    <w:rsid w:val="001C5078"/>
    <w:rsid w:val="001C6BDB"/>
    <w:rsid w:val="001D1C51"/>
    <w:rsid w:val="001E0DBC"/>
    <w:rsid w:val="001F0110"/>
    <w:rsid w:val="002044FA"/>
    <w:rsid w:val="00204FE5"/>
    <w:rsid w:val="0021540E"/>
    <w:rsid w:val="0023349B"/>
    <w:rsid w:val="00234500"/>
    <w:rsid w:val="00236C46"/>
    <w:rsid w:val="00243050"/>
    <w:rsid w:val="00257D5D"/>
    <w:rsid w:val="002651E1"/>
    <w:rsid w:val="00273120"/>
    <w:rsid w:val="002772AF"/>
    <w:rsid w:val="002905E9"/>
    <w:rsid w:val="00295462"/>
    <w:rsid w:val="002977EC"/>
    <w:rsid w:val="002A3BFF"/>
    <w:rsid w:val="002A4B46"/>
    <w:rsid w:val="002C7EF2"/>
    <w:rsid w:val="002E547D"/>
    <w:rsid w:val="002E66A2"/>
    <w:rsid w:val="002F4847"/>
    <w:rsid w:val="002F6279"/>
    <w:rsid w:val="00324D0D"/>
    <w:rsid w:val="0033287E"/>
    <w:rsid w:val="00352EE5"/>
    <w:rsid w:val="00355FE6"/>
    <w:rsid w:val="00366326"/>
    <w:rsid w:val="003817FD"/>
    <w:rsid w:val="0039362B"/>
    <w:rsid w:val="00393882"/>
    <w:rsid w:val="003A18C4"/>
    <w:rsid w:val="003B2367"/>
    <w:rsid w:val="003C5D8F"/>
    <w:rsid w:val="003D3A1E"/>
    <w:rsid w:val="003E1004"/>
    <w:rsid w:val="003F1D9C"/>
    <w:rsid w:val="0042495F"/>
    <w:rsid w:val="00424F5E"/>
    <w:rsid w:val="004266BF"/>
    <w:rsid w:val="00434A78"/>
    <w:rsid w:val="00460C1E"/>
    <w:rsid w:val="00460C68"/>
    <w:rsid w:val="00460D66"/>
    <w:rsid w:val="00470811"/>
    <w:rsid w:val="00472EEE"/>
    <w:rsid w:val="00474D7B"/>
    <w:rsid w:val="0048012D"/>
    <w:rsid w:val="0048592B"/>
    <w:rsid w:val="0049276A"/>
    <w:rsid w:val="004933DA"/>
    <w:rsid w:val="004A5694"/>
    <w:rsid w:val="004A6398"/>
    <w:rsid w:val="004B2CA3"/>
    <w:rsid w:val="004C6C94"/>
    <w:rsid w:val="004D41EF"/>
    <w:rsid w:val="004E1F3B"/>
    <w:rsid w:val="004E2A85"/>
    <w:rsid w:val="004E3DB5"/>
    <w:rsid w:val="004F41CE"/>
    <w:rsid w:val="00500A9C"/>
    <w:rsid w:val="0052148B"/>
    <w:rsid w:val="00531842"/>
    <w:rsid w:val="005358D1"/>
    <w:rsid w:val="0054134E"/>
    <w:rsid w:val="005530D2"/>
    <w:rsid w:val="0057314B"/>
    <w:rsid w:val="005750C0"/>
    <w:rsid w:val="00575C9D"/>
    <w:rsid w:val="00575CF4"/>
    <w:rsid w:val="00576078"/>
    <w:rsid w:val="00587C31"/>
    <w:rsid w:val="005A0A0E"/>
    <w:rsid w:val="005A4E99"/>
    <w:rsid w:val="005A5D1D"/>
    <w:rsid w:val="005B16C5"/>
    <w:rsid w:val="005B7404"/>
    <w:rsid w:val="005C279A"/>
    <w:rsid w:val="005C6958"/>
    <w:rsid w:val="005C7AF6"/>
    <w:rsid w:val="005D332C"/>
    <w:rsid w:val="005D6B75"/>
    <w:rsid w:val="005E4031"/>
    <w:rsid w:val="005E7B38"/>
    <w:rsid w:val="006031B4"/>
    <w:rsid w:val="00626354"/>
    <w:rsid w:val="00631D02"/>
    <w:rsid w:val="00642113"/>
    <w:rsid w:val="00675FCC"/>
    <w:rsid w:val="006832D0"/>
    <w:rsid w:val="0068623D"/>
    <w:rsid w:val="00686944"/>
    <w:rsid w:val="00687BB4"/>
    <w:rsid w:val="006B2BF6"/>
    <w:rsid w:val="006B4D37"/>
    <w:rsid w:val="006B5DFE"/>
    <w:rsid w:val="006C1EA7"/>
    <w:rsid w:val="006D6FCE"/>
    <w:rsid w:val="00702CB1"/>
    <w:rsid w:val="007032E4"/>
    <w:rsid w:val="00712E93"/>
    <w:rsid w:val="00712F37"/>
    <w:rsid w:val="00716E13"/>
    <w:rsid w:val="00720734"/>
    <w:rsid w:val="00721CAB"/>
    <w:rsid w:val="00723D08"/>
    <w:rsid w:val="00726758"/>
    <w:rsid w:val="007318F4"/>
    <w:rsid w:val="007338A2"/>
    <w:rsid w:val="007340C2"/>
    <w:rsid w:val="00740F90"/>
    <w:rsid w:val="00742DE7"/>
    <w:rsid w:val="00745175"/>
    <w:rsid w:val="00746AD7"/>
    <w:rsid w:val="007471B1"/>
    <w:rsid w:val="00753C9C"/>
    <w:rsid w:val="0076234F"/>
    <w:rsid w:val="00766CEC"/>
    <w:rsid w:val="00786E68"/>
    <w:rsid w:val="00790FCB"/>
    <w:rsid w:val="00793AB8"/>
    <w:rsid w:val="007A3A1D"/>
    <w:rsid w:val="007B544E"/>
    <w:rsid w:val="007C2E66"/>
    <w:rsid w:val="007D02A3"/>
    <w:rsid w:val="007F14FE"/>
    <w:rsid w:val="007F1E10"/>
    <w:rsid w:val="007F53A3"/>
    <w:rsid w:val="008050BF"/>
    <w:rsid w:val="00810CCB"/>
    <w:rsid w:val="00811873"/>
    <w:rsid w:val="00811BDA"/>
    <w:rsid w:val="00825BB4"/>
    <w:rsid w:val="008315D7"/>
    <w:rsid w:val="00842529"/>
    <w:rsid w:val="00860C1E"/>
    <w:rsid w:val="00861581"/>
    <w:rsid w:val="00872563"/>
    <w:rsid w:val="00873BDC"/>
    <w:rsid w:val="0087520A"/>
    <w:rsid w:val="00876F79"/>
    <w:rsid w:val="00877BD6"/>
    <w:rsid w:val="00885CD2"/>
    <w:rsid w:val="008A0DAF"/>
    <w:rsid w:val="008A47DF"/>
    <w:rsid w:val="008A49A7"/>
    <w:rsid w:val="008A51C5"/>
    <w:rsid w:val="008A560C"/>
    <w:rsid w:val="008A6D7C"/>
    <w:rsid w:val="008B4357"/>
    <w:rsid w:val="008B6E51"/>
    <w:rsid w:val="008C0026"/>
    <w:rsid w:val="008C05E6"/>
    <w:rsid w:val="008C6525"/>
    <w:rsid w:val="008C6B8A"/>
    <w:rsid w:val="008C71B1"/>
    <w:rsid w:val="008E3DEF"/>
    <w:rsid w:val="008E4884"/>
    <w:rsid w:val="008F09AA"/>
    <w:rsid w:val="009014EB"/>
    <w:rsid w:val="00905BC6"/>
    <w:rsid w:val="009201F1"/>
    <w:rsid w:val="00920A06"/>
    <w:rsid w:val="00920AD8"/>
    <w:rsid w:val="00925AA4"/>
    <w:rsid w:val="00925DB5"/>
    <w:rsid w:val="009433B5"/>
    <w:rsid w:val="00945262"/>
    <w:rsid w:val="00945AF9"/>
    <w:rsid w:val="00953E52"/>
    <w:rsid w:val="00955646"/>
    <w:rsid w:val="009634B9"/>
    <w:rsid w:val="009668A7"/>
    <w:rsid w:val="00970012"/>
    <w:rsid w:val="00970407"/>
    <w:rsid w:val="009768BE"/>
    <w:rsid w:val="00976DC6"/>
    <w:rsid w:val="00982330"/>
    <w:rsid w:val="009852F5"/>
    <w:rsid w:val="00985B38"/>
    <w:rsid w:val="00996442"/>
    <w:rsid w:val="009A187C"/>
    <w:rsid w:val="009A3EF1"/>
    <w:rsid w:val="009A4155"/>
    <w:rsid w:val="009A5747"/>
    <w:rsid w:val="009B3F57"/>
    <w:rsid w:val="009B6456"/>
    <w:rsid w:val="009C4BD2"/>
    <w:rsid w:val="009C62D8"/>
    <w:rsid w:val="009C66B2"/>
    <w:rsid w:val="009D1066"/>
    <w:rsid w:val="009D6020"/>
    <w:rsid w:val="009E26E4"/>
    <w:rsid w:val="009E3315"/>
    <w:rsid w:val="009E689A"/>
    <w:rsid w:val="00A109C9"/>
    <w:rsid w:val="00A12E5F"/>
    <w:rsid w:val="00A22820"/>
    <w:rsid w:val="00A33607"/>
    <w:rsid w:val="00A36654"/>
    <w:rsid w:val="00A47D9D"/>
    <w:rsid w:val="00A6076B"/>
    <w:rsid w:val="00A73DC0"/>
    <w:rsid w:val="00A76B89"/>
    <w:rsid w:val="00A81A7E"/>
    <w:rsid w:val="00AA1763"/>
    <w:rsid w:val="00AA4613"/>
    <w:rsid w:val="00AB079A"/>
    <w:rsid w:val="00AB1E73"/>
    <w:rsid w:val="00AB248A"/>
    <w:rsid w:val="00AC5BF1"/>
    <w:rsid w:val="00AC72C2"/>
    <w:rsid w:val="00AC7AFF"/>
    <w:rsid w:val="00AD0B52"/>
    <w:rsid w:val="00AD1262"/>
    <w:rsid w:val="00AE05EC"/>
    <w:rsid w:val="00AF432C"/>
    <w:rsid w:val="00AF6934"/>
    <w:rsid w:val="00B02C56"/>
    <w:rsid w:val="00B258CF"/>
    <w:rsid w:val="00B34FD6"/>
    <w:rsid w:val="00B37B94"/>
    <w:rsid w:val="00B40280"/>
    <w:rsid w:val="00B40567"/>
    <w:rsid w:val="00B46C0F"/>
    <w:rsid w:val="00B50D57"/>
    <w:rsid w:val="00B60DD7"/>
    <w:rsid w:val="00B614BE"/>
    <w:rsid w:val="00B61557"/>
    <w:rsid w:val="00B64F89"/>
    <w:rsid w:val="00B7775F"/>
    <w:rsid w:val="00B8518D"/>
    <w:rsid w:val="00BA2D1E"/>
    <w:rsid w:val="00BA5477"/>
    <w:rsid w:val="00BA73A3"/>
    <w:rsid w:val="00BB210A"/>
    <w:rsid w:val="00BB7EF7"/>
    <w:rsid w:val="00BC2DEB"/>
    <w:rsid w:val="00BE27DB"/>
    <w:rsid w:val="00BE7353"/>
    <w:rsid w:val="00BE7F53"/>
    <w:rsid w:val="00BF682A"/>
    <w:rsid w:val="00C150BC"/>
    <w:rsid w:val="00C154F7"/>
    <w:rsid w:val="00C268CB"/>
    <w:rsid w:val="00C31B52"/>
    <w:rsid w:val="00C3428B"/>
    <w:rsid w:val="00C403C2"/>
    <w:rsid w:val="00C45361"/>
    <w:rsid w:val="00C469A0"/>
    <w:rsid w:val="00C47C60"/>
    <w:rsid w:val="00C5337E"/>
    <w:rsid w:val="00C549FF"/>
    <w:rsid w:val="00C61C5F"/>
    <w:rsid w:val="00C65EED"/>
    <w:rsid w:val="00C72C7F"/>
    <w:rsid w:val="00C93F09"/>
    <w:rsid w:val="00C94362"/>
    <w:rsid w:val="00C96238"/>
    <w:rsid w:val="00CA09C4"/>
    <w:rsid w:val="00CA13BE"/>
    <w:rsid w:val="00CB3835"/>
    <w:rsid w:val="00CE10E5"/>
    <w:rsid w:val="00CE340D"/>
    <w:rsid w:val="00CF3445"/>
    <w:rsid w:val="00CF3BB6"/>
    <w:rsid w:val="00CF4206"/>
    <w:rsid w:val="00D219B5"/>
    <w:rsid w:val="00D21B94"/>
    <w:rsid w:val="00D23041"/>
    <w:rsid w:val="00D2714B"/>
    <w:rsid w:val="00D367E3"/>
    <w:rsid w:val="00D47796"/>
    <w:rsid w:val="00D6060C"/>
    <w:rsid w:val="00D6516D"/>
    <w:rsid w:val="00D70C7F"/>
    <w:rsid w:val="00D76B53"/>
    <w:rsid w:val="00D90C93"/>
    <w:rsid w:val="00D90EB3"/>
    <w:rsid w:val="00D93978"/>
    <w:rsid w:val="00DA1B7B"/>
    <w:rsid w:val="00DA3234"/>
    <w:rsid w:val="00DA3D29"/>
    <w:rsid w:val="00DB02A3"/>
    <w:rsid w:val="00DC16E5"/>
    <w:rsid w:val="00DD2FA2"/>
    <w:rsid w:val="00DD5F2F"/>
    <w:rsid w:val="00DF0E3B"/>
    <w:rsid w:val="00DF24D8"/>
    <w:rsid w:val="00E25124"/>
    <w:rsid w:val="00E30206"/>
    <w:rsid w:val="00E520FF"/>
    <w:rsid w:val="00E53395"/>
    <w:rsid w:val="00E560BD"/>
    <w:rsid w:val="00E57972"/>
    <w:rsid w:val="00E67AC3"/>
    <w:rsid w:val="00E72A2A"/>
    <w:rsid w:val="00E8583C"/>
    <w:rsid w:val="00E950ED"/>
    <w:rsid w:val="00EA015F"/>
    <w:rsid w:val="00EB2077"/>
    <w:rsid w:val="00EC023F"/>
    <w:rsid w:val="00EC5BBD"/>
    <w:rsid w:val="00ED24F8"/>
    <w:rsid w:val="00EE42C3"/>
    <w:rsid w:val="00EE64F5"/>
    <w:rsid w:val="00EF397F"/>
    <w:rsid w:val="00EF640B"/>
    <w:rsid w:val="00EF755F"/>
    <w:rsid w:val="00F041EE"/>
    <w:rsid w:val="00F117BC"/>
    <w:rsid w:val="00F16616"/>
    <w:rsid w:val="00F16C82"/>
    <w:rsid w:val="00F17F95"/>
    <w:rsid w:val="00F2188C"/>
    <w:rsid w:val="00F23909"/>
    <w:rsid w:val="00F33068"/>
    <w:rsid w:val="00F36B2F"/>
    <w:rsid w:val="00F37217"/>
    <w:rsid w:val="00F41204"/>
    <w:rsid w:val="00F464BD"/>
    <w:rsid w:val="00F5662F"/>
    <w:rsid w:val="00F65331"/>
    <w:rsid w:val="00F72F96"/>
    <w:rsid w:val="00F74950"/>
    <w:rsid w:val="00F753A5"/>
    <w:rsid w:val="00F812BE"/>
    <w:rsid w:val="00F9000E"/>
    <w:rsid w:val="00FB1754"/>
    <w:rsid w:val="00FB49CF"/>
    <w:rsid w:val="00FC4CA1"/>
    <w:rsid w:val="00FD4E2F"/>
    <w:rsid w:val="00FD756B"/>
    <w:rsid w:val="14350465"/>
    <w:rsid w:val="15842C61"/>
    <w:rsid w:val="26A00CC7"/>
    <w:rsid w:val="4645646B"/>
    <w:rsid w:val="6B9964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fillcolor="white">
      <v:fill color="white"/>
    </o:shapedefaults>
    <o:shapelayout v:ext="edit">
      <o:idmap v:ext="edit" data="1"/>
    </o:shapelayout>
  </w:shapeDefaults>
  <w:doNotEmbedSmartTags/>
  <w:decimalSymbol w:val=","/>
  <w:listSeparator w:val=";"/>
  <w14:docId w14:val="51E73E3C"/>
  <w15:docId w15:val="{FBF0C616-9BEE-480C-8A2D-05281FF6D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nhideWhenUsed="1" w:qFormat="1"/>
    <w:lsdException w:name="head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nhideWhenUsed="1" w:qFormat="1"/>
    <w:lsdException w:name="line number" w:semiHidden="1" w:unhideWhenUsed="1"/>
    <w:lsdException w:name="page number" w:semiHidden="1" w:unhideWhenUsed="1"/>
    <w:lsdException w:name="endnote reference" w:uiPriority="0"/>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pPr>
    <w:rPr>
      <w:rFonts w:ascii="Calibri" w:eastAsia="Calibri" w:hAnsi="Calibri" w:cs="Calibri"/>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qFormat/>
    <w:rPr>
      <w:i/>
      <w:iCs/>
    </w:rPr>
  </w:style>
  <w:style w:type="character" w:styleId="Pogrubienie">
    <w:name w:val="Strong"/>
    <w:qFormat/>
    <w:rPr>
      <w:b/>
      <w:bCs/>
    </w:rPr>
  </w:style>
  <w:style w:type="character" w:styleId="Hipercze">
    <w:name w:val="Hyperlink"/>
    <w:rPr>
      <w:color w:val="0563C1"/>
      <w:u w:val="single"/>
    </w:rPr>
  </w:style>
  <w:style w:type="character" w:styleId="Odwoaniedokomentarza">
    <w:name w:val="annotation reference"/>
    <w:uiPriority w:val="99"/>
    <w:unhideWhenUsed/>
    <w:qFormat/>
    <w:rPr>
      <w:sz w:val="16"/>
      <w:szCs w:val="16"/>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WW8Num13z1">
    <w:name w:val="WW8Num13z1"/>
    <w:rPr>
      <w:rFonts w:ascii="Courier New" w:hAnsi="Courier New" w:cs="Courier New"/>
    </w:rPr>
  </w:style>
  <w:style w:type="character" w:customStyle="1" w:styleId="WW8Num14z1">
    <w:name w:val="WW8Num14z1"/>
    <w:rPr>
      <w:rFonts w:ascii="Courier New" w:hAnsi="Courier New" w:cs="Courier New"/>
    </w:rPr>
  </w:style>
  <w:style w:type="character" w:customStyle="1" w:styleId="WW8Num39z2">
    <w:name w:val="WW8Num39z2"/>
    <w:rPr>
      <w:rFonts w:ascii="Wingdings" w:hAnsi="Wingdings"/>
    </w:rPr>
  </w:style>
  <w:style w:type="character" w:customStyle="1" w:styleId="Domylnaczcionkaakapitu1">
    <w:name w:val="Domyślna czcionka akapitu1"/>
  </w:style>
  <w:style w:type="character" w:customStyle="1" w:styleId="WW8Num19z0">
    <w:name w:val="WW8Num19z0"/>
    <w:qFormat/>
    <w:rPr>
      <w:rFonts w:ascii="Symbol" w:hAnsi="Symbol"/>
    </w:rPr>
  </w:style>
  <w:style w:type="character" w:customStyle="1" w:styleId="WW-Absatz-Standardschriftart">
    <w:name w:val="WW-Absatz-Standardschriftart"/>
  </w:style>
  <w:style w:type="character" w:customStyle="1" w:styleId="WW8Num32z3">
    <w:name w:val="WW8Num32z3"/>
    <w:rPr>
      <w:rFonts w:ascii="Symbol" w:hAnsi="Symbol" w:cs="Symbol"/>
    </w:rPr>
  </w:style>
  <w:style w:type="character" w:customStyle="1" w:styleId="WW8Num13z0">
    <w:name w:val="WW8Num13z0"/>
    <w:qFormat/>
    <w:rPr>
      <w:rFonts w:ascii="Symbol" w:hAnsi="Symbol"/>
    </w:rPr>
  </w:style>
  <w:style w:type="character" w:customStyle="1" w:styleId="NagwekZnak1">
    <w:name w:val="Nagłówek Znak1"/>
    <w:link w:val="Nagwek"/>
    <w:uiPriority w:val="99"/>
    <w:rPr>
      <w:rFonts w:ascii="Calibri" w:eastAsia="Calibri" w:hAnsi="Calibri" w:cs="Mangal"/>
      <w:kern w:val="1"/>
      <w:sz w:val="24"/>
      <w:szCs w:val="21"/>
      <w:lang w:eastAsia="hi-IN" w:bidi="hi-IN"/>
    </w:rPr>
  </w:style>
  <w:style w:type="character" w:customStyle="1" w:styleId="WW8Num22z2">
    <w:name w:val="WW8Num22z2"/>
    <w:qFormat/>
    <w:rPr>
      <w:rFonts w:ascii="Wingdings" w:hAnsi="Wingdings"/>
    </w:rPr>
  </w:style>
  <w:style w:type="character" w:customStyle="1" w:styleId="StopkaZnak">
    <w:name w:val="Stopka Znak"/>
    <w:uiPriority w:val="99"/>
    <w:qFormat/>
    <w:rPr>
      <w:rFonts w:ascii="Calibri" w:eastAsia="Calibri" w:hAnsi="Calibri" w:cs="Times New Roman"/>
      <w:lang w:val="en-US"/>
    </w:rPr>
  </w:style>
  <w:style w:type="character" w:customStyle="1" w:styleId="WW8Num32z1">
    <w:name w:val="WW8Num32z1"/>
    <w:rPr>
      <w:rFonts w:ascii="Courier New" w:hAnsi="Courier New" w:cs="Courier New"/>
    </w:rPr>
  </w:style>
  <w:style w:type="character" w:customStyle="1" w:styleId="WW8Num1z0">
    <w:name w:val="WW8Num1z0"/>
    <w:rPr>
      <w:rFonts w:ascii="Symbol" w:hAnsi="Symbol"/>
    </w:rPr>
  </w:style>
  <w:style w:type="character" w:customStyle="1" w:styleId="WW8Num36z0">
    <w:name w:val="WW8Num36z0"/>
    <w:rPr>
      <w:rFonts w:ascii="Symbol" w:hAnsi="Symbol" w:cs="Symbol"/>
      <w:sz w:val="24"/>
    </w:rPr>
  </w:style>
  <w:style w:type="character" w:customStyle="1" w:styleId="WW8Num21z1">
    <w:name w:val="WW8Num21z1"/>
    <w:rPr>
      <w:rFonts w:ascii="Courier New" w:hAnsi="Courier New" w:cs="Courier New"/>
    </w:rPr>
  </w:style>
  <w:style w:type="character" w:customStyle="1" w:styleId="WW8Num8z0">
    <w:name w:val="WW8Num8z0"/>
    <w:rPr>
      <w:rFonts w:ascii="Symbol" w:hAnsi="Symbol"/>
    </w:rPr>
  </w:style>
  <w:style w:type="character" w:customStyle="1" w:styleId="WW8Num11z1">
    <w:name w:val="WW8Num11z1"/>
    <w:qFormat/>
    <w:rPr>
      <w:rFonts w:ascii="Courier New" w:hAnsi="Courier New" w:cs="Courier New"/>
    </w:rPr>
  </w:style>
  <w:style w:type="character" w:customStyle="1" w:styleId="TekstdymkaZnak2">
    <w:name w:val="Tekst dymka Znak2"/>
    <w:rPr>
      <w:rFonts w:ascii="Segoe UI" w:eastAsia="Calibri" w:hAnsi="Segoe UI" w:cs="Mangal"/>
      <w:kern w:val="1"/>
      <w:sz w:val="18"/>
      <w:szCs w:val="16"/>
      <w:lang w:eastAsia="hi-IN" w:bidi="hi-IN"/>
    </w:rPr>
  </w:style>
  <w:style w:type="character" w:customStyle="1" w:styleId="WW8Num20z2">
    <w:name w:val="WW8Num20z2"/>
    <w:qFormat/>
    <w:rPr>
      <w:rFonts w:ascii="Wingdings" w:hAnsi="Wingdings"/>
    </w:rPr>
  </w:style>
  <w:style w:type="character" w:customStyle="1" w:styleId="WW8Num20z0">
    <w:name w:val="WW8Num20z0"/>
    <w:rPr>
      <w:rFonts w:ascii="Symbol" w:hAnsi="Symbol"/>
    </w:rPr>
  </w:style>
  <w:style w:type="character" w:customStyle="1" w:styleId="WW8Num21z2">
    <w:name w:val="WW8Num21z2"/>
    <w:rPr>
      <w:rFonts w:ascii="Wingdings" w:hAnsi="Wingdings"/>
    </w:rPr>
  </w:style>
  <w:style w:type="character" w:customStyle="1" w:styleId="WW-Absatz-Standardschriftart1">
    <w:name w:val="WW-Absatz-Standardschriftart1"/>
  </w:style>
  <w:style w:type="character" w:customStyle="1" w:styleId="WW8Num28z0">
    <w:name w:val="WW8Num28z0"/>
    <w:qFormat/>
    <w:rPr>
      <w:rFonts w:ascii="Symbol" w:hAnsi="Symbol"/>
    </w:rPr>
  </w:style>
  <w:style w:type="character" w:customStyle="1" w:styleId="WW8Num37z2">
    <w:name w:val="WW8Num37z2"/>
    <w:qFormat/>
    <w:rPr>
      <w:rFonts w:ascii="Wingdings" w:hAnsi="Wingdings" w:cs="Wingdings"/>
    </w:rPr>
  </w:style>
  <w:style w:type="character" w:customStyle="1" w:styleId="WW8Num6z0">
    <w:name w:val="WW8Num6z0"/>
    <w:rPr>
      <w:rFonts w:ascii="Wingdings" w:hAnsi="Wingdings"/>
    </w:rPr>
  </w:style>
  <w:style w:type="character" w:customStyle="1" w:styleId="ListLabel18">
    <w:name w:val="ListLabel 18"/>
    <w:qFormat/>
    <w:rPr>
      <w:b w:val="0"/>
    </w:rPr>
  </w:style>
  <w:style w:type="character" w:customStyle="1" w:styleId="WW8Num45z1">
    <w:name w:val="WW8Num45z1"/>
    <w:qFormat/>
    <w:rPr>
      <w:rFonts w:cs="Times New Roman"/>
    </w:rPr>
  </w:style>
  <w:style w:type="character" w:customStyle="1" w:styleId="WW8Num10z1">
    <w:name w:val="WW8Num10z1"/>
    <w:rPr>
      <w:rFonts w:ascii="Courier New" w:hAnsi="Courier New" w:cs="Courier New"/>
    </w:rPr>
  </w:style>
  <w:style w:type="character" w:customStyle="1" w:styleId="WW8Num2z0">
    <w:name w:val="WW8Num2z0"/>
    <w:rPr>
      <w:rFonts w:ascii="Symbol" w:hAnsi="Symbol"/>
    </w:rPr>
  </w:style>
  <w:style w:type="character" w:customStyle="1" w:styleId="Znakiprzypiswkocowych">
    <w:name w:val="Znaki przypisów końcowych"/>
    <w:rPr>
      <w:vertAlign w:val="superscript"/>
    </w:rPr>
  </w:style>
  <w:style w:type="character" w:customStyle="1" w:styleId="WW8Num23z0">
    <w:name w:val="WW8Num23z0"/>
    <w:rPr>
      <w:rFonts w:ascii="Symbol" w:hAnsi="Symbol"/>
    </w:rPr>
  </w:style>
  <w:style w:type="character" w:customStyle="1" w:styleId="TematkomentarzaZnak">
    <w:name w:val="Temat komentarza Znak"/>
    <w:rPr>
      <w:rFonts w:ascii="Calibri" w:eastAsia="Calibri" w:hAnsi="Calibri" w:cs="Times New Roman"/>
      <w:b/>
      <w:bCs/>
      <w:sz w:val="20"/>
      <w:szCs w:val="20"/>
      <w:lang w:val="en-US"/>
    </w:rPr>
  </w:style>
  <w:style w:type="character" w:customStyle="1" w:styleId="WW8Num39z0">
    <w:name w:val="WW8Num39z0"/>
    <w:qFormat/>
    <w:rPr>
      <w:rFonts w:ascii="Symbol" w:hAnsi="Symbol"/>
    </w:rPr>
  </w:style>
  <w:style w:type="character" w:customStyle="1" w:styleId="WW8Num15z0">
    <w:name w:val="WW8Num15z0"/>
    <w:rPr>
      <w:b w:val="0"/>
    </w:rPr>
  </w:style>
  <w:style w:type="character" w:customStyle="1" w:styleId="TekstdymkaZnak1">
    <w:name w:val="Tekst dymka Znak1"/>
    <w:qFormat/>
    <w:rPr>
      <w:rFonts w:ascii="Tahoma" w:eastAsia="Calibri" w:hAnsi="Tahoma" w:cs="Tahoma"/>
      <w:sz w:val="16"/>
      <w:szCs w:val="16"/>
    </w:rPr>
  </w:style>
  <w:style w:type="character" w:customStyle="1" w:styleId="WW8Num40z1">
    <w:name w:val="WW8Num40z1"/>
    <w:qFormat/>
    <w:rPr>
      <w:rFonts w:ascii="Courier New" w:hAnsi="Courier New" w:cs="Courier New"/>
    </w:rPr>
  </w:style>
  <w:style w:type="character" w:customStyle="1" w:styleId="ListLabel16">
    <w:name w:val="ListLabel 16"/>
    <w:rPr>
      <w:rFonts w:ascii="Times New Roman" w:eastAsia="Times New Roman" w:hAnsi="Times New Roman"/>
      <w:sz w:val="24"/>
      <w:szCs w:val="24"/>
    </w:rPr>
  </w:style>
  <w:style w:type="character" w:customStyle="1" w:styleId="WW8Num35z0">
    <w:name w:val="WW8Num35z0"/>
    <w:qFormat/>
    <w:rPr>
      <w:rFonts w:cs="Times New Roman"/>
      <w:sz w:val="24"/>
      <w:szCs w:val="24"/>
    </w:rPr>
  </w:style>
  <w:style w:type="character" w:customStyle="1" w:styleId="WW8Num4z0">
    <w:name w:val="WW8Num4z0"/>
    <w:rPr>
      <w:rFonts w:ascii="Wingdings" w:hAnsi="Wingdings"/>
    </w:rPr>
  </w:style>
  <w:style w:type="character" w:customStyle="1" w:styleId="WW8Num8z2">
    <w:name w:val="WW8Num8z2"/>
    <w:rPr>
      <w:rFonts w:ascii="Wingdings" w:hAnsi="Wingdings"/>
    </w:rPr>
  </w:style>
  <w:style w:type="character" w:customStyle="1" w:styleId="WW-Znakiprzypiswkocowych">
    <w:name w:val="WW-Znaki przypisów końcowych"/>
  </w:style>
  <w:style w:type="character" w:customStyle="1" w:styleId="WW8Num23z2">
    <w:name w:val="WW8Num23z2"/>
    <w:rPr>
      <w:rFonts w:ascii="Wingdings" w:hAnsi="Wingdings"/>
    </w:rPr>
  </w:style>
  <w:style w:type="character" w:customStyle="1" w:styleId="WW8Num10z0">
    <w:name w:val="WW8Num10z0"/>
    <w:qFormat/>
    <w:rPr>
      <w:rFonts w:ascii="Symbol" w:hAnsi="Symbol"/>
    </w:rPr>
  </w:style>
  <w:style w:type="character" w:customStyle="1" w:styleId="WW8Num29z3">
    <w:name w:val="WW8Num29z3"/>
    <w:qFormat/>
    <w:rPr>
      <w:rFonts w:ascii="Symbol" w:hAnsi="Symbol"/>
    </w:rPr>
  </w:style>
  <w:style w:type="character" w:customStyle="1" w:styleId="WW8Num39z1">
    <w:name w:val="WW8Num39z1"/>
    <w:rPr>
      <w:rFonts w:ascii="Courier New" w:hAnsi="Courier New" w:cs="Courier New"/>
    </w:rPr>
  </w:style>
  <w:style w:type="character" w:customStyle="1" w:styleId="WW8Num13z2">
    <w:name w:val="WW8Num13z2"/>
    <w:qFormat/>
    <w:rPr>
      <w:rFonts w:ascii="Wingdings" w:hAnsi="Wingdings"/>
    </w:rPr>
  </w:style>
  <w:style w:type="character" w:customStyle="1" w:styleId="TekstkomentarzaZnak">
    <w:name w:val="Tekst komentarza Znak"/>
    <w:qFormat/>
    <w:rPr>
      <w:rFonts w:ascii="Calibri" w:eastAsia="Calibri" w:hAnsi="Calibri" w:cs="Times New Roman"/>
      <w:sz w:val="20"/>
      <w:szCs w:val="20"/>
      <w:lang w:val="en-US"/>
    </w:rPr>
  </w:style>
  <w:style w:type="character" w:customStyle="1" w:styleId="WW8Num10z2">
    <w:name w:val="WW8Num10z2"/>
    <w:rPr>
      <w:rFonts w:ascii="Wingdings" w:hAnsi="Wingdings"/>
    </w:rPr>
  </w:style>
  <w:style w:type="character" w:customStyle="1" w:styleId="WW8Num19z1">
    <w:name w:val="WW8Num19z1"/>
    <w:rPr>
      <w:rFonts w:ascii="Courier New" w:hAnsi="Courier New" w:cs="Courier New"/>
    </w:rPr>
  </w:style>
  <w:style w:type="character" w:customStyle="1" w:styleId="WW8Num44z2">
    <w:name w:val="WW8Num44z2"/>
    <w:qFormat/>
    <w:rPr>
      <w:rFonts w:ascii="Wingdings" w:hAnsi="Wingdings"/>
    </w:rPr>
  </w:style>
  <w:style w:type="character" w:customStyle="1" w:styleId="Ppogrubienie">
    <w:name w:val="_P_ – pogrubienie"/>
    <w:qFormat/>
    <w:rPr>
      <w:b/>
    </w:rPr>
  </w:style>
  <w:style w:type="character" w:customStyle="1" w:styleId="WW8Num33z0">
    <w:name w:val="WW8Num33z0"/>
    <w:qFormat/>
    <w:rPr>
      <w:b/>
      <w:sz w:val="24"/>
    </w:rPr>
  </w:style>
  <w:style w:type="character" w:customStyle="1" w:styleId="WW8Num32z2">
    <w:name w:val="WW8Num32z2"/>
    <w:rPr>
      <w:rFonts w:ascii="Wingdings" w:hAnsi="Wingdings" w:cs="Wingdings"/>
    </w:rPr>
  </w:style>
  <w:style w:type="character" w:customStyle="1" w:styleId="WW8Num35z2">
    <w:name w:val="WW8Num35z2"/>
    <w:rPr>
      <w:rFonts w:ascii="Wingdings" w:hAnsi="Wingdings"/>
    </w:rPr>
  </w:style>
  <w:style w:type="character" w:customStyle="1" w:styleId="WW8Num23z1">
    <w:name w:val="WW8Num23z1"/>
    <w:rPr>
      <w:rFonts w:ascii="Courier New" w:hAnsi="Courier New" w:cs="Courier New"/>
    </w:rPr>
  </w:style>
  <w:style w:type="character" w:customStyle="1" w:styleId="WW-Znakiprzypiswdolnych">
    <w:name w:val="WW-Znaki przypisów dolnych"/>
  </w:style>
  <w:style w:type="character" w:customStyle="1" w:styleId="WW8Num1z1">
    <w:name w:val="WW8Num1z1"/>
    <w:rPr>
      <w:rFonts w:ascii="Courier New" w:hAnsi="Courier New" w:cs="Courier New"/>
    </w:rPr>
  </w:style>
  <w:style w:type="character" w:customStyle="1" w:styleId="WW8Num24z2">
    <w:name w:val="WW8Num24z2"/>
    <w:qFormat/>
    <w:rPr>
      <w:rFonts w:ascii="Wingdings" w:hAnsi="Wingdings"/>
    </w:rPr>
  </w:style>
  <w:style w:type="character" w:customStyle="1" w:styleId="WW8Num26z2">
    <w:name w:val="WW8Num26z2"/>
    <w:rPr>
      <w:rFonts w:ascii="Wingdings" w:hAnsi="Wingdings"/>
    </w:rPr>
  </w:style>
  <w:style w:type="character" w:customStyle="1" w:styleId="WW8Num37z1">
    <w:name w:val="WW8Num37z1"/>
    <w:rPr>
      <w:rFonts w:ascii="Courier New" w:hAnsi="Courier New" w:cs="Courier New"/>
    </w:rPr>
  </w:style>
  <w:style w:type="character" w:customStyle="1" w:styleId="WW8Num9z1">
    <w:name w:val="WW8Num9z1"/>
    <w:rPr>
      <w:rFonts w:ascii="Courier New" w:hAnsi="Courier New" w:cs="Courier New"/>
    </w:rPr>
  </w:style>
  <w:style w:type="character" w:customStyle="1" w:styleId="WW8Num31z2">
    <w:name w:val="WW8Num31z2"/>
    <w:rPr>
      <w:rFonts w:ascii="Wingdings" w:hAnsi="Wingdings" w:cs="Wingdings"/>
    </w:rPr>
  </w:style>
  <w:style w:type="character" w:customStyle="1" w:styleId="WW8Num36z2">
    <w:name w:val="WW8Num36z2"/>
    <w:rPr>
      <w:rFonts w:ascii="Wingdings" w:hAnsi="Wingdings" w:cs="Wingdings"/>
    </w:rPr>
  </w:style>
  <w:style w:type="character" w:customStyle="1" w:styleId="WW8Num26z1">
    <w:name w:val="WW8Num26z1"/>
    <w:rPr>
      <w:rFonts w:ascii="Courier New" w:hAnsi="Courier New" w:cs="Courier New"/>
    </w:rPr>
  </w:style>
  <w:style w:type="character" w:customStyle="1" w:styleId="FootnoteCharacters">
    <w:name w:val="Footnote Characters"/>
    <w:qFormat/>
    <w:rPr>
      <w:vertAlign w:val="superscript"/>
    </w:rPr>
  </w:style>
  <w:style w:type="character" w:customStyle="1" w:styleId="WW8Num14z2">
    <w:name w:val="WW8Num14z2"/>
    <w:rPr>
      <w:rFonts w:ascii="Wingdings" w:hAnsi="Wingdings"/>
    </w:rPr>
  </w:style>
  <w:style w:type="character" w:customStyle="1" w:styleId="WW8Num30z2">
    <w:name w:val="WW8Num30z2"/>
    <w:rPr>
      <w:rFonts w:ascii="Wingdings" w:hAnsi="Wingdings"/>
    </w:rPr>
  </w:style>
  <w:style w:type="character" w:customStyle="1" w:styleId="WW8Num24z0">
    <w:name w:val="WW8Num24z0"/>
    <w:rPr>
      <w:rFonts w:ascii="Symbol" w:hAnsi="Symbol"/>
    </w:rPr>
  </w:style>
  <w:style w:type="character" w:customStyle="1" w:styleId="WW8Num11z0">
    <w:name w:val="WW8Num11z0"/>
    <w:qFormat/>
    <w:rPr>
      <w:rFonts w:ascii="Symbol" w:hAnsi="Symbol"/>
    </w:rPr>
  </w:style>
  <w:style w:type="character" w:customStyle="1" w:styleId="WW8Num37z0">
    <w:name w:val="WW8Num37z0"/>
    <w:qFormat/>
    <w:rPr>
      <w:rFonts w:ascii="Symbol" w:hAnsi="Symbol" w:cs="Symbol"/>
    </w:rPr>
  </w:style>
  <w:style w:type="character" w:customStyle="1" w:styleId="WW8Num45z0">
    <w:name w:val="WW8Num45z0"/>
    <w:rPr>
      <w:rFonts w:cs="Times New Roman"/>
      <w:b w:val="0"/>
    </w:rPr>
  </w:style>
  <w:style w:type="character" w:customStyle="1" w:styleId="Pogrubienie2">
    <w:name w:val="Pogrubienie2"/>
    <w:rPr>
      <w:b/>
      <w:bCs/>
    </w:rPr>
  </w:style>
  <w:style w:type="character" w:customStyle="1" w:styleId="WW8Num36z3">
    <w:name w:val="WW8Num36z3"/>
    <w:rPr>
      <w:rFonts w:ascii="Symbol" w:hAnsi="Symbol" w:cs="Symbol"/>
    </w:rPr>
  </w:style>
  <w:style w:type="character" w:customStyle="1" w:styleId="WW8Num44z0">
    <w:name w:val="WW8Num44z0"/>
    <w:rPr>
      <w:rFonts w:ascii="Symbol" w:hAnsi="Symbol"/>
    </w:rPr>
  </w:style>
  <w:style w:type="character" w:customStyle="1" w:styleId="WW8Num30z0">
    <w:name w:val="WW8Num30z0"/>
    <w:rPr>
      <w:rFonts w:ascii="Symbol" w:hAnsi="Symbol"/>
    </w:rPr>
  </w:style>
  <w:style w:type="character" w:customStyle="1" w:styleId="WW-Absatz-Standardschriftart11">
    <w:name w:val="WW-Absatz-Standardschriftart11"/>
  </w:style>
  <w:style w:type="character" w:customStyle="1" w:styleId="WW8Num8z1">
    <w:name w:val="WW8Num8z1"/>
    <w:rPr>
      <w:rFonts w:ascii="Courier New" w:hAnsi="Courier New" w:cs="Courier New"/>
    </w:rPr>
  </w:style>
  <w:style w:type="character" w:customStyle="1" w:styleId="Odwoanieprzypisudolnego1">
    <w:name w:val="Odwołanie przypisu dolnego1"/>
    <w:rPr>
      <w:vertAlign w:val="superscript"/>
    </w:rPr>
  </w:style>
  <w:style w:type="character" w:customStyle="1" w:styleId="WW8Num2z2">
    <w:name w:val="WW8Num2z2"/>
    <w:rPr>
      <w:rFonts w:ascii="Wingdings" w:hAnsi="Wingdings"/>
    </w:rPr>
  </w:style>
  <w:style w:type="character" w:customStyle="1" w:styleId="TematkomentarzaZnak2">
    <w:name w:val="Temat komentarza Znak2"/>
    <w:link w:val="Tematkomentarza"/>
    <w:uiPriority w:val="99"/>
    <w:semiHidden/>
    <w:rPr>
      <w:rFonts w:ascii="Calibri" w:eastAsia="Calibri" w:hAnsi="Calibri" w:cs="Mangal"/>
      <w:b/>
      <w:bCs/>
      <w:kern w:val="1"/>
      <w:szCs w:val="18"/>
      <w:lang w:eastAsia="hi-IN" w:bidi="hi-IN"/>
    </w:rPr>
  </w:style>
  <w:style w:type="character" w:customStyle="1" w:styleId="WW8Num5z0">
    <w:name w:val="WW8Num5z0"/>
    <w:rPr>
      <w:rFonts w:ascii="Symbol" w:hAnsi="Symbol"/>
    </w:rPr>
  </w:style>
  <w:style w:type="character" w:customStyle="1" w:styleId="WW8Num22z3">
    <w:name w:val="WW8Num22z3"/>
    <w:rPr>
      <w:rFonts w:ascii="Symbol" w:hAnsi="Symbol"/>
    </w:rPr>
  </w:style>
  <w:style w:type="character" w:customStyle="1" w:styleId="WW8Num35z3">
    <w:name w:val="WW8Num35z3"/>
    <w:rPr>
      <w:rFonts w:ascii="Symbol" w:hAnsi="Symbol"/>
    </w:rPr>
  </w:style>
  <w:style w:type="character" w:customStyle="1" w:styleId="WW8Num41z0">
    <w:name w:val="WW8Num41z0"/>
    <w:rPr>
      <w:rFonts w:ascii="Wingdings" w:hAnsi="Wingdings"/>
    </w:rPr>
  </w:style>
  <w:style w:type="character" w:customStyle="1" w:styleId="WW8Num31z1">
    <w:name w:val="WW8Num31z1"/>
    <w:qFormat/>
    <w:rPr>
      <w:rFonts w:ascii="Courier New" w:hAnsi="Courier New" w:cs="Courier New"/>
    </w:rPr>
  </w:style>
  <w:style w:type="character" w:customStyle="1" w:styleId="DefaultParagraphFont1">
    <w:name w:val="Default Paragraph Font1"/>
  </w:style>
  <w:style w:type="character" w:customStyle="1" w:styleId="WW8Num29z1">
    <w:name w:val="WW8Num29z1"/>
    <w:qFormat/>
    <w:rPr>
      <w:rFonts w:ascii="Courier New" w:hAnsi="Courier New" w:cs="Courier New"/>
    </w:rPr>
  </w:style>
  <w:style w:type="character" w:customStyle="1" w:styleId="ListLabel17">
    <w:name w:val="ListLabel 17"/>
    <w:qFormat/>
    <w:rPr>
      <w:rFonts w:cs="Courier New"/>
    </w:rPr>
  </w:style>
  <w:style w:type="character" w:customStyle="1" w:styleId="ListLabel19">
    <w:name w:val="ListLabel 19"/>
    <w:qFormat/>
    <w:rPr>
      <w:rFonts w:cs="Symbol"/>
      <w:sz w:val="24"/>
    </w:rPr>
  </w:style>
  <w:style w:type="character" w:customStyle="1" w:styleId="WW8Num40z3">
    <w:name w:val="WW8Num40z3"/>
    <w:rPr>
      <w:rFonts w:ascii="Symbol" w:hAnsi="Symbol" w:cs="Symbol"/>
    </w:rPr>
  </w:style>
  <w:style w:type="character" w:customStyle="1" w:styleId="WW8Num32z0">
    <w:name w:val="WW8Num32z0"/>
    <w:rPr>
      <w:rFonts w:ascii="Symbol" w:hAnsi="Symbol" w:cs="Symbol"/>
      <w:sz w:val="24"/>
    </w:rPr>
  </w:style>
  <w:style w:type="character" w:customStyle="1" w:styleId="WW8Num44z1">
    <w:name w:val="WW8Num44z1"/>
    <w:rPr>
      <w:rFonts w:ascii="Courier New" w:hAnsi="Courier New" w:cs="Courier New"/>
    </w:rPr>
  </w:style>
  <w:style w:type="character" w:customStyle="1" w:styleId="WW8Num1z2">
    <w:name w:val="WW8Num1z2"/>
    <w:rPr>
      <w:rFonts w:ascii="Wingdings" w:hAnsi="Wingdings"/>
    </w:rPr>
  </w:style>
  <w:style w:type="character" w:customStyle="1" w:styleId="Tekstpodstawowy2Znak">
    <w:name w:val="Tekst podstawowy 2 Znak"/>
    <w:link w:val="Tekstpodstawowy2"/>
    <w:uiPriority w:val="99"/>
    <w:semiHidden/>
    <w:qFormat/>
    <w:rPr>
      <w:rFonts w:ascii="Calibri" w:eastAsia="Calibri" w:hAnsi="Calibri" w:cs="Mangal"/>
      <w:kern w:val="1"/>
      <w:sz w:val="24"/>
      <w:szCs w:val="21"/>
      <w:lang w:eastAsia="hi-IN" w:bidi="hi-IN"/>
    </w:rPr>
  </w:style>
  <w:style w:type="character" w:customStyle="1" w:styleId="WW8Num22z1">
    <w:name w:val="WW8Num22z1"/>
    <w:qFormat/>
    <w:rPr>
      <w:rFonts w:ascii="Courier New" w:hAnsi="Courier New" w:cs="Courier New"/>
    </w:rPr>
  </w:style>
  <w:style w:type="character" w:customStyle="1" w:styleId="WW8Num20z1">
    <w:name w:val="WW8Num20z1"/>
    <w:rPr>
      <w:rFonts w:ascii="Courier New" w:hAnsi="Courier New" w:cs="Courier New"/>
    </w:rPr>
  </w:style>
  <w:style w:type="character" w:customStyle="1" w:styleId="ListLabel23">
    <w:name w:val="ListLabel 23"/>
    <w:qFormat/>
    <w:rPr>
      <w:rFonts w:cs="Times New Roman"/>
      <w:i w:val="0"/>
      <w:sz w:val="24"/>
      <w:szCs w:val="24"/>
    </w:rPr>
  </w:style>
  <w:style w:type="character" w:customStyle="1" w:styleId="StopkaZnak1">
    <w:name w:val="Stopka Znak1"/>
    <w:link w:val="Stopka"/>
    <w:uiPriority w:val="99"/>
    <w:locked/>
    <w:rPr>
      <w:rFonts w:ascii="Calibri" w:eastAsia="Calibri" w:hAnsi="Calibri" w:cs="Calibri"/>
      <w:kern w:val="1"/>
      <w:sz w:val="24"/>
      <w:szCs w:val="24"/>
      <w:lang w:val="en-US" w:eastAsia="hi-IN" w:bidi="hi-IN"/>
    </w:rPr>
  </w:style>
  <w:style w:type="character" w:customStyle="1" w:styleId="WW8Num28z2">
    <w:name w:val="WW8Num28z2"/>
    <w:rPr>
      <w:rFonts w:ascii="Wingdings" w:hAnsi="Wingdings"/>
    </w:rPr>
  </w:style>
  <w:style w:type="character" w:customStyle="1" w:styleId="WW8Num36z1">
    <w:name w:val="WW8Num36z1"/>
    <w:rPr>
      <w:rFonts w:ascii="Courier New" w:hAnsi="Courier New" w:cs="Courier New"/>
    </w:rPr>
  </w:style>
  <w:style w:type="character" w:customStyle="1" w:styleId="WW8Num30z1">
    <w:name w:val="WW8Num30z1"/>
    <w:rPr>
      <w:rFonts w:ascii="Courier New" w:hAnsi="Courier New" w:cs="Courier New"/>
    </w:rPr>
  </w:style>
  <w:style w:type="character" w:customStyle="1" w:styleId="WW8Num40z0">
    <w:name w:val="WW8Num40z0"/>
    <w:rPr>
      <w:rFonts w:ascii="Symbol" w:hAnsi="Symbol"/>
    </w:rPr>
  </w:style>
  <w:style w:type="character" w:customStyle="1" w:styleId="WW8Num2z1">
    <w:name w:val="WW8Num2z1"/>
    <w:rPr>
      <w:rFonts w:ascii="Courier New" w:hAnsi="Courier New" w:cs="Courier New"/>
    </w:rPr>
  </w:style>
  <w:style w:type="character" w:customStyle="1" w:styleId="TematkomentarzaZnak1">
    <w:name w:val="Temat komentarza Znak1"/>
    <w:qFormat/>
    <w:rPr>
      <w:rFonts w:ascii="Calibri" w:eastAsia="Calibri" w:hAnsi="Calibri" w:cs="Times New Roman"/>
      <w:b/>
      <w:bCs/>
      <w:sz w:val="20"/>
      <w:szCs w:val="20"/>
    </w:rPr>
  </w:style>
  <w:style w:type="character" w:customStyle="1" w:styleId="TekstdymkaZnak">
    <w:name w:val="Tekst dymka Znak"/>
    <w:qFormat/>
    <w:rPr>
      <w:rFonts w:ascii="Tahoma" w:eastAsia="Calibri" w:hAnsi="Tahoma" w:cs="Times New Roman"/>
      <w:sz w:val="16"/>
      <w:szCs w:val="16"/>
      <w:lang w:val="en-US"/>
    </w:rPr>
  </w:style>
  <w:style w:type="character" w:customStyle="1" w:styleId="WW8Num11z2">
    <w:name w:val="WW8Num11z2"/>
    <w:qFormat/>
    <w:rPr>
      <w:rFonts w:ascii="Wingdings" w:hAnsi="Wingdings"/>
    </w:rPr>
  </w:style>
  <w:style w:type="character" w:customStyle="1" w:styleId="WW8Num9z0">
    <w:name w:val="WW8Num9z0"/>
    <w:rPr>
      <w:rFonts w:ascii="Wingdings" w:hAnsi="Wingdings"/>
    </w:rPr>
  </w:style>
  <w:style w:type="character" w:customStyle="1" w:styleId="ListLabel20">
    <w:name w:val="ListLabel 20"/>
    <w:qFormat/>
    <w:rPr>
      <w:rFonts w:cs="Wingdings"/>
    </w:rPr>
  </w:style>
  <w:style w:type="character" w:customStyle="1" w:styleId="WW8Num34z0">
    <w:name w:val="WW8Num34z0"/>
    <w:rPr>
      <w:rFonts w:cs="Times New Roman"/>
      <w:i w:val="0"/>
      <w:sz w:val="24"/>
      <w:szCs w:val="24"/>
    </w:rPr>
  </w:style>
  <w:style w:type="character" w:customStyle="1" w:styleId="Absatz-Standardschriftart">
    <w:name w:val="Absatz-Standardschriftart"/>
    <w:qFormat/>
  </w:style>
  <w:style w:type="character" w:customStyle="1" w:styleId="WW8Num35z1">
    <w:name w:val="WW8Num35z1"/>
    <w:rPr>
      <w:rFonts w:ascii="Courier New" w:hAnsi="Courier New" w:cs="Courier New"/>
    </w:rPr>
  </w:style>
  <w:style w:type="character" w:customStyle="1" w:styleId="WW8Num25z0">
    <w:name w:val="WW8Num25z0"/>
    <w:rPr>
      <w:rFonts w:ascii="Symbol" w:hAnsi="Symbol"/>
    </w:rPr>
  </w:style>
  <w:style w:type="character" w:customStyle="1" w:styleId="WW8Num21z0">
    <w:name w:val="WW8Num21z0"/>
    <w:rPr>
      <w:rFonts w:ascii="Symbol" w:hAnsi="Symbol"/>
    </w:rPr>
  </w:style>
  <w:style w:type="character" w:customStyle="1" w:styleId="ListLabel22">
    <w:name w:val="ListLabel 22"/>
    <w:qFormat/>
    <w:rPr>
      <w:b/>
      <w:sz w:val="24"/>
    </w:rPr>
  </w:style>
  <w:style w:type="character" w:customStyle="1" w:styleId="WW-Znakiprzypiswkocowych1">
    <w:name w:val="WW-Znaki przypisów końcowych1"/>
    <w:rPr>
      <w:vertAlign w:val="superscript"/>
    </w:rPr>
  </w:style>
  <w:style w:type="character" w:customStyle="1" w:styleId="WW8Num40z2">
    <w:name w:val="WW8Num40z2"/>
    <w:qFormat/>
    <w:rPr>
      <w:rFonts w:ascii="Wingdings" w:hAnsi="Wingdings" w:cs="Wingdings"/>
    </w:rPr>
  </w:style>
  <w:style w:type="character" w:customStyle="1" w:styleId="TekstkomentarzaZnak1">
    <w:name w:val="Tekst komentarza Znak1"/>
    <w:rPr>
      <w:rFonts w:ascii="Calibri" w:eastAsia="Calibri" w:hAnsi="Calibri" w:cs="Times New Roman"/>
      <w:sz w:val="20"/>
      <w:szCs w:val="20"/>
    </w:rPr>
  </w:style>
  <w:style w:type="character" w:customStyle="1" w:styleId="IGindeksgrny">
    <w:name w:val="_IG_ – indeks górny"/>
    <w:rPr>
      <w:b w:val="0"/>
      <w:i w:val="0"/>
      <w:vanish w:val="0"/>
      <w:spacing w:val="0"/>
      <w:vertAlign w:val="superscript"/>
    </w:rPr>
  </w:style>
  <w:style w:type="character" w:customStyle="1" w:styleId="WW8Num31z0">
    <w:name w:val="WW8Num31z0"/>
    <w:rPr>
      <w:rFonts w:ascii="Symbol" w:hAnsi="Symbol" w:cs="Symbol"/>
      <w:sz w:val="24"/>
    </w:rPr>
  </w:style>
  <w:style w:type="character" w:customStyle="1" w:styleId="WW8Num19z2">
    <w:name w:val="WW8Num19z2"/>
    <w:qFormat/>
    <w:rPr>
      <w:rFonts w:ascii="Wingdings" w:hAnsi="Wingdings"/>
    </w:rPr>
  </w:style>
  <w:style w:type="character" w:customStyle="1" w:styleId="TekstkomentarzaZnak2">
    <w:name w:val="Tekst komentarza Znak2"/>
    <w:link w:val="Tekstkomentarza"/>
    <w:uiPriority w:val="99"/>
    <w:semiHidden/>
    <w:rPr>
      <w:rFonts w:ascii="Calibri" w:eastAsia="Calibri" w:hAnsi="Calibri" w:cs="Mangal"/>
      <w:kern w:val="1"/>
      <w:szCs w:val="18"/>
      <w:lang w:eastAsia="hi-IN" w:bidi="hi-IN"/>
    </w:rPr>
  </w:style>
  <w:style w:type="character" w:customStyle="1" w:styleId="WW8Num29z2">
    <w:name w:val="WW8Num29z2"/>
    <w:rPr>
      <w:rFonts w:ascii="Wingdings" w:hAnsi="Wingdings"/>
    </w:rPr>
  </w:style>
  <w:style w:type="character" w:customStyle="1" w:styleId="ListLabel21">
    <w:name w:val="ListLabel 21"/>
    <w:rPr>
      <w:rFonts w:cs="Symbol"/>
    </w:rPr>
  </w:style>
  <w:style w:type="character" w:customStyle="1" w:styleId="ListLabel24">
    <w:name w:val="ListLabel 24"/>
    <w:qFormat/>
    <w:rPr>
      <w:rFonts w:cs="Times New Roman"/>
      <w:sz w:val="24"/>
      <w:szCs w:val="24"/>
    </w:rPr>
  </w:style>
  <w:style w:type="character" w:customStyle="1" w:styleId="WW8Num26z0">
    <w:name w:val="WW8Num26z0"/>
    <w:rPr>
      <w:rFonts w:ascii="Symbol" w:hAnsi="Symbol"/>
    </w:rPr>
  </w:style>
  <w:style w:type="character" w:customStyle="1" w:styleId="WW8Num28z1">
    <w:name w:val="WW8Num28z1"/>
    <w:qFormat/>
    <w:rPr>
      <w:rFonts w:ascii="Courier New" w:hAnsi="Courier New" w:cs="Courier New"/>
    </w:rPr>
  </w:style>
  <w:style w:type="character" w:customStyle="1" w:styleId="NagwekZnak">
    <w:name w:val="Nagłówek Znak"/>
    <w:rPr>
      <w:rFonts w:ascii="Calibri" w:eastAsia="Calibri" w:hAnsi="Calibri" w:cs="Times New Roman"/>
      <w:lang w:val="en-US"/>
    </w:rPr>
  </w:style>
  <w:style w:type="character" w:customStyle="1" w:styleId="WW8Num31z3">
    <w:name w:val="WW8Num31z3"/>
    <w:rPr>
      <w:rFonts w:ascii="Symbol" w:hAnsi="Symbol" w:cs="Symbol"/>
    </w:rPr>
  </w:style>
  <w:style w:type="character" w:customStyle="1" w:styleId="WW8Num25z2">
    <w:name w:val="WW8Num25z2"/>
    <w:rPr>
      <w:rFonts w:ascii="Wingdings" w:hAnsi="Wingdings"/>
    </w:rPr>
  </w:style>
  <w:style w:type="character" w:customStyle="1" w:styleId="Odwoaniedokomentarza1">
    <w:name w:val="Odwołanie do komentarza1"/>
    <w:rPr>
      <w:sz w:val="16"/>
      <w:szCs w:val="16"/>
    </w:rPr>
  </w:style>
  <w:style w:type="character" w:customStyle="1" w:styleId="WW8Num25z1">
    <w:name w:val="WW8Num25z1"/>
    <w:rPr>
      <w:rFonts w:ascii="Courier New" w:hAnsi="Courier New" w:cs="Courier New"/>
    </w:rPr>
  </w:style>
  <w:style w:type="character" w:customStyle="1" w:styleId="WW8Num9z3">
    <w:name w:val="WW8Num9z3"/>
    <w:rPr>
      <w:rFonts w:ascii="Symbol" w:hAnsi="Symbol"/>
    </w:rPr>
  </w:style>
  <w:style w:type="character" w:customStyle="1" w:styleId="WW8Num14z0">
    <w:name w:val="WW8Num14z0"/>
    <w:rPr>
      <w:rFonts w:ascii="Symbol" w:hAnsi="Symbol"/>
    </w:rPr>
  </w:style>
  <w:style w:type="character" w:customStyle="1" w:styleId="TekstprzypisukocowegoZnak">
    <w:name w:val="Tekst przypisu końcowego Znak"/>
    <w:link w:val="Tekstprzypisukocowego"/>
    <w:uiPriority w:val="99"/>
    <w:semiHidden/>
    <w:qFormat/>
    <w:rPr>
      <w:rFonts w:ascii="Calibri" w:eastAsia="Calibri" w:hAnsi="Calibri" w:cs="Mangal"/>
      <w:kern w:val="1"/>
      <w:szCs w:val="18"/>
      <w:lang w:eastAsia="hi-IN" w:bidi="hi-IN"/>
    </w:rPr>
  </w:style>
  <w:style w:type="character" w:customStyle="1" w:styleId="WW8Num24z1">
    <w:name w:val="WW8Num24z1"/>
    <w:rPr>
      <w:rFonts w:ascii="Courier New" w:hAnsi="Courier New" w:cs="Courier New"/>
    </w:rPr>
  </w:style>
  <w:style w:type="character" w:customStyle="1" w:styleId="Znakiprzypiswdolnych">
    <w:name w:val="Znaki przypisów dolnych"/>
    <w:rPr>
      <w:vertAlign w:val="superscript"/>
    </w:rPr>
  </w:style>
  <w:style w:type="character" w:customStyle="1" w:styleId="TekstprzypisudolnegoZnak">
    <w:name w:val="Tekst przypisu dolnego Znak"/>
    <w:rPr>
      <w:rFonts w:ascii="Calibri" w:eastAsia="Calibri" w:hAnsi="Calibri" w:cs="Times New Roman"/>
      <w:sz w:val="20"/>
      <w:szCs w:val="20"/>
      <w:lang w:val="en-US"/>
    </w:rPr>
  </w:style>
  <w:style w:type="paragraph" w:styleId="Tekstpodstawowy">
    <w:name w:val="Body Text"/>
    <w:basedOn w:val="Normalny"/>
    <w:pPr>
      <w:spacing w:after="120"/>
    </w:pPr>
  </w:style>
  <w:style w:type="paragraph" w:styleId="Tekstprzypisukocowego">
    <w:name w:val="endnote text"/>
    <w:basedOn w:val="Normalny"/>
    <w:link w:val="TekstprzypisukocowegoZnak"/>
    <w:uiPriority w:val="99"/>
    <w:unhideWhenUsed/>
    <w:rPr>
      <w:rFonts w:cs="Mangal"/>
      <w:sz w:val="20"/>
      <w:szCs w:val="18"/>
    </w:rPr>
  </w:style>
  <w:style w:type="paragraph" w:styleId="Tekstpodstawowy2">
    <w:name w:val="Body Text 2"/>
    <w:basedOn w:val="Normalny"/>
    <w:link w:val="Tekstpodstawowy2Znak"/>
    <w:uiPriority w:val="99"/>
    <w:unhideWhenUsed/>
    <w:pPr>
      <w:spacing w:after="120" w:line="480" w:lineRule="auto"/>
    </w:pPr>
    <w:rPr>
      <w:rFonts w:cs="Mangal"/>
      <w:szCs w:val="21"/>
    </w:rPr>
  </w:style>
  <w:style w:type="paragraph" w:styleId="Nagwek">
    <w:name w:val="header"/>
    <w:basedOn w:val="Normalny"/>
    <w:link w:val="NagwekZnak1"/>
    <w:uiPriority w:val="99"/>
    <w:unhideWhenUsed/>
    <w:pPr>
      <w:tabs>
        <w:tab w:val="center" w:pos="4536"/>
        <w:tab w:val="right" w:pos="9072"/>
      </w:tabs>
    </w:pPr>
    <w:rPr>
      <w:rFonts w:cs="Mangal"/>
      <w:szCs w:val="21"/>
    </w:rPr>
  </w:style>
  <w:style w:type="paragraph" w:styleId="Tekstdymka">
    <w:name w:val="Balloon Text"/>
    <w:basedOn w:val="Normalny"/>
    <w:rPr>
      <w:rFonts w:ascii="Segoe UI" w:hAnsi="Segoe UI" w:cs="Mangal"/>
      <w:sz w:val="18"/>
      <w:szCs w:val="16"/>
    </w:rPr>
  </w:style>
  <w:style w:type="paragraph" w:styleId="Lista">
    <w:name w:val="List"/>
    <w:basedOn w:val="Tekstpodstawowy"/>
    <w:rPr>
      <w:rFonts w:cs="Mangal"/>
    </w:rPr>
  </w:style>
  <w:style w:type="paragraph" w:styleId="Tekstprzypisudolnego">
    <w:name w:val="footnote text"/>
    <w:basedOn w:val="Normalny"/>
    <w:pPr>
      <w:suppressLineNumbers/>
      <w:ind w:left="283" w:hanging="283"/>
    </w:pPr>
    <w:rPr>
      <w:sz w:val="20"/>
      <w:szCs w:val="20"/>
    </w:rPr>
  </w:style>
  <w:style w:type="paragraph" w:styleId="Stopka">
    <w:name w:val="footer"/>
    <w:basedOn w:val="Normalny"/>
    <w:link w:val="StopkaZnak1"/>
    <w:uiPriority w:val="99"/>
    <w:pPr>
      <w:suppressLineNumbers/>
      <w:tabs>
        <w:tab w:val="center" w:pos="4536"/>
        <w:tab w:val="right" w:pos="9072"/>
      </w:tabs>
    </w:pPr>
    <w:rPr>
      <w:lang w:val="en-US"/>
    </w:rPr>
  </w:style>
  <w:style w:type="paragraph" w:styleId="Tematkomentarza">
    <w:name w:val="annotation subject"/>
    <w:basedOn w:val="Tekstkomentarza"/>
    <w:next w:val="Tekstkomentarza"/>
    <w:link w:val="TematkomentarzaZnak2"/>
    <w:uiPriority w:val="99"/>
    <w:unhideWhenUsed/>
    <w:rPr>
      <w:b/>
      <w:bCs/>
    </w:rPr>
  </w:style>
  <w:style w:type="paragraph" w:styleId="Tekstkomentarza">
    <w:name w:val="annotation text"/>
    <w:basedOn w:val="Normalny"/>
    <w:link w:val="TekstkomentarzaZnak2"/>
    <w:uiPriority w:val="99"/>
    <w:unhideWhenUsed/>
    <w:qFormat/>
    <w:rPr>
      <w:rFonts w:cs="Mangal"/>
      <w:sz w:val="20"/>
      <w:szCs w:val="18"/>
    </w:rPr>
  </w:style>
  <w:style w:type="paragraph" w:customStyle="1" w:styleId="ODNONIKtreodnonika">
    <w:name w:val="ODNOŚNIK – treść odnośnika"/>
    <w:pPr>
      <w:widowControl w:val="0"/>
      <w:suppressAutoHyphens/>
      <w:spacing w:line="100" w:lineRule="atLeast"/>
      <w:ind w:left="284" w:hanging="284"/>
      <w:jc w:val="both"/>
    </w:pPr>
    <w:rPr>
      <w:rFonts w:ascii="Calibri" w:eastAsia="Calibri" w:hAnsi="Calibri" w:cs="Arial"/>
      <w:kern w:val="1"/>
      <w:lang w:eastAsia="hi-IN" w:bidi="hi-IN"/>
    </w:rPr>
  </w:style>
  <w:style w:type="paragraph" w:customStyle="1" w:styleId="Nagwek1">
    <w:name w:val="Nagłówek1"/>
    <w:basedOn w:val="Normalny"/>
    <w:next w:val="Tekstpodstawowy"/>
    <w:pPr>
      <w:keepNext/>
      <w:tabs>
        <w:tab w:val="center" w:pos="4536"/>
        <w:tab w:val="right" w:pos="9072"/>
      </w:tabs>
      <w:spacing w:before="240" w:after="120"/>
    </w:pPr>
    <w:rPr>
      <w:rFonts w:ascii="Arial" w:eastAsia="Microsoft YaHei" w:hAnsi="Arial" w:cs="Mangal"/>
      <w:sz w:val="28"/>
      <w:szCs w:val="28"/>
      <w:lang w:val="en-US"/>
    </w:rPr>
  </w:style>
  <w:style w:type="paragraph" w:customStyle="1" w:styleId="Default">
    <w:name w:val="Default"/>
    <w:pPr>
      <w:widowControl w:val="0"/>
      <w:suppressAutoHyphens/>
      <w:spacing w:line="100" w:lineRule="atLeast"/>
    </w:pPr>
    <w:rPr>
      <w:rFonts w:ascii="Calibri" w:eastAsia="Calibri" w:hAnsi="Calibri" w:cs="Calibri"/>
      <w:color w:val="000000"/>
      <w:kern w:val="1"/>
      <w:sz w:val="24"/>
      <w:szCs w:val="24"/>
      <w:lang w:eastAsia="hi-IN" w:bidi="hi-IN"/>
    </w:rPr>
  </w:style>
  <w:style w:type="paragraph" w:customStyle="1" w:styleId="ARTartustawynprozporzdzenia">
    <w:name w:val="ART(§) – art. ustawy (§ np. rozporządzenia)"/>
    <w:link w:val="ARTartustawynprozporzdzeniaZnak"/>
    <w:uiPriority w:val="11"/>
    <w:qFormat/>
    <w:pPr>
      <w:widowControl w:val="0"/>
      <w:suppressAutoHyphens/>
      <w:spacing w:before="120" w:line="360" w:lineRule="auto"/>
      <w:ind w:firstLine="510"/>
      <w:jc w:val="both"/>
    </w:pPr>
    <w:rPr>
      <w:rFonts w:eastAsia="Calibri" w:cs="Arial"/>
      <w:kern w:val="1"/>
      <w:sz w:val="24"/>
      <w:lang w:eastAsia="hi-IN" w:bidi="hi-IN"/>
    </w:rPr>
  </w:style>
  <w:style w:type="paragraph" w:customStyle="1" w:styleId="ZLITUSTzmustliter">
    <w:name w:val="Z_LIT/UST(§) – zm. ust. (§) literą"/>
    <w:basedOn w:val="Normalny"/>
    <w:uiPriority w:val="46"/>
    <w:qFormat/>
    <w:pPr>
      <w:widowControl/>
      <w:autoSpaceDE w:val="0"/>
      <w:autoSpaceDN w:val="0"/>
      <w:adjustRightInd w:val="0"/>
      <w:spacing w:line="360" w:lineRule="auto"/>
      <w:ind w:left="987" w:firstLine="510"/>
      <w:jc w:val="both"/>
    </w:pPr>
    <w:rPr>
      <w:rFonts w:ascii="Times" w:eastAsia="Times New Roman" w:hAnsi="Times" w:cs="Arial"/>
      <w:bCs/>
      <w:kern w:val="0"/>
      <w:szCs w:val="20"/>
      <w:lang w:eastAsia="pl-PL" w:bidi="ar-SA"/>
    </w:rPr>
  </w:style>
  <w:style w:type="paragraph" w:customStyle="1" w:styleId="LITlitera">
    <w:name w:val="LIT – litera"/>
    <w:basedOn w:val="PKTpunkt"/>
    <w:uiPriority w:val="14"/>
    <w:qFormat/>
    <w:pPr>
      <w:widowControl/>
      <w:suppressAutoHyphens w:val="0"/>
      <w:ind w:left="986" w:hanging="476"/>
    </w:pPr>
    <w:rPr>
      <w:rFonts w:eastAsia="Times New Roman"/>
      <w:kern w:val="0"/>
      <w:lang w:eastAsia="pl-PL" w:bidi="ar-SA"/>
    </w:rPr>
  </w:style>
  <w:style w:type="paragraph" w:customStyle="1" w:styleId="Tekstprzypisudolnego1">
    <w:name w:val="Tekst przypisu dolnego1"/>
    <w:basedOn w:val="Normalny"/>
    <w:rPr>
      <w:sz w:val="20"/>
      <w:szCs w:val="20"/>
      <w:lang w:val="en-US"/>
    </w:rPr>
  </w:style>
  <w:style w:type="paragraph" w:customStyle="1" w:styleId="Indeks">
    <w:name w:val="Indeks"/>
    <w:basedOn w:val="Normalny"/>
    <w:pPr>
      <w:suppressLineNumbers/>
    </w:pPr>
    <w:rPr>
      <w:rFonts w:cs="Mangal"/>
    </w:rPr>
  </w:style>
  <w:style w:type="paragraph" w:styleId="Akapitzlist">
    <w:name w:val="List Paragraph"/>
    <w:basedOn w:val="Normalny"/>
    <w:uiPriority w:val="34"/>
    <w:qFormat/>
    <w:pPr>
      <w:ind w:left="708"/>
    </w:pPr>
    <w:rPr>
      <w:rFonts w:cs="Mangal"/>
      <w:szCs w:val="21"/>
    </w:rPr>
  </w:style>
  <w:style w:type="paragraph" w:customStyle="1" w:styleId="NormalWeb1">
    <w:name w:val="Normal (Web)1"/>
    <w:basedOn w:val="Normalny"/>
    <w:pPr>
      <w:spacing w:before="28" w:after="28" w:line="100" w:lineRule="atLeast"/>
    </w:pPr>
    <w:rPr>
      <w:rFonts w:ascii="Times New Roman" w:eastAsia="Times New Roman" w:hAnsi="Times New Roman"/>
    </w:rPr>
  </w:style>
  <w:style w:type="paragraph" w:customStyle="1" w:styleId="Akapitzlist1">
    <w:name w:val="Akapit z listą1"/>
    <w:basedOn w:val="Normalny"/>
    <w:pPr>
      <w:ind w:left="720"/>
    </w:pPr>
  </w:style>
  <w:style w:type="paragraph" w:customStyle="1" w:styleId="Podpis1">
    <w:name w:val="Podpis1"/>
    <w:basedOn w:val="Normalny"/>
    <w:pPr>
      <w:suppressLineNumbers/>
      <w:spacing w:before="120" w:after="120"/>
    </w:pPr>
    <w:rPr>
      <w:rFonts w:cs="Mangal"/>
      <w:i/>
      <w:iCs/>
    </w:rPr>
  </w:style>
  <w:style w:type="paragraph" w:customStyle="1" w:styleId="ZLITPKTzmpktliter">
    <w:name w:val="Z_LIT/PKT – zm. pkt literą"/>
    <w:basedOn w:val="PKTpunkt"/>
    <w:uiPriority w:val="47"/>
    <w:qFormat/>
    <w:pPr>
      <w:widowControl/>
      <w:suppressAutoHyphens w:val="0"/>
      <w:ind w:left="1497"/>
    </w:pPr>
    <w:rPr>
      <w:rFonts w:eastAsia="Times New Roman"/>
      <w:kern w:val="0"/>
      <w:lang w:eastAsia="pl-PL" w:bidi="ar-SA"/>
    </w:rPr>
  </w:style>
  <w:style w:type="paragraph" w:customStyle="1" w:styleId="Tekstkomentarza1">
    <w:name w:val="Tekst komentarza1"/>
    <w:basedOn w:val="Normalny"/>
    <w:rPr>
      <w:sz w:val="20"/>
      <w:szCs w:val="20"/>
      <w:lang w:val="en-US"/>
    </w:rPr>
  </w:style>
  <w:style w:type="paragraph" w:customStyle="1" w:styleId="Akapitzlist3">
    <w:name w:val="Akapit z listą3"/>
    <w:basedOn w:val="Normalny"/>
    <w:pPr>
      <w:ind w:left="720"/>
    </w:pPr>
  </w:style>
  <w:style w:type="paragraph" w:customStyle="1" w:styleId="Zawartotabeli">
    <w:name w:val="Zawartość tabeli"/>
    <w:basedOn w:val="Normalny"/>
    <w:pPr>
      <w:suppressLineNumbers/>
    </w:pPr>
  </w:style>
  <w:style w:type="paragraph" w:customStyle="1" w:styleId="Podpis2">
    <w:name w:val="Podpis2"/>
    <w:basedOn w:val="Normalny"/>
    <w:pPr>
      <w:suppressLineNumbers/>
      <w:spacing w:before="120" w:after="120"/>
    </w:pPr>
    <w:rPr>
      <w:rFonts w:cs="Mangal"/>
      <w:i/>
      <w:iCs/>
    </w:rPr>
  </w:style>
  <w:style w:type="paragraph" w:customStyle="1" w:styleId="Akapitzlist2">
    <w:name w:val="Akapit z listą2"/>
    <w:basedOn w:val="Normalny"/>
    <w:pPr>
      <w:ind w:left="720"/>
    </w:pPr>
  </w:style>
  <w:style w:type="paragraph" w:customStyle="1" w:styleId="PKTpunkt">
    <w:name w:val="PKT – punkt"/>
    <w:link w:val="PKTpunktZnak"/>
    <w:uiPriority w:val="99"/>
    <w:qFormat/>
    <w:pPr>
      <w:widowControl w:val="0"/>
      <w:suppressAutoHyphens/>
      <w:spacing w:line="360" w:lineRule="auto"/>
      <w:ind w:left="510" w:hanging="510"/>
      <w:jc w:val="both"/>
    </w:pPr>
    <w:rPr>
      <w:rFonts w:eastAsia="Calibri" w:cs="Arial"/>
      <w:bCs/>
      <w:kern w:val="1"/>
      <w:sz w:val="24"/>
      <w:lang w:eastAsia="hi-IN" w:bidi="hi-IN"/>
    </w:rPr>
  </w:style>
  <w:style w:type="paragraph" w:customStyle="1" w:styleId="ZARTzmartartykuempunktem">
    <w:name w:val="Z/ART(§) – zm. art. (§) artykułem (punktem)"/>
    <w:basedOn w:val="Normalny"/>
    <w:pPr>
      <w:spacing w:line="360" w:lineRule="auto"/>
      <w:ind w:left="510" w:firstLine="510"/>
      <w:jc w:val="both"/>
    </w:pPr>
    <w:rPr>
      <w:rFonts w:ascii="Times" w:eastAsia="Times New Roman" w:hAnsi="Times" w:cs="Arial"/>
      <w:szCs w:val="20"/>
    </w:rPr>
  </w:style>
  <w:style w:type="paragraph" w:customStyle="1" w:styleId="Nagwektabeli">
    <w:name w:val="Nagłówek tabeli"/>
    <w:basedOn w:val="Zawartotabeli"/>
    <w:pPr>
      <w:jc w:val="center"/>
    </w:pPr>
    <w:rPr>
      <w:b/>
      <w:bCs/>
    </w:rPr>
  </w:style>
  <w:style w:type="paragraph" w:customStyle="1" w:styleId="Tematkomentarza1">
    <w:name w:val="Temat komentarza1"/>
    <w:basedOn w:val="Tekstkomentarza1"/>
    <w:rPr>
      <w:b/>
      <w:bCs/>
    </w:rPr>
  </w:style>
  <w:style w:type="paragraph" w:customStyle="1" w:styleId="BalloonText1">
    <w:name w:val="Balloon Text1"/>
    <w:basedOn w:val="Normalny"/>
    <w:pPr>
      <w:spacing w:line="100" w:lineRule="atLeast"/>
    </w:pPr>
    <w:rPr>
      <w:rFonts w:ascii="Tahoma" w:hAnsi="Tahoma"/>
      <w:sz w:val="16"/>
      <w:szCs w:val="16"/>
      <w:lang w:val="en-US"/>
    </w:rPr>
  </w:style>
  <w:style w:type="paragraph" w:customStyle="1" w:styleId="ZPKTzmpktartykuempunktem">
    <w:name w:val="Z/PKT – zm. pkt artykułem (punktem)"/>
    <w:basedOn w:val="PKTpunkt"/>
    <w:uiPriority w:val="31"/>
    <w:qFormat/>
    <w:pPr>
      <w:widowControl/>
      <w:suppressAutoHyphens w:val="0"/>
      <w:ind w:left="1020"/>
    </w:pPr>
    <w:rPr>
      <w:rFonts w:eastAsia="Times New Roman"/>
      <w:kern w:val="0"/>
      <w:lang w:eastAsia="pl-PL" w:bidi="ar-SA"/>
    </w:rPr>
  </w:style>
  <w:style w:type="paragraph" w:customStyle="1" w:styleId="Poprawka1">
    <w:name w:val="Poprawka1"/>
    <w:pPr>
      <w:widowControl w:val="0"/>
      <w:suppressAutoHyphens/>
      <w:spacing w:line="100" w:lineRule="atLeast"/>
    </w:pPr>
    <w:rPr>
      <w:rFonts w:ascii="Calibri" w:eastAsia="Calibri" w:hAnsi="Calibri" w:cs="Calibri"/>
      <w:kern w:val="1"/>
      <w:sz w:val="24"/>
      <w:szCs w:val="24"/>
      <w:lang w:eastAsia="hi-IN" w:bidi="hi-IN"/>
    </w:rPr>
  </w:style>
  <w:style w:type="paragraph" w:customStyle="1" w:styleId="Nagwek2">
    <w:name w:val="Nagłówek2"/>
    <w:basedOn w:val="Normalny"/>
    <w:next w:val="Tekstpodstawowy"/>
    <w:pPr>
      <w:keepNext/>
      <w:spacing w:before="240" w:after="120"/>
    </w:pPr>
    <w:rPr>
      <w:rFonts w:ascii="Arial" w:eastAsia="Microsoft YaHei" w:hAnsi="Arial" w:cs="Mangal"/>
      <w:sz w:val="28"/>
      <w:szCs w:val="28"/>
    </w:rPr>
  </w:style>
  <w:style w:type="character" w:customStyle="1" w:styleId="ARTartustawynprozporzdzeniaZnak">
    <w:name w:val="ART(§) – art. ustawy (§ np. rozporządzenia) Znak"/>
    <w:link w:val="ARTartustawynprozporzdzenia"/>
    <w:uiPriority w:val="11"/>
    <w:qFormat/>
    <w:locked/>
    <w:rsid w:val="00E72A2A"/>
    <w:rPr>
      <w:rFonts w:eastAsia="Calibri" w:cs="Arial"/>
      <w:kern w:val="1"/>
      <w:sz w:val="24"/>
      <w:lang w:eastAsia="hi-IN" w:bidi="hi-IN"/>
    </w:rPr>
  </w:style>
  <w:style w:type="character" w:customStyle="1" w:styleId="Kkursywa">
    <w:name w:val="_K_ – kursywa"/>
    <w:uiPriority w:val="1"/>
    <w:qFormat/>
    <w:rsid w:val="00E72A2A"/>
    <w:rPr>
      <w:i/>
    </w:rPr>
  </w:style>
  <w:style w:type="character" w:customStyle="1" w:styleId="PKTpunktZnak">
    <w:name w:val="PKT – punkt Znak"/>
    <w:link w:val="PKTpunkt"/>
    <w:uiPriority w:val="99"/>
    <w:locked/>
    <w:rsid w:val="00E72A2A"/>
    <w:rPr>
      <w:rFonts w:eastAsia="Calibri" w:cs="Arial"/>
      <w:bCs/>
      <w:kern w:val="1"/>
      <w:sz w:val="24"/>
      <w:lang w:eastAsia="hi-IN" w:bidi="hi-IN"/>
    </w:rPr>
  </w:style>
  <w:style w:type="paragraph" w:styleId="Poprawka">
    <w:name w:val="Revision"/>
    <w:hidden/>
    <w:uiPriority w:val="99"/>
    <w:semiHidden/>
    <w:rsid w:val="00F753A5"/>
    <w:rPr>
      <w:rFonts w:ascii="Calibri" w:eastAsia="Calibri" w:hAnsi="Calibri"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ip.legalis.pl/document-view.seam?documentId=mfrxilrtg4ytamzsgq2tkltqmfyc4mzwgyzdgnjrg4" TargetMode="External"/><Relationship Id="rId13" Type="http://schemas.openxmlformats.org/officeDocument/2006/relationships/hyperlink" Target="http://sip.legalis.pl/document-view.seam?documentId=mfrxilrtg4ytemzvheydaltqmfyc4nbtga3dgmrwgq" TargetMode="External"/><Relationship Id="rId18" Type="http://schemas.openxmlformats.org/officeDocument/2006/relationships/hyperlink" Target="http://sip.legalis.pl/document-view.seam?documentId=mfrxilrtg4ytemzvheydaltqmfyc4nbtga3dgmrxgq" TargetMode="External"/><Relationship Id="rId3" Type="http://schemas.openxmlformats.org/officeDocument/2006/relationships/styles" Target="styles.xml"/><Relationship Id="rId21" Type="http://schemas.openxmlformats.org/officeDocument/2006/relationships/hyperlink" Target="https://sip.legalis.pl/document-view.seam?documentId=mfrxilrtg4ytgobzge4dq" TargetMode="External"/><Relationship Id="rId7" Type="http://schemas.openxmlformats.org/officeDocument/2006/relationships/endnotes" Target="endnotes.xml"/><Relationship Id="rId12" Type="http://schemas.openxmlformats.org/officeDocument/2006/relationships/hyperlink" Target="http://sip.legalis.pl/document-view.seam?documentId=mfrxilrtg4ytemzvheydaltqmfyc4nbtga3dgmrvge" TargetMode="External"/><Relationship Id="rId17" Type="http://schemas.openxmlformats.org/officeDocument/2006/relationships/hyperlink" Target="http://sip.legalis.pl/document-view.seam?documentId=mfrxilrtg4ytemzvheydaltqmfyc4nbtga3dgmrwha" TargetMode="External"/><Relationship Id="rId2" Type="http://schemas.openxmlformats.org/officeDocument/2006/relationships/numbering" Target="numbering.xml"/><Relationship Id="rId16" Type="http://schemas.openxmlformats.org/officeDocument/2006/relationships/hyperlink" Target="http://sip.legalis.pl/document-view.seam?documentId=mfrxilrtg4ytemzvheyda" TargetMode="External"/><Relationship Id="rId20" Type="http://schemas.openxmlformats.org/officeDocument/2006/relationships/hyperlink" Target="http://sip.legalis.pl/document-view.seam?documentId=mfrxilrtg4ytaobrge2dsltqmfyc4mzxgy4dcobzgy"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legalis.pl/document-view.seam?documentId=mfrxilrtg4ytemzvheydaltqmfyc4nbtga3dgmrug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p.legalis.pl/document-view.seam?documentId=mfrxilrtg4ytemzvheydaltqmfyc4nbtga3dgnrzgu" TargetMode="External"/><Relationship Id="rId23" Type="http://schemas.openxmlformats.org/officeDocument/2006/relationships/fontTable" Target="fontTable.xml"/><Relationship Id="rId10" Type="http://schemas.openxmlformats.org/officeDocument/2006/relationships/hyperlink" Target="http://sip.legalis.pl/document-view.seam?documentId=mfrxilrtg4ytemzvheydaltqmfyc4nbtga3deobuga" TargetMode="External"/><Relationship Id="rId19" Type="http://schemas.openxmlformats.org/officeDocument/2006/relationships/hyperlink" Target="http://sip.legalis.pl/document-view.seam?documentId=mfrxilrtgm2tsnrqguzdgltqmfyc4mzug44tomzyga" TargetMode="External"/><Relationship Id="rId4" Type="http://schemas.openxmlformats.org/officeDocument/2006/relationships/settings" Target="settings.xml"/><Relationship Id="rId9" Type="http://schemas.openxmlformats.org/officeDocument/2006/relationships/hyperlink" Target="http://sip.legalis.pl/document-view.seam?documentId=mfrxilrtg4ytamzsgq2tk" TargetMode="External"/><Relationship Id="rId14" Type="http://schemas.openxmlformats.org/officeDocument/2006/relationships/hyperlink" Target="http://sip.legalis.pl/document-view.seam?documentId=mfrxilrtg4ytemzvheydaltqmfyc4nbtga3dgmrxgu" TargetMode="External"/><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882C0-A957-44D6-B33B-4ECE1FADD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127</Pages>
  <Words>47011</Words>
  <Characters>282067</Characters>
  <Application>Microsoft Office Word</Application>
  <DocSecurity>0</DocSecurity>
  <Lines>2350</Lines>
  <Paragraphs>656</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328422</CharactersWithSpaces>
  <SharedDoc>false</SharedDoc>
  <HLinks>
    <vt:vector size="84" baseType="variant">
      <vt:variant>
        <vt:i4>3211316</vt:i4>
      </vt:variant>
      <vt:variant>
        <vt:i4>39</vt:i4>
      </vt:variant>
      <vt:variant>
        <vt:i4>0</vt:i4>
      </vt:variant>
      <vt:variant>
        <vt:i4>5</vt:i4>
      </vt:variant>
      <vt:variant>
        <vt:lpwstr>https://sip.legalis.pl/document-view.seam?documentId=mfrxilrtg4ytgobzge4dq</vt:lpwstr>
      </vt:variant>
      <vt:variant>
        <vt:lpwstr/>
      </vt:variant>
      <vt:variant>
        <vt:i4>2818096</vt:i4>
      </vt:variant>
      <vt:variant>
        <vt:i4>36</vt:i4>
      </vt:variant>
      <vt:variant>
        <vt:i4>0</vt:i4>
      </vt:variant>
      <vt:variant>
        <vt:i4>5</vt:i4>
      </vt:variant>
      <vt:variant>
        <vt:lpwstr>http://sip.legalis.pl/document-view.seam?documentId=mfrxilrtg4ytaobrge2dsltqmfyc4mzxgy4dcobzgy</vt:lpwstr>
      </vt:variant>
      <vt:variant>
        <vt:lpwstr/>
      </vt:variant>
      <vt:variant>
        <vt:i4>2687025</vt:i4>
      </vt:variant>
      <vt:variant>
        <vt:i4>33</vt:i4>
      </vt:variant>
      <vt:variant>
        <vt:i4>0</vt:i4>
      </vt:variant>
      <vt:variant>
        <vt:i4>5</vt:i4>
      </vt:variant>
      <vt:variant>
        <vt:lpwstr>http://sip.legalis.pl/document-view.seam?documentId=mfrxilrtgm2tsnrqguzdgltqmfyc4mzug44tomzyga</vt:lpwstr>
      </vt:variant>
      <vt:variant>
        <vt:lpwstr/>
      </vt:variant>
      <vt:variant>
        <vt:i4>3276913</vt:i4>
      </vt:variant>
      <vt:variant>
        <vt:i4>30</vt:i4>
      </vt:variant>
      <vt:variant>
        <vt:i4>0</vt:i4>
      </vt:variant>
      <vt:variant>
        <vt:i4>5</vt:i4>
      </vt:variant>
      <vt:variant>
        <vt:lpwstr>http://sip.legalis.pl/document-view.seam?documentId=mfrxilrtg4ytemzvheydaltqmfyc4nbtga3dgmrxgq</vt:lpwstr>
      </vt:variant>
      <vt:variant>
        <vt:lpwstr/>
      </vt:variant>
      <vt:variant>
        <vt:i4>2949246</vt:i4>
      </vt:variant>
      <vt:variant>
        <vt:i4>27</vt:i4>
      </vt:variant>
      <vt:variant>
        <vt:i4>0</vt:i4>
      </vt:variant>
      <vt:variant>
        <vt:i4>5</vt:i4>
      </vt:variant>
      <vt:variant>
        <vt:lpwstr>http://sip.legalis.pl/document-view.seam?documentId=mfrxilrtg4ytemzvheydaltqmfyc4nbtga3dgmrwha</vt:lpwstr>
      </vt:variant>
      <vt:variant>
        <vt:lpwstr/>
      </vt:variant>
      <vt:variant>
        <vt:i4>5308416</vt:i4>
      </vt:variant>
      <vt:variant>
        <vt:i4>24</vt:i4>
      </vt:variant>
      <vt:variant>
        <vt:i4>0</vt:i4>
      </vt:variant>
      <vt:variant>
        <vt:i4>5</vt:i4>
      </vt:variant>
      <vt:variant>
        <vt:lpwstr>http://sip.legalis.pl/document-view.seam?documentId=mfrxilrtg4ytemzvheyda</vt:lpwstr>
      </vt:variant>
      <vt:variant>
        <vt:lpwstr/>
      </vt:variant>
      <vt:variant>
        <vt:i4>3604593</vt:i4>
      </vt:variant>
      <vt:variant>
        <vt:i4>21</vt:i4>
      </vt:variant>
      <vt:variant>
        <vt:i4>0</vt:i4>
      </vt:variant>
      <vt:variant>
        <vt:i4>5</vt:i4>
      </vt:variant>
      <vt:variant>
        <vt:lpwstr>http://sip.legalis.pl/document-view.seam?documentId=mfrxilrtg4ytemzvheydaltqmfyc4nbtga3dgnrzgu</vt:lpwstr>
      </vt:variant>
      <vt:variant>
        <vt:lpwstr/>
      </vt:variant>
      <vt:variant>
        <vt:i4>3539057</vt:i4>
      </vt:variant>
      <vt:variant>
        <vt:i4>18</vt:i4>
      </vt:variant>
      <vt:variant>
        <vt:i4>0</vt:i4>
      </vt:variant>
      <vt:variant>
        <vt:i4>5</vt:i4>
      </vt:variant>
      <vt:variant>
        <vt:lpwstr>http://sip.legalis.pl/document-view.seam?documentId=mfrxilrtg4ytemzvheydaltqmfyc4nbtga3dgmrxgu</vt:lpwstr>
      </vt:variant>
      <vt:variant>
        <vt:lpwstr/>
      </vt:variant>
      <vt:variant>
        <vt:i4>3997809</vt:i4>
      </vt:variant>
      <vt:variant>
        <vt:i4>15</vt:i4>
      </vt:variant>
      <vt:variant>
        <vt:i4>0</vt:i4>
      </vt:variant>
      <vt:variant>
        <vt:i4>5</vt:i4>
      </vt:variant>
      <vt:variant>
        <vt:lpwstr>http://sip.legalis.pl/document-view.seam?documentId=mfrxilrtg4ytemzvheydaltqmfyc4nbtga3dgmrwgq</vt:lpwstr>
      </vt:variant>
      <vt:variant>
        <vt:lpwstr/>
      </vt:variant>
      <vt:variant>
        <vt:i4>2621553</vt:i4>
      </vt:variant>
      <vt:variant>
        <vt:i4>12</vt:i4>
      </vt:variant>
      <vt:variant>
        <vt:i4>0</vt:i4>
      </vt:variant>
      <vt:variant>
        <vt:i4>5</vt:i4>
      </vt:variant>
      <vt:variant>
        <vt:lpwstr>http://sip.legalis.pl/document-view.seam?documentId=mfrxilrtg4ytemzvheydaltqmfyc4nbtga3dgmrvge</vt:lpwstr>
      </vt:variant>
      <vt:variant>
        <vt:lpwstr/>
      </vt:variant>
      <vt:variant>
        <vt:i4>2556017</vt:i4>
      </vt:variant>
      <vt:variant>
        <vt:i4>9</vt:i4>
      </vt:variant>
      <vt:variant>
        <vt:i4>0</vt:i4>
      </vt:variant>
      <vt:variant>
        <vt:i4>5</vt:i4>
      </vt:variant>
      <vt:variant>
        <vt:lpwstr>http://sip.legalis.pl/document-view.seam?documentId=mfrxilrtg4ytemzvheydaltqmfyc4nbtga3dgmrugi</vt:lpwstr>
      </vt:variant>
      <vt:variant>
        <vt:lpwstr/>
      </vt:variant>
      <vt:variant>
        <vt:i4>2949219</vt:i4>
      </vt:variant>
      <vt:variant>
        <vt:i4>6</vt:i4>
      </vt:variant>
      <vt:variant>
        <vt:i4>0</vt:i4>
      </vt:variant>
      <vt:variant>
        <vt:i4>5</vt:i4>
      </vt:variant>
      <vt:variant>
        <vt:lpwstr>http://sip.legalis.pl/document-view.seam?documentId=mfrxilrtg4ytemzvheydaltqmfyc4nbtga3deobuga</vt:lpwstr>
      </vt:variant>
      <vt:variant>
        <vt:lpwstr/>
      </vt:variant>
      <vt:variant>
        <vt:i4>5242944</vt:i4>
      </vt:variant>
      <vt:variant>
        <vt:i4>3</vt:i4>
      </vt:variant>
      <vt:variant>
        <vt:i4>0</vt:i4>
      </vt:variant>
      <vt:variant>
        <vt:i4>5</vt:i4>
      </vt:variant>
      <vt:variant>
        <vt:lpwstr>http://sip.legalis.pl/document-view.seam?documentId=mfrxilrtg4ytamzsgq2tk</vt:lpwstr>
      </vt:variant>
      <vt:variant>
        <vt:lpwstr/>
      </vt:variant>
      <vt:variant>
        <vt:i4>6750322</vt:i4>
      </vt:variant>
      <vt:variant>
        <vt:i4>0</vt:i4>
      </vt:variant>
      <vt:variant>
        <vt:i4>0</vt:i4>
      </vt:variant>
      <vt:variant>
        <vt:i4>5</vt:i4>
      </vt:variant>
      <vt:variant>
        <vt:lpwstr>http://sip.legalis.pl/document-view.seam?documentId=mfrxilrtg4ytamzsgq2tkltqmfyc4mzwgyzdgnjrg4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dc:creator>
  <cp:lastModifiedBy>Binkowska Joanna</cp:lastModifiedBy>
  <cp:revision>3</cp:revision>
  <cp:lastPrinted>2020-07-20T07:55:00Z</cp:lastPrinted>
  <dcterms:created xsi:type="dcterms:W3CDTF">2020-08-03T20:37:00Z</dcterms:created>
  <dcterms:modified xsi:type="dcterms:W3CDTF">2020-08-03T20:49:00Z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KSOProductBuildVer">
    <vt:lpwstr>1033-11.2.0.8342</vt:lpwstr>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